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2F434" w14:textId="77777777" w:rsidR="00EF7305" w:rsidRPr="00EF7305" w:rsidRDefault="00EF7305" w:rsidP="00EF7305">
      <w:pPr>
        <w:spacing w:line="360" w:lineRule="auto"/>
        <w:jc w:val="right"/>
        <w:rPr>
          <w:rFonts w:eastAsia="Calibri"/>
          <w:bCs/>
          <w:sz w:val="20"/>
          <w:szCs w:val="20"/>
          <w:lang w:eastAsia="en-US"/>
        </w:rPr>
      </w:pPr>
      <w:r w:rsidRPr="00EF7305">
        <w:rPr>
          <w:rFonts w:eastAsia="Calibri"/>
          <w:bCs/>
          <w:sz w:val="20"/>
          <w:szCs w:val="20"/>
          <w:lang w:eastAsia="en-US"/>
        </w:rPr>
        <w:t>Presentación de caso</w:t>
      </w:r>
    </w:p>
    <w:p w14:paraId="001F3075" w14:textId="77777777" w:rsidR="00EF7305" w:rsidRPr="00EF7305" w:rsidRDefault="00EF7305" w:rsidP="00EF7305">
      <w:pPr>
        <w:spacing w:line="360" w:lineRule="auto"/>
        <w:jc w:val="right"/>
        <w:rPr>
          <w:rFonts w:eastAsia="Calibri"/>
          <w:b/>
          <w:lang w:eastAsia="en-US"/>
        </w:rPr>
      </w:pPr>
    </w:p>
    <w:p w14:paraId="4792A982" w14:textId="77777777" w:rsidR="00EF7305" w:rsidRPr="00EF7305" w:rsidRDefault="00EF7305" w:rsidP="00EF7305">
      <w:pPr>
        <w:spacing w:line="360" w:lineRule="auto"/>
        <w:jc w:val="center"/>
        <w:rPr>
          <w:rFonts w:eastAsia="Calibri"/>
          <w:b/>
          <w:sz w:val="28"/>
          <w:szCs w:val="28"/>
          <w:lang w:eastAsia="en-US"/>
        </w:rPr>
      </w:pPr>
      <w:r w:rsidRPr="00EF7305">
        <w:rPr>
          <w:rFonts w:eastAsia="Calibri"/>
          <w:b/>
          <w:sz w:val="28"/>
          <w:szCs w:val="28"/>
          <w:lang w:eastAsia="en-US"/>
        </w:rPr>
        <w:t>Lesiones dermatológicas ocasionadas por la exposición a los componentes del jagüey blanco</w:t>
      </w:r>
    </w:p>
    <w:p w14:paraId="607DB21F" w14:textId="77777777" w:rsidR="00EF7305" w:rsidRPr="00EF7305" w:rsidRDefault="00EF7305" w:rsidP="00EF7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Calibri"/>
          <w:sz w:val="28"/>
          <w:szCs w:val="28"/>
          <w:lang w:val="en-US" w:eastAsia="en-US"/>
        </w:rPr>
      </w:pPr>
      <w:r w:rsidRPr="00EF7305">
        <w:rPr>
          <w:sz w:val="28"/>
          <w:szCs w:val="28"/>
          <w:lang w:val="en" w:eastAsia="es-ES"/>
        </w:rPr>
        <w:t>Dermatological lesions caused by exposure to the components of Shortleaf fig</w:t>
      </w:r>
    </w:p>
    <w:p w14:paraId="51274BF1" w14:textId="77777777" w:rsidR="00EF7305" w:rsidRPr="00EF7305" w:rsidRDefault="00EF7305" w:rsidP="00EF7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lang w:val="en-US" w:eastAsia="en-US"/>
        </w:rPr>
      </w:pPr>
    </w:p>
    <w:p w14:paraId="6B993FFA" w14:textId="77777777" w:rsidR="00EF7305" w:rsidRPr="00EF7305" w:rsidRDefault="00EF7305" w:rsidP="00EF7305">
      <w:pPr>
        <w:spacing w:line="360" w:lineRule="auto"/>
        <w:jc w:val="both"/>
        <w:rPr>
          <w:lang w:eastAsia="es-ES"/>
        </w:rPr>
      </w:pPr>
      <w:proofErr w:type="spellStart"/>
      <w:r w:rsidRPr="00EF7305">
        <w:rPr>
          <w:lang w:eastAsia="es-ES"/>
        </w:rPr>
        <w:t>Yunior</w:t>
      </w:r>
      <w:proofErr w:type="spellEnd"/>
      <w:r w:rsidRPr="00EF7305">
        <w:rPr>
          <w:lang w:eastAsia="es-ES"/>
        </w:rPr>
        <w:t xml:space="preserve"> González </w:t>
      </w:r>
      <w:proofErr w:type="spellStart"/>
      <w:r w:rsidRPr="00EF7305">
        <w:rPr>
          <w:lang w:eastAsia="es-ES"/>
        </w:rPr>
        <w:t>Freyre</w:t>
      </w:r>
      <w:r w:rsidRPr="00EF7305">
        <w:rPr>
          <w:vertAlign w:val="superscript"/>
          <w:lang w:eastAsia="es-ES"/>
        </w:rPr>
        <w:t>l</w:t>
      </w:r>
      <w:proofErr w:type="spellEnd"/>
      <w:r w:rsidRPr="00EF7305">
        <w:rPr>
          <w:lang w:eastAsia="es-ES"/>
        </w:rPr>
        <w:t xml:space="preserve"> </w:t>
      </w:r>
      <w:hyperlink r:id="rId6" w:history="1">
        <w:r w:rsidRPr="00EF7305">
          <w:rPr>
            <w:color w:val="0563C1"/>
            <w:u w:val="single"/>
            <w:lang w:eastAsia="es-ES"/>
          </w:rPr>
          <w:t>https://orcid.org/0000-0002-3301-2599</w:t>
        </w:r>
      </w:hyperlink>
      <w:r w:rsidRPr="00EF7305">
        <w:rPr>
          <w:lang w:eastAsia="es-ES"/>
        </w:rPr>
        <w:t xml:space="preserve"> </w:t>
      </w:r>
    </w:p>
    <w:p w14:paraId="71385B72" w14:textId="77777777" w:rsidR="00EF7305" w:rsidRPr="00EF7305" w:rsidRDefault="00EF7305" w:rsidP="00EF7305">
      <w:pPr>
        <w:spacing w:line="360" w:lineRule="auto"/>
        <w:jc w:val="both"/>
        <w:rPr>
          <w:lang w:eastAsia="es-ES"/>
        </w:rPr>
      </w:pPr>
      <w:proofErr w:type="spellStart"/>
      <w:r w:rsidRPr="00EF7305">
        <w:rPr>
          <w:lang w:eastAsia="es-ES"/>
        </w:rPr>
        <w:t>Anelys</w:t>
      </w:r>
      <w:proofErr w:type="spellEnd"/>
      <w:r w:rsidRPr="00EF7305">
        <w:rPr>
          <w:lang w:eastAsia="es-ES"/>
        </w:rPr>
        <w:t xml:space="preserve"> Mesa Viera</w:t>
      </w:r>
      <w:r w:rsidRPr="00EF7305">
        <w:rPr>
          <w:vertAlign w:val="superscript"/>
          <w:lang w:eastAsia="es-ES"/>
        </w:rPr>
        <w:t>1</w:t>
      </w:r>
      <w:r w:rsidRPr="00EF7305">
        <w:rPr>
          <w:lang w:eastAsia="es-ES"/>
        </w:rPr>
        <w:t xml:space="preserve"> </w:t>
      </w:r>
      <w:hyperlink r:id="rId7" w:history="1">
        <w:r w:rsidRPr="00EF7305">
          <w:rPr>
            <w:color w:val="0563C1"/>
            <w:u w:val="single"/>
            <w:lang w:eastAsia="es-ES"/>
          </w:rPr>
          <w:t>https://orcid.org/0000-0001-9891-2873</w:t>
        </w:r>
      </w:hyperlink>
      <w:r w:rsidRPr="00EF7305">
        <w:rPr>
          <w:lang w:eastAsia="es-ES"/>
        </w:rPr>
        <w:t xml:space="preserve"> </w:t>
      </w:r>
    </w:p>
    <w:p w14:paraId="1A19078C" w14:textId="77777777" w:rsidR="00EF7305" w:rsidRPr="00EF7305" w:rsidRDefault="00EF7305" w:rsidP="00EF7305">
      <w:pPr>
        <w:spacing w:line="360" w:lineRule="auto"/>
        <w:jc w:val="both"/>
        <w:rPr>
          <w:lang w:eastAsia="es-ES"/>
        </w:rPr>
      </w:pPr>
      <w:r w:rsidRPr="00EF7305">
        <w:rPr>
          <w:lang w:eastAsia="es-ES"/>
        </w:rPr>
        <w:t xml:space="preserve">Luis Alberto </w:t>
      </w:r>
      <w:proofErr w:type="spellStart"/>
      <w:r w:rsidRPr="00EF7305">
        <w:rPr>
          <w:lang w:eastAsia="es-ES"/>
        </w:rPr>
        <w:t>Bestard</w:t>
      </w:r>
      <w:proofErr w:type="spellEnd"/>
      <w:r w:rsidRPr="00EF7305">
        <w:rPr>
          <w:lang w:eastAsia="es-ES"/>
        </w:rPr>
        <w:t xml:space="preserve"> Pavón</w:t>
      </w:r>
      <w:r w:rsidRPr="00EF7305">
        <w:rPr>
          <w:vertAlign w:val="superscript"/>
          <w:lang w:eastAsia="es-ES"/>
        </w:rPr>
        <w:t>2</w:t>
      </w:r>
      <w:r w:rsidRPr="00EF7305">
        <w:rPr>
          <w:lang w:eastAsia="es-ES"/>
        </w:rPr>
        <w:t xml:space="preserve">* </w:t>
      </w:r>
      <w:hyperlink r:id="rId8" w:history="1">
        <w:r w:rsidRPr="00EF7305">
          <w:rPr>
            <w:color w:val="0563C1"/>
            <w:u w:val="single"/>
            <w:lang w:eastAsia="es-ES"/>
          </w:rPr>
          <w:t>https://orcid.org/0000-0003-4269-8956</w:t>
        </w:r>
      </w:hyperlink>
      <w:r w:rsidRPr="00EF7305">
        <w:rPr>
          <w:lang w:eastAsia="es-ES"/>
        </w:rPr>
        <w:t xml:space="preserve"> </w:t>
      </w:r>
    </w:p>
    <w:p w14:paraId="4D434553" w14:textId="77777777" w:rsidR="00EF7305" w:rsidRPr="00EF7305" w:rsidRDefault="00EF7305" w:rsidP="00EF7305">
      <w:pPr>
        <w:spacing w:line="360" w:lineRule="auto"/>
        <w:jc w:val="both"/>
        <w:rPr>
          <w:lang w:eastAsia="es-ES"/>
        </w:rPr>
      </w:pPr>
      <w:r w:rsidRPr="00EF7305">
        <w:rPr>
          <w:lang w:eastAsia="es-ES"/>
        </w:rPr>
        <w:t>Laura Barrero Viera</w:t>
      </w:r>
      <w:r w:rsidRPr="00EF7305">
        <w:rPr>
          <w:vertAlign w:val="superscript"/>
          <w:lang w:eastAsia="es-ES"/>
        </w:rPr>
        <w:t>1</w:t>
      </w:r>
      <w:r w:rsidRPr="00EF7305">
        <w:rPr>
          <w:lang w:eastAsia="es-ES"/>
        </w:rPr>
        <w:t xml:space="preserve"> </w:t>
      </w:r>
      <w:hyperlink r:id="rId9" w:history="1">
        <w:r w:rsidRPr="00EF7305">
          <w:rPr>
            <w:color w:val="0563C1"/>
            <w:u w:val="single"/>
            <w:lang w:eastAsia="es-ES"/>
          </w:rPr>
          <w:t>https://orcid.org/0000-0002-1435-0031</w:t>
        </w:r>
      </w:hyperlink>
    </w:p>
    <w:p w14:paraId="28C75539" w14:textId="77777777" w:rsidR="00EF7305" w:rsidRPr="00EF7305" w:rsidRDefault="00EF7305" w:rsidP="00EF7305">
      <w:pPr>
        <w:spacing w:line="360" w:lineRule="auto"/>
        <w:jc w:val="both"/>
        <w:rPr>
          <w:lang w:eastAsia="es-ES"/>
        </w:rPr>
      </w:pPr>
      <w:r w:rsidRPr="00EF7305">
        <w:rPr>
          <w:lang w:eastAsia="es-ES"/>
        </w:rPr>
        <w:t>Yamilet García González</w:t>
      </w:r>
      <w:r w:rsidRPr="00EF7305">
        <w:rPr>
          <w:vertAlign w:val="superscript"/>
          <w:lang w:eastAsia="es-ES"/>
        </w:rPr>
        <w:t>1</w:t>
      </w:r>
      <w:r w:rsidRPr="00EF7305">
        <w:rPr>
          <w:lang w:eastAsia="es-ES"/>
        </w:rPr>
        <w:t xml:space="preserve"> </w:t>
      </w:r>
      <w:hyperlink r:id="rId10" w:history="1">
        <w:r w:rsidRPr="00EF7305">
          <w:rPr>
            <w:color w:val="0563C1"/>
            <w:u w:val="single"/>
            <w:lang w:eastAsia="es-ES"/>
          </w:rPr>
          <w:t>https://orcid.org/0000-0001-5730-2585</w:t>
        </w:r>
      </w:hyperlink>
      <w:r w:rsidRPr="00EF7305">
        <w:rPr>
          <w:lang w:eastAsia="es-ES"/>
        </w:rPr>
        <w:t xml:space="preserve"> </w:t>
      </w:r>
    </w:p>
    <w:p w14:paraId="021D3DE8" w14:textId="77777777" w:rsidR="00EF7305" w:rsidRPr="00EF7305" w:rsidRDefault="00EF7305" w:rsidP="00EF7305">
      <w:pPr>
        <w:spacing w:line="360" w:lineRule="auto"/>
        <w:jc w:val="both"/>
        <w:rPr>
          <w:lang w:eastAsia="es-ES"/>
        </w:rPr>
      </w:pPr>
      <w:r w:rsidRPr="00EF7305">
        <w:rPr>
          <w:lang w:eastAsia="es-ES"/>
        </w:rPr>
        <w:t>Arianna Londres Lobaina</w:t>
      </w:r>
      <w:r w:rsidRPr="00EF7305">
        <w:rPr>
          <w:vertAlign w:val="superscript"/>
          <w:lang w:eastAsia="es-ES"/>
        </w:rPr>
        <w:t>1</w:t>
      </w:r>
      <w:r w:rsidRPr="00EF7305">
        <w:rPr>
          <w:lang w:eastAsia="es-ES"/>
        </w:rPr>
        <w:t xml:space="preserve"> </w:t>
      </w:r>
      <w:hyperlink r:id="rId11" w:history="1">
        <w:r w:rsidRPr="00EF7305">
          <w:rPr>
            <w:color w:val="0563C1"/>
            <w:u w:val="single"/>
            <w:lang w:eastAsia="es-ES"/>
          </w:rPr>
          <w:t>https://orcid.org/0000-0001-7758-7987</w:t>
        </w:r>
      </w:hyperlink>
      <w:r w:rsidRPr="00EF7305">
        <w:rPr>
          <w:lang w:eastAsia="es-ES"/>
        </w:rPr>
        <w:t xml:space="preserve"> </w:t>
      </w:r>
    </w:p>
    <w:p w14:paraId="36DCAAB9" w14:textId="77777777" w:rsidR="00EF7305" w:rsidRPr="00EF7305" w:rsidRDefault="00EF7305" w:rsidP="00EF7305">
      <w:pPr>
        <w:spacing w:line="360" w:lineRule="auto"/>
        <w:jc w:val="both"/>
        <w:rPr>
          <w:lang w:eastAsia="es-ES"/>
        </w:rPr>
      </w:pPr>
    </w:p>
    <w:p w14:paraId="4A8E52F3" w14:textId="77777777" w:rsidR="00EF7305" w:rsidRPr="00EF7305" w:rsidRDefault="00EF7305" w:rsidP="00EF7305">
      <w:pPr>
        <w:spacing w:line="360" w:lineRule="auto"/>
        <w:jc w:val="both"/>
        <w:rPr>
          <w:lang w:eastAsia="es-ES"/>
        </w:rPr>
      </w:pPr>
      <w:r w:rsidRPr="00EF7305">
        <w:rPr>
          <w:vertAlign w:val="superscript"/>
          <w:lang w:eastAsia="es-ES"/>
        </w:rPr>
        <w:t>1</w:t>
      </w:r>
      <w:r w:rsidRPr="00EF7305">
        <w:rPr>
          <w:lang w:eastAsia="es-ES"/>
        </w:rPr>
        <w:t>Centro Nacional de Toxicología. La Habana, Cuba.</w:t>
      </w:r>
    </w:p>
    <w:p w14:paraId="511119A8" w14:textId="77777777" w:rsidR="00EF7305" w:rsidRPr="00EF7305" w:rsidRDefault="00EF7305" w:rsidP="00EF7305">
      <w:pPr>
        <w:spacing w:line="360" w:lineRule="auto"/>
        <w:jc w:val="both"/>
        <w:rPr>
          <w:lang w:eastAsia="es-ES"/>
        </w:rPr>
      </w:pPr>
      <w:r w:rsidRPr="00EF7305">
        <w:rPr>
          <w:vertAlign w:val="superscript"/>
          <w:lang w:eastAsia="es-ES"/>
        </w:rPr>
        <w:t>2</w:t>
      </w:r>
      <w:r w:rsidRPr="00EF7305">
        <w:rPr>
          <w:lang w:eastAsia="es-ES"/>
        </w:rPr>
        <w:t>Hospital Militar Central “Dr. Carlos J. Finlay”. La Habana, Cuba.</w:t>
      </w:r>
    </w:p>
    <w:p w14:paraId="181212A8" w14:textId="77777777" w:rsidR="00EF7305" w:rsidRPr="00EF7305" w:rsidRDefault="00EF7305" w:rsidP="00EF7305">
      <w:pPr>
        <w:spacing w:line="360" w:lineRule="auto"/>
        <w:jc w:val="both"/>
        <w:rPr>
          <w:lang w:eastAsia="es-ES"/>
        </w:rPr>
      </w:pPr>
    </w:p>
    <w:p w14:paraId="08627B98" w14:textId="77777777" w:rsidR="00EF7305" w:rsidRPr="00EF7305" w:rsidRDefault="00EF7305" w:rsidP="00EF7305">
      <w:pPr>
        <w:spacing w:line="360" w:lineRule="auto"/>
        <w:jc w:val="both"/>
        <w:rPr>
          <w:rFonts w:eastAsia="Calibri"/>
          <w:lang w:eastAsia="en-US"/>
        </w:rPr>
      </w:pPr>
      <w:r w:rsidRPr="00EF7305">
        <w:rPr>
          <w:lang w:eastAsia="es-ES"/>
        </w:rPr>
        <w:t xml:space="preserve">*Autor para la correspondencia. Correo electrónico: </w:t>
      </w:r>
      <w:hyperlink r:id="rId12" w:history="1">
        <w:r w:rsidRPr="00EF7305">
          <w:rPr>
            <w:color w:val="0563C1"/>
            <w:u w:val="single"/>
            <w:lang w:eastAsia="es-ES"/>
          </w:rPr>
          <w:t>labestard@infomed.sld.cu</w:t>
        </w:r>
      </w:hyperlink>
      <w:r w:rsidRPr="00EF7305">
        <w:rPr>
          <w:lang w:eastAsia="es-ES"/>
        </w:rPr>
        <w:t xml:space="preserve"> </w:t>
      </w:r>
    </w:p>
    <w:p w14:paraId="452C316A" w14:textId="77777777" w:rsidR="00EF7305" w:rsidRPr="00EF7305" w:rsidRDefault="00EF7305" w:rsidP="00EF7305">
      <w:pPr>
        <w:spacing w:line="360" w:lineRule="auto"/>
        <w:jc w:val="both"/>
        <w:rPr>
          <w:rFonts w:eastAsia="Calibri"/>
          <w:b/>
          <w:lang w:eastAsia="en-US"/>
        </w:rPr>
      </w:pPr>
    </w:p>
    <w:p w14:paraId="4B707604" w14:textId="77777777" w:rsidR="00EF7305" w:rsidRPr="00EF7305" w:rsidRDefault="00EF7305" w:rsidP="00EF7305">
      <w:pPr>
        <w:spacing w:line="360" w:lineRule="auto"/>
        <w:jc w:val="both"/>
        <w:rPr>
          <w:rFonts w:eastAsia="Calibri"/>
          <w:b/>
          <w:lang w:eastAsia="en-US"/>
        </w:rPr>
      </w:pPr>
      <w:r w:rsidRPr="00EF7305">
        <w:rPr>
          <w:rFonts w:eastAsia="Calibri"/>
          <w:b/>
          <w:lang w:eastAsia="en-US"/>
        </w:rPr>
        <w:t>RESUMEN</w:t>
      </w:r>
    </w:p>
    <w:p w14:paraId="346C4E5F" w14:textId="77777777" w:rsidR="00EF7305" w:rsidRPr="00EF7305" w:rsidRDefault="00EF7305" w:rsidP="00EF7305">
      <w:pPr>
        <w:spacing w:line="360" w:lineRule="auto"/>
        <w:jc w:val="both"/>
        <w:rPr>
          <w:rFonts w:eastAsia="Calibri"/>
          <w:lang w:eastAsia="en-US"/>
        </w:rPr>
      </w:pPr>
      <w:r w:rsidRPr="00EF7305">
        <w:rPr>
          <w:rFonts w:eastAsia="Calibri"/>
          <w:b/>
          <w:lang w:eastAsia="en-US"/>
        </w:rPr>
        <w:t>Introducción:</w:t>
      </w:r>
      <w:r w:rsidRPr="00EF7305">
        <w:rPr>
          <w:rFonts w:eastAsia="Calibri"/>
          <w:lang w:eastAsia="en-US"/>
        </w:rPr>
        <w:t xml:space="preserve"> Muchas plantas poseen efectos perjudiciales para la salud, no siempre del dominio público; dentro de estas se encuentra el jagüey blanco, que posee compuestos capaces de producir dermatitis de contacto. </w:t>
      </w:r>
    </w:p>
    <w:p w14:paraId="3A0760F6" w14:textId="77777777" w:rsidR="00EF7305" w:rsidRPr="00EF7305" w:rsidRDefault="00EF7305" w:rsidP="00EF7305">
      <w:pPr>
        <w:spacing w:line="360" w:lineRule="auto"/>
        <w:jc w:val="both"/>
        <w:rPr>
          <w:rFonts w:eastAsia="Calibri"/>
          <w:lang w:eastAsia="en-US"/>
        </w:rPr>
      </w:pPr>
      <w:r w:rsidRPr="00EF7305">
        <w:rPr>
          <w:rFonts w:eastAsia="Calibri"/>
          <w:b/>
          <w:lang w:eastAsia="en-US"/>
        </w:rPr>
        <w:t>Objetivos</w:t>
      </w:r>
      <w:r w:rsidRPr="00EF7305">
        <w:rPr>
          <w:rFonts w:eastAsia="Calibri"/>
          <w:lang w:eastAsia="en-US"/>
        </w:rPr>
        <w:t>: Presentar un caso clínico ocasionado por la exposición a los componentes del jag</w:t>
      </w:r>
      <w:r w:rsidRPr="00EF7305">
        <w:rPr>
          <w:rFonts w:eastAsia="Calibri"/>
          <w:bCs/>
          <w:lang w:eastAsia="en-US"/>
        </w:rPr>
        <w:t>ü</w:t>
      </w:r>
      <w:r w:rsidRPr="00EF7305">
        <w:rPr>
          <w:rFonts w:eastAsia="Calibri"/>
          <w:lang w:eastAsia="en-US"/>
        </w:rPr>
        <w:t xml:space="preserve">ey blanco.  </w:t>
      </w:r>
    </w:p>
    <w:p w14:paraId="481F9E06" w14:textId="77777777" w:rsidR="00EF7305" w:rsidRPr="00EF7305" w:rsidRDefault="00EF7305" w:rsidP="00EF7305">
      <w:pPr>
        <w:spacing w:line="360" w:lineRule="auto"/>
        <w:jc w:val="both"/>
        <w:rPr>
          <w:rFonts w:eastAsia="Calibri"/>
          <w:lang w:eastAsia="en-US"/>
        </w:rPr>
      </w:pPr>
      <w:r w:rsidRPr="00EF7305">
        <w:rPr>
          <w:rFonts w:eastAsia="Calibri"/>
          <w:b/>
          <w:lang w:eastAsia="en-US"/>
        </w:rPr>
        <w:t>Caso clínico:</w:t>
      </w:r>
      <w:r w:rsidRPr="00EF7305">
        <w:rPr>
          <w:rFonts w:eastAsia="Calibri"/>
          <w:lang w:eastAsia="en-US"/>
        </w:rPr>
        <w:t xml:space="preserve"> Niño de 8 años, saludable, que acudió al médico con dolor intenso, quemante, en las manos, asociado a prurito. Al examen físico de la piel de ambas manos, en las palmas, presentaba eritema, en sus dorsos y espacios interdigitales el eritema era más intenso con incremento de la temperatura; se le adicionaron ampollas, la mayor alcanzó prácticamente todo el dorso de la mano derecha, las demás entre uno y tres centímetros de diámetro. </w:t>
      </w:r>
      <w:r w:rsidRPr="00EF7305">
        <w:rPr>
          <w:rFonts w:eastAsia="Calibri"/>
          <w:iCs/>
          <w:lang w:eastAsia="en-US"/>
        </w:rPr>
        <w:t xml:space="preserve">Al interrogatorio, se conoció que se había expuesto a la savia que desprendían los frutos del </w:t>
      </w:r>
      <w:r w:rsidRPr="00EF7305">
        <w:rPr>
          <w:rFonts w:eastAsia="Calibri"/>
          <w:lang w:eastAsia="en-US"/>
        </w:rPr>
        <w:t xml:space="preserve">árbol jagüey blanco. Se le aplicó limpieza del área afectada, cura local, vendaje, </w:t>
      </w:r>
      <w:proofErr w:type="spellStart"/>
      <w:r w:rsidRPr="00EF7305">
        <w:rPr>
          <w:rFonts w:eastAsia="Calibri"/>
          <w:lang w:eastAsia="en-US"/>
        </w:rPr>
        <w:lastRenderedPageBreak/>
        <w:t>nitrofurazona</w:t>
      </w:r>
      <w:proofErr w:type="spellEnd"/>
      <w:r w:rsidRPr="00EF7305">
        <w:rPr>
          <w:rFonts w:eastAsia="Calibri"/>
          <w:lang w:eastAsia="en-US"/>
        </w:rPr>
        <w:t xml:space="preserve"> en crema, analgésico y antihistamínico. Presentó una evolución satisfactoria; a los 10 días de iniciado el cuadro, ya estaba en fase de recuperación. </w:t>
      </w:r>
    </w:p>
    <w:p w14:paraId="7FFE3227" w14:textId="77777777" w:rsidR="00EF7305" w:rsidRPr="00EF7305" w:rsidRDefault="00EF7305" w:rsidP="00EF7305">
      <w:pPr>
        <w:spacing w:line="360" w:lineRule="auto"/>
        <w:jc w:val="both"/>
        <w:rPr>
          <w:rFonts w:eastAsia="Calibri"/>
          <w:lang w:eastAsia="en-US"/>
        </w:rPr>
      </w:pPr>
      <w:r w:rsidRPr="00EF7305">
        <w:rPr>
          <w:rFonts w:eastAsia="Calibri"/>
          <w:b/>
          <w:lang w:eastAsia="en-US"/>
        </w:rPr>
        <w:t>Conclusiones:</w:t>
      </w:r>
      <w:r w:rsidRPr="00EF7305">
        <w:rPr>
          <w:rFonts w:eastAsia="Calibri"/>
          <w:lang w:eastAsia="en-US"/>
        </w:rPr>
        <w:t xml:space="preserve"> Este paciente presentó una dermatitis de contacto de tipo irritativa, como quemadura, al ponerse en contacto con componentes del jagüey blanco, que requirió de tratamiento médico, con el cual se logró una evolución satisfactoria. </w:t>
      </w:r>
    </w:p>
    <w:p w14:paraId="55D70A89" w14:textId="77777777" w:rsidR="00EF7305" w:rsidRPr="00EF7305" w:rsidRDefault="00EF7305" w:rsidP="00EF7305">
      <w:pPr>
        <w:spacing w:line="360" w:lineRule="auto"/>
        <w:jc w:val="both"/>
        <w:rPr>
          <w:rFonts w:eastAsia="Calibri"/>
          <w:lang w:eastAsia="en-US"/>
        </w:rPr>
      </w:pPr>
      <w:r w:rsidRPr="00EF7305">
        <w:rPr>
          <w:rFonts w:eastAsia="Calibri"/>
          <w:b/>
          <w:lang w:eastAsia="en-US"/>
        </w:rPr>
        <w:t>Palabras clave:</w:t>
      </w:r>
      <w:r w:rsidRPr="00EF7305">
        <w:rPr>
          <w:rFonts w:eastAsia="Calibri"/>
          <w:lang w:eastAsia="en-US"/>
        </w:rPr>
        <w:t xml:space="preserve"> jagüey blanco; intoxicación; plantas tóxicas; toxicidad aguda; dermatitis por contacto.</w:t>
      </w:r>
    </w:p>
    <w:p w14:paraId="35BC1A17" w14:textId="77777777" w:rsidR="00EF7305" w:rsidRPr="00EF7305" w:rsidRDefault="00EF7305" w:rsidP="00EF7305">
      <w:pPr>
        <w:spacing w:line="360" w:lineRule="auto"/>
        <w:jc w:val="both"/>
        <w:rPr>
          <w:rFonts w:eastAsia="Calibri"/>
          <w:lang w:eastAsia="en-US"/>
        </w:rPr>
      </w:pPr>
    </w:p>
    <w:p w14:paraId="0C41A28D" w14:textId="77777777" w:rsidR="00EF7305" w:rsidRPr="00EF7305" w:rsidRDefault="00EF7305" w:rsidP="00EF7305">
      <w:pPr>
        <w:spacing w:line="360" w:lineRule="auto"/>
        <w:jc w:val="both"/>
        <w:rPr>
          <w:rFonts w:eastAsia="Calibri"/>
          <w:b/>
          <w:lang w:val="en-US" w:eastAsia="en-US"/>
        </w:rPr>
      </w:pPr>
      <w:r w:rsidRPr="00EF7305">
        <w:rPr>
          <w:rFonts w:eastAsia="Calibri"/>
          <w:b/>
          <w:lang w:val="en-US" w:eastAsia="en-US"/>
        </w:rPr>
        <w:t>ABSTRACT</w:t>
      </w:r>
    </w:p>
    <w:p w14:paraId="4D05A58F" w14:textId="77777777" w:rsidR="00EF7305" w:rsidRPr="00EF7305" w:rsidRDefault="00EF7305" w:rsidP="00EF7305">
      <w:pPr>
        <w:spacing w:line="360" w:lineRule="auto"/>
        <w:jc w:val="both"/>
        <w:rPr>
          <w:rFonts w:eastAsia="Calibri"/>
          <w:lang w:val="en-US" w:eastAsia="en-US"/>
        </w:rPr>
      </w:pPr>
      <w:r w:rsidRPr="00EF7305">
        <w:rPr>
          <w:rFonts w:eastAsia="Calibri"/>
          <w:b/>
          <w:bCs/>
          <w:lang w:val="en-US" w:eastAsia="en-US"/>
        </w:rPr>
        <w:t>Introduction:</w:t>
      </w:r>
      <w:r w:rsidRPr="00EF7305">
        <w:rPr>
          <w:rFonts w:eastAsia="Calibri"/>
          <w:lang w:val="en-US" w:eastAsia="en-US"/>
        </w:rPr>
        <w:t xml:space="preserve"> Many plants have harmful effects on health, not always in the public domain, within these is the shortleaf fig, which has compounds capable of producing contact dermatitis.</w:t>
      </w:r>
    </w:p>
    <w:p w14:paraId="6CAD2A79" w14:textId="77777777" w:rsidR="00EF7305" w:rsidRPr="00EF7305" w:rsidRDefault="00EF7305" w:rsidP="00EF7305">
      <w:pPr>
        <w:spacing w:line="360" w:lineRule="auto"/>
        <w:jc w:val="both"/>
        <w:rPr>
          <w:rFonts w:eastAsia="Calibri"/>
          <w:lang w:val="en-US" w:eastAsia="en-US"/>
        </w:rPr>
      </w:pPr>
      <w:r w:rsidRPr="00EF7305">
        <w:rPr>
          <w:rFonts w:eastAsia="Calibri"/>
          <w:b/>
          <w:bCs/>
          <w:lang w:val="en-US" w:eastAsia="en-US"/>
        </w:rPr>
        <w:t>Objectives:</w:t>
      </w:r>
      <w:r w:rsidRPr="00EF7305">
        <w:rPr>
          <w:rFonts w:eastAsia="Calibri"/>
          <w:lang w:val="en-US" w:eastAsia="en-US"/>
        </w:rPr>
        <w:t xml:space="preserve"> Present a clinical case caused by exposure to the components of Shortleaf fig.</w:t>
      </w:r>
    </w:p>
    <w:p w14:paraId="4A4367C1" w14:textId="77777777" w:rsidR="00EF7305" w:rsidRPr="00EF7305" w:rsidRDefault="00EF7305" w:rsidP="00EF7305">
      <w:pPr>
        <w:spacing w:line="360" w:lineRule="auto"/>
        <w:jc w:val="both"/>
        <w:rPr>
          <w:rFonts w:eastAsia="Calibri"/>
          <w:lang w:val="en-US" w:eastAsia="en-US"/>
        </w:rPr>
      </w:pPr>
      <w:r w:rsidRPr="00EF7305">
        <w:rPr>
          <w:rFonts w:eastAsia="Calibri"/>
          <w:b/>
          <w:bCs/>
          <w:lang w:val="en-US" w:eastAsia="en-US"/>
        </w:rPr>
        <w:t>Clinical case:</w:t>
      </w:r>
      <w:r w:rsidRPr="00EF7305">
        <w:rPr>
          <w:rFonts w:eastAsia="Calibri"/>
          <w:lang w:val="en-US" w:eastAsia="en-US"/>
        </w:rPr>
        <w:t xml:space="preserve"> 8-year-old boy, healthy, who came to the doctor with intense, burning pain in the hands, associated with itching. On physical examination of the skin of both hands, on the palms, he presented erythema, and on his backs and interdigital spaces the erythema was more intense with an increase in temperature, where blisters were added, the largest reached practically the entire back of the right hand, and others between one and three centimeters. Upon interrogation, it was discovered that he had been exposed to the sap that the fruits of the shortleaf fig tree. Cleaning of the affected area, local cure, bandage, nitrofurazone cream, analgesic and antihistamine were applied; presented a satisfactory evolution, 10 days after the beginning of the picture he was already in recovery phase.</w:t>
      </w:r>
    </w:p>
    <w:p w14:paraId="16F04470" w14:textId="77777777" w:rsidR="00EF7305" w:rsidRPr="00EF7305" w:rsidRDefault="00EF7305" w:rsidP="00EF7305">
      <w:pPr>
        <w:spacing w:line="360" w:lineRule="auto"/>
        <w:jc w:val="both"/>
        <w:rPr>
          <w:rFonts w:eastAsia="Calibri"/>
          <w:lang w:val="en-US" w:eastAsia="en-US"/>
        </w:rPr>
      </w:pPr>
      <w:r w:rsidRPr="00EF7305">
        <w:rPr>
          <w:rFonts w:eastAsia="Calibri"/>
          <w:b/>
          <w:bCs/>
          <w:lang w:val="en-US" w:eastAsia="en-US"/>
        </w:rPr>
        <w:t>Conclusions:</w:t>
      </w:r>
      <w:r w:rsidRPr="00EF7305">
        <w:rPr>
          <w:rFonts w:eastAsia="Calibri"/>
          <w:lang w:val="en-US" w:eastAsia="en-US"/>
        </w:rPr>
        <w:t xml:space="preserve"> This patient presented irritative contact dermatitis, as a burn, when coming into contact with components present in the shortleaf fig, which required medical treatment with which a satisfactory evolution was achieved.</w:t>
      </w:r>
    </w:p>
    <w:p w14:paraId="1A7E30B1" w14:textId="77777777" w:rsidR="00EF7305" w:rsidRPr="00EF7305" w:rsidRDefault="00EF7305" w:rsidP="00EF7305">
      <w:pPr>
        <w:spacing w:line="360" w:lineRule="auto"/>
        <w:jc w:val="both"/>
        <w:rPr>
          <w:lang w:val="en" w:eastAsia="es-ES"/>
        </w:rPr>
      </w:pPr>
      <w:r w:rsidRPr="00EF7305">
        <w:rPr>
          <w:rFonts w:eastAsia="Calibri"/>
          <w:b/>
          <w:lang w:val="en-US" w:eastAsia="en-US"/>
        </w:rPr>
        <w:t>Keywords:</w:t>
      </w:r>
      <w:r w:rsidRPr="00EF7305">
        <w:rPr>
          <w:rFonts w:eastAsia="Calibri"/>
          <w:lang w:val="en-US" w:eastAsia="en-US"/>
        </w:rPr>
        <w:t xml:space="preserve"> shortleaf fig; </w:t>
      </w:r>
      <w:r w:rsidRPr="00EF7305">
        <w:rPr>
          <w:lang w:val="en" w:eastAsia="es-ES"/>
        </w:rPr>
        <w:t>poisoning; toxic plants; acute toxicity; contact dermatitis.</w:t>
      </w:r>
    </w:p>
    <w:p w14:paraId="761EAC05" w14:textId="77777777" w:rsidR="00EF7305" w:rsidRPr="00EF7305" w:rsidRDefault="00EF7305" w:rsidP="00EF7305">
      <w:pPr>
        <w:spacing w:line="360" w:lineRule="auto"/>
        <w:jc w:val="both"/>
        <w:rPr>
          <w:lang w:val="en" w:eastAsia="es-ES"/>
        </w:rPr>
      </w:pPr>
    </w:p>
    <w:p w14:paraId="11BA4517" w14:textId="77777777" w:rsidR="00EF7305" w:rsidRPr="00EF7305" w:rsidRDefault="00EF7305" w:rsidP="00EF7305">
      <w:pPr>
        <w:spacing w:line="360" w:lineRule="auto"/>
        <w:jc w:val="both"/>
        <w:rPr>
          <w:lang w:val="en" w:eastAsia="es-ES"/>
        </w:rPr>
      </w:pPr>
    </w:p>
    <w:p w14:paraId="31F92DD7" w14:textId="77777777" w:rsidR="00EF7305" w:rsidRPr="00EF7305" w:rsidRDefault="00EF7305" w:rsidP="00EF7305">
      <w:pPr>
        <w:spacing w:line="360" w:lineRule="auto"/>
        <w:jc w:val="both"/>
        <w:rPr>
          <w:lang w:val="es-ES" w:eastAsia="es-ES"/>
        </w:rPr>
      </w:pPr>
      <w:r w:rsidRPr="00EF7305">
        <w:rPr>
          <w:lang w:val="es-ES" w:eastAsia="es-ES"/>
        </w:rPr>
        <w:t>Recibido: 11/11/2020</w:t>
      </w:r>
    </w:p>
    <w:p w14:paraId="3F606A92" w14:textId="77777777" w:rsidR="00EF7305" w:rsidRPr="00EF7305" w:rsidRDefault="00EF7305" w:rsidP="00EF7305">
      <w:pPr>
        <w:spacing w:line="360" w:lineRule="auto"/>
        <w:jc w:val="both"/>
        <w:rPr>
          <w:lang w:val="es-ES" w:eastAsia="es-ES"/>
        </w:rPr>
      </w:pPr>
      <w:r w:rsidRPr="00EF7305">
        <w:rPr>
          <w:lang w:val="es-ES" w:eastAsia="es-ES"/>
        </w:rPr>
        <w:t>Aprobado: 23/06/2021</w:t>
      </w:r>
    </w:p>
    <w:p w14:paraId="70E5383B" w14:textId="77777777" w:rsidR="00EF7305" w:rsidRPr="00EF7305" w:rsidRDefault="00EF7305" w:rsidP="00EF7305">
      <w:pPr>
        <w:spacing w:line="360" w:lineRule="auto"/>
        <w:jc w:val="both"/>
        <w:rPr>
          <w:rFonts w:eastAsia="Calibri"/>
          <w:b/>
          <w:lang w:val="es-ES" w:eastAsia="en-US"/>
        </w:rPr>
      </w:pPr>
    </w:p>
    <w:p w14:paraId="24AB1D6E" w14:textId="77777777" w:rsidR="00EF7305" w:rsidRPr="00EF7305" w:rsidRDefault="00EF7305" w:rsidP="00EF7305">
      <w:pPr>
        <w:spacing w:line="360" w:lineRule="auto"/>
        <w:jc w:val="both"/>
        <w:rPr>
          <w:rFonts w:eastAsia="Calibri"/>
          <w:b/>
          <w:lang w:eastAsia="en-US"/>
        </w:rPr>
      </w:pPr>
    </w:p>
    <w:p w14:paraId="5394D150" w14:textId="77777777" w:rsidR="00EF7305" w:rsidRPr="00EF7305" w:rsidRDefault="00EF7305" w:rsidP="00EF7305">
      <w:pPr>
        <w:spacing w:line="360" w:lineRule="auto"/>
        <w:jc w:val="center"/>
        <w:rPr>
          <w:rFonts w:eastAsia="Calibri"/>
          <w:b/>
          <w:sz w:val="32"/>
          <w:szCs w:val="32"/>
          <w:lang w:eastAsia="en-US"/>
        </w:rPr>
      </w:pPr>
      <w:r w:rsidRPr="00EF7305">
        <w:rPr>
          <w:rFonts w:eastAsia="Calibri"/>
          <w:b/>
          <w:sz w:val="32"/>
          <w:szCs w:val="32"/>
          <w:lang w:eastAsia="en-US"/>
        </w:rPr>
        <w:lastRenderedPageBreak/>
        <w:t>INTRODUCCIÓN</w:t>
      </w:r>
    </w:p>
    <w:p w14:paraId="0F2EC76D" w14:textId="77777777" w:rsidR="00EF7305" w:rsidRPr="00EF7305" w:rsidRDefault="00EF7305" w:rsidP="00EF7305">
      <w:pPr>
        <w:spacing w:line="360" w:lineRule="auto"/>
        <w:jc w:val="both"/>
        <w:rPr>
          <w:rFonts w:eastAsia="Calibri"/>
          <w:lang w:eastAsia="en-US"/>
        </w:rPr>
      </w:pPr>
      <w:r w:rsidRPr="00EF7305">
        <w:rPr>
          <w:rFonts w:eastAsia="Calibri"/>
          <w:lang w:eastAsia="en-US"/>
        </w:rPr>
        <w:t xml:space="preserve">Muchas plantas poseen efectos perjudiciales para la salud, no siempre del dominio público. Del 5 al 10 % de todas las exposiciones humanas que se consultan en los centros de información toxicológica incluyen plantas, sobre todo a los niños, y en los menores de 6 años de edad, se reporta el 80 % de los casos por estas </w:t>
      </w:r>
      <w:proofErr w:type="gramStart"/>
      <w:r w:rsidRPr="00EF7305">
        <w:rPr>
          <w:rFonts w:eastAsia="Calibri"/>
          <w:lang w:eastAsia="en-US"/>
        </w:rPr>
        <w:t>causas.</w:t>
      </w:r>
      <w:r w:rsidRPr="00EF7305">
        <w:rPr>
          <w:rFonts w:eastAsia="Calibri"/>
          <w:vertAlign w:val="superscript"/>
          <w:lang w:eastAsia="en-US"/>
        </w:rPr>
        <w:t>(</w:t>
      </w:r>
      <w:proofErr w:type="gramEnd"/>
      <w:r w:rsidRPr="00EF7305">
        <w:rPr>
          <w:rFonts w:eastAsia="Calibri"/>
          <w:vertAlign w:val="superscript"/>
          <w:lang w:eastAsia="en-US"/>
        </w:rPr>
        <w:t>1,2,3)</w:t>
      </w:r>
    </w:p>
    <w:p w14:paraId="10A56084" w14:textId="6E00A367" w:rsidR="00EF7305" w:rsidRPr="00EF7305" w:rsidRDefault="00EF7305" w:rsidP="00EF7305">
      <w:pPr>
        <w:spacing w:line="360" w:lineRule="auto"/>
        <w:jc w:val="both"/>
        <w:rPr>
          <w:rFonts w:eastAsia="Calibri"/>
          <w:vertAlign w:val="superscript"/>
          <w:lang w:eastAsia="en-US"/>
        </w:rPr>
      </w:pPr>
      <w:r w:rsidRPr="00EF7305">
        <w:rPr>
          <w:rFonts w:eastAsia="Calibri"/>
          <w:lang w:eastAsia="en-US"/>
        </w:rPr>
        <w:t xml:space="preserve">Dentro de estas plantas está la </w:t>
      </w:r>
      <w:r w:rsidRPr="00EF7305">
        <w:rPr>
          <w:rFonts w:eastAsia="Calibri"/>
          <w:i/>
          <w:iCs/>
          <w:lang w:eastAsia="en-US"/>
        </w:rPr>
        <w:t xml:space="preserve">Ficus </w:t>
      </w:r>
      <w:proofErr w:type="spellStart"/>
      <w:r w:rsidRPr="00EF7305">
        <w:rPr>
          <w:rFonts w:eastAsia="Calibri"/>
          <w:i/>
          <w:iCs/>
          <w:lang w:eastAsia="en-US"/>
        </w:rPr>
        <w:t>citrifolia</w:t>
      </w:r>
      <w:proofErr w:type="spellEnd"/>
      <w:r w:rsidRPr="00EF7305">
        <w:rPr>
          <w:rFonts w:eastAsia="Calibri"/>
          <w:lang w:eastAsia="en-US"/>
        </w:rPr>
        <w:t xml:space="preserve">, conocida como jagüey blanco (en español), </w:t>
      </w:r>
      <w:proofErr w:type="spellStart"/>
      <w:r w:rsidR="00F8146B" w:rsidRPr="00F8146B">
        <w:rPr>
          <w:rFonts w:eastAsia="Calibri"/>
          <w:i/>
          <w:iCs/>
          <w:lang w:eastAsia="en-US"/>
        </w:rPr>
        <w:t>S</w:t>
      </w:r>
      <w:r w:rsidRPr="00EF7305">
        <w:rPr>
          <w:rFonts w:eastAsia="Calibri"/>
          <w:i/>
          <w:iCs/>
          <w:lang w:eastAsia="en-US"/>
        </w:rPr>
        <w:t>hortleaf</w:t>
      </w:r>
      <w:proofErr w:type="spellEnd"/>
      <w:r w:rsidRPr="00EF7305">
        <w:rPr>
          <w:rFonts w:eastAsia="Calibri"/>
          <w:i/>
          <w:iCs/>
          <w:lang w:eastAsia="en-US"/>
        </w:rPr>
        <w:t xml:space="preserve"> </w:t>
      </w:r>
      <w:proofErr w:type="spellStart"/>
      <w:r w:rsidRPr="00EF7305">
        <w:rPr>
          <w:rFonts w:eastAsia="Calibri"/>
          <w:i/>
          <w:iCs/>
          <w:lang w:eastAsia="en-US"/>
        </w:rPr>
        <w:t>fig</w:t>
      </w:r>
      <w:proofErr w:type="spellEnd"/>
      <w:r w:rsidRPr="00EF7305">
        <w:rPr>
          <w:rFonts w:eastAsia="Calibri"/>
          <w:lang w:eastAsia="en-US"/>
        </w:rPr>
        <w:t xml:space="preserve"> (en inglés) y </w:t>
      </w:r>
      <w:proofErr w:type="spellStart"/>
      <w:r w:rsidRPr="00EF7305">
        <w:rPr>
          <w:rFonts w:eastAsia="Calibri"/>
          <w:i/>
          <w:iCs/>
          <w:lang w:eastAsia="en-US"/>
        </w:rPr>
        <w:t>bois</w:t>
      </w:r>
      <w:proofErr w:type="spellEnd"/>
      <w:r w:rsidRPr="00EF7305">
        <w:rPr>
          <w:rFonts w:eastAsia="Calibri"/>
          <w:i/>
          <w:iCs/>
          <w:lang w:eastAsia="en-US"/>
        </w:rPr>
        <w:t xml:space="preserve"> </w:t>
      </w:r>
      <w:proofErr w:type="spellStart"/>
      <w:r w:rsidRPr="00EF7305">
        <w:rPr>
          <w:rFonts w:eastAsia="Calibri"/>
          <w:i/>
          <w:iCs/>
          <w:lang w:eastAsia="en-US"/>
        </w:rPr>
        <w:t>laglu</w:t>
      </w:r>
      <w:proofErr w:type="spellEnd"/>
      <w:r w:rsidRPr="00EF7305">
        <w:rPr>
          <w:rFonts w:eastAsia="Calibri"/>
          <w:lang w:eastAsia="en-US"/>
        </w:rPr>
        <w:t xml:space="preserve"> (en francés) y otros nombres comunes según el área en la que se distribuye por las américas. Hay más de mil especies del género Ficus distribuidos por el mundo. Se utilizan generalmente con fines ornamentales, en la carpintería, como postes vivientes y árbol de </w:t>
      </w:r>
      <w:proofErr w:type="gramStart"/>
      <w:r w:rsidRPr="00EF7305">
        <w:rPr>
          <w:rFonts w:eastAsia="Calibri"/>
          <w:lang w:eastAsia="en-US"/>
        </w:rPr>
        <w:t>sombra.</w:t>
      </w:r>
      <w:r w:rsidRPr="00EF7305">
        <w:rPr>
          <w:rFonts w:eastAsia="Calibri"/>
          <w:vertAlign w:val="superscript"/>
          <w:lang w:eastAsia="en-US"/>
        </w:rPr>
        <w:t>(</w:t>
      </w:r>
      <w:proofErr w:type="gramEnd"/>
      <w:r w:rsidRPr="00EF7305">
        <w:rPr>
          <w:rFonts w:eastAsia="Calibri"/>
          <w:vertAlign w:val="superscript"/>
          <w:lang w:eastAsia="en-US"/>
        </w:rPr>
        <w:t xml:space="preserve">4,5,6) </w:t>
      </w:r>
      <w:r w:rsidRPr="00EF7305">
        <w:rPr>
          <w:rFonts w:eastAsia="Calibri"/>
          <w:lang w:eastAsia="en-US"/>
        </w:rPr>
        <w:t xml:space="preserve">Se distingue por su tronco vigoroso, grandes ramas y abundante follaje. Los frutos, flores, hojas y tallos, contienen una savia lechosa que puede provocar </w:t>
      </w:r>
      <w:proofErr w:type="gramStart"/>
      <w:r w:rsidRPr="00EF7305">
        <w:rPr>
          <w:rFonts w:eastAsia="Calibri"/>
          <w:lang w:eastAsia="en-US"/>
        </w:rPr>
        <w:t>irritación.</w:t>
      </w:r>
      <w:r w:rsidRPr="00EF7305">
        <w:rPr>
          <w:rFonts w:eastAsia="Calibri"/>
          <w:vertAlign w:val="superscript"/>
          <w:lang w:eastAsia="en-US"/>
        </w:rPr>
        <w:t>(</w:t>
      </w:r>
      <w:proofErr w:type="gramEnd"/>
      <w:r w:rsidRPr="00EF7305">
        <w:rPr>
          <w:rFonts w:eastAsia="Calibri"/>
          <w:vertAlign w:val="superscript"/>
          <w:lang w:eastAsia="en-US"/>
        </w:rPr>
        <w:t>7)</w:t>
      </w:r>
    </w:p>
    <w:p w14:paraId="3374591B" w14:textId="77777777" w:rsidR="00EF7305" w:rsidRPr="00EF7305" w:rsidRDefault="00EF7305" w:rsidP="00EF7305">
      <w:pPr>
        <w:spacing w:line="360" w:lineRule="auto"/>
        <w:jc w:val="both"/>
        <w:rPr>
          <w:rFonts w:eastAsia="Calibri"/>
          <w:lang w:eastAsia="en-US"/>
        </w:rPr>
      </w:pPr>
      <w:r w:rsidRPr="00EF7305">
        <w:rPr>
          <w:rFonts w:eastAsia="Calibri"/>
          <w:lang w:eastAsia="en-US"/>
        </w:rPr>
        <w:t xml:space="preserve">El trabajo presenta un caso consultado en la guardia del servicio de Pediatría del Hospital General Docente “Mártires del 9 de abril” de la Provincia Villa Clara, Cuba, con el objetivo de mostrar el cuadro clínico ocasionado por la exposición a la savia del jagüey blanco, de escaso reporte.  </w:t>
      </w:r>
    </w:p>
    <w:p w14:paraId="118B40A5" w14:textId="77777777" w:rsidR="00EF7305" w:rsidRPr="00EF7305" w:rsidRDefault="00EF7305" w:rsidP="00EF7305">
      <w:pPr>
        <w:spacing w:line="360" w:lineRule="auto"/>
        <w:jc w:val="both"/>
        <w:rPr>
          <w:rFonts w:eastAsia="Calibri"/>
          <w:b/>
          <w:lang w:eastAsia="en-US"/>
        </w:rPr>
      </w:pPr>
    </w:p>
    <w:p w14:paraId="263BB9A2" w14:textId="77777777" w:rsidR="00EF7305" w:rsidRPr="00EF7305" w:rsidRDefault="00EF7305" w:rsidP="00EF7305">
      <w:pPr>
        <w:spacing w:line="360" w:lineRule="auto"/>
        <w:jc w:val="both"/>
        <w:rPr>
          <w:rFonts w:eastAsia="Calibri"/>
          <w:b/>
          <w:lang w:eastAsia="en-US"/>
        </w:rPr>
      </w:pPr>
    </w:p>
    <w:p w14:paraId="5C4D3E76" w14:textId="77777777" w:rsidR="00EF7305" w:rsidRPr="00EF7305" w:rsidRDefault="00EF7305" w:rsidP="00EF7305">
      <w:pPr>
        <w:spacing w:line="360" w:lineRule="auto"/>
        <w:jc w:val="center"/>
        <w:rPr>
          <w:rFonts w:eastAsia="Calibri"/>
          <w:b/>
          <w:sz w:val="32"/>
          <w:szCs w:val="32"/>
          <w:lang w:eastAsia="en-US"/>
        </w:rPr>
      </w:pPr>
      <w:r w:rsidRPr="00EF7305">
        <w:rPr>
          <w:rFonts w:eastAsia="Calibri"/>
          <w:b/>
          <w:sz w:val="32"/>
          <w:szCs w:val="32"/>
          <w:lang w:eastAsia="en-US"/>
        </w:rPr>
        <w:t>CASO CLÍNICO</w:t>
      </w:r>
    </w:p>
    <w:p w14:paraId="1A622111" w14:textId="77777777" w:rsidR="00EF7305" w:rsidRPr="00EF7305" w:rsidRDefault="00EF7305" w:rsidP="00EF7305">
      <w:pPr>
        <w:spacing w:line="360" w:lineRule="auto"/>
        <w:jc w:val="both"/>
        <w:rPr>
          <w:rFonts w:eastAsia="Calibri"/>
          <w:lang w:eastAsia="en-US"/>
        </w:rPr>
      </w:pPr>
      <w:r w:rsidRPr="00EF7305">
        <w:rPr>
          <w:rFonts w:eastAsia="Calibri"/>
          <w:lang w:eastAsia="en-US"/>
        </w:rPr>
        <w:t>Paciente masculino de 8 años de edad, con antecedentes de salud, que acude al cuerpo de guardia del hospital por presentar en ambas manos, dolor intenso, quemante, de 3 horas de evolución, asociado a prurito.</w:t>
      </w:r>
    </w:p>
    <w:p w14:paraId="419B47BE" w14:textId="77777777" w:rsidR="00EF7305" w:rsidRPr="00EF7305" w:rsidRDefault="00EF7305" w:rsidP="00EF7305">
      <w:pPr>
        <w:spacing w:line="360" w:lineRule="auto"/>
        <w:jc w:val="both"/>
        <w:rPr>
          <w:rFonts w:eastAsia="Calibri"/>
          <w:lang w:eastAsia="en-US"/>
        </w:rPr>
      </w:pPr>
      <w:r w:rsidRPr="00EF7305">
        <w:rPr>
          <w:rFonts w:eastAsia="Calibri"/>
          <w:lang w:eastAsia="en-US"/>
        </w:rPr>
        <w:t xml:space="preserve">Al examen físico de la piel: de manera localizada, en ambas manos, a nivel palmar, eritema rosado claro, que desaparecía a la </w:t>
      </w:r>
      <w:proofErr w:type="spellStart"/>
      <w:r w:rsidRPr="00EF7305">
        <w:rPr>
          <w:rFonts w:eastAsia="Calibri"/>
          <w:lang w:eastAsia="en-US"/>
        </w:rPr>
        <w:t>diascopía</w:t>
      </w:r>
      <w:proofErr w:type="spellEnd"/>
      <w:r w:rsidRPr="00EF7305">
        <w:rPr>
          <w:rFonts w:eastAsia="Calibri"/>
          <w:lang w:eastAsia="en-US"/>
        </w:rPr>
        <w:t>. En el dorso y espacios interdigitales el eritema era más intenso, más rojo, con inflamación, que afectaba tanto la epidermis como la dermis y dolorosa al tacto; los folículos pilosebáceos estaban conservados.</w:t>
      </w:r>
    </w:p>
    <w:p w14:paraId="7D1C1132" w14:textId="77777777" w:rsidR="00EF7305" w:rsidRPr="00EF7305" w:rsidRDefault="00EF7305" w:rsidP="00EF7305">
      <w:pPr>
        <w:spacing w:line="360" w:lineRule="auto"/>
        <w:jc w:val="both"/>
        <w:rPr>
          <w:rFonts w:eastAsia="Calibri"/>
          <w:lang w:eastAsia="en-US"/>
        </w:rPr>
      </w:pPr>
      <w:r w:rsidRPr="00EF7305">
        <w:rPr>
          <w:rFonts w:eastAsia="Calibri"/>
          <w:lang w:eastAsia="en-US"/>
        </w:rPr>
        <w:t xml:space="preserve">En el dorso de la mano derecha, presentó lesiones elevadas, palpables, bien circunscritas, con contenido líquido seroso en su interior, que constituían verdaderas ampollas, de 2 y 1 centímetros de diámetro, en región tenar y espacio interdigital, entre el segundo y tercer dedo. Al día siguiente, la ampolla de la región tenar derecha, creció hasta ocupar prácticamente todo el dorso de la mano y a la de la mano izquierda, se adicionó una ampolla de 1 cm, sobre la base </w:t>
      </w:r>
      <w:proofErr w:type="spellStart"/>
      <w:r w:rsidRPr="00EF7305">
        <w:rPr>
          <w:rFonts w:eastAsia="Calibri"/>
          <w:lang w:eastAsia="en-US"/>
        </w:rPr>
        <w:t>eritematovesicular</w:t>
      </w:r>
      <w:proofErr w:type="spellEnd"/>
      <w:r w:rsidRPr="00EF7305">
        <w:rPr>
          <w:rFonts w:eastAsia="Calibri"/>
          <w:lang w:eastAsia="en-US"/>
        </w:rPr>
        <w:t xml:space="preserve">, exudativa e hiperémica. </w:t>
      </w:r>
    </w:p>
    <w:p w14:paraId="38CCAED0" w14:textId="77777777" w:rsidR="00EF7305" w:rsidRPr="00EF7305" w:rsidRDefault="00EF7305" w:rsidP="00EF7305">
      <w:pPr>
        <w:spacing w:line="360" w:lineRule="auto"/>
        <w:jc w:val="both"/>
        <w:rPr>
          <w:rFonts w:eastAsia="Calibri"/>
          <w:lang w:eastAsia="en-US"/>
        </w:rPr>
      </w:pPr>
      <w:r w:rsidRPr="00EF7305">
        <w:rPr>
          <w:rFonts w:eastAsia="Calibri"/>
          <w:lang w:eastAsia="en-US"/>
        </w:rPr>
        <w:lastRenderedPageBreak/>
        <w:t>Al llegar al cuerpo de guardia, se realizó la evaluación inicial (vía área, sistema respiratorio, circulatorio, neurológico), lavado del área afectada con abundante agua para arrastrar los residuos del irritante.</w:t>
      </w:r>
    </w:p>
    <w:p w14:paraId="1F5B40F3" w14:textId="77777777" w:rsidR="00EF7305" w:rsidRPr="00EF7305" w:rsidRDefault="00EF7305" w:rsidP="00EF7305">
      <w:pPr>
        <w:spacing w:line="360" w:lineRule="auto"/>
        <w:jc w:val="both"/>
        <w:rPr>
          <w:rFonts w:eastAsia="Calibri"/>
          <w:lang w:eastAsia="en-US"/>
        </w:rPr>
      </w:pPr>
      <w:r w:rsidRPr="00EF7305">
        <w:rPr>
          <w:rFonts w:eastAsia="Calibri"/>
          <w:lang w:eastAsia="en-US"/>
        </w:rPr>
        <w:t xml:space="preserve">Se conoció que unas horas antes del inicio de los síntomas, el niño jugó con la sustancia gelatinosa que desprendían los frutos del árbol, identificado como jagüey blanco. </w:t>
      </w:r>
    </w:p>
    <w:p w14:paraId="0AD76686" w14:textId="77777777" w:rsidR="00EF7305" w:rsidRPr="00EF7305" w:rsidRDefault="00EF7305" w:rsidP="00EF7305">
      <w:pPr>
        <w:spacing w:line="360" w:lineRule="auto"/>
        <w:jc w:val="both"/>
        <w:rPr>
          <w:rFonts w:eastAsia="Calibri"/>
          <w:lang w:eastAsia="en-US"/>
        </w:rPr>
      </w:pPr>
      <w:r w:rsidRPr="00EF7305">
        <w:rPr>
          <w:rFonts w:eastAsia="Calibri"/>
          <w:lang w:eastAsia="en-US"/>
        </w:rPr>
        <w:t xml:space="preserve">Al clasificar la lesión como dermatitis de contacto irritativa, que tiene las características de una quemadura menor, se determinó el tratamiento a seguir. Las ampollas intactas, grandes y las dolorosas, fueron desbridadas el segundo día. Se cubrieron las lesiones con vendaje de gasa estéril, combinado con </w:t>
      </w:r>
      <w:proofErr w:type="spellStart"/>
      <w:r w:rsidRPr="00EF7305">
        <w:rPr>
          <w:rFonts w:eastAsia="Calibri"/>
          <w:lang w:eastAsia="en-US"/>
        </w:rPr>
        <w:t>nitrofurazona</w:t>
      </w:r>
      <w:proofErr w:type="spellEnd"/>
      <w:r w:rsidRPr="00EF7305">
        <w:rPr>
          <w:rFonts w:eastAsia="Calibri"/>
          <w:lang w:eastAsia="en-US"/>
        </w:rPr>
        <w:t xml:space="preserve"> en crema, con cambio diario.</w:t>
      </w:r>
    </w:p>
    <w:p w14:paraId="0484D7A8" w14:textId="77777777" w:rsidR="00EF7305" w:rsidRPr="00EF7305" w:rsidRDefault="00EF7305" w:rsidP="00EF7305">
      <w:pPr>
        <w:spacing w:line="360" w:lineRule="auto"/>
        <w:jc w:val="both"/>
        <w:rPr>
          <w:rFonts w:eastAsia="Calibri"/>
          <w:lang w:eastAsia="en-US"/>
        </w:rPr>
      </w:pPr>
      <w:r w:rsidRPr="00EF7305">
        <w:rPr>
          <w:rFonts w:eastAsia="Calibri"/>
          <w:lang w:eastAsia="en-US"/>
        </w:rPr>
        <w:t xml:space="preserve">Como analgesia se utilizó paracetamol oral, una tableta de 500 mg (a 15 mg/kg/dosis), cada 8 horas, por 5 días, si dolor. Para el prurito se utilizó 1 </w:t>
      </w:r>
      <w:proofErr w:type="spellStart"/>
      <w:r w:rsidRPr="00EF7305">
        <w:rPr>
          <w:rFonts w:eastAsia="Calibri"/>
          <w:lang w:eastAsia="en-US"/>
        </w:rPr>
        <w:t>ámp</w:t>
      </w:r>
      <w:proofErr w:type="spellEnd"/>
      <w:r w:rsidRPr="00EF7305">
        <w:rPr>
          <w:rFonts w:eastAsia="Calibri"/>
          <w:lang w:eastAsia="en-US"/>
        </w:rPr>
        <w:t xml:space="preserve">. de 20 mg de difenhidramina (a dosis de 1,25 mg/kg de peso) por vía i.m. y mantener por v.o., una tableta de 25 mg cada 8 h, por 5 días. Se aplicó lavado diario con suero fisiológico y luego </w:t>
      </w:r>
      <w:proofErr w:type="spellStart"/>
      <w:r w:rsidRPr="00EF7305">
        <w:rPr>
          <w:rFonts w:eastAsia="Calibri"/>
          <w:lang w:eastAsia="en-US"/>
        </w:rPr>
        <w:t>nitrofurazona</w:t>
      </w:r>
      <w:proofErr w:type="spellEnd"/>
      <w:r w:rsidRPr="00EF7305">
        <w:rPr>
          <w:rFonts w:eastAsia="Calibri"/>
          <w:lang w:eastAsia="en-US"/>
        </w:rPr>
        <w:t xml:space="preserve"> en crema, además de medidas higiénicas.</w:t>
      </w:r>
    </w:p>
    <w:p w14:paraId="77520B9D" w14:textId="77777777" w:rsidR="00EF7305" w:rsidRPr="00EF7305" w:rsidRDefault="00EF7305" w:rsidP="00EF7305">
      <w:pPr>
        <w:spacing w:line="360" w:lineRule="auto"/>
        <w:jc w:val="both"/>
        <w:rPr>
          <w:rFonts w:eastAsia="Calibri"/>
          <w:lang w:eastAsia="en-US"/>
        </w:rPr>
      </w:pPr>
      <w:r w:rsidRPr="00EF7305">
        <w:rPr>
          <w:rFonts w:eastAsia="Calibri"/>
          <w:lang w:eastAsia="en-US"/>
        </w:rPr>
        <w:t>Se realizó seguimiento diario por el médico de familia y en el hospital a la semana. A los 10 días el cuadro había resuelto completamente.</w:t>
      </w:r>
    </w:p>
    <w:p w14:paraId="21948018" w14:textId="77777777" w:rsidR="00EF7305" w:rsidRPr="00EF7305" w:rsidRDefault="00EF7305" w:rsidP="00EF7305">
      <w:pPr>
        <w:spacing w:line="360" w:lineRule="auto"/>
        <w:jc w:val="both"/>
        <w:rPr>
          <w:rFonts w:eastAsia="Calibri"/>
          <w:b/>
          <w:lang w:eastAsia="en-US"/>
        </w:rPr>
      </w:pPr>
    </w:p>
    <w:p w14:paraId="5902EE83" w14:textId="77777777" w:rsidR="00EF7305" w:rsidRPr="00EF7305" w:rsidRDefault="00EF7305" w:rsidP="00EF7305">
      <w:pPr>
        <w:spacing w:line="360" w:lineRule="auto"/>
        <w:jc w:val="both"/>
        <w:rPr>
          <w:rFonts w:eastAsia="Calibri"/>
          <w:b/>
          <w:lang w:eastAsia="en-US"/>
        </w:rPr>
      </w:pPr>
    </w:p>
    <w:p w14:paraId="6084F09A" w14:textId="77777777" w:rsidR="00EF7305" w:rsidRPr="00EF7305" w:rsidRDefault="00EF7305" w:rsidP="00EF7305">
      <w:pPr>
        <w:spacing w:line="360" w:lineRule="auto"/>
        <w:jc w:val="center"/>
        <w:rPr>
          <w:rFonts w:eastAsia="Calibri"/>
          <w:b/>
          <w:sz w:val="32"/>
          <w:szCs w:val="32"/>
          <w:lang w:eastAsia="en-US"/>
        </w:rPr>
      </w:pPr>
      <w:r w:rsidRPr="00EF7305">
        <w:rPr>
          <w:rFonts w:eastAsia="Calibri"/>
          <w:b/>
          <w:sz w:val="32"/>
          <w:szCs w:val="32"/>
          <w:lang w:eastAsia="en-US"/>
        </w:rPr>
        <w:t>COMENTARIOS</w:t>
      </w:r>
    </w:p>
    <w:p w14:paraId="670F3C0E" w14:textId="77777777" w:rsidR="00EF7305" w:rsidRPr="00EF7305" w:rsidRDefault="00EF7305" w:rsidP="00EF7305">
      <w:pPr>
        <w:spacing w:line="360" w:lineRule="auto"/>
        <w:jc w:val="both"/>
        <w:rPr>
          <w:rFonts w:eastAsia="Calibri"/>
          <w:lang w:eastAsia="en-US"/>
        </w:rPr>
      </w:pPr>
      <w:r w:rsidRPr="00EF7305">
        <w:rPr>
          <w:rFonts w:eastAsia="Calibri"/>
          <w:lang w:eastAsia="en-US"/>
        </w:rPr>
        <w:t xml:space="preserve">La savia del fruto del jagüey blanco contiene sustancias irritantes, como el látex y las </w:t>
      </w:r>
      <w:proofErr w:type="spellStart"/>
      <w:r w:rsidRPr="00EF7305">
        <w:rPr>
          <w:rFonts w:eastAsia="Calibri"/>
          <w:lang w:eastAsia="en-US"/>
        </w:rPr>
        <w:t>furacumarinas</w:t>
      </w:r>
      <w:proofErr w:type="spellEnd"/>
      <w:r w:rsidRPr="00EF7305">
        <w:rPr>
          <w:rFonts w:eastAsia="Calibri"/>
          <w:lang w:eastAsia="en-US"/>
        </w:rPr>
        <w:t xml:space="preserve">, actúa de manera agresiva como agente químico exógeno, con daño directo sobre las células cutáneas en los sitios de contacto, aumento de la permeabilidad capilar y vasodilatación del área. En este caso, causó una dermatitis de contacto por irritación y como el daño fue grave y de aparición inmediata, se consideró una </w:t>
      </w:r>
      <w:proofErr w:type="gramStart"/>
      <w:r w:rsidRPr="00EF7305">
        <w:rPr>
          <w:rFonts w:eastAsia="Calibri"/>
          <w:lang w:eastAsia="en-US"/>
        </w:rPr>
        <w:t>quemadura.</w:t>
      </w:r>
      <w:r w:rsidRPr="00EF7305">
        <w:rPr>
          <w:rFonts w:eastAsia="Calibri"/>
          <w:vertAlign w:val="superscript"/>
          <w:lang w:eastAsia="en-US"/>
        </w:rPr>
        <w:t>(</w:t>
      </w:r>
      <w:proofErr w:type="gramEnd"/>
      <w:r w:rsidRPr="00EF7305">
        <w:rPr>
          <w:rFonts w:eastAsia="Calibri"/>
          <w:vertAlign w:val="superscript"/>
          <w:lang w:eastAsia="en-US"/>
        </w:rPr>
        <w:t>1,7,8,9,10,11)</w:t>
      </w:r>
      <w:r w:rsidRPr="00EF7305">
        <w:rPr>
          <w:rFonts w:eastAsia="Calibri"/>
          <w:lang w:eastAsia="en-US"/>
        </w:rPr>
        <w:t xml:space="preserve"> Esta quemadura química, fue de segundo grado, superficial o de espesor parcial superficial, de pequeña extensión, según los criterios vigentes.</w:t>
      </w:r>
      <w:r w:rsidRPr="00EF7305">
        <w:rPr>
          <w:rFonts w:eastAsia="Calibri"/>
          <w:vertAlign w:val="superscript"/>
          <w:lang w:eastAsia="en-US"/>
        </w:rPr>
        <w:t>(12)</w:t>
      </w:r>
      <w:r w:rsidRPr="00EF7305">
        <w:rPr>
          <w:rFonts w:eastAsia="Calibri"/>
          <w:lang w:eastAsia="en-US"/>
        </w:rPr>
        <w:t xml:space="preserve"> </w:t>
      </w:r>
    </w:p>
    <w:p w14:paraId="4E7FC571" w14:textId="77777777" w:rsidR="00EF7305" w:rsidRPr="00EF7305" w:rsidRDefault="00EF7305" w:rsidP="00EF7305">
      <w:pPr>
        <w:spacing w:line="360" w:lineRule="auto"/>
        <w:jc w:val="both"/>
        <w:rPr>
          <w:rFonts w:eastAsia="Calibri"/>
          <w:vertAlign w:val="superscript"/>
          <w:lang w:eastAsia="en-US"/>
        </w:rPr>
      </w:pPr>
      <w:r w:rsidRPr="00EF7305">
        <w:rPr>
          <w:rFonts w:eastAsia="Calibri"/>
          <w:lang w:eastAsia="en-US"/>
        </w:rPr>
        <w:t xml:space="preserve">Fueron descartados otros irritantes, al no tener contacto el paciente, con ningún ácido ni álcalis, jabones ni detergentes industriales. No se plantean otras dermatitis de contacto, como las alérgicas y las fotodinámicas. Si bien el látex puede desencadenar respuestas inmunológicas tipo I y IV, estas no son tan inmediatas como en este caso, sino son de sensibilidad retardada, menos frecuentes en los niños y requieren de contactos previos sensibilizantes repetidos y por mayor tiempo; por otro lado, en las fotodinámicas, interviene la luz en el mecanismo de agresión de la </w:t>
      </w:r>
      <w:proofErr w:type="gramStart"/>
      <w:r w:rsidRPr="00EF7305">
        <w:rPr>
          <w:rFonts w:eastAsia="Calibri"/>
          <w:lang w:eastAsia="en-US"/>
        </w:rPr>
        <w:t>piel.</w:t>
      </w:r>
      <w:r w:rsidRPr="00EF7305">
        <w:rPr>
          <w:rFonts w:eastAsia="Calibri"/>
          <w:vertAlign w:val="superscript"/>
          <w:lang w:eastAsia="en-US"/>
        </w:rPr>
        <w:t>(</w:t>
      </w:r>
      <w:proofErr w:type="gramEnd"/>
      <w:r w:rsidRPr="00EF7305">
        <w:rPr>
          <w:rFonts w:eastAsia="Calibri"/>
          <w:vertAlign w:val="superscript"/>
          <w:lang w:eastAsia="en-US"/>
        </w:rPr>
        <w:t>8,13)</w:t>
      </w:r>
    </w:p>
    <w:p w14:paraId="16C67085" w14:textId="77777777" w:rsidR="00EF7305" w:rsidRPr="00EF7305" w:rsidRDefault="00EF7305" w:rsidP="00EF7305">
      <w:pPr>
        <w:spacing w:line="360" w:lineRule="auto"/>
        <w:jc w:val="both"/>
        <w:rPr>
          <w:rFonts w:eastAsia="Calibri"/>
          <w:lang w:eastAsia="en-US"/>
        </w:rPr>
      </w:pPr>
      <w:r w:rsidRPr="00EF7305">
        <w:rPr>
          <w:rFonts w:eastAsia="Calibri"/>
          <w:lang w:eastAsia="en-US"/>
        </w:rPr>
        <w:lastRenderedPageBreak/>
        <w:t xml:space="preserve">En otros casos, ha causado lesiones de la mucosa bucal, faríngea, esofágica y gástrica, o en los ojos: conjuntivitis, lesiones corneales, con pérdida parcial de la </w:t>
      </w:r>
      <w:proofErr w:type="gramStart"/>
      <w:r w:rsidRPr="00EF7305">
        <w:rPr>
          <w:rFonts w:eastAsia="Calibri"/>
          <w:lang w:eastAsia="en-US"/>
        </w:rPr>
        <w:t>visión.</w:t>
      </w:r>
      <w:r w:rsidRPr="00EF7305">
        <w:rPr>
          <w:rFonts w:eastAsia="Calibri"/>
          <w:vertAlign w:val="superscript"/>
          <w:lang w:eastAsia="en-US"/>
        </w:rPr>
        <w:t>(</w:t>
      </w:r>
      <w:proofErr w:type="gramEnd"/>
      <w:r w:rsidRPr="00EF7305">
        <w:rPr>
          <w:rFonts w:eastAsia="Calibri"/>
          <w:vertAlign w:val="superscript"/>
          <w:lang w:eastAsia="en-US"/>
        </w:rPr>
        <w:t>1)</w:t>
      </w:r>
    </w:p>
    <w:p w14:paraId="55D76A71" w14:textId="77777777" w:rsidR="00EF7305" w:rsidRPr="00EF7305" w:rsidRDefault="00EF7305" w:rsidP="00EF7305">
      <w:pPr>
        <w:spacing w:line="360" w:lineRule="auto"/>
        <w:jc w:val="both"/>
        <w:rPr>
          <w:rFonts w:eastAsia="Calibri"/>
          <w:vertAlign w:val="superscript"/>
          <w:lang w:eastAsia="en-US"/>
        </w:rPr>
      </w:pPr>
      <w:r w:rsidRPr="00EF7305">
        <w:rPr>
          <w:rFonts w:eastAsia="Calibri"/>
          <w:lang w:eastAsia="en-US"/>
        </w:rPr>
        <w:t>A este paciente se manejó según lo protocolizado para la atención pediátrica.</w:t>
      </w:r>
      <w:r w:rsidRPr="00EF7305">
        <w:rPr>
          <w:rFonts w:eastAsia="Calibri"/>
          <w:vertAlign w:val="superscript"/>
          <w:lang w:eastAsia="en-US"/>
        </w:rPr>
        <w:t xml:space="preserve"> </w:t>
      </w:r>
      <w:r w:rsidRPr="00EF7305">
        <w:rPr>
          <w:rFonts w:eastAsia="Calibri"/>
          <w:lang w:eastAsia="en-US"/>
        </w:rPr>
        <w:t>No requirió reposición hidroelectrolítica, ni antibioticoterapia sistémica profiláctica, así como tampoco corticoides tópicos (puede dificultar la cicatrización y favorecer la sobreinfección</w:t>
      </w:r>
      <w:proofErr w:type="gramStart"/>
      <w:r w:rsidRPr="00EF7305">
        <w:rPr>
          <w:rFonts w:eastAsia="Calibri"/>
          <w:lang w:eastAsia="en-US"/>
        </w:rPr>
        <w:t>).</w:t>
      </w:r>
      <w:r w:rsidRPr="00EF7305">
        <w:rPr>
          <w:rFonts w:eastAsia="Calibri"/>
          <w:vertAlign w:val="superscript"/>
          <w:lang w:eastAsia="en-US"/>
        </w:rPr>
        <w:t>(</w:t>
      </w:r>
      <w:proofErr w:type="gramEnd"/>
      <w:r w:rsidRPr="00EF7305">
        <w:rPr>
          <w:rFonts w:eastAsia="Calibri"/>
          <w:vertAlign w:val="superscript"/>
          <w:lang w:eastAsia="en-US"/>
        </w:rPr>
        <w:t>12)</w:t>
      </w:r>
    </w:p>
    <w:p w14:paraId="441B5FDF" w14:textId="77777777" w:rsidR="00EF7305" w:rsidRPr="00EF7305" w:rsidRDefault="00EF7305" w:rsidP="00EF7305">
      <w:pPr>
        <w:spacing w:line="360" w:lineRule="auto"/>
        <w:jc w:val="both"/>
        <w:rPr>
          <w:rFonts w:eastAsia="Calibri"/>
          <w:lang w:eastAsia="en-US"/>
        </w:rPr>
      </w:pPr>
      <w:r w:rsidRPr="00EF7305">
        <w:rPr>
          <w:rFonts w:eastAsia="Calibri"/>
          <w:lang w:eastAsia="en-US"/>
        </w:rPr>
        <w:t xml:space="preserve">El vendaje debe ser en combinación con antimicrobianos tópicos, el más utilizado es la sulfadiazina argéntica al 0,5-1 % (no se utiliza en niños menores de 2 meses), aunque también puede utilizarse nitrato de plata al 0,5 %, neomicina, </w:t>
      </w:r>
      <w:proofErr w:type="spellStart"/>
      <w:r w:rsidRPr="00EF7305">
        <w:rPr>
          <w:rFonts w:eastAsia="Calibri"/>
          <w:lang w:eastAsia="en-US"/>
        </w:rPr>
        <w:t>nitrofurazona</w:t>
      </w:r>
      <w:proofErr w:type="spellEnd"/>
      <w:r w:rsidRPr="00EF7305">
        <w:rPr>
          <w:rFonts w:eastAsia="Calibri"/>
          <w:lang w:eastAsia="en-US"/>
        </w:rPr>
        <w:t xml:space="preserve"> (como en este caso), bacitracina u </w:t>
      </w:r>
      <w:proofErr w:type="gramStart"/>
      <w:r w:rsidRPr="00EF7305">
        <w:rPr>
          <w:rFonts w:eastAsia="Calibri"/>
          <w:lang w:eastAsia="en-US"/>
        </w:rPr>
        <w:t>otros.</w:t>
      </w:r>
      <w:r w:rsidRPr="00EF7305">
        <w:rPr>
          <w:rFonts w:eastAsia="Calibri"/>
          <w:vertAlign w:val="superscript"/>
          <w:lang w:eastAsia="en-US"/>
        </w:rPr>
        <w:t>(</w:t>
      </w:r>
      <w:proofErr w:type="gramEnd"/>
      <w:r w:rsidRPr="00EF7305">
        <w:rPr>
          <w:rFonts w:eastAsia="Calibri"/>
          <w:vertAlign w:val="superscript"/>
          <w:lang w:eastAsia="en-US"/>
        </w:rPr>
        <w:t>12)</w:t>
      </w:r>
      <w:r w:rsidRPr="00EF7305">
        <w:rPr>
          <w:rFonts w:eastAsia="Calibri"/>
          <w:lang w:eastAsia="en-US"/>
        </w:rPr>
        <w:t xml:space="preserve"> </w:t>
      </w:r>
    </w:p>
    <w:p w14:paraId="6939BA49" w14:textId="77777777" w:rsidR="00EF7305" w:rsidRPr="00EF7305" w:rsidRDefault="00EF7305" w:rsidP="00EF7305">
      <w:pPr>
        <w:spacing w:line="360" w:lineRule="auto"/>
        <w:jc w:val="both"/>
        <w:rPr>
          <w:rFonts w:eastAsia="Calibri"/>
          <w:lang w:eastAsia="en-US"/>
        </w:rPr>
      </w:pPr>
      <w:r w:rsidRPr="00EF7305">
        <w:rPr>
          <w:rFonts w:eastAsia="Calibri"/>
          <w:lang w:eastAsia="en-US"/>
        </w:rPr>
        <w:t xml:space="preserve">En la figura 1 se muestran las manos del paciente a su llegada al cuerpo de guardia, al día siguiente y al décimo día. Este paciente presentó una dermatitis, de contacto, del tipo irritativa, considerada una quemadura, al poner en contacto con la savia del jagüey blanco, que actuó como agente químico exógeno nocivo y requirió de tratamiento médico con el que se logró una evolución satisfactoria, se </w:t>
      </w:r>
      <w:proofErr w:type="spellStart"/>
      <w:r w:rsidRPr="00EF7305">
        <w:rPr>
          <w:rFonts w:eastAsia="Calibri"/>
          <w:lang w:eastAsia="en-US"/>
        </w:rPr>
        <w:t>reepitelió</w:t>
      </w:r>
      <w:proofErr w:type="spellEnd"/>
      <w:r w:rsidRPr="00EF7305">
        <w:rPr>
          <w:rFonts w:eastAsia="Calibri"/>
          <w:lang w:eastAsia="en-US"/>
        </w:rPr>
        <w:t xml:space="preserve"> toda la zona afectada, sin complicaciones. </w:t>
      </w:r>
    </w:p>
    <w:p w14:paraId="66AC7F46" w14:textId="77777777" w:rsidR="00EF7305" w:rsidRPr="00EF7305" w:rsidRDefault="00EF7305" w:rsidP="00EF7305">
      <w:pPr>
        <w:spacing w:line="360" w:lineRule="auto"/>
        <w:jc w:val="both"/>
        <w:rPr>
          <w:rFonts w:eastAsia="Calibri"/>
          <w:lang w:eastAsia="en-US"/>
        </w:rPr>
      </w:pPr>
    </w:p>
    <w:p w14:paraId="029B8AD5" w14:textId="68653D1F" w:rsidR="00EF7305" w:rsidRPr="00EF7305" w:rsidRDefault="00EF7305" w:rsidP="00EF7305">
      <w:pPr>
        <w:spacing w:line="360" w:lineRule="auto"/>
        <w:jc w:val="center"/>
        <w:rPr>
          <w:rFonts w:eastAsia="Calibri"/>
          <w:lang w:eastAsia="en-US"/>
        </w:rPr>
      </w:pPr>
      <w:r w:rsidRPr="00EF7305">
        <w:rPr>
          <w:rFonts w:eastAsia="Calibri"/>
          <w:noProof/>
          <w:lang w:eastAsia="en-US"/>
        </w:rPr>
        <w:drawing>
          <wp:inline distT="0" distB="0" distL="0" distR="0" wp14:anchorId="7FF3F02C" wp14:editId="022F3732">
            <wp:extent cx="4324350" cy="2590800"/>
            <wp:effectExtent l="0" t="0" r="0" b="0"/>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24350" cy="2590800"/>
                    </a:xfrm>
                    <a:prstGeom prst="rect">
                      <a:avLst/>
                    </a:prstGeom>
                    <a:noFill/>
                    <a:ln>
                      <a:noFill/>
                    </a:ln>
                  </pic:spPr>
                </pic:pic>
              </a:graphicData>
            </a:graphic>
          </wp:inline>
        </w:drawing>
      </w:r>
    </w:p>
    <w:p w14:paraId="2429BE29" w14:textId="77777777" w:rsidR="00EF7305" w:rsidRPr="00EF7305" w:rsidRDefault="00EF7305" w:rsidP="00EF7305">
      <w:pPr>
        <w:spacing w:line="360" w:lineRule="auto"/>
        <w:ind w:left="708"/>
        <w:jc w:val="center"/>
        <w:rPr>
          <w:rFonts w:eastAsia="Calibri"/>
          <w:sz w:val="22"/>
          <w:szCs w:val="22"/>
          <w:lang w:eastAsia="en-US"/>
        </w:rPr>
      </w:pPr>
      <w:r w:rsidRPr="00EF7305">
        <w:rPr>
          <w:rFonts w:eastAsia="Calibri"/>
          <w:b/>
          <w:bCs/>
          <w:sz w:val="22"/>
          <w:szCs w:val="22"/>
          <w:lang w:eastAsia="en-US"/>
        </w:rPr>
        <w:t>Fig. 1 –</w:t>
      </w:r>
      <w:r w:rsidRPr="00EF7305">
        <w:rPr>
          <w:rFonts w:eastAsia="Calibri"/>
          <w:sz w:val="22"/>
          <w:szCs w:val="22"/>
          <w:lang w:eastAsia="en-US"/>
        </w:rPr>
        <w:t xml:space="preserve"> A y B: manos del paciente a la llegada al cuerpo de guardia. C: a las 24 horas del inicio de los síntomas. D: a los 10 días de evolución.</w:t>
      </w:r>
    </w:p>
    <w:p w14:paraId="7070E7E3" w14:textId="77777777" w:rsidR="00EF7305" w:rsidRPr="00EF7305" w:rsidRDefault="00EF7305" w:rsidP="00EF7305">
      <w:pPr>
        <w:spacing w:line="360" w:lineRule="auto"/>
        <w:jc w:val="both"/>
        <w:rPr>
          <w:rFonts w:eastAsia="Calibri"/>
          <w:lang w:eastAsia="en-US"/>
        </w:rPr>
      </w:pPr>
    </w:p>
    <w:p w14:paraId="367CDAC3" w14:textId="77777777" w:rsidR="00EF7305" w:rsidRPr="00EF7305" w:rsidRDefault="00EF7305" w:rsidP="00EF7305">
      <w:pPr>
        <w:spacing w:line="360" w:lineRule="auto"/>
        <w:jc w:val="center"/>
        <w:rPr>
          <w:rFonts w:eastAsia="Calibri"/>
          <w:b/>
          <w:lang w:eastAsia="en-US"/>
        </w:rPr>
      </w:pPr>
    </w:p>
    <w:p w14:paraId="0083E379" w14:textId="77777777" w:rsidR="005E0DCE" w:rsidRDefault="005E0DCE">
      <w:pPr>
        <w:rPr>
          <w:rFonts w:eastAsia="Calibri"/>
          <w:b/>
          <w:sz w:val="32"/>
          <w:szCs w:val="32"/>
          <w:lang w:eastAsia="en-US"/>
        </w:rPr>
      </w:pPr>
      <w:r>
        <w:rPr>
          <w:rFonts w:eastAsia="Calibri"/>
          <w:b/>
          <w:sz w:val="32"/>
          <w:szCs w:val="32"/>
          <w:lang w:eastAsia="en-US"/>
        </w:rPr>
        <w:br w:type="page"/>
      </w:r>
    </w:p>
    <w:p w14:paraId="6EE148DF" w14:textId="470406C1" w:rsidR="00EF7305" w:rsidRPr="00EF7305" w:rsidRDefault="00EF7305" w:rsidP="00EF7305">
      <w:pPr>
        <w:spacing w:line="360" w:lineRule="auto"/>
        <w:jc w:val="center"/>
        <w:rPr>
          <w:rFonts w:eastAsia="Calibri"/>
          <w:b/>
          <w:sz w:val="32"/>
          <w:szCs w:val="32"/>
          <w:lang w:eastAsia="en-US"/>
        </w:rPr>
      </w:pPr>
      <w:r w:rsidRPr="00EF7305">
        <w:rPr>
          <w:rFonts w:eastAsia="Calibri"/>
          <w:b/>
          <w:sz w:val="32"/>
          <w:szCs w:val="32"/>
          <w:lang w:eastAsia="en-US"/>
        </w:rPr>
        <w:lastRenderedPageBreak/>
        <w:t>REFERENCIAS BIBLIOGRÁFICAS</w:t>
      </w:r>
    </w:p>
    <w:p w14:paraId="53B591A4" w14:textId="77777777" w:rsidR="00EF7305" w:rsidRPr="00EF7305" w:rsidRDefault="00EF7305" w:rsidP="00EF7305">
      <w:pPr>
        <w:spacing w:line="360" w:lineRule="auto"/>
        <w:contextualSpacing/>
        <w:rPr>
          <w:rFonts w:eastAsia="Calibri"/>
          <w:lang w:eastAsia="en-US"/>
        </w:rPr>
      </w:pPr>
      <w:r w:rsidRPr="00EF7305">
        <w:rPr>
          <w:rFonts w:eastAsia="Calibri"/>
          <w:lang w:eastAsia="en-US"/>
        </w:rPr>
        <w:t xml:space="preserve">1. Escobar Román R, Leiva </w:t>
      </w:r>
      <w:proofErr w:type="spellStart"/>
      <w:r w:rsidRPr="00EF7305">
        <w:rPr>
          <w:rFonts w:eastAsia="Calibri"/>
          <w:lang w:eastAsia="en-US"/>
        </w:rPr>
        <w:t>Acebey</w:t>
      </w:r>
      <w:proofErr w:type="spellEnd"/>
      <w:r w:rsidRPr="00EF7305">
        <w:rPr>
          <w:rFonts w:eastAsia="Calibri"/>
          <w:lang w:eastAsia="en-US"/>
        </w:rPr>
        <w:t xml:space="preserve"> L. Toxicidad de las principales plantas ornamentales de Cuba. Medicentro. 2010 [acceso: 14/10/2020]; 14(2): 68-74. Disponible en:  </w:t>
      </w:r>
      <w:hyperlink r:id="rId14" w:history="1">
        <w:r w:rsidRPr="00EF7305">
          <w:rPr>
            <w:rFonts w:eastAsia="Calibri"/>
            <w:color w:val="0563C1"/>
            <w:u w:val="single"/>
            <w:lang w:eastAsia="en-US"/>
          </w:rPr>
          <w:t>http://medicentro.sld.cu/index.php/medicentro/article/viewFile/110/139</w:t>
        </w:r>
      </w:hyperlink>
      <w:r w:rsidRPr="00EF7305">
        <w:rPr>
          <w:rFonts w:eastAsia="Calibri"/>
          <w:lang w:eastAsia="en-US"/>
        </w:rPr>
        <w:t xml:space="preserve"> </w:t>
      </w:r>
    </w:p>
    <w:p w14:paraId="77A11984" w14:textId="77777777" w:rsidR="00EF7305" w:rsidRPr="00EF7305" w:rsidRDefault="00EF7305" w:rsidP="00EF7305">
      <w:pPr>
        <w:spacing w:line="360" w:lineRule="auto"/>
        <w:contextualSpacing/>
        <w:rPr>
          <w:rFonts w:eastAsia="Calibri"/>
          <w:lang w:val="en-US" w:eastAsia="en-US"/>
        </w:rPr>
      </w:pPr>
      <w:r w:rsidRPr="00EF7305">
        <w:rPr>
          <w:rFonts w:eastAsia="Calibri"/>
          <w:lang w:val="en-US" w:eastAsia="en-US"/>
        </w:rPr>
        <w:t xml:space="preserve">2. Nelson LS, </w:t>
      </w:r>
      <w:proofErr w:type="spellStart"/>
      <w:r w:rsidRPr="00EF7305">
        <w:rPr>
          <w:rFonts w:eastAsia="Calibri"/>
          <w:lang w:val="en-US" w:eastAsia="en-US"/>
        </w:rPr>
        <w:t>Goldfrank</w:t>
      </w:r>
      <w:proofErr w:type="spellEnd"/>
      <w:r w:rsidRPr="00EF7305">
        <w:rPr>
          <w:rFonts w:eastAsia="Calibri"/>
          <w:lang w:val="en-US" w:eastAsia="en-US"/>
        </w:rPr>
        <w:t xml:space="preserve"> LR. Plants. </w:t>
      </w:r>
      <w:proofErr w:type="spellStart"/>
      <w:r w:rsidRPr="00EF7305">
        <w:rPr>
          <w:rFonts w:eastAsia="Calibri"/>
          <w:lang w:val="en-US" w:eastAsia="en-US"/>
        </w:rPr>
        <w:t>En</w:t>
      </w:r>
      <w:proofErr w:type="spellEnd"/>
      <w:r w:rsidRPr="00EF7305">
        <w:rPr>
          <w:rFonts w:eastAsia="Calibri"/>
          <w:lang w:val="en-US" w:eastAsia="en-US"/>
        </w:rPr>
        <w:t xml:space="preserve">: </w:t>
      </w:r>
      <w:proofErr w:type="spellStart"/>
      <w:r w:rsidRPr="00EF7305">
        <w:rPr>
          <w:rFonts w:eastAsia="Calibri"/>
          <w:lang w:val="en-US" w:eastAsia="en-US"/>
        </w:rPr>
        <w:t>Goldfrank</w:t>
      </w:r>
      <w:proofErr w:type="spellEnd"/>
      <w:r w:rsidRPr="00EF7305">
        <w:rPr>
          <w:rFonts w:eastAsia="Calibri"/>
          <w:lang w:val="en-US" w:eastAsia="en-US"/>
        </w:rPr>
        <w:t xml:space="preserve"> LR, Kirstein R. Toxicologic Emergencies. 10 ed. New York: McGraw-Hill Education; 2015 [</w:t>
      </w:r>
      <w:proofErr w:type="spellStart"/>
      <w:r w:rsidRPr="00EF7305">
        <w:rPr>
          <w:rFonts w:eastAsia="Calibri"/>
          <w:lang w:val="en-US" w:eastAsia="en-US"/>
        </w:rPr>
        <w:t>acceso</w:t>
      </w:r>
      <w:proofErr w:type="spellEnd"/>
      <w:r w:rsidRPr="00EF7305">
        <w:rPr>
          <w:rFonts w:eastAsia="Calibri"/>
          <w:lang w:val="en-US" w:eastAsia="en-US"/>
        </w:rPr>
        <w:t xml:space="preserve">: 19/10/2020]. Disponible </w:t>
      </w:r>
      <w:proofErr w:type="spellStart"/>
      <w:r w:rsidRPr="00EF7305">
        <w:rPr>
          <w:rFonts w:eastAsia="Calibri"/>
          <w:lang w:val="en-US" w:eastAsia="en-US"/>
        </w:rPr>
        <w:t>en</w:t>
      </w:r>
      <w:proofErr w:type="spellEnd"/>
      <w:r w:rsidRPr="00EF7305">
        <w:rPr>
          <w:rFonts w:eastAsia="Calibri"/>
          <w:lang w:val="en-US" w:eastAsia="en-US"/>
        </w:rPr>
        <w:t xml:space="preserve">: </w:t>
      </w:r>
      <w:hyperlink r:id="rId15" w:history="1">
        <w:r w:rsidRPr="00EF7305">
          <w:rPr>
            <w:rFonts w:eastAsia="Calibri"/>
            <w:color w:val="0563C1"/>
            <w:u w:val="single"/>
            <w:lang w:val="en-US" w:eastAsia="en-US"/>
          </w:rPr>
          <w:t>https://www.academia.edu/35974107/Goldfranks_Toxicologic_Emergencies_10th_Ed_booksmedicos</w:t>
        </w:r>
      </w:hyperlink>
      <w:r w:rsidRPr="00EF7305">
        <w:rPr>
          <w:rFonts w:eastAsia="Calibri"/>
          <w:lang w:val="en-US" w:eastAsia="en-US"/>
        </w:rPr>
        <w:t xml:space="preserve"> </w:t>
      </w:r>
    </w:p>
    <w:p w14:paraId="7A5CCE17" w14:textId="77777777" w:rsidR="00EF7305" w:rsidRPr="00EF7305" w:rsidRDefault="00EF7305" w:rsidP="00EF7305">
      <w:pPr>
        <w:spacing w:line="360" w:lineRule="auto"/>
        <w:contextualSpacing/>
        <w:rPr>
          <w:rFonts w:eastAsia="Calibri"/>
          <w:lang w:eastAsia="en-US"/>
        </w:rPr>
      </w:pPr>
      <w:r w:rsidRPr="00EF7305">
        <w:rPr>
          <w:rFonts w:eastAsia="Calibri"/>
          <w:lang w:eastAsia="en-US"/>
        </w:rPr>
        <w:t xml:space="preserve">3. UEX: Universidad de Extremadura. España: </w:t>
      </w:r>
      <w:proofErr w:type="spellStart"/>
      <w:r w:rsidRPr="00EF7305">
        <w:rPr>
          <w:rFonts w:eastAsia="Calibri"/>
          <w:lang w:eastAsia="en-US"/>
        </w:rPr>
        <w:t>Area</w:t>
      </w:r>
      <w:proofErr w:type="spellEnd"/>
      <w:r w:rsidRPr="00EF7305">
        <w:rPr>
          <w:rFonts w:eastAsia="Calibri"/>
          <w:lang w:eastAsia="en-US"/>
        </w:rPr>
        <w:t xml:space="preserve"> de Toxicología. Facultad de Veterinaria; 1995 [acceso: 12/11/2020]. Disponible en: </w:t>
      </w:r>
      <w:hyperlink r:id="rId16" w:history="1">
        <w:r w:rsidRPr="00EF7305">
          <w:rPr>
            <w:rFonts w:eastAsia="Calibri"/>
            <w:color w:val="0563C1"/>
            <w:u w:val="single"/>
            <w:lang w:eastAsia="en-US"/>
          </w:rPr>
          <w:t>https://www.eweb.unex.es/eweb/toxicologia/Publis%20pdf%20Marcos/PlantaNavidad.pdf</w:t>
        </w:r>
      </w:hyperlink>
      <w:r w:rsidRPr="00EF7305">
        <w:rPr>
          <w:rFonts w:eastAsia="Calibri"/>
          <w:lang w:eastAsia="en-US"/>
        </w:rPr>
        <w:t xml:space="preserve"> </w:t>
      </w:r>
    </w:p>
    <w:p w14:paraId="555B5359" w14:textId="77777777" w:rsidR="00EF7305" w:rsidRPr="00EF7305" w:rsidRDefault="00EF7305" w:rsidP="00EF7305">
      <w:pPr>
        <w:spacing w:line="360" w:lineRule="auto"/>
        <w:contextualSpacing/>
        <w:rPr>
          <w:rFonts w:eastAsia="Calibri"/>
          <w:lang w:eastAsia="en-US"/>
        </w:rPr>
      </w:pPr>
      <w:r w:rsidRPr="00EF7305">
        <w:rPr>
          <w:rFonts w:eastAsia="Calibri"/>
          <w:lang w:eastAsia="en-US"/>
        </w:rPr>
        <w:t xml:space="preserve">4. Ramírez Sánchez M, Arellano Parra M, </w:t>
      </w:r>
      <w:proofErr w:type="spellStart"/>
      <w:r w:rsidRPr="00EF7305">
        <w:rPr>
          <w:rFonts w:eastAsia="Calibri"/>
          <w:lang w:eastAsia="en-US"/>
        </w:rPr>
        <w:t>Schofborgh</w:t>
      </w:r>
      <w:proofErr w:type="spellEnd"/>
      <w:r w:rsidRPr="00EF7305">
        <w:rPr>
          <w:rFonts w:eastAsia="Calibri"/>
          <w:lang w:eastAsia="en-US"/>
        </w:rPr>
        <w:t xml:space="preserve"> Partida Z. Intoxicación herbácea en niños. Aspectos Básicos. Revista venezolana de salud pública. 2013 [acceso: 19/10/2020]; 1(2):61-68. Disponible en: </w:t>
      </w:r>
      <w:hyperlink r:id="rId17" w:history="1">
        <w:r w:rsidRPr="00EF7305">
          <w:rPr>
            <w:rFonts w:eastAsia="Calibri"/>
            <w:color w:val="0563C1"/>
            <w:u w:val="single"/>
            <w:lang w:eastAsia="en-US"/>
          </w:rPr>
          <w:t>https://es.scribd.com/document/376055248/ntoxicacion-por-hiervas</w:t>
        </w:r>
      </w:hyperlink>
      <w:r w:rsidRPr="00EF7305">
        <w:rPr>
          <w:rFonts w:eastAsia="Calibri"/>
          <w:lang w:eastAsia="en-US"/>
        </w:rPr>
        <w:t xml:space="preserve"> </w:t>
      </w:r>
    </w:p>
    <w:p w14:paraId="2B995513" w14:textId="77777777" w:rsidR="00EF7305" w:rsidRPr="00EF7305" w:rsidRDefault="00EF7305" w:rsidP="00EF7305">
      <w:pPr>
        <w:spacing w:line="360" w:lineRule="auto"/>
        <w:contextualSpacing/>
        <w:rPr>
          <w:rFonts w:eastAsia="Calibri"/>
          <w:lang w:eastAsia="en-US"/>
        </w:rPr>
      </w:pPr>
      <w:r w:rsidRPr="00EF7305">
        <w:rPr>
          <w:rFonts w:eastAsia="Calibri"/>
          <w:lang w:val="en-US" w:eastAsia="en-US"/>
        </w:rPr>
        <w:t>5. USDA: United States Department of Agriculture. EEUU: USDA Forest Service, International Institute of Tropical Forestry; 1994 [</w:t>
      </w:r>
      <w:proofErr w:type="spellStart"/>
      <w:r w:rsidRPr="00EF7305">
        <w:rPr>
          <w:rFonts w:eastAsia="Calibri"/>
          <w:lang w:val="en-US" w:eastAsia="en-US"/>
        </w:rPr>
        <w:t>acceso</w:t>
      </w:r>
      <w:proofErr w:type="spellEnd"/>
      <w:r w:rsidRPr="00EF7305">
        <w:rPr>
          <w:rFonts w:eastAsia="Calibri"/>
          <w:lang w:val="en-US" w:eastAsia="en-US"/>
        </w:rPr>
        <w:t xml:space="preserve">: 19/10/2020]. </w:t>
      </w:r>
      <w:r w:rsidRPr="00EF7305">
        <w:rPr>
          <w:rFonts w:eastAsia="Calibri"/>
          <w:lang w:eastAsia="en-US"/>
        </w:rPr>
        <w:t xml:space="preserve">Disponible en: </w:t>
      </w:r>
      <w:hyperlink r:id="rId18" w:history="1">
        <w:r w:rsidRPr="00EF7305">
          <w:rPr>
            <w:rFonts w:eastAsia="Calibri"/>
            <w:color w:val="0563C1"/>
            <w:u w:val="single"/>
            <w:lang w:eastAsia="en-US"/>
          </w:rPr>
          <w:t>https://www.fs.usda.gov/treesearch/pubs/30342</w:t>
        </w:r>
      </w:hyperlink>
      <w:r w:rsidRPr="00EF7305">
        <w:rPr>
          <w:rFonts w:eastAsia="Calibri"/>
          <w:lang w:eastAsia="en-US"/>
        </w:rPr>
        <w:t xml:space="preserve"> </w:t>
      </w:r>
    </w:p>
    <w:p w14:paraId="34618847" w14:textId="77777777" w:rsidR="00EF7305" w:rsidRPr="00EF7305" w:rsidRDefault="00EF7305" w:rsidP="00EF7305">
      <w:pPr>
        <w:spacing w:line="360" w:lineRule="auto"/>
        <w:contextualSpacing/>
        <w:rPr>
          <w:rFonts w:eastAsia="Calibri"/>
          <w:lang w:eastAsia="en-US"/>
        </w:rPr>
      </w:pPr>
      <w:r w:rsidRPr="00EF7305">
        <w:rPr>
          <w:rFonts w:eastAsia="Calibri"/>
          <w:lang w:eastAsia="en-US"/>
        </w:rPr>
        <w:t xml:space="preserve">6. Vázquez </w:t>
      </w:r>
      <w:proofErr w:type="spellStart"/>
      <w:r w:rsidRPr="00EF7305">
        <w:rPr>
          <w:rFonts w:eastAsia="Calibri"/>
          <w:lang w:eastAsia="en-US"/>
        </w:rPr>
        <w:t>Avila</w:t>
      </w:r>
      <w:proofErr w:type="spellEnd"/>
      <w:r w:rsidRPr="00EF7305">
        <w:rPr>
          <w:rFonts w:eastAsia="Calibri"/>
          <w:lang w:eastAsia="en-US"/>
        </w:rPr>
        <w:t xml:space="preserve"> MD. El género Ficus (</w:t>
      </w:r>
      <w:proofErr w:type="spellStart"/>
      <w:r w:rsidRPr="00EF7305">
        <w:rPr>
          <w:rFonts w:eastAsia="Calibri"/>
          <w:lang w:eastAsia="en-US"/>
        </w:rPr>
        <w:t>Moraceae</w:t>
      </w:r>
      <w:proofErr w:type="spellEnd"/>
      <w:r w:rsidRPr="00EF7305">
        <w:rPr>
          <w:rFonts w:eastAsia="Calibri"/>
          <w:lang w:eastAsia="en-US"/>
        </w:rPr>
        <w:t xml:space="preserve">) en la República Argentina. Darwiniana. 1981 [acceso: 20/10/2020]; 23 (2/4): 605-637. Disponible en: </w:t>
      </w:r>
      <w:hyperlink r:id="rId19" w:history="1">
        <w:r w:rsidRPr="00EF7305">
          <w:rPr>
            <w:rFonts w:eastAsia="Calibri"/>
            <w:color w:val="0563C1"/>
            <w:u w:val="single"/>
            <w:lang w:eastAsia="en-US"/>
          </w:rPr>
          <w:t>https://www.jstor.org/stable/23216545</w:t>
        </w:r>
      </w:hyperlink>
      <w:r w:rsidRPr="00EF7305">
        <w:rPr>
          <w:rFonts w:eastAsia="Calibri"/>
          <w:lang w:eastAsia="en-US"/>
        </w:rPr>
        <w:t xml:space="preserve"> </w:t>
      </w:r>
    </w:p>
    <w:p w14:paraId="1CB5E57C" w14:textId="77777777" w:rsidR="00EF7305" w:rsidRPr="00EF7305" w:rsidRDefault="00EF7305" w:rsidP="00EF7305">
      <w:pPr>
        <w:spacing w:line="360" w:lineRule="auto"/>
        <w:contextualSpacing/>
        <w:rPr>
          <w:rFonts w:eastAsia="Calibri"/>
          <w:lang w:eastAsia="en-US"/>
        </w:rPr>
      </w:pPr>
      <w:r w:rsidRPr="00EF7305">
        <w:rPr>
          <w:rFonts w:eastAsia="Calibri"/>
          <w:lang w:eastAsia="en-US"/>
        </w:rPr>
        <w:t xml:space="preserve">7. Andreu MG, Friedman MH, McKenzie M, Quintana HV, </w:t>
      </w:r>
      <w:proofErr w:type="spellStart"/>
      <w:r w:rsidRPr="00EF7305">
        <w:rPr>
          <w:rFonts w:eastAsia="Calibri"/>
          <w:lang w:eastAsia="en-US"/>
        </w:rPr>
        <w:t>Northrop</w:t>
      </w:r>
      <w:proofErr w:type="spellEnd"/>
      <w:r w:rsidRPr="00EF7305">
        <w:rPr>
          <w:rFonts w:eastAsia="Calibri"/>
          <w:lang w:eastAsia="en-US"/>
        </w:rPr>
        <w:t xml:space="preserve"> RJ. </w:t>
      </w:r>
      <w:r w:rsidRPr="00EF7305">
        <w:rPr>
          <w:rFonts w:eastAsia="Calibri"/>
          <w:lang w:val="en-US" w:eastAsia="en-US"/>
        </w:rPr>
        <w:t xml:space="preserve">Ficus </w:t>
      </w:r>
      <w:proofErr w:type="spellStart"/>
      <w:r w:rsidRPr="00EF7305">
        <w:rPr>
          <w:rFonts w:eastAsia="Calibri"/>
          <w:lang w:val="en-US" w:eastAsia="en-US"/>
        </w:rPr>
        <w:t>citrifolia</w:t>
      </w:r>
      <w:proofErr w:type="spellEnd"/>
      <w:r w:rsidRPr="00EF7305">
        <w:rPr>
          <w:rFonts w:eastAsia="Calibri"/>
          <w:lang w:val="en-US" w:eastAsia="en-US"/>
        </w:rPr>
        <w:t>, Shortleaf Fig. Florida: UF/IFAS Extension: Universidad de Florida and The Institute of Food and Agricultural Sciences; June 2019 [</w:t>
      </w:r>
      <w:proofErr w:type="spellStart"/>
      <w:r w:rsidRPr="00EF7305">
        <w:rPr>
          <w:rFonts w:eastAsia="Calibri"/>
          <w:lang w:val="en-US" w:eastAsia="en-US"/>
        </w:rPr>
        <w:t>acceso</w:t>
      </w:r>
      <w:proofErr w:type="spellEnd"/>
      <w:r w:rsidRPr="00EF7305">
        <w:rPr>
          <w:rFonts w:eastAsia="Calibri"/>
          <w:lang w:val="en-US" w:eastAsia="en-US"/>
        </w:rPr>
        <w:t xml:space="preserve">: 19/10/2020]. </w:t>
      </w:r>
      <w:r w:rsidRPr="00EF7305">
        <w:rPr>
          <w:rFonts w:eastAsia="Calibri"/>
          <w:lang w:eastAsia="en-US"/>
        </w:rPr>
        <w:t xml:space="preserve">Disponible en: </w:t>
      </w:r>
      <w:hyperlink r:id="rId20" w:history="1">
        <w:r w:rsidRPr="00EF7305">
          <w:rPr>
            <w:rFonts w:eastAsia="Calibri"/>
            <w:color w:val="0563C1"/>
            <w:u w:val="single"/>
            <w:lang w:eastAsia="en-US"/>
          </w:rPr>
          <w:t>https://edis.ifas.ufl.edu/pdf%5CFR%5CFR32800.pdf</w:t>
        </w:r>
      </w:hyperlink>
      <w:r w:rsidRPr="00EF7305">
        <w:rPr>
          <w:rFonts w:eastAsia="Calibri"/>
          <w:lang w:eastAsia="en-US"/>
        </w:rPr>
        <w:t xml:space="preserve"> </w:t>
      </w:r>
    </w:p>
    <w:p w14:paraId="093189C9" w14:textId="77777777" w:rsidR="00EF7305" w:rsidRPr="00EF7305" w:rsidRDefault="00EF7305" w:rsidP="00EF7305">
      <w:pPr>
        <w:spacing w:line="360" w:lineRule="auto"/>
        <w:contextualSpacing/>
        <w:rPr>
          <w:rFonts w:eastAsia="Calibri"/>
          <w:lang w:eastAsia="en-US"/>
        </w:rPr>
      </w:pPr>
      <w:r w:rsidRPr="00EF7305">
        <w:rPr>
          <w:rFonts w:eastAsia="Calibri"/>
          <w:lang w:eastAsia="en-US"/>
        </w:rPr>
        <w:t>8. Villar Valdés Miranda V. Dermatitis y eritema multiforme. En: Manzur J, Diaz Almeida J, Cortés M. Dermatología. La Habana: Ciencias Médicas; 2000. p. 69-83.</w:t>
      </w:r>
    </w:p>
    <w:p w14:paraId="4C7F9F4A" w14:textId="77777777" w:rsidR="00EF7305" w:rsidRPr="00EF7305" w:rsidRDefault="00EF7305" w:rsidP="00EF7305">
      <w:pPr>
        <w:spacing w:line="360" w:lineRule="auto"/>
        <w:contextualSpacing/>
        <w:rPr>
          <w:rFonts w:eastAsia="Calibri"/>
          <w:lang w:eastAsia="en-US"/>
        </w:rPr>
      </w:pPr>
      <w:r w:rsidRPr="00EF7305">
        <w:rPr>
          <w:rFonts w:eastAsia="Calibri"/>
          <w:lang w:eastAsia="en-US"/>
        </w:rPr>
        <w:t xml:space="preserve">9. Rodríguez Zelada FA. Evaluación del efecto antimicrobiano del extracto </w:t>
      </w:r>
      <w:proofErr w:type="spellStart"/>
      <w:r w:rsidRPr="00EF7305">
        <w:rPr>
          <w:rFonts w:eastAsia="Calibri"/>
          <w:lang w:eastAsia="en-US"/>
        </w:rPr>
        <w:t>etanólico</w:t>
      </w:r>
      <w:proofErr w:type="spellEnd"/>
      <w:r w:rsidRPr="00EF7305">
        <w:rPr>
          <w:rFonts w:eastAsia="Calibri"/>
          <w:lang w:eastAsia="en-US"/>
        </w:rPr>
        <w:t xml:space="preserve"> del Ficus </w:t>
      </w:r>
      <w:proofErr w:type="spellStart"/>
      <w:r w:rsidRPr="00EF7305">
        <w:rPr>
          <w:rFonts w:eastAsia="Calibri"/>
          <w:lang w:eastAsia="en-US"/>
        </w:rPr>
        <w:t>citrifolia</w:t>
      </w:r>
      <w:proofErr w:type="spellEnd"/>
      <w:r w:rsidRPr="00EF7305">
        <w:rPr>
          <w:rFonts w:eastAsia="Calibri"/>
          <w:lang w:eastAsia="en-US"/>
        </w:rPr>
        <w:t xml:space="preserve"> Mill. (</w:t>
      </w:r>
      <w:proofErr w:type="spellStart"/>
      <w:r w:rsidRPr="00EF7305">
        <w:rPr>
          <w:rFonts w:eastAsia="Calibri"/>
          <w:lang w:eastAsia="en-US"/>
        </w:rPr>
        <w:t>Moraceae</w:t>
      </w:r>
      <w:proofErr w:type="spellEnd"/>
      <w:r w:rsidRPr="00EF7305">
        <w:rPr>
          <w:rFonts w:eastAsia="Calibri"/>
          <w:lang w:eastAsia="en-US"/>
        </w:rPr>
        <w:t xml:space="preserve">), in vitro frente a cepas de </w:t>
      </w:r>
      <w:proofErr w:type="spellStart"/>
      <w:r w:rsidRPr="00EF7305">
        <w:rPr>
          <w:rFonts w:eastAsia="Calibri"/>
          <w:lang w:eastAsia="en-US"/>
        </w:rPr>
        <w:t>Staphilococcus</w:t>
      </w:r>
      <w:proofErr w:type="spellEnd"/>
      <w:r w:rsidRPr="00EF7305">
        <w:rPr>
          <w:rFonts w:eastAsia="Calibri"/>
          <w:lang w:eastAsia="en-US"/>
        </w:rPr>
        <w:t xml:space="preserve"> aureus. [Tesis para optar el título profesional de Químico Farmacéutico y Bioquímico]. Lima:</w:t>
      </w:r>
      <w:r w:rsidRPr="00EF7305">
        <w:rPr>
          <w:rFonts w:eastAsia="Calibri"/>
          <w:color w:val="FF0000"/>
          <w:lang w:eastAsia="en-US"/>
        </w:rPr>
        <w:t xml:space="preserve"> </w:t>
      </w:r>
      <w:r w:rsidRPr="00EF7305">
        <w:rPr>
          <w:rFonts w:eastAsia="Calibri"/>
          <w:lang w:eastAsia="en-US"/>
        </w:rPr>
        <w:t xml:space="preserve">Universidad Inca Garcilaso de la Vega; 2018 [acceso: 19/10/2020]. Disponible en: </w:t>
      </w:r>
      <w:hyperlink r:id="rId21" w:history="1">
        <w:r w:rsidRPr="00EF7305">
          <w:rPr>
            <w:rFonts w:eastAsia="Calibri"/>
            <w:color w:val="0563C1"/>
            <w:u w:val="single"/>
            <w:lang w:eastAsia="en-US"/>
          </w:rPr>
          <w:t>http://repositorio.uigv.edu.pe/bitstream/handle/20.500.11818/2890/TESIS%20RODRIGUEZ%20ZELADA%20FERNANDO.pdf?sequence=2&amp;isAllowed=y</w:t>
        </w:r>
      </w:hyperlink>
      <w:r w:rsidRPr="00EF7305">
        <w:rPr>
          <w:rFonts w:eastAsia="Calibri"/>
          <w:lang w:eastAsia="en-US"/>
        </w:rPr>
        <w:t xml:space="preserve"> </w:t>
      </w:r>
    </w:p>
    <w:p w14:paraId="570EA75C" w14:textId="77777777" w:rsidR="00EF7305" w:rsidRPr="00EF7305" w:rsidRDefault="00EF7305" w:rsidP="00EF7305">
      <w:pPr>
        <w:spacing w:line="360" w:lineRule="auto"/>
        <w:contextualSpacing/>
        <w:rPr>
          <w:rFonts w:eastAsia="Calibri"/>
          <w:lang w:eastAsia="en-US"/>
        </w:rPr>
      </w:pPr>
      <w:r w:rsidRPr="00EF7305">
        <w:rPr>
          <w:rFonts w:eastAsia="Calibri"/>
          <w:lang w:eastAsia="en-US"/>
        </w:rPr>
        <w:t xml:space="preserve">10. Mena </w:t>
      </w:r>
      <w:proofErr w:type="spellStart"/>
      <w:r w:rsidRPr="00EF7305">
        <w:rPr>
          <w:rFonts w:eastAsia="Calibri"/>
          <w:lang w:eastAsia="en-US"/>
        </w:rPr>
        <w:t>Fontán</w:t>
      </w:r>
      <w:proofErr w:type="spellEnd"/>
      <w:r w:rsidRPr="00EF7305">
        <w:rPr>
          <w:rFonts w:eastAsia="Calibri"/>
          <w:lang w:eastAsia="en-US"/>
        </w:rPr>
        <w:t xml:space="preserve"> de </w:t>
      </w:r>
      <w:proofErr w:type="spellStart"/>
      <w:r w:rsidRPr="00EF7305">
        <w:rPr>
          <w:rFonts w:eastAsia="Calibri"/>
          <w:lang w:eastAsia="en-US"/>
        </w:rPr>
        <w:t>Knoblich</w:t>
      </w:r>
      <w:proofErr w:type="spellEnd"/>
      <w:r w:rsidRPr="00EF7305">
        <w:rPr>
          <w:rFonts w:eastAsia="Calibri"/>
          <w:lang w:eastAsia="en-US"/>
        </w:rPr>
        <w:t xml:space="preserve"> AB. Validación farmacológica del efecto analgésico y antinflamatorio de hoja de Ficus carica (Higuera), de hoja de </w:t>
      </w:r>
      <w:proofErr w:type="spellStart"/>
      <w:r w:rsidRPr="00EF7305">
        <w:rPr>
          <w:rFonts w:eastAsia="Calibri"/>
          <w:lang w:eastAsia="en-US"/>
        </w:rPr>
        <w:t>Persea</w:t>
      </w:r>
      <w:proofErr w:type="spellEnd"/>
      <w:r w:rsidRPr="00EF7305">
        <w:rPr>
          <w:rFonts w:eastAsia="Calibri"/>
          <w:lang w:eastAsia="en-US"/>
        </w:rPr>
        <w:t xml:space="preserve"> americana (Aguacate) y flor de Caléndula </w:t>
      </w:r>
      <w:proofErr w:type="spellStart"/>
      <w:r w:rsidRPr="00EF7305">
        <w:rPr>
          <w:rFonts w:eastAsia="Calibri"/>
          <w:lang w:eastAsia="en-US"/>
        </w:rPr>
        <w:t>officinalis</w:t>
      </w:r>
      <w:proofErr w:type="spellEnd"/>
      <w:r w:rsidRPr="00EF7305">
        <w:rPr>
          <w:rFonts w:eastAsia="Calibri"/>
          <w:lang w:eastAsia="en-US"/>
        </w:rPr>
        <w:t xml:space="preserve"> (Flor de muerto) en infusión acuosa (fase l). [Tesis para optar el título profesional de Química Farmacéutica]. Guatemala: Universidad de San Carlos de Guatemala; 2005 [acceso: 19/10/2020]. Disponible en:  </w:t>
      </w:r>
      <w:hyperlink r:id="rId22" w:history="1">
        <w:r w:rsidRPr="00EF7305">
          <w:rPr>
            <w:rFonts w:eastAsia="Calibri"/>
            <w:color w:val="0563C1"/>
            <w:u w:val="single"/>
            <w:lang w:eastAsia="en-US"/>
          </w:rPr>
          <w:t>http://biblioteca.usac.edu.gt/tesis/06/06_2334.pdf</w:t>
        </w:r>
      </w:hyperlink>
      <w:r w:rsidRPr="00EF7305">
        <w:rPr>
          <w:rFonts w:eastAsia="Calibri"/>
          <w:lang w:eastAsia="en-US"/>
        </w:rPr>
        <w:t xml:space="preserve"> </w:t>
      </w:r>
    </w:p>
    <w:p w14:paraId="68374737" w14:textId="77777777" w:rsidR="00EF7305" w:rsidRPr="00EF7305" w:rsidRDefault="00EF7305" w:rsidP="00EF7305">
      <w:pPr>
        <w:spacing w:line="360" w:lineRule="auto"/>
        <w:contextualSpacing/>
        <w:rPr>
          <w:rFonts w:eastAsia="Calibri"/>
          <w:lang w:eastAsia="en-US"/>
        </w:rPr>
      </w:pPr>
      <w:r w:rsidRPr="00EF7305">
        <w:rPr>
          <w:rFonts w:eastAsia="Calibri"/>
          <w:lang w:eastAsia="en-US"/>
        </w:rPr>
        <w:t>11. Brasero Espada J. Desarrollo de nuevas formulaciones de látex de caucho natural libres de n-nitrosaminas, hipoalergénicas y ecológicas, y su caracterización por RMN de campo bajo [Tesis para optar por el título de Doctor]. Madrid:</w:t>
      </w:r>
      <w:r w:rsidRPr="00EF7305">
        <w:rPr>
          <w:rFonts w:eastAsia="Calibri"/>
          <w:color w:val="00B0F0"/>
          <w:lang w:eastAsia="en-US"/>
        </w:rPr>
        <w:t xml:space="preserve"> </w:t>
      </w:r>
      <w:r w:rsidRPr="00EF7305">
        <w:rPr>
          <w:rFonts w:eastAsia="Calibri"/>
          <w:lang w:eastAsia="en-US"/>
        </w:rPr>
        <w:t xml:space="preserve">Universidad Complutense de Madrid; 2016 [acceso: 19/10/2020]. Disponible en: </w:t>
      </w:r>
      <w:hyperlink r:id="rId23" w:history="1">
        <w:r w:rsidRPr="00EF7305">
          <w:rPr>
            <w:rFonts w:eastAsia="Calibri"/>
            <w:color w:val="0563C1"/>
            <w:u w:val="single"/>
            <w:lang w:eastAsia="en-US"/>
          </w:rPr>
          <w:t>https://eprints.ucm.es/id/eprint/42693/1/T38785.pdf</w:t>
        </w:r>
      </w:hyperlink>
      <w:r w:rsidRPr="00EF7305">
        <w:rPr>
          <w:rFonts w:eastAsia="Calibri"/>
          <w:lang w:eastAsia="en-US"/>
        </w:rPr>
        <w:t xml:space="preserve"> </w:t>
      </w:r>
    </w:p>
    <w:p w14:paraId="2BB3FE2B" w14:textId="77777777" w:rsidR="00EF7305" w:rsidRPr="00EF7305" w:rsidRDefault="00EF7305" w:rsidP="00EF7305">
      <w:pPr>
        <w:spacing w:line="360" w:lineRule="auto"/>
        <w:contextualSpacing/>
        <w:rPr>
          <w:rFonts w:eastAsia="Calibri"/>
          <w:lang w:eastAsia="en-US"/>
        </w:rPr>
      </w:pPr>
      <w:r w:rsidRPr="00EF7305">
        <w:rPr>
          <w:rFonts w:eastAsia="Calibri"/>
          <w:lang w:eastAsia="en-US"/>
        </w:rPr>
        <w:t xml:space="preserve">12. Fernández </w:t>
      </w:r>
      <w:proofErr w:type="spellStart"/>
      <w:r w:rsidRPr="00EF7305">
        <w:rPr>
          <w:rFonts w:eastAsia="Calibri"/>
          <w:lang w:eastAsia="en-US"/>
        </w:rPr>
        <w:t>Santervás</w:t>
      </w:r>
      <w:proofErr w:type="spellEnd"/>
      <w:r w:rsidRPr="00EF7305">
        <w:rPr>
          <w:rFonts w:eastAsia="Calibri"/>
          <w:lang w:eastAsia="en-US"/>
        </w:rPr>
        <w:t xml:space="preserve"> Y, María Melé Casas M. Quemaduras. En: Benito Fernández FJ, Martínez Mejías A, Velasco Zúñiga R, Fernández </w:t>
      </w:r>
      <w:proofErr w:type="spellStart"/>
      <w:r w:rsidRPr="00EF7305">
        <w:rPr>
          <w:rFonts w:eastAsia="Calibri"/>
          <w:lang w:eastAsia="en-US"/>
        </w:rPr>
        <w:t>Santervás</w:t>
      </w:r>
      <w:proofErr w:type="spellEnd"/>
      <w:r w:rsidRPr="00EF7305">
        <w:rPr>
          <w:rFonts w:eastAsia="Calibri"/>
          <w:lang w:eastAsia="en-US"/>
        </w:rPr>
        <w:t xml:space="preserve"> Y, García Herrero MA, De la Rosa Sánchez D, et al.  Protocolos Diagnósticos y Terapéuticos en Urgencias de Pediatría. 3ª Edición; 2020.</w:t>
      </w:r>
      <w:r w:rsidRPr="00EF7305">
        <w:rPr>
          <w:rFonts w:eastAsia="Calibri"/>
          <w:color w:val="FF0000"/>
          <w:lang w:eastAsia="en-US"/>
        </w:rPr>
        <w:t xml:space="preserve"> </w:t>
      </w:r>
      <w:r w:rsidRPr="00EF7305">
        <w:rPr>
          <w:rFonts w:eastAsia="Calibri"/>
          <w:lang w:eastAsia="en-US"/>
        </w:rPr>
        <w:t xml:space="preserve">[acceso: 20/10/2020] p. 275- 287. Disponible en: </w:t>
      </w:r>
      <w:hyperlink r:id="rId24" w:history="1">
        <w:r w:rsidRPr="00EF7305">
          <w:rPr>
            <w:rFonts w:eastAsia="Calibri"/>
            <w:color w:val="0563C1"/>
            <w:u w:val="single"/>
            <w:lang w:eastAsia="en-US"/>
          </w:rPr>
          <w:t>https://www.aeped.es/sites/default/files/documentos/protocolos_seup_2020_final.pdf</w:t>
        </w:r>
      </w:hyperlink>
      <w:r w:rsidRPr="00EF7305">
        <w:rPr>
          <w:rFonts w:eastAsia="Calibri"/>
          <w:lang w:eastAsia="en-US"/>
        </w:rPr>
        <w:t xml:space="preserve"> </w:t>
      </w:r>
    </w:p>
    <w:p w14:paraId="332A94C2" w14:textId="77777777" w:rsidR="00EF7305" w:rsidRPr="00EF7305" w:rsidRDefault="00EF7305" w:rsidP="00EF7305">
      <w:pPr>
        <w:spacing w:line="360" w:lineRule="auto"/>
        <w:contextualSpacing/>
        <w:rPr>
          <w:rFonts w:eastAsia="Calibri"/>
          <w:lang w:eastAsia="en-US"/>
        </w:rPr>
      </w:pPr>
      <w:r w:rsidRPr="00EF7305">
        <w:rPr>
          <w:rFonts w:eastAsia="Calibri"/>
          <w:lang w:eastAsia="en-US"/>
        </w:rPr>
        <w:t xml:space="preserve">13. </w:t>
      </w:r>
      <w:proofErr w:type="spellStart"/>
      <w:r w:rsidRPr="00EF7305">
        <w:rPr>
          <w:rFonts w:eastAsia="Calibri"/>
          <w:lang w:eastAsia="en-US"/>
        </w:rPr>
        <w:t>Beliczky</w:t>
      </w:r>
      <w:proofErr w:type="spellEnd"/>
      <w:r w:rsidRPr="00EF7305">
        <w:rPr>
          <w:rFonts w:eastAsia="Calibri"/>
          <w:lang w:eastAsia="en-US"/>
        </w:rPr>
        <w:t xml:space="preserve"> LD, Fajen J. Industria del caucho. En </w:t>
      </w:r>
      <w:proofErr w:type="spellStart"/>
      <w:r w:rsidRPr="00EF7305">
        <w:rPr>
          <w:rFonts w:eastAsia="Calibri"/>
          <w:lang w:eastAsia="en-US"/>
        </w:rPr>
        <w:t>Mager</w:t>
      </w:r>
      <w:proofErr w:type="spellEnd"/>
      <w:r w:rsidRPr="00EF7305">
        <w:rPr>
          <w:rFonts w:eastAsia="Calibri"/>
          <w:lang w:eastAsia="en-US"/>
        </w:rPr>
        <w:t xml:space="preserve"> </w:t>
      </w:r>
      <w:proofErr w:type="spellStart"/>
      <w:r w:rsidRPr="00EF7305">
        <w:rPr>
          <w:rFonts w:eastAsia="Calibri"/>
          <w:lang w:eastAsia="en-US"/>
        </w:rPr>
        <w:t>Stellman</w:t>
      </w:r>
      <w:proofErr w:type="spellEnd"/>
      <w:r w:rsidRPr="00EF7305">
        <w:rPr>
          <w:rFonts w:eastAsia="Calibri"/>
          <w:lang w:eastAsia="en-US"/>
        </w:rPr>
        <w:t xml:space="preserve"> J. Enciclopedia de salud y seguridad en el trabajo. 3ra edición en español. España: Ministerio de Trabajo y Asuntos Sociales; 2009 [acceso: 19/10/2020]; 80.1-80.20. Disponible en: </w:t>
      </w:r>
      <w:hyperlink r:id="rId25" w:history="1">
        <w:r w:rsidRPr="00EF7305">
          <w:rPr>
            <w:rFonts w:eastAsia="Calibri"/>
            <w:color w:val="0563C1"/>
            <w:u w:val="single"/>
            <w:lang w:eastAsia="en-US"/>
          </w:rPr>
          <w:t>https://www.insst.es/documents/94886/161971/Cap%C3%ADtulo+80.+Industria+del+caucho</w:t>
        </w:r>
      </w:hyperlink>
      <w:r w:rsidRPr="00EF7305">
        <w:rPr>
          <w:rFonts w:eastAsia="Calibri"/>
          <w:lang w:eastAsia="en-US"/>
        </w:rPr>
        <w:t xml:space="preserve"> </w:t>
      </w:r>
    </w:p>
    <w:p w14:paraId="0399A7DA" w14:textId="77777777" w:rsidR="00EF7305" w:rsidRPr="00EF7305" w:rsidRDefault="00EF7305" w:rsidP="00EF7305">
      <w:pPr>
        <w:spacing w:line="360" w:lineRule="auto"/>
        <w:ind w:left="720"/>
        <w:contextualSpacing/>
        <w:jc w:val="both"/>
        <w:rPr>
          <w:rFonts w:eastAsia="Calibri"/>
          <w:lang w:eastAsia="en-US"/>
        </w:rPr>
      </w:pPr>
    </w:p>
    <w:p w14:paraId="38C913B6" w14:textId="77777777" w:rsidR="00EF7305" w:rsidRPr="00EF7305" w:rsidRDefault="00EF7305" w:rsidP="00EF7305">
      <w:pPr>
        <w:spacing w:line="360" w:lineRule="auto"/>
        <w:contextualSpacing/>
        <w:jc w:val="both"/>
        <w:rPr>
          <w:bCs/>
          <w:lang w:eastAsia="en-US"/>
        </w:rPr>
      </w:pPr>
    </w:p>
    <w:p w14:paraId="15060BD4" w14:textId="77777777" w:rsidR="00EF7305" w:rsidRPr="00EF7305" w:rsidRDefault="00EF7305" w:rsidP="00EF7305">
      <w:pPr>
        <w:spacing w:line="360" w:lineRule="auto"/>
        <w:contextualSpacing/>
        <w:jc w:val="center"/>
        <w:rPr>
          <w:b/>
          <w:lang w:eastAsia="en-US"/>
        </w:rPr>
      </w:pPr>
      <w:r w:rsidRPr="00EF7305">
        <w:rPr>
          <w:b/>
          <w:lang w:eastAsia="en-US"/>
        </w:rPr>
        <w:t>Conflictos de interés</w:t>
      </w:r>
    </w:p>
    <w:p w14:paraId="24008E46" w14:textId="77777777" w:rsidR="00EF7305" w:rsidRPr="00EF7305" w:rsidRDefault="00EF7305" w:rsidP="00EF7305">
      <w:pPr>
        <w:spacing w:line="360" w:lineRule="auto"/>
        <w:contextualSpacing/>
        <w:jc w:val="both"/>
        <w:rPr>
          <w:rFonts w:eastAsia="Calibri"/>
          <w:lang w:eastAsia="en-US"/>
        </w:rPr>
      </w:pPr>
      <w:r w:rsidRPr="00EF7305">
        <w:rPr>
          <w:lang w:eastAsia="en-US"/>
        </w:rPr>
        <w:t xml:space="preserve">Los autores declaran que no existen conflictos de interés en relación con el trabajo. </w:t>
      </w:r>
    </w:p>
    <w:p w14:paraId="5B3750C1" w14:textId="77777777" w:rsidR="00675476" w:rsidRPr="00391509" w:rsidRDefault="00675476" w:rsidP="00391509"/>
    <w:sectPr w:rsidR="00675476" w:rsidRPr="00391509" w:rsidSect="00486BFA">
      <w:headerReference w:type="default" r:id="rId26"/>
      <w:footerReference w:type="even" r:id="rId27"/>
      <w:footerReference w:type="default" r:id="rId28"/>
      <w:pgSz w:w="12242" w:h="15842" w:code="1"/>
      <w:pgMar w:top="1418" w:right="1134" w:bottom="1701" w:left="1134"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06429" w14:textId="77777777" w:rsidR="00CE5065" w:rsidRDefault="00CE5065">
      <w:r>
        <w:separator/>
      </w:r>
    </w:p>
  </w:endnote>
  <w:endnote w:type="continuationSeparator" w:id="0">
    <w:p w14:paraId="6E56DBAE" w14:textId="77777777" w:rsidR="00CE5065" w:rsidRDefault="00CE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414BB"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99C2E91"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6197" w14:textId="2F3E7FB2" w:rsidR="000F3690" w:rsidRPr="00AE044C" w:rsidRDefault="00EF7305" w:rsidP="00391509">
    <w:pPr>
      <w:pStyle w:val="Piedepgina"/>
      <w:ind w:right="360"/>
      <w:rPr>
        <w:sz w:val="22"/>
        <w:szCs w:val="22"/>
      </w:rPr>
    </w:pPr>
    <w:r>
      <w:rPr>
        <w:noProof/>
      </w:rPr>
      <mc:AlternateContent>
        <mc:Choice Requires="wps">
          <w:drawing>
            <wp:anchor distT="0" distB="0" distL="114300" distR="114300" simplePos="0" relativeHeight="251658240" behindDoc="0" locked="0" layoutInCell="1" allowOverlap="1" wp14:anchorId="6ABBE406" wp14:editId="4D50C911">
              <wp:simplePos x="0" y="0"/>
              <wp:positionH relativeFrom="column">
                <wp:posOffset>3810</wp:posOffset>
              </wp:positionH>
              <wp:positionV relativeFrom="paragraph">
                <wp:posOffset>50165</wp:posOffset>
              </wp:positionV>
              <wp:extent cx="6286500" cy="19050"/>
              <wp:effectExtent l="19050" t="1905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422CBE"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" strokecolor="blue" strokeweight="2.25pt"/>
          </w:pict>
        </mc:Fallback>
      </mc:AlternateContent>
    </w:r>
  </w:p>
  <w:p w14:paraId="714BBBAA" w14:textId="77777777" w:rsidR="00675476" w:rsidRPr="00AE044C" w:rsidRDefault="00CE5065" w:rsidP="00391509">
    <w:pPr>
      <w:pStyle w:val="Piedepgina"/>
      <w:ind w:right="360"/>
      <w:rPr>
        <w:sz w:val="22"/>
        <w:szCs w:val="22"/>
      </w:rPr>
    </w:pPr>
    <w:hyperlink r:id="rId1" w:history="1">
      <w:r w:rsidR="00391509" w:rsidRPr="00AE044C">
        <w:rPr>
          <w:rStyle w:val="Hipervnculo"/>
          <w:sz w:val="22"/>
          <w:szCs w:val="22"/>
        </w:rPr>
        <w:t>http://scielo.sld.cu</w:t>
      </w:r>
    </w:hyperlink>
  </w:p>
  <w:p w14:paraId="016B527C" w14:textId="77777777" w:rsidR="00391509" w:rsidRPr="00AE044C" w:rsidRDefault="00CE5065"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0D481DEA" w14:textId="172B1923"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EF7305" w:rsidRPr="00EF7305">
      <w:rPr>
        <w:rFonts w:ascii="Verdana" w:hAnsi="Verdana"/>
        <w:noProof/>
        <w:sz w:val="18"/>
        <w:szCs w:val="18"/>
        <w:lang w:val="en-US" w:eastAsia="en-US"/>
      </w:rPr>
      <w:drawing>
        <wp:inline distT="0" distB="0" distL="0" distR="0" wp14:anchorId="4527BD01" wp14:editId="439DC8BF">
          <wp:extent cx="638175" cy="152400"/>
          <wp:effectExtent l="0" t="0" r="0" b="0"/>
          <wp:docPr id="1"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0510D" w14:textId="77777777" w:rsidR="00CE5065" w:rsidRDefault="00CE5065">
      <w:r>
        <w:separator/>
      </w:r>
    </w:p>
  </w:footnote>
  <w:footnote w:type="continuationSeparator" w:id="0">
    <w:p w14:paraId="3D3232F8" w14:textId="77777777" w:rsidR="00CE5065" w:rsidRDefault="00CE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C90B" w14:textId="00F2FF63" w:rsidR="00CC376A" w:rsidRPr="00AE044C" w:rsidRDefault="00EF7305" w:rsidP="00180CE9">
    <w:pPr>
      <w:pStyle w:val="Encabezado"/>
      <w:tabs>
        <w:tab w:val="left" w:pos="420"/>
      </w:tabs>
      <w:jc w:val="center"/>
      <w:rPr>
        <w:sz w:val="22"/>
        <w:szCs w:val="22"/>
      </w:rPr>
    </w:pPr>
    <w:r>
      <w:rPr>
        <w:noProof/>
      </w:rPr>
      <w:drawing>
        <wp:anchor distT="0" distB="0" distL="114300" distR="114300" simplePos="0" relativeHeight="251662336" behindDoc="0" locked="0" layoutInCell="1" allowOverlap="1" wp14:anchorId="6A89232F" wp14:editId="3EEB2028">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sidR="00B23B4D">
      <w:rPr>
        <w:sz w:val="22"/>
        <w:szCs w:val="22"/>
      </w:rPr>
      <w:t>2021</w:t>
    </w:r>
    <w:r w:rsidR="003E03D5">
      <w:rPr>
        <w:sz w:val="22"/>
        <w:szCs w:val="22"/>
      </w:rPr>
      <w:t>;</w:t>
    </w:r>
    <w:r w:rsidR="00B23B4D">
      <w:rPr>
        <w:sz w:val="22"/>
        <w:szCs w:val="22"/>
      </w:rPr>
      <w:t>50</w:t>
    </w:r>
    <w:r w:rsidR="00493701" w:rsidRPr="00AE044C">
      <w:rPr>
        <w:sz w:val="22"/>
        <w:szCs w:val="22"/>
      </w:rPr>
      <w:t>(</w:t>
    </w:r>
    <w:r w:rsidR="00B23B4D">
      <w:rPr>
        <w:sz w:val="22"/>
        <w:szCs w:val="22"/>
      </w:rPr>
      <w:t>4</w:t>
    </w:r>
    <w:r w:rsidR="00493701" w:rsidRPr="00AE044C">
      <w:rPr>
        <w:sz w:val="22"/>
        <w:szCs w:val="22"/>
      </w:rPr>
      <w:t>)</w:t>
    </w:r>
    <w:r w:rsidR="00391509" w:rsidRPr="00AE044C">
      <w:rPr>
        <w:sz w:val="22"/>
        <w:szCs w:val="22"/>
      </w:rPr>
      <w:t>:</w:t>
    </w:r>
    <w:r w:rsidR="00B23B4D">
      <w:rPr>
        <w:sz w:val="22"/>
        <w:szCs w:val="22"/>
      </w:rPr>
      <w:t xml:space="preserve"> e02101061</w:t>
    </w:r>
  </w:p>
  <w:p w14:paraId="4139539C" w14:textId="3FB419F6" w:rsidR="00A477DE" w:rsidRDefault="00EF7305">
    <w:r>
      <w:rPr>
        <w:noProof/>
      </w:rPr>
      <mc:AlternateContent>
        <mc:Choice Requires="wps">
          <w:drawing>
            <wp:anchor distT="0" distB="0" distL="114300" distR="114300" simplePos="0" relativeHeight="251657216" behindDoc="0" locked="0" layoutInCell="1" allowOverlap="1" wp14:anchorId="2A17B65D" wp14:editId="052CA796">
              <wp:simplePos x="0" y="0"/>
              <wp:positionH relativeFrom="column">
                <wp:posOffset>3810</wp:posOffset>
              </wp:positionH>
              <wp:positionV relativeFrom="paragraph">
                <wp:posOffset>41911</wp:posOffset>
              </wp:positionV>
              <wp:extent cx="6305550" cy="19050"/>
              <wp:effectExtent l="19050" t="19050" r="19050" b="1905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994D3A5"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3pt" to="496.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" strokecolor="blue" strokeweight="2.2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305"/>
    <w:rsid w:val="000F3690"/>
    <w:rsid w:val="001221D1"/>
    <w:rsid w:val="00180CE9"/>
    <w:rsid w:val="002064A0"/>
    <w:rsid w:val="00230DD5"/>
    <w:rsid w:val="00380D64"/>
    <w:rsid w:val="00391509"/>
    <w:rsid w:val="003E03D5"/>
    <w:rsid w:val="00486BFA"/>
    <w:rsid w:val="00493701"/>
    <w:rsid w:val="004E2065"/>
    <w:rsid w:val="005508A2"/>
    <w:rsid w:val="00566F71"/>
    <w:rsid w:val="005918BD"/>
    <w:rsid w:val="005E0DCE"/>
    <w:rsid w:val="006173A6"/>
    <w:rsid w:val="00675476"/>
    <w:rsid w:val="007C430F"/>
    <w:rsid w:val="007D614D"/>
    <w:rsid w:val="00960D6A"/>
    <w:rsid w:val="009A0560"/>
    <w:rsid w:val="009B0917"/>
    <w:rsid w:val="00A23C0C"/>
    <w:rsid w:val="00A477DE"/>
    <w:rsid w:val="00A71E65"/>
    <w:rsid w:val="00AE044C"/>
    <w:rsid w:val="00B23B4D"/>
    <w:rsid w:val="00B31971"/>
    <w:rsid w:val="00B4380A"/>
    <w:rsid w:val="00B66ECB"/>
    <w:rsid w:val="00C7523A"/>
    <w:rsid w:val="00CC1B6E"/>
    <w:rsid w:val="00CC376A"/>
    <w:rsid w:val="00CC48A1"/>
    <w:rsid w:val="00CE5065"/>
    <w:rsid w:val="00CF50E0"/>
    <w:rsid w:val="00D85951"/>
    <w:rsid w:val="00E62606"/>
    <w:rsid w:val="00EC5A6B"/>
    <w:rsid w:val="00EF7305"/>
    <w:rsid w:val="00F8146B"/>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5EB7FF"/>
  <w15:docId w15:val="{CA31E711-8FA8-4B6C-B375-31447464E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4269-8956" TargetMode="External"/><Relationship Id="rId13" Type="http://schemas.openxmlformats.org/officeDocument/2006/relationships/image" Target="media/image1.jpeg"/><Relationship Id="rId18" Type="http://schemas.openxmlformats.org/officeDocument/2006/relationships/hyperlink" Target="https://www.fs.usda.gov/treesearch/pubs/30342"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repositorio.uigv.edu.pe/bitstream/handle/20.500.11818/2890/TESIS%20RODRIGUEZ%20ZELADA%20FERNANDO.pdf?sequence=2&amp;isAllowed=y" TargetMode="External"/><Relationship Id="rId7" Type="http://schemas.openxmlformats.org/officeDocument/2006/relationships/hyperlink" Target="https://orcid.org/0000-0001-9891-2873" TargetMode="External"/><Relationship Id="rId12" Type="http://schemas.openxmlformats.org/officeDocument/2006/relationships/hyperlink" Target="mailto:labestard@infomed.sld.cu" TargetMode="External"/><Relationship Id="rId17" Type="http://schemas.openxmlformats.org/officeDocument/2006/relationships/hyperlink" Target="https://es.scribd.com/document/376055248/ntoxicacion-por-hiervas" TargetMode="External"/><Relationship Id="rId25" Type="http://schemas.openxmlformats.org/officeDocument/2006/relationships/hyperlink" Target="https://www.insst.es/documents/94886/161971/Cap%C3%ADtulo+80.+Industria+del+caucho" TargetMode="External"/><Relationship Id="rId2" Type="http://schemas.openxmlformats.org/officeDocument/2006/relationships/settings" Target="settings.xml"/><Relationship Id="rId16" Type="http://schemas.openxmlformats.org/officeDocument/2006/relationships/hyperlink" Target="https://www.eweb.unex.es/eweb/toxicologia/Publis%20pdf%20Marcos/PlantaNavidad.pdf" TargetMode="External"/><Relationship Id="rId20" Type="http://schemas.openxmlformats.org/officeDocument/2006/relationships/hyperlink" Target="https://edis.ifas.ufl.edu/pdf%5CFR%5CFR32800.pdf"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orcid.org/0000-0002-3301-2599" TargetMode="External"/><Relationship Id="rId11" Type="http://schemas.openxmlformats.org/officeDocument/2006/relationships/hyperlink" Target="https://orcid.org/0000-0001-7758-7987" TargetMode="External"/><Relationship Id="rId24" Type="http://schemas.openxmlformats.org/officeDocument/2006/relationships/hyperlink" Target="https://www.aeped.es/sites/default/files/documentos/protocolos_seup_2020_final.pdf" TargetMode="External"/><Relationship Id="rId5" Type="http://schemas.openxmlformats.org/officeDocument/2006/relationships/endnotes" Target="endnotes.xml"/><Relationship Id="rId15" Type="http://schemas.openxmlformats.org/officeDocument/2006/relationships/hyperlink" Target="https://www.academia.edu/35974107/Goldfranks_Toxicologic_Emergencies_10th_Ed_booksmedicos" TargetMode="External"/><Relationship Id="rId23" Type="http://schemas.openxmlformats.org/officeDocument/2006/relationships/hyperlink" Target="https://eprints.ucm.es/id/eprint/42693/1/T38785.pdf" TargetMode="External"/><Relationship Id="rId28" Type="http://schemas.openxmlformats.org/officeDocument/2006/relationships/footer" Target="footer2.xml"/><Relationship Id="rId10" Type="http://schemas.openxmlformats.org/officeDocument/2006/relationships/hyperlink" Target="https://orcid.org/0000-0001-5730-2585" TargetMode="External"/><Relationship Id="rId19" Type="http://schemas.openxmlformats.org/officeDocument/2006/relationships/hyperlink" Target="https://www.jstor.org/stable/23216545" TargetMode="External"/><Relationship Id="rId4" Type="http://schemas.openxmlformats.org/officeDocument/2006/relationships/footnotes" Target="footnotes.xml"/><Relationship Id="rId9" Type="http://schemas.openxmlformats.org/officeDocument/2006/relationships/hyperlink" Target="https://orcid.org/0000-0002-1435-0031" TargetMode="External"/><Relationship Id="rId14" Type="http://schemas.openxmlformats.org/officeDocument/2006/relationships/hyperlink" Target="http://medicentro.sld.cu/index.php/medicentro/article/viewFile/110/139" TargetMode="External"/><Relationship Id="rId22" Type="http://schemas.openxmlformats.org/officeDocument/2006/relationships/hyperlink" Target="http://biblioteca.usac.edu.gt/tesis/06/06_2334.pdf"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57</TotalTime>
  <Pages>7</Pages>
  <Words>2347</Words>
  <Characters>12909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15226</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6</cp:revision>
  <cp:lastPrinted>2010-09-13T21:29:00Z</cp:lastPrinted>
  <dcterms:created xsi:type="dcterms:W3CDTF">2021-09-29T20:12:00Z</dcterms:created>
  <dcterms:modified xsi:type="dcterms:W3CDTF">2021-09-29T21:09:00Z</dcterms:modified>
</cp:coreProperties>
</file>