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55B2" w14:textId="77777777" w:rsidR="00FF421E" w:rsidRPr="00FF421E" w:rsidRDefault="00FF421E" w:rsidP="00FF421E">
      <w:pPr>
        <w:keepNext/>
        <w:keepLines/>
        <w:suppressAutoHyphens/>
        <w:spacing w:line="360" w:lineRule="auto"/>
        <w:ind w:firstLine="720"/>
        <w:jc w:val="right"/>
        <w:outlineLvl w:val="0"/>
        <w:rPr>
          <w:bCs/>
          <w:sz w:val="20"/>
          <w:szCs w:val="20"/>
          <w:lang w:eastAsia="ar-SA"/>
        </w:rPr>
      </w:pPr>
      <w:r w:rsidRPr="00FF421E">
        <w:rPr>
          <w:bCs/>
          <w:sz w:val="20"/>
          <w:szCs w:val="20"/>
          <w:lang w:eastAsia="ar-SA"/>
        </w:rPr>
        <w:t>Artículo de investigación</w:t>
      </w:r>
    </w:p>
    <w:p w14:paraId="6E3550DF" w14:textId="77777777" w:rsidR="00FF421E" w:rsidRPr="00FF421E" w:rsidRDefault="00FF421E" w:rsidP="00FF421E">
      <w:pPr>
        <w:keepNext/>
        <w:keepLines/>
        <w:suppressAutoHyphens/>
        <w:spacing w:line="360" w:lineRule="auto"/>
        <w:jc w:val="center"/>
        <w:outlineLvl w:val="0"/>
        <w:rPr>
          <w:b/>
          <w:bCs/>
          <w:lang w:eastAsia="ar-SA"/>
        </w:rPr>
      </w:pPr>
    </w:p>
    <w:p w14:paraId="0E6C7898" w14:textId="77777777" w:rsidR="00FF421E" w:rsidRPr="00FF421E" w:rsidRDefault="00FF421E" w:rsidP="00FF421E">
      <w:pPr>
        <w:keepNext/>
        <w:keepLines/>
        <w:suppressAutoHyphens/>
        <w:spacing w:line="360" w:lineRule="auto"/>
        <w:jc w:val="center"/>
        <w:outlineLvl w:val="0"/>
        <w:rPr>
          <w:b/>
          <w:bCs/>
          <w:sz w:val="28"/>
          <w:szCs w:val="28"/>
          <w:lang w:eastAsia="ar-SA"/>
        </w:rPr>
      </w:pPr>
      <w:r w:rsidRPr="00FF421E">
        <w:rPr>
          <w:b/>
          <w:bCs/>
          <w:sz w:val="28"/>
          <w:szCs w:val="28"/>
          <w:lang w:eastAsia="ar-SA"/>
        </w:rPr>
        <w:t xml:space="preserve">Factores asociados a la mortalidad en pacientes cirróticos </w:t>
      </w:r>
    </w:p>
    <w:p w14:paraId="725B232D" w14:textId="77777777" w:rsidR="00FF421E" w:rsidRPr="00FF421E" w:rsidRDefault="00FF421E" w:rsidP="00FF421E">
      <w:pPr>
        <w:suppressAutoHyphens/>
        <w:spacing w:line="360" w:lineRule="auto"/>
        <w:jc w:val="center"/>
        <w:rPr>
          <w:rFonts w:eastAsia="Calibri"/>
          <w:sz w:val="28"/>
          <w:szCs w:val="28"/>
          <w:lang w:val="en-US" w:eastAsia="ar-SA"/>
        </w:rPr>
      </w:pPr>
      <w:r w:rsidRPr="00FF421E">
        <w:rPr>
          <w:rFonts w:eastAsia="Calibri"/>
          <w:sz w:val="28"/>
          <w:szCs w:val="28"/>
          <w:lang w:val="en-US" w:eastAsia="ar-SA"/>
        </w:rPr>
        <w:t xml:space="preserve">Factors associated with mortality in cirrhotic patients </w:t>
      </w:r>
    </w:p>
    <w:p w14:paraId="2D616BE3" w14:textId="77777777" w:rsidR="00FF421E" w:rsidRPr="00FF421E" w:rsidRDefault="00FF421E" w:rsidP="00FF421E">
      <w:pPr>
        <w:suppressAutoHyphens/>
        <w:spacing w:line="360" w:lineRule="auto"/>
        <w:jc w:val="center"/>
        <w:rPr>
          <w:rFonts w:eastAsia="Calibri"/>
          <w:lang w:val="en-US" w:eastAsia="ar-SA"/>
        </w:rPr>
      </w:pPr>
    </w:p>
    <w:p w14:paraId="0D74A4BB" w14:textId="77777777" w:rsidR="00FF421E" w:rsidRPr="00FF421E" w:rsidRDefault="00FF421E" w:rsidP="00FF421E">
      <w:pPr>
        <w:suppressAutoHyphens/>
        <w:spacing w:line="360" w:lineRule="auto"/>
        <w:rPr>
          <w:rFonts w:eastAsia="Calibri"/>
          <w:lang w:val="es-ES" w:eastAsia="ar-SA"/>
        </w:rPr>
      </w:pPr>
      <w:r w:rsidRPr="00FF421E">
        <w:rPr>
          <w:rFonts w:eastAsia="Calibri"/>
          <w:lang w:val="es-ES" w:eastAsia="ar-SA"/>
        </w:rPr>
        <w:t>Maricarmen Viera Santillán</w:t>
      </w:r>
      <w:r w:rsidRPr="00FF421E">
        <w:rPr>
          <w:rFonts w:eastAsia="Calibri"/>
          <w:vertAlign w:val="superscript"/>
          <w:lang w:val="es-ES" w:eastAsia="ar-SA"/>
        </w:rPr>
        <w:t>1</w:t>
      </w:r>
      <w:r w:rsidRPr="00FF421E">
        <w:rPr>
          <w:rFonts w:eastAsia="Calibri"/>
          <w:lang w:val="es-ES" w:eastAsia="ar-SA"/>
        </w:rPr>
        <w:t xml:space="preserve"> </w:t>
      </w:r>
      <w:hyperlink r:id="rId7" w:history="1">
        <w:r w:rsidRPr="00FF421E">
          <w:rPr>
            <w:rFonts w:eastAsia="Calibri"/>
            <w:u w:val="single"/>
            <w:lang w:val="es-ES" w:eastAsia="ar-SA"/>
          </w:rPr>
          <w:t>https://orcid.org/0000-0002-1892-264X</w:t>
        </w:r>
      </w:hyperlink>
      <w:r w:rsidRPr="00FF421E">
        <w:rPr>
          <w:rFonts w:eastAsia="Calibri"/>
          <w:lang w:val="es-ES" w:eastAsia="ar-SA"/>
        </w:rPr>
        <w:t xml:space="preserve"> </w:t>
      </w:r>
    </w:p>
    <w:p w14:paraId="4EE0556D" w14:textId="77777777" w:rsidR="00FF421E" w:rsidRPr="00FF421E" w:rsidRDefault="00FF421E" w:rsidP="00FF421E">
      <w:pPr>
        <w:suppressAutoHyphens/>
        <w:spacing w:line="360" w:lineRule="auto"/>
        <w:rPr>
          <w:rFonts w:eastAsia="Calibri"/>
          <w:lang w:val="es-ES" w:eastAsia="ar-SA"/>
        </w:rPr>
      </w:pPr>
      <w:r w:rsidRPr="00FF421E">
        <w:rPr>
          <w:rFonts w:eastAsia="Calibri"/>
          <w:lang w:val="es-ES" w:eastAsia="ar-SA"/>
        </w:rPr>
        <w:t xml:space="preserve">Luis </w:t>
      </w:r>
      <w:proofErr w:type="spellStart"/>
      <w:r w:rsidRPr="00FF421E">
        <w:rPr>
          <w:rFonts w:eastAsia="Calibri"/>
          <w:lang w:val="es-ES" w:eastAsia="ar-SA"/>
        </w:rPr>
        <w:t>Vasquez</w:t>
      </w:r>
      <w:proofErr w:type="spellEnd"/>
      <w:r w:rsidRPr="00FF421E">
        <w:rPr>
          <w:rFonts w:eastAsia="Calibri"/>
          <w:lang w:val="es-ES" w:eastAsia="ar-SA"/>
        </w:rPr>
        <w:t xml:space="preserve"> Elera</w:t>
      </w:r>
      <w:r w:rsidRPr="00FF421E">
        <w:rPr>
          <w:rFonts w:eastAsia="Calibri"/>
          <w:vertAlign w:val="superscript"/>
          <w:lang w:val="es-ES" w:eastAsia="ar-SA"/>
        </w:rPr>
        <w:t>2</w:t>
      </w:r>
      <w:r w:rsidRPr="00FF421E">
        <w:rPr>
          <w:rFonts w:eastAsia="Calibri"/>
          <w:lang w:val="es-ES" w:eastAsia="ar-SA"/>
        </w:rPr>
        <w:t xml:space="preserve"> </w:t>
      </w:r>
      <w:hyperlink r:id="rId8" w:history="1">
        <w:r w:rsidRPr="00FF421E">
          <w:rPr>
            <w:rFonts w:eastAsia="Calibri"/>
            <w:u w:val="single"/>
            <w:lang w:val="es-ES" w:eastAsia="ar-SA"/>
          </w:rPr>
          <w:t>https://orcid.org/0000-0002-2073-3848</w:t>
        </w:r>
      </w:hyperlink>
      <w:r w:rsidRPr="00FF421E">
        <w:rPr>
          <w:rFonts w:eastAsia="Calibri"/>
          <w:lang w:val="es-ES" w:eastAsia="ar-SA"/>
        </w:rPr>
        <w:t xml:space="preserve"> </w:t>
      </w:r>
    </w:p>
    <w:p w14:paraId="0F3A18FB" w14:textId="77777777" w:rsidR="00FF421E" w:rsidRPr="00FF421E" w:rsidRDefault="00FF421E" w:rsidP="00FF421E">
      <w:pPr>
        <w:suppressAutoHyphens/>
        <w:spacing w:line="360" w:lineRule="auto"/>
        <w:rPr>
          <w:rFonts w:eastAsia="Calibri"/>
          <w:lang w:val="en-US" w:eastAsia="ar-SA"/>
        </w:rPr>
      </w:pPr>
      <w:r w:rsidRPr="00FF421E">
        <w:rPr>
          <w:rFonts w:eastAsia="Calibri"/>
          <w:lang w:val="en-US" w:eastAsia="ar-SA"/>
        </w:rPr>
        <w:t>Christopher G. Valdiviezo-Morales</w:t>
      </w:r>
      <w:r w:rsidRPr="00FF421E">
        <w:rPr>
          <w:rFonts w:eastAsia="Calibri"/>
          <w:vertAlign w:val="superscript"/>
          <w:lang w:val="en-US" w:eastAsia="ar-SA"/>
        </w:rPr>
        <w:t>1,3</w:t>
      </w:r>
      <w:r w:rsidRPr="00FF421E">
        <w:rPr>
          <w:rFonts w:eastAsia="Calibri"/>
          <w:lang w:val="en-US" w:eastAsia="ar-SA"/>
        </w:rPr>
        <w:t xml:space="preserve"> </w:t>
      </w:r>
      <w:hyperlink r:id="rId9" w:history="1">
        <w:r w:rsidRPr="00FF421E">
          <w:rPr>
            <w:rFonts w:eastAsia="Calibri"/>
            <w:u w:val="single"/>
            <w:lang w:val="en-US" w:eastAsia="ar-SA"/>
          </w:rPr>
          <w:t>https://orcid.org/0000-0003-2825-9324</w:t>
        </w:r>
      </w:hyperlink>
      <w:r w:rsidRPr="00FF421E">
        <w:rPr>
          <w:rFonts w:eastAsia="Calibri"/>
          <w:lang w:val="en-US" w:eastAsia="ar-SA"/>
        </w:rPr>
        <w:t xml:space="preserve"> </w:t>
      </w:r>
    </w:p>
    <w:p w14:paraId="42DD1B9E" w14:textId="77777777" w:rsidR="00FF421E" w:rsidRPr="00FF421E" w:rsidRDefault="00FF421E" w:rsidP="00FF421E">
      <w:pPr>
        <w:suppressAutoHyphens/>
        <w:spacing w:line="360" w:lineRule="auto"/>
        <w:rPr>
          <w:rFonts w:eastAsia="Calibri"/>
          <w:lang w:val="es-ES" w:eastAsia="ar-SA"/>
        </w:rPr>
      </w:pPr>
      <w:proofErr w:type="spellStart"/>
      <w:r w:rsidRPr="00FF421E">
        <w:rPr>
          <w:rFonts w:eastAsia="Calibri"/>
          <w:lang w:val="es-ES" w:eastAsia="ar-SA"/>
        </w:rPr>
        <w:t>Raisa</w:t>
      </w:r>
      <w:proofErr w:type="spellEnd"/>
      <w:r w:rsidRPr="00FF421E">
        <w:rPr>
          <w:rFonts w:eastAsia="Calibri"/>
          <w:lang w:val="es-ES" w:eastAsia="ar-SA"/>
        </w:rPr>
        <w:t xml:space="preserve"> N. Martinez-Rivera</w:t>
      </w:r>
      <w:r w:rsidRPr="00FF421E">
        <w:rPr>
          <w:rFonts w:eastAsia="Calibri"/>
          <w:vertAlign w:val="superscript"/>
          <w:lang w:val="es-ES" w:eastAsia="ar-SA"/>
        </w:rPr>
        <w:t>1,3</w:t>
      </w:r>
      <w:r w:rsidRPr="00FF421E">
        <w:rPr>
          <w:rFonts w:eastAsia="Calibri"/>
          <w:lang w:val="es-ES" w:eastAsia="ar-SA"/>
        </w:rPr>
        <w:t xml:space="preserve"> </w:t>
      </w:r>
      <w:hyperlink r:id="rId10" w:history="1">
        <w:r w:rsidRPr="00FF421E">
          <w:rPr>
            <w:rFonts w:eastAsia="Calibri"/>
            <w:u w:val="single"/>
            <w:lang w:val="es-ES" w:eastAsia="ar-SA"/>
          </w:rPr>
          <w:t>https://orcid.org/0000-0002-3611-7628</w:t>
        </w:r>
      </w:hyperlink>
      <w:r w:rsidRPr="00FF421E">
        <w:rPr>
          <w:rFonts w:eastAsia="Calibri"/>
          <w:lang w:val="es-ES" w:eastAsia="ar-SA"/>
        </w:rPr>
        <w:t xml:space="preserve"> </w:t>
      </w:r>
    </w:p>
    <w:p w14:paraId="37794C59" w14:textId="005BB47A" w:rsidR="00FF421E" w:rsidRPr="00FF421E" w:rsidRDefault="00FF421E" w:rsidP="00FF421E">
      <w:pPr>
        <w:suppressAutoHyphens/>
        <w:spacing w:line="360" w:lineRule="auto"/>
        <w:rPr>
          <w:rFonts w:eastAsia="Calibri"/>
          <w:lang w:val="es-ES" w:eastAsia="ar-SA"/>
        </w:rPr>
      </w:pPr>
      <w:r w:rsidRPr="00FF421E">
        <w:rPr>
          <w:rFonts w:eastAsia="Calibri"/>
          <w:lang w:val="es-ES" w:eastAsia="ar-SA"/>
        </w:rPr>
        <w:t>Mario J. Valladares-Garrido</w:t>
      </w:r>
      <w:r w:rsidRPr="00FF421E">
        <w:rPr>
          <w:rFonts w:eastAsia="Calibri"/>
          <w:vertAlign w:val="superscript"/>
          <w:lang w:val="es-ES" w:eastAsia="ar-SA"/>
        </w:rPr>
        <w:t>4</w:t>
      </w:r>
      <w:r w:rsidR="0029156C">
        <w:rPr>
          <w:rFonts w:eastAsia="Calibri"/>
          <w:vertAlign w:val="superscript"/>
          <w:lang w:val="es-ES" w:eastAsia="ar-SA"/>
        </w:rPr>
        <w:t>,5</w:t>
      </w:r>
      <w:r w:rsidRPr="0029156C">
        <w:rPr>
          <w:rFonts w:eastAsia="Calibri"/>
          <w:lang w:val="es-ES" w:eastAsia="ar-SA"/>
        </w:rPr>
        <w:t>*</w:t>
      </w:r>
      <w:r w:rsidRPr="00FF421E">
        <w:rPr>
          <w:rFonts w:eastAsia="Calibri"/>
          <w:lang w:val="es-ES" w:eastAsia="ar-SA"/>
        </w:rPr>
        <w:t xml:space="preserve"> </w:t>
      </w:r>
      <w:hyperlink r:id="rId11" w:history="1">
        <w:r w:rsidRPr="00FF421E">
          <w:rPr>
            <w:rFonts w:eastAsia="Calibri"/>
            <w:u w:val="single"/>
            <w:lang w:val="es-ES" w:eastAsia="ar-SA"/>
          </w:rPr>
          <w:t>https://orcid.org/0000-0003-0839-2419</w:t>
        </w:r>
      </w:hyperlink>
      <w:r w:rsidRPr="00FF421E">
        <w:rPr>
          <w:rFonts w:eastAsia="Calibri"/>
          <w:lang w:val="es-ES" w:eastAsia="ar-SA"/>
        </w:rPr>
        <w:t xml:space="preserve"> </w:t>
      </w:r>
    </w:p>
    <w:p w14:paraId="4372C4E7" w14:textId="77777777" w:rsidR="00FF421E" w:rsidRPr="00FF421E" w:rsidRDefault="00FF421E" w:rsidP="00FF421E">
      <w:pPr>
        <w:suppressAutoHyphens/>
        <w:spacing w:line="360" w:lineRule="auto"/>
        <w:rPr>
          <w:rFonts w:eastAsia="Calibri"/>
          <w:lang w:val="es-ES" w:eastAsia="ar-SA"/>
        </w:rPr>
      </w:pPr>
    </w:p>
    <w:p w14:paraId="24F8B234" w14:textId="77777777" w:rsidR="00FF421E" w:rsidRPr="00FF421E" w:rsidRDefault="00FF421E" w:rsidP="00FF421E">
      <w:pPr>
        <w:suppressAutoHyphens/>
        <w:spacing w:line="360" w:lineRule="auto"/>
        <w:rPr>
          <w:rFonts w:eastAsia="Calibri"/>
          <w:lang w:val="es-ES" w:eastAsia="ar-SA"/>
        </w:rPr>
      </w:pPr>
      <w:r w:rsidRPr="00FF421E">
        <w:rPr>
          <w:rFonts w:eastAsia="Calibri"/>
          <w:vertAlign w:val="superscript"/>
          <w:lang w:val="es-ES" w:eastAsia="ar-SA"/>
        </w:rPr>
        <w:t>1</w:t>
      </w:r>
      <w:r w:rsidRPr="00FF421E">
        <w:rPr>
          <w:rFonts w:eastAsia="Calibri"/>
          <w:lang w:val="es-ES" w:eastAsia="ar-SA"/>
        </w:rPr>
        <w:t>Universidad Nacional de Piura. Piura, Perú.</w:t>
      </w:r>
    </w:p>
    <w:p w14:paraId="73D93806" w14:textId="77777777" w:rsidR="00FF421E" w:rsidRPr="00FF421E" w:rsidRDefault="00FF421E" w:rsidP="00FF421E">
      <w:pPr>
        <w:suppressAutoHyphens/>
        <w:spacing w:line="360" w:lineRule="auto"/>
        <w:rPr>
          <w:rFonts w:eastAsia="Calibri"/>
          <w:lang w:val="es-ES" w:eastAsia="ar-SA"/>
        </w:rPr>
      </w:pPr>
      <w:r w:rsidRPr="00FF421E">
        <w:rPr>
          <w:rFonts w:eastAsia="Calibri"/>
          <w:vertAlign w:val="superscript"/>
          <w:lang w:val="es-ES" w:eastAsia="ar-SA"/>
        </w:rPr>
        <w:t>2</w:t>
      </w:r>
      <w:r w:rsidRPr="00FF421E">
        <w:rPr>
          <w:rFonts w:eastAsia="Calibri"/>
          <w:lang w:val="es-ES" w:eastAsia="ar-SA"/>
        </w:rPr>
        <w:t>Servicio de Gastroenterología, Hospital “Cayetano Heredia”. Piura, Perú.</w:t>
      </w:r>
    </w:p>
    <w:p w14:paraId="6F4734CA" w14:textId="77777777" w:rsidR="00FF421E" w:rsidRPr="00FF421E" w:rsidRDefault="00FF421E" w:rsidP="00FF421E">
      <w:pPr>
        <w:suppressAutoHyphens/>
        <w:spacing w:line="360" w:lineRule="auto"/>
        <w:rPr>
          <w:rFonts w:eastAsia="Calibri"/>
          <w:lang w:val="es-ES" w:eastAsia="ar-SA"/>
        </w:rPr>
      </w:pPr>
      <w:r w:rsidRPr="00FF421E">
        <w:rPr>
          <w:rFonts w:eastAsia="Calibri"/>
          <w:vertAlign w:val="superscript"/>
          <w:lang w:val="es-ES" w:eastAsia="ar-SA"/>
        </w:rPr>
        <w:t>3</w:t>
      </w:r>
      <w:r w:rsidRPr="00FF421E">
        <w:rPr>
          <w:rFonts w:eastAsia="Calibri"/>
          <w:lang w:val="es-ES" w:eastAsia="ar-SA"/>
        </w:rPr>
        <w:t>Sociedad Científica de Estudiantes de Medicina de la Universidad Nacional de Piura. Piura, Perú.</w:t>
      </w:r>
    </w:p>
    <w:p w14:paraId="19C117E8" w14:textId="5C35A482" w:rsidR="00FF421E" w:rsidRDefault="00FF421E" w:rsidP="00FF421E">
      <w:pPr>
        <w:suppressAutoHyphens/>
        <w:spacing w:line="360" w:lineRule="auto"/>
        <w:rPr>
          <w:rFonts w:eastAsia="Calibri"/>
          <w:lang w:val="es-ES" w:eastAsia="ar-SA"/>
        </w:rPr>
      </w:pPr>
      <w:r w:rsidRPr="00FF421E">
        <w:rPr>
          <w:rFonts w:eastAsia="Calibri"/>
          <w:vertAlign w:val="superscript"/>
          <w:lang w:val="es-ES" w:eastAsia="ar-SA"/>
        </w:rPr>
        <w:t>4</w:t>
      </w:r>
      <w:r w:rsidRPr="00FF421E">
        <w:rPr>
          <w:rFonts w:eastAsia="Calibri"/>
          <w:lang w:val="es-ES" w:eastAsia="ar-SA"/>
        </w:rPr>
        <w:t>Universidad Continental. Lima, Perú.</w:t>
      </w:r>
    </w:p>
    <w:p w14:paraId="1FBECFC3" w14:textId="45BAFF43" w:rsidR="00FF421E" w:rsidRDefault="002E2F8E" w:rsidP="00FF421E">
      <w:pPr>
        <w:suppressAutoHyphens/>
        <w:spacing w:line="360" w:lineRule="auto"/>
        <w:rPr>
          <w:rFonts w:eastAsia="Calibri"/>
          <w:lang w:val="es-ES" w:eastAsia="ar-SA"/>
        </w:rPr>
      </w:pPr>
      <w:r w:rsidRPr="002E2F8E">
        <w:rPr>
          <w:rFonts w:eastAsia="Calibri"/>
          <w:vertAlign w:val="superscript"/>
          <w:lang w:val="es-ES" w:eastAsia="ar-SA"/>
        </w:rPr>
        <w:t>5</w:t>
      </w:r>
      <w:r w:rsidRPr="002E2F8E">
        <w:rPr>
          <w:rFonts w:eastAsia="Calibri"/>
          <w:lang w:val="es-ES" w:eastAsia="ar-SA"/>
        </w:rPr>
        <w:t>Universidad Norbert Wiener. Lima, Per</w:t>
      </w:r>
      <w:r>
        <w:rPr>
          <w:rFonts w:eastAsia="Calibri"/>
          <w:lang w:val="es-ES" w:eastAsia="ar-SA"/>
        </w:rPr>
        <w:t>ú</w:t>
      </w:r>
      <w:r w:rsidRPr="002E2F8E">
        <w:rPr>
          <w:rFonts w:eastAsia="Calibri"/>
          <w:lang w:val="es-ES" w:eastAsia="ar-SA"/>
        </w:rPr>
        <w:t>.</w:t>
      </w:r>
    </w:p>
    <w:p w14:paraId="31DF98F0" w14:textId="77777777" w:rsidR="002E2F8E" w:rsidRPr="00FF421E" w:rsidRDefault="002E2F8E" w:rsidP="00FF421E">
      <w:pPr>
        <w:suppressAutoHyphens/>
        <w:spacing w:line="360" w:lineRule="auto"/>
        <w:rPr>
          <w:rFonts w:eastAsia="Calibri"/>
          <w:lang w:val="es-ES" w:eastAsia="ar-SA"/>
        </w:rPr>
      </w:pPr>
    </w:p>
    <w:p w14:paraId="76353352" w14:textId="77777777" w:rsidR="00FF421E" w:rsidRPr="00FF421E" w:rsidRDefault="00FF421E" w:rsidP="00FF421E">
      <w:pPr>
        <w:suppressAutoHyphens/>
        <w:spacing w:line="360" w:lineRule="auto"/>
        <w:rPr>
          <w:rFonts w:eastAsia="Calibri"/>
          <w:lang w:val="es-ES" w:eastAsia="ar-SA"/>
        </w:rPr>
      </w:pPr>
      <w:r w:rsidRPr="00FF421E">
        <w:rPr>
          <w:rFonts w:eastAsia="Calibri"/>
          <w:lang w:val="es-ES" w:eastAsia="ar-SA"/>
        </w:rPr>
        <w:t xml:space="preserve">*Autor para la correspondencia. Correo electrónico: </w:t>
      </w:r>
      <w:hyperlink r:id="rId12" w:history="1">
        <w:r w:rsidRPr="00FF421E">
          <w:rPr>
            <w:rFonts w:eastAsia="Calibri"/>
            <w:color w:val="0000FF"/>
            <w:u w:val="single"/>
            <w:lang w:val="es-ES" w:eastAsia="ar-SA"/>
          </w:rPr>
          <w:t>mvalladares@continental.edu.pe</w:t>
        </w:r>
      </w:hyperlink>
      <w:r w:rsidRPr="00FF421E">
        <w:rPr>
          <w:rFonts w:eastAsia="Calibri"/>
          <w:lang w:val="es-ES" w:eastAsia="ar-SA"/>
        </w:rPr>
        <w:t xml:space="preserve">  </w:t>
      </w:r>
    </w:p>
    <w:p w14:paraId="71FEB591" w14:textId="77777777" w:rsidR="00FF421E" w:rsidRPr="00FF421E" w:rsidRDefault="00FF421E" w:rsidP="00FF421E">
      <w:pPr>
        <w:suppressAutoHyphens/>
        <w:autoSpaceDE w:val="0"/>
        <w:spacing w:line="360" w:lineRule="auto"/>
        <w:rPr>
          <w:rFonts w:eastAsia="Calibri"/>
          <w:lang w:val="es-ES" w:eastAsia="ar-SA"/>
        </w:rPr>
      </w:pPr>
    </w:p>
    <w:p w14:paraId="5388615A" w14:textId="77777777" w:rsidR="00FF421E" w:rsidRPr="00FF421E" w:rsidRDefault="00FF421E" w:rsidP="00FF421E">
      <w:pPr>
        <w:keepNext/>
        <w:keepLines/>
        <w:suppressAutoHyphens/>
        <w:spacing w:line="360" w:lineRule="auto"/>
        <w:outlineLvl w:val="0"/>
        <w:rPr>
          <w:b/>
          <w:bCs/>
          <w:lang w:eastAsia="ar-SA"/>
        </w:rPr>
      </w:pPr>
      <w:r w:rsidRPr="00FF421E">
        <w:rPr>
          <w:b/>
          <w:bCs/>
          <w:lang w:eastAsia="ar-SA"/>
        </w:rPr>
        <w:t>RESUMEN</w:t>
      </w:r>
    </w:p>
    <w:p w14:paraId="320BA645" w14:textId="77777777" w:rsidR="00FF421E" w:rsidRPr="00FF421E" w:rsidRDefault="00FF421E" w:rsidP="00FF421E">
      <w:pPr>
        <w:spacing w:line="360" w:lineRule="auto"/>
        <w:jc w:val="both"/>
        <w:rPr>
          <w:rFonts w:eastAsia="Calibri"/>
          <w:lang w:eastAsia="ar-SA"/>
        </w:rPr>
      </w:pPr>
      <w:r w:rsidRPr="00FF421E">
        <w:rPr>
          <w:rFonts w:eastAsia="Calibri"/>
          <w:b/>
          <w:bCs/>
          <w:lang w:eastAsia="ar-SA"/>
        </w:rPr>
        <w:t xml:space="preserve">Introducción: </w:t>
      </w:r>
      <w:r w:rsidRPr="00FF421E">
        <w:rPr>
          <w:rFonts w:eastAsia="Calibri"/>
          <w:lang w:eastAsia="ar-SA"/>
        </w:rPr>
        <w:t xml:space="preserve">La cirrosis hepática representa en Perú el 9,1 % de las causas de mortalidad. Existe poca evidencia sobre la influencia de variables epidemiológicas y clínicas en la mortalidad de pacientes con cirrosis hepática en Latinoamérica, en especial en países en vías de desarrollo, como Perú. </w:t>
      </w:r>
    </w:p>
    <w:p w14:paraId="03F6601D" w14:textId="77777777" w:rsidR="00FF421E" w:rsidRPr="00FF421E" w:rsidRDefault="00FF421E" w:rsidP="00FF421E">
      <w:pPr>
        <w:spacing w:line="360" w:lineRule="auto"/>
        <w:jc w:val="both"/>
        <w:rPr>
          <w:rFonts w:eastAsia="Calibri"/>
          <w:lang w:eastAsia="ar-SA"/>
        </w:rPr>
      </w:pPr>
      <w:r w:rsidRPr="00FF421E">
        <w:rPr>
          <w:rFonts w:eastAsia="Calibri"/>
          <w:b/>
          <w:bCs/>
          <w:lang w:eastAsia="ar-SA"/>
        </w:rPr>
        <w:t xml:space="preserve">Objetivo: </w:t>
      </w:r>
      <w:r w:rsidRPr="00FF421E">
        <w:rPr>
          <w:rFonts w:eastAsia="Calibri"/>
          <w:lang w:eastAsia="ar-SA"/>
        </w:rPr>
        <w:t xml:space="preserve">Identificar los factores asociados a la mortalidad en pacientes cirróticos. </w:t>
      </w:r>
    </w:p>
    <w:p w14:paraId="1DD1F11C" w14:textId="77777777" w:rsidR="00FF421E" w:rsidRPr="00FF421E" w:rsidRDefault="00FF421E" w:rsidP="00FF421E">
      <w:pPr>
        <w:spacing w:line="360" w:lineRule="auto"/>
        <w:jc w:val="both"/>
        <w:rPr>
          <w:rFonts w:eastAsia="Calibri"/>
          <w:lang w:eastAsia="ar-SA"/>
        </w:rPr>
      </w:pPr>
      <w:r w:rsidRPr="00FF421E">
        <w:rPr>
          <w:rFonts w:eastAsia="Calibri"/>
          <w:b/>
          <w:bCs/>
          <w:lang w:eastAsia="ar-SA"/>
        </w:rPr>
        <w:t>Métodos:</w:t>
      </w:r>
      <w:r w:rsidRPr="00FF421E">
        <w:rPr>
          <w:rFonts w:eastAsia="Calibri"/>
          <w:lang w:eastAsia="ar-SA"/>
        </w:rPr>
        <w:t xml:space="preserve"> Estudio trasversal en pacientes cirróticos atendidos en el Hospital “Cayetano Heredia”, de Piura, Perú, en el año 2017. La variable dependiente fue la mortalidad hospitalaria y las variables independientes fueron las características epidemiológicas, clínicas y de laboratorio. Se utilizó la prueba exacta de Fisher y la prueba de t para estimar los factores asociados a la mortalidad. </w:t>
      </w:r>
    </w:p>
    <w:p w14:paraId="1A1B77F8" w14:textId="77777777" w:rsidR="00FF421E" w:rsidRPr="00FF421E" w:rsidRDefault="00FF421E" w:rsidP="00FF421E">
      <w:pPr>
        <w:spacing w:line="360" w:lineRule="auto"/>
        <w:jc w:val="both"/>
        <w:rPr>
          <w:rFonts w:eastAsia="Calibri"/>
          <w:lang w:eastAsia="ar-SA"/>
        </w:rPr>
      </w:pPr>
      <w:r w:rsidRPr="00FF421E">
        <w:rPr>
          <w:rFonts w:eastAsia="Calibri"/>
          <w:b/>
          <w:bCs/>
          <w:lang w:eastAsia="ar-SA"/>
        </w:rPr>
        <w:lastRenderedPageBreak/>
        <w:t xml:space="preserve">Resultados: </w:t>
      </w:r>
      <w:r w:rsidRPr="00FF421E">
        <w:rPr>
          <w:rFonts w:eastAsia="Calibri"/>
          <w:lang w:eastAsia="ar-SA"/>
        </w:rPr>
        <w:t>De 52 pacientes, la frecuencia de mortalidad debido a cirrosis fue de 35,4 %.  Tener ascitis moderada (p = 0,004), grado de encefalopatía (p = 0,001), leucocitosis (p = 0,004), enfermedad descompensada según índice de Child Pugh (p = 0,023), índice de Meld entre 30-39 puntos (p &lt; 0,001) y niveles de creatinina (p = 0,009) resultaron asociados a una mayor frecuencia de mortalidad.</w:t>
      </w:r>
    </w:p>
    <w:p w14:paraId="2AD632CC" w14:textId="77777777" w:rsidR="00FF421E" w:rsidRPr="00FF421E" w:rsidRDefault="00FF421E" w:rsidP="00FF421E">
      <w:pPr>
        <w:spacing w:line="360" w:lineRule="auto"/>
        <w:jc w:val="both"/>
        <w:rPr>
          <w:rFonts w:eastAsia="Calibri"/>
          <w:lang w:eastAsia="ar-SA"/>
        </w:rPr>
      </w:pPr>
      <w:r w:rsidRPr="00FF421E">
        <w:rPr>
          <w:rFonts w:eastAsia="Calibri"/>
          <w:b/>
          <w:bCs/>
          <w:lang w:eastAsia="ar-SA"/>
        </w:rPr>
        <w:t>Conclusión:</w:t>
      </w:r>
      <w:r w:rsidRPr="00FF421E">
        <w:rPr>
          <w:rFonts w:eastAsia="Calibri"/>
          <w:lang w:eastAsia="ar-SA"/>
        </w:rPr>
        <w:t xml:space="preserve"> La presencia de ascitis moderada, grado de encefalopatía, leucocitosis, enfermedad descompensada según índice de Child Pugh, índice de Meld entre 30-39 y los niveles de creatinina, están asociados a la mortalidad en pacientes cirróticos.</w:t>
      </w:r>
    </w:p>
    <w:p w14:paraId="76677D72" w14:textId="77777777" w:rsidR="00FF421E" w:rsidRPr="00FF421E" w:rsidRDefault="00FF421E" w:rsidP="00FF421E">
      <w:pPr>
        <w:suppressAutoHyphens/>
        <w:spacing w:line="360" w:lineRule="auto"/>
        <w:rPr>
          <w:rFonts w:eastAsia="Calibri"/>
          <w:lang w:eastAsia="ar-SA"/>
        </w:rPr>
      </w:pPr>
      <w:r w:rsidRPr="00FF421E">
        <w:rPr>
          <w:rFonts w:eastAsia="Calibri"/>
          <w:b/>
          <w:lang w:eastAsia="ar-SA"/>
        </w:rPr>
        <w:t xml:space="preserve">Palabras clave: </w:t>
      </w:r>
      <w:r w:rsidRPr="00FF421E">
        <w:rPr>
          <w:rFonts w:eastAsia="Calibri"/>
          <w:lang w:eastAsia="ar-SA"/>
        </w:rPr>
        <w:t xml:space="preserve">cirrosis; cirrosis hepática; mortalidad. </w:t>
      </w:r>
    </w:p>
    <w:p w14:paraId="7B44673C" w14:textId="77777777" w:rsidR="00FF421E" w:rsidRPr="00FF421E" w:rsidRDefault="00FF421E" w:rsidP="00FF421E">
      <w:pPr>
        <w:spacing w:line="360" w:lineRule="auto"/>
        <w:rPr>
          <w:rFonts w:eastAsia="Calibri"/>
          <w:lang w:eastAsia="ar-SA"/>
        </w:rPr>
      </w:pPr>
    </w:p>
    <w:p w14:paraId="0A396D80" w14:textId="77777777" w:rsidR="00FF421E" w:rsidRPr="00FF421E" w:rsidRDefault="00FF421E" w:rsidP="00FF421E">
      <w:pPr>
        <w:spacing w:line="360" w:lineRule="auto"/>
        <w:rPr>
          <w:rFonts w:eastAsia="Calibri"/>
          <w:b/>
          <w:bCs/>
          <w:lang w:val="en-US" w:eastAsia="ar-SA"/>
        </w:rPr>
      </w:pPr>
      <w:r w:rsidRPr="00FF421E">
        <w:rPr>
          <w:rFonts w:eastAsia="Calibri"/>
          <w:b/>
          <w:bCs/>
          <w:lang w:val="en-US" w:eastAsia="ar-SA"/>
        </w:rPr>
        <w:t>ABSTRACT</w:t>
      </w:r>
      <w:r w:rsidRPr="00FF421E">
        <w:rPr>
          <w:rFonts w:eastAsia="Calibri"/>
          <w:b/>
          <w:bCs/>
          <w:lang w:val="en-US" w:eastAsia="ar-SA"/>
        </w:rPr>
        <w:tab/>
        <w:t xml:space="preserve">   </w:t>
      </w:r>
    </w:p>
    <w:p w14:paraId="582A6EFC"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Introduction:</w:t>
      </w:r>
      <w:r w:rsidRPr="00FF421E">
        <w:rPr>
          <w:rFonts w:eastAsia="Calibri"/>
          <w:bCs/>
          <w:lang w:val="en-US" w:eastAsia="ar-SA"/>
        </w:rPr>
        <w:t xml:space="preserve"> Liver cirrhosis represents 9,1 % of causes of mortality in Peru. There is little evidence on the influence of epidemiological and clinical variables on the mortality of patients with liver cirrhosis in Latin America, especially in developing countries such as Peru.</w:t>
      </w:r>
    </w:p>
    <w:p w14:paraId="6EF0AF2F"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Objective:</w:t>
      </w:r>
      <w:r w:rsidRPr="00FF421E">
        <w:rPr>
          <w:rFonts w:eastAsia="Calibri"/>
          <w:bCs/>
          <w:lang w:val="en-US" w:eastAsia="ar-SA"/>
        </w:rPr>
        <w:t xml:space="preserve"> To identify the factors associated with mortality in cirrhotic patients. </w:t>
      </w:r>
    </w:p>
    <w:p w14:paraId="227D7EA9"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Methods:</w:t>
      </w:r>
      <w:r w:rsidRPr="00FF421E">
        <w:rPr>
          <w:rFonts w:eastAsia="Calibri"/>
          <w:bCs/>
          <w:lang w:val="en-US" w:eastAsia="ar-SA"/>
        </w:rPr>
        <w:t xml:space="preserve"> Cross-sectional study in cirrhotic patients treated at the Cayetano Heredia Hospital in Piura, Peru, year 2017. The dependent variable was hospital mortality and the independent variables were epidemiological, clinical and laboratory characteristics. Fisher's exact test and the T test were used to estimate the factors associated with mortality.</w:t>
      </w:r>
    </w:p>
    <w:p w14:paraId="4370D21E"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Results:</w:t>
      </w:r>
      <w:r w:rsidRPr="00FF421E">
        <w:rPr>
          <w:rFonts w:eastAsia="Calibri"/>
          <w:bCs/>
          <w:lang w:val="en-US" w:eastAsia="ar-SA"/>
        </w:rPr>
        <w:t xml:space="preserve"> Of 52 patients, the frequency of mortality due to cirrhosis was 35,4 %. Have moderate ascites (p=0,004), degree of encephalopathy (p=0,001), leukocytosis (p=0,004), decompensated disease according to the Child Pugh index (p=0,023), Meld index between 30-39 points (p&lt;0,001) and creatinine levels (p=0,009) were associated with a higher frequency of mortality.</w:t>
      </w:r>
    </w:p>
    <w:p w14:paraId="5A398FA1"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Conclusion:</w:t>
      </w:r>
      <w:r w:rsidRPr="00FF421E">
        <w:rPr>
          <w:rFonts w:eastAsia="Calibri"/>
          <w:bCs/>
          <w:lang w:val="en-US" w:eastAsia="ar-SA"/>
        </w:rPr>
        <w:t xml:space="preserve"> The presence of moderate ascites, degree of encephalopathy, leukocytosis, decompensated disease according to the Child Pugh index, Meld index between 30-39, creatinine levels are associated with mortality in cirrhotic patients.</w:t>
      </w:r>
    </w:p>
    <w:p w14:paraId="6D47FF4F" w14:textId="77777777" w:rsidR="00FF421E" w:rsidRPr="00FF421E" w:rsidRDefault="00FF421E" w:rsidP="00FF421E">
      <w:pPr>
        <w:spacing w:line="360" w:lineRule="auto"/>
        <w:jc w:val="both"/>
        <w:rPr>
          <w:rFonts w:eastAsia="Calibri"/>
          <w:bCs/>
          <w:lang w:val="en-US" w:eastAsia="ar-SA"/>
        </w:rPr>
      </w:pPr>
      <w:r w:rsidRPr="00FF421E">
        <w:rPr>
          <w:rFonts w:eastAsia="Calibri"/>
          <w:b/>
          <w:bCs/>
          <w:lang w:val="en-US" w:eastAsia="ar-SA"/>
        </w:rPr>
        <w:t>Keywords:</w:t>
      </w:r>
      <w:r w:rsidRPr="00FF421E">
        <w:rPr>
          <w:rFonts w:eastAsia="Calibri"/>
          <w:bCs/>
          <w:lang w:val="en-US" w:eastAsia="ar-SA"/>
        </w:rPr>
        <w:t xml:space="preserve"> cirrhosis; hepatic cirrhosis; mortality.</w:t>
      </w:r>
    </w:p>
    <w:p w14:paraId="7E1A6225" w14:textId="77777777" w:rsidR="00FF421E" w:rsidRPr="00FF421E" w:rsidRDefault="00FF421E" w:rsidP="00FF421E">
      <w:pPr>
        <w:spacing w:line="360" w:lineRule="auto"/>
        <w:jc w:val="both"/>
        <w:rPr>
          <w:rFonts w:eastAsia="Calibri"/>
          <w:bCs/>
          <w:lang w:val="en-US" w:eastAsia="ar-SA"/>
        </w:rPr>
      </w:pPr>
    </w:p>
    <w:p w14:paraId="55342DBC" w14:textId="77777777" w:rsidR="00FF421E" w:rsidRPr="00FF421E" w:rsidRDefault="00FF421E" w:rsidP="00FF421E">
      <w:pPr>
        <w:spacing w:line="360" w:lineRule="auto"/>
        <w:jc w:val="both"/>
        <w:rPr>
          <w:rFonts w:eastAsia="Calibri"/>
          <w:bCs/>
          <w:lang w:val="en-US" w:eastAsia="ar-SA"/>
        </w:rPr>
      </w:pPr>
    </w:p>
    <w:p w14:paraId="4DCB6EB8" w14:textId="77777777" w:rsidR="00FF421E" w:rsidRPr="00FF421E" w:rsidRDefault="00FF421E" w:rsidP="00FF421E">
      <w:pPr>
        <w:spacing w:line="360" w:lineRule="auto"/>
        <w:jc w:val="both"/>
        <w:rPr>
          <w:rFonts w:eastAsia="Calibri"/>
          <w:bCs/>
          <w:lang w:val="es-CU" w:eastAsia="ar-SA"/>
        </w:rPr>
      </w:pPr>
      <w:r w:rsidRPr="00FF421E">
        <w:rPr>
          <w:rFonts w:eastAsia="Calibri"/>
          <w:bCs/>
          <w:lang w:val="es-CU" w:eastAsia="ar-SA"/>
        </w:rPr>
        <w:t>Recibido: 21/05/2021</w:t>
      </w:r>
    </w:p>
    <w:p w14:paraId="1063787D" w14:textId="77777777" w:rsidR="00FF421E" w:rsidRPr="00FF421E" w:rsidRDefault="00FF421E" w:rsidP="00FF421E">
      <w:pPr>
        <w:spacing w:line="360" w:lineRule="auto"/>
        <w:jc w:val="both"/>
        <w:rPr>
          <w:rFonts w:eastAsia="Calibri"/>
          <w:bCs/>
          <w:lang w:val="es-CU" w:eastAsia="ar-SA"/>
        </w:rPr>
      </w:pPr>
      <w:r w:rsidRPr="00FF421E">
        <w:rPr>
          <w:rFonts w:eastAsia="Calibri"/>
          <w:bCs/>
          <w:lang w:val="es-CU" w:eastAsia="ar-SA"/>
        </w:rPr>
        <w:lastRenderedPageBreak/>
        <w:t>Aprobado: 12/08/2021</w:t>
      </w:r>
    </w:p>
    <w:p w14:paraId="53121F9D" w14:textId="77777777" w:rsidR="00FF421E" w:rsidRPr="00FF421E" w:rsidRDefault="00FF421E" w:rsidP="00FF421E">
      <w:pPr>
        <w:spacing w:line="360" w:lineRule="auto"/>
        <w:rPr>
          <w:rFonts w:eastAsia="Calibri"/>
          <w:lang w:val="es-CU" w:eastAsia="ar-SA"/>
        </w:rPr>
      </w:pPr>
    </w:p>
    <w:p w14:paraId="79539975" w14:textId="77777777" w:rsidR="00FF421E" w:rsidRPr="00FF421E" w:rsidRDefault="00FF421E" w:rsidP="00FF421E">
      <w:pPr>
        <w:spacing w:line="360" w:lineRule="auto"/>
        <w:jc w:val="center"/>
        <w:rPr>
          <w:rFonts w:eastAsia="Calibri"/>
          <w:b/>
          <w:bCs/>
          <w:lang w:val="es-CU" w:eastAsia="ar-SA"/>
        </w:rPr>
      </w:pPr>
    </w:p>
    <w:p w14:paraId="17330C07" w14:textId="77777777" w:rsidR="00FF421E" w:rsidRPr="00FF421E" w:rsidRDefault="00FF421E" w:rsidP="00FF421E">
      <w:pPr>
        <w:spacing w:line="360" w:lineRule="auto"/>
        <w:jc w:val="center"/>
        <w:rPr>
          <w:rFonts w:eastAsia="Calibri"/>
          <w:b/>
          <w:bCs/>
          <w:sz w:val="32"/>
          <w:szCs w:val="32"/>
          <w:lang w:val="es-ES" w:eastAsia="ar-SA"/>
        </w:rPr>
      </w:pPr>
      <w:r w:rsidRPr="00FF421E">
        <w:rPr>
          <w:rFonts w:eastAsia="Calibri"/>
          <w:b/>
          <w:bCs/>
          <w:sz w:val="32"/>
          <w:szCs w:val="32"/>
          <w:lang w:val="es-ES" w:eastAsia="ar-SA"/>
        </w:rPr>
        <w:t>INTRODUCCIÓN</w:t>
      </w:r>
    </w:p>
    <w:p w14:paraId="1C611906" w14:textId="77777777" w:rsidR="00FF421E" w:rsidRPr="00FF421E" w:rsidRDefault="00FF421E" w:rsidP="00FF421E">
      <w:pPr>
        <w:spacing w:line="360" w:lineRule="auto"/>
        <w:jc w:val="both"/>
        <w:rPr>
          <w:rFonts w:eastAsia="Calibri"/>
          <w:lang w:eastAsia="en-US"/>
        </w:rPr>
      </w:pPr>
      <w:r w:rsidRPr="00FF421E">
        <w:rPr>
          <w:rFonts w:eastAsia="Calibri"/>
          <w:lang w:eastAsia="en-US"/>
        </w:rPr>
        <w:t>La cirrosis hepática es la principal causa de muerte por enfermedades del hígado a nivel mundial y la undécima causa de muerte global.</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CUDQkUhZ","properties":{"formattedCitation":"(1)","plainCitation":"(1)","noteIndex":0},"citationItems":[{"id":"rpNjEJQe/rltihU4q","uris":["http://zotero.org/users/local/uIPAhAvK/items/D7N6H5LF"],"uri":["http://zotero.org/users/local/uIPAhAvK/items/D7N6H5LF"],"itemData":{"id":2750,"type":"article-journal","abstract":"Liver disease accounts for approximately 2 million deaths per year worldwide, 1 million due to complications of cirrhosis and 1million due to viral hepatitis and hepatocellular carcinoma. Cirrhosis is currently the 11th most common cause of death globally and liver cancer is the 16th leading cause of death; combined, they account for 3.5% of all deaths worldwide. Cirrhosis is within the top 20 causes of disability-adjusted life years and years of life lost, accounting for 1.6% and 2.1% of the worldwide burden. About 2 billion people consume alcohol worldwide and upwards of 75 million are diagnosed with alcohol-use disorders and are at risk of alcohol-associated liver disease. Approximately 2 billion adults are obese or overweight and over 400 million have diabetes; both of which are risk factors for non-alcoholic fatty liver disease and hepatocellular carcinoma. The global prevalence of viral hepatitis remains high, while drug-induced liver injury continues to increase as a major cause of acute hepatitis. Liver transplantation is the second most common solid organ transplantation, yet less than 10% of global transplantation needs are met at current rates. Though these numbers are sobering, they highlight an important opportunity to improve public health given that most causes of liver diseases are preventable.","container-title":"Journal of Hepatology","DOI":"10.1016/j.jhep.2018.09.014","ISSN":"1600-0641","issue":"1","journalAbbreviation":"J. Hepatol.","language":"eng","note":"PMID: 30266282","page":"151-171","source":"PubMed","title":"Burden of liver diseases in the world","volume":"70","author":[{"family":"Asrani","given":"Sumeet K."},{"family":"Devarbhavi","given":"Harshad"},{"family":"Eaton","given":"John"},{"family":"Kamath","given":"Patrick S."}],"issued":{"date-parts":[["2019"]]}}}],"schema":"https://github.com/citation-style-language/schema/raw/master/csl-citation.json"}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(1)</w:t>
      </w:r>
      <w:r w:rsidRPr="00FF421E">
        <w:rPr>
          <w:rFonts w:eastAsia="Calibri"/>
          <w:vertAlign w:val="superscript"/>
          <w:lang w:eastAsia="en-US"/>
        </w:rPr>
        <w:fldChar w:fldCharType="end"/>
      </w:r>
      <w:r w:rsidRPr="00FF421E">
        <w:rPr>
          <w:rFonts w:eastAsia="Calibri"/>
          <w:vertAlign w:val="superscript"/>
          <w:lang w:eastAsia="en-US"/>
        </w:rPr>
        <w:t xml:space="preserve"> </w:t>
      </w:r>
      <w:r w:rsidRPr="00FF421E">
        <w:rPr>
          <w:rFonts w:eastAsia="Calibri"/>
          <w:lang w:eastAsia="en-US"/>
        </w:rPr>
        <w:t>En Perú, la cirrosis, junto a la fibrosis del hígado, representa el 9,1 % de las causas de letalidad.</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XhoYsiAn","properties":{"formattedCitation":"(2)","plainCitation":"(2)","noteIndex":0},"citationItems":[{"id":"rpNjEJQe/OIQ550bN","uris":["http://zotero.org/users/local/uIPAhAvK/items/3HYPR4B6"],"uri":["http://zotero.org/users/local/uIPAhAvK/items/3HYPR4B6"],"itemData":{"id":2752,"type":"article-journal","container-title":"Anales de la Facultad de Medicina","DOI":"10.15381/anales.v80i1.15868","ISSN":"1025-5583","issue":"1","note":"publisher: UNMSM. Facultad de Medicina","page":"39-44","source":"SciELO","title":"Mortalidad por enfermedades digestivas no neoplásicas en la población adulta del Perú, 2010 - 2015","volume":"80","author":[{"family":"Castillo-Contreras","given":"Ofelia"},{"family":"Flores-Flores","given":"Claudio"}],"issued":{"date-parts":[["2019",1]]}}}],"schema":"https://github.com/citation-style-language/schema/raw/master/csl-citation.json"}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(2)</w:t>
      </w:r>
      <w:r w:rsidRPr="00FF421E">
        <w:rPr>
          <w:rFonts w:eastAsia="Calibri"/>
          <w:vertAlign w:val="superscript"/>
          <w:lang w:eastAsia="en-US"/>
        </w:rPr>
        <w:fldChar w:fldCharType="end"/>
      </w:r>
      <w:r w:rsidRPr="00FF421E">
        <w:rPr>
          <w:rFonts w:eastAsia="Calibri"/>
          <w:lang w:eastAsia="en-US"/>
        </w:rPr>
        <w:t xml:space="preserve"> La tasa de mortalidad estandarizada fue de 16,3 por 100 000 personas por año en Piura, una región del norte peruano.</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lZEq9jMK","properties":{"formattedCitation":"(2)","plainCitation":"(2)","noteIndex":0},"citationItems":[{"id":"rpNjEJQe/OIQ550bN","uris":["http://zotero.org/users/local/uIPAhAvK/items/3HYPR4B6"],"uri":["http://zotero.org/users/local/uIPAhAvK/items/3HYPR4B6"],"itemData":{"id":2752,"type":"article-journal","container-title":"Anales de la Facultad de Medicina","DOI":"10.15381/anales.v80i1.15868","ISSN":"1025-5583","issue":"1","note":"publisher: UNMSM. Facultad de Medicina","page":"39-44","source":"SciELO","title":"Mortalidad por enfermedades digestivas no neoplásicas en la población adulta del Perú, 2010 - 2015","volume":"80","author":[{"family":"Castillo-Contreras","given":"Ofelia"},{"family":"Flores-Flores","given":"Claudio"}],"issued":{"date-parts":[["2019",1]]}}}],"schema":"https://github.com/citation-style-language/schema/raw/master/csl-citation.json"}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(2)</w:t>
      </w:r>
      <w:r w:rsidRPr="00FF421E">
        <w:rPr>
          <w:rFonts w:eastAsia="Calibri"/>
          <w:vertAlign w:val="superscript"/>
          <w:lang w:eastAsia="en-US"/>
        </w:rPr>
        <w:fldChar w:fldCharType="end"/>
      </w:r>
      <w:r w:rsidRPr="00FF421E" w:rsidDel="00536756">
        <w:rPr>
          <w:rFonts w:eastAsia="Calibri"/>
          <w:lang w:eastAsia="en-US"/>
        </w:rPr>
        <w:t xml:space="preserve"> </w:t>
      </w:r>
      <w:r w:rsidRPr="00FF421E">
        <w:rPr>
          <w:rFonts w:eastAsia="Calibri"/>
          <w:lang w:eastAsia="en-US"/>
        </w:rPr>
        <w:t>Esta enfermedad es la primera causa de demanda efectiva de hospitalización, debido a las múltiples complicaciones que ocasiona en el paciente, como ascitis, sangrado digestivo por várices, infección y encefalopatía hepática.</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BeH5LHY2","properties":{"formattedCitation":"(3)","plainCitation":"(3)","noteIndex":0},"citationItems":[{"id":"rpNjEJQe/jR686lrn","uris":["http://zotero.org/users/local/uIPAhAvK/items/7WIEHMIX"],"uri":["http://zotero.org/users/local/uIPAhAvK/items/7WIEHMIX"],"itemData":{"id":2755,"type":"article-journal","container-title":"Revista de Gastroenterología del Perú","ISSN":"1022-5129","issue":"3","page":"238-245","source":"SciELO","title":"Características Epidemiológicas y Clínicas de la Cirrosis Hepática en la Unidad de Hígado del HNERM Es-Salud","volume":"27","author":[{"family":"Bustíos","given":"C."},{"family":"Dávalos","given":"M."},{"family":"Román","given":"R."},{"family":"Zumaeta","given":"E."}],"issued":{"date-parts":[["2007",7]]}}}],"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(3)</w:t>
      </w:r>
      <w:r w:rsidRPr="00FF421E">
        <w:rPr>
          <w:rFonts w:eastAsia="Calibri"/>
          <w:vertAlign w:val="superscript"/>
          <w:lang w:eastAsia="en-US"/>
        </w:rPr>
        <w:fldChar w:fldCharType="end"/>
      </w:r>
    </w:p>
    <w:p w14:paraId="5409C2A9" w14:textId="77777777" w:rsidR="00FF421E" w:rsidRPr="00FF421E" w:rsidRDefault="00FF421E" w:rsidP="00FF421E">
      <w:pPr>
        <w:spacing w:line="360" w:lineRule="auto"/>
        <w:jc w:val="both"/>
        <w:rPr>
          <w:rFonts w:eastAsia="Calibri"/>
          <w:lang w:eastAsia="en-US"/>
        </w:rPr>
      </w:pPr>
      <w:r w:rsidRPr="00FF421E">
        <w:rPr>
          <w:rFonts w:eastAsia="Calibri"/>
          <w:lang w:eastAsia="en-US"/>
        </w:rPr>
        <w:t>Los factores asociados a la mortalidad en pacientes con cirrosis, son  la ascitis,</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CwhYJEtH","properties":{"formattedCitation":"(4)","plainCitation":"(4)","noteIndex":0},"citationItems":[{"id":"rpNjEJQe/XhHw5D6q","uris":["http://zotero.org/users/local/uIPAhAvK/items/AMTK3RUD"],"uri":["http://zotero.org/users/local/uIPAhAvK/items/AMTK3RUD"],"itemData":{"id":2747,"type":"article-journal","abstract":"Hospitalizations for advanced liver disease are costly and associated with significant mortality. This population-based study aimed to evaluate factors associated with in-hospital mortality and resource use for the management of hospitalized patients with cirrhosis.Mortality records and resource utilization for 52,027 patients hospitalized with cirrhosis and/or complications of portal hypertension (ascites, hepatic encephalopathy, variceal bleeding, spontaneous bacterial peritonitis, or hepatorenal syndrome) were extracted from a nationally representative sample of Thai inpatients covered by Universal Coverage Scheme during 2009 to 2013.The rate of dying in the hospital increased steadily by 12% from 9.6% in 2009 to 10.8% in 2013 (P &lt; .001). Complications of portal hypertension were independently associated with increased in-hospital mortality except for ascites. The highest independent risk for hospital death was seen with hepatorenal syndrome (odds ratio [OR], 5.04; 95% confidence interval [CI], 4.38-5.79). Mortality rate remained high in patients with infection, particularly septicemia (OR, 4.26; 95% CI, 4.0-4.54) and pneumonia (OR, 2.44; 95% CI, 2.18-2.73). Receiving upper endoscopy (OR, 0.29; 95% CI, 0.27-0.32) and paracentesis (OR, 0.93; 95% CI, 0.87-1.00) were associated with improved patient survival. The inflation-adjusted national annual costs (P = .06) and total hospital days (P = .07) for cirrhosis showed a trend toward increasing during the 5-year period. Renal dysfunction, infection, and sequelae of portal hypertension except for ascites were independently associated with increased resource utilization.Renal dysfunction, infection, and portal hypertension-related complications are the main factors affecting in-hospital mortality and resource utilization for hospitalized patients with cirrhosis. The early intervention for modifiable factors is an important step toward improving hospital outcomes.","container-title":"Medicine","DOI":"10.1097/MD.0000000000007782","ISSN":"1536-5964","issue":"32","journalAbbreviation":"Medicine (Baltimore)","language":"eng","note":"PMID: 28796076\nPMCID: PMC5556242","page":"e7782","source":"PubMed","title":"Factors affecting mortality and resource use for hospitalized patients with cirrhosis: A population-based study","title-short":"Factors affecting mortality and resource use for hospitalized patients with cirrhosis","volume":"96","author":[{"family":"Charatcharoenwitthaya","given":"Phunchai"},{"family":"Soonthornworasiri","given":"Ngamphol"},{"family":"Karaketklang","given":"Khemajira"},{"family":"Poovorawan","given":"Kittiyod"},{"family":"Pan-Ngum","given":"Wirichada"},{"family":"Chotiyaputta","given":"Watcharasak"},{"family":"Tanwandee","given":"Tawesak"},{"family":"Phaosawasdi","given":"Kamthorn"}],"issued":{"date-parts":[["2017",8]]}}}],"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(4)</w:t>
      </w:r>
      <w:r w:rsidRPr="00FF421E">
        <w:rPr>
          <w:rFonts w:eastAsia="Calibri"/>
          <w:vertAlign w:val="superscript"/>
          <w:lang w:eastAsia="en-US"/>
        </w:rPr>
        <w:fldChar w:fldCharType="end"/>
      </w:r>
      <w:r w:rsidRPr="00FF421E">
        <w:rPr>
          <w:rFonts w:eastAsia="Calibri"/>
          <w:lang w:eastAsia="en-US"/>
        </w:rPr>
        <w:t xml:space="preserve"> puntuaciones de Child-Pugh y Meld; utilizadas para predecir la muerte a corto plazo, puntuaciones del sistema de puntaje de evaluación fisiológica aguda y evaluación crónica de salud (APACHE II, por sus siglas en inglés), la escala de evaluación de fallo orgánico secuencial (SOFA, por sus siglas en inglés) y la puntuación simplificada aguda fisiológica (SAPS</w:t>
      </w:r>
      <w:r w:rsidRPr="00FF421E">
        <w:rPr>
          <w:rFonts w:eastAsia="Calibri"/>
          <w:lang w:eastAsia="ar-SA"/>
        </w:rPr>
        <w:t xml:space="preserve"> </w:t>
      </w:r>
      <w:r w:rsidRPr="00FF421E">
        <w:rPr>
          <w:rFonts w:eastAsia="Calibri"/>
          <w:lang w:eastAsia="en-US"/>
        </w:rPr>
        <w:t>II, por sus siglas en inglés), utilizados en cuidados intensivos.</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T1pqejaL","properties":{"formattedCitation":"(5,6)","plainCitation":"(5,6)","noteIndex":0},"citationItems":[{"id":"rpNjEJQe/wbWZ1OsG","uris":["http://zotero.org/users/local/uIPAhAvK/items/6ENV3Q2H"],"uri":["http://zotero.org/users/local/uIPAhAvK/items/6ENV3Q2H"],"itemData":{"id":2758,"type":"article-journal","abstract":"BACKGROUND &amp; AIMS: Cirrhotic patients admitted to an Intensive Care Unit (ICU) have a poor prognosis. Identifying patients in whom ICU care will be useful can be challenging. The aim of this study was to assess the predictive value of prognostic scores with respect to mortality and to identify mortality risk factors.\nMETHODS: Three hundred and seventy-seven cirrhotic patients admitted to a Liver ICU between May 2005 and March 2009 were enrolled in this study. Their average age was 55.5±11.4 years. The etiology of cirrhosis was alcohol (68%), virus hepatitis (18%), or mixed (5.5%). The main causes of hospitalization were gastrointestinal hemorrhage (43%), sepsis (19%), and hepatic encephalopathy (12%).\nRESULTS: ICU and in-hospital mortality rates were 34.7% and 43.0%, respectively. Infection was the major cause of death (81.6%). ROC curve analysis demonstrated that SOFA (0.92) and SAPS II (0.89) scores calculated within 24h of admission predicted ICU mortality better than the Child-Pugh score (0.79) or MELD scores with (0.79-0.82) or without the incorporation of serum sodium levels (0.82). Statistical analysis showed that the prognostic severity scores, organ replacement therapy, and infection were accurate predictors of mortality. On multivariate analysis, mechanical ventilation, vasopressor therapy, bilirubin level at admission, and infection were independently associated with ICU mortality.\nCONCLUSIONS: For cirrhotic patients admitted to the ICU, SAPS II, and SOFA scores predicted ICU mortality better than liver-specific scores. Mechanical ventilation or vasopressor therapy, bilirubin levels at admission and infection in patients with advanced cirrhosis were associated with a poor outcome.","container-title":"Journal of Hepatology","DOI":"10.1016/j.jhep.2011.06.024","ISSN":"1600-0641","issue":"1","journalAbbreviation":"J. Hepatol.","language":"eng","note":"PMID: 21835136","page":"95-102","source":"PubMed","title":"Prospective evaluation of the prognostic scores for cirrhotic patients admitted to an intensive care unit","volume":"56","author":[{"family":"Levesque","given":"Eric"},{"family":"Hoti","given":"Emir"},{"family":"Azoulay","given":"Daniel"},{"family":"Ichaï","given":"Philippe"},{"family":"Habouchi","given":"Houssam"},{"family":"Castaing","given":"Denis"},{"family":"Samuel","given":"Didier"},{"family":"Saliba","given":"Faouzi"}],"issued":{"date-parts":[["2012",1]]}}},{"id":"rpNjEJQe/qjJFvcpz","uris":["http://zotero.org/users/local/uIPAhAvK/items/BE5NRNEE"],"uri":["http://zotero.org/users/local/uIPAhAvK/items/BE5NRNEE"],"itemData":{"id":2806,"type":"article-journal","abstract":"BACKGROUND/AIMS: Cirrhotic patients admitted to the hospital have a high mortality rate. The aim of this study was to evaluate predictors of mortality in patients hospitalized for specific complications of cirrhosis.\nMETHODOLOGY: All patients admitted to the gastroenterology service with cirrhosis during a 2-year period were retrospectively identified. We compared the clinical characteristics of patients who died and those who survived. Multivariable analysis was performed to determine predictors of mortality.\nRESULTS: A total of 84 patients were included in the study. In hospital mortality rate was 35%. Hepatorenal syndrome development (41% vs 4%, p &lt; 0.001), MELD score (17 vs 12, p = 0.003), Child Pugh score (11 vs 8, p &lt; 0.001), serum creatinine (p &lt; 0.001) and serum potassium values (p = 0.01) were significantly higher in patients who died. Stepwise logistic regression analysis revealed that the best model in prediction of death included serum potassium levels (OR = 2.182; 95% Cl: 1.189-4.006; p &lt; 0.001) and Child Pugh score (OR = 2.140; 95% CI: 1.507-3,038; p = 0.012).\nCONCLUSIONS: The mortality of cirrhotic patients admitted to hospital is significantly high. Prevention of acute kidney injury will be an appropriate approach for improving the survival in hospitalized patients with cirrhosis.","container-title":"Hepato-Gastroenterology","ISSN":"0172-6390","issue":"140","journalAbbreviation":"Hepatogastroenterology","language":"eng","note":"PMID: 26902049","page":"1023-1026","source":"PubMed","title":"Which Factors are Predictive for Mortality among Hospitalized Patients with Cirrhosis?","volume":"62","author":[{"family":"Uslan","given":"Ihsan"},{"family":"Olt","given":"Serdar"},{"family":"Eminler","given":"Ahmet T."}],"issued":{"date-parts":[["2015",6]]}}}],"schema":"https://github.com/citation-style-language/schema/raw/master/csl-citation.json"}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(5,6)</w:t>
      </w:r>
      <w:r w:rsidRPr="00FF421E">
        <w:rPr>
          <w:rFonts w:eastAsia="Calibri"/>
          <w:vertAlign w:val="superscript"/>
          <w:lang w:eastAsia="en-US"/>
        </w:rPr>
        <w:fldChar w:fldCharType="end"/>
      </w:r>
      <w:r w:rsidRPr="00FF421E">
        <w:rPr>
          <w:rFonts w:eastAsia="Calibri"/>
          <w:lang w:eastAsia="en-US"/>
        </w:rPr>
        <w:t xml:space="preserve"> Existen otros marcadores, como la proteína C reactiva, cortisol libre de suero y antígeno del factor </w:t>
      </w:r>
      <w:proofErr w:type="spellStart"/>
      <w:r w:rsidRPr="00FF421E">
        <w:rPr>
          <w:rFonts w:eastAsia="Calibri"/>
          <w:lang w:eastAsia="en-US"/>
        </w:rPr>
        <w:t>von</w:t>
      </w:r>
      <w:proofErr w:type="spellEnd"/>
      <w:r w:rsidRPr="00FF421E">
        <w:rPr>
          <w:rFonts w:eastAsia="Calibri"/>
          <w:lang w:eastAsia="en-US"/>
        </w:rPr>
        <w:t xml:space="preserve"> Willebrand.</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t0jbaEIk","properties":{"formattedCitation":"(7)","plainCitation":"(7)","noteIndex":0},"citationItems":[{"id":"rpNjEJQe/XcCAtPIE","uris":["http://zotero.org/users/local/uIPAhAvK/items/A6CWTZGJ"],"uri":["http://zotero.org/users/local/uIPAhAvK/items/A6CWTZGJ"],"itemData":{"id":2760,"type":"article-journal","abstract":"Determining the prognosis of cirrhotic patients is not an easy task. Prognostic scores, like Child-Pugh and Model of End-stage Liver Disease scores, are commonly used by hepatologists, but do not always reflect superimposed events that may strongly influence the prognosis. Among them, bacterial intestinal translocation is a key phenomenon for the development of cirrhosis-related complications. Several biological variables (C-reactive protein, serum free cortisol, copeptin, von Willebrand factor antigen) are surrogates of “inflammatory stress” and have recently been identified as potential prognostic markers in cirrhotic patients. Most of these above mentioned markers were investigated in pilot studies with sometimes a modest sample size but allow us to catch a glimpse of the pathophysiological mechanisms leading to the worsening of cirrhosis. These new data should generate further well-designed studies to better assess the benefit for liver function of preventing intestinal bacterial translocation and microvascular thrombosis. The control of infection is vital and among all actors of immunity, vitamin D also appears to act as an anti-infective agent and therefore has probably a prognostic value.","container-title":"World Journal of Hepatology","DOI":"10.4254/wjh.v7.i9.1244","ISSN":"1948-5182","issue":"9","journalAbbreviation":"World J Hepatol","note":"PMID: 26019739\nPMCID: PMC4438498","page":"1244-1250","source":"PubMed Central","title":"New prognostic markers in liver cirrhosis","volume":"7","author":[{"family":"Di Martino","given":"Vincent"},{"family":"Weil","given":"Delphine"},{"family":"Cervoni","given":"Jean-Paul"},{"family":"Thevenot","given":"Thierry"}],"issued":{"date-parts":[["2015",5,28]]}}}],"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(7)</w:t>
      </w:r>
      <w:r w:rsidRPr="00FF421E">
        <w:rPr>
          <w:rFonts w:eastAsia="Calibri"/>
          <w:vertAlign w:val="superscript"/>
          <w:lang w:eastAsia="en-US"/>
        </w:rPr>
        <w:fldChar w:fldCharType="end"/>
      </w:r>
      <w:r w:rsidRPr="00FF421E">
        <w:rPr>
          <w:rFonts w:eastAsia="Calibri"/>
          <w:vertAlign w:val="superscript"/>
          <w:lang w:eastAsia="en-US"/>
        </w:rPr>
        <w:t xml:space="preserve"> </w:t>
      </w:r>
      <w:r w:rsidRPr="00FF421E">
        <w:rPr>
          <w:rFonts w:eastAsia="Calibri"/>
          <w:lang w:eastAsia="en-US"/>
        </w:rPr>
        <w:t>Otro estudio,</w:t>
      </w:r>
      <w:r w:rsidRPr="00FF421E">
        <w:rPr>
          <w:rFonts w:eastAsia="Calibri"/>
          <w:vertAlign w:val="superscript"/>
          <w:lang w:eastAsia="en-US"/>
        </w:rPr>
        <w:fldChar w:fldCharType="begin"/>
      </w:r>
      <w:r w:rsidRPr="00FF421E">
        <w:rPr>
          <w:rFonts w:eastAsia="Calibri"/>
          <w:vertAlign w:val="superscript"/>
          <w:lang w:eastAsia="en-US"/>
        </w:rPr>
        <w:instrText xml:space="preserve"> ADDIN ZOTERO_ITEM CSL_CITATION {"citationID":"iXqO6xX3","properties":{"formattedCitation":"(8)","plainCitation":"(8)","noteIndex":0},"citationItems":[{"id":"rpNjEJQe/7WDGkLPl","uris":["http://zotero.org/users/local/uIPAhAvK/items/KMRK2GI7"],"uri":["http://zotero.org/users/local/uIPAhAvK/items/KMRK2GI7"],"itemData":{"id":2762,"type":"article-journal","abstract":"BACKGROUND &amp; AIMS: Patients with cirrhosis develop abnormal hematologic indices (HI) from multiple factors, including hypersplenism. We aimed to analyze the sequence of events and determine whether abnormal HI has prognostic significance.\nMETHODS: We analyzed a database of 213 subjects with compensated cirrhosis without esophageal varices. Subjects were followed for approximately 9 years until the development of varices or variceal bleeding or completion of the study; 84 subjects developed varices. Abnormal HI was defined as anemia at baseline (hemoglobin, &lt; or =13.5 g/dL for men and 11.5 g/dL for women), leukopenia (white blood cell counts, &lt; or =4000/mm3), or thrombocytopenia (platelet counts, &lt; or =150,000/mm3). The primary end points were death or transplant surgery.\nRESULTS: Most subjects had thrombocytopenia at baseline. Kaplan-Meier analysis showed that leukopenia occurred by 30 months (95% confidence interval, 18.5-53.6), and anemia occurred by 39.6 months (95% confidence interval, 24.1-49.9). Baseline thrombocytopenia (P = .0191) and leukopenia (P = .0383) were predictors of death or transplant, after adjusting for baseline hepatic venous pressure gradient (HVPG), and Child-Pugh scores. After a median of 5 years, a significant difference in death or transplant, mortality, and clinical decompensation was observed in patients who had leukopenia combined with thrombocytopenia at baseline compared with patients with normal HI (P &lt; .0001). HVPG correlated with hemoglobin and white blood cell count (hemoglobin, r = -0.35, P &lt; .0001; white blood cell count, r = -0.31, P &lt; .0001).\nCONCLUSIONS: Thrombocytopenia is the most common and first abnormal HI to occur in patients with cirrhosis, followed by leukopenia and anemia. A combination of leukopenia and thrombocytopenia at baseline predicted increased morbidity and mortality.","container-title":"Clinical Gastroenterology and Hepatology: The Official Clinical Practice Journal of the American Gastroenterological Association","DOI":"10.1016/j.cgh.2009.02.021","ISSN":"1542-7714","issue":"6","journalAbbreviation":"Clin. Gastroenterol. Hepatol.","language":"eng","note":"PMID: 19281860\nPMCID: PMC4545534","page":"689-695","source":"PubMed","title":"Incidence, prevalence, and clinical significance of abnormal hematologic indices in compensated cirrhosis","volume":"7","author":[{"family":"Qamar","given":"Amir A."},{"family":"Grace","given":"Norman D."},{"family":"Groszmann","given":"Roberto J."},{"family":"Garcia-Tsao","given":"Guadalupe"},{"family":"Bosch","given":"Jaime"},{"family":"Burroughs","given":"Andrew K."},{"family":"Ripoll","given":"Cristina"},{"family":"Maurer","given":"Rie"},{"family":"Planas","given":"Ramon"},{"family":"Escorsell","given":"Angels"},{"family":"Garcia-Pagan","given":"Juan Carlos"},{"family":"Patch","given":"David"},{"family":"Matloff","given":"Daniel S."},{"family":"Makuch","given":"Robert"},{"family":"Rendon","given":"Gabriel"},{"literal":"Portal Hypertension Collaborative Group"}],"issued":{"date-parts":[["2009",6]]}}}],"schema":"https://github.com/citation-style-language/schema/raw/master/csl-citation.json"} </w:instrText>
      </w:r>
      <w:r w:rsidRPr="00FF421E">
        <w:rPr>
          <w:rFonts w:eastAsia="Calibri"/>
          <w:vertAlign w:val="superscript"/>
          <w:lang w:eastAsia="en-US"/>
        </w:rPr>
        <w:fldChar w:fldCharType="separate"/>
      </w:r>
      <w:r w:rsidRPr="00FF421E">
        <w:rPr>
          <w:rFonts w:eastAsia="Calibri"/>
          <w:vertAlign w:val="superscript"/>
          <w:lang w:eastAsia="ar-SA"/>
        </w:rPr>
        <w:t>(8)</w:t>
      </w:r>
      <w:r w:rsidRPr="00FF421E">
        <w:rPr>
          <w:rFonts w:eastAsia="Calibri"/>
          <w:vertAlign w:val="superscript"/>
          <w:lang w:eastAsia="en-US"/>
        </w:rPr>
        <w:fldChar w:fldCharType="end"/>
      </w:r>
      <w:r w:rsidRPr="00FF421E">
        <w:rPr>
          <w:rFonts w:eastAsia="Calibri"/>
          <w:lang w:eastAsia="en-US"/>
        </w:rPr>
        <w:t xml:space="preserve"> muestra que la trombocitopenia y la leucopenia se asocian a mayor riesgo de morbimortalidad.</w:t>
      </w:r>
      <w:r w:rsidRPr="00FF421E" w:rsidDel="00CB4D24">
        <w:rPr>
          <w:rFonts w:eastAsia="Calibri"/>
          <w:vertAlign w:val="superscript"/>
          <w:lang w:eastAsia="en-US"/>
        </w:rPr>
        <w:t xml:space="preserve"> </w:t>
      </w:r>
    </w:p>
    <w:p w14:paraId="157DB22D" w14:textId="77777777" w:rsidR="00FF421E" w:rsidRPr="00FF421E" w:rsidRDefault="00FF421E" w:rsidP="00FF421E">
      <w:pPr>
        <w:spacing w:line="360" w:lineRule="auto"/>
        <w:jc w:val="both"/>
        <w:rPr>
          <w:rFonts w:eastAsia="Calibri"/>
          <w:lang w:eastAsia="en-US"/>
        </w:rPr>
      </w:pPr>
      <w:r w:rsidRPr="00FF421E">
        <w:rPr>
          <w:rFonts w:eastAsia="Calibri"/>
          <w:lang w:eastAsia="en-US"/>
        </w:rPr>
        <w:t>Sin embargo, a pesar de que la cirrosis representa una alta carga de morbimortalidad a nivel mundial y nacional, no se ha documentado suficiente evidencia sobre los factores influyentes en la mortalidad en Latinoamérica, mucho menos en Perú. El objetivo del presente estudio es determinar los factores asociados a la mortalidad hospitalaria en pacientes con cirrosis hepática.</w:t>
      </w:r>
    </w:p>
    <w:p w14:paraId="12292797" w14:textId="77777777" w:rsidR="00FF421E" w:rsidRPr="00FF421E" w:rsidRDefault="00FF421E" w:rsidP="00FF421E">
      <w:pPr>
        <w:spacing w:line="360" w:lineRule="auto"/>
        <w:jc w:val="both"/>
        <w:rPr>
          <w:rFonts w:eastAsia="Calibri"/>
          <w:lang w:eastAsia="en-US"/>
        </w:rPr>
      </w:pPr>
    </w:p>
    <w:p w14:paraId="4FE08B05" w14:textId="77777777" w:rsidR="00FF421E" w:rsidRPr="00FF421E" w:rsidRDefault="00FF421E" w:rsidP="00FF421E">
      <w:pPr>
        <w:spacing w:line="360" w:lineRule="auto"/>
        <w:jc w:val="center"/>
        <w:rPr>
          <w:rFonts w:eastAsia="Calibri"/>
          <w:b/>
          <w:bCs/>
          <w:lang w:eastAsia="ar-SA"/>
        </w:rPr>
      </w:pPr>
    </w:p>
    <w:p w14:paraId="74421D5F" w14:textId="77777777" w:rsidR="00FF421E" w:rsidRPr="00FF421E" w:rsidRDefault="00FF421E" w:rsidP="00FF421E">
      <w:pPr>
        <w:spacing w:line="360" w:lineRule="auto"/>
        <w:jc w:val="center"/>
        <w:rPr>
          <w:rFonts w:eastAsia="Calibri"/>
          <w:b/>
          <w:bCs/>
          <w:sz w:val="32"/>
          <w:szCs w:val="32"/>
          <w:lang w:eastAsia="ar-SA"/>
        </w:rPr>
      </w:pPr>
      <w:r w:rsidRPr="00FF421E">
        <w:rPr>
          <w:rFonts w:eastAsia="Calibri"/>
          <w:b/>
          <w:bCs/>
          <w:sz w:val="32"/>
          <w:szCs w:val="32"/>
          <w:lang w:eastAsia="ar-SA"/>
        </w:rPr>
        <w:t>MÉTODOS</w:t>
      </w:r>
    </w:p>
    <w:p w14:paraId="276DCE8F" w14:textId="77777777" w:rsidR="00FF421E" w:rsidRPr="00FF421E" w:rsidRDefault="00FF421E" w:rsidP="00FF421E">
      <w:pPr>
        <w:keepNext/>
        <w:keepLines/>
        <w:suppressAutoHyphens/>
        <w:spacing w:line="360" w:lineRule="auto"/>
        <w:jc w:val="center"/>
        <w:outlineLvl w:val="1"/>
        <w:rPr>
          <w:b/>
          <w:bCs/>
          <w:sz w:val="28"/>
          <w:szCs w:val="28"/>
          <w:lang w:eastAsia="ar-SA"/>
        </w:rPr>
      </w:pPr>
      <w:r w:rsidRPr="00FF421E">
        <w:rPr>
          <w:b/>
          <w:bCs/>
          <w:sz w:val="28"/>
          <w:szCs w:val="28"/>
          <w:lang w:eastAsia="ar-SA"/>
        </w:rPr>
        <w:t>Diseño del estudio</w:t>
      </w:r>
    </w:p>
    <w:p w14:paraId="3A99FFF8"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Estudio transversal en 52 pacientes con diagnóstico de cirrosis hepática, hospitalizados en el Servicio de Medicina y Gastroenterología del “Hospital Regional José Cayetano Heredia”, entre el 1 de enero 2017 y el 31 de diciembre 2017.  </w:t>
      </w:r>
    </w:p>
    <w:p w14:paraId="40FD9387"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lastRenderedPageBreak/>
        <w:t xml:space="preserve">Se incluyeron pacientes cuyas historias clínicas fueron registradas en el sistema de gestión hospitalario de acuerdo a la Décima Clasificación Internacional de Enfermedades (CIE-10): cirrosis, cirrosis alcohólica, cirrosis biliar primaria, cirrosis biliar secundaria, cirrosis biliar, no especificada, enfermedad tóxica del hígado, con cirrosis y fibrosis del hígado. Se excluyeron pacientes cuyas historias clínicas se encontraban incompletos, ilegibles. </w:t>
      </w:r>
    </w:p>
    <w:p w14:paraId="5B1171FD" w14:textId="77777777" w:rsidR="00FF421E" w:rsidRPr="00FF421E" w:rsidRDefault="00FF421E" w:rsidP="00FF421E">
      <w:pPr>
        <w:suppressAutoHyphens/>
        <w:spacing w:line="360" w:lineRule="auto"/>
        <w:jc w:val="center"/>
        <w:rPr>
          <w:rFonts w:eastAsia="Calibri"/>
          <w:b/>
          <w:bCs/>
          <w:sz w:val="28"/>
          <w:szCs w:val="28"/>
          <w:lang w:eastAsia="ar-SA"/>
        </w:rPr>
      </w:pPr>
      <w:r w:rsidRPr="00FF421E">
        <w:rPr>
          <w:rFonts w:eastAsia="Calibri"/>
          <w:b/>
          <w:bCs/>
          <w:sz w:val="28"/>
          <w:szCs w:val="28"/>
          <w:lang w:eastAsia="ar-SA"/>
        </w:rPr>
        <w:t>Procedimientos</w:t>
      </w:r>
    </w:p>
    <w:p w14:paraId="474EEFD8" w14:textId="77777777" w:rsidR="00FF421E" w:rsidRPr="00FF421E" w:rsidRDefault="00FF421E" w:rsidP="00FF421E">
      <w:pPr>
        <w:suppressAutoHyphens/>
        <w:spacing w:line="360" w:lineRule="auto"/>
        <w:jc w:val="both"/>
        <w:rPr>
          <w:rFonts w:eastAsia="Calibri"/>
          <w:b/>
          <w:bCs/>
          <w:lang w:eastAsia="ar-SA"/>
        </w:rPr>
      </w:pPr>
      <w:r w:rsidRPr="00FF421E">
        <w:rPr>
          <w:rFonts w:eastAsia="Calibri"/>
          <w:lang w:eastAsia="ar-SA"/>
        </w:rPr>
        <w:t>Se obtuvo la autorización por escrito al Hospital Regional “José Cayetano Heredia”</w:t>
      </w:r>
      <w:r w:rsidRPr="00FF421E" w:rsidDel="004D7749">
        <w:rPr>
          <w:rFonts w:eastAsia="Calibri"/>
          <w:lang w:eastAsia="ar-SA"/>
        </w:rPr>
        <w:t xml:space="preserve"> </w:t>
      </w:r>
      <w:r w:rsidRPr="00FF421E">
        <w:rPr>
          <w:rFonts w:eastAsia="Calibri"/>
          <w:lang w:eastAsia="ar-SA"/>
        </w:rPr>
        <w:t>para conducir la investigación. Luego, se solicitaron las historias clínicas de los pacientes hospitalizados en el servicio de Medicina con diagnóstico de cirrosis hepática según los códigos del CIE-10 notificados. Se revisaron las historias clínicas y se registró la información requerida en la ficha de recolección de datos. Se ingresaron los datos en una base de datos creada en el programa Microsoft Excel 2010.</w:t>
      </w:r>
    </w:p>
    <w:p w14:paraId="3A5411C1" w14:textId="77777777" w:rsidR="00FF421E" w:rsidRPr="00FF421E" w:rsidRDefault="00FF421E" w:rsidP="00FF421E">
      <w:pPr>
        <w:suppressAutoHyphens/>
        <w:spacing w:line="360" w:lineRule="auto"/>
        <w:jc w:val="center"/>
        <w:rPr>
          <w:rFonts w:eastAsia="Calibri"/>
          <w:sz w:val="28"/>
          <w:szCs w:val="28"/>
          <w:lang w:eastAsia="ar-SA"/>
        </w:rPr>
      </w:pPr>
      <w:r w:rsidRPr="00FF421E">
        <w:rPr>
          <w:rFonts w:eastAsia="Calibri"/>
          <w:b/>
          <w:bCs/>
          <w:sz w:val="28"/>
          <w:szCs w:val="28"/>
          <w:lang w:eastAsia="ar-SA"/>
        </w:rPr>
        <w:t>Instrumento y variables</w:t>
      </w:r>
    </w:p>
    <w:p w14:paraId="4639DC40" w14:textId="77777777" w:rsidR="00FF421E" w:rsidRPr="00FF421E" w:rsidRDefault="00FF421E" w:rsidP="00FF421E">
      <w:pPr>
        <w:suppressAutoHyphens/>
        <w:spacing w:line="360" w:lineRule="auto"/>
        <w:jc w:val="both"/>
        <w:rPr>
          <w:rFonts w:eastAsia="Calibri"/>
          <w:lang w:eastAsia="ar-SA"/>
        </w:rPr>
      </w:pPr>
      <w:r w:rsidRPr="00FF421E">
        <w:rPr>
          <w:rFonts w:eastAsia="Calibri"/>
          <w:lang w:eastAsia="ar-SA"/>
        </w:rPr>
        <w:t xml:space="preserve">La ficha de recolección de datos estuvo compuesta por 3 secciones: </w:t>
      </w:r>
    </w:p>
    <w:p w14:paraId="34C35380" w14:textId="77777777" w:rsidR="00FF421E" w:rsidRPr="00FF421E" w:rsidRDefault="00FF421E" w:rsidP="00FF421E">
      <w:pPr>
        <w:suppressAutoHyphens/>
        <w:spacing w:line="360" w:lineRule="auto"/>
        <w:jc w:val="both"/>
        <w:rPr>
          <w:rFonts w:eastAsia="Calibri"/>
          <w:lang w:eastAsia="ar-SA"/>
        </w:rPr>
      </w:pPr>
    </w:p>
    <w:p w14:paraId="44671D95" w14:textId="77777777" w:rsidR="00FF421E" w:rsidRPr="00FF421E" w:rsidRDefault="00FF421E" w:rsidP="00FF421E">
      <w:pPr>
        <w:numPr>
          <w:ilvl w:val="0"/>
          <w:numId w:val="20"/>
        </w:numPr>
        <w:suppressAutoHyphens/>
        <w:spacing w:line="360" w:lineRule="auto"/>
        <w:contextualSpacing/>
        <w:jc w:val="both"/>
        <w:rPr>
          <w:rFonts w:eastAsia="Calibri"/>
          <w:lang w:eastAsia="ar-SA"/>
        </w:rPr>
      </w:pPr>
      <w:r w:rsidRPr="00FF421E">
        <w:rPr>
          <w:rFonts w:eastAsia="Calibri"/>
          <w:lang w:eastAsia="ar-SA"/>
        </w:rPr>
        <w:t>Características epidemiológicas.</w:t>
      </w:r>
    </w:p>
    <w:p w14:paraId="42E6ACED" w14:textId="77777777" w:rsidR="00FF421E" w:rsidRPr="00FF421E" w:rsidRDefault="00FF421E" w:rsidP="00FF421E">
      <w:pPr>
        <w:numPr>
          <w:ilvl w:val="0"/>
          <w:numId w:val="20"/>
        </w:numPr>
        <w:suppressAutoHyphens/>
        <w:spacing w:line="360" w:lineRule="auto"/>
        <w:contextualSpacing/>
        <w:jc w:val="both"/>
        <w:rPr>
          <w:rFonts w:eastAsia="Calibri"/>
          <w:lang w:eastAsia="ar-SA"/>
        </w:rPr>
      </w:pPr>
      <w:r w:rsidRPr="00FF421E">
        <w:rPr>
          <w:rFonts w:eastAsia="Calibri"/>
          <w:lang w:eastAsia="ar-SA"/>
        </w:rPr>
        <w:t>Características clínicas.</w:t>
      </w:r>
    </w:p>
    <w:p w14:paraId="2684EB19" w14:textId="77777777" w:rsidR="00FF421E" w:rsidRPr="00FF421E" w:rsidRDefault="00FF421E" w:rsidP="00FF421E">
      <w:pPr>
        <w:numPr>
          <w:ilvl w:val="0"/>
          <w:numId w:val="20"/>
        </w:numPr>
        <w:suppressAutoHyphens/>
        <w:spacing w:line="360" w:lineRule="auto"/>
        <w:contextualSpacing/>
        <w:jc w:val="both"/>
        <w:rPr>
          <w:rFonts w:eastAsia="Calibri"/>
          <w:lang w:eastAsia="ar-SA"/>
        </w:rPr>
      </w:pPr>
      <w:r w:rsidRPr="00FF421E">
        <w:rPr>
          <w:rFonts w:eastAsia="Calibri"/>
          <w:lang w:eastAsia="ar-SA"/>
        </w:rPr>
        <w:t xml:space="preserve">Características de laboratorio. </w:t>
      </w:r>
    </w:p>
    <w:p w14:paraId="543BE03E" w14:textId="77777777" w:rsidR="00FF421E" w:rsidRPr="00FF421E" w:rsidRDefault="00FF421E" w:rsidP="00FF421E">
      <w:pPr>
        <w:suppressAutoHyphens/>
        <w:spacing w:line="360" w:lineRule="auto"/>
        <w:jc w:val="both"/>
        <w:rPr>
          <w:rFonts w:eastAsia="Calibri"/>
          <w:lang w:eastAsia="ar-SA"/>
        </w:rPr>
      </w:pPr>
    </w:p>
    <w:p w14:paraId="18169347" w14:textId="77777777" w:rsidR="00FF421E" w:rsidRPr="00FF421E" w:rsidRDefault="00FF421E" w:rsidP="00FF421E">
      <w:pPr>
        <w:suppressAutoHyphens/>
        <w:spacing w:line="360" w:lineRule="auto"/>
        <w:jc w:val="both"/>
        <w:rPr>
          <w:rFonts w:eastAsia="Calibri"/>
          <w:lang w:eastAsia="ar-SA"/>
        </w:rPr>
      </w:pPr>
      <w:r w:rsidRPr="00FF421E">
        <w:rPr>
          <w:rFonts w:eastAsia="Calibri"/>
          <w:lang w:eastAsia="ar-SA"/>
        </w:rPr>
        <w:t xml:space="preserve">La variable dependiente fue mortalidad hospitalaria, definida de forma operacional como el fallecimiento en el hospital de un paciente con diagnóstico de cirrosis y consignado en su historia clínica. Las categorías de medición fueron vivo y fallecido. </w:t>
      </w:r>
    </w:p>
    <w:p w14:paraId="351CBBB9" w14:textId="77777777" w:rsidR="00FF421E" w:rsidRPr="00FF421E" w:rsidRDefault="00FF421E" w:rsidP="00FF421E">
      <w:pPr>
        <w:suppressAutoHyphens/>
        <w:spacing w:line="360" w:lineRule="auto"/>
        <w:jc w:val="both"/>
        <w:rPr>
          <w:rFonts w:eastAsia="Calibri"/>
          <w:lang w:eastAsia="ar-SA"/>
        </w:rPr>
      </w:pPr>
      <w:r w:rsidRPr="00FF421E">
        <w:rPr>
          <w:rFonts w:eastAsia="Calibri"/>
          <w:lang w:eastAsia="ar-SA"/>
        </w:rPr>
        <w:t xml:space="preserve">Las variables independientes fueron: </w:t>
      </w:r>
    </w:p>
    <w:p w14:paraId="2A5A7323" w14:textId="77777777" w:rsidR="00FF421E" w:rsidRPr="00FF421E" w:rsidRDefault="00FF421E" w:rsidP="00FF421E">
      <w:pPr>
        <w:suppressAutoHyphens/>
        <w:spacing w:line="360" w:lineRule="auto"/>
        <w:jc w:val="both"/>
        <w:rPr>
          <w:rFonts w:eastAsia="Calibri"/>
          <w:lang w:eastAsia="ar-SA"/>
        </w:rPr>
      </w:pPr>
    </w:p>
    <w:p w14:paraId="6AFFD1C4"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Epidemiológicas (género, edad, antecedente familiar de cirrosis).</w:t>
      </w:r>
    </w:p>
    <w:p w14:paraId="731F340D"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Clínicas, para evaluar la presencia o ausencia de comorbilidades (hipertensión arterial, diabetes mellitus, artritis reumatoide, enfermedad renal crónica, litiasis biliar, úlcera gástrica, gastritis).</w:t>
      </w:r>
    </w:p>
    <w:p w14:paraId="0F1CCDA3"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Tiempo de enfermedad en meses.</w:t>
      </w:r>
    </w:p>
    <w:p w14:paraId="5F09A3E1"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Número de hospitalizaciones.</w:t>
      </w:r>
    </w:p>
    <w:p w14:paraId="0FE0DB63"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Número de episodios de encefalopatía.</w:t>
      </w:r>
    </w:p>
    <w:p w14:paraId="404D26FA"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lastRenderedPageBreak/>
        <w:t>Número de episodios de hemorragia.</w:t>
      </w:r>
    </w:p>
    <w:p w14:paraId="6ADD1FA2"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 xml:space="preserve">Presencia de complicaciones (gastropatía hipertensiva, hemorragia várices esofágicas, peritonitis, sepsis, infección urinaria, neumonía, ictericia, grado de ascitis y grado de encefalopatía). </w:t>
      </w:r>
    </w:p>
    <w:p w14:paraId="40136963"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Parámetros bioquímicos: anemia, plaquetopenia, leucocitos, hiponatremia, creatinina y bilirrubina.</w:t>
      </w:r>
    </w:p>
    <w:p w14:paraId="43BEC538"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Insuficiencia respiratoria.</w:t>
      </w:r>
    </w:p>
    <w:p w14:paraId="08A0CF69"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Índice de Child Pugh.</w:t>
      </w:r>
    </w:p>
    <w:p w14:paraId="1C41AF5C"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Índice de Meld.</w:t>
      </w:r>
    </w:p>
    <w:p w14:paraId="1EF12973" w14:textId="77777777" w:rsidR="00FF421E" w:rsidRPr="00FF421E" w:rsidRDefault="00FF421E" w:rsidP="00FF421E">
      <w:pPr>
        <w:numPr>
          <w:ilvl w:val="0"/>
          <w:numId w:val="22"/>
        </w:numPr>
        <w:suppressAutoHyphens/>
        <w:spacing w:line="360" w:lineRule="auto"/>
        <w:contextualSpacing/>
        <w:jc w:val="both"/>
        <w:rPr>
          <w:rFonts w:eastAsia="Calibri"/>
          <w:lang w:eastAsia="ar-SA"/>
        </w:rPr>
      </w:pPr>
      <w:r w:rsidRPr="00FF421E">
        <w:rPr>
          <w:rFonts w:eastAsia="Calibri"/>
          <w:lang w:eastAsia="ar-SA"/>
        </w:rPr>
        <w:t xml:space="preserve">Razón Normalizada Internacional (INR, por sus siglas en inglés). </w:t>
      </w:r>
    </w:p>
    <w:p w14:paraId="24CFF021" w14:textId="77777777" w:rsidR="00FF421E" w:rsidRPr="00FF421E" w:rsidRDefault="00FF421E" w:rsidP="00FF421E">
      <w:pPr>
        <w:keepNext/>
        <w:keepLines/>
        <w:suppressAutoHyphens/>
        <w:spacing w:line="360" w:lineRule="auto"/>
        <w:jc w:val="center"/>
        <w:outlineLvl w:val="1"/>
        <w:rPr>
          <w:b/>
          <w:bCs/>
          <w:lang w:eastAsia="ar-SA"/>
        </w:rPr>
      </w:pPr>
    </w:p>
    <w:p w14:paraId="583BE32D" w14:textId="77777777" w:rsidR="00FF421E" w:rsidRPr="00FF421E" w:rsidRDefault="00FF421E" w:rsidP="00FF421E">
      <w:pPr>
        <w:keepNext/>
        <w:keepLines/>
        <w:suppressAutoHyphens/>
        <w:spacing w:line="360" w:lineRule="auto"/>
        <w:jc w:val="center"/>
        <w:outlineLvl w:val="1"/>
        <w:rPr>
          <w:b/>
          <w:bCs/>
          <w:sz w:val="28"/>
          <w:szCs w:val="28"/>
          <w:lang w:eastAsia="ar-SA"/>
        </w:rPr>
      </w:pPr>
      <w:r w:rsidRPr="00FF421E">
        <w:rPr>
          <w:b/>
          <w:bCs/>
          <w:sz w:val="28"/>
          <w:szCs w:val="28"/>
          <w:lang w:eastAsia="ar-SA"/>
        </w:rPr>
        <w:t>Análisis estadístico</w:t>
      </w:r>
    </w:p>
    <w:p w14:paraId="0C87103D"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En el análisis bivariado, para evaluar la asociación entre la mortalidad hospitalaria y las variables categóricas, se evaluó el supuesto de frecuencias esperadas, si se cumplía, se utilizó la prueba </w:t>
      </w:r>
      <w:r w:rsidRPr="00FF421E">
        <w:rPr>
          <w:rFonts w:eastAsia="Calibri"/>
          <w:i/>
          <w:lang w:eastAsia="ar-SA"/>
        </w:rPr>
        <w:t xml:space="preserve">ji </w:t>
      </w:r>
      <w:proofErr w:type="gramStart"/>
      <w:r w:rsidRPr="00FF421E">
        <w:rPr>
          <w:rFonts w:eastAsia="Calibri"/>
          <w:iCs/>
          <w:lang w:eastAsia="ar-SA"/>
        </w:rPr>
        <w:t>cuadrado</w:t>
      </w:r>
      <w:r w:rsidRPr="00FF421E">
        <w:rPr>
          <w:rFonts w:eastAsia="Calibri"/>
          <w:lang w:eastAsia="ar-SA"/>
        </w:rPr>
        <w:t>,  en</w:t>
      </w:r>
      <w:proofErr w:type="gramEnd"/>
      <w:r w:rsidRPr="00FF421E">
        <w:rPr>
          <w:rFonts w:eastAsia="Calibri"/>
          <w:lang w:eastAsia="ar-SA"/>
        </w:rPr>
        <w:t xml:space="preserve"> caso de incumplirlo, se utilizó la prueba exacta de Fisher. En el caso de variables numéricas, se utilizó la prueba paramétrica de t si se cumplía el supuesto de normalidad (evaluado mediante el histograma de las medias y su </w:t>
      </w:r>
      <w:proofErr w:type="spellStart"/>
      <w:r w:rsidRPr="00FF421E">
        <w:rPr>
          <w:rFonts w:eastAsia="Calibri"/>
          <w:lang w:eastAsia="ar-SA"/>
        </w:rPr>
        <w:t>kurtosis</w:t>
      </w:r>
      <w:proofErr w:type="spellEnd"/>
      <w:r w:rsidRPr="00FF421E">
        <w:rPr>
          <w:rFonts w:eastAsia="Calibri"/>
          <w:lang w:eastAsia="ar-SA"/>
        </w:rPr>
        <w:t xml:space="preserve">). En caso de incumplimiento, se usó la prueba no paramétrica de U de Mann-Whitney para dos muestras independientes (vivo/ fallecido). Se consideró un nivel de significación del 5 %. </w:t>
      </w:r>
    </w:p>
    <w:p w14:paraId="3486B44D" w14:textId="77777777" w:rsidR="00FF421E" w:rsidRPr="00FF421E" w:rsidRDefault="00FF421E" w:rsidP="00FF421E">
      <w:pPr>
        <w:keepNext/>
        <w:keepLines/>
        <w:suppressAutoHyphens/>
        <w:spacing w:line="360" w:lineRule="auto"/>
        <w:jc w:val="center"/>
        <w:outlineLvl w:val="1"/>
        <w:rPr>
          <w:b/>
          <w:bCs/>
          <w:sz w:val="28"/>
          <w:szCs w:val="28"/>
          <w:lang w:eastAsia="ar-SA"/>
        </w:rPr>
      </w:pPr>
      <w:r w:rsidRPr="00FF421E">
        <w:rPr>
          <w:b/>
          <w:bCs/>
          <w:sz w:val="28"/>
          <w:szCs w:val="28"/>
          <w:lang w:eastAsia="ar-SA"/>
        </w:rPr>
        <w:t>Consideraciones éticas</w:t>
      </w:r>
    </w:p>
    <w:p w14:paraId="2EBFB408"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Se obtuvo autorización del Hospital Regional “Cayetano Heredia”, de Piura. Se preservó la confidencialidad de los pacientes mediante el uso de códigos. </w:t>
      </w:r>
    </w:p>
    <w:p w14:paraId="0B6A6A61" w14:textId="77777777" w:rsidR="00FF421E" w:rsidRPr="00FF421E" w:rsidRDefault="00FF421E" w:rsidP="00FF421E">
      <w:pPr>
        <w:suppressAutoHyphens/>
        <w:autoSpaceDE w:val="0"/>
        <w:spacing w:line="360" w:lineRule="auto"/>
        <w:jc w:val="both"/>
        <w:rPr>
          <w:rFonts w:eastAsia="Calibri"/>
          <w:lang w:eastAsia="ar-SA"/>
        </w:rPr>
      </w:pPr>
    </w:p>
    <w:p w14:paraId="0C7FCC0E" w14:textId="77777777" w:rsidR="00FF421E" w:rsidRPr="00FF421E" w:rsidRDefault="00FF421E" w:rsidP="00FF421E">
      <w:pPr>
        <w:keepNext/>
        <w:keepLines/>
        <w:suppressAutoHyphens/>
        <w:spacing w:line="360" w:lineRule="auto"/>
        <w:jc w:val="center"/>
        <w:outlineLvl w:val="0"/>
        <w:rPr>
          <w:b/>
          <w:bCs/>
          <w:lang w:eastAsia="ar-SA"/>
        </w:rPr>
      </w:pPr>
    </w:p>
    <w:p w14:paraId="1DC3ED22" w14:textId="77777777" w:rsidR="00FF421E" w:rsidRPr="00FF421E" w:rsidRDefault="00FF421E" w:rsidP="00FF421E">
      <w:pPr>
        <w:keepNext/>
        <w:keepLines/>
        <w:suppressAutoHyphens/>
        <w:spacing w:line="360" w:lineRule="auto"/>
        <w:jc w:val="center"/>
        <w:outlineLvl w:val="0"/>
        <w:rPr>
          <w:b/>
          <w:bCs/>
          <w:sz w:val="32"/>
          <w:szCs w:val="32"/>
          <w:lang w:eastAsia="ar-SA"/>
        </w:rPr>
      </w:pPr>
      <w:r w:rsidRPr="00FF421E">
        <w:rPr>
          <w:b/>
          <w:bCs/>
          <w:sz w:val="32"/>
          <w:szCs w:val="32"/>
          <w:lang w:eastAsia="ar-SA"/>
        </w:rPr>
        <w:t>RESULTADOS</w:t>
      </w:r>
    </w:p>
    <w:p w14:paraId="006D061A"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De 52 pacientes, la mayoría es de sexo masculino (57,7 %) y la media de edad fue de 62,9 años (tabla 1). El 25 % tuvo antecedente de cirrosis, el 32,7 % tenía úlcera gástrica y el 36,5 % era hipertenso. </w:t>
      </w:r>
    </w:p>
    <w:p w14:paraId="718FB144" w14:textId="77777777" w:rsidR="00FF421E" w:rsidRPr="00FF421E" w:rsidRDefault="00FF421E" w:rsidP="00FF421E">
      <w:pPr>
        <w:suppressAutoHyphens/>
        <w:autoSpaceDE w:val="0"/>
        <w:spacing w:line="360" w:lineRule="auto"/>
        <w:jc w:val="both"/>
        <w:rPr>
          <w:rFonts w:eastAsia="Calibri"/>
          <w:lang w:eastAsia="ar-SA"/>
        </w:rPr>
      </w:pPr>
    </w:p>
    <w:p w14:paraId="04D8208B" w14:textId="77777777" w:rsidR="00FE282D" w:rsidRDefault="00FE282D">
      <w:pPr>
        <w:rPr>
          <w:rFonts w:eastAsia="Calibri"/>
          <w:b/>
          <w:sz w:val="22"/>
          <w:szCs w:val="22"/>
          <w:lang w:eastAsia="ar-SA"/>
        </w:rPr>
      </w:pPr>
      <w:r>
        <w:rPr>
          <w:rFonts w:eastAsia="Calibri"/>
          <w:b/>
          <w:sz w:val="22"/>
          <w:szCs w:val="22"/>
          <w:lang w:eastAsia="ar-SA"/>
        </w:rPr>
        <w:br w:type="page"/>
      </w:r>
    </w:p>
    <w:p w14:paraId="309062C9" w14:textId="5C535B08" w:rsidR="00FF421E" w:rsidRPr="00FF421E" w:rsidRDefault="00FF421E" w:rsidP="00FF421E">
      <w:pPr>
        <w:suppressAutoHyphens/>
        <w:spacing w:line="360" w:lineRule="auto"/>
        <w:jc w:val="center"/>
        <w:rPr>
          <w:rFonts w:eastAsia="Calibri"/>
          <w:sz w:val="22"/>
          <w:szCs w:val="22"/>
          <w:lang w:eastAsia="ar-SA"/>
        </w:rPr>
      </w:pPr>
      <w:r w:rsidRPr="00FF421E">
        <w:rPr>
          <w:rFonts w:eastAsia="Calibri"/>
          <w:b/>
          <w:sz w:val="22"/>
          <w:szCs w:val="22"/>
          <w:lang w:eastAsia="ar-SA"/>
        </w:rPr>
        <w:lastRenderedPageBreak/>
        <w:t>Tabla 1</w:t>
      </w:r>
      <w:r w:rsidRPr="00FF421E">
        <w:rPr>
          <w:rFonts w:eastAsia="Calibri"/>
          <w:sz w:val="22"/>
          <w:szCs w:val="22"/>
          <w:lang w:eastAsia="ar-SA"/>
        </w:rPr>
        <w:t xml:space="preserve"> - Factores epidemiológicos y clínicos asociados a mortalidad hospitalaria en pacientes cirróticos </w:t>
      </w:r>
    </w:p>
    <w:p w14:paraId="2E2A7962" w14:textId="34F04527" w:rsidR="00FF421E" w:rsidRPr="00FF421E" w:rsidRDefault="00FF421E" w:rsidP="00FF421E">
      <w:pPr>
        <w:spacing w:line="360" w:lineRule="auto"/>
        <w:jc w:val="center"/>
        <w:rPr>
          <w:sz w:val="16"/>
          <w:szCs w:val="16"/>
          <w:lang w:eastAsia="es-PE"/>
        </w:rPr>
      </w:pPr>
      <w:r w:rsidRPr="00FF421E">
        <w:rPr>
          <w:noProof/>
          <w:sz w:val="16"/>
          <w:szCs w:val="16"/>
          <w:lang w:eastAsia="es-PE"/>
        </w:rPr>
        <w:drawing>
          <wp:inline distT="0" distB="0" distL="0" distR="0" wp14:anchorId="4FB6166E" wp14:editId="075A7968">
            <wp:extent cx="4752975" cy="409765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4097655"/>
                    </a:xfrm>
                    <a:prstGeom prst="rect">
                      <a:avLst/>
                    </a:prstGeom>
                    <a:noFill/>
                    <a:ln>
                      <a:noFill/>
                    </a:ln>
                  </pic:spPr>
                </pic:pic>
              </a:graphicData>
            </a:graphic>
          </wp:inline>
        </w:drawing>
      </w:r>
    </w:p>
    <w:p w14:paraId="2E7F7F91" w14:textId="77777777" w:rsidR="00FF421E" w:rsidRPr="00FF421E" w:rsidRDefault="00FF421E" w:rsidP="00FF421E">
      <w:pPr>
        <w:spacing w:line="360" w:lineRule="auto"/>
        <w:jc w:val="center"/>
        <w:rPr>
          <w:sz w:val="16"/>
          <w:szCs w:val="16"/>
          <w:lang w:eastAsia="es-PE"/>
        </w:rPr>
      </w:pPr>
      <w:r w:rsidRPr="00FF421E">
        <w:rPr>
          <w:sz w:val="16"/>
          <w:szCs w:val="16"/>
          <w:lang w:eastAsia="es-PE"/>
        </w:rPr>
        <w:t>* Media ± desviación estándar</w:t>
      </w:r>
    </w:p>
    <w:p w14:paraId="6C4DA4C8" w14:textId="77777777" w:rsidR="00FF421E" w:rsidRPr="00FF421E" w:rsidRDefault="00FF421E" w:rsidP="00FF421E">
      <w:pPr>
        <w:spacing w:line="360" w:lineRule="auto"/>
        <w:jc w:val="center"/>
        <w:rPr>
          <w:sz w:val="16"/>
          <w:szCs w:val="16"/>
          <w:lang w:eastAsia="es-PE"/>
        </w:rPr>
      </w:pPr>
      <w:r w:rsidRPr="00FF421E">
        <w:rPr>
          <w:sz w:val="16"/>
          <w:szCs w:val="16"/>
          <w:lang w:eastAsia="es-PE"/>
        </w:rPr>
        <w:t>† Valor p calculado con la prueba T</w:t>
      </w:r>
    </w:p>
    <w:p w14:paraId="79B774F4" w14:textId="77777777" w:rsidR="00FF421E" w:rsidRPr="00FF421E" w:rsidRDefault="00FF421E" w:rsidP="00FF421E">
      <w:pPr>
        <w:spacing w:line="360" w:lineRule="auto"/>
        <w:jc w:val="center"/>
        <w:rPr>
          <w:sz w:val="16"/>
          <w:szCs w:val="16"/>
          <w:lang w:eastAsia="es-PE"/>
        </w:rPr>
      </w:pPr>
      <w:r w:rsidRPr="00FF421E">
        <w:rPr>
          <w:sz w:val="16"/>
          <w:szCs w:val="16"/>
          <w:lang w:eastAsia="es-PE"/>
        </w:rPr>
        <w:t>‡ Algunos valores no suman 52 debido a datos faltantes</w:t>
      </w:r>
    </w:p>
    <w:p w14:paraId="0E0EAEDA" w14:textId="77777777" w:rsidR="00FF421E" w:rsidRPr="00FF421E" w:rsidRDefault="00FF421E" w:rsidP="00FF421E">
      <w:pPr>
        <w:spacing w:line="360" w:lineRule="auto"/>
        <w:jc w:val="center"/>
        <w:rPr>
          <w:sz w:val="16"/>
          <w:szCs w:val="16"/>
          <w:lang w:eastAsia="es-PE"/>
        </w:rPr>
      </w:pPr>
      <w:r w:rsidRPr="00FF421E">
        <w:rPr>
          <w:sz w:val="16"/>
          <w:szCs w:val="16"/>
          <w:lang w:eastAsia="es-PE"/>
        </w:rPr>
        <w:t>**Valores p calculados con la prueba exacta de Fisher</w:t>
      </w:r>
    </w:p>
    <w:p w14:paraId="64569E8F" w14:textId="77777777" w:rsidR="00FF421E" w:rsidRPr="00FF421E" w:rsidRDefault="00FF421E" w:rsidP="00FF421E">
      <w:pPr>
        <w:spacing w:line="360" w:lineRule="auto"/>
        <w:jc w:val="center"/>
        <w:rPr>
          <w:sz w:val="16"/>
          <w:szCs w:val="16"/>
          <w:lang w:eastAsia="es-PE"/>
        </w:rPr>
      </w:pPr>
      <w:r w:rsidRPr="00FF421E">
        <w:rPr>
          <w:sz w:val="16"/>
          <w:szCs w:val="16"/>
          <w:lang w:eastAsia="es-PE"/>
        </w:rPr>
        <w:t>¶ Valores p calculados con la prueba U de Mann Whitney</w:t>
      </w:r>
    </w:p>
    <w:p w14:paraId="6A0DCB15" w14:textId="77777777" w:rsidR="00FF421E" w:rsidRPr="00FF421E" w:rsidRDefault="00FF421E" w:rsidP="00FF421E">
      <w:pPr>
        <w:spacing w:line="360" w:lineRule="auto"/>
        <w:jc w:val="center"/>
        <w:rPr>
          <w:rFonts w:eastAsia="Calibri"/>
          <w:sz w:val="16"/>
          <w:szCs w:val="16"/>
          <w:lang w:eastAsia="ar-SA"/>
        </w:rPr>
      </w:pPr>
      <w:r w:rsidRPr="00FF421E">
        <w:rPr>
          <w:sz w:val="16"/>
          <w:szCs w:val="16"/>
          <w:lang w:eastAsia="es-PE"/>
        </w:rPr>
        <w:t>***Mediana (valor mínimo - valor máximo)</w:t>
      </w:r>
    </w:p>
    <w:p w14:paraId="2E34DD7D" w14:textId="77777777" w:rsidR="00FF421E" w:rsidRPr="00FF421E" w:rsidRDefault="00FF421E" w:rsidP="00FF421E">
      <w:pPr>
        <w:spacing w:line="360" w:lineRule="auto"/>
        <w:jc w:val="both"/>
        <w:rPr>
          <w:rFonts w:eastAsia="Calibri"/>
          <w:lang w:eastAsia="ar-SA"/>
        </w:rPr>
      </w:pPr>
    </w:p>
    <w:p w14:paraId="3D21DDBA" w14:textId="77777777" w:rsidR="00FF421E" w:rsidRPr="00FF421E" w:rsidRDefault="00FF421E" w:rsidP="00FF421E">
      <w:pPr>
        <w:spacing w:line="360" w:lineRule="auto"/>
        <w:jc w:val="both"/>
        <w:rPr>
          <w:rFonts w:eastAsia="Calibri"/>
          <w:lang w:eastAsia="ar-SA"/>
        </w:rPr>
      </w:pPr>
      <w:r w:rsidRPr="00FF421E">
        <w:rPr>
          <w:rFonts w:eastAsia="Calibri"/>
          <w:lang w:eastAsia="ar-SA"/>
        </w:rPr>
        <w:t xml:space="preserve">La frecuencia de mortalidad fue 35,4 % mayor en pacientes con ascitis moderada respecto a quienes no tuvieron ascitis (41,7 % vs. 6,3 %, p = 0,004) (tabla 2). Asimismo, el grado de encefalopatía resultó asociado a mortalidad debido a cirrosis (p = 0,001). </w:t>
      </w:r>
    </w:p>
    <w:p w14:paraId="5743EFD3" w14:textId="77777777" w:rsidR="00FF421E" w:rsidRPr="00FF421E" w:rsidRDefault="00FF421E" w:rsidP="00FF421E">
      <w:pPr>
        <w:spacing w:line="360" w:lineRule="auto"/>
        <w:jc w:val="both"/>
        <w:rPr>
          <w:rFonts w:eastAsia="Calibri"/>
          <w:lang w:eastAsia="ar-SA"/>
        </w:rPr>
      </w:pPr>
    </w:p>
    <w:p w14:paraId="645467E3" w14:textId="77777777" w:rsidR="00FF421E" w:rsidRPr="00FF421E" w:rsidRDefault="00FF421E" w:rsidP="00FF421E">
      <w:pPr>
        <w:spacing w:line="360" w:lineRule="auto"/>
        <w:rPr>
          <w:rFonts w:eastAsia="Calibri"/>
          <w:sz w:val="22"/>
          <w:szCs w:val="22"/>
          <w:lang w:eastAsia="ar-SA"/>
        </w:rPr>
      </w:pPr>
      <w:r w:rsidRPr="00FF421E">
        <w:rPr>
          <w:rFonts w:eastAsia="Calibri"/>
          <w:b/>
          <w:sz w:val="22"/>
          <w:szCs w:val="22"/>
          <w:lang w:eastAsia="ar-SA"/>
        </w:rPr>
        <w:br w:type="page"/>
      </w:r>
      <w:r w:rsidRPr="00FF421E">
        <w:rPr>
          <w:rFonts w:eastAsia="Calibri"/>
          <w:b/>
          <w:sz w:val="22"/>
          <w:szCs w:val="22"/>
          <w:lang w:eastAsia="ar-SA"/>
        </w:rPr>
        <w:lastRenderedPageBreak/>
        <w:t>Tabla 2 -</w:t>
      </w:r>
      <w:r w:rsidRPr="00FF421E">
        <w:rPr>
          <w:rFonts w:eastAsia="Calibri"/>
          <w:sz w:val="22"/>
          <w:szCs w:val="22"/>
          <w:lang w:eastAsia="ar-SA"/>
        </w:rPr>
        <w:t xml:space="preserve"> Factores clínicos asociados a la mortalidad hospitalaria de pacientes cirróticos en el análisis bivariado</w:t>
      </w:r>
    </w:p>
    <w:p w14:paraId="1522616F" w14:textId="5574DB19" w:rsidR="00FF421E" w:rsidRPr="00FF421E" w:rsidRDefault="00FF421E" w:rsidP="00FF421E">
      <w:pPr>
        <w:spacing w:line="360" w:lineRule="auto"/>
        <w:jc w:val="center"/>
        <w:rPr>
          <w:rFonts w:eastAsia="Calibri"/>
          <w:sz w:val="16"/>
          <w:szCs w:val="16"/>
          <w:lang w:eastAsia="ar-SA"/>
        </w:rPr>
      </w:pPr>
      <w:r w:rsidRPr="00FF421E">
        <w:rPr>
          <w:rFonts w:eastAsia="Calibri"/>
          <w:noProof/>
          <w:sz w:val="16"/>
          <w:szCs w:val="16"/>
          <w:lang w:eastAsia="ar-SA"/>
        </w:rPr>
        <w:drawing>
          <wp:inline distT="0" distB="0" distL="0" distR="0" wp14:anchorId="634C7403" wp14:editId="1E73A45A">
            <wp:extent cx="4882515" cy="429577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2515" cy="4295775"/>
                    </a:xfrm>
                    <a:prstGeom prst="rect">
                      <a:avLst/>
                    </a:prstGeom>
                    <a:noFill/>
                    <a:ln>
                      <a:noFill/>
                    </a:ln>
                  </pic:spPr>
                </pic:pic>
              </a:graphicData>
            </a:graphic>
          </wp:inline>
        </w:drawing>
      </w:r>
    </w:p>
    <w:p w14:paraId="63009D5D" w14:textId="77777777" w:rsidR="00FF421E" w:rsidRPr="00FF421E" w:rsidRDefault="00FF421E" w:rsidP="00FF421E">
      <w:pPr>
        <w:spacing w:line="360" w:lineRule="auto"/>
        <w:jc w:val="center"/>
        <w:rPr>
          <w:rFonts w:eastAsia="Calibri"/>
          <w:sz w:val="16"/>
          <w:szCs w:val="16"/>
          <w:lang w:eastAsia="ar-SA"/>
        </w:rPr>
      </w:pPr>
      <w:r w:rsidRPr="00FF421E">
        <w:rPr>
          <w:rFonts w:eastAsia="Calibri"/>
          <w:sz w:val="16"/>
          <w:szCs w:val="16"/>
          <w:lang w:eastAsia="ar-SA"/>
        </w:rPr>
        <w:t>‡ Algunos valores no suman 52 debido a datos faltantes</w:t>
      </w:r>
    </w:p>
    <w:p w14:paraId="29A1E1E9" w14:textId="77777777" w:rsidR="00FF421E" w:rsidRPr="00FF421E" w:rsidRDefault="00FF421E" w:rsidP="00FF421E">
      <w:pPr>
        <w:spacing w:line="360" w:lineRule="auto"/>
        <w:jc w:val="center"/>
        <w:rPr>
          <w:rFonts w:eastAsia="Calibri"/>
          <w:sz w:val="16"/>
          <w:szCs w:val="16"/>
          <w:lang w:eastAsia="ar-SA"/>
        </w:rPr>
      </w:pPr>
      <w:r w:rsidRPr="00FF421E">
        <w:rPr>
          <w:rFonts w:eastAsia="Calibri"/>
          <w:sz w:val="16"/>
          <w:szCs w:val="16"/>
          <w:lang w:eastAsia="ar-SA"/>
        </w:rPr>
        <w:t>* Valor p calculado con la prueba ji cuadrado de independencia</w:t>
      </w:r>
    </w:p>
    <w:p w14:paraId="42647B6A" w14:textId="77777777" w:rsidR="00FF421E" w:rsidRPr="00FF421E" w:rsidRDefault="00FF421E" w:rsidP="00FF421E">
      <w:pPr>
        <w:spacing w:line="360" w:lineRule="auto"/>
        <w:jc w:val="center"/>
        <w:rPr>
          <w:rFonts w:eastAsia="Calibri"/>
          <w:lang w:eastAsia="ar-SA"/>
        </w:rPr>
      </w:pPr>
      <w:r w:rsidRPr="00FF421E">
        <w:rPr>
          <w:rFonts w:eastAsia="Calibri"/>
          <w:sz w:val="16"/>
          <w:szCs w:val="16"/>
          <w:lang w:eastAsia="ar-SA"/>
        </w:rPr>
        <w:t>**Valores p calculados con la prueba exacta de Fisher</w:t>
      </w:r>
      <w:r w:rsidRPr="00FF421E">
        <w:rPr>
          <w:rFonts w:eastAsia="Calibri"/>
          <w:sz w:val="16"/>
          <w:szCs w:val="16"/>
          <w:lang w:eastAsia="ar-SA"/>
        </w:rPr>
        <w:cr/>
      </w:r>
    </w:p>
    <w:p w14:paraId="23DF6E32" w14:textId="77777777" w:rsidR="00FF421E" w:rsidRPr="00FF421E" w:rsidRDefault="00FF421E" w:rsidP="00FF421E">
      <w:pPr>
        <w:spacing w:line="360" w:lineRule="auto"/>
        <w:jc w:val="both"/>
        <w:rPr>
          <w:rFonts w:eastAsia="Calibri"/>
          <w:lang w:eastAsia="ar-SA"/>
        </w:rPr>
      </w:pPr>
    </w:p>
    <w:p w14:paraId="4D934217" w14:textId="77777777" w:rsidR="00FF421E" w:rsidRPr="00FF421E" w:rsidRDefault="00FF421E" w:rsidP="00FF421E">
      <w:pPr>
        <w:spacing w:line="360" w:lineRule="auto"/>
        <w:jc w:val="both"/>
        <w:rPr>
          <w:rFonts w:eastAsia="Calibri"/>
          <w:lang w:eastAsia="ar-SA"/>
        </w:rPr>
      </w:pPr>
      <w:r w:rsidRPr="00FF421E">
        <w:rPr>
          <w:rFonts w:eastAsia="Calibri"/>
          <w:lang w:eastAsia="ar-SA"/>
        </w:rPr>
        <w:t xml:space="preserve">Se observa una mayor proporción de mortalidad en pacientes con leucocitosis respecto a quienes tenían leucocitos con rango normal (47,4 % </w:t>
      </w:r>
      <w:r w:rsidRPr="00FF421E">
        <w:rPr>
          <w:rFonts w:eastAsia="Calibri"/>
          <w:iCs/>
          <w:lang w:eastAsia="ar-SA"/>
        </w:rPr>
        <w:t>vs</w:t>
      </w:r>
      <w:r w:rsidRPr="00FF421E">
        <w:rPr>
          <w:rFonts w:eastAsia="Calibri"/>
          <w:lang w:eastAsia="ar-SA"/>
        </w:rPr>
        <w:t xml:space="preserve">. 9,1 %, p = 0,004). También, se evidencia una mayor frecuencia de mortalidad en pacientes con enfermedad descompensada según índice de Child Pugh, respecto a quienes tuvieron compromiso funcional significativo (41,2 % </w:t>
      </w:r>
      <w:r w:rsidRPr="00FF421E">
        <w:rPr>
          <w:rFonts w:eastAsia="Calibri"/>
          <w:iCs/>
          <w:lang w:eastAsia="ar-SA"/>
        </w:rPr>
        <w:t>vs</w:t>
      </w:r>
      <w:r w:rsidRPr="00FF421E">
        <w:rPr>
          <w:rFonts w:eastAsia="Calibri"/>
          <w:lang w:eastAsia="ar-SA"/>
        </w:rPr>
        <w:t xml:space="preserve">. 5 %, p = 0,023). Los pacientes con 30-39 de índice de Meld tenían 72,7 % mayor frecuencia de mortalidad, respecto a quienes tenían 20-29 de índice de Meld (100 % </w:t>
      </w:r>
      <w:r w:rsidRPr="00FF421E">
        <w:rPr>
          <w:rFonts w:eastAsia="Calibri"/>
          <w:iCs/>
          <w:lang w:eastAsia="ar-SA"/>
        </w:rPr>
        <w:t>vs</w:t>
      </w:r>
      <w:r w:rsidRPr="00FF421E">
        <w:rPr>
          <w:rFonts w:eastAsia="Calibri"/>
          <w:lang w:eastAsia="ar-SA"/>
        </w:rPr>
        <w:t>. 27,3 %, p &lt; 0,001). Los niveles de creatinina resultaron asociados a la presencia de mortalidad debido a cirrosis (p = 0,009) (tabla 3).</w:t>
      </w:r>
    </w:p>
    <w:p w14:paraId="255B429A" w14:textId="77777777" w:rsidR="00FF421E" w:rsidRPr="00FF421E" w:rsidRDefault="00FF421E" w:rsidP="00FF421E">
      <w:pPr>
        <w:spacing w:line="360" w:lineRule="auto"/>
        <w:jc w:val="both"/>
        <w:rPr>
          <w:rFonts w:eastAsia="Calibri"/>
          <w:lang w:eastAsia="ar-SA"/>
        </w:rPr>
      </w:pPr>
    </w:p>
    <w:p w14:paraId="3916C40B" w14:textId="77777777" w:rsidR="00FF421E" w:rsidRPr="00FF421E" w:rsidRDefault="00FF421E" w:rsidP="00FF421E">
      <w:pPr>
        <w:suppressAutoHyphens/>
        <w:spacing w:line="360" w:lineRule="auto"/>
        <w:jc w:val="center"/>
        <w:rPr>
          <w:rFonts w:eastAsia="Calibri"/>
          <w:sz w:val="22"/>
          <w:szCs w:val="22"/>
          <w:lang w:eastAsia="ar-SA"/>
        </w:rPr>
      </w:pPr>
      <w:r w:rsidRPr="00FF421E">
        <w:rPr>
          <w:rFonts w:eastAsia="Calibri"/>
          <w:b/>
          <w:sz w:val="22"/>
          <w:szCs w:val="22"/>
          <w:lang w:eastAsia="ar-SA"/>
        </w:rPr>
        <w:lastRenderedPageBreak/>
        <w:t>Tabla 3 -</w:t>
      </w:r>
      <w:r w:rsidRPr="00FF421E">
        <w:rPr>
          <w:rFonts w:eastAsia="Calibri"/>
          <w:sz w:val="22"/>
          <w:szCs w:val="22"/>
          <w:lang w:eastAsia="ar-SA"/>
        </w:rPr>
        <w:t xml:space="preserve"> Factores de laboratorio asociados a mortalidad hospitalaria de pacientes cirróticos</w:t>
      </w:r>
    </w:p>
    <w:p w14:paraId="396BB961" w14:textId="4F839922" w:rsidR="00FF421E" w:rsidRPr="00FF421E" w:rsidRDefault="00FF421E" w:rsidP="00FF421E">
      <w:pPr>
        <w:suppressAutoHyphens/>
        <w:spacing w:line="360" w:lineRule="auto"/>
        <w:jc w:val="center"/>
        <w:rPr>
          <w:rFonts w:eastAsia="Calibri"/>
          <w:sz w:val="18"/>
          <w:szCs w:val="18"/>
          <w:lang w:eastAsia="ar-SA"/>
        </w:rPr>
      </w:pPr>
      <w:r w:rsidRPr="00FF421E">
        <w:rPr>
          <w:rFonts w:eastAsia="Calibri"/>
          <w:noProof/>
          <w:sz w:val="18"/>
          <w:szCs w:val="18"/>
          <w:lang w:eastAsia="ar-SA"/>
        </w:rPr>
        <w:drawing>
          <wp:inline distT="0" distB="0" distL="0" distR="0" wp14:anchorId="2148FD47" wp14:editId="24D30C17">
            <wp:extent cx="4882515" cy="531368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2515" cy="5313680"/>
                    </a:xfrm>
                    <a:prstGeom prst="rect">
                      <a:avLst/>
                    </a:prstGeom>
                    <a:noFill/>
                    <a:ln>
                      <a:noFill/>
                    </a:ln>
                  </pic:spPr>
                </pic:pic>
              </a:graphicData>
            </a:graphic>
          </wp:inline>
        </w:drawing>
      </w:r>
    </w:p>
    <w:p w14:paraId="74B3A0D7" w14:textId="77777777" w:rsidR="00FF421E" w:rsidRPr="00FF421E" w:rsidRDefault="00FF421E" w:rsidP="00FF421E">
      <w:pPr>
        <w:suppressAutoHyphens/>
        <w:spacing w:line="360" w:lineRule="auto"/>
        <w:jc w:val="center"/>
        <w:rPr>
          <w:rFonts w:eastAsia="Calibri"/>
          <w:sz w:val="18"/>
          <w:szCs w:val="18"/>
          <w:lang w:eastAsia="ar-SA"/>
        </w:rPr>
      </w:pPr>
      <w:r w:rsidRPr="00FF421E">
        <w:rPr>
          <w:rFonts w:eastAsia="Calibri"/>
          <w:sz w:val="18"/>
          <w:szCs w:val="18"/>
          <w:lang w:eastAsia="ar-SA"/>
        </w:rPr>
        <w:t>‡ Algunos valores no suman 52 debido a datos faltantes</w:t>
      </w:r>
    </w:p>
    <w:p w14:paraId="2A2E59CF" w14:textId="77777777" w:rsidR="00FF421E" w:rsidRPr="00FF421E" w:rsidRDefault="00FF421E" w:rsidP="00FF421E">
      <w:pPr>
        <w:suppressAutoHyphens/>
        <w:spacing w:line="360" w:lineRule="auto"/>
        <w:jc w:val="center"/>
        <w:rPr>
          <w:rFonts w:eastAsia="Calibri"/>
          <w:sz w:val="18"/>
          <w:szCs w:val="18"/>
          <w:lang w:eastAsia="ar-SA"/>
        </w:rPr>
      </w:pPr>
      <w:r w:rsidRPr="00FF421E">
        <w:rPr>
          <w:rFonts w:eastAsia="Calibri"/>
          <w:sz w:val="18"/>
          <w:szCs w:val="18"/>
          <w:lang w:eastAsia="ar-SA"/>
        </w:rPr>
        <w:t>**Valores p calculados con la prueba exacta de Fisher / ***Mediana (Valor mínimo-Valor máximo)</w:t>
      </w:r>
    </w:p>
    <w:p w14:paraId="4F381DDC" w14:textId="77777777" w:rsidR="00FF421E" w:rsidRPr="00FF421E" w:rsidRDefault="00FF421E" w:rsidP="00FF421E">
      <w:pPr>
        <w:suppressAutoHyphens/>
        <w:spacing w:line="360" w:lineRule="auto"/>
        <w:jc w:val="center"/>
        <w:rPr>
          <w:rFonts w:eastAsia="Calibri"/>
          <w:sz w:val="18"/>
          <w:szCs w:val="18"/>
          <w:lang w:eastAsia="ar-SA"/>
        </w:rPr>
      </w:pPr>
      <w:r w:rsidRPr="00FF421E">
        <w:rPr>
          <w:rFonts w:eastAsia="Calibri"/>
          <w:sz w:val="18"/>
          <w:szCs w:val="18"/>
          <w:lang w:eastAsia="ar-SA"/>
        </w:rPr>
        <w:t>¶ Valor p calculado con la prueba U de Mann Whitney</w:t>
      </w:r>
    </w:p>
    <w:p w14:paraId="36DE5B96" w14:textId="77777777" w:rsidR="00FF421E" w:rsidRPr="00FF421E" w:rsidRDefault="00FF421E" w:rsidP="00FF421E">
      <w:pPr>
        <w:suppressAutoHyphens/>
        <w:spacing w:line="360" w:lineRule="auto"/>
        <w:jc w:val="center"/>
        <w:rPr>
          <w:rFonts w:eastAsia="Calibri"/>
          <w:sz w:val="18"/>
          <w:szCs w:val="18"/>
          <w:lang w:eastAsia="ar-SA"/>
        </w:rPr>
      </w:pPr>
      <w:r w:rsidRPr="00FF421E">
        <w:rPr>
          <w:rFonts w:eastAsia="Calibri"/>
          <w:sz w:val="18"/>
          <w:szCs w:val="18"/>
          <w:lang w:eastAsia="ar-SA"/>
        </w:rPr>
        <w:t>No se muestran categorías de variables con hallazgos normales y leves</w:t>
      </w:r>
    </w:p>
    <w:p w14:paraId="0B6C5B18" w14:textId="77777777" w:rsidR="00FF421E" w:rsidRPr="00FF421E" w:rsidRDefault="00FF421E" w:rsidP="00FF421E">
      <w:pPr>
        <w:suppressAutoHyphens/>
        <w:spacing w:line="360" w:lineRule="auto"/>
        <w:jc w:val="center"/>
        <w:rPr>
          <w:rFonts w:eastAsia="Calibri"/>
          <w:lang w:eastAsia="ar-SA"/>
        </w:rPr>
      </w:pPr>
    </w:p>
    <w:p w14:paraId="56EF53C7" w14:textId="77777777" w:rsidR="00FF421E" w:rsidRPr="00FF421E" w:rsidRDefault="00FF421E" w:rsidP="00FF421E">
      <w:pPr>
        <w:keepNext/>
        <w:keepLines/>
        <w:suppressAutoHyphens/>
        <w:spacing w:line="360" w:lineRule="auto"/>
        <w:jc w:val="center"/>
        <w:outlineLvl w:val="0"/>
        <w:rPr>
          <w:b/>
          <w:bCs/>
          <w:lang w:eastAsia="ar-SA"/>
        </w:rPr>
      </w:pPr>
    </w:p>
    <w:p w14:paraId="366DCBA4" w14:textId="77777777" w:rsidR="00FF421E" w:rsidRPr="00FF421E" w:rsidRDefault="00FF421E" w:rsidP="00FF421E">
      <w:pPr>
        <w:keepNext/>
        <w:keepLines/>
        <w:suppressAutoHyphens/>
        <w:spacing w:line="360" w:lineRule="auto"/>
        <w:jc w:val="center"/>
        <w:outlineLvl w:val="0"/>
        <w:rPr>
          <w:b/>
          <w:bCs/>
          <w:sz w:val="32"/>
          <w:szCs w:val="32"/>
          <w:lang w:eastAsia="ar-SA"/>
        </w:rPr>
      </w:pPr>
      <w:r w:rsidRPr="00FF421E">
        <w:rPr>
          <w:b/>
          <w:bCs/>
          <w:sz w:val="32"/>
          <w:szCs w:val="32"/>
          <w:lang w:eastAsia="ar-SA"/>
        </w:rPr>
        <w:t>DISCUSIÓN</w:t>
      </w:r>
    </w:p>
    <w:p w14:paraId="2D2A1DF5"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La frecuencia de mortalidad en pacientes cirróticos fue de 21,2 %. </w:t>
      </w:r>
      <w:proofErr w:type="spellStart"/>
      <w:r w:rsidRPr="00FF421E">
        <w:rPr>
          <w:rFonts w:eastAsia="Calibri"/>
          <w:i/>
          <w:lang w:eastAsia="ar-SA"/>
        </w:rPr>
        <w:t>Melcarne</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BYvRk51t","properties":{"formattedCitation":"(9)","plainCitation":"(9)","noteIndex":0},"citationItems":[{"id":"rpNjEJQe/alRKFPvq","uris":["http://zotero.org/users/local/dUEZb9b8/items/3JGKSS7Z"],"uri":["http://zotero.org/users/local/dUEZb9b8/items/3JGKSS7Z"],"itemData":{"id":1050,"type":"article-journal","abstract":"Introducción: la peritonitis bacteriana espontánea es una complicación infecciosa con impacto negativo sobre la supervivencia de los pacientes con cirrosis.","container-title":"Revista Española de Enfermedades Digestivas","DOI":"10.17235/reed.2017.4517/2016","ISSN":"1130-0108","issue":"2","journalAbbreviation":"Rev. esp. enferm. dig.","language":"es","source":"SciELO","title":"Factores pronósticos de mortalidad en la cirrosis hepática tras un primer episodio de peritonitis bacteriana espontánea. Estudio multicéntrico","volume":"110","author":[{"family":"Melcarne","given":"Luigi"},{"family":"Sopeña","given":"Julia"},{"family":"Martínez-Cerezo","given":"Francisco-José"},{"family":"Vergara","given":"Mercedes"},{"family":"Miquel","given":"Mireia"},{"family":"Sánchez-Delgado","given":"Jordi"},{"family":"Dalmau","given":"Blai"},{"family":"Machlab","given":"Salvador"},{"family":"Portilla","given":"Dustin"},{"family":"Gonzáles-Padrón","given":"Yonaisy"},{"family":"Real-Álvarez","given":"Mónica"},{"family":"Carpintero","given":"Chantal"},{"family":"Casas","given":"Meritxell"}],"accessed":{"date-parts":[["2020",2,26]]},"issued":{"date-parts":[["2018",2]]}}}],"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(9)</w:t>
      </w:r>
      <w:r w:rsidRPr="00FF421E">
        <w:rPr>
          <w:rFonts w:eastAsia="Calibri"/>
          <w:vertAlign w:val="superscript"/>
          <w:lang w:eastAsia="ar-SA"/>
        </w:rPr>
        <w:fldChar w:fldCharType="end"/>
      </w:r>
      <w:r w:rsidRPr="00FF421E">
        <w:rPr>
          <w:rFonts w:eastAsia="Calibri"/>
          <w:lang w:eastAsia="ar-SA"/>
        </w:rPr>
        <w:t xml:space="preserve"> encontraron una frecuencia de 23 %, </w:t>
      </w:r>
      <w:proofErr w:type="spellStart"/>
      <w:r w:rsidRPr="00FF421E">
        <w:rPr>
          <w:rFonts w:eastAsia="Calibri"/>
          <w:i/>
          <w:lang w:eastAsia="ar-SA"/>
        </w:rPr>
        <w:t>Ximenes</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RSeskn60","properties":{"formattedCitation":"(10)","plainCitation":"(10)","noteIndex":0},"citationItems":[{"id":"rpNjEJQe/G59Ttt85","uris":["http://zotero.org/users/local/dUEZb9b8/items/QWVL5JDL"],"uri":["http://zotero.org/users/local/dUEZb9b8/items/QWVL5JDL"],"itemData":{"id":1048,"type":"article-journal","abstract":"BACKGROUND: Patients with cirrhosis have high risk of bacterial infections and cirrhosis decompensation, resulting in admission to emergency department (ED). However, there are no criteria developed in the ED to identify patients with cirrhosis with bacterial infection and with high mortality risk.\nSTUDY OBJECTIVE: The objective of the study is to identify variables from ED arrival associated with bacterial infections and inhospital mortality.\nMETHODS: This is a retrospective single-center study using a tertiary hospital's database to identify consecutive ED patients with decompensated cirrhosis. Clinical variables and laboratory results were obtained by chart review. Logistic regression models were built to determine variables independently associated with bacterial infection and mortality. Scores using these variables were designed.\nRESULTS: One hundred forty-nine patients were enrolled, most of them males (77.9%) with alcoholic cirrhosis (53%) and advanced liver disease (Child-Pugh C, 47.2%). Bacterial infections were diagnosed in 72 patients (48.3%), and 36 (24.2%) died during hospital stay. Variables independently associated with bacterial infection were lymphocytes less than or equal to 900/mm(3) (odds ratio [OR], 3.85 [95% confidence interval {CI}, 1.47-10]; P = .006) and C-reactive protein greater than 59.4 mg/L (OR, 5.05 [95% CI, 1.93-13.2]; P = .001). Variables independently associated with mortality were creatinine greater than 1.5 mg/dL (OR, 4.35 [95% CI, 1.87-10.1]; P = .001) and international normalized ratio greater than 1.65 (OR, 3.71 [95% CI, 1.6-8.61]; P = .002). Scores designed to predict bacterial infection and mortality (Mortality in Cirrhosis Emergency Department Score) had an area under the receiver operating characteristic curve of 0.82 and 0.801, respectively. The Mortality in Cirrhosis Emergency Department Score performed better than Model for End-Stage Liver Disease score.\nCONCLUSIONS: In this cohort of ED patients with decompensated cirrhosis, lymphopenia and elevated C-reactive protein were related to bacterial infections, and elevated creatinine and international normalized ratio were related to mortality. Scores built with these variables should be prospectively validated.","container-title":"The American Journal of Emergency Medicine","DOI":"10.1016/j.ajem.2015.09.004","ISSN":"1532-8171","issue":"1","journalAbbreviation":"Am J Emerg Med","language":"eng","note":"PMID: 26423777","page":"25-29","source":"PubMed","title":"Patients with cirrhosis in the ED: early predictors of infection and mortality","title-short":"Patients with cirrhosis in the ED","volume":"34","author":[{"family":"Ximenes","given":"Rafael Oliveira"},{"family":"Farias","given":"Alberto Queiroz"},{"family":"Scalabrini Neto","given":"Augusto"},{"family":"Diniz","given":"Márcio Augusto"},{"family":"Kubota","given":"Gabriel Taricani"},{"family":"Ivo","given":"Maurício Menezes Aben-Athar"},{"family":"Colacique","given":"Caroline Gracia Plena Sol"},{"family":"D'Albuquerque","given":"Luiz Augusto Carneiro"},{"family":"Daglius Dias","given":"Roger"}],"issued":{"date-parts":[["2016",1]]}}}],"schema":"https://github.com/citation-style-language/schema/raw/master/csl-citation.json"}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(10)</w:t>
      </w:r>
      <w:r w:rsidRPr="00FF421E">
        <w:rPr>
          <w:rFonts w:eastAsia="Calibri"/>
          <w:vertAlign w:val="superscript"/>
          <w:lang w:eastAsia="ar-SA"/>
        </w:rPr>
        <w:fldChar w:fldCharType="end"/>
      </w:r>
      <w:r w:rsidRPr="00FF421E">
        <w:rPr>
          <w:rFonts w:eastAsia="Calibri"/>
          <w:lang w:eastAsia="ar-SA"/>
        </w:rPr>
        <w:t xml:space="preserve"> estimaron una mortalidad de 24,2 %, y </w:t>
      </w:r>
      <w:proofErr w:type="spellStart"/>
      <w:r w:rsidRPr="00FF421E">
        <w:rPr>
          <w:rFonts w:eastAsia="Calibri"/>
          <w:i/>
          <w:lang w:eastAsia="ar-SA"/>
        </w:rPr>
        <w:t>Gessolo</w:t>
      </w:r>
      <w:proofErr w:type="spellEnd"/>
      <w:r w:rsidRPr="00FF421E">
        <w:rPr>
          <w:rFonts w:eastAsia="Calibri"/>
          <w:i/>
          <w:lang w:eastAsia="ar-SA"/>
        </w:rPr>
        <w:t xml:space="preserve"> Lins</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YGBlq0RQ","properties":{"formattedCitation":"(11)","plainCitation":"(11)","noteIndex":0},"citationItems":[{"id":"rpNjEJQe/Rafsomm2","uris":["http://zotero.org/users/local/dUEZb9b8/items/DU8PS8IB"],"uri":["http://zotero.org/users/local/dUEZb9b8/items/DU8PS8IB"],"itemData":{"id":1060,"type":"article-journal","abstract":"BACKGROUND: Acute kidney injury (AKI) is common in cirrhotic patients and is associated with negative outcomes. The aim of this study was to evaluate the presence of AKI and its progression according to KDIGO (Kidney Disease: Improving Global Outcomes) criteria in cirrhotic patients admitted to the emergency department and to determine the association of AKI with hospital mortality.\nMETHODS: This retrospective study included 258 cirrhotic patients admitted to the emergency department of a university hospital from March 2015 to February 2017. AKI was diagnosed and classified according to the KDIGO criteria.\nRESULTS: The overall incidence of AKI in cirrhotic patients was 53.9%, and the overall hospital mortality was 28.4%. Mortality was associated with the presence, stage, and progression of AKI. Patients with AKI stage 1 and sCr &lt; 1.5 mg/dl (KDIGO 1a) had a lower mortality rate than patients with AKI stage 1 and sCr &gt; 1.5 mg/dl (KDIGO 1b). In the logistic regression analysis, three variables were independently associated with hospital mortality: cancer, AKI and progression of AKI.\nCONCLUSIONS: According to the data presented, a single measure of creatinine is not enough, and there is a need for meticulous follow-up of the renal function of patients with hepatic cirrhosis hospitalized in an emergency unit. In addition, this study reinforces the need for subclassification of KDIGO 1 in cirrhotic patients, since patients with acute renal injury and creatinine greater than 1.5 mg/dL present a worse clinical outcome.","container-title":"BMC nephrology","DOI":"10.1186/s12882-018-1061-8","ISSN":"1471-2369","issue":"1","journalAbbreviation":"BMC Nephrol","language":"eng","note":"PMID: 30342475\nPMCID: PMC6196026","page":"277","source":"PubMed","title":"Risk factors, mortality and acute kidney injury outcomes in cirrhotic patients in the emergency department","volume":"19","author":[{"family":"Gessolo Lins","given":"Paulo Ricardo"},{"family":"Carvalho Padilha","given":"Wallace Stwart"},{"family":"Magalhaes Giradin Pimentel","given":"Carolina Frade"},{"family":"Costa Batista","given":"Marcelo"},{"family":"Teixeira de Gois","given":"Aécio Flávio"}],"issued":{"date-parts":[["2018"]],"season":"20"}}}],"schema":"https://github.com/citation-style-language/schema/raw/master/csl-citation.json"}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(11)</w:t>
      </w:r>
      <w:r w:rsidRPr="00FF421E">
        <w:rPr>
          <w:rFonts w:eastAsia="Calibri"/>
          <w:vertAlign w:val="superscript"/>
          <w:lang w:eastAsia="ar-SA"/>
        </w:rPr>
        <w:fldChar w:fldCharType="end"/>
      </w:r>
      <w:r w:rsidRPr="00FF421E">
        <w:rPr>
          <w:rFonts w:eastAsia="Calibri"/>
          <w:lang w:eastAsia="ar-SA"/>
        </w:rPr>
        <w:t xml:space="preserve"> </w:t>
      </w:r>
      <w:r w:rsidRPr="00FF421E">
        <w:rPr>
          <w:rFonts w:eastAsia="Calibri"/>
          <w:lang w:eastAsia="ar-SA"/>
        </w:rPr>
        <w:lastRenderedPageBreak/>
        <w:t xml:space="preserve">encontraron un 28,4 % de mortalidad debido a cirrosis. </w:t>
      </w:r>
      <w:proofErr w:type="spellStart"/>
      <w:r w:rsidRPr="00FF421E">
        <w:rPr>
          <w:rFonts w:eastAsia="Calibri"/>
          <w:i/>
          <w:lang w:eastAsia="ar-SA"/>
        </w:rPr>
        <w:t>Nuthalapati</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h0sjT8H2","properties":{"formattedCitation":"(12)","plainCitation":"(12)","noteIndex":0},"citationItems":[{"id":"rpNjEJQe/rdTirYAe","uris":["http://zotero.org/users/local/dUEZb9b8/items/JPD9KNAF"],"uri":["http://zotero.org/users/local/dUEZb9b8/items/JPD9KNAF"],"itemData":{"id":1039,"type":"article-journal","abstract":"Background/aims\nThe mortality of hospitalized patients for complications of cirrhosis is very high. We examined the independent predictors of mortality, particularly the impact of increments in creatinine, in 339 consecutive patients (636 admissions) who were admitted for complications of cirrhosis.\nMethods\nClinical characteristics, biochemical parameters including serum creatinine levels at various time intervals, and mortality data were recorded for all admissions. Data were analyzed for initial as well for all repeated admissions to identify independent predictors of mortality.\nResults\nThe in-hospital mortality, 30-day, 90-day, 180 days, and 365 days mortality were 6%, 15%, 23%, 30%, and 41% respectively. Those admitted with spontaneous bacterial peritonitis had the worst survival. Increase in creatinine was noted in 29% of patients and they had lower 30-day (78% vs.91%) and 90-day (73% vs. 82%) survival than those without increase in creatinine. Any increment in serum creatinine (≥0.1mg/dL) within 48h after admission (peak 48h – admission) was associated with a step-wise increase in mortality, but only if peak creatinine reached above 1.2mg/dL. If peak creatinine levels were below 1.2mg/dL, increases in serum creatinine had no impact on survival. Cox regression analysis showed that increments in serum creatinine of 0.3mg/dL or higher had the worst outcome (HR 2.51, CI 1.65–3.81). Etiology of cirrhosis or the use of PPI, beta blockers or rifaxamin did not predict mortality. Other independent predictors of mortality were age, reason for admission, hyponatremia, and INR.\nConclusion\nIn patients with cirrhosis, any increment in serum creatinine within 48h from hospitalization is associated with a higher mortality provided the peak serum creatinine within 48h is above 1.2mg/dL.","container-title":"Journal of Clinical and Experimental Hepatology","DOI":"10.1016/j.jceh.2017.05.004","ISSN":"0973-6883","issue":"4","journalAbbreviation":"Journal of Clinical and Experimental Hepatology","language":"en","page":"290-299","source":"ScienceDirect","title":"Impact of Acute Kidney Injury on Mortality of Patients Hospitalized for Complications of Cirrhosis","volume":"7","author":[{"family":"Nuthalapati","given":"Anantha"},{"family":"Schluterman","given":"Nicholas"},{"family":"Khanna","given":"Anuj"},{"family":"Greenberg","given":"Deborah"},{"family":"Thuluvath","given":"Paul J."}],"issued":{"date-parts":[["2017",12,1]]}}}],"schema":"https://github.com/citation-style-language/schema/raw/master/csl-citation.json"}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(12)</w:t>
      </w:r>
      <w:r w:rsidRPr="00FF421E">
        <w:rPr>
          <w:rFonts w:eastAsia="Calibri"/>
          <w:vertAlign w:val="superscript"/>
          <w:lang w:eastAsia="ar-SA"/>
        </w:rPr>
        <w:fldChar w:fldCharType="end"/>
      </w:r>
      <w:r w:rsidRPr="00FF421E">
        <w:rPr>
          <w:rFonts w:eastAsia="Calibri"/>
          <w:lang w:eastAsia="ar-SA"/>
        </w:rPr>
        <w:t xml:space="preserve"> hallaron una frecuencia menor de mortalidad a los 30 días (15 %). En Latinoamérica, se han evidenciado frecuencias de mortalidad consistentes con lo observado en este estudio: 22 % en Brasil</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PLTd0mrp","properties":{"formattedCitation":"(13)","plainCitation":"(13)","noteIndex":0},"citationItems":[{"id":"rpNjEJQe/Wu1j3O6m","uris":["http://zotero.org/users/local/dUEZb9b8/items/ACQSCZ9L"],"uri":["http://zotero.org/users/local/dUEZb9b8/items/ACQSCZ9L"],"itemData":{"id":1070,"type":"article-journal","abstract":"Background. Although several prognostic models have been proposed for cirrhotic patients listed for transplantation, the performance of these scores as predictors of mortality in patients admitted for acute decompensation of cirrhosis has not been satisfactorily investigated. Aims. To study MELD, MELD-Na, MESO, iMELD, Refit-MELD and Refit MELD-Na models as prognostic predictors in cirrhotic patients admitted for acute decompensation, and to compare their performance between admission and 48 hours of hospitalization to predict in-hospital mortality. Material and methods. This cohort study included cirrhotic patients admitted to hospital due to complications of the disease. Individuals were evaluated on admission and after 48 h of hospitalization, and mortality was evaluated during the present admission. Results. One hundred and twenty-three subjects with a mean age of 54.26 ± 10.79 years were included; 76.4% were male. Mean MELD score was 16.43 ± 7.08 and 52.0% of patients were Child-Pugh C. Twenty-seven patients (22.0%) died during hospitalization. Similar areas under the curve (AUROCs) for prognosis of mortality were observed when different models were compared on admission (P &gt; 0.05) and after 48 h of hospitalization (P &gt; 0.05). When models executed after 48 h of hospitalization were compared to their corresponding model calculated on admission, significantly higher AUROCs were obtained for all models (P &lt; 0.05), except for MELD-Na (P = 0.075) and iMELD (P = 0.119). Conclusion. The studied models showed similar accuracy as predictors of in-hospital mortality in cirrhotic patients admitted for acute decompensation. However, the performance of these models was significantly better when applied 48 h after admission when compared to their calculation on admission.","container-title":"Annals of Hepatology","DOI":"10.1016/S1665-2681(19)30804-X","ISSN":"1665-2681","issue":"1","journalAbbreviation":"Annals of Hepatology","language":"en","page":"83-92","source":"ScienceDirect","title":"The performance of prognostic models as predictors of mortality in patients with acute decompensation of cirrhosis","volume":"14","author":[{"family":"Fayad","given":"Leonardo"},{"family":"Narciso-Schiavon","given":"Janaína Luz"},{"family":"Lazzarotto","given":"César"},{"family":"Ronsoni","given":"Marcelo Fernando"},{"family":"Wildner","given":"Letícia Muraro"},{"family":"Bazzo","given":"Maria Luiza"},{"family":"Schiavon","given":"Leonardo de Lucca"},{"family":"Dantas-Corrêa","given":"Esther Buzaglo"}],"issued":{"date-parts":[["2015",1,1]]}}}],"schema":"https://github.com/citation-style-language/schema/raw/master/csl-citation.json"}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(13)</w:t>
      </w:r>
      <w:r w:rsidRPr="00FF421E">
        <w:rPr>
          <w:rFonts w:eastAsia="Calibri"/>
          <w:vertAlign w:val="superscript"/>
          <w:lang w:eastAsia="ar-SA"/>
        </w:rPr>
        <w:fldChar w:fldCharType="end"/>
      </w:r>
      <w:r w:rsidRPr="00FF421E">
        <w:rPr>
          <w:rFonts w:eastAsia="Calibri"/>
          <w:lang w:eastAsia="ar-SA"/>
        </w:rPr>
        <w:t xml:space="preserve"> y 23,5 % en Colombia.</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629bAHco","properties":{"formattedCitation":"(14)","plainCitation":"(14)","noteIndex":0},"citationItems":[{"id":"rpNjEJQe/1v9gEDzx","uris":["http://zotero.org/users/local/dUEZb9b8/items/37DXVNRI"],"uri":["http://zotero.org/users/local/dUEZb9b8/items/37DXVNRI"],"itemData":{"id":1045,"type":"article-journal","abstract":"IntroducciónLa cirrosis hepática es reconocida por el alto riesgo de mortalidad asociada a los episodios de descompensación aguda; este riesgo se incrementa aun más en el caso","container-title":"Revista de Gastroenterología de México","DOI":"10.1016/j.rgmx.2016.10.002","ISSN":"0375-0906","issue":"3","journalAbbreviation":"Rev Gastroenterol Mex","language":"es","page":"203-209","source":"www.revistagastroenterologiamexico.org","title":"Mortalidad hospitalaria en pacientes cirróticos en un hospital de tercer nivel","volume":"82","author":[{"family":"Zubieta-Rodríguez","given":"R."},{"family":"Gómez-Correa","given":"J."},{"family":"Rodríguez-Amaya","given":"R."},{"family":"Ariza-Mejia","given":"K. A."},{"family":"Toloza-Cuta","given":"N. A."}],"issued":{"date-parts":[["2017",7,1]]}}}],"schema":"https://github.com/citation-style-language/schema/raw/master/csl-citation.json"}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(14)</w:t>
      </w:r>
      <w:r w:rsidRPr="00FF421E">
        <w:rPr>
          <w:rFonts w:eastAsia="Calibri"/>
          <w:vertAlign w:val="superscript"/>
          <w:lang w:eastAsia="ar-SA"/>
        </w:rPr>
        <w:fldChar w:fldCharType="end"/>
      </w:r>
      <w:r w:rsidRPr="00FF421E">
        <w:rPr>
          <w:rFonts w:eastAsia="Calibri"/>
          <w:lang w:eastAsia="ar-SA"/>
        </w:rPr>
        <w:t xml:space="preserve"> Este hallazgo es superior a lo reportado en estudios peruanos (28,8 % - 39,6 %),</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dtJr17Q8","properties":{"formattedCitation":"(15)","plainCitation":"(15)","noteIndex":0},"citationItems":[{"id":"rpNjEJQe/NDVHWgSu","uris":["http://zotero.org/users/local/dUEZb9b8/items/MXUYADHV"],"uri":["http://zotero.org/users/local/dUEZb9b8/items/MXUYADHV"],"itemData":{"id":1058,"type":"article-journal","container-title":"Revista de Gastroenterología del Perú","ISSN":"1022-5129","issue":"4","note":"publisher: Sociedad de Gastroenterología del Perú","page":"325-330","source":"SciELO","title":"Frecuencia, perfil clínico y mortalidad de la insuficiencia hepática crónica reagudizada en un hospital público de Lima - Perú","volume":"38","author":[{"family":"Rosado Cipriano","given":"Mavel"},{"family":"García-Encinas","given":"Carlos"},{"family":"Bellido-Caparó","given":"Álvaro"},{"family":"Purizaca Navarro","given":"Annys"},{"family":"Valenzuela Granados","given":"Vanessa"}],"issued":{"date-parts":[["2018",10]]}}}],"schema":"https://github.com/citation-style-language/schema/raw/master/csl-citation.json"}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(15,16)</w:t>
      </w:r>
      <w:r w:rsidRPr="00FF421E">
        <w:rPr>
          <w:rFonts w:eastAsia="Calibri"/>
          <w:vertAlign w:val="superscript"/>
          <w:lang w:eastAsia="ar-SA"/>
        </w:rPr>
        <w:fldChar w:fldCharType="end"/>
      </w:r>
      <w:r w:rsidRPr="00FF421E">
        <w:rPr>
          <w:rFonts w:eastAsia="Calibri"/>
          <w:lang w:eastAsia="ar-SA"/>
        </w:rPr>
        <w:t xml:space="preserve"> pero es inferior a lo descrito por  </w:t>
      </w:r>
      <w:r w:rsidRPr="00FF421E">
        <w:rPr>
          <w:rFonts w:eastAsia="Calibri"/>
          <w:i/>
          <w:lang w:eastAsia="ar-SA"/>
        </w:rPr>
        <w:t>Ruiz García</w:t>
      </w:r>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EqefiE1N","properties":{"formattedCitation":"(17)","plainCitation":"(17)","noteIndex":0},"citationItems":[{"id":"rpNjEJQe/JTZ6UNAm","uris":["http://zotero.org/users/local/dUEZb9b8/items/3NJETZZU"],"uri":["http://zotero.org/users/local/dUEZb9b8/items/3NJETZZU"],"itemData":{"id":1042,"type":"article-journal","container-title":"Revista de Gastroenterología del Perú","ISSN":"1022-5129","issue":"1","page":"55-63","source":"SciELO","title":"Predictores de infección y mortalidad en pacientes con cirrosis hepática en el hospital de alta complejidad Virgen de la Puerta de Trujillo, Perú","volume":"39","author":[{"family":"Ruiz García","given":"Sandro"},{"family":"Castillo Núñez","given":"Lida"},{"family":"Malca Atoche","given":"Joel"},{"family":"Valderrama Ascoy","given":"Joselyne"},{"family":"Aguilar Saldaña","given":"Gary"}],"issued":{"date-parts":[["2019",1]]}}}],"schema":"https://github.com/citation-style-language/schema/raw/master/csl-citation.json"}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(17)</w:t>
      </w:r>
      <w:r w:rsidRPr="00FF421E">
        <w:rPr>
          <w:rFonts w:eastAsia="Calibri"/>
          <w:vertAlign w:val="superscript"/>
          <w:lang w:eastAsia="ar-SA"/>
        </w:rPr>
        <w:fldChar w:fldCharType="end"/>
      </w:r>
      <w:r w:rsidRPr="00FF421E">
        <w:rPr>
          <w:rFonts w:eastAsia="Calibri"/>
          <w:lang w:eastAsia="ar-SA"/>
        </w:rPr>
        <w:t xml:space="preserve"> quienes estimaron una mortalidad del 12,1 %.</w:t>
      </w:r>
    </w:p>
    <w:p w14:paraId="43CC0F81" w14:textId="77777777" w:rsidR="00FF421E" w:rsidRPr="00FF421E" w:rsidRDefault="00FF421E" w:rsidP="00FF421E">
      <w:pPr>
        <w:suppressAutoHyphens/>
        <w:autoSpaceDE w:val="0"/>
        <w:spacing w:line="360" w:lineRule="auto"/>
        <w:jc w:val="both"/>
        <w:rPr>
          <w:rFonts w:eastAsia="Calibri"/>
          <w:vertAlign w:val="superscript"/>
          <w:lang w:eastAsia="ar-SA"/>
        </w:rPr>
      </w:pPr>
      <w:r w:rsidRPr="00FF421E">
        <w:rPr>
          <w:rFonts w:eastAsia="Calibri"/>
          <w:lang w:eastAsia="ar-SA"/>
        </w:rPr>
        <w:t xml:space="preserve">Se observó asociación entre la presencia de ascitis y la mortalidad en pacientes cirróticos. Este hallazgo es similar a lo descrito por </w:t>
      </w:r>
      <w:r w:rsidRPr="00FF421E">
        <w:rPr>
          <w:rFonts w:eastAsia="Calibri"/>
          <w:i/>
          <w:lang w:eastAsia="ar-SA"/>
        </w:rPr>
        <w:t xml:space="preserve">Fayad </w:t>
      </w:r>
      <w:r w:rsidRPr="00FF421E">
        <w:rPr>
          <w:rFonts w:eastAsia="Calibri"/>
          <w:lang w:eastAsia="ar-SA"/>
        </w:rPr>
        <w:t>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xuyICB1j","properties":{"formattedCitation":"(13)","plainCitation":"(13)","noteIndex":0},"citationItems":[{"id":"rpNjEJQe/Wu1j3O6m","uris":["http://zotero.org/users/local/dUEZb9b8/items/ACQSCZ9L"],"uri":["http://zotero.org/users/local/dUEZb9b8/items/ACQSCZ9L"],"itemData":{"id":1070,"type":"article-journal","abstract":"Background. Although several prognostic models have been proposed for cirrhotic patients listed for transplantation, the performance of these scores as predictors of mortality in patients admitted for acute decompensation of cirrhosis has not been satisfactorily investigated. Aims. To study MELD, MELD-Na, MESO, iMELD, Refit-MELD and Refit MELD-Na models as prognostic predictors in cirrhotic patients admitted for acute decompensation, and to compare their performance between admission and 48 hours of hospitalization to predict in-hospital mortality. Material and methods. This cohort study included cirrhotic patients admitted to hospital due to complications of the disease. Individuals were evaluated on admission and after 48 h of hospitalization, and mortality was evaluated during the present admission. Results. One hundred and twenty-three subjects with a mean age of 54.26 ± 10.79 years were included; 76.4% were male. Mean MELD score was 16.43 ± 7.08 and 52.0% of patients were Child-Pugh C. Twenty-seven patients (22.0%) died during hospitalization. Similar areas under the curve (AUROCs) for prognosis of mortality were observed when different models were compared on admission (P &gt; 0.05) and after 48 h of hospitalization (P &gt; 0.05). When models executed after 48 h of hospitalization were compared to their corresponding model calculated on admission, significantly higher AUROCs were obtained for all models (P &lt; 0.05), except for MELD-Na (P = 0.075) and iMELD (P = 0.119). Conclusion. The studied models showed similar accuracy as predictors of in-hospital mortality in cirrhotic patients admitted for acute decompensation. However, the performance of these models was significantly better when applied 48 h after admission when compared to their calculation on admission.","container-title":"Annals of Hepatology","DOI":"10.1016/S1665-2681(19)30804-X","ISSN":"1665-2681","issue":"1","journalAbbreviation":"Annals of Hepatology","language":"en","page":"83-92","source":"ScienceDirect","title":"The performance of prognostic models as predictors of mortality in patients with acute decompensation of cirrhosis","volume":"14","author":[{"family":"Fayad","given":"Leonardo"},{"family":"Narciso-Schiavon","given":"Janaína Luz"},{"family":"Lazzarotto","given":"César"},{"family":"Ronsoni","given":"Marcelo Fernando"},{"family":"Wildner","given":"Letícia Muraro"},{"family":"Bazzo","given":"Maria Luiza"},{"family":"Schiavon","given":"Leonardo de Lucca"},{"family":"Dantas-Corrêa","given":"Esther Buzaglo"}],"issued":{"date-parts":[["2015",1,1]]}}}],"schema":"https://github.com/citation-style-language/schema/raw/master/csl-citation.json"}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(13)</w:t>
      </w:r>
      <w:r w:rsidRPr="00FF421E">
        <w:rPr>
          <w:rFonts w:eastAsia="Calibri"/>
          <w:vertAlign w:val="superscript"/>
          <w:lang w:eastAsia="ar-SA"/>
        </w:rPr>
        <w:fldChar w:fldCharType="end"/>
      </w:r>
      <w:r w:rsidRPr="00FF421E">
        <w:rPr>
          <w:rFonts w:eastAsia="Calibri"/>
          <w:lang w:eastAsia="ar-SA"/>
        </w:rPr>
        <w:t xml:space="preserve"> así como </w:t>
      </w:r>
      <w:r w:rsidRPr="00FF421E">
        <w:rPr>
          <w:rFonts w:eastAsia="Calibri"/>
          <w:i/>
          <w:lang w:eastAsia="ar-SA"/>
        </w:rPr>
        <w:t xml:space="preserve">Huang </w:t>
      </w:r>
      <w:r w:rsidRPr="00FF421E">
        <w:rPr>
          <w:rFonts w:eastAsia="Calibri"/>
          <w:lang w:eastAsia="ar-SA"/>
        </w:rPr>
        <w:t>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5QhkhOU6","properties":{"formattedCitation":"(18)","plainCitation":"(18)","noteIndex":0},"citationItems":[{"id":"rpNjEJQe/AI1rlZUk","uris":["http://zotero.org/users/local/dUEZb9b8/items/6IZK6PJB"],"uri":["http://zotero.org/users/local/dUEZb9b8/items/6IZK6PJB"],"itemData":{"id":1063,"type":"article-journal","abstract":"BACKGROUND: The impact of liver cirrhosis on the outcomes of admission to intensive care unit (ICU) is not completely understood. Our purpose is to identify risk factors for mortality in ICU patients with liver cirrhosis.\nMETHODS: Using reimbursement claims from Taiwan's National Health Insurance Research Database from in 2006-2012, 1,250,300 patients were identified as having ICU stays of more than 1 day, and 37,197 of these had liver cirrhosis. With propensity score-matching for socioeconomic status, pre-existing medical conditions, and cirrhosis-related morbidities, 37,197 ICU patients without liver cirrhosis were selected for comparison. Adjusted odds ratios (ORs) and 95% confidence intervals (CIs) of cirrhosis associated with 30-day, ICU, and one-year mortality were calculated.\nRESULTS: Compared with control, cirrhotic patients had higher 30-day mortality (aOR 1.60, 95% CI 1.53 to 1.68), particularly those with jaundice (aOR 2.23, 95% CI 2.03 to 2.45), ascites (aOR 2.32, 95% CI 2.19 to 2.46) or hepatic coma (aOR 2.21, 95% CI 2.07 to 2.36). Among ICU patients, liver cirrhosis was also associated with ICU mortality (aOR 144, 95% CI 1.38 to 1.51) and one-year mortality (aOR 1.40, 95% CI 1.35 to 1.46). Associations between cirrhosis of liver and increased 30-day mortality were significant in both sexes and every age group.\nCONCLUSIONS: Liver cirrhosis was associated with 30-day mortality in ICU patients. Jaundice, ascites, hepatic coma, more than 4 admissions due to cirrhosis, and more than 30 days of hospital stay due to cirrhosis were exacerbated factors in cirrhotic ICU patients.","container-title":"BMC gastroenterology","DOI":"10.1186/s12876-020-1163-1","ISSN":"1471-230X","issue":"1","journalAbbreviation":"BMC Gastroenterol","language":"eng","note":"PMID: 31948392\nPMCID: PMC6966823","page":"15","source":"PubMed","title":"A population-based cohort study of mortality of intensive care unit patients with liver cirrhosis","volume":"20","author":[{"family":"Huang","given":"Yu-Feng"},{"family":"Lin","given":"Chao-Shun"},{"family":"Cherng","given":"Yih-Giun"},{"family":"Yeh","given":"Chun-Chieh"},{"family":"Chen","given":"Ray-Jade"},{"family":"Chen","given":"Ta-Liang"},{"family":"Liao","given":"Chien-Chang"}],"issued":{"date-parts":[["2020",1,16]]}}}],"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(18)</w:t>
      </w:r>
      <w:r w:rsidRPr="00FF421E">
        <w:rPr>
          <w:rFonts w:eastAsia="Calibri"/>
          <w:vertAlign w:val="superscript"/>
          <w:lang w:eastAsia="ar-SA"/>
        </w:rPr>
        <w:fldChar w:fldCharType="end"/>
      </w:r>
      <w:r w:rsidRPr="00FF421E">
        <w:rPr>
          <w:rFonts w:eastAsia="Calibri"/>
          <w:lang w:eastAsia="ar-SA"/>
        </w:rPr>
        <w:t xml:space="preserve"> en los cuales la ascitis resultó un factor influyente en la mortalidad a los 30 días. También, es consistente con lo desarrollado por </w:t>
      </w:r>
      <w:r w:rsidRPr="00FF421E">
        <w:rPr>
          <w:rFonts w:eastAsia="Calibri"/>
          <w:i/>
          <w:lang w:eastAsia="ar-SA"/>
        </w:rPr>
        <w:t xml:space="preserve">Gaspar </w:t>
      </w:r>
      <w:r w:rsidRPr="00FF421E">
        <w:rPr>
          <w:rFonts w:eastAsia="Calibri"/>
          <w:lang w:eastAsia="ar-SA"/>
        </w:rPr>
        <w:t>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LvYy7Pmv","properties":{"formattedCitation":"(19)","plainCitation":"(19)","noteIndex":0},"citationItems":[{"id":"rpNjEJQe/fz0MM421","uris":["http://zotero.org/users/local/dUEZb9b8/items/BH8UH33T"],"uri":["http://zotero.org/users/local/dUEZb9b8/items/BH8UH33T"],"itemData":{"id":1066,"type":"article-journal","abstract":"INTRODUCTION: Complications of cirrhosis are one the major causes of hospital admission associated with high morbimortality rates and social and economic charges. The aims of this study were to evaluate hospital readmission and mortality rates and predictive factors for hospital readmission and mortality.\nMETHODS: Patients with decompensated cirrhosis admitted to our institution between 2008-2014 were retrospectively analyzed.\nRESULTS: Included 427 admissions from 177 patients with cirrhosis with mean age of 59.0 ± 12.3 years. The major cause was alcoholic-related liver disease and the median duration of admission was 9.0 days (IQR 6.0-14.0). During the follow-up period,there were 250 readmissions from 95 patients, with a median of 58 (IQR27-134) days for readmission, representing 58.5% of the total number of admissions.The 180-day mortality rate was 35.0%. In the multivariate analysis, ascites, smoking and MELD Na were associated with 180-day mortality. Creatinine, albumin, esophageal variceal bleeding, previous variceal banding, lactulose, rifaximin and proton pump inhibitors use were independently associated with need of readmission. Based on regression analysis, two models were calculated to predict 180-day mortality (AUROC 0.74 (0.682-0.794)) and need for readmission(AUROC 0.821 (0.781-0.861)), p &lt; 0.001.\nCONCLUSION: The readmission rate and mortality of cirrhotic patients are still very high and it is a priority to determine preventable risk factors to improve patient outcome. Two models were created to predict 180-day mortality(AUROC 0.74) and need for readmission(AUROC 0.821), that could guide the management of the patients at the time of admission.","container-title":"Digestive and Liver Disease: Official Journal of the Italian Society of Gastroenterology and the Italian Association for the Study of the Liver","DOI":"10.1016/j.dld.2019.03.016","ISSN":"1878-3562","issue":"10","journalAbbreviation":"Dig Liver Dis","language":"eng","note":"PMID: 31113738","page":"1423-1429","source":"PubMed","title":"Predictive models of mortality and hospital readmission of patients with decompensated liver cirrhosis","volume":"51","author":[{"family":"Gaspar","given":"Rui"},{"family":"Rodrigues","given":"Susana"},{"family":"Silva","given":"Marco"},{"family":"Costa-Moreira","given":"Pedro"},{"family":"Morais","given":"Rui"},{"family":"Andrade","given":"Patricia"},{"family":"Cardoso","given":"Helder"},{"family":"Albuquerque","given":"Andreia"},{"family":"Liberal","given":"Rodrigo"},{"family":"Macedo","given":"Guilherme"}],"issued":{"date-parts":[["2019"]]}}}],"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(19)</w:t>
      </w:r>
      <w:r w:rsidRPr="00FF421E">
        <w:rPr>
          <w:rFonts w:eastAsia="Calibri"/>
          <w:vertAlign w:val="superscript"/>
          <w:lang w:eastAsia="ar-SA"/>
        </w:rPr>
        <w:fldChar w:fldCharType="end"/>
      </w:r>
      <w:r w:rsidRPr="00FF421E">
        <w:rPr>
          <w:rFonts w:eastAsia="Calibri"/>
          <w:lang w:eastAsia="ar-SA"/>
        </w:rPr>
        <w:t xml:space="preserve"> quienes revelaron asociación entre cirrosis y la presencia de mortalidad a los 180 días. Sin embargo, se contrapone con la investigación hecha por </w:t>
      </w:r>
      <w:proofErr w:type="spellStart"/>
      <w:r w:rsidRPr="00FF421E">
        <w:rPr>
          <w:rFonts w:eastAsia="Calibri"/>
          <w:i/>
          <w:lang w:eastAsia="ar-SA"/>
        </w:rPr>
        <w:t>Javaud</w:t>
      </w:r>
      <w:proofErr w:type="spellEnd"/>
      <w:r w:rsidRPr="00FF421E">
        <w:rPr>
          <w:rFonts w:eastAsia="Calibri"/>
          <w:i/>
          <w:lang w:eastAsia="ar-SA"/>
        </w:rPr>
        <w:t xml:space="preserve"> </w:t>
      </w:r>
      <w:r w:rsidRPr="00FF421E">
        <w:rPr>
          <w:rFonts w:eastAsia="Calibri"/>
          <w:lang w:eastAsia="ar-SA"/>
        </w:rPr>
        <w:t>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IM8f0pcd","properties":{"formattedCitation":"(20)","plainCitation":"(20)","noteIndex":0},"citationItems":[{"id":"rpNjEJQe/SUz582fi","uris":["http://zotero.org/users/local/dUEZb9b8/items/HQ929AAM"],"uri":["http://zotero.org/users/local/dUEZb9b8/items/HQ929AAM"],"itemData":{"id":1081,"type":"article-journal","abstract":"Life threatening complications can occur at any stage of cirrhosis progression. There are few studies on the prognosis of cirrhotic patients managed in an Emergency Department (ED) although management of patients will occur in the ED. The objective of our study was to determine the risk factors for mortality in cirrhotic patients who visited to the ED.","DOI":"10.1016/j.ajem.2018.10.008","issue":"7","page":"1317-1321","title":"Prognosis of cirrhotic patients admitted to Emergency Departments: A multicenter study","volume":"37","author":[{"family":"Javaud","given":"N"},{"family":"Bonnin","given":"L"},{"family":"Lapostolle","given":"F"},{"family":"Boubaya","given":"M"},{"family":"Bardis","given":"A"},{"family":"Dufau","given":"R"},{"family":"Ghazali","given":"A"},{"family":"Reuter","given":"P"},{"family":"Pateron","given":"D"},{"family":"Adnet","given":"F"}],"issued":{"date-parts":[["2019",7]]}}}],"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(20)</w:t>
      </w:r>
      <w:r w:rsidRPr="00FF421E">
        <w:rPr>
          <w:rFonts w:eastAsia="Calibri"/>
          <w:vertAlign w:val="superscript"/>
          <w:lang w:eastAsia="ar-SA"/>
        </w:rPr>
        <w:fldChar w:fldCharType="end"/>
      </w:r>
      <w:r w:rsidRPr="00FF421E">
        <w:rPr>
          <w:rFonts w:eastAsia="Calibri"/>
          <w:lang w:eastAsia="ar-SA"/>
        </w:rPr>
        <w:t xml:space="preserve"> en el cual no se hallaron diferencias entre estas dos variables. La probable explicación de esta asociación se debe a que la presencia de ascitis en el paciente, manifiesta mecanismos </w:t>
      </w:r>
      <w:proofErr w:type="spellStart"/>
      <w:r w:rsidRPr="00FF421E">
        <w:rPr>
          <w:rFonts w:eastAsia="Calibri"/>
          <w:lang w:eastAsia="ar-SA"/>
        </w:rPr>
        <w:t>osmorreguladores</w:t>
      </w:r>
      <w:proofErr w:type="spellEnd"/>
      <w:r w:rsidRPr="00FF421E">
        <w:rPr>
          <w:rFonts w:eastAsia="Calibri"/>
          <w:lang w:eastAsia="ar-SA"/>
        </w:rPr>
        <w:t xml:space="preserve"> inadecuados, que conllevan a una acumulación de sodio y agua, que junto con los trastornos hemodinámicos, muestran la presencia de una fase avanzada de la cirrosis.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purJGsbz","properties":{"formattedCitation":"(21)","plainCitation":"(21)","noteIndex":0},"citationItems":[{"id":"rpNjEJQe/iAzpNg2B","uris":["http://zotero.org/users/local/dUEZb9b8/items/3BIRR9RX"],"uri":["http://zotero.org/users/local/dUEZb9b8/items/3BIRR9RX"],"itemData":{"id":1079,"type":"article-journal","abstract":"Since the International Ascites Club published the diagnostic criteria of refractory ascites (RA) and hepatorenal syndrome (HRS), there have been few studies assessing the natural history of ascites. The aims of this study were to define the natural history of cirrhotic ascites and to identify prognostic factors for dilutional hyponatremia (DH), RA, HRS, and survival.","journalAbbreviation":"Clin Gastroenterol Hepatol","page":"1385‐1394","title":"Natural History of Patients Hospitalized for Management of Cirrhotic Ascites","volume":"4","author":[{"family":"Planas","given":"Ramon"},{"family":"Montoliu","given":"Silvia"},{"family":"Ballesté","given":"Belen"},{"family":"Rivera","given":"Monica"},{"family":"Miquel","given":"Mireia"},{"family":"Masnou","given":"Helena"},{"family":"Galeras","given":"Jose Antonio"},{"family":"Giménez","given":"María D."},{"family":"Santos","given":"Justiniano"},{"family":"Cirera","given":"Isabel"},{"family":"Morillas","given":"Rosa María"},{"family":"Coll","given":"Susanna"},{"family":"Solà","given":"Ricard"}],"issued":{"date-parts":[["2004",11]]}}}],"schema":"https://github.com/citation-style-language/schema/raw/master/csl-citation.json"}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(21)</w:t>
      </w:r>
      <w:r w:rsidRPr="00FF421E">
        <w:rPr>
          <w:rFonts w:eastAsia="Calibri"/>
          <w:vertAlign w:val="superscript"/>
          <w:lang w:eastAsia="ar-SA"/>
        </w:rPr>
        <w:fldChar w:fldCharType="end"/>
      </w:r>
    </w:p>
    <w:p w14:paraId="067B96FE" w14:textId="77777777" w:rsidR="00FF421E" w:rsidRPr="00FF421E" w:rsidRDefault="00FF421E" w:rsidP="00FF421E">
      <w:pPr>
        <w:suppressAutoHyphens/>
        <w:autoSpaceDE w:val="0"/>
        <w:spacing w:line="360" w:lineRule="auto"/>
        <w:jc w:val="both"/>
        <w:rPr>
          <w:rFonts w:eastAsia="Calibri"/>
          <w:vertAlign w:val="superscript"/>
          <w:lang w:eastAsia="ar-SA"/>
        </w:rPr>
      </w:pPr>
      <w:r w:rsidRPr="00FF421E">
        <w:rPr>
          <w:rFonts w:eastAsia="Calibri"/>
          <w:lang w:eastAsia="ar-SA"/>
        </w:rPr>
        <w:t xml:space="preserve">El grado de encefalopatía estuvo asociado a mortalidad. Esto concuerda con lo descrito por </w:t>
      </w:r>
      <w:proofErr w:type="spellStart"/>
      <w:r w:rsidRPr="00FF421E">
        <w:rPr>
          <w:rFonts w:eastAsia="Calibri"/>
          <w:i/>
          <w:lang w:eastAsia="ar-SA"/>
        </w:rPr>
        <w:t>Scaglione</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IiWWX5NT","properties":{"formattedCitation":"(22)","plainCitation":"(22)","noteIndex":0},"citationItems":[{"id":"rpNjEJQe/OlFmNzLZ","uris":["http://zotero.org/users/local/dUEZb9b8/items/65F8I9EV"],"uri":["http://zotero.org/users/local/dUEZb9b8/items/65F8I9EV"],"itemData":{"id":1068,"type":"article-journal","abstract":"Background: Patients with decompensated cirrhosis have high rates of morbidity and mortality and frequently require hospital admission. Few studies have examined early readmission as an indicator of 90 day and overall mortality. Analysis of large databases is needed to evaluate the association between early readmission and mortality in decompensated cirrhosis.\n        Methods: We analyzed 5 years of private, employer-based, health insurance claims data associated with HealthCare Services Corporation on 13.5 million members over 4 states from 2010 to 2014. We defined early readmission as an admission to a general acute care hospital within 30 days of an index hospitalization and compared mortality to those who were readmitted after 30 days (late readmission). Univariable analysis was used to compare clinical and patient characteristics associated with early readmission. Cox proportional hazard models with time-varying covariates were used to assess if an early readmission was an independent risk factor for death.\n        Results: A total of 16,107 patients with decompensated cirrhosis were analyzed. During the study period, 82% of patients with decompensated cirrhosis were hospitalized at least once. Over 50% of hospitalized patients experienced an early readmission. Patients with an early readmission received blood transfusions, transjugular intrahepatic portosystemic shunt, paracentesis, thoracentesis, and upper endoscopies more frequently than those with a late readmission. Cirrhotics with an early readmission had higher rates of hepatorenal syndrome, sepsis, hepatocellular carcinoma, hepatic encephalopathy, and ascites. Patients experiencing an early readmission had greater 90 day, 1 year and overall mortality. Early readmission was an independent predictor of worse survival when adjusting for other conditions associated with mortality in patients with cirrhosis, but the impact of an early readmission dissipated after 1 year.\n        Conclusions: Patients with decompensated cirrhosis have high rates of hospitalization and frequently experience an early readmission. An early readmission to an acute care hospital is an independent predictor of mortality in patients with decompensated cirrhosis for at least 1 year following initial hospitalization.","container-title":"Journal of Clinical Gastroenterology","DOI":"10.1097/MCG.0000000000000826","ISSN":"0192-0790","issue":"9","language":"en-US","page":"839–844","source":"journals.lww.com","title":"Early Hospital Readmissions and Mortality in Patients With Decompensated Cirrhosis Enrolled in a Large National Health Insurance Administrative Database","volume":"51","author":[{"family":"Scaglione","given":"Steven J."},{"family":"Metcalfe","given":"Leanne"},{"family":"Kliethermes","given":"Stephanie"},{"family":"Vasilyev","given":"Ivan"},{"family":"Tsang","given":"Rebecca"},{"family":"Caines","given":"Allyce"},{"family":"Mumtaz","given":"Shaham"},{"family":"Goyal","given":"Vik"},{"family":"Khalid","given":"Asra"},{"family":"Shoham","given":"David"},{"family":"Markossian","given":"Talar"},{"family":"Luke","given":"Amy"},{"family":"Underwood","given":"Howard"},{"family":"Cotler","given":"Scott J."}],"issued":{"date-parts":[["2017",10]]}}}],"schema":"https://github.com/citation-style-language/schema/raw/master/csl-citation.json"}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(22)</w:t>
      </w:r>
      <w:r w:rsidRPr="00FF421E">
        <w:rPr>
          <w:rFonts w:eastAsia="Calibri"/>
          <w:vertAlign w:val="superscript"/>
          <w:lang w:eastAsia="ar-SA"/>
        </w:rPr>
        <w:fldChar w:fldCharType="end"/>
      </w:r>
      <w:r w:rsidRPr="00FF421E">
        <w:rPr>
          <w:rFonts w:eastAsia="Calibri"/>
          <w:vertAlign w:val="superscript"/>
          <w:lang w:eastAsia="ar-SA"/>
        </w:rPr>
        <w:t xml:space="preserve"> </w:t>
      </w:r>
      <w:r w:rsidRPr="00FF421E">
        <w:rPr>
          <w:rFonts w:eastAsia="Calibri"/>
          <w:i/>
          <w:lang w:eastAsia="ar-SA"/>
        </w:rPr>
        <w:t>Fayad</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kLDwO1v6","properties":{"formattedCitation":"(13)","plainCitation":"(13)","noteIndex":0},"citationItems":[{"id":"rpNjEJQe/Wu1j3O6m","uris":["http://zotero.org/users/local/dUEZb9b8/items/ACQSCZ9L"],"uri":["http://zotero.org/users/local/dUEZb9b8/items/ACQSCZ9L"],"itemData":{"id":1070,"type":"article-journal","abstract":"Background. Although several prognostic models have been proposed for cirrhotic patients listed for transplantation, the performance of these scores as predictors of mortality in patients admitted for acute decompensation of cirrhosis has not been satisfactorily investigated. Aims. To study MELD, MELD-Na, MESO, iMELD, Refit-MELD and Refit MELD-Na models as prognostic predictors in cirrhotic patients admitted for acute decompensation, and to compare their performance between admission and 48 hours of hospitalization to predict in-hospital mortality. Material and methods. This cohort study included cirrhotic patients admitted to hospital due to complications of the disease. Individuals were evaluated on admission and after 48 h of hospitalization, and mortality was evaluated during the present admission. Results. One hundred and twenty-three subjects with a mean age of 54.26 ± 10.79 years were included; 76.4% were male. Mean MELD score was 16.43 ± 7.08 and 52.0% of patients were Child-Pugh C. Twenty-seven patients (22.0%) died during hospitalization. Similar areas under the curve (AUROCs) for prognosis of mortality were observed when different models were compared on admission (P &gt; 0.05) and after 48 h of hospitalization (P &gt; 0.05). When models executed after 48 h of hospitalization were compared to their corresponding model calculated on admission, significantly higher AUROCs were obtained for all models (P &lt; 0.05), except for MELD-Na (P = 0.075) and iMELD (P = 0.119). Conclusion. The studied models showed similar accuracy as predictors of in-hospital mortality in cirrhotic patients admitted for acute decompensation. However, the performance of these models was significantly better when applied 48 h after admission when compared to their calculation on admission.","container-title":"Annals of Hepatology","DOI":"10.1016/S1665-2681(19)30804-X","ISSN":"1665-2681","issue":"1","journalAbbreviation":"Annals of Hepatology","language":"en","page":"83-92","source":"ScienceDirect","title":"The performance of prognostic models as predictors of mortality in patients with acute decompensation of cirrhosis","volume":"14","author":[{"family":"Fayad","given":"Leonardo"},{"family":"Narciso-Schiavon","given":"Janaína Luz"},{"family":"Lazzarotto","given":"César"},{"family":"Ronsoni","given":"Marcelo Fernando"},{"family":"Wildner","given":"Letícia Muraro"},{"family":"Bazzo","given":"Maria Luiza"},{"family":"Schiavon","given":"Leonardo de Lucca"},{"family":"Dantas-Corrêa","given":"Esther Buzaglo"}],"issued":{"date-parts":[["2015",1,1]]}}}],"schema":"https://github.com/citation-style-language/schema/raw/master/csl-citation.json"}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(13)</w:t>
      </w:r>
      <w:r w:rsidRPr="00FF421E">
        <w:rPr>
          <w:rFonts w:eastAsia="Calibri"/>
          <w:vertAlign w:val="superscript"/>
          <w:lang w:eastAsia="ar-SA"/>
        </w:rPr>
        <w:fldChar w:fldCharType="end"/>
      </w:r>
      <w:r w:rsidRPr="00FF421E">
        <w:rPr>
          <w:rFonts w:eastAsia="Calibri"/>
          <w:lang w:eastAsia="ar-SA"/>
        </w:rPr>
        <w:t xml:space="preserve"> y </w:t>
      </w:r>
      <w:proofErr w:type="spellStart"/>
      <w:r w:rsidRPr="00FF421E">
        <w:rPr>
          <w:rFonts w:eastAsia="Calibri"/>
          <w:i/>
          <w:lang w:eastAsia="ar-SA"/>
        </w:rPr>
        <w:t>Kudru</w:t>
      </w:r>
      <w:proofErr w:type="spellEnd"/>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nkE6rJDg","properties":{"formattedCitation":"(23)","plainCitation":"(23)","noteIndex":0},"citationItems":[{"id":"rpNjEJQe/h0WZ994A","uris":["http://zotero.org/users/local/dUEZb9b8/items/5RCYGU94"],"uri":["http://zotero.org/users/local/dUEZb9b8/items/5RCYGU94"],"itemData":{"id":1074,"type":"article-journal","abstract":"Bacterial infections are more frequent in patients with decompensated\ncirrhosis than those with compensated liver disease and account for significant\nmorbidity and mortality in them. Once an infection develops, it induces excessive\nproduction of pro-inflammatory cytokines leading to organ failure and death.","DOI":"10.15386/mpr-1387","issue":"4","journalAbbreviation":"MEDICINE AND PHARMACY REPORTS","page":"356 - 361","title":"Spectrum of bacterial infections and predictors of mortality in adult cirrhotic patients.","volume":"92","author":[{"family":"Kudru","given":"Chandrashekar Udyavara"},{"family":"Eshwara","given":"Vandana Kalwaje"},{"family":"Nagiri","given":"Shivashankara Kaniyoor"},{"family":"Guddattu","given":"Vasudeva"}],"issued":{"date-parts":[["2019"]]}}}],"schema":"https://github.com/citation-style-language/schema/raw/master/csl-citation.json"}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(23)</w:t>
      </w:r>
      <w:r w:rsidRPr="00FF421E">
        <w:rPr>
          <w:rFonts w:eastAsia="Calibri"/>
          <w:vertAlign w:val="superscript"/>
          <w:lang w:eastAsia="ar-SA"/>
        </w:rPr>
        <w:fldChar w:fldCharType="end"/>
      </w:r>
      <w:r w:rsidRPr="00FF421E">
        <w:rPr>
          <w:rFonts w:eastAsia="Calibri"/>
          <w:lang w:eastAsia="ar-SA"/>
        </w:rPr>
        <w:t xml:space="preserve"> quienes encontraron asociación del grado de encefalopatía hepática con la mortalidad en pacientes cirróticos. Pese a ello, es contrario con lo hallado por </w:t>
      </w:r>
      <w:proofErr w:type="spellStart"/>
      <w:r w:rsidRPr="00FF421E">
        <w:rPr>
          <w:rFonts w:eastAsia="Calibri"/>
          <w:i/>
          <w:lang w:eastAsia="ar-SA"/>
        </w:rPr>
        <w:t>Javaud</w:t>
      </w:r>
      <w:proofErr w:type="spellEnd"/>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ly4ZdS7M","properties":{"formattedCitation":"(20)","plainCitation":"(20)","noteIndex":0},"citationItems":[{"id":"rpNjEJQe/SUz582fi","uris":["http://zotero.org/users/local/dUEZb9b8/items/HQ929AAM"],"uri":["http://zotero.org/users/local/dUEZb9b8/items/HQ929AAM"],"itemData":{"id":1081,"type":"article-journal","abstract":"Life threatening complications can occur at any stage of cirrhosis progression. There are few studies on the prognosis of cirrhotic patients managed in an Emergency Department (ED) although management of patients will occur in the ED. The objective of our study was to determine the risk factors for mortality in cirrhotic patients who visited to the ED.","DOI":"10.1016/j.ajem.2018.10.008","issue":"7","page":"1317-1321","title":"Prognosis of cirrhotic patients admitted to Emergency Departments: A multicenter study","volume":"37","author":[{"family":"Javaud","given":"N"},{"family":"Bonnin","given":"L"},{"family":"Lapostolle","given":"F"},{"family":"Boubaya","given":"M"},{"family":"Bardis","given":"A"},{"family":"Dufau","given":"R"},{"family":"Ghazali","given":"A"},{"family":"Reuter","given":"P"},{"family":"Pateron","given":"D"},{"family":"Adnet","given":"F"}],"issued":{"date-parts":[["2019",7]]}}}],"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(20)</w:t>
      </w:r>
      <w:r w:rsidRPr="00FF421E">
        <w:rPr>
          <w:rFonts w:eastAsia="Calibri"/>
          <w:vertAlign w:val="superscript"/>
          <w:lang w:eastAsia="ar-SA"/>
        </w:rPr>
        <w:fldChar w:fldCharType="end"/>
      </w:r>
      <w:r w:rsidRPr="00FF421E">
        <w:rPr>
          <w:rFonts w:eastAsia="Calibri"/>
          <w:lang w:eastAsia="ar-SA"/>
        </w:rPr>
        <w:t xml:space="preserve"> que se encuentran asociación con la mortalidad después de 30 días de seguimiento. Esto podría deberse a que la presencia de encefalopatía hepática, traduce un mayor deterioro de la función hepática o a una disminución en la eliminación de sustancias del cuerpo, como el amoniaco.</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v5oaEF0k","properties":{"formattedCitation":"(24)","plainCitation":"(24)","noteIndex":0},"citationItems":[{"id":"rpNjEJQe/ZruSjr51","uris":["http://zotero.org/users/local/dUEZb9b8/items/6UEHEPE6"],"uri":["http://zotero.org/users/local/dUEZb9b8/items/6UEHEPE6"],"itemData":{"id":1078,"type":"article-journal","DOI":"10.1002/hep.27210","issue":"2","journalAbbreviation":"Hepatology.","page":"715-35","title":"Hepatic encephalopathy in chronic liver disease: 2014 Practice Guideline by the American Association for the Study of Liver Diseases and the Europe... - PubMed - NCBI","volume":"60","author":[{"family":"Vilstrup","given":"H"},{"family":"Amodio","given":"P"},{"family":"Bajaj","given":"J"},{"family":"Cordoba","given":"J"},{"family":"Ferenci","given":"P"},{"family":"Mullen","given":"KD"},{"family":"Weissenborn","given":"K"},{"family":"Wong","given":"P"}],"issued":{"date-parts":[["2014",8]]}}}],"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(24)</w:t>
      </w:r>
      <w:r w:rsidRPr="00FF421E">
        <w:rPr>
          <w:rFonts w:eastAsia="Calibri"/>
          <w:vertAlign w:val="superscript"/>
          <w:lang w:eastAsia="ar-SA"/>
        </w:rPr>
        <w:fldChar w:fldCharType="end"/>
      </w:r>
    </w:p>
    <w:p w14:paraId="4E5C3A8E"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 xml:space="preserve">En cuanto a los factores de laboratorio, se encontró asociación entre la presencia de leucocitosis y la mortalidad debida a cirrosis. Esto es similar a otras investigaciones, pues </w:t>
      </w:r>
      <w:proofErr w:type="spellStart"/>
      <w:r w:rsidRPr="00FF421E">
        <w:rPr>
          <w:rFonts w:eastAsia="Calibri"/>
          <w:i/>
          <w:lang w:eastAsia="ar-SA"/>
        </w:rPr>
        <w:t>Ximenes</w:t>
      </w:r>
      <w:proofErr w:type="spellEnd"/>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FOhQIEyj","properties":{"formattedCitation":"(10)","plainCitation":"(10)","noteIndex":0},"citationItems":[{"id":"rpNjEJQe/G59Ttt85","uris":["http://zotero.org/users/local/dUEZb9b8/items/QWVL5JDL"],"uri":["http://zotero.org/users/local/dUEZb9b8/items/QWVL5JDL"],"itemData":{"id":1048,"type":"article-journal","abstract":"BACKGROUND: Patients with cirrhosis have high risk of bacterial infections and cirrhosis decompensation, resulting in admission to emergency department (ED). However, there are no criteria developed in the ED to identify patients with cirrhosis with bacterial infection and with high mortality risk.\nSTUDY OBJECTIVE: The objective of the study is to identify variables from ED arrival associated with bacterial infections and inhospital mortality.\nMETHODS: This is a retrospective single-center study using a tertiary hospital's database to identify consecutive ED patients with decompensated cirrhosis. Clinical variables and laboratory results were obtained by chart review. Logistic regression models were built to determine variables independently associated with bacterial infection and mortality. Scores using these variables were designed.\nRESULTS: One hundred forty-nine patients were enrolled, most of them males (77.9%) with alcoholic cirrhosis (53%) and advanced liver disease (Child-Pugh C, 47.2%). Bacterial infections were diagnosed in 72 patients (48.3%), and 36 (24.2%) died during hospital stay. Variables independently associated with bacterial infection were lymphocytes less than or equal to 900/mm(3) (odds ratio [OR], 3.85 [95% confidence interval {CI}, 1.47-10]; P = .006) and C-reactive protein greater than 59.4 mg/L (OR, 5.05 [95% CI, 1.93-13.2]; P = .001). Variables independently associated with mortality were creatinine greater than 1.5 mg/dL (OR, 4.35 [95% CI, 1.87-10.1]; P = .001) and international normalized ratio greater than 1.65 (OR, 3.71 [95% CI, 1.6-8.61]; P = .002). Scores designed to predict bacterial infection and mortality (Mortality in Cirrhosis Emergency Department Score) had an area under the receiver operating characteristic curve of 0.82 and 0.801, respectively. The Mortality in Cirrhosis Emergency Department Score performed better than Model for End-Stage Liver Disease score.\nCONCLUSIONS: In this cohort of ED patients with decompensated cirrhosis, lymphopenia and elevated C-reactive protein were related to bacterial infections, and elevated creatinine and international normalized ratio were related to mortality. Scores built with these variables should be prospectively validated.","container-title":"The American Journal of Emergency Medicine","DOI":"10.1016/j.ajem.2015.09.004","ISSN":"1532-8171","issue":"1","journalAbbreviation":"Am J Emerg Med","language":"eng","note":"PMID: 26423777","page":"25-29","source":"PubMed","title":"Patients with cirrhosis in the ED: early predictors of infection and mortality","title-short":"Patients with cirrhosis in the ED","volume":"34","author":[{"family":"Ximenes","given":"Rafael Oliveira"},{"family":"Farias","given":"Alberto Queiroz"},{"family":"Scalabrini Neto","given":"Augusto"},{"family":"Diniz","given":"Márcio Augusto"},{"family":"Kubota","given":"Gabriel Taricani"},{"family":"Ivo","given":"Maurício Menezes Aben-Athar"},{"family":"Colacique","given":"Caroline Gracia Plena Sol"},{"family":"D'Albuquerque","given":"Luiz Augusto Carneiro"},{"family":"Daglius Dias","given":"Roger"}],"issued":{"date-parts":[["2016",1]]}}}],"schema":"https://github.com/citation-style-language/schema/raw/master/csl-citation.json"}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(10)</w:t>
      </w:r>
      <w:r w:rsidRPr="00FF421E">
        <w:rPr>
          <w:rFonts w:eastAsia="Calibri"/>
          <w:vertAlign w:val="superscript"/>
          <w:lang w:eastAsia="ar-SA"/>
        </w:rPr>
        <w:fldChar w:fldCharType="end"/>
      </w:r>
      <w:r w:rsidRPr="00FF421E">
        <w:rPr>
          <w:rFonts w:eastAsia="Calibri"/>
          <w:i/>
          <w:lang w:eastAsia="ar-SA"/>
        </w:rPr>
        <w:t xml:space="preserve"> </w:t>
      </w:r>
      <w:r w:rsidRPr="00FF421E">
        <w:rPr>
          <w:rFonts w:eastAsia="Calibri"/>
          <w:lang w:eastAsia="ar-SA"/>
        </w:rPr>
        <w:t>encontraron asociación entre la mortalidad y un recuento de leucocitos mayor a 11420/ mm</w:t>
      </w:r>
      <w:r w:rsidRPr="00FF421E">
        <w:rPr>
          <w:rFonts w:eastAsia="Calibri"/>
          <w:vertAlign w:val="superscript"/>
          <w:lang w:eastAsia="ar-SA"/>
        </w:rPr>
        <w:t>3</w:t>
      </w:r>
      <w:r w:rsidRPr="00FF421E">
        <w:rPr>
          <w:rFonts w:eastAsia="Calibri"/>
          <w:lang w:eastAsia="ar-SA"/>
        </w:rPr>
        <w:t>.</w:t>
      </w:r>
      <w:r w:rsidRPr="00FF421E" w:rsidDel="00172EBA">
        <w:rPr>
          <w:rFonts w:eastAsia="Calibri"/>
          <w:vertAlign w:val="superscript"/>
          <w:lang w:eastAsia="ar-SA"/>
        </w:rPr>
        <w:t xml:space="preserve"> </w:t>
      </w:r>
      <w:proofErr w:type="spellStart"/>
      <w:r w:rsidRPr="00FF421E">
        <w:rPr>
          <w:rFonts w:eastAsia="Calibri"/>
          <w:i/>
          <w:lang w:eastAsia="ar-SA"/>
        </w:rPr>
        <w:t>Gessolo</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OiJPwV9A","properties":{"formattedCitation":"(11)","plainCitation":"(11)","noteIndex":0},"citationItems":[{"id":"rpNjEJQe/Rafsomm2","uris":["http://zotero.org/users/local/dUEZb9b8/items/DU8PS8IB"],"uri":["http://zotero.org/users/local/dUEZb9b8/items/DU8PS8IB"],"itemData":{"id":1060,"type":"article-journal","abstract":"BACKGROUND: Acute kidney injury (AKI) is common in cirrhotic patients and is associated with negative outcomes. The aim of this study was to evaluate the presence of AKI and its progression according to KDIGO (Kidney Disease: Improving Global Outcomes) criteria in cirrhotic patients admitted to the emergency department and to determine the association of AKI with hospital mortality.\nMETHODS: This retrospective study included 258 cirrhotic patients admitted to the emergency department of a university hospital from March 2015 to February 2017. AKI was diagnosed and classified according to the KDIGO criteria.\nRESULTS: The overall incidence of AKI in cirrhotic patients was 53.9%, and the overall hospital mortality was 28.4%. Mortality was associated with the presence, stage, and progression of AKI. Patients with AKI stage 1 and sCr &lt; 1.5 mg/dl (KDIGO 1a) had a lower mortality rate than patients with AKI stage 1 and sCr &gt; 1.5 mg/dl (KDIGO 1b). In the logistic regression analysis, three variables were independently associated with hospital mortality: cancer, AKI and progression of AKI.\nCONCLUSIONS: According to the data presented, a single measure of creatinine is not enough, and there is a need for meticulous follow-up of the renal function of patients with hepatic cirrhosis hospitalized in an emergency unit. In addition, this study reinforces the need for subclassification of KDIGO 1 in cirrhotic patients, since patients with acute renal injury and creatinine greater than 1.5 mg/dL present a worse clinical outcome.","container-title":"BMC nephrology","DOI":"10.1186/s12882-018-1061-8","ISSN":"1471-2369","issue":"1","journalAbbreviation":"BMC Nephrol","language":"eng","note":"PMID: 30342475\nPMCID: PMC6196026","page":"277","source":"PubMed","title":"Risk factors, mortality and acute kidney injury outcomes in cirrhotic patients in the emergency department","volume":"19","author":[{"family":"Gessolo Lins","given":"Paulo Ricardo"},{"family":"Carvalho Padilha","given":"Wallace Stwart"},{"family":"Magalhaes Giradin Pimentel","given":"Carolina Frade"},{"family":"Costa Batista","given":"Marcelo"},{"family":"Teixeira de Gois","given":"Aécio Flávio"}],"issued":{"date-parts":[["2018"]],"season":"20"}}}],"schema":"https://github.com/citation-style-language/schema/raw/master/csl-citation.json"}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(11)</w:t>
      </w:r>
      <w:r w:rsidRPr="00FF421E">
        <w:rPr>
          <w:rFonts w:eastAsia="Calibri"/>
          <w:vertAlign w:val="superscript"/>
          <w:lang w:eastAsia="ar-SA"/>
        </w:rPr>
        <w:fldChar w:fldCharType="end"/>
      </w:r>
      <w:r w:rsidRPr="00FF421E">
        <w:rPr>
          <w:rFonts w:eastAsia="Calibri"/>
          <w:lang w:eastAsia="ar-SA"/>
        </w:rPr>
        <w:t xml:space="preserve"> también encontraron asociación entre estas dos variables.</w:t>
      </w:r>
      <w:r w:rsidRPr="00FF421E">
        <w:rPr>
          <w:rFonts w:eastAsia="Calibri"/>
          <w:vertAlign w:val="superscript"/>
          <w:lang w:eastAsia="ar-SA"/>
        </w:rPr>
        <w:t xml:space="preserve"> </w:t>
      </w:r>
      <w:r w:rsidRPr="00FF421E">
        <w:rPr>
          <w:rFonts w:eastAsia="Calibri"/>
          <w:lang w:eastAsia="ar-SA"/>
        </w:rPr>
        <w:t xml:space="preserve">No obstante, se contrapone con lo planteado en </w:t>
      </w:r>
      <w:proofErr w:type="spellStart"/>
      <w:r w:rsidRPr="00FF421E">
        <w:rPr>
          <w:rFonts w:eastAsia="Calibri"/>
          <w:i/>
          <w:lang w:eastAsia="ar-SA"/>
        </w:rPr>
        <w:t>Melcarne</w:t>
      </w:r>
      <w:proofErr w:type="spellEnd"/>
      <w:r w:rsidRPr="00FF421E">
        <w:rPr>
          <w:rFonts w:eastAsia="Calibri"/>
          <w:lang w:eastAsia="ar-SA"/>
        </w:rPr>
        <w:t xml:space="preserve"> </w:t>
      </w:r>
      <w:r w:rsidRPr="00FF421E">
        <w:rPr>
          <w:rFonts w:eastAsia="Calibri"/>
          <w:iCs/>
          <w:lang w:eastAsia="ar-SA"/>
        </w:rPr>
        <w:t>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puLS5Ksq","properties":{"formattedCitation":"(9)","plainCitation":"(9)","noteIndex":0},"citationItems":[{"id":"rpNjEJQe/alRKFPvq","uris":["http://zotero.org/users/local/dUEZb9b8/items/3JGKSS7Z"],"uri":["http://zotero.org/users/local/dUEZb9b8/items/3JGKSS7Z"],"itemData":{"id":1050,"type":"article-journal","abstract":"Introducción: la peritonitis bacteriana espontánea es una complicación infecciosa con impacto negativo sobre la supervivencia de los pacientes con cirrosis.","container-title":"Revista Española de Enfermedades Digestivas","DOI":"10.17235/reed.2017.4517/2016","ISSN":"1130-0108","issue":"2","journalAbbreviation":"Rev. esp. enferm. dig.","language":"es","source":"SciELO","title":"Factores pronósticos de mortalidad en la cirrosis hepática tras un primer episodio de peritonitis bacteriana espontánea. Estudio multicéntrico","volume":"110","author":[{"family":"Melcarne","given":"Luigi"},{"family":"Sopeña","given":"Julia"},{"family":"Martínez-Cerezo","given":"Francisco-José"},{"family":"Vergara","given":"Mercedes"},{"family":"Miquel","given":"Mireia"},{"family":"Sánchez-Delgado","given":"Jordi"},{"family":"Dalmau","given":"Blai"},{"family":"Machlab","given":"Salvador"},{"family":"Portilla","given":"Dustin"},{"family":"Gonzáles-Padrón","given":"Yonaisy"},{"family":"Real-Álvarez","given":"Mónica"},{"family":"Carpintero","given":"Chantal"},{"family":"Casas","given":"Meritxell"}],"accessed":{"date-parts":[["2020",2,26]]},"issued":{"date-parts":[["2018",2]]}}}],"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(9)</w:t>
      </w:r>
      <w:r w:rsidRPr="00FF421E">
        <w:rPr>
          <w:rFonts w:eastAsia="Calibri"/>
          <w:vertAlign w:val="superscript"/>
          <w:lang w:eastAsia="ar-SA"/>
        </w:rPr>
        <w:fldChar w:fldCharType="end"/>
      </w:r>
      <w:r w:rsidRPr="00FF421E">
        <w:rPr>
          <w:rFonts w:eastAsia="Calibri"/>
          <w:lang w:eastAsia="ar-SA"/>
        </w:rPr>
        <w:t xml:space="preserve"> quienes encontraron que tanto la leucocitosis como la leucopenia, disminuían la supervivencia, pero sin que hubiera diferencias en la mortalidad de los pacientes con leucocitosis o leucopenia. </w:t>
      </w:r>
      <w:r w:rsidRPr="00FF421E">
        <w:rPr>
          <w:rFonts w:eastAsia="Calibri"/>
          <w:i/>
          <w:lang w:eastAsia="ar-SA"/>
        </w:rPr>
        <w:t>Ruiz-García</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YjubOcIL","properties":{"formattedCitation":"(17)","plainCitation":"(17)","noteIndex":0},"citationItems":[{"id":"rpNjEJQe/JTZ6UNAm","uris":["http://zotero.org/users/local/dUEZb9b8/items/3NJETZZU"],"uri":["http://zotero.org/users/local/dUEZb9b8/items/3NJETZZU"],"itemData":{"id":1042,"type":"article-journal","container-title":"Revista de Gastroenterología del Perú","ISSN":"1022-5129","issue":"1","page":"55-63","source":"SciELO","title":"Predictores de infección y mortalidad en pacientes con cirrosis hepática en el hospital de alta complejidad Virgen de la Puerta de Trujillo, Perú","volume":"39","author":[{"family":"Ruiz García","given":"Sandro"},{"family":"Castillo Núñez","given":"Lida"},{"family":"Malca Atoche","given":"Joel"},{"family":"Valderrama Ascoy","given":"Joselyne"},{"family":"Aguilar Saldaña","given":"Gary"}],"issued":{"date-parts":[["2019",1]]}}}],"schema":"https://github.com/citation-style-language/schema/raw/master/csl-citation.json"}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(17)</w:t>
      </w:r>
      <w:r w:rsidRPr="00FF421E">
        <w:rPr>
          <w:rFonts w:eastAsia="Calibri"/>
          <w:vertAlign w:val="superscript"/>
          <w:lang w:eastAsia="ar-SA"/>
        </w:rPr>
        <w:fldChar w:fldCharType="end"/>
      </w:r>
      <w:r w:rsidRPr="00FF421E">
        <w:rPr>
          <w:rFonts w:eastAsia="Calibri"/>
          <w:lang w:eastAsia="ar-SA"/>
        </w:rPr>
        <w:t xml:space="preserve"> no encontraron potencial relación entre el recuento de leucocitos y la mortalidad, pero sí como predictor de infección.</w:t>
      </w:r>
      <w:r w:rsidRPr="00FF421E" w:rsidDel="00172EBA">
        <w:rPr>
          <w:rFonts w:eastAsia="Calibri"/>
          <w:vertAlign w:val="superscript"/>
          <w:lang w:eastAsia="ar-SA"/>
        </w:rPr>
        <w:t xml:space="preserve"> </w:t>
      </w:r>
    </w:p>
    <w:p w14:paraId="433F40D6" w14:textId="77777777" w:rsidR="00FF421E" w:rsidRPr="00FF421E" w:rsidRDefault="00FF421E" w:rsidP="00FF421E">
      <w:pPr>
        <w:suppressAutoHyphens/>
        <w:autoSpaceDE w:val="0"/>
        <w:spacing w:line="360" w:lineRule="auto"/>
        <w:jc w:val="both"/>
        <w:rPr>
          <w:rFonts w:eastAsia="Calibri"/>
          <w:vertAlign w:val="superscript"/>
          <w:lang w:eastAsia="ar-SA"/>
        </w:rPr>
      </w:pPr>
      <w:r w:rsidRPr="00FF421E">
        <w:rPr>
          <w:rFonts w:eastAsia="Calibri"/>
          <w:lang w:eastAsia="ar-SA"/>
        </w:rPr>
        <w:lastRenderedPageBreak/>
        <w:t xml:space="preserve">Se evidenció asociación entre la presencia de enfermedad descompensada, según el índice de Child Pugh y la mortalidad en pacientes cirróticos. Esto concuerda con lo encontrado por </w:t>
      </w:r>
      <w:r w:rsidRPr="00FF421E">
        <w:rPr>
          <w:rFonts w:eastAsia="Calibri"/>
          <w:i/>
          <w:lang w:eastAsia="ar-SA"/>
        </w:rPr>
        <w:t>Ruiz</w:t>
      </w:r>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FdM9clC5","properties":{"formattedCitation":"(17)","plainCitation":"(17)","noteIndex":0},"citationItems":[{"id":"rpNjEJQe/JTZ6UNAm","uris":["http://zotero.org/users/local/dUEZb9b8/items/3NJETZZU"],"uri":["http://zotero.org/users/local/dUEZb9b8/items/3NJETZZU"],"itemData":{"id":1042,"type":"article-journal","container-title":"Revista de Gastroenterología del Perú","ISSN":"1022-5129","issue":"1","page":"55-63","source":"SciELO","title":"Predictores de infección y mortalidad en pacientes con cirrosis hepática en el hospital de alta complejidad Virgen de la Puerta de Trujillo, Perú","volume":"39","author":[{"family":"Ruiz García","given":"Sandro"},{"family":"Castillo Núñez","given":"Lida"},{"family":"Malca Atoche","given":"Joel"},{"family":"Valderrama Ascoy","given":"Joselyne"},{"family":"Aguilar Saldaña","given":"Gary"}],"issued":{"date-parts":[["2019",1]]}}}],"schema":"https://github.com/citation-style-language/schema/raw/master/csl-citation.json"}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(17)</w:t>
      </w:r>
      <w:r w:rsidRPr="00FF421E">
        <w:rPr>
          <w:rFonts w:eastAsia="Calibri"/>
          <w:vertAlign w:val="superscript"/>
          <w:lang w:eastAsia="ar-SA"/>
        </w:rPr>
        <w:fldChar w:fldCharType="end"/>
      </w:r>
      <w:r w:rsidRPr="00FF421E">
        <w:rPr>
          <w:rFonts w:eastAsia="Calibri"/>
          <w:lang w:eastAsia="ar-SA"/>
        </w:rPr>
        <w:t xml:space="preserve"> quienes hallaron que el estadio Child C estaba asociado a una probable mayor probabilidad de mortalidad en cirrosis. Sin embargo, difiere con lo descrito por </w:t>
      </w:r>
      <w:proofErr w:type="spellStart"/>
      <w:r w:rsidRPr="00FF421E">
        <w:rPr>
          <w:rFonts w:eastAsia="Calibri"/>
          <w:i/>
          <w:lang w:eastAsia="ar-SA"/>
        </w:rPr>
        <w:t>Melcarne</w:t>
      </w:r>
      <w:proofErr w:type="spellEnd"/>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tx0Er4Tp","properties":{"formattedCitation":"(9)","plainCitation":"(9)","noteIndex":0},"citationItems":[{"id":"rpNjEJQe/alRKFPvq","uris":["http://zotero.org/users/local/dUEZb9b8/items/3JGKSS7Z"],"uri":["http://zotero.org/users/local/dUEZb9b8/items/3JGKSS7Z"],"itemData":{"id":1050,"type":"article-journal","abstract":"Introducción: la peritonitis bacteriana espontánea es una complicación infecciosa con impacto negativo sobre la supervivencia de los pacientes con cirrosis.","container-title":"Revista Española de Enfermedades Digestivas","DOI":"10.17235/reed.2017.4517/2016","ISSN":"1130-0108","issue":"2","journalAbbreviation":"Rev. esp. enferm. dig.","language":"es","source":"SciELO","title":"Factores pronósticos de mortalidad en la cirrosis hepática tras un primer episodio de peritonitis bacteriana espontánea. Estudio multicéntrico","volume":"110","author":[{"family":"Melcarne","given":"Luigi"},{"family":"Sopeña","given":"Julia"},{"family":"Martínez-Cerezo","given":"Francisco-José"},{"family":"Vergara","given":"Mercedes"},{"family":"Miquel","given":"Mireia"},{"family":"Sánchez-Delgado","given":"Jordi"},{"family":"Dalmau","given":"Blai"},{"family":"Machlab","given":"Salvador"},{"family":"Portilla","given":"Dustin"},{"family":"Gonzáles-Padrón","given":"Yonaisy"},{"family":"Real-Álvarez","given":"Mónica"},{"family":"Carpintero","given":"Chantal"},{"family":"Casas","given":"Meritxell"}],"accessed":{"date-parts":[["2020",2,26]]},"issued":{"date-parts":[["2018",2]]}}}],"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(9)</w:t>
      </w:r>
      <w:r w:rsidRPr="00FF421E">
        <w:rPr>
          <w:rFonts w:eastAsia="Calibri"/>
          <w:vertAlign w:val="superscript"/>
          <w:lang w:eastAsia="ar-SA"/>
        </w:rPr>
        <w:fldChar w:fldCharType="end"/>
      </w:r>
      <w:r w:rsidRPr="00FF421E">
        <w:rPr>
          <w:rFonts w:eastAsia="Calibri"/>
          <w:vertAlign w:val="superscript"/>
          <w:lang w:eastAsia="ar-SA"/>
        </w:rPr>
        <w:t xml:space="preserve"> </w:t>
      </w:r>
      <w:r w:rsidRPr="00FF421E">
        <w:rPr>
          <w:rFonts w:eastAsia="Calibri"/>
          <w:lang w:eastAsia="ar-SA"/>
        </w:rPr>
        <w:t>en el cual no se encontró asociación con la mortalidad a los 30 días.</w:t>
      </w:r>
      <w:r w:rsidRPr="00FF421E" w:rsidDel="00026964">
        <w:rPr>
          <w:rFonts w:eastAsia="Calibri"/>
          <w:vertAlign w:val="superscript"/>
          <w:lang w:eastAsia="ar-SA"/>
        </w:rPr>
        <w:t xml:space="preserve"> </w:t>
      </w:r>
    </w:p>
    <w:p w14:paraId="6CA7371E" w14:textId="77777777" w:rsidR="00FF421E" w:rsidRPr="00FF421E" w:rsidRDefault="00FF421E" w:rsidP="00FF421E">
      <w:pPr>
        <w:suppressAutoHyphens/>
        <w:autoSpaceDE w:val="0"/>
        <w:spacing w:line="360" w:lineRule="auto"/>
        <w:jc w:val="both"/>
        <w:rPr>
          <w:rFonts w:eastAsia="Calibri"/>
          <w:vertAlign w:val="superscript"/>
          <w:lang w:eastAsia="ar-SA"/>
        </w:rPr>
      </w:pPr>
      <w:r w:rsidRPr="00FF421E">
        <w:rPr>
          <w:rFonts w:eastAsia="Calibri"/>
          <w:lang w:eastAsia="ar-SA"/>
        </w:rPr>
        <w:t xml:space="preserve">La puntuación del índice de Meld entre 30-39 resultó asociada a la mortalidad. Estudios previos han afirmado que a mayor puntuación del índice de Meld, se tiene mayor posibilidad de mortalidad en pacientes cirróticos, como es el caso de </w:t>
      </w:r>
      <w:proofErr w:type="spellStart"/>
      <w:r w:rsidRPr="00FF421E">
        <w:rPr>
          <w:rFonts w:eastAsia="Calibri"/>
          <w:i/>
          <w:lang w:eastAsia="ar-SA"/>
        </w:rPr>
        <w:t>Attia</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guUd8sAu","properties":{"formattedCitation":"(25)","plainCitation":"(25)","noteIndex":0},"citationItems":[{"id":"rpNjEJQe/MfZobkyi","uris":["http://zotero.org/users/local/dUEZb9b8/items/FUV4U39Z"],"uri":["http://zotero.org/users/local/dUEZb9b8/items/FUV4U39Z"],"itemData":{"id":1076,"type":"article-journal","abstract":"To compare the performance of the Child-Pugh-Turcott (CPT) score to that of the model for end-stage liver disease (MELD) score in predicting survival of a retrospective cohort of 172 Black African patients with cirrhosis on a short and mid-term basis.","DOI":"10.3748/wjg.14.286","issue":"2","journalAbbreviation":"World J Gastroenterol","page":"286–291","title":"Child-Pugh-Turcott versus Meld score for predicting survival in a retrospective cohort of black African cirrhotic patients","volume":"14","author":[{"family":"Attia","given":"KA"},{"family":"Ackoundou-N’guessan","given":"KC"},{"family":"N’dri-yoman","given":"AT"},{"family":"Mahassadi","given":"AK"},{"family":"Messou","given":"E"},{"family":"Bathaix","given":"YF"},{"family":"Kissi","given":"YH"}],"issued":{"date-parts":[["2008",1,14]]}}}],"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(25)</w:t>
      </w:r>
      <w:r w:rsidRPr="00FF421E">
        <w:rPr>
          <w:rFonts w:eastAsia="Calibri"/>
          <w:vertAlign w:val="superscript"/>
          <w:lang w:eastAsia="ar-SA"/>
        </w:rPr>
        <w:fldChar w:fldCharType="end"/>
      </w:r>
      <w:r w:rsidRPr="00FF421E">
        <w:rPr>
          <w:rFonts w:eastAsia="Calibri"/>
          <w:vertAlign w:val="superscript"/>
          <w:lang w:eastAsia="ar-SA"/>
        </w:rPr>
        <w:t xml:space="preserve"> </w:t>
      </w:r>
      <w:r w:rsidRPr="00FF421E">
        <w:rPr>
          <w:rFonts w:eastAsia="Calibri"/>
          <w:lang w:eastAsia="ar-SA"/>
        </w:rPr>
        <w:t xml:space="preserve">En el estudio realizado por </w:t>
      </w:r>
      <w:r w:rsidRPr="00FF421E">
        <w:rPr>
          <w:rFonts w:eastAsia="Calibri"/>
          <w:i/>
          <w:lang w:eastAsia="ar-SA"/>
        </w:rPr>
        <w:t>Zubieta-Rodríguez</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tmdUGbrL","properties":{"formattedCitation":"(14)","plainCitation":"(14)","noteIndex":0},"citationItems":[{"id":"rpNjEJQe/1v9gEDzx","uris":["http://zotero.org/users/local/dUEZb9b8/items/37DXVNRI"],"uri":["http://zotero.org/users/local/dUEZb9b8/items/37DXVNRI"],"itemData":{"id":1045,"type":"article-journal","abstract":"IntroducciónLa cirrosis hepática es reconocida por el alto riesgo de mortalidad asociada a los episodios de descompensación aguda; este riesgo se incrementa aun más en el caso","container-title":"Revista de Gastroenterología de México","DOI":"10.1016/j.rgmx.2016.10.002","ISSN":"0375-0906","issue":"3","journalAbbreviation":"Rev Gastroenterol Mex","language":"es","page":"203-209","source":"www.revistagastroenterologiamexico.org","title":"Mortalidad hospitalaria en pacientes cirróticos en un hospital de tercer nivel","volume":"82","author":[{"family":"Zubieta-Rodríguez","given":"R."},{"family":"Gómez-Correa","given":"J."},{"family":"Rodríguez-Amaya","given":"R."},{"family":"Ariza-Mejia","given":"K. A."},{"family":"Toloza-Cuta","given":"N. A."}],"issued":{"date-parts":[["2017",7,1]]}}}],"schema":"https://github.com/citation-style-language/schema/raw/master/csl-citation.json"}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(14)</w:t>
      </w:r>
      <w:r w:rsidRPr="00FF421E">
        <w:rPr>
          <w:rFonts w:eastAsia="Calibri"/>
          <w:vertAlign w:val="superscript"/>
          <w:lang w:eastAsia="ar-SA"/>
        </w:rPr>
        <w:fldChar w:fldCharType="end"/>
      </w:r>
      <w:r w:rsidRPr="00FF421E">
        <w:rPr>
          <w:rFonts w:eastAsia="Calibri"/>
          <w:lang w:eastAsia="ar-SA"/>
        </w:rPr>
        <w:t xml:space="preserve"> se encuentra que la mortalidad de los pacientes con un índice de Meld mayor o igual a 18, estuvo asociado a mortalidad, en comparación con aquellos que tenían un índice de Meld menor a 18. Esta asociación también ha sido revelada por </w:t>
      </w:r>
      <w:r w:rsidRPr="00FF421E">
        <w:rPr>
          <w:rFonts w:eastAsia="Calibri"/>
          <w:i/>
          <w:lang w:eastAsia="ar-SA"/>
        </w:rPr>
        <w:t>Malpica-Castillo</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mo7DMC4f","properties":{"formattedCitation":"(16)","plainCitation":"(16)","noteIndex":0},"citationItems":[{"id":"rpNjEJQe/0PGP0csf","uris":["http://zotero.org/users/local/dUEZb9b8/items/HXRBXKBM"],"uri":["http://zotero.org/users/local/dUEZb9b8/items/HXRBXKBM"],"itemData":{"id":1062,"type":"article-journal","container-title":"Revista de Gastroenterología del Perú","ISSN":"1022-5129","issue":"4","note":"publisher: Sociedad de Gastroenterología del Perú","page":"301-305","source":"SciELO","title":"Mortalidad y readmisión en pacientes cirróticos hospitalizados en un hospital general de Lima, Perú","volume":"33","author":[{"family":"Malpica-Castillo","given":"Alexander"},{"family":"Ticse","given":"Ray"},{"family":"Salazar-Quiñones","given":"María"},{"family":"Cheng-Zárate","given":"Lester"},{"family":"Valenzuela-Granados","given":"Vanessa"},{"family":"Huerta-Mercado Tenorio","given":"Jorge"}],"issued":{"date-parts":[["2013",10]]}}}],"schema":"https://github.com/citation-style-language/schema/raw/master/csl-citation.json"}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(16)</w:t>
      </w:r>
      <w:r w:rsidRPr="00FF421E">
        <w:rPr>
          <w:rFonts w:eastAsia="Calibri"/>
          <w:vertAlign w:val="superscript"/>
          <w:lang w:eastAsia="ar-SA"/>
        </w:rPr>
        <w:fldChar w:fldCharType="end"/>
      </w:r>
      <w:r w:rsidRPr="00FF421E">
        <w:rPr>
          <w:rFonts w:eastAsia="Calibri"/>
          <w:lang w:eastAsia="ar-SA"/>
        </w:rPr>
        <w:t xml:space="preserve"> Sin embargo, difiere con lo descrito por </w:t>
      </w:r>
      <w:r w:rsidRPr="00FF421E">
        <w:rPr>
          <w:rFonts w:eastAsia="Calibri"/>
          <w:i/>
          <w:lang w:eastAsia="ar-SA"/>
        </w:rPr>
        <w:t>Valenzuela</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1BjPLYDf","properties":{"formattedCitation":"(26)","plainCitation":"(26)","noteIndex":0},"citationItems":[{"id":"rpNjEJQe/Iz6Inc5a","uris":["http://zotero.org/users/local/dUEZb9b8/items/QC3QE4M2"],"uri":["http://zotero.org/users/local/dUEZb9b8/items/QC3QE4M2"],"itemData":{"id":1036,"type":"article-journal","container-title":"Revista de Gastroenterología del Perú","ISSN":"1022-5129","issue":"4","page":"307-312","source":"SciELO","title":"Comparación del valor pronóstico de mortalidad del Score Child Pugh y los modelos de pronóstico de enfermedad hepática crónica en pacientes con cirrosis hepática descompensada del Hospital Nacional Cayetano Heredia, Lima-Perú","volume":"35","author":[{"family":"Valenzuela Granados","given":"Vanessa"},{"family":"Salazar-Quiñones","given":"Maria"},{"family":"Cheng-Zárate","given":"Lester"},{"family":"Malpica-Castillo","given":"Alexander"},{"family":"Huerta Mercado","given":"Jorge"},{"family":"Ticse","given":"Ray"}],"issued":{"date-parts":[["2015",10]]}}}],"schema":"https://github.com/citation-style-language/schema/raw/master/csl-citation.json"}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(26)</w:t>
      </w:r>
      <w:r w:rsidRPr="00FF421E">
        <w:rPr>
          <w:rFonts w:eastAsia="Calibri"/>
          <w:vertAlign w:val="superscript"/>
          <w:lang w:eastAsia="ar-SA"/>
        </w:rPr>
        <w:fldChar w:fldCharType="end"/>
      </w:r>
      <w:r w:rsidRPr="00FF421E">
        <w:rPr>
          <w:rFonts w:eastAsia="Calibri"/>
          <w:lang w:eastAsia="ar-SA"/>
        </w:rPr>
        <w:t xml:space="preserve"> en cuyo estudio, después de un seguimiento de 90 días, no se halló diferencia entre los puntajes del índice de Meld y la mortalidad.</w:t>
      </w:r>
    </w:p>
    <w:p w14:paraId="65FA70E2" w14:textId="77777777" w:rsidR="00FF421E" w:rsidRPr="00FF421E" w:rsidRDefault="00FF421E" w:rsidP="00FF421E">
      <w:pPr>
        <w:suppressAutoHyphens/>
        <w:autoSpaceDE w:val="0"/>
        <w:spacing w:line="360" w:lineRule="auto"/>
        <w:jc w:val="both"/>
        <w:rPr>
          <w:rFonts w:eastAsia="Calibri"/>
          <w:vertAlign w:val="superscript"/>
          <w:lang w:eastAsia="ar-SA"/>
        </w:rPr>
      </w:pPr>
      <w:r w:rsidRPr="00FF421E">
        <w:rPr>
          <w:rFonts w:eastAsia="Calibri"/>
          <w:lang w:eastAsia="ar-SA"/>
        </w:rPr>
        <w:t>Los niveles de creatinina resultaron asociados a la presencia de mortalidad debido a cirrosis. Investigaciones similares previas confirman este hallazgo.</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SBG1aW6R","properties":{"formattedCitation":"(11,13,14)","plainCitation":"(11,13,14)","noteIndex":0},"citationItems":[{"id":"rpNjEJQe/Rafsomm2","uris":["http://zotero.org/users/local/dUEZb9b8/items/DU8PS8IB"],"uri":["http://zotero.org/users/local/dUEZb9b8/items/DU8PS8IB"],"itemData":{"id":"fHY7Nubu/MAZuzZep","type":"article-journal","abstract":"BACKGROUND: Acute kidney injury (AKI) is common in cirrhotic patients and is associated with negative outcomes. The aim of this study was to evaluate the presence of AKI and its progression according to KDIGO (Kidney Disease: Improving Global Outcomes) criteria in cirrhotic patients admitted to the emergency department and to determine the association of AKI with hospital mortality.\nMETHODS: This retrospective study included 258 cirrhotic patients admitted to the emergency department of a university hospital from March 2015 to February 2017. AKI was diagnosed and classified according to the KDIGO criteria.\nRESULTS: The overall incidence of AKI in cirrhotic patients was 53.9%, and the overall hospital mortality was 28.4%. Mortality was associated with the presence, stage, and progression of AKI. Patients with AKI stage 1 and sCr &lt; 1.5 mg/dl (KDIGO 1a) had a lower mortality rate than patients with AKI stage 1 and sCr &gt; 1.5 mg/dl (KDIGO 1b). In the logistic regression analysis, three variables were independently associated with hospital mortality: cancer, AKI and progression of AKI.\nCONCLUSIONS: According to the data presented, a single measure of creatinine is not enough, and there is a need for meticulous follow-up of the renal function of patients with hepatic cirrhosis hospitalized in an emergency unit. In addition, this study reinforces the need for subclassification of KDIGO 1 in cirrhotic patients, since patients with acute renal injury and creatinine greater than 1.5 mg/dL present a worse clinical outcome.","container-title":"BMC nephrology","DOI":"10.1186/s12882-018-1061-8","ISSN":"1471-2369","issue":"1","journalAbbreviation":"BMC Nephrol","language":"eng","note":"PMID: 30342475\nPMCID: PMC6196026","page":"277","source":"PubMed","title":"Risk factors, mortality and acute kidney injury outcomes in cirrhotic patients in the emergency department","volume":"19","author":[{"family":"Gessolo Lins","given":"Paulo Ricardo"},{"family":"Carvalho Padilha","given":"Wallace Stwart"},{"family":"Magalhaes Giradin Pimentel","given":"Carolina Frade"},{"family":"Costa Batista","given":"Marcelo"},{"family":"Teixeira de Gois","given":"Aécio Flávio"}],"issued":{"date-parts":[["2018"]],"season":"20"}}},{"id":"rpNjEJQe/Wu1j3O6m","uris":["http://zotero.org/users/local/dUEZb9b8/items/ACQSCZ9L"],"uri":["http://zotero.org/users/local/dUEZb9b8/items/ACQSCZ9L"],"itemData":{"id":"fHY7Nubu/VHSR3IR5","type":"article-journal","abstract":"Background. Although several prognostic models have been proposed for cirrhotic patients listed for transplantation, the performance of these scores as predictors of mortality in patients admitted for acute decompensation of cirrhosis has not been satisfactorily investigated. Aims. To study MELD, MELD-Na, MESO, iMELD, Refit-MELD and Refit MELD-Na models as prognostic predictors in cirrhotic patients admitted for acute decompensation, and to compare their performance between admission and 48 hours of hospitalization to predict in-hospital mortality. Material and methods. This cohort study included cirrhotic patients admitted to hospital due to complications of the disease. Individuals were evaluated on admission and after 48 h of hospitalization, and mortality was evaluated during the present admission. Results. One hundred and twenty-three subjects with a mean age of 54.26 ± 10.79 years were included; 76.4% were male. Mean MELD score was 16.43 ± 7.08 and 52.0% of patients were Child-Pugh C. Twenty-seven patients (22.0%) died during hospitalization. Similar areas under the curve (AUROCs) for prognosis of mortality were observed when different models were compared on admission (P &gt; 0.05) and after 48 h of hospitalization (P &gt; 0.05). When models executed after 48 h of hospitalization were compared to their corresponding model calculated on admission, significantly higher AUROCs were obtained for all models (P &lt; 0.05), except for MELD-Na (P = 0.075) and iMELD (P = 0.119). Conclusion. The studied models showed similar accuracy as predictors of in-hospital mortality in cirrhotic patients admitted for acute decompensation. However, the performance of these models was significantly better when applied 48 h after admission when compared to their calculation on admission.","container-title":"Annals of Hepatology","DOI":"10.1016/S1665-2681(19)30804-X","ISSN":"1665-2681","issue":"1","journalAbbreviation":"Annals of Hepatology","language":"en","page":"83-92","source":"ScienceDirect","title":"The performance of prognostic models as predictors of mortality in patients with acute decompensation of cirrhosis","volume":"14","author":[{"family":"Fayad","given":"Leonardo"},{"family":"Narciso-Schiavon","given":"Janaína Luz"},{"family":"Lazzarotto","given":"César"},{"family":"Ronsoni","given":"Marcelo Fernando"},{"family":"Wildner","given":"Letícia Muraro"},{"family":"Bazzo","given":"Maria Luiza"},{"family":"Schiavon","given":"Leonardo de Lucca"},{"family":"Dantas-Corrêa","given":"Esther Buzaglo"}],"issued":{"date-parts":[["2015",1,1]]}}},{"id":"rpNjEJQe/1v9gEDzx","uris":["http://zotero.org/users/local/dUEZb9b8/items/37DXVNRI"],"uri":["http://zotero.org/users/local/dUEZb9b8/items/37DXVNRI"],"itemData":{"id":"fHY7Nubu/PsxKYDnu","type":"article-journal","abstract":"IntroducciónLa cirrosis hepática es reconocida por el alto riesgo de mortalidad asociada a los episodios de descompensación aguda; este riesgo se incrementa aun más en el caso","container-title":"Revista de Gastroenterología de México","DOI":"10.1016/j.rgmx.2016.10.002","ISSN":"0375-0906","issue":"3","journalAbbreviation":"Rev Gastroenterol Mex","language":"es","page":"203-209","source":"www.revistagastroenterologiamexico.org","title":"Mortalidad hospitalaria en pacientes cirróticos en un hospital de tercer nivel","volume":"82","author":[{"family":"Zubieta-Rodríguez","given":"R."},{"family":"Gómez-Correa","given":"J."},{"family":"Rodríguez-Amaya","given":"R."},{"family":"Ariza-Mejia","given":"K. A."},{"family":"Toloza-Cuta","given":"N. A."}],"issued":{"date-parts":[["2017",7,1]]}}}],"schema":"https://github.com/citation-style-language/schema/raw/master/csl-citation.json"}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(11,13,14)</w:t>
      </w:r>
      <w:r w:rsidRPr="00FF421E">
        <w:rPr>
          <w:rFonts w:eastAsia="Calibri"/>
          <w:vertAlign w:val="superscript"/>
          <w:lang w:eastAsia="ar-SA"/>
        </w:rPr>
        <w:fldChar w:fldCharType="end"/>
      </w:r>
      <w:r w:rsidRPr="00FF421E">
        <w:rPr>
          <w:rFonts w:eastAsia="Calibri"/>
          <w:vertAlign w:val="superscript"/>
          <w:lang w:eastAsia="ar-SA"/>
        </w:rPr>
        <w:t xml:space="preserve"> </w:t>
      </w:r>
      <w:r w:rsidRPr="00FF421E">
        <w:rPr>
          <w:rFonts w:eastAsia="Calibri"/>
          <w:i/>
          <w:lang w:eastAsia="ar-SA"/>
        </w:rPr>
        <w:t>Zubieta-Rodríguez</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QWJIqG0p","properties":{"formattedCitation":"(14)","plainCitation":"(14)","noteIndex":0},"citationItems":[{"id":"rpNjEJQe/1v9gEDzx","uris":["http://zotero.org/users/local/dUEZb9b8/items/37DXVNRI"],"uri":["http://zotero.org/users/local/dUEZb9b8/items/37DXVNRI"],"itemData":{"id":1045,"type":"article-journal","abstract":"IntroducciónLa cirrosis hepática es reconocida por el alto riesgo de mortalidad asociada a los episodios de descompensación aguda; este riesgo se incrementa aun más en el caso","container-title":"Revista de Gastroenterología de México","DOI":"10.1016/j.rgmx.2016.10.002","ISSN":"0375-0906","issue":"3","journalAbbreviation":"Rev Gastroenterol Mex","language":"es","page":"203-209","source":"www.revistagastroenterologiamexico.org","title":"Mortalidad hospitalaria en pacientes cirróticos en un hospital de tercer nivel","volume":"82","author":[{"family":"Zubieta-Rodríguez","given":"R."},{"family":"Gómez-Correa","given":"J."},{"family":"Rodríguez-Amaya","given":"R."},{"family":"Ariza-Mejia","given":"K. A."},{"family":"Toloza-Cuta","given":"N. A."}],"issued":{"date-parts":[["2017",7,1]]}}}],"schema":"https://github.com/citation-style-language/schema/raw/master/csl-citation.json"}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(14)</w:t>
      </w:r>
      <w:r w:rsidRPr="00FF421E">
        <w:rPr>
          <w:rFonts w:eastAsia="Calibri"/>
          <w:vertAlign w:val="superscript"/>
          <w:lang w:eastAsia="ar-SA"/>
        </w:rPr>
        <w:fldChar w:fldCharType="end"/>
      </w:r>
      <w:r w:rsidRPr="00FF421E">
        <w:rPr>
          <w:rFonts w:eastAsia="Calibri"/>
          <w:lang w:eastAsia="ar-SA"/>
        </w:rPr>
        <w:t xml:space="preserve"> encontraron una mediana de creatinina mayor en el grupo de pacientes que murieron.</w:t>
      </w:r>
      <w:r w:rsidRPr="00FF421E" w:rsidDel="00BD123B">
        <w:rPr>
          <w:rFonts w:eastAsia="Calibri"/>
          <w:vertAlign w:val="superscript"/>
          <w:lang w:eastAsia="ar-SA"/>
        </w:rPr>
        <w:t xml:space="preserve"> </w:t>
      </w:r>
      <w:proofErr w:type="spellStart"/>
      <w:r w:rsidRPr="00FF421E">
        <w:rPr>
          <w:rFonts w:eastAsia="Calibri"/>
          <w:i/>
          <w:lang w:eastAsia="ar-SA"/>
        </w:rPr>
        <w:t>Gessolo</w:t>
      </w:r>
      <w:proofErr w:type="spellEnd"/>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qpBvv5gY","properties":{"formattedCitation":"(11)","plainCitation":"(11)","noteIndex":0},"citationItems":[{"id":"rpNjEJQe/Rafsomm2","uris":["http://zotero.org/users/local/dUEZb9b8/items/DU8PS8IB"],"uri":["http://zotero.org/users/local/dUEZb9b8/items/DU8PS8IB"],"itemData":{"id":1060,"type":"article-journal","abstract":"BACKGROUND: Acute kidney injury (AKI) is common in cirrhotic patients and is associated with negative outcomes. The aim of this study was to evaluate the presence of AKI and its progression according to KDIGO (Kidney Disease: Improving Global Outcomes) criteria in cirrhotic patients admitted to the emergency department and to determine the association of AKI with hospital mortality.\nMETHODS: This retrospective study included 258 cirrhotic patients admitted to the emergency department of a university hospital from March 2015 to February 2017. AKI was diagnosed and classified according to the KDIGO criteria.\nRESULTS: The overall incidence of AKI in cirrhotic patients was 53.9%, and the overall hospital mortality was 28.4%. Mortality was associated with the presence, stage, and progression of AKI. Patients with AKI stage 1 and sCr &lt; 1.5 mg/dl (KDIGO 1a) had a lower mortality rate than patients with AKI stage 1 and sCr &gt; 1.5 mg/dl (KDIGO 1b). In the logistic regression analysis, three variables were independently associated with hospital mortality: cancer, AKI and progression of AKI.\nCONCLUSIONS: According to the data presented, a single measure of creatinine is not enough, and there is a need for meticulous follow-up of the renal function of patients with hepatic cirrhosis hospitalized in an emergency unit. In addition, this study reinforces the need for subclassification of KDIGO 1 in cirrhotic patients, since patients with acute renal injury and creatinine greater than 1.5 mg/dL present a worse clinical outcome.","container-title":"BMC nephrology","DOI":"10.1186/s12882-018-1061-8","ISSN":"1471-2369","issue":"1","journalAbbreviation":"BMC Nephrol","language":"eng","note":"PMID: 30342475\nPMCID: PMC6196026","page":"277","source":"PubMed","title":"Risk factors, mortality and acute kidney injury outcomes in cirrhotic patients in the emergency department","volume":"19","author":[{"family":"Gessolo Lins","given":"Paulo Ricardo"},{"family":"Carvalho Padilha","given":"Wallace Stwart"},{"family":"Magalhaes Giradin Pimentel","given":"Carolina Frade"},{"family":"Costa Batista","given":"Marcelo"},{"family":"Teixeira de Gois","given":"Aécio Flávio"}],"issued":{"date-parts":[["2018"]],"season":"20"}}}],"schema":"https://github.com/citation-style-language/schema/raw/master/csl-citation.json"}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(11)</w:t>
      </w:r>
      <w:r w:rsidRPr="00FF421E">
        <w:rPr>
          <w:rFonts w:eastAsia="Calibri"/>
          <w:vertAlign w:val="superscript"/>
          <w:lang w:eastAsia="ar-SA"/>
        </w:rPr>
        <w:fldChar w:fldCharType="end"/>
      </w:r>
      <w:r w:rsidRPr="00FF421E">
        <w:rPr>
          <w:rFonts w:eastAsia="Calibri"/>
          <w:lang w:eastAsia="ar-SA"/>
        </w:rPr>
        <w:t xml:space="preserve"> así como </w:t>
      </w:r>
      <w:proofErr w:type="spellStart"/>
      <w:r w:rsidRPr="00FF421E">
        <w:rPr>
          <w:rFonts w:eastAsia="Calibri"/>
          <w:i/>
          <w:lang w:eastAsia="ar-SA"/>
        </w:rPr>
        <w:t>Fayard</w:t>
      </w:r>
      <w:proofErr w:type="spellEnd"/>
      <w:r w:rsidRPr="00FF421E">
        <w:rPr>
          <w:rFonts w:eastAsia="Calibri"/>
          <w:lang w:eastAsia="ar-SA"/>
        </w:rPr>
        <w:t xml:space="preserve"> </w:t>
      </w:r>
      <w:r w:rsidRPr="00FF421E">
        <w:rPr>
          <w:rFonts w:eastAsia="Calibri"/>
          <w:i/>
          <w:lang w:eastAsia="ar-SA"/>
        </w:rPr>
        <w:t>y otros</w:t>
      </w:r>
      <w:r w:rsidRPr="00FF421E">
        <w:rPr>
          <w:rFonts w:eastAsia="Calibr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3JOP4A0i","properties":{"formattedCitation":"(13)","plainCitation":"(13)","noteIndex":0},"citationItems":[{"id":"rpNjEJQe/Wu1j3O6m","uris":["http://zotero.org/users/local/dUEZb9b8/items/ACQSCZ9L"],"uri":["http://zotero.org/users/local/dUEZb9b8/items/ACQSCZ9L"],"itemData":{"id":1070,"type":"article-journal","abstract":"Background. Although several prognostic models have been proposed for cirrhotic patients listed for transplantation, the performance of these scores as predictors of mortality in patients admitted for acute decompensation of cirrhosis has not been satisfactorily investigated. Aims. To study MELD, MELD-Na, MESO, iMELD, Refit-MELD and Refit MELD-Na models as prognostic predictors in cirrhotic patients admitted for acute decompensation, and to compare their performance between admission and 48 hours of hospitalization to predict in-hospital mortality. Material and methods. This cohort study included cirrhotic patients admitted to hospital due to complications of the disease. Individuals were evaluated on admission and after 48 h of hospitalization, and mortality was evaluated during the present admission. Results. One hundred and twenty-three subjects with a mean age of 54.26 ± 10.79 years were included; 76.4% were male. Mean MELD score was 16.43 ± 7.08 and 52.0% of patients were Child-Pugh C. Twenty-seven patients (22.0%) died during hospitalization. Similar areas under the curve (AUROCs) for prognosis of mortality were observed when different models were compared on admission (P &gt; 0.05) and after 48 h of hospitalization (P &gt; 0.05). When models executed after 48 h of hospitalization were compared to their corresponding model calculated on admission, significantly higher AUROCs were obtained for all models (P &lt; 0.05), except for MELD-Na (P = 0.075) and iMELD (P = 0.119). Conclusion. The studied models showed similar accuracy as predictors of in-hospital mortality in cirrhotic patients admitted for acute decompensation. However, the performance of these models was significantly better when applied 48 h after admission when compared to their calculation on admission.","container-title":"Annals of Hepatology","DOI":"10.1016/S1665-2681(19)30804-X","ISSN":"1665-2681","issue":"1","journalAbbreviation":"Annals of Hepatology","language":"en","page":"83-92","source":"ScienceDirect","title":"The performance of prognostic models as predictors of mortality in patients with acute decompensation of cirrhosis","volume":"14","author":[{"family":"Fayad","given":"Leonardo"},{"family":"Narciso-Schiavon","given":"Janaína Luz"},{"family":"Lazzarotto","given":"César"},{"family":"Ronsoni","given":"Marcelo Fernando"},{"family":"Wildner","given":"Letícia Muraro"},{"family":"Bazzo","given":"Maria Luiza"},{"family":"Schiavon","given":"Leonardo de Lucca"},{"family":"Dantas-Corrêa","given":"Esther Buzaglo"}],"issued":{"date-parts":[["2015",1,1]]}}}],"schema":"https://github.com/citation-style-language/schema/raw/master/csl-citation.json"}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(13)</w:t>
      </w:r>
      <w:r w:rsidRPr="00FF421E">
        <w:rPr>
          <w:rFonts w:eastAsia="Calibri"/>
          <w:vertAlign w:val="superscript"/>
          <w:lang w:eastAsia="ar-SA"/>
        </w:rPr>
        <w:fldChar w:fldCharType="end"/>
      </w:r>
      <w:r w:rsidRPr="00FF421E">
        <w:rPr>
          <w:rFonts w:eastAsia="Calibri"/>
          <w:lang w:eastAsia="ar-SA"/>
        </w:rPr>
        <w:t xml:space="preserve"> también reportaron que los niveles de creatinina influían en la mortalidad por cirrosis hepática.</w:t>
      </w:r>
      <w:r w:rsidRPr="00FF421E">
        <w:rPr>
          <w:rFonts w:eastAsia="Calibri"/>
          <w:vertAlign w:val="superscript"/>
          <w:lang w:eastAsia="ar-SA"/>
        </w:rPr>
        <w:t xml:space="preserve"> </w:t>
      </w:r>
      <w:proofErr w:type="spellStart"/>
      <w:r w:rsidRPr="00FF421E">
        <w:rPr>
          <w:rFonts w:eastAsia="Calibri"/>
          <w:i/>
          <w:lang w:eastAsia="ar-SA"/>
        </w:rPr>
        <w:t>Ximenes</w:t>
      </w:r>
      <w:proofErr w:type="spellEnd"/>
      <w:r w:rsidRPr="00FF421E">
        <w:rPr>
          <w:rFonts w:eastAsia="Calibri"/>
          <w:lang w:eastAsia="ar-SA"/>
        </w:rPr>
        <w:t xml:space="preserve"> y otros</w:t>
      </w:r>
      <w:r w:rsidRPr="00FF421E">
        <w:rPr>
          <w:rFonts w:eastAsia="Calibri"/>
          <w:i/>
          <w:lang w:eastAsia="ar-SA"/>
        </w:rPr>
        <w:t>,</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AumCTJqq","properties":{"formattedCitation":"(10)","plainCitation":"(10)","noteIndex":0},"citationItems":[{"id":"rpNjEJQe/G59Ttt85","uris":["http://zotero.org/users/local/dUEZb9b8/items/QWVL5JDL"],"uri":["http://zotero.org/users/local/dUEZb9b8/items/QWVL5JDL"],"itemData":{"id":1048,"type":"article-journal","abstract":"BACKGROUND: Patients with cirrhosis have high risk of bacterial infections and cirrhosis decompensation, resulting in admission to emergency department (ED). However, there are no criteria developed in the ED to identify patients with cirrhosis with bacterial infection and with high mortality risk.\nSTUDY OBJECTIVE: The objective of the study is to identify variables from ED arrival associated with bacterial infections and inhospital mortality.\nMETHODS: This is a retrospective single-center study using a tertiary hospital's database to identify consecutive ED patients with decompensated cirrhosis. Clinical variables and laboratory results were obtained by chart review. Logistic regression models were built to determine variables independently associated with bacterial infection and mortality. Scores using these variables were designed.\nRESULTS: One hundred forty-nine patients were enrolled, most of them males (77.9%) with alcoholic cirrhosis (53%) and advanced liver disease (Child-Pugh C, 47.2%). Bacterial infections were diagnosed in 72 patients (48.3%), and 36 (24.2%) died during hospital stay. Variables independently associated with bacterial infection were lymphocytes less than or equal to 900/mm(3) (odds ratio [OR], 3.85 [95% confidence interval {CI}, 1.47-10]; P = .006) and C-reactive protein greater than 59.4 mg/L (OR, 5.05 [95% CI, 1.93-13.2]; P = .001). Variables independently associated with mortality were creatinine greater than 1.5 mg/dL (OR, 4.35 [95% CI, 1.87-10.1]; P = .001) and international normalized ratio greater than 1.65 (OR, 3.71 [95% CI, 1.6-8.61]; P = .002). Scores designed to predict bacterial infection and mortality (Mortality in Cirrhosis Emergency Department Score) had an area under the receiver operating characteristic curve of 0.82 and 0.801, respectively. The Mortality in Cirrhosis Emergency Department Score performed better than Model for End-Stage Liver Disease score.\nCONCLUSIONS: In this cohort of ED patients with decompensated cirrhosis, lymphopenia and elevated C-reactive protein were related to bacterial infections, and elevated creatinine and international normalized ratio were related to mortality. Scores built with these variables should be prospectively validated.","container-title":"The American Journal of Emergency Medicine","DOI":"10.1016/j.ajem.2015.09.004","ISSN":"1532-8171","issue":"1","journalAbbreviation":"Am J Emerg Med","language":"eng","note":"PMID: 26423777","page":"25-29","source":"PubMed","title":"Patients with cirrhosis in the ED: early predictors of infection and mortality","title-short":"Patients with cirrhosis in the ED","volume":"34","author":[{"family":"Ximenes","given":"Rafael Oliveira"},{"family":"Farias","given":"Alberto Queiroz"},{"family":"Scalabrini Neto","given":"Augusto"},{"family":"Diniz","given":"Márcio Augusto"},{"family":"Kubota","given":"Gabriel Taricani"},{"family":"Ivo","given":"Maurício Menezes Aben-Athar"},{"family":"Colacique","given":"Caroline Gracia Plena Sol"},{"family":"D'Albuquerque","given":"Luiz Augusto Carneiro"},{"family":"Daglius Dias","given":"Roger"}],"issued":{"date-parts":[["2016",1]]}}}],"schema":"https://github.com/citation-style-language/schema/raw/master/csl-citation.json"}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(10)</w:t>
      </w:r>
      <w:r w:rsidRPr="00FF421E">
        <w:rPr>
          <w:rFonts w:eastAsia="Calibri"/>
          <w:vertAlign w:val="superscript"/>
          <w:lang w:eastAsia="ar-SA"/>
        </w:rPr>
        <w:fldChar w:fldCharType="end"/>
      </w:r>
      <w:r w:rsidRPr="00FF421E">
        <w:rPr>
          <w:rFonts w:eastAsia="Calibri"/>
          <w:vertAlign w:val="superscript"/>
          <w:lang w:eastAsia="ar-SA"/>
        </w:rPr>
        <w:t xml:space="preserve"> </w:t>
      </w:r>
      <w:r w:rsidRPr="00FF421E">
        <w:rPr>
          <w:rFonts w:eastAsia="Calibri"/>
          <w:lang w:eastAsia="ar-SA"/>
        </w:rPr>
        <w:t>encontraron que niveles de creatinina superiores a 1,5 mg/dl incrementaban hasta 4 veces la posibilidad de fallecer debido a cirrosis,</w:t>
      </w:r>
      <w:r w:rsidRPr="00FF421E" w:rsidDel="00BD123B">
        <w:rPr>
          <w:rFonts w:eastAsia="Calibri"/>
          <w:vertAlign w:val="superscript"/>
          <w:lang w:eastAsia="ar-SA"/>
        </w:rPr>
        <w:t xml:space="preserve"> </w:t>
      </w:r>
      <w:r w:rsidRPr="00FF421E">
        <w:rPr>
          <w:rFonts w:eastAsia="Calibri"/>
          <w:lang w:eastAsia="ar-SA"/>
        </w:rPr>
        <w:t xml:space="preserve">mientras que </w:t>
      </w:r>
      <w:r w:rsidRPr="00FF421E">
        <w:rPr>
          <w:rFonts w:eastAsia="Calibri"/>
          <w:i/>
          <w:lang w:eastAsia="ar-SA"/>
        </w:rPr>
        <w:t>Morales</w:t>
      </w:r>
      <w:r w:rsidRPr="00FF421E">
        <w:rPr>
          <w:rFonts w:eastAsia="Calibri"/>
          <w:lang w:eastAsia="ar-SA"/>
        </w:rPr>
        <w:t xml:space="preserve"> y otros,</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LJnbH8oT","properties":{"formattedCitation":"(27)","plainCitation":"(27)","noteIndex":0},"citationItems":[{"id":"rpNjEJQe/3wLZaqzI","uris":["http://zotero.org/users/local/dUEZb9b8/items/LJP8TRA6"],"uri":["http://zotero.org/users/local/dUEZb9b8/items/LJP8TRA6"],"itemData":{"id":1073,"type":"article-journal","abstract":"The early hospital readmission of patients with decompensated cirrhosis is a current problem. A study is presented on the incidence, the impact on mortality, and the predictive factors of early hospital readmission.","container-title":"Digestive and Liver Disease","DOI":"10.1016/j.dld.2017.03.005","ISSN":"1590-8658","issue":"8","language":"en","note":"publisher: W.B. Saunders","page":"903-909","source":"www.sciencedirect.com","title":"Early hospital readmission in decompensated cirrhosis: Incidence, impact on mortality, and predictive factors","title-short":"Early hospital readmission in decompensated cirrhosis","volume":"49","author":[{"family":"Morales","given":"Betty P."},{"family":"Planas","given":"Ramón"},{"family":"Bartoli","given":"Ramon"},{"family":"Morillas","given":"Rosa M."},{"family":"Sala","given":"Margarita"},{"family":"Cabré","given":"Eduard"},{"family":"Casas","given":"Irma"},{"family":"Masnou","given":"Helena"}],"issued":{"date-parts":[["2017",8,1]]}}}],"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(27)</w:t>
      </w:r>
      <w:r w:rsidRPr="00FF421E">
        <w:rPr>
          <w:rFonts w:eastAsia="Calibri"/>
          <w:vertAlign w:val="superscript"/>
          <w:lang w:eastAsia="ar-SA"/>
        </w:rPr>
        <w:fldChar w:fldCharType="end"/>
      </w:r>
      <w:r w:rsidRPr="00FF421E">
        <w:rPr>
          <w:rFonts w:eastAsia="Calibri"/>
          <w:lang w:eastAsia="ar-SA"/>
        </w:rPr>
        <w:t xml:space="preserve"> encontraron que una creatinina mayor o igual a 0,9 mg/dl, estaba asociada a mortalidad. La probable explicación biológica de esta asociación es que, debido a las complicaciones y tratamiento al que esta hepatopatía se asocia, implica una redistribución de volumen con modificaciones hemodinámicas que desencadenarían la hipotensión arterial, causante de la insuficiencia renal manifestada en el nivel de creatinina elevado.</w:t>
      </w:r>
      <w:r w:rsidRPr="00FF421E">
        <w:rPr>
          <w:rFonts w:eastAsia="Calibri"/>
          <w:vertAlign w:val="superscript"/>
          <w:lang w:eastAsia="ar-SA"/>
        </w:rPr>
        <w:fldChar w:fldCharType="begin"/>
      </w:r>
      <w:r w:rsidRPr="00FF421E">
        <w:rPr>
          <w:rFonts w:eastAsia="Calibri"/>
          <w:vertAlign w:val="superscript"/>
          <w:lang w:eastAsia="ar-SA"/>
        </w:rPr>
        <w:instrText xml:space="preserve"> ADDIN ZOTERO_ITEM CSL_CITATION {"citationID":"5nPKPFi1","properties":{"formattedCitation":"(28)","plainCitation":"(28)","noteIndex":0},"citationItems":[{"id":"rpNjEJQe/4FhdSeyR","uris":["http://zotero.org/users/local/dUEZb9b8/items/T2LN5PEM"],"uri":["http://zotero.org/users/local/dUEZb9b8/items/T2LN5PEM"],"itemData":{"id":1054,"type":"article-journal","container-title":"Revista Uruguaya de Medicina Interna","ISSN":"2393-6797","issue":"2","note":"publisher: Sociedad de Medicina Interna del Uruguay","page":"20-28","source":"SciELO","title":"Insuficiencia renal aguda en la cirrosis hepática: análisis de causas","title-short":"Insuficiencia renal aguda en la cirrosis hepática","volume":"1","author":[{"family":"Correa","given":"Selene"},{"family":"Ponce de León","given":"Carolina"},{"family":"Perendones","given":"Mercedes"}],"issued":{"date-parts":[["2016",8]]}}}],"schema":"https://github.com/citation-style-language/schema/raw/master/csl-citation.json"} </w:instrText>
      </w:r>
      <w:r w:rsidRPr="00FF421E">
        <w:rPr>
          <w:rFonts w:eastAsia="Calibri"/>
          <w:vertAlign w:val="superscript"/>
          <w:lang w:eastAsia="ar-SA"/>
        </w:rPr>
        <w:fldChar w:fldCharType="separate"/>
      </w:r>
      <w:r w:rsidRPr="00FF421E">
        <w:rPr>
          <w:rFonts w:eastAsia="Calibri"/>
          <w:vertAlign w:val="superscript"/>
          <w:lang w:eastAsia="ar-SA"/>
        </w:rPr>
        <w:t>(28)</w:t>
      </w:r>
      <w:r w:rsidRPr="00FF421E">
        <w:rPr>
          <w:rFonts w:eastAsia="Calibri"/>
          <w:vertAlign w:val="superscript"/>
          <w:lang w:eastAsia="ar-SA"/>
        </w:rPr>
        <w:fldChar w:fldCharType="end"/>
      </w:r>
    </w:p>
    <w:p w14:paraId="53C97906"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t>Esta investigación presenta limitaciones; primero, no es posible inferir relaciones causales debido al diseño transversal del estudio; segundo, no se pueden generalizar estos hallazgos a toda la población, debido a que se han considerado pacientes de una sede hospitalaria; tercero, podrían existir factores de riesgo para mortalidad que no ha sido posible medir, así como factores que influyen en la supervivencia (etiología, estadio clínico de ingreso, estadio de enfermedad, tratamiento).</w:t>
      </w:r>
      <w:r w:rsidRPr="00FF421E">
        <w:rPr>
          <w:rFonts w:eastAsia="Calibri"/>
          <w:vertAlign w:val="superscript"/>
          <w:lang w:eastAsia="ar-SA"/>
        </w:rPr>
        <w:t>(9,18,27)</w:t>
      </w:r>
      <w:r w:rsidRPr="00FF421E">
        <w:rPr>
          <w:rFonts w:eastAsia="Calibri"/>
          <w:lang w:eastAsia="ar-SA"/>
        </w:rPr>
        <w:t xml:space="preserve"> </w:t>
      </w:r>
    </w:p>
    <w:p w14:paraId="7334BCBC" w14:textId="77777777" w:rsidR="00FF421E" w:rsidRPr="00FF421E" w:rsidRDefault="00FF421E" w:rsidP="00FF421E">
      <w:pPr>
        <w:suppressAutoHyphens/>
        <w:autoSpaceDE w:val="0"/>
        <w:spacing w:line="360" w:lineRule="auto"/>
        <w:jc w:val="both"/>
        <w:rPr>
          <w:rFonts w:eastAsia="Calibri"/>
          <w:lang w:eastAsia="ar-SA"/>
        </w:rPr>
      </w:pPr>
      <w:r w:rsidRPr="00FF421E">
        <w:rPr>
          <w:rFonts w:eastAsia="Calibri"/>
          <w:lang w:eastAsia="ar-SA"/>
        </w:rPr>
        <w:lastRenderedPageBreak/>
        <w:t>Sin embargo, los autores consideran relevante que representan una línea base de investigación para explorar los factores epidemiológicos, clínicos y de laboratorio, asociados a la mortalidad en pacientes cirróticos. La identificación de estos factores permitirá un manejo oportuno de esta enfermedad, ya que podrían servir para estimar predictores de mortalidad, así como conducir futuros estudios de sobrevida. El siguiente paso en la línea de investigación, es el desarrollo de estudios prospectivos y de sobrevida, que evalúen la capacidad predictiva de factores clínicos, con una muestra amplia y diversa, útiles para tomar decisiones clínicas con mayor certeza.</w:t>
      </w:r>
    </w:p>
    <w:p w14:paraId="4939652B" w14:textId="77777777" w:rsidR="00FF421E" w:rsidRPr="00FF421E" w:rsidRDefault="00FF421E" w:rsidP="00FF421E">
      <w:pPr>
        <w:suppressAutoHyphens/>
        <w:spacing w:line="360" w:lineRule="auto"/>
        <w:jc w:val="both"/>
        <w:rPr>
          <w:rFonts w:eastAsia="Calibri"/>
          <w:lang w:eastAsia="ar-SA"/>
        </w:rPr>
      </w:pPr>
      <w:bookmarkStart w:id="0" w:name="_Hlk35697302"/>
      <w:r w:rsidRPr="00FF421E">
        <w:rPr>
          <w:rFonts w:eastAsia="Calibri"/>
          <w:lang w:eastAsia="ar-SA"/>
        </w:rPr>
        <w:t>La frecuencia de mortalidad atribuida a cirrosis hepática es alta. La presencia de ascitis moderada, grado de encefalopatía, leucocitosis, enfermedad descompensada según índice de Child Pugh, índice de Meld entre 30-39 y los niveles de creatinina estuvieron asociados a la mortalidad en pacientes cirróticos.</w:t>
      </w:r>
    </w:p>
    <w:p w14:paraId="39EAF99D" w14:textId="77777777" w:rsidR="00FF421E" w:rsidRPr="00FF421E" w:rsidRDefault="00FF421E" w:rsidP="00FF421E">
      <w:pPr>
        <w:suppressAutoHyphens/>
        <w:spacing w:line="360" w:lineRule="auto"/>
        <w:jc w:val="both"/>
        <w:rPr>
          <w:rFonts w:eastAsia="Calibri"/>
          <w:lang w:eastAsia="ar-SA"/>
        </w:rPr>
      </w:pPr>
    </w:p>
    <w:p w14:paraId="0676D175" w14:textId="77777777" w:rsidR="00FF421E" w:rsidRPr="00FF421E" w:rsidRDefault="00FF421E" w:rsidP="00FF421E">
      <w:pPr>
        <w:suppressAutoHyphens/>
        <w:spacing w:line="360" w:lineRule="auto"/>
        <w:jc w:val="both"/>
        <w:rPr>
          <w:rFonts w:eastAsia="Calibri"/>
          <w:lang w:eastAsia="ar-SA"/>
        </w:rPr>
      </w:pPr>
    </w:p>
    <w:p w14:paraId="174E2BAE" w14:textId="77777777" w:rsidR="00FF421E" w:rsidRPr="00FF421E" w:rsidRDefault="00FF421E" w:rsidP="00FF421E">
      <w:pPr>
        <w:keepNext/>
        <w:keepLines/>
        <w:suppressAutoHyphens/>
        <w:spacing w:line="360" w:lineRule="auto"/>
        <w:jc w:val="center"/>
        <w:outlineLvl w:val="0"/>
        <w:rPr>
          <w:b/>
          <w:bCs/>
          <w:lang w:eastAsia="ar-SA"/>
        </w:rPr>
      </w:pPr>
      <w:r w:rsidRPr="00FF421E">
        <w:rPr>
          <w:b/>
          <w:bCs/>
          <w:lang w:eastAsia="ar-SA"/>
        </w:rPr>
        <w:t>Agradecimientos</w:t>
      </w:r>
    </w:p>
    <w:p w14:paraId="2CEE7234" w14:textId="77777777" w:rsidR="00FF421E" w:rsidRPr="00FF421E" w:rsidRDefault="00FF421E" w:rsidP="00FF421E">
      <w:pPr>
        <w:spacing w:line="360" w:lineRule="auto"/>
        <w:jc w:val="both"/>
        <w:rPr>
          <w:lang w:val="es-PE" w:eastAsia="ar-SA"/>
        </w:rPr>
      </w:pPr>
      <w:r w:rsidRPr="00FF421E">
        <w:rPr>
          <w:i/>
          <w:lang w:val="es-PE" w:eastAsia="ar-SA"/>
        </w:rPr>
        <w:t>Mario Valladares Garrido</w:t>
      </w:r>
      <w:r w:rsidRPr="00FF421E">
        <w:rPr>
          <w:lang w:val="es-PE" w:eastAsia="ar-SA"/>
        </w:rPr>
        <w:t xml:space="preserve"> ha recibido financiación de </w:t>
      </w:r>
      <w:proofErr w:type="spellStart"/>
      <w:r w:rsidRPr="00FF421E">
        <w:rPr>
          <w:lang w:val="es-PE" w:eastAsia="ar-SA"/>
        </w:rPr>
        <w:t>National</w:t>
      </w:r>
      <w:proofErr w:type="spellEnd"/>
      <w:r w:rsidRPr="00FF421E">
        <w:rPr>
          <w:lang w:val="es-PE" w:eastAsia="ar-SA"/>
        </w:rPr>
        <w:t xml:space="preserve"> </w:t>
      </w:r>
      <w:proofErr w:type="spellStart"/>
      <w:r w:rsidRPr="00FF421E">
        <w:rPr>
          <w:lang w:val="es-PE" w:eastAsia="ar-SA"/>
        </w:rPr>
        <w:t>Institute</w:t>
      </w:r>
      <w:proofErr w:type="spellEnd"/>
      <w:r w:rsidRPr="00FF421E">
        <w:rPr>
          <w:lang w:val="es-PE" w:eastAsia="ar-SA"/>
        </w:rPr>
        <w:t xml:space="preserve"> </w:t>
      </w:r>
      <w:proofErr w:type="spellStart"/>
      <w:r w:rsidRPr="00FF421E">
        <w:rPr>
          <w:lang w:val="es-PE" w:eastAsia="ar-SA"/>
        </w:rPr>
        <w:t>of</w:t>
      </w:r>
      <w:proofErr w:type="spellEnd"/>
      <w:r w:rsidRPr="00FF421E">
        <w:rPr>
          <w:lang w:val="es-PE" w:eastAsia="ar-SA"/>
        </w:rPr>
        <w:t xml:space="preserve"> Mental </w:t>
      </w:r>
      <w:proofErr w:type="spellStart"/>
      <w:r w:rsidRPr="00FF421E">
        <w:rPr>
          <w:lang w:val="es-PE" w:eastAsia="ar-SA"/>
        </w:rPr>
        <w:t>Health</w:t>
      </w:r>
      <w:proofErr w:type="spellEnd"/>
      <w:r w:rsidRPr="00FF421E">
        <w:rPr>
          <w:lang w:val="es-PE" w:eastAsia="ar-SA"/>
        </w:rPr>
        <w:t xml:space="preserve"> y </w:t>
      </w:r>
      <w:proofErr w:type="spellStart"/>
      <w:r w:rsidRPr="00FF421E">
        <w:rPr>
          <w:lang w:val="es-PE" w:eastAsia="ar-SA"/>
        </w:rPr>
        <w:t>Fogarty</w:t>
      </w:r>
      <w:proofErr w:type="spellEnd"/>
      <w:r w:rsidRPr="00FF421E">
        <w:rPr>
          <w:lang w:val="es-PE" w:eastAsia="ar-SA"/>
        </w:rPr>
        <w:t xml:space="preserve"> International Center </w:t>
      </w:r>
      <w:proofErr w:type="spellStart"/>
      <w:r w:rsidRPr="00FF421E">
        <w:rPr>
          <w:lang w:val="es-PE" w:eastAsia="ar-SA"/>
        </w:rPr>
        <w:t>of</w:t>
      </w:r>
      <w:proofErr w:type="spellEnd"/>
      <w:r w:rsidRPr="00FF421E">
        <w:rPr>
          <w:lang w:val="es-PE" w:eastAsia="ar-SA"/>
        </w:rPr>
        <w:t xml:space="preserve"> </w:t>
      </w:r>
      <w:proofErr w:type="spellStart"/>
      <w:r w:rsidRPr="00FF421E">
        <w:rPr>
          <w:lang w:val="es-PE" w:eastAsia="ar-SA"/>
        </w:rPr>
        <w:t>the</w:t>
      </w:r>
      <w:proofErr w:type="spellEnd"/>
      <w:r w:rsidRPr="00FF421E">
        <w:rPr>
          <w:lang w:val="es-PE" w:eastAsia="ar-SA"/>
        </w:rPr>
        <w:t xml:space="preserve"> </w:t>
      </w:r>
      <w:proofErr w:type="spellStart"/>
      <w:r w:rsidRPr="00FF421E">
        <w:rPr>
          <w:lang w:val="es-PE" w:eastAsia="ar-SA"/>
        </w:rPr>
        <w:t>National</w:t>
      </w:r>
      <w:proofErr w:type="spellEnd"/>
      <w:r w:rsidRPr="00FF421E">
        <w:rPr>
          <w:lang w:val="es-PE" w:eastAsia="ar-SA"/>
        </w:rPr>
        <w:t xml:space="preserve"> </w:t>
      </w:r>
      <w:proofErr w:type="spellStart"/>
      <w:r w:rsidRPr="00FF421E">
        <w:rPr>
          <w:lang w:val="es-PE" w:eastAsia="ar-SA"/>
        </w:rPr>
        <w:t>Institutes</w:t>
      </w:r>
      <w:proofErr w:type="spellEnd"/>
      <w:r w:rsidRPr="00FF421E">
        <w:rPr>
          <w:lang w:val="es-PE" w:eastAsia="ar-SA"/>
        </w:rPr>
        <w:t xml:space="preserve"> </w:t>
      </w:r>
      <w:proofErr w:type="spellStart"/>
      <w:r w:rsidRPr="00FF421E">
        <w:rPr>
          <w:lang w:val="es-PE" w:eastAsia="ar-SA"/>
        </w:rPr>
        <w:t>of</w:t>
      </w:r>
      <w:proofErr w:type="spellEnd"/>
      <w:r w:rsidRPr="00FF421E">
        <w:rPr>
          <w:lang w:val="es-PE" w:eastAsia="ar-SA"/>
        </w:rPr>
        <w:t xml:space="preserve"> </w:t>
      </w:r>
      <w:proofErr w:type="spellStart"/>
      <w:r w:rsidRPr="00FF421E">
        <w:rPr>
          <w:lang w:val="es-PE" w:eastAsia="ar-SA"/>
        </w:rPr>
        <w:t>Health</w:t>
      </w:r>
      <w:proofErr w:type="spellEnd"/>
      <w:r w:rsidRPr="00FF421E">
        <w:rPr>
          <w:lang w:val="es-PE" w:eastAsia="ar-SA"/>
        </w:rPr>
        <w:t xml:space="preserve"> con el </w:t>
      </w:r>
      <w:proofErr w:type="spellStart"/>
      <w:r w:rsidRPr="00FF421E">
        <w:rPr>
          <w:lang w:val="es-PE" w:eastAsia="ar-SA"/>
        </w:rPr>
        <w:t>grant</w:t>
      </w:r>
      <w:proofErr w:type="spellEnd"/>
      <w:r w:rsidRPr="00FF421E">
        <w:rPr>
          <w:lang w:val="es-PE" w:eastAsia="ar-SA"/>
        </w:rPr>
        <w:t xml:space="preserve"> D43TW009343, así como de </w:t>
      </w:r>
      <w:proofErr w:type="spellStart"/>
      <w:r w:rsidRPr="00FF421E">
        <w:rPr>
          <w:lang w:val="es-PE" w:eastAsia="ar-SA"/>
        </w:rPr>
        <w:t>University</w:t>
      </w:r>
      <w:proofErr w:type="spellEnd"/>
      <w:r w:rsidRPr="00FF421E">
        <w:rPr>
          <w:lang w:val="es-PE" w:eastAsia="ar-SA"/>
        </w:rPr>
        <w:t xml:space="preserve"> </w:t>
      </w:r>
      <w:proofErr w:type="spellStart"/>
      <w:r w:rsidRPr="00FF421E">
        <w:rPr>
          <w:lang w:val="es-PE" w:eastAsia="ar-SA"/>
        </w:rPr>
        <w:t>of</w:t>
      </w:r>
      <w:proofErr w:type="spellEnd"/>
      <w:r w:rsidRPr="00FF421E">
        <w:rPr>
          <w:lang w:val="es-PE" w:eastAsia="ar-SA"/>
        </w:rPr>
        <w:t xml:space="preserve"> California Global </w:t>
      </w:r>
      <w:proofErr w:type="spellStart"/>
      <w:r w:rsidRPr="00FF421E">
        <w:rPr>
          <w:lang w:val="es-PE" w:eastAsia="ar-SA"/>
        </w:rPr>
        <w:t>Health</w:t>
      </w:r>
      <w:proofErr w:type="spellEnd"/>
      <w:r w:rsidRPr="00FF421E">
        <w:rPr>
          <w:lang w:val="es-PE" w:eastAsia="ar-SA"/>
        </w:rPr>
        <w:t xml:space="preserve"> </w:t>
      </w:r>
      <w:proofErr w:type="spellStart"/>
      <w:r w:rsidRPr="00FF421E">
        <w:rPr>
          <w:lang w:val="es-PE" w:eastAsia="ar-SA"/>
        </w:rPr>
        <w:t>Institute</w:t>
      </w:r>
      <w:proofErr w:type="spellEnd"/>
      <w:r w:rsidRPr="00FF421E">
        <w:rPr>
          <w:lang w:val="es-PE" w:eastAsia="ar-SA"/>
        </w:rPr>
        <w:t xml:space="preserve">. </w:t>
      </w:r>
    </w:p>
    <w:p w14:paraId="529FED03" w14:textId="77777777" w:rsidR="00FF421E" w:rsidRPr="00FF421E" w:rsidRDefault="00FF421E" w:rsidP="00FF421E">
      <w:pPr>
        <w:suppressAutoHyphens/>
        <w:spacing w:line="360" w:lineRule="auto"/>
        <w:jc w:val="both"/>
        <w:rPr>
          <w:lang w:val="es-PE" w:eastAsia="es-MX"/>
        </w:rPr>
      </w:pPr>
    </w:p>
    <w:bookmarkEnd w:id="0"/>
    <w:p w14:paraId="5C5467CD" w14:textId="77777777" w:rsidR="00FF421E" w:rsidRPr="00FF421E" w:rsidRDefault="00FF421E" w:rsidP="00FF421E">
      <w:pPr>
        <w:suppressAutoHyphens/>
        <w:autoSpaceDE w:val="0"/>
        <w:spacing w:line="360" w:lineRule="auto"/>
        <w:jc w:val="both"/>
        <w:rPr>
          <w:b/>
          <w:bCs/>
          <w:lang w:eastAsia="ar-SA"/>
        </w:rPr>
      </w:pPr>
    </w:p>
    <w:p w14:paraId="2D1F09E7" w14:textId="77777777" w:rsidR="00FF421E" w:rsidRPr="00FF421E" w:rsidRDefault="00FF421E" w:rsidP="00FF421E">
      <w:pPr>
        <w:keepNext/>
        <w:keepLines/>
        <w:suppressAutoHyphens/>
        <w:spacing w:line="360" w:lineRule="auto"/>
        <w:jc w:val="center"/>
        <w:outlineLvl w:val="0"/>
        <w:rPr>
          <w:b/>
          <w:bCs/>
          <w:spacing w:val="97"/>
          <w:sz w:val="32"/>
          <w:szCs w:val="32"/>
          <w:lang w:eastAsia="ar-SA"/>
        </w:rPr>
      </w:pPr>
      <w:bookmarkStart w:id="1" w:name="_Hlk69377693"/>
      <w:r w:rsidRPr="00FF421E">
        <w:rPr>
          <w:b/>
          <w:bCs/>
          <w:sz w:val="32"/>
          <w:szCs w:val="32"/>
          <w:lang w:eastAsia="ar-SA"/>
        </w:rPr>
        <w:t>REFERENCIAS BIBLIOGRÁFICAS</w:t>
      </w:r>
    </w:p>
    <w:bookmarkEnd w:id="1"/>
    <w:p w14:paraId="1ACBA203" w14:textId="77777777" w:rsidR="00FF421E" w:rsidRPr="00FF421E" w:rsidRDefault="00FF421E" w:rsidP="00FF421E">
      <w:pPr>
        <w:spacing w:line="360" w:lineRule="auto"/>
        <w:rPr>
          <w:rFonts w:eastAsia="Calibri"/>
          <w:lang w:eastAsia="en-US"/>
        </w:rPr>
      </w:pPr>
      <w:r w:rsidRPr="00FF421E">
        <w:rPr>
          <w:rFonts w:eastAsia="Calibri"/>
          <w:lang w:val="es-CU" w:eastAsia="en-US"/>
        </w:rPr>
        <w:t xml:space="preserve">1. </w:t>
      </w:r>
      <w:proofErr w:type="spellStart"/>
      <w:r w:rsidRPr="00FF421E">
        <w:rPr>
          <w:rFonts w:eastAsia="Calibri"/>
          <w:lang w:val="es-CU" w:eastAsia="en-US"/>
        </w:rPr>
        <w:t>Asrani</w:t>
      </w:r>
      <w:proofErr w:type="spellEnd"/>
      <w:r w:rsidRPr="00FF421E">
        <w:rPr>
          <w:rFonts w:eastAsia="Calibri"/>
          <w:lang w:val="es-CU" w:eastAsia="en-US"/>
        </w:rPr>
        <w:t xml:space="preserve"> SK, </w:t>
      </w:r>
      <w:proofErr w:type="spellStart"/>
      <w:r w:rsidRPr="00FF421E">
        <w:rPr>
          <w:rFonts w:eastAsia="Calibri"/>
          <w:lang w:val="es-CU" w:eastAsia="en-US"/>
        </w:rPr>
        <w:t>Devarbhavi</w:t>
      </w:r>
      <w:proofErr w:type="spellEnd"/>
      <w:r w:rsidRPr="00FF421E">
        <w:rPr>
          <w:rFonts w:eastAsia="Calibri"/>
          <w:lang w:val="es-CU" w:eastAsia="en-US"/>
        </w:rPr>
        <w:t xml:space="preserve"> H, Eaton J, </w:t>
      </w:r>
      <w:proofErr w:type="spellStart"/>
      <w:r w:rsidRPr="00FF421E">
        <w:rPr>
          <w:rFonts w:eastAsia="Calibri"/>
          <w:lang w:val="es-CU" w:eastAsia="en-US"/>
        </w:rPr>
        <w:t>Kamath</w:t>
      </w:r>
      <w:proofErr w:type="spellEnd"/>
      <w:r w:rsidRPr="00FF421E">
        <w:rPr>
          <w:rFonts w:eastAsia="Calibri"/>
          <w:lang w:val="es-CU" w:eastAsia="en-US"/>
        </w:rPr>
        <w:t xml:space="preserve"> PS. </w:t>
      </w:r>
      <w:r w:rsidRPr="00FF421E">
        <w:rPr>
          <w:rFonts w:eastAsia="Calibri"/>
          <w:lang w:val="en-US" w:eastAsia="en-US"/>
        </w:rPr>
        <w:t xml:space="preserve">Burden of liver diseases in the world. </w:t>
      </w:r>
      <w:r w:rsidRPr="00FF421E">
        <w:rPr>
          <w:rFonts w:eastAsia="Calibri"/>
          <w:lang w:val="es-CU" w:eastAsia="en-US"/>
        </w:rPr>
        <w:t xml:space="preserve">J </w:t>
      </w:r>
      <w:proofErr w:type="spellStart"/>
      <w:r w:rsidRPr="00FF421E">
        <w:rPr>
          <w:rFonts w:eastAsia="Calibri"/>
          <w:lang w:val="es-CU" w:eastAsia="en-US"/>
        </w:rPr>
        <w:t>Hepatol</w:t>
      </w:r>
      <w:proofErr w:type="spellEnd"/>
      <w:r w:rsidRPr="00FF421E">
        <w:rPr>
          <w:rFonts w:eastAsia="Calibri"/>
          <w:lang w:val="es-CU" w:eastAsia="en-US"/>
        </w:rPr>
        <w:t xml:space="preserve">. 2019 [acceso: 23/03/2021];70(1):151-71. </w:t>
      </w:r>
      <w:r w:rsidRPr="00FF421E">
        <w:rPr>
          <w:rFonts w:eastAsia="Calibri"/>
          <w:lang w:eastAsia="en-US"/>
        </w:rPr>
        <w:t xml:space="preserve">Disponible en: </w:t>
      </w:r>
      <w:hyperlink r:id="rId16" w:history="1">
        <w:r w:rsidRPr="00FF421E">
          <w:rPr>
            <w:rFonts w:eastAsia="Calibri"/>
            <w:u w:val="single"/>
            <w:lang w:eastAsia="en-US"/>
          </w:rPr>
          <w:t>https://pubmed.ncbi.nlm.nih.gov/30266282/</w:t>
        </w:r>
      </w:hyperlink>
      <w:r w:rsidRPr="00FF421E">
        <w:rPr>
          <w:rFonts w:eastAsia="Calibri"/>
          <w:lang w:eastAsia="en-US"/>
        </w:rPr>
        <w:t xml:space="preserve">  </w:t>
      </w:r>
    </w:p>
    <w:p w14:paraId="1112FE52" w14:textId="77777777" w:rsidR="00FF421E" w:rsidRPr="00FF421E" w:rsidRDefault="00FF421E" w:rsidP="00FF421E">
      <w:pPr>
        <w:spacing w:line="360" w:lineRule="auto"/>
        <w:rPr>
          <w:rFonts w:eastAsia="Calibri"/>
          <w:lang w:eastAsia="en-US"/>
        </w:rPr>
      </w:pPr>
      <w:r w:rsidRPr="00FF421E">
        <w:rPr>
          <w:rFonts w:eastAsia="Calibri"/>
          <w:lang w:eastAsia="en-US"/>
        </w:rPr>
        <w:t xml:space="preserve">2. Castillo-Contreras O, Flores-Flores C. Mortalidad por enfermedades digestivas no neoplásicas en la población adulta del Perú, 2010 - 2015. Anales de la Facultad de Medicina. 2019 [acceso: 23/03/2021]; 80(1): 39-44. Disponible en: </w:t>
      </w:r>
      <w:hyperlink r:id="rId17" w:history="1">
        <w:r w:rsidRPr="00FF421E">
          <w:rPr>
            <w:rFonts w:eastAsia="Calibri"/>
            <w:u w:val="single"/>
            <w:lang w:eastAsia="en-US"/>
          </w:rPr>
          <w:t>http://www.scielo.org.pe/scielo.php?pid=S1025-55832019000100007&amp;script=sci_abstract</w:t>
        </w:r>
      </w:hyperlink>
      <w:r w:rsidRPr="00FF421E">
        <w:rPr>
          <w:rFonts w:eastAsia="Calibri"/>
          <w:lang w:eastAsia="en-US"/>
        </w:rPr>
        <w:t xml:space="preserve">  </w:t>
      </w:r>
    </w:p>
    <w:p w14:paraId="20B3503B" w14:textId="77777777" w:rsidR="00FF421E" w:rsidRPr="00FF421E" w:rsidRDefault="00FF421E" w:rsidP="00FF421E">
      <w:pPr>
        <w:spacing w:line="360" w:lineRule="auto"/>
        <w:rPr>
          <w:rFonts w:eastAsia="Calibri"/>
          <w:lang w:eastAsia="en-US"/>
        </w:rPr>
      </w:pPr>
      <w:r w:rsidRPr="00FF421E">
        <w:rPr>
          <w:rFonts w:eastAsia="Calibri"/>
          <w:lang w:eastAsia="en-US"/>
        </w:rPr>
        <w:t xml:space="preserve">3. </w:t>
      </w:r>
      <w:proofErr w:type="spellStart"/>
      <w:r w:rsidRPr="00FF421E">
        <w:rPr>
          <w:rFonts w:eastAsia="Calibri"/>
          <w:lang w:eastAsia="en-US"/>
        </w:rPr>
        <w:t>Bustíos</w:t>
      </w:r>
      <w:proofErr w:type="spellEnd"/>
      <w:r w:rsidRPr="00FF421E">
        <w:rPr>
          <w:rFonts w:eastAsia="Calibri"/>
          <w:lang w:eastAsia="en-US"/>
        </w:rPr>
        <w:t xml:space="preserve"> C, Dávalos M, Román R, Zumaeta E. Características Epidemiológicas y Clínicas de la Cirrosis Hepática en la Unidad de Hígado del HNERM Es-Salud. Revista de Gastroenterología del Perú. 2007 [acceso: 23/03/2021]; 27(3): 238-45. Disponible en: </w:t>
      </w:r>
      <w:hyperlink r:id="rId18" w:history="1">
        <w:r w:rsidRPr="00FF421E">
          <w:rPr>
            <w:rFonts w:eastAsia="Calibri"/>
            <w:u w:val="single"/>
            <w:lang w:eastAsia="en-US"/>
          </w:rPr>
          <w:t>http://www.scielo.org.pe/scielo.php?script=sci_arttext&amp;pid=S1022-51292007000300003</w:t>
        </w:r>
      </w:hyperlink>
      <w:r w:rsidRPr="00FF421E">
        <w:rPr>
          <w:rFonts w:eastAsia="Calibri"/>
          <w:lang w:eastAsia="en-US"/>
        </w:rPr>
        <w:t xml:space="preserve"> </w:t>
      </w:r>
    </w:p>
    <w:p w14:paraId="1A19A301" w14:textId="77777777" w:rsidR="00FF421E" w:rsidRPr="00FF421E" w:rsidRDefault="00FF421E" w:rsidP="00FF421E">
      <w:pPr>
        <w:spacing w:line="360" w:lineRule="auto"/>
        <w:rPr>
          <w:rFonts w:eastAsia="Calibri"/>
          <w:lang w:eastAsia="en-US"/>
        </w:rPr>
      </w:pPr>
      <w:r w:rsidRPr="00FF421E">
        <w:rPr>
          <w:rFonts w:eastAsia="Calibri"/>
          <w:lang w:eastAsia="en-US"/>
        </w:rPr>
        <w:lastRenderedPageBreak/>
        <w:t xml:space="preserve">4. </w:t>
      </w:r>
      <w:proofErr w:type="spellStart"/>
      <w:r w:rsidRPr="00FF421E">
        <w:rPr>
          <w:rFonts w:eastAsia="Calibri"/>
          <w:lang w:eastAsia="en-US"/>
        </w:rPr>
        <w:t>Charatcharoenwitthaya</w:t>
      </w:r>
      <w:proofErr w:type="spellEnd"/>
      <w:r w:rsidRPr="00FF421E">
        <w:rPr>
          <w:rFonts w:eastAsia="Calibri"/>
          <w:lang w:eastAsia="en-US"/>
        </w:rPr>
        <w:t xml:space="preserve"> P, </w:t>
      </w:r>
      <w:proofErr w:type="spellStart"/>
      <w:r w:rsidRPr="00FF421E">
        <w:rPr>
          <w:rFonts w:eastAsia="Calibri"/>
          <w:lang w:eastAsia="en-US"/>
        </w:rPr>
        <w:t>Soonthornworasiri</w:t>
      </w:r>
      <w:proofErr w:type="spellEnd"/>
      <w:r w:rsidRPr="00FF421E">
        <w:rPr>
          <w:rFonts w:eastAsia="Calibri"/>
          <w:lang w:eastAsia="en-US"/>
        </w:rPr>
        <w:t xml:space="preserve"> N, </w:t>
      </w:r>
      <w:proofErr w:type="spellStart"/>
      <w:r w:rsidRPr="00FF421E">
        <w:rPr>
          <w:rFonts w:eastAsia="Calibri"/>
          <w:lang w:eastAsia="en-US"/>
        </w:rPr>
        <w:t>Karaketklang</w:t>
      </w:r>
      <w:proofErr w:type="spellEnd"/>
      <w:r w:rsidRPr="00FF421E">
        <w:rPr>
          <w:rFonts w:eastAsia="Calibri"/>
          <w:lang w:eastAsia="en-US"/>
        </w:rPr>
        <w:t xml:space="preserve"> K, </w:t>
      </w:r>
      <w:proofErr w:type="spellStart"/>
      <w:r w:rsidRPr="00FF421E">
        <w:rPr>
          <w:rFonts w:eastAsia="Calibri"/>
          <w:lang w:eastAsia="en-US"/>
        </w:rPr>
        <w:t>Poovorawan</w:t>
      </w:r>
      <w:proofErr w:type="spellEnd"/>
      <w:r w:rsidRPr="00FF421E">
        <w:rPr>
          <w:rFonts w:eastAsia="Calibri"/>
          <w:lang w:eastAsia="en-US"/>
        </w:rPr>
        <w:t xml:space="preserve"> K, Pan-</w:t>
      </w:r>
      <w:proofErr w:type="spellStart"/>
      <w:r w:rsidRPr="00FF421E">
        <w:rPr>
          <w:rFonts w:eastAsia="Calibri"/>
          <w:lang w:eastAsia="en-US"/>
        </w:rPr>
        <w:t>Ngum</w:t>
      </w:r>
      <w:proofErr w:type="spellEnd"/>
      <w:r w:rsidRPr="00FF421E">
        <w:rPr>
          <w:rFonts w:eastAsia="Calibri"/>
          <w:lang w:eastAsia="en-US"/>
        </w:rPr>
        <w:t xml:space="preserve"> W, </w:t>
      </w:r>
      <w:proofErr w:type="spellStart"/>
      <w:r w:rsidRPr="00FF421E">
        <w:rPr>
          <w:rFonts w:eastAsia="Calibri"/>
          <w:lang w:eastAsia="en-US"/>
        </w:rPr>
        <w:t>Chotiyaputta</w:t>
      </w:r>
      <w:proofErr w:type="spellEnd"/>
      <w:r w:rsidRPr="00FF421E">
        <w:rPr>
          <w:rFonts w:eastAsia="Calibri"/>
          <w:lang w:eastAsia="en-US"/>
        </w:rPr>
        <w:t xml:space="preserve"> W, et al. </w:t>
      </w:r>
      <w:r w:rsidRPr="00FF421E">
        <w:rPr>
          <w:rFonts w:eastAsia="Calibri"/>
          <w:lang w:val="en-US" w:eastAsia="en-US"/>
        </w:rPr>
        <w:t xml:space="preserve">Factors affecting mortality and resource use for hospitalized patients with cirrhosis: A population-based study. </w:t>
      </w:r>
      <w:r w:rsidRPr="002E2F8E">
        <w:rPr>
          <w:rFonts w:eastAsia="Calibri"/>
          <w:lang w:val="en-US" w:eastAsia="en-US"/>
        </w:rPr>
        <w:t>Medicine (Baltimore). 2017 [</w:t>
      </w:r>
      <w:proofErr w:type="spellStart"/>
      <w:r w:rsidRPr="002E2F8E">
        <w:rPr>
          <w:rFonts w:eastAsia="Calibri"/>
          <w:lang w:val="en-US" w:eastAsia="en-US"/>
        </w:rPr>
        <w:t>acceso</w:t>
      </w:r>
      <w:proofErr w:type="spellEnd"/>
      <w:r w:rsidRPr="002E2F8E">
        <w:rPr>
          <w:rFonts w:eastAsia="Calibri"/>
          <w:lang w:val="en-US" w:eastAsia="en-US"/>
        </w:rPr>
        <w:t>: 23/03/2021]; 96(32</w:t>
      </w:r>
      <w:proofErr w:type="gramStart"/>
      <w:r w:rsidRPr="002E2F8E">
        <w:rPr>
          <w:rFonts w:eastAsia="Calibri"/>
          <w:lang w:val="en-US" w:eastAsia="en-US"/>
        </w:rPr>
        <w:t>):e</w:t>
      </w:r>
      <w:proofErr w:type="gramEnd"/>
      <w:r w:rsidRPr="002E2F8E">
        <w:rPr>
          <w:rFonts w:eastAsia="Calibri"/>
          <w:lang w:val="en-US" w:eastAsia="en-US"/>
        </w:rPr>
        <w:t xml:space="preserve">7782. </w:t>
      </w:r>
      <w:r w:rsidRPr="00FF421E">
        <w:rPr>
          <w:rFonts w:eastAsia="Calibri"/>
          <w:lang w:eastAsia="en-US"/>
        </w:rPr>
        <w:t xml:space="preserve">Disponible en: </w:t>
      </w:r>
      <w:hyperlink r:id="rId19" w:history="1">
        <w:r w:rsidRPr="00FF421E">
          <w:rPr>
            <w:rFonts w:eastAsia="Calibri"/>
            <w:u w:val="single"/>
            <w:lang w:eastAsia="en-US"/>
          </w:rPr>
          <w:t>https://pubmed.ncbi.nlm.nih.gov/28796076/</w:t>
        </w:r>
      </w:hyperlink>
      <w:r w:rsidRPr="00FF421E">
        <w:rPr>
          <w:rFonts w:eastAsia="Calibri"/>
          <w:lang w:eastAsia="en-US"/>
        </w:rPr>
        <w:t xml:space="preserve"> </w:t>
      </w:r>
    </w:p>
    <w:p w14:paraId="648F2059" w14:textId="77777777" w:rsidR="00FF421E" w:rsidRPr="00FF421E" w:rsidRDefault="00FF421E" w:rsidP="00FF421E">
      <w:pPr>
        <w:spacing w:line="360" w:lineRule="auto"/>
        <w:rPr>
          <w:rFonts w:eastAsia="Calibri"/>
          <w:lang w:eastAsia="en-US"/>
        </w:rPr>
      </w:pPr>
      <w:r w:rsidRPr="002E2F8E">
        <w:rPr>
          <w:rFonts w:eastAsia="Calibri"/>
          <w:lang w:val="es-CU" w:eastAsia="en-US"/>
        </w:rPr>
        <w:t xml:space="preserve">5. </w:t>
      </w:r>
      <w:proofErr w:type="spellStart"/>
      <w:r w:rsidRPr="002E2F8E">
        <w:rPr>
          <w:rFonts w:eastAsia="Calibri"/>
          <w:lang w:val="es-CU" w:eastAsia="en-US"/>
        </w:rPr>
        <w:t>Levesque</w:t>
      </w:r>
      <w:proofErr w:type="spellEnd"/>
      <w:r w:rsidRPr="002E2F8E">
        <w:rPr>
          <w:rFonts w:eastAsia="Calibri"/>
          <w:lang w:val="es-CU" w:eastAsia="en-US"/>
        </w:rPr>
        <w:t xml:space="preserve"> E, </w:t>
      </w:r>
      <w:proofErr w:type="spellStart"/>
      <w:r w:rsidRPr="002E2F8E">
        <w:rPr>
          <w:rFonts w:eastAsia="Calibri"/>
          <w:lang w:val="es-CU" w:eastAsia="en-US"/>
        </w:rPr>
        <w:t>Hoti</w:t>
      </w:r>
      <w:proofErr w:type="spellEnd"/>
      <w:r w:rsidRPr="002E2F8E">
        <w:rPr>
          <w:rFonts w:eastAsia="Calibri"/>
          <w:lang w:val="es-CU" w:eastAsia="en-US"/>
        </w:rPr>
        <w:t xml:space="preserve"> E, </w:t>
      </w:r>
      <w:proofErr w:type="spellStart"/>
      <w:r w:rsidRPr="002E2F8E">
        <w:rPr>
          <w:rFonts w:eastAsia="Calibri"/>
          <w:lang w:val="es-CU" w:eastAsia="en-US"/>
        </w:rPr>
        <w:t>Azoulay</w:t>
      </w:r>
      <w:proofErr w:type="spellEnd"/>
      <w:r w:rsidRPr="002E2F8E">
        <w:rPr>
          <w:rFonts w:eastAsia="Calibri"/>
          <w:lang w:val="es-CU" w:eastAsia="en-US"/>
        </w:rPr>
        <w:t xml:space="preserve"> D, </w:t>
      </w:r>
      <w:proofErr w:type="spellStart"/>
      <w:r w:rsidRPr="002E2F8E">
        <w:rPr>
          <w:rFonts w:eastAsia="Calibri"/>
          <w:lang w:val="es-CU" w:eastAsia="en-US"/>
        </w:rPr>
        <w:t>Ichaï</w:t>
      </w:r>
      <w:proofErr w:type="spellEnd"/>
      <w:r w:rsidRPr="002E2F8E">
        <w:rPr>
          <w:rFonts w:eastAsia="Calibri"/>
          <w:lang w:val="es-CU" w:eastAsia="en-US"/>
        </w:rPr>
        <w:t xml:space="preserve"> P, </w:t>
      </w:r>
      <w:proofErr w:type="spellStart"/>
      <w:r w:rsidRPr="002E2F8E">
        <w:rPr>
          <w:rFonts w:eastAsia="Calibri"/>
          <w:lang w:val="es-CU" w:eastAsia="en-US"/>
        </w:rPr>
        <w:t>Habouchi</w:t>
      </w:r>
      <w:proofErr w:type="spellEnd"/>
      <w:r w:rsidRPr="002E2F8E">
        <w:rPr>
          <w:rFonts w:eastAsia="Calibri"/>
          <w:lang w:val="es-CU" w:eastAsia="en-US"/>
        </w:rPr>
        <w:t xml:space="preserve"> H, Castaing D, et al. </w:t>
      </w:r>
      <w:r w:rsidRPr="00FF421E">
        <w:rPr>
          <w:rFonts w:eastAsia="Calibri"/>
          <w:lang w:val="en-US" w:eastAsia="en-US"/>
        </w:rPr>
        <w:t xml:space="preserve">Prospective evaluation of the prognostic scores for cirrhotic patients admitted to an intensive care unit. </w:t>
      </w:r>
      <w:r w:rsidRPr="00FF421E">
        <w:rPr>
          <w:rFonts w:eastAsia="Calibri"/>
          <w:lang w:eastAsia="en-US"/>
        </w:rPr>
        <w:t xml:space="preserve">J </w:t>
      </w:r>
      <w:proofErr w:type="spellStart"/>
      <w:r w:rsidRPr="00FF421E">
        <w:rPr>
          <w:rFonts w:eastAsia="Calibri"/>
          <w:lang w:eastAsia="en-US"/>
        </w:rPr>
        <w:t>Hepatol</w:t>
      </w:r>
      <w:proofErr w:type="spellEnd"/>
      <w:r w:rsidRPr="00FF421E">
        <w:rPr>
          <w:rFonts w:eastAsia="Calibri"/>
          <w:lang w:eastAsia="en-US"/>
        </w:rPr>
        <w:t xml:space="preserve">. 2012 [acceso: 23/03/2021]; 56(1):95-102. Disponible en: </w:t>
      </w:r>
      <w:hyperlink r:id="rId20" w:history="1">
        <w:r w:rsidRPr="00FF421E">
          <w:rPr>
            <w:rFonts w:eastAsia="Calibri"/>
            <w:u w:val="single"/>
            <w:lang w:eastAsia="en-US"/>
          </w:rPr>
          <w:t>https://pubmed.ncbi.nlm.nih.gov/21835136/</w:t>
        </w:r>
      </w:hyperlink>
      <w:r w:rsidRPr="00FF421E">
        <w:rPr>
          <w:rFonts w:eastAsia="Calibri"/>
          <w:lang w:eastAsia="en-US"/>
        </w:rPr>
        <w:t xml:space="preserve"> </w:t>
      </w:r>
    </w:p>
    <w:p w14:paraId="61D8DF01" w14:textId="77777777" w:rsidR="00FF421E" w:rsidRPr="00FF421E" w:rsidRDefault="00FF421E" w:rsidP="00FF421E">
      <w:pPr>
        <w:spacing w:line="360" w:lineRule="auto"/>
        <w:rPr>
          <w:rFonts w:eastAsia="Calibri"/>
          <w:lang w:eastAsia="en-US"/>
        </w:rPr>
      </w:pPr>
      <w:r w:rsidRPr="00FF421E">
        <w:rPr>
          <w:rFonts w:eastAsia="Calibri"/>
          <w:lang w:val="en-US" w:eastAsia="en-US"/>
        </w:rPr>
        <w:t xml:space="preserve">6. </w:t>
      </w:r>
      <w:proofErr w:type="spellStart"/>
      <w:r w:rsidRPr="00FF421E">
        <w:rPr>
          <w:rFonts w:eastAsia="Calibri"/>
          <w:lang w:val="en-US" w:eastAsia="en-US"/>
        </w:rPr>
        <w:t>Uslan</w:t>
      </w:r>
      <w:proofErr w:type="spellEnd"/>
      <w:r w:rsidRPr="00FF421E">
        <w:rPr>
          <w:rFonts w:eastAsia="Calibri"/>
          <w:lang w:val="en-US" w:eastAsia="en-US"/>
        </w:rPr>
        <w:t xml:space="preserve"> I, </w:t>
      </w:r>
      <w:proofErr w:type="spellStart"/>
      <w:r w:rsidRPr="00FF421E">
        <w:rPr>
          <w:rFonts w:eastAsia="Calibri"/>
          <w:lang w:val="en-US" w:eastAsia="en-US"/>
        </w:rPr>
        <w:t>Olt</w:t>
      </w:r>
      <w:proofErr w:type="spellEnd"/>
      <w:r w:rsidRPr="00FF421E">
        <w:rPr>
          <w:rFonts w:eastAsia="Calibri"/>
          <w:lang w:val="en-US" w:eastAsia="en-US"/>
        </w:rPr>
        <w:t xml:space="preserve"> S, </w:t>
      </w:r>
      <w:proofErr w:type="spellStart"/>
      <w:r w:rsidRPr="00FF421E">
        <w:rPr>
          <w:rFonts w:eastAsia="Calibri"/>
          <w:lang w:val="en-US" w:eastAsia="en-US"/>
        </w:rPr>
        <w:t>Eminler</w:t>
      </w:r>
      <w:proofErr w:type="spellEnd"/>
      <w:r w:rsidRPr="00FF421E">
        <w:rPr>
          <w:rFonts w:eastAsia="Calibri"/>
          <w:lang w:val="en-US" w:eastAsia="en-US"/>
        </w:rPr>
        <w:t xml:space="preserve"> AT. Which Factors are Predictive for Mortality among Hospitalized Patients with Cirrhosis? </w:t>
      </w:r>
      <w:proofErr w:type="spellStart"/>
      <w:r w:rsidRPr="00FF421E">
        <w:rPr>
          <w:rFonts w:eastAsia="Calibri"/>
          <w:lang w:eastAsia="en-US"/>
        </w:rPr>
        <w:t>Hepatogastroenterology</w:t>
      </w:r>
      <w:proofErr w:type="spellEnd"/>
      <w:r w:rsidRPr="00FF421E">
        <w:rPr>
          <w:rFonts w:eastAsia="Calibri"/>
          <w:lang w:eastAsia="en-US"/>
        </w:rPr>
        <w:t xml:space="preserve">. 2015 [acceso: 23/03/2021]; 62(140):1023-6. Disponible en: </w:t>
      </w:r>
      <w:hyperlink r:id="rId21" w:history="1">
        <w:r w:rsidRPr="00FF421E">
          <w:rPr>
            <w:rFonts w:eastAsia="Calibri"/>
            <w:u w:val="single"/>
            <w:lang w:eastAsia="en-US"/>
          </w:rPr>
          <w:t>https://pubmed.ncbi.nlm.nih.gov/26902049/</w:t>
        </w:r>
      </w:hyperlink>
      <w:r w:rsidRPr="00FF421E">
        <w:rPr>
          <w:rFonts w:eastAsia="Calibri"/>
          <w:lang w:eastAsia="en-US"/>
        </w:rPr>
        <w:t xml:space="preserve"> </w:t>
      </w:r>
    </w:p>
    <w:p w14:paraId="57F0200C" w14:textId="77777777" w:rsidR="00FF421E" w:rsidRPr="00FF421E" w:rsidRDefault="00FF421E" w:rsidP="00FF421E">
      <w:pPr>
        <w:spacing w:line="360" w:lineRule="auto"/>
        <w:rPr>
          <w:rFonts w:eastAsia="Calibri"/>
          <w:lang w:eastAsia="en-US"/>
        </w:rPr>
      </w:pPr>
      <w:r w:rsidRPr="00FF421E">
        <w:rPr>
          <w:rFonts w:eastAsia="Calibri"/>
          <w:lang w:val="en-US" w:eastAsia="en-US"/>
        </w:rPr>
        <w:t xml:space="preserve">7. Di Martino V, Weil D, </w:t>
      </w:r>
      <w:proofErr w:type="spellStart"/>
      <w:r w:rsidRPr="00FF421E">
        <w:rPr>
          <w:rFonts w:eastAsia="Calibri"/>
          <w:lang w:val="en-US" w:eastAsia="en-US"/>
        </w:rPr>
        <w:t>Cervoni</w:t>
      </w:r>
      <w:proofErr w:type="spellEnd"/>
      <w:r w:rsidRPr="00FF421E">
        <w:rPr>
          <w:rFonts w:eastAsia="Calibri"/>
          <w:lang w:val="en-US" w:eastAsia="en-US"/>
        </w:rPr>
        <w:t xml:space="preserve"> J-P, </w:t>
      </w:r>
      <w:proofErr w:type="spellStart"/>
      <w:r w:rsidRPr="00FF421E">
        <w:rPr>
          <w:rFonts w:eastAsia="Calibri"/>
          <w:lang w:val="en-US" w:eastAsia="en-US"/>
        </w:rPr>
        <w:t>Thevenot</w:t>
      </w:r>
      <w:proofErr w:type="spellEnd"/>
      <w:r w:rsidRPr="00FF421E">
        <w:rPr>
          <w:rFonts w:eastAsia="Calibri"/>
          <w:lang w:val="en-US" w:eastAsia="en-US"/>
        </w:rPr>
        <w:t xml:space="preserve"> T. New prognostic markers in liver cirrhosis. </w:t>
      </w:r>
      <w:proofErr w:type="spellStart"/>
      <w:r w:rsidRPr="00FF421E">
        <w:rPr>
          <w:rFonts w:eastAsia="Calibri"/>
          <w:lang w:eastAsia="en-US"/>
        </w:rPr>
        <w:t>World</w:t>
      </w:r>
      <w:proofErr w:type="spellEnd"/>
      <w:r w:rsidRPr="00FF421E">
        <w:rPr>
          <w:rFonts w:eastAsia="Calibri"/>
          <w:lang w:eastAsia="en-US"/>
        </w:rPr>
        <w:t xml:space="preserve"> J </w:t>
      </w:r>
      <w:proofErr w:type="spellStart"/>
      <w:r w:rsidRPr="00FF421E">
        <w:rPr>
          <w:rFonts w:eastAsia="Calibri"/>
          <w:lang w:eastAsia="en-US"/>
        </w:rPr>
        <w:t>Hepatol</w:t>
      </w:r>
      <w:proofErr w:type="spellEnd"/>
      <w:r w:rsidRPr="00FF421E">
        <w:rPr>
          <w:rFonts w:eastAsia="Calibri"/>
          <w:lang w:eastAsia="en-US"/>
        </w:rPr>
        <w:t xml:space="preserve">. 2015 [acceso: 23/03/2021]; 7(9):1244-50. Disponible en: </w:t>
      </w:r>
      <w:hyperlink r:id="rId22" w:history="1">
        <w:r w:rsidRPr="00FF421E">
          <w:rPr>
            <w:rFonts w:eastAsia="Calibri"/>
            <w:u w:val="single"/>
            <w:lang w:eastAsia="en-US"/>
          </w:rPr>
          <w:t>https://pubmed.ncbi.nlm.nih.gov/26019739/</w:t>
        </w:r>
      </w:hyperlink>
      <w:r w:rsidRPr="00FF421E">
        <w:rPr>
          <w:rFonts w:eastAsia="Calibri"/>
          <w:lang w:eastAsia="en-US"/>
        </w:rPr>
        <w:t xml:space="preserve"> </w:t>
      </w:r>
    </w:p>
    <w:p w14:paraId="320A61C6" w14:textId="77777777" w:rsidR="00FF421E" w:rsidRPr="00FF421E" w:rsidRDefault="00FF421E" w:rsidP="00FF421E">
      <w:pPr>
        <w:spacing w:line="360" w:lineRule="auto"/>
        <w:rPr>
          <w:rFonts w:eastAsia="Calibri"/>
          <w:lang w:eastAsia="en-US"/>
        </w:rPr>
      </w:pPr>
      <w:r w:rsidRPr="00FF421E">
        <w:rPr>
          <w:rFonts w:eastAsia="Calibri"/>
          <w:lang w:eastAsia="en-US"/>
        </w:rPr>
        <w:t xml:space="preserve">8. </w:t>
      </w:r>
      <w:proofErr w:type="spellStart"/>
      <w:r w:rsidRPr="00FF421E">
        <w:rPr>
          <w:rFonts w:eastAsia="Calibri"/>
          <w:lang w:eastAsia="en-US"/>
        </w:rPr>
        <w:t>Qamar</w:t>
      </w:r>
      <w:proofErr w:type="spellEnd"/>
      <w:r w:rsidRPr="00FF421E">
        <w:rPr>
          <w:rFonts w:eastAsia="Calibri"/>
          <w:lang w:eastAsia="en-US"/>
        </w:rPr>
        <w:t xml:space="preserve"> AA, Grace ND, </w:t>
      </w:r>
      <w:proofErr w:type="spellStart"/>
      <w:r w:rsidRPr="00FF421E">
        <w:rPr>
          <w:rFonts w:eastAsia="Calibri"/>
          <w:lang w:eastAsia="en-US"/>
        </w:rPr>
        <w:t>Groszmann</w:t>
      </w:r>
      <w:proofErr w:type="spellEnd"/>
      <w:r w:rsidRPr="00FF421E">
        <w:rPr>
          <w:rFonts w:eastAsia="Calibri"/>
          <w:lang w:eastAsia="en-US"/>
        </w:rPr>
        <w:t xml:space="preserve"> RJ, </w:t>
      </w:r>
      <w:proofErr w:type="spellStart"/>
      <w:r w:rsidRPr="00FF421E">
        <w:rPr>
          <w:rFonts w:eastAsia="Calibri"/>
          <w:lang w:eastAsia="en-US"/>
        </w:rPr>
        <w:t>Garcia-Tsao</w:t>
      </w:r>
      <w:proofErr w:type="spellEnd"/>
      <w:r w:rsidRPr="00FF421E">
        <w:rPr>
          <w:rFonts w:eastAsia="Calibri"/>
          <w:lang w:eastAsia="en-US"/>
        </w:rPr>
        <w:t xml:space="preserve"> G, Bosch J, Burroughs AK, et al. </w:t>
      </w:r>
      <w:r w:rsidRPr="00FF421E">
        <w:rPr>
          <w:rFonts w:eastAsia="Calibri"/>
          <w:lang w:val="en-US" w:eastAsia="en-US"/>
        </w:rPr>
        <w:t xml:space="preserve">Incidence, prevalence, and clinical significance of abnormal hematologic indices in compensated cirrhosis. </w:t>
      </w:r>
      <w:r w:rsidRPr="002E2F8E">
        <w:rPr>
          <w:rFonts w:eastAsia="Calibri"/>
          <w:lang w:val="es-CU" w:eastAsia="en-US"/>
        </w:rPr>
        <w:t xml:space="preserve">Clin </w:t>
      </w:r>
      <w:proofErr w:type="spellStart"/>
      <w:r w:rsidRPr="002E2F8E">
        <w:rPr>
          <w:rFonts w:eastAsia="Calibri"/>
          <w:lang w:val="es-CU" w:eastAsia="en-US"/>
        </w:rPr>
        <w:t>Gastroenterol</w:t>
      </w:r>
      <w:proofErr w:type="spellEnd"/>
      <w:r w:rsidRPr="002E2F8E">
        <w:rPr>
          <w:rFonts w:eastAsia="Calibri"/>
          <w:lang w:val="es-CU" w:eastAsia="en-US"/>
        </w:rPr>
        <w:t xml:space="preserve"> </w:t>
      </w:r>
      <w:proofErr w:type="spellStart"/>
      <w:r w:rsidRPr="002E2F8E">
        <w:rPr>
          <w:rFonts w:eastAsia="Calibri"/>
          <w:lang w:val="es-CU" w:eastAsia="en-US"/>
        </w:rPr>
        <w:t>Hepatol</w:t>
      </w:r>
      <w:proofErr w:type="spellEnd"/>
      <w:r w:rsidRPr="002E2F8E">
        <w:rPr>
          <w:rFonts w:eastAsia="Calibri"/>
          <w:lang w:val="es-CU" w:eastAsia="en-US"/>
        </w:rPr>
        <w:t xml:space="preserve">. </w:t>
      </w:r>
      <w:r w:rsidRPr="00FF421E">
        <w:rPr>
          <w:rFonts w:eastAsia="Calibri"/>
          <w:lang w:eastAsia="en-US"/>
        </w:rPr>
        <w:t xml:space="preserve">2009 [acceso: 23/03/2021]; 7(6):689-95. Disponible en: </w:t>
      </w:r>
      <w:hyperlink r:id="rId23" w:history="1">
        <w:r w:rsidRPr="00FF421E">
          <w:rPr>
            <w:rFonts w:eastAsia="Calibri"/>
            <w:u w:val="single"/>
            <w:lang w:eastAsia="en-US"/>
          </w:rPr>
          <w:t>https://pubmed.ncbi.nlm.nih.gov/19281860/</w:t>
        </w:r>
      </w:hyperlink>
      <w:r w:rsidRPr="00FF421E">
        <w:rPr>
          <w:rFonts w:eastAsia="Calibri"/>
          <w:lang w:eastAsia="en-US"/>
        </w:rPr>
        <w:t xml:space="preserve"> </w:t>
      </w:r>
    </w:p>
    <w:p w14:paraId="5355B49B" w14:textId="77777777" w:rsidR="00FF421E" w:rsidRPr="00FF421E" w:rsidRDefault="00FF421E" w:rsidP="00FF421E">
      <w:pPr>
        <w:spacing w:line="360" w:lineRule="auto"/>
        <w:rPr>
          <w:rFonts w:eastAsia="Calibri"/>
          <w:lang w:eastAsia="en-US"/>
        </w:rPr>
      </w:pPr>
      <w:r w:rsidRPr="00FF421E">
        <w:rPr>
          <w:rFonts w:eastAsia="Calibri"/>
          <w:lang w:eastAsia="en-US"/>
        </w:rPr>
        <w:t xml:space="preserve">9. </w:t>
      </w:r>
      <w:proofErr w:type="spellStart"/>
      <w:r w:rsidRPr="00FF421E">
        <w:rPr>
          <w:rFonts w:eastAsia="Calibri"/>
          <w:lang w:eastAsia="en-US"/>
        </w:rPr>
        <w:t>Melcarne</w:t>
      </w:r>
      <w:proofErr w:type="spellEnd"/>
      <w:r w:rsidRPr="00FF421E">
        <w:rPr>
          <w:rFonts w:eastAsia="Calibri"/>
          <w:lang w:eastAsia="en-US"/>
        </w:rPr>
        <w:t xml:space="preserve"> L, Sopeña J, Martínez-Cerezo F-J, Vergara M, Miquel M, Sánchez-Delgado J, et al. Factores pronósticos de mortalidad en la cirrosis hepática tras un primer episodio de peritonitis bacteriana espontánea. Estudio multicéntrico. </w:t>
      </w:r>
      <w:proofErr w:type="spellStart"/>
      <w:r w:rsidRPr="00FF421E">
        <w:rPr>
          <w:rFonts w:eastAsia="Calibri"/>
          <w:lang w:eastAsia="en-US"/>
        </w:rPr>
        <w:t>Rev</w:t>
      </w:r>
      <w:proofErr w:type="spellEnd"/>
      <w:r w:rsidRPr="00FF421E">
        <w:rPr>
          <w:rFonts w:eastAsia="Calibri"/>
          <w:lang w:eastAsia="en-US"/>
        </w:rPr>
        <w:t xml:space="preserve"> </w:t>
      </w:r>
      <w:proofErr w:type="spellStart"/>
      <w:r w:rsidRPr="00FF421E">
        <w:rPr>
          <w:rFonts w:eastAsia="Calibri"/>
          <w:lang w:eastAsia="en-US"/>
        </w:rPr>
        <w:t>Esp</w:t>
      </w:r>
      <w:proofErr w:type="spellEnd"/>
      <w:r w:rsidRPr="00FF421E">
        <w:rPr>
          <w:rFonts w:eastAsia="Calibri"/>
          <w:lang w:eastAsia="en-US"/>
        </w:rPr>
        <w:t xml:space="preserve"> </w:t>
      </w:r>
      <w:proofErr w:type="spellStart"/>
      <w:r w:rsidRPr="00FF421E">
        <w:rPr>
          <w:rFonts w:eastAsia="Calibri"/>
          <w:lang w:eastAsia="en-US"/>
        </w:rPr>
        <w:t>Enferm</w:t>
      </w:r>
      <w:proofErr w:type="spellEnd"/>
      <w:r w:rsidRPr="00FF421E">
        <w:rPr>
          <w:rFonts w:eastAsia="Calibri"/>
          <w:lang w:eastAsia="en-US"/>
        </w:rPr>
        <w:t xml:space="preserve"> </w:t>
      </w:r>
      <w:proofErr w:type="spellStart"/>
      <w:r w:rsidRPr="00FF421E">
        <w:rPr>
          <w:rFonts w:eastAsia="Calibri"/>
          <w:lang w:eastAsia="en-US"/>
        </w:rPr>
        <w:t>Dig</w:t>
      </w:r>
      <w:proofErr w:type="spellEnd"/>
      <w:r w:rsidRPr="00FF421E">
        <w:rPr>
          <w:rFonts w:eastAsia="Calibri"/>
          <w:lang w:eastAsia="en-US"/>
        </w:rPr>
        <w:t xml:space="preserve">. 2018 [acceso: 23/03/2021]; 110(2):94-101. Disponible en: </w:t>
      </w:r>
      <w:hyperlink r:id="rId24" w:history="1">
        <w:r w:rsidRPr="00FF421E">
          <w:rPr>
            <w:rFonts w:eastAsia="Calibri"/>
            <w:u w:val="single"/>
            <w:lang w:eastAsia="en-US"/>
          </w:rPr>
          <w:t>http://scielo.isciii.es/scielo.php?script=sci_arttext&amp;pid=S1130-01082018000200005</w:t>
        </w:r>
      </w:hyperlink>
      <w:r w:rsidRPr="00FF421E">
        <w:rPr>
          <w:rFonts w:eastAsia="Calibri"/>
          <w:lang w:eastAsia="en-US"/>
        </w:rPr>
        <w:t xml:space="preserve"> </w:t>
      </w:r>
    </w:p>
    <w:p w14:paraId="19FE89AF" w14:textId="77777777" w:rsidR="00FF421E" w:rsidRPr="00FF421E" w:rsidRDefault="00FF421E" w:rsidP="00FF421E">
      <w:pPr>
        <w:spacing w:line="360" w:lineRule="auto"/>
        <w:rPr>
          <w:rFonts w:eastAsia="Calibri"/>
          <w:lang w:eastAsia="en-US"/>
        </w:rPr>
      </w:pPr>
      <w:r w:rsidRPr="00FF421E">
        <w:rPr>
          <w:rFonts w:eastAsia="Calibri"/>
          <w:lang w:eastAsia="en-US"/>
        </w:rPr>
        <w:t xml:space="preserve">10. </w:t>
      </w:r>
      <w:proofErr w:type="spellStart"/>
      <w:r w:rsidRPr="00FF421E">
        <w:rPr>
          <w:rFonts w:eastAsia="Calibri"/>
          <w:lang w:eastAsia="en-US"/>
        </w:rPr>
        <w:t>Ximenes</w:t>
      </w:r>
      <w:proofErr w:type="spellEnd"/>
      <w:r w:rsidRPr="00FF421E">
        <w:rPr>
          <w:rFonts w:eastAsia="Calibri"/>
          <w:lang w:eastAsia="en-US"/>
        </w:rPr>
        <w:t xml:space="preserve"> RO, Farias AQ, Scalabrini Neto A, Diniz MA, Kubota GT, Ivo MMA-A, et al. </w:t>
      </w:r>
      <w:r w:rsidRPr="00FF421E">
        <w:rPr>
          <w:rFonts w:eastAsia="Calibri"/>
          <w:lang w:val="en-US" w:eastAsia="en-US"/>
        </w:rPr>
        <w:t xml:space="preserve">Patients with cirrhosis in the ED: early predictors of infection and mortality. </w:t>
      </w:r>
      <w:r w:rsidRPr="00FF421E">
        <w:rPr>
          <w:rFonts w:eastAsia="Calibri"/>
          <w:lang w:eastAsia="en-US"/>
        </w:rPr>
        <w:t xml:space="preserve">Am J </w:t>
      </w:r>
      <w:proofErr w:type="spellStart"/>
      <w:r w:rsidRPr="00FF421E">
        <w:rPr>
          <w:rFonts w:eastAsia="Calibri"/>
          <w:lang w:eastAsia="en-US"/>
        </w:rPr>
        <w:t>Emerg</w:t>
      </w:r>
      <w:proofErr w:type="spellEnd"/>
      <w:r w:rsidRPr="00FF421E">
        <w:rPr>
          <w:rFonts w:eastAsia="Calibri"/>
          <w:lang w:eastAsia="en-US"/>
        </w:rPr>
        <w:t xml:space="preserve"> </w:t>
      </w:r>
      <w:proofErr w:type="spellStart"/>
      <w:r w:rsidRPr="00FF421E">
        <w:rPr>
          <w:rFonts w:eastAsia="Calibri"/>
          <w:lang w:eastAsia="en-US"/>
        </w:rPr>
        <w:t>Med</w:t>
      </w:r>
      <w:proofErr w:type="spellEnd"/>
      <w:r w:rsidRPr="00FF421E">
        <w:rPr>
          <w:rFonts w:eastAsia="Calibri"/>
          <w:lang w:eastAsia="en-US"/>
        </w:rPr>
        <w:t xml:space="preserve">. 2016 [acceso: 23/03/2021]; 34(1):25-9. Disponible en: </w:t>
      </w:r>
      <w:hyperlink r:id="rId25" w:history="1">
        <w:r w:rsidRPr="00FF421E">
          <w:rPr>
            <w:rFonts w:eastAsia="Calibri"/>
            <w:u w:val="single"/>
            <w:lang w:eastAsia="en-US"/>
          </w:rPr>
          <w:t>https://pubmed.ncbi.nlm.nih.gov/26423777/</w:t>
        </w:r>
      </w:hyperlink>
      <w:r w:rsidRPr="00FF421E">
        <w:rPr>
          <w:rFonts w:eastAsia="Calibri"/>
          <w:lang w:eastAsia="en-US"/>
        </w:rPr>
        <w:t xml:space="preserve"> </w:t>
      </w:r>
    </w:p>
    <w:p w14:paraId="54F4BD37" w14:textId="77777777" w:rsidR="00FF421E" w:rsidRPr="00FF421E" w:rsidRDefault="00FF421E" w:rsidP="00FF421E">
      <w:pPr>
        <w:spacing w:line="360" w:lineRule="auto"/>
        <w:rPr>
          <w:rFonts w:eastAsia="Calibri"/>
          <w:lang w:eastAsia="en-US"/>
        </w:rPr>
      </w:pPr>
      <w:r w:rsidRPr="00FF421E">
        <w:rPr>
          <w:rFonts w:eastAsia="Calibri"/>
          <w:lang w:eastAsia="en-US"/>
        </w:rPr>
        <w:t xml:space="preserve">11. </w:t>
      </w:r>
      <w:proofErr w:type="spellStart"/>
      <w:r w:rsidRPr="00FF421E">
        <w:rPr>
          <w:rFonts w:eastAsia="Calibri"/>
          <w:lang w:eastAsia="en-US"/>
        </w:rPr>
        <w:t>Gessolo</w:t>
      </w:r>
      <w:proofErr w:type="spellEnd"/>
      <w:r w:rsidRPr="00FF421E">
        <w:rPr>
          <w:rFonts w:eastAsia="Calibri"/>
          <w:lang w:eastAsia="en-US"/>
        </w:rPr>
        <w:t xml:space="preserve"> Lins PR, Carvalho </w:t>
      </w:r>
      <w:proofErr w:type="spellStart"/>
      <w:r w:rsidRPr="00FF421E">
        <w:rPr>
          <w:rFonts w:eastAsia="Calibri"/>
          <w:lang w:eastAsia="en-US"/>
        </w:rPr>
        <w:t>Padilha</w:t>
      </w:r>
      <w:proofErr w:type="spellEnd"/>
      <w:r w:rsidRPr="00FF421E">
        <w:rPr>
          <w:rFonts w:eastAsia="Calibri"/>
          <w:lang w:eastAsia="en-US"/>
        </w:rPr>
        <w:t xml:space="preserve"> WS, </w:t>
      </w:r>
      <w:proofErr w:type="spellStart"/>
      <w:r w:rsidRPr="00FF421E">
        <w:rPr>
          <w:rFonts w:eastAsia="Calibri"/>
          <w:lang w:eastAsia="en-US"/>
        </w:rPr>
        <w:t>Magalhaes</w:t>
      </w:r>
      <w:proofErr w:type="spellEnd"/>
      <w:r w:rsidRPr="00FF421E">
        <w:rPr>
          <w:rFonts w:eastAsia="Calibri"/>
          <w:lang w:eastAsia="en-US"/>
        </w:rPr>
        <w:t xml:space="preserve"> </w:t>
      </w:r>
      <w:proofErr w:type="spellStart"/>
      <w:r w:rsidRPr="00FF421E">
        <w:rPr>
          <w:rFonts w:eastAsia="Calibri"/>
          <w:lang w:eastAsia="en-US"/>
        </w:rPr>
        <w:t>Giradin</w:t>
      </w:r>
      <w:proofErr w:type="spellEnd"/>
      <w:r w:rsidRPr="00FF421E">
        <w:rPr>
          <w:rFonts w:eastAsia="Calibri"/>
          <w:lang w:eastAsia="en-US"/>
        </w:rPr>
        <w:t xml:space="preserve"> Pimentel CF, Costa Batista M, Teixeira de </w:t>
      </w:r>
      <w:proofErr w:type="spellStart"/>
      <w:r w:rsidRPr="00FF421E">
        <w:rPr>
          <w:rFonts w:eastAsia="Calibri"/>
          <w:lang w:eastAsia="en-US"/>
        </w:rPr>
        <w:t>Gois</w:t>
      </w:r>
      <w:proofErr w:type="spellEnd"/>
      <w:r w:rsidRPr="00FF421E">
        <w:rPr>
          <w:rFonts w:eastAsia="Calibri"/>
          <w:lang w:eastAsia="en-US"/>
        </w:rPr>
        <w:t xml:space="preserve"> AF. </w:t>
      </w:r>
      <w:r w:rsidRPr="00FF421E">
        <w:rPr>
          <w:rFonts w:eastAsia="Calibri"/>
          <w:lang w:val="en-US" w:eastAsia="en-US"/>
        </w:rPr>
        <w:t xml:space="preserve">Risk factors, mortality and acute kidney injury outcomes in cirrhotic patients in the emergency department. </w:t>
      </w:r>
      <w:r w:rsidRPr="00FF421E">
        <w:rPr>
          <w:rFonts w:eastAsia="Calibri"/>
          <w:lang w:eastAsia="en-US"/>
        </w:rPr>
        <w:t xml:space="preserve">BMC </w:t>
      </w:r>
      <w:proofErr w:type="spellStart"/>
      <w:r w:rsidRPr="00FF421E">
        <w:rPr>
          <w:rFonts w:eastAsia="Calibri"/>
          <w:lang w:eastAsia="en-US"/>
        </w:rPr>
        <w:t>Nephrol</w:t>
      </w:r>
      <w:proofErr w:type="spellEnd"/>
      <w:r w:rsidRPr="00FF421E">
        <w:rPr>
          <w:rFonts w:eastAsia="Calibri"/>
          <w:lang w:eastAsia="en-US"/>
        </w:rPr>
        <w:t xml:space="preserve">. 2018 [acceso: 23/03/2021]; 19(1):277. Disponible en: </w:t>
      </w:r>
      <w:hyperlink r:id="rId26" w:history="1">
        <w:r w:rsidRPr="00FF421E">
          <w:rPr>
            <w:rFonts w:eastAsia="Calibri"/>
            <w:u w:val="single"/>
            <w:lang w:eastAsia="en-US"/>
          </w:rPr>
          <w:t>https://bmcnephrol.biomedcentral.com/articles/10.1186/s12882-018-1061-8</w:t>
        </w:r>
      </w:hyperlink>
      <w:r w:rsidRPr="00FF421E">
        <w:rPr>
          <w:rFonts w:eastAsia="Calibri"/>
          <w:lang w:eastAsia="en-US"/>
        </w:rPr>
        <w:t xml:space="preserve"> </w:t>
      </w:r>
    </w:p>
    <w:p w14:paraId="4C0BBB20" w14:textId="77777777" w:rsidR="00FF421E" w:rsidRPr="00FF421E" w:rsidRDefault="00FF421E" w:rsidP="00FF421E">
      <w:pPr>
        <w:spacing w:line="360" w:lineRule="auto"/>
        <w:rPr>
          <w:rFonts w:eastAsia="Calibri"/>
          <w:lang w:val="en-US" w:eastAsia="en-US"/>
        </w:rPr>
      </w:pPr>
      <w:r w:rsidRPr="00FF421E">
        <w:rPr>
          <w:rFonts w:eastAsia="Calibri"/>
          <w:lang w:val="en-US" w:eastAsia="en-US"/>
        </w:rPr>
        <w:lastRenderedPageBreak/>
        <w:t xml:space="preserve">12. </w:t>
      </w:r>
      <w:proofErr w:type="spellStart"/>
      <w:r w:rsidRPr="00FF421E">
        <w:rPr>
          <w:rFonts w:eastAsia="Calibri"/>
          <w:lang w:val="en-US" w:eastAsia="en-US"/>
        </w:rPr>
        <w:t>Nuthalapati</w:t>
      </w:r>
      <w:proofErr w:type="spellEnd"/>
      <w:r w:rsidRPr="00FF421E">
        <w:rPr>
          <w:rFonts w:eastAsia="Calibri"/>
          <w:lang w:val="en-US" w:eastAsia="en-US"/>
        </w:rPr>
        <w:t xml:space="preserve"> A, </w:t>
      </w:r>
      <w:proofErr w:type="spellStart"/>
      <w:r w:rsidRPr="00FF421E">
        <w:rPr>
          <w:rFonts w:eastAsia="Calibri"/>
          <w:lang w:val="en-US" w:eastAsia="en-US"/>
        </w:rPr>
        <w:t>Schluterman</w:t>
      </w:r>
      <w:proofErr w:type="spellEnd"/>
      <w:r w:rsidRPr="00FF421E">
        <w:rPr>
          <w:rFonts w:eastAsia="Calibri"/>
          <w:lang w:val="en-US" w:eastAsia="en-US"/>
        </w:rPr>
        <w:t xml:space="preserve"> N, Khanna A, Greenberg D, </w:t>
      </w:r>
      <w:proofErr w:type="spellStart"/>
      <w:r w:rsidRPr="00FF421E">
        <w:rPr>
          <w:rFonts w:eastAsia="Calibri"/>
          <w:lang w:val="en-US" w:eastAsia="en-US"/>
        </w:rPr>
        <w:t>Thuluvath</w:t>
      </w:r>
      <w:proofErr w:type="spellEnd"/>
      <w:r w:rsidRPr="00FF421E">
        <w:rPr>
          <w:rFonts w:eastAsia="Calibri"/>
          <w:lang w:val="en-US" w:eastAsia="en-US"/>
        </w:rPr>
        <w:t xml:space="preserve"> PJ. Impact of Acute Kidney Injury on Mortality of Patients Hospitalized for Complications of Cirrhosis. Journal of Clinical and Experimental Hepatology. 2017 [</w:t>
      </w:r>
      <w:proofErr w:type="spellStart"/>
      <w:r w:rsidRPr="00FF421E">
        <w:rPr>
          <w:rFonts w:eastAsia="Calibri"/>
          <w:lang w:val="en-US" w:eastAsia="en-US"/>
        </w:rPr>
        <w:t>acceso</w:t>
      </w:r>
      <w:proofErr w:type="spellEnd"/>
      <w:r w:rsidRPr="00FF421E">
        <w:rPr>
          <w:rFonts w:eastAsia="Calibri"/>
          <w:lang w:val="en-US" w:eastAsia="en-US"/>
        </w:rPr>
        <w:t xml:space="preserve">: 23/03/2021]; 7(4):290-9. Disponible </w:t>
      </w:r>
      <w:proofErr w:type="spellStart"/>
      <w:r w:rsidRPr="00FF421E">
        <w:rPr>
          <w:rFonts w:eastAsia="Calibri"/>
          <w:lang w:val="en-US" w:eastAsia="en-US"/>
        </w:rPr>
        <w:t>en</w:t>
      </w:r>
      <w:proofErr w:type="spellEnd"/>
      <w:r w:rsidRPr="00FF421E">
        <w:rPr>
          <w:rFonts w:eastAsia="Calibri"/>
          <w:lang w:val="en-US" w:eastAsia="en-US"/>
        </w:rPr>
        <w:t xml:space="preserve">: </w:t>
      </w:r>
      <w:hyperlink r:id="rId27" w:history="1">
        <w:r w:rsidRPr="00FF421E">
          <w:rPr>
            <w:rFonts w:eastAsia="Calibri"/>
            <w:u w:val="single"/>
            <w:lang w:val="en-US" w:eastAsia="en-US"/>
          </w:rPr>
          <w:t>https://pubmed.ncbi.nlm.nih.gov/29234192/</w:t>
        </w:r>
      </w:hyperlink>
      <w:r w:rsidRPr="00FF421E">
        <w:rPr>
          <w:rFonts w:eastAsia="Calibri"/>
          <w:lang w:val="en-US" w:eastAsia="en-US"/>
        </w:rPr>
        <w:t xml:space="preserve"> </w:t>
      </w:r>
    </w:p>
    <w:p w14:paraId="791693C9" w14:textId="77777777" w:rsidR="00FF421E" w:rsidRPr="00FF421E" w:rsidRDefault="00FF421E" w:rsidP="00FF421E">
      <w:pPr>
        <w:spacing w:line="360" w:lineRule="auto"/>
        <w:rPr>
          <w:rFonts w:eastAsia="Calibri"/>
          <w:lang w:val="en-US" w:eastAsia="en-US"/>
        </w:rPr>
      </w:pPr>
      <w:r w:rsidRPr="00FF421E">
        <w:rPr>
          <w:rFonts w:eastAsia="Calibri"/>
          <w:lang w:val="en-US" w:eastAsia="en-US"/>
        </w:rPr>
        <w:t xml:space="preserve">13. </w:t>
      </w:r>
      <w:proofErr w:type="spellStart"/>
      <w:r w:rsidRPr="00FF421E">
        <w:rPr>
          <w:rFonts w:eastAsia="Calibri"/>
          <w:lang w:val="en-US" w:eastAsia="en-US"/>
        </w:rPr>
        <w:t>Fayad</w:t>
      </w:r>
      <w:proofErr w:type="spellEnd"/>
      <w:r w:rsidRPr="00FF421E">
        <w:rPr>
          <w:rFonts w:eastAsia="Calibri"/>
          <w:lang w:val="en-US" w:eastAsia="en-US"/>
        </w:rPr>
        <w:t xml:space="preserve"> L, Narciso-Schiavon JL, </w:t>
      </w:r>
      <w:proofErr w:type="spellStart"/>
      <w:r w:rsidRPr="00FF421E">
        <w:rPr>
          <w:rFonts w:eastAsia="Calibri"/>
          <w:lang w:val="en-US" w:eastAsia="en-US"/>
        </w:rPr>
        <w:t>Lazzarotto</w:t>
      </w:r>
      <w:proofErr w:type="spellEnd"/>
      <w:r w:rsidRPr="00FF421E">
        <w:rPr>
          <w:rFonts w:eastAsia="Calibri"/>
          <w:lang w:val="en-US" w:eastAsia="en-US"/>
        </w:rPr>
        <w:t xml:space="preserve"> C, </w:t>
      </w:r>
      <w:proofErr w:type="spellStart"/>
      <w:r w:rsidRPr="00FF421E">
        <w:rPr>
          <w:rFonts w:eastAsia="Calibri"/>
          <w:lang w:val="en-US" w:eastAsia="en-US"/>
        </w:rPr>
        <w:t>Ronsoni</w:t>
      </w:r>
      <w:proofErr w:type="spellEnd"/>
      <w:r w:rsidRPr="00FF421E">
        <w:rPr>
          <w:rFonts w:eastAsia="Calibri"/>
          <w:lang w:val="en-US" w:eastAsia="en-US"/>
        </w:rPr>
        <w:t xml:space="preserve"> MF, </w:t>
      </w:r>
      <w:proofErr w:type="spellStart"/>
      <w:r w:rsidRPr="00FF421E">
        <w:rPr>
          <w:rFonts w:eastAsia="Calibri"/>
          <w:lang w:val="en-US" w:eastAsia="en-US"/>
        </w:rPr>
        <w:t>Wildner</w:t>
      </w:r>
      <w:proofErr w:type="spellEnd"/>
      <w:r w:rsidRPr="00FF421E">
        <w:rPr>
          <w:rFonts w:eastAsia="Calibri"/>
          <w:lang w:val="en-US" w:eastAsia="en-US"/>
        </w:rPr>
        <w:t xml:space="preserve"> LM, </w:t>
      </w:r>
      <w:proofErr w:type="spellStart"/>
      <w:r w:rsidRPr="00FF421E">
        <w:rPr>
          <w:rFonts w:eastAsia="Calibri"/>
          <w:lang w:val="en-US" w:eastAsia="en-US"/>
        </w:rPr>
        <w:t>Bazzo</w:t>
      </w:r>
      <w:proofErr w:type="spellEnd"/>
      <w:r w:rsidRPr="00FF421E">
        <w:rPr>
          <w:rFonts w:eastAsia="Calibri"/>
          <w:lang w:val="en-US" w:eastAsia="en-US"/>
        </w:rPr>
        <w:t xml:space="preserve"> ML, et al. The performance of prognostic models as predictors of mortality in patients with acute decompensation of cirrhosis. Annals of Hepatology. 2015 [</w:t>
      </w:r>
      <w:proofErr w:type="spellStart"/>
      <w:r w:rsidRPr="00FF421E">
        <w:rPr>
          <w:rFonts w:eastAsia="Calibri"/>
          <w:lang w:val="en-US" w:eastAsia="en-US"/>
        </w:rPr>
        <w:t>acceso</w:t>
      </w:r>
      <w:proofErr w:type="spellEnd"/>
      <w:r w:rsidRPr="00FF421E">
        <w:rPr>
          <w:rFonts w:eastAsia="Calibri"/>
          <w:lang w:val="en-US" w:eastAsia="en-US"/>
        </w:rPr>
        <w:t xml:space="preserve">: 23/03/2021]; 14(1):83-92. Disponible </w:t>
      </w:r>
      <w:proofErr w:type="spellStart"/>
      <w:r w:rsidRPr="00FF421E">
        <w:rPr>
          <w:rFonts w:eastAsia="Calibri"/>
          <w:lang w:val="en-US" w:eastAsia="en-US"/>
        </w:rPr>
        <w:t>en</w:t>
      </w:r>
      <w:proofErr w:type="spellEnd"/>
      <w:r w:rsidRPr="00FF421E">
        <w:rPr>
          <w:rFonts w:eastAsia="Calibri"/>
          <w:lang w:val="en-US" w:eastAsia="en-US"/>
        </w:rPr>
        <w:t xml:space="preserve">: </w:t>
      </w:r>
      <w:hyperlink r:id="rId28" w:history="1">
        <w:r w:rsidRPr="00FF421E">
          <w:rPr>
            <w:rFonts w:eastAsia="Calibri"/>
            <w:u w:val="single"/>
            <w:lang w:val="en-US" w:eastAsia="en-US"/>
          </w:rPr>
          <w:t>https://www.elsevier.es/en-revista-annals-hepatology-16-articulo-the-performance-prognostic-models-as-S166526811930804X</w:t>
        </w:r>
      </w:hyperlink>
      <w:r w:rsidRPr="00FF421E">
        <w:rPr>
          <w:rFonts w:eastAsia="Calibri"/>
          <w:lang w:val="en-US" w:eastAsia="en-US"/>
        </w:rPr>
        <w:t xml:space="preserve"> </w:t>
      </w:r>
    </w:p>
    <w:p w14:paraId="72308C10" w14:textId="77777777" w:rsidR="00FF421E" w:rsidRPr="00FF421E" w:rsidRDefault="00FF421E" w:rsidP="00FF421E">
      <w:pPr>
        <w:spacing w:line="360" w:lineRule="auto"/>
        <w:rPr>
          <w:rFonts w:eastAsia="Calibri"/>
          <w:lang w:eastAsia="en-US"/>
        </w:rPr>
      </w:pPr>
      <w:r w:rsidRPr="00FF421E">
        <w:rPr>
          <w:rFonts w:eastAsia="Calibri"/>
          <w:lang w:eastAsia="en-US"/>
        </w:rPr>
        <w:t>14. Zubieta-Rodríguez R, Gómez-Correa J, Rodríguez-Amaya R, Ariza-</w:t>
      </w:r>
      <w:proofErr w:type="spellStart"/>
      <w:r w:rsidRPr="00FF421E">
        <w:rPr>
          <w:rFonts w:eastAsia="Calibri"/>
          <w:lang w:eastAsia="en-US"/>
        </w:rPr>
        <w:t>Mejia</w:t>
      </w:r>
      <w:proofErr w:type="spellEnd"/>
      <w:r w:rsidRPr="00FF421E">
        <w:rPr>
          <w:rFonts w:eastAsia="Calibri"/>
          <w:lang w:eastAsia="en-US"/>
        </w:rPr>
        <w:t xml:space="preserve"> KA, Toloza-Cuta NA. Mortalidad hospitalaria en pacientes cirróticos en un hospital de tercer nivel. </w:t>
      </w:r>
      <w:proofErr w:type="spellStart"/>
      <w:r w:rsidRPr="00FF421E">
        <w:rPr>
          <w:rFonts w:eastAsia="Calibri"/>
          <w:lang w:eastAsia="en-US"/>
        </w:rPr>
        <w:t>Rev</w:t>
      </w:r>
      <w:proofErr w:type="spellEnd"/>
      <w:r w:rsidRPr="00FF421E">
        <w:rPr>
          <w:rFonts w:eastAsia="Calibri"/>
          <w:lang w:eastAsia="en-US"/>
        </w:rPr>
        <w:t xml:space="preserve"> </w:t>
      </w:r>
      <w:proofErr w:type="spellStart"/>
      <w:r w:rsidRPr="00FF421E">
        <w:rPr>
          <w:rFonts w:eastAsia="Calibri"/>
          <w:lang w:eastAsia="en-US"/>
        </w:rPr>
        <w:t>Gastroenterol</w:t>
      </w:r>
      <w:proofErr w:type="spellEnd"/>
      <w:r w:rsidRPr="00FF421E">
        <w:rPr>
          <w:rFonts w:eastAsia="Calibri"/>
          <w:lang w:eastAsia="en-US"/>
        </w:rPr>
        <w:t xml:space="preserve"> Mex. 2017 [acceso: 23/03/2021]; 82(3):203-9. Disponible en: </w:t>
      </w:r>
      <w:hyperlink r:id="rId29" w:history="1">
        <w:r w:rsidRPr="00FF421E">
          <w:rPr>
            <w:rFonts w:eastAsia="Calibri"/>
            <w:u w:val="single"/>
            <w:lang w:eastAsia="en-US"/>
          </w:rPr>
          <w:t>http://www.revistagastroenterologiamexico.org/es-mortalidad-hospitalaria-pacientes-cirroticos-un-articulo-S0375090617300010</w:t>
        </w:r>
      </w:hyperlink>
      <w:r w:rsidRPr="00FF421E">
        <w:rPr>
          <w:rFonts w:eastAsia="Calibri"/>
          <w:lang w:eastAsia="en-US"/>
        </w:rPr>
        <w:t xml:space="preserve"> </w:t>
      </w:r>
    </w:p>
    <w:p w14:paraId="4B7A405E" w14:textId="77777777" w:rsidR="00FF421E" w:rsidRPr="00FF421E" w:rsidRDefault="00FF421E" w:rsidP="00FF421E">
      <w:pPr>
        <w:spacing w:line="360" w:lineRule="auto"/>
        <w:rPr>
          <w:rFonts w:eastAsia="Calibri"/>
          <w:lang w:eastAsia="en-US"/>
        </w:rPr>
      </w:pPr>
      <w:r w:rsidRPr="00FF421E">
        <w:rPr>
          <w:rFonts w:eastAsia="Calibri"/>
          <w:lang w:eastAsia="en-US"/>
        </w:rPr>
        <w:t>15. Rosado Cipriano M, García-Encinas C, Bellido-</w:t>
      </w:r>
      <w:proofErr w:type="spellStart"/>
      <w:r w:rsidRPr="00FF421E">
        <w:rPr>
          <w:rFonts w:eastAsia="Calibri"/>
          <w:lang w:eastAsia="en-US"/>
        </w:rPr>
        <w:t>Caparó</w:t>
      </w:r>
      <w:proofErr w:type="spellEnd"/>
      <w:r w:rsidRPr="00FF421E">
        <w:rPr>
          <w:rFonts w:eastAsia="Calibri"/>
          <w:lang w:eastAsia="en-US"/>
        </w:rPr>
        <w:t xml:space="preserve"> Á, Purizaca Navarro A, Valenzuela Granados V. Frecuencia, perfil clínico y mortalidad de la insuficiencia hepática crónica reagudizada en un hospital público de Lima - Perú. Revista de Gastroenterología del Perú. 2018 [acceso: 23/03/2021]; 38(4):325-30. Disponible en: </w:t>
      </w:r>
      <w:hyperlink r:id="rId30" w:history="1">
        <w:r w:rsidRPr="00FF421E">
          <w:rPr>
            <w:rFonts w:eastAsia="Calibri"/>
            <w:u w:val="single"/>
            <w:lang w:eastAsia="en-US"/>
          </w:rPr>
          <w:t>http://www.scielo.org.pe/scielo.php?script=sci_arttext&amp;pid=S1022-51292018000400002</w:t>
        </w:r>
      </w:hyperlink>
      <w:r w:rsidRPr="00FF421E">
        <w:rPr>
          <w:rFonts w:eastAsia="Calibri"/>
          <w:lang w:eastAsia="en-US"/>
        </w:rPr>
        <w:t xml:space="preserve"> </w:t>
      </w:r>
    </w:p>
    <w:p w14:paraId="2C04280C" w14:textId="77777777" w:rsidR="00FF421E" w:rsidRPr="00FF421E" w:rsidRDefault="00FF421E" w:rsidP="00FF421E">
      <w:pPr>
        <w:spacing w:line="360" w:lineRule="auto"/>
        <w:rPr>
          <w:rFonts w:eastAsia="Calibri"/>
          <w:lang w:eastAsia="en-US"/>
        </w:rPr>
      </w:pPr>
      <w:r w:rsidRPr="00FF421E">
        <w:rPr>
          <w:rFonts w:eastAsia="Calibri"/>
          <w:lang w:eastAsia="en-US"/>
        </w:rPr>
        <w:t xml:space="preserve">16. Malpica-Castillo A, </w:t>
      </w:r>
      <w:proofErr w:type="spellStart"/>
      <w:r w:rsidRPr="00FF421E">
        <w:rPr>
          <w:rFonts w:eastAsia="Calibri"/>
          <w:lang w:eastAsia="en-US"/>
        </w:rPr>
        <w:t>Ticse</w:t>
      </w:r>
      <w:proofErr w:type="spellEnd"/>
      <w:r w:rsidRPr="00FF421E">
        <w:rPr>
          <w:rFonts w:eastAsia="Calibri"/>
          <w:lang w:eastAsia="en-US"/>
        </w:rPr>
        <w:t xml:space="preserve"> R, Salazar-Quiñones M, Cheng-Zárate L, Valenzuela-Granados V, Huerta-Mercado Tenorio J. Mortalidad y readmisión en pacientes cirróticos hospitalizados en un hospital general de Lima, Perú. Revista de Gastroenterología del Perú. 2013 [acceso: 23/03/2021]; 33(4):301-5. Disponible en: </w:t>
      </w:r>
      <w:hyperlink r:id="rId31" w:history="1">
        <w:r w:rsidRPr="00FF421E">
          <w:rPr>
            <w:rFonts w:eastAsia="Calibri"/>
            <w:u w:val="single"/>
            <w:lang w:eastAsia="en-US"/>
          </w:rPr>
          <w:t>http://www.scielo.org.pe/scielo.php?script=sci_arttext&amp;pid=S1022-51292013000400003</w:t>
        </w:r>
      </w:hyperlink>
      <w:r w:rsidRPr="00FF421E">
        <w:rPr>
          <w:rFonts w:eastAsia="Calibri"/>
          <w:lang w:eastAsia="en-US"/>
        </w:rPr>
        <w:t xml:space="preserve"> </w:t>
      </w:r>
    </w:p>
    <w:p w14:paraId="36811C4B" w14:textId="77777777" w:rsidR="00FF421E" w:rsidRPr="00FF421E" w:rsidRDefault="00FF421E" w:rsidP="00FF421E">
      <w:pPr>
        <w:spacing w:line="360" w:lineRule="auto"/>
        <w:rPr>
          <w:rFonts w:eastAsia="Calibri"/>
          <w:lang w:eastAsia="en-US"/>
        </w:rPr>
      </w:pPr>
      <w:r w:rsidRPr="00FF421E">
        <w:rPr>
          <w:rFonts w:eastAsia="Calibri"/>
          <w:lang w:eastAsia="en-US"/>
        </w:rPr>
        <w:t xml:space="preserve">17. Ruiz García S, Castillo Núñez L, Malca Atoche J, Valderrama </w:t>
      </w:r>
      <w:proofErr w:type="spellStart"/>
      <w:r w:rsidRPr="00FF421E">
        <w:rPr>
          <w:rFonts w:eastAsia="Calibri"/>
          <w:lang w:eastAsia="en-US"/>
        </w:rPr>
        <w:t>Ascoy</w:t>
      </w:r>
      <w:proofErr w:type="spellEnd"/>
      <w:r w:rsidRPr="00FF421E">
        <w:rPr>
          <w:rFonts w:eastAsia="Calibri"/>
          <w:lang w:eastAsia="en-US"/>
        </w:rPr>
        <w:t xml:space="preserve"> J, Aguilar Saldaña G. Predictores de infección y mortalidad en pacientes con cirrosis hepática en el hospital de alta complejidad Virgen de la Puerta de Trujillo, Perú. Revista de Gastroenterología del Perú. 2019 [acceso: 23/03/2021]; 39(1):55-63. Disponible en: </w:t>
      </w:r>
      <w:hyperlink r:id="rId32" w:history="1">
        <w:r w:rsidRPr="00FF421E">
          <w:rPr>
            <w:rFonts w:eastAsia="Calibri"/>
            <w:u w:val="single"/>
            <w:lang w:eastAsia="en-US"/>
          </w:rPr>
          <w:t>http://www.scielo.org.pe/scielo.php?script=sci_arttext&amp;pid=S1022-51292019000100008</w:t>
        </w:r>
      </w:hyperlink>
      <w:r w:rsidRPr="00FF421E">
        <w:rPr>
          <w:rFonts w:eastAsia="Calibri"/>
          <w:lang w:eastAsia="en-US"/>
        </w:rPr>
        <w:t xml:space="preserve"> </w:t>
      </w:r>
    </w:p>
    <w:p w14:paraId="12272B1C" w14:textId="77777777" w:rsidR="00FF421E" w:rsidRPr="00FF421E" w:rsidRDefault="00FF421E" w:rsidP="00FF421E">
      <w:pPr>
        <w:spacing w:line="360" w:lineRule="auto"/>
        <w:rPr>
          <w:rFonts w:eastAsia="Calibri"/>
          <w:lang w:eastAsia="en-US"/>
        </w:rPr>
      </w:pPr>
      <w:r w:rsidRPr="00FF421E">
        <w:rPr>
          <w:rFonts w:eastAsia="Calibri"/>
          <w:lang w:val="en-US" w:eastAsia="en-US"/>
        </w:rPr>
        <w:lastRenderedPageBreak/>
        <w:t xml:space="preserve">18. Huang Y-F, Lin C-S, </w:t>
      </w:r>
      <w:proofErr w:type="spellStart"/>
      <w:r w:rsidRPr="00FF421E">
        <w:rPr>
          <w:rFonts w:eastAsia="Calibri"/>
          <w:lang w:val="en-US" w:eastAsia="en-US"/>
        </w:rPr>
        <w:t>Cherng</w:t>
      </w:r>
      <w:proofErr w:type="spellEnd"/>
      <w:r w:rsidRPr="00FF421E">
        <w:rPr>
          <w:rFonts w:eastAsia="Calibri"/>
          <w:lang w:val="en-US" w:eastAsia="en-US"/>
        </w:rPr>
        <w:t xml:space="preserve"> Y-G, Yeh C-C, Chen R-J, Chen T-L, et al. A population-based cohort study of mortality of intensive care unit patients with liver cirrhosis. </w:t>
      </w:r>
      <w:r w:rsidRPr="00FF421E">
        <w:rPr>
          <w:rFonts w:eastAsia="Calibri"/>
          <w:lang w:eastAsia="en-US"/>
        </w:rPr>
        <w:t xml:space="preserve">BMC </w:t>
      </w:r>
      <w:proofErr w:type="spellStart"/>
      <w:r w:rsidRPr="00FF421E">
        <w:rPr>
          <w:rFonts w:eastAsia="Calibri"/>
          <w:lang w:eastAsia="en-US"/>
        </w:rPr>
        <w:t>Gastroenterol</w:t>
      </w:r>
      <w:proofErr w:type="spellEnd"/>
      <w:r w:rsidRPr="00FF421E">
        <w:rPr>
          <w:rFonts w:eastAsia="Calibri"/>
          <w:lang w:eastAsia="en-US"/>
        </w:rPr>
        <w:t xml:space="preserve">. 2020 [acceso: 23/03/2021]; 20(1):15. Disponible en: </w:t>
      </w:r>
      <w:hyperlink r:id="rId33" w:history="1">
        <w:r w:rsidRPr="00FF421E">
          <w:rPr>
            <w:rFonts w:eastAsia="Calibri"/>
            <w:u w:val="single"/>
            <w:lang w:eastAsia="en-US"/>
          </w:rPr>
          <w:t>https://pubmed.ncbi.nlm.nih.gov/31948392/</w:t>
        </w:r>
      </w:hyperlink>
      <w:r w:rsidRPr="00FF421E">
        <w:rPr>
          <w:rFonts w:eastAsia="Calibri"/>
          <w:lang w:eastAsia="en-US"/>
        </w:rPr>
        <w:t xml:space="preserve"> </w:t>
      </w:r>
    </w:p>
    <w:p w14:paraId="03AD9E0D" w14:textId="77777777" w:rsidR="00FF421E" w:rsidRPr="00FF421E" w:rsidRDefault="00FF421E" w:rsidP="00FF421E">
      <w:pPr>
        <w:spacing w:line="360" w:lineRule="auto"/>
        <w:rPr>
          <w:rFonts w:eastAsia="Calibri"/>
          <w:lang w:eastAsia="en-US"/>
        </w:rPr>
      </w:pPr>
      <w:r w:rsidRPr="00FF421E">
        <w:rPr>
          <w:rFonts w:eastAsia="Calibri"/>
          <w:lang w:eastAsia="en-US"/>
        </w:rPr>
        <w:t xml:space="preserve">19. Gaspar R, </w:t>
      </w:r>
      <w:proofErr w:type="spellStart"/>
      <w:r w:rsidRPr="00FF421E">
        <w:rPr>
          <w:rFonts w:eastAsia="Calibri"/>
          <w:lang w:eastAsia="en-US"/>
        </w:rPr>
        <w:t>Rodrigues</w:t>
      </w:r>
      <w:proofErr w:type="spellEnd"/>
      <w:r w:rsidRPr="00FF421E">
        <w:rPr>
          <w:rFonts w:eastAsia="Calibri"/>
          <w:lang w:eastAsia="en-US"/>
        </w:rPr>
        <w:t xml:space="preserve"> S, Silva M, Costa-Moreira P, Morais R, Andrade P, et al. </w:t>
      </w:r>
      <w:r w:rsidRPr="00FF421E">
        <w:rPr>
          <w:rFonts w:eastAsia="Calibri"/>
          <w:lang w:val="en-US" w:eastAsia="en-US"/>
        </w:rPr>
        <w:t xml:space="preserve">Predictive models of mortality and hospital readmission of patients with decompensated liver cirrhosis. </w:t>
      </w:r>
      <w:proofErr w:type="spellStart"/>
      <w:r w:rsidRPr="00FF421E">
        <w:rPr>
          <w:rFonts w:eastAsia="Calibri"/>
          <w:lang w:eastAsia="en-US"/>
        </w:rPr>
        <w:t>Dig</w:t>
      </w:r>
      <w:proofErr w:type="spellEnd"/>
      <w:r w:rsidRPr="00FF421E">
        <w:rPr>
          <w:rFonts w:eastAsia="Calibri"/>
          <w:lang w:eastAsia="en-US"/>
        </w:rPr>
        <w:t xml:space="preserve"> </w:t>
      </w:r>
      <w:proofErr w:type="spellStart"/>
      <w:r w:rsidRPr="00FF421E">
        <w:rPr>
          <w:rFonts w:eastAsia="Calibri"/>
          <w:lang w:eastAsia="en-US"/>
        </w:rPr>
        <w:t>Liver</w:t>
      </w:r>
      <w:proofErr w:type="spellEnd"/>
      <w:r w:rsidRPr="00FF421E">
        <w:rPr>
          <w:rFonts w:eastAsia="Calibri"/>
          <w:lang w:eastAsia="en-US"/>
        </w:rPr>
        <w:t xml:space="preserve"> </w:t>
      </w:r>
      <w:proofErr w:type="spellStart"/>
      <w:r w:rsidRPr="00FF421E">
        <w:rPr>
          <w:rFonts w:eastAsia="Calibri"/>
          <w:lang w:eastAsia="en-US"/>
        </w:rPr>
        <w:t>Dis</w:t>
      </w:r>
      <w:proofErr w:type="spellEnd"/>
      <w:r w:rsidRPr="00FF421E">
        <w:rPr>
          <w:rFonts w:eastAsia="Calibri"/>
          <w:lang w:eastAsia="en-US"/>
        </w:rPr>
        <w:t xml:space="preserve">. 2019 [acceso: 23/03/2021]; 51(10):1423-9. Disponible en: </w:t>
      </w:r>
      <w:hyperlink r:id="rId34" w:history="1">
        <w:r w:rsidRPr="00FF421E">
          <w:rPr>
            <w:rFonts w:eastAsia="Calibri"/>
            <w:u w:val="single"/>
            <w:lang w:eastAsia="en-US"/>
          </w:rPr>
          <w:t>https://pubmed.ncbi.nlm.nih.gov/31113738/</w:t>
        </w:r>
      </w:hyperlink>
      <w:r w:rsidRPr="00FF421E">
        <w:rPr>
          <w:rFonts w:eastAsia="Calibri"/>
          <w:lang w:eastAsia="en-US"/>
        </w:rPr>
        <w:t xml:space="preserve"> </w:t>
      </w:r>
    </w:p>
    <w:p w14:paraId="36951A23" w14:textId="77777777" w:rsidR="00FF421E" w:rsidRPr="00FF421E" w:rsidRDefault="00FF421E" w:rsidP="00FF421E">
      <w:pPr>
        <w:spacing w:line="360" w:lineRule="auto"/>
        <w:rPr>
          <w:rFonts w:eastAsia="Calibri"/>
          <w:lang w:eastAsia="en-US"/>
        </w:rPr>
      </w:pPr>
      <w:r w:rsidRPr="00FF421E">
        <w:rPr>
          <w:rFonts w:eastAsia="Calibri"/>
          <w:lang w:val="en-US" w:eastAsia="en-US"/>
        </w:rPr>
        <w:t xml:space="preserve">20. </w:t>
      </w:r>
      <w:proofErr w:type="spellStart"/>
      <w:r w:rsidRPr="00FF421E">
        <w:rPr>
          <w:rFonts w:eastAsia="Calibri"/>
          <w:lang w:val="en-US" w:eastAsia="en-US"/>
        </w:rPr>
        <w:t>Javaud</w:t>
      </w:r>
      <w:proofErr w:type="spellEnd"/>
      <w:r w:rsidRPr="00FF421E">
        <w:rPr>
          <w:rFonts w:eastAsia="Calibri"/>
          <w:lang w:val="en-US" w:eastAsia="en-US"/>
        </w:rPr>
        <w:t xml:space="preserve"> N, </w:t>
      </w:r>
      <w:proofErr w:type="spellStart"/>
      <w:r w:rsidRPr="00FF421E">
        <w:rPr>
          <w:rFonts w:eastAsia="Calibri"/>
          <w:lang w:val="en-US" w:eastAsia="en-US"/>
        </w:rPr>
        <w:t>Bonnin</w:t>
      </w:r>
      <w:proofErr w:type="spellEnd"/>
      <w:r w:rsidRPr="00FF421E">
        <w:rPr>
          <w:rFonts w:eastAsia="Calibri"/>
          <w:lang w:val="en-US" w:eastAsia="en-US"/>
        </w:rPr>
        <w:t xml:space="preserve"> L, </w:t>
      </w:r>
      <w:proofErr w:type="spellStart"/>
      <w:r w:rsidRPr="00FF421E">
        <w:rPr>
          <w:rFonts w:eastAsia="Calibri"/>
          <w:lang w:val="en-US" w:eastAsia="en-US"/>
        </w:rPr>
        <w:t>Lapostolle</w:t>
      </w:r>
      <w:proofErr w:type="spellEnd"/>
      <w:r w:rsidRPr="00FF421E">
        <w:rPr>
          <w:rFonts w:eastAsia="Calibri"/>
          <w:lang w:val="en-US" w:eastAsia="en-US"/>
        </w:rPr>
        <w:t xml:space="preserve"> F, </w:t>
      </w:r>
      <w:proofErr w:type="spellStart"/>
      <w:r w:rsidRPr="00FF421E">
        <w:rPr>
          <w:rFonts w:eastAsia="Calibri"/>
          <w:lang w:val="en-US" w:eastAsia="en-US"/>
        </w:rPr>
        <w:t>Boubaya</w:t>
      </w:r>
      <w:proofErr w:type="spellEnd"/>
      <w:r w:rsidRPr="00FF421E">
        <w:rPr>
          <w:rFonts w:eastAsia="Calibri"/>
          <w:lang w:val="en-US" w:eastAsia="en-US"/>
        </w:rPr>
        <w:t xml:space="preserve"> M, </w:t>
      </w:r>
      <w:proofErr w:type="spellStart"/>
      <w:r w:rsidRPr="00FF421E">
        <w:rPr>
          <w:rFonts w:eastAsia="Calibri"/>
          <w:lang w:val="en-US" w:eastAsia="en-US"/>
        </w:rPr>
        <w:t>Bardis</w:t>
      </w:r>
      <w:proofErr w:type="spellEnd"/>
      <w:r w:rsidRPr="00FF421E">
        <w:rPr>
          <w:rFonts w:eastAsia="Calibri"/>
          <w:lang w:val="en-US" w:eastAsia="en-US"/>
        </w:rPr>
        <w:t xml:space="preserve"> A, </w:t>
      </w:r>
      <w:proofErr w:type="spellStart"/>
      <w:r w:rsidRPr="00FF421E">
        <w:rPr>
          <w:rFonts w:eastAsia="Calibri"/>
          <w:lang w:val="en-US" w:eastAsia="en-US"/>
        </w:rPr>
        <w:t>Dufau</w:t>
      </w:r>
      <w:proofErr w:type="spellEnd"/>
      <w:r w:rsidRPr="00FF421E">
        <w:rPr>
          <w:rFonts w:eastAsia="Calibri"/>
          <w:lang w:val="en-US" w:eastAsia="en-US"/>
        </w:rPr>
        <w:t xml:space="preserve"> R, et al. Prognosis of cirrhotic patients admitted to Emergency Departments: A multicenter study. </w:t>
      </w:r>
      <w:r w:rsidRPr="00FF421E">
        <w:rPr>
          <w:rFonts w:eastAsia="Calibri"/>
          <w:lang w:val="es-ES" w:eastAsia="en-US"/>
        </w:rPr>
        <w:t xml:space="preserve">2019 [acceso: 23/03/2021]; 37(7):1317-21. </w:t>
      </w:r>
      <w:r w:rsidRPr="00FF421E">
        <w:rPr>
          <w:rFonts w:eastAsia="Calibri"/>
          <w:lang w:eastAsia="en-US"/>
        </w:rPr>
        <w:t xml:space="preserve">Disponible en: </w:t>
      </w:r>
      <w:hyperlink r:id="rId35" w:history="1">
        <w:r w:rsidRPr="00FF421E">
          <w:rPr>
            <w:rFonts w:eastAsia="Calibri"/>
            <w:u w:val="single"/>
            <w:lang w:eastAsia="en-US"/>
          </w:rPr>
          <w:t>https://pubmed.ncbi.nlm.nih.gov/30337088/</w:t>
        </w:r>
      </w:hyperlink>
      <w:r w:rsidRPr="00FF421E">
        <w:rPr>
          <w:rFonts w:eastAsia="Calibri"/>
          <w:lang w:eastAsia="en-US"/>
        </w:rPr>
        <w:t xml:space="preserve"> </w:t>
      </w:r>
    </w:p>
    <w:p w14:paraId="11187A26" w14:textId="77777777" w:rsidR="00FF421E" w:rsidRPr="002E2F8E" w:rsidRDefault="00FF421E" w:rsidP="00FF421E">
      <w:pPr>
        <w:spacing w:line="360" w:lineRule="auto"/>
        <w:rPr>
          <w:rFonts w:eastAsia="Calibri"/>
          <w:lang w:val="es-CU" w:eastAsia="en-US"/>
        </w:rPr>
      </w:pPr>
      <w:r w:rsidRPr="00FF421E">
        <w:rPr>
          <w:rFonts w:eastAsia="Calibri"/>
          <w:lang w:eastAsia="en-US"/>
        </w:rPr>
        <w:t xml:space="preserve">21. Planas R, Montoliu S, </w:t>
      </w:r>
      <w:proofErr w:type="spellStart"/>
      <w:r w:rsidRPr="00FF421E">
        <w:rPr>
          <w:rFonts w:eastAsia="Calibri"/>
          <w:lang w:eastAsia="en-US"/>
        </w:rPr>
        <w:t>Ballesté</w:t>
      </w:r>
      <w:proofErr w:type="spellEnd"/>
      <w:r w:rsidRPr="00FF421E">
        <w:rPr>
          <w:rFonts w:eastAsia="Calibri"/>
          <w:lang w:eastAsia="en-US"/>
        </w:rPr>
        <w:t xml:space="preserve"> B, Rivera M, Miquel M, Masnou H, et al. </w:t>
      </w:r>
      <w:r w:rsidRPr="00FF421E">
        <w:rPr>
          <w:rFonts w:eastAsia="Calibri"/>
          <w:lang w:val="en-US" w:eastAsia="en-US"/>
        </w:rPr>
        <w:t xml:space="preserve">Natural History of Patients Hospitalized for Management of Cirrhotic Ascites. </w:t>
      </w:r>
      <w:r w:rsidRPr="002E2F8E">
        <w:rPr>
          <w:rFonts w:eastAsia="Calibri"/>
          <w:lang w:val="es-CU" w:eastAsia="en-US"/>
        </w:rPr>
        <w:t xml:space="preserve">Clin </w:t>
      </w:r>
      <w:proofErr w:type="spellStart"/>
      <w:r w:rsidRPr="002E2F8E">
        <w:rPr>
          <w:rFonts w:eastAsia="Calibri"/>
          <w:lang w:val="es-CU" w:eastAsia="en-US"/>
        </w:rPr>
        <w:t>Gastroenterol</w:t>
      </w:r>
      <w:proofErr w:type="spellEnd"/>
      <w:r w:rsidRPr="002E2F8E">
        <w:rPr>
          <w:rFonts w:eastAsia="Calibri"/>
          <w:lang w:val="es-CU" w:eastAsia="en-US"/>
        </w:rPr>
        <w:t xml:space="preserve"> </w:t>
      </w:r>
      <w:proofErr w:type="spellStart"/>
      <w:r w:rsidRPr="002E2F8E">
        <w:rPr>
          <w:rFonts w:eastAsia="Calibri"/>
          <w:lang w:val="es-CU" w:eastAsia="en-US"/>
        </w:rPr>
        <w:t>Hepatol</w:t>
      </w:r>
      <w:proofErr w:type="spellEnd"/>
      <w:r w:rsidRPr="002E2F8E">
        <w:rPr>
          <w:rFonts w:eastAsia="Calibri"/>
          <w:lang w:val="es-CU" w:eastAsia="en-US"/>
        </w:rPr>
        <w:t xml:space="preserve">. 2004 [acceso: 23/03/2021]; 4:1385‐1394. Disponible en: </w:t>
      </w:r>
      <w:hyperlink r:id="rId36" w:history="1">
        <w:r w:rsidRPr="002E2F8E">
          <w:rPr>
            <w:rFonts w:eastAsia="Calibri"/>
            <w:u w:val="single"/>
            <w:lang w:val="es-CU" w:eastAsia="en-US"/>
          </w:rPr>
          <w:t>https://pubmed.ncbi.nlm.nih.gov/17081806/</w:t>
        </w:r>
      </w:hyperlink>
      <w:r w:rsidRPr="002E2F8E">
        <w:rPr>
          <w:rFonts w:eastAsia="Calibri"/>
          <w:lang w:val="es-CU" w:eastAsia="en-US"/>
        </w:rPr>
        <w:t xml:space="preserve"> </w:t>
      </w:r>
    </w:p>
    <w:p w14:paraId="7312B794" w14:textId="77777777" w:rsidR="00FF421E" w:rsidRPr="00FF421E" w:rsidRDefault="00FF421E" w:rsidP="00FF421E">
      <w:pPr>
        <w:spacing w:line="360" w:lineRule="auto"/>
        <w:rPr>
          <w:rFonts w:eastAsia="Calibri"/>
          <w:lang w:val="en-US" w:eastAsia="en-US"/>
        </w:rPr>
      </w:pPr>
      <w:r w:rsidRPr="00FF421E">
        <w:rPr>
          <w:rFonts w:eastAsia="Calibri"/>
          <w:lang w:val="en-US" w:eastAsia="en-US"/>
        </w:rPr>
        <w:t xml:space="preserve">22. Scaglione SJ, Metcalfe L, </w:t>
      </w:r>
      <w:proofErr w:type="spellStart"/>
      <w:r w:rsidRPr="00FF421E">
        <w:rPr>
          <w:rFonts w:eastAsia="Calibri"/>
          <w:lang w:val="en-US" w:eastAsia="en-US"/>
        </w:rPr>
        <w:t>Kliethermes</w:t>
      </w:r>
      <w:proofErr w:type="spellEnd"/>
      <w:r w:rsidRPr="00FF421E">
        <w:rPr>
          <w:rFonts w:eastAsia="Calibri"/>
          <w:lang w:val="en-US" w:eastAsia="en-US"/>
        </w:rPr>
        <w:t xml:space="preserve"> S, </w:t>
      </w:r>
      <w:proofErr w:type="spellStart"/>
      <w:r w:rsidRPr="00FF421E">
        <w:rPr>
          <w:rFonts w:eastAsia="Calibri"/>
          <w:lang w:val="en-US" w:eastAsia="en-US"/>
        </w:rPr>
        <w:t>Vasilyev</w:t>
      </w:r>
      <w:proofErr w:type="spellEnd"/>
      <w:r w:rsidRPr="00FF421E">
        <w:rPr>
          <w:rFonts w:eastAsia="Calibri"/>
          <w:lang w:val="en-US" w:eastAsia="en-US"/>
        </w:rPr>
        <w:t xml:space="preserve"> I, Tsang R, Caines A, et al. Early Hospital Readmissions and Mortality in Patients </w:t>
      </w:r>
      <w:proofErr w:type="gramStart"/>
      <w:r w:rsidRPr="00FF421E">
        <w:rPr>
          <w:rFonts w:eastAsia="Calibri"/>
          <w:lang w:val="en-US" w:eastAsia="en-US"/>
        </w:rPr>
        <w:t>With</w:t>
      </w:r>
      <w:proofErr w:type="gramEnd"/>
      <w:r w:rsidRPr="00FF421E">
        <w:rPr>
          <w:rFonts w:eastAsia="Calibri"/>
          <w:lang w:val="en-US" w:eastAsia="en-US"/>
        </w:rPr>
        <w:t xml:space="preserve"> Decompensated Cirrhosis Enrolled in a Large National Health Insurance Administrative Database. Journal of Clinical Gastroenterology. 2017 [</w:t>
      </w:r>
      <w:proofErr w:type="spellStart"/>
      <w:r w:rsidRPr="00FF421E">
        <w:rPr>
          <w:rFonts w:eastAsia="Calibri"/>
          <w:lang w:val="en-US" w:eastAsia="en-US"/>
        </w:rPr>
        <w:t>acceso</w:t>
      </w:r>
      <w:proofErr w:type="spellEnd"/>
      <w:r w:rsidRPr="00FF421E">
        <w:rPr>
          <w:rFonts w:eastAsia="Calibri"/>
          <w:lang w:val="en-US" w:eastAsia="en-US"/>
        </w:rPr>
        <w:t xml:space="preserve">: 23/03/2021]; 51(9):839-44. Disponible </w:t>
      </w:r>
      <w:proofErr w:type="spellStart"/>
      <w:r w:rsidRPr="00FF421E">
        <w:rPr>
          <w:rFonts w:eastAsia="Calibri"/>
          <w:lang w:val="en-US" w:eastAsia="en-US"/>
        </w:rPr>
        <w:t>en</w:t>
      </w:r>
      <w:proofErr w:type="spellEnd"/>
      <w:r w:rsidRPr="00FF421E">
        <w:rPr>
          <w:rFonts w:eastAsia="Calibri"/>
          <w:lang w:val="en-US" w:eastAsia="en-US"/>
        </w:rPr>
        <w:t xml:space="preserve">: </w:t>
      </w:r>
      <w:hyperlink r:id="rId37" w:history="1">
        <w:r w:rsidRPr="00FF421E">
          <w:rPr>
            <w:rFonts w:eastAsia="Calibri"/>
            <w:u w:val="single"/>
            <w:lang w:val="en-US" w:eastAsia="en-US"/>
          </w:rPr>
          <w:t>https://pubmed.ncbi.nlm.nih.gov/28383303/</w:t>
        </w:r>
      </w:hyperlink>
      <w:r w:rsidRPr="00FF421E">
        <w:rPr>
          <w:rFonts w:eastAsia="Calibri"/>
          <w:lang w:val="en-US" w:eastAsia="en-US"/>
        </w:rPr>
        <w:t xml:space="preserve"> </w:t>
      </w:r>
    </w:p>
    <w:p w14:paraId="30199650" w14:textId="77777777" w:rsidR="00FF421E" w:rsidRPr="00FF421E" w:rsidRDefault="00FF421E" w:rsidP="00FF421E">
      <w:pPr>
        <w:spacing w:line="360" w:lineRule="auto"/>
        <w:rPr>
          <w:rFonts w:eastAsia="Calibri"/>
          <w:lang w:val="en-US" w:eastAsia="en-US"/>
        </w:rPr>
      </w:pPr>
      <w:r w:rsidRPr="00FF421E">
        <w:rPr>
          <w:rFonts w:eastAsia="Calibri"/>
          <w:lang w:val="en-US" w:eastAsia="en-US"/>
        </w:rPr>
        <w:t xml:space="preserve">23. </w:t>
      </w:r>
      <w:proofErr w:type="spellStart"/>
      <w:r w:rsidRPr="00FF421E">
        <w:rPr>
          <w:rFonts w:eastAsia="Calibri"/>
          <w:lang w:val="en-US" w:eastAsia="en-US"/>
        </w:rPr>
        <w:t>Kudru</w:t>
      </w:r>
      <w:proofErr w:type="spellEnd"/>
      <w:r w:rsidRPr="00FF421E">
        <w:rPr>
          <w:rFonts w:eastAsia="Calibri"/>
          <w:lang w:val="en-US" w:eastAsia="en-US"/>
        </w:rPr>
        <w:t xml:space="preserve"> CU, </w:t>
      </w:r>
      <w:proofErr w:type="spellStart"/>
      <w:r w:rsidRPr="00FF421E">
        <w:rPr>
          <w:rFonts w:eastAsia="Calibri"/>
          <w:lang w:val="en-US" w:eastAsia="en-US"/>
        </w:rPr>
        <w:t>Eshwara</w:t>
      </w:r>
      <w:proofErr w:type="spellEnd"/>
      <w:r w:rsidRPr="00FF421E">
        <w:rPr>
          <w:rFonts w:eastAsia="Calibri"/>
          <w:lang w:val="en-US" w:eastAsia="en-US"/>
        </w:rPr>
        <w:t xml:space="preserve"> VK, </w:t>
      </w:r>
      <w:proofErr w:type="spellStart"/>
      <w:r w:rsidRPr="00FF421E">
        <w:rPr>
          <w:rFonts w:eastAsia="Calibri"/>
          <w:lang w:val="en-US" w:eastAsia="en-US"/>
        </w:rPr>
        <w:t>Nagiri</w:t>
      </w:r>
      <w:proofErr w:type="spellEnd"/>
      <w:r w:rsidRPr="00FF421E">
        <w:rPr>
          <w:rFonts w:eastAsia="Calibri"/>
          <w:lang w:val="en-US" w:eastAsia="en-US"/>
        </w:rPr>
        <w:t xml:space="preserve"> SK, </w:t>
      </w:r>
      <w:proofErr w:type="spellStart"/>
      <w:r w:rsidRPr="00FF421E">
        <w:rPr>
          <w:rFonts w:eastAsia="Calibri"/>
          <w:lang w:val="en-US" w:eastAsia="en-US"/>
        </w:rPr>
        <w:t>Guddattu</w:t>
      </w:r>
      <w:proofErr w:type="spellEnd"/>
      <w:r w:rsidRPr="00FF421E">
        <w:rPr>
          <w:rFonts w:eastAsia="Calibri"/>
          <w:lang w:val="en-US" w:eastAsia="en-US"/>
        </w:rPr>
        <w:t xml:space="preserve"> V. Spectrum of bacterial infections and predictors of mortality in adult cirrhotic patients. Med Pharm Rep. 2019 [</w:t>
      </w:r>
      <w:proofErr w:type="spellStart"/>
      <w:r w:rsidRPr="00FF421E">
        <w:rPr>
          <w:rFonts w:eastAsia="Calibri"/>
          <w:lang w:val="en-US" w:eastAsia="en-US"/>
        </w:rPr>
        <w:t>acceso</w:t>
      </w:r>
      <w:proofErr w:type="spellEnd"/>
      <w:r w:rsidRPr="00FF421E">
        <w:rPr>
          <w:rFonts w:eastAsia="Calibri"/>
          <w:lang w:val="en-US" w:eastAsia="en-US"/>
        </w:rPr>
        <w:t xml:space="preserve">: 23/03/2021]; 92(4):356-61. Disponible </w:t>
      </w:r>
      <w:proofErr w:type="spellStart"/>
      <w:r w:rsidRPr="00FF421E">
        <w:rPr>
          <w:rFonts w:eastAsia="Calibri"/>
          <w:lang w:val="en-US" w:eastAsia="en-US"/>
        </w:rPr>
        <w:t>en</w:t>
      </w:r>
      <w:proofErr w:type="spellEnd"/>
      <w:r w:rsidRPr="00FF421E">
        <w:rPr>
          <w:rFonts w:eastAsia="Calibri"/>
          <w:lang w:val="en-US" w:eastAsia="en-US"/>
        </w:rPr>
        <w:t xml:space="preserve">: </w:t>
      </w:r>
      <w:hyperlink r:id="rId38" w:history="1">
        <w:r w:rsidRPr="00FF421E">
          <w:rPr>
            <w:rFonts w:eastAsia="Calibri"/>
            <w:u w:val="single"/>
            <w:lang w:val="en-US" w:eastAsia="en-US"/>
          </w:rPr>
          <w:t>https://pubmed.ncbi.nlm.nih.gov/31750435/</w:t>
        </w:r>
      </w:hyperlink>
      <w:r w:rsidRPr="00FF421E">
        <w:rPr>
          <w:rFonts w:eastAsia="Calibri"/>
          <w:lang w:val="en-US" w:eastAsia="en-US"/>
        </w:rPr>
        <w:t xml:space="preserve"> </w:t>
      </w:r>
    </w:p>
    <w:p w14:paraId="60A8441E" w14:textId="77777777" w:rsidR="00FF421E" w:rsidRPr="00FF421E" w:rsidRDefault="00FF421E" w:rsidP="00FF421E">
      <w:pPr>
        <w:spacing w:line="360" w:lineRule="auto"/>
        <w:rPr>
          <w:rFonts w:eastAsia="Calibri"/>
          <w:lang w:eastAsia="en-US"/>
        </w:rPr>
      </w:pPr>
      <w:r w:rsidRPr="00FF421E">
        <w:rPr>
          <w:rFonts w:eastAsia="Calibri"/>
          <w:lang w:val="en-US" w:eastAsia="en-US"/>
        </w:rPr>
        <w:t xml:space="preserve">24. </w:t>
      </w:r>
      <w:proofErr w:type="spellStart"/>
      <w:r w:rsidRPr="00FF421E">
        <w:rPr>
          <w:rFonts w:eastAsia="Calibri"/>
          <w:lang w:val="en-US" w:eastAsia="en-US"/>
        </w:rPr>
        <w:t>Vilstrup</w:t>
      </w:r>
      <w:proofErr w:type="spellEnd"/>
      <w:r w:rsidRPr="00FF421E">
        <w:rPr>
          <w:rFonts w:eastAsia="Calibri"/>
          <w:lang w:val="en-US" w:eastAsia="en-US"/>
        </w:rPr>
        <w:t xml:space="preserve"> H, </w:t>
      </w:r>
      <w:proofErr w:type="spellStart"/>
      <w:r w:rsidRPr="00FF421E">
        <w:rPr>
          <w:rFonts w:eastAsia="Calibri"/>
          <w:lang w:val="en-US" w:eastAsia="en-US"/>
        </w:rPr>
        <w:t>Amodio</w:t>
      </w:r>
      <w:proofErr w:type="spellEnd"/>
      <w:r w:rsidRPr="00FF421E">
        <w:rPr>
          <w:rFonts w:eastAsia="Calibri"/>
          <w:lang w:val="en-US" w:eastAsia="en-US"/>
        </w:rPr>
        <w:t xml:space="preserve"> P, Bajaj J, Cordoba J, </w:t>
      </w:r>
      <w:proofErr w:type="spellStart"/>
      <w:r w:rsidRPr="00FF421E">
        <w:rPr>
          <w:rFonts w:eastAsia="Calibri"/>
          <w:lang w:val="en-US" w:eastAsia="en-US"/>
        </w:rPr>
        <w:t>Ferenci</w:t>
      </w:r>
      <w:proofErr w:type="spellEnd"/>
      <w:r w:rsidRPr="00FF421E">
        <w:rPr>
          <w:rFonts w:eastAsia="Calibri"/>
          <w:lang w:val="en-US" w:eastAsia="en-US"/>
        </w:rPr>
        <w:t xml:space="preserve"> P, Mullen K, et al. Hepatic encephalopathy in chronic liver disease: 2014 Practice Guideline by the American Association for the Study of Liver Diseases and the European Association for the Study of the Liver. </w:t>
      </w:r>
      <w:proofErr w:type="spellStart"/>
      <w:r w:rsidRPr="00FF421E">
        <w:rPr>
          <w:rFonts w:eastAsia="Calibri"/>
          <w:lang w:eastAsia="en-US"/>
        </w:rPr>
        <w:t>Hepatology</w:t>
      </w:r>
      <w:proofErr w:type="spellEnd"/>
      <w:r w:rsidRPr="00FF421E">
        <w:rPr>
          <w:rFonts w:eastAsia="Calibri"/>
          <w:lang w:eastAsia="en-US"/>
        </w:rPr>
        <w:t xml:space="preserve">. 2014 [acceso: 23/03/2021]; 60(2):715-35. Disponible en: </w:t>
      </w:r>
      <w:hyperlink r:id="rId39" w:history="1">
        <w:r w:rsidRPr="00FF421E">
          <w:rPr>
            <w:rFonts w:eastAsia="Calibri"/>
            <w:u w:val="single"/>
            <w:lang w:eastAsia="en-US"/>
          </w:rPr>
          <w:t>https://pubmed.ncbi.nlm.nih.gov/25042402/</w:t>
        </w:r>
      </w:hyperlink>
      <w:r w:rsidRPr="00FF421E">
        <w:rPr>
          <w:rFonts w:eastAsia="Calibri"/>
          <w:lang w:eastAsia="en-US"/>
        </w:rPr>
        <w:t xml:space="preserve"> </w:t>
      </w:r>
    </w:p>
    <w:p w14:paraId="324A108F" w14:textId="77777777" w:rsidR="00FF421E" w:rsidRPr="00FF421E" w:rsidRDefault="00FF421E" w:rsidP="00FF421E">
      <w:pPr>
        <w:spacing w:line="360" w:lineRule="auto"/>
        <w:rPr>
          <w:rFonts w:eastAsia="Calibri"/>
          <w:lang w:eastAsia="en-US"/>
        </w:rPr>
      </w:pPr>
      <w:r w:rsidRPr="00FF421E">
        <w:rPr>
          <w:rFonts w:eastAsia="Calibri"/>
          <w:lang w:val="en-US" w:eastAsia="en-US"/>
        </w:rPr>
        <w:t xml:space="preserve">25. Attia K, </w:t>
      </w:r>
      <w:proofErr w:type="spellStart"/>
      <w:r w:rsidRPr="00FF421E">
        <w:rPr>
          <w:rFonts w:eastAsia="Calibri"/>
          <w:lang w:val="en-US" w:eastAsia="en-US"/>
        </w:rPr>
        <w:t>Ackoundou-N’guessan</w:t>
      </w:r>
      <w:proofErr w:type="spellEnd"/>
      <w:r w:rsidRPr="00FF421E">
        <w:rPr>
          <w:rFonts w:eastAsia="Calibri"/>
          <w:lang w:val="en-US" w:eastAsia="en-US"/>
        </w:rPr>
        <w:t xml:space="preserve"> K, </w:t>
      </w:r>
      <w:proofErr w:type="spellStart"/>
      <w:r w:rsidRPr="00FF421E">
        <w:rPr>
          <w:rFonts w:eastAsia="Calibri"/>
          <w:lang w:val="en-US" w:eastAsia="en-US"/>
        </w:rPr>
        <w:t>N’dri-yoman</w:t>
      </w:r>
      <w:proofErr w:type="spellEnd"/>
      <w:r w:rsidRPr="00FF421E">
        <w:rPr>
          <w:rFonts w:eastAsia="Calibri"/>
          <w:lang w:val="en-US" w:eastAsia="en-US"/>
        </w:rPr>
        <w:t xml:space="preserve"> A, </w:t>
      </w:r>
      <w:proofErr w:type="spellStart"/>
      <w:r w:rsidRPr="00FF421E">
        <w:rPr>
          <w:rFonts w:eastAsia="Calibri"/>
          <w:lang w:val="en-US" w:eastAsia="en-US"/>
        </w:rPr>
        <w:t>Mahassadi</w:t>
      </w:r>
      <w:proofErr w:type="spellEnd"/>
      <w:r w:rsidRPr="00FF421E">
        <w:rPr>
          <w:rFonts w:eastAsia="Calibri"/>
          <w:lang w:val="en-US" w:eastAsia="en-US"/>
        </w:rPr>
        <w:t xml:space="preserve"> A, </w:t>
      </w:r>
      <w:proofErr w:type="spellStart"/>
      <w:r w:rsidRPr="00FF421E">
        <w:rPr>
          <w:rFonts w:eastAsia="Calibri"/>
          <w:lang w:val="en-US" w:eastAsia="en-US"/>
        </w:rPr>
        <w:t>Messou</w:t>
      </w:r>
      <w:proofErr w:type="spellEnd"/>
      <w:r w:rsidRPr="00FF421E">
        <w:rPr>
          <w:rFonts w:eastAsia="Calibri"/>
          <w:lang w:val="en-US" w:eastAsia="en-US"/>
        </w:rPr>
        <w:t xml:space="preserve"> E, </w:t>
      </w:r>
      <w:proofErr w:type="spellStart"/>
      <w:r w:rsidRPr="00FF421E">
        <w:rPr>
          <w:rFonts w:eastAsia="Calibri"/>
          <w:lang w:val="en-US" w:eastAsia="en-US"/>
        </w:rPr>
        <w:t>Bathaix</w:t>
      </w:r>
      <w:proofErr w:type="spellEnd"/>
      <w:r w:rsidRPr="00FF421E">
        <w:rPr>
          <w:rFonts w:eastAsia="Calibri"/>
          <w:lang w:val="en-US" w:eastAsia="en-US"/>
        </w:rPr>
        <w:t xml:space="preserve"> Y, et al. Child-Pugh-</w:t>
      </w:r>
      <w:proofErr w:type="spellStart"/>
      <w:r w:rsidRPr="00FF421E">
        <w:rPr>
          <w:rFonts w:eastAsia="Calibri"/>
          <w:lang w:val="en-US" w:eastAsia="en-US"/>
        </w:rPr>
        <w:t>Turcott</w:t>
      </w:r>
      <w:proofErr w:type="spellEnd"/>
      <w:r w:rsidRPr="00FF421E">
        <w:rPr>
          <w:rFonts w:eastAsia="Calibri"/>
          <w:lang w:val="en-US" w:eastAsia="en-US"/>
        </w:rPr>
        <w:t xml:space="preserve"> versus Meld score for predicting survival in a retrospective cohort of black African cirrhotic patients. </w:t>
      </w:r>
      <w:proofErr w:type="spellStart"/>
      <w:r w:rsidRPr="00FF421E">
        <w:rPr>
          <w:rFonts w:eastAsia="Calibri"/>
          <w:lang w:eastAsia="en-US"/>
        </w:rPr>
        <w:t>World</w:t>
      </w:r>
      <w:proofErr w:type="spellEnd"/>
      <w:r w:rsidRPr="00FF421E">
        <w:rPr>
          <w:rFonts w:eastAsia="Calibri"/>
          <w:lang w:eastAsia="en-US"/>
        </w:rPr>
        <w:t xml:space="preserve"> J </w:t>
      </w:r>
      <w:proofErr w:type="spellStart"/>
      <w:r w:rsidRPr="00FF421E">
        <w:rPr>
          <w:rFonts w:eastAsia="Calibri"/>
          <w:lang w:eastAsia="en-US"/>
        </w:rPr>
        <w:t>Gastroenterol</w:t>
      </w:r>
      <w:proofErr w:type="spellEnd"/>
      <w:r w:rsidRPr="00FF421E">
        <w:rPr>
          <w:rFonts w:eastAsia="Calibri"/>
          <w:lang w:eastAsia="en-US"/>
        </w:rPr>
        <w:t xml:space="preserve">. 2008 [acceso: 23/03/2021]; 14(2):286-91. Disponible en: </w:t>
      </w:r>
      <w:hyperlink r:id="rId40" w:history="1">
        <w:r w:rsidRPr="00FF421E">
          <w:rPr>
            <w:rFonts w:eastAsia="Calibri"/>
            <w:u w:val="single"/>
            <w:lang w:eastAsia="en-US"/>
          </w:rPr>
          <w:t>https://pubmed.ncbi.nlm.nih.gov/18186569/</w:t>
        </w:r>
      </w:hyperlink>
      <w:r w:rsidRPr="00FF421E">
        <w:rPr>
          <w:rFonts w:eastAsia="Calibri"/>
          <w:lang w:eastAsia="en-US"/>
        </w:rPr>
        <w:t xml:space="preserve"> </w:t>
      </w:r>
    </w:p>
    <w:p w14:paraId="5E6A19BC" w14:textId="77777777" w:rsidR="00FF421E" w:rsidRPr="00FF421E" w:rsidRDefault="00FF421E" w:rsidP="00FF421E">
      <w:pPr>
        <w:spacing w:line="360" w:lineRule="auto"/>
        <w:rPr>
          <w:rFonts w:eastAsia="Calibri"/>
          <w:lang w:eastAsia="en-US"/>
        </w:rPr>
      </w:pPr>
      <w:r w:rsidRPr="00FF421E">
        <w:rPr>
          <w:rFonts w:eastAsia="Calibri"/>
          <w:lang w:eastAsia="en-US"/>
        </w:rPr>
        <w:t xml:space="preserve">26. Valenzuela Granados V, Salazar-Quiñones M, Cheng-Zárate L, Malpica-Castillo A, Huerta Mercado J, </w:t>
      </w:r>
      <w:proofErr w:type="spellStart"/>
      <w:r w:rsidRPr="00FF421E">
        <w:rPr>
          <w:rFonts w:eastAsia="Calibri"/>
          <w:lang w:eastAsia="en-US"/>
        </w:rPr>
        <w:t>Ticse</w:t>
      </w:r>
      <w:proofErr w:type="spellEnd"/>
      <w:r w:rsidRPr="00FF421E">
        <w:rPr>
          <w:rFonts w:eastAsia="Calibri"/>
          <w:lang w:eastAsia="en-US"/>
        </w:rPr>
        <w:t xml:space="preserve"> R. Comparación del valor pronóstico de mortalidad del Score Child Pugh y los </w:t>
      </w:r>
      <w:r w:rsidRPr="00FF421E">
        <w:rPr>
          <w:rFonts w:eastAsia="Calibri"/>
          <w:lang w:eastAsia="en-US"/>
        </w:rPr>
        <w:lastRenderedPageBreak/>
        <w:t xml:space="preserve">modelos de pronóstico de enfermedad hepática crónica en pacientes con cirrosis hepática descompensada del Hospital Nacional Cayetano Heredia, Lima-Perú. Revista de Gastroenterología del Perú. 2015 [acceso: 23/03/2021]; 35(4):307-12. Disponible en: </w:t>
      </w:r>
      <w:hyperlink r:id="rId41" w:history="1">
        <w:r w:rsidRPr="00FF421E">
          <w:rPr>
            <w:rFonts w:eastAsia="Calibri"/>
            <w:u w:val="single"/>
            <w:lang w:eastAsia="en-US"/>
          </w:rPr>
          <w:t>http://www.scielo.org.pe/scielo.php?script=sci_arttext&amp;pid=S1022-51292015000400003</w:t>
        </w:r>
      </w:hyperlink>
      <w:r w:rsidRPr="00FF421E">
        <w:rPr>
          <w:rFonts w:eastAsia="Calibri"/>
          <w:lang w:eastAsia="en-US"/>
        </w:rPr>
        <w:t xml:space="preserve"> </w:t>
      </w:r>
    </w:p>
    <w:p w14:paraId="276A2EB2" w14:textId="77777777" w:rsidR="00FF421E" w:rsidRPr="00FF421E" w:rsidRDefault="00FF421E" w:rsidP="00FF421E">
      <w:pPr>
        <w:spacing w:line="360" w:lineRule="auto"/>
        <w:rPr>
          <w:rFonts w:eastAsia="Calibri"/>
          <w:lang w:eastAsia="en-US"/>
        </w:rPr>
      </w:pPr>
      <w:r w:rsidRPr="00FF421E">
        <w:rPr>
          <w:rFonts w:eastAsia="Calibri"/>
          <w:lang w:val="es-ES" w:eastAsia="en-US"/>
        </w:rPr>
        <w:t xml:space="preserve">27. Morales BP, Planas R, </w:t>
      </w:r>
      <w:proofErr w:type="spellStart"/>
      <w:r w:rsidRPr="00FF421E">
        <w:rPr>
          <w:rFonts w:eastAsia="Calibri"/>
          <w:lang w:val="es-ES" w:eastAsia="en-US"/>
        </w:rPr>
        <w:t>Bartoli</w:t>
      </w:r>
      <w:proofErr w:type="spellEnd"/>
      <w:r w:rsidRPr="00FF421E">
        <w:rPr>
          <w:rFonts w:eastAsia="Calibri"/>
          <w:lang w:val="es-ES" w:eastAsia="en-US"/>
        </w:rPr>
        <w:t xml:space="preserve"> R, Morillas RM, Sala M, Cabré E, et al. </w:t>
      </w:r>
      <w:r w:rsidRPr="00FF421E">
        <w:rPr>
          <w:rFonts w:eastAsia="Calibri"/>
          <w:lang w:val="en-US" w:eastAsia="en-US"/>
        </w:rPr>
        <w:t xml:space="preserve">Early hospital readmission in decompensated cirrhosis: Incidence, impact on mortality, and predictive factors. </w:t>
      </w:r>
      <w:proofErr w:type="spellStart"/>
      <w:r w:rsidRPr="00FF421E">
        <w:rPr>
          <w:rFonts w:eastAsia="Calibri"/>
          <w:lang w:eastAsia="en-US"/>
        </w:rPr>
        <w:t>Digestive</w:t>
      </w:r>
      <w:proofErr w:type="spellEnd"/>
      <w:r w:rsidRPr="00FF421E">
        <w:rPr>
          <w:rFonts w:eastAsia="Calibri"/>
          <w:lang w:eastAsia="en-US"/>
        </w:rPr>
        <w:t xml:space="preserve"> and </w:t>
      </w:r>
      <w:proofErr w:type="spellStart"/>
      <w:r w:rsidRPr="00FF421E">
        <w:rPr>
          <w:rFonts w:eastAsia="Calibri"/>
          <w:lang w:eastAsia="en-US"/>
        </w:rPr>
        <w:t>Liver</w:t>
      </w:r>
      <w:proofErr w:type="spellEnd"/>
      <w:r w:rsidRPr="00FF421E">
        <w:rPr>
          <w:rFonts w:eastAsia="Calibri"/>
          <w:lang w:eastAsia="en-US"/>
        </w:rPr>
        <w:t xml:space="preserve"> </w:t>
      </w:r>
      <w:proofErr w:type="spellStart"/>
      <w:r w:rsidRPr="00FF421E">
        <w:rPr>
          <w:rFonts w:eastAsia="Calibri"/>
          <w:lang w:eastAsia="en-US"/>
        </w:rPr>
        <w:t>Disease</w:t>
      </w:r>
      <w:proofErr w:type="spellEnd"/>
      <w:r w:rsidRPr="00FF421E">
        <w:rPr>
          <w:rFonts w:eastAsia="Calibri"/>
          <w:lang w:eastAsia="en-US"/>
        </w:rPr>
        <w:t xml:space="preserve">. 2017 [acceso: 23/03/2021]; 49(8):903-9. Disponible en: </w:t>
      </w:r>
      <w:hyperlink r:id="rId42" w:history="1">
        <w:r w:rsidRPr="00FF421E">
          <w:rPr>
            <w:rFonts w:eastAsia="Calibri"/>
            <w:u w:val="single"/>
            <w:lang w:eastAsia="en-US"/>
          </w:rPr>
          <w:t>https://pubmed.ncbi.nlm.nih.gov/28410915/</w:t>
        </w:r>
      </w:hyperlink>
      <w:r w:rsidRPr="00FF421E">
        <w:rPr>
          <w:rFonts w:eastAsia="Calibri"/>
          <w:lang w:eastAsia="en-US"/>
        </w:rPr>
        <w:t xml:space="preserve"> </w:t>
      </w:r>
    </w:p>
    <w:p w14:paraId="2F8E1DA2" w14:textId="77777777" w:rsidR="00FF421E" w:rsidRPr="00FF421E" w:rsidRDefault="00FF421E" w:rsidP="00FF421E">
      <w:pPr>
        <w:spacing w:line="360" w:lineRule="auto"/>
        <w:rPr>
          <w:rFonts w:eastAsia="Calibri"/>
          <w:lang w:eastAsia="en-US"/>
        </w:rPr>
      </w:pPr>
      <w:r w:rsidRPr="00FF421E">
        <w:rPr>
          <w:rFonts w:eastAsia="Calibri"/>
          <w:lang w:eastAsia="en-US"/>
        </w:rPr>
        <w:t xml:space="preserve">28. Correa S, Ponce de León C, </w:t>
      </w:r>
      <w:proofErr w:type="spellStart"/>
      <w:r w:rsidRPr="00FF421E">
        <w:rPr>
          <w:rFonts w:eastAsia="Calibri"/>
          <w:lang w:eastAsia="en-US"/>
        </w:rPr>
        <w:t>Perendones</w:t>
      </w:r>
      <w:proofErr w:type="spellEnd"/>
      <w:r w:rsidRPr="00FF421E">
        <w:rPr>
          <w:rFonts w:eastAsia="Calibri"/>
          <w:lang w:eastAsia="en-US"/>
        </w:rPr>
        <w:t xml:space="preserve"> M. Insuficiencia renal aguda en la cirrosis hepática: análisis de causas. Revista Uruguaya de Medicina Interna. 2016 [acceso: 23/03/2021]; 1(2):20-8. Disponible en: </w:t>
      </w:r>
      <w:hyperlink r:id="rId43" w:history="1">
        <w:r w:rsidRPr="00FF421E">
          <w:rPr>
            <w:rFonts w:eastAsia="Calibri"/>
            <w:u w:val="single"/>
            <w:lang w:eastAsia="en-US"/>
          </w:rPr>
          <w:t>http://www.scielo.edu.uy/scielo.php?script=sci_arttext&amp;pid=S2393-67972016000200003</w:t>
        </w:r>
      </w:hyperlink>
      <w:r w:rsidRPr="00FF421E">
        <w:rPr>
          <w:rFonts w:eastAsia="Calibri"/>
          <w:lang w:eastAsia="en-US"/>
        </w:rPr>
        <w:t xml:space="preserve"> </w:t>
      </w:r>
    </w:p>
    <w:p w14:paraId="7A13A7D0" w14:textId="77777777" w:rsidR="00FF421E" w:rsidRPr="00FF421E" w:rsidRDefault="00FF421E" w:rsidP="00FF421E">
      <w:pPr>
        <w:suppressAutoHyphens/>
        <w:spacing w:line="360" w:lineRule="auto"/>
        <w:jc w:val="both"/>
        <w:rPr>
          <w:rFonts w:eastAsia="Calibri"/>
          <w:b/>
          <w:bCs/>
          <w:lang w:eastAsia="ar-SA"/>
        </w:rPr>
      </w:pPr>
    </w:p>
    <w:p w14:paraId="5F19E034" w14:textId="77777777" w:rsidR="00FF421E" w:rsidRPr="00FF421E" w:rsidRDefault="00FF421E" w:rsidP="00FF421E">
      <w:pPr>
        <w:keepNext/>
        <w:keepLines/>
        <w:suppressAutoHyphens/>
        <w:spacing w:line="360" w:lineRule="auto"/>
        <w:jc w:val="center"/>
        <w:outlineLvl w:val="0"/>
        <w:rPr>
          <w:b/>
          <w:bCs/>
          <w:lang w:eastAsia="ar-SA"/>
        </w:rPr>
      </w:pPr>
    </w:p>
    <w:p w14:paraId="7EBB1EA7" w14:textId="77777777" w:rsidR="00FF421E" w:rsidRPr="00FF421E" w:rsidRDefault="00FF421E" w:rsidP="00FF421E">
      <w:pPr>
        <w:keepNext/>
        <w:keepLines/>
        <w:suppressAutoHyphens/>
        <w:spacing w:line="360" w:lineRule="auto"/>
        <w:jc w:val="center"/>
        <w:outlineLvl w:val="0"/>
        <w:rPr>
          <w:b/>
          <w:bCs/>
          <w:lang w:eastAsia="ar-SA"/>
        </w:rPr>
      </w:pPr>
      <w:r w:rsidRPr="00FF421E">
        <w:rPr>
          <w:b/>
          <w:bCs/>
          <w:lang w:eastAsia="ar-SA"/>
        </w:rPr>
        <w:t>Conflictos de interés</w:t>
      </w:r>
    </w:p>
    <w:p w14:paraId="6B93DEDB" w14:textId="77777777" w:rsidR="00FF421E" w:rsidRPr="00FF421E" w:rsidRDefault="00FF421E" w:rsidP="00FF421E">
      <w:pPr>
        <w:suppressAutoHyphens/>
        <w:autoSpaceDE w:val="0"/>
        <w:spacing w:line="360" w:lineRule="auto"/>
        <w:rPr>
          <w:rFonts w:eastAsia="Calibri"/>
          <w:lang w:eastAsia="ar-SA"/>
        </w:rPr>
      </w:pPr>
      <w:r w:rsidRPr="00FF421E">
        <w:rPr>
          <w:rFonts w:eastAsia="Calibri"/>
          <w:lang w:eastAsia="ar-SA"/>
        </w:rPr>
        <w:t>Los autores declaran no tener conflictos de interés.</w:t>
      </w:r>
    </w:p>
    <w:p w14:paraId="22D970DF" w14:textId="77777777" w:rsidR="00FF421E" w:rsidRPr="00FF421E" w:rsidRDefault="00FF421E" w:rsidP="00FF421E">
      <w:pPr>
        <w:suppressAutoHyphens/>
        <w:spacing w:line="360" w:lineRule="auto"/>
        <w:jc w:val="both"/>
        <w:rPr>
          <w:rFonts w:eastAsia="Calibri"/>
          <w:b/>
          <w:bCs/>
          <w:lang w:eastAsia="ar-SA"/>
        </w:rPr>
      </w:pPr>
    </w:p>
    <w:p w14:paraId="0ACBD17D" w14:textId="77777777" w:rsidR="00FF421E" w:rsidRPr="00FF421E" w:rsidRDefault="00FF421E" w:rsidP="00FF421E">
      <w:pPr>
        <w:suppressAutoHyphens/>
        <w:spacing w:line="360" w:lineRule="auto"/>
        <w:jc w:val="center"/>
        <w:rPr>
          <w:rFonts w:eastAsia="Calibri"/>
          <w:b/>
          <w:bCs/>
          <w:lang w:eastAsia="ar-SA"/>
        </w:rPr>
      </w:pPr>
      <w:r w:rsidRPr="00FF421E">
        <w:rPr>
          <w:rFonts w:eastAsia="Calibri"/>
          <w:b/>
          <w:bCs/>
          <w:lang w:eastAsia="ar-SA"/>
        </w:rPr>
        <w:t>Contribuciones de los autores</w:t>
      </w:r>
    </w:p>
    <w:p w14:paraId="48305DE9"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Conceptualización: </w:t>
      </w:r>
      <w:r w:rsidRPr="00FF421E">
        <w:rPr>
          <w:i/>
          <w:lang w:val="es-PE" w:eastAsia="es-PE"/>
        </w:rPr>
        <w:t xml:space="preserve">Maricarmen Viera Santillán, Luis </w:t>
      </w:r>
      <w:proofErr w:type="spellStart"/>
      <w:r w:rsidRPr="00FF421E">
        <w:rPr>
          <w:i/>
          <w:lang w:val="es-PE" w:eastAsia="es-PE"/>
        </w:rPr>
        <w:t>Vasquez</w:t>
      </w:r>
      <w:proofErr w:type="spellEnd"/>
      <w:r w:rsidRPr="00FF421E">
        <w:rPr>
          <w:i/>
          <w:lang w:val="es-PE" w:eastAsia="es-PE"/>
        </w:rPr>
        <w:t xml:space="preserve"> </w:t>
      </w:r>
      <w:proofErr w:type="spellStart"/>
      <w:r w:rsidRPr="00FF421E">
        <w:rPr>
          <w:i/>
          <w:lang w:val="es-PE" w:eastAsia="es-PE"/>
        </w:rPr>
        <w:t>Elera</w:t>
      </w:r>
      <w:proofErr w:type="spellEnd"/>
      <w:r w:rsidRPr="00FF421E">
        <w:rPr>
          <w:i/>
          <w:lang w:val="es-PE" w:eastAsia="es-PE"/>
        </w:rPr>
        <w:t>.</w:t>
      </w:r>
    </w:p>
    <w:p w14:paraId="028F81A6"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Curación de datos: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Mario Valladares Garrido. </w:t>
      </w:r>
    </w:p>
    <w:p w14:paraId="566D7427"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Análisis formal: </w:t>
      </w:r>
      <w:r w:rsidRPr="00FF421E">
        <w:rPr>
          <w:rFonts w:eastAsia="Calibri"/>
          <w:bCs/>
          <w:i/>
          <w:lang w:eastAsia="ar-SA"/>
        </w:rPr>
        <w:t>Maricarmen Viera Santillán, Mario Valladares Garrido.</w:t>
      </w:r>
    </w:p>
    <w:p w14:paraId="400DD483"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Investigación: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6D9E75FC"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t xml:space="preserve">Metodología: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732140ED"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Administración del proyecto: </w:t>
      </w:r>
      <w:r w:rsidRPr="00FF421E">
        <w:rPr>
          <w:i/>
          <w:lang w:val="es-PE" w:eastAsia="es-PE"/>
        </w:rPr>
        <w:t xml:space="preserve">Maricarmen Viera Santillán, Luis </w:t>
      </w:r>
      <w:proofErr w:type="spellStart"/>
      <w:r w:rsidRPr="00FF421E">
        <w:rPr>
          <w:i/>
          <w:lang w:val="es-PE" w:eastAsia="es-PE"/>
        </w:rPr>
        <w:t>Vasquez</w:t>
      </w:r>
      <w:proofErr w:type="spellEnd"/>
      <w:r w:rsidRPr="00FF421E">
        <w:rPr>
          <w:i/>
          <w:lang w:val="es-PE" w:eastAsia="es-PE"/>
        </w:rPr>
        <w:t xml:space="preserve"> </w:t>
      </w:r>
      <w:proofErr w:type="spellStart"/>
      <w:r w:rsidRPr="00FF421E">
        <w:rPr>
          <w:i/>
          <w:lang w:val="es-PE" w:eastAsia="es-PE"/>
        </w:rPr>
        <w:t>Elera</w:t>
      </w:r>
      <w:proofErr w:type="spellEnd"/>
      <w:r w:rsidRPr="00FF421E">
        <w:rPr>
          <w:i/>
          <w:lang w:val="es-PE" w:eastAsia="es-PE"/>
        </w:rPr>
        <w:t>.</w:t>
      </w:r>
    </w:p>
    <w:p w14:paraId="5DC4B204"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Recursos: </w:t>
      </w:r>
      <w:r w:rsidRPr="00FF421E">
        <w:rPr>
          <w:i/>
          <w:lang w:val="es-PE" w:eastAsia="es-PE"/>
        </w:rPr>
        <w:t xml:space="preserve">Maricarmen Viera Santillán, Luis </w:t>
      </w:r>
      <w:proofErr w:type="spellStart"/>
      <w:r w:rsidRPr="00FF421E">
        <w:rPr>
          <w:i/>
          <w:lang w:val="es-PE" w:eastAsia="es-PE"/>
        </w:rPr>
        <w:t>Vasquez</w:t>
      </w:r>
      <w:proofErr w:type="spellEnd"/>
      <w:r w:rsidRPr="00FF421E">
        <w:rPr>
          <w:i/>
          <w:lang w:val="es-PE" w:eastAsia="es-PE"/>
        </w:rPr>
        <w:t xml:space="preserve"> </w:t>
      </w:r>
      <w:proofErr w:type="spellStart"/>
      <w:r w:rsidRPr="00FF421E">
        <w:rPr>
          <w:i/>
          <w:lang w:val="es-PE" w:eastAsia="es-PE"/>
        </w:rPr>
        <w:t>Elera</w:t>
      </w:r>
      <w:proofErr w:type="spellEnd"/>
      <w:r w:rsidRPr="00FF421E">
        <w:rPr>
          <w:i/>
          <w:lang w:val="es-PE" w:eastAsia="es-PE"/>
        </w:rPr>
        <w:t>.</w:t>
      </w:r>
    </w:p>
    <w:p w14:paraId="5DEE2F46"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t xml:space="preserve">Software: </w:t>
      </w:r>
      <w:r w:rsidRPr="00FF421E">
        <w:rPr>
          <w:rFonts w:eastAsia="Calibri"/>
          <w:bCs/>
          <w:i/>
          <w:lang w:eastAsia="ar-SA"/>
        </w:rPr>
        <w:t>Mario Valladares Garrido.</w:t>
      </w:r>
    </w:p>
    <w:p w14:paraId="159878E2"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lastRenderedPageBreak/>
        <w:t xml:space="preserve">Supervisión: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15623186"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t xml:space="preserve">Validación: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731296BA" w14:textId="77777777" w:rsidR="00FF421E" w:rsidRPr="00FF421E" w:rsidRDefault="00FF421E" w:rsidP="00FF421E">
      <w:pPr>
        <w:shd w:val="clear" w:color="auto" w:fill="FFFFFF"/>
        <w:spacing w:line="360" w:lineRule="auto"/>
        <w:rPr>
          <w:lang w:val="es-PE" w:eastAsia="es-PE"/>
        </w:rPr>
      </w:pPr>
      <w:r w:rsidRPr="00FF421E">
        <w:rPr>
          <w:lang w:val="es-PE" w:eastAsia="es-PE"/>
        </w:rPr>
        <w:t xml:space="preserve">Visualización: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2B2D4E7D"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t xml:space="preserve">Redacción – borrador original: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0428E110" w14:textId="77777777" w:rsidR="00FF421E" w:rsidRPr="00FF421E" w:rsidRDefault="00FF421E" w:rsidP="00FF421E">
      <w:pPr>
        <w:suppressAutoHyphens/>
        <w:spacing w:line="360" w:lineRule="auto"/>
        <w:jc w:val="both"/>
        <w:rPr>
          <w:rFonts w:eastAsia="Calibri"/>
          <w:bCs/>
          <w:i/>
          <w:lang w:eastAsia="ar-SA"/>
        </w:rPr>
      </w:pPr>
      <w:r w:rsidRPr="00FF421E">
        <w:rPr>
          <w:lang w:val="es-PE" w:eastAsia="es-PE"/>
        </w:rPr>
        <w:t xml:space="preserve">Redacción – revisión y edición: </w:t>
      </w:r>
      <w:r w:rsidRPr="00FF421E">
        <w:rPr>
          <w:rFonts w:eastAsia="Calibri"/>
          <w:bCs/>
          <w:i/>
          <w:lang w:eastAsia="ar-SA"/>
        </w:rPr>
        <w:t xml:space="preserve">Maricarmen Viera Santillán, Luis </w:t>
      </w:r>
      <w:proofErr w:type="spellStart"/>
      <w:r w:rsidRPr="00FF421E">
        <w:rPr>
          <w:rFonts w:eastAsia="Calibri"/>
          <w:bCs/>
          <w:i/>
          <w:lang w:eastAsia="ar-SA"/>
        </w:rPr>
        <w:t>Vasquez</w:t>
      </w:r>
      <w:proofErr w:type="spellEnd"/>
      <w:r w:rsidRPr="00FF421E">
        <w:rPr>
          <w:rFonts w:eastAsia="Calibri"/>
          <w:bCs/>
          <w:i/>
          <w:lang w:eastAsia="ar-SA"/>
        </w:rPr>
        <w:t xml:space="preserve"> </w:t>
      </w:r>
      <w:proofErr w:type="spellStart"/>
      <w:r w:rsidRPr="00FF421E">
        <w:rPr>
          <w:rFonts w:eastAsia="Calibri"/>
          <w:bCs/>
          <w:i/>
          <w:lang w:eastAsia="ar-SA"/>
        </w:rPr>
        <w:t>Elera</w:t>
      </w:r>
      <w:proofErr w:type="spellEnd"/>
      <w:r w:rsidRPr="00FF421E">
        <w:rPr>
          <w:rFonts w:eastAsia="Calibri"/>
          <w:bCs/>
          <w:i/>
          <w:lang w:eastAsia="ar-SA"/>
        </w:rPr>
        <w:t xml:space="preserve">, Christopher Valdiviezo Morales, </w:t>
      </w:r>
      <w:proofErr w:type="spellStart"/>
      <w:r w:rsidRPr="00FF421E">
        <w:rPr>
          <w:rFonts w:eastAsia="Calibri"/>
          <w:bCs/>
          <w:i/>
          <w:lang w:eastAsia="ar-SA"/>
        </w:rPr>
        <w:t>Raisa</w:t>
      </w:r>
      <w:proofErr w:type="spellEnd"/>
      <w:r w:rsidRPr="00FF421E">
        <w:rPr>
          <w:rFonts w:eastAsia="Calibri"/>
          <w:bCs/>
          <w:i/>
          <w:lang w:eastAsia="ar-SA"/>
        </w:rPr>
        <w:t xml:space="preserve"> </w:t>
      </w:r>
      <w:proofErr w:type="spellStart"/>
      <w:r w:rsidRPr="00FF421E">
        <w:rPr>
          <w:rFonts w:eastAsia="Calibri"/>
          <w:bCs/>
          <w:i/>
          <w:lang w:eastAsia="ar-SA"/>
        </w:rPr>
        <w:t>Martinez</w:t>
      </w:r>
      <w:proofErr w:type="spellEnd"/>
      <w:r w:rsidRPr="00FF421E">
        <w:rPr>
          <w:rFonts w:eastAsia="Calibri"/>
          <w:bCs/>
          <w:i/>
          <w:lang w:eastAsia="ar-SA"/>
        </w:rPr>
        <w:t xml:space="preserve"> Rivera, Mario Valladares Garrido.</w:t>
      </w:r>
    </w:p>
    <w:p w14:paraId="5042FE3D" w14:textId="77777777" w:rsidR="00675476" w:rsidRPr="00391509" w:rsidRDefault="00675476" w:rsidP="00391509"/>
    <w:sectPr w:rsidR="00675476" w:rsidRPr="00391509" w:rsidSect="00486BFA">
      <w:headerReference w:type="default" r:id="rId44"/>
      <w:footerReference w:type="even" r:id="rId45"/>
      <w:footerReference w:type="default" r:id="rId46"/>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4899" w14:textId="77777777" w:rsidR="00245CAE" w:rsidRDefault="00245CAE">
      <w:r>
        <w:separator/>
      </w:r>
    </w:p>
  </w:endnote>
  <w:endnote w:type="continuationSeparator" w:id="0">
    <w:p w14:paraId="5DD0E15B" w14:textId="77777777" w:rsidR="00245CAE" w:rsidRDefault="0024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9D7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A292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1C5D" w14:textId="23E70EEF" w:rsidR="000F3690" w:rsidRPr="00AE044C" w:rsidRDefault="00FF421E"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76C42EB" wp14:editId="2BC0F0EA">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7E300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25F202E3" w14:textId="77777777" w:rsidR="00675476" w:rsidRPr="00AE044C" w:rsidRDefault="00245CAE" w:rsidP="00391509">
    <w:pPr>
      <w:pStyle w:val="Piedepgina"/>
      <w:ind w:right="360"/>
      <w:rPr>
        <w:sz w:val="22"/>
        <w:szCs w:val="22"/>
      </w:rPr>
    </w:pPr>
    <w:hyperlink r:id="rId1" w:history="1">
      <w:r w:rsidR="00391509" w:rsidRPr="00AE044C">
        <w:rPr>
          <w:rStyle w:val="Hipervnculo"/>
          <w:sz w:val="22"/>
          <w:szCs w:val="22"/>
        </w:rPr>
        <w:t>http://scielo.sld.cu</w:t>
      </w:r>
    </w:hyperlink>
  </w:p>
  <w:p w14:paraId="506595E8" w14:textId="77777777" w:rsidR="00391509" w:rsidRPr="00AE044C" w:rsidRDefault="00245CA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434BE25" w14:textId="1B7EF04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F421E" w:rsidRPr="00FF421E">
      <w:rPr>
        <w:rFonts w:ascii="Verdana" w:hAnsi="Verdana"/>
        <w:noProof/>
        <w:sz w:val="18"/>
        <w:szCs w:val="18"/>
        <w:lang w:val="en-US" w:eastAsia="en-US"/>
      </w:rPr>
      <w:drawing>
        <wp:inline distT="0" distB="0" distL="0" distR="0" wp14:anchorId="0F502045" wp14:editId="4DB7B3F1">
          <wp:extent cx="638175" cy="146685"/>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A15E" w14:textId="77777777" w:rsidR="00245CAE" w:rsidRDefault="00245CAE">
      <w:r>
        <w:separator/>
      </w:r>
    </w:p>
  </w:footnote>
  <w:footnote w:type="continuationSeparator" w:id="0">
    <w:p w14:paraId="393E74FF" w14:textId="77777777" w:rsidR="00245CAE" w:rsidRDefault="0024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2A32" w14:textId="4A52C99A" w:rsidR="00CC376A" w:rsidRPr="00AE044C" w:rsidRDefault="00FF421E"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0321C92" wp14:editId="089EACAB">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e02101370</w:t>
    </w:r>
  </w:p>
  <w:p w14:paraId="131B7B49" w14:textId="0F91516E" w:rsidR="00A477DE" w:rsidRDefault="00FF421E">
    <w:r>
      <w:rPr>
        <w:noProof/>
      </w:rPr>
      <mc:AlternateContent>
        <mc:Choice Requires="wps">
          <w:drawing>
            <wp:anchor distT="0" distB="0" distL="114300" distR="114300" simplePos="0" relativeHeight="251657216" behindDoc="0" locked="0" layoutInCell="1" allowOverlap="1" wp14:anchorId="2D7EE036" wp14:editId="6D8E8500">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E28A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82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19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22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2C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69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23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E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21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A4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86C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B62EB"/>
    <w:multiLevelType w:val="hybridMultilevel"/>
    <w:tmpl w:val="29A29F3E"/>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14EC4D04"/>
    <w:multiLevelType w:val="hybridMultilevel"/>
    <w:tmpl w:val="0DB0896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293D509B"/>
    <w:multiLevelType w:val="multilevel"/>
    <w:tmpl w:val="3D60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50AD6"/>
    <w:multiLevelType w:val="hybridMultilevel"/>
    <w:tmpl w:val="CCA204D4"/>
    <w:lvl w:ilvl="0" w:tplc="11A2BA18">
      <w:start w:val="1"/>
      <w:numFmt w:val="decimal"/>
      <w:lvlText w:val="%1)"/>
      <w:lvlJc w:val="left"/>
      <w:pPr>
        <w:ind w:left="1080" w:hanging="360"/>
      </w:pPr>
      <w:rPr>
        <w:rFonts w:hint="default"/>
      </w:rPr>
    </w:lvl>
    <w:lvl w:ilvl="1" w:tplc="5C0A0019" w:tentative="1">
      <w:start w:val="1"/>
      <w:numFmt w:val="lowerLetter"/>
      <w:lvlText w:val="%2."/>
      <w:lvlJc w:val="left"/>
      <w:pPr>
        <w:ind w:left="1800" w:hanging="360"/>
      </w:pPr>
    </w:lvl>
    <w:lvl w:ilvl="2" w:tplc="5C0A001B" w:tentative="1">
      <w:start w:val="1"/>
      <w:numFmt w:val="lowerRoman"/>
      <w:lvlText w:val="%3."/>
      <w:lvlJc w:val="right"/>
      <w:pPr>
        <w:ind w:left="2520" w:hanging="180"/>
      </w:pPr>
    </w:lvl>
    <w:lvl w:ilvl="3" w:tplc="5C0A000F" w:tentative="1">
      <w:start w:val="1"/>
      <w:numFmt w:val="decimal"/>
      <w:lvlText w:val="%4."/>
      <w:lvlJc w:val="left"/>
      <w:pPr>
        <w:ind w:left="3240" w:hanging="360"/>
      </w:pPr>
    </w:lvl>
    <w:lvl w:ilvl="4" w:tplc="5C0A0019" w:tentative="1">
      <w:start w:val="1"/>
      <w:numFmt w:val="lowerLetter"/>
      <w:lvlText w:val="%5."/>
      <w:lvlJc w:val="left"/>
      <w:pPr>
        <w:ind w:left="3960" w:hanging="360"/>
      </w:pPr>
    </w:lvl>
    <w:lvl w:ilvl="5" w:tplc="5C0A001B" w:tentative="1">
      <w:start w:val="1"/>
      <w:numFmt w:val="lowerRoman"/>
      <w:lvlText w:val="%6."/>
      <w:lvlJc w:val="right"/>
      <w:pPr>
        <w:ind w:left="4680" w:hanging="180"/>
      </w:pPr>
    </w:lvl>
    <w:lvl w:ilvl="6" w:tplc="5C0A000F" w:tentative="1">
      <w:start w:val="1"/>
      <w:numFmt w:val="decimal"/>
      <w:lvlText w:val="%7."/>
      <w:lvlJc w:val="left"/>
      <w:pPr>
        <w:ind w:left="5400" w:hanging="360"/>
      </w:pPr>
    </w:lvl>
    <w:lvl w:ilvl="7" w:tplc="5C0A0019" w:tentative="1">
      <w:start w:val="1"/>
      <w:numFmt w:val="lowerLetter"/>
      <w:lvlText w:val="%8."/>
      <w:lvlJc w:val="left"/>
      <w:pPr>
        <w:ind w:left="6120" w:hanging="360"/>
      </w:pPr>
    </w:lvl>
    <w:lvl w:ilvl="8" w:tplc="5C0A001B" w:tentative="1">
      <w:start w:val="1"/>
      <w:numFmt w:val="lowerRoman"/>
      <w:lvlText w:val="%9."/>
      <w:lvlJc w:val="right"/>
      <w:pPr>
        <w:ind w:left="6840" w:hanging="180"/>
      </w:pPr>
    </w:lvl>
  </w:abstractNum>
  <w:abstractNum w:abstractNumId="14" w15:restartNumberingAfterBreak="0">
    <w:nsid w:val="2D386B8A"/>
    <w:multiLevelType w:val="hybridMultilevel"/>
    <w:tmpl w:val="D2F46C94"/>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35497ED4"/>
    <w:multiLevelType w:val="multilevel"/>
    <w:tmpl w:val="A91646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73EE4"/>
    <w:multiLevelType w:val="hybridMultilevel"/>
    <w:tmpl w:val="A7B2E3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C2B6D3D"/>
    <w:multiLevelType w:val="hybridMultilevel"/>
    <w:tmpl w:val="768668F6"/>
    <w:lvl w:ilvl="0" w:tplc="A3FED3DE">
      <w:start w:val="20"/>
      <w:numFmt w:val="bullet"/>
      <w:lvlText w:val=""/>
      <w:lvlJc w:val="left"/>
      <w:pPr>
        <w:ind w:left="5445" w:hanging="360"/>
      </w:pPr>
      <w:rPr>
        <w:rFonts w:ascii="Symbol" w:eastAsia="Calibri" w:hAnsi="Symbol" w:cs="Arial-BoldMT"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18" w15:restartNumberingAfterBreak="0">
    <w:nsid w:val="4EDA3746"/>
    <w:multiLevelType w:val="hybridMultilevel"/>
    <w:tmpl w:val="670EFB64"/>
    <w:lvl w:ilvl="0" w:tplc="5454AB90">
      <w:start w:val="20"/>
      <w:numFmt w:val="bullet"/>
      <w:lvlText w:val=""/>
      <w:lvlJc w:val="left"/>
      <w:pPr>
        <w:ind w:left="4680" w:hanging="360"/>
      </w:pPr>
      <w:rPr>
        <w:rFonts w:ascii="Symbol" w:eastAsia="Calibri" w:hAnsi="Symbol" w:cs="Arial-BoldM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C697A12"/>
    <w:multiLevelType w:val="multilevel"/>
    <w:tmpl w:val="8CBC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5388F"/>
    <w:multiLevelType w:val="hybridMultilevel"/>
    <w:tmpl w:val="BC34AB62"/>
    <w:lvl w:ilvl="0" w:tplc="B930D8C6">
      <w:start w:val="20"/>
      <w:numFmt w:val="bullet"/>
      <w:lvlText w:val=""/>
      <w:lvlJc w:val="left"/>
      <w:pPr>
        <w:ind w:left="5040" w:hanging="360"/>
      </w:pPr>
      <w:rPr>
        <w:rFonts w:ascii="Symbol" w:eastAsia="Calibri" w:hAnsi="Symbol" w:cs="Arial-BoldMT"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15:restartNumberingAfterBreak="0">
    <w:nsid w:val="68E038C7"/>
    <w:multiLevelType w:val="hybridMultilevel"/>
    <w:tmpl w:val="E304C5E0"/>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8"/>
  </w:num>
  <w:num w:numId="2">
    <w:abstractNumId w:val="20"/>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6"/>
  </w:num>
  <w:num w:numId="16">
    <w:abstractNumId w:val="15"/>
  </w:num>
  <w:num w:numId="17">
    <w:abstractNumId w:val="19"/>
  </w:num>
  <w:num w:numId="18">
    <w:abstractNumId w:val="21"/>
  </w:num>
  <w:num w:numId="19">
    <w:abstractNumId w:val="12"/>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1E"/>
    <w:rsid w:val="000F3690"/>
    <w:rsid w:val="001221D1"/>
    <w:rsid w:val="00180CE9"/>
    <w:rsid w:val="00230DD5"/>
    <w:rsid w:val="00245CAE"/>
    <w:rsid w:val="0029156C"/>
    <w:rsid w:val="002E2F8E"/>
    <w:rsid w:val="00380D64"/>
    <w:rsid w:val="00391509"/>
    <w:rsid w:val="003E03D5"/>
    <w:rsid w:val="00486BFA"/>
    <w:rsid w:val="00493701"/>
    <w:rsid w:val="004E2065"/>
    <w:rsid w:val="005508A2"/>
    <w:rsid w:val="00566F71"/>
    <w:rsid w:val="005918BD"/>
    <w:rsid w:val="006173A6"/>
    <w:rsid w:val="00675476"/>
    <w:rsid w:val="00762230"/>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C5A6B"/>
    <w:rsid w:val="00FE282D"/>
    <w:rsid w:val="00FE40CB"/>
    <w:rsid w:val="00FF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8738C"/>
  <w15:docId w15:val="{ECAD053B-1D6B-4773-BC43-168DDCB5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F421E"/>
    <w:pPr>
      <w:keepNext/>
      <w:spacing w:before="240" w:after="60"/>
      <w:outlineLvl w:val="0"/>
    </w:pPr>
    <w:rPr>
      <w:rFonts w:ascii="Arial" w:hAnsi="Arial"/>
      <w:b/>
      <w:bCs/>
      <w:sz w:val="22"/>
      <w:szCs w:val="28"/>
      <w:lang w:val="es-CU" w:eastAsia="ar-SA"/>
    </w:rPr>
  </w:style>
  <w:style w:type="paragraph" w:styleId="Ttulo2">
    <w:name w:val="heading 2"/>
    <w:basedOn w:val="Normal"/>
    <w:next w:val="Normal"/>
    <w:link w:val="Ttulo2Car"/>
    <w:uiPriority w:val="9"/>
    <w:semiHidden/>
    <w:unhideWhenUsed/>
    <w:qFormat/>
    <w:rsid w:val="00FF421E"/>
    <w:pPr>
      <w:keepNext/>
      <w:spacing w:before="240" w:after="60"/>
      <w:outlineLvl w:val="1"/>
    </w:pPr>
    <w:rPr>
      <w:rFonts w:ascii="Arial" w:hAnsi="Arial"/>
      <w:b/>
      <w:bCs/>
      <w:color w:val="000000"/>
      <w:sz w:val="22"/>
      <w:szCs w:val="26"/>
      <w:lang w:val="es-CU"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customStyle="1" w:styleId="Ttulo11">
    <w:name w:val="Título 11"/>
    <w:basedOn w:val="Normal"/>
    <w:next w:val="Normal"/>
    <w:uiPriority w:val="9"/>
    <w:qFormat/>
    <w:rsid w:val="00FF421E"/>
    <w:pPr>
      <w:keepNext/>
      <w:keepLines/>
      <w:suppressAutoHyphens/>
      <w:spacing w:line="480" w:lineRule="auto"/>
      <w:outlineLvl w:val="0"/>
    </w:pPr>
    <w:rPr>
      <w:rFonts w:ascii="Arial" w:hAnsi="Arial"/>
      <w:b/>
      <w:bCs/>
      <w:sz w:val="22"/>
      <w:szCs w:val="28"/>
      <w:lang w:eastAsia="ar-SA"/>
    </w:rPr>
  </w:style>
  <w:style w:type="paragraph" w:customStyle="1" w:styleId="Ttulo21">
    <w:name w:val="Título 21"/>
    <w:basedOn w:val="Normal"/>
    <w:next w:val="Normal"/>
    <w:uiPriority w:val="9"/>
    <w:unhideWhenUsed/>
    <w:qFormat/>
    <w:rsid w:val="00FF421E"/>
    <w:pPr>
      <w:keepNext/>
      <w:keepLines/>
      <w:suppressAutoHyphens/>
      <w:spacing w:line="480" w:lineRule="auto"/>
      <w:outlineLvl w:val="1"/>
    </w:pPr>
    <w:rPr>
      <w:rFonts w:ascii="Arial" w:hAnsi="Arial"/>
      <w:b/>
      <w:bCs/>
      <w:color w:val="000000"/>
      <w:sz w:val="22"/>
      <w:szCs w:val="26"/>
      <w:lang w:eastAsia="ar-SA"/>
    </w:rPr>
  </w:style>
  <w:style w:type="numbering" w:customStyle="1" w:styleId="Sinlista1">
    <w:name w:val="Sin lista1"/>
    <w:next w:val="Sinlista"/>
    <w:uiPriority w:val="99"/>
    <w:semiHidden/>
    <w:unhideWhenUsed/>
    <w:rsid w:val="00FF421E"/>
  </w:style>
  <w:style w:type="character" w:customStyle="1" w:styleId="BalloonTextChar">
    <w:name w:val="Balloon Text Char"/>
    <w:rsid w:val="00FF421E"/>
    <w:rPr>
      <w:rFonts w:ascii="Tahoma" w:hAnsi="Tahoma" w:cs="Tahoma"/>
      <w:sz w:val="16"/>
      <w:szCs w:val="16"/>
    </w:rPr>
  </w:style>
  <w:style w:type="paragraph" w:customStyle="1" w:styleId="Heading">
    <w:name w:val="Heading"/>
    <w:basedOn w:val="Normal"/>
    <w:next w:val="Textoindependiente"/>
    <w:rsid w:val="00FF421E"/>
    <w:pPr>
      <w:keepNext/>
      <w:suppressAutoHyphens/>
      <w:spacing w:before="240" w:after="120" w:line="480" w:lineRule="auto"/>
    </w:pPr>
    <w:rPr>
      <w:rFonts w:ascii="Arial" w:eastAsia="SimSun" w:hAnsi="Arial" w:cs="Mangal"/>
      <w:sz w:val="28"/>
      <w:szCs w:val="28"/>
      <w:lang w:eastAsia="ar-SA"/>
    </w:rPr>
  </w:style>
  <w:style w:type="paragraph" w:styleId="Textoindependiente">
    <w:name w:val="Body Text"/>
    <w:basedOn w:val="Normal"/>
    <w:link w:val="TextoindependienteCar"/>
    <w:rsid w:val="00FF421E"/>
    <w:pPr>
      <w:suppressAutoHyphens/>
      <w:spacing w:after="120" w:line="480" w:lineRule="auto"/>
    </w:pPr>
    <w:rPr>
      <w:rFonts w:ascii="Arial" w:eastAsia="Calibri" w:hAnsi="Arial" w:cs="Calibri"/>
      <w:sz w:val="22"/>
      <w:szCs w:val="22"/>
      <w:lang w:eastAsia="ar-SA"/>
    </w:rPr>
  </w:style>
  <w:style w:type="character" w:customStyle="1" w:styleId="TextoindependienteCar">
    <w:name w:val="Texto independiente Car"/>
    <w:basedOn w:val="Fuentedeprrafopredeter"/>
    <w:link w:val="Textoindependiente"/>
    <w:rsid w:val="00FF421E"/>
    <w:rPr>
      <w:rFonts w:ascii="Arial" w:eastAsia="Calibri" w:hAnsi="Arial" w:cs="Calibri"/>
      <w:sz w:val="22"/>
      <w:szCs w:val="22"/>
      <w:lang w:val="es-ES_tradnl" w:eastAsia="ar-SA"/>
    </w:rPr>
  </w:style>
  <w:style w:type="paragraph" w:styleId="Lista">
    <w:name w:val="List"/>
    <w:basedOn w:val="Textoindependiente"/>
    <w:rsid w:val="00FF421E"/>
    <w:rPr>
      <w:rFonts w:cs="Mangal"/>
    </w:rPr>
  </w:style>
  <w:style w:type="paragraph" w:styleId="Descripcin">
    <w:name w:val="caption"/>
    <w:basedOn w:val="Normal"/>
    <w:qFormat/>
    <w:rsid w:val="00FF421E"/>
    <w:pPr>
      <w:suppressLineNumbers/>
      <w:suppressAutoHyphens/>
      <w:spacing w:before="120" w:after="120" w:line="480" w:lineRule="auto"/>
    </w:pPr>
    <w:rPr>
      <w:rFonts w:ascii="Arial" w:eastAsia="Calibri" w:hAnsi="Arial" w:cs="Mangal"/>
      <w:i/>
      <w:iCs/>
      <w:lang w:eastAsia="ar-SA"/>
    </w:rPr>
  </w:style>
  <w:style w:type="paragraph" w:customStyle="1" w:styleId="Index">
    <w:name w:val="Index"/>
    <w:basedOn w:val="Normal"/>
    <w:rsid w:val="00FF421E"/>
    <w:pPr>
      <w:suppressLineNumbers/>
      <w:suppressAutoHyphens/>
      <w:spacing w:line="480" w:lineRule="auto"/>
    </w:pPr>
    <w:rPr>
      <w:rFonts w:ascii="Arial" w:eastAsia="Calibri" w:hAnsi="Arial" w:cs="Mangal"/>
      <w:sz w:val="22"/>
      <w:szCs w:val="22"/>
      <w:lang w:eastAsia="ar-SA"/>
    </w:rPr>
  </w:style>
  <w:style w:type="character" w:styleId="Refdecomentario">
    <w:name w:val="annotation reference"/>
    <w:uiPriority w:val="99"/>
    <w:semiHidden/>
    <w:unhideWhenUsed/>
    <w:rsid w:val="00FF421E"/>
    <w:rPr>
      <w:sz w:val="16"/>
      <w:szCs w:val="16"/>
    </w:rPr>
  </w:style>
  <w:style w:type="paragraph" w:styleId="Textocomentario">
    <w:name w:val="annotation text"/>
    <w:basedOn w:val="Normal"/>
    <w:link w:val="TextocomentarioCar"/>
    <w:uiPriority w:val="99"/>
    <w:unhideWhenUsed/>
    <w:qFormat/>
    <w:rsid w:val="00FF421E"/>
    <w:pPr>
      <w:suppressAutoHyphens/>
      <w:spacing w:line="480" w:lineRule="auto"/>
    </w:pPr>
    <w:rPr>
      <w:rFonts w:ascii="Arial" w:eastAsia="Calibri" w:hAnsi="Arial" w:cs="Calibri"/>
      <w:sz w:val="20"/>
      <w:szCs w:val="20"/>
      <w:lang w:eastAsia="ar-SA"/>
    </w:rPr>
  </w:style>
  <w:style w:type="character" w:customStyle="1" w:styleId="TextocomentarioCar">
    <w:name w:val="Texto comentario Car"/>
    <w:basedOn w:val="Fuentedeprrafopredeter"/>
    <w:link w:val="Textocomentario"/>
    <w:uiPriority w:val="99"/>
    <w:qFormat/>
    <w:rsid w:val="00FF421E"/>
    <w:rPr>
      <w:rFonts w:ascii="Arial" w:eastAsia="Calibri" w:hAnsi="Arial" w:cs="Calibri"/>
      <w:lang w:val="es-ES_tradnl" w:eastAsia="ar-SA"/>
    </w:rPr>
  </w:style>
  <w:style w:type="paragraph" w:styleId="Asuntodelcomentario">
    <w:name w:val="annotation subject"/>
    <w:basedOn w:val="Textocomentario"/>
    <w:next w:val="Textocomentario"/>
    <w:link w:val="AsuntodelcomentarioCar"/>
    <w:uiPriority w:val="99"/>
    <w:semiHidden/>
    <w:unhideWhenUsed/>
    <w:rsid w:val="00FF421E"/>
    <w:rPr>
      <w:b/>
      <w:bCs/>
    </w:rPr>
  </w:style>
  <w:style w:type="character" w:customStyle="1" w:styleId="AsuntodelcomentarioCar">
    <w:name w:val="Asunto del comentario Car"/>
    <w:basedOn w:val="TextocomentarioCar"/>
    <w:link w:val="Asuntodelcomentario"/>
    <w:uiPriority w:val="99"/>
    <w:semiHidden/>
    <w:rsid w:val="00FF421E"/>
    <w:rPr>
      <w:rFonts w:ascii="Arial" w:eastAsia="Calibri" w:hAnsi="Arial" w:cs="Calibri"/>
      <w:b/>
      <w:bCs/>
      <w:lang w:val="es-ES_tradnl" w:eastAsia="ar-SA"/>
    </w:rPr>
  </w:style>
  <w:style w:type="paragraph" w:styleId="Revisin">
    <w:name w:val="Revision"/>
    <w:hidden/>
    <w:uiPriority w:val="99"/>
    <w:semiHidden/>
    <w:rsid w:val="00FF421E"/>
    <w:rPr>
      <w:rFonts w:ascii="Calibri" w:eastAsia="Calibri" w:hAnsi="Calibri" w:cs="Calibri"/>
      <w:sz w:val="22"/>
      <w:szCs w:val="22"/>
      <w:lang w:val="en-US" w:eastAsia="ar-SA"/>
    </w:rPr>
  </w:style>
  <w:style w:type="table" w:styleId="Tablaconcuadrcula">
    <w:name w:val="Table Grid"/>
    <w:basedOn w:val="Tablanormal"/>
    <w:uiPriority w:val="59"/>
    <w:rsid w:val="00FF42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21E"/>
    <w:pPr>
      <w:suppressAutoHyphens/>
      <w:spacing w:line="480" w:lineRule="auto"/>
      <w:ind w:left="720"/>
      <w:contextualSpacing/>
    </w:pPr>
    <w:rPr>
      <w:rFonts w:ascii="Arial" w:eastAsia="Calibri" w:hAnsi="Arial" w:cs="Calibri"/>
      <w:sz w:val="22"/>
      <w:szCs w:val="22"/>
      <w:lang w:eastAsia="ar-SA"/>
    </w:rPr>
  </w:style>
  <w:style w:type="character" w:styleId="Nmerodelnea">
    <w:name w:val="line number"/>
    <w:uiPriority w:val="99"/>
    <w:unhideWhenUsed/>
    <w:rsid w:val="00FF421E"/>
    <w:rPr>
      <w:rFonts w:ascii="Times New Roman" w:hAnsi="Times New Roman"/>
    </w:rPr>
  </w:style>
  <w:style w:type="character" w:customStyle="1" w:styleId="st1">
    <w:name w:val="st1"/>
    <w:basedOn w:val="Fuentedeprrafopredeter"/>
    <w:rsid w:val="00FF421E"/>
  </w:style>
  <w:style w:type="paragraph" w:styleId="Textonotaalfinal">
    <w:name w:val="endnote text"/>
    <w:basedOn w:val="Normal"/>
    <w:link w:val="TextonotaalfinalCar"/>
    <w:uiPriority w:val="99"/>
    <w:semiHidden/>
    <w:unhideWhenUsed/>
    <w:rsid w:val="00FF421E"/>
    <w:pPr>
      <w:suppressAutoHyphens/>
    </w:pPr>
    <w:rPr>
      <w:rFonts w:ascii="Arial" w:eastAsia="Calibri" w:hAnsi="Arial" w:cs="Calibri"/>
      <w:sz w:val="20"/>
      <w:szCs w:val="20"/>
      <w:lang w:eastAsia="ar-SA"/>
    </w:rPr>
  </w:style>
  <w:style w:type="character" w:customStyle="1" w:styleId="TextonotaalfinalCar">
    <w:name w:val="Texto nota al final Car"/>
    <w:basedOn w:val="Fuentedeprrafopredeter"/>
    <w:link w:val="Textonotaalfinal"/>
    <w:uiPriority w:val="99"/>
    <w:semiHidden/>
    <w:rsid w:val="00FF421E"/>
    <w:rPr>
      <w:rFonts w:ascii="Arial" w:eastAsia="Calibri" w:hAnsi="Arial" w:cs="Calibri"/>
      <w:lang w:val="es-ES_tradnl" w:eastAsia="ar-SA"/>
    </w:rPr>
  </w:style>
  <w:style w:type="character" w:styleId="Refdenotaalfinal">
    <w:name w:val="endnote reference"/>
    <w:uiPriority w:val="99"/>
    <w:semiHidden/>
    <w:unhideWhenUsed/>
    <w:rsid w:val="00FF421E"/>
    <w:rPr>
      <w:vertAlign w:val="superscript"/>
    </w:rPr>
  </w:style>
  <w:style w:type="paragraph" w:customStyle="1" w:styleId="Textosinformato1">
    <w:name w:val="Texto sin formato1"/>
    <w:basedOn w:val="Normal"/>
    <w:next w:val="Textosinformato"/>
    <w:link w:val="TextosinformatoCar"/>
    <w:uiPriority w:val="99"/>
    <w:unhideWhenUsed/>
    <w:rsid w:val="00FF421E"/>
    <w:rPr>
      <w:rFonts w:ascii="Consolas" w:eastAsia="Calibri" w:hAnsi="Consolas"/>
      <w:sz w:val="21"/>
      <w:szCs w:val="21"/>
      <w:lang w:val="es-CU" w:eastAsia="es-CU"/>
    </w:rPr>
  </w:style>
  <w:style w:type="character" w:customStyle="1" w:styleId="TextosinformatoCar">
    <w:name w:val="Texto sin formato Car"/>
    <w:link w:val="Textosinformato1"/>
    <w:uiPriority w:val="99"/>
    <w:rsid w:val="00FF421E"/>
    <w:rPr>
      <w:rFonts w:ascii="Consolas" w:eastAsia="Calibri" w:hAnsi="Consolas" w:cs="Times New Roman"/>
      <w:sz w:val="21"/>
      <w:szCs w:val="21"/>
    </w:rPr>
  </w:style>
  <w:style w:type="character" w:customStyle="1" w:styleId="Ttulo1Car">
    <w:name w:val="Título 1 Car"/>
    <w:link w:val="Ttulo1"/>
    <w:uiPriority w:val="9"/>
    <w:rsid w:val="00FF421E"/>
    <w:rPr>
      <w:rFonts w:ascii="Arial" w:eastAsia="Times New Roman" w:hAnsi="Arial" w:cs="Times New Roman"/>
      <w:b/>
      <w:bCs/>
      <w:sz w:val="22"/>
      <w:szCs w:val="28"/>
      <w:lang w:eastAsia="ar-SA"/>
    </w:rPr>
  </w:style>
  <w:style w:type="character" w:customStyle="1" w:styleId="Ttulo2Car">
    <w:name w:val="Título 2 Car"/>
    <w:link w:val="Ttulo2"/>
    <w:uiPriority w:val="9"/>
    <w:rsid w:val="00FF421E"/>
    <w:rPr>
      <w:rFonts w:ascii="Arial" w:eastAsia="Times New Roman" w:hAnsi="Arial" w:cs="Times New Roman"/>
      <w:b/>
      <w:bCs/>
      <w:color w:val="000000"/>
      <w:sz w:val="22"/>
      <w:szCs w:val="26"/>
      <w:lang w:eastAsia="ar-SA"/>
    </w:rPr>
  </w:style>
  <w:style w:type="character" w:customStyle="1" w:styleId="Mencinsinresolver1">
    <w:name w:val="Mención sin resolver1"/>
    <w:uiPriority w:val="99"/>
    <w:semiHidden/>
    <w:unhideWhenUsed/>
    <w:rsid w:val="00FF421E"/>
    <w:rPr>
      <w:color w:val="605E5C"/>
      <w:shd w:val="clear" w:color="auto" w:fill="E1DFDD"/>
    </w:rPr>
  </w:style>
  <w:style w:type="paragraph" w:customStyle="1" w:styleId="Prrafodelista0">
    <w:name w:val="Prrafodelista"/>
    <w:basedOn w:val="Normal"/>
    <w:uiPriority w:val="99"/>
    <w:rsid w:val="00FF421E"/>
    <w:pPr>
      <w:widowControl w:val="0"/>
      <w:suppressAutoHyphens/>
      <w:autoSpaceDE w:val="0"/>
      <w:autoSpaceDN w:val="0"/>
      <w:adjustRightInd w:val="0"/>
      <w:spacing w:after="200" w:line="260" w:lineRule="atLeast"/>
      <w:ind w:left="720" w:firstLine="12"/>
      <w:jc w:val="both"/>
    </w:pPr>
    <w:rPr>
      <w:rFonts w:ascii="Calibri" w:hAnsi="Calibri" w:cs="Calibri"/>
      <w:color w:val="000000"/>
      <w:sz w:val="22"/>
      <w:szCs w:val="22"/>
      <w:u w:color="000000"/>
      <w:lang w:val="es-PE" w:eastAsia="es-PE"/>
    </w:rPr>
  </w:style>
  <w:style w:type="character" w:customStyle="1" w:styleId="Mencinsinresolver2">
    <w:name w:val="Mención sin resolver2"/>
    <w:uiPriority w:val="99"/>
    <w:semiHidden/>
    <w:unhideWhenUsed/>
    <w:rsid w:val="00FF421E"/>
    <w:rPr>
      <w:color w:val="605E5C"/>
      <w:shd w:val="clear" w:color="auto" w:fill="E1DFDD"/>
    </w:rPr>
  </w:style>
  <w:style w:type="paragraph" w:customStyle="1" w:styleId="Bibliografa1">
    <w:name w:val="Bibliografía1"/>
    <w:basedOn w:val="Normal"/>
    <w:next w:val="Normal"/>
    <w:uiPriority w:val="37"/>
    <w:unhideWhenUsed/>
    <w:rsid w:val="00FF421E"/>
    <w:pPr>
      <w:tabs>
        <w:tab w:val="left" w:pos="504"/>
      </w:tabs>
      <w:spacing w:after="240"/>
      <w:ind w:left="504" w:hanging="504"/>
    </w:pPr>
    <w:rPr>
      <w:rFonts w:ascii="Calibri" w:eastAsia="Calibri" w:hAnsi="Calibri"/>
      <w:sz w:val="22"/>
      <w:szCs w:val="22"/>
      <w:lang w:val="es-PE" w:eastAsia="en-US"/>
    </w:rPr>
  </w:style>
  <w:style w:type="character" w:customStyle="1" w:styleId="tlid-translation">
    <w:name w:val="tlid-translation"/>
    <w:basedOn w:val="Fuentedeprrafopredeter"/>
    <w:rsid w:val="00FF421E"/>
  </w:style>
  <w:style w:type="character" w:customStyle="1" w:styleId="Mencinsinresolver3">
    <w:name w:val="Mención sin resolver3"/>
    <w:uiPriority w:val="99"/>
    <w:semiHidden/>
    <w:unhideWhenUsed/>
    <w:rsid w:val="00FF421E"/>
    <w:rPr>
      <w:color w:val="605E5C"/>
      <w:shd w:val="clear" w:color="auto" w:fill="E1DFDD"/>
    </w:rPr>
  </w:style>
  <w:style w:type="character" w:styleId="Textoennegrita">
    <w:name w:val="Strong"/>
    <w:uiPriority w:val="22"/>
    <w:qFormat/>
    <w:rsid w:val="00FF421E"/>
    <w:rPr>
      <w:b/>
      <w:bCs/>
    </w:rPr>
  </w:style>
  <w:style w:type="character" w:customStyle="1" w:styleId="orcid-id-https">
    <w:name w:val="orcid-id-https"/>
    <w:basedOn w:val="Fuentedeprrafopredeter"/>
    <w:rsid w:val="00FF421E"/>
  </w:style>
  <w:style w:type="character" w:customStyle="1" w:styleId="Mencinsinresolver4">
    <w:name w:val="Mención sin resolver4"/>
    <w:uiPriority w:val="99"/>
    <w:semiHidden/>
    <w:unhideWhenUsed/>
    <w:rsid w:val="00FF421E"/>
    <w:rPr>
      <w:color w:val="605E5C"/>
      <w:shd w:val="clear" w:color="auto" w:fill="E1DFDD"/>
    </w:rPr>
  </w:style>
  <w:style w:type="character" w:styleId="nfasis">
    <w:name w:val="Emphasis"/>
    <w:uiPriority w:val="20"/>
    <w:qFormat/>
    <w:rsid w:val="00FF421E"/>
    <w:rPr>
      <w:i/>
      <w:iCs/>
    </w:rPr>
  </w:style>
  <w:style w:type="character" w:customStyle="1" w:styleId="Mencinsinresolver5">
    <w:name w:val="Mención sin resolver5"/>
    <w:uiPriority w:val="99"/>
    <w:semiHidden/>
    <w:unhideWhenUsed/>
    <w:rsid w:val="00FF421E"/>
    <w:rPr>
      <w:color w:val="605E5C"/>
      <w:shd w:val="clear" w:color="auto" w:fill="E1DFDD"/>
    </w:rPr>
  </w:style>
  <w:style w:type="paragraph" w:styleId="Sinespaciado">
    <w:name w:val="No Spacing"/>
    <w:uiPriority w:val="1"/>
    <w:qFormat/>
    <w:rsid w:val="00FF421E"/>
    <w:pPr>
      <w:suppressAutoHyphens/>
    </w:pPr>
    <w:rPr>
      <w:rFonts w:ascii="Arial" w:eastAsia="Calibri" w:hAnsi="Arial" w:cs="Calibri"/>
      <w:sz w:val="22"/>
      <w:szCs w:val="22"/>
      <w:lang w:val="es-ES_tradnl" w:eastAsia="ar-SA"/>
    </w:rPr>
  </w:style>
  <w:style w:type="paragraph" w:styleId="Textosinformato">
    <w:name w:val="Plain Text"/>
    <w:basedOn w:val="Normal"/>
    <w:link w:val="TextosinformatoCar1"/>
    <w:semiHidden/>
    <w:unhideWhenUsed/>
    <w:rsid w:val="00FF421E"/>
    <w:rPr>
      <w:rFonts w:ascii="Courier New" w:hAnsi="Courier New" w:cs="Courier New"/>
      <w:sz w:val="20"/>
      <w:szCs w:val="20"/>
    </w:rPr>
  </w:style>
  <w:style w:type="character" w:customStyle="1" w:styleId="TextosinformatoCar1">
    <w:name w:val="Texto sin formato Car1"/>
    <w:basedOn w:val="Fuentedeprrafopredeter"/>
    <w:link w:val="Textosinformato"/>
    <w:semiHidden/>
    <w:rsid w:val="00FF421E"/>
    <w:rPr>
      <w:rFonts w:ascii="Courier New" w:hAnsi="Courier New" w:cs="Courier New"/>
      <w:lang w:val="es-ES_tradnl" w:eastAsia="es-ES_tradnl"/>
    </w:rPr>
  </w:style>
  <w:style w:type="character" w:customStyle="1" w:styleId="Ttulo1Car1">
    <w:name w:val="Título 1 Car1"/>
    <w:basedOn w:val="Fuentedeprrafopredeter"/>
    <w:rsid w:val="00FF421E"/>
    <w:rPr>
      <w:rFonts w:asciiTheme="majorHAnsi" w:eastAsiaTheme="majorEastAsia" w:hAnsiTheme="majorHAnsi" w:cstheme="majorBidi"/>
      <w:b/>
      <w:bCs/>
      <w:kern w:val="32"/>
      <w:sz w:val="32"/>
      <w:szCs w:val="32"/>
      <w:lang w:val="es-ES_tradnl" w:eastAsia="es-ES_tradnl"/>
    </w:rPr>
  </w:style>
  <w:style w:type="character" w:customStyle="1" w:styleId="Ttulo2Car1">
    <w:name w:val="Título 2 Car1"/>
    <w:basedOn w:val="Fuentedeprrafopredeter"/>
    <w:semiHidden/>
    <w:rsid w:val="00FF421E"/>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073-3848" TargetMode="External"/><Relationship Id="rId13" Type="http://schemas.openxmlformats.org/officeDocument/2006/relationships/image" Target="media/image1.gif"/><Relationship Id="rId18" Type="http://schemas.openxmlformats.org/officeDocument/2006/relationships/hyperlink" Target="http://www.scielo.org.pe/scielo.php?script=sci_arttext&amp;pid=S1022-51292007000300003" TargetMode="External"/><Relationship Id="rId26" Type="http://schemas.openxmlformats.org/officeDocument/2006/relationships/hyperlink" Target="https://bmcnephrol.biomedcentral.com/articles/10.1186/s12882-018-1061-8" TargetMode="External"/><Relationship Id="rId39" Type="http://schemas.openxmlformats.org/officeDocument/2006/relationships/hyperlink" Target="https://pubmed.ncbi.nlm.nih.gov/25042402/" TargetMode="External"/><Relationship Id="rId3" Type="http://schemas.openxmlformats.org/officeDocument/2006/relationships/settings" Target="settings.xml"/><Relationship Id="rId21" Type="http://schemas.openxmlformats.org/officeDocument/2006/relationships/hyperlink" Target="https://pubmed.ncbi.nlm.nih.gov/26902049/" TargetMode="External"/><Relationship Id="rId34" Type="http://schemas.openxmlformats.org/officeDocument/2006/relationships/hyperlink" Target="https://pubmed.ncbi.nlm.nih.gov/31113738/" TargetMode="External"/><Relationship Id="rId42" Type="http://schemas.openxmlformats.org/officeDocument/2006/relationships/hyperlink" Target="https://pubmed.ncbi.nlm.nih.gov/28410915/" TargetMode="External"/><Relationship Id="rId47" Type="http://schemas.openxmlformats.org/officeDocument/2006/relationships/fontTable" Target="fontTable.xml"/><Relationship Id="rId7" Type="http://schemas.openxmlformats.org/officeDocument/2006/relationships/hyperlink" Target="https://orcid.org/0000-0002-1892-264X" TargetMode="External"/><Relationship Id="rId12" Type="http://schemas.openxmlformats.org/officeDocument/2006/relationships/hyperlink" Target="mailto:mvalladares@continental.edu.pe" TargetMode="External"/><Relationship Id="rId17" Type="http://schemas.openxmlformats.org/officeDocument/2006/relationships/hyperlink" Target="http://www.scielo.org.pe/scielo.php?pid=S1025-55832019000100007&amp;script=sci_abstract" TargetMode="External"/><Relationship Id="rId25" Type="http://schemas.openxmlformats.org/officeDocument/2006/relationships/hyperlink" Target="https://pubmed.ncbi.nlm.nih.gov/26423777/" TargetMode="External"/><Relationship Id="rId33" Type="http://schemas.openxmlformats.org/officeDocument/2006/relationships/hyperlink" Target="https://pubmed.ncbi.nlm.nih.gov/31948392/" TargetMode="External"/><Relationship Id="rId38" Type="http://schemas.openxmlformats.org/officeDocument/2006/relationships/hyperlink" Target="https://pubmed.ncbi.nlm.nih.gov/31750435/"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ubmed.ncbi.nlm.nih.gov/30266282/" TargetMode="External"/><Relationship Id="rId20" Type="http://schemas.openxmlformats.org/officeDocument/2006/relationships/hyperlink" Target="https://pubmed.ncbi.nlm.nih.gov/21835136/" TargetMode="External"/><Relationship Id="rId29" Type="http://schemas.openxmlformats.org/officeDocument/2006/relationships/hyperlink" Target="http://www.revistagastroenterologiamexico.org/es-mortalidad-hospitalaria-pacientes-cirroticos-un-articulo-S0375090617300010" TargetMode="External"/><Relationship Id="rId41" Type="http://schemas.openxmlformats.org/officeDocument/2006/relationships/hyperlink" Target="http://www.scielo.org.pe/scielo.php?script=sci_arttext&amp;pid=S1022-51292015000400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839-2419" TargetMode="External"/><Relationship Id="rId24" Type="http://schemas.openxmlformats.org/officeDocument/2006/relationships/hyperlink" Target="http://scielo.isciii.es/scielo.php?script=sci_arttext&amp;pid=S1130-01082018000200005" TargetMode="External"/><Relationship Id="rId32" Type="http://schemas.openxmlformats.org/officeDocument/2006/relationships/hyperlink" Target="http://www.scielo.org.pe/scielo.php?script=sci_arttext&amp;pid=S1022-51292019000100008" TargetMode="External"/><Relationship Id="rId37" Type="http://schemas.openxmlformats.org/officeDocument/2006/relationships/hyperlink" Target="https://pubmed.ncbi.nlm.nih.gov/28383303/" TargetMode="External"/><Relationship Id="rId40" Type="http://schemas.openxmlformats.org/officeDocument/2006/relationships/hyperlink" Target="https://pubmed.ncbi.nlm.nih.gov/18186569/"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pubmed.ncbi.nlm.nih.gov/19281860/" TargetMode="External"/><Relationship Id="rId28" Type="http://schemas.openxmlformats.org/officeDocument/2006/relationships/hyperlink" Target="https://www.elsevier.es/en-revista-annals-hepatology-16-articulo-the-performance-prognostic-models-as-S166526811930804X" TargetMode="External"/><Relationship Id="rId36" Type="http://schemas.openxmlformats.org/officeDocument/2006/relationships/hyperlink" Target="https://pubmed.ncbi.nlm.nih.gov/17081806/" TargetMode="External"/><Relationship Id="rId10" Type="http://schemas.openxmlformats.org/officeDocument/2006/relationships/hyperlink" Target="https://orcid.org/0000-0002-3611-7628" TargetMode="External"/><Relationship Id="rId19" Type="http://schemas.openxmlformats.org/officeDocument/2006/relationships/hyperlink" Target="https://pubmed.ncbi.nlm.nih.gov/28796076/" TargetMode="External"/><Relationship Id="rId31" Type="http://schemas.openxmlformats.org/officeDocument/2006/relationships/hyperlink" Target="http://www.scielo.org.pe/scielo.php?script=sci_arttext&amp;pid=S1022-51292013000400003"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2825-9324" TargetMode="External"/><Relationship Id="rId14" Type="http://schemas.openxmlformats.org/officeDocument/2006/relationships/image" Target="media/image2.gif"/><Relationship Id="rId22" Type="http://schemas.openxmlformats.org/officeDocument/2006/relationships/hyperlink" Target="https://pubmed.ncbi.nlm.nih.gov/26019739/" TargetMode="External"/><Relationship Id="rId27" Type="http://schemas.openxmlformats.org/officeDocument/2006/relationships/hyperlink" Target="https://pubmed.ncbi.nlm.nih.gov/29234192/" TargetMode="External"/><Relationship Id="rId30" Type="http://schemas.openxmlformats.org/officeDocument/2006/relationships/hyperlink" Target="http://www.scielo.org.pe/scielo.php?script=sci_arttext&amp;pid=S1022-51292018000400002" TargetMode="External"/><Relationship Id="rId35" Type="http://schemas.openxmlformats.org/officeDocument/2006/relationships/hyperlink" Target="https://pubmed.ncbi.nlm.nih.gov/30337088/" TargetMode="External"/><Relationship Id="rId43" Type="http://schemas.openxmlformats.org/officeDocument/2006/relationships/hyperlink" Target="http://www.scielo.edu.uy/scielo.php?script=sci_arttext&amp;pid=S2393-67972016000200003"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16</Pages>
  <Words>19288</Words>
  <Characters>106088</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125126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2021-08-24T23:38:00Z</dcterms:created>
  <dcterms:modified xsi:type="dcterms:W3CDTF">2021-08-26T15:52:00Z</dcterms:modified>
</cp:coreProperties>
</file>