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F138" w14:textId="77777777" w:rsidR="008B1AB4" w:rsidRPr="008B1AB4" w:rsidRDefault="008B1AB4" w:rsidP="008B1AB4">
      <w:pPr>
        <w:spacing w:line="360" w:lineRule="auto"/>
        <w:jc w:val="right"/>
        <w:rPr>
          <w:rFonts w:eastAsia="Calibri"/>
          <w:sz w:val="20"/>
          <w:szCs w:val="20"/>
          <w:lang w:val="es-419" w:eastAsia="en-US"/>
        </w:rPr>
      </w:pPr>
      <w:bookmarkStart w:id="0" w:name="_Hlk65512089"/>
      <w:r w:rsidRPr="008B1AB4">
        <w:rPr>
          <w:rFonts w:eastAsia="Calibri"/>
          <w:sz w:val="20"/>
          <w:szCs w:val="20"/>
          <w:lang w:val="es-419" w:eastAsia="en-US"/>
        </w:rPr>
        <w:t>Artículo de investigación</w:t>
      </w:r>
    </w:p>
    <w:p w14:paraId="3DDEC4E4" w14:textId="77777777" w:rsidR="008B1AB4" w:rsidRPr="008B1AB4" w:rsidRDefault="008B1AB4" w:rsidP="008B1AB4">
      <w:pPr>
        <w:spacing w:line="360" w:lineRule="auto"/>
        <w:jc w:val="center"/>
        <w:rPr>
          <w:rFonts w:eastAsia="Calibri"/>
          <w:b/>
          <w:lang w:val="es-419" w:eastAsia="en-US"/>
        </w:rPr>
      </w:pPr>
    </w:p>
    <w:p w14:paraId="2634269D" w14:textId="77777777" w:rsidR="008B1AB4" w:rsidRPr="008B1AB4" w:rsidRDefault="008B1AB4" w:rsidP="008B1AB4">
      <w:pPr>
        <w:spacing w:line="360" w:lineRule="auto"/>
        <w:jc w:val="center"/>
        <w:rPr>
          <w:rFonts w:eastAsia="Calibri"/>
          <w:b/>
          <w:sz w:val="28"/>
          <w:szCs w:val="28"/>
          <w:lang w:val="es-419" w:eastAsia="en-US"/>
        </w:rPr>
      </w:pPr>
      <w:r w:rsidRPr="008B1AB4">
        <w:rPr>
          <w:rFonts w:eastAsia="Calibri"/>
          <w:b/>
          <w:sz w:val="28"/>
          <w:szCs w:val="28"/>
          <w:lang w:val="es-419" w:eastAsia="en-US"/>
        </w:rPr>
        <w:t>Escala de preocupación por el contagio de una variante de la COVID-19 (EPCNVCov-19)</w:t>
      </w:r>
    </w:p>
    <w:bookmarkEnd w:id="0"/>
    <w:p w14:paraId="39BA08F6" w14:textId="77777777" w:rsidR="008B1AB4" w:rsidRPr="008B1AB4" w:rsidRDefault="008B1AB4" w:rsidP="008B1AB4">
      <w:pPr>
        <w:spacing w:line="360" w:lineRule="auto"/>
        <w:jc w:val="center"/>
        <w:rPr>
          <w:rFonts w:eastAsia="Calibri"/>
          <w:lang w:val="en-US" w:eastAsia="en-US"/>
        </w:rPr>
      </w:pPr>
      <w:r w:rsidRPr="008B1AB4">
        <w:rPr>
          <w:rFonts w:eastAsia="Calibri"/>
          <w:sz w:val="28"/>
          <w:szCs w:val="28"/>
          <w:lang w:val="en-US" w:eastAsia="en-US"/>
        </w:rPr>
        <w:t>Scale of concern about infection with a variant of COVID-19 (EPCNVCov-19)</w:t>
      </w:r>
    </w:p>
    <w:p w14:paraId="30F69A7D" w14:textId="77777777" w:rsidR="008B1AB4" w:rsidRPr="008B1AB4" w:rsidRDefault="008B1AB4" w:rsidP="008B1AB4">
      <w:pPr>
        <w:spacing w:line="360" w:lineRule="auto"/>
        <w:jc w:val="center"/>
        <w:rPr>
          <w:rFonts w:eastAsia="Calibri"/>
          <w:lang w:val="en-US" w:eastAsia="en-US"/>
        </w:rPr>
      </w:pPr>
    </w:p>
    <w:p w14:paraId="7F916E12" w14:textId="77777777" w:rsidR="008B1AB4" w:rsidRPr="008B1AB4" w:rsidRDefault="008B1AB4" w:rsidP="008B1AB4">
      <w:pPr>
        <w:spacing w:line="360" w:lineRule="auto"/>
        <w:rPr>
          <w:rFonts w:eastAsia="Calibri"/>
          <w:lang w:val="es-CU" w:eastAsia="en-US"/>
        </w:rPr>
      </w:pPr>
      <w:r w:rsidRPr="008B1AB4">
        <w:rPr>
          <w:rFonts w:eastAsia="Calibri"/>
          <w:lang w:val="es-CU" w:eastAsia="en-US"/>
        </w:rPr>
        <w:t>Renzo Felipe Carranza Esteban</w:t>
      </w:r>
      <w:r w:rsidRPr="008B1AB4">
        <w:rPr>
          <w:rFonts w:eastAsia="Calibri"/>
          <w:vertAlign w:val="superscript"/>
          <w:lang w:val="es-CU" w:eastAsia="en-US"/>
        </w:rPr>
        <w:t>1</w:t>
      </w:r>
      <w:r w:rsidRPr="008B1AB4">
        <w:rPr>
          <w:rFonts w:eastAsia="Calibri"/>
          <w:lang w:val="es-CU" w:eastAsia="en-US"/>
        </w:rPr>
        <w:t xml:space="preserve">* </w:t>
      </w:r>
      <w:hyperlink r:id="rId7" w:history="1">
        <w:r w:rsidRPr="008B1AB4">
          <w:rPr>
            <w:rFonts w:eastAsia="Calibri"/>
            <w:color w:val="0000FF"/>
            <w:u w:val="single"/>
            <w:lang w:val="es-CU" w:eastAsia="en-US"/>
          </w:rPr>
          <w:t>https://orcid.org/0000-0002-4086-4845</w:t>
        </w:r>
      </w:hyperlink>
      <w:r w:rsidRPr="008B1AB4">
        <w:rPr>
          <w:rFonts w:eastAsia="Calibri"/>
          <w:lang w:val="es-CU" w:eastAsia="en-US"/>
        </w:rPr>
        <w:t xml:space="preserve">   </w:t>
      </w:r>
    </w:p>
    <w:p w14:paraId="09389F61" w14:textId="77777777" w:rsidR="008B1AB4" w:rsidRPr="008B1AB4" w:rsidRDefault="008B1AB4" w:rsidP="008B1AB4">
      <w:pPr>
        <w:spacing w:line="360" w:lineRule="auto"/>
        <w:rPr>
          <w:rFonts w:eastAsia="Calibri"/>
          <w:lang w:val="es-CU" w:eastAsia="en-US"/>
        </w:rPr>
      </w:pPr>
      <w:r w:rsidRPr="008B1AB4">
        <w:rPr>
          <w:rFonts w:eastAsia="Calibri"/>
          <w:lang w:val="es-CU" w:eastAsia="en-US"/>
        </w:rPr>
        <w:t>Oscar Mamani-Benito</w:t>
      </w:r>
      <w:r w:rsidRPr="008B1AB4">
        <w:rPr>
          <w:rFonts w:eastAsia="Calibri"/>
          <w:vertAlign w:val="superscript"/>
          <w:lang w:val="es-CU" w:eastAsia="en-US"/>
        </w:rPr>
        <w:t>2</w:t>
      </w:r>
      <w:r w:rsidRPr="008B1AB4">
        <w:rPr>
          <w:rFonts w:eastAsia="Calibri"/>
          <w:lang w:val="es-CU" w:eastAsia="en-US"/>
        </w:rPr>
        <w:t xml:space="preserve"> </w:t>
      </w:r>
      <w:hyperlink r:id="rId8" w:history="1">
        <w:r w:rsidRPr="008B1AB4">
          <w:rPr>
            <w:rFonts w:eastAsia="Calibri"/>
            <w:color w:val="0000FF"/>
            <w:u w:val="single"/>
            <w:lang w:val="es-CU" w:eastAsia="en-US"/>
          </w:rPr>
          <w:t>https://orcid.org/0000-0002-9818-2601</w:t>
        </w:r>
      </w:hyperlink>
      <w:r w:rsidRPr="008B1AB4">
        <w:rPr>
          <w:rFonts w:eastAsia="Calibri"/>
          <w:lang w:val="es-CU" w:eastAsia="en-US"/>
        </w:rPr>
        <w:t xml:space="preserve">  </w:t>
      </w:r>
    </w:p>
    <w:p w14:paraId="5C470302" w14:textId="77777777" w:rsidR="008B1AB4" w:rsidRPr="008B1AB4" w:rsidRDefault="008B1AB4" w:rsidP="008B1AB4">
      <w:pPr>
        <w:spacing w:line="360" w:lineRule="auto"/>
        <w:rPr>
          <w:rFonts w:eastAsia="Calibri"/>
          <w:lang w:val="es-CU" w:eastAsia="en-US"/>
        </w:rPr>
      </w:pPr>
      <w:r w:rsidRPr="008B1AB4">
        <w:rPr>
          <w:rFonts w:eastAsia="Calibri"/>
          <w:lang w:val="es-CU" w:eastAsia="en-US"/>
        </w:rPr>
        <w:t>Percy G. Ruiz Mamani</w:t>
      </w:r>
      <w:r w:rsidRPr="008B1AB4">
        <w:rPr>
          <w:rFonts w:eastAsia="Calibri"/>
          <w:vertAlign w:val="superscript"/>
          <w:lang w:val="es-CU" w:eastAsia="en-US"/>
        </w:rPr>
        <w:t>3</w:t>
      </w:r>
      <w:r w:rsidRPr="008B1AB4">
        <w:rPr>
          <w:rFonts w:eastAsia="Calibri"/>
          <w:lang w:val="es-CU" w:eastAsia="en-US"/>
        </w:rPr>
        <w:t xml:space="preserve"> </w:t>
      </w:r>
      <w:hyperlink r:id="rId9" w:history="1">
        <w:r w:rsidRPr="008B1AB4">
          <w:rPr>
            <w:rFonts w:eastAsia="Calibri"/>
            <w:color w:val="0000FF"/>
            <w:u w:val="single"/>
            <w:lang w:val="es-CU" w:eastAsia="en-US"/>
          </w:rPr>
          <w:t>https://orcid.org/0000-0002-2245-9491</w:t>
        </w:r>
      </w:hyperlink>
      <w:r w:rsidRPr="008B1AB4">
        <w:rPr>
          <w:rFonts w:eastAsia="Calibri"/>
          <w:lang w:val="es-CU" w:eastAsia="en-US"/>
        </w:rPr>
        <w:t xml:space="preserve">  </w:t>
      </w:r>
    </w:p>
    <w:p w14:paraId="2B4B5B77" w14:textId="77777777" w:rsidR="008B1AB4" w:rsidRPr="008B1AB4" w:rsidRDefault="008B1AB4" w:rsidP="008B1AB4">
      <w:pPr>
        <w:spacing w:line="360" w:lineRule="auto"/>
        <w:rPr>
          <w:rFonts w:eastAsia="Calibri"/>
          <w:lang w:val="en-US" w:eastAsia="en-US"/>
        </w:rPr>
      </w:pPr>
      <w:r w:rsidRPr="008B1AB4">
        <w:rPr>
          <w:rFonts w:eastAsia="Calibri"/>
          <w:lang w:val="en-US" w:eastAsia="en-US"/>
        </w:rPr>
        <w:t>Christian R. Mejia</w:t>
      </w:r>
      <w:r w:rsidRPr="008B1AB4">
        <w:rPr>
          <w:rFonts w:eastAsia="Calibri"/>
          <w:vertAlign w:val="superscript"/>
          <w:lang w:val="en-US" w:eastAsia="en-US"/>
        </w:rPr>
        <w:t>4</w:t>
      </w:r>
      <w:r w:rsidRPr="008B1AB4">
        <w:rPr>
          <w:rFonts w:eastAsia="Calibri"/>
          <w:lang w:val="en-US" w:eastAsia="en-US"/>
        </w:rPr>
        <w:t xml:space="preserve"> </w:t>
      </w:r>
      <w:hyperlink r:id="rId10" w:history="1">
        <w:r w:rsidRPr="008B1AB4">
          <w:rPr>
            <w:rFonts w:eastAsia="Calibri"/>
            <w:color w:val="0000FF"/>
            <w:u w:val="single"/>
            <w:lang w:val="en-US" w:eastAsia="en-US"/>
          </w:rPr>
          <w:t>https://orcid.org/0000-0002-5940-7281</w:t>
        </w:r>
      </w:hyperlink>
      <w:r w:rsidRPr="008B1AB4">
        <w:rPr>
          <w:rFonts w:eastAsia="Calibri"/>
          <w:lang w:val="en-US" w:eastAsia="en-US"/>
        </w:rPr>
        <w:t xml:space="preserve">  </w:t>
      </w:r>
    </w:p>
    <w:p w14:paraId="0500A1C0" w14:textId="77777777" w:rsidR="008B1AB4" w:rsidRPr="008B1AB4" w:rsidRDefault="008B1AB4" w:rsidP="008B1AB4">
      <w:pPr>
        <w:spacing w:line="360" w:lineRule="auto"/>
        <w:rPr>
          <w:rFonts w:eastAsia="Calibri"/>
          <w:lang w:val="en-US" w:eastAsia="en-US"/>
        </w:rPr>
      </w:pPr>
    </w:p>
    <w:p w14:paraId="6DF48FAB" w14:textId="04A25A4F" w:rsidR="0074352A" w:rsidRPr="0074352A" w:rsidRDefault="008B1AB4" w:rsidP="0074352A">
      <w:pPr>
        <w:spacing w:line="360" w:lineRule="auto"/>
        <w:rPr>
          <w:rFonts w:eastAsia="Calibri"/>
          <w:lang w:val="es-CU" w:eastAsia="en-US"/>
        </w:rPr>
      </w:pPr>
      <w:r w:rsidRPr="008B1AB4">
        <w:rPr>
          <w:rFonts w:eastAsia="Calibri"/>
          <w:vertAlign w:val="superscript"/>
          <w:lang w:val="es-CU" w:eastAsia="en-US"/>
        </w:rPr>
        <w:t>1</w:t>
      </w:r>
      <w:r w:rsidR="0074352A" w:rsidRPr="0074352A">
        <w:rPr>
          <w:rFonts w:eastAsia="Calibri"/>
          <w:lang w:val="es-CU" w:eastAsia="en-US"/>
        </w:rPr>
        <w:t>Grupo de Investigación Avances en Investigación Psicológica</w:t>
      </w:r>
      <w:r w:rsidR="002B24FE">
        <w:rPr>
          <w:rFonts w:eastAsia="Calibri"/>
          <w:lang w:val="es-CU" w:eastAsia="en-US"/>
        </w:rPr>
        <w:t>.</w:t>
      </w:r>
      <w:r w:rsidR="0074352A" w:rsidRPr="0074352A">
        <w:rPr>
          <w:rFonts w:eastAsia="Calibri"/>
          <w:lang w:val="es-CU" w:eastAsia="en-US"/>
        </w:rPr>
        <w:t xml:space="preserve"> Facultad de Humanidades</w:t>
      </w:r>
      <w:r w:rsidR="002B24FE">
        <w:rPr>
          <w:rFonts w:eastAsia="Calibri"/>
          <w:lang w:val="es-CU" w:eastAsia="en-US"/>
        </w:rPr>
        <w:t>.</w:t>
      </w:r>
      <w:r w:rsidR="0074352A" w:rsidRPr="0074352A">
        <w:rPr>
          <w:rFonts w:eastAsia="Calibri"/>
          <w:lang w:val="es-CU" w:eastAsia="en-US"/>
        </w:rPr>
        <w:t xml:space="preserve"> Universidad San Ignacio de Loyola</w:t>
      </w:r>
      <w:r w:rsidR="002B24FE">
        <w:rPr>
          <w:rFonts w:eastAsia="Calibri"/>
          <w:lang w:val="es-CU" w:eastAsia="en-US"/>
        </w:rPr>
        <w:t>.</w:t>
      </w:r>
      <w:r w:rsidR="0074352A" w:rsidRPr="0074352A">
        <w:rPr>
          <w:rFonts w:eastAsia="Calibri"/>
          <w:lang w:val="es-CU" w:eastAsia="en-US"/>
        </w:rPr>
        <w:t xml:space="preserve"> Lima, Perú.</w:t>
      </w:r>
    </w:p>
    <w:p w14:paraId="37A103C4" w14:textId="77777777" w:rsidR="0074352A" w:rsidRPr="00D5466D" w:rsidRDefault="0074352A" w:rsidP="0074352A">
      <w:pPr>
        <w:spacing w:line="360" w:lineRule="auto"/>
        <w:rPr>
          <w:lang w:val="es-CU"/>
        </w:rPr>
      </w:pPr>
      <w:r w:rsidRPr="00D5466D">
        <w:rPr>
          <w:vertAlign w:val="superscript"/>
          <w:lang w:val="es-CU"/>
        </w:rPr>
        <w:t>2</w:t>
      </w:r>
      <w:r w:rsidRPr="00D5466D">
        <w:rPr>
          <w:lang w:val="es-CU"/>
        </w:rPr>
        <w:t xml:space="preserve">Universidad </w:t>
      </w:r>
      <w:r>
        <w:rPr>
          <w:lang w:val="es-CU"/>
        </w:rPr>
        <w:t>Peruana Unión</w:t>
      </w:r>
      <w:r w:rsidRPr="00D5466D">
        <w:rPr>
          <w:lang w:val="es-CU"/>
        </w:rPr>
        <w:t xml:space="preserve">. </w:t>
      </w:r>
      <w:r>
        <w:rPr>
          <w:lang w:val="es-CU"/>
        </w:rPr>
        <w:t>Juliaca</w:t>
      </w:r>
      <w:r w:rsidRPr="00D5466D">
        <w:rPr>
          <w:lang w:val="es-CU"/>
        </w:rPr>
        <w:t>, Perú.</w:t>
      </w:r>
    </w:p>
    <w:p w14:paraId="25D6954F" w14:textId="5875F8D9" w:rsidR="008B1AB4" w:rsidRPr="008B1AB4" w:rsidRDefault="0074352A" w:rsidP="008B1AB4">
      <w:pPr>
        <w:spacing w:line="360" w:lineRule="auto"/>
        <w:rPr>
          <w:rFonts w:eastAsia="Calibri"/>
          <w:lang w:val="es-CU" w:eastAsia="en-US"/>
        </w:rPr>
      </w:pPr>
      <w:r w:rsidRPr="00D5466D">
        <w:rPr>
          <w:vertAlign w:val="superscript"/>
          <w:lang w:val="es-CU"/>
        </w:rPr>
        <w:t>3</w:t>
      </w:r>
      <w:r w:rsidRPr="00E978A4">
        <w:rPr>
          <w:lang w:val="es-CU"/>
        </w:rPr>
        <w:t>Universidad Privada San Juan Bautista. Lima, Perú</w:t>
      </w:r>
      <w:r>
        <w:rPr>
          <w:lang w:val="es-CU"/>
        </w:rPr>
        <w:t>.</w:t>
      </w:r>
    </w:p>
    <w:p w14:paraId="342AB7EA" w14:textId="77777777" w:rsidR="008B1AB4" w:rsidRPr="008B1AB4" w:rsidRDefault="008B1AB4" w:rsidP="008B1AB4">
      <w:pPr>
        <w:spacing w:line="360" w:lineRule="auto"/>
        <w:rPr>
          <w:rFonts w:eastAsia="Calibri"/>
          <w:lang w:val="es-CU" w:eastAsia="en-US"/>
        </w:rPr>
      </w:pPr>
      <w:r w:rsidRPr="008B1AB4">
        <w:rPr>
          <w:rFonts w:eastAsia="Calibri"/>
          <w:vertAlign w:val="superscript"/>
          <w:lang w:val="es-CU" w:eastAsia="en-US"/>
        </w:rPr>
        <w:t>4</w:t>
      </w:r>
      <w:r w:rsidRPr="008B1AB4">
        <w:rPr>
          <w:rFonts w:eastAsia="Calibri"/>
          <w:lang w:val="es-CU" w:eastAsia="en-US"/>
        </w:rPr>
        <w:t>Centro de Investigación en Medicina Traslacional, Universidad Norbert Wiener. Lima, Perú.</w:t>
      </w:r>
    </w:p>
    <w:p w14:paraId="65DE5908" w14:textId="77777777" w:rsidR="008B1AB4" w:rsidRPr="008B1AB4" w:rsidRDefault="008B1AB4" w:rsidP="008B1AB4">
      <w:pPr>
        <w:spacing w:line="360" w:lineRule="auto"/>
        <w:rPr>
          <w:rFonts w:eastAsia="Calibri"/>
          <w:lang w:val="es-CU" w:eastAsia="en-US"/>
        </w:rPr>
      </w:pPr>
    </w:p>
    <w:p w14:paraId="1E0A7D9F" w14:textId="77777777" w:rsidR="008B1AB4" w:rsidRPr="008B1AB4" w:rsidRDefault="008B1AB4" w:rsidP="008B1AB4">
      <w:pPr>
        <w:spacing w:line="360" w:lineRule="auto"/>
        <w:rPr>
          <w:rFonts w:eastAsia="Calibri"/>
          <w:lang w:val="es-CU" w:eastAsia="en-US"/>
        </w:rPr>
      </w:pPr>
      <w:r w:rsidRPr="008B1AB4">
        <w:rPr>
          <w:rFonts w:eastAsia="Calibri"/>
          <w:lang w:val="es-CU" w:eastAsia="en-US"/>
        </w:rPr>
        <w:t xml:space="preserve">*Autor para la correspondencia. Correo electrónico: </w:t>
      </w:r>
      <w:hyperlink r:id="rId11" w:history="1">
        <w:r w:rsidRPr="008B1AB4">
          <w:rPr>
            <w:rFonts w:eastAsia="Calibri"/>
            <w:color w:val="0000FF"/>
            <w:u w:val="single"/>
            <w:lang w:val="es-CU" w:eastAsia="en-US"/>
          </w:rPr>
          <w:t>rcarranza@usil.edu.pe</w:t>
        </w:r>
      </w:hyperlink>
      <w:r w:rsidRPr="008B1AB4">
        <w:rPr>
          <w:rFonts w:eastAsia="Calibri"/>
          <w:lang w:val="es-CU" w:eastAsia="en-US"/>
        </w:rPr>
        <w:t xml:space="preserve"> </w:t>
      </w:r>
    </w:p>
    <w:p w14:paraId="1381FDF4" w14:textId="77777777" w:rsidR="008B1AB4" w:rsidRPr="008B1AB4" w:rsidRDefault="008B1AB4" w:rsidP="008B1AB4">
      <w:pPr>
        <w:spacing w:line="360" w:lineRule="auto"/>
        <w:rPr>
          <w:rFonts w:eastAsia="Calibri"/>
          <w:b/>
          <w:lang w:val="es-419" w:eastAsia="en-US"/>
        </w:rPr>
      </w:pPr>
    </w:p>
    <w:p w14:paraId="7CF82E29" w14:textId="77777777" w:rsidR="008B1AB4" w:rsidRPr="008B1AB4" w:rsidRDefault="008B1AB4" w:rsidP="008B1AB4">
      <w:pPr>
        <w:spacing w:line="360" w:lineRule="auto"/>
        <w:rPr>
          <w:rFonts w:eastAsia="Calibri"/>
          <w:b/>
          <w:lang w:val="es-419" w:eastAsia="en-US"/>
        </w:rPr>
      </w:pPr>
      <w:r w:rsidRPr="008B1AB4">
        <w:rPr>
          <w:rFonts w:eastAsia="Calibri"/>
          <w:b/>
          <w:lang w:val="es-419" w:eastAsia="en-US"/>
        </w:rPr>
        <w:t>RESUMEN</w:t>
      </w:r>
    </w:p>
    <w:p w14:paraId="580FE7C2"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b/>
          <w:bCs/>
          <w:lang w:val="es-419" w:eastAsia="en-US"/>
        </w:rPr>
        <w:t xml:space="preserve">Introducción: </w:t>
      </w:r>
      <w:r w:rsidRPr="008B1AB4">
        <w:rPr>
          <w:rFonts w:eastAsia="Calibri"/>
          <w:bCs/>
          <w:lang w:val="es-419" w:eastAsia="en-US"/>
        </w:rPr>
        <w:t xml:space="preserve">Desde el inicio de la pandemia por la COVID-19, se han documentado diversas variantes del virus, lo cual ha provocado </w:t>
      </w:r>
      <w:r w:rsidRPr="008B1AB4">
        <w:rPr>
          <w:rFonts w:eastAsia="Calibri"/>
          <w:shd w:val="clear" w:color="auto" w:fill="FFFFFF"/>
          <w:lang w:val="es-419" w:eastAsia="en-US"/>
        </w:rPr>
        <w:t>preocupación en la población.</w:t>
      </w:r>
    </w:p>
    <w:p w14:paraId="753AE9E5"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b/>
          <w:shd w:val="clear" w:color="auto" w:fill="FFFFFF"/>
          <w:lang w:val="es-419" w:eastAsia="en-US"/>
        </w:rPr>
        <w:t xml:space="preserve">Objetivos: </w:t>
      </w:r>
      <w:r w:rsidRPr="008B1AB4">
        <w:rPr>
          <w:rFonts w:eastAsia="Calibri"/>
          <w:shd w:val="clear" w:color="auto" w:fill="FFFFFF"/>
          <w:lang w:val="es-419" w:eastAsia="en-US"/>
        </w:rPr>
        <w:t xml:space="preserve">Analizar las propiedades psicométricas de una escala de preocupación por el contagio de una variante de la COVID-19 (EPCNVCov-19). </w:t>
      </w:r>
    </w:p>
    <w:p w14:paraId="702BF006" w14:textId="77777777" w:rsidR="008B1AB4" w:rsidRPr="008B1AB4" w:rsidRDefault="008B1AB4" w:rsidP="008B1AB4">
      <w:pPr>
        <w:spacing w:line="360" w:lineRule="auto"/>
        <w:jc w:val="both"/>
        <w:rPr>
          <w:rFonts w:eastAsia="Calibri"/>
          <w:lang w:val="es-419" w:eastAsia="en-US"/>
        </w:rPr>
      </w:pPr>
      <w:r w:rsidRPr="008B1AB4">
        <w:rPr>
          <w:rFonts w:eastAsia="Calibri"/>
          <w:b/>
          <w:shd w:val="clear" w:color="auto" w:fill="FFFFFF"/>
          <w:lang w:val="es-419" w:eastAsia="en-US"/>
        </w:rPr>
        <w:t xml:space="preserve">Métodos: </w:t>
      </w:r>
      <w:r w:rsidRPr="008B1AB4">
        <w:rPr>
          <w:rFonts w:eastAsia="Calibri"/>
          <w:shd w:val="clear" w:color="auto" w:fill="FFFFFF"/>
          <w:lang w:val="es-419" w:eastAsia="en-US"/>
        </w:rPr>
        <w:t>Se realizó un estudio instrumental, que adaptó 5 preguntas de tipo Likert de una escala previamente validada (</w:t>
      </w:r>
      <w:r w:rsidRPr="008B1AB4">
        <w:rPr>
          <w:rFonts w:eastAsia="Calibri"/>
          <w:bCs/>
          <w:lang w:val="es-419" w:eastAsia="en-US"/>
        </w:rPr>
        <w:t>EPCov-19</w:t>
      </w:r>
      <w:r w:rsidRPr="008B1AB4">
        <w:rPr>
          <w:rFonts w:eastAsia="Calibri"/>
          <w:shd w:val="clear" w:color="auto" w:fill="FFFFFF"/>
          <w:lang w:val="es-419" w:eastAsia="en-US"/>
        </w:rPr>
        <w:t>), se aplicó de forma virtual a 407 personas (</w:t>
      </w:r>
      <w:r w:rsidRPr="008B1AB4">
        <w:rPr>
          <w:rFonts w:eastAsia="Calibri"/>
          <w:lang w:eastAsia="en-US"/>
        </w:rPr>
        <w:t xml:space="preserve">56,5 % mujeres) </w:t>
      </w:r>
      <w:r w:rsidRPr="008B1AB4">
        <w:rPr>
          <w:rFonts w:eastAsia="Calibri"/>
          <w:shd w:val="clear" w:color="auto" w:fill="FFFFFF"/>
          <w:lang w:val="es-419" w:eastAsia="en-US"/>
        </w:rPr>
        <w:t xml:space="preserve">de diversos departamentos en el Perú. Para analizar la evidencia de validez de contenido se empleó </w:t>
      </w:r>
      <w:r w:rsidRPr="008B1AB4">
        <w:rPr>
          <w:rFonts w:eastAsia="Calibri"/>
          <w:lang w:val="es-419" w:eastAsia="en-US"/>
        </w:rPr>
        <w:t xml:space="preserve">el coeficiente V de Aiken, el análisis de la estructura interna a través del análisis factorial confirmatorio, la </w:t>
      </w:r>
      <w:r w:rsidRPr="008B1AB4">
        <w:rPr>
          <w:rFonts w:eastAsia="Calibri"/>
          <w:lang w:val="es-419" w:eastAsia="en-US"/>
        </w:rPr>
        <w:lastRenderedPageBreak/>
        <w:t xml:space="preserve">confiabilidad fue estimada mediante el coeficiente Omega. Además, se hizo los análisis de invarianza por género y validez convergente y discriminante. </w:t>
      </w:r>
    </w:p>
    <w:p w14:paraId="60A3FD81"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b/>
          <w:bCs/>
          <w:lang w:val="es-419" w:eastAsia="en-US"/>
        </w:rPr>
        <w:t xml:space="preserve">Resultados: </w:t>
      </w:r>
      <w:r w:rsidRPr="008B1AB4">
        <w:rPr>
          <w:rFonts w:eastAsia="Calibri"/>
          <w:bCs/>
          <w:lang w:val="es-419" w:eastAsia="en-US"/>
        </w:rPr>
        <w:t xml:space="preserve">La EPCNVCov-19 </w:t>
      </w:r>
      <w:r w:rsidRPr="008B1AB4">
        <w:rPr>
          <w:rFonts w:eastAsia="Calibri"/>
          <w:lang w:val="es-419" w:eastAsia="en-US"/>
        </w:rPr>
        <w:t xml:space="preserve">se adaptó en tiempo y contexto, los ítems recibieron una valoración satisfactoria de los expertos </w:t>
      </w:r>
      <w:r w:rsidRPr="008B1AB4">
        <w:rPr>
          <w:rFonts w:eastAsia="Calibri"/>
          <w:bCs/>
          <w:lang w:val="es-419" w:eastAsia="en-US"/>
        </w:rPr>
        <w:t>(</w:t>
      </w:r>
      <w:r w:rsidRPr="008B1AB4">
        <w:rPr>
          <w:rFonts w:eastAsia="Arial Narrow"/>
          <w:lang w:val="es-419" w:eastAsia="en-US"/>
        </w:rPr>
        <w:t>coeficiente V de Aiken</w:t>
      </w:r>
      <w:r w:rsidRPr="008B1AB4">
        <w:rPr>
          <w:rFonts w:eastAsia="Calibri"/>
          <w:bCs/>
          <w:lang w:val="es-419" w:eastAsia="en-US"/>
        </w:rPr>
        <w:t xml:space="preserve"> &gt; 0,70). Con los índices de bondad de ajuste se confirmó la estructura unidimensional de la escala </w:t>
      </w:r>
      <w:r w:rsidRPr="008B1AB4">
        <w:rPr>
          <w:rFonts w:eastAsia="Calibri"/>
          <w:shd w:val="clear" w:color="auto" w:fill="FFFFFF"/>
          <w:lang w:val="es-419" w:eastAsia="en-US"/>
        </w:rPr>
        <w:t xml:space="preserve">(χ2 = 9,36, </w:t>
      </w:r>
      <w:proofErr w:type="spellStart"/>
      <w:r w:rsidRPr="008B1AB4">
        <w:rPr>
          <w:rFonts w:eastAsia="Calibri"/>
          <w:shd w:val="clear" w:color="auto" w:fill="FFFFFF"/>
          <w:lang w:val="es-419" w:eastAsia="en-US"/>
        </w:rPr>
        <w:t>gl</w:t>
      </w:r>
      <w:proofErr w:type="spellEnd"/>
      <w:r w:rsidRPr="008B1AB4">
        <w:rPr>
          <w:rFonts w:eastAsia="Calibri"/>
          <w:shd w:val="clear" w:color="auto" w:fill="FFFFFF"/>
          <w:lang w:val="es-419" w:eastAsia="en-US"/>
        </w:rPr>
        <w:t xml:space="preserve"> = 5, p= 0,09; CFI = 0,999; TLI = 0,999; RMSEA = 0,046 [IC90 % 0,00 – 0,092] y SRMR = 0,015). El análisis de invarianza muestra que la EPCNVCov-19 puede ser utilizada en individuos de </w:t>
      </w:r>
      <w:r w:rsidRPr="008B1AB4">
        <w:rPr>
          <w:rFonts w:eastAsia="Calibri"/>
          <w:lang w:val="es-419" w:eastAsia="en-US"/>
        </w:rPr>
        <w:t xml:space="preserve">ambos sexos. La escala presenta una aceptable confiabilidad </w:t>
      </w:r>
      <w:r w:rsidRPr="008B1AB4">
        <w:rPr>
          <w:rFonts w:eastAsia="Calibri"/>
          <w:shd w:val="clear" w:color="auto" w:fill="FFFFFF"/>
          <w:lang w:val="es-419" w:eastAsia="en-US"/>
        </w:rPr>
        <w:t xml:space="preserve">(ω &gt; 0,8). Asimismo, se alcanzó evidencias de validez convergente y discriminante. </w:t>
      </w:r>
    </w:p>
    <w:p w14:paraId="0E412A4A"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b/>
          <w:shd w:val="clear" w:color="auto" w:fill="FFFFFF"/>
          <w:lang w:val="es-419" w:eastAsia="en-US"/>
        </w:rPr>
        <w:t xml:space="preserve">Conclusión: </w:t>
      </w:r>
      <w:r w:rsidRPr="008B1AB4">
        <w:rPr>
          <w:rFonts w:eastAsia="Calibri"/>
          <w:shd w:val="clear" w:color="auto" w:fill="FFFFFF"/>
          <w:lang w:val="es-419" w:eastAsia="en-US"/>
        </w:rPr>
        <w:t>La EPCNVCov-19 es una medida breve válida, confiable e invariante según sexo en la población peruana.</w:t>
      </w:r>
    </w:p>
    <w:p w14:paraId="750005FD" w14:textId="7A5755FE" w:rsidR="008B1AB4" w:rsidRPr="008B1AB4" w:rsidRDefault="008B1AB4" w:rsidP="008B1AB4">
      <w:pPr>
        <w:spacing w:line="360" w:lineRule="auto"/>
        <w:jc w:val="both"/>
        <w:rPr>
          <w:rFonts w:eastAsia="Calibri"/>
          <w:bCs/>
          <w:lang w:val="es-419" w:eastAsia="en-US"/>
        </w:rPr>
      </w:pPr>
      <w:r w:rsidRPr="008B1AB4">
        <w:rPr>
          <w:rFonts w:eastAsia="Calibri"/>
          <w:b/>
          <w:iCs/>
          <w:lang w:val="es-419" w:eastAsia="en-US"/>
        </w:rPr>
        <w:t>Palabras clave:</w:t>
      </w:r>
      <w:r w:rsidRPr="008B1AB4">
        <w:rPr>
          <w:rFonts w:eastAsia="Calibri"/>
          <w:shd w:val="clear" w:color="auto" w:fill="FFFFFF"/>
          <w:lang w:val="es-419" w:eastAsia="en-US"/>
        </w:rPr>
        <w:t xml:space="preserve"> estudio de validación; variantes de la </w:t>
      </w:r>
      <w:r w:rsidRPr="008B1AB4">
        <w:rPr>
          <w:rFonts w:eastAsia="Calibri"/>
          <w:bCs/>
          <w:lang w:val="es-419" w:eastAsia="en-US"/>
        </w:rPr>
        <w:t xml:space="preserve">COVID-19; salud mental; Perú. </w:t>
      </w:r>
    </w:p>
    <w:p w14:paraId="1CF2A217" w14:textId="77777777" w:rsidR="008B1AB4" w:rsidRPr="008B1AB4" w:rsidRDefault="008B1AB4" w:rsidP="008B1AB4">
      <w:pPr>
        <w:spacing w:line="360" w:lineRule="auto"/>
        <w:jc w:val="both"/>
        <w:rPr>
          <w:rFonts w:eastAsia="Calibri"/>
          <w:bCs/>
          <w:lang w:val="es-419" w:eastAsia="en-US"/>
        </w:rPr>
      </w:pPr>
    </w:p>
    <w:p w14:paraId="2341047B" w14:textId="77777777" w:rsidR="008B1AB4" w:rsidRPr="008B1AB4" w:rsidRDefault="008B1AB4" w:rsidP="008B1AB4">
      <w:pPr>
        <w:spacing w:line="360" w:lineRule="auto"/>
        <w:rPr>
          <w:rFonts w:eastAsia="Calibri"/>
          <w:b/>
          <w:lang w:val="en-US" w:eastAsia="en-US"/>
        </w:rPr>
      </w:pPr>
      <w:r w:rsidRPr="008B1AB4">
        <w:rPr>
          <w:rFonts w:eastAsia="Calibri"/>
          <w:b/>
          <w:lang w:val="en-US" w:eastAsia="en-US"/>
        </w:rPr>
        <w:t>ABSTRACT</w:t>
      </w:r>
    </w:p>
    <w:p w14:paraId="10559809" w14:textId="77777777" w:rsidR="008B1AB4" w:rsidRPr="008B1AB4" w:rsidRDefault="008B1AB4" w:rsidP="008B1AB4">
      <w:pPr>
        <w:spacing w:line="360" w:lineRule="auto"/>
        <w:jc w:val="both"/>
        <w:rPr>
          <w:rFonts w:eastAsia="Calibri"/>
          <w:bCs/>
          <w:lang w:val="en-US" w:eastAsia="en-US"/>
        </w:rPr>
      </w:pPr>
      <w:r w:rsidRPr="008B1AB4">
        <w:rPr>
          <w:rFonts w:eastAsia="Calibri"/>
          <w:b/>
          <w:bCs/>
          <w:lang w:val="en-US" w:eastAsia="en-US"/>
        </w:rPr>
        <w:t xml:space="preserve">Introduction: </w:t>
      </w:r>
      <w:r w:rsidRPr="008B1AB4">
        <w:rPr>
          <w:rFonts w:eastAsia="Calibri"/>
          <w:bCs/>
          <w:lang w:val="en-US" w:eastAsia="en-US"/>
        </w:rPr>
        <w:t xml:space="preserve">Since the beginning of the COVID-19 pandemic, several variants of the virus have been documented, generating greater concern among the population. </w:t>
      </w:r>
    </w:p>
    <w:p w14:paraId="3EB65155" w14:textId="77777777" w:rsidR="008B1AB4" w:rsidRPr="008B1AB4" w:rsidRDefault="008B1AB4" w:rsidP="008B1AB4">
      <w:pPr>
        <w:spacing w:line="360" w:lineRule="auto"/>
        <w:jc w:val="both"/>
        <w:rPr>
          <w:rFonts w:eastAsia="Calibri"/>
          <w:bCs/>
          <w:lang w:val="en-US" w:eastAsia="en-US"/>
        </w:rPr>
      </w:pPr>
      <w:r w:rsidRPr="008B1AB4">
        <w:rPr>
          <w:rFonts w:eastAsia="Calibri"/>
          <w:b/>
          <w:bCs/>
          <w:lang w:val="en-US" w:eastAsia="en-US"/>
        </w:rPr>
        <w:t xml:space="preserve">Objective: </w:t>
      </w:r>
      <w:r w:rsidRPr="008B1AB4">
        <w:rPr>
          <w:rFonts w:eastAsia="Calibri"/>
          <w:bCs/>
          <w:lang w:val="en-US" w:eastAsia="en-US"/>
        </w:rPr>
        <w:t xml:space="preserve">To analyze the psychometric properties of a scale of concern about the contagion of a variant of COVID-19 (EPCNVCov-19). </w:t>
      </w:r>
    </w:p>
    <w:p w14:paraId="735B0F54" w14:textId="77777777" w:rsidR="008B1AB4" w:rsidRPr="008B1AB4" w:rsidRDefault="008B1AB4" w:rsidP="008B1AB4">
      <w:pPr>
        <w:spacing w:line="360" w:lineRule="auto"/>
        <w:jc w:val="both"/>
        <w:rPr>
          <w:rFonts w:eastAsia="Calibri"/>
          <w:bCs/>
          <w:lang w:val="en-US" w:eastAsia="en-US"/>
        </w:rPr>
      </w:pPr>
      <w:r w:rsidRPr="008B1AB4">
        <w:rPr>
          <w:rFonts w:eastAsia="Calibri"/>
          <w:b/>
          <w:bCs/>
          <w:lang w:val="en-US" w:eastAsia="en-US"/>
        </w:rPr>
        <w:t xml:space="preserve">Methods: </w:t>
      </w:r>
      <w:r w:rsidRPr="008B1AB4">
        <w:rPr>
          <w:rFonts w:eastAsia="Calibri"/>
          <w:bCs/>
          <w:lang w:val="en-US" w:eastAsia="en-US"/>
        </w:rPr>
        <w:t>An instrumental study, which adapted 5 Likert-type questions from a previously validated scale (EPCNVCov-19), was conducted and applied virtually to 407 people (56.5 % women) from different departments in Peru. To analyze the evidence of content validity, the Aiken V coefficient was used, the analysis of internal structure through confirmatory factor analysis, and reliability was estimated by means of the Omega coefficient. In addition, analyses of invariance by gender and convergent and discriminant validity were performed.</w:t>
      </w:r>
    </w:p>
    <w:p w14:paraId="07680779" w14:textId="1B067B20" w:rsidR="008B1AB4" w:rsidRPr="008B1AB4" w:rsidRDefault="008B1AB4" w:rsidP="008B1AB4">
      <w:pPr>
        <w:spacing w:line="360" w:lineRule="auto"/>
        <w:jc w:val="both"/>
        <w:rPr>
          <w:rFonts w:eastAsia="Calibri"/>
          <w:bCs/>
          <w:lang w:val="en-US" w:eastAsia="en-US"/>
        </w:rPr>
      </w:pPr>
      <w:r w:rsidRPr="008B1AB4">
        <w:rPr>
          <w:rFonts w:eastAsia="Calibri"/>
          <w:b/>
          <w:bCs/>
          <w:lang w:val="en-US" w:eastAsia="en-US"/>
        </w:rPr>
        <w:t xml:space="preserve">Results: </w:t>
      </w:r>
      <w:r w:rsidRPr="008B1AB4">
        <w:rPr>
          <w:rFonts w:eastAsia="Calibri"/>
          <w:bCs/>
          <w:lang w:val="en-US" w:eastAsia="en-US"/>
        </w:rPr>
        <w:t>The EPCNVCov-19 was adapted in time and context, and the items received a satisfactory rating from the experts (Aiken's V coefficient &gt; 0.70). With the goodness-of-fit indices, the unidimensional structure of the scale was confirmed (χ2 = 9,36, df = 5, p = 0,09; CFI = 0,999; TLI</w:t>
      </w:r>
      <w:r w:rsidR="00A63556">
        <w:rPr>
          <w:rFonts w:eastAsia="Calibri"/>
          <w:bCs/>
          <w:lang w:val="en-US" w:eastAsia="en-US"/>
        </w:rPr>
        <w:t> </w:t>
      </w:r>
      <w:r w:rsidRPr="008B1AB4">
        <w:rPr>
          <w:rFonts w:eastAsia="Calibri"/>
          <w:bCs/>
          <w:lang w:val="en-US" w:eastAsia="en-US"/>
        </w:rPr>
        <w:t>=</w:t>
      </w:r>
      <w:r w:rsidR="00A63556">
        <w:rPr>
          <w:rFonts w:eastAsia="Calibri"/>
          <w:bCs/>
          <w:lang w:val="en-US" w:eastAsia="en-US"/>
        </w:rPr>
        <w:t> </w:t>
      </w:r>
      <w:r w:rsidRPr="008B1AB4">
        <w:rPr>
          <w:rFonts w:eastAsia="Calibri"/>
          <w:bCs/>
          <w:lang w:val="en-US" w:eastAsia="en-US"/>
        </w:rPr>
        <w:t xml:space="preserve">0.999; RMSEA = 0.046 [CI90 % 0.00 - 0.092] and SRMR = 0.015). The invariance analysis shows that the EPCNVCov-19 can be used in individuals of both sexes. </w:t>
      </w:r>
    </w:p>
    <w:p w14:paraId="3CF36D79" w14:textId="77777777" w:rsidR="008B1AB4" w:rsidRPr="008B1AB4" w:rsidRDefault="008B1AB4" w:rsidP="008B1AB4">
      <w:pPr>
        <w:spacing w:line="360" w:lineRule="auto"/>
        <w:jc w:val="both"/>
        <w:rPr>
          <w:rFonts w:eastAsia="Calibri"/>
          <w:bCs/>
          <w:lang w:val="en-US" w:eastAsia="en-US"/>
        </w:rPr>
      </w:pPr>
      <w:r w:rsidRPr="008B1AB4">
        <w:rPr>
          <w:rFonts w:eastAsia="Calibri"/>
          <w:b/>
          <w:bCs/>
          <w:lang w:val="en-US" w:eastAsia="en-US"/>
        </w:rPr>
        <w:lastRenderedPageBreak/>
        <w:t xml:space="preserve">Conclusion: </w:t>
      </w:r>
      <w:r w:rsidRPr="008B1AB4">
        <w:rPr>
          <w:rFonts w:eastAsia="Calibri"/>
          <w:bCs/>
          <w:lang w:val="en-US" w:eastAsia="en-US"/>
        </w:rPr>
        <w:t>The scale presents acceptable reliability (ω &gt; 0,8). Likewise, evidence of convergent and discriminant validity was achieved. In conclusion, the EPCNVCov-19 is a valid, reliable and sex-invariant brief measure in the Peruvian population.</w:t>
      </w:r>
    </w:p>
    <w:p w14:paraId="61BB7D7E" w14:textId="038ADD79" w:rsidR="008B1AB4" w:rsidRPr="008B1AB4" w:rsidRDefault="008B1AB4" w:rsidP="008B1AB4">
      <w:pPr>
        <w:spacing w:line="360" w:lineRule="auto"/>
        <w:jc w:val="both"/>
        <w:rPr>
          <w:rFonts w:eastAsia="Calibri"/>
          <w:bCs/>
          <w:lang w:val="en-US" w:eastAsia="en-US"/>
        </w:rPr>
      </w:pPr>
      <w:r w:rsidRPr="008B1AB4">
        <w:rPr>
          <w:rFonts w:eastAsia="Calibri"/>
          <w:b/>
          <w:iCs/>
          <w:lang w:val="en-US" w:eastAsia="en-US"/>
        </w:rPr>
        <w:t>Keywords:</w:t>
      </w:r>
      <w:r w:rsidRPr="008B1AB4">
        <w:rPr>
          <w:rFonts w:eastAsia="Calibri"/>
          <w:bCs/>
          <w:lang w:val="en-US" w:eastAsia="en-US"/>
        </w:rPr>
        <w:t xml:space="preserve"> validation study; variants of COVID-19; mental health; Peru.</w:t>
      </w:r>
    </w:p>
    <w:p w14:paraId="70CA3000" w14:textId="77777777" w:rsidR="008B1AB4" w:rsidRPr="008B1AB4" w:rsidRDefault="008B1AB4" w:rsidP="008B1AB4">
      <w:pPr>
        <w:spacing w:line="360" w:lineRule="auto"/>
        <w:jc w:val="both"/>
        <w:rPr>
          <w:rFonts w:eastAsia="Calibri"/>
          <w:bCs/>
          <w:lang w:val="en-US" w:eastAsia="en-US"/>
        </w:rPr>
      </w:pPr>
    </w:p>
    <w:p w14:paraId="17A0590D" w14:textId="77777777" w:rsidR="008B1AB4" w:rsidRPr="008B1AB4" w:rsidRDefault="008B1AB4" w:rsidP="008B1AB4">
      <w:pPr>
        <w:spacing w:line="360" w:lineRule="auto"/>
        <w:jc w:val="both"/>
        <w:rPr>
          <w:rFonts w:eastAsia="Calibri"/>
          <w:bCs/>
          <w:lang w:val="en-US" w:eastAsia="en-US"/>
        </w:rPr>
      </w:pPr>
    </w:p>
    <w:p w14:paraId="7D8514AC" w14:textId="77777777" w:rsidR="008B1AB4" w:rsidRPr="008B1AB4" w:rsidRDefault="008B1AB4" w:rsidP="008B1AB4">
      <w:pPr>
        <w:spacing w:line="360" w:lineRule="auto"/>
        <w:jc w:val="both"/>
        <w:rPr>
          <w:rFonts w:eastAsia="Calibri"/>
          <w:bCs/>
          <w:lang w:val="es-CU" w:eastAsia="en-US"/>
        </w:rPr>
      </w:pPr>
      <w:r w:rsidRPr="008B1AB4">
        <w:rPr>
          <w:rFonts w:eastAsia="Calibri"/>
          <w:bCs/>
          <w:lang w:val="es-CU" w:eastAsia="en-US"/>
        </w:rPr>
        <w:t>Recibido: 06/11/2021</w:t>
      </w:r>
    </w:p>
    <w:p w14:paraId="7576F93A" w14:textId="77777777" w:rsidR="008B1AB4" w:rsidRPr="008B1AB4" w:rsidRDefault="008B1AB4" w:rsidP="008B1AB4">
      <w:pPr>
        <w:spacing w:line="360" w:lineRule="auto"/>
        <w:jc w:val="both"/>
        <w:rPr>
          <w:rFonts w:eastAsia="Calibri"/>
          <w:bCs/>
          <w:lang w:val="es-CU" w:eastAsia="en-US"/>
        </w:rPr>
      </w:pPr>
      <w:r w:rsidRPr="008B1AB4">
        <w:rPr>
          <w:rFonts w:eastAsia="Calibri"/>
          <w:bCs/>
          <w:lang w:val="es-CU" w:eastAsia="en-US"/>
        </w:rPr>
        <w:t>Aprobado: 10/12/2021</w:t>
      </w:r>
    </w:p>
    <w:p w14:paraId="704411E4" w14:textId="77777777" w:rsidR="008B1AB4" w:rsidRPr="008B1AB4" w:rsidRDefault="008B1AB4" w:rsidP="008B1AB4">
      <w:pPr>
        <w:spacing w:line="360" w:lineRule="auto"/>
        <w:jc w:val="both"/>
        <w:rPr>
          <w:rFonts w:eastAsia="Calibri"/>
          <w:bCs/>
          <w:lang w:val="es-CU" w:eastAsia="en-US"/>
        </w:rPr>
      </w:pPr>
    </w:p>
    <w:p w14:paraId="7E6F405A" w14:textId="77777777" w:rsidR="008B1AB4" w:rsidRPr="008B1AB4" w:rsidRDefault="008B1AB4" w:rsidP="008B1AB4">
      <w:pPr>
        <w:spacing w:line="360" w:lineRule="auto"/>
        <w:jc w:val="both"/>
        <w:rPr>
          <w:rFonts w:eastAsia="Calibri"/>
          <w:bCs/>
          <w:lang w:val="es-CU" w:eastAsia="en-US"/>
        </w:rPr>
      </w:pPr>
    </w:p>
    <w:p w14:paraId="0D04A586" w14:textId="77777777" w:rsidR="008B1AB4" w:rsidRPr="008B1AB4" w:rsidRDefault="008B1AB4" w:rsidP="008B1AB4">
      <w:pPr>
        <w:spacing w:line="360" w:lineRule="auto"/>
        <w:jc w:val="center"/>
        <w:rPr>
          <w:rFonts w:eastAsia="Calibri"/>
          <w:b/>
          <w:sz w:val="32"/>
          <w:szCs w:val="32"/>
          <w:lang w:val="es-419" w:eastAsia="en-US"/>
        </w:rPr>
      </w:pPr>
      <w:r w:rsidRPr="008B1AB4">
        <w:rPr>
          <w:rFonts w:eastAsia="Calibri"/>
          <w:b/>
          <w:sz w:val="32"/>
          <w:szCs w:val="32"/>
          <w:lang w:val="es-419" w:eastAsia="en-US"/>
        </w:rPr>
        <w:t>INTRODUCCIÓN</w:t>
      </w:r>
    </w:p>
    <w:p w14:paraId="064EBDA8" w14:textId="77777777" w:rsidR="008B1AB4" w:rsidRPr="008B1AB4" w:rsidRDefault="008B1AB4" w:rsidP="008B1AB4">
      <w:pPr>
        <w:spacing w:line="360" w:lineRule="auto"/>
        <w:jc w:val="both"/>
        <w:rPr>
          <w:rFonts w:eastAsia="Calibri"/>
          <w:shd w:val="clear" w:color="auto" w:fill="FFFFFF"/>
          <w:lang w:val="es-419" w:eastAsia="en-US"/>
        </w:rPr>
      </w:pPr>
      <w:bookmarkStart w:id="1" w:name="_Hlk64886816"/>
      <w:r w:rsidRPr="008B1AB4">
        <w:rPr>
          <w:rFonts w:eastAsia="Calibri"/>
          <w:shd w:val="clear" w:color="auto" w:fill="FFFFFF"/>
          <w:lang w:val="es-419" w:eastAsia="en-US"/>
        </w:rPr>
        <w:t>Desde que se dieron los primeros reportes de contagios a causa del SARS-CoV-2 en la ciudad de Wuhan, el mundo ha enfrentado una nueva pandemia, con diversos efectos en la salud pública a gran escala.</w:t>
      </w:r>
      <w:r w:rsidRPr="008B1AB4">
        <w:rPr>
          <w:rFonts w:eastAsia="Calibri"/>
          <w:noProof/>
          <w:shd w:val="clear" w:color="auto" w:fill="FFFFFF"/>
          <w:vertAlign w:val="superscript"/>
          <w:lang w:val="es-419" w:eastAsia="en-US"/>
        </w:rPr>
        <w:t xml:space="preserve">(1) </w:t>
      </w:r>
      <w:bookmarkEnd w:id="1"/>
      <w:r w:rsidRPr="008B1AB4">
        <w:rPr>
          <w:rFonts w:eastAsia="Calibri"/>
          <w:shd w:val="clear" w:color="auto" w:fill="FFFFFF"/>
          <w:lang w:val="es-419" w:eastAsia="en-US"/>
        </w:rPr>
        <w:t>Esto ha tenido repercusiones en distintas áreas del ser humano, en la salud física, la fuerza laboral/ económica, el estilo de vida y, sobre todo en la salud mental.</w:t>
      </w:r>
      <w:r w:rsidRPr="008B1AB4">
        <w:rPr>
          <w:rFonts w:eastAsia="Calibri"/>
          <w:noProof/>
          <w:shd w:val="clear" w:color="auto" w:fill="FFFFFF"/>
          <w:vertAlign w:val="superscript"/>
          <w:lang w:val="es-419" w:eastAsia="en-US"/>
        </w:rPr>
        <w:t xml:space="preserve">(2) </w:t>
      </w:r>
      <w:r w:rsidRPr="008B1AB4">
        <w:rPr>
          <w:rFonts w:eastAsia="Calibri"/>
          <w:shd w:val="clear" w:color="auto" w:fill="FFFFFF"/>
          <w:lang w:val="es-419" w:eastAsia="en-US"/>
        </w:rPr>
        <w:t>Investigaciones respecto a los efectos que produce pensar en la posibilidad de contagio y muerte a causa de ello, dan cuenta de las consecuencias emocionales en el ser humano; por ejemplo, se ha reportado que poblaciones vulnerables, como los profesionales sanitarios de primera de línea, experimentaban estrés, depresión y ansiedad.</w:t>
      </w:r>
      <w:r w:rsidRPr="008B1AB4">
        <w:rPr>
          <w:rFonts w:eastAsia="Calibri"/>
          <w:shd w:val="clear" w:color="auto" w:fill="FFFFFF"/>
          <w:vertAlign w:val="superscript"/>
          <w:lang w:val="es-419" w:eastAsia="en-US"/>
        </w:rPr>
        <w:t>(3)</w:t>
      </w:r>
      <w:r w:rsidRPr="008B1AB4">
        <w:rPr>
          <w:rFonts w:eastAsia="Calibri"/>
          <w:shd w:val="clear" w:color="auto" w:fill="FFFFFF"/>
          <w:lang w:val="es-419" w:eastAsia="en-US"/>
        </w:rPr>
        <w:t xml:space="preserve"> En consecuencia, estudios a nivel internacional</w:t>
      </w:r>
      <w:r w:rsidRPr="008B1AB4">
        <w:rPr>
          <w:rFonts w:eastAsia="Calibri"/>
          <w:noProof/>
          <w:shd w:val="clear" w:color="auto" w:fill="FFFFFF"/>
          <w:vertAlign w:val="superscript"/>
          <w:lang w:val="es-419" w:eastAsia="en-US"/>
        </w:rPr>
        <w:t>(4)</w:t>
      </w:r>
      <w:r w:rsidRPr="008B1AB4">
        <w:rPr>
          <w:rFonts w:eastAsia="Calibri"/>
          <w:shd w:val="clear" w:color="auto" w:fill="FFFFFF"/>
          <w:vertAlign w:val="superscript"/>
          <w:lang w:val="es-419" w:eastAsia="en-US"/>
        </w:rPr>
        <w:t xml:space="preserve"> </w:t>
      </w:r>
      <w:r w:rsidRPr="008B1AB4">
        <w:rPr>
          <w:rFonts w:eastAsia="Calibri"/>
          <w:shd w:val="clear" w:color="auto" w:fill="FFFFFF"/>
          <w:lang w:val="es-419" w:eastAsia="en-US"/>
        </w:rPr>
        <w:t>y nacional,</w:t>
      </w:r>
      <w:r w:rsidRPr="008B1AB4">
        <w:rPr>
          <w:rFonts w:eastAsia="Calibri"/>
          <w:noProof/>
          <w:shd w:val="clear" w:color="auto" w:fill="FFFFFF"/>
          <w:vertAlign w:val="superscript"/>
          <w:lang w:val="es-419" w:eastAsia="en-US"/>
        </w:rPr>
        <w:t>(5)</w:t>
      </w:r>
      <w:r w:rsidRPr="008B1AB4">
        <w:rPr>
          <w:rFonts w:eastAsia="Calibri"/>
          <w:shd w:val="clear" w:color="auto" w:fill="FFFFFF"/>
          <w:lang w:val="es-419" w:eastAsia="en-US"/>
        </w:rPr>
        <w:t xml:space="preserve"> documentaron la necesidad de investigar la preocupación por el contagio de la COVID-19.</w:t>
      </w:r>
    </w:p>
    <w:p w14:paraId="15CE7D72" w14:textId="77777777" w:rsidR="008B1AB4" w:rsidRPr="008B1AB4" w:rsidRDefault="008B1AB4" w:rsidP="008B1AB4">
      <w:pPr>
        <w:spacing w:line="360" w:lineRule="auto"/>
        <w:jc w:val="both"/>
        <w:rPr>
          <w:rFonts w:eastAsia="Calibri"/>
          <w:shd w:val="clear" w:color="auto" w:fill="FFFFFF"/>
          <w:lang w:val="es-419" w:eastAsia="en-US"/>
        </w:rPr>
      </w:pPr>
      <w:bookmarkStart w:id="2" w:name="_Hlk64886963"/>
      <w:r w:rsidRPr="008B1AB4">
        <w:rPr>
          <w:rFonts w:eastAsia="Calibri"/>
          <w:shd w:val="clear" w:color="auto" w:fill="FFFFFF"/>
          <w:lang w:val="es-419" w:eastAsia="en-US"/>
        </w:rPr>
        <w:t>Ha pasado más de un año desde el inicio de la pandemia generada por la COVID-19, y a pesar de los avances científicos respecto al manejo de esta nueva enfermedad,</w:t>
      </w:r>
      <w:r w:rsidRPr="008B1AB4">
        <w:rPr>
          <w:rFonts w:eastAsia="Calibri"/>
          <w:noProof/>
          <w:shd w:val="clear" w:color="auto" w:fill="FFFFFF"/>
          <w:vertAlign w:val="superscript"/>
          <w:lang w:val="es-419" w:eastAsia="en-US"/>
        </w:rPr>
        <w:t xml:space="preserve">(6) </w:t>
      </w:r>
      <w:r w:rsidRPr="008B1AB4">
        <w:rPr>
          <w:rFonts w:eastAsia="Calibri"/>
          <w:shd w:val="clear" w:color="auto" w:fill="FFFFFF"/>
          <w:lang w:val="es-419" w:eastAsia="en-US"/>
        </w:rPr>
        <w:t>la aparición de nuevas variantes vuelve a preocupar a la comunidad científica y a la población en general, pues crece nuevamente la incertidumbre y preocupación acerca de la letalidad y posibles secuelas en el cuerpo humano.</w:t>
      </w:r>
      <w:r w:rsidRPr="008B1AB4">
        <w:rPr>
          <w:rFonts w:eastAsia="Calibri"/>
          <w:noProof/>
          <w:shd w:val="clear" w:color="auto" w:fill="FFFFFF"/>
          <w:vertAlign w:val="superscript"/>
          <w:lang w:val="es-419" w:eastAsia="en-US"/>
        </w:rPr>
        <w:t>(7)</w:t>
      </w:r>
      <w:r w:rsidRPr="008B1AB4">
        <w:rPr>
          <w:rFonts w:eastAsia="Calibri"/>
          <w:shd w:val="clear" w:color="auto" w:fill="FFFFFF"/>
          <w:lang w:val="es-419" w:eastAsia="en-US"/>
        </w:rPr>
        <w:t xml:space="preserve"> </w:t>
      </w:r>
      <w:bookmarkEnd w:id="2"/>
      <w:r w:rsidRPr="008B1AB4">
        <w:rPr>
          <w:rFonts w:eastAsia="Calibri"/>
          <w:shd w:val="clear" w:color="auto" w:fill="FFFFFF"/>
          <w:lang w:val="es-419" w:eastAsia="en-US"/>
        </w:rPr>
        <w:t xml:space="preserve">En este nuevo escenario, </w:t>
      </w:r>
      <w:bookmarkStart w:id="3" w:name="_Hlk64887143"/>
      <w:r w:rsidRPr="008B1AB4">
        <w:rPr>
          <w:rFonts w:eastAsia="Calibri"/>
          <w:shd w:val="clear" w:color="auto" w:fill="FFFFFF"/>
          <w:lang w:val="es-419" w:eastAsia="en-US"/>
        </w:rPr>
        <w:t>los científicos nuevamente vienen realizando investigaciones virológicas y epidemiológicas, para evaluar a profundidad la transmisibilidad, gravedad, riesgo de reinfección y la respuesta de anticuerpos a estas nuevas variantes</w:t>
      </w:r>
      <w:bookmarkEnd w:id="3"/>
      <w:r w:rsidRPr="008B1AB4">
        <w:rPr>
          <w:rFonts w:eastAsia="Calibri"/>
          <w:shd w:val="clear" w:color="auto" w:fill="FFFFFF"/>
          <w:lang w:val="es-419" w:eastAsia="en-US"/>
        </w:rPr>
        <w:t>.</w:t>
      </w:r>
      <w:r w:rsidRPr="008B1AB4">
        <w:rPr>
          <w:rFonts w:eastAsia="Calibri"/>
          <w:noProof/>
          <w:shd w:val="clear" w:color="auto" w:fill="FFFFFF"/>
          <w:vertAlign w:val="superscript"/>
          <w:lang w:val="es-419" w:eastAsia="en-US"/>
        </w:rPr>
        <w:t>(8)</w:t>
      </w:r>
      <w:r w:rsidRPr="008B1AB4">
        <w:rPr>
          <w:rFonts w:eastAsia="Calibri"/>
          <w:shd w:val="clear" w:color="auto" w:fill="FFFFFF"/>
          <w:lang w:val="es-419" w:eastAsia="en-US"/>
        </w:rPr>
        <w:t xml:space="preserve"> Mientras tanto, una vez más la población está sensible ante los eventos que puedan ocurrir a causa de estas variaciones, desarrollan más preocupación </w:t>
      </w:r>
      <w:r w:rsidRPr="008B1AB4">
        <w:rPr>
          <w:rFonts w:eastAsia="Calibri"/>
          <w:shd w:val="clear" w:color="auto" w:fill="FFFFFF"/>
          <w:lang w:val="es-419" w:eastAsia="en-US"/>
        </w:rPr>
        <w:lastRenderedPageBreak/>
        <w:t>ante la posibilidad de contagiarse con alguna de estas variantes o experimentar secuelas hasta ahora desconocidas.</w:t>
      </w:r>
      <w:r w:rsidRPr="008B1AB4">
        <w:rPr>
          <w:rFonts w:eastAsia="Calibri"/>
          <w:noProof/>
          <w:shd w:val="clear" w:color="auto" w:fill="FFFFFF"/>
          <w:vertAlign w:val="superscript"/>
          <w:lang w:val="es-419" w:eastAsia="en-US"/>
        </w:rPr>
        <w:t>(9)</w:t>
      </w:r>
      <w:r w:rsidRPr="008B1AB4">
        <w:rPr>
          <w:rFonts w:eastAsia="Calibri"/>
          <w:shd w:val="clear" w:color="auto" w:fill="FFFFFF"/>
          <w:lang w:val="es-419" w:eastAsia="en-US"/>
        </w:rPr>
        <w:t xml:space="preserve"> Esta preocupación, si no es bien controlada, podría derivar en un padecimiento de ansiedad, el cual tendría un impacto en el bienestar psicológico de la persona y en su calidad de vida.</w:t>
      </w:r>
    </w:p>
    <w:p w14:paraId="2DAF46B9"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Durante la primera ola de contagios la mayoría de los sistemas de atención de salud mental carecían de recursos y no estaban preparados, tanto para atender pacientes recurrentes como para recibir y atender nuevos pacientes.</w:t>
      </w:r>
      <w:r w:rsidRPr="008B1AB4">
        <w:rPr>
          <w:rFonts w:eastAsia="Calibri"/>
          <w:shd w:val="clear" w:color="auto" w:fill="FFFFFF"/>
          <w:vertAlign w:val="superscript"/>
          <w:lang w:val="es-419" w:eastAsia="en-US"/>
        </w:rPr>
        <w:t>(10)</w:t>
      </w:r>
      <w:r w:rsidRPr="008B1AB4">
        <w:rPr>
          <w:rFonts w:eastAsia="Calibri"/>
          <w:shd w:val="clear" w:color="auto" w:fill="FFFFFF"/>
          <w:lang w:val="es-419" w:eastAsia="en-US"/>
        </w:rPr>
        <w:t xml:space="preserve"> Con las lecciones aprendidas, se debe impulsar reformas para prevenir el impacto negativo de las nuevas variantes en la salud mental, sobre todo en el Perú, país que sufre una crisis sanitaria sin precedentes, evidenciada en la falta de oxígeno medicinal, escases de camas en cuidados intensivos y, sobre todo, con una población altamente informal, cansada de las cuarentenas y obligada a salir y exponerse al virus con tal de llevar alimento a su casa.</w:t>
      </w:r>
      <w:r w:rsidRPr="008B1AB4">
        <w:rPr>
          <w:rFonts w:eastAsia="Calibri"/>
          <w:shd w:val="clear" w:color="auto" w:fill="FFFFFF"/>
          <w:vertAlign w:val="superscript"/>
          <w:lang w:val="es-419" w:eastAsia="en-US"/>
        </w:rPr>
        <w:t>(11)</w:t>
      </w:r>
      <w:r w:rsidRPr="008B1AB4">
        <w:rPr>
          <w:rFonts w:eastAsia="Calibri"/>
          <w:shd w:val="clear" w:color="auto" w:fill="FFFFFF"/>
          <w:lang w:val="es-419" w:eastAsia="en-US"/>
        </w:rPr>
        <w:t xml:space="preserve">  Por lo tanto, frente a la necesidad de manejar el impacto psicológico que pudiera ocasionar las nuevas variantes, y ante la falta de instrumentos precisos para evaluar la prevalencia de la preocupación por la posibilidad de contagio ante, sobre todo entre los profesionales de salud, los cuales se encuentran más expuestos, la presente investigación tiene por objetivo analizar las propiedades psicométricas de una escala de preocupación por el contagio de una variante de la COVID-19 (EPCNVCov-19).</w:t>
      </w:r>
    </w:p>
    <w:p w14:paraId="3838E58C" w14:textId="77777777" w:rsidR="008B1AB4" w:rsidRPr="008B1AB4" w:rsidRDefault="008B1AB4" w:rsidP="008B1AB4">
      <w:pPr>
        <w:spacing w:line="360" w:lineRule="auto"/>
        <w:jc w:val="both"/>
        <w:rPr>
          <w:rFonts w:eastAsia="Calibri"/>
          <w:shd w:val="clear" w:color="auto" w:fill="FFFFFF"/>
          <w:lang w:val="es-419" w:eastAsia="en-US"/>
        </w:rPr>
      </w:pPr>
    </w:p>
    <w:p w14:paraId="79CB0A7E" w14:textId="77777777" w:rsidR="008B1AB4" w:rsidRPr="008B1AB4" w:rsidRDefault="008B1AB4" w:rsidP="008B1AB4">
      <w:pPr>
        <w:spacing w:line="360" w:lineRule="auto"/>
        <w:jc w:val="center"/>
        <w:rPr>
          <w:rFonts w:eastAsia="Calibri"/>
          <w:b/>
          <w:bCs/>
          <w:shd w:val="clear" w:color="auto" w:fill="FFFFFF"/>
          <w:lang w:val="es-419" w:eastAsia="en-US"/>
        </w:rPr>
      </w:pPr>
    </w:p>
    <w:p w14:paraId="7D5E6D6B" w14:textId="77777777" w:rsidR="008B1AB4" w:rsidRPr="008B1AB4" w:rsidRDefault="008B1AB4" w:rsidP="008B1AB4">
      <w:pPr>
        <w:spacing w:line="360" w:lineRule="auto"/>
        <w:jc w:val="center"/>
        <w:rPr>
          <w:rFonts w:eastAsia="Calibri"/>
          <w:b/>
          <w:bCs/>
          <w:sz w:val="32"/>
          <w:szCs w:val="32"/>
          <w:shd w:val="clear" w:color="auto" w:fill="FFFFFF"/>
          <w:lang w:val="es-419" w:eastAsia="en-US"/>
        </w:rPr>
      </w:pPr>
      <w:r w:rsidRPr="008B1AB4">
        <w:rPr>
          <w:rFonts w:eastAsia="Calibri"/>
          <w:b/>
          <w:bCs/>
          <w:sz w:val="32"/>
          <w:szCs w:val="32"/>
          <w:shd w:val="clear" w:color="auto" w:fill="FFFFFF"/>
          <w:lang w:val="es-419" w:eastAsia="en-US"/>
        </w:rPr>
        <w:t>MÉTODOS</w:t>
      </w:r>
    </w:p>
    <w:p w14:paraId="2A98A692" w14:textId="77777777" w:rsidR="008B1AB4" w:rsidRPr="008B1AB4" w:rsidRDefault="008B1AB4" w:rsidP="008B1AB4">
      <w:pPr>
        <w:spacing w:line="360" w:lineRule="auto"/>
        <w:jc w:val="both"/>
        <w:rPr>
          <w:rFonts w:eastAsia="Calibri"/>
          <w:lang w:val="es-419" w:eastAsia="en-US"/>
        </w:rPr>
      </w:pPr>
      <w:r w:rsidRPr="008B1AB4">
        <w:rPr>
          <w:bCs/>
          <w:lang w:val="es-419" w:eastAsia="en-US"/>
        </w:rPr>
        <w:t>Se realizó un e</w:t>
      </w:r>
      <w:r w:rsidRPr="008B1AB4">
        <w:rPr>
          <w:lang w:val="es-419" w:eastAsia="en-US"/>
        </w:rPr>
        <w:t xml:space="preserve">studio instrumental y </w:t>
      </w:r>
      <w:proofErr w:type="gramStart"/>
      <w:r w:rsidRPr="008B1AB4">
        <w:rPr>
          <w:lang w:val="es-419" w:eastAsia="en-US"/>
        </w:rPr>
        <w:t>transversal.</w:t>
      </w:r>
      <w:r w:rsidRPr="008B1AB4">
        <w:rPr>
          <w:vertAlign w:val="superscript"/>
          <w:lang w:val="es-419" w:eastAsia="en-US"/>
        </w:rPr>
        <w:t>(</w:t>
      </w:r>
      <w:proofErr w:type="gramEnd"/>
      <w:r w:rsidRPr="008B1AB4">
        <w:rPr>
          <w:vertAlign w:val="superscript"/>
          <w:lang w:val="es-419" w:eastAsia="en-US"/>
        </w:rPr>
        <w:t xml:space="preserve">12) </w:t>
      </w:r>
      <w:r w:rsidRPr="008B1AB4">
        <w:rPr>
          <w:rFonts w:eastAsia="Calibri"/>
          <w:lang w:val="es-419" w:eastAsia="en-US"/>
        </w:rPr>
        <w:t xml:space="preserve">A través del método </w:t>
      </w:r>
      <w:r w:rsidRPr="008B1AB4">
        <w:rPr>
          <w:rFonts w:eastAsia="Calibri"/>
          <w:lang w:eastAsia="en-US"/>
        </w:rPr>
        <w:t xml:space="preserve">de muestreo no probabilístico participaron voluntariamente 407 ciudadanos peruanos de ambos sexos (56,5 % mujeres y 43,5 % varones), </w:t>
      </w:r>
      <w:r w:rsidRPr="008B1AB4">
        <w:rPr>
          <w:rFonts w:eastAsia="Calibri"/>
          <w:bCs/>
          <w:lang w:eastAsia="en-US"/>
        </w:rPr>
        <w:t>cuyas edades estaban comprendidas entre los 18 y 77 años (media = 31,42; desviación estándar = 11,91),</w:t>
      </w:r>
      <w:r w:rsidRPr="008B1AB4">
        <w:rPr>
          <w:rFonts w:eastAsia="Calibri"/>
          <w:lang w:eastAsia="en-US"/>
        </w:rPr>
        <w:t xml:space="preserve"> que residían en la región Costa (53,6 %), Selva (28,7 %) y Sierra (17,7 %) peruana. El 91,6 % de los participantes vivían en área urbana. Este estudio tuvo lugar en Perú, entre los meses de enero a marzo del año 2021, en los territorios de la Costa, Sierra y Selva.</w:t>
      </w:r>
    </w:p>
    <w:p w14:paraId="3D3AFCE4" w14:textId="77777777" w:rsidR="008B1AB4" w:rsidRPr="008B1AB4" w:rsidRDefault="008B1AB4" w:rsidP="008B1AB4">
      <w:pPr>
        <w:spacing w:line="360" w:lineRule="auto"/>
        <w:jc w:val="both"/>
        <w:rPr>
          <w:rFonts w:eastAsia="Calibri"/>
          <w:lang w:eastAsia="en-US"/>
        </w:rPr>
      </w:pPr>
      <w:r w:rsidRPr="008B1AB4">
        <w:rPr>
          <w:rFonts w:eastAsia="Calibri"/>
          <w:bCs/>
          <w:lang w:val="es-419" w:eastAsia="en-US"/>
        </w:rPr>
        <w:t>La EPCNVCov-19</w:t>
      </w:r>
      <w:r w:rsidRPr="008B1AB4">
        <w:rPr>
          <w:rFonts w:eastAsia="Calibri"/>
          <w:b/>
          <w:lang w:val="es-419" w:eastAsia="en-US"/>
        </w:rPr>
        <w:t xml:space="preserve"> </w:t>
      </w:r>
      <w:r w:rsidRPr="008B1AB4">
        <w:rPr>
          <w:rFonts w:eastAsia="Calibri"/>
          <w:bCs/>
          <w:lang w:val="es-419" w:eastAsia="en-US"/>
        </w:rPr>
        <w:t>es una adaptación de la EPCov-</w:t>
      </w:r>
      <w:proofErr w:type="gramStart"/>
      <w:r w:rsidRPr="008B1AB4">
        <w:rPr>
          <w:rFonts w:eastAsia="Calibri"/>
          <w:bCs/>
          <w:lang w:val="es-419" w:eastAsia="en-US"/>
        </w:rPr>
        <w:t>19.</w:t>
      </w:r>
      <w:r w:rsidRPr="008B1AB4">
        <w:rPr>
          <w:rFonts w:eastAsia="Calibri"/>
          <w:bCs/>
          <w:vertAlign w:val="superscript"/>
          <w:lang w:val="es-419" w:eastAsia="en-US"/>
        </w:rPr>
        <w:t>(</w:t>
      </w:r>
      <w:proofErr w:type="gramEnd"/>
      <w:r w:rsidRPr="008B1AB4">
        <w:rPr>
          <w:rFonts w:eastAsia="Calibri"/>
          <w:bCs/>
          <w:vertAlign w:val="superscript"/>
          <w:lang w:val="es-419" w:eastAsia="en-US"/>
        </w:rPr>
        <w:t>13)</w:t>
      </w:r>
      <w:r w:rsidRPr="008B1AB4">
        <w:rPr>
          <w:rFonts w:eastAsia="Calibri"/>
          <w:bCs/>
          <w:lang w:val="es-419" w:eastAsia="en-US"/>
        </w:rPr>
        <w:t xml:space="preserve"> Está compuesta por </w:t>
      </w:r>
      <w:r w:rsidRPr="008B1AB4">
        <w:rPr>
          <w:rFonts w:eastAsia="Calibri"/>
          <w:lang w:eastAsia="en-US"/>
        </w:rPr>
        <w:t xml:space="preserve">5 ítems evaluados con una escala de tipo Likert de 4 categorías de respuesta (nunca o raras ocasiones, algunas veces, a menudo, casi todo el tiempo). </w:t>
      </w:r>
    </w:p>
    <w:p w14:paraId="1B04861B" w14:textId="77777777" w:rsidR="008B1AB4" w:rsidRPr="008B1AB4" w:rsidRDefault="008B1AB4" w:rsidP="008B1AB4">
      <w:pPr>
        <w:spacing w:line="360" w:lineRule="auto"/>
        <w:jc w:val="both"/>
        <w:rPr>
          <w:rFonts w:eastAsia="Calibri"/>
          <w:lang w:eastAsia="en-US"/>
        </w:rPr>
      </w:pPr>
      <w:r w:rsidRPr="008B1AB4">
        <w:rPr>
          <w:rFonts w:eastAsia="Calibri"/>
          <w:lang w:eastAsia="en-US"/>
        </w:rPr>
        <w:lastRenderedPageBreak/>
        <w:t xml:space="preserve">El contenido de los ítems fue adaptado en tiempo y contexto; fueron evaluados por 5 jueces expertos. En este caso, también se utilizaron dos instrumentos de contraste: para ansiedad, se recurrió a la escala de trastorno de ansiedad generalizada (GAD-7), compuesta por 7 ítems distribuidos en un solo factor, con 4 opciones de respuesta que van desde nada = 0 hasta casi todos los días = 3. En la versión validada para población </w:t>
      </w:r>
      <w:proofErr w:type="gramStart"/>
      <w:r w:rsidRPr="008B1AB4">
        <w:rPr>
          <w:rFonts w:eastAsia="Calibri"/>
          <w:lang w:eastAsia="en-US"/>
        </w:rPr>
        <w:t>peruana,</w:t>
      </w:r>
      <w:r w:rsidRPr="008B1AB4">
        <w:rPr>
          <w:rFonts w:eastAsia="Calibri"/>
          <w:vertAlign w:val="superscript"/>
          <w:lang w:eastAsia="en-US"/>
        </w:rPr>
        <w:t>(</w:t>
      </w:r>
      <w:proofErr w:type="gramEnd"/>
      <w:r w:rsidRPr="008B1AB4">
        <w:rPr>
          <w:rFonts w:eastAsia="Calibri"/>
          <w:vertAlign w:val="superscript"/>
          <w:lang w:eastAsia="en-US"/>
        </w:rPr>
        <w:t>14)</w:t>
      </w:r>
      <w:r w:rsidRPr="008B1AB4">
        <w:rPr>
          <w:rFonts w:eastAsia="Calibri"/>
          <w:lang w:eastAsia="en-US"/>
        </w:rPr>
        <w:t xml:space="preserve"> demostró una confiabilidad alta (alfa de Cronbach = 0,89) y la validez de constructo se comprobó a través del análisis factorial exploratorio y confirmatorio. </w:t>
      </w:r>
    </w:p>
    <w:p w14:paraId="17997408" w14:textId="77777777" w:rsidR="008B1AB4" w:rsidRPr="008B1AB4" w:rsidRDefault="008B1AB4" w:rsidP="008B1AB4">
      <w:pPr>
        <w:spacing w:line="360" w:lineRule="auto"/>
        <w:jc w:val="both"/>
        <w:rPr>
          <w:rFonts w:eastAsia="Calibri"/>
          <w:bCs/>
          <w:lang w:val="es-419" w:eastAsia="en-US"/>
        </w:rPr>
      </w:pPr>
      <w:r w:rsidRPr="008B1AB4">
        <w:rPr>
          <w:rFonts w:eastAsia="Calibri"/>
          <w:lang w:eastAsia="en-US"/>
        </w:rPr>
        <w:t xml:space="preserve">Para medir el bienestar general, se utilizó el índice de Bienestar General (WHO-5 WBI), compuesto por 5 ítems distribuidos en un solo factor, con 4 opciones de respuesta tipo Likert ((0 = nunca, 1 = a veces, 2 = muchas veces y 3 = siempre). En la versión validada en el </w:t>
      </w:r>
      <w:proofErr w:type="gramStart"/>
      <w:r w:rsidRPr="008B1AB4">
        <w:rPr>
          <w:rFonts w:eastAsia="Calibri"/>
          <w:lang w:eastAsia="en-US"/>
        </w:rPr>
        <w:t>Perú,</w:t>
      </w:r>
      <w:r w:rsidRPr="008B1AB4">
        <w:rPr>
          <w:rFonts w:eastAsia="Calibri"/>
          <w:vertAlign w:val="superscript"/>
          <w:lang w:eastAsia="en-US"/>
        </w:rPr>
        <w:t>(</w:t>
      </w:r>
      <w:proofErr w:type="gramEnd"/>
      <w:r w:rsidRPr="008B1AB4">
        <w:rPr>
          <w:rFonts w:eastAsia="Calibri"/>
          <w:vertAlign w:val="superscript"/>
          <w:lang w:eastAsia="en-US"/>
        </w:rPr>
        <w:t>15)</w:t>
      </w:r>
      <w:r w:rsidRPr="008B1AB4">
        <w:rPr>
          <w:rFonts w:eastAsia="Calibri"/>
          <w:lang w:eastAsia="en-US"/>
        </w:rPr>
        <w:t xml:space="preserve"> demostró confiabilidad a través del coeficiente omega (ω = 0,758) y validez de constructo corroborada a través del análisis factorial confirmatorio.   </w:t>
      </w:r>
    </w:p>
    <w:p w14:paraId="75050F8D" w14:textId="77777777" w:rsidR="008B1AB4" w:rsidRPr="008B1AB4" w:rsidRDefault="008B1AB4" w:rsidP="008B1AB4">
      <w:pPr>
        <w:pBdr>
          <w:top w:val="nil"/>
          <w:left w:val="nil"/>
          <w:bottom w:val="nil"/>
          <w:right w:val="nil"/>
          <w:between w:val="nil"/>
        </w:pBdr>
        <w:spacing w:line="360" w:lineRule="auto"/>
        <w:jc w:val="both"/>
        <w:rPr>
          <w:rFonts w:eastAsia="Calibri"/>
          <w:lang w:val="es-PE" w:eastAsia="en-US"/>
        </w:rPr>
      </w:pPr>
      <w:r w:rsidRPr="008B1AB4">
        <w:rPr>
          <w:rFonts w:eastAsia="Calibri"/>
          <w:lang w:val="es-PE" w:eastAsia="en-US"/>
        </w:rPr>
        <w:t xml:space="preserve">Para la recolección de la información se diseñó un cuestionario virtual </w:t>
      </w:r>
      <w:r w:rsidRPr="008B1AB4">
        <w:rPr>
          <w:rFonts w:eastAsia="Calibri"/>
          <w:shd w:val="clear" w:color="auto" w:fill="FFFFFF"/>
          <w:lang w:val="es-419" w:eastAsia="en-US"/>
        </w:rPr>
        <w:t xml:space="preserve">a través de Google </w:t>
      </w:r>
      <w:proofErr w:type="spellStart"/>
      <w:r w:rsidRPr="008B1AB4">
        <w:rPr>
          <w:rFonts w:eastAsia="Calibri"/>
          <w:shd w:val="clear" w:color="auto" w:fill="FFFFFF"/>
          <w:lang w:val="es-419" w:eastAsia="en-US"/>
        </w:rPr>
        <w:t>Forms</w:t>
      </w:r>
      <w:proofErr w:type="spellEnd"/>
      <w:r w:rsidRPr="008B1AB4">
        <w:rPr>
          <w:rFonts w:eastAsia="Calibri"/>
          <w:shd w:val="clear" w:color="auto" w:fill="FFFFFF"/>
          <w:lang w:val="es-419" w:eastAsia="en-US"/>
        </w:rPr>
        <w:t xml:space="preserve">, cuyo link fue </w:t>
      </w:r>
      <w:r w:rsidRPr="008B1AB4">
        <w:rPr>
          <w:rFonts w:eastAsia="Calibri"/>
          <w:lang w:val="es-PE" w:eastAsia="en-US"/>
        </w:rPr>
        <w:t xml:space="preserve">compartido vía redes sociales (Facebook y WhatsApp). Las variables analizadas corresponden a características demográficas de los participantes: edad, sexo, lugar y zona de residencia; de estudio fue la preocupación por el contagio de una variante de la COVID-19; y, de contraste para el análisis de la validez de convergente y discriminante, fueron la ansiedad y el bienestar general. </w:t>
      </w:r>
    </w:p>
    <w:p w14:paraId="5E327A59" w14:textId="77777777" w:rsidR="008B1AB4" w:rsidRPr="008B1AB4" w:rsidRDefault="008B1AB4" w:rsidP="008B1AB4">
      <w:pPr>
        <w:pBdr>
          <w:top w:val="nil"/>
          <w:left w:val="nil"/>
          <w:bottom w:val="nil"/>
          <w:right w:val="nil"/>
          <w:between w:val="nil"/>
        </w:pBdr>
        <w:spacing w:line="360" w:lineRule="auto"/>
        <w:jc w:val="both"/>
        <w:rPr>
          <w:rFonts w:eastAsia="Calibri"/>
          <w:lang w:val="es-PE" w:eastAsia="en-US"/>
        </w:rPr>
      </w:pPr>
      <w:r w:rsidRPr="008B1AB4">
        <w:rPr>
          <w:rFonts w:eastAsia="Calibri"/>
          <w:lang w:val="es-PE" w:eastAsia="en-US"/>
        </w:rPr>
        <w:t xml:space="preserve">Antes de contestar el cuestionario se solicitó el consentimiento informado (de tipo virtual); además, se presentó el objetivo del estudio y se enfatizó que la participación era voluntaria y anónima. </w:t>
      </w:r>
    </w:p>
    <w:p w14:paraId="518C9859" w14:textId="77777777" w:rsidR="008B1AB4" w:rsidRPr="008B1AB4" w:rsidRDefault="008B1AB4" w:rsidP="008B1AB4">
      <w:pPr>
        <w:pBdr>
          <w:top w:val="nil"/>
          <w:left w:val="nil"/>
          <w:bottom w:val="nil"/>
          <w:right w:val="nil"/>
          <w:between w:val="nil"/>
        </w:pBdr>
        <w:spacing w:line="360" w:lineRule="auto"/>
        <w:jc w:val="both"/>
        <w:rPr>
          <w:rFonts w:eastAsia="Calibri"/>
          <w:lang w:val="es-PE" w:eastAsia="en-US"/>
        </w:rPr>
      </w:pPr>
      <w:r w:rsidRPr="008B1AB4">
        <w:rPr>
          <w:rFonts w:eastAsia="Calibri"/>
          <w:lang w:val="es-PE" w:eastAsia="en-US"/>
        </w:rPr>
        <w:t xml:space="preserve">Los </w:t>
      </w:r>
      <w:r w:rsidRPr="008B1AB4">
        <w:rPr>
          <w:rFonts w:eastAsia="Calibri"/>
          <w:lang w:eastAsia="en-US"/>
        </w:rPr>
        <w:t xml:space="preserve">procedimientos fueron realizados de acuerdo las consideraciones éticas descritas en la declaración de Helsinki y el proyecto de este estudio fue presentado y aprobado por el Comité de Ética de Investigación de la Universidad Peruana Unión (Resolución </w:t>
      </w:r>
      <w:proofErr w:type="spellStart"/>
      <w:r w:rsidRPr="008B1AB4">
        <w:rPr>
          <w:rFonts w:eastAsia="Calibri"/>
          <w:lang w:eastAsia="en-US"/>
        </w:rPr>
        <w:t>N°</w:t>
      </w:r>
      <w:proofErr w:type="spellEnd"/>
      <w:r w:rsidRPr="008B1AB4">
        <w:rPr>
          <w:rFonts w:eastAsia="Calibri"/>
          <w:lang w:eastAsia="en-US"/>
        </w:rPr>
        <w:t xml:space="preserve"> 2021-CEUPeU-0025).      </w:t>
      </w:r>
    </w:p>
    <w:p w14:paraId="19BD7D61" w14:textId="77777777" w:rsidR="008B1AB4" w:rsidRPr="008B1AB4" w:rsidRDefault="008B1AB4" w:rsidP="008B1AB4">
      <w:pPr>
        <w:spacing w:line="360" w:lineRule="auto"/>
        <w:jc w:val="both"/>
        <w:rPr>
          <w:rFonts w:eastAsia="Calibri"/>
          <w:bCs/>
          <w:lang w:val="es-419" w:eastAsia="en-US"/>
        </w:rPr>
      </w:pPr>
      <w:r w:rsidRPr="008B1AB4">
        <w:rPr>
          <w:rFonts w:eastAsia="Calibri"/>
          <w:bCs/>
          <w:lang w:val="es-419" w:eastAsia="en-US"/>
        </w:rPr>
        <w:t xml:space="preserve">Los datos fueron analizados en el programa R de acceso libre, en su entorno </w:t>
      </w:r>
      <w:proofErr w:type="spellStart"/>
      <w:r w:rsidRPr="008B1AB4">
        <w:rPr>
          <w:rFonts w:eastAsia="Calibri"/>
          <w:bCs/>
          <w:lang w:val="es-419" w:eastAsia="en-US"/>
        </w:rPr>
        <w:t>RStudio</w:t>
      </w:r>
      <w:proofErr w:type="spellEnd"/>
      <w:r w:rsidRPr="008B1AB4">
        <w:rPr>
          <w:rFonts w:eastAsia="Calibri"/>
          <w:bCs/>
          <w:lang w:val="es-419" w:eastAsia="en-US"/>
        </w:rPr>
        <w:t xml:space="preserve"> y se realizó en etapas. Primero, se exploró la evidencia de la validez de contendido a través del coeficiente V de </w:t>
      </w:r>
      <w:proofErr w:type="gramStart"/>
      <w:r w:rsidRPr="008B1AB4">
        <w:rPr>
          <w:rFonts w:eastAsia="Calibri"/>
          <w:bCs/>
          <w:lang w:val="es-419" w:eastAsia="en-US"/>
        </w:rPr>
        <w:t>Aiken.</w:t>
      </w:r>
      <w:r w:rsidRPr="008B1AB4">
        <w:rPr>
          <w:rFonts w:eastAsia="Calibri"/>
          <w:bCs/>
          <w:vertAlign w:val="superscript"/>
          <w:lang w:val="es-419" w:eastAsia="en-US"/>
        </w:rPr>
        <w:t>(</w:t>
      </w:r>
      <w:proofErr w:type="gramEnd"/>
      <w:r w:rsidRPr="008B1AB4">
        <w:rPr>
          <w:rFonts w:eastAsia="Calibri"/>
          <w:bCs/>
          <w:vertAlign w:val="superscript"/>
          <w:lang w:val="es-419" w:eastAsia="en-US"/>
        </w:rPr>
        <w:t>16)</w:t>
      </w:r>
      <w:r w:rsidRPr="008B1AB4">
        <w:rPr>
          <w:rFonts w:eastAsia="Calibri"/>
          <w:bCs/>
          <w:lang w:val="es-419" w:eastAsia="en-US"/>
        </w:rPr>
        <w:t xml:space="preserve"> En segundo lugar, se evaluó la estructura interna de la EPCNVCov-19, bajo una técnica factorial confirmatoria (AFC). El método de estimación fue mínimos cuadrados ponderados robusto (WLSMV). </w:t>
      </w:r>
    </w:p>
    <w:p w14:paraId="157FAD0F" w14:textId="77777777" w:rsidR="008B1AB4" w:rsidRPr="008B1AB4" w:rsidRDefault="008B1AB4" w:rsidP="008B1AB4">
      <w:pPr>
        <w:spacing w:line="360" w:lineRule="auto"/>
        <w:jc w:val="both"/>
        <w:rPr>
          <w:rFonts w:eastAsia="Calibri"/>
          <w:bCs/>
          <w:lang w:val="es-419" w:eastAsia="en-US"/>
        </w:rPr>
      </w:pPr>
      <w:r w:rsidRPr="008B1AB4">
        <w:rPr>
          <w:rFonts w:eastAsia="Calibri"/>
          <w:bCs/>
          <w:lang w:val="es-419" w:eastAsia="en-US"/>
        </w:rPr>
        <w:t xml:space="preserve">Se emplearon medidas de bondad de ajuste, a través de la modelación de ecuaciones estructurales (SEM), teniendo en cuenta las recomendaciones de </w:t>
      </w:r>
      <w:proofErr w:type="spellStart"/>
      <w:r w:rsidRPr="008B1AB4">
        <w:rPr>
          <w:rFonts w:eastAsia="Calibri"/>
          <w:bCs/>
          <w:i/>
          <w:iCs/>
          <w:lang w:val="es-419" w:eastAsia="en-US"/>
        </w:rPr>
        <w:t>Hu</w:t>
      </w:r>
      <w:proofErr w:type="spellEnd"/>
      <w:r w:rsidRPr="008B1AB4">
        <w:rPr>
          <w:rFonts w:eastAsia="Calibri"/>
          <w:bCs/>
          <w:lang w:val="es-419" w:eastAsia="en-US"/>
        </w:rPr>
        <w:t xml:space="preserve"> y </w:t>
      </w:r>
      <w:proofErr w:type="gramStart"/>
      <w:r w:rsidRPr="008B1AB4">
        <w:rPr>
          <w:rFonts w:eastAsia="Calibri"/>
          <w:bCs/>
          <w:lang w:val="es-419" w:eastAsia="en-US"/>
        </w:rPr>
        <w:t>otros,</w:t>
      </w:r>
      <w:r w:rsidRPr="008B1AB4">
        <w:rPr>
          <w:rFonts w:eastAsia="Calibri"/>
          <w:bCs/>
          <w:vertAlign w:val="superscript"/>
          <w:lang w:val="es-419" w:eastAsia="en-US"/>
        </w:rPr>
        <w:t>(</w:t>
      </w:r>
      <w:proofErr w:type="gramEnd"/>
      <w:r w:rsidRPr="008B1AB4">
        <w:rPr>
          <w:rFonts w:eastAsia="Calibri"/>
          <w:bCs/>
          <w:vertAlign w:val="superscript"/>
          <w:lang w:val="es-419" w:eastAsia="en-US"/>
        </w:rPr>
        <w:t>17)</w:t>
      </w:r>
      <w:r w:rsidRPr="008B1AB4">
        <w:rPr>
          <w:rFonts w:eastAsia="Calibri"/>
          <w:bCs/>
          <w:lang w:val="es-419" w:eastAsia="en-US"/>
        </w:rPr>
        <w:t xml:space="preserve"> quienes sostienen que el valor del índice de </w:t>
      </w:r>
      <w:r w:rsidRPr="008B1AB4">
        <w:rPr>
          <w:rFonts w:eastAsia="Calibri"/>
          <w:bCs/>
          <w:lang w:val="es-419" w:eastAsia="en-US"/>
        </w:rPr>
        <w:lastRenderedPageBreak/>
        <w:t xml:space="preserve">Tucker-Lewis (TLI), el índice de ajuste comparativo (CFI) deben ser &gt; 0,90, el error cuadrático medio de aproximación (RMSEA), menor a 0,08, el residuo estandarizado cuadrático medio (SRMR) &lt; 0,06 y la raíz cuadrática media residual ponderada menor a 1 para un ajuste idóneo del modelo. En tercer lugar, se evaluó progresivamente la invarianza factorial, considerando la invarianza </w:t>
      </w:r>
      <w:proofErr w:type="spellStart"/>
      <w:r w:rsidRPr="008B1AB4">
        <w:rPr>
          <w:rFonts w:eastAsia="Calibri"/>
          <w:bCs/>
          <w:lang w:val="es-419" w:eastAsia="en-US"/>
        </w:rPr>
        <w:t>configural</w:t>
      </w:r>
      <w:proofErr w:type="spellEnd"/>
      <w:r w:rsidRPr="008B1AB4">
        <w:rPr>
          <w:rFonts w:eastAsia="Calibri"/>
          <w:bCs/>
          <w:lang w:val="es-419" w:eastAsia="en-US"/>
        </w:rPr>
        <w:t xml:space="preserve">, métrica, fuerte y estricta. Respecto a la invarianza </w:t>
      </w:r>
      <w:proofErr w:type="spellStart"/>
      <w:r w:rsidRPr="008B1AB4">
        <w:rPr>
          <w:rFonts w:eastAsia="Calibri"/>
          <w:bCs/>
          <w:lang w:val="es-419" w:eastAsia="en-US"/>
        </w:rPr>
        <w:t>configural</w:t>
      </w:r>
      <w:proofErr w:type="spellEnd"/>
      <w:r w:rsidRPr="008B1AB4">
        <w:rPr>
          <w:rFonts w:eastAsia="Calibri"/>
          <w:bCs/>
          <w:lang w:val="es-419" w:eastAsia="en-US"/>
        </w:rPr>
        <w:t xml:space="preserve"> se utilizó el RMSEA y el CFI (índices de ajuste más usuales y recomendados</w:t>
      </w:r>
      <w:proofErr w:type="gramStart"/>
      <w:r w:rsidRPr="008B1AB4">
        <w:rPr>
          <w:rFonts w:eastAsia="Calibri"/>
          <w:bCs/>
          <w:lang w:val="es-419" w:eastAsia="en-US"/>
        </w:rPr>
        <w:t>).</w:t>
      </w:r>
      <w:r w:rsidRPr="008B1AB4">
        <w:rPr>
          <w:rFonts w:eastAsia="Calibri"/>
          <w:bCs/>
          <w:vertAlign w:val="superscript"/>
          <w:lang w:val="es-419" w:eastAsia="en-US"/>
        </w:rPr>
        <w:t>(</w:t>
      </w:r>
      <w:proofErr w:type="gramEnd"/>
      <w:r w:rsidRPr="008B1AB4">
        <w:rPr>
          <w:rFonts w:eastAsia="Calibri"/>
          <w:bCs/>
          <w:vertAlign w:val="superscript"/>
          <w:lang w:val="es-419" w:eastAsia="en-US"/>
        </w:rPr>
        <w:t>18)</w:t>
      </w:r>
      <w:r w:rsidRPr="008B1AB4">
        <w:rPr>
          <w:rFonts w:eastAsia="Calibri"/>
          <w:bCs/>
          <w:lang w:val="es-419" w:eastAsia="en-US"/>
        </w:rPr>
        <w:t xml:space="preserve"> En cuarto lugar, se exploró la validez convergente, discriminante y se empleó el coeficiente de correlación de Pearson. Por último, se calculó la confiabilidad a través del coeficiente omega (ω). </w:t>
      </w:r>
    </w:p>
    <w:p w14:paraId="5E1EE27A" w14:textId="77777777" w:rsidR="008B1AB4" w:rsidRPr="008B1AB4" w:rsidRDefault="008B1AB4" w:rsidP="008B1AB4">
      <w:pPr>
        <w:spacing w:line="360" w:lineRule="auto"/>
        <w:jc w:val="both"/>
        <w:rPr>
          <w:rFonts w:eastAsia="Calibri"/>
          <w:bCs/>
          <w:lang w:val="es-419" w:eastAsia="en-US"/>
        </w:rPr>
      </w:pPr>
    </w:p>
    <w:p w14:paraId="61E34DD7" w14:textId="77777777" w:rsidR="008B1AB4" w:rsidRPr="008B1AB4" w:rsidRDefault="008B1AB4" w:rsidP="008B1AB4">
      <w:pPr>
        <w:spacing w:line="360" w:lineRule="auto"/>
        <w:jc w:val="center"/>
        <w:rPr>
          <w:rFonts w:eastAsia="Calibri"/>
          <w:b/>
          <w:bCs/>
          <w:shd w:val="clear" w:color="auto" w:fill="FFFFFF"/>
          <w:lang w:val="es-419" w:eastAsia="en-US"/>
        </w:rPr>
      </w:pPr>
    </w:p>
    <w:p w14:paraId="682E240B" w14:textId="77777777" w:rsidR="008B1AB4" w:rsidRPr="008B1AB4" w:rsidRDefault="008B1AB4" w:rsidP="008B1AB4">
      <w:pPr>
        <w:spacing w:line="360" w:lineRule="auto"/>
        <w:jc w:val="center"/>
        <w:rPr>
          <w:rFonts w:eastAsia="Calibri"/>
          <w:bCs/>
          <w:sz w:val="32"/>
          <w:szCs w:val="32"/>
          <w:lang w:val="es-419" w:eastAsia="en-US"/>
        </w:rPr>
      </w:pPr>
      <w:r w:rsidRPr="008B1AB4">
        <w:rPr>
          <w:rFonts w:eastAsia="Calibri"/>
          <w:b/>
          <w:bCs/>
          <w:sz w:val="32"/>
          <w:szCs w:val="32"/>
          <w:shd w:val="clear" w:color="auto" w:fill="FFFFFF"/>
          <w:lang w:val="es-419" w:eastAsia="en-US"/>
        </w:rPr>
        <w:t>RESULTADOS</w:t>
      </w:r>
    </w:p>
    <w:p w14:paraId="4D29AC43" w14:textId="77777777" w:rsidR="008B1AB4" w:rsidRPr="008B1AB4" w:rsidRDefault="008B1AB4" w:rsidP="008B1AB4">
      <w:pPr>
        <w:spacing w:line="360" w:lineRule="auto"/>
        <w:jc w:val="both"/>
        <w:rPr>
          <w:rFonts w:eastAsia="Arial"/>
          <w:lang w:val="es-419" w:eastAsia="en-US"/>
        </w:rPr>
      </w:pPr>
      <w:r w:rsidRPr="008B1AB4">
        <w:rPr>
          <w:rFonts w:eastAsia="Calibri"/>
          <w:bCs/>
          <w:lang w:val="es-419" w:eastAsia="en-US"/>
        </w:rPr>
        <w:t>La escala EPCNVCov-19</w:t>
      </w:r>
      <w:r w:rsidRPr="008B1AB4">
        <w:rPr>
          <w:rFonts w:eastAsia="Calibri"/>
          <w:b/>
          <w:lang w:val="es-419" w:eastAsia="en-US"/>
        </w:rPr>
        <w:t xml:space="preserve"> </w:t>
      </w:r>
      <w:r w:rsidRPr="008B1AB4">
        <w:rPr>
          <w:rFonts w:eastAsia="Calibri"/>
          <w:lang w:val="es-419" w:eastAsia="en-US"/>
        </w:rPr>
        <w:t>se adaptó en tiempo y contexto, por lo que la frase “ser infectado con coronavirus” se reemplazó por “ser infectado con una variante del nuevo coronavirus” (</w:t>
      </w:r>
      <w:r w:rsidRPr="008B1AB4">
        <w:rPr>
          <w:rFonts w:eastAsia="Arial"/>
          <w:lang w:val="es-419" w:eastAsia="en-US"/>
        </w:rPr>
        <w:t>tabla 1)</w:t>
      </w:r>
      <w:r w:rsidRPr="008B1AB4">
        <w:rPr>
          <w:rFonts w:eastAsia="Calibri"/>
          <w:lang w:val="es-419" w:eastAsia="en-US"/>
        </w:rPr>
        <w:t xml:space="preserve">. Se analizó la evidencia de validez basada en el contenido; los </w:t>
      </w:r>
      <w:r w:rsidRPr="008B1AB4">
        <w:rPr>
          <w:rFonts w:eastAsia="Calibri"/>
          <w:bCs/>
          <w:lang w:val="es-419" w:eastAsia="en-US"/>
        </w:rPr>
        <w:t>5 expertos indicaron que los ítems de la escala son claros, representativos y relevantes (</w:t>
      </w:r>
      <w:r w:rsidRPr="008B1AB4">
        <w:rPr>
          <w:rFonts w:eastAsia="Arial Narrow"/>
          <w:lang w:val="es-419" w:eastAsia="en-US"/>
        </w:rPr>
        <w:t>coeficiente V de Aiken (V)</w:t>
      </w:r>
      <w:r w:rsidRPr="008B1AB4">
        <w:rPr>
          <w:rFonts w:eastAsia="Calibri"/>
          <w:bCs/>
          <w:lang w:val="es-419" w:eastAsia="en-US"/>
        </w:rPr>
        <w:t xml:space="preserve"> &gt; 0,70). Los ítems 1, 2, 3, 4 y 5</w:t>
      </w:r>
      <w:r w:rsidRPr="008B1AB4">
        <w:rPr>
          <w:rFonts w:eastAsia="Arial"/>
          <w:lang w:val="es-419" w:eastAsia="en-US"/>
        </w:rPr>
        <w:t xml:space="preserve"> fueron mejor evaluados en cuanto a claridad (V = 1,00; IC 95 %: 0,80-1,00), la mayoría de los ítems fueron evaluados como importantes (V = 1,00; IC 95 %: 0,85-1,00) y los ítems 2, 3 y 5 los más representativos (V = 1,00; IC 95 %: 0,85-1,00). </w:t>
      </w:r>
    </w:p>
    <w:p w14:paraId="52C26041" w14:textId="77777777" w:rsidR="008B1AB4" w:rsidRPr="008B1AB4" w:rsidRDefault="008B1AB4" w:rsidP="008B1AB4">
      <w:pPr>
        <w:spacing w:line="360" w:lineRule="auto"/>
        <w:jc w:val="both"/>
        <w:rPr>
          <w:rFonts w:eastAsia="Arial"/>
          <w:lang w:val="es-419" w:eastAsia="en-US"/>
        </w:rPr>
      </w:pPr>
    </w:p>
    <w:p w14:paraId="05F37642" w14:textId="77777777" w:rsidR="008B1AB4" w:rsidRPr="008B1AB4" w:rsidRDefault="008B1AB4" w:rsidP="008B1AB4">
      <w:pPr>
        <w:spacing w:after="160" w:line="259" w:lineRule="auto"/>
        <w:rPr>
          <w:b/>
          <w:bCs/>
          <w:sz w:val="22"/>
          <w:szCs w:val="22"/>
          <w:lang w:val="es-PE" w:eastAsia="es-PE"/>
        </w:rPr>
      </w:pPr>
      <w:r w:rsidRPr="008B1AB4">
        <w:rPr>
          <w:b/>
          <w:bCs/>
          <w:sz w:val="22"/>
          <w:szCs w:val="22"/>
          <w:lang w:val="es-PE" w:eastAsia="es-PE"/>
        </w:rPr>
        <w:br w:type="page"/>
      </w:r>
    </w:p>
    <w:p w14:paraId="680C70E1" w14:textId="77777777" w:rsidR="008B1AB4" w:rsidRPr="008B1AB4" w:rsidRDefault="008B1AB4" w:rsidP="008B1AB4">
      <w:pPr>
        <w:spacing w:line="360" w:lineRule="auto"/>
        <w:jc w:val="center"/>
        <w:rPr>
          <w:b/>
          <w:bCs/>
          <w:sz w:val="22"/>
          <w:szCs w:val="22"/>
          <w:lang w:val="es-PE" w:eastAsia="es-PE"/>
        </w:rPr>
      </w:pPr>
      <w:bookmarkStart w:id="4" w:name="_Hlk91613402"/>
      <w:r w:rsidRPr="008B1AB4">
        <w:rPr>
          <w:b/>
          <w:bCs/>
          <w:sz w:val="22"/>
          <w:szCs w:val="22"/>
          <w:lang w:val="es-PE" w:eastAsia="es-PE"/>
        </w:rPr>
        <w:lastRenderedPageBreak/>
        <w:t xml:space="preserve">Tabla 1 - </w:t>
      </w:r>
      <w:r w:rsidRPr="008B1AB4">
        <w:rPr>
          <w:sz w:val="22"/>
          <w:szCs w:val="22"/>
          <w:lang w:val="es-PE" w:eastAsia="es-PE"/>
        </w:rPr>
        <w:t xml:space="preserve">Adaptación de </w:t>
      </w:r>
      <w:r w:rsidRPr="008B1AB4">
        <w:rPr>
          <w:rFonts w:eastAsia="Calibri"/>
          <w:bCs/>
          <w:sz w:val="22"/>
          <w:szCs w:val="22"/>
          <w:lang w:val="es-419" w:eastAsia="en-US"/>
        </w:rPr>
        <w:t>los ítems de la EPCNVCov-19</w:t>
      </w:r>
      <w:r w:rsidRPr="008B1AB4">
        <w:rPr>
          <w:rFonts w:eastAsia="Calibri"/>
          <w:b/>
          <w:sz w:val="22"/>
          <w:szCs w:val="22"/>
          <w:lang w:val="es-419" w:eastAsia="en-US"/>
        </w:rPr>
        <w:t xml:space="preserve"> </w:t>
      </w:r>
      <w:r w:rsidRPr="008B1AB4">
        <w:rPr>
          <w:sz w:val="22"/>
          <w:szCs w:val="22"/>
          <w:lang w:val="es-PE" w:eastAsia="es-PE"/>
        </w:rPr>
        <w:t>desde la escala E Pcov-19</w:t>
      </w:r>
    </w:p>
    <w:p w14:paraId="40535CB4" w14:textId="77777777" w:rsidR="008B1AB4" w:rsidRPr="008B1AB4" w:rsidRDefault="008B1AB4" w:rsidP="001A1889">
      <w:pPr>
        <w:spacing w:line="360" w:lineRule="auto"/>
        <w:ind w:left="-993" w:right="-799"/>
        <w:jc w:val="center"/>
        <w:rPr>
          <w:rFonts w:eastAsia="Calibri"/>
          <w:sz w:val="16"/>
          <w:szCs w:val="16"/>
          <w:shd w:val="clear" w:color="auto" w:fill="FFFFFF"/>
          <w:lang w:val="es-419" w:eastAsia="en-US"/>
        </w:rPr>
      </w:pPr>
      <w:r w:rsidRPr="008B1AB4">
        <w:rPr>
          <w:rFonts w:eastAsia="Calibri"/>
          <w:noProof/>
          <w:sz w:val="16"/>
          <w:szCs w:val="16"/>
          <w:shd w:val="clear" w:color="auto" w:fill="FFFFFF"/>
          <w:lang w:val="es-419" w:eastAsia="en-US"/>
        </w:rPr>
        <w:drawing>
          <wp:inline distT="0" distB="0" distL="0" distR="0" wp14:anchorId="2C9CA999" wp14:editId="11232B4D">
            <wp:extent cx="6897600" cy="5000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6897600" cy="5000400"/>
                    </a:xfrm>
                    <a:prstGeom prst="rect">
                      <a:avLst/>
                    </a:prstGeom>
                  </pic:spPr>
                </pic:pic>
              </a:graphicData>
            </a:graphic>
          </wp:inline>
        </w:drawing>
      </w:r>
    </w:p>
    <w:bookmarkEnd w:id="4"/>
    <w:p w14:paraId="59182D9F" w14:textId="77777777" w:rsidR="008B1AB4" w:rsidRPr="008B1AB4" w:rsidRDefault="008B1AB4" w:rsidP="008B1AB4">
      <w:pPr>
        <w:spacing w:line="360" w:lineRule="auto"/>
        <w:jc w:val="center"/>
        <w:rPr>
          <w:b/>
          <w:bCs/>
          <w:lang w:val="es-419" w:eastAsia="es-PE"/>
        </w:rPr>
      </w:pPr>
    </w:p>
    <w:p w14:paraId="0F9B0A80" w14:textId="77777777" w:rsidR="008B1AB4" w:rsidRPr="008B1AB4" w:rsidRDefault="008B1AB4" w:rsidP="008B1AB4">
      <w:pPr>
        <w:spacing w:line="360" w:lineRule="auto"/>
        <w:jc w:val="center"/>
        <w:rPr>
          <w:b/>
          <w:bCs/>
          <w:sz w:val="28"/>
          <w:szCs w:val="28"/>
          <w:lang w:val="es-419" w:eastAsia="es-PE"/>
        </w:rPr>
      </w:pPr>
      <w:r w:rsidRPr="008B1AB4">
        <w:rPr>
          <w:b/>
          <w:bCs/>
          <w:sz w:val="28"/>
          <w:szCs w:val="28"/>
          <w:lang w:val="es-419" w:eastAsia="es-PE"/>
        </w:rPr>
        <w:t>Análisis factorial confirmatorio</w:t>
      </w:r>
    </w:p>
    <w:p w14:paraId="49EE8CE4" w14:textId="77777777" w:rsidR="008B1AB4" w:rsidRPr="008B1AB4" w:rsidRDefault="008B1AB4" w:rsidP="008B1AB4">
      <w:pPr>
        <w:spacing w:line="360" w:lineRule="auto"/>
        <w:jc w:val="both"/>
        <w:rPr>
          <w:lang w:val="es-419" w:eastAsia="es-PE"/>
        </w:rPr>
      </w:pPr>
      <w:r w:rsidRPr="008B1AB4">
        <w:rPr>
          <w:lang w:val="es-419" w:eastAsia="es-PE"/>
        </w:rPr>
        <w:t xml:space="preserve">Se analizó la </w:t>
      </w:r>
      <w:proofErr w:type="spellStart"/>
      <w:r w:rsidRPr="008B1AB4">
        <w:rPr>
          <w:lang w:val="es-419" w:eastAsia="es-PE"/>
        </w:rPr>
        <w:t>unidimensionalidad</w:t>
      </w:r>
      <w:proofErr w:type="spellEnd"/>
      <w:r w:rsidRPr="008B1AB4">
        <w:rPr>
          <w:lang w:val="es-419" w:eastAsia="es-PE"/>
        </w:rPr>
        <w:t xml:space="preserve"> de la </w:t>
      </w:r>
      <w:r w:rsidRPr="008B1AB4">
        <w:rPr>
          <w:rFonts w:eastAsia="Calibri"/>
          <w:bCs/>
          <w:lang w:val="es-419" w:eastAsia="en-US"/>
        </w:rPr>
        <w:t>EPCNVCov-19</w:t>
      </w:r>
      <w:r w:rsidRPr="008B1AB4">
        <w:rPr>
          <w:rFonts w:eastAsia="Calibri"/>
          <w:b/>
          <w:lang w:val="es-419" w:eastAsia="en-US"/>
        </w:rPr>
        <w:t xml:space="preserve"> </w:t>
      </w:r>
      <w:r w:rsidRPr="008B1AB4">
        <w:rPr>
          <w:lang w:val="es-419" w:eastAsia="es-PE"/>
        </w:rPr>
        <w:t xml:space="preserve">a través del análisis factorial confirmatorio (AFC) usando modelos de ecuaciones estructurales (SEM). Se sometió a análisis un modelo de 6 ítems, el cual obtuvo índices de bondad de ajuste adecuados (CFI &gt; 0,95, TLI &gt; 0,95, SRMR &lt; 0,08), excepto en dos índices (p &lt; 0,05, RMSEA &gt; 0,08). </w:t>
      </w:r>
    </w:p>
    <w:p w14:paraId="5F9FF01A" w14:textId="77777777" w:rsidR="008B1AB4" w:rsidRPr="008B1AB4" w:rsidRDefault="008B1AB4" w:rsidP="008B1AB4">
      <w:pPr>
        <w:spacing w:line="360" w:lineRule="auto"/>
        <w:jc w:val="both"/>
        <w:rPr>
          <w:lang w:val="es-PE" w:eastAsia="es-PE"/>
        </w:rPr>
      </w:pPr>
      <w:r w:rsidRPr="008B1AB4">
        <w:rPr>
          <w:lang w:val="es-419" w:eastAsia="es-PE"/>
        </w:rPr>
        <w:lastRenderedPageBreak/>
        <w:t>Por lo tanto, a través de un análisis de modificación de índices se decidió eliminar el ítem 2 (“</w:t>
      </w:r>
      <w:r w:rsidRPr="008B1AB4">
        <w:rPr>
          <w:lang w:val="es-PE" w:eastAsia="es-PE"/>
        </w:rPr>
        <w:t xml:space="preserve">Durante la última semana, el pensar sobre la posibilidad de ser infectado con una variante del nuevo coronavirus, ¿ha afectado su estado de ánimo?”). </w:t>
      </w:r>
    </w:p>
    <w:p w14:paraId="15CAF728" w14:textId="77777777" w:rsidR="008B1AB4" w:rsidRPr="008B1AB4" w:rsidRDefault="008B1AB4" w:rsidP="008B1AB4">
      <w:pPr>
        <w:spacing w:line="360" w:lineRule="auto"/>
        <w:jc w:val="both"/>
        <w:rPr>
          <w:rFonts w:eastAsia="Calibri"/>
          <w:lang w:val="es-419" w:eastAsia="en-US"/>
        </w:rPr>
      </w:pPr>
      <w:r w:rsidRPr="008B1AB4">
        <w:rPr>
          <w:lang w:val="es-PE" w:eastAsia="es-PE"/>
        </w:rPr>
        <w:t>El análisis para un modelo de 5 ítems arrojó índices satisfactorios (</w:t>
      </w:r>
      <w:r w:rsidRPr="008B1AB4">
        <w:rPr>
          <w:rFonts w:eastAsia="Calibri"/>
          <w:lang w:val="es-419" w:eastAsia="en-US"/>
        </w:rPr>
        <w:t>X</w:t>
      </w:r>
      <w:r w:rsidRPr="008B1AB4">
        <w:rPr>
          <w:rFonts w:eastAsia="Calibri"/>
          <w:noProof/>
          <w:vertAlign w:val="superscript"/>
          <w:lang w:val="es-419" w:eastAsia="en-US"/>
        </w:rPr>
        <w:t>2</w:t>
      </w:r>
      <w:r w:rsidRPr="008B1AB4">
        <w:rPr>
          <w:rFonts w:eastAsia="Calibri"/>
          <w:noProof/>
          <w:lang w:val="es-419" w:eastAsia="en-US"/>
        </w:rPr>
        <w:t xml:space="preserve"> = 9,361, df = 5, p &gt; 0,05; TLI &gt; 0,95, CFI &gt; 0,95, RMSEA &lt; 0,05, SRMR &lt; 0,05) que evidencia la validez del construto unidimensional de la escala </w:t>
      </w:r>
      <w:r w:rsidRPr="008B1AB4">
        <w:rPr>
          <w:rFonts w:eastAsia="Calibri"/>
          <w:bCs/>
          <w:lang w:val="es-419" w:eastAsia="en-US"/>
        </w:rPr>
        <w:t xml:space="preserve">EPCNVCov-19 </w:t>
      </w:r>
      <w:r w:rsidRPr="008B1AB4">
        <w:rPr>
          <w:lang w:val="es-419" w:eastAsia="es-PE"/>
        </w:rPr>
        <w:t>(tabla 2)</w:t>
      </w:r>
      <w:r w:rsidRPr="008B1AB4">
        <w:rPr>
          <w:rFonts w:eastAsia="Calibri"/>
          <w:lang w:val="es-419" w:eastAsia="en-US"/>
        </w:rPr>
        <w:t>.</w:t>
      </w:r>
    </w:p>
    <w:p w14:paraId="2678679D" w14:textId="77777777" w:rsidR="008B1AB4" w:rsidRPr="008B1AB4" w:rsidRDefault="008B1AB4" w:rsidP="008B1AB4">
      <w:pPr>
        <w:spacing w:line="360" w:lineRule="auto"/>
        <w:jc w:val="both"/>
        <w:rPr>
          <w:rFonts w:eastAsia="Calibri"/>
          <w:b/>
          <w:lang w:val="es-419" w:eastAsia="en-US"/>
        </w:rPr>
      </w:pPr>
    </w:p>
    <w:p w14:paraId="742BC0B5" w14:textId="77777777" w:rsidR="008B1AB4" w:rsidRPr="008B1AB4" w:rsidRDefault="008B1AB4" w:rsidP="008B1AB4">
      <w:pPr>
        <w:spacing w:line="360" w:lineRule="auto"/>
        <w:jc w:val="center"/>
        <w:rPr>
          <w:rFonts w:eastAsia="Calibri"/>
          <w:sz w:val="22"/>
          <w:szCs w:val="22"/>
          <w:lang w:val="es-419" w:eastAsia="en-US"/>
        </w:rPr>
      </w:pPr>
      <w:r w:rsidRPr="008B1AB4">
        <w:rPr>
          <w:rFonts w:eastAsia="Calibri"/>
          <w:b/>
          <w:bCs/>
          <w:sz w:val="22"/>
          <w:szCs w:val="22"/>
          <w:lang w:val="es-419" w:eastAsia="en-US"/>
        </w:rPr>
        <w:t>Tabla 2 -</w:t>
      </w:r>
      <w:r w:rsidRPr="008B1AB4">
        <w:rPr>
          <w:rFonts w:eastAsia="Calibri"/>
          <w:sz w:val="22"/>
          <w:szCs w:val="22"/>
          <w:lang w:val="es-419" w:eastAsia="en-US"/>
        </w:rPr>
        <w:t xml:space="preserve"> Índices de ajuste para dos modelos evaluados de la </w:t>
      </w:r>
      <w:r w:rsidRPr="008B1AB4">
        <w:rPr>
          <w:rFonts w:eastAsia="Calibri"/>
          <w:bCs/>
          <w:sz w:val="22"/>
          <w:szCs w:val="22"/>
          <w:lang w:val="es-419" w:eastAsia="en-US"/>
        </w:rPr>
        <w:t>EPCNVCov-19</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7"/>
        <w:gridCol w:w="1467"/>
        <w:gridCol w:w="493"/>
        <w:gridCol w:w="953"/>
        <w:gridCol w:w="771"/>
        <w:gridCol w:w="771"/>
        <w:gridCol w:w="2134"/>
        <w:gridCol w:w="1154"/>
      </w:tblGrid>
      <w:tr w:rsidR="008B1AB4" w:rsidRPr="008B1AB4" w14:paraId="65F06281" w14:textId="77777777" w:rsidTr="00157D02">
        <w:trPr>
          <w:trHeight w:val="290"/>
          <w:jc w:val="center"/>
        </w:trPr>
        <w:tc>
          <w:tcPr>
            <w:tcW w:w="693" w:type="pct"/>
            <w:shd w:val="clear" w:color="auto" w:fill="auto"/>
            <w:noWrap/>
            <w:vAlign w:val="center"/>
            <w:hideMark/>
          </w:tcPr>
          <w:p w14:paraId="4D8CD551" w14:textId="77777777" w:rsidR="008B1AB4" w:rsidRPr="008B1AB4" w:rsidRDefault="008B1AB4" w:rsidP="008B1AB4">
            <w:pPr>
              <w:spacing w:line="360" w:lineRule="auto"/>
              <w:rPr>
                <w:b/>
                <w:bCs/>
                <w:sz w:val="18"/>
                <w:szCs w:val="18"/>
                <w:lang w:val="es-419" w:eastAsia="es-PE"/>
              </w:rPr>
            </w:pPr>
            <w:bookmarkStart w:id="5" w:name="_Hlk65003625"/>
            <w:r w:rsidRPr="008B1AB4">
              <w:rPr>
                <w:b/>
                <w:bCs/>
                <w:sz w:val="18"/>
                <w:szCs w:val="18"/>
                <w:lang w:val="es-419" w:eastAsia="es-PE"/>
              </w:rPr>
              <w:t>Modelo</w:t>
            </w:r>
          </w:p>
        </w:tc>
        <w:tc>
          <w:tcPr>
            <w:tcW w:w="816" w:type="pct"/>
            <w:shd w:val="clear" w:color="auto" w:fill="auto"/>
            <w:noWrap/>
            <w:vAlign w:val="center"/>
            <w:hideMark/>
          </w:tcPr>
          <w:p w14:paraId="2EE05E1E"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X</w:t>
            </w:r>
            <w:r w:rsidRPr="008B1AB4">
              <w:rPr>
                <w:b/>
                <w:bCs/>
                <w:sz w:val="18"/>
                <w:szCs w:val="18"/>
                <w:vertAlign w:val="superscript"/>
                <w:lang w:val="es-419" w:eastAsia="es-PE"/>
              </w:rPr>
              <w:t>2</w:t>
            </w:r>
            <w:r w:rsidRPr="008B1AB4">
              <w:rPr>
                <w:b/>
                <w:bCs/>
                <w:sz w:val="18"/>
                <w:szCs w:val="18"/>
                <w:lang w:val="es-419" w:eastAsia="es-PE"/>
              </w:rPr>
              <w:t xml:space="preserve"> Robusto</w:t>
            </w:r>
          </w:p>
        </w:tc>
        <w:tc>
          <w:tcPr>
            <w:tcW w:w="274" w:type="pct"/>
            <w:shd w:val="clear" w:color="auto" w:fill="auto"/>
            <w:noWrap/>
            <w:vAlign w:val="center"/>
            <w:hideMark/>
          </w:tcPr>
          <w:p w14:paraId="708768A2" w14:textId="77777777" w:rsidR="008B1AB4" w:rsidRPr="008B1AB4" w:rsidRDefault="008B1AB4" w:rsidP="008B1AB4">
            <w:pPr>
              <w:spacing w:line="360" w:lineRule="auto"/>
              <w:jc w:val="center"/>
              <w:rPr>
                <w:b/>
                <w:bCs/>
                <w:sz w:val="18"/>
                <w:szCs w:val="18"/>
                <w:lang w:val="es-419" w:eastAsia="es-PE"/>
              </w:rPr>
            </w:pPr>
            <w:proofErr w:type="spellStart"/>
            <w:r w:rsidRPr="008B1AB4">
              <w:rPr>
                <w:b/>
                <w:bCs/>
                <w:sz w:val="18"/>
                <w:szCs w:val="18"/>
                <w:lang w:val="es-419" w:eastAsia="es-PE"/>
              </w:rPr>
              <w:t>gl</w:t>
            </w:r>
            <w:proofErr w:type="spellEnd"/>
          </w:p>
        </w:tc>
        <w:tc>
          <w:tcPr>
            <w:tcW w:w="530" w:type="pct"/>
            <w:shd w:val="clear" w:color="auto" w:fill="auto"/>
            <w:noWrap/>
            <w:vAlign w:val="center"/>
            <w:hideMark/>
          </w:tcPr>
          <w:p w14:paraId="15C5F07C"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p</w:t>
            </w:r>
          </w:p>
        </w:tc>
        <w:tc>
          <w:tcPr>
            <w:tcW w:w="429" w:type="pct"/>
            <w:shd w:val="clear" w:color="auto" w:fill="auto"/>
            <w:noWrap/>
            <w:vAlign w:val="center"/>
            <w:hideMark/>
          </w:tcPr>
          <w:p w14:paraId="65A79298"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CFI</w:t>
            </w:r>
          </w:p>
        </w:tc>
        <w:tc>
          <w:tcPr>
            <w:tcW w:w="429" w:type="pct"/>
            <w:vAlign w:val="center"/>
          </w:tcPr>
          <w:p w14:paraId="68AFD158"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TLI</w:t>
            </w:r>
          </w:p>
        </w:tc>
        <w:tc>
          <w:tcPr>
            <w:tcW w:w="1187" w:type="pct"/>
            <w:vAlign w:val="center"/>
          </w:tcPr>
          <w:p w14:paraId="3BFF0E09"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RMSEA (IC 90 %)</w:t>
            </w:r>
          </w:p>
        </w:tc>
        <w:tc>
          <w:tcPr>
            <w:tcW w:w="642" w:type="pct"/>
            <w:vAlign w:val="center"/>
          </w:tcPr>
          <w:p w14:paraId="42CA4CC8"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SRMR</w:t>
            </w:r>
          </w:p>
        </w:tc>
      </w:tr>
      <w:tr w:rsidR="008B1AB4" w:rsidRPr="008B1AB4" w14:paraId="3274E49F" w14:textId="77777777" w:rsidTr="00157D02">
        <w:trPr>
          <w:trHeight w:val="290"/>
          <w:jc w:val="center"/>
        </w:trPr>
        <w:tc>
          <w:tcPr>
            <w:tcW w:w="693" w:type="pct"/>
            <w:shd w:val="clear" w:color="auto" w:fill="auto"/>
            <w:noWrap/>
            <w:vAlign w:val="center"/>
          </w:tcPr>
          <w:p w14:paraId="51FFE480" w14:textId="77777777" w:rsidR="008B1AB4" w:rsidRPr="008B1AB4" w:rsidRDefault="008B1AB4" w:rsidP="008B1AB4">
            <w:pPr>
              <w:spacing w:line="360" w:lineRule="auto"/>
              <w:rPr>
                <w:sz w:val="18"/>
                <w:szCs w:val="18"/>
                <w:lang w:val="es-419" w:eastAsia="es-PE"/>
              </w:rPr>
            </w:pPr>
            <w:r w:rsidRPr="008B1AB4">
              <w:rPr>
                <w:sz w:val="18"/>
                <w:szCs w:val="18"/>
                <w:lang w:val="es-419" w:eastAsia="es-PE"/>
              </w:rPr>
              <w:t>6 ítems</w:t>
            </w:r>
          </w:p>
        </w:tc>
        <w:tc>
          <w:tcPr>
            <w:tcW w:w="816" w:type="pct"/>
            <w:shd w:val="clear" w:color="auto" w:fill="auto"/>
            <w:noWrap/>
            <w:vAlign w:val="center"/>
          </w:tcPr>
          <w:p w14:paraId="60EDE315"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171,067</w:t>
            </w:r>
          </w:p>
        </w:tc>
        <w:tc>
          <w:tcPr>
            <w:tcW w:w="274" w:type="pct"/>
            <w:shd w:val="clear" w:color="auto" w:fill="auto"/>
            <w:noWrap/>
            <w:vAlign w:val="center"/>
          </w:tcPr>
          <w:p w14:paraId="212D7BA4"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9</w:t>
            </w:r>
          </w:p>
        </w:tc>
        <w:tc>
          <w:tcPr>
            <w:tcW w:w="530" w:type="pct"/>
            <w:shd w:val="clear" w:color="auto" w:fill="auto"/>
            <w:noWrap/>
            <w:vAlign w:val="center"/>
          </w:tcPr>
          <w:p w14:paraId="68ED025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&lt; 0,001</w:t>
            </w:r>
          </w:p>
        </w:tc>
        <w:tc>
          <w:tcPr>
            <w:tcW w:w="429" w:type="pct"/>
            <w:shd w:val="clear" w:color="auto" w:fill="auto"/>
            <w:noWrap/>
            <w:vAlign w:val="center"/>
          </w:tcPr>
          <w:p w14:paraId="677FB38C"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0,978</w:t>
            </w:r>
          </w:p>
        </w:tc>
        <w:tc>
          <w:tcPr>
            <w:tcW w:w="429" w:type="pct"/>
            <w:vAlign w:val="center"/>
          </w:tcPr>
          <w:p w14:paraId="2917E9F0"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0,963</w:t>
            </w:r>
          </w:p>
        </w:tc>
        <w:tc>
          <w:tcPr>
            <w:tcW w:w="1187" w:type="pct"/>
            <w:vAlign w:val="center"/>
          </w:tcPr>
          <w:p w14:paraId="15765B21"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0,211 [0,184 – 0,239]</w:t>
            </w:r>
          </w:p>
        </w:tc>
        <w:tc>
          <w:tcPr>
            <w:tcW w:w="642" w:type="pct"/>
            <w:vAlign w:val="center"/>
          </w:tcPr>
          <w:p w14:paraId="7892CAA4"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0,060</w:t>
            </w:r>
          </w:p>
        </w:tc>
      </w:tr>
      <w:tr w:rsidR="008B1AB4" w:rsidRPr="008B1AB4" w14:paraId="16433CF8" w14:textId="77777777" w:rsidTr="00157D02">
        <w:trPr>
          <w:trHeight w:val="290"/>
          <w:jc w:val="center"/>
        </w:trPr>
        <w:tc>
          <w:tcPr>
            <w:tcW w:w="693" w:type="pct"/>
            <w:shd w:val="clear" w:color="auto" w:fill="auto"/>
            <w:noWrap/>
            <w:vAlign w:val="center"/>
          </w:tcPr>
          <w:p w14:paraId="49738918" w14:textId="77777777" w:rsidR="008B1AB4" w:rsidRPr="008B1AB4" w:rsidRDefault="008B1AB4" w:rsidP="008B1AB4">
            <w:pPr>
              <w:spacing w:line="360" w:lineRule="auto"/>
              <w:rPr>
                <w:sz w:val="18"/>
                <w:szCs w:val="18"/>
                <w:lang w:val="es-419" w:eastAsia="es-PE"/>
              </w:rPr>
            </w:pPr>
            <w:r w:rsidRPr="008B1AB4">
              <w:rPr>
                <w:sz w:val="18"/>
                <w:szCs w:val="18"/>
                <w:lang w:val="es-419" w:eastAsia="es-PE"/>
              </w:rPr>
              <w:t>5 ítems</w:t>
            </w:r>
          </w:p>
        </w:tc>
        <w:tc>
          <w:tcPr>
            <w:tcW w:w="816" w:type="pct"/>
            <w:shd w:val="clear" w:color="auto" w:fill="auto"/>
            <w:noWrap/>
            <w:vAlign w:val="center"/>
          </w:tcPr>
          <w:p w14:paraId="705F35AF" w14:textId="77777777" w:rsidR="008B1AB4" w:rsidRPr="008B1AB4" w:rsidRDefault="008B1AB4" w:rsidP="008B1AB4">
            <w:pPr>
              <w:spacing w:line="360" w:lineRule="auto"/>
              <w:jc w:val="center"/>
              <w:rPr>
                <w:sz w:val="18"/>
                <w:szCs w:val="18"/>
                <w:lang w:val="es-419" w:eastAsia="es-PE"/>
              </w:rPr>
            </w:pPr>
            <w:r w:rsidRPr="008B1AB4">
              <w:rPr>
                <w:rFonts w:eastAsia="Calibri"/>
                <w:sz w:val="18"/>
                <w:szCs w:val="18"/>
                <w:lang w:val="es-419" w:eastAsia="en-US"/>
              </w:rPr>
              <w:t>9,361</w:t>
            </w:r>
          </w:p>
        </w:tc>
        <w:tc>
          <w:tcPr>
            <w:tcW w:w="274" w:type="pct"/>
            <w:shd w:val="clear" w:color="auto" w:fill="auto"/>
            <w:noWrap/>
            <w:vAlign w:val="center"/>
          </w:tcPr>
          <w:p w14:paraId="0F9B5DDC"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5</w:t>
            </w:r>
          </w:p>
        </w:tc>
        <w:tc>
          <w:tcPr>
            <w:tcW w:w="530" w:type="pct"/>
            <w:shd w:val="clear" w:color="auto" w:fill="auto"/>
            <w:noWrap/>
            <w:vAlign w:val="center"/>
          </w:tcPr>
          <w:p w14:paraId="566C67F5"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0,096</w:t>
            </w:r>
          </w:p>
        </w:tc>
        <w:tc>
          <w:tcPr>
            <w:tcW w:w="429" w:type="pct"/>
            <w:shd w:val="clear" w:color="auto" w:fill="auto"/>
            <w:noWrap/>
            <w:vAlign w:val="center"/>
          </w:tcPr>
          <w:p w14:paraId="17DD1433"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0,999</w:t>
            </w:r>
          </w:p>
        </w:tc>
        <w:tc>
          <w:tcPr>
            <w:tcW w:w="429" w:type="pct"/>
            <w:vAlign w:val="center"/>
          </w:tcPr>
          <w:p w14:paraId="175C951D"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0,999</w:t>
            </w:r>
          </w:p>
        </w:tc>
        <w:tc>
          <w:tcPr>
            <w:tcW w:w="1187" w:type="pct"/>
            <w:vAlign w:val="center"/>
          </w:tcPr>
          <w:p w14:paraId="55D12FEF"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0,046 [&lt;0,001 – 0,092]</w:t>
            </w:r>
          </w:p>
        </w:tc>
        <w:tc>
          <w:tcPr>
            <w:tcW w:w="642" w:type="pct"/>
            <w:vAlign w:val="center"/>
          </w:tcPr>
          <w:p w14:paraId="5528B8B8"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0,015</w:t>
            </w:r>
          </w:p>
        </w:tc>
      </w:tr>
    </w:tbl>
    <w:bookmarkEnd w:id="5"/>
    <w:p w14:paraId="2C86AC91" w14:textId="77777777" w:rsidR="008B1AB4" w:rsidRPr="008B1AB4" w:rsidRDefault="008B1AB4" w:rsidP="008B1AB4">
      <w:pPr>
        <w:spacing w:line="360" w:lineRule="auto"/>
        <w:jc w:val="center"/>
        <w:rPr>
          <w:rFonts w:eastAsia="Calibri"/>
          <w:sz w:val="16"/>
          <w:szCs w:val="16"/>
          <w:lang w:val="es-419" w:eastAsia="en-US"/>
        </w:rPr>
      </w:pPr>
      <w:proofErr w:type="spellStart"/>
      <w:r w:rsidRPr="008B1AB4">
        <w:rPr>
          <w:rFonts w:eastAsia="Calibri"/>
          <w:sz w:val="16"/>
          <w:szCs w:val="16"/>
          <w:lang w:val="es-419" w:eastAsia="en-US"/>
        </w:rPr>
        <w:t>gl</w:t>
      </w:r>
      <w:proofErr w:type="spellEnd"/>
      <w:r w:rsidRPr="008B1AB4">
        <w:rPr>
          <w:rFonts w:eastAsia="Calibri"/>
          <w:sz w:val="16"/>
          <w:szCs w:val="16"/>
          <w:lang w:val="es-419" w:eastAsia="en-US"/>
        </w:rPr>
        <w:t>: grado de libertad; CFI: índice de ajuste comparativo; TLI: índice de Tucker-Lewis; RMSEA: raíz del error cuadrático medio de aproximación.</w:t>
      </w:r>
    </w:p>
    <w:p w14:paraId="4597128A" w14:textId="77777777" w:rsidR="008B1AB4" w:rsidRPr="008B1AB4" w:rsidRDefault="008B1AB4" w:rsidP="008B1AB4">
      <w:pPr>
        <w:spacing w:line="360" w:lineRule="auto"/>
        <w:jc w:val="center"/>
        <w:rPr>
          <w:rFonts w:eastAsia="Calibri"/>
          <w:sz w:val="16"/>
          <w:szCs w:val="16"/>
          <w:lang w:val="es-419" w:eastAsia="en-US"/>
        </w:rPr>
      </w:pPr>
    </w:p>
    <w:p w14:paraId="4FAF0622" w14:textId="77777777" w:rsidR="008B1AB4" w:rsidRPr="008B1AB4" w:rsidRDefault="008B1AB4" w:rsidP="008B1AB4">
      <w:pPr>
        <w:spacing w:line="360" w:lineRule="auto"/>
        <w:jc w:val="center"/>
        <w:rPr>
          <w:rFonts w:eastAsia="Calibri"/>
          <w:b/>
          <w:bCs/>
          <w:sz w:val="28"/>
          <w:szCs w:val="28"/>
          <w:lang w:val="es-419" w:eastAsia="en-US"/>
        </w:rPr>
      </w:pPr>
      <w:r w:rsidRPr="008B1AB4">
        <w:rPr>
          <w:rFonts w:eastAsia="Calibri"/>
          <w:b/>
          <w:bCs/>
          <w:sz w:val="28"/>
          <w:szCs w:val="28"/>
          <w:lang w:val="es-419" w:eastAsia="en-US"/>
        </w:rPr>
        <w:t>Invarianza de género</w:t>
      </w:r>
    </w:p>
    <w:p w14:paraId="088B2391" w14:textId="77777777" w:rsidR="008B1AB4" w:rsidRPr="008B1AB4" w:rsidRDefault="008B1AB4" w:rsidP="008B1AB4">
      <w:pPr>
        <w:spacing w:line="360" w:lineRule="auto"/>
        <w:jc w:val="both"/>
        <w:rPr>
          <w:rFonts w:eastAsia="Calibri"/>
          <w:lang w:val="es-419" w:eastAsia="en-US"/>
        </w:rPr>
      </w:pPr>
      <w:r w:rsidRPr="008B1AB4">
        <w:rPr>
          <w:rFonts w:eastAsia="Calibri"/>
          <w:lang w:val="es-419" w:eastAsia="en-US"/>
        </w:rPr>
        <w:t>Se realizó un análisis de invarianza por género. Específicamente se evaluó si el modelo unidimensional de la escala compuesta por 5 ítems era equivalente en mujeres y hombres. En la tabla 3 se observa que este modelo presenta índices de ajuste satisfactorios en todos los niveles de restricción en que fue sometido (</w:t>
      </w:r>
      <w:proofErr w:type="spellStart"/>
      <w:r w:rsidRPr="008B1AB4">
        <w:rPr>
          <w:rFonts w:eastAsia="Calibri"/>
          <w:lang w:val="es-419" w:eastAsia="en-US"/>
        </w:rPr>
        <w:t>configural</w:t>
      </w:r>
      <w:proofErr w:type="spellEnd"/>
      <w:r w:rsidRPr="008B1AB4">
        <w:rPr>
          <w:rFonts w:eastAsia="Calibri"/>
          <w:lang w:val="es-419" w:eastAsia="en-US"/>
        </w:rPr>
        <w:t>, métrica, escalar y estricta).</w:t>
      </w:r>
    </w:p>
    <w:p w14:paraId="5CE023A7" w14:textId="77777777" w:rsidR="008B1AB4" w:rsidRPr="008B1AB4" w:rsidRDefault="008B1AB4" w:rsidP="008B1AB4">
      <w:pPr>
        <w:spacing w:line="360" w:lineRule="auto"/>
        <w:jc w:val="both"/>
        <w:rPr>
          <w:rFonts w:eastAsia="Calibri"/>
          <w:lang w:val="es-419" w:eastAsia="en-US"/>
        </w:rPr>
      </w:pPr>
    </w:p>
    <w:p w14:paraId="1DC49D6E" w14:textId="77777777" w:rsidR="008B1AB4" w:rsidRPr="008B1AB4" w:rsidRDefault="008B1AB4" w:rsidP="008B1AB4">
      <w:pPr>
        <w:spacing w:line="360" w:lineRule="auto"/>
        <w:jc w:val="center"/>
        <w:rPr>
          <w:rFonts w:eastAsia="Calibri"/>
          <w:sz w:val="22"/>
          <w:szCs w:val="22"/>
          <w:lang w:val="es-419" w:eastAsia="en-US"/>
        </w:rPr>
      </w:pPr>
      <w:r w:rsidRPr="008B1AB4">
        <w:rPr>
          <w:rFonts w:eastAsia="Calibri"/>
          <w:b/>
          <w:bCs/>
          <w:sz w:val="22"/>
          <w:szCs w:val="22"/>
          <w:lang w:val="es-419" w:eastAsia="en-US"/>
        </w:rPr>
        <w:t xml:space="preserve">Tabla 3 - </w:t>
      </w:r>
      <w:r w:rsidRPr="008B1AB4">
        <w:rPr>
          <w:rFonts w:eastAsia="Calibri"/>
          <w:sz w:val="22"/>
          <w:szCs w:val="22"/>
          <w:lang w:val="es-419" w:eastAsia="en-US"/>
        </w:rPr>
        <w:t xml:space="preserve">Índices de ajuste para invarianza de género de la </w:t>
      </w:r>
      <w:r w:rsidRPr="008B1AB4">
        <w:rPr>
          <w:rFonts w:eastAsia="Calibri"/>
          <w:bCs/>
          <w:sz w:val="22"/>
          <w:szCs w:val="22"/>
          <w:lang w:val="es-419" w:eastAsia="en-US"/>
        </w:rPr>
        <w:t>EPCNVCov-19</w:t>
      </w:r>
      <w:r w:rsidRPr="008B1AB4">
        <w:rPr>
          <w:rFonts w:eastAsia="Calibri"/>
          <w:b/>
          <w:sz w:val="22"/>
          <w:szCs w:val="22"/>
          <w:lang w:val="es-419" w:eastAsia="en-US"/>
        </w:rPr>
        <w:t xml:space="preserve"> </w:t>
      </w:r>
      <w:r w:rsidRPr="008B1AB4">
        <w:rPr>
          <w:rFonts w:eastAsia="Calibri"/>
          <w:bCs/>
          <w:sz w:val="22"/>
          <w:szCs w:val="22"/>
          <w:lang w:val="es-419" w:eastAsia="en-US"/>
        </w:rPr>
        <w:t>R-NEW-COVID-1</w:t>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391"/>
        <w:gridCol w:w="426"/>
        <w:gridCol w:w="758"/>
        <w:gridCol w:w="758"/>
        <w:gridCol w:w="758"/>
        <w:gridCol w:w="877"/>
        <w:gridCol w:w="2656"/>
        <w:gridCol w:w="1193"/>
      </w:tblGrid>
      <w:tr w:rsidR="008B1AB4" w:rsidRPr="008B1AB4" w14:paraId="743A2712" w14:textId="77777777" w:rsidTr="00157D02">
        <w:trPr>
          <w:trHeight w:val="290"/>
          <w:jc w:val="center"/>
        </w:trPr>
        <w:tc>
          <w:tcPr>
            <w:tcW w:w="648" w:type="pct"/>
            <w:shd w:val="clear" w:color="auto" w:fill="auto"/>
            <w:noWrap/>
            <w:vAlign w:val="center"/>
            <w:hideMark/>
          </w:tcPr>
          <w:p w14:paraId="1AD83DAF" w14:textId="77777777" w:rsidR="008B1AB4" w:rsidRPr="008B1AB4" w:rsidRDefault="008B1AB4" w:rsidP="008B1AB4">
            <w:pPr>
              <w:spacing w:line="360" w:lineRule="auto"/>
              <w:rPr>
                <w:b/>
                <w:bCs/>
                <w:sz w:val="18"/>
                <w:szCs w:val="18"/>
                <w:lang w:val="es-419" w:eastAsia="es-PE"/>
              </w:rPr>
            </w:pPr>
            <w:bookmarkStart w:id="6" w:name="_Hlk65490757"/>
            <w:r w:rsidRPr="008B1AB4">
              <w:rPr>
                <w:b/>
                <w:bCs/>
                <w:sz w:val="18"/>
                <w:szCs w:val="18"/>
                <w:lang w:val="es-419" w:eastAsia="es-PE"/>
              </w:rPr>
              <w:t>Invarianza</w:t>
            </w:r>
          </w:p>
        </w:tc>
        <w:tc>
          <w:tcPr>
            <w:tcW w:w="686" w:type="pct"/>
            <w:shd w:val="clear" w:color="auto" w:fill="auto"/>
            <w:noWrap/>
            <w:vAlign w:val="center"/>
            <w:hideMark/>
          </w:tcPr>
          <w:p w14:paraId="74C3294E"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X</w:t>
            </w:r>
            <w:r w:rsidRPr="008B1AB4">
              <w:rPr>
                <w:b/>
                <w:bCs/>
                <w:sz w:val="18"/>
                <w:szCs w:val="18"/>
                <w:vertAlign w:val="superscript"/>
                <w:lang w:val="es-419" w:eastAsia="es-PE"/>
              </w:rPr>
              <w:t>2</w:t>
            </w:r>
            <w:r w:rsidRPr="008B1AB4">
              <w:rPr>
                <w:b/>
                <w:bCs/>
                <w:sz w:val="18"/>
                <w:szCs w:val="18"/>
                <w:lang w:val="es-419" w:eastAsia="es-PE"/>
              </w:rPr>
              <w:t xml:space="preserve"> Robusto</w:t>
            </w:r>
          </w:p>
        </w:tc>
        <w:tc>
          <w:tcPr>
            <w:tcW w:w="210" w:type="pct"/>
            <w:shd w:val="clear" w:color="auto" w:fill="auto"/>
            <w:noWrap/>
            <w:vAlign w:val="center"/>
            <w:hideMark/>
          </w:tcPr>
          <w:p w14:paraId="7E148127" w14:textId="77777777" w:rsidR="008B1AB4" w:rsidRPr="008B1AB4" w:rsidRDefault="008B1AB4" w:rsidP="008B1AB4">
            <w:pPr>
              <w:spacing w:line="360" w:lineRule="auto"/>
              <w:jc w:val="center"/>
              <w:rPr>
                <w:b/>
                <w:bCs/>
                <w:sz w:val="18"/>
                <w:szCs w:val="18"/>
                <w:lang w:val="es-419" w:eastAsia="es-PE"/>
              </w:rPr>
            </w:pPr>
            <w:proofErr w:type="spellStart"/>
            <w:r w:rsidRPr="008B1AB4">
              <w:rPr>
                <w:b/>
                <w:bCs/>
                <w:sz w:val="18"/>
                <w:szCs w:val="18"/>
                <w:lang w:val="es-419" w:eastAsia="es-PE"/>
              </w:rPr>
              <w:t>gl</w:t>
            </w:r>
            <w:proofErr w:type="spellEnd"/>
          </w:p>
        </w:tc>
        <w:tc>
          <w:tcPr>
            <w:tcW w:w="374" w:type="pct"/>
            <w:shd w:val="clear" w:color="auto" w:fill="auto"/>
            <w:noWrap/>
            <w:vAlign w:val="center"/>
            <w:hideMark/>
          </w:tcPr>
          <w:p w14:paraId="73ABC40E"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p</w:t>
            </w:r>
          </w:p>
        </w:tc>
        <w:tc>
          <w:tcPr>
            <w:tcW w:w="374" w:type="pct"/>
            <w:shd w:val="clear" w:color="auto" w:fill="auto"/>
            <w:noWrap/>
            <w:vAlign w:val="center"/>
            <w:hideMark/>
          </w:tcPr>
          <w:p w14:paraId="1F8D35EA"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CFI</w:t>
            </w:r>
          </w:p>
        </w:tc>
        <w:tc>
          <w:tcPr>
            <w:tcW w:w="374" w:type="pct"/>
            <w:shd w:val="clear" w:color="auto" w:fill="auto"/>
            <w:noWrap/>
            <w:vAlign w:val="center"/>
            <w:hideMark/>
          </w:tcPr>
          <w:p w14:paraId="075A09FC"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∆CFI</w:t>
            </w:r>
          </w:p>
        </w:tc>
        <w:tc>
          <w:tcPr>
            <w:tcW w:w="433" w:type="pct"/>
            <w:shd w:val="clear" w:color="auto" w:fill="auto"/>
            <w:noWrap/>
            <w:vAlign w:val="center"/>
            <w:hideMark/>
          </w:tcPr>
          <w:p w14:paraId="243DAFF6"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SRMR</w:t>
            </w:r>
          </w:p>
        </w:tc>
        <w:tc>
          <w:tcPr>
            <w:tcW w:w="1311" w:type="pct"/>
            <w:shd w:val="clear" w:color="auto" w:fill="auto"/>
            <w:noWrap/>
            <w:vAlign w:val="center"/>
            <w:hideMark/>
          </w:tcPr>
          <w:p w14:paraId="6D9438AC"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RMSEA (IC 90%)</w:t>
            </w:r>
          </w:p>
        </w:tc>
        <w:tc>
          <w:tcPr>
            <w:tcW w:w="589" w:type="pct"/>
            <w:shd w:val="clear" w:color="auto" w:fill="auto"/>
            <w:noWrap/>
            <w:vAlign w:val="center"/>
            <w:hideMark/>
          </w:tcPr>
          <w:p w14:paraId="6A4F0330"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∆RMSEA</w:t>
            </w:r>
          </w:p>
        </w:tc>
      </w:tr>
      <w:tr w:rsidR="008B1AB4" w:rsidRPr="008B1AB4" w14:paraId="0B44B3A6" w14:textId="77777777" w:rsidTr="00157D02">
        <w:trPr>
          <w:trHeight w:val="290"/>
          <w:jc w:val="center"/>
        </w:trPr>
        <w:tc>
          <w:tcPr>
            <w:tcW w:w="648" w:type="pct"/>
            <w:shd w:val="clear" w:color="auto" w:fill="auto"/>
            <w:noWrap/>
            <w:vAlign w:val="center"/>
          </w:tcPr>
          <w:p w14:paraId="75F9C72F" w14:textId="77777777" w:rsidR="008B1AB4" w:rsidRPr="008B1AB4" w:rsidRDefault="008B1AB4" w:rsidP="008B1AB4">
            <w:pPr>
              <w:spacing w:line="360" w:lineRule="auto"/>
              <w:rPr>
                <w:sz w:val="18"/>
                <w:szCs w:val="18"/>
                <w:lang w:val="es-419" w:eastAsia="es-PE"/>
              </w:rPr>
            </w:pPr>
            <w:proofErr w:type="spellStart"/>
            <w:r w:rsidRPr="008B1AB4">
              <w:rPr>
                <w:sz w:val="18"/>
                <w:szCs w:val="18"/>
                <w:lang w:val="es-419" w:eastAsia="es-PE"/>
              </w:rPr>
              <w:t>Configural</w:t>
            </w:r>
            <w:proofErr w:type="spellEnd"/>
          </w:p>
        </w:tc>
        <w:tc>
          <w:tcPr>
            <w:tcW w:w="686" w:type="pct"/>
            <w:shd w:val="clear" w:color="auto" w:fill="auto"/>
            <w:noWrap/>
            <w:vAlign w:val="center"/>
          </w:tcPr>
          <w:p w14:paraId="0A5B5AC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12,340</w:t>
            </w:r>
          </w:p>
        </w:tc>
        <w:tc>
          <w:tcPr>
            <w:tcW w:w="210" w:type="pct"/>
            <w:shd w:val="clear" w:color="auto" w:fill="auto"/>
            <w:noWrap/>
            <w:vAlign w:val="center"/>
          </w:tcPr>
          <w:p w14:paraId="6DB62BC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10</w:t>
            </w:r>
          </w:p>
        </w:tc>
        <w:tc>
          <w:tcPr>
            <w:tcW w:w="374" w:type="pct"/>
            <w:shd w:val="clear" w:color="auto" w:fill="auto"/>
            <w:noWrap/>
            <w:vAlign w:val="center"/>
          </w:tcPr>
          <w:p w14:paraId="00BA66EF"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0,263</w:t>
            </w:r>
          </w:p>
        </w:tc>
        <w:tc>
          <w:tcPr>
            <w:tcW w:w="374" w:type="pct"/>
            <w:shd w:val="clear" w:color="auto" w:fill="auto"/>
            <w:noWrap/>
            <w:vAlign w:val="center"/>
          </w:tcPr>
          <w:p w14:paraId="0A0B9932"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0,996</w:t>
            </w:r>
          </w:p>
        </w:tc>
        <w:tc>
          <w:tcPr>
            <w:tcW w:w="374" w:type="pct"/>
            <w:shd w:val="clear" w:color="auto" w:fill="auto"/>
            <w:noWrap/>
            <w:vAlign w:val="center"/>
          </w:tcPr>
          <w:p w14:paraId="7A00D9BF"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 xml:space="preserve"> -</w:t>
            </w:r>
          </w:p>
        </w:tc>
        <w:tc>
          <w:tcPr>
            <w:tcW w:w="433" w:type="pct"/>
            <w:shd w:val="clear" w:color="auto" w:fill="auto"/>
            <w:noWrap/>
            <w:vAlign w:val="center"/>
          </w:tcPr>
          <w:p w14:paraId="0DAE5DC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0,017</w:t>
            </w:r>
          </w:p>
        </w:tc>
        <w:tc>
          <w:tcPr>
            <w:tcW w:w="1311" w:type="pct"/>
            <w:shd w:val="clear" w:color="auto" w:fill="auto"/>
            <w:noWrap/>
            <w:vAlign w:val="center"/>
          </w:tcPr>
          <w:p w14:paraId="75504E04"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0,034 [&lt;0,001 – 0,087]</w:t>
            </w:r>
          </w:p>
        </w:tc>
        <w:tc>
          <w:tcPr>
            <w:tcW w:w="589" w:type="pct"/>
            <w:shd w:val="clear" w:color="auto" w:fill="auto"/>
            <w:noWrap/>
            <w:vAlign w:val="center"/>
          </w:tcPr>
          <w:p w14:paraId="24CDEE89"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 xml:space="preserve"> -</w:t>
            </w:r>
          </w:p>
        </w:tc>
      </w:tr>
      <w:tr w:rsidR="008B1AB4" w:rsidRPr="008B1AB4" w14:paraId="6A23999C" w14:textId="77777777" w:rsidTr="00157D02">
        <w:trPr>
          <w:trHeight w:val="290"/>
          <w:jc w:val="center"/>
        </w:trPr>
        <w:tc>
          <w:tcPr>
            <w:tcW w:w="648" w:type="pct"/>
            <w:shd w:val="clear" w:color="auto" w:fill="auto"/>
            <w:noWrap/>
            <w:vAlign w:val="center"/>
          </w:tcPr>
          <w:p w14:paraId="65AC8B6B" w14:textId="77777777" w:rsidR="008B1AB4" w:rsidRPr="008B1AB4" w:rsidRDefault="008B1AB4" w:rsidP="008B1AB4">
            <w:pPr>
              <w:spacing w:line="360" w:lineRule="auto"/>
              <w:rPr>
                <w:sz w:val="18"/>
                <w:szCs w:val="18"/>
                <w:lang w:val="es-419" w:eastAsia="es-PE"/>
              </w:rPr>
            </w:pPr>
            <w:r w:rsidRPr="008B1AB4">
              <w:rPr>
                <w:sz w:val="18"/>
                <w:szCs w:val="18"/>
                <w:lang w:val="es-419" w:eastAsia="es-PE"/>
              </w:rPr>
              <w:t>Métrica</w:t>
            </w:r>
          </w:p>
        </w:tc>
        <w:tc>
          <w:tcPr>
            <w:tcW w:w="686" w:type="pct"/>
            <w:shd w:val="clear" w:color="auto" w:fill="auto"/>
            <w:noWrap/>
            <w:vAlign w:val="center"/>
          </w:tcPr>
          <w:p w14:paraId="276D76D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17,745</w:t>
            </w:r>
          </w:p>
        </w:tc>
        <w:tc>
          <w:tcPr>
            <w:tcW w:w="210" w:type="pct"/>
            <w:shd w:val="clear" w:color="auto" w:fill="auto"/>
            <w:noWrap/>
            <w:vAlign w:val="center"/>
          </w:tcPr>
          <w:p w14:paraId="2D74F052"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14</w:t>
            </w:r>
          </w:p>
        </w:tc>
        <w:tc>
          <w:tcPr>
            <w:tcW w:w="374" w:type="pct"/>
            <w:shd w:val="clear" w:color="auto" w:fill="auto"/>
            <w:noWrap/>
            <w:vAlign w:val="center"/>
          </w:tcPr>
          <w:p w14:paraId="7A3447F0"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0,219</w:t>
            </w:r>
          </w:p>
        </w:tc>
        <w:tc>
          <w:tcPr>
            <w:tcW w:w="374" w:type="pct"/>
            <w:shd w:val="clear" w:color="auto" w:fill="auto"/>
            <w:noWrap/>
            <w:vAlign w:val="center"/>
          </w:tcPr>
          <w:p w14:paraId="42B8AD56"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0,994</w:t>
            </w:r>
          </w:p>
        </w:tc>
        <w:tc>
          <w:tcPr>
            <w:tcW w:w="374" w:type="pct"/>
            <w:shd w:val="clear" w:color="auto" w:fill="auto"/>
            <w:noWrap/>
            <w:vAlign w:val="center"/>
          </w:tcPr>
          <w:p w14:paraId="41DE8C7E"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0,002</w:t>
            </w:r>
          </w:p>
        </w:tc>
        <w:tc>
          <w:tcPr>
            <w:tcW w:w="433" w:type="pct"/>
            <w:shd w:val="clear" w:color="auto" w:fill="auto"/>
            <w:noWrap/>
            <w:vAlign w:val="center"/>
          </w:tcPr>
          <w:p w14:paraId="11C085DC"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0,030</w:t>
            </w:r>
          </w:p>
        </w:tc>
        <w:tc>
          <w:tcPr>
            <w:tcW w:w="1311" w:type="pct"/>
            <w:shd w:val="clear" w:color="auto" w:fill="auto"/>
            <w:noWrap/>
            <w:vAlign w:val="center"/>
          </w:tcPr>
          <w:p w14:paraId="21DBF25C"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0,036 [&lt;0,001 – 0,081]</w:t>
            </w:r>
          </w:p>
        </w:tc>
        <w:tc>
          <w:tcPr>
            <w:tcW w:w="589" w:type="pct"/>
            <w:shd w:val="clear" w:color="auto" w:fill="auto"/>
            <w:noWrap/>
            <w:vAlign w:val="center"/>
          </w:tcPr>
          <w:p w14:paraId="0DED780F" w14:textId="77777777" w:rsidR="008B1AB4" w:rsidRPr="008B1AB4" w:rsidRDefault="008B1AB4" w:rsidP="008B1AB4">
            <w:pPr>
              <w:spacing w:line="360" w:lineRule="auto"/>
              <w:jc w:val="right"/>
              <w:rPr>
                <w:sz w:val="18"/>
                <w:szCs w:val="18"/>
                <w:lang w:val="es-419" w:eastAsia="es-PE"/>
              </w:rPr>
            </w:pPr>
            <w:r w:rsidRPr="008B1AB4">
              <w:rPr>
                <w:sz w:val="18"/>
                <w:szCs w:val="18"/>
                <w:lang w:val="es-419" w:eastAsia="es-PE"/>
              </w:rPr>
              <w:t>-0,002</w:t>
            </w:r>
          </w:p>
        </w:tc>
      </w:tr>
      <w:tr w:rsidR="008B1AB4" w:rsidRPr="008B1AB4" w14:paraId="582E0F2B" w14:textId="77777777" w:rsidTr="00157D02">
        <w:trPr>
          <w:trHeight w:val="290"/>
          <w:jc w:val="center"/>
        </w:trPr>
        <w:tc>
          <w:tcPr>
            <w:tcW w:w="648" w:type="pct"/>
            <w:shd w:val="clear" w:color="auto" w:fill="auto"/>
            <w:noWrap/>
            <w:vAlign w:val="center"/>
          </w:tcPr>
          <w:p w14:paraId="72C8DE6B" w14:textId="77777777" w:rsidR="008B1AB4" w:rsidRPr="008B1AB4" w:rsidRDefault="008B1AB4" w:rsidP="008B1AB4">
            <w:pPr>
              <w:spacing w:line="360" w:lineRule="auto"/>
              <w:rPr>
                <w:sz w:val="18"/>
                <w:szCs w:val="18"/>
                <w:lang w:val="es-419" w:eastAsia="es-PE"/>
              </w:rPr>
            </w:pPr>
            <w:r w:rsidRPr="008B1AB4">
              <w:rPr>
                <w:sz w:val="18"/>
                <w:szCs w:val="18"/>
                <w:lang w:val="es-419" w:eastAsia="es-PE"/>
              </w:rPr>
              <w:t>Escalar</w:t>
            </w:r>
          </w:p>
        </w:tc>
        <w:tc>
          <w:tcPr>
            <w:tcW w:w="686" w:type="pct"/>
            <w:shd w:val="clear" w:color="auto" w:fill="auto"/>
            <w:noWrap/>
            <w:vAlign w:val="center"/>
          </w:tcPr>
          <w:p w14:paraId="1F09AC8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22,325</w:t>
            </w:r>
          </w:p>
        </w:tc>
        <w:tc>
          <w:tcPr>
            <w:tcW w:w="210" w:type="pct"/>
            <w:shd w:val="clear" w:color="auto" w:fill="auto"/>
            <w:noWrap/>
            <w:vAlign w:val="center"/>
          </w:tcPr>
          <w:p w14:paraId="512C820C"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18</w:t>
            </w:r>
          </w:p>
        </w:tc>
        <w:tc>
          <w:tcPr>
            <w:tcW w:w="374" w:type="pct"/>
            <w:shd w:val="clear" w:color="auto" w:fill="auto"/>
            <w:noWrap/>
            <w:vAlign w:val="center"/>
          </w:tcPr>
          <w:p w14:paraId="3385D962"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0,218</w:t>
            </w:r>
          </w:p>
        </w:tc>
        <w:tc>
          <w:tcPr>
            <w:tcW w:w="374" w:type="pct"/>
            <w:shd w:val="clear" w:color="auto" w:fill="auto"/>
            <w:noWrap/>
            <w:vAlign w:val="center"/>
          </w:tcPr>
          <w:p w14:paraId="30F141F8"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0,993</w:t>
            </w:r>
          </w:p>
        </w:tc>
        <w:tc>
          <w:tcPr>
            <w:tcW w:w="374" w:type="pct"/>
            <w:shd w:val="clear" w:color="auto" w:fill="auto"/>
            <w:noWrap/>
            <w:vAlign w:val="center"/>
          </w:tcPr>
          <w:p w14:paraId="327C97DE"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0,001</w:t>
            </w:r>
          </w:p>
        </w:tc>
        <w:tc>
          <w:tcPr>
            <w:tcW w:w="433" w:type="pct"/>
            <w:shd w:val="clear" w:color="auto" w:fill="auto"/>
            <w:noWrap/>
            <w:vAlign w:val="center"/>
          </w:tcPr>
          <w:p w14:paraId="70DAF224"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0,034</w:t>
            </w:r>
          </w:p>
        </w:tc>
        <w:tc>
          <w:tcPr>
            <w:tcW w:w="1311" w:type="pct"/>
            <w:shd w:val="clear" w:color="auto" w:fill="auto"/>
            <w:noWrap/>
            <w:vAlign w:val="center"/>
          </w:tcPr>
          <w:p w14:paraId="1A884EC2"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0,034 [&lt;0,001 – 0,075]</w:t>
            </w:r>
          </w:p>
        </w:tc>
        <w:tc>
          <w:tcPr>
            <w:tcW w:w="589" w:type="pct"/>
            <w:shd w:val="clear" w:color="auto" w:fill="auto"/>
            <w:noWrap/>
            <w:vAlign w:val="center"/>
          </w:tcPr>
          <w:p w14:paraId="7A422FBB" w14:textId="77777777" w:rsidR="008B1AB4" w:rsidRPr="008B1AB4" w:rsidRDefault="008B1AB4" w:rsidP="008B1AB4">
            <w:pPr>
              <w:spacing w:line="360" w:lineRule="auto"/>
              <w:jc w:val="right"/>
              <w:rPr>
                <w:sz w:val="18"/>
                <w:szCs w:val="18"/>
                <w:lang w:val="es-419" w:eastAsia="es-PE"/>
              </w:rPr>
            </w:pPr>
            <w:r w:rsidRPr="008B1AB4">
              <w:rPr>
                <w:sz w:val="18"/>
                <w:szCs w:val="18"/>
                <w:lang w:val="es-419" w:eastAsia="es-PE"/>
              </w:rPr>
              <w:t>0,002</w:t>
            </w:r>
          </w:p>
        </w:tc>
      </w:tr>
      <w:tr w:rsidR="008B1AB4" w:rsidRPr="008B1AB4" w14:paraId="3B59968F" w14:textId="77777777" w:rsidTr="00157D02">
        <w:trPr>
          <w:trHeight w:val="290"/>
          <w:jc w:val="center"/>
        </w:trPr>
        <w:tc>
          <w:tcPr>
            <w:tcW w:w="648" w:type="pct"/>
            <w:shd w:val="clear" w:color="auto" w:fill="auto"/>
            <w:noWrap/>
            <w:vAlign w:val="center"/>
          </w:tcPr>
          <w:p w14:paraId="7A08D6BC" w14:textId="77777777" w:rsidR="008B1AB4" w:rsidRPr="008B1AB4" w:rsidRDefault="008B1AB4" w:rsidP="008B1AB4">
            <w:pPr>
              <w:spacing w:line="360" w:lineRule="auto"/>
              <w:rPr>
                <w:sz w:val="18"/>
                <w:szCs w:val="18"/>
                <w:lang w:val="es-419" w:eastAsia="es-PE"/>
              </w:rPr>
            </w:pPr>
            <w:r w:rsidRPr="008B1AB4">
              <w:rPr>
                <w:sz w:val="18"/>
                <w:szCs w:val="18"/>
                <w:lang w:val="es-419" w:eastAsia="es-PE"/>
              </w:rPr>
              <w:t>Estricta</w:t>
            </w:r>
          </w:p>
        </w:tc>
        <w:tc>
          <w:tcPr>
            <w:tcW w:w="686" w:type="pct"/>
            <w:shd w:val="clear" w:color="auto" w:fill="auto"/>
            <w:noWrap/>
            <w:vAlign w:val="center"/>
          </w:tcPr>
          <w:p w14:paraId="4022DCA3"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29,063</w:t>
            </w:r>
          </w:p>
        </w:tc>
        <w:tc>
          <w:tcPr>
            <w:tcW w:w="210" w:type="pct"/>
            <w:shd w:val="clear" w:color="auto" w:fill="auto"/>
            <w:noWrap/>
            <w:vAlign w:val="center"/>
          </w:tcPr>
          <w:p w14:paraId="14773A40"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23</w:t>
            </w:r>
          </w:p>
        </w:tc>
        <w:tc>
          <w:tcPr>
            <w:tcW w:w="374" w:type="pct"/>
            <w:shd w:val="clear" w:color="auto" w:fill="auto"/>
            <w:noWrap/>
            <w:vAlign w:val="center"/>
          </w:tcPr>
          <w:p w14:paraId="3D026558"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0,178</w:t>
            </w:r>
          </w:p>
        </w:tc>
        <w:tc>
          <w:tcPr>
            <w:tcW w:w="374" w:type="pct"/>
            <w:shd w:val="clear" w:color="auto" w:fill="auto"/>
            <w:noWrap/>
            <w:vAlign w:val="center"/>
          </w:tcPr>
          <w:p w14:paraId="1FF6AE5F"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0,990</w:t>
            </w:r>
          </w:p>
        </w:tc>
        <w:tc>
          <w:tcPr>
            <w:tcW w:w="374" w:type="pct"/>
            <w:shd w:val="clear" w:color="auto" w:fill="auto"/>
            <w:noWrap/>
            <w:vAlign w:val="center"/>
          </w:tcPr>
          <w:p w14:paraId="558C3E5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0,003</w:t>
            </w:r>
          </w:p>
        </w:tc>
        <w:tc>
          <w:tcPr>
            <w:tcW w:w="433" w:type="pct"/>
            <w:shd w:val="clear" w:color="auto" w:fill="auto"/>
            <w:noWrap/>
            <w:vAlign w:val="center"/>
          </w:tcPr>
          <w:p w14:paraId="0040628E"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0,046</w:t>
            </w:r>
          </w:p>
        </w:tc>
        <w:tc>
          <w:tcPr>
            <w:tcW w:w="1311" w:type="pct"/>
            <w:shd w:val="clear" w:color="auto" w:fill="auto"/>
            <w:noWrap/>
            <w:vAlign w:val="center"/>
          </w:tcPr>
          <w:p w14:paraId="411197FC"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0,036 [&lt;0,001 – 0,072]</w:t>
            </w:r>
          </w:p>
        </w:tc>
        <w:tc>
          <w:tcPr>
            <w:tcW w:w="589" w:type="pct"/>
            <w:shd w:val="clear" w:color="auto" w:fill="auto"/>
            <w:noWrap/>
            <w:vAlign w:val="center"/>
          </w:tcPr>
          <w:p w14:paraId="5B007371" w14:textId="77777777" w:rsidR="008B1AB4" w:rsidRPr="008B1AB4" w:rsidRDefault="008B1AB4" w:rsidP="008B1AB4">
            <w:pPr>
              <w:spacing w:line="360" w:lineRule="auto"/>
              <w:jc w:val="right"/>
              <w:rPr>
                <w:sz w:val="18"/>
                <w:szCs w:val="18"/>
                <w:lang w:val="es-419" w:eastAsia="es-PE"/>
              </w:rPr>
            </w:pPr>
            <w:r w:rsidRPr="008B1AB4">
              <w:rPr>
                <w:sz w:val="18"/>
                <w:szCs w:val="18"/>
                <w:lang w:val="es-419" w:eastAsia="es-PE"/>
              </w:rPr>
              <w:t>-0,002</w:t>
            </w:r>
          </w:p>
        </w:tc>
      </w:tr>
    </w:tbl>
    <w:bookmarkEnd w:id="6"/>
    <w:p w14:paraId="76F1C3FD" w14:textId="77777777" w:rsidR="008B1AB4" w:rsidRPr="008B1AB4" w:rsidRDefault="008B1AB4" w:rsidP="008B1AB4">
      <w:pPr>
        <w:spacing w:line="360" w:lineRule="auto"/>
        <w:jc w:val="center"/>
        <w:rPr>
          <w:rFonts w:eastAsia="Calibri"/>
          <w:sz w:val="16"/>
          <w:szCs w:val="16"/>
          <w:lang w:val="es-419" w:eastAsia="en-US"/>
        </w:rPr>
      </w:pPr>
      <w:proofErr w:type="spellStart"/>
      <w:r w:rsidRPr="008B1AB4">
        <w:rPr>
          <w:rFonts w:eastAsia="Calibri"/>
          <w:sz w:val="16"/>
          <w:szCs w:val="16"/>
          <w:lang w:val="es-419" w:eastAsia="en-US"/>
        </w:rPr>
        <w:t>gl</w:t>
      </w:r>
      <w:proofErr w:type="spellEnd"/>
      <w:r w:rsidRPr="008B1AB4">
        <w:rPr>
          <w:rFonts w:eastAsia="Calibri"/>
          <w:sz w:val="16"/>
          <w:szCs w:val="16"/>
          <w:lang w:val="es-419" w:eastAsia="en-US"/>
        </w:rPr>
        <w:t>: grado de libertad; CFI: índice de ajuste comparativo; RMSEA: Raíz del error cuadrático medio de aproximación; ΔCFI: diferencia del índice de ajuste comparativo; ΔRMSEA: diferencia de la raíz del error cuadrático medio de aproximación.</w:t>
      </w:r>
    </w:p>
    <w:p w14:paraId="33F8AB29" w14:textId="77777777" w:rsidR="008B1AB4" w:rsidRPr="008B1AB4" w:rsidRDefault="008B1AB4" w:rsidP="008B1AB4">
      <w:pPr>
        <w:spacing w:line="360" w:lineRule="auto"/>
        <w:jc w:val="center"/>
        <w:rPr>
          <w:rFonts w:eastAsia="Calibri"/>
          <w:sz w:val="16"/>
          <w:szCs w:val="16"/>
          <w:lang w:val="es-419" w:eastAsia="en-US"/>
        </w:rPr>
      </w:pPr>
    </w:p>
    <w:p w14:paraId="65CB0D3F" w14:textId="77777777" w:rsidR="008B1AB4" w:rsidRPr="008B1AB4" w:rsidRDefault="008B1AB4" w:rsidP="008B1AB4">
      <w:pPr>
        <w:spacing w:line="360" w:lineRule="auto"/>
        <w:jc w:val="center"/>
        <w:rPr>
          <w:rFonts w:eastAsia="Calibri"/>
          <w:b/>
          <w:bCs/>
          <w:lang w:val="es-419" w:eastAsia="en-US"/>
        </w:rPr>
      </w:pPr>
      <w:r w:rsidRPr="008B1AB4">
        <w:rPr>
          <w:rFonts w:eastAsia="Calibri"/>
          <w:b/>
          <w:bCs/>
          <w:lang w:val="es-419" w:eastAsia="en-US"/>
        </w:rPr>
        <w:t>Validez convergente y discriminante</w:t>
      </w:r>
    </w:p>
    <w:p w14:paraId="39C8236C" w14:textId="77777777" w:rsidR="008B1AB4" w:rsidRPr="008B1AB4" w:rsidRDefault="008B1AB4" w:rsidP="008B1AB4">
      <w:pPr>
        <w:spacing w:line="360" w:lineRule="auto"/>
        <w:jc w:val="both"/>
        <w:rPr>
          <w:rFonts w:eastAsia="Calibri"/>
          <w:bCs/>
          <w:lang w:val="es-419" w:eastAsia="en-US"/>
        </w:rPr>
      </w:pPr>
      <w:r w:rsidRPr="008B1AB4">
        <w:rPr>
          <w:rFonts w:eastAsia="Calibri"/>
          <w:lang w:val="es-419" w:eastAsia="en-US"/>
        </w:rPr>
        <w:t xml:space="preserve">En la tabla 4 se observa que la variable preocupación por el contagio con una variante del SARS-CoV-2 se correlaciona positivamente con la ansiedad (r = 0,42, p &lt; 0,01), sin embargo, se correlaciona negativamente con el bienestar psicológico (r = -0,11, p &lt; 0,05). Aunque esta última es baja, de acuerdo </w:t>
      </w:r>
      <w:r w:rsidRPr="008B1AB4">
        <w:rPr>
          <w:rFonts w:eastAsia="Calibri"/>
          <w:lang w:val="es-419" w:eastAsia="en-US"/>
        </w:rPr>
        <w:lastRenderedPageBreak/>
        <w:t xml:space="preserve">con los intervalos de confianza, no es despreciable. Estos resultados pueden servir para considerar que la escala unidimensional, </w:t>
      </w:r>
      <w:r w:rsidRPr="008B1AB4">
        <w:rPr>
          <w:rFonts w:eastAsia="Calibri"/>
          <w:bCs/>
          <w:lang w:val="es-419" w:eastAsia="en-US"/>
        </w:rPr>
        <w:t>EPCNVCov-19, presenta evidencia de validez convergente y discriminante.</w:t>
      </w:r>
    </w:p>
    <w:p w14:paraId="4E03B189" w14:textId="77777777" w:rsidR="008B1AB4" w:rsidRPr="008B1AB4" w:rsidRDefault="008B1AB4" w:rsidP="008B1AB4">
      <w:pPr>
        <w:spacing w:line="360" w:lineRule="auto"/>
        <w:jc w:val="both"/>
        <w:rPr>
          <w:rFonts w:eastAsia="Calibri"/>
          <w:bCs/>
          <w:lang w:val="es-419" w:eastAsia="en-US"/>
        </w:rPr>
      </w:pPr>
    </w:p>
    <w:p w14:paraId="7EBEC3A9" w14:textId="77777777" w:rsidR="008B1AB4" w:rsidRPr="008B1AB4" w:rsidRDefault="008B1AB4" w:rsidP="008B1AB4">
      <w:pPr>
        <w:widowControl w:val="0"/>
        <w:autoSpaceDE w:val="0"/>
        <w:autoSpaceDN w:val="0"/>
        <w:adjustRightInd w:val="0"/>
        <w:spacing w:line="360" w:lineRule="auto"/>
        <w:jc w:val="center"/>
        <w:rPr>
          <w:rFonts w:eastAsia="Calibri"/>
          <w:sz w:val="22"/>
          <w:szCs w:val="22"/>
          <w:lang w:val="es-419" w:eastAsia="en-US"/>
        </w:rPr>
      </w:pPr>
      <w:r w:rsidRPr="008B1AB4">
        <w:rPr>
          <w:rFonts w:eastAsia="Calibri"/>
          <w:b/>
          <w:bCs/>
          <w:sz w:val="22"/>
          <w:szCs w:val="22"/>
          <w:lang w:val="es-419" w:eastAsia="en-US"/>
        </w:rPr>
        <w:t>Table 4 -</w:t>
      </w:r>
      <w:r w:rsidRPr="008B1AB4">
        <w:rPr>
          <w:rFonts w:eastAsia="Calibri"/>
          <w:sz w:val="22"/>
          <w:szCs w:val="22"/>
          <w:lang w:val="es-419" w:eastAsia="en-US"/>
        </w:rPr>
        <w:t xml:space="preserve"> Medias, desviaciones estándar y correlaciones con intervalos de confianza para la </w:t>
      </w:r>
      <w:r w:rsidRPr="008B1AB4">
        <w:rPr>
          <w:rFonts w:eastAsia="Calibri"/>
          <w:bCs/>
          <w:sz w:val="22"/>
          <w:szCs w:val="22"/>
          <w:lang w:val="es-419" w:eastAsia="en-US"/>
        </w:rPr>
        <w:t>EPCNVCov-19</w:t>
      </w:r>
      <w:r w:rsidRPr="008B1AB4">
        <w:rPr>
          <w:rFonts w:eastAsia="Calibri"/>
          <w:sz w:val="22"/>
          <w:szCs w:val="22"/>
          <w:lang w:val="es-419" w:eastAsia="en-US"/>
        </w:rPr>
        <w:t xml:space="preserve">  </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3114"/>
        <w:gridCol w:w="709"/>
        <w:gridCol w:w="708"/>
        <w:gridCol w:w="1134"/>
        <w:gridCol w:w="1276"/>
      </w:tblGrid>
      <w:tr w:rsidR="008B1AB4" w:rsidRPr="008B1AB4" w14:paraId="13575259" w14:textId="77777777" w:rsidTr="00157D02">
        <w:trPr>
          <w:jc w:val="center"/>
        </w:trPr>
        <w:tc>
          <w:tcPr>
            <w:tcW w:w="3114" w:type="dxa"/>
            <w:vAlign w:val="center"/>
          </w:tcPr>
          <w:p w14:paraId="77652400" w14:textId="77777777" w:rsidR="008B1AB4" w:rsidRPr="008B1AB4" w:rsidRDefault="008B1AB4" w:rsidP="008B1AB4">
            <w:pPr>
              <w:widowControl w:val="0"/>
              <w:autoSpaceDE w:val="0"/>
              <w:autoSpaceDN w:val="0"/>
              <w:adjustRightInd w:val="0"/>
              <w:spacing w:line="360" w:lineRule="auto"/>
              <w:jc w:val="center"/>
              <w:rPr>
                <w:rFonts w:eastAsia="Calibri"/>
                <w:b/>
                <w:bCs/>
                <w:sz w:val="18"/>
                <w:szCs w:val="18"/>
                <w:lang w:val="es-419" w:eastAsia="en-US"/>
              </w:rPr>
            </w:pPr>
            <w:r w:rsidRPr="008B1AB4">
              <w:rPr>
                <w:rFonts w:eastAsia="Calibri"/>
                <w:b/>
                <w:bCs/>
                <w:sz w:val="18"/>
                <w:szCs w:val="18"/>
                <w:lang w:val="es-419" w:eastAsia="en-US"/>
              </w:rPr>
              <w:t>Variables</w:t>
            </w:r>
          </w:p>
        </w:tc>
        <w:tc>
          <w:tcPr>
            <w:tcW w:w="709" w:type="dxa"/>
            <w:vAlign w:val="center"/>
          </w:tcPr>
          <w:p w14:paraId="7E230CB5" w14:textId="77777777" w:rsidR="008B1AB4" w:rsidRPr="008B1AB4" w:rsidRDefault="008B1AB4" w:rsidP="008B1AB4">
            <w:pPr>
              <w:widowControl w:val="0"/>
              <w:autoSpaceDE w:val="0"/>
              <w:autoSpaceDN w:val="0"/>
              <w:adjustRightInd w:val="0"/>
              <w:spacing w:line="360" w:lineRule="auto"/>
              <w:jc w:val="center"/>
              <w:rPr>
                <w:rFonts w:eastAsia="Calibri"/>
                <w:b/>
                <w:bCs/>
                <w:sz w:val="18"/>
                <w:szCs w:val="18"/>
                <w:lang w:val="es-419" w:eastAsia="en-US"/>
              </w:rPr>
            </w:pPr>
            <w:r w:rsidRPr="008B1AB4">
              <w:rPr>
                <w:rFonts w:eastAsia="Calibri"/>
                <w:b/>
                <w:bCs/>
                <w:i/>
                <w:iCs/>
                <w:sz w:val="18"/>
                <w:szCs w:val="18"/>
                <w:lang w:val="es-419" w:eastAsia="en-US"/>
              </w:rPr>
              <w:t>M</w:t>
            </w:r>
          </w:p>
        </w:tc>
        <w:tc>
          <w:tcPr>
            <w:tcW w:w="708" w:type="dxa"/>
            <w:vAlign w:val="center"/>
          </w:tcPr>
          <w:p w14:paraId="21AB6D92" w14:textId="77777777" w:rsidR="008B1AB4" w:rsidRPr="008B1AB4" w:rsidRDefault="008B1AB4" w:rsidP="008B1AB4">
            <w:pPr>
              <w:widowControl w:val="0"/>
              <w:autoSpaceDE w:val="0"/>
              <w:autoSpaceDN w:val="0"/>
              <w:adjustRightInd w:val="0"/>
              <w:spacing w:line="360" w:lineRule="auto"/>
              <w:jc w:val="center"/>
              <w:rPr>
                <w:rFonts w:eastAsia="Calibri"/>
                <w:b/>
                <w:bCs/>
                <w:i/>
                <w:sz w:val="18"/>
                <w:szCs w:val="18"/>
                <w:lang w:val="es-419" w:eastAsia="en-US"/>
              </w:rPr>
            </w:pPr>
            <w:r w:rsidRPr="008B1AB4">
              <w:rPr>
                <w:rFonts w:eastAsia="Calibri"/>
                <w:b/>
                <w:bCs/>
                <w:i/>
                <w:sz w:val="18"/>
                <w:szCs w:val="18"/>
                <w:lang w:val="es-419" w:eastAsia="en-US"/>
              </w:rPr>
              <w:t>DE</w:t>
            </w:r>
          </w:p>
        </w:tc>
        <w:tc>
          <w:tcPr>
            <w:tcW w:w="1134" w:type="dxa"/>
            <w:vAlign w:val="center"/>
          </w:tcPr>
          <w:p w14:paraId="48975095" w14:textId="77777777" w:rsidR="008B1AB4" w:rsidRPr="008B1AB4" w:rsidRDefault="008B1AB4" w:rsidP="008B1AB4">
            <w:pPr>
              <w:widowControl w:val="0"/>
              <w:autoSpaceDE w:val="0"/>
              <w:autoSpaceDN w:val="0"/>
              <w:adjustRightInd w:val="0"/>
              <w:spacing w:line="360" w:lineRule="auto"/>
              <w:jc w:val="center"/>
              <w:rPr>
                <w:rFonts w:eastAsia="Calibri"/>
                <w:b/>
                <w:bCs/>
                <w:sz w:val="18"/>
                <w:szCs w:val="18"/>
                <w:lang w:val="es-419" w:eastAsia="en-US"/>
              </w:rPr>
            </w:pPr>
            <w:r w:rsidRPr="008B1AB4">
              <w:rPr>
                <w:rFonts w:eastAsia="Calibri"/>
                <w:b/>
                <w:bCs/>
                <w:sz w:val="18"/>
                <w:szCs w:val="18"/>
                <w:lang w:val="es-419" w:eastAsia="en-US"/>
              </w:rPr>
              <w:t>1</w:t>
            </w:r>
          </w:p>
        </w:tc>
        <w:tc>
          <w:tcPr>
            <w:tcW w:w="1276" w:type="dxa"/>
            <w:vAlign w:val="center"/>
          </w:tcPr>
          <w:p w14:paraId="6FFB3619" w14:textId="77777777" w:rsidR="008B1AB4" w:rsidRPr="008B1AB4" w:rsidRDefault="008B1AB4" w:rsidP="008B1AB4">
            <w:pPr>
              <w:widowControl w:val="0"/>
              <w:autoSpaceDE w:val="0"/>
              <w:autoSpaceDN w:val="0"/>
              <w:adjustRightInd w:val="0"/>
              <w:spacing w:line="360" w:lineRule="auto"/>
              <w:jc w:val="center"/>
              <w:rPr>
                <w:rFonts w:eastAsia="Calibri"/>
                <w:b/>
                <w:bCs/>
                <w:sz w:val="18"/>
                <w:szCs w:val="18"/>
                <w:lang w:val="es-419" w:eastAsia="en-US"/>
              </w:rPr>
            </w:pPr>
            <w:r w:rsidRPr="008B1AB4">
              <w:rPr>
                <w:rFonts w:eastAsia="Calibri"/>
                <w:b/>
                <w:bCs/>
                <w:sz w:val="18"/>
                <w:szCs w:val="18"/>
                <w:lang w:val="es-419" w:eastAsia="en-US"/>
              </w:rPr>
              <w:t>2</w:t>
            </w:r>
          </w:p>
        </w:tc>
      </w:tr>
      <w:tr w:rsidR="008B1AB4" w:rsidRPr="008B1AB4" w14:paraId="44A420CE" w14:textId="77777777" w:rsidTr="00157D02">
        <w:trPr>
          <w:jc w:val="center"/>
        </w:trPr>
        <w:tc>
          <w:tcPr>
            <w:tcW w:w="3114" w:type="dxa"/>
            <w:vAlign w:val="center"/>
          </w:tcPr>
          <w:p w14:paraId="17FEDE27" w14:textId="77777777" w:rsidR="008B1AB4" w:rsidRPr="008B1AB4" w:rsidRDefault="008B1AB4" w:rsidP="008B1AB4">
            <w:pPr>
              <w:widowControl w:val="0"/>
              <w:autoSpaceDE w:val="0"/>
              <w:autoSpaceDN w:val="0"/>
              <w:adjustRightInd w:val="0"/>
              <w:spacing w:line="360" w:lineRule="auto"/>
              <w:rPr>
                <w:rFonts w:eastAsia="Calibri"/>
                <w:sz w:val="18"/>
                <w:szCs w:val="18"/>
                <w:lang w:val="es-419" w:eastAsia="en-US"/>
              </w:rPr>
            </w:pPr>
            <w:r w:rsidRPr="008B1AB4">
              <w:rPr>
                <w:rFonts w:eastAsia="Calibri"/>
                <w:sz w:val="18"/>
                <w:szCs w:val="18"/>
                <w:lang w:val="es-419" w:eastAsia="en-US"/>
              </w:rPr>
              <w:t>1. Ansiedad</w:t>
            </w:r>
          </w:p>
        </w:tc>
        <w:tc>
          <w:tcPr>
            <w:tcW w:w="709" w:type="dxa"/>
            <w:vAlign w:val="center"/>
          </w:tcPr>
          <w:p w14:paraId="279D2C07"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0,98</w:t>
            </w:r>
          </w:p>
        </w:tc>
        <w:tc>
          <w:tcPr>
            <w:tcW w:w="708" w:type="dxa"/>
            <w:vAlign w:val="center"/>
          </w:tcPr>
          <w:p w14:paraId="53AEC250"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1,41</w:t>
            </w:r>
          </w:p>
        </w:tc>
        <w:tc>
          <w:tcPr>
            <w:tcW w:w="1134" w:type="dxa"/>
            <w:vAlign w:val="center"/>
          </w:tcPr>
          <w:p w14:paraId="7261529F"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w:t>
            </w:r>
          </w:p>
        </w:tc>
        <w:tc>
          <w:tcPr>
            <w:tcW w:w="1276" w:type="dxa"/>
            <w:vAlign w:val="center"/>
          </w:tcPr>
          <w:p w14:paraId="1AAB9C9E"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w:t>
            </w:r>
          </w:p>
        </w:tc>
      </w:tr>
      <w:tr w:rsidR="008B1AB4" w:rsidRPr="008B1AB4" w14:paraId="3E3DF335" w14:textId="77777777" w:rsidTr="00157D02">
        <w:trPr>
          <w:jc w:val="center"/>
        </w:trPr>
        <w:tc>
          <w:tcPr>
            <w:tcW w:w="3114" w:type="dxa"/>
            <w:vAlign w:val="center"/>
          </w:tcPr>
          <w:p w14:paraId="678B5CA5" w14:textId="77777777" w:rsidR="008B1AB4" w:rsidRPr="008B1AB4" w:rsidRDefault="008B1AB4" w:rsidP="008B1AB4">
            <w:pPr>
              <w:widowControl w:val="0"/>
              <w:autoSpaceDE w:val="0"/>
              <w:autoSpaceDN w:val="0"/>
              <w:adjustRightInd w:val="0"/>
              <w:spacing w:line="360" w:lineRule="auto"/>
              <w:rPr>
                <w:rFonts w:eastAsia="Calibri"/>
                <w:sz w:val="18"/>
                <w:szCs w:val="18"/>
                <w:lang w:val="es-419" w:eastAsia="en-US"/>
              </w:rPr>
            </w:pPr>
            <w:r w:rsidRPr="008B1AB4">
              <w:rPr>
                <w:rFonts w:eastAsia="Calibri"/>
                <w:sz w:val="18"/>
                <w:szCs w:val="18"/>
                <w:lang w:val="es-419" w:eastAsia="en-US"/>
              </w:rPr>
              <w:t>2. Bienestar general</w:t>
            </w:r>
          </w:p>
        </w:tc>
        <w:tc>
          <w:tcPr>
            <w:tcW w:w="709" w:type="dxa"/>
            <w:vAlign w:val="center"/>
          </w:tcPr>
          <w:p w14:paraId="686E0FAA"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8,84</w:t>
            </w:r>
          </w:p>
        </w:tc>
        <w:tc>
          <w:tcPr>
            <w:tcW w:w="708" w:type="dxa"/>
            <w:vAlign w:val="center"/>
          </w:tcPr>
          <w:p w14:paraId="615BD1E9"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3,41</w:t>
            </w:r>
          </w:p>
        </w:tc>
        <w:tc>
          <w:tcPr>
            <w:tcW w:w="1134" w:type="dxa"/>
            <w:vAlign w:val="center"/>
          </w:tcPr>
          <w:p w14:paraId="1A90B9BA"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-0,31**</w:t>
            </w:r>
          </w:p>
        </w:tc>
        <w:tc>
          <w:tcPr>
            <w:tcW w:w="1276" w:type="dxa"/>
            <w:vAlign w:val="center"/>
          </w:tcPr>
          <w:p w14:paraId="3D31E57E" w14:textId="77777777" w:rsidR="008B1AB4" w:rsidRPr="008B1AB4" w:rsidRDefault="008B1AB4" w:rsidP="008B1AB4">
            <w:pPr>
              <w:widowControl w:val="0"/>
              <w:tabs>
                <w:tab w:val="decimal" w:leader="dot" w:pos="428"/>
              </w:tabs>
              <w:autoSpaceDE w:val="0"/>
              <w:autoSpaceDN w:val="0"/>
              <w:adjustRightInd w:val="0"/>
              <w:spacing w:line="360" w:lineRule="auto"/>
              <w:jc w:val="center"/>
              <w:rPr>
                <w:rFonts w:eastAsia="Calibri"/>
                <w:sz w:val="18"/>
                <w:szCs w:val="18"/>
                <w:lang w:val="es-419" w:eastAsia="en-US"/>
              </w:rPr>
            </w:pPr>
          </w:p>
        </w:tc>
      </w:tr>
      <w:tr w:rsidR="008B1AB4" w:rsidRPr="008B1AB4" w14:paraId="68D4A10A" w14:textId="77777777" w:rsidTr="00157D02">
        <w:trPr>
          <w:jc w:val="center"/>
        </w:trPr>
        <w:tc>
          <w:tcPr>
            <w:tcW w:w="3114" w:type="dxa"/>
            <w:vAlign w:val="center"/>
          </w:tcPr>
          <w:p w14:paraId="69A80953" w14:textId="77777777" w:rsidR="008B1AB4" w:rsidRPr="008B1AB4" w:rsidRDefault="008B1AB4" w:rsidP="008B1AB4">
            <w:pPr>
              <w:widowControl w:val="0"/>
              <w:autoSpaceDE w:val="0"/>
              <w:autoSpaceDN w:val="0"/>
              <w:adjustRightInd w:val="0"/>
              <w:spacing w:line="360" w:lineRule="auto"/>
              <w:rPr>
                <w:rFonts w:eastAsia="Calibri"/>
                <w:sz w:val="18"/>
                <w:szCs w:val="18"/>
                <w:lang w:val="es-419" w:eastAsia="en-US"/>
              </w:rPr>
            </w:pPr>
            <w:r w:rsidRPr="008B1AB4">
              <w:rPr>
                <w:rFonts w:eastAsia="Calibri"/>
                <w:sz w:val="18"/>
                <w:szCs w:val="18"/>
                <w:lang w:val="es-419" w:eastAsia="en-US"/>
              </w:rPr>
              <w:t xml:space="preserve">3. Preocupación por el contagio con alguna variante de </w:t>
            </w:r>
            <w:r w:rsidRPr="008B1AB4">
              <w:rPr>
                <w:rFonts w:eastAsia="Calibri"/>
                <w:sz w:val="18"/>
                <w:szCs w:val="18"/>
                <w:shd w:val="clear" w:color="auto" w:fill="FFFFFF"/>
                <w:lang w:val="es-419" w:eastAsia="en-US"/>
              </w:rPr>
              <w:t>SARS-CoV-2</w:t>
            </w:r>
          </w:p>
        </w:tc>
        <w:tc>
          <w:tcPr>
            <w:tcW w:w="709" w:type="dxa"/>
            <w:vAlign w:val="center"/>
          </w:tcPr>
          <w:p w14:paraId="6E7AA385"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4,86</w:t>
            </w:r>
          </w:p>
        </w:tc>
        <w:tc>
          <w:tcPr>
            <w:tcW w:w="708" w:type="dxa"/>
            <w:vAlign w:val="center"/>
          </w:tcPr>
          <w:p w14:paraId="71E01482"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3,51</w:t>
            </w:r>
          </w:p>
        </w:tc>
        <w:tc>
          <w:tcPr>
            <w:tcW w:w="1134" w:type="dxa"/>
            <w:vAlign w:val="center"/>
          </w:tcPr>
          <w:p w14:paraId="3C7FAE59"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0,42**</w:t>
            </w:r>
          </w:p>
        </w:tc>
        <w:tc>
          <w:tcPr>
            <w:tcW w:w="1276" w:type="dxa"/>
            <w:vAlign w:val="center"/>
          </w:tcPr>
          <w:p w14:paraId="09504E33"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-0,11*</w:t>
            </w:r>
          </w:p>
        </w:tc>
      </w:tr>
      <w:tr w:rsidR="008B1AB4" w:rsidRPr="008B1AB4" w14:paraId="29BE6584" w14:textId="77777777" w:rsidTr="00157D02">
        <w:trPr>
          <w:jc w:val="center"/>
        </w:trPr>
        <w:tc>
          <w:tcPr>
            <w:tcW w:w="3114" w:type="dxa"/>
            <w:vAlign w:val="center"/>
          </w:tcPr>
          <w:p w14:paraId="4032E469"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w:t>
            </w:r>
          </w:p>
        </w:tc>
        <w:tc>
          <w:tcPr>
            <w:tcW w:w="709" w:type="dxa"/>
            <w:vAlign w:val="center"/>
          </w:tcPr>
          <w:p w14:paraId="7B715992" w14:textId="77777777" w:rsidR="008B1AB4" w:rsidRPr="008B1AB4" w:rsidRDefault="008B1AB4" w:rsidP="008B1AB4">
            <w:pPr>
              <w:widowControl w:val="0"/>
              <w:tabs>
                <w:tab w:val="decimal" w:leader="dot" w:pos="428"/>
              </w:tabs>
              <w:autoSpaceDE w:val="0"/>
              <w:autoSpaceDN w:val="0"/>
              <w:adjustRightInd w:val="0"/>
              <w:spacing w:line="360" w:lineRule="auto"/>
              <w:rPr>
                <w:rFonts w:eastAsia="Calibri"/>
                <w:sz w:val="18"/>
                <w:szCs w:val="18"/>
                <w:lang w:val="es-419" w:eastAsia="en-US"/>
              </w:rPr>
            </w:pPr>
            <w:r w:rsidRPr="008B1AB4">
              <w:rPr>
                <w:rFonts w:eastAsia="Calibri"/>
                <w:sz w:val="18"/>
                <w:szCs w:val="18"/>
                <w:lang w:val="es-419" w:eastAsia="en-US"/>
              </w:rPr>
              <w:t>-</w:t>
            </w:r>
          </w:p>
        </w:tc>
        <w:tc>
          <w:tcPr>
            <w:tcW w:w="708" w:type="dxa"/>
            <w:vAlign w:val="center"/>
          </w:tcPr>
          <w:p w14:paraId="4686368A" w14:textId="77777777" w:rsidR="008B1AB4" w:rsidRPr="008B1AB4" w:rsidRDefault="008B1AB4" w:rsidP="008B1AB4">
            <w:pPr>
              <w:widowControl w:val="0"/>
              <w:tabs>
                <w:tab w:val="decimal" w:leader="dot" w:pos="428"/>
              </w:tabs>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w:t>
            </w:r>
          </w:p>
        </w:tc>
        <w:tc>
          <w:tcPr>
            <w:tcW w:w="1134" w:type="dxa"/>
            <w:vAlign w:val="center"/>
          </w:tcPr>
          <w:p w14:paraId="25E739C1"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[0,34, 0,50]</w:t>
            </w:r>
          </w:p>
        </w:tc>
        <w:tc>
          <w:tcPr>
            <w:tcW w:w="1276" w:type="dxa"/>
            <w:vAlign w:val="center"/>
          </w:tcPr>
          <w:p w14:paraId="329F70FD" w14:textId="77777777" w:rsidR="008B1AB4" w:rsidRPr="008B1AB4" w:rsidRDefault="008B1AB4" w:rsidP="008B1AB4">
            <w:pPr>
              <w:widowControl w:val="0"/>
              <w:autoSpaceDE w:val="0"/>
              <w:autoSpaceDN w:val="0"/>
              <w:adjustRightInd w:val="0"/>
              <w:spacing w:line="360" w:lineRule="auto"/>
              <w:jc w:val="center"/>
              <w:rPr>
                <w:rFonts w:eastAsia="Calibri"/>
                <w:sz w:val="18"/>
                <w:szCs w:val="18"/>
                <w:lang w:val="es-419" w:eastAsia="en-US"/>
              </w:rPr>
            </w:pPr>
            <w:r w:rsidRPr="008B1AB4">
              <w:rPr>
                <w:rFonts w:eastAsia="Calibri"/>
                <w:sz w:val="18"/>
                <w:szCs w:val="18"/>
                <w:lang w:val="es-419" w:eastAsia="en-US"/>
              </w:rPr>
              <w:t>[-0,21, -0,01]</w:t>
            </w:r>
          </w:p>
        </w:tc>
      </w:tr>
    </w:tbl>
    <w:p w14:paraId="084936FF" w14:textId="77777777" w:rsidR="008B1AB4" w:rsidRPr="008B1AB4" w:rsidRDefault="008B1AB4" w:rsidP="008B1AB4">
      <w:pPr>
        <w:spacing w:line="360" w:lineRule="auto"/>
        <w:jc w:val="center"/>
        <w:rPr>
          <w:rFonts w:eastAsia="Calibri"/>
          <w:sz w:val="16"/>
          <w:szCs w:val="16"/>
          <w:lang w:val="es-419" w:eastAsia="en-US"/>
        </w:rPr>
      </w:pPr>
      <w:r w:rsidRPr="008B1AB4">
        <w:rPr>
          <w:rFonts w:eastAsia="Calibri"/>
          <w:sz w:val="16"/>
          <w:szCs w:val="16"/>
          <w:lang w:val="es-419" w:eastAsia="en-US"/>
        </w:rPr>
        <w:t>M y DE: media y desviación estándar. Los valores entre corchetes indican el IC 95 % para cada correlación. El IC es el rango plausible de correlaciones poblacionales, que podrían haber causado la correlación muestral (Cumming, 2014). * indica p &lt; 0,05. ** indica p &lt; 0,01.</w:t>
      </w:r>
    </w:p>
    <w:p w14:paraId="7BCF9765" w14:textId="77777777" w:rsidR="008B1AB4" w:rsidRPr="008B1AB4" w:rsidRDefault="008B1AB4" w:rsidP="008B1AB4">
      <w:pPr>
        <w:spacing w:line="360" w:lineRule="auto"/>
        <w:jc w:val="center"/>
        <w:rPr>
          <w:rFonts w:eastAsia="Calibri"/>
          <w:sz w:val="16"/>
          <w:szCs w:val="16"/>
          <w:lang w:val="es-419" w:eastAsia="en-US"/>
        </w:rPr>
      </w:pPr>
    </w:p>
    <w:p w14:paraId="65EFF7D3" w14:textId="77777777" w:rsidR="008B1AB4" w:rsidRPr="008B1AB4" w:rsidRDefault="008B1AB4" w:rsidP="008B1AB4">
      <w:pPr>
        <w:spacing w:line="360" w:lineRule="auto"/>
        <w:jc w:val="center"/>
        <w:rPr>
          <w:rFonts w:eastAsia="Calibri"/>
          <w:b/>
          <w:bCs/>
          <w:sz w:val="28"/>
          <w:szCs w:val="28"/>
          <w:lang w:val="es-419" w:eastAsia="en-US"/>
        </w:rPr>
      </w:pPr>
      <w:r w:rsidRPr="008B1AB4">
        <w:rPr>
          <w:rFonts w:eastAsia="Calibri"/>
          <w:b/>
          <w:bCs/>
          <w:sz w:val="28"/>
          <w:szCs w:val="28"/>
          <w:lang w:val="es-419" w:eastAsia="en-US"/>
        </w:rPr>
        <w:t>Descriptivos de la escala EPCNVCov-19</w:t>
      </w:r>
    </w:p>
    <w:p w14:paraId="4203367D"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Los análisis descriptivos muestran que las medias de los ítems fluctúan entre 0,600 – 1,084, las desviaciones estándar entre 0,746 – 0,951, los coeficientes de asimetría se encuentran entre 0,399 – 1,053 y la curtosis entre -0,779 – 0,005. Las correlaciones entre ítems presentan coeficientes de 0,382 – 0,827, y valores de p &lt; 0,001. Las saturaciones de los ítems fueron más que adecuadas (&gt; 0,4) (tabla 5).  </w:t>
      </w:r>
    </w:p>
    <w:p w14:paraId="104E3547" w14:textId="77777777" w:rsidR="008B1AB4" w:rsidRPr="008B1AB4" w:rsidRDefault="008B1AB4" w:rsidP="008B1AB4">
      <w:pPr>
        <w:spacing w:line="360" w:lineRule="auto"/>
        <w:jc w:val="both"/>
        <w:rPr>
          <w:rFonts w:eastAsia="Calibri"/>
          <w:shd w:val="clear" w:color="auto" w:fill="FFFFFF"/>
          <w:lang w:val="es-419" w:eastAsia="en-US"/>
        </w:rPr>
      </w:pPr>
    </w:p>
    <w:p w14:paraId="235E8C6F" w14:textId="77777777" w:rsidR="008B1AB4" w:rsidRPr="008B1AB4" w:rsidRDefault="008B1AB4" w:rsidP="008B1AB4">
      <w:pPr>
        <w:spacing w:line="360" w:lineRule="auto"/>
        <w:jc w:val="center"/>
        <w:rPr>
          <w:rFonts w:eastAsia="Calibri"/>
          <w:bCs/>
          <w:sz w:val="22"/>
          <w:szCs w:val="22"/>
          <w:lang w:val="es-419" w:eastAsia="en-US"/>
        </w:rPr>
      </w:pPr>
      <w:r w:rsidRPr="008B1AB4">
        <w:rPr>
          <w:rFonts w:eastAsia="Calibri"/>
          <w:b/>
          <w:bCs/>
          <w:sz w:val="22"/>
          <w:szCs w:val="22"/>
          <w:lang w:val="es-419" w:eastAsia="en-US"/>
        </w:rPr>
        <w:t>Tabla 5 -</w:t>
      </w:r>
      <w:r w:rsidRPr="008B1AB4">
        <w:rPr>
          <w:rFonts w:eastAsia="Calibri"/>
          <w:sz w:val="22"/>
          <w:szCs w:val="22"/>
          <w:lang w:val="es-419" w:eastAsia="en-US"/>
        </w:rPr>
        <w:t xml:space="preserve"> Descriptivos, correlaciones y saturaciones de los ítems de la </w:t>
      </w:r>
      <w:r w:rsidRPr="008B1AB4">
        <w:rPr>
          <w:rFonts w:eastAsia="Calibri"/>
          <w:bCs/>
          <w:sz w:val="22"/>
          <w:szCs w:val="22"/>
          <w:lang w:val="es-419" w:eastAsia="en-US"/>
        </w:rPr>
        <w:t>EPCNVCov-19</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3"/>
        <w:gridCol w:w="771"/>
        <w:gridCol w:w="773"/>
        <w:gridCol w:w="771"/>
        <w:gridCol w:w="948"/>
        <w:gridCol w:w="1223"/>
        <w:gridCol w:w="1118"/>
        <w:gridCol w:w="1118"/>
        <w:gridCol w:w="1120"/>
        <w:gridCol w:w="929"/>
        <w:gridCol w:w="804"/>
      </w:tblGrid>
      <w:tr w:rsidR="008B1AB4" w:rsidRPr="008B1AB4" w14:paraId="1965C4CF" w14:textId="77777777" w:rsidTr="00157D02">
        <w:trPr>
          <w:trHeight w:val="290"/>
          <w:jc w:val="center"/>
        </w:trPr>
        <w:tc>
          <w:tcPr>
            <w:tcW w:w="453" w:type="pct"/>
            <w:shd w:val="clear" w:color="auto" w:fill="auto"/>
            <w:vAlign w:val="center"/>
            <w:hideMark/>
          </w:tcPr>
          <w:p w14:paraId="7D3E352B" w14:textId="77777777" w:rsidR="008B1AB4" w:rsidRPr="008B1AB4" w:rsidRDefault="008B1AB4" w:rsidP="008B1AB4">
            <w:pPr>
              <w:spacing w:line="360" w:lineRule="auto"/>
              <w:rPr>
                <w:b/>
                <w:bCs/>
                <w:sz w:val="18"/>
                <w:szCs w:val="18"/>
                <w:lang w:val="es-419" w:eastAsia="es-PE"/>
              </w:rPr>
            </w:pPr>
            <w:r w:rsidRPr="008B1AB4">
              <w:rPr>
                <w:b/>
                <w:bCs/>
                <w:sz w:val="18"/>
                <w:szCs w:val="18"/>
                <w:lang w:val="es-419" w:eastAsia="es-PE"/>
              </w:rPr>
              <w:t>Variable</w:t>
            </w:r>
          </w:p>
        </w:tc>
        <w:tc>
          <w:tcPr>
            <w:tcW w:w="366" w:type="pct"/>
            <w:shd w:val="clear" w:color="auto" w:fill="auto"/>
            <w:vAlign w:val="center"/>
            <w:hideMark/>
          </w:tcPr>
          <w:p w14:paraId="568AB153"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M</w:t>
            </w:r>
          </w:p>
        </w:tc>
        <w:tc>
          <w:tcPr>
            <w:tcW w:w="367" w:type="pct"/>
            <w:shd w:val="clear" w:color="auto" w:fill="auto"/>
            <w:vAlign w:val="center"/>
            <w:hideMark/>
          </w:tcPr>
          <w:p w14:paraId="21C19CFD"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DE</w:t>
            </w:r>
          </w:p>
        </w:tc>
        <w:tc>
          <w:tcPr>
            <w:tcW w:w="366" w:type="pct"/>
            <w:shd w:val="clear" w:color="auto" w:fill="auto"/>
            <w:vAlign w:val="center"/>
            <w:hideMark/>
          </w:tcPr>
          <w:p w14:paraId="1BB0559A"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As</w:t>
            </w:r>
          </w:p>
        </w:tc>
        <w:tc>
          <w:tcPr>
            <w:tcW w:w="450" w:type="pct"/>
            <w:shd w:val="clear" w:color="auto" w:fill="auto"/>
            <w:vAlign w:val="center"/>
            <w:hideMark/>
          </w:tcPr>
          <w:p w14:paraId="56D0B78E"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K</w:t>
            </w:r>
          </w:p>
        </w:tc>
        <w:tc>
          <w:tcPr>
            <w:tcW w:w="581" w:type="pct"/>
            <w:shd w:val="clear" w:color="auto" w:fill="auto"/>
            <w:vAlign w:val="center"/>
            <w:hideMark/>
          </w:tcPr>
          <w:p w14:paraId="201EAEC9"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Item1</w:t>
            </w:r>
          </w:p>
        </w:tc>
        <w:tc>
          <w:tcPr>
            <w:tcW w:w="531" w:type="pct"/>
            <w:shd w:val="clear" w:color="auto" w:fill="auto"/>
            <w:vAlign w:val="center"/>
            <w:hideMark/>
          </w:tcPr>
          <w:p w14:paraId="54241395"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Item3</w:t>
            </w:r>
          </w:p>
        </w:tc>
        <w:tc>
          <w:tcPr>
            <w:tcW w:w="531" w:type="pct"/>
            <w:shd w:val="clear" w:color="auto" w:fill="auto"/>
            <w:vAlign w:val="center"/>
            <w:hideMark/>
          </w:tcPr>
          <w:p w14:paraId="07102EAC"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Item4</w:t>
            </w:r>
          </w:p>
        </w:tc>
        <w:tc>
          <w:tcPr>
            <w:tcW w:w="532" w:type="pct"/>
            <w:shd w:val="clear" w:color="auto" w:fill="auto"/>
            <w:vAlign w:val="center"/>
            <w:hideMark/>
          </w:tcPr>
          <w:p w14:paraId="12DB3369"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Item5</w:t>
            </w:r>
          </w:p>
        </w:tc>
        <w:tc>
          <w:tcPr>
            <w:tcW w:w="441" w:type="pct"/>
            <w:shd w:val="clear" w:color="auto" w:fill="auto"/>
            <w:vAlign w:val="center"/>
            <w:hideMark/>
          </w:tcPr>
          <w:p w14:paraId="7E4FFC16"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Factor</w:t>
            </w:r>
          </w:p>
        </w:tc>
        <w:tc>
          <w:tcPr>
            <w:tcW w:w="383" w:type="pct"/>
            <w:vAlign w:val="center"/>
          </w:tcPr>
          <w:p w14:paraId="5D86D9FE" w14:textId="77777777" w:rsidR="008B1AB4" w:rsidRPr="008B1AB4" w:rsidRDefault="008B1AB4" w:rsidP="008B1AB4">
            <w:pPr>
              <w:spacing w:line="360" w:lineRule="auto"/>
              <w:jc w:val="center"/>
              <w:rPr>
                <w:b/>
                <w:bCs/>
                <w:sz w:val="18"/>
                <w:szCs w:val="18"/>
                <w:lang w:val="es-419" w:eastAsia="es-PE"/>
              </w:rPr>
            </w:pPr>
            <w:r w:rsidRPr="008B1AB4">
              <w:rPr>
                <w:b/>
                <w:bCs/>
                <w:sz w:val="18"/>
                <w:szCs w:val="18"/>
                <w:lang w:val="es-419" w:eastAsia="es-PE"/>
              </w:rPr>
              <w:t>ω</w:t>
            </w:r>
          </w:p>
        </w:tc>
      </w:tr>
      <w:tr w:rsidR="008B1AB4" w:rsidRPr="008B1AB4" w14:paraId="73639B1D" w14:textId="77777777" w:rsidTr="00157D02">
        <w:trPr>
          <w:trHeight w:val="290"/>
          <w:jc w:val="center"/>
        </w:trPr>
        <w:tc>
          <w:tcPr>
            <w:tcW w:w="453" w:type="pct"/>
            <w:shd w:val="clear" w:color="auto" w:fill="auto"/>
            <w:vAlign w:val="center"/>
          </w:tcPr>
          <w:p w14:paraId="703C0360" w14:textId="77777777" w:rsidR="008B1AB4" w:rsidRPr="008B1AB4" w:rsidRDefault="008B1AB4" w:rsidP="008B1AB4">
            <w:pPr>
              <w:spacing w:line="360" w:lineRule="auto"/>
              <w:rPr>
                <w:sz w:val="18"/>
                <w:szCs w:val="18"/>
                <w:lang w:val="es-419" w:eastAsia="es-PE"/>
              </w:rPr>
            </w:pPr>
            <w:r w:rsidRPr="008B1AB4">
              <w:rPr>
                <w:sz w:val="18"/>
                <w:szCs w:val="18"/>
                <w:lang w:val="es-419" w:eastAsia="es-PE"/>
              </w:rPr>
              <w:t>Item1</w:t>
            </w:r>
          </w:p>
        </w:tc>
        <w:tc>
          <w:tcPr>
            <w:tcW w:w="366" w:type="pct"/>
            <w:shd w:val="clear" w:color="auto" w:fill="auto"/>
            <w:vAlign w:val="center"/>
          </w:tcPr>
          <w:p w14:paraId="495A7355"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1,049</w:t>
            </w:r>
          </w:p>
        </w:tc>
        <w:tc>
          <w:tcPr>
            <w:tcW w:w="367" w:type="pct"/>
            <w:shd w:val="clear" w:color="auto" w:fill="auto"/>
            <w:vAlign w:val="center"/>
          </w:tcPr>
          <w:p w14:paraId="2E076EA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0,864</w:t>
            </w:r>
          </w:p>
        </w:tc>
        <w:tc>
          <w:tcPr>
            <w:tcW w:w="366" w:type="pct"/>
            <w:shd w:val="clear" w:color="auto" w:fill="auto"/>
            <w:vAlign w:val="center"/>
          </w:tcPr>
          <w:p w14:paraId="6E2CD049"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0,688</w:t>
            </w:r>
          </w:p>
        </w:tc>
        <w:tc>
          <w:tcPr>
            <w:tcW w:w="450" w:type="pct"/>
            <w:shd w:val="clear" w:color="auto" w:fill="auto"/>
            <w:vAlign w:val="center"/>
          </w:tcPr>
          <w:p w14:paraId="483F75A2"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-0,005</w:t>
            </w:r>
          </w:p>
        </w:tc>
        <w:tc>
          <w:tcPr>
            <w:tcW w:w="581" w:type="pct"/>
            <w:shd w:val="clear" w:color="auto" w:fill="auto"/>
            <w:vAlign w:val="center"/>
          </w:tcPr>
          <w:p w14:paraId="45909E18"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w:t>
            </w:r>
          </w:p>
        </w:tc>
        <w:tc>
          <w:tcPr>
            <w:tcW w:w="531" w:type="pct"/>
            <w:shd w:val="clear" w:color="auto" w:fill="auto"/>
            <w:vAlign w:val="center"/>
          </w:tcPr>
          <w:p w14:paraId="580DDB2E"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w:t>
            </w:r>
          </w:p>
        </w:tc>
        <w:tc>
          <w:tcPr>
            <w:tcW w:w="531" w:type="pct"/>
            <w:shd w:val="clear" w:color="auto" w:fill="auto"/>
            <w:vAlign w:val="center"/>
          </w:tcPr>
          <w:p w14:paraId="269E5319"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w:t>
            </w:r>
          </w:p>
        </w:tc>
        <w:tc>
          <w:tcPr>
            <w:tcW w:w="532" w:type="pct"/>
            <w:shd w:val="clear" w:color="auto" w:fill="auto"/>
            <w:vAlign w:val="center"/>
          </w:tcPr>
          <w:p w14:paraId="22E6A254"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w:t>
            </w:r>
          </w:p>
        </w:tc>
        <w:tc>
          <w:tcPr>
            <w:tcW w:w="441" w:type="pct"/>
            <w:shd w:val="clear" w:color="auto" w:fill="auto"/>
            <w:noWrap/>
            <w:vAlign w:val="center"/>
          </w:tcPr>
          <w:p w14:paraId="04EE257E"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0,739</w:t>
            </w:r>
          </w:p>
        </w:tc>
        <w:tc>
          <w:tcPr>
            <w:tcW w:w="383" w:type="pct"/>
            <w:vAlign w:val="center"/>
          </w:tcPr>
          <w:p w14:paraId="3F21165C" w14:textId="77777777" w:rsidR="008B1AB4" w:rsidRPr="008B1AB4" w:rsidRDefault="008B1AB4" w:rsidP="008B1AB4">
            <w:pPr>
              <w:spacing w:line="360" w:lineRule="auto"/>
              <w:jc w:val="center"/>
              <w:rPr>
                <w:sz w:val="18"/>
                <w:szCs w:val="18"/>
                <w:lang w:val="es-419" w:eastAsia="es-PE"/>
              </w:rPr>
            </w:pPr>
            <w:r w:rsidRPr="008B1AB4">
              <w:rPr>
                <w:rFonts w:eastAsia="Calibri"/>
                <w:sz w:val="18"/>
                <w:szCs w:val="18"/>
                <w:lang w:val="es-419" w:eastAsia="en-US"/>
              </w:rPr>
              <w:t xml:space="preserve">0,889 </w:t>
            </w:r>
          </w:p>
        </w:tc>
      </w:tr>
      <w:tr w:rsidR="008B1AB4" w:rsidRPr="008B1AB4" w14:paraId="713A3E08" w14:textId="77777777" w:rsidTr="00157D02">
        <w:trPr>
          <w:trHeight w:val="290"/>
          <w:jc w:val="center"/>
        </w:trPr>
        <w:tc>
          <w:tcPr>
            <w:tcW w:w="453" w:type="pct"/>
            <w:shd w:val="clear" w:color="auto" w:fill="auto"/>
            <w:vAlign w:val="center"/>
          </w:tcPr>
          <w:p w14:paraId="4F42A39E" w14:textId="77777777" w:rsidR="008B1AB4" w:rsidRPr="008B1AB4" w:rsidRDefault="008B1AB4" w:rsidP="008B1AB4">
            <w:pPr>
              <w:spacing w:line="360" w:lineRule="auto"/>
              <w:rPr>
                <w:sz w:val="18"/>
                <w:szCs w:val="18"/>
                <w:lang w:val="es-419" w:eastAsia="es-PE"/>
              </w:rPr>
            </w:pPr>
            <w:r w:rsidRPr="008B1AB4">
              <w:rPr>
                <w:sz w:val="18"/>
                <w:szCs w:val="18"/>
                <w:lang w:val="es-419" w:eastAsia="es-PE"/>
              </w:rPr>
              <w:t>Item3</w:t>
            </w:r>
          </w:p>
        </w:tc>
        <w:tc>
          <w:tcPr>
            <w:tcW w:w="366" w:type="pct"/>
            <w:shd w:val="clear" w:color="auto" w:fill="auto"/>
            <w:vAlign w:val="center"/>
          </w:tcPr>
          <w:p w14:paraId="4A8BB672"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0,600</w:t>
            </w:r>
          </w:p>
        </w:tc>
        <w:tc>
          <w:tcPr>
            <w:tcW w:w="367" w:type="pct"/>
            <w:shd w:val="clear" w:color="auto" w:fill="auto"/>
            <w:vAlign w:val="center"/>
          </w:tcPr>
          <w:p w14:paraId="6CE30948"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0,746</w:t>
            </w:r>
          </w:p>
        </w:tc>
        <w:tc>
          <w:tcPr>
            <w:tcW w:w="366" w:type="pct"/>
            <w:shd w:val="clear" w:color="auto" w:fill="auto"/>
            <w:vAlign w:val="center"/>
          </w:tcPr>
          <w:p w14:paraId="5CE7EF23"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1,053</w:t>
            </w:r>
          </w:p>
        </w:tc>
        <w:tc>
          <w:tcPr>
            <w:tcW w:w="450" w:type="pct"/>
            <w:shd w:val="clear" w:color="auto" w:fill="auto"/>
            <w:vAlign w:val="center"/>
          </w:tcPr>
          <w:p w14:paraId="48CE05C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0,454</w:t>
            </w:r>
          </w:p>
        </w:tc>
        <w:tc>
          <w:tcPr>
            <w:tcW w:w="581" w:type="pct"/>
            <w:shd w:val="clear" w:color="auto" w:fill="auto"/>
            <w:vAlign w:val="center"/>
          </w:tcPr>
          <w:p w14:paraId="22C08AFF"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0,382***</w:t>
            </w:r>
          </w:p>
        </w:tc>
        <w:tc>
          <w:tcPr>
            <w:tcW w:w="531" w:type="pct"/>
            <w:shd w:val="clear" w:color="auto" w:fill="auto"/>
            <w:vAlign w:val="center"/>
          </w:tcPr>
          <w:p w14:paraId="4FA11B19"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w:t>
            </w:r>
          </w:p>
        </w:tc>
        <w:tc>
          <w:tcPr>
            <w:tcW w:w="531" w:type="pct"/>
            <w:shd w:val="clear" w:color="auto" w:fill="auto"/>
            <w:vAlign w:val="center"/>
          </w:tcPr>
          <w:p w14:paraId="72996C5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w:t>
            </w:r>
          </w:p>
        </w:tc>
        <w:tc>
          <w:tcPr>
            <w:tcW w:w="532" w:type="pct"/>
            <w:shd w:val="clear" w:color="auto" w:fill="auto"/>
            <w:vAlign w:val="center"/>
          </w:tcPr>
          <w:p w14:paraId="02DE32C8"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w:t>
            </w:r>
          </w:p>
        </w:tc>
        <w:tc>
          <w:tcPr>
            <w:tcW w:w="441" w:type="pct"/>
            <w:shd w:val="clear" w:color="auto" w:fill="auto"/>
            <w:noWrap/>
            <w:vAlign w:val="center"/>
          </w:tcPr>
          <w:p w14:paraId="214EC8CC"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0,672</w:t>
            </w:r>
          </w:p>
        </w:tc>
        <w:tc>
          <w:tcPr>
            <w:tcW w:w="383" w:type="pct"/>
            <w:vAlign w:val="center"/>
          </w:tcPr>
          <w:p w14:paraId="6679FF0B" w14:textId="77777777" w:rsidR="008B1AB4" w:rsidRPr="008B1AB4" w:rsidRDefault="008B1AB4" w:rsidP="008B1AB4">
            <w:pPr>
              <w:spacing w:line="360" w:lineRule="auto"/>
              <w:jc w:val="center"/>
              <w:rPr>
                <w:sz w:val="18"/>
                <w:szCs w:val="18"/>
                <w:lang w:val="es-419" w:eastAsia="es-PE"/>
              </w:rPr>
            </w:pPr>
            <w:r w:rsidRPr="008B1AB4">
              <w:rPr>
                <w:rFonts w:eastAsia="Calibri"/>
                <w:sz w:val="18"/>
                <w:szCs w:val="18"/>
                <w:lang w:val="es-419" w:eastAsia="en-US"/>
              </w:rPr>
              <w:t xml:space="preserve">0,897 </w:t>
            </w:r>
          </w:p>
        </w:tc>
      </w:tr>
      <w:tr w:rsidR="008B1AB4" w:rsidRPr="008B1AB4" w14:paraId="7E23F68D" w14:textId="77777777" w:rsidTr="00157D02">
        <w:trPr>
          <w:trHeight w:val="290"/>
          <w:jc w:val="center"/>
        </w:trPr>
        <w:tc>
          <w:tcPr>
            <w:tcW w:w="453" w:type="pct"/>
            <w:shd w:val="clear" w:color="auto" w:fill="auto"/>
            <w:vAlign w:val="center"/>
          </w:tcPr>
          <w:p w14:paraId="626AAE78" w14:textId="77777777" w:rsidR="008B1AB4" w:rsidRPr="008B1AB4" w:rsidRDefault="008B1AB4" w:rsidP="008B1AB4">
            <w:pPr>
              <w:spacing w:line="360" w:lineRule="auto"/>
              <w:rPr>
                <w:sz w:val="18"/>
                <w:szCs w:val="18"/>
                <w:lang w:val="es-419" w:eastAsia="es-PE"/>
              </w:rPr>
            </w:pPr>
            <w:r w:rsidRPr="008B1AB4">
              <w:rPr>
                <w:sz w:val="18"/>
                <w:szCs w:val="18"/>
                <w:lang w:val="es-419" w:eastAsia="es-PE"/>
              </w:rPr>
              <w:t>Item4</w:t>
            </w:r>
          </w:p>
        </w:tc>
        <w:tc>
          <w:tcPr>
            <w:tcW w:w="366" w:type="pct"/>
            <w:shd w:val="clear" w:color="auto" w:fill="auto"/>
            <w:vAlign w:val="center"/>
          </w:tcPr>
          <w:p w14:paraId="31B40B49"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1,106</w:t>
            </w:r>
          </w:p>
        </w:tc>
        <w:tc>
          <w:tcPr>
            <w:tcW w:w="367" w:type="pct"/>
            <w:shd w:val="clear" w:color="auto" w:fill="auto"/>
            <w:vAlign w:val="center"/>
          </w:tcPr>
          <w:p w14:paraId="6321B341"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0,855</w:t>
            </w:r>
          </w:p>
        </w:tc>
        <w:tc>
          <w:tcPr>
            <w:tcW w:w="366" w:type="pct"/>
            <w:shd w:val="clear" w:color="auto" w:fill="auto"/>
            <w:vAlign w:val="center"/>
          </w:tcPr>
          <w:p w14:paraId="1EE6A63F"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0,439</w:t>
            </w:r>
          </w:p>
        </w:tc>
        <w:tc>
          <w:tcPr>
            <w:tcW w:w="450" w:type="pct"/>
            <w:shd w:val="clear" w:color="auto" w:fill="auto"/>
            <w:vAlign w:val="center"/>
          </w:tcPr>
          <w:p w14:paraId="11848C5E"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-0,404</w:t>
            </w:r>
          </w:p>
        </w:tc>
        <w:tc>
          <w:tcPr>
            <w:tcW w:w="581" w:type="pct"/>
            <w:shd w:val="clear" w:color="auto" w:fill="auto"/>
            <w:vAlign w:val="center"/>
          </w:tcPr>
          <w:p w14:paraId="25099E95"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0,617***</w:t>
            </w:r>
          </w:p>
        </w:tc>
        <w:tc>
          <w:tcPr>
            <w:tcW w:w="531" w:type="pct"/>
            <w:shd w:val="clear" w:color="auto" w:fill="auto"/>
            <w:vAlign w:val="center"/>
          </w:tcPr>
          <w:p w14:paraId="7D1588F3"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0,503***</w:t>
            </w:r>
          </w:p>
        </w:tc>
        <w:tc>
          <w:tcPr>
            <w:tcW w:w="531" w:type="pct"/>
            <w:shd w:val="clear" w:color="auto" w:fill="auto"/>
            <w:vAlign w:val="center"/>
          </w:tcPr>
          <w:p w14:paraId="3E33D5C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w:t>
            </w:r>
          </w:p>
        </w:tc>
        <w:tc>
          <w:tcPr>
            <w:tcW w:w="532" w:type="pct"/>
            <w:shd w:val="clear" w:color="auto" w:fill="auto"/>
            <w:vAlign w:val="center"/>
          </w:tcPr>
          <w:p w14:paraId="659D04BD"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w:t>
            </w:r>
          </w:p>
        </w:tc>
        <w:tc>
          <w:tcPr>
            <w:tcW w:w="441" w:type="pct"/>
            <w:shd w:val="clear" w:color="auto" w:fill="auto"/>
            <w:noWrap/>
            <w:vAlign w:val="center"/>
          </w:tcPr>
          <w:p w14:paraId="53CBB182"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0,958</w:t>
            </w:r>
          </w:p>
        </w:tc>
        <w:tc>
          <w:tcPr>
            <w:tcW w:w="383" w:type="pct"/>
            <w:vAlign w:val="center"/>
          </w:tcPr>
          <w:p w14:paraId="4865A2D1" w14:textId="77777777" w:rsidR="008B1AB4" w:rsidRPr="008B1AB4" w:rsidRDefault="008B1AB4" w:rsidP="008B1AB4">
            <w:pPr>
              <w:spacing w:line="360" w:lineRule="auto"/>
              <w:jc w:val="center"/>
              <w:rPr>
                <w:sz w:val="18"/>
                <w:szCs w:val="18"/>
                <w:lang w:val="es-419" w:eastAsia="es-PE"/>
              </w:rPr>
            </w:pPr>
            <w:r w:rsidRPr="008B1AB4">
              <w:rPr>
                <w:rFonts w:eastAsia="Calibri"/>
                <w:sz w:val="18"/>
                <w:szCs w:val="18"/>
                <w:lang w:val="es-419" w:eastAsia="en-US"/>
              </w:rPr>
              <w:t xml:space="preserve">0,844 </w:t>
            </w:r>
          </w:p>
        </w:tc>
      </w:tr>
      <w:tr w:rsidR="008B1AB4" w:rsidRPr="008B1AB4" w14:paraId="4A41E427" w14:textId="77777777" w:rsidTr="00157D02">
        <w:trPr>
          <w:trHeight w:val="290"/>
          <w:jc w:val="center"/>
        </w:trPr>
        <w:tc>
          <w:tcPr>
            <w:tcW w:w="453" w:type="pct"/>
            <w:shd w:val="clear" w:color="auto" w:fill="auto"/>
            <w:vAlign w:val="center"/>
          </w:tcPr>
          <w:p w14:paraId="44B67C21" w14:textId="77777777" w:rsidR="008B1AB4" w:rsidRPr="008B1AB4" w:rsidRDefault="008B1AB4" w:rsidP="008B1AB4">
            <w:pPr>
              <w:spacing w:line="360" w:lineRule="auto"/>
              <w:rPr>
                <w:sz w:val="18"/>
                <w:szCs w:val="18"/>
                <w:lang w:val="es-419" w:eastAsia="es-PE"/>
              </w:rPr>
            </w:pPr>
            <w:r w:rsidRPr="008B1AB4">
              <w:rPr>
                <w:sz w:val="18"/>
                <w:szCs w:val="18"/>
                <w:lang w:val="es-419" w:eastAsia="es-PE"/>
              </w:rPr>
              <w:t>Item5</w:t>
            </w:r>
          </w:p>
        </w:tc>
        <w:tc>
          <w:tcPr>
            <w:tcW w:w="366" w:type="pct"/>
            <w:shd w:val="clear" w:color="auto" w:fill="auto"/>
            <w:vAlign w:val="center"/>
          </w:tcPr>
          <w:p w14:paraId="27C4D009"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1,017</w:t>
            </w:r>
          </w:p>
        </w:tc>
        <w:tc>
          <w:tcPr>
            <w:tcW w:w="367" w:type="pct"/>
            <w:shd w:val="clear" w:color="auto" w:fill="auto"/>
            <w:vAlign w:val="center"/>
          </w:tcPr>
          <w:p w14:paraId="446DBF23"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0,820</w:t>
            </w:r>
          </w:p>
        </w:tc>
        <w:tc>
          <w:tcPr>
            <w:tcW w:w="366" w:type="pct"/>
            <w:shd w:val="clear" w:color="auto" w:fill="auto"/>
            <w:vAlign w:val="center"/>
          </w:tcPr>
          <w:p w14:paraId="414A81B3"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0,399</w:t>
            </w:r>
          </w:p>
        </w:tc>
        <w:tc>
          <w:tcPr>
            <w:tcW w:w="450" w:type="pct"/>
            <w:shd w:val="clear" w:color="auto" w:fill="auto"/>
            <w:vAlign w:val="center"/>
          </w:tcPr>
          <w:p w14:paraId="625E7DA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-0,486</w:t>
            </w:r>
          </w:p>
        </w:tc>
        <w:tc>
          <w:tcPr>
            <w:tcW w:w="581" w:type="pct"/>
            <w:shd w:val="clear" w:color="auto" w:fill="auto"/>
            <w:vAlign w:val="center"/>
          </w:tcPr>
          <w:p w14:paraId="5E075066"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0,621***</w:t>
            </w:r>
          </w:p>
        </w:tc>
        <w:tc>
          <w:tcPr>
            <w:tcW w:w="531" w:type="pct"/>
            <w:shd w:val="clear" w:color="auto" w:fill="auto"/>
            <w:vAlign w:val="center"/>
          </w:tcPr>
          <w:p w14:paraId="59A44600"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0,507***</w:t>
            </w:r>
          </w:p>
        </w:tc>
        <w:tc>
          <w:tcPr>
            <w:tcW w:w="531" w:type="pct"/>
            <w:shd w:val="clear" w:color="auto" w:fill="auto"/>
            <w:vAlign w:val="center"/>
          </w:tcPr>
          <w:p w14:paraId="0E1E4BE3"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0,827***</w:t>
            </w:r>
          </w:p>
        </w:tc>
        <w:tc>
          <w:tcPr>
            <w:tcW w:w="532" w:type="pct"/>
            <w:shd w:val="clear" w:color="auto" w:fill="auto"/>
            <w:vAlign w:val="center"/>
          </w:tcPr>
          <w:p w14:paraId="3B520DCB"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w:t>
            </w:r>
          </w:p>
        </w:tc>
        <w:tc>
          <w:tcPr>
            <w:tcW w:w="441" w:type="pct"/>
            <w:shd w:val="clear" w:color="auto" w:fill="auto"/>
            <w:noWrap/>
            <w:vAlign w:val="center"/>
          </w:tcPr>
          <w:p w14:paraId="55E805C7"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0,960</w:t>
            </w:r>
          </w:p>
        </w:tc>
        <w:tc>
          <w:tcPr>
            <w:tcW w:w="383" w:type="pct"/>
            <w:vAlign w:val="center"/>
          </w:tcPr>
          <w:p w14:paraId="413285C0" w14:textId="77777777" w:rsidR="008B1AB4" w:rsidRPr="008B1AB4" w:rsidRDefault="008B1AB4" w:rsidP="008B1AB4">
            <w:pPr>
              <w:spacing w:line="360" w:lineRule="auto"/>
              <w:jc w:val="center"/>
              <w:rPr>
                <w:sz w:val="18"/>
                <w:szCs w:val="18"/>
                <w:lang w:val="es-419" w:eastAsia="es-PE"/>
              </w:rPr>
            </w:pPr>
            <w:r w:rsidRPr="008B1AB4">
              <w:rPr>
                <w:rFonts w:eastAsia="Calibri"/>
                <w:sz w:val="18"/>
                <w:szCs w:val="18"/>
                <w:lang w:val="es-419" w:eastAsia="en-US"/>
              </w:rPr>
              <w:t xml:space="preserve">0,847 </w:t>
            </w:r>
          </w:p>
        </w:tc>
      </w:tr>
      <w:tr w:rsidR="008B1AB4" w:rsidRPr="008B1AB4" w14:paraId="65565BB5" w14:textId="77777777" w:rsidTr="00157D02">
        <w:trPr>
          <w:trHeight w:val="300"/>
          <w:jc w:val="center"/>
        </w:trPr>
        <w:tc>
          <w:tcPr>
            <w:tcW w:w="453" w:type="pct"/>
            <w:shd w:val="clear" w:color="auto" w:fill="auto"/>
            <w:vAlign w:val="center"/>
          </w:tcPr>
          <w:p w14:paraId="5CDA77FE" w14:textId="77777777" w:rsidR="008B1AB4" w:rsidRPr="008B1AB4" w:rsidRDefault="008B1AB4" w:rsidP="008B1AB4">
            <w:pPr>
              <w:spacing w:line="360" w:lineRule="auto"/>
              <w:rPr>
                <w:sz w:val="18"/>
                <w:szCs w:val="18"/>
                <w:lang w:val="es-419" w:eastAsia="es-PE"/>
              </w:rPr>
            </w:pPr>
            <w:r w:rsidRPr="008B1AB4">
              <w:rPr>
                <w:sz w:val="18"/>
                <w:szCs w:val="18"/>
                <w:lang w:val="es-419" w:eastAsia="es-PE"/>
              </w:rPr>
              <w:t>Item6</w:t>
            </w:r>
          </w:p>
        </w:tc>
        <w:tc>
          <w:tcPr>
            <w:tcW w:w="366" w:type="pct"/>
            <w:shd w:val="clear" w:color="auto" w:fill="auto"/>
            <w:vAlign w:val="center"/>
          </w:tcPr>
          <w:p w14:paraId="443A4495"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1,084</w:t>
            </w:r>
          </w:p>
        </w:tc>
        <w:tc>
          <w:tcPr>
            <w:tcW w:w="367" w:type="pct"/>
            <w:shd w:val="clear" w:color="auto" w:fill="auto"/>
            <w:vAlign w:val="center"/>
          </w:tcPr>
          <w:p w14:paraId="0A65E4E5"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0,951</w:t>
            </w:r>
          </w:p>
        </w:tc>
        <w:tc>
          <w:tcPr>
            <w:tcW w:w="366" w:type="pct"/>
            <w:shd w:val="clear" w:color="auto" w:fill="auto"/>
            <w:vAlign w:val="center"/>
          </w:tcPr>
          <w:p w14:paraId="020AD3BA"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0,454</w:t>
            </w:r>
          </w:p>
        </w:tc>
        <w:tc>
          <w:tcPr>
            <w:tcW w:w="450" w:type="pct"/>
            <w:shd w:val="clear" w:color="auto" w:fill="auto"/>
            <w:vAlign w:val="center"/>
          </w:tcPr>
          <w:p w14:paraId="74693253"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-0,779</w:t>
            </w:r>
          </w:p>
        </w:tc>
        <w:tc>
          <w:tcPr>
            <w:tcW w:w="581" w:type="pct"/>
            <w:shd w:val="clear" w:color="auto" w:fill="auto"/>
            <w:vAlign w:val="center"/>
          </w:tcPr>
          <w:p w14:paraId="02BC9D5C"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0,550***</w:t>
            </w:r>
          </w:p>
        </w:tc>
        <w:tc>
          <w:tcPr>
            <w:tcW w:w="531" w:type="pct"/>
            <w:shd w:val="clear" w:color="auto" w:fill="auto"/>
            <w:vAlign w:val="center"/>
          </w:tcPr>
          <w:p w14:paraId="18ED7890"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0,513***</w:t>
            </w:r>
          </w:p>
        </w:tc>
        <w:tc>
          <w:tcPr>
            <w:tcW w:w="531" w:type="pct"/>
            <w:shd w:val="clear" w:color="auto" w:fill="auto"/>
            <w:vAlign w:val="center"/>
          </w:tcPr>
          <w:p w14:paraId="6936F13F"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0,741***</w:t>
            </w:r>
          </w:p>
        </w:tc>
        <w:tc>
          <w:tcPr>
            <w:tcW w:w="532" w:type="pct"/>
            <w:shd w:val="clear" w:color="auto" w:fill="auto"/>
            <w:vAlign w:val="center"/>
          </w:tcPr>
          <w:p w14:paraId="7BD1F2EC"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0,734***</w:t>
            </w:r>
          </w:p>
        </w:tc>
        <w:tc>
          <w:tcPr>
            <w:tcW w:w="441" w:type="pct"/>
            <w:shd w:val="clear" w:color="auto" w:fill="auto"/>
            <w:noWrap/>
            <w:vAlign w:val="center"/>
          </w:tcPr>
          <w:p w14:paraId="40613D4C" w14:textId="77777777" w:rsidR="008B1AB4" w:rsidRPr="008B1AB4" w:rsidRDefault="008B1AB4" w:rsidP="008B1AB4">
            <w:pPr>
              <w:spacing w:line="360" w:lineRule="auto"/>
              <w:jc w:val="center"/>
              <w:rPr>
                <w:sz w:val="18"/>
                <w:szCs w:val="18"/>
                <w:lang w:val="es-419" w:eastAsia="es-PE"/>
              </w:rPr>
            </w:pPr>
            <w:r w:rsidRPr="008B1AB4">
              <w:rPr>
                <w:sz w:val="18"/>
                <w:szCs w:val="18"/>
                <w:lang w:val="es-419" w:eastAsia="es-PE"/>
              </w:rPr>
              <w:t>0,864</w:t>
            </w:r>
          </w:p>
        </w:tc>
        <w:tc>
          <w:tcPr>
            <w:tcW w:w="383" w:type="pct"/>
            <w:vAlign w:val="center"/>
          </w:tcPr>
          <w:p w14:paraId="6D79664C" w14:textId="77777777" w:rsidR="008B1AB4" w:rsidRPr="008B1AB4" w:rsidRDefault="008B1AB4" w:rsidP="008B1AB4">
            <w:pPr>
              <w:spacing w:line="360" w:lineRule="auto"/>
              <w:jc w:val="center"/>
              <w:rPr>
                <w:sz w:val="18"/>
                <w:szCs w:val="18"/>
                <w:lang w:val="es-419" w:eastAsia="es-PE"/>
              </w:rPr>
            </w:pPr>
            <w:r w:rsidRPr="008B1AB4">
              <w:rPr>
                <w:rFonts w:eastAsia="Calibri"/>
                <w:sz w:val="18"/>
                <w:szCs w:val="18"/>
                <w:lang w:val="es-419" w:eastAsia="en-US"/>
              </w:rPr>
              <w:t xml:space="preserve">0,861 </w:t>
            </w:r>
          </w:p>
        </w:tc>
      </w:tr>
    </w:tbl>
    <w:p w14:paraId="3D091063" w14:textId="77777777" w:rsidR="008B1AB4" w:rsidRPr="008B1AB4" w:rsidRDefault="008B1AB4" w:rsidP="008B1AB4">
      <w:pPr>
        <w:spacing w:line="360" w:lineRule="auto"/>
        <w:jc w:val="center"/>
        <w:rPr>
          <w:sz w:val="16"/>
          <w:szCs w:val="16"/>
          <w:lang w:val="es-419" w:eastAsia="es-PE"/>
        </w:rPr>
      </w:pPr>
      <w:r w:rsidRPr="008B1AB4">
        <w:rPr>
          <w:rFonts w:eastAsia="Calibri"/>
          <w:sz w:val="16"/>
          <w:szCs w:val="16"/>
          <w:lang w:val="es-419" w:eastAsia="en-US"/>
        </w:rPr>
        <w:t xml:space="preserve">Nota: </w:t>
      </w:r>
      <w:r w:rsidRPr="008B1AB4">
        <w:rPr>
          <w:sz w:val="16"/>
          <w:szCs w:val="16"/>
          <w:lang w:val="es-419" w:eastAsia="es-PE"/>
        </w:rPr>
        <w:t>*** p &lt; 0,001. M, media; DE, Desviación estándar; As, Asimetría; K, Curtosis; ω, Coeficiente de confiabilidad.</w:t>
      </w:r>
    </w:p>
    <w:p w14:paraId="1FC67371" w14:textId="77777777" w:rsidR="008B1AB4" w:rsidRPr="008B1AB4" w:rsidRDefault="008B1AB4" w:rsidP="008B1AB4">
      <w:pPr>
        <w:spacing w:line="360" w:lineRule="auto"/>
        <w:jc w:val="center"/>
        <w:rPr>
          <w:sz w:val="16"/>
          <w:szCs w:val="16"/>
          <w:lang w:val="es-419" w:eastAsia="es-PE"/>
        </w:rPr>
      </w:pPr>
    </w:p>
    <w:p w14:paraId="1B4788D9" w14:textId="77777777" w:rsidR="008B1AB4" w:rsidRPr="008B1AB4" w:rsidRDefault="008B1AB4" w:rsidP="008B1AB4">
      <w:pPr>
        <w:spacing w:line="360" w:lineRule="auto"/>
        <w:jc w:val="center"/>
        <w:rPr>
          <w:rFonts w:eastAsia="Calibri"/>
          <w:b/>
          <w:bCs/>
          <w:shd w:val="clear" w:color="auto" w:fill="FFFFFF"/>
          <w:lang w:val="es-419" w:eastAsia="en-US"/>
        </w:rPr>
      </w:pPr>
    </w:p>
    <w:p w14:paraId="2259BBA9" w14:textId="77777777" w:rsidR="008B1AB4" w:rsidRPr="008B1AB4" w:rsidRDefault="008B1AB4" w:rsidP="008B1AB4">
      <w:pPr>
        <w:spacing w:line="360" w:lineRule="auto"/>
        <w:jc w:val="center"/>
        <w:rPr>
          <w:rFonts w:eastAsia="Calibri"/>
          <w:b/>
          <w:bCs/>
          <w:sz w:val="32"/>
          <w:szCs w:val="32"/>
          <w:shd w:val="clear" w:color="auto" w:fill="FFFFFF"/>
          <w:lang w:val="es-419" w:eastAsia="en-US"/>
        </w:rPr>
      </w:pPr>
      <w:r w:rsidRPr="008B1AB4">
        <w:rPr>
          <w:rFonts w:eastAsia="Calibri"/>
          <w:b/>
          <w:bCs/>
          <w:sz w:val="32"/>
          <w:szCs w:val="32"/>
          <w:shd w:val="clear" w:color="auto" w:fill="FFFFFF"/>
          <w:lang w:val="es-419" w:eastAsia="en-US"/>
        </w:rPr>
        <w:t>DISCUSIÓN</w:t>
      </w:r>
    </w:p>
    <w:p w14:paraId="6780F92A"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lang w:val="es-419" w:eastAsia="en-US"/>
        </w:rPr>
        <w:t xml:space="preserve">Los ítems que configuran en la </w:t>
      </w:r>
      <w:r w:rsidRPr="008B1AB4">
        <w:rPr>
          <w:rFonts w:eastAsia="Calibri"/>
          <w:shd w:val="clear" w:color="auto" w:fill="FFFFFF"/>
          <w:lang w:val="es-419" w:eastAsia="en-US"/>
        </w:rPr>
        <w:t xml:space="preserve">EPCNVCov-19, </w:t>
      </w:r>
      <w:r w:rsidRPr="008B1AB4">
        <w:rPr>
          <w:rFonts w:eastAsia="Calibri"/>
          <w:lang w:val="es-419" w:eastAsia="en-US"/>
        </w:rPr>
        <w:t xml:space="preserve">abordan aspectos como el pensar en la posibilidad de ser infectado con una nueva variante, el que este pensar haya afectado sus actividades diarias, la </w:t>
      </w:r>
      <w:r w:rsidRPr="008B1AB4">
        <w:rPr>
          <w:rFonts w:eastAsia="Calibri"/>
          <w:lang w:val="es-419" w:eastAsia="en-US"/>
        </w:rPr>
        <w:lastRenderedPageBreak/>
        <w:t>preocupación por este nuevo contagio, la frecuencia de la preocupación y, la magnitud del problema que ocasiona el hecho de preocuparse por esta posible nueva infección. Todos estos reactivos son de suma importancia pues abordan aspectos muy importantes de la esfera mental ante el posible contagio por una nueva variante, y más aún, sabiendo que ahora se están esparciendo por todo el mundo.</w:t>
      </w:r>
      <w:r w:rsidRPr="008B1AB4">
        <w:rPr>
          <w:rFonts w:eastAsia="Calibri"/>
          <w:vertAlign w:val="superscript"/>
          <w:lang w:val="es-419" w:eastAsia="en-US"/>
        </w:rPr>
        <w:t>(</w:t>
      </w:r>
      <w:r w:rsidRPr="008B1AB4">
        <w:rPr>
          <w:rFonts w:eastAsia="Calibri"/>
          <w:bCs/>
          <w:vertAlign w:val="superscript"/>
          <w:lang w:val="es-419" w:eastAsia="en-US"/>
        </w:rPr>
        <w:t>19</w:t>
      </w:r>
      <w:r w:rsidRPr="008B1AB4">
        <w:rPr>
          <w:rFonts w:eastAsia="Calibri"/>
          <w:vertAlign w:val="superscript"/>
          <w:lang w:val="es-419" w:eastAsia="en-US"/>
        </w:rPr>
        <w:t>)</w:t>
      </w:r>
      <w:r w:rsidRPr="008B1AB4">
        <w:rPr>
          <w:rFonts w:eastAsia="Calibri"/>
          <w:lang w:val="es-419" w:eastAsia="en-US"/>
        </w:rPr>
        <w:t xml:space="preserve"> </w:t>
      </w:r>
      <w:r w:rsidRPr="008B1AB4">
        <w:rPr>
          <w:rFonts w:eastAsia="Calibri"/>
          <w:shd w:val="clear" w:color="auto" w:fill="FFFFFF"/>
          <w:lang w:val="es-419" w:eastAsia="en-US"/>
        </w:rPr>
        <w:t>Por lo tanto, muchas investigaciones y reportes iniciales</w:t>
      </w:r>
      <w:r w:rsidRPr="008B1AB4">
        <w:rPr>
          <w:rFonts w:eastAsia="Calibri"/>
          <w:shd w:val="clear" w:color="auto" w:fill="FFFFFF"/>
          <w:vertAlign w:val="superscript"/>
          <w:lang w:val="es-419" w:eastAsia="en-US"/>
        </w:rPr>
        <w:t>(20)</w:t>
      </w:r>
      <w:r w:rsidRPr="008B1AB4">
        <w:rPr>
          <w:rFonts w:eastAsia="Calibri"/>
          <w:shd w:val="clear" w:color="auto" w:fill="FFFFFF"/>
          <w:lang w:val="es-419" w:eastAsia="en-US"/>
        </w:rPr>
        <w:t xml:space="preserve"> han empezado a mostrar las acciones que se han tomado en cada gobierno, por ejemplo, más de 40 países suspendieron todo tipo de viajes hacia y desde el Reino Unido, en un intento de reducir la probabilidad de que nuevas variantes se establezcan en sus poblaciones. </w:t>
      </w:r>
    </w:p>
    <w:p w14:paraId="59E3B7FE"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Por otro lado, </w:t>
      </w:r>
      <w:proofErr w:type="gramStart"/>
      <w:r w:rsidRPr="008B1AB4">
        <w:rPr>
          <w:rFonts w:eastAsia="Calibri"/>
          <w:shd w:val="clear" w:color="auto" w:fill="FFFFFF"/>
          <w:lang w:val="es-419" w:eastAsia="en-US"/>
        </w:rPr>
        <w:t>España,</w:t>
      </w:r>
      <w:r w:rsidRPr="008B1AB4">
        <w:rPr>
          <w:rFonts w:eastAsia="Calibri"/>
          <w:shd w:val="clear" w:color="auto" w:fill="FFFFFF"/>
          <w:vertAlign w:val="superscript"/>
          <w:lang w:val="es-419" w:eastAsia="en-US"/>
        </w:rPr>
        <w:t>(</w:t>
      </w:r>
      <w:proofErr w:type="gramEnd"/>
      <w:r w:rsidRPr="008B1AB4">
        <w:rPr>
          <w:rFonts w:eastAsia="Calibri"/>
          <w:shd w:val="clear" w:color="auto" w:fill="FFFFFF"/>
          <w:vertAlign w:val="superscript"/>
          <w:lang w:val="es-419" w:eastAsia="en-US"/>
        </w:rPr>
        <w:t xml:space="preserve">21) </w:t>
      </w:r>
      <w:r w:rsidRPr="008B1AB4">
        <w:rPr>
          <w:rFonts w:eastAsia="Calibri"/>
          <w:shd w:val="clear" w:color="auto" w:fill="FFFFFF"/>
          <w:lang w:val="es-419" w:eastAsia="en-US"/>
        </w:rPr>
        <w:t>siguió con el trabajo de rastreo a gran escala de los orígenes y de las variantes del virus, para poder entender los problemas que planteaba en su transmisión y en su movimiento, así, poder establecer medidas de prevención desde el ámbito de la salud pública.</w:t>
      </w:r>
      <w:bookmarkStart w:id="7" w:name="_Hlk65153552"/>
    </w:p>
    <w:p w14:paraId="10166F28"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lang w:val="es-419" w:eastAsia="en-US"/>
        </w:rPr>
        <w:t xml:space="preserve">La escala sirve tanto para hombres y mujeres, esto es muy importante, ya que permite tener un nuevo instrumento que ayuda en el proceso del análisis situacional del resguardo de la salud mental. Si bien fue validado para el contexto peruano, podría servir de base para futuras investigaciones y estudios de tipo diagnóstico, en otros países que comparten algunas características culturales. Aunado a esto, permitirá tener una herramienta breve para países en los que aún no llegan las vacunas, que aunque esperan empezar a vacunar en las próximas semanas o meses, de momento vienen más </w:t>
      </w:r>
      <w:proofErr w:type="gramStart"/>
      <w:r w:rsidRPr="008B1AB4">
        <w:rPr>
          <w:rFonts w:eastAsia="Calibri"/>
          <w:lang w:val="es-419" w:eastAsia="en-US"/>
        </w:rPr>
        <w:t>rezagados.</w:t>
      </w:r>
      <w:r w:rsidRPr="008B1AB4">
        <w:rPr>
          <w:rFonts w:eastAsia="Calibri"/>
          <w:vertAlign w:val="superscript"/>
          <w:lang w:val="es-419" w:eastAsia="en-US"/>
        </w:rPr>
        <w:t>(</w:t>
      </w:r>
      <w:proofErr w:type="gramEnd"/>
      <w:r w:rsidRPr="008B1AB4">
        <w:rPr>
          <w:rFonts w:eastAsia="Calibri"/>
          <w:vertAlign w:val="superscript"/>
          <w:lang w:val="es-419" w:eastAsia="en-US"/>
        </w:rPr>
        <w:t>22)</w:t>
      </w:r>
      <w:r w:rsidRPr="008B1AB4">
        <w:rPr>
          <w:rFonts w:eastAsia="Calibri"/>
          <w:lang w:val="es-419" w:eastAsia="en-US"/>
        </w:rPr>
        <w:t xml:space="preserve"> </w:t>
      </w:r>
    </w:p>
    <w:p w14:paraId="47B309E1" w14:textId="77777777" w:rsidR="008B1AB4" w:rsidRPr="008B1AB4" w:rsidRDefault="008B1AB4" w:rsidP="008B1AB4">
      <w:pPr>
        <w:spacing w:line="360" w:lineRule="auto"/>
        <w:jc w:val="both"/>
        <w:rPr>
          <w:rFonts w:eastAsia="Calibri"/>
          <w:lang w:val="es-419" w:eastAsia="en-US"/>
        </w:rPr>
      </w:pPr>
      <w:r w:rsidRPr="008B1AB4">
        <w:rPr>
          <w:rFonts w:eastAsia="Calibri"/>
          <w:shd w:val="clear" w:color="auto" w:fill="FFFFFF"/>
          <w:lang w:val="es-419" w:eastAsia="en-US"/>
        </w:rPr>
        <w:t xml:space="preserve">Respecto a la evidencia de validez convergente y discriminante, se encontró que la preocupación por el contagio de una de las variantes de la COVID-19 se relaciona significativamente con la ansiedad y de manera inversa con el bienestar; </w:t>
      </w:r>
      <w:bookmarkEnd w:id="7"/>
      <w:r w:rsidRPr="008B1AB4">
        <w:rPr>
          <w:rFonts w:eastAsia="Calibri"/>
          <w:shd w:val="clear" w:color="auto" w:fill="FFFFFF"/>
          <w:lang w:val="es-419" w:eastAsia="en-US"/>
        </w:rPr>
        <w:t>p</w:t>
      </w:r>
      <w:r w:rsidRPr="008B1AB4">
        <w:rPr>
          <w:rFonts w:eastAsia="Calibri"/>
          <w:lang w:val="es-419" w:eastAsia="en-US"/>
        </w:rPr>
        <w:t xml:space="preserve">or lo que, cada pregunta interactúa muy bien con las otras y permiten medir en su conjunto diversos aspectos de la preocupación que podrían tener ante la nueva infección. Esto es muy importante debido al hecho que esto se puede medir de forma aislada, y cada pregunta permite evaluar un aspecto diferente. Sin embargo, también se puede medir de forma conjunta con otros instrumentos, que puedan evaluar diferentes aspectos de la esfera mental; existen grandes estudios que se han realizado en los aspectos de la </w:t>
      </w:r>
      <w:proofErr w:type="gramStart"/>
      <w:r w:rsidRPr="008B1AB4">
        <w:rPr>
          <w:rFonts w:eastAsia="Calibri"/>
          <w:lang w:val="es-419" w:eastAsia="en-US"/>
        </w:rPr>
        <w:t>ansiedad,</w:t>
      </w:r>
      <w:r w:rsidRPr="008B1AB4">
        <w:rPr>
          <w:rFonts w:eastAsia="Calibri"/>
          <w:vertAlign w:val="superscript"/>
          <w:lang w:val="es-419" w:eastAsia="en-US"/>
        </w:rPr>
        <w:t>(</w:t>
      </w:r>
      <w:proofErr w:type="gramEnd"/>
      <w:r w:rsidRPr="008B1AB4">
        <w:rPr>
          <w:rFonts w:eastAsia="Calibri"/>
          <w:vertAlign w:val="superscript"/>
          <w:lang w:val="es-419" w:eastAsia="en-US"/>
        </w:rPr>
        <w:t xml:space="preserve">23) </w:t>
      </w:r>
      <w:r w:rsidRPr="008B1AB4">
        <w:rPr>
          <w:rFonts w:eastAsia="Calibri"/>
          <w:lang w:val="es-419" w:eastAsia="en-US"/>
        </w:rPr>
        <w:t>depresión,</w:t>
      </w:r>
      <w:r w:rsidRPr="008B1AB4">
        <w:rPr>
          <w:rFonts w:eastAsia="Calibri"/>
          <w:vertAlign w:val="superscript"/>
          <w:lang w:val="es-419" w:eastAsia="en-US"/>
        </w:rPr>
        <w:t>(24)</w:t>
      </w:r>
      <w:r w:rsidRPr="008B1AB4">
        <w:rPr>
          <w:rFonts w:eastAsia="Calibri"/>
          <w:lang w:val="es-419" w:eastAsia="en-US"/>
        </w:rPr>
        <w:t xml:space="preserve"> estrés,</w:t>
      </w:r>
      <w:r w:rsidRPr="008B1AB4">
        <w:rPr>
          <w:rFonts w:eastAsia="Calibri"/>
          <w:vertAlign w:val="superscript"/>
          <w:lang w:val="es-419" w:eastAsia="en-US"/>
        </w:rPr>
        <w:t>(25)</w:t>
      </w:r>
      <w:r w:rsidRPr="008B1AB4">
        <w:rPr>
          <w:rFonts w:eastAsia="Calibri"/>
          <w:lang w:val="es-419" w:eastAsia="en-US"/>
        </w:rPr>
        <w:t xml:space="preserve"> miedo,</w:t>
      </w:r>
      <w:r w:rsidRPr="008B1AB4">
        <w:rPr>
          <w:rFonts w:eastAsia="Calibri"/>
          <w:vertAlign w:val="superscript"/>
          <w:lang w:val="es-419" w:eastAsia="en-US"/>
        </w:rPr>
        <w:t>(26)</w:t>
      </w:r>
      <w:r w:rsidRPr="008B1AB4">
        <w:rPr>
          <w:rFonts w:eastAsia="Calibri"/>
          <w:lang w:val="es-419" w:eastAsia="en-US"/>
        </w:rPr>
        <w:t xml:space="preserve"> entre otras.</w:t>
      </w:r>
    </w:p>
    <w:p w14:paraId="3A8EC6FE" w14:textId="77777777" w:rsidR="008B1AB4" w:rsidRPr="008B1AB4" w:rsidRDefault="008B1AB4" w:rsidP="008B1AB4">
      <w:pPr>
        <w:spacing w:line="360" w:lineRule="auto"/>
        <w:jc w:val="both"/>
        <w:rPr>
          <w:rFonts w:eastAsia="Calibri"/>
          <w:lang w:val="es-419" w:eastAsia="en-US"/>
        </w:rPr>
      </w:pPr>
      <w:r w:rsidRPr="008B1AB4">
        <w:rPr>
          <w:rFonts w:eastAsia="Calibri"/>
          <w:lang w:val="es-419" w:eastAsia="en-US"/>
        </w:rPr>
        <w:t xml:space="preserve">Con respecto a la consistencia interna de la escala, el cálculo del coeficiente omega de McDonald revela una adecuada confiabilidad. Esto confirma que la </w:t>
      </w:r>
      <w:r w:rsidRPr="008B1AB4">
        <w:rPr>
          <w:rFonts w:eastAsia="Calibri"/>
          <w:shd w:val="clear" w:color="auto" w:fill="FFFFFF"/>
          <w:lang w:val="es-419" w:eastAsia="en-US"/>
        </w:rPr>
        <w:t>EPCNVCov-19</w:t>
      </w:r>
      <w:r w:rsidRPr="008B1AB4">
        <w:rPr>
          <w:rFonts w:eastAsia="Calibri"/>
          <w:lang w:val="es-419" w:eastAsia="en-US"/>
        </w:rPr>
        <w:t xml:space="preserve"> es confiable y válida para poder ser aplicada en el contexto peruano. Teniendo en cuenta estos resultados, se abre la posibilidad de realizar investigaciones que pretendan evaluar el miedo o preocupación por el contagio, tales como las que ya se </w:t>
      </w:r>
      <w:r w:rsidRPr="008B1AB4">
        <w:rPr>
          <w:rFonts w:eastAsia="Calibri"/>
          <w:lang w:val="es-419" w:eastAsia="en-US"/>
        </w:rPr>
        <w:lastRenderedPageBreak/>
        <w:t xml:space="preserve">han realizado en algunas partes del mundo, por ejemplo, </w:t>
      </w:r>
      <w:r w:rsidRPr="008B1AB4">
        <w:rPr>
          <w:rFonts w:eastAsia="Calibri"/>
          <w:i/>
          <w:iCs/>
          <w:shd w:val="clear" w:color="auto" w:fill="FFFFFF"/>
          <w:lang w:val="es-419" w:eastAsia="en-US"/>
        </w:rPr>
        <w:t>Monterrosa-Castro</w:t>
      </w:r>
      <w:r w:rsidRPr="008B1AB4">
        <w:rPr>
          <w:rFonts w:eastAsia="Calibri"/>
          <w:shd w:val="clear" w:color="auto" w:fill="FFFFFF"/>
          <w:lang w:val="es-419" w:eastAsia="en-US"/>
        </w:rPr>
        <w:t xml:space="preserve"> y </w:t>
      </w:r>
      <w:proofErr w:type="gramStart"/>
      <w:r w:rsidRPr="008B1AB4">
        <w:rPr>
          <w:rFonts w:eastAsia="Calibri"/>
          <w:shd w:val="clear" w:color="auto" w:fill="FFFFFF"/>
          <w:lang w:val="es-419" w:eastAsia="en-US"/>
        </w:rPr>
        <w:t>otros</w:t>
      </w:r>
      <w:r w:rsidRPr="008B1AB4">
        <w:rPr>
          <w:rFonts w:eastAsia="Calibri"/>
          <w:shd w:val="clear" w:color="auto" w:fill="FFFFFF"/>
          <w:vertAlign w:val="superscript"/>
          <w:lang w:val="es-419" w:eastAsia="en-US"/>
        </w:rPr>
        <w:t>(</w:t>
      </w:r>
      <w:proofErr w:type="gramEnd"/>
      <w:r w:rsidRPr="008B1AB4">
        <w:rPr>
          <w:rFonts w:eastAsia="Calibri"/>
          <w:shd w:val="clear" w:color="auto" w:fill="FFFFFF"/>
          <w:vertAlign w:val="superscript"/>
          <w:lang w:val="es-419" w:eastAsia="en-US"/>
        </w:rPr>
        <w:t>27)</w:t>
      </w:r>
      <w:r w:rsidRPr="008B1AB4">
        <w:rPr>
          <w:rFonts w:eastAsia="Calibri"/>
          <w:shd w:val="clear" w:color="auto" w:fill="FFFFFF"/>
          <w:lang w:val="es-419" w:eastAsia="en-US"/>
        </w:rPr>
        <w:t xml:space="preserve">  evaluaron el estrés laboral, ansiedad y miedo a la COVID-19 en médicos generales colombianos; encontraron que 4 de cada 10 médicos tenían miedo del contagio por la COVID-19. Un resultado similar al que llegaron otros autores que analizaron las relaciones entre el estado psicológico y el miedo, en la infancia y adolescencia durante el confinamiento por la COVID-</w:t>
      </w:r>
      <w:proofErr w:type="gramStart"/>
      <w:r w:rsidRPr="008B1AB4">
        <w:rPr>
          <w:rFonts w:eastAsia="Calibri"/>
          <w:shd w:val="clear" w:color="auto" w:fill="FFFFFF"/>
          <w:lang w:val="es-419" w:eastAsia="en-US"/>
        </w:rPr>
        <w:t>19.</w:t>
      </w:r>
      <w:r w:rsidRPr="008B1AB4">
        <w:rPr>
          <w:rFonts w:eastAsia="Calibri"/>
          <w:shd w:val="clear" w:color="auto" w:fill="FFFFFF"/>
          <w:vertAlign w:val="superscript"/>
          <w:lang w:val="es-419" w:eastAsia="en-US"/>
        </w:rPr>
        <w:t>(</w:t>
      </w:r>
      <w:proofErr w:type="gramEnd"/>
      <w:r w:rsidRPr="008B1AB4">
        <w:rPr>
          <w:rFonts w:eastAsia="Calibri"/>
          <w:shd w:val="clear" w:color="auto" w:fill="FFFFFF"/>
          <w:vertAlign w:val="superscript"/>
          <w:lang w:val="es-419" w:eastAsia="en-US"/>
        </w:rPr>
        <w:t>28)</w:t>
      </w:r>
      <w:r w:rsidRPr="008B1AB4">
        <w:rPr>
          <w:rFonts w:eastAsia="Calibri"/>
          <w:shd w:val="clear" w:color="auto" w:fill="FFFFFF"/>
          <w:lang w:val="es-419" w:eastAsia="en-US"/>
        </w:rPr>
        <w:t xml:space="preserve"> </w:t>
      </w:r>
    </w:p>
    <w:p w14:paraId="1274D857"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El estudio tuvo como limitación que se haya utilizado una muestra de participantes peruanos, y dentro de esta, más del 90 % de zona urbana, lo cual no permite que se extrapolen los resultados a otros países o, incluso, a poblaciones específicas dentro del mismo Perú. Además, debido a las medidas de restricción social, la encuesta se realizó de manera virtual y no pudo ser aplicada de forma aleatoria entre la población peruana, optando por un muestreo no probabilístico, lo cual generó un sesgo de selección. De igual manera, la escala tiene una naturaleza de medida autoinforme, lo cual puede suponer sesgos vinculados con la percepción de los participantes. A pesar de esto, el instrumento validado demuestra ser una herramienta útil para sumarse al cuerpo de baterías que exploran las repercusiones en la salud mental. </w:t>
      </w:r>
    </w:p>
    <w:p w14:paraId="279C41D2"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La EPCNVCov-19</w:t>
      </w:r>
      <w:r w:rsidRPr="008B1AB4">
        <w:rPr>
          <w:rFonts w:eastAsia="Calibri"/>
          <w:lang w:val="es-419" w:eastAsia="en-US"/>
        </w:rPr>
        <w:t xml:space="preserve"> es un instrumento breve, válido y confiable, recomendable</w:t>
      </w:r>
      <w:r w:rsidRPr="008B1AB4">
        <w:rPr>
          <w:rFonts w:eastAsia="Calibri"/>
          <w:shd w:val="clear" w:color="auto" w:fill="FFFFFF"/>
          <w:lang w:val="es-419" w:eastAsia="en-US"/>
        </w:rPr>
        <w:t xml:space="preserve"> para evaluar la preocupación por el contagio de la COVID-19 en el contexto de las nuevas variantes en población peruana.</w:t>
      </w:r>
    </w:p>
    <w:p w14:paraId="3095E251" w14:textId="77777777" w:rsidR="008B1AB4" w:rsidRPr="008B1AB4" w:rsidRDefault="008B1AB4" w:rsidP="008B1AB4">
      <w:pPr>
        <w:spacing w:line="360" w:lineRule="auto"/>
        <w:jc w:val="both"/>
        <w:rPr>
          <w:rFonts w:eastAsia="Calibri"/>
          <w:shd w:val="clear" w:color="auto" w:fill="FFFFFF"/>
          <w:lang w:val="es-419" w:eastAsia="en-US"/>
        </w:rPr>
      </w:pPr>
    </w:p>
    <w:p w14:paraId="01180CC7" w14:textId="77777777" w:rsidR="008B1AB4" w:rsidRPr="008B1AB4" w:rsidRDefault="008B1AB4" w:rsidP="008B1AB4">
      <w:pPr>
        <w:spacing w:line="360" w:lineRule="auto"/>
        <w:jc w:val="center"/>
        <w:rPr>
          <w:rFonts w:eastAsia="Calibri"/>
          <w:b/>
          <w:bCs/>
          <w:shd w:val="clear" w:color="auto" w:fill="FFFFFF"/>
          <w:lang w:val="es-PE" w:eastAsia="en-US"/>
        </w:rPr>
      </w:pPr>
    </w:p>
    <w:p w14:paraId="12AEEF7C" w14:textId="77777777" w:rsidR="008B1AB4" w:rsidRPr="008B1AB4" w:rsidRDefault="008B1AB4" w:rsidP="008B1AB4">
      <w:pPr>
        <w:spacing w:line="360" w:lineRule="auto"/>
        <w:jc w:val="center"/>
        <w:rPr>
          <w:rFonts w:eastAsia="Calibri"/>
          <w:b/>
          <w:bCs/>
          <w:sz w:val="32"/>
          <w:szCs w:val="32"/>
          <w:shd w:val="clear" w:color="auto" w:fill="FFFFFF"/>
          <w:lang w:val="es-PE" w:eastAsia="en-US"/>
        </w:rPr>
      </w:pPr>
      <w:r w:rsidRPr="008B1AB4">
        <w:rPr>
          <w:rFonts w:eastAsia="Calibri"/>
          <w:b/>
          <w:bCs/>
          <w:sz w:val="32"/>
          <w:szCs w:val="32"/>
          <w:shd w:val="clear" w:color="auto" w:fill="FFFFFF"/>
          <w:lang w:val="es-PE" w:eastAsia="en-US"/>
        </w:rPr>
        <w:t>REFERENCIAS BIBLIOGRÁFICAS</w:t>
      </w:r>
    </w:p>
    <w:p w14:paraId="5C261C92"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1.</w:t>
      </w:r>
      <w:r w:rsidRPr="008B1AB4">
        <w:rPr>
          <w:rFonts w:eastAsia="Calibri"/>
          <w:lang w:val="es-419" w:eastAsia="en-US"/>
        </w:rPr>
        <w:t xml:space="preserve"> </w:t>
      </w:r>
      <w:proofErr w:type="spellStart"/>
      <w:r w:rsidRPr="008B1AB4">
        <w:rPr>
          <w:rFonts w:eastAsia="Calibri"/>
          <w:bCs/>
          <w:shd w:val="clear" w:color="auto" w:fill="FFFFFF"/>
          <w:lang w:val="es-PE" w:eastAsia="en-US"/>
        </w:rPr>
        <w:t>Accinelli</w:t>
      </w:r>
      <w:proofErr w:type="spellEnd"/>
      <w:r w:rsidRPr="008B1AB4">
        <w:rPr>
          <w:rFonts w:eastAsia="Calibri"/>
          <w:bCs/>
          <w:shd w:val="clear" w:color="auto" w:fill="FFFFFF"/>
          <w:lang w:val="es-PE" w:eastAsia="en-US"/>
        </w:rPr>
        <w:t xml:space="preserve"> RA, Zhang CM, Ju J-D, </w:t>
      </w:r>
      <w:proofErr w:type="spellStart"/>
      <w:r w:rsidRPr="008B1AB4">
        <w:rPr>
          <w:rFonts w:eastAsia="Calibri"/>
          <w:bCs/>
          <w:shd w:val="clear" w:color="auto" w:fill="FFFFFF"/>
          <w:lang w:val="es-PE" w:eastAsia="en-US"/>
        </w:rPr>
        <w:t>Yachachin</w:t>
      </w:r>
      <w:proofErr w:type="spellEnd"/>
      <w:r w:rsidRPr="008B1AB4">
        <w:rPr>
          <w:rFonts w:eastAsia="Calibri"/>
          <w:bCs/>
          <w:shd w:val="clear" w:color="auto" w:fill="FFFFFF"/>
          <w:lang w:val="es-PE" w:eastAsia="en-US"/>
        </w:rPr>
        <w:t xml:space="preserve">-Chávez JM, Cáceres-Pizarro JA, Tafur-Bances KB, et al. COVID-19: La pandemia por el nuevo virus SARS-CoV-2. </w:t>
      </w:r>
      <w:proofErr w:type="spellStart"/>
      <w:r w:rsidRPr="008B1AB4">
        <w:rPr>
          <w:rFonts w:eastAsia="Calibri"/>
          <w:bCs/>
          <w:shd w:val="clear" w:color="auto" w:fill="FFFFFF"/>
          <w:lang w:val="es-PE" w:eastAsia="en-US"/>
        </w:rPr>
        <w:t>Rev</w:t>
      </w:r>
      <w:proofErr w:type="spellEnd"/>
      <w:r w:rsidRPr="008B1AB4">
        <w:rPr>
          <w:rFonts w:eastAsia="Calibri"/>
          <w:bCs/>
          <w:shd w:val="clear" w:color="auto" w:fill="FFFFFF"/>
          <w:lang w:val="es-PE" w:eastAsia="en-US"/>
        </w:rPr>
        <w:t xml:space="preserve"> </w:t>
      </w:r>
      <w:proofErr w:type="spellStart"/>
      <w:r w:rsidRPr="008B1AB4">
        <w:rPr>
          <w:rFonts w:eastAsia="Calibri"/>
          <w:bCs/>
          <w:shd w:val="clear" w:color="auto" w:fill="FFFFFF"/>
          <w:lang w:val="es-PE" w:eastAsia="en-US"/>
        </w:rPr>
        <w:t>Peru</w:t>
      </w:r>
      <w:proofErr w:type="spellEnd"/>
      <w:r w:rsidRPr="008B1AB4">
        <w:rPr>
          <w:rFonts w:eastAsia="Calibri"/>
          <w:bCs/>
          <w:shd w:val="clear" w:color="auto" w:fill="FFFFFF"/>
          <w:lang w:val="es-PE" w:eastAsia="en-US"/>
        </w:rPr>
        <w:t xml:space="preserve"> </w:t>
      </w:r>
      <w:proofErr w:type="spellStart"/>
      <w:r w:rsidRPr="008B1AB4">
        <w:rPr>
          <w:rFonts w:eastAsia="Calibri"/>
          <w:bCs/>
          <w:shd w:val="clear" w:color="auto" w:fill="FFFFFF"/>
          <w:lang w:val="es-PE" w:eastAsia="en-US"/>
        </w:rPr>
        <w:t>Med</w:t>
      </w:r>
      <w:proofErr w:type="spellEnd"/>
      <w:r w:rsidRPr="008B1AB4">
        <w:rPr>
          <w:rFonts w:eastAsia="Calibri"/>
          <w:bCs/>
          <w:shd w:val="clear" w:color="auto" w:fill="FFFFFF"/>
          <w:lang w:val="es-PE" w:eastAsia="en-US"/>
        </w:rPr>
        <w:t xml:space="preserve"> </w:t>
      </w:r>
      <w:proofErr w:type="spellStart"/>
      <w:r w:rsidRPr="008B1AB4">
        <w:rPr>
          <w:rFonts w:eastAsia="Calibri"/>
          <w:bCs/>
          <w:shd w:val="clear" w:color="auto" w:fill="FFFFFF"/>
          <w:lang w:val="es-PE" w:eastAsia="en-US"/>
        </w:rPr>
        <w:t>Exp</w:t>
      </w:r>
      <w:proofErr w:type="spellEnd"/>
      <w:r w:rsidRPr="008B1AB4">
        <w:rPr>
          <w:rFonts w:eastAsia="Calibri"/>
          <w:bCs/>
          <w:shd w:val="clear" w:color="auto" w:fill="FFFFFF"/>
          <w:lang w:val="es-PE" w:eastAsia="en-US"/>
        </w:rPr>
        <w:t xml:space="preserve"> Salud Publica. 2020; 37(2):302–11. DOI: 10.17843/rpmesp.2020.372.5411  </w:t>
      </w:r>
    </w:p>
    <w:p w14:paraId="3D22FF0B" w14:textId="77777777" w:rsidR="008B1AB4" w:rsidRPr="008B1AB4" w:rsidRDefault="008B1AB4" w:rsidP="008B1AB4">
      <w:pPr>
        <w:spacing w:line="360" w:lineRule="auto"/>
        <w:rPr>
          <w:rFonts w:eastAsia="Calibri"/>
          <w:bCs/>
          <w:shd w:val="clear" w:color="auto" w:fill="FFFFFF"/>
          <w:lang w:val="en-US" w:eastAsia="en-US"/>
        </w:rPr>
      </w:pPr>
      <w:r w:rsidRPr="008B1AB4">
        <w:rPr>
          <w:rFonts w:eastAsia="Calibri"/>
          <w:bCs/>
          <w:shd w:val="clear" w:color="auto" w:fill="FFFFFF"/>
          <w:lang w:val="es-PE" w:eastAsia="en-US"/>
        </w:rPr>
        <w:t xml:space="preserve">2. </w:t>
      </w:r>
      <w:proofErr w:type="spellStart"/>
      <w:r w:rsidRPr="008B1AB4">
        <w:rPr>
          <w:rFonts w:eastAsia="Calibri"/>
          <w:bCs/>
          <w:shd w:val="clear" w:color="auto" w:fill="FFFFFF"/>
          <w:lang w:val="es-PE" w:eastAsia="en-US"/>
        </w:rPr>
        <w:t>Xiong</w:t>
      </w:r>
      <w:proofErr w:type="spellEnd"/>
      <w:r w:rsidRPr="008B1AB4">
        <w:rPr>
          <w:rFonts w:eastAsia="Calibri"/>
          <w:bCs/>
          <w:shd w:val="clear" w:color="auto" w:fill="FFFFFF"/>
          <w:lang w:val="es-PE" w:eastAsia="en-US"/>
        </w:rPr>
        <w:t xml:space="preserve"> J, </w:t>
      </w:r>
      <w:proofErr w:type="spellStart"/>
      <w:r w:rsidRPr="008B1AB4">
        <w:rPr>
          <w:rFonts w:eastAsia="Calibri"/>
          <w:bCs/>
          <w:shd w:val="clear" w:color="auto" w:fill="FFFFFF"/>
          <w:lang w:val="es-PE" w:eastAsia="en-US"/>
        </w:rPr>
        <w:t>Lipsitz</w:t>
      </w:r>
      <w:proofErr w:type="spellEnd"/>
      <w:r w:rsidRPr="008B1AB4">
        <w:rPr>
          <w:rFonts w:eastAsia="Calibri"/>
          <w:bCs/>
          <w:shd w:val="clear" w:color="auto" w:fill="FFFFFF"/>
          <w:lang w:val="es-PE" w:eastAsia="en-US"/>
        </w:rPr>
        <w:t xml:space="preserve"> O, </w:t>
      </w:r>
      <w:proofErr w:type="spellStart"/>
      <w:r w:rsidRPr="008B1AB4">
        <w:rPr>
          <w:rFonts w:eastAsia="Calibri"/>
          <w:bCs/>
          <w:shd w:val="clear" w:color="auto" w:fill="FFFFFF"/>
          <w:lang w:val="es-PE" w:eastAsia="en-US"/>
        </w:rPr>
        <w:t>Nasri</w:t>
      </w:r>
      <w:proofErr w:type="spellEnd"/>
      <w:r w:rsidRPr="008B1AB4">
        <w:rPr>
          <w:rFonts w:eastAsia="Calibri"/>
          <w:bCs/>
          <w:shd w:val="clear" w:color="auto" w:fill="FFFFFF"/>
          <w:lang w:val="es-PE" w:eastAsia="en-US"/>
        </w:rPr>
        <w:t xml:space="preserve"> F, Lui LMW, Gill H, </w:t>
      </w:r>
      <w:proofErr w:type="spellStart"/>
      <w:r w:rsidRPr="008B1AB4">
        <w:rPr>
          <w:rFonts w:eastAsia="Calibri"/>
          <w:bCs/>
          <w:shd w:val="clear" w:color="auto" w:fill="FFFFFF"/>
          <w:lang w:val="es-PE" w:eastAsia="en-US"/>
        </w:rPr>
        <w:t>Phan</w:t>
      </w:r>
      <w:proofErr w:type="spellEnd"/>
      <w:r w:rsidRPr="008B1AB4">
        <w:rPr>
          <w:rFonts w:eastAsia="Calibri"/>
          <w:bCs/>
          <w:shd w:val="clear" w:color="auto" w:fill="FFFFFF"/>
          <w:lang w:val="es-PE" w:eastAsia="en-US"/>
        </w:rPr>
        <w:t xml:space="preserve"> L, et al. </w:t>
      </w:r>
      <w:r w:rsidRPr="008B1AB4">
        <w:rPr>
          <w:rFonts w:eastAsia="Calibri"/>
          <w:bCs/>
          <w:shd w:val="clear" w:color="auto" w:fill="FFFFFF"/>
          <w:lang w:val="en-US" w:eastAsia="en-US"/>
        </w:rPr>
        <w:t xml:space="preserve">Impact of COVID-19 pandemic on mental health in the general population: A systematic review. J Affect </w:t>
      </w:r>
      <w:proofErr w:type="spellStart"/>
      <w:r w:rsidRPr="008B1AB4">
        <w:rPr>
          <w:rFonts w:eastAsia="Calibri"/>
          <w:bCs/>
          <w:shd w:val="clear" w:color="auto" w:fill="FFFFFF"/>
          <w:lang w:val="en-US" w:eastAsia="en-US"/>
        </w:rPr>
        <w:t>Disord</w:t>
      </w:r>
      <w:proofErr w:type="spellEnd"/>
      <w:r w:rsidRPr="008B1AB4">
        <w:rPr>
          <w:rFonts w:eastAsia="Calibri"/>
          <w:bCs/>
          <w:shd w:val="clear" w:color="auto" w:fill="FFFFFF"/>
          <w:lang w:val="en-US" w:eastAsia="en-US"/>
        </w:rPr>
        <w:t>. 2020; 277: 55–64. DOI: 10.1016/j.jad.2020.08.001</w:t>
      </w:r>
    </w:p>
    <w:p w14:paraId="029F1DAB"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n-US" w:eastAsia="en-US"/>
        </w:rPr>
        <w:t>3.</w:t>
      </w:r>
      <w:r w:rsidRPr="008B1AB4">
        <w:rPr>
          <w:rFonts w:eastAsia="Calibri"/>
          <w:lang w:val="en-US" w:eastAsia="en-US"/>
        </w:rPr>
        <w:t xml:space="preserve"> </w:t>
      </w:r>
      <w:proofErr w:type="spellStart"/>
      <w:r w:rsidRPr="008B1AB4">
        <w:rPr>
          <w:rFonts w:eastAsia="Calibri"/>
          <w:bCs/>
          <w:shd w:val="clear" w:color="auto" w:fill="FFFFFF"/>
          <w:lang w:val="en-US" w:eastAsia="en-US"/>
        </w:rPr>
        <w:t>Dosil</w:t>
      </w:r>
      <w:proofErr w:type="spellEnd"/>
      <w:r w:rsidRPr="008B1AB4">
        <w:rPr>
          <w:rFonts w:eastAsia="Calibri"/>
          <w:bCs/>
          <w:shd w:val="clear" w:color="auto" w:fill="FFFFFF"/>
          <w:lang w:val="en-US" w:eastAsia="en-US"/>
        </w:rPr>
        <w:t xml:space="preserve"> </w:t>
      </w:r>
      <w:proofErr w:type="spellStart"/>
      <w:r w:rsidRPr="008B1AB4">
        <w:rPr>
          <w:rFonts w:eastAsia="Calibri"/>
          <w:bCs/>
          <w:shd w:val="clear" w:color="auto" w:fill="FFFFFF"/>
          <w:lang w:val="en-US" w:eastAsia="en-US"/>
        </w:rPr>
        <w:t>Santamaría</w:t>
      </w:r>
      <w:proofErr w:type="spellEnd"/>
      <w:r w:rsidRPr="008B1AB4">
        <w:rPr>
          <w:rFonts w:eastAsia="Calibri"/>
          <w:bCs/>
          <w:shd w:val="clear" w:color="auto" w:fill="FFFFFF"/>
          <w:lang w:val="en-US" w:eastAsia="en-US"/>
        </w:rPr>
        <w:t xml:space="preserve"> M, Ozamiz-</w:t>
      </w:r>
      <w:proofErr w:type="spellStart"/>
      <w:r w:rsidRPr="008B1AB4">
        <w:rPr>
          <w:rFonts w:eastAsia="Calibri"/>
          <w:bCs/>
          <w:shd w:val="clear" w:color="auto" w:fill="FFFFFF"/>
          <w:lang w:val="en-US" w:eastAsia="en-US"/>
        </w:rPr>
        <w:t>Etxebarria</w:t>
      </w:r>
      <w:proofErr w:type="spellEnd"/>
      <w:r w:rsidRPr="008B1AB4">
        <w:rPr>
          <w:rFonts w:eastAsia="Calibri"/>
          <w:bCs/>
          <w:shd w:val="clear" w:color="auto" w:fill="FFFFFF"/>
          <w:lang w:val="en-US" w:eastAsia="en-US"/>
        </w:rPr>
        <w:t xml:space="preserve"> N, Redondo Rodríguez I, </w:t>
      </w:r>
      <w:proofErr w:type="spellStart"/>
      <w:r w:rsidRPr="008B1AB4">
        <w:rPr>
          <w:rFonts w:eastAsia="Calibri"/>
          <w:bCs/>
          <w:shd w:val="clear" w:color="auto" w:fill="FFFFFF"/>
          <w:lang w:val="en-US" w:eastAsia="en-US"/>
        </w:rPr>
        <w:t>Jaureguizar</w:t>
      </w:r>
      <w:proofErr w:type="spellEnd"/>
      <w:r w:rsidRPr="008B1AB4">
        <w:rPr>
          <w:rFonts w:eastAsia="Calibri"/>
          <w:bCs/>
          <w:shd w:val="clear" w:color="auto" w:fill="FFFFFF"/>
          <w:lang w:val="en-US" w:eastAsia="en-US"/>
        </w:rPr>
        <w:t xml:space="preserve"> </w:t>
      </w:r>
      <w:proofErr w:type="spellStart"/>
      <w:r w:rsidRPr="008B1AB4">
        <w:rPr>
          <w:rFonts w:eastAsia="Calibri"/>
          <w:bCs/>
          <w:shd w:val="clear" w:color="auto" w:fill="FFFFFF"/>
          <w:lang w:val="en-US" w:eastAsia="en-US"/>
        </w:rPr>
        <w:t>Alboniga</w:t>
      </w:r>
      <w:proofErr w:type="spellEnd"/>
      <w:r w:rsidRPr="008B1AB4">
        <w:rPr>
          <w:rFonts w:eastAsia="Calibri"/>
          <w:bCs/>
          <w:shd w:val="clear" w:color="auto" w:fill="FFFFFF"/>
          <w:lang w:val="en-US" w:eastAsia="en-US"/>
        </w:rPr>
        <w:t xml:space="preserve">-Mayor J, </w:t>
      </w:r>
      <w:proofErr w:type="spellStart"/>
      <w:r w:rsidRPr="008B1AB4">
        <w:rPr>
          <w:rFonts w:eastAsia="Calibri"/>
          <w:bCs/>
          <w:shd w:val="clear" w:color="auto" w:fill="FFFFFF"/>
          <w:lang w:val="en-US" w:eastAsia="en-US"/>
        </w:rPr>
        <w:t>Picaza</w:t>
      </w:r>
      <w:proofErr w:type="spellEnd"/>
      <w:r w:rsidRPr="008B1AB4">
        <w:rPr>
          <w:rFonts w:eastAsia="Calibri"/>
          <w:bCs/>
          <w:shd w:val="clear" w:color="auto" w:fill="FFFFFF"/>
          <w:lang w:val="en-US" w:eastAsia="en-US"/>
        </w:rPr>
        <w:t xml:space="preserve"> </w:t>
      </w:r>
      <w:proofErr w:type="spellStart"/>
      <w:r w:rsidRPr="008B1AB4">
        <w:rPr>
          <w:rFonts w:eastAsia="Calibri"/>
          <w:bCs/>
          <w:shd w:val="clear" w:color="auto" w:fill="FFFFFF"/>
          <w:lang w:val="en-US" w:eastAsia="en-US"/>
        </w:rPr>
        <w:t>Gorrotxategi</w:t>
      </w:r>
      <w:proofErr w:type="spellEnd"/>
      <w:r w:rsidRPr="008B1AB4">
        <w:rPr>
          <w:rFonts w:eastAsia="Calibri"/>
          <w:bCs/>
          <w:shd w:val="clear" w:color="auto" w:fill="FFFFFF"/>
          <w:lang w:val="en-US" w:eastAsia="en-US"/>
        </w:rPr>
        <w:t xml:space="preserve"> M. Psychological impact of COVID-19 on a sample of Spanish health </w:t>
      </w:r>
      <w:r w:rsidRPr="008B1AB4">
        <w:rPr>
          <w:rFonts w:eastAsia="Calibri"/>
          <w:bCs/>
          <w:shd w:val="clear" w:color="auto" w:fill="FFFFFF"/>
          <w:lang w:val="en-US" w:eastAsia="en-US"/>
        </w:rPr>
        <w:lastRenderedPageBreak/>
        <w:t xml:space="preserve">professionals. </w:t>
      </w:r>
      <w:r w:rsidRPr="008B1AB4">
        <w:rPr>
          <w:rFonts w:eastAsia="Calibri"/>
          <w:bCs/>
          <w:shd w:val="clear" w:color="auto" w:fill="FFFFFF"/>
          <w:lang w:val="es-PE" w:eastAsia="en-US"/>
        </w:rPr>
        <w:t>Revista de Psiquiatría y Salud Mental. 2020; 14(2): 106-12. DOI: 10.1016/j.rpsm.2020.05.00</w:t>
      </w:r>
    </w:p>
    <w:p w14:paraId="2D41E657"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4. Johnson MC, </w:t>
      </w:r>
      <w:proofErr w:type="spellStart"/>
      <w:r w:rsidRPr="008B1AB4">
        <w:rPr>
          <w:rFonts w:eastAsia="Calibri"/>
          <w:bCs/>
          <w:shd w:val="clear" w:color="auto" w:fill="FFFFFF"/>
          <w:lang w:val="es-PE" w:eastAsia="en-US"/>
        </w:rPr>
        <w:t>Saletti</w:t>
      </w:r>
      <w:proofErr w:type="spellEnd"/>
      <w:r w:rsidRPr="008B1AB4">
        <w:rPr>
          <w:rFonts w:eastAsia="Calibri"/>
          <w:bCs/>
          <w:shd w:val="clear" w:color="auto" w:fill="FFFFFF"/>
          <w:lang w:val="es-PE" w:eastAsia="en-US"/>
        </w:rPr>
        <w:t xml:space="preserve">-Cuesta L, </w:t>
      </w:r>
      <w:proofErr w:type="spellStart"/>
      <w:r w:rsidRPr="008B1AB4">
        <w:rPr>
          <w:rFonts w:eastAsia="Calibri"/>
          <w:bCs/>
          <w:shd w:val="clear" w:color="auto" w:fill="FFFFFF"/>
          <w:lang w:val="es-PE" w:eastAsia="en-US"/>
        </w:rPr>
        <w:t>Tumas</w:t>
      </w:r>
      <w:proofErr w:type="spellEnd"/>
      <w:r w:rsidRPr="008B1AB4">
        <w:rPr>
          <w:rFonts w:eastAsia="Calibri"/>
          <w:bCs/>
          <w:shd w:val="clear" w:color="auto" w:fill="FFFFFF"/>
          <w:lang w:val="es-PE" w:eastAsia="en-US"/>
        </w:rPr>
        <w:t xml:space="preserve"> N. Emociones, preocupaciones y reflexiones frente a la pandemia del COVID-19 en Argentina. </w:t>
      </w:r>
      <w:proofErr w:type="spellStart"/>
      <w:r w:rsidRPr="008B1AB4">
        <w:rPr>
          <w:rFonts w:eastAsia="Calibri"/>
          <w:bCs/>
          <w:shd w:val="clear" w:color="auto" w:fill="FFFFFF"/>
          <w:lang w:val="es-PE" w:eastAsia="en-US"/>
        </w:rPr>
        <w:t>Cienc</w:t>
      </w:r>
      <w:proofErr w:type="spellEnd"/>
      <w:r w:rsidRPr="008B1AB4">
        <w:rPr>
          <w:rFonts w:eastAsia="Calibri"/>
          <w:bCs/>
          <w:shd w:val="clear" w:color="auto" w:fill="FFFFFF"/>
          <w:lang w:val="es-PE" w:eastAsia="en-US"/>
        </w:rPr>
        <w:t xml:space="preserve"> e </w:t>
      </w:r>
      <w:proofErr w:type="spellStart"/>
      <w:r w:rsidRPr="008B1AB4">
        <w:rPr>
          <w:rFonts w:eastAsia="Calibri"/>
          <w:bCs/>
          <w:shd w:val="clear" w:color="auto" w:fill="FFFFFF"/>
          <w:lang w:val="es-PE" w:eastAsia="en-US"/>
        </w:rPr>
        <w:t>Saude</w:t>
      </w:r>
      <w:proofErr w:type="spellEnd"/>
      <w:r w:rsidRPr="008B1AB4">
        <w:rPr>
          <w:rFonts w:eastAsia="Calibri"/>
          <w:bCs/>
          <w:shd w:val="clear" w:color="auto" w:fill="FFFFFF"/>
          <w:lang w:val="es-PE" w:eastAsia="en-US"/>
        </w:rPr>
        <w:t xml:space="preserve"> </w:t>
      </w:r>
      <w:proofErr w:type="spellStart"/>
      <w:r w:rsidRPr="008B1AB4">
        <w:rPr>
          <w:rFonts w:eastAsia="Calibri"/>
          <w:bCs/>
          <w:shd w:val="clear" w:color="auto" w:fill="FFFFFF"/>
          <w:lang w:val="es-PE" w:eastAsia="en-US"/>
        </w:rPr>
        <w:t>Coletiva</w:t>
      </w:r>
      <w:proofErr w:type="spellEnd"/>
      <w:r w:rsidRPr="008B1AB4">
        <w:rPr>
          <w:rFonts w:eastAsia="Calibri"/>
          <w:bCs/>
          <w:shd w:val="clear" w:color="auto" w:fill="FFFFFF"/>
          <w:lang w:val="es-PE" w:eastAsia="en-US"/>
        </w:rPr>
        <w:t>. 2020; 25: 2447–56. DOI: 10.1590/1413-81232020256.1.10472020</w:t>
      </w:r>
    </w:p>
    <w:p w14:paraId="542E5A71"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5. </w:t>
      </w:r>
      <w:proofErr w:type="spellStart"/>
      <w:r w:rsidRPr="008B1AB4">
        <w:rPr>
          <w:rFonts w:eastAsia="Calibri"/>
          <w:bCs/>
          <w:shd w:val="clear" w:color="auto" w:fill="FFFFFF"/>
          <w:lang w:val="es-PE" w:eastAsia="en-US"/>
        </w:rPr>
        <w:t>Mejia</w:t>
      </w:r>
      <w:proofErr w:type="spellEnd"/>
      <w:r w:rsidRPr="008B1AB4">
        <w:rPr>
          <w:rFonts w:eastAsia="Calibri"/>
          <w:bCs/>
          <w:shd w:val="clear" w:color="auto" w:fill="FFFFFF"/>
          <w:lang w:val="es-PE" w:eastAsia="en-US"/>
        </w:rPr>
        <w:t xml:space="preserve"> CR, Quispe-Sancho A, </w:t>
      </w:r>
      <w:proofErr w:type="spellStart"/>
      <w:r w:rsidRPr="008B1AB4">
        <w:rPr>
          <w:rFonts w:eastAsia="Calibri"/>
          <w:bCs/>
          <w:shd w:val="clear" w:color="auto" w:fill="FFFFFF"/>
          <w:lang w:val="es-PE" w:eastAsia="en-US"/>
        </w:rPr>
        <w:t>Rodriguez-Alarcon</w:t>
      </w:r>
      <w:proofErr w:type="spellEnd"/>
      <w:r w:rsidRPr="008B1AB4">
        <w:rPr>
          <w:rFonts w:eastAsia="Calibri"/>
          <w:bCs/>
          <w:shd w:val="clear" w:color="auto" w:fill="FFFFFF"/>
          <w:lang w:val="es-PE" w:eastAsia="en-US"/>
        </w:rPr>
        <w:t xml:space="preserve"> JF, </w:t>
      </w:r>
      <w:proofErr w:type="spellStart"/>
      <w:r w:rsidRPr="008B1AB4">
        <w:rPr>
          <w:rFonts w:eastAsia="Calibri"/>
          <w:bCs/>
          <w:shd w:val="clear" w:color="auto" w:fill="FFFFFF"/>
          <w:lang w:val="es-PE" w:eastAsia="en-US"/>
        </w:rPr>
        <w:t>Ccasa</w:t>
      </w:r>
      <w:proofErr w:type="spellEnd"/>
      <w:r w:rsidRPr="008B1AB4">
        <w:rPr>
          <w:rFonts w:eastAsia="Calibri"/>
          <w:bCs/>
          <w:shd w:val="clear" w:color="auto" w:fill="FFFFFF"/>
          <w:lang w:val="es-PE" w:eastAsia="en-US"/>
        </w:rPr>
        <w:t>-Valero L, Ponce-</w:t>
      </w:r>
      <w:proofErr w:type="spellStart"/>
      <w:r w:rsidRPr="008B1AB4">
        <w:rPr>
          <w:rFonts w:eastAsia="Calibri"/>
          <w:bCs/>
          <w:shd w:val="clear" w:color="auto" w:fill="FFFFFF"/>
          <w:lang w:val="es-PE" w:eastAsia="en-US"/>
        </w:rPr>
        <w:t>Lopez</w:t>
      </w:r>
      <w:proofErr w:type="spellEnd"/>
      <w:r w:rsidRPr="008B1AB4">
        <w:rPr>
          <w:rFonts w:eastAsia="Calibri"/>
          <w:bCs/>
          <w:shd w:val="clear" w:color="auto" w:fill="FFFFFF"/>
          <w:lang w:val="es-PE" w:eastAsia="en-US"/>
        </w:rPr>
        <w:t xml:space="preserve"> V, </w:t>
      </w:r>
      <w:proofErr w:type="spellStart"/>
      <w:r w:rsidRPr="008B1AB4">
        <w:rPr>
          <w:rFonts w:eastAsia="Calibri"/>
          <w:bCs/>
          <w:shd w:val="clear" w:color="auto" w:fill="FFFFFF"/>
          <w:lang w:val="es-PE" w:eastAsia="en-US"/>
        </w:rPr>
        <w:t>Sarela</w:t>
      </w:r>
      <w:proofErr w:type="spellEnd"/>
      <w:r w:rsidRPr="008B1AB4">
        <w:rPr>
          <w:rFonts w:eastAsia="Calibri"/>
          <w:bCs/>
          <w:shd w:val="clear" w:color="auto" w:fill="FFFFFF"/>
          <w:lang w:val="es-PE" w:eastAsia="en-US"/>
        </w:rPr>
        <w:t xml:space="preserve">-Villanueva E, et al. Factores asociados al fatalismo ante la COVID-19 en 20 ciudades del Perú en marzo. </w:t>
      </w:r>
      <w:proofErr w:type="spellStart"/>
      <w:r w:rsidRPr="008B1AB4">
        <w:rPr>
          <w:rFonts w:eastAsia="Calibri"/>
          <w:bCs/>
          <w:shd w:val="clear" w:color="auto" w:fill="FFFFFF"/>
          <w:lang w:val="es-PE" w:eastAsia="en-US"/>
        </w:rPr>
        <w:t>Rev</w:t>
      </w:r>
      <w:proofErr w:type="spellEnd"/>
      <w:r w:rsidRPr="008B1AB4">
        <w:rPr>
          <w:rFonts w:eastAsia="Calibri"/>
          <w:bCs/>
          <w:shd w:val="clear" w:color="auto" w:fill="FFFFFF"/>
          <w:lang w:val="es-PE" w:eastAsia="en-US"/>
        </w:rPr>
        <w:t xml:space="preserve"> Habanera Ciencias Médicas. 2020 [acceso: 20/02/2021];6(5):1–15. Disponible en: </w:t>
      </w:r>
      <w:hyperlink r:id="rId13" w:history="1">
        <w:r w:rsidRPr="008B1AB4">
          <w:rPr>
            <w:rFonts w:eastAsia="Calibri"/>
            <w:bCs/>
            <w:color w:val="0000FF"/>
            <w:u w:val="single"/>
            <w:shd w:val="clear" w:color="auto" w:fill="FFFFFF"/>
            <w:lang w:val="es-PE" w:eastAsia="en-US"/>
          </w:rPr>
          <w:t>http://www.redalyc.org/articulo.oa?id=297231283003</w:t>
        </w:r>
      </w:hyperlink>
      <w:r w:rsidRPr="008B1AB4">
        <w:rPr>
          <w:rFonts w:eastAsia="Calibri"/>
          <w:bCs/>
          <w:shd w:val="clear" w:color="auto" w:fill="FFFFFF"/>
          <w:lang w:val="es-PE" w:eastAsia="en-US"/>
        </w:rPr>
        <w:t xml:space="preserve"> </w:t>
      </w:r>
    </w:p>
    <w:p w14:paraId="115092CC"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6. Sacristán JA, Millán J. El médico frente a la COVID-19: lecciones de una pandemia. </w:t>
      </w:r>
      <w:proofErr w:type="spellStart"/>
      <w:r w:rsidRPr="008B1AB4">
        <w:rPr>
          <w:rFonts w:eastAsia="Calibri"/>
          <w:bCs/>
          <w:shd w:val="clear" w:color="auto" w:fill="FFFFFF"/>
          <w:lang w:val="es-PE" w:eastAsia="en-US"/>
        </w:rPr>
        <w:t>Educ</w:t>
      </w:r>
      <w:proofErr w:type="spellEnd"/>
      <w:r w:rsidRPr="008B1AB4">
        <w:rPr>
          <w:rFonts w:eastAsia="Calibri"/>
          <w:bCs/>
          <w:shd w:val="clear" w:color="auto" w:fill="FFFFFF"/>
          <w:lang w:val="es-PE" w:eastAsia="en-US"/>
        </w:rPr>
        <w:t xml:space="preserve"> Medica. 2020;21(4):265–71. DOI: 10.1016/j.edumed.2020.06.002</w:t>
      </w:r>
    </w:p>
    <w:p w14:paraId="5B1C453E"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7. Roberts M. Covid-19: ¿qué tan preocupantes son las variantes de coronavirus de Reino Unido, Sudáfrica y Brasil? Salud, BBC News Mundo. 2021 [acceso: 20/02/2021]. Disponible en: </w:t>
      </w:r>
      <w:hyperlink r:id="rId14" w:history="1">
        <w:r w:rsidRPr="008B1AB4">
          <w:rPr>
            <w:rFonts w:eastAsia="Calibri"/>
            <w:bCs/>
            <w:color w:val="0000FF"/>
            <w:u w:val="single"/>
            <w:shd w:val="clear" w:color="auto" w:fill="FFFFFF"/>
            <w:lang w:val="es-PE" w:eastAsia="en-US"/>
          </w:rPr>
          <w:t>https://www.bbc.com/mundo/noticias-55689478</w:t>
        </w:r>
      </w:hyperlink>
      <w:r w:rsidRPr="008B1AB4">
        <w:rPr>
          <w:rFonts w:eastAsia="Calibri"/>
          <w:bCs/>
          <w:shd w:val="clear" w:color="auto" w:fill="FFFFFF"/>
          <w:lang w:val="es-PE" w:eastAsia="en-US"/>
        </w:rPr>
        <w:t xml:space="preserve"> </w:t>
      </w:r>
      <w:r w:rsidRPr="008B1AB4">
        <w:rPr>
          <w:rFonts w:eastAsia="Calibri"/>
          <w:bCs/>
          <w:u w:val="single"/>
          <w:shd w:val="clear" w:color="auto" w:fill="FFFFFF"/>
          <w:lang w:val="es-PE" w:eastAsia="en-US"/>
        </w:rPr>
        <w:t xml:space="preserve"> </w:t>
      </w:r>
      <w:r w:rsidRPr="008B1AB4">
        <w:rPr>
          <w:rFonts w:eastAsia="Calibri"/>
          <w:bCs/>
          <w:shd w:val="clear" w:color="auto" w:fill="FFFFFF"/>
          <w:lang w:val="es-PE" w:eastAsia="en-US"/>
        </w:rPr>
        <w:t xml:space="preserve"> </w:t>
      </w:r>
    </w:p>
    <w:p w14:paraId="66995102"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n-US" w:eastAsia="en-US"/>
        </w:rPr>
        <w:t xml:space="preserve">8. </w:t>
      </w:r>
      <w:proofErr w:type="spellStart"/>
      <w:r w:rsidRPr="008B1AB4">
        <w:rPr>
          <w:rFonts w:eastAsia="Calibri"/>
          <w:bCs/>
          <w:shd w:val="clear" w:color="auto" w:fill="FFFFFF"/>
          <w:lang w:val="en-US" w:eastAsia="en-US"/>
        </w:rPr>
        <w:t>Fontanet</w:t>
      </w:r>
      <w:proofErr w:type="spellEnd"/>
      <w:r w:rsidRPr="008B1AB4">
        <w:rPr>
          <w:rFonts w:eastAsia="Calibri"/>
          <w:bCs/>
          <w:shd w:val="clear" w:color="auto" w:fill="FFFFFF"/>
          <w:lang w:val="en-US" w:eastAsia="en-US"/>
        </w:rPr>
        <w:t xml:space="preserve"> A, </w:t>
      </w:r>
      <w:proofErr w:type="spellStart"/>
      <w:r w:rsidRPr="008B1AB4">
        <w:rPr>
          <w:rFonts w:eastAsia="Calibri"/>
          <w:bCs/>
          <w:shd w:val="clear" w:color="auto" w:fill="FFFFFF"/>
          <w:lang w:val="en-US" w:eastAsia="en-US"/>
        </w:rPr>
        <w:t>Autran</w:t>
      </w:r>
      <w:proofErr w:type="spellEnd"/>
      <w:r w:rsidRPr="008B1AB4">
        <w:rPr>
          <w:rFonts w:eastAsia="Calibri"/>
          <w:bCs/>
          <w:shd w:val="clear" w:color="auto" w:fill="FFFFFF"/>
          <w:lang w:val="en-US" w:eastAsia="en-US"/>
        </w:rPr>
        <w:t xml:space="preserve"> B, Lina B, </w:t>
      </w:r>
      <w:proofErr w:type="spellStart"/>
      <w:r w:rsidRPr="008B1AB4">
        <w:rPr>
          <w:rFonts w:eastAsia="Calibri"/>
          <w:bCs/>
          <w:shd w:val="clear" w:color="auto" w:fill="FFFFFF"/>
          <w:lang w:val="en-US" w:eastAsia="en-US"/>
        </w:rPr>
        <w:t>Kieny</w:t>
      </w:r>
      <w:proofErr w:type="spellEnd"/>
      <w:r w:rsidRPr="008B1AB4">
        <w:rPr>
          <w:rFonts w:eastAsia="Calibri"/>
          <w:bCs/>
          <w:shd w:val="clear" w:color="auto" w:fill="FFFFFF"/>
          <w:lang w:val="en-US" w:eastAsia="en-US"/>
        </w:rPr>
        <w:t xml:space="preserve"> MP, Karim SSA, Sridhar D. SARS-CoV-2 variants and ending the COVID-19 pandemic. </w:t>
      </w:r>
      <w:r w:rsidRPr="008B1AB4">
        <w:rPr>
          <w:rFonts w:eastAsia="Calibri"/>
          <w:bCs/>
          <w:shd w:val="clear" w:color="auto" w:fill="FFFFFF"/>
          <w:lang w:val="es-PE" w:eastAsia="en-US"/>
        </w:rPr>
        <w:t>Lancet. 2021; 6736(21):19–21. DOI:10.1016/S0140-6736(21)00370-6</w:t>
      </w:r>
    </w:p>
    <w:p w14:paraId="22C5B2BD"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9. Ortiz A. Detectan variante brasileña del covid-19 en tres regiones de Perú. CNN Español. 2021 [acceso: 21/02/2021]. Disponible en: </w:t>
      </w:r>
      <w:hyperlink r:id="rId15" w:history="1">
        <w:r w:rsidRPr="008B1AB4">
          <w:rPr>
            <w:rFonts w:eastAsia="Calibri"/>
            <w:bCs/>
            <w:color w:val="0000FF"/>
            <w:u w:val="single"/>
            <w:shd w:val="clear" w:color="auto" w:fill="FFFFFF"/>
            <w:lang w:val="es-PE" w:eastAsia="en-US"/>
          </w:rPr>
          <w:t>https://cnnespanol.cnn.com/2021/02/04/variante-brasilena-peru-covid-19/</w:t>
        </w:r>
      </w:hyperlink>
      <w:r w:rsidRPr="008B1AB4">
        <w:rPr>
          <w:rFonts w:eastAsia="Calibri"/>
          <w:bCs/>
          <w:shd w:val="clear" w:color="auto" w:fill="FFFFFF"/>
          <w:lang w:val="es-PE" w:eastAsia="en-US"/>
        </w:rPr>
        <w:t xml:space="preserve"> </w:t>
      </w:r>
      <w:r w:rsidRPr="008B1AB4">
        <w:rPr>
          <w:rFonts w:eastAsia="Calibri"/>
          <w:bCs/>
          <w:u w:val="single"/>
          <w:shd w:val="clear" w:color="auto" w:fill="FFFFFF"/>
          <w:lang w:val="es-PE" w:eastAsia="en-US"/>
        </w:rPr>
        <w:t xml:space="preserve"> </w:t>
      </w:r>
      <w:r w:rsidRPr="008B1AB4">
        <w:rPr>
          <w:rFonts w:eastAsia="Calibri"/>
          <w:bCs/>
          <w:shd w:val="clear" w:color="auto" w:fill="FFFFFF"/>
          <w:lang w:val="es-PE" w:eastAsia="en-US"/>
        </w:rPr>
        <w:t xml:space="preserve"> </w:t>
      </w:r>
    </w:p>
    <w:p w14:paraId="1566BD8D"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n-US" w:eastAsia="en-US"/>
        </w:rPr>
        <w:t>10. Rosenberg S, Mendoza J, Tabatabaei-Jafari H, Salvador-</w:t>
      </w:r>
      <w:proofErr w:type="spellStart"/>
      <w:r w:rsidRPr="008B1AB4">
        <w:rPr>
          <w:rFonts w:eastAsia="Calibri"/>
          <w:bCs/>
          <w:shd w:val="clear" w:color="auto" w:fill="FFFFFF"/>
          <w:lang w:val="en-US" w:eastAsia="en-US"/>
        </w:rPr>
        <w:t>Carulla</w:t>
      </w:r>
      <w:proofErr w:type="spellEnd"/>
      <w:r w:rsidRPr="008B1AB4">
        <w:rPr>
          <w:rFonts w:eastAsia="Calibri"/>
          <w:bCs/>
          <w:shd w:val="clear" w:color="auto" w:fill="FFFFFF"/>
          <w:lang w:val="en-US" w:eastAsia="en-US"/>
        </w:rPr>
        <w:t xml:space="preserve"> L. International experiences of the active period of COVID-19 - Mental health care. </w:t>
      </w:r>
      <w:proofErr w:type="spellStart"/>
      <w:r w:rsidRPr="008B1AB4">
        <w:rPr>
          <w:rFonts w:eastAsia="Calibri"/>
          <w:bCs/>
          <w:shd w:val="clear" w:color="auto" w:fill="FFFFFF"/>
          <w:lang w:val="es-PE" w:eastAsia="en-US"/>
        </w:rPr>
        <w:t>Health</w:t>
      </w:r>
      <w:proofErr w:type="spellEnd"/>
      <w:r w:rsidRPr="008B1AB4">
        <w:rPr>
          <w:rFonts w:eastAsia="Calibri"/>
          <w:bCs/>
          <w:shd w:val="clear" w:color="auto" w:fill="FFFFFF"/>
          <w:lang w:val="es-PE" w:eastAsia="en-US"/>
        </w:rPr>
        <w:t xml:space="preserve"> </w:t>
      </w:r>
      <w:proofErr w:type="spellStart"/>
      <w:r w:rsidRPr="008B1AB4">
        <w:rPr>
          <w:rFonts w:eastAsia="Calibri"/>
          <w:bCs/>
          <w:shd w:val="clear" w:color="auto" w:fill="FFFFFF"/>
          <w:lang w:val="es-PE" w:eastAsia="en-US"/>
        </w:rPr>
        <w:t>Policy</w:t>
      </w:r>
      <w:proofErr w:type="spellEnd"/>
      <w:r w:rsidRPr="008B1AB4">
        <w:rPr>
          <w:rFonts w:eastAsia="Calibri"/>
          <w:bCs/>
          <w:shd w:val="clear" w:color="auto" w:fill="FFFFFF"/>
          <w:lang w:val="es-PE" w:eastAsia="en-US"/>
        </w:rPr>
        <w:t xml:space="preserve"> and </w:t>
      </w:r>
      <w:proofErr w:type="spellStart"/>
      <w:r w:rsidRPr="008B1AB4">
        <w:rPr>
          <w:rFonts w:eastAsia="Calibri"/>
          <w:bCs/>
          <w:shd w:val="clear" w:color="auto" w:fill="FFFFFF"/>
          <w:lang w:val="es-PE" w:eastAsia="en-US"/>
        </w:rPr>
        <w:t>Technology</w:t>
      </w:r>
      <w:proofErr w:type="spellEnd"/>
      <w:r w:rsidRPr="008B1AB4">
        <w:rPr>
          <w:rFonts w:eastAsia="Calibri"/>
          <w:bCs/>
          <w:shd w:val="clear" w:color="auto" w:fill="FFFFFF"/>
          <w:lang w:val="es-PE" w:eastAsia="en-US"/>
        </w:rPr>
        <w:t xml:space="preserve">. 2020; 9(4): 503-9. DOI: 10.1016/j.hlpt.2020.08.016  </w:t>
      </w:r>
    </w:p>
    <w:p w14:paraId="2182893D" w14:textId="77777777" w:rsidR="008B1AB4" w:rsidRPr="008B1AB4" w:rsidRDefault="008B1AB4" w:rsidP="008B1AB4">
      <w:pPr>
        <w:tabs>
          <w:tab w:val="left" w:pos="1320"/>
        </w:tabs>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11. </w:t>
      </w:r>
      <w:proofErr w:type="spellStart"/>
      <w:r w:rsidRPr="008B1AB4">
        <w:rPr>
          <w:rFonts w:eastAsia="Calibri"/>
          <w:bCs/>
          <w:shd w:val="clear" w:color="auto" w:fill="FFFFFF"/>
          <w:lang w:val="es-PE" w:eastAsia="en-US"/>
        </w:rPr>
        <w:t>Uchoa</w:t>
      </w:r>
      <w:proofErr w:type="spellEnd"/>
      <w:r w:rsidRPr="008B1AB4">
        <w:rPr>
          <w:rFonts w:eastAsia="Calibri"/>
          <w:bCs/>
          <w:shd w:val="clear" w:color="auto" w:fill="FFFFFF"/>
          <w:lang w:val="es-PE" w:eastAsia="en-US"/>
        </w:rPr>
        <w:t xml:space="preserve"> P. Cómo la covid-19 está causando una «crisis de oxígeno» en América Latina y algunos países en desarrollo. BBC News Mundo. 2021 [acceso: 26/02/2021]. Disponible en: </w:t>
      </w:r>
      <w:hyperlink r:id="rId16" w:history="1">
        <w:r w:rsidRPr="008B1AB4">
          <w:rPr>
            <w:rFonts w:eastAsia="Calibri"/>
            <w:bCs/>
            <w:u w:val="single"/>
            <w:shd w:val="clear" w:color="auto" w:fill="FFFFFF"/>
            <w:lang w:val="es-PE" w:eastAsia="en-US"/>
          </w:rPr>
          <w:t>https://www.bbc.com/mundo/noticias-internacional-55841858</w:t>
        </w:r>
      </w:hyperlink>
      <w:r w:rsidRPr="008B1AB4">
        <w:rPr>
          <w:rFonts w:eastAsia="Calibri"/>
          <w:bCs/>
          <w:shd w:val="clear" w:color="auto" w:fill="FFFFFF"/>
          <w:lang w:val="es-PE" w:eastAsia="en-US"/>
        </w:rPr>
        <w:t xml:space="preserve"> </w:t>
      </w:r>
      <w:r w:rsidRPr="008B1AB4">
        <w:rPr>
          <w:rFonts w:eastAsia="Calibri"/>
          <w:bCs/>
          <w:shd w:val="clear" w:color="auto" w:fill="FFFFFF"/>
          <w:lang w:val="es-PE" w:eastAsia="en-US"/>
        </w:rPr>
        <w:tab/>
      </w:r>
    </w:p>
    <w:p w14:paraId="27D7B9C9"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12. Ato M, López J, Benavente A. Un sistema de clasificación de los diseños de investigación en psicología. Anales de Psicología 2013; 29: 1038–59. DOI: 10.6018/analesps.29.3.178511</w:t>
      </w:r>
    </w:p>
    <w:p w14:paraId="19FF1895" w14:textId="77777777" w:rsidR="008B1AB4" w:rsidRPr="008B1AB4" w:rsidRDefault="008B1AB4" w:rsidP="008B1AB4">
      <w:pPr>
        <w:spacing w:line="360" w:lineRule="auto"/>
        <w:rPr>
          <w:rFonts w:eastAsia="Calibri"/>
          <w:bCs/>
          <w:shd w:val="clear" w:color="auto" w:fill="FFFFFF"/>
          <w:lang w:val="en-US" w:eastAsia="en-US"/>
        </w:rPr>
      </w:pPr>
      <w:r w:rsidRPr="008B1AB4">
        <w:rPr>
          <w:rFonts w:eastAsia="Calibri"/>
          <w:bCs/>
          <w:shd w:val="clear" w:color="auto" w:fill="FFFFFF"/>
          <w:lang w:val="es-PE" w:eastAsia="en-US"/>
        </w:rPr>
        <w:lastRenderedPageBreak/>
        <w:t xml:space="preserve">13. Ruiz PG, Morales-García WC, White M, </w:t>
      </w:r>
      <w:proofErr w:type="spellStart"/>
      <w:r w:rsidRPr="008B1AB4">
        <w:rPr>
          <w:rFonts w:eastAsia="Calibri"/>
          <w:bCs/>
          <w:shd w:val="clear" w:color="auto" w:fill="FFFFFF"/>
          <w:lang w:val="es-PE" w:eastAsia="en-US"/>
        </w:rPr>
        <w:t>Marquez</w:t>
      </w:r>
      <w:proofErr w:type="spellEnd"/>
      <w:r w:rsidRPr="008B1AB4">
        <w:rPr>
          <w:rFonts w:eastAsia="Calibri"/>
          <w:bCs/>
          <w:shd w:val="clear" w:color="auto" w:fill="FFFFFF"/>
          <w:lang w:val="es-PE" w:eastAsia="en-US"/>
        </w:rPr>
        <w:t xml:space="preserve">-Ruiz MS. </w:t>
      </w:r>
      <w:r w:rsidRPr="008B1AB4">
        <w:rPr>
          <w:rFonts w:eastAsia="Calibri"/>
          <w:bCs/>
          <w:shd w:val="clear" w:color="auto" w:fill="FFFFFF"/>
          <w:lang w:val="en-US" w:eastAsia="en-US"/>
        </w:rPr>
        <w:t>Properties of a scale of concern for COVID-19: Exploratory analysis in a Peruvian sample. Med Clin (</w:t>
      </w:r>
      <w:proofErr w:type="spellStart"/>
      <w:r w:rsidRPr="008B1AB4">
        <w:rPr>
          <w:rFonts w:eastAsia="Calibri"/>
          <w:bCs/>
          <w:shd w:val="clear" w:color="auto" w:fill="FFFFFF"/>
          <w:lang w:val="en-US" w:eastAsia="en-US"/>
        </w:rPr>
        <w:t>Barc</w:t>
      </w:r>
      <w:proofErr w:type="spellEnd"/>
      <w:r w:rsidRPr="008B1AB4">
        <w:rPr>
          <w:rFonts w:eastAsia="Calibri"/>
          <w:bCs/>
          <w:shd w:val="clear" w:color="auto" w:fill="FFFFFF"/>
          <w:lang w:val="en-US" w:eastAsia="en-US"/>
        </w:rPr>
        <w:t>). 2020; 3-5. DOI: 10.1016/j.medcli.2020.06.022</w:t>
      </w:r>
    </w:p>
    <w:p w14:paraId="6A5EC752"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n-US" w:eastAsia="en-US"/>
        </w:rPr>
        <w:t xml:space="preserve">14. Zhong QY, </w:t>
      </w:r>
      <w:proofErr w:type="spellStart"/>
      <w:r w:rsidRPr="008B1AB4">
        <w:rPr>
          <w:rFonts w:eastAsia="Calibri"/>
          <w:bCs/>
          <w:shd w:val="clear" w:color="auto" w:fill="FFFFFF"/>
          <w:lang w:val="en-US" w:eastAsia="en-US"/>
        </w:rPr>
        <w:t>Gelaye</w:t>
      </w:r>
      <w:proofErr w:type="spellEnd"/>
      <w:r w:rsidRPr="008B1AB4">
        <w:rPr>
          <w:rFonts w:eastAsia="Calibri"/>
          <w:bCs/>
          <w:shd w:val="clear" w:color="auto" w:fill="FFFFFF"/>
          <w:lang w:val="en-US" w:eastAsia="en-US"/>
        </w:rPr>
        <w:t xml:space="preserve"> B, </w:t>
      </w:r>
      <w:proofErr w:type="spellStart"/>
      <w:r w:rsidRPr="008B1AB4">
        <w:rPr>
          <w:rFonts w:eastAsia="Calibri"/>
          <w:bCs/>
          <w:shd w:val="clear" w:color="auto" w:fill="FFFFFF"/>
          <w:lang w:val="en-US" w:eastAsia="en-US"/>
        </w:rPr>
        <w:t>Zaslavsky</w:t>
      </w:r>
      <w:proofErr w:type="spellEnd"/>
      <w:r w:rsidRPr="008B1AB4">
        <w:rPr>
          <w:rFonts w:eastAsia="Calibri"/>
          <w:bCs/>
          <w:shd w:val="clear" w:color="auto" w:fill="FFFFFF"/>
          <w:lang w:val="en-US" w:eastAsia="en-US"/>
        </w:rPr>
        <w:t xml:space="preserve"> A, </w:t>
      </w:r>
      <w:proofErr w:type="spellStart"/>
      <w:r w:rsidRPr="008B1AB4">
        <w:rPr>
          <w:rFonts w:eastAsia="Calibri"/>
          <w:bCs/>
          <w:shd w:val="clear" w:color="auto" w:fill="FFFFFF"/>
          <w:lang w:val="en-US" w:eastAsia="en-US"/>
        </w:rPr>
        <w:t>Fann</w:t>
      </w:r>
      <w:proofErr w:type="spellEnd"/>
      <w:r w:rsidRPr="008B1AB4">
        <w:rPr>
          <w:rFonts w:eastAsia="Calibri"/>
          <w:bCs/>
          <w:shd w:val="clear" w:color="auto" w:fill="FFFFFF"/>
          <w:lang w:val="en-US" w:eastAsia="en-US"/>
        </w:rPr>
        <w:t xml:space="preserve"> J, </w:t>
      </w:r>
      <w:proofErr w:type="spellStart"/>
      <w:r w:rsidRPr="008B1AB4">
        <w:rPr>
          <w:rFonts w:eastAsia="Calibri"/>
          <w:bCs/>
          <w:shd w:val="clear" w:color="auto" w:fill="FFFFFF"/>
          <w:lang w:val="en-US" w:eastAsia="en-US"/>
        </w:rPr>
        <w:t>Rondon</w:t>
      </w:r>
      <w:proofErr w:type="spellEnd"/>
      <w:r w:rsidRPr="008B1AB4">
        <w:rPr>
          <w:rFonts w:eastAsia="Calibri"/>
          <w:bCs/>
          <w:shd w:val="clear" w:color="auto" w:fill="FFFFFF"/>
          <w:lang w:val="en-US" w:eastAsia="en-US"/>
        </w:rPr>
        <w:t xml:space="preserve"> M, </w:t>
      </w:r>
      <w:proofErr w:type="spellStart"/>
      <w:r w:rsidRPr="008B1AB4">
        <w:rPr>
          <w:rFonts w:eastAsia="Calibri"/>
          <w:bCs/>
          <w:shd w:val="clear" w:color="auto" w:fill="FFFFFF"/>
          <w:lang w:val="en-US" w:eastAsia="en-US"/>
        </w:rPr>
        <w:t>Sanches</w:t>
      </w:r>
      <w:proofErr w:type="spellEnd"/>
      <w:r w:rsidRPr="008B1AB4">
        <w:rPr>
          <w:rFonts w:eastAsia="Calibri"/>
          <w:bCs/>
          <w:shd w:val="clear" w:color="auto" w:fill="FFFFFF"/>
          <w:lang w:val="en-US" w:eastAsia="en-US"/>
        </w:rPr>
        <w:t xml:space="preserve"> S, Williams M. Diagnostic Validity of the Generalized Anxiety Disorder - 7 (GAD-7) among Pregnant Women. </w:t>
      </w:r>
      <w:proofErr w:type="spellStart"/>
      <w:r w:rsidRPr="008B1AB4">
        <w:rPr>
          <w:rFonts w:eastAsia="Calibri"/>
          <w:bCs/>
          <w:shd w:val="clear" w:color="auto" w:fill="FFFFFF"/>
          <w:lang w:val="es-PE" w:eastAsia="en-US"/>
        </w:rPr>
        <w:t>PLoS</w:t>
      </w:r>
      <w:proofErr w:type="spellEnd"/>
      <w:r w:rsidRPr="008B1AB4">
        <w:rPr>
          <w:rFonts w:eastAsia="Calibri"/>
          <w:bCs/>
          <w:shd w:val="clear" w:color="auto" w:fill="FFFFFF"/>
          <w:lang w:val="es-PE" w:eastAsia="en-US"/>
        </w:rPr>
        <w:t xml:space="preserve"> </w:t>
      </w:r>
      <w:proofErr w:type="spellStart"/>
      <w:r w:rsidRPr="008B1AB4">
        <w:rPr>
          <w:rFonts w:eastAsia="Calibri"/>
          <w:bCs/>
          <w:shd w:val="clear" w:color="auto" w:fill="FFFFFF"/>
          <w:lang w:val="es-PE" w:eastAsia="en-US"/>
        </w:rPr>
        <w:t>One</w:t>
      </w:r>
      <w:proofErr w:type="spellEnd"/>
      <w:r w:rsidRPr="008B1AB4">
        <w:rPr>
          <w:rFonts w:eastAsia="Calibri"/>
          <w:bCs/>
          <w:shd w:val="clear" w:color="auto" w:fill="FFFFFF"/>
          <w:lang w:val="es-PE" w:eastAsia="en-US"/>
        </w:rPr>
        <w:t xml:space="preserve">. 2015; 10(4): e0125096. DOI: 10.1371/journal.pone.0125096 </w:t>
      </w:r>
    </w:p>
    <w:p w14:paraId="511181A9"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15. Caycho-Rodríguez T, Ventura-León J, Azabache-Alvarado K, Reyes-Bossio M, Cabrera-Orosco I. Validez e invariancia factorial del Índice de Bienestar General (WHO-5 WBI) en universitarios peruanos. </w:t>
      </w:r>
      <w:proofErr w:type="spellStart"/>
      <w:r w:rsidRPr="008B1AB4">
        <w:rPr>
          <w:rFonts w:eastAsia="Calibri"/>
          <w:bCs/>
          <w:shd w:val="clear" w:color="auto" w:fill="FFFFFF"/>
          <w:lang w:val="es-PE" w:eastAsia="en-US"/>
        </w:rPr>
        <w:t>Rev</w:t>
      </w:r>
      <w:proofErr w:type="spellEnd"/>
      <w:r w:rsidRPr="008B1AB4">
        <w:rPr>
          <w:rFonts w:eastAsia="Calibri"/>
          <w:bCs/>
          <w:shd w:val="clear" w:color="auto" w:fill="FFFFFF"/>
          <w:lang w:val="es-PE" w:eastAsia="en-US"/>
        </w:rPr>
        <w:t xml:space="preserve"> </w:t>
      </w:r>
      <w:proofErr w:type="spellStart"/>
      <w:r w:rsidRPr="008B1AB4">
        <w:rPr>
          <w:rFonts w:eastAsia="Calibri"/>
          <w:bCs/>
          <w:shd w:val="clear" w:color="auto" w:fill="FFFFFF"/>
          <w:lang w:val="es-PE" w:eastAsia="en-US"/>
        </w:rPr>
        <w:t>Cienc</w:t>
      </w:r>
      <w:proofErr w:type="spellEnd"/>
      <w:r w:rsidRPr="008B1AB4">
        <w:rPr>
          <w:rFonts w:eastAsia="Calibri"/>
          <w:bCs/>
          <w:shd w:val="clear" w:color="auto" w:fill="FFFFFF"/>
          <w:lang w:val="es-PE" w:eastAsia="en-US"/>
        </w:rPr>
        <w:t xml:space="preserve"> Salud. 2020; 18(3):1-23. DOI: 10.12804/revistas.urosario.edu.co/</w:t>
      </w:r>
      <w:proofErr w:type="spellStart"/>
      <w:r w:rsidRPr="008B1AB4">
        <w:rPr>
          <w:rFonts w:eastAsia="Calibri"/>
          <w:bCs/>
          <w:shd w:val="clear" w:color="auto" w:fill="FFFFFF"/>
          <w:lang w:val="es-PE" w:eastAsia="en-US"/>
        </w:rPr>
        <w:t>revsalud</w:t>
      </w:r>
      <w:proofErr w:type="spellEnd"/>
      <w:r w:rsidRPr="008B1AB4">
        <w:rPr>
          <w:rFonts w:eastAsia="Calibri"/>
          <w:bCs/>
          <w:shd w:val="clear" w:color="auto" w:fill="FFFFFF"/>
          <w:lang w:val="es-PE" w:eastAsia="en-US"/>
        </w:rPr>
        <w:t>/a.9797</w:t>
      </w:r>
    </w:p>
    <w:p w14:paraId="27A80750" w14:textId="77777777" w:rsidR="008B1AB4" w:rsidRPr="008B1AB4" w:rsidRDefault="008B1AB4" w:rsidP="008B1AB4">
      <w:pPr>
        <w:spacing w:line="360" w:lineRule="auto"/>
        <w:rPr>
          <w:rFonts w:eastAsia="Calibri"/>
          <w:bCs/>
          <w:shd w:val="clear" w:color="auto" w:fill="FFFFFF"/>
          <w:lang w:val="en-US" w:eastAsia="en-US"/>
        </w:rPr>
      </w:pPr>
      <w:r w:rsidRPr="008B1AB4">
        <w:rPr>
          <w:rFonts w:eastAsia="Calibri"/>
          <w:bCs/>
          <w:shd w:val="clear" w:color="auto" w:fill="FFFFFF"/>
          <w:lang w:val="es-PE" w:eastAsia="en-US"/>
        </w:rPr>
        <w:t xml:space="preserve">16. Ventura-León J. De regreso a la validez basada en el contenido. </w:t>
      </w:r>
      <w:proofErr w:type="spellStart"/>
      <w:r w:rsidRPr="008B1AB4">
        <w:rPr>
          <w:rFonts w:eastAsia="Calibri"/>
          <w:bCs/>
          <w:shd w:val="clear" w:color="auto" w:fill="FFFFFF"/>
          <w:lang w:val="en-US" w:eastAsia="en-US"/>
        </w:rPr>
        <w:t>Adicciones</w:t>
      </w:r>
      <w:proofErr w:type="spellEnd"/>
      <w:r w:rsidRPr="008B1AB4">
        <w:rPr>
          <w:rFonts w:eastAsia="Calibri"/>
          <w:bCs/>
          <w:shd w:val="clear" w:color="auto" w:fill="FFFFFF"/>
          <w:lang w:val="en-US" w:eastAsia="en-US"/>
        </w:rPr>
        <w:t>. 2019; 31; 1:1-3. DOI:10.20882/adicciones.1213</w:t>
      </w:r>
    </w:p>
    <w:p w14:paraId="742D5682" w14:textId="77777777" w:rsidR="008B1AB4" w:rsidRPr="008B1AB4" w:rsidRDefault="008B1AB4" w:rsidP="008B1AB4">
      <w:pPr>
        <w:spacing w:line="360" w:lineRule="auto"/>
        <w:rPr>
          <w:rFonts w:eastAsia="Calibri"/>
          <w:bCs/>
          <w:shd w:val="clear" w:color="auto" w:fill="FFFFFF"/>
          <w:lang w:val="es-CU" w:eastAsia="en-US"/>
        </w:rPr>
      </w:pPr>
      <w:r w:rsidRPr="008B1AB4">
        <w:rPr>
          <w:rFonts w:eastAsia="Calibri"/>
          <w:bCs/>
          <w:shd w:val="clear" w:color="auto" w:fill="FFFFFF"/>
          <w:lang w:val="en-US" w:eastAsia="en-US"/>
        </w:rPr>
        <w:t xml:space="preserve">17. Hu LT, </w:t>
      </w:r>
      <w:proofErr w:type="spellStart"/>
      <w:r w:rsidRPr="008B1AB4">
        <w:rPr>
          <w:rFonts w:eastAsia="Calibri"/>
          <w:bCs/>
          <w:shd w:val="clear" w:color="auto" w:fill="FFFFFF"/>
          <w:lang w:val="en-US" w:eastAsia="en-US"/>
        </w:rPr>
        <w:t>Bentler</w:t>
      </w:r>
      <w:proofErr w:type="spellEnd"/>
      <w:r w:rsidRPr="008B1AB4">
        <w:rPr>
          <w:rFonts w:eastAsia="Calibri"/>
          <w:bCs/>
          <w:shd w:val="clear" w:color="auto" w:fill="FFFFFF"/>
          <w:lang w:val="en-US" w:eastAsia="en-US"/>
        </w:rPr>
        <w:t xml:space="preserve"> PM. Cutoff criteria for fits indexes in covariance structure analysis: Conventional criteria versus new alternatives. </w:t>
      </w:r>
      <w:proofErr w:type="spellStart"/>
      <w:r w:rsidRPr="008B1AB4">
        <w:rPr>
          <w:rFonts w:eastAsia="Calibri"/>
          <w:bCs/>
          <w:shd w:val="clear" w:color="auto" w:fill="FFFFFF"/>
          <w:lang w:val="es-CU" w:eastAsia="en-US"/>
        </w:rPr>
        <w:t>Structural</w:t>
      </w:r>
      <w:proofErr w:type="spellEnd"/>
      <w:r w:rsidRPr="008B1AB4">
        <w:rPr>
          <w:rFonts w:eastAsia="Calibri"/>
          <w:bCs/>
          <w:shd w:val="clear" w:color="auto" w:fill="FFFFFF"/>
          <w:lang w:val="es-CU" w:eastAsia="en-US"/>
        </w:rPr>
        <w:t xml:space="preserve"> </w:t>
      </w:r>
      <w:proofErr w:type="spellStart"/>
      <w:r w:rsidRPr="008B1AB4">
        <w:rPr>
          <w:rFonts w:eastAsia="Calibri"/>
          <w:bCs/>
          <w:shd w:val="clear" w:color="auto" w:fill="FFFFFF"/>
          <w:lang w:val="es-CU" w:eastAsia="en-US"/>
        </w:rPr>
        <w:t>Equation</w:t>
      </w:r>
      <w:proofErr w:type="spellEnd"/>
      <w:r w:rsidRPr="008B1AB4">
        <w:rPr>
          <w:rFonts w:eastAsia="Calibri"/>
          <w:bCs/>
          <w:shd w:val="clear" w:color="auto" w:fill="FFFFFF"/>
          <w:lang w:val="es-CU" w:eastAsia="en-US"/>
        </w:rPr>
        <w:t xml:space="preserve"> </w:t>
      </w:r>
      <w:proofErr w:type="spellStart"/>
      <w:r w:rsidRPr="008B1AB4">
        <w:rPr>
          <w:rFonts w:eastAsia="Calibri"/>
          <w:bCs/>
          <w:shd w:val="clear" w:color="auto" w:fill="FFFFFF"/>
          <w:lang w:val="es-CU" w:eastAsia="en-US"/>
        </w:rPr>
        <w:t>Modeling</w:t>
      </w:r>
      <w:proofErr w:type="spellEnd"/>
      <w:r w:rsidRPr="008B1AB4">
        <w:rPr>
          <w:rFonts w:eastAsia="Calibri"/>
          <w:bCs/>
          <w:shd w:val="clear" w:color="auto" w:fill="FFFFFF"/>
          <w:lang w:val="es-CU" w:eastAsia="en-US"/>
        </w:rPr>
        <w:t xml:space="preserve">: A </w:t>
      </w:r>
      <w:proofErr w:type="spellStart"/>
      <w:r w:rsidRPr="008B1AB4">
        <w:rPr>
          <w:rFonts w:eastAsia="Calibri"/>
          <w:bCs/>
          <w:shd w:val="clear" w:color="auto" w:fill="FFFFFF"/>
          <w:lang w:val="es-CU" w:eastAsia="en-US"/>
        </w:rPr>
        <w:t>multidisciplinary</w:t>
      </w:r>
      <w:proofErr w:type="spellEnd"/>
      <w:r w:rsidRPr="008B1AB4">
        <w:rPr>
          <w:rFonts w:eastAsia="Calibri"/>
          <w:bCs/>
          <w:shd w:val="clear" w:color="auto" w:fill="FFFFFF"/>
          <w:lang w:val="es-CU" w:eastAsia="en-US"/>
        </w:rPr>
        <w:t xml:space="preserve"> </w:t>
      </w:r>
      <w:proofErr w:type="spellStart"/>
      <w:r w:rsidRPr="008B1AB4">
        <w:rPr>
          <w:rFonts w:eastAsia="Calibri"/>
          <w:bCs/>
          <w:shd w:val="clear" w:color="auto" w:fill="FFFFFF"/>
          <w:lang w:val="es-CU" w:eastAsia="en-US"/>
        </w:rPr>
        <w:t>Journal</w:t>
      </w:r>
      <w:proofErr w:type="spellEnd"/>
      <w:r w:rsidRPr="008B1AB4">
        <w:rPr>
          <w:rFonts w:eastAsia="Calibri"/>
          <w:bCs/>
          <w:shd w:val="clear" w:color="auto" w:fill="FFFFFF"/>
          <w:lang w:val="es-CU" w:eastAsia="en-US"/>
        </w:rPr>
        <w:t xml:space="preserve">. 1999; 6: 1-55. DOI:10.1080/10705519909540118   </w:t>
      </w:r>
    </w:p>
    <w:p w14:paraId="0A5CC040"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CU" w:eastAsia="en-US"/>
        </w:rPr>
        <w:t xml:space="preserve">18. </w:t>
      </w:r>
      <w:proofErr w:type="spellStart"/>
      <w:r w:rsidRPr="008B1AB4">
        <w:rPr>
          <w:rFonts w:eastAsia="Calibri"/>
          <w:bCs/>
          <w:shd w:val="clear" w:color="auto" w:fill="FFFFFF"/>
          <w:lang w:val="es-CU" w:eastAsia="en-US"/>
        </w:rPr>
        <w:t>Dominguez</w:t>
      </w:r>
      <w:proofErr w:type="spellEnd"/>
      <w:r w:rsidRPr="008B1AB4">
        <w:rPr>
          <w:rFonts w:eastAsia="Calibri"/>
          <w:bCs/>
          <w:shd w:val="clear" w:color="auto" w:fill="FFFFFF"/>
          <w:lang w:val="es-CU" w:eastAsia="en-US"/>
        </w:rPr>
        <w:t xml:space="preserve"> Lara SA. </w:t>
      </w:r>
      <w:r w:rsidRPr="008B1AB4">
        <w:rPr>
          <w:rFonts w:eastAsia="Calibri"/>
          <w:bCs/>
          <w:shd w:val="clear" w:color="auto" w:fill="FFFFFF"/>
          <w:lang w:val="es-PE" w:eastAsia="en-US"/>
        </w:rPr>
        <w:t xml:space="preserve">Análisis Psicométrico de la Escala de Bienestar Psicológico para Adultos en estudiantes universitarios de Lima: un enfoque de ecuaciones estructurales. </w:t>
      </w:r>
      <w:proofErr w:type="spellStart"/>
      <w:r w:rsidRPr="008B1AB4">
        <w:rPr>
          <w:rFonts w:eastAsia="Calibri"/>
          <w:bCs/>
          <w:shd w:val="clear" w:color="auto" w:fill="FFFFFF"/>
          <w:lang w:val="es-PE" w:eastAsia="en-US"/>
        </w:rPr>
        <w:t>Psychologia</w:t>
      </w:r>
      <w:proofErr w:type="spellEnd"/>
      <w:r w:rsidRPr="008B1AB4">
        <w:rPr>
          <w:rFonts w:eastAsia="Calibri"/>
          <w:bCs/>
          <w:shd w:val="clear" w:color="auto" w:fill="FFFFFF"/>
          <w:lang w:val="es-PE" w:eastAsia="en-US"/>
        </w:rPr>
        <w:t xml:space="preserve">: Avances en la disciplina, 2014 [acceso: 26/02/2021];8(1):23-31. Disponible en: </w:t>
      </w:r>
      <w:hyperlink r:id="rId17" w:history="1">
        <w:r w:rsidRPr="008B1AB4">
          <w:rPr>
            <w:rFonts w:eastAsia="Calibri"/>
            <w:bCs/>
            <w:u w:val="single"/>
            <w:shd w:val="clear" w:color="auto" w:fill="FFFFFF"/>
            <w:lang w:val="es-PE" w:eastAsia="en-US"/>
          </w:rPr>
          <w:t>https://revistas.usb.edu.co/index.php/Psychologia/article/view/1211/1003</w:t>
        </w:r>
      </w:hyperlink>
      <w:r w:rsidRPr="008B1AB4">
        <w:rPr>
          <w:rFonts w:eastAsia="Calibri"/>
          <w:bCs/>
          <w:u w:val="single"/>
          <w:shd w:val="clear" w:color="auto" w:fill="FFFFFF"/>
          <w:lang w:val="es-PE" w:eastAsia="en-US"/>
        </w:rPr>
        <w:t xml:space="preserve"> </w:t>
      </w:r>
      <w:r w:rsidRPr="008B1AB4">
        <w:rPr>
          <w:rFonts w:eastAsia="Calibri"/>
          <w:bCs/>
          <w:shd w:val="clear" w:color="auto" w:fill="FFFFFF"/>
          <w:lang w:val="es-PE" w:eastAsia="en-US"/>
        </w:rPr>
        <w:t xml:space="preserve"> </w:t>
      </w:r>
    </w:p>
    <w:p w14:paraId="23481704" w14:textId="77777777" w:rsidR="008B1AB4" w:rsidRPr="008B1AB4" w:rsidRDefault="008B1AB4" w:rsidP="008B1AB4">
      <w:pPr>
        <w:spacing w:line="360" w:lineRule="auto"/>
        <w:rPr>
          <w:rFonts w:eastAsia="Calibri"/>
          <w:bCs/>
          <w:shd w:val="clear" w:color="auto" w:fill="FFFFFF"/>
          <w:lang w:val="en-US" w:eastAsia="en-US"/>
        </w:rPr>
      </w:pPr>
      <w:r w:rsidRPr="008B1AB4">
        <w:rPr>
          <w:rFonts w:eastAsia="Calibri"/>
          <w:bCs/>
          <w:shd w:val="clear" w:color="auto" w:fill="FFFFFF"/>
          <w:lang w:val="en-US" w:eastAsia="en-US"/>
        </w:rPr>
        <w:t>19. Le Page M. Threats from new variants. New Sci 2021; 249(3316):8–9. DOI:10.1016/S0262-4079(21)00003-8</w:t>
      </w:r>
    </w:p>
    <w:p w14:paraId="1FA7BE09"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n-US" w:eastAsia="en-US"/>
        </w:rPr>
        <w:t xml:space="preserve">20. </w:t>
      </w:r>
      <w:proofErr w:type="spellStart"/>
      <w:r w:rsidRPr="008B1AB4">
        <w:rPr>
          <w:rFonts w:eastAsia="Calibri"/>
          <w:bCs/>
          <w:shd w:val="clear" w:color="auto" w:fill="FFFFFF"/>
          <w:lang w:val="en-US" w:eastAsia="en-US"/>
        </w:rPr>
        <w:t>Mahase</w:t>
      </w:r>
      <w:proofErr w:type="spellEnd"/>
      <w:r w:rsidRPr="008B1AB4">
        <w:rPr>
          <w:rFonts w:eastAsia="Calibri"/>
          <w:bCs/>
          <w:shd w:val="clear" w:color="auto" w:fill="FFFFFF"/>
          <w:lang w:val="en-US" w:eastAsia="en-US"/>
        </w:rPr>
        <w:t xml:space="preserve"> E. Covid-19: What have we learnt about the new variant in the UK? BMJ. 2020; 371(1):1-2. </w:t>
      </w:r>
      <w:r w:rsidRPr="008B1AB4">
        <w:rPr>
          <w:rFonts w:eastAsia="Calibri"/>
          <w:bCs/>
          <w:shd w:val="clear" w:color="auto" w:fill="FFFFFF"/>
          <w:lang w:val="es-PE" w:eastAsia="en-US"/>
        </w:rPr>
        <w:t>DOI: 10.1136/bmj.m4944</w:t>
      </w:r>
    </w:p>
    <w:p w14:paraId="013220FC" w14:textId="77777777" w:rsidR="008B1AB4" w:rsidRPr="008B1AB4" w:rsidRDefault="008B1AB4" w:rsidP="008B1AB4">
      <w:pPr>
        <w:tabs>
          <w:tab w:val="left" w:pos="2694"/>
        </w:tabs>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21. Comas I, Estévez Torreblanca M. Iñaki Comas, investigador: La nueva variante de COVID demuestra que hay que saber tomar a tiempo medidas para evitar una propagación tan rápida. El Diario. Diario de Prensa Digital; 2020 [acceso: 24/02/2021]. Disponible en: </w:t>
      </w:r>
      <w:hyperlink r:id="rId18" w:history="1">
        <w:r w:rsidRPr="008B1AB4">
          <w:rPr>
            <w:rFonts w:eastAsia="Calibri"/>
            <w:bCs/>
            <w:u w:val="single"/>
            <w:shd w:val="clear" w:color="auto" w:fill="FFFFFF"/>
            <w:lang w:val="es-PE" w:eastAsia="en-US"/>
          </w:rPr>
          <w:t>https://digital.csic.es/handle/10261/222034</w:t>
        </w:r>
      </w:hyperlink>
      <w:r w:rsidRPr="008B1AB4">
        <w:rPr>
          <w:rFonts w:eastAsia="Calibri"/>
          <w:bCs/>
          <w:u w:val="single"/>
          <w:shd w:val="clear" w:color="auto" w:fill="FFFFFF"/>
          <w:lang w:val="es-PE" w:eastAsia="en-US"/>
        </w:rPr>
        <w:t xml:space="preserve"> </w:t>
      </w:r>
      <w:r w:rsidRPr="008B1AB4">
        <w:rPr>
          <w:rFonts w:eastAsia="Calibri"/>
          <w:bCs/>
          <w:shd w:val="clear" w:color="auto" w:fill="FFFFFF"/>
          <w:lang w:val="es-PE" w:eastAsia="en-US"/>
        </w:rPr>
        <w:t xml:space="preserve"> </w:t>
      </w:r>
    </w:p>
    <w:p w14:paraId="7B28227C"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lastRenderedPageBreak/>
        <w:t xml:space="preserve">22. BBC News. Los países de América Latina donde todavía no han llegado vacunas contra covid-19 (y cuándo se espera que lo hagan). BBC News Mundo Redacción. 2021 [acceso: 26/02/2021]. Disponible en: </w:t>
      </w:r>
      <w:hyperlink r:id="rId19" w:history="1">
        <w:r w:rsidRPr="008B1AB4">
          <w:rPr>
            <w:rFonts w:eastAsia="Calibri"/>
            <w:bCs/>
            <w:u w:val="single"/>
            <w:shd w:val="clear" w:color="auto" w:fill="FFFFFF"/>
            <w:lang w:val="es-PE" w:eastAsia="en-US"/>
          </w:rPr>
          <w:t>https://www.bbc.com/mundo/noticias-america-latina-56168826</w:t>
        </w:r>
      </w:hyperlink>
      <w:r w:rsidRPr="008B1AB4">
        <w:rPr>
          <w:rFonts w:eastAsia="Calibri"/>
          <w:bCs/>
          <w:u w:val="single"/>
          <w:shd w:val="clear" w:color="auto" w:fill="FFFFFF"/>
          <w:lang w:val="es-PE" w:eastAsia="en-US"/>
        </w:rPr>
        <w:t xml:space="preserve"> </w:t>
      </w:r>
      <w:r w:rsidRPr="008B1AB4">
        <w:rPr>
          <w:rFonts w:eastAsia="Calibri"/>
          <w:bCs/>
          <w:shd w:val="clear" w:color="auto" w:fill="FFFFFF"/>
          <w:lang w:val="es-PE" w:eastAsia="en-US"/>
        </w:rPr>
        <w:t xml:space="preserve"> </w:t>
      </w:r>
    </w:p>
    <w:p w14:paraId="4DBFDF11"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23. González-Rivera JA, Rosario-Rodríguez A, Cruz-Santos A. Escala de Ansiedad por Coronavirus: Un Nuevo Instrumento para Medir Síntomas de Ansiedad Asociados al COVID-19. Interacciones. 2020; 6(3):163-71. DOI: 10.24016/2020.v6n3.163</w:t>
      </w:r>
    </w:p>
    <w:p w14:paraId="54DD6378"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24. Prieto </w:t>
      </w:r>
      <w:proofErr w:type="spellStart"/>
      <w:r w:rsidRPr="008B1AB4">
        <w:rPr>
          <w:rFonts w:eastAsia="Calibri"/>
          <w:bCs/>
          <w:shd w:val="clear" w:color="auto" w:fill="FFFFFF"/>
          <w:lang w:val="es-PE" w:eastAsia="en-US"/>
        </w:rPr>
        <w:t>Molinari</w:t>
      </w:r>
      <w:proofErr w:type="spellEnd"/>
      <w:r w:rsidRPr="008B1AB4">
        <w:rPr>
          <w:rFonts w:eastAsia="Calibri"/>
          <w:bCs/>
          <w:shd w:val="clear" w:color="auto" w:fill="FFFFFF"/>
          <w:lang w:val="es-PE" w:eastAsia="en-US"/>
        </w:rPr>
        <w:t xml:space="preserve"> DE, Aguirre Bravo GL, De </w:t>
      </w:r>
      <w:proofErr w:type="spellStart"/>
      <w:r w:rsidRPr="008B1AB4">
        <w:rPr>
          <w:rFonts w:eastAsia="Calibri"/>
          <w:bCs/>
          <w:shd w:val="clear" w:color="auto" w:fill="FFFFFF"/>
          <w:lang w:val="es-PE" w:eastAsia="en-US"/>
        </w:rPr>
        <w:t>Pierola</w:t>
      </w:r>
      <w:proofErr w:type="spellEnd"/>
      <w:r w:rsidRPr="008B1AB4">
        <w:rPr>
          <w:rFonts w:eastAsia="Calibri"/>
          <w:bCs/>
          <w:shd w:val="clear" w:color="auto" w:fill="FFFFFF"/>
          <w:lang w:val="es-PE" w:eastAsia="en-US"/>
        </w:rPr>
        <w:t xml:space="preserve"> I, Luna Victoria-De Bona G, Silva LA, Lazarte Núñez CS, et al. Depresión y ansiedad durante el aislamiento obligatorio por el COVID-19 en Lima Metropolitana. LIBERABIT Revista Peruana de Psicología. 2020; 26(2):425-39. DOI:10.24265/</w:t>
      </w:r>
      <w:proofErr w:type="gramStart"/>
      <w:r w:rsidRPr="008B1AB4">
        <w:rPr>
          <w:rFonts w:eastAsia="Calibri"/>
          <w:bCs/>
          <w:shd w:val="clear" w:color="auto" w:fill="FFFFFF"/>
          <w:lang w:val="es-PE" w:eastAsia="en-US"/>
        </w:rPr>
        <w:t>liberabit.2020.v</w:t>
      </w:r>
      <w:proofErr w:type="gramEnd"/>
      <w:r w:rsidRPr="008B1AB4">
        <w:rPr>
          <w:rFonts w:eastAsia="Calibri"/>
          <w:bCs/>
          <w:shd w:val="clear" w:color="auto" w:fill="FFFFFF"/>
          <w:lang w:val="es-PE" w:eastAsia="en-US"/>
        </w:rPr>
        <w:t>26n2.09</w:t>
      </w:r>
    </w:p>
    <w:p w14:paraId="4C3DD9B2"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25. Campo-Arias A, Pedrozo-Cortés MJ, Pedrozo-Pupo JC. Escala de estrés percibido relacionado con la pandemia de COVID-19: una exploración del desempeño psicométrico en línea. </w:t>
      </w:r>
      <w:proofErr w:type="spellStart"/>
      <w:r w:rsidRPr="008B1AB4">
        <w:rPr>
          <w:rFonts w:eastAsia="Calibri"/>
          <w:bCs/>
          <w:shd w:val="clear" w:color="auto" w:fill="FFFFFF"/>
          <w:lang w:val="es-PE" w:eastAsia="en-US"/>
        </w:rPr>
        <w:t>Rev</w:t>
      </w:r>
      <w:proofErr w:type="spellEnd"/>
      <w:r w:rsidRPr="008B1AB4">
        <w:rPr>
          <w:rFonts w:eastAsia="Calibri"/>
          <w:bCs/>
          <w:shd w:val="clear" w:color="auto" w:fill="FFFFFF"/>
          <w:lang w:val="es-PE" w:eastAsia="en-US"/>
        </w:rPr>
        <w:t xml:space="preserve"> </w:t>
      </w:r>
      <w:proofErr w:type="spellStart"/>
      <w:r w:rsidRPr="008B1AB4">
        <w:rPr>
          <w:rFonts w:eastAsia="Calibri"/>
          <w:bCs/>
          <w:shd w:val="clear" w:color="auto" w:fill="FFFFFF"/>
          <w:lang w:val="es-PE" w:eastAsia="en-US"/>
        </w:rPr>
        <w:t>Colomb</w:t>
      </w:r>
      <w:proofErr w:type="spellEnd"/>
      <w:r w:rsidRPr="008B1AB4">
        <w:rPr>
          <w:rFonts w:eastAsia="Calibri"/>
          <w:bCs/>
          <w:shd w:val="clear" w:color="auto" w:fill="FFFFFF"/>
          <w:lang w:val="es-PE" w:eastAsia="en-US"/>
        </w:rPr>
        <w:t xml:space="preserve"> </w:t>
      </w:r>
      <w:proofErr w:type="spellStart"/>
      <w:r w:rsidRPr="008B1AB4">
        <w:rPr>
          <w:rFonts w:eastAsia="Calibri"/>
          <w:bCs/>
          <w:shd w:val="clear" w:color="auto" w:fill="FFFFFF"/>
          <w:lang w:val="es-PE" w:eastAsia="en-US"/>
        </w:rPr>
        <w:t>Psiquiatr</w:t>
      </w:r>
      <w:proofErr w:type="spellEnd"/>
      <w:r w:rsidRPr="008B1AB4">
        <w:rPr>
          <w:rFonts w:eastAsia="Calibri"/>
          <w:bCs/>
          <w:shd w:val="clear" w:color="auto" w:fill="FFFFFF"/>
          <w:lang w:val="es-PE" w:eastAsia="en-US"/>
        </w:rPr>
        <w:t>. 2020; 49(4):229-30. DOI: 10.1016/j.rcp.2020.05.005</w:t>
      </w:r>
    </w:p>
    <w:p w14:paraId="7BD5591A"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26. </w:t>
      </w:r>
      <w:proofErr w:type="spellStart"/>
      <w:r w:rsidRPr="008B1AB4">
        <w:rPr>
          <w:rFonts w:eastAsia="Calibri"/>
          <w:bCs/>
          <w:shd w:val="clear" w:color="auto" w:fill="FFFFFF"/>
          <w:lang w:val="es-PE" w:eastAsia="en-US"/>
        </w:rPr>
        <w:t>Mejia</w:t>
      </w:r>
      <w:proofErr w:type="spellEnd"/>
      <w:r w:rsidRPr="008B1AB4">
        <w:rPr>
          <w:rFonts w:eastAsia="Calibri"/>
          <w:bCs/>
          <w:shd w:val="clear" w:color="auto" w:fill="FFFFFF"/>
          <w:lang w:val="es-PE" w:eastAsia="en-US"/>
        </w:rPr>
        <w:t xml:space="preserve"> CR, </w:t>
      </w:r>
      <w:proofErr w:type="spellStart"/>
      <w:r w:rsidRPr="008B1AB4">
        <w:rPr>
          <w:rFonts w:eastAsia="Calibri"/>
          <w:bCs/>
          <w:shd w:val="clear" w:color="auto" w:fill="FFFFFF"/>
          <w:lang w:val="es-PE" w:eastAsia="en-US"/>
        </w:rPr>
        <w:t>Rodriguez-Alarcon</w:t>
      </w:r>
      <w:proofErr w:type="spellEnd"/>
      <w:r w:rsidRPr="008B1AB4">
        <w:rPr>
          <w:rFonts w:eastAsia="Calibri"/>
          <w:bCs/>
          <w:shd w:val="clear" w:color="auto" w:fill="FFFFFF"/>
          <w:lang w:val="es-PE" w:eastAsia="en-US"/>
        </w:rPr>
        <w:t xml:space="preserve"> JF, Garay-</w:t>
      </w:r>
      <w:proofErr w:type="spellStart"/>
      <w:r w:rsidRPr="008B1AB4">
        <w:rPr>
          <w:rFonts w:eastAsia="Calibri"/>
          <w:bCs/>
          <w:shd w:val="clear" w:color="auto" w:fill="FFFFFF"/>
          <w:lang w:val="es-PE" w:eastAsia="en-US"/>
        </w:rPr>
        <w:t>Rios</w:t>
      </w:r>
      <w:proofErr w:type="spellEnd"/>
      <w:r w:rsidRPr="008B1AB4">
        <w:rPr>
          <w:rFonts w:eastAsia="Calibri"/>
          <w:bCs/>
          <w:shd w:val="clear" w:color="auto" w:fill="FFFFFF"/>
          <w:lang w:val="es-PE" w:eastAsia="en-US"/>
        </w:rPr>
        <w:t xml:space="preserve"> L, </w:t>
      </w:r>
      <w:proofErr w:type="spellStart"/>
      <w:r w:rsidRPr="008B1AB4">
        <w:rPr>
          <w:rFonts w:eastAsia="Calibri"/>
          <w:bCs/>
          <w:shd w:val="clear" w:color="auto" w:fill="FFFFFF"/>
          <w:lang w:val="es-PE" w:eastAsia="en-US"/>
        </w:rPr>
        <w:t>Enriquez-Anco</w:t>
      </w:r>
      <w:proofErr w:type="spellEnd"/>
      <w:r w:rsidRPr="008B1AB4">
        <w:rPr>
          <w:rFonts w:eastAsia="Calibri"/>
          <w:bCs/>
          <w:shd w:val="clear" w:color="auto" w:fill="FFFFFF"/>
          <w:lang w:val="es-PE" w:eastAsia="en-US"/>
        </w:rPr>
        <w:t xml:space="preserve"> M de G, Moreno A, </w:t>
      </w:r>
      <w:proofErr w:type="spellStart"/>
      <w:r w:rsidRPr="008B1AB4">
        <w:rPr>
          <w:rFonts w:eastAsia="Calibri"/>
          <w:bCs/>
          <w:shd w:val="clear" w:color="auto" w:fill="FFFFFF"/>
          <w:lang w:val="es-PE" w:eastAsia="en-US"/>
        </w:rPr>
        <w:t>Huaytán</w:t>
      </w:r>
      <w:proofErr w:type="spellEnd"/>
      <w:r w:rsidRPr="008B1AB4">
        <w:rPr>
          <w:rFonts w:eastAsia="Calibri"/>
          <w:bCs/>
          <w:shd w:val="clear" w:color="auto" w:fill="FFFFFF"/>
          <w:lang w:val="es-PE" w:eastAsia="en-US"/>
        </w:rPr>
        <w:t xml:space="preserve">-Rojas K, et al. Percepción de miedo o exageración que transmiten los medios de comunicación en la población peruana durante la pandemia de la COVID-19. Revista Cubana de Investigaciones Biomédicas. 2020 [acceso: 26/02/2021]; 39: 1-15.   Disponible en: </w:t>
      </w:r>
      <w:hyperlink r:id="rId20" w:history="1">
        <w:r w:rsidRPr="008B1AB4">
          <w:rPr>
            <w:rFonts w:eastAsia="Calibri"/>
            <w:bCs/>
            <w:u w:val="single"/>
            <w:shd w:val="clear" w:color="auto" w:fill="FFFFFF"/>
            <w:lang w:val="es-PE" w:eastAsia="en-US"/>
          </w:rPr>
          <w:t>http://www.revibiomedica.sld.cu/index.php/ibi/article/view/698</w:t>
        </w:r>
      </w:hyperlink>
      <w:r w:rsidRPr="008B1AB4">
        <w:rPr>
          <w:rFonts w:eastAsia="Calibri"/>
          <w:bCs/>
          <w:shd w:val="clear" w:color="auto" w:fill="FFFFFF"/>
          <w:lang w:val="es-PE" w:eastAsia="en-US"/>
        </w:rPr>
        <w:t xml:space="preserve"> </w:t>
      </w:r>
    </w:p>
    <w:p w14:paraId="42C839AC"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27. Monterrosa-Castro A, Dávila-Ruiz R, Mejía-Mantilla A, Contreras-Saldarriaga J, Mercado-Lara M, </w:t>
      </w:r>
      <w:proofErr w:type="spellStart"/>
      <w:r w:rsidRPr="008B1AB4">
        <w:rPr>
          <w:rFonts w:eastAsia="Calibri"/>
          <w:bCs/>
          <w:shd w:val="clear" w:color="auto" w:fill="FFFFFF"/>
          <w:lang w:val="es-PE" w:eastAsia="en-US"/>
        </w:rPr>
        <w:t>Florez</w:t>
      </w:r>
      <w:proofErr w:type="spellEnd"/>
      <w:r w:rsidRPr="008B1AB4">
        <w:rPr>
          <w:rFonts w:eastAsia="Calibri"/>
          <w:bCs/>
          <w:shd w:val="clear" w:color="auto" w:fill="FFFFFF"/>
          <w:lang w:val="es-PE" w:eastAsia="en-US"/>
        </w:rPr>
        <w:t xml:space="preserve">-Monterrosa C. Estrés laboral, ansiedad y miedo al COVID-19 en médicos generales colombianos. </w:t>
      </w:r>
      <w:proofErr w:type="spellStart"/>
      <w:r w:rsidRPr="008B1AB4">
        <w:rPr>
          <w:rFonts w:eastAsia="Calibri"/>
          <w:bCs/>
          <w:shd w:val="clear" w:color="auto" w:fill="FFFFFF"/>
          <w:lang w:val="es-PE" w:eastAsia="en-US"/>
        </w:rPr>
        <w:t>MedUNAB</w:t>
      </w:r>
      <w:proofErr w:type="spellEnd"/>
      <w:r w:rsidRPr="008B1AB4">
        <w:rPr>
          <w:rFonts w:eastAsia="Calibri"/>
          <w:bCs/>
          <w:shd w:val="clear" w:color="auto" w:fill="FFFFFF"/>
          <w:lang w:val="es-PE" w:eastAsia="en-US"/>
        </w:rPr>
        <w:t>. 2020; 23(2):195-213. DOI: 10.29375/01237047.3890</w:t>
      </w:r>
    </w:p>
    <w:p w14:paraId="165965CF" w14:textId="77777777" w:rsidR="008B1AB4" w:rsidRPr="008B1AB4" w:rsidRDefault="008B1AB4" w:rsidP="008B1AB4">
      <w:pPr>
        <w:spacing w:line="360" w:lineRule="auto"/>
        <w:rPr>
          <w:rFonts w:eastAsia="Calibri"/>
          <w:bCs/>
          <w:shd w:val="clear" w:color="auto" w:fill="FFFFFF"/>
          <w:lang w:val="es-PE" w:eastAsia="en-US"/>
        </w:rPr>
      </w:pPr>
      <w:r w:rsidRPr="008B1AB4">
        <w:rPr>
          <w:rFonts w:eastAsia="Calibri"/>
          <w:bCs/>
          <w:shd w:val="clear" w:color="auto" w:fill="FFFFFF"/>
          <w:lang w:val="es-PE" w:eastAsia="en-US"/>
        </w:rPr>
        <w:t xml:space="preserve">28. Gómez Becerra I, </w:t>
      </w:r>
      <w:proofErr w:type="spellStart"/>
      <w:r w:rsidRPr="008B1AB4">
        <w:rPr>
          <w:rFonts w:eastAsia="Calibri"/>
          <w:bCs/>
          <w:shd w:val="clear" w:color="auto" w:fill="FFFFFF"/>
          <w:lang w:val="es-PE" w:eastAsia="en-US"/>
        </w:rPr>
        <w:t>Flujas</w:t>
      </w:r>
      <w:proofErr w:type="spellEnd"/>
      <w:r w:rsidRPr="008B1AB4">
        <w:rPr>
          <w:rFonts w:eastAsia="Calibri"/>
          <w:bCs/>
          <w:shd w:val="clear" w:color="auto" w:fill="FFFFFF"/>
          <w:lang w:val="es-PE" w:eastAsia="en-US"/>
        </w:rPr>
        <w:t xml:space="preserve"> Contreras JM, Andrés Romero MP, Sánchez López P, Fernández Torres M. Evolución del estado psicológico y el miedo en la infancia y adolescencia durante el confinamiento por la COVID-19. Revista de Psicología Clínica con Niños y Adolescentes. 2020; 7(3):11-8. DOI: 10.21134/rpcna.2020.mon.2029</w:t>
      </w:r>
    </w:p>
    <w:p w14:paraId="7EA3865E" w14:textId="77777777" w:rsidR="008B1AB4" w:rsidRPr="008B1AB4" w:rsidRDefault="008B1AB4" w:rsidP="008B1AB4">
      <w:pPr>
        <w:spacing w:line="360" w:lineRule="auto"/>
        <w:jc w:val="center"/>
        <w:rPr>
          <w:rFonts w:eastAsia="Calibri"/>
          <w:b/>
          <w:bCs/>
          <w:shd w:val="clear" w:color="auto" w:fill="FFFFFF"/>
          <w:lang w:val="es-PE" w:eastAsia="en-US"/>
        </w:rPr>
      </w:pPr>
    </w:p>
    <w:p w14:paraId="6266D1FC" w14:textId="77777777" w:rsidR="008B1AB4" w:rsidRPr="008B1AB4" w:rsidRDefault="008B1AB4" w:rsidP="008B1AB4">
      <w:pPr>
        <w:spacing w:line="360" w:lineRule="auto"/>
        <w:jc w:val="center"/>
        <w:rPr>
          <w:rFonts w:eastAsia="Calibri"/>
          <w:b/>
          <w:bCs/>
          <w:shd w:val="clear" w:color="auto" w:fill="FFFFFF"/>
          <w:lang w:val="es-PE" w:eastAsia="en-US"/>
        </w:rPr>
      </w:pPr>
    </w:p>
    <w:p w14:paraId="0AA004CC" w14:textId="77777777" w:rsidR="00A63732" w:rsidRDefault="00A63732">
      <w:pPr>
        <w:rPr>
          <w:rFonts w:eastAsia="Calibri"/>
          <w:b/>
          <w:bCs/>
          <w:shd w:val="clear" w:color="auto" w:fill="FFFFFF"/>
          <w:lang w:val="es-PE" w:eastAsia="en-US"/>
        </w:rPr>
      </w:pPr>
      <w:r>
        <w:rPr>
          <w:rFonts w:eastAsia="Calibri"/>
          <w:b/>
          <w:bCs/>
          <w:shd w:val="clear" w:color="auto" w:fill="FFFFFF"/>
          <w:lang w:val="es-PE" w:eastAsia="en-US"/>
        </w:rPr>
        <w:br w:type="page"/>
      </w:r>
    </w:p>
    <w:p w14:paraId="1D92AAE8" w14:textId="2D936540" w:rsidR="008B1AB4" w:rsidRPr="008B1AB4" w:rsidRDefault="008B1AB4" w:rsidP="008B1AB4">
      <w:pPr>
        <w:spacing w:line="360" w:lineRule="auto"/>
        <w:jc w:val="center"/>
        <w:rPr>
          <w:rFonts w:eastAsia="Calibri"/>
          <w:b/>
          <w:bCs/>
          <w:shd w:val="clear" w:color="auto" w:fill="FFFFFF"/>
          <w:lang w:val="es-PE" w:eastAsia="en-US"/>
        </w:rPr>
      </w:pPr>
      <w:r w:rsidRPr="008B1AB4">
        <w:rPr>
          <w:rFonts w:eastAsia="Calibri"/>
          <w:b/>
          <w:bCs/>
          <w:shd w:val="clear" w:color="auto" w:fill="FFFFFF"/>
          <w:lang w:val="es-PE" w:eastAsia="en-US"/>
        </w:rPr>
        <w:lastRenderedPageBreak/>
        <w:t>Conflictos de interés</w:t>
      </w:r>
    </w:p>
    <w:p w14:paraId="1EB35183" w14:textId="77777777" w:rsidR="008B1AB4" w:rsidRPr="008B1AB4" w:rsidRDefault="008B1AB4" w:rsidP="008B1AB4">
      <w:pPr>
        <w:spacing w:line="360" w:lineRule="auto"/>
        <w:jc w:val="both"/>
        <w:rPr>
          <w:rFonts w:eastAsia="Calibri"/>
          <w:bCs/>
          <w:shd w:val="clear" w:color="auto" w:fill="FFFFFF"/>
          <w:lang w:val="es-PE" w:eastAsia="en-US"/>
        </w:rPr>
      </w:pPr>
      <w:r w:rsidRPr="008B1AB4">
        <w:rPr>
          <w:rFonts w:eastAsia="Calibri"/>
          <w:bCs/>
          <w:shd w:val="clear" w:color="auto" w:fill="FFFFFF"/>
          <w:lang w:val="es-PE" w:eastAsia="en-US"/>
        </w:rPr>
        <w:t>Los autores declaran no tener conflicto de interés en relación al presente artículo.</w:t>
      </w:r>
    </w:p>
    <w:p w14:paraId="604AD027" w14:textId="77777777" w:rsidR="008B1AB4" w:rsidRPr="008B1AB4" w:rsidRDefault="008B1AB4" w:rsidP="008B1AB4">
      <w:pPr>
        <w:spacing w:line="360" w:lineRule="auto"/>
        <w:jc w:val="center"/>
        <w:rPr>
          <w:rFonts w:eastAsia="Calibri"/>
          <w:b/>
          <w:bCs/>
          <w:shd w:val="clear" w:color="auto" w:fill="FFFFFF"/>
          <w:lang w:val="es-PE" w:eastAsia="en-US"/>
        </w:rPr>
      </w:pPr>
    </w:p>
    <w:p w14:paraId="31203F89" w14:textId="77777777" w:rsidR="008B1AB4" w:rsidRPr="008B1AB4" w:rsidRDefault="008B1AB4" w:rsidP="008B1AB4">
      <w:pPr>
        <w:spacing w:line="360" w:lineRule="auto"/>
        <w:jc w:val="center"/>
        <w:rPr>
          <w:rFonts w:eastAsia="Calibri"/>
          <w:b/>
          <w:bCs/>
          <w:shd w:val="clear" w:color="auto" w:fill="FFFFFF"/>
          <w:lang w:val="es-PE" w:eastAsia="en-US"/>
        </w:rPr>
      </w:pPr>
      <w:r w:rsidRPr="008B1AB4">
        <w:rPr>
          <w:rFonts w:eastAsia="Calibri"/>
          <w:b/>
          <w:bCs/>
          <w:shd w:val="clear" w:color="auto" w:fill="FFFFFF"/>
          <w:lang w:val="es-PE" w:eastAsia="en-US"/>
        </w:rPr>
        <w:t>Contribuciones de los autores</w:t>
      </w:r>
    </w:p>
    <w:p w14:paraId="3D323CAB"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Conceptualización: </w:t>
      </w:r>
      <w:r w:rsidRPr="008B1AB4">
        <w:rPr>
          <w:rFonts w:eastAsia="Calibri"/>
          <w:i/>
          <w:iCs/>
          <w:shd w:val="clear" w:color="auto" w:fill="FFFFFF"/>
          <w:lang w:val="es-419" w:eastAsia="en-US"/>
        </w:rPr>
        <w:t>Renzo Felipe Carranza Esteban, Oscar Mamani-Benito.</w:t>
      </w:r>
    </w:p>
    <w:p w14:paraId="4B4E340D"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Curación de datos: </w:t>
      </w:r>
      <w:r w:rsidRPr="008B1AB4">
        <w:rPr>
          <w:rFonts w:eastAsia="Calibri"/>
          <w:i/>
          <w:iCs/>
          <w:shd w:val="clear" w:color="auto" w:fill="FFFFFF"/>
          <w:lang w:val="es-419" w:eastAsia="en-US"/>
        </w:rPr>
        <w:t xml:space="preserve">Renzo Felipe Carranza Esteban, Oscar Mamani-Benito, Percy G. Ruiz Mamani, Christian R. </w:t>
      </w:r>
      <w:proofErr w:type="spellStart"/>
      <w:r w:rsidRPr="008B1AB4">
        <w:rPr>
          <w:rFonts w:eastAsia="Calibri"/>
          <w:i/>
          <w:iCs/>
          <w:shd w:val="clear" w:color="auto" w:fill="FFFFFF"/>
          <w:lang w:val="es-419" w:eastAsia="en-US"/>
        </w:rPr>
        <w:t>Mejia</w:t>
      </w:r>
      <w:proofErr w:type="spellEnd"/>
      <w:r w:rsidRPr="008B1AB4">
        <w:rPr>
          <w:rFonts w:eastAsia="Calibri"/>
          <w:i/>
          <w:iCs/>
          <w:shd w:val="clear" w:color="auto" w:fill="FFFFFF"/>
          <w:lang w:val="es-419" w:eastAsia="en-US"/>
        </w:rPr>
        <w:t>.</w:t>
      </w:r>
    </w:p>
    <w:p w14:paraId="122FBEF3"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Análisis formal: </w:t>
      </w:r>
      <w:r w:rsidRPr="008B1AB4">
        <w:rPr>
          <w:rFonts w:eastAsia="Calibri"/>
          <w:i/>
          <w:iCs/>
          <w:shd w:val="clear" w:color="auto" w:fill="FFFFFF"/>
          <w:lang w:val="es-419" w:eastAsia="en-US"/>
        </w:rPr>
        <w:t>Renzo Felipe Carranza Esteban, Oscar Mamani-Benito.</w:t>
      </w:r>
    </w:p>
    <w:p w14:paraId="4CBD3D27"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Investigación: </w:t>
      </w:r>
      <w:r w:rsidRPr="008B1AB4">
        <w:rPr>
          <w:rFonts w:eastAsia="Calibri"/>
          <w:i/>
          <w:iCs/>
          <w:shd w:val="clear" w:color="auto" w:fill="FFFFFF"/>
          <w:lang w:val="es-419" w:eastAsia="en-US"/>
        </w:rPr>
        <w:t xml:space="preserve">Renzo Felipe Carranza Esteban, Oscar Mamani-Benito, Percy G. Ruiz Mamani, Christian R. </w:t>
      </w:r>
      <w:proofErr w:type="spellStart"/>
      <w:r w:rsidRPr="008B1AB4">
        <w:rPr>
          <w:rFonts w:eastAsia="Calibri"/>
          <w:i/>
          <w:iCs/>
          <w:shd w:val="clear" w:color="auto" w:fill="FFFFFF"/>
          <w:lang w:val="es-419" w:eastAsia="en-US"/>
        </w:rPr>
        <w:t>Mejia</w:t>
      </w:r>
      <w:proofErr w:type="spellEnd"/>
      <w:r w:rsidRPr="008B1AB4">
        <w:rPr>
          <w:rFonts w:eastAsia="Calibri"/>
          <w:i/>
          <w:iCs/>
          <w:shd w:val="clear" w:color="auto" w:fill="FFFFFF"/>
          <w:lang w:val="es-419" w:eastAsia="en-US"/>
        </w:rPr>
        <w:t>.</w:t>
      </w:r>
    </w:p>
    <w:p w14:paraId="12DFE8F2" w14:textId="77777777" w:rsidR="008B1AB4" w:rsidRPr="008B1AB4" w:rsidRDefault="008B1AB4" w:rsidP="008B1AB4">
      <w:pPr>
        <w:spacing w:line="360" w:lineRule="auto"/>
        <w:jc w:val="both"/>
        <w:rPr>
          <w:rFonts w:eastAsia="Calibri"/>
          <w:i/>
          <w:iCs/>
          <w:shd w:val="clear" w:color="auto" w:fill="FFFFFF"/>
          <w:lang w:val="es-419" w:eastAsia="en-US"/>
        </w:rPr>
      </w:pPr>
      <w:r w:rsidRPr="008B1AB4">
        <w:rPr>
          <w:rFonts w:eastAsia="Calibri"/>
          <w:shd w:val="clear" w:color="auto" w:fill="FFFFFF"/>
          <w:lang w:val="es-419" w:eastAsia="en-US"/>
        </w:rPr>
        <w:t xml:space="preserve">Metodología: </w:t>
      </w:r>
      <w:r w:rsidRPr="008B1AB4">
        <w:rPr>
          <w:rFonts w:eastAsia="Calibri"/>
          <w:i/>
          <w:iCs/>
          <w:shd w:val="clear" w:color="auto" w:fill="FFFFFF"/>
          <w:lang w:val="es-419" w:eastAsia="en-US"/>
        </w:rPr>
        <w:t>Renzo Felipe Carranza Esteban, Oscar Mamani-Benito.</w:t>
      </w:r>
    </w:p>
    <w:p w14:paraId="32F85558"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Administración del proyecto: </w:t>
      </w:r>
      <w:r w:rsidRPr="008B1AB4">
        <w:rPr>
          <w:rFonts w:eastAsia="Calibri"/>
          <w:i/>
          <w:iCs/>
          <w:shd w:val="clear" w:color="auto" w:fill="FFFFFF"/>
          <w:lang w:val="es-419" w:eastAsia="en-US"/>
        </w:rPr>
        <w:t xml:space="preserve">Renzo Felipe Carranza Esteban, Oscar Mamani-Benito, Percy G. Ruiz Mamani, Christian R. </w:t>
      </w:r>
      <w:proofErr w:type="spellStart"/>
      <w:r w:rsidRPr="008B1AB4">
        <w:rPr>
          <w:rFonts w:eastAsia="Calibri"/>
          <w:i/>
          <w:iCs/>
          <w:shd w:val="clear" w:color="auto" w:fill="FFFFFF"/>
          <w:lang w:val="es-419" w:eastAsia="en-US"/>
        </w:rPr>
        <w:t>Mejia</w:t>
      </w:r>
      <w:proofErr w:type="spellEnd"/>
      <w:r w:rsidRPr="008B1AB4">
        <w:rPr>
          <w:rFonts w:eastAsia="Calibri"/>
          <w:i/>
          <w:iCs/>
          <w:shd w:val="clear" w:color="auto" w:fill="FFFFFF"/>
          <w:lang w:val="es-419" w:eastAsia="en-US"/>
        </w:rPr>
        <w:t>.</w:t>
      </w:r>
    </w:p>
    <w:p w14:paraId="7BEEEB1B"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Recursos: </w:t>
      </w:r>
      <w:r w:rsidRPr="008B1AB4">
        <w:rPr>
          <w:rFonts w:eastAsia="Calibri"/>
          <w:i/>
          <w:iCs/>
          <w:shd w:val="clear" w:color="auto" w:fill="FFFFFF"/>
          <w:lang w:val="es-419" w:eastAsia="en-US"/>
        </w:rPr>
        <w:t xml:space="preserve">Renzo Felipe Carranza Esteban, Oscar Mamani-Benito, Percy G. Ruiz Mamani, Christian R. </w:t>
      </w:r>
      <w:proofErr w:type="spellStart"/>
      <w:r w:rsidRPr="008B1AB4">
        <w:rPr>
          <w:rFonts w:eastAsia="Calibri"/>
          <w:i/>
          <w:iCs/>
          <w:shd w:val="clear" w:color="auto" w:fill="FFFFFF"/>
          <w:lang w:val="es-419" w:eastAsia="en-US"/>
        </w:rPr>
        <w:t>Mejia</w:t>
      </w:r>
      <w:proofErr w:type="spellEnd"/>
      <w:r w:rsidRPr="008B1AB4">
        <w:rPr>
          <w:rFonts w:eastAsia="Calibri"/>
          <w:i/>
          <w:iCs/>
          <w:shd w:val="clear" w:color="auto" w:fill="FFFFFF"/>
          <w:lang w:val="es-419" w:eastAsia="en-US"/>
        </w:rPr>
        <w:t>.</w:t>
      </w:r>
    </w:p>
    <w:p w14:paraId="17BE585B"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Supervisión: </w:t>
      </w:r>
      <w:r w:rsidRPr="008B1AB4">
        <w:rPr>
          <w:rFonts w:eastAsia="Calibri"/>
          <w:i/>
          <w:iCs/>
          <w:shd w:val="clear" w:color="auto" w:fill="FFFFFF"/>
          <w:lang w:val="es-419" w:eastAsia="en-US"/>
        </w:rPr>
        <w:t xml:space="preserve">Renzo Felipe Carranza Esteban, Oscar Mamani-Benito, Percy G. Ruiz Mamani, Christian R. </w:t>
      </w:r>
      <w:proofErr w:type="spellStart"/>
      <w:r w:rsidRPr="008B1AB4">
        <w:rPr>
          <w:rFonts w:eastAsia="Calibri"/>
          <w:i/>
          <w:iCs/>
          <w:shd w:val="clear" w:color="auto" w:fill="FFFFFF"/>
          <w:lang w:val="es-419" w:eastAsia="en-US"/>
        </w:rPr>
        <w:t>Mejia</w:t>
      </w:r>
      <w:proofErr w:type="spellEnd"/>
      <w:r w:rsidRPr="008B1AB4">
        <w:rPr>
          <w:rFonts w:eastAsia="Calibri"/>
          <w:i/>
          <w:iCs/>
          <w:shd w:val="clear" w:color="auto" w:fill="FFFFFF"/>
          <w:lang w:val="es-419" w:eastAsia="en-US"/>
        </w:rPr>
        <w:t>.</w:t>
      </w:r>
    </w:p>
    <w:p w14:paraId="7C50641C"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Validación: </w:t>
      </w:r>
      <w:r w:rsidRPr="008B1AB4">
        <w:rPr>
          <w:rFonts w:eastAsia="Calibri"/>
          <w:i/>
          <w:iCs/>
          <w:shd w:val="clear" w:color="auto" w:fill="FFFFFF"/>
          <w:lang w:val="es-419" w:eastAsia="en-US"/>
        </w:rPr>
        <w:t xml:space="preserve">Renzo Felipe Carranza Esteban, Oscar Mamani-Benito, Percy G. Ruiz Mamani, Christian R. </w:t>
      </w:r>
      <w:proofErr w:type="spellStart"/>
      <w:r w:rsidRPr="008B1AB4">
        <w:rPr>
          <w:rFonts w:eastAsia="Calibri"/>
          <w:i/>
          <w:iCs/>
          <w:shd w:val="clear" w:color="auto" w:fill="FFFFFF"/>
          <w:lang w:val="es-419" w:eastAsia="en-US"/>
        </w:rPr>
        <w:t>Mejia</w:t>
      </w:r>
      <w:proofErr w:type="spellEnd"/>
      <w:r w:rsidRPr="008B1AB4">
        <w:rPr>
          <w:rFonts w:eastAsia="Calibri"/>
          <w:i/>
          <w:iCs/>
          <w:shd w:val="clear" w:color="auto" w:fill="FFFFFF"/>
          <w:lang w:val="es-419" w:eastAsia="en-US"/>
        </w:rPr>
        <w:t>.</w:t>
      </w:r>
    </w:p>
    <w:p w14:paraId="331D8A32"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Visualización: </w:t>
      </w:r>
      <w:r w:rsidRPr="008B1AB4">
        <w:rPr>
          <w:rFonts w:eastAsia="Calibri"/>
          <w:i/>
          <w:iCs/>
          <w:shd w:val="clear" w:color="auto" w:fill="FFFFFF"/>
          <w:lang w:val="es-419" w:eastAsia="en-US"/>
        </w:rPr>
        <w:t xml:space="preserve">Renzo Felipe Carranza Esteban, Oscar Mamani-Benito, Percy G. Ruiz Mamani, Christian R. </w:t>
      </w:r>
      <w:proofErr w:type="spellStart"/>
      <w:r w:rsidRPr="008B1AB4">
        <w:rPr>
          <w:rFonts w:eastAsia="Calibri"/>
          <w:i/>
          <w:iCs/>
          <w:shd w:val="clear" w:color="auto" w:fill="FFFFFF"/>
          <w:lang w:val="es-419" w:eastAsia="en-US"/>
        </w:rPr>
        <w:t>Mejia</w:t>
      </w:r>
      <w:proofErr w:type="spellEnd"/>
      <w:r w:rsidRPr="008B1AB4">
        <w:rPr>
          <w:rFonts w:eastAsia="Calibri"/>
          <w:i/>
          <w:iCs/>
          <w:shd w:val="clear" w:color="auto" w:fill="FFFFFF"/>
          <w:lang w:val="es-419" w:eastAsia="en-US"/>
        </w:rPr>
        <w:t>.</w:t>
      </w:r>
    </w:p>
    <w:p w14:paraId="0F4B7C1B"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Redacción – borrador original: </w:t>
      </w:r>
      <w:r w:rsidRPr="008B1AB4">
        <w:rPr>
          <w:rFonts w:eastAsia="Calibri"/>
          <w:i/>
          <w:iCs/>
          <w:shd w:val="clear" w:color="auto" w:fill="FFFFFF"/>
          <w:lang w:val="es-419" w:eastAsia="en-US"/>
        </w:rPr>
        <w:t xml:space="preserve">Renzo Felipe Carranza Esteban, Oscar Mamani-Benito, Percy G. Ruiz Mamani, Christian R. </w:t>
      </w:r>
      <w:proofErr w:type="spellStart"/>
      <w:r w:rsidRPr="008B1AB4">
        <w:rPr>
          <w:rFonts w:eastAsia="Calibri"/>
          <w:i/>
          <w:iCs/>
          <w:shd w:val="clear" w:color="auto" w:fill="FFFFFF"/>
          <w:lang w:val="es-419" w:eastAsia="en-US"/>
        </w:rPr>
        <w:t>Mejia</w:t>
      </w:r>
      <w:proofErr w:type="spellEnd"/>
      <w:r w:rsidRPr="008B1AB4">
        <w:rPr>
          <w:rFonts w:eastAsia="Calibri"/>
          <w:i/>
          <w:iCs/>
          <w:shd w:val="clear" w:color="auto" w:fill="FFFFFF"/>
          <w:lang w:val="es-419" w:eastAsia="en-US"/>
        </w:rPr>
        <w:t>.</w:t>
      </w:r>
    </w:p>
    <w:p w14:paraId="5DE4C66A" w14:textId="77777777" w:rsidR="008B1AB4" w:rsidRPr="008B1AB4" w:rsidRDefault="008B1AB4" w:rsidP="008B1AB4">
      <w:pPr>
        <w:spacing w:line="360" w:lineRule="auto"/>
        <w:jc w:val="both"/>
        <w:rPr>
          <w:rFonts w:eastAsia="Calibri"/>
          <w:shd w:val="clear" w:color="auto" w:fill="FFFFFF"/>
          <w:lang w:val="es-419" w:eastAsia="en-US"/>
        </w:rPr>
      </w:pPr>
      <w:r w:rsidRPr="008B1AB4">
        <w:rPr>
          <w:rFonts w:eastAsia="Calibri"/>
          <w:shd w:val="clear" w:color="auto" w:fill="FFFFFF"/>
          <w:lang w:val="es-419" w:eastAsia="en-US"/>
        </w:rPr>
        <w:t xml:space="preserve">Redacción – revisión y edición: </w:t>
      </w:r>
      <w:r w:rsidRPr="008B1AB4">
        <w:rPr>
          <w:rFonts w:eastAsia="Calibri"/>
          <w:i/>
          <w:iCs/>
          <w:shd w:val="clear" w:color="auto" w:fill="FFFFFF"/>
          <w:lang w:val="es-419" w:eastAsia="en-US"/>
        </w:rPr>
        <w:t xml:space="preserve">Renzo Felipe Carranza Esteban, Oscar Mamani-Benito, Percy G. Ruiz Mamani, Christian R. </w:t>
      </w:r>
      <w:proofErr w:type="spellStart"/>
      <w:r w:rsidRPr="008B1AB4">
        <w:rPr>
          <w:rFonts w:eastAsia="Calibri"/>
          <w:i/>
          <w:iCs/>
          <w:shd w:val="clear" w:color="auto" w:fill="FFFFFF"/>
          <w:lang w:val="es-419" w:eastAsia="en-US"/>
        </w:rPr>
        <w:t>Mejia</w:t>
      </w:r>
      <w:proofErr w:type="spellEnd"/>
      <w:r w:rsidRPr="008B1AB4">
        <w:rPr>
          <w:rFonts w:eastAsia="Calibri"/>
          <w:i/>
          <w:iCs/>
          <w:shd w:val="clear" w:color="auto" w:fill="FFFFFF"/>
          <w:lang w:val="es-419" w:eastAsia="en-US"/>
        </w:rPr>
        <w:t>.</w:t>
      </w:r>
    </w:p>
    <w:p w14:paraId="31B41DD0" w14:textId="77777777" w:rsidR="00675476" w:rsidRPr="008B1AB4" w:rsidRDefault="00675476" w:rsidP="00EA1FEF">
      <w:pPr>
        <w:pStyle w:val="PDFRevista"/>
        <w:rPr>
          <w:lang w:val="es-419"/>
        </w:rPr>
      </w:pPr>
    </w:p>
    <w:sectPr w:rsidR="00675476" w:rsidRPr="008B1AB4" w:rsidSect="0055115D">
      <w:headerReference w:type="default" r:id="rId21"/>
      <w:footerReference w:type="even" r:id="rId22"/>
      <w:footerReference w:type="default" r:id="rId23"/>
      <w:type w:val="continuous"/>
      <w:pgSz w:w="12242" w:h="15842" w:code="1"/>
      <w:pgMar w:top="1418" w:right="1134" w:bottom="1701"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525B" w14:textId="77777777" w:rsidR="00CF4534" w:rsidRDefault="00CF4534">
      <w:r>
        <w:separator/>
      </w:r>
    </w:p>
  </w:endnote>
  <w:endnote w:type="continuationSeparator" w:id="0">
    <w:p w14:paraId="0F429D4F" w14:textId="77777777" w:rsidR="00CF4534" w:rsidRDefault="00CF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2A6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4CA26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6DE9"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53A911B" wp14:editId="32DD6099">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EEFA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2FA528B" w14:textId="77777777" w:rsidR="00675476" w:rsidRPr="00AE044C" w:rsidRDefault="00CF4534" w:rsidP="00391509">
    <w:pPr>
      <w:pStyle w:val="Piedepgina"/>
      <w:ind w:right="360"/>
      <w:rPr>
        <w:sz w:val="22"/>
        <w:szCs w:val="22"/>
      </w:rPr>
    </w:pPr>
    <w:hyperlink r:id="rId1" w:history="1">
      <w:r w:rsidR="00391509" w:rsidRPr="00AE044C">
        <w:rPr>
          <w:rStyle w:val="Hipervnculo"/>
          <w:sz w:val="22"/>
          <w:szCs w:val="22"/>
        </w:rPr>
        <w:t>http://scielo.sld.cu</w:t>
      </w:r>
    </w:hyperlink>
  </w:p>
  <w:p w14:paraId="683D8299" w14:textId="77777777" w:rsidR="00391509" w:rsidRPr="00AE044C" w:rsidRDefault="00CF4534"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AC81B33"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71CF925D" wp14:editId="432EF03F">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9F28" w14:textId="77777777" w:rsidR="00CF4534" w:rsidRDefault="00CF4534">
      <w:r>
        <w:separator/>
      </w:r>
    </w:p>
  </w:footnote>
  <w:footnote w:type="continuationSeparator" w:id="0">
    <w:p w14:paraId="7C8A7814" w14:textId="77777777" w:rsidR="00CF4534" w:rsidRDefault="00CF4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783B" w14:textId="26A059CB" w:rsidR="00CC376A" w:rsidRPr="00AE044C" w:rsidRDefault="008B1AB4"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23D8FCD1" wp14:editId="566793CC">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e02201714</w:t>
    </w:r>
  </w:p>
  <w:p w14:paraId="6B335E2D"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5E9DE9F3" wp14:editId="6B24FE3E">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F64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5FAF"/>
    <w:multiLevelType w:val="multilevel"/>
    <w:tmpl w:val="29701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4F8E515D"/>
    <w:multiLevelType w:val="multilevel"/>
    <w:tmpl w:val="419ED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CF01A7"/>
    <w:multiLevelType w:val="hybridMultilevel"/>
    <w:tmpl w:val="B8C611E0"/>
    <w:lvl w:ilvl="0" w:tplc="D69EE86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206BB9"/>
    <w:multiLevelType w:val="hybridMultilevel"/>
    <w:tmpl w:val="27B475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A2D3594"/>
    <w:multiLevelType w:val="hybridMultilevel"/>
    <w:tmpl w:val="BCF0DCE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C433782"/>
    <w:multiLevelType w:val="hybridMultilevel"/>
    <w:tmpl w:val="FB2433BA"/>
    <w:lvl w:ilvl="0" w:tplc="F22E50FA">
      <w:start w:val="1"/>
      <w:numFmt w:val="decimal"/>
      <w:lvlText w:val="%1."/>
      <w:lvlJc w:val="left"/>
      <w:pPr>
        <w:ind w:left="360" w:hanging="360"/>
      </w:pPr>
      <w:rPr>
        <w:b w:val="0"/>
        <w:bCs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CC23703"/>
    <w:multiLevelType w:val="multilevel"/>
    <w:tmpl w:val="7C6E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B4"/>
    <w:rsid w:val="00057F45"/>
    <w:rsid w:val="000F3690"/>
    <w:rsid w:val="001221D1"/>
    <w:rsid w:val="00155E69"/>
    <w:rsid w:val="00165CB5"/>
    <w:rsid w:val="00180CE9"/>
    <w:rsid w:val="001A1889"/>
    <w:rsid w:val="00230DD5"/>
    <w:rsid w:val="00250AE9"/>
    <w:rsid w:val="002B24FE"/>
    <w:rsid w:val="00380D64"/>
    <w:rsid w:val="00391509"/>
    <w:rsid w:val="003E03D5"/>
    <w:rsid w:val="00486BFA"/>
    <w:rsid w:val="00493701"/>
    <w:rsid w:val="004E2065"/>
    <w:rsid w:val="005508A2"/>
    <w:rsid w:val="0055115D"/>
    <w:rsid w:val="00566F71"/>
    <w:rsid w:val="005918BD"/>
    <w:rsid w:val="006173A6"/>
    <w:rsid w:val="00675476"/>
    <w:rsid w:val="0074352A"/>
    <w:rsid w:val="007C430F"/>
    <w:rsid w:val="007D2D0C"/>
    <w:rsid w:val="007D614D"/>
    <w:rsid w:val="008B1AB4"/>
    <w:rsid w:val="00960D6A"/>
    <w:rsid w:val="009A0560"/>
    <w:rsid w:val="009B0917"/>
    <w:rsid w:val="009F0F96"/>
    <w:rsid w:val="00A23C0C"/>
    <w:rsid w:val="00A477DE"/>
    <w:rsid w:val="00A63556"/>
    <w:rsid w:val="00A63732"/>
    <w:rsid w:val="00A71E65"/>
    <w:rsid w:val="00AE044C"/>
    <w:rsid w:val="00B31971"/>
    <w:rsid w:val="00B4380A"/>
    <w:rsid w:val="00B66ECB"/>
    <w:rsid w:val="00C7523A"/>
    <w:rsid w:val="00CC1B6E"/>
    <w:rsid w:val="00CC376A"/>
    <w:rsid w:val="00CC48A1"/>
    <w:rsid w:val="00CF4534"/>
    <w:rsid w:val="00CF50E0"/>
    <w:rsid w:val="00D162BB"/>
    <w:rsid w:val="00D85951"/>
    <w:rsid w:val="00E62606"/>
    <w:rsid w:val="00EA1FEF"/>
    <w:rsid w:val="00EC5A6B"/>
    <w:rsid w:val="00EE301D"/>
    <w:rsid w:val="00FA7CC1"/>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AB79B"/>
  <w15:docId w15:val="{12590897-E43D-47DC-A1A7-38B74FEA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8B1AB4"/>
    <w:pPr>
      <w:keepNext/>
      <w:keepLines/>
      <w:spacing w:before="240"/>
      <w:outlineLvl w:val="0"/>
    </w:pPr>
    <w:rPr>
      <w:rFonts w:ascii="Calibri Light" w:hAnsi="Calibri Light"/>
      <w:color w:val="2E74B5"/>
      <w:sz w:val="32"/>
      <w:szCs w:val="32"/>
      <w:lang w:val="es-419" w:eastAsia="es-ES"/>
    </w:rPr>
  </w:style>
  <w:style w:type="paragraph" w:styleId="Ttulo3">
    <w:name w:val="heading 3"/>
    <w:basedOn w:val="Normal"/>
    <w:link w:val="Ttulo3Car"/>
    <w:uiPriority w:val="9"/>
    <w:qFormat/>
    <w:rsid w:val="008B1AB4"/>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paragraph" w:customStyle="1" w:styleId="Ttulo11">
    <w:name w:val="Título 11"/>
    <w:basedOn w:val="Normal"/>
    <w:next w:val="Normal"/>
    <w:uiPriority w:val="9"/>
    <w:qFormat/>
    <w:rsid w:val="008B1AB4"/>
    <w:pPr>
      <w:keepNext/>
      <w:keepLines/>
      <w:spacing w:before="240" w:line="259" w:lineRule="auto"/>
      <w:outlineLvl w:val="0"/>
    </w:pPr>
    <w:rPr>
      <w:rFonts w:ascii="Calibri Light" w:hAnsi="Calibri Light"/>
      <w:color w:val="2E74B5"/>
      <w:sz w:val="32"/>
      <w:szCs w:val="32"/>
      <w:lang w:val="es-419" w:eastAsia="en-US"/>
    </w:rPr>
  </w:style>
  <w:style w:type="character" w:customStyle="1" w:styleId="Ttulo3Car">
    <w:name w:val="Título 3 Car"/>
    <w:basedOn w:val="Fuentedeprrafopredeter"/>
    <w:link w:val="Ttulo3"/>
    <w:uiPriority w:val="9"/>
    <w:rsid w:val="008B1AB4"/>
    <w:rPr>
      <w:b/>
      <w:bCs/>
      <w:sz w:val="27"/>
      <w:szCs w:val="27"/>
      <w:lang w:val="es-PE" w:eastAsia="es-PE"/>
    </w:rPr>
  </w:style>
  <w:style w:type="numbering" w:customStyle="1" w:styleId="Sinlista1">
    <w:name w:val="Sin lista1"/>
    <w:next w:val="Sinlista"/>
    <w:uiPriority w:val="99"/>
    <w:semiHidden/>
    <w:unhideWhenUsed/>
    <w:rsid w:val="008B1AB4"/>
  </w:style>
  <w:style w:type="character" w:styleId="Textoennegrita">
    <w:name w:val="Strong"/>
    <w:basedOn w:val="Fuentedeprrafopredeter"/>
    <w:uiPriority w:val="22"/>
    <w:qFormat/>
    <w:rsid w:val="008B1AB4"/>
    <w:rPr>
      <w:b/>
      <w:bCs/>
    </w:rPr>
  </w:style>
  <w:style w:type="character" w:customStyle="1" w:styleId="Ttulo1Car">
    <w:name w:val="Título 1 Car"/>
    <w:basedOn w:val="Fuentedeprrafopredeter"/>
    <w:link w:val="Ttulo1"/>
    <w:uiPriority w:val="9"/>
    <w:rsid w:val="008B1AB4"/>
    <w:rPr>
      <w:rFonts w:ascii="Calibri Light" w:eastAsia="Times New Roman" w:hAnsi="Calibri Light" w:cs="Times New Roman"/>
      <w:color w:val="2E74B5"/>
      <w:sz w:val="32"/>
      <w:szCs w:val="32"/>
      <w:lang w:val="es-419"/>
    </w:rPr>
  </w:style>
  <w:style w:type="character" w:customStyle="1" w:styleId="italica">
    <w:name w:val="italica"/>
    <w:basedOn w:val="Fuentedeprrafopredeter"/>
    <w:rsid w:val="008B1AB4"/>
  </w:style>
  <w:style w:type="paragraph" w:styleId="Prrafodelista">
    <w:name w:val="List Paragraph"/>
    <w:basedOn w:val="Normal"/>
    <w:uiPriority w:val="34"/>
    <w:qFormat/>
    <w:rsid w:val="008B1AB4"/>
    <w:pPr>
      <w:spacing w:after="160" w:line="259" w:lineRule="auto"/>
      <w:ind w:left="720"/>
      <w:contextualSpacing/>
    </w:pPr>
    <w:rPr>
      <w:rFonts w:ascii="Calibri" w:eastAsia="Calibri" w:hAnsi="Calibri"/>
      <w:sz w:val="22"/>
      <w:szCs w:val="22"/>
      <w:lang w:val="es-419" w:eastAsia="en-US"/>
    </w:rPr>
  </w:style>
  <w:style w:type="character" w:customStyle="1" w:styleId="Mencinsinresolver1">
    <w:name w:val="Mención sin resolver1"/>
    <w:basedOn w:val="Fuentedeprrafopredeter"/>
    <w:uiPriority w:val="99"/>
    <w:semiHidden/>
    <w:unhideWhenUsed/>
    <w:rsid w:val="008B1AB4"/>
    <w:rPr>
      <w:color w:val="605E5C"/>
      <w:shd w:val="clear" w:color="auto" w:fill="E1DFDD"/>
    </w:rPr>
  </w:style>
  <w:style w:type="character" w:styleId="Refdecomentario">
    <w:name w:val="annotation reference"/>
    <w:basedOn w:val="Fuentedeprrafopredeter"/>
    <w:uiPriority w:val="99"/>
    <w:semiHidden/>
    <w:unhideWhenUsed/>
    <w:rsid w:val="008B1AB4"/>
    <w:rPr>
      <w:sz w:val="16"/>
      <w:szCs w:val="16"/>
    </w:rPr>
  </w:style>
  <w:style w:type="paragraph" w:styleId="Textocomentario">
    <w:name w:val="annotation text"/>
    <w:basedOn w:val="Normal"/>
    <w:link w:val="TextocomentarioCar"/>
    <w:uiPriority w:val="99"/>
    <w:unhideWhenUsed/>
    <w:qFormat/>
    <w:rsid w:val="008B1AB4"/>
    <w:pPr>
      <w:spacing w:after="160"/>
    </w:pPr>
    <w:rPr>
      <w:rFonts w:ascii="Calibri" w:eastAsia="Calibri" w:hAnsi="Calibri"/>
      <w:sz w:val="20"/>
      <w:szCs w:val="20"/>
      <w:lang w:val="es-419" w:eastAsia="en-US"/>
    </w:rPr>
  </w:style>
  <w:style w:type="character" w:customStyle="1" w:styleId="TextocomentarioCar">
    <w:name w:val="Texto comentario Car"/>
    <w:basedOn w:val="Fuentedeprrafopredeter"/>
    <w:link w:val="Textocomentario"/>
    <w:uiPriority w:val="99"/>
    <w:qFormat/>
    <w:rsid w:val="008B1AB4"/>
    <w:rPr>
      <w:rFonts w:ascii="Calibri" w:eastAsia="Calibri" w:hAnsi="Calibri"/>
      <w:lang w:val="es-419" w:eastAsia="en-US"/>
    </w:rPr>
  </w:style>
  <w:style w:type="paragraph" w:styleId="Asuntodelcomentario">
    <w:name w:val="annotation subject"/>
    <w:basedOn w:val="Textocomentario"/>
    <w:next w:val="Textocomentario"/>
    <w:link w:val="AsuntodelcomentarioCar"/>
    <w:uiPriority w:val="99"/>
    <w:semiHidden/>
    <w:unhideWhenUsed/>
    <w:rsid w:val="008B1AB4"/>
    <w:rPr>
      <w:b/>
      <w:bCs/>
    </w:rPr>
  </w:style>
  <w:style w:type="character" w:customStyle="1" w:styleId="AsuntodelcomentarioCar">
    <w:name w:val="Asunto del comentario Car"/>
    <w:basedOn w:val="TextocomentarioCar"/>
    <w:link w:val="Asuntodelcomentario"/>
    <w:uiPriority w:val="99"/>
    <w:semiHidden/>
    <w:rsid w:val="008B1AB4"/>
    <w:rPr>
      <w:rFonts w:ascii="Calibri" w:eastAsia="Calibri" w:hAnsi="Calibri"/>
      <w:b/>
      <w:bCs/>
      <w:lang w:val="es-419" w:eastAsia="en-US"/>
    </w:rPr>
  </w:style>
  <w:style w:type="paragraph" w:customStyle="1" w:styleId="Default">
    <w:name w:val="Default"/>
    <w:rsid w:val="008B1AB4"/>
    <w:pPr>
      <w:autoSpaceDE w:val="0"/>
      <w:autoSpaceDN w:val="0"/>
      <w:adjustRightInd w:val="0"/>
    </w:pPr>
    <w:rPr>
      <w:rFonts w:eastAsia="Calibri"/>
      <w:color w:val="000000"/>
      <w:sz w:val="24"/>
      <w:szCs w:val="24"/>
      <w:lang w:val="es-PE" w:eastAsia="en-US"/>
    </w:rPr>
  </w:style>
  <w:style w:type="character" w:customStyle="1" w:styleId="article-headerpublish-datevalue">
    <w:name w:val="article-header__publish-date__value"/>
    <w:basedOn w:val="Fuentedeprrafopredeter"/>
    <w:rsid w:val="008B1AB4"/>
  </w:style>
  <w:style w:type="character" w:customStyle="1" w:styleId="article-headerdoi">
    <w:name w:val="article-header__doi"/>
    <w:basedOn w:val="Fuentedeprrafopredeter"/>
    <w:rsid w:val="008B1AB4"/>
  </w:style>
  <w:style w:type="character" w:customStyle="1" w:styleId="article-headerdoilabel">
    <w:name w:val="article-header__doi__label"/>
    <w:basedOn w:val="Fuentedeprrafopredeter"/>
    <w:rsid w:val="008B1AB4"/>
  </w:style>
  <w:style w:type="paragraph" w:styleId="Bibliografa">
    <w:name w:val="Bibliography"/>
    <w:basedOn w:val="Normal"/>
    <w:next w:val="Normal"/>
    <w:uiPriority w:val="37"/>
    <w:semiHidden/>
    <w:unhideWhenUsed/>
    <w:rsid w:val="008B1AB4"/>
    <w:pPr>
      <w:spacing w:after="160" w:line="259" w:lineRule="auto"/>
    </w:pPr>
    <w:rPr>
      <w:rFonts w:ascii="Calibri" w:eastAsia="Calibri" w:hAnsi="Calibri"/>
      <w:sz w:val="22"/>
      <w:szCs w:val="22"/>
      <w:lang w:val="en-US" w:eastAsia="en-US"/>
    </w:rPr>
  </w:style>
  <w:style w:type="paragraph" w:styleId="Sinespaciado">
    <w:name w:val="No Spacing"/>
    <w:uiPriority w:val="1"/>
    <w:qFormat/>
    <w:rsid w:val="008B1AB4"/>
    <w:rPr>
      <w:rFonts w:ascii="Calibri" w:eastAsia="Calibri" w:hAnsi="Calibri"/>
      <w:sz w:val="22"/>
      <w:szCs w:val="22"/>
      <w:lang w:val="es-419" w:eastAsia="en-US"/>
    </w:rPr>
  </w:style>
  <w:style w:type="character" w:customStyle="1" w:styleId="Mencinsinresolver2">
    <w:name w:val="Mención sin resolver2"/>
    <w:basedOn w:val="Fuentedeprrafopredeter"/>
    <w:uiPriority w:val="99"/>
    <w:semiHidden/>
    <w:unhideWhenUsed/>
    <w:rsid w:val="008B1AB4"/>
    <w:rPr>
      <w:color w:val="605E5C"/>
      <w:shd w:val="clear" w:color="auto" w:fill="E1DFDD"/>
    </w:rPr>
  </w:style>
  <w:style w:type="character" w:customStyle="1" w:styleId="Mencinsinresolver3">
    <w:name w:val="Mención sin resolver3"/>
    <w:basedOn w:val="Fuentedeprrafopredeter"/>
    <w:uiPriority w:val="99"/>
    <w:semiHidden/>
    <w:unhideWhenUsed/>
    <w:rsid w:val="008B1AB4"/>
    <w:rPr>
      <w:color w:val="605E5C"/>
      <w:shd w:val="clear" w:color="auto" w:fill="E1DFDD"/>
    </w:rPr>
  </w:style>
  <w:style w:type="character" w:styleId="Mencinsinresolver">
    <w:name w:val="Unresolved Mention"/>
    <w:basedOn w:val="Fuentedeprrafopredeter"/>
    <w:uiPriority w:val="99"/>
    <w:semiHidden/>
    <w:unhideWhenUsed/>
    <w:rsid w:val="008B1AB4"/>
    <w:rPr>
      <w:color w:val="605E5C"/>
      <w:shd w:val="clear" w:color="auto" w:fill="E1DFDD"/>
    </w:rPr>
  </w:style>
  <w:style w:type="character" w:customStyle="1" w:styleId="Ttulo1Car1">
    <w:name w:val="Título 1 Car1"/>
    <w:basedOn w:val="Fuentedeprrafopredeter"/>
    <w:rsid w:val="008B1AB4"/>
    <w:rPr>
      <w:rFonts w:asciiTheme="majorHAnsi" w:eastAsiaTheme="majorEastAsia" w:hAnsiTheme="majorHAnsi" w:cstheme="majorBidi"/>
      <w:color w:val="365F91" w:themeColor="accent1" w:themeShade="BF"/>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818-2601" TargetMode="External"/><Relationship Id="rId13" Type="http://schemas.openxmlformats.org/officeDocument/2006/relationships/hyperlink" Target="http://www.redalyc.org/articulo.oa?id=297231283003" TargetMode="External"/><Relationship Id="rId18" Type="http://schemas.openxmlformats.org/officeDocument/2006/relationships/hyperlink" Target="https://digital.csic.es/handle/10261/22203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2-4086-4845" TargetMode="External"/><Relationship Id="rId12" Type="http://schemas.openxmlformats.org/officeDocument/2006/relationships/image" Target="media/image1.gif"/><Relationship Id="rId17" Type="http://schemas.openxmlformats.org/officeDocument/2006/relationships/hyperlink" Target="https://revistas.usb.edu.co/index.php/Psychologia/article/view/1211/100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bc.com/mundo/noticias-internacional-55841858" TargetMode="External"/><Relationship Id="rId20" Type="http://schemas.openxmlformats.org/officeDocument/2006/relationships/hyperlink" Target="http://www.revibiomedica.sld.cu/index.php/ibi/article/view/6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carranza@usil.edu.p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nnespanol.cnn.com/2021/02/04/variante-brasilena-peru-covid-19/" TargetMode="External"/><Relationship Id="rId23" Type="http://schemas.openxmlformats.org/officeDocument/2006/relationships/footer" Target="footer2.xml"/><Relationship Id="rId10" Type="http://schemas.openxmlformats.org/officeDocument/2006/relationships/hyperlink" Target="https://orcid.org/0000-0002-5940-7281" TargetMode="External"/><Relationship Id="rId19" Type="http://schemas.openxmlformats.org/officeDocument/2006/relationships/hyperlink" Target="https://www.bbc.com/mundo/noticias-america-latina-56168826" TargetMode="External"/><Relationship Id="rId4" Type="http://schemas.openxmlformats.org/officeDocument/2006/relationships/webSettings" Target="webSettings.xml"/><Relationship Id="rId9" Type="http://schemas.openxmlformats.org/officeDocument/2006/relationships/hyperlink" Target="https://orcid.org/0000-0002-2245-9491" TargetMode="External"/><Relationship Id="rId14" Type="http://schemas.openxmlformats.org/officeDocument/2006/relationships/hyperlink" Target="https://www.bbc.com/mundo/noticias-55689478"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15</Pages>
  <Words>4652</Words>
  <Characters>25589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30181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7</cp:revision>
  <cp:lastPrinted>2010-09-13T21:29:00Z</cp:lastPrinted>
  <dcterms:created xsi:type="dcterms:W3CDTF">2021-12-29T01:06:00Z</dcterms:created>
  <dcterms:modified xsi:type="dcterms:W3CDTF">2021-12-30T18:14:00Z</dcterms:modified>
</cp:coreProperties>
</file>