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54B4E" w14:textId="77777777" w:rsidR="00BF6221" w:rsidRPr="00BF6221" w:rsidRDefault="00BF6221" w:rsidP="00BF6221">
      <w:pPr>
        <w:spacing w:line="360" w:lineRule="auto"/>
        <w:jc w:val="right"/>
        <w:rPr>
          <w:sz w:val="20"/>
          <w:szCs w:val="20"/>
          <w:lang w:val="es-ES" w:eastAsia="es-ES"/>
        </w:rPr>
      </w:pPr>
      <w:r w:rsidRPr="00BF6221">
        <w:rPr>
          <w:sz w:val="20"/>
          <w:szCs w:val="20"/>
          <w:lang w:val="es-ES" w:eastAsia="es-ES"/>
        </w:rPr>
        <w:t>Artículo de investigación</w:t>
      </w:r>
    </w:p>
    <w:p w14:paraId="2896C74E" w14:textId="77777777" w:rsidR="00BF6221" w:rsidRPr="00BF6221" w:rsidRDefault="00BF6221" w:rsidP="00BF6221">
      <w:pPr>
        <w:spacing w:line="360" w:lineRule="auto"/>
        <w:jc w:val="right"/>
        <w:rPr>
          <w:sz w:val="20"/>
          <w:szCs w:val="20"/>
          <w:lang w:val="es-ES" w:eastAsia="es-ES"/>
        </w:rPr>
      </w:pPr>
    </w:p>
    <w:p w14:paraId="3B68B841" w14:textId="77777777" w:rsidR="00BF6221" w:rsidRPr="00BF6221" w:rsidRDefault="00BF6221" w:rsidP="00BF6221">
      <w:pPr>
        <w:spacing w:line="360" w:lineRule="auto"/>
        <w:jc w:val="center"/>
        <w:rPr>
          <w:b/>
          <w:sz w:val="28"/>
          <w:szCs w:val="28"/>
          <w:lang w:val="es-ES" w:eastAsia="es-ES"/>
        </w:rPr>
      </w:pPr>
      <w:r w:rsidRPr="00BF6221">
        <w:rPr>
          <w:b/>
          <w:sz w:val="28"/>
          <w:szCs w:val="28"/>
          <w:lang w:val="es-ES" w:eastAsia="es-ES"/>
        </w:rPr>
        <w:t>Evidencias de validez y confiabilidad de una escala de</w:t>
      </w:r>
      <w:r w:rsidRPr="00BF6221">
        <w:rPr>
          <w:b/>
          <w:i/>
          <w:sz w:val="28"/>
          <w:szCs w:val="28"/>
          <w:shd w:val="clear" w:color="auto" w:fill="FFFFFF"/>
          <w:lang w:val="es-ES" w:eastAsia="es-PE"/>
        </w:rPr>
        <w:t xml:space="preserve"> burnout </w:t>
      </w:r>
      <w:r w:rsidRPr="00BF6221">
        <w:rPr>
          <w:b/>
          <w:sz w:val="28"/>
          <w:szCs w:val="28"/>
          <w:shd w:val="clear" w:color="auto" w:fill="FFFFFF"/>
          <w:lang w:val="es-ES" w:eastAsia="es-PE"/>
        </w:rPr>
        <w:t xml:space="preserve">en estudiantes </w:t>
      </w:r>
      <w:r w:rsidRPr="00BF6221">
        <w:rPr>
          <w:b/>
          <w:sz w:val="28"/>
          <w:szCs w:val="28"/>
          <w:lang w:val="es-ES" w:eastAsia="es-ES"/>
        </w:rPr>
        <w:t>cubanos de Estomatología</w:t>
      </w:r>
    </w:p>
    <w:p w14:paraId="3B7162F1" w14:textId="627D5B2A" w:rsidR="00BF6221" w:rsidRDefault="00BF6221" w:rsidP="00BF6221">
      <w:pPr>
        <w:spacing w:line="360" w:lineRule="auto"/>
        <w:jc w:val="center"/>
        <w:rPr>
          <w:sz w:val="28"/>
          <w:szCs w:val="28"/>
          <w:lang w:val="en-US" w:eastAsia="es-ES"/>
        </w:rPr>
      </w:pPr>
      <w:r w:rsidRPr="00BF6221">
        <w:rPr>
          <w:sz w:val="28"/>
          <w:szCs w:val="28"/>
          <w:lang w:val="en-US" w:eastAsia="es-ES"/>
        </w:rPr>
        <w:t xml:space="preserve">Evidences of validity and reliability of burnout’s scale in Cuban dental students </w:t>
      </w:r>
    </w:p>
    <w:p w14:paraId="7E1F44A7" w14:textId="77777777" w:rsidR="007F53BE" w:rsidRPr="00BF6221" w:rsidRDefault="007F53BE" w:rsidP="00BF6221">
      <w:pPr>
        <w:spacing w:line="360" w:lineRule="auto"/>
        <w:jc w:val="center"/>
        <w:rPr>
          <w:sz w:val="28"/>
          <w:szCs w:val="28"/>
          <w:lang w:val="en-US" w:eastAsia="es-ES"/>
        </w:rPr>
      </w:pPr>
    </w:p>
    <w:p w14:paraId="07ED7C6A" w14:textId="77777777" w:rsidR="00BF6221" w:rsidRPr="00BF6221" w:rsidRDefault="00BF6221" w:rsidP="00BF6221">
      <w:pPr>
        <w:spacing w:line="360" w:lineRule="auto"/>
        <w:jc w:val="both"/>
        <w:rPr>
          <w:lang w:val="es-CU" w:eastAsia="es-ES"/>
        </w:rPr>
      </w:pPr>
      <w:proofErr w:type="spellStart"/>
      <w:r w:rsidRPr="00BF6221">
        <w:rPr>
          <w:lang w:val="es-CU" w:eastAsia="es-ES"/>
        </w:rPr>
        <w:t>Ibraín</w:t>
      </w:r>
      <w:proofErr w:type="spellEnd"/>
      <w:r w:rsidRPr="00BF6221">
        <w:rPr>
          <w:lang w:val="es-CU" w:eastAsia="es-ES"/>
        </w:rPr>
        <w:t xml:space="preserve"> Enrique Corrales-Reyes</w:t>
      </w:r>
      <w:r w:rsidRPr="00BF6221">
        <w:rPr>
          <w:vertAlign w:val="superscript"/>
          <w:lang w:val="es-CU" w:eastAsia="es-ES"/>
        </w:rPr>
        <w:t>1</w:t>
      </w:r>
      <w:r w:rsidRPr="00BF6221">
        <w:rPr>
          <w:lang w:val="es-CU" w:eastAsia="es-ES"/>
        </w:rPr>
        <w:t xml:space="preserve">* </w:t>
      </w:r>
      <w:hyperlink r:id="rId7" w:history="1">
        <w:r w:rsidRPr="00BF6221">
          <w:rPr>
            <w:color w:val="0563C1"/>
            <w:u w:val="single"/>
            <w:lang w:val="es-CU" w:eastAsia="es-ES"/>
          </w:rPr>
          <w:t>https://orcid.org/0000-0002-2146-9014</w:t>
        </w:r>
      </w:hyperlink>
      <w:r w:rsidRPr="00BF6221">
        <w:rPr>
          <w:lang w:val="es-CU" w:eastAsia="es-ES"/>
        </w:rPr>
        <w:t xml:space="preserve"> </w:t>
      </w:r>
    </w:p>
    <w:p w14:paraId="3CCA9F36" w14:textId="21A6DA51" w:rsidR="00BF6221" w:rsidRPr="00BF6221" w:rsidRDefault="00BF6221" w:rsidP="00BF6221">
      <w:pPr>
        <w:spacing w:line="360" w:lineRule="auto"/>
        <w:jc w:val="both"/>
        <w:rPr>
          <w:lang w:val="es-CU" w:eastAsia="es-ES"/>
        </w:rPr>
      </w:pPr>
      <w:r w:rsidRPr="00BF6221">
        <w:rPr>
          <w:lang w:val="es-CU" w:eastAsia="es-ES"/>
        </w:rPr>
        <w:t>José Daniel Villegas-Maestre</w:t>
      </w:r>
      <w:r w:rsidR="00CB74EC">
        <w:rPr>
          <w:vertAlign w:val="superscript"/>
          <w:lang w:val="es-CU" w:eastAsia="es-ES"/>
        </w:rPr>
        <w:t>2</w:t>
      </w:r>
      <w:r w:rsidRPr="00BF6221">
        <w:rPr>
          <w:lang w:val="es-CU" w:eastAsia="es-ES"/>
        </w:rPr>
        <w:t xml:space="preserve"> </w:t>
      </w:r>
      <w:hyperlink r:id="rId8" w:history="1">
        <w:r w:rsidRPr="00BF6221">
          <w:rPr>
            <w:color w:val="0563C1"/>
            <w:u w:val="single"/>
            <w:lang w:val="es-CU" w:eastAsia="es-ES"/>
          </w:rPr>
          <w:t>https://orcid.org/0000-0002-7959-9217</w:t>
        </w:r>
      </w:hyperlink>
      <w:r w:rsidRPr="00BF6221">
        <w:rPr>
          <w:lang w:val="es-CU" w:eastAsia="es-ES"/>
        </w:rPr>
        <w:t xml:space="preserve"> </w:t>
      </w:r>
    </w:p>
    <w:p w14:paraId="444AB701" w14:textId="67DD4A32" w:rsidR="00BF6221" w:rsidRPr="00BF6221" w:rsidRDefault="00BF6221" w:rsidP="00BF6221">
      <w:pPr>
        <w:spacing w:line="360" w:lineRule="auto"/>
        <w:jc w:val="both"/>
        <w:rPr>
          <w:lang w:val="es-CU" w:eastAsia="es-ES"/>
        </w:rPr>
      </w:pPr>
      <w:r w:rsidRPr="00BF6221">
        <w:rPr>
          <w:lang w:val="es-CU" w:eastAsia="es-ES"/>
        </w:rPr>
        <w:t>Juan Arturo Berenguer-Gouarnaluses</w:t>
      </w:r>
      <w:r w:rsidR="00CB74EC">
        <w:rPr>
          <w:vertAlign w:val="superscript"/>
          <w:lang w:val="es-CU" w:eastAsia="es-ES"/>
        </w:rPr>
        <w:t>3</w:t>
      </w:r>
      <w:r w:rsidRPr="00BF6221">
        <w:rPr>
          <w:lang w:val="es-CU" w:eastAsia="es-ES"/>
        </w:rPr>
        <w:t xml:space="preserve"> </w:t>
      </w:r>
      <w:hyperlink r:id="rId9" w:history="1">
        <w:r w:rsidRPr="00BF6221">
          <w:rPr>
            <w:color w:val="0563C1"/>
            <w:u w:val="single"/>
            <w:lang w:val="es-CU" w:eastAsia="es-ES"/>
          </w:rPr>
          <w:t>https://orcid.org/0000-0003-0174-6333</w:t>
        </w:r>
      </w:hyperlink>
      <w:r w:rsidRPr="00BF6221">
        <w:rPr>
          <w:lang w:val="es-CU" w:eastAsia="es-ES"/>
        </w:rPr>
        <w:t xml:space="preserve"> </w:t>
      </w:r>
    </w:p>
    <w:p w14:paraId="015B79C8" w14:textId="1A82D749" w:rsidR="00BF6221" w:rsidRPr="00BF6221" w:rsidRDefault="00BF6221" w:rsidP="00BF6221">
      <w:pPr>
        <w:spacing w:line="360" w:lineRule="auto"/>
        <w:jc w:val="both"/>
        <w:rPr>
          <w:lang w:val="es-CU" w:eastAsia="es-ES"/>
        </w:rPr>
      </w:pPr>
      <w:r w:rsidRPr="00BF6221">
        <w:rPr>
          <w:lang w:val="es-CU" w:eastAsia="es-ES"/>
        </w:rPr>
        <w:t>Lilian Susana Torres-Fernández</w:t>
      </w:r>
      <w:r w:rsidR="00CB74EC">
        <w:rPr>
          <w:vertAlign w:val="superscript"/>
          <w:lang w:val="es-CU" w:eastAsia="es-ES"/>
        </w:rPr>
        <w:t>4</w:t>
      </w:r>
      <w:r w:rsidRPr="00BF6221">
        <w:rPr>
          <w:lang w:val="es-CU" w:eastAsia="es-ES"/>
        </w:rPr>
        <w:t xml:space="preserve"> </w:t>
      </w:r>
      <w:hyperlink r:id="rId10" w:history="1">
        <w:r w:rsidRPr="00BF6221">
          <w:rPr>
            <w:color w:val="0563C1"/>
            <w:u w:val="single"/>
            <w:lang w:val="es-CU" w:eastAsia="es-ES"/>
          </w:rPr>
          <w:t>https://orcid.org/0000-0002-9442-8969</w:t>
        </w:r>
      </w:hyperlink>
      <w:r w:rsidRPr="00BF6221">
        <w:rPr>
          <w:lang w:val="es-CU" w:eastAsia="es-ES"/>
        </w:rPr>
        <w:t xml:space="preserve"> </w:t>
      </w:r>
    </w:p>
    <w:p w14:paraId="2D5BAE05" w14:textId="49CF9305" w:rsidR="00BF6221" w:rsidRPr="00BF6221" w:rsidRDefault="00BF6221" w:rsidP="00BF6221">
      <w:pPr>
        <w:spacing w:line="360" w:lineRule="auto"/>
        <w:jc w:val="both"/>
        <w:rPr>
          <w:lang w:val="es-CU" w:eastAsia="es-ES"/>
        </w:rPr>
      </w:pPr>
      <w:r w:rsidRPr="00BF6221">
        <w:rPr>
          <w:lang w:val="es-CU" w:eastAsia="es-ES"/>
        </w:rPr>
        <w:t>Oscar Javier Mamani-Benito</w:t>
      </w:r>
      <w:r w:rsidR="00CB74EC">
        <w:rPr>
          <w:vertAlign w:val="superscript"/>
          <w:lang w:val="es-CU" w:eastAsia="es-ES"/>
        </w:rPr>
        <w:t>5</w:t>
      </w:r>
      <w:r w:rsidRPr="00BF6221">
        <w:rPr>
          <w:lang w:val="es-CU" w:eastAsia="es-ES"/>
        </w:rPr>
        <w:t xml:space="preserve"> </w:t>
      </w:r>
      <w:hyperlink r:id="rId11" w:history="1">
        <w:r w:rsidRPr="00BF6221">
          <w:rPr>
            <w:color w:val="0563C1"/>
            <w:u w:val="single"/>
            <w:lang w:val="es-CU" w:eastAsia="es-ES"/>
          </w:rPr>
          <w:t>https://orcid.org/0000-0002-9818-2601</w:t>
        </w:r>
      </w:hyperlink>
      <w:r w:rsidRPr="00BF6221">
        <w:rPr>
          <w:lang w:val="es-CU" w:eastAsia="es-ES"/>
        </w:rPr>
        <w:t xml:space="preserve"> </w:t>
      </w:r>
    </w:p>
    <w:p w14:paraId="312FD0C8" w14:textId="5628495D" w:rsidR="00BF6221" w:rsidRPr="00BF6221" w:rsidRDefault="00BF6221" w:rsidP="00BF6221">
      <w:pPr>
        <w:spacing w:line="360" w:lineRule="auto"/>
        <w:jc w:val="both"/>
        <w:rPr>
          <w:lang w:val="es-CU" w:eastAsia="es-ES"/>
        </w:rPr>
      </w:pPr>
      <w:r w:rsidRPr="00BF6221">
        <w:rPr>
          <w:lang w:val="es-CU" w:eastAsia="es-ES"/>
        </w:rPr>
        <w:t>Renzo Felipe Carranza-Esteban</w:t>
      </w:r>
      <w:r w:rsidR="00CB74EC">
        <w:rPr>
          <w:vertAlign w:val="superscript"/>
          <w:lang w:val="es-CU" w:eastAsia="es-ES"/>
        </w:rPr>
        <w:t>6</w:t>
      </w:r>
      <w:r w:rsidRPr="00BF6221">
        <w:rPr>
          <w:vertAlign w:val="superscript"/>
          <w:lang w:val="es-CU" w:eastAsia="es-ES"/>
        </w:rPr>
        <w:t xml:space="preserve"> </w:t>
      </w:r>
      <w:hyperlink r:id="rId12" w:history="1">
        <w:r w:rsidRPr="00BF6221">
          <w:rPr>
            <w:color w:val="0563C1"/>
            <w:u w:val="single"/>
            <w:lang w:val="es-CU" w:eastAsia="es-ES"/>
          </w:rPr>
          <w:t>https://orcid.org/0000-0002-4086-4845</w:t>
        </w:r>
      </w:hyperlink>
      <w:r w:rsidRPr="00BF6221">
        <w:rPr>
          <w:lang w:val="es-CU" w:eastAsia="es-ES"/>
        </w:rPr>
        <w:t xml:space="preserve"> </w:t>
      </w:r>
    </w:p>
    <w:p w14:paraId="12695B45" w14:textId="77777777" w:rsidR="00BF6221" w:rsidRPr="00BF6221" w:rsidRDefault="00BF6221" w:rsidP="00BF6221">
      <w:pPr>
        <w:spacing w:line="360" w:lineRule="auto"/>
        <w:jc w:val="both"/>
        <w:rPr>
          <w:lang w:val="es-CU" w:eastAsia="es-ES"/>
        </w:rPr>
      </w:pPr>
    </w:p>
    <w:p w14:paraId="6EDF1049" w14:textId="70148635" w:rsidR="00BF6221" w:rsidRDefault="00BF6221" w:rsidP="00BF6221">
      <w:pPr>
        <w:spacing w:line="360" w:lineRule="auto"/>
        <w:jc w:val="both"/>
        <w:rPr>
          <w:lang w:val="es-CU" w:eastAsia="es-ES"/>
        </w:rPr>
      </w:pPr>
      <w:r w:rsidRPr="00BF6221">
        <w:rPr>
          <w:vertAlign w:val="superscript"/>
          <w:lang w:val="es-CU" w:eastAsia="es-ES"/>
        </w:rPr>
        <w:t>1</w:t>
      </w:r>
      <w:r w:rsidRPr="00BF6221">
        <w:rPr>
          <w:lang w:val="es-CU" w:eastAsia="es-ES"/>
        </w:rPr>
        <w:t xml:space="preserve">Universidad de Ciencias Médicas de Granma. Hospital General Universitario Carlos Manuel de </w:t>
      </w:r>
      <w:proofErr w:type="spellStart"/>
      <w:r w:rsidRPr="00BF6221">
        <w:rPr>
          <w:lang w:val="es-CU" w:eastAsia="es-ES"/>
        </w:rPr>
        <w:t>Céspedes</w:t>
      </w:r>
      <w:proofErr w:type="spellEnd"/>
      <w:r w:rsidRPr="00BF6221">
        <w:rPr>
          <w:lang w:val="es-CU" w:eastAsia="es-ES"/>
        </w:rPr>
        <w:t>. Granma, Cuba.</w:t>
      </w:r>
    </w:p>
    <w:p w14:paraId="5E6D8ED2" w14:textId="57EF75A3" w:rsidR="00CB74EC" w:rsidRPr="00BF6221" w:rsidRDefault="00CB74EC" w:rsidP="00BF6221">
      <w:pPr>
        <w:spacing w:line="360" w:lineRule="auto"/>
        <w:jc w:val="both"/>
        <w:rPr>
          <w:lang w:val="es-CU" w:eastAsia="es-ES"/>
        </w:rPr>
      </w:pPr>
      <w:r>
        <w:rPr>
          <w:vertAlign w:val="superscript"/>
          <w:lang w:val="es-CU" w:eastAsia="es-ES"/>
        </w:rPr>
        <w:t>2</w:t>
      </w:r>
      <w:r w:rsidRPr="00CB74EC">
        <w:rPr>
          <w:lang w:val="es-CU" w:eastAsia="es-ES"/>
        </w:rPr>
        <w:t xml:space="preserve">Universidad de Ciencias Médicas de Granma. Hospital Clínico Quirúrgico Docente “Celia Sánchez </w:t>
      </w:r>
      <w:proofErr w:type="spellStart"/>
      <w:r w:rsidRPr="00CB74EC">
        <w:rPr>
          <w:lang w:val="es-CU" w:eastAsia="es-ES"/>
        </w:rPr>
        <w:t>Manduley</w:t>
      </w:r>
      <w:proofErr w:type="spellEnd"/>
      <w:r w:rsidRPr="00CB74EC">
        <w:rPr>
          <w:lang w:val="es-CU" w:eastAsia="es-ES"/>
        </w:rPr>
        <w:t>”. Granma, Cuba.</w:t>
      </w:r>
    </w:p>
    <w:p w14:paraId="7E80BB23" w14:textId="63991019" w:rsidR="00BF6221" w:rsidRPr="00BF6221" w:rsidRDefault="00CB74EC" w:rsidP="00BF6221">
      <w:pPr>
        <w:spacing w:line="360" w:lineRule="auto"/>
        <w:jc w:val="both"/>
        <w:rPr>
          <w:lang w:val="es-CU" w:eastAsia="es-ES"/>
        </w:rPr>
      </w:pPr>
      <w:r>
        <w:rPr>
          <w:vertAlign w:val="superscript"/>
          <w:lang w:val="es-CU" w:eastAsia="es-ES"/>
        </w:rPr>
        <w:t>3</w:t>
      </w:r>
      <w:r w:rsidR="00BF6221" w:rsidRPr="00BF6221">
        <w:rPr>
          <w:lang w:val="es-CU" w:eastAsia="es-ES"/>
        </w:rPr>
        <w:t>Universidad de Ciencias Médicas de Santiago de Cuba. Facultad de Estomatología. Santiago de Cuba, Cuba.</w:t>
      </w:r>
    </w:p>
    <w:p w14:paraId="2B9824A1" w14:textId="0C296760" w:rsidR="00BF6221" w:rsidRPr="00BF6221" w:rsidRDefault="00CB74EC" w:rsidP="00BF6221">
      <w:pPr>
        <w:spacing w:line="360" w:lineRule="auto"/>
        <w:jc w:val="both"/>
        <w:rPr>
          <w:lang w:val="es-CU" w:eastAsia="es-ES"/>
        </w:rPr>
      </w:pPr>
      <w:r>
        <w:rPr>
          <w:vertAlign w:val="superscript"/>
          <w:lang w:val="es-CU" w:eastAsia="es-ES"/>
        </w:rPr>
        <w:t>4</w:t>
      </w:r>
      <w:r w:rsidR="00BF6221" w:rsidRPr="00BF6221">
        <w:rPr>
          <w:lang w:val="es-CU" w:eastAsia="es-ES"/>
        </w:rPr>
        <w:t>Universidad de Ciencias Médicas de Camagüey. Clínica Estomatológica Docente “La Vigía”. Camagüey, Cuba.</w:t>
      </w:r>
    </w:p>
    <w:p w14:paraId="06C1F228" w14:textId="6DD99858" w:rsidR="00BF6221" w:rsidRPr="00BF6221" w:rsidRDefault="00CB74EC" w:rsidP="00BF6221">
      <w:pPr>
        <w:spacing w:line="360" w:lineRule="auto"/>
        <w:jc w:val="both"/>
        <w:rPr>
          <w:lang w:val="es-CU" w:eastAsia="es-ES"/>
        </w:rPr>
      </w:pPr>
      <w:r>
        <w:rPr>
          <w:vertAlign w:val="superscript"/>
          <w:lang w:val="es-CU" w:eastAsia="es-ES"/>
        </w:rPr>
        <w:t>5</w:t>
      </w:r>
      <w:r w:rsidR="00BF6221" w:rsidRPr="00BF6221">
        <w:rPr>
          <w:lang w:val="es-CU" w:eastAsia="es-ES"/>
        </w:rPr>
        <w:t>Universidad Peruana Unión. Facultad de Ciencias de la Salud. Lima, Perú.</w:t>
      </w:r>
    </w:p>
    <w:p w14:paraId="5973AED0" w14:textId="21925B2F" w:rsidR="00BF6221" w:rsidRPr="00BF6221" w:rsidRDefault="00CB74EC" w:rsidP="00BF6221">
      <w:pPr>
        <w:spacing w:line="360" w:lineRule="auto"/>
        <w:jc w:val="both"/>
        <w:rPr>
          <w:lang w:val="es-CU" w:eastAsia="es-ES"/>
        </w:rPr>
      </w:pPr>
      <w:r>
        <w:rPr>
          <w:vertAlign w:val="superscript"/>
          <w:lang w:val="es-CU" w:eastAsia="es-ES"/>
        </w:rPr>
        <w:t>6</w:t>
      </w:r>
      <w:r w:rsidR="00BF6221" w:rsidRPr="00BF6221">
        <w:rPr>
          <w:lang w:val="es-CU" w:eastAsia="es-ES"/>
        </w:rPr>
        <w:t>Universidad San Ignacio de Loyola. Facultad de Humanidades. Lima, Perú.</w:t>
      </w:r>
    </w:p>
    <w:p w14:paraId="460649F0" w14:textId="77777777" w:rsidR="00BF6221" w:rsidRPr="00BF6221" w:rsidRDefault="00BF6221" w:rsidP="00BF6221">
      <w:pPr>
        <w:spacing w:line="360" w:lineRule="auto"/>
        <w:jc w:val="both"/>
        <w:rPr>
          <w:lang w:val="es-CU" w:eastAsia="es-ES"/>
        </w:rPr>
      </w:pPr>
    </w:p>
    <w:p w14:paraId="7A4F56FF" w14:textId="77777777" w:rsidR="00BF6221" w:rsidRPr="00BF6221" w:rsidRDefault="00BF6221" w:rsidP="00BF6221">
      <w:pPr>
        <w:spacing w:line="360" w:lineRule="auto"/>
        <w:jc w:val="both"/>
        <w:rPr>
          <w:lang w:val="es-CU" w:eastAsia="es-ES"/>
        </w:rPr>
      </w:pPr>
      <w:r w:rsidRPr="00BF6221">
        <w:rPr>
          <w:lang w:val="es-CU" w:eastAsia="es-ES"/>
        </w:rPr>
        <w:t xml:space="preserve">*Autor para la correspondencia. Correo electrónico: </w:t>
      </w:r>
      <w:hyperlink r:id="rId13" w:history="1">
        <w:r w:rsidRPr="00BF6221">
          <w:rPr>
            <w:color w:val="0563C1"/>
            <w:u w:val="single"/>
            <w:lang w:val="es-CU" w:eastAsia="es-ES"/>
          </w:rPr>
          <w:t>iecorralesr@infomed.sld.cu</w:t>
        </w:r>
      </w:hyperlink>
      <w:r w:rsidRPr="00BF6221">
        <w:rPr>
          <w:lang w:val="es-CU" w:eastAsia="es-ES"/>
        </w:rPr>
        <w:t xml:space="preserve"> </w:t>
      </w:r>
    </w:p>
    <w:p w14:paraId="50C97A88" w14:textId="77777777" w:rsidR="00BF6221" w:rsidRPr="00BF6221" w:rsidRDefault="00BF6221" w:rsidP="00BF6221">
      <w:pPr>
        <w:spacing w:line="360" w:lineRule="auto"/>
        <w:jc w:val="both"/>
        <w:rPr>
          <w:b/>
          <w:lang w:val="es-CU" w:eastAsia="es-ES"/>
        </w:rPr>
      </w:pPr>
    </w:p>
    <w:p w14:paraId="7906CED9" w14:textId="77777777" w:rsidR="00AA7B94" w:rsidRDefault="00AA7B94">
      <w:pPr>
        <w:rPr>
          <w:b/>
          <w:lang w:val="es-ES" w:eastAsia="es-ES"/>
        </w:rPr>
      </w:pPr>
      <w:r>
        <w:rPr>
          <w:b/>
          <w:lang w:val="es-ES" w:eastAsia="es-ES"/>
        </w:rPr>
        <w:br w:type="page"/>
      </w:r>
    </w:p>
    <w:p w14:paraId="5C6EA406" w14:textId="2169F5C8" w:rsidR="00BF6221" w:rsidRPr="00BF6221" w:rsidRDefault="00BF6221" w:rsidP="00BF6221">
      <w:pPr>
        <w:spacing w:line="360" w:lineRule="auto"/>
        <w:rPr>
          <w:b/>
          <w:lang w:val="es-ES" w:eastAsia="es-ES"/>
        </w:rPr>
      </w:pPr>
      <w:r w:rsidRPr="00BF6221">
        <w:rPr>
          <w:b/>
          <w:lang w:val="es-ES" w:eastAsia="es-ES"/>
        </w:rPr>
        <w:lastRenderedPageBreak/>
        <w:t>RESUMEN</w:t>
      </w:r>
    </w:p>
    <w:p w14:paraId="1B97543F" w14:textId="77777777" w:rsidR="00BF6221" w:rsidRPr="00BF6221" w:rsidRDefault="00BF6221" w:rsidP="00BF6221">
      <w:pPr>
        <w:spacing w:line="360" w:lineRule="auto"/>
        <w:jc w:val="both"/>
        <w:rPr>
          <w:lang w:val="es-US" w:eastAsia="es-ES"/>
        </w:rPr>
      </w:pPr>
      <w:r w:rsidRPr="00BF6221">
        <w:rPr>
          <w:b/>
          <w:lang w:val="es-ES" w:eastAsia="es-ES"/>
        </w:rPr>
        <w:t>Introducción</w:t>
      </w:r>
      <w:r w:rsidRPr="00BF6221">
        <w:rPr>
          <w:b/>
          <w:bCs/>
          <w:lang w:val="es-ES" w:eastAsia="es-ES"/>
        </w:rPr>
        <w:t>:</w:t>
      </w:r>
      <w:r w:rsidRPr="00BF6221">
        <w:rPr>
          <w:b/>
          <w:lang w:val="es-ES" w:eastAsia="es-ES"/>
        </w:rPr>
        <w:t xml:space="preserve"> </w:t>
      </w:r>
      <w:r w:rsidRPr="00BF6221">
        <w:rPr>
          <w:lang w:val="es-US" w:eastAsia="es-ES"/>
        </w:rPr>
        <w:t xml:space="preserve">En Cuba, el síndrome de </w:t>
      </w:r>
      <w:r w:rsidRPr="00BF6221">
        <w:rPr>
          <w:i/>
          <w:lang w:val="es-US" w:eastAsia="es-ES"/>
        </w:rPr>
        <w:t>burnout</w:t>
      </w:r>
      <w:r w:rsidRPr="00BF6221">
        <w:rPr>
          <w:lang w:val="es-US" w:eastAsia="es-ES"/>
        </w:rPr>
        <w:t xml:space="preserve"> ha sido muy poco investigado, de ahí la necesidad de contar con instrumentos válidos y confiables para su estudio. </w:t>
      </w:r>
    </w:p>
    <w:p w14:paraId="1787B51A" w14:textId="77777777" w:rsidR="00BF6221" w:rsidRPr="00BF6221" w:rsidRDefault="00BF6221" w:rsidP="00BF6221">
      <w:pPr>
        <w:spacing w:line="360" w:lineRule="auto"/>
        <w:jc w:val="both"/>
        <w:rPr>
          <w:lang w:val="es-US" w:eastAsia="es-ES"/>
        </w:rPr>
      </w:pPr>
      <w:r w:rsidRPr="00BF6221">
        <w:rPr>
          <w:b/>
          <w:lang w:val="es-US" w:eastAsia="es-ES"/>
        </w:rPr>
        <w:t>Objetivo</w:t>
      </w:r>
      <w:r w:rsidRPr="00BF6221">
        <w:rPr>
          <w:b/>
          <w:bCs/>
          <w:lang w:val="es-US" w:eastAsia="es-ES"/>
        </w:rPr>
        <w:t>:</w:t>
      </w:r>
      <w:r w:rsidRPr="00BF6221">
        <w:rPr>
          <w:lang w:val="es-US" w:eastAsia="es-ES"/>
        </w:rPr>
        <w:t xml:space="preserve"> Analizar las evidencias de validez y confiabilidad del </w:t>
      </w:r>
      <w:r w:rsidRPr="00BF6221">
        <w:rPr>
          <w:i/>
          <w:shd w:val="clear" w:color="auto" w:fill="FFFFFF"/>
          <w:lang w:val="es-US" w:eastAsia="es-PE"/>
        </w:rPr>
        <w:t xml:space="preserve">Maslach Burnout </w:t>
      </w:r>
      <w:proofErr w:type="spellStart"/>
      <w:r w:rsidRPr="00BF6221">
        <w:rPr>
          <w:i/>
          <w:shd w:val="clear" w:color="auto" w:fill="FFFFFF"/>
          <w:lang w:val="es-US" w:eastAsia="es-PE"/>
        </w:rPr>
        <w:t>Inventory-Students</w:t>
      </w:r>
      <w:proofErr w:type="spellEnd"/>
      <w:r w:rsidRPr="00BF6221">
        <w:rPr>
          <w:i/>
          <w:shd w:val="clear" w:color="auto" w:fill="FFFFFF"/>
          <w:lang w:val="es-US" w:eastAsia="es-PE"/>
        </w:rPr>
        <w:t xml:space="preserve"> </w:t>
      </w:r>
      <w:proofErr w:type="spellStart"/>
      <w:r w:rsidRPr="00BF6221">
        <w:rPr>
          <w:i/>
          <w:shd w:val="clear" w:color="auto" w:fill="FFFFFF"/>
          <w:lang w:val="es-US" w:eastAsia="es-PE"/>
        </w:rPr>
        <w:t>Survey</w:t>
      </w:r>
      <w:proofErr w:type="spellEnd"/>
      <w:r w:rsidRPr="00BF6221">
        <w:rPr>
          <w:shd w:val="clear" w:color="auto" w:fill="FFFFFF"/>
          <w:lang w:val="es-US" w:eastAsia="es-PE"/>
        </w:rPr>
        <w:t xml:space="preserve"> </w:t>
      </w:r>
      <w:r w:rsidRPr="00BF6221">
        <w:rPr>
          <w:lang w:val="es-US" w:eastAsia="es-ES"/>
        </w:rPr>
        <w:t xml:space="preserve">en estudiantes cubanos de Estomatología. </w:t>
      </w:r>
    </w:p>
    <w:p w14:paraId="4C3B7379" w14:textId="77777777" w:rsidR="00BF6221" w:rsidRPr="00BF6221" w:rsidRDefault="00BF6221" w:rsidP="00BF6221">
      <w:pPr>
        <w:spacing w:line="360" w:lineRule="auto"/>
        <w:jc w:val="both"/>
        <w:rPr>
          <w:rFonts w:eastAsia="Arial"/>
          <w:iCs/>
          <w:lang w:val="es-VE" w:eastAsia="es-VE"/>
        </w:rPr>
      </w:pPr>
      <w:r w:rsidRPr="00BF6221">
        <w:rPr>
          <w:b/>
          <w:lang w:val="es-US" w:eastAsia="es-ES"/>
        </w:rPr>
        <w:t>Métodos</w:t>
      </w:r>
      <w:r w:rsidRPr="00BF6221">
        <w:rPr>
          <w:b/>
          <w:bCs/>
          <w:lang w:val="es-US" w:eastAsia="es-ES"/>
        </w:rPr>
        <w:t>:</w:t>
      </w:r>
      <w:r w:rsidRPr="00BF6221">
        <w:rPr>
          <w:lang w:val="es-US" w:eastAsia="es-ES"/>
        </w:rPr>
        <w:t xml:space="preserve"> Estudio instrumental, transversal y multicéntrico, que incluyó estudiantes de 7 universidades cubanas. A partir de un instrumento en español validado en estudiantes colombianos, se realizó un análisis factorial confirmatorio; se utilizó el modelamiento de ecuaciones estructurales y se calculó la consistencia interna con </w:t>
      </w:r>
      <w:r w:rsidRPr="00BF6221">
        <w:rPr>
          <w:rFonts w:eastAsia="Arial"/>
          <w:lang w:val="es-VE" w:eastAsia="es-VE"/>
        </w:rPr>
        <w:t>el coeficiente α de </w:t>
      </w:r>
      <w:r w:rsidRPr="00BF6221">
        <w:rPr>
          <w:rFonts w:eastAsia="Arial"/>
          <w:iCs/>
          <w:lang w:val="es-VE" w:eastAsia="es-VE"/>
        </w:rPr>
        <w:t xml:space="preserve">Cronbach. </w:t>
      </w:r>
    </w:p>
    <w:p w14:paraId="1FC9B84F" w14:textId="77777777" w:rsidR="00BF6221" w:rsidRPr="00BF6221" w:rsidRDefault="00BF6221" w:rsidP="00BF6221">
      <w:pPr>
        <w:spacing w:line="360" w:lineRule="auto"/>
        <w:jc w:val="both"/>
        <w:rPr>
          <w:lang w:val="es-US" w:eastAsia="es-ES"/>
        </w:rPr>
      </w:pPr>
      <w:r w:rsidRPr="00BF6221">
        <w:rPr>
          <w:b/>
          <w:lang w:val="es-US" w:eastAsia="es-ES"/>
        </w:rPr>
        <w:t>Resultados</w:t>
      </w:r>
      <w:r w:rsidRPr="00BF6221">
        <w:rPr>
          <w:b/>
          <w:bCs/>
          <w:lang w:val="es-US" w:eastAsia="es-ES"/>
        </w:rPr>
        <w:t>:</w:t>
      </w:r>
      <w:r w:rsidRPr="00BF6221">
        <w:rPr>
          <w:lang w:val="es-US" w:eastAsia="es-ES"/>
        </w:rPr>
        <w:t xml:space="preserve"> Se incluyó a 738 participantes, de los cuales el 63,69 % fueron mujeres y la media de la edad fue 21,67 ± 1,70 años. De la escala inicial de 15 ítems distribuidos en 3 factores, el análisis factorial sugirió eliminar los ítems 2, 4, 5 y 10. El modelo final quedó conformado por 11 ítems, 2 para el factor 1 (Agotamiento emocional), 4 para el factor 2 (Despersonalización) y 5 para el factor 3 (Falta de realización personal). Se obtuvo un coeficiente </w:t>
      </w:r>
      <w:r w:rsidRPr="00BF6221">
        <w:rPr>
          <w:lang w:val="es-ES" w:eastAsia="es-ES"/>
        </w:rPr>
        <w:t>α</w:t>
      </w:r>
      <w:r w:rsidRPr="00BF6221">
        <w:rPr>
          <w:lang w:val="es-US" w:eastAsia="es-ES"/>
        </w:rPr>
        <w:t xml:space="preserve"> de Cronbach de 0,81 (IC 95 % = 0,78–0,83), lo cual indica que la consistencia interna del instrumento es buena. </w:t>
      </w:r>
    </w:p>
    <w:p w14:paraId="18B06FE4" w14:textId="77777777" w:rsidR="00BF6221" w:rsidRPr="00BF6221" w:rsidRDefault="00BF6221" w:rsidP="00BF6221">
      <w:pPr>
        <w:spacing w:line="360" w:lineRule="auto"/>
        <w:jc w:val="both"/>
        <w:rPr>
          <w:lang w:val="es-US" w:eastAsia="es-ES"/>
        </w:rPr>
      </w:pPr>
      <w:r w:rsidRPr="00BF6221">
        <w:rPr>
          <w:b/>
          <w:lang w:val="es-US" w:eastAsia="es-ES"/>
        </w:rPr>
        <w:t>Conclusiones</w:t>
      </w:r>
      <w:r w:rsidRPr="00BF6221">
        <w:rPr>
          <w:b/>
          <w:bCs/>
          <w:lang w:val="es-US" w:eastAsia="es-ES"/>
        </w:rPr>
        <w:t>:</w:t>
      </w:r>
      <w:r w:rsidRPr="00BF6221">
        <w:rPr>
          <w:lang w:val="es-US" w:eastAsia="es-ES"/>
        </w:rPr>
        <w:t xml:space="preserve"> Se validó una escala de </w:t>
      </w:r>
      <w:r w:rsidRPr="00BF6221">
        <w:rPr>
          <w:i/>
          <w:lang w:val="es-US" w:eastAsia="es-ES"/>
        </w:rPr>
        <w:t>burnout</w:t>
      </w:r>
      <w:r w:rsidRPr="00BF6221">
        <w:rPr>
          <w:lang w:val="es-US" w:eastAsia="es-ES"/>
        </w:rPr>
        <w:t xml:space="preserve"> académico de 11 ítems, la cual posee evidencias de validez y confiabilidad adecuadas para evaluar el síndrome de </w:t>
      </w:r>
      <w:r w:rsidRPr="00BF6221">
        <w:rPr>
          <w:i/>
          <w:iCs/>
          <w:lang w:val="es-US" w:eastAsia="es-ES"/>
        </w:rPr>
        <w:t>burnout</w:t>
      </w:r>
      <w:r w:rsidRPr="00BF6221" w:rsidDel="005A2159">
        <w:rPr>
          <w:lang w:val="es-US" w:eastAsia="es-ES"/>
        </w:rPr>
        <w:t xml:space="preserve"> </w:t>
      </w:r>
      <w:r w:rsidRPr="00BF6221">
        <w:rPr>
          <w:lang w:val="es-US" w:eastAsia="es-ES"/>
        </w:rPr>
        <w:t>en estudiantes cubanos de Estomatología.</w:t>
      </w:r>
    </w:p>
    <w:p w14:paraId="43C1325A" w14:textId="77777777" w:rsidR="00BF6221" w:rsidRPr="00BF6221" w:rsidRDefault="00BF6221" w:rsidP="00BF6221">
      <w:pPr>
        <w:spacing w:line="360" w:lineRule="auto"/>
        <w:jc w:val="both"/>
        <w:rPr>
          <w:lang w:val="es-US" w:eastAsia="es-ES"/>
        </w:rPr>
      </w:pPr>
      <w:r w:rsidRPr="00BF6221">
        <w:rPr>
          <w:b/>
          <w:lang w:val="es-US" w:eastAsia="es-ES"/>
        </w:rPr>
        <w:t>Palabras clave</w:t>
      </w:r>
      <w:r w:rsidRPr="00BF6221">
        <w:rPr>
          <w:lang w:val="es-US" w:eastAsia="es-ES"/>
        </w:rPr>
        <w:t>: burnout; odontología; estudiantes de odontología; encuestas y cuestionarios.</w:t>
      </w:r>
    </w:p>
    <w:p w14:paraId="65B58D32" w14:textId="77777777" w:rsidR="00BF6221" w:rsidRPr="00BF6221" w:rsidRDefault="00BF6221" w:rsidP="00BF6221">
      <w:pPr>
        <w:spacing w:line="360" w:lineRule="auto"/>
        <w:jc w:val="both"/>
        <w:rPr>
          <w:lang w:val="es-US" w:eastAsia="es-ES"/>
        </w:rPr>
      </w:pPr>
    </w:p>
    <w:p w14:paraId="00F6A397" w14:textId="77777777" w:rsidR="00BF6221" w:rsidRPr="00BF6221" w:rsidRDefault="00BF6221" w:rsidP="00BF6221">
      <w:pPr>
        <w:spacing w:line="360" w:lineRule="auto"/>
        <w:rPr>
          <w:b/>
          <w:lang w:val="en-US" w:eastAsia="es-ES"/>
        </w:rPr>
      </w:pPr>
      <w:r w:rsidRPr="00BF6221">
        <w:rPr>
          <w:b/>
          <w:lang w:val="en-US" w:eastAsia="es-ES"/>
        </w:rPr>
        <w:t>ABSTRACT</w:t>
      </w:r>
    </w:p>
    <w:p w14:paraId="10EE84F7" w14:textId="77777777" w:rsidR="00BF6221" w:rsidRPr="00BF6221" w:rsidRDefault="00BF6221" w:rsidP="00BF6221">
      <w:pPr>
        <w:spacing w:line="360" w:lineRule="auto"/>
        <w:jc w:val="both"/>
        <w:rPr>
          <w:lang w:val="en" w:eastAsia="es-ES"/>
        </w:rPr>
      </w:pPr>
      <w:r w:rsidRPr="00BF6221">
        <w:rPr>
          <w:b/>
          <w:lang w:val="en-US" w:eastAsia="es-ES"/>
        </w:rPr>
        <w:t xml:space="preserve">Introduction: </w:t>
      </w:r>
      <w:r w:rsidRPr="00BF6221">
        <w:rPr>
          <w:lang w:val="en" w:eastAsia="es-ES"/>
        </w:rPr>
        <w:t xml:space="preserve">In Cuba, the burnout syndrome has been scarcely investigated, hence the need for valid and reliable instruments for its study. </w:t>
      </w:r>
    </w:p>
    <w:p w14:paraId="296FB88C" w14:textId="77777777" w:rsidR="00BF6221" w:rsidRPr="00BF6221" w:rsidRDefault="00BF6221" w:rsidP="00BF6221">
      <w:pPr>
        <w:spacing w:line="360" w:lineRule="auto"/>
        <w:jc w:val="both"/>
        <w:rPr>
          <w:lang w:val="en" w:eastAsia="es-ES"/>
        </w:rPr>
      </w:pPr>
      <w:r w:rsidRPr="00BF6221">
        <w:rPr>
          <w:b/>
          <w:lang w:val="en" w:eastAsia="es-ES"/>
        </w:rPr>
        <w:t>Objective</w:t>
      </w:r>
      <w:r w:rsidRPr="00BF6221">
        <w:rPr>
          <w:b/>
          <w:bCs/>
          <w:lang w:val="en" w:eastAsia="es-ES"/>
        </w:rPr>
        <w:t>:</w:t>
      </w:r>
      <w:r w:rsidRPr="00BF6221">
        <w:rPr>
          <w:lang w:val="en" w:eastAsia="es-ES"/>
        </w:rPr>
        <w:t xml:space="preserve"> To analyze the evidence of validity and reliability of the </w:t>
      </w:r>
      <w:r w:rsidRPr="00BF6221">
        <w:rPr>
          <w:shd w:val="clear" w:color="auto" w:fill="FFFFFF"/>
          <w:lang w:val="en-US" w:eastAsia="es-PE"/>
        </w:rPr>
        <w:t>Maslach Burnout Inventory-Students Survey</w:t>
      </w:r>
      <w:r w:rsidRPr="00BF6221">
        <w:rPr>
          <w:lang w:val="en" w:eastAsia="es-ES"/>
        </w:rPr>
        <w:t xml:space="preserve"> in Cuban dental students. </w:t>
      </w:r>
    </w:p>
    <w:p w14:paraId="3E079668" w14:textId="77777777" w:rsidR="00BF6221" w:rsidRPr="00BF6221" w:rsidRDefault="00BF6221" w:rsidP="00BF6221">
      <w:pPr>
        <w:spacing w:line="360" w:lineRule="auto"/>
        <w:jc w:val="both"/>
        <w:rPr>
          <w:lang w:val="en" w:eastAsia="es-ES"/>
        </w:rPr>
      </w:pPr>
      <w:r w:rsidRPr="00BF6221">
        <w:rPr>
          <w:b/>
          <w:lang w:val="en" w:eastAsia="es-ES"/>
        </w:rPr>
        <w:t>Methods</w:t>
      </w:r>
      <w:r w:rsidRPr="00BF6221">
        <w:rPr>
          <w:b/>
          <w:bCs/>
          <w:lang w:val="en" w:eastAsia="es-ES"/>
        </w:rPr>
        <w:t>:</w:t>
      </w:r>
      <w:r w:rsidRPr="00BF6221">
        <w:rPr>
          <w:lang w:val="en" w:eastAsia="es-ES"/>
        </w:rPr>
        <w:t xml:space="preserve"> Instrumental, cross-sectional and multicenter study, which included students from seven Cuban universities. Using an instrument in Spanish validated in Colombian students, a confirmatory </w:t>
      </w:r>
      <w:r w:rsidRPr="00BF6221">
        <w:rPr>
          <w:lang w:val="en" w:eastAsia="es-ES"/>
        </w:rPr>
        <w:lastRenderedPageBreak/>
        <w:t xml:space="preserve">factor analysis was performed, structural equation modeling was used, and internal consistency was calculated with Cronbach's α coefficient. </w:t>
      </w:r>
    </w:p>
    <w:p w14:paraId="4421F72C" w14:textId="77777777" w:rsidR="00BF6221" w:rsidRPr="00BF6221" w:rsidRDefault="00BF6221" w:rsidP="00BF6221">
      <w:pPr>
        <w:spacing w:line="360" w:lineRule="auto"/>
        <w:jc w:val="both"/>
        <w:rPr>
          <w:lang w:val="en" w:eastAsia="es-ES"/>
        </w:rPr>
      </w:pPr>
      <w:r w:rsidRPr="00BF6221">
        <w:rPr>
          <w:b/>
          <w:lang w:val="en" w:eastAsia="es-ES"/>
        </w:rPr>
        <w:t>Results</w:t>
      </w:r>
      <w:r w:rsidRPr="00BF6221">
        <w:rPr>
          <w:b/>
          <w:bCs/>
          <w:lang w:val="en" w:eastAsia="es-ES"/>
        </w:rPr>
        <w:t>:</w:t>
      </w:r>
      <w:r w:rsidRPr="00BF6221">
        <w:rPr>
          <w:lang w:val="en" w:eastAsia="es-ES"/>
        </w:rPr>
        <w:t xml:space="preserve"> 738 participants were included, of which </w:t>
      </w:r>
      <w:r w:rsidRPr="00BF6221">
        <w:rPr>
          <w:lang w:val="en-US" w:eastAsia="es-ES"/>
        </w:rPr>
        <w:t xml:space="preserve">63,69 </w:t>
      </w:r>
      <w:r w:rsidRPr="00BF6221">
        <w:rPr>
          <w:lang w:val="en" w:eastAsia="es-ES"/>
        </w:rPr>
        <w:t xml:space="preserve">% were women and the mean age was </w:t>
      </w:r>
      <w:r w:rsidRPr="00BF6221">
        <w:rPr>
          <w:lang w:val="en-US" w:eastAsia="es-ES"/>
        </w:rPr>
        <w:t xml:space="preserve">21,67 ± 1,70 </w:t>
      </w:r>
      <w:r w:rsidRPr="00BF6221">
        <w:rPr>
          <w:lang w:val="en" w:eastAsia="es-ES"/>
        </w:rPr>
        <w:t xml:space="preserve">years. From the initial scale of 15 items distributed in three factors, the factor analysis suggested eliminating items </w:t>
      </w:r>
      <w:r w:rsidRPr="00BF6221">
        <w:rPr>
          <w:lang w:val="en-US" w:eastAsia="es-ES"/>
        </w:rPr>
        <w:t>2, 4, 5 y 10</w:t>
      </w:r>
      <w:r w:rsidRPr="00BF6221">
        <w:rPr>
          <w:lang w:val="en" w:eastAsia="es-ES"/>
        </w:rPr>
        <w:t xml:space="preserve">. The final model was made up of 11 items, two for factor 1 (Emotional exhaustion), four for factor 2 (Depersonalization) and five for factor 3 (Lack of personal accomplishment). A Cronbach's α coefficient of 0,81 (95 % CI = </w:t>
      </w:r>
      <w:r w:rsidRPr="00BF6221">
        <w:rPr>
          <w:lang w:val="en-US" w:eastAsia="es-ES"/>
        </w:rPr>
        <w:t>0,78–0,83</w:t>
      </w:r>
      <w:r w:rsidRPr="00BF6221">
        <w:rPr>
          <w:lang w:val="en" w:eastAsia="es-ES"/>
        </w:rPr>
        <w:t xml:space="preserve">) was obtained, which indicates that the internal consistency of the instrument is good. </w:t>
      </w:r>
    </w:p>
    <w:p w14:paraId="66143DFB" w14:textId="77777777" w:rsidR="00BF6221" w:rsidRPr="00BF6221" w:rsidRDefault="00BF6221" w:rsidP="00BF6221">
      <w:pPr>
        <w:spacing w:line="360" w:lineRule="auto"/>
        <w:jc w:val="both"/>
        <w:rPr>
          <w:b/>
          <w:lang w:val="en" w:eastAsia="es-ES"/>
        </w:rPr>
      </w:pPr>
      <w:r w:rsidRPr="00BF6221">
        <w:rPr>
          <w:b/>
          <w:lang w:val="en" w:eastAsia="es-ES"/>
        </w:rPr>
        <w:t>Conclusions</w:t>
      </w:r>
      <w:r w:rsidRPr="00BF6221">
        <w:rPr>
          <w:b/>
          <w:bCs/>
          <w:lang w:val="en" w:eastAsia="es-ES"/>
        </w:rPr>
        <w:t>:</w:t>
      </w:r>
      <w:r w:rsidRPr="00BF6221">
        <w:rPr>
          <w:lang w:val="en" w:eastAsia="es-ES"/>
        </w:rPr>
        <w:t xml:space="preserve"> An 11-item academic burnout scale was validated, which has evidence of validity and adequate reliability to evaluate the burnout syndrome in Cuban dental students.</w:t>
      </w:r>
    </w:p>
    <w:p w14:paraId="319AAEB6" w14:textId="77777777" w:rsidR="00BF6221" w:rsidRPr="00BF6221" w:rsidRDefault="00BF6221" w:rsidP="00BF6221">
      <w:pPr>
        <w:spacing w:line="360" w:lineRule="auto"/>
        <w:jc w:val="both"/>
        <w:rPr>
          <w:lang w:val="en-US" w:eastAsia="es-ES"/>
        </w:rPr>
      </w:pPr>
      <w:r w:rsidRPr="00BF6221">
        <w:rPr>
          <w:b/>
          <w:lang w:val="en-US" w:eastAsia="es-ES"/>
        </w:rPr>
        <w:t>Keywords</w:t>
      </w:r>
      <w:r w:rsidRPr="00BF6221">
        <w:rPr>
          <w:lang w:val="en-US" w:eastAsia="es-ES"/>
        </w:rPr>
        <w:t>: burnout; dentistry; dental students; surveys and questionnaires.</w:t>
      </w:r>
    </w:p>
    <w:p w14:paraId="162D3E82" w14:textId="77777777" w:rsidR="00BF6221" w:rsidRPr="00BF6221" w:rsidRDefault="00BF6221" w:rsidP="00BF6221">
      <w:pPr>
        <w:spacing w:line="360" w:lineRule="auto"/>
        <w:jc w:val="both"/>
        <w:rPr>
          <w:lang w:val="en-US" w:eastAsia="es-ES"/>
        </w:rPr>
      </w:pPr>
    </w:p>
    <w:p w14:paraId="60C3B227" w14:textId="77777777" w:rsidR="00BF6221" w:rsidRPr="00BF6221" w:rsidRDefault="00BF6221" w:rsidP="00BF6221">
      <w:pPr>
        <w:spacing w:line="360" w:lineRule="auto"/>
        <w:jc w:val="both"/>
        <w:rPr>
          <w:lang w:val="en-US" w:eastAsia="es-ES"/>
        </w:rPr>
      </w:pPr>
    </w:p>
    <w:p w14:paraId="4E967375" w14:textId="77777777" w:rsidR="00BF6221" w:rsidRPr="00BF6221" w:rsidRDefault="00BF6221" w:rsidP="00BF6221">
      <w:pPr>
        <w:spacing w:line="360" w:lineRule="auto"/>
        <w:jc w:val="both"/>
        <w:rPr>
          <w:lang w:val="es-CU" w:eastAsia="es-ES"/>
        </w:rPr>
      </w:pPr>
      <w:r w:rsidRPr="00BF6221">
        <w:rPr>
          <w:lang w:val="es-CU" w:eastAsia="es-ES"/>
        </w:rPr>
        <w:t>Recibido: 24/01/2022</w:t>
      </w:r>
    </w:p>
    <w:p w14:paraId="7CD841EB" w14:textId="77777777" w:rsidR="00BF6221" w:rsidRPr="00BF6221" w:rsidRDefault="00BF6221" w:rsidP="00BF6221">
      <w:pPr>
        <w:spacing w:line="360" w:lineRule="auto"/>
        <w:jc w:val="both"/>
        <w:rPr>
          <w:lang w:val="es-CU" w:eastAsia="es-ES"/>
        </w:rPr>
      </w:pPr>
      <w:r w:rsidRPr="00BF6221">
        <w:rPr>
          <w:lang w:val="es-CU" w:eastAsia="es-ES"/>
        </w:rPr>
        <w:t>Aprobado: 11/03/2022</w:t>
      </w:r>
    </w:p>
    <w:p w14:paraId="0F65BC3A" w14:textId="77777777" w:rsidR="00BF6221" w:rsidRPr="00BF6221" w:rsidRDefault="00BF6221" w:rsidP="00BF6221">
      <w:pPr>
        <w:spacing w:line="360" w:lineRule="auto"/>
        <w:jc w:val="center"/>
        <w:rPr>
          <w:b/>
          <w:lang w:val="es-CU" w:eastAsia="es-ES"/>
        </w:rPr>
      </w:pPr>
    </w:p>
    <w:p w14:paraId="4CF2A741" w14:textId="77777777" w:rsidR="00BF6221" w:rsidRPr="00BF6221" w:rsidRDefault="00BF6221" w:rsidP="00BF6221">
      <w:pPr>
        <w:spacing w:line="360" w:lineRule="auto"/>
        <w:jc w:val="center"/>
        <w:rPr>
          <w:b/>
          <w:lang w:val="es-ES" w:eastAsia="es-ES"/>
        </w:rPr>
      </w:pPr>
    </w:p>
    <w:p w14:paraId="14074C92" w14:textId="77777777" w:rsidR="00BF6221" w:rsidRPr="00BF6221" w:rsidRDefault="00BF6221" w:rsidP="00BF6221">
      <w:pPr>
        <w:spacing w:line="360" w:lineRule="auto"/>
        <w:jc w:val="center"/>
        <w:rPr>
          <w:b/>
          <w:sz w:val="32"/>
          <w:szCs w:val="32"/>
          <w:lang w:val="es-ES" w:eastAsia="es-ES"/>
        </w:rPr>
      </w:pPr>
      <w:r w:rsidRPr="00BF6221">
        <w:rPr>
          <w:b/>
          <w:sz w:val="32"/>
          <w:szCs w:val="32"/>
          <w:lang w:val="es-ES" w:eastAsia="es-ES"/>
        </w:rPr>
        <w:t>INTRODUCCIÓN</w:t>
      </w:r>
    </w:p>
    <w:p w14:paraId="77113C5A" w14:textId="77777777" w:rsidR="00BF6221" w:rsidRPr="00BF6221" w:rsidRDefault="00BF6221" w:rsidP="00BF6221">
      <w:pPr>
        <w:spacing w:line="360" w:lineRule="auto"/>
        <w:jc w:val="both"/>
        <w:rPr>
          <w:vertAlign w:val="superscript"/>
          <w:lang w:val="es-ES" w:eastAsia="es-ES"/>
        </w:rPr>
      </w:pPr>
      <w:r w:rsidRPr="00BF6221">
        <w:rPr>
          <w:lang w:val="es-ES" w:eastAsia="es-ES"/>
        </w:rPr>
        <w:t xml:space="preserve">El </w:t>
      </w:r>
      <w:r w:rsidRPr="00BF6221">
        <w:rPr>
          <w:i/>
          <w:lang w:val="es-ES" w:eastAsia="es-ES"/>
        </w:rPr>
        <w:t>burnout</w:t>
      </w:r>
      <w:r w:rsidRPr="00BF6221">
        <w:rPr>
          <w:lang w:val="es-ES" w:eastAsia="es-ES"/>
        </w:rPr>
        <w:t xml:space="preserve"> es considerado un síndrome relacionado con el trabajo y es muy común entre los profesionales de la salud. El término como tal fue utilizado por primera vez en la década del 70 del pasado siglo, para describir el estado que experimentaban voluntarios con sobrecarga de trabajo en clínicas de salud mental.</w:t>
      </w:r>
      <w:r w:rsidRPr="00BF6221">
        <w:rPr>
          <w:vertAlign w:val="superscript"/>
          <w:lang w:val="es-ES" w:eastAsia="es-ES"/>
        </w:rPr>
        <w:t>(1)</w:t>
      </w:r>
      <w:r w:rsidRPr="00BF6221">
        <w:rPr>
          <w:lang w:val="es-ES" w:eastAsia="es-ES"/>
        </w:rPr>
        <w:t xml:space="preserve"> Explora el estrés prolongado, con graves consecuencias psicológicas y físicas.</w:t>
      </w:r>
      <w:r w:rsidRPr="00BF6221">
        <w:rPr>
          <w:vertAlign w:val="superscript"/>
          <w:lang w:val="es-ES" w:eastAsia="es-ES"/>
        </w:rPr>
        <w:t>(2)</w:t>
      </w:r>
    </w:p>
    <w:p w14:paraId="6B453530" w14:textId="77777777" w:rsidR="00BF6221" w:rsidRPr="00BF6221" w:rsidRDefault="00BF6221" w:rsidP="00BF6221">
      <w:pPr>
        <w:spacing w:line="360" w:lineRule="auto"/>
        <w:jc w:val="both"/>
        <w:rPr>
          <w:vertAlign w:val="superscript"/>
          <w:lang w:val="es-ES" w:eastAsia="es-ES"/>
        </w:rPr>
      </w:pPr>
      <w:r w:rsidRPr="00BF6221">
        <w:rPr>
          <w:lang w:val="es-ES" w:eastAsia="es-ES"/>
        </w:rPr>
        <w:t>Es importante reconocer que no solo quienes están en ejercicio laboral son propensos a experimentar este síndrome; también pueden padecerlo aquellos que por formación, tienen actividades en el ámbito académico, eminentemente generador de estrés, pues determina la exposición a ciertos estresores, que según como sean vividos, afrontados y resueltos, determinarán la respuesta individual, sea adaptativa o desadaptativa.</w:t>
      </w:r>
      <w:r w:rsidRPr="00BF6221">
        <w:rPr>
          <w:vertAlign w:val="superscript"/>
          <w:lang w:val="es-ES" w:eastAsia="es-ES"/>
        </w:rPr>
        <w:t>(3)</w:t>
      </w:r>
    </w:p>
    <w:p w14:paraId="5916733D" w14:textId="77777777" w:rsidR="00BF6221" w:rsidRPr="00BF6221" w:rsidRDefault="00BF6221" w:rsidP="00BF6221">
      <w:pPr>
        <w:spacing w:line="360" w:lineRule="auto"/>
        <w:jc w:val="both"/>
        <w:rPr>
          <w:lang w:val="es-ES" w:eastAsia="es-ES"/>
        </w:rPr>
      </w:pPr>
      <w:r w:rsidRPr="00BF6221">
        <w:rPr>
          <w:lang w:val="es-ES" w:eastAsia="es-ES"/>
        </w:rPr>
        <w:lastRenderedPageBreak/>
        <w:t xml:space="preserve">Una definición precisa del </w:t>
      </w:r>
      <w:r w:rsidRPr="00BF6221">
        <w:rPr>
          <w:i/>
          <w:lang w:val="es-ES" w:eastAsia="es-ES"/>
        </w:rPr>
        <w:t>burnout</w:t>
      </w:r>
      <w:r w:rsidRPr="00BF6221">
        <w:rPr>
          <w:lang w:val="es-ES" w:eastAsia="es-ES"/>
        </w:rPr>
        <w:t xml:space="preserve"> implica tomar como medida, el grado o magnitud respecto a la percepción de experimentar un agotamiento emocional que sobrepasa la capacidad de adaptación del individuo.</w:t>
      </w:r>
      <w:r w:rsidRPr="00BF6221">
        <w:rPr>
          <w:vertAlign w:val="superscript"/>
          <w:lang w:val="es-ES" w:eastAsia="es-ES"/>
        </w:rPr>
        <w:t>(4)</w:t>
      </w:r>
      <w:r w:rsidRPr="00BF6221">
        <w:rPr>
          <w:lang w:val="es-ES" w:eastAsia="es-ES"/>
        </w:rPr>
        <w:t xml:space="preserve"> Por ello, el </w:t>
      </w:r>
      <w:r w:rsidRPr="00BF6221">
        <w:rPr>
          <w:i/>
          <w:lang w:val="es-ES" w:eastAsia="es-ES"/>
        </w:rPr>
        <w:t>burnout</w:t>
      </w:r>
      <w:r w:rsidRPr="00BF6221">
        <w:rPr>
          <w:lang w:val="es-ES" w:eastAsia="es-ES"/>
        </w:rPr>
        <w:t xml:space="preserve"> en el ámbito académico, hace referencia a un déficit en la capacidad de adaptación a las exigencias educativas. Sus principales indicadores son la fatiga, el cinismo y la ineficacia; lo cual hace que los estudiantes sientan cansancio y manifiesten actitudes pesimistas hacia el estudio y los contenidos educativos.</w:t>
      </w:r>
      <w:r w:rsidRPr="00BF6221">
        <w:rPr>
          <w:vertAlign w:val="superscript"/>
          <w:lang w:val="es-ES" w:eastAsia="es-ES"/>
        </w:rPr>
        <w:t>(5)</w:t>
      </w:r>
      <w:r w:rsidRPr="00BF6221">
        <w:rPr>
          <w:lang w:val="es-ES" w:eastAsia="es-ES"/>
        </w:rPr>
        <w:t xml:space="preserve"> Esto conduce al declive en su rendimiento académico y puede llevarlos a cometer errores en sus deberes. </w:t>
      </w:r>
    </w:p>
    <w:p w14:paraId="4D4FCE4A" w14:textId="77777777" w:rsidR="00BF6221" w:rsidRPr="00BF6221" w:rsidRDefault="00BF6221" w:rsidP="00BF6221">
      <w:pPr>
        <w:spacing w:line="360" w:lineRule="auto"/>
        <w:jc w:val="both"/>
        <w:rPr>
          <w:vertAlign w:val="superscript"/>
          <w:lang w:val="es-ES" w:eastAsia="es-ES"/>
        </w:rPr>
      </w:pPr>
      <w:r w:rsidRPr="00BF6221">
        <w:rPr>
          <w:lang w:val="es-ES" w:eastAsia="es-ES"/>
        </w:rPr>
        <w:t xml:space="preserve">Dentro del ámbito de las ciencias de la salud, una de poblaciones más afectadas a causa del </w:t>
      </w:r>
      <w:r w:rsidRPr="00BF6221">
        <w:rPr>
          <w:i/>
          <w:lang w:val="es-ES" w:eastAsia="es-ES"/>
        </w:rPr>
        <w:t>burnout</w:t>
      </w:r>
      <w:r w:rsidRPr="00BF6221">
        <w:rPr>
          <w:lang w:val="es-ES" w:eastAsia="es-ES"/>
        </w:rPr>
        <w:t xml:space="preserve"> son los profesionales encargados de la salud bucal,</w:t>
      </w:r>
      <w:r w:rsidRPr="00BF6221">
        <w:rPr>
          <w:vertAlign w:val="superscript"/>
          <w:lang w:val="es-ES" w:eastAsia="es-ES"/>
        </w:rPr>
        <w:t xml:space="preserve">(6,7) </w:t>
      </w:r>
      <w:r w:rsidRPr="00BF6221">
        <w:rPr>
          <w:lang w:val="es-ES" w:eastAsia="es-ES"/>
        </w:rPr>
        <w:t>tal como lo demuestran investigaciones recientes en Taiwán</w:t>
      </w:r>
      <w:r w:rsidRPr="00BF6221">
        <w:rPr>
          <w:vertAlign w:val="superscript"/>
          <w:lang w:val="es-ES" w:eastAsia="es-ES"/>
        </w:rPr>
        <w:t>(8)</w:t>
      </w:r>
      <w:r w:rsidRPr="00BF6221">
        <w:rPr>
          <w:lang w:val="es-ES" w:eastAsia="es-ES"/>
        </w:rPr>
        <w:t xml:space="preserve"> y Singapur.</w:t>
      </w:r>
      <w:r w:rsidRPr="00BF6221">
        <w:rPr>
          <w:vertAlign w:val="superscript"/>
          <w:lang w:val="es-ES" w:eastAsia="es-ES"/>
        </w:rPr>
        <w:t>(9)</w:t>
      </w:r>
      <w:r w:rsidRPr="00BF6221">
        <w:rPr>
          <w:lang w:val="es-ES" w:eastAsia="es-ES"/>
        </w:rPr>
        <w:t xml:space="preserve"> En este caso, la interacción diaria con los pacientes, colegas y personal auxiliar, combinado con problemas administrativos y la alta concentración requerida por las meticulosas tareas que deben realizarse en el reducido espacio bucal, son factores que dan lugar al estrés psicológico excesivo.</w:t>
      </w:r>
      <w:r w:rsidRPr="00BF6221">
        <w:rPr>
          <w:vertAlign w:val="superscript"/>
          <w:lang w:val="es-ES" w:eastAsia="es-ES"/>
        </w:rPr>
        <w:t xml:space="preserve">(10) </w:t>
      </w:r>
      <w:r w:rsidRPr="00BF6221">
        <w:rPr>
          <w:lang w:val="es-ES" w:eastAsia="es-ES"/>
        </w:rPr>
        <w:t>De igual manera, los estudiantes en esta rama, también están expuestos a entornos altamente estresantes</w:t>
      </w:r>
      <w:r w:rsidRPr="00BF6221">
        <w:rPr>
          <w:vertAlign w:val="superscript"/>
          <w:lang w:val="es-ES" w:eastAsia="es-ES"/>
        </w:rPr>
        <w:t>(11)</w:t>
      </w:r>
      <w:r w:rsidRPr="00BF6221">
        <w:rPr>
          <w:lang w:val="es-ES" w:eastAsia="es-ES"/>
        </w:rPr>
        <w:t xml:space="preserve"> debido a diversos factores como la sobrecarga académica, las labores diarias y el reducido tiempo para el esparcimiento durante la etapa universitaria.</w:t>
      </w:r>
      <w:r w:rsidRPr="00BF6221">
        <w:rPr>
          <w:vertAlign w:val="superscript"/>
          <w:lang w:val="es-ES" w:eastAsia="es-ES"/>
        </w:rPr>
        <w:t>(12)</w:t>
      </w:r>
    </w:p>
    <w:p w14:paraId="09A9D2A4" w14:textId="77777777" w:rsidR="00BF6221" w:rsidRPr="00BF6221" w:rsidRDefault="00BF6221" w:rsidP="00BF6221">
      <w:pPr>
        <w:spacing w:line="360" w:lineRule="auto"/>
        <w:jc w:val="both"/>
        <w:rPr>
          <w:vertAlign w:val="superscript"/>
          <w:lang w:val="es-ES" w:eastAsia="es-ES"/>
        </w:rPr>
      </w:pPr>
      <w:r w:rsidRPr="00BF6221">
        <w:rPr>
          <w:lang w:val="es-ES" w:eastAsia="es-ES"/>
        </w:rPr>
        <w:t>Por estas razones, varios investigadores vienen abordando este problema en países latinoamericanos como Perú,</w:t>
      </w:r>
      <w:r w:rsidRPr="00BF6221">
        <w:rPr>
          <w:vertAlign w:val="superscript"/>
          <w:lang w:val="es-ES" w:eastAsia="es-ES"/>
        </w:rPr>
        <w:t>(10,12)</w:t>
      </w:r>
      <w:r w:rsidRPr="00BF6221">
        <w:rPr>
          <w:lang w:val="es-ES" w:eastAsia="es-ES"/>
        </w:rPr>
        <w:t xml:space="preserve"> Chile,</w:t>
      </w:r>
      <w:r w:rsidRPr="00BF6221">
        <w:rPr>
          <w:vertAlign w:val="superscript"/>
          <w:lang w:val="es-ES" w:eastAsia="es-ES"/>
        </w:rPr>
        <w:t>(13,14)</w:t>
      </w:r>
      <w:r w:rsidRPr="00BF6221">
        <w:rPr>
          <w:lang w:val="es-ES" w:eastAsia="es-ES"/>
        </w:rPr>
        <w:t xml:space="preserve"> Ecuador</w:t>
      </w:r>
      <w:r w:rsidRPr="00BF6221">
        <w:rPr>
          <w:vertAlign w:val="superscript"/>
          <w:lang w:val="es-ES" w:eastAsia="es-ES"/>
        </w:rPr>
        <w:t>(15)</w:t>
      </w:r>
      <w:r w:rsidRPr="00BF6221">
        <w:rPr>
          <w:lang w:val="es-ES" w:eastAsia="es-ES"/>
        </w:rPr>
        <w:t xml:space="preserve"> y México.</w:t>
      </w:r>
      <w:r w:rsidRPr="00BF6221">
        <w:rPr>
          <w:vertAlign w:val="superscript"/>
          <w:lang w:val="es-ES" w:eastAsia="es-ES"/>
        </w:rPr>
        <w:t>(16)</w:t>
      </w:r>
      <w:r w:rsidRPr="00BF6221">
        <w:rPr>
          <w:lang w:val="es-ES" w:eastAsia="es-ES"/>
        </w:rPr>
        <w:t xml:space="preserve"> En cambio, en Cuba, el síndrome ha sido muy poco investigado, pues se tienen unos pocos reportes del tema, como, por ejemplo, la investigación desarrollada por </w:t>
      </w:r>
      <w:r w:rsidRPr="00BF6221">
        <w:rPr>
          <w:i/>
          <w:lang w:val="es-ES" w:eastAsia="es-ES"/>
        </w:rPr>
        <w:t xml:space="preserve">Gil </w:t>
      </w:r>
      <w:r w:rsidRPr="00BF6221">
        <w:rPr>
          <w:iCs/>
          <w:lang w:val="es-ES" w:eastAsia="es-ES"/>
        </w:rPr>
        <w:t>y otros</w:t>
      </w:r>
      <w:r w:rsidRPr="00BF6221">
        <w:rPr>
          <w:vertAlign w:val="superscript"/>
          <w:lang w:val="es-ES" w:eastAsia="es-ES"/>
        </w:rPr>
        <w:t>(17)</w:t>
      </w:r>
      <w:r w:rsidRPr="00BF6221">
        <w:rPr>
          <w:lang w:val="es-ES" w:eastAsia="es-ES"/>
        </w:rPr>
        <w:t xml:space="preserve"> con internos de Estomatología, que halló altos niveles de agotamiento emocional y bajos niveles en la dimensión despersonalización.</w:t>
      </w:r>
    </w:p>
    <w:p w14:paraId="53028451" w14:textId="77777777" w:rsidR="00BF6221" w:rsidRPr="00BF6221" w:rsidRDefault="00BF6221" w:rsidP="00BF6221">
      <w:pPr>
        <w:spacing w:line="360" w:lineRule="auto"/>
        <w:jc w:val="both"/>
        <w:rPr>
          <w:lang w:val="es-ES" w:eastAsia="es-ES"/>
        </w:rPr>
      </w:pPr>
      <w:r w:rsidRPr="00BF6221">
        <w:rPr>
          <w:lang w:val="es-ES" w:eastAsia="es-ES"/>
        </w:rPr>
        <w:t xml:space="preserve">Ante ello, surge la necesidad de investigar el síndrome de </w:t>
      </w:r>
      <w:r w:rsidRPr="00BF6221">
        <w:rPr>
          <w:i/>
          <w:lang w:val="es-ES" w:eastAsia="es-ES"/>
        </w:rPr>
        <w:t>burnout</w:t>
      </w:r>
      <w:r w:rsidRPr="00BF6221">
        <w:rPr>
          <w:lang w:val="es-ES" w:eastAsia="es-ES"/>
        </w:rPr>
        <w:t xml:space="preserve"> (SB) en estudiantes cubanos de la carrera a fin de </w:t>
      </w:r>
      <w:r w:rsidRPr="00BF6221">
        <w:rPr>
          <w:shd w:val="clear" w:color="auto" w:fill="FFFFFF"/>
          <w:lang w:val="es-ES" w:eastAsia="es-PE"/>
        </w:rPr>
        <w:t xml:space="preserve">conocer su prevalencia. A falta de instrumentos válidos y confiables, hasta ahora, </w:t>
      </w:r>
      <w:r w:rsidRPr="00BF6221">
        <w:rPr>
          <w:lang w:val="es-ES" w:eastAsia="es-ES"/>
        </w:rPr>
        <w:t>los estudios sobre el tema han sido de tipo descriptivos. Por tanto,</w:t>
      </w:r>
      <w:r w:rsidRPr="00BF6221">
        <w:rPr>
          <w:shd w:val="clear" w:color="auto" w:fill="FFFFFF"/>
          <w:lang w:val="es-ES" w:eastAsia="es-PE"/>
        </w:rPr>
        <w:t xml:space="preserve"> los autores de la presente investigación consideran conveniente adaptar un instrumento que goza de validez y confiabilidad demostrada en diversos contextos y grupos etarios, prestigio alcanzado a través de su uso en investigaciones con profesionales de la salud, desde hace más de 20 años</w:t>
      </w:r>
      <w:r w:rsidRPr="00BF6221">
        <w:rPr>
          <w:vertAlign w:val="superscript"/>
          <w:lang w:val="es-ES" w:eastAsia="es-ES"/>
        </w:rPr>
        <w:t>(18)</w:t>
      </w:r>
      <w:r w:rsidRPr="00BF6221">
        <w:rPr>
          <w:shd w:val="clear" w:color="auto" w:fill="FFFFFF"/>
          <w:lang w:val="es-ES" w:eastAsia="es-PE"/>
        </w:rPr>
        <w:t xml:space="preserve"> hasta la actualidad.</w:t>
      </w:r>
      <w:r w:rsidRPr="00BF6221">
        <w:rPr>
          <w:vertAlign w:val="superscript"/>
          <w:lang w:val="es-ES" w:eastAsia="es-ES"/>
        </w:rPr>
        <w:t>(19)</w:t>
      </w:r>
      <w:r w:rsidRPr="00BF6221">
        <w:rPr>
          <w:shd w:val="clear" w:color="auto" w:fill="FFFFFF"/>
          <w:lang w:val="es-ES" w:eastAsia="es-PE"/>
        </w:rPr>
        <w:t xml:space="preserve"> El </w:t>
      </w:r>
      <w:r w:rsidRPr="00BF6221">
        <w:rPr>
          <w:i/>
          <w:shd w:val="clear" w:color="auto" w:fill="FFFFFF"/>
          <w:lang w:val="es-ES" w:eastAsia="es-PE"/>
        </w:rPr>
        <w:t xml:space="preserve">Maslach Burnout </w:t>
      </w:r>
      <w:proofErr w:type="spellStart"/>
      <w:r w:rsidRPr="00BF6221">
        <w:rPr>
          <w:i/>
          <w:shd w:val="clear" w:color="auto" w:fill="FFFFFF"/>
          <w:lang w:val="es-ES" w:eastAsia="es-PE"/>
        </w:rPr>
        <w:t>Inventory-Students</w:t>
      </w:r>
      <w:proofErr w:type="spellEnd"/>
      <w:r w:rsidRPr="00BF6221">
        <w:rPr>
          <w:i/>
          <w:shd w:val="clear" w:color="auto" w:fill="FFFFFF"/>
          <w:lang w:val="es-ES" w:eastAsia="es-PE"/>
        </w:rPr>
        <w:t xml:space="preserve"> </w:t>
      </w:r>
      <w:proofErr w:type="spellStart"/>
      <w:r w:rsidRPr="00BF6221">
        <w:rPr>
          <w:i/>
          <w:shd w:val="clear" w:color="auto" w:fill="FFFFFF"/>
          <w:lang w:val="es-ES" w:eastAsia="es-PE"/>
        </w:rPr>
        <w:t>Survey</w:t>
      </w:r>
      <w:proofErr w:type="spellEnd"/>
      <w:r w:rsidRPr="00BF6221">
        <w:rPr>
          <w:shd w:val="clear" w:color="auto" w:fill="FFFFFF"/>
          <w:lang w:val="es-ES" w:eastAsia="es-PE"/>
        </w:rPr>
        <w:t xml:space="preserve"> (MBI-SS), diseñado por </w:t>
      </w:r>
      <w:proofErr w:type="spellStart"/>
      <w:r w:rsidRPr="00BF6221">
        <w:rPr>
          <w:i/>
          <w:shd w:val="clear" w:color="auto" w:fill="FFFFFF"/>
          <w:lang w:val="es-ES" w:eastAsia="es-PE"/>
        </w:rPr>
        <w:t>Schaufeli</w:t>
      </w:r>
      <w:proofErr w:type="spellEnd"/>
      <w:r w:rsidRPr="00BF6221">
        <w:rPr>
          <w:shd w:val="clear" w:color="auto" w:fill="FFFFFF"/>
          <w:lang w:val="es-ES" w:eastAsia="es-PE"/>
        </w:rPr>
        <w:t xml:space="preserve"> y otros</w:t>
      </w:r>
      <w:r w:rsidRPr="00BF6221">
        <w:rPr>
          <w:vertAlign w:val="superscript"/>
          <w:lang w:val="es-ES" w:eastAsia="es-ES"/>
        </w:rPr>
        <w:t>(20)</w:t>
      </w:r>
      <w:r w:rsidRPr="00BF6221">
        <w:rPr>
          <w:shd w:val="clear" w:color="auto" w:fill="FFFFFF"/>
          <w:lang w:val="es-ES" w:eastAsia="es-PE"/>
        </w:rPr>
        <w:t xml:space="preserve"> para evaluar la presencia del </w:t>
      </w:r>
      <w:r w:rsidRPr="00BF6221">
        <w:rPr>
          <w:shd w:val="clear" w:color="auto" w:fill="FFFFFF"/>
          <w:lang w:val="es-ES" w:eastAsia="es-PE"/>
        </w:rPr>
        <w:lastRenderedPageBreak/>
        <w:t>síndrome en estudiantes, del cual se tiene la versión adaptada en español para estudiantes de odontología de Colombia.</w:t>
      </w:r>
      <w:r w:rsidRPr="00BF6221">
        <w:rPr>
          <w:vertAlign w:val="superscript"/>
          <w:lang w:val="es-ES" w:eastAsia="es-ES"/>
        </w:rPr>
        <w:t>(4)</w:t>
      </w:r>
    </w:p>
    <w:p w14:paraId="229AEDBF" w14:textId="77777777" w:rsidR="00BF6221" w:rsidRPr="00BF6221" w:rsidRDefault="00BF6221" w:rsidP="00BF6221">
      <w:pPr>
        <w:spacing w:line="360" w:lineRule="auto"/>
        <w:jc w:val="both"/>
        <w:rPr>
          <w:lang w:val="es-ES" w:eastAsia="es-ES"/>
        </w:rPr>
      </w:pPr>
      <w:r w:rsidRPr="00BF6221">
        <w:rPr>
          <w:lang w:val="es-ES" w:eastAsia="es-ES"/>
        </w:rPr>
        <w:t xml:space="preserve">En vista de que es necesario llenar un vacío en la literatura científica cubana a través de un estudio para conocer las propiedades psicométricas de una escala adaptada que permita medir el SB en universitarios, el presente trabajo tiene como objetivo analizar las evidencias de validez y confiabilidad de la versión en español del </w:t>
      </w:r>
      <w:r w:rsidRPr="00BF6221">
        <w:rPr>
          <w:shd w:val="clear" w:color="auto" w:fill="FFFFFF"/>
          <w:lang w:val="es-ES" w:eastAsia="es-PE"/>
        </w:rPr>
        <w:t>MBI-SS</w:t>
      </w:r>
      <w:r w:rsidRPr="00BF6221">
        <w:rPr>
          <w:lang w:val="es-ES" w:eastAsia="es-ES"/>
        </w:rPr>
        <w:t xml:space="preserve"> en estudiantes cubanos de Estomatología. </w:t>
      </w:r>
    </w:p>
    <w:p w14:paraId="2C9F7574" w14:textId="77777777" w:rsidR="00BF6221" w:rsidRPr="00BF6221" w:rsidRDefault="00BF6221" w:rsidP="00BF6221">
      <w:pPr>
        <w:spacing w:line="360" w:lineRule="auto"/>
        <w:jc w:val="both"/>
        <w:rPr>
          <w:lang w:val="es-ES" w:eastAsia="es-ES"/>
        </w:rPr>
      </w:pPr>
    </w:p>
    <w:p w14:paraId="7C69BE66" w14:textId="77777777" w:rsidR="00BF6221" w:rsidRPr="00BF6221" w:rsidRDefault="00BF6221" w:rsidP="00BF6221">
      <w:pPr>
        <w:spacing w:line="360" w:lineRule="auto"/>
        <w:jc w:val="center"/>
        <w:rPr>
          <w:b/>
          <w:lang w:val="es-ES" w:eastAsia="es-ES"/>
        </w:rPr>
      </w:pPr>
    </w:p>
    <w:p w14:paraId="7FBA5865" w14:textId="77777777" w:rsidR="00BF6221" w:rsidRPr="00BF6221" w:rsidRDefault="00BF6221" w:rsidP="00BF6221">
      <w:pPr>
        <w:spacing w:line="360" w:lineRule="auto"/>
        <w:jc w:val="center"/>
        <w:rPr>
          <w:b/>
          <w:sz w:val="32"/>
          <w:szCs w:val="32"/>
          <w:lang w:val="es-ES" w:eastAsia="es-ES"/>
        </w:rPr>
      </w:pPr>
      <w:r w:rsidRPr="00BF6221">
        <w:rPr>
          <w:b/>
          <w:sz w:val="32"/>
          <w:szCs w:val="32"/>
          <w:lang w:val="es-ES" w:eastAsia="es-ES"/>
        </w:rPr>
        <w:t>MÉTODOS</w:t>
      </w:r>
    </w:p>
    <w:p w14:paraId="2ADE18F2" w14:textId="77777777" w:rsidR="00BF6221" w:rsidRPr="00BF6221" w:rsidRDefault="00BF6221" w:rsidP="00BF6221">
      <w:pPr>
        <w:spacing w:line="360" w:lineRule="auto"/>
        <w:contextualSpacing/>
        <w:jc w:val="both"/>
        <w:rPr>
          <w:rFonts w:eastAsia="Calibri"/>
          <w:lang w:val="es-PE" w:eastAsia="en-US"/>
        </w:rPr>
      </w:pPr>
      <w:r w:rsidRPr="00BF6221">
        <w:rPr>
          <w:rFonts w:eastAsia="Calibri"/>
          <w:lang w:val="es-PE" w:eastAsia="en-US"/>
        </w:rPr>
        <w:t xml:space="preserve">Se realizó un estudio con diseño instrumental y corte transversal. La población fue constituida por estudiantes </w:t>
      </w:r>
      <w:r w:rsidRPr="00BF6221">
        <w:rPr>
          <w:rFonts w:eastAsia="Arial"/>
          <w:lang w:val="es-PE" w:eastAsia="en-US"/>
        </w:rPr>
        <w:t xml:space="preserve">de Estomatología </w:t>
      </w:r>
      <w:r w:rsidRPr="00BF6221">
        <w:rPr>
          <w:rFonts w:eastAsia="Calibri"/>
          <w:lang w:val="es-PE" w:eastAsia="en-US"/>
        </w:rPr>
        <w:t xml:space="preserve">del </w:t>
      </w:r>
      <w:r w:rsidRPr="00BF6221">
        <w:rPr>
          <w:rFonts w:eastAsia="Calibri"/>
          <w:bCs/>
          <w:shd w:val="clear" w:color="auto" w:fill="FFFFFF"/>
          <w:lang w:val="es-PE" w:eastAsia="en-US"/>
        </w:rPr>
        <w:t xml:space="preserve">curso académico 2019 - 2020 (n = 1808) </w:t>
      </w:r>
      <w:r w:rsidRPr="00BF6221">
        <w:rPr>
          <w:rFonts w:eastAsia="Calibri"/>
          <w:lang w:val="es-PE" w:eastAsia="en-US"/>
        </w:rPr>
        <w:t xml:space="preserve">de 7 </w:t>
      </w:r>
      <w:r w:rsidRPr="00BF6221">
        <w:rPr>
          <w:rFonts w:eastAsia="Calibri"/>
          <w:bCs/>
          <w:shd w:val="clear" w:color="auto" w:fill="FFFFFF"/>
          <w:lang w:val="es-PE" w:eastAsia="en-US"/>
        </w:rPr>
        <w:t>universidades médicas cubanas</w:t>
      </w:r>
      <w:r w:rsidRPr="00BF6221">
        <w:rPr>
          <w:rFonts w:eastAsia="Calibri"/>
          <w:lang w:val="es-PE" w:eastAsia="en-US"/>
        </w:rPr>
        <w:t xml:space="preserve">. Se obtuvo la muestra mediante un muestreo no probabilístico e intencional. </w:t>
      </w:r>
      <w:r w:rsidRPr="00BF6221">
        <w:rPr>
          <w:rFonts w:eastAsia="Calibri"/>
          <w:highlight w:val="white"/>
          <w:lang w:val="es-PE" w:eastAsia="en-US"/>
        </w:rPr>
        <w:t>Se incluyeron a los alumnos de todos los años, que aceptaron participar y firmaron el consentimiento informado. Se excluyeron a quienes no asistieron a clases en los días de aplicación de la encuesta.</w:t>
      </w:r>
    </w:p>
    <w:p w14:paraId="256FD84D" w14:textId="77777777" w:rsidR="00BF6221" w:rsidRPr="00BF6221" w:rsidRDefault="00BF6221" w:rsidP="00BF6221">
      <w:pPr>
        <w:spacing w:line="360" w:lineRule="auto"/>
        <w:contextualSpacing/>
        <w:jc w:val="both"/>
        <w:rPr>
          <w:rFonts w:eastAsia="Calibri"/>
          <w:shd w:val="clear" w:color="auto" w:fill="FFFFFF"/>
          <w:lang w:val="es-PE" w:eastAsia="es-PE"/>
        </w:rPr>
      </w:pPr>
      <w:r w:rsidRPr="00BF6221">
        <w:rPr>
          <w:rFonts w:eastAsia="Calibri"/>
          <w:lang w:val="es-PE" w:eastAsia="en-US"/>
        </w:rPr>
        <w:t xml:space="preserve">Se validó la versión </w:t>
      </w:r>
      <w:r w:rsidRPr="00BF6221">
        <w:rPr>
          <w:rFonts w:eastAsia="Calibri"/>
          <w:shd w:val="clear" w:color="auto" w:fill="FFFFFF"/>
          <w:lang w:val="es-PE" w:eastAsia="es-PE"/>
        </w:rPr>
        <w:t>adaptada en español para estudiantes colombianos de odontología</w:t>
      </w:r>
      <w:r w:rsidRPr="00BF6221">
        <w:rPr>
          <w:rFonts w:eastAsia="Calibri"/>
          <w:vertAlign w:val="superscript"/>
          <w:lang w:val="es-PE" w:eastAsia="en-US"/>
        </w:rPr>
        <w:t>(4)</w:t>
      </w:r>
      <w:r w:rsidRPr="00BF6221">
        <w:rPr>
          <w:rFonts w:eastAsia="Calibri"/>
          <w:shd w:val="clear" w:color="auto" w:fill="FFFFFF"/>
          <w:lang w:val="es-PE" w:eastAsia="es-PE"/>
        </w:rPr>
        <w:t xml:space="preserve"> del MBI-SS.</w:t>
      </w:r>
      <w:r w:rsidRPr="00BF6221">
        <w:rPr>
          <w:rFonts w:eastAsia="Calibri"/>
          <w:vertAlign w:val="superscript"/>
          <w:lang w:val="es-PE" w:eastAsia="en-US"/>
        </w:rPr>
        <w:t>(20)</w:t>
      </w:r>
      <w:r w:rsidRPr="00BF6221">
        <w:rPr>
          <w:rFonts w:eastAsia="Calibri"/>
          <w:shd w:val="clear" w:color="auto" w:fill="FFFFFF"/>
          <w:lang w:val="es-PE" w:eastAsia="es-PE"/>
        </w:rPr>
        <w:t xml:space="preserve"> Se trata de una escala que consta de 3 factores y 15 ítems expresados en forma de afirmaciones, que indagan sobre la presencia de aspectos relacionados con el SB.</w:t>
      </w:r>
      <w:r w:rsidRPr="00BF6221">
        <w:rPr>
          <w:rFonts w:eastAsia="Calibri"/>
          <w:lang w:val="es-PE" w:eastAsia="en-US"/>
        </w:rPr>
        <w:t xml:space="preserve"> </w:t>
      </w:r>
      <w:r w:rsidRPr="00BF6221">
        <w:rPr>
          <w:rFonts w:eastAsia="Calibri"/>
          <w:shd w:val="clear" w:color="auto" w:fill="FFFFFF"/>
          <w:lang w:val="es-PE" w:eastAsia="es-PE"/>
        </w:rPr>
        <w:t>La puntuación de sus respuestas tipo Likert, permite conocer la frecuencia de aparición de estos aspectos. Varían en una escala de 0 (nunca) a 6 (diariamente) y se considera dimensional por cuanto no tiene un punto de corte. Por lo tanto, sus puntuaciones pueden variar desde 0 (menor intensidad) a 90 (mayor intensidad del constructo).</w:t>
      </w:r>
      <w:r w:rsidRPr="00BF6221">
        <w:rPr>
          <w:rFonts w:eastAsia="Calibri"/>
          <w:vertAlign w:val="superscript"/>
          <w:lang w:val="es-PE" w:eastAsia="en-US"/>
        </w:rPr>
        <w:t>(4)</w:t>
      </w:r>
    </w:p>
    <w:p w14:paraId="4EC9DA63" w14:textId="77777777" w:rsidR="00BF6221" w:rsidRPr="00BF6221" w:rsidRDefault="00BF6221" w:rsidP="00BF6221">
      <w:pPr>
        <w:spacing w:line="360" w:lineRule="auto"/>
        <w:contextualSpacing/>
        <w:jc w:val="both"/>
        <w:rPr>
          <w:rFonts w:eastAsia="Calibri"/>
          <w:lang w:val="es-PE" w:eastAsia="en-US"/>
        </w:rPr>
      </w:pPr>
      <w:r w:rsidRPr="00BF6221">
        <w:rPr>
          <w:rFonts w:eastAsia="Calibri"/>
          <w:lang w:val="es-PE" w:eastAsia="en-US"/>
        </w:rPr>
        <w:t>En el estudio colombiano,</w:t>
      </w:r>
      <w:r w:rsidRPr="00BF6221">
        <w:rPr>
          <w:rFonts w:eastAsia="Calibri"/>
          <w:vertAlign w:val="superscript"/>
          <w:lang w:val="es-PE" w:eastAsia="en-US"/>
        </w:rPr>
        <w:t>(4)</w:t>
      </w:r>
      <w:r w:rsidRPr="00BF6221">
        <w:rPr>
          <w:rFonts w:eastAsia="Calibri"/>
          <w:lang w:val="es-PE" w:eastAsia="en-US"/>
        </w:rPr>
        <w:t xml:space="preserve"> la consistencia interna general del instrumento, evaluada mediante el coeficiente α de Cronbach, fue de 0,806. La solución factorial mostró 3 factores que explican el 56,6 % de la varianza. El análisis factorial confirmatorio (AFC) mostró: </w:t>
      </w:r>
      <w:r w:rsidRPr="00BF6221">
        <w:rPr>
          <w:rFonts w:eastAsia="Calibri"/>
          <w:i/>
          <w:iCs/>
          <w:lang w:val="es-PE" w:eastAsia="en-US"/>
        </w:rPr>
        <w:t>ji</w:t>
      </w:r>
      <w:r w:rsidRPr="00BF6221">
        <w:rPr>
          <w:rFonts w:eastAsia="Calibri"/>
          <w:lang w:val="es-PE" w:eastAsia="en-US"/>
        </w:rPr>
        <w:t xml:space="preserve"> cuadrado (</w:t>
      </w:r>
      <w:r w:rsidRPr="00BF6221">
        <w:rPr>
          <w:rFonts w:eastAsia="Calibri"/>
          <w:lang w:eastAsia="en-US"/>
        </w:rPr>
        <w:t xml:space="preserve">χ2) </w:t>
      </w:r>
      <w:r w:rsidRPr="00BF6221">
        <w:rPr>
          <w:rFonts w:eastAsia="Calibri"/>
          <w:lang w:val="es-PE" w:eastAsia="en-US"/>
        </w:rPr>
        <w:t xml:space="preserve">= 926,036; </w:t>
      </w:r>
      <w:proofErr w:type="spellStart"/>
      <w:r w:rsidRPr="00BF6221">
        <w:rPr>
          <w:rFonts w:eastAsia="Calibri"/>
          <w:lang w:val="es-PE" w:eastAsia="en-US"/>
        </w:rPr>
        <w:t>gl</w:t>
      </w:r>
      <w:proofErr w:type="spellEnd"/>
      <w:r w:rsidRPr="00BF6221">
        <w:rPr>
          <w:rFonts w:eastAsia="Calibri"/>
          <w:lang w:val="es-PE" w:eastAsia="en-US"/>
        </w:rPr>
        <w:t xml:space="preserve"> = 85; raíz cuadrada del error medio de aproximación (RMSEA) = 0,106 (intervalo de confianza del 90 %, 0,100-0,112); índice de ajuste comparativo (</w:t>
      </w:r>
      <w:r w:rsidRPr="00BF6221">
        <w:rPr>
          <w:rFonts w:eastAsia="Calibri"/>
          <w:shd w:val="clear" w:color="auto" w:fill="FFFFFF"/>
          <w:lang w:val="es-PE" w:eastAsia="en-US"/>
        </w:rPr>
        <w:t>CFI</w:t>
      </w:r>
      <w:r w:rsidRPr="00BF6221">
        <w:rPr>
          <w:rFonts w:eastAsia="Calibri"/>
          <w:lang w:val="es-PE" w:eastAsia="en-US"/>
        </w:rPr>
        <w:t>) = 0,947 e índice de Tucker-Lewis (</w:t>
      </w:r>
      <w:r w:rsidRPr="00BF6221">
        <w:rPr>
          <w:rFonts w:eastAsia="Calibri"/>
          <w:shd w:val="clear" w:color="auto" w:fill="FFFFFF"/>
          <w:lang w:val="es-PE" w:eastAsia="en-US"/>
        </w:rPr>
        <w:t>TLI</w:t>
      </w:r>
      <w:r w:rsidRPr="00BF6221">
        <w:rPr>
          <w:rFonts w:eastAsia="Calibri"/>
          <w:lang w:val="es-PE" w:eastAsia="en-US"/>
        </w:rPr>
        <w:t>) = 0,934.</w:t>
      </w:r>
    </w:p>
    <w:p w14:paraId="30CBEEB1" w14:textId="77777777" w:rsidR="00BF6221" w:rsidRPr="00BF6221" w:rsidRDefault="00BF6221" w:rsidP="00BF6221">
      <w:pPr>
        <w:spacing w:line="360" w:lineRule="auto"/>
        <w:contextualSpacing/>
        <w:jc w:val="both"/>
        <w:rPr>
          <w:lang w:val="es-ES" w:eastAsia="es-ES"/>
        </w:rPr>
      </w:pPr>
      <w:r w:rsidRPr="00BF6221">
        <w:rPr>
          <w:lang w:val="es-ES" w:eastAsia="es-ES"/>
        </w:rPr>
        <w:t xml:space="preserve">Se coordinó con los docentes de cada aula o prácticas asistenciales, un espacio de tiempo de 10 minutos para el llenado del instrumento. Los encuestadores solo respondieron consultas relacionadas con la </w:t>
      </w:r>
      <w:r w:rsidRPr="00BF6221">
        <w:rPr>
          <w:lang w:val="es-ES" w:eastAsia="es-ES"/>
        </w:rPr>
        <w:lastRenderedPageBreak/>
        <w:t xml:space="preserve">tipología y forma de la escala, para evitar el sesgo de los resultados con opiniones o respuestas a los ítems. </w:t>
      </w:r>
    </w:p>
    <w:p w14:paraId="1A90D744" w14:textId="77777777" w:rsidR="00BF6221" w:rsidRPr="00BF6221" w:rsidRDefault="00BF6221" w:rsidP="00BF6221">
      <w:pPr>
        <w:spacing w:line="360" w:lineRule="auto"/>
        <w:contextualSpacing/>
        <w:jc w:val="both"/>
        <w:rPr>
          <w:rFonts w:eastAsia="Calibri"/>
          <w:lang w:val="es-PE" w:eastAsia="en-US"/>
        </w:rPr>
      </w:pPr>
      <w:r w:rsidRPr="00BF6221">
        <w:rPr>
          <w:lang w:val="es-ES" w:eastAsia="es-ES"/>
        </w:rPr>
        <w:t>Se creó una base de datos en Microsoft Excel (versión 2019 para Windows).</w:t>
      </w:r>
      <w:r w:rsidRPr="00BF6221">
        <w:rPr>
          <w:rFonts w:eastAsia="Calibri"/>
          <w:lang w:val="es-PE" w:eastAsia="en-US"/>
        </w:rPr>
        <w:t xml:space="preserve"> La media, desviación estándar, asimetría y curtosis de los ítems se calcularon con el programa estadístico FACTOR </w:t>
      </w:r>
      <w:proofErr w:type="spellStart"/>
      <w:r w:rsidRPr="00BF6221">
        <w:rPr>
          <w:rFonts w:eastAsia="Calibri"/>
          <w:lang w:val="es-PE" w:eastAsia="en-US"/>
        </w:rPr>
        <w:t>Analysis</w:t>
      </w:r>
      <w:proofErr w:type="spellEnd"/>
      <w:r w:rsidRPr="00BF6221">
        <w:rPr>
          <w:rFonts w:eastAsia="Calibri"/>
          <w:lang w:val="es-PE" w:eastAsia="en-US"/>
        </w:rPr>
        <w:t xml:space="preserve"> versión 10.1. En el AFC se evaluó la bondad de ajuste del modelo original y se utilizó el modelamiento de ecuaciones estructurales (SEM); </w:t>
      </w:r>
      <w:r w:rsidRPr="00BF6221">
        <w:rPr>
          <w:rFonts w:eastAsia="Calibri"/>
          <w:lang w:eastAsia="en-US"/>
        </w:rPr>
        <w:t>considerando índices de bondad de ajuste: χ</w:t>
      </w:r>
      <w:r w:rsidRPr="00BF6221">
        <w:rPr>
          <w:rFonts w:eastAsia="Calibri"/>
          <w:vertAlign w:val="superscript"/>
          <w:lang w:eastAsia="en-US"/>
        </w:rPr>
        <w:t>2</w:t>
      </w:r>
      <w:r w:rsidRPr="00BF6221">
        <w:rPr>
          <w:rFonts w:eastAsia="Calibri"/>
          <w:lang w:eastAsia="en-US"/>
        </w:rPr>
        <w:t xml:space="preserve">, </w:t>
      </w:r>
      <w:r w:rsidRPr="00BF6221">
        <w:rPr>
          <w:rFonts w:eastAsia="Calibri"/>
          <w:shd w:val="clear" w:color="auto" w:fill="FFFFFF"/>
          <w:lang w:val="es-PE" w:eastAsia="en-US"/>
        </w:rPr>
        <w:t xml:space="preserve">índice de ajuste comparativo (CFI), el índice de Tucker-Lewis </w:t>
      </w:r>
      <w:proofErr w:type="spellStart"/>
      <w:r w:rsidRPr="00BF6221">
        <w:rPr>
          <w:rFonts w:eastAsia="Calibri"/>
          <w:shd w:val="clear" w:color="auto" w:fill="FFFFFF"/>
          <w:lang w:val="es-PE" w:eastAsia="en-US"/>
        </w:rPr>
        <w:t>Index</w:t>
      </w:r>
      <w:proofErr w:type="spellEnd"/>
      <w:r w:rsidRPr="00BF6221">
        <w:rPr>
          <w:rFonts w:eastAsia="Calibri"/>
          <w:shd w:val="clear" w:color="auto" w:fill="FFFFFF"/>
          <w:lang w:val="es-PE" w:eastAsia="en-US"/>
        </w:rPr>
        <w:t xml:space="preserve"> (TLI). Para ello se </w:t>
      </w:r>
      <w:r w:rsidRPr="00BF6221">
        <w:rPr>
          <w:rFonts w:eastAsia="Calibri"/>
          <w:lang w:val="es-PE" w:eastAsia="en-US"/>
        </w:rPr>
        <w:t xml:space="preserve">usó el </w:t>
      </w:r>
      <w:r w:rsidRPr="00BF6221">
        <w:rPr>
          <w:rFonts w:eastAsia="Calibri"/>
          <w:lang w:eastAsia="en-US"/>
        </w:rPr>
        <w:t xml:space="preserve">programa </w:t>
      </w:r>
      <w:proofErr w:type="spellStart"/>
      <w:r w:rsidRPr="00BF6221">
        <w:rPr>
          <w:rFonts w:eastAsia="Calibri"/>
          <w:lang w:eastAsia="en-US"/>
        </w:rPr>
        <w:t>RStudio</w:t>
      </w:r>
      <w:proofErr w:type="spellEnd"/>
      <w:r w:rsidRPr="00BF6221">
        <w:rPr>
          <w:rFonts w:eastAsia="Calibri"/>
          <w:lang w:eastAsia="en-US"/>
        </w:rPr>
        <w:t>.</w:t>
      </w:r>
      <w:r w:rsidRPr="00BF6221">
        <w:rPr>
          <w:rFonts w:eastAsia="Calibri"/>
          <w:shd w:val="clear" w:color="auto" w:fill="FFFFFF"/>
          <w:lang w:val="es-PE" w:eastAsia="en-US"/>
        </w:rPr>
        <w:t xml:space="preserve"> Asimismo, se utilizaron los </w:t>
      </w:r>
      <w:r w:rsidRPr="00BF6221">
        <w:rPr>
          <w:rFonts w:eastAsia="Calibri"/>
          <w:lang w:val="es-PE" w:eastAsia="en-US"/>
        </w:rPr>
        <w:t xml:space="preserve">parámetros para </w:t>
      </w:r>
      <w:r w:rsidRPr="00BF6221">
        <w:rPr>
          <w:rFonts w:eastAsia="Calibri"/>
          <w:shd w:val="clear" w:color="auto" w:fill="FFFFFF"/>
          <w:lang w:val="es-PE" w:eastAsia="en-US"/>
        </w:rPr>
        <w:t xml:space="preserve">el error cuadrático medio de aproximación (SRMR), </w:t>
      </w:r>
      <w:r w:rsidRPr="00BF6221">
        <w:rPr>
          <w:rFonts w:eastAsia="Arial"/>
          <w:lang w:val="es-VE" w:eastAsia="es-VE"/>
        </w:rPr>
        <w:t>la raíz del error cuadrático medio de aproximación (RMSEA)</w:t>
      </w:r>
      <w:r w:rsidRPr="00BF6221">
        <w:rPr>
          <w:rFonts w:eastAsia="Calibri"/>
          <w:shd w:val="clear" w:color="auto" w:fill="FFFFFF"/>
          <w:lang w:val="es-PE" w:eastAsia="en-US"/>
        </w:rPr>
        <w:t xml:space="preserve"> y la media cuadrática residual (WRMR).</w:t>
      </w:r>
      <w:r w:rsidRPr="00BF6221">
        <w:rPr>
          <w:rFonts w:eastAsia="Calibri"/>
          <w:lang w:val="es-PE" w:eastAsia="en-US"/>
        </w:rPr>
        <w:t xml:space="preserve"> Se consideraron los criterios de </w:t>
      </w:r>
      <w:proofErr w:type="spellStart"/>
      <w:r w:rsidRPr="00BF6221">
        <w:rPr>
          <w:rFonts w:eastAsia="Calibri"/>
          <w:i/>
          <w:lang w:val="es-ES" w:eastAsia="en-US"/>
        </w:rPr>
        <w:t>Hu</w:t>
      </w:r>
      <w:proofErr w:type="spellEnd"/>
      <w:r w:rsidRPr="00BF6221">
        <w:rPr>
          <w:rFonts w:eastAsia="Calibri"/>
          <w:i/>
          <w:lang w:val="es-ES" w:eastAsia="en-US"/>
        </w:rPr>
        <w:t xml:space="preserve"> </w:t>
      </w:r>
      <w:r w:rsidRPr="00BF6221">
        <w:rPr>
          <w:rFonts w:eastAsia="Calibri"/>
          <w:iCs/>
          <w:lang w:val="es-PE" w:eastAsia="en-US"/>
        </w:rPr>
        <w:t>y otros</w:t>
      </w:r>
      <w:r w:rsidRPr="00BF6221">
        <w:rPr>
          <w:rFonts w:eastAsia="Calibri"/>
          <w:shd w:val="clear" w:color="auto" w:fill="FFFFFF"/>
          <w:lang w:val="es-PE" w:eastAsia="en-US"/>
        </w:rPr>
        <w:t>,</w:t>
      </w:r>
      <w:r w:rsidRPr="00BF6221">
        <w:rPr>
          <w:rFonts w:eastAsia="Calibri"/>
          <w:vertAlign w:val="superscript"/>
          <w:lang w:val="es-PE" w:eastAsia="en-US"/>
        </w:rPr>
        <w:t>(21)</w:t>
      </w:r>
      <w:r w:rsidRPr="00BF6221">
        <w:rPr>
          <w:rFonts w:eastAsia="Calibri"/>
          <w:shd w:val="clear" w:color="auto" w:fill="FFFFFF"/>
          <w:lang w:val="es-PE" w:eastAsia="en-US"/>
        </w:rPr>
        <w:t xml:space="preserve"> quienes sostienen que los </w:t>
      </w:r>
      <w:r w:rsidRPr="00BF6221">
        <w:rPr>
          <w:rFonts w:eastAsia="Calibri"/>
          <w:lang w:val="es-PE" w:eastAsia="en-US"/>
        </w:rPr>
        <w:t>valores de los índices CFI y TLI deben ser mayores a 0,90 y el RMSEA ≤ 0,08 para un ajuste aceptable del modelo. Se utilizó el software estadístico</w:t>
      </w:r>
      <w:r w:rsidRPr="00BF6221">
        <w:rPr>
          <w:rFonts w:eastAsia="Calibri"/>
          <w:lang w:val="es-MX" w:eastAsia="en-US"/>
        </w:rPr>
        <w:t xml:space="preserve"> SPSS versión 25.0 para estimar l</w:t>
      </w:r>
      <w:r w:rsidRPr="00BF6221">
        <w:rPr>
          <w:rFonts w:eastAsia="Calibri"/>
          <w:lang w:val="es-PE" w:eastAsia="en-US"/>
        </w:rPr>
        <w:t>a fiabilidad de la escala con el coeficiente α</w:t>
      </w:r>
      <w:r w:rsidRPr="00BF6221">
        <w:rPr>
          <w:rFonts w:eastAsia="Calibri"/>
          <w:shd w:val="clear" w:color="auto" w:fill="FFFFFF"/>
          <w:lang w:val="es-PE" w:eastAsia="en-US"/>
        </w:rPr>
        <w:t xml:space="preserve"> de </w:t>
      </w:r>
      <w:r w:rsidRPr="00BF6221">
        <w:rPr>
          <w:rFonts w:eastAsia="Calibri"/>
          <w:iCs/>
          <w:shd w:val="clear" w:color="auto" w:fill="FFFFFF"/>
          <w:lang w:val="es-PE" w:eastAsia="en-US"/>
        </w:rPr>
        <w:t>Cronbach</w:t>
      </w:r>
      <w:r w:rsidRPr="00BF6221">
        <w:rPr>
          <w:rFonts w:eastAsia="Calibri"/>
          <w:lang w:val="es-PE" w:eastAsia="en-US"/>
        </w:rPr>
        <w:t xml:space="preserve"> y sus respectivos intervalos de confianza.</w:t>
      </w:r>
    </w:p>
    <w:p w14:paraId="419F12CF" w14:textId="77777777" w:rsidR="00BF6221" w:rsidRPr="00BF6221" w:rsidRDefault="00BF6221" w:rsidP="00BF6221">
      <w:pPr>
        <w:spacing w:line="360" w:lineRule="auto"/>
        <w:contextualSpacing/>
        <w:jc w:val="both"/>
        <w:rPr>
          <w:rFonts w:eastAsia="Calibri"/>
          <w:lang w:val="es-PE" w:eastAsia="en-US"/>
        </w:rPr>
      </w:pPr>
      <w:r w:rsidRPr="00BF6221">
        <w:rPr>
          <w:rFonts w:eastAsia="Arial"/>
          <w:lang w:val="es-VE" w:eastAsia="es-VE"/>
        </w:rPr>
        <w:t>A los estudiantes se les explicó todos los aspectos del estudio. La información y datos personales fueron anónimos. Se respetó los aspectos de la Declaración de Helsinki para la investigación en seres humanos. El proyecto de la investigación fue aprobado por el Comité de Ética y el Consejo Científico de la Facultad de Ciencias Médicas de Bayamo,</w:t>
      </w:r>
      <w:r w:rsidRPr="00BF6221" w:rsidDel="00F7044C">
        <w:rPr>
          <w:rFonts w:eastAsia="Arial"/>
          <w:lang w:val="es-VE" w:eastAsia="es-VE"/>
        </w:rPr>
        <w:t xml:space="preserve"> </w:t>
      </w:r>
      <w:r w:rsidRPr="00BF6221">
        <w:rPr>
          <w:rFonts w:eastAsia="Arial"/>
          <w:lang w:val="es-VE" w:eastAsia="es-VE"/>
        </w:rPr>
        <w:t>perteneciente a la Universidad de Ciencias Médicas de Granma.</w:t>
      </w:r>
    </w:p>
    <w:p w14:paraId="0EA17781" w14:textId="77777777" w:rsidR="00BF6221" w:rsidRPr="00BF6221" w:rsidRDefault="00BF6221" w:rsidP="00BF6221">
      <w:pPr>
        <w:spacing w:line="360" w:lineRule="auto"/>
        <w:jc w:val="both"/>
        <w:rPr>
          <w:b/>
          <w:lang w:val="es-ES" w:eastAsia="es-ES"/>
        </w:rPr>
      </w:pPr>
    </w:p>
    <w:p w14:paraId="63723D58" w14:textId="77777777" w:rsidR="00BF6221" w:rsidRPr="00BF6221" w:rsidRDefault="00BF6221" w:rsidP="00BF6221">
      <w:pPr>
        <w:spacing w:line="360" w:lineRule="auto"/>
        <w:jc w:val="center"/>
        <w:rPr>
          <w:b/>
          <w:lang w:val="es-ES" w:eastAsia="es-ES"/>
        </w:rPr>
      </w:pPr>
    </w:p>
    <w:p w14:paraId="30A83CA0" w14:textId="77777777" w:rsidR="00BF6221" w:rsidRPr="00BF6221" w:rsidRDefault="00BF6221" w:rsidP="00BF6221">
      <w:pPr>
        <w:spacing w:line="360" w:lineRule="auto"/>
        <w:jc w:val="center"/>
        <w:rPr>
          <w:b/>
          <w:sz w:val="32"/>
          <w:szCs w:val="32"/>
          <w:lang w:val="es-ES" w:eastAsia="es-ES"/>
        </w:rPr>
      </w:pPr>
      <w:r w:rsidRPr="00BF6221">
        <w:rPr>
          <w:b/>
          <w:sz w:val="32"/>
          <w:szCs w:val="32"/>
          <w:lang w:val="es-ES" w:eastAsia="es-ES"/>
        </w:rPr>
        <w:t>RESULTADOS</w:t>
      </w:r>
    </w:p>
    <w:p w14:paraId="412A8FEE" w14:textId="77777777" w:rsidR="00BF6221" w:rsidRPr="00BF6221" w:rsidRDefault="00BF6221" w:rsidP="00BF6221">
      <w:pPr>
        <w:spacing w:line="360" w:lineRule="auto"/>
        <w:jc w:val="both"/>
        <w:rPr>
          <w:lang w:val="es-ES" w:eastAsia="es-ES"/>
        </w:rPr>
      </w:pPr>
      <w:r w:rsidRPr="00BF6221">
        <w:rPr>
          <w:iCs/>
          <w:lang w:val="es-ES" w:eastAsia="es-ES"/>
        </w:rPr>
        <w:t xml:space="preserve">Caracterización de la muestra: </w:t>
      </w:r>
      <w:r w:rsidRPr="00BF6221">
        <w:rPr>
          <w:lang w:val="es-ES" w:eastAsia="es-ES"/>
        </w:rPr>
        <w:t>participaron 738 estudiantes, mujeres (n = 470; 63,69 %) y varones (n = 268; 36,31 %), con una media de 21,67 años (desviación estándar (DE) = 1,70). La distribución por años académicos es la siguiente: primero (n = 73; 9,89 %), segundo (n = 118; 15,99 %), tercero (n = 136; 18,43 %), cuarto (n = 191; 25,88 %) y quinto (n = 220; 29,81 %).</w:t>
      </w:r>
    </w:p>
    <w:p w14:paraId="18E07415" w14:textId="77777777" w:rsidR="00BF6221" w:rsidRPr="00BF6221" w:rsidRDefault="00BF6221" w:rsidP="00BF6221">
      <w:pPr>
        <w:spacing w:line="360" w:lineRule="auto"/>
        <w:jc w:val="both"/>
        <w:rPr>
          <w:lang w:val="es-ES" w:eastAsia="es-ES"/>
        </w:rPr>
      </w:pPr>
      <w:r w:rsidRPr="00BF6221">
        <w:rPr>
          <w:iCs/>
          <w:lang w:val="es-ES" w:eastAsia="es-ES"/>
        </w:rPr>
        <w:t>Análisis preliminar de los ítems:</w:t>
      </w:r>
      <w:r w:rsidRPr="00BF6221">
        <w:rPr>
          <w:lang w:val="es-ES" w:eastAsia="es-ES"/>
        </w:rPr>
        <w:t xml:space="preserve"> se aprecian en la tabla 1, la </w:t>
      </w:r>
      <w:r w:rsidRPr="00BF6221">
        <w:rPr>
          <w:shd w:val="clear" w:color="auto" w:fill="FFFFFF"/>
          <w:lang w:val="es-ES" w:eastAsia="es-ES"/>
        </w:rPr>
        <w:t>media, DE, asimetría y curtosis para los ítems de la escala. Se observa que el ítem 13 tiene el mayor puntaje promedio (M = 4,86) y el ítem 6 el más bajo (M = 1,03). Respecto a la variabilidad, el ítem 10 (DE = 1,99) muestra la mayor dispersión. Los valores de asimetría y curtosis no superan el valor</w:t>
      </w:r>
      <w:r w:rsidRPr="00BF6221">
        <w:rPr>
          <w:lang w:val="es-ES" w:eastAsia="es-ES"/>
        </w:rPr>
        <w:t xml:space="preserve"> </w:t>
      </w:r>
      <w:r w:rsidRPr="00BF6221">
        <w:rPr>
          <w:shd w:val="clear" w:color="auto" w:fill="FFFFFF"/>
          <w:lang w:val="es-ES" w:eastAsia="es-ES"/>
        </w:rPr>
        <w:t>&gt; ±1,5</w:t>
      </w:r>
      <w:r w:rsidRPr="00BF6221">
        <w:rPr>
          <w:lang w:val="es-ES" w:eastAsia="es-ES"/>
        </w:rPr>
        <w:t>.</w:t>
      </w:r>
    </w:p>
    <w:p w14:paraId="13C54809" w14:textId="77777777" w:rsidR="00BF6221" w:rsidRPr="00BF6221" w:rsidRDefault="00BF6221" w:rsidP="00BF6221">
      <w:pPr>
        <w:spacing w:line="360" w:lineRule="auto"/>
        <w:jc w:val="center"/>
        <w:rPr>
          <w:lang w:val="es-ES" w:eastAsia="es-ES"/>
        </w:rPr>
      </w:pPr>
      <w:r w:rsidRPr="00BF6221">
        <w:rPr>
          <w:b/>
          <w:bCs/>
          <w:lang w:val="es-ES" w:eastAsia="es-ES"/>
        </w:rPr>
        <w:br w:type="page"/>
      </w:r>
      <w:bookmarkStart w:id="0" w:name="_Hlk98003485"/>
      <w:r w:rsidRPr="00BF6221">
        <w:rPr>
          <w:b/>
          <w:bCs/>
          <w:lang w:val="es-ES" w:eastAsia="es-ES"/>
        </w:rPr>
        <w:lastRenderedPageBreak/>
        <w:t>Tabla 1-</w:t>
      </w:r>
      <w:r w:rsidRPr="00BF6221">
        <w:rPr>
          <w:lang w:val="es-ES" w:eastAsia="es-ES"/>
        </w:rPr>
        <w:t xml:space="preserve"> Análisis preliminar de los ítems</w:t>
      </w:r>
    </w:p>
    <w:bookmarkEnd w:id="0"/>
    <w:p w14:paraId="12693F8A" w14:textId="77777777" w:rsidR="00BF6221" w:rsidRPr="00BF6221" w:rsidRDefault="00BF6221" w:rsidP="00BF6221">
      <w:pPr>
        <w:pBdr>
          <w:top w:val="nil"/>
          <w:left w:val="nil"/>
          <w:bottom w:val="nil"/>
          <w:right w:val="nil"/>
          <w:between w:val="nil"/>
        </w:pBdr>
        <w:spacing w:line="360" w:lineRule="auto"/>
        <w:jc w:val="center"/>
        <w:rPr>
          <w:i/>
          <w:lang w:val="es-ES" w:eastAsia="es-ES"/>
        </w:rPr>
      </w:pPr>
      <w:r w:rsidRPr="00BF6221">
        <w:rPr>
          <w:i/>
          <w:noProof/>
          <w:lang w:val="es-ES" w:eastAsia="es-ES"/>
        </w:rPr>
        <w:drawing>
          <wp:inline distT="0" distB="0" distL="0" distR="0" wp14:anchorId="1FDD8789" wp14:editId="10A54A4B">
            <wp:extent cx="5391150" cy="5828030"/>
            <wp:effectExtent l="0" t="0" r="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1150" cy="5828030"/>
                    </a:xfrm>
                    <a:prstGeom prst="rect">
                      <a:avLst/>
                    </a:prstGeom>
                    <a:noFill/>
                    <a:ln>
                      <a:noFill/>
                    </a:ln>
                  </pic:spPr>
                </pic:pic>
              </a:graphicData>
            </a:graphic>
          </wp:inline>
        </w:drawing>
      </w:r>
    </w:p>
    <w:p w14:paraId="6AB7426F" w14:textId="77777777" w:rsidR="00BF6221" w:rsidRPr="00BF6221" w:rsidRDefault="00BF6221" w:rsidP="00BF6221">
      <w:pPr>
        <w:pBdr>
          <w:top w:val="nil"/>
          <w:left w:val="nil"/>
          <w:bottom w:val="nil"/>
          <w:right w:val="nil"/>
          <w:between w:val="nil"/>
        </w:pBdr>
        <w:spacing w:line="360" w:lineRule="auto"/>
        <w:jc w:val="both"/>
        <w:rPr>
          <w:iCs/>
          <w:lang w:val="es-ES" w:eastAsia="es-ES"/>
        </w:rPr>
      </w:pPr>
    </w:p>
    <w:p w14:paraId="137C8A19" w14:textId="471C7DDE" w:rsidR="00BF6221" w:rsidRPr="00BF6221" w:rsidRDefault="00BF6221" w:rsidP="00BF6221">
      <w:pPr>
        <w:pBdr>
          <w:top w:val="nil"/>
          <w:left w:val="nil"/>
          <w:bottom w:val="nil"/>
          <w:right w:val="nil"/>
          <w:between w:val="nil"/>
        </w:pBdr>
        <w:spacing w:line="360" w:lineRule="auto"/>
        <w:jc w:val="both"/>
        <w:rPr>
          <w:lang w:val="es-ES" w:eastAsia="es-ES"/>
        </w:rPr>
      </w:pPr>
      <w:r w:rsidRPr="00BF6221">
        <w:rPr>
          <w:iCs/>
          <w:lang w:val="es-ES" w:eastAsia="es-ES"/>
        </w:rPr>
        <w:t xml:space="preserve">Análisis factorial confirmatorio: </w:t>
      </w:r>
      <w:r w:rsidRPr="00BF6221">
        <w:rPr>
          <w:lang w:val="es-ES" w:eastAsia="es-ES"/>
        </w:rPr>
        <w:t xml:space="preserve">a través del AFC se analizó en qué medida el modelo original de la escala (15 ítems distribuidos en 3 factores) se ajustaba a los datos recolectados. Los resultados del modelo original fueron deficientes por lo que, mediante la técnica de modificación de índices, se eliminaron los ítems 2, 4, 5 y 10 y se obtuvieron índices de bondad de ajuste satisfactorios: CFI = 0,988, TLI = 0,984, </w:t>
      </w:r>
      <w:r w:rsidRPr="00BF6221">
        <w:rPr>
          <w:lang w:val="es-ES" w:eastAsia="es-ES"/>
        </w:rPr>
        <w:lastRenderedPageBreak/>
        <w:t>RMSEA = 0,065; SRMR = 0,042; media cuadrática residual (WRMR) = 0,972. En síntesis, el modelo 2 cumplió con los criterios de bondad de ajuste (tabla 2) y presenta 11 ítems distribuidos en una estructura de 3 factores (</w:t>
      </w:r>
      <w:r w:rsidR="00455528">
        <w:rPr>
          <w:lang w:val="es-ES" w:eastAsia="es-ES"/>
        </w:rPr>
        <w:t>F</w:t>
      </w:r>
      <w:r w:rsidRPr="00BF6221">
        <w:rPr>
          <w:lang w:val="es-ES" w:eastAsia="es-ES"/>
        </w:rPr>
        <w:t>ig</w:t>
      </w:r>
      <w:r w:rsidR="00455528">
        <w:rPr>
          <w:lang w:val="es-ES" w:eastAsia="es-ES"/>
        </w:rPr>
        <w:t xml:space="preserve">. </w:t>
      </w:r>
      <w:r w:rsidRPr="00BF6221">
        <w:rPr>
          <w:lang w:val="es-ES" w:eastAsia="es-ES"/>
        </w:rPr>
        <w:t xml:space="preserve">1). </w:t>
      </w:r>
    </w:p>
    <w:p w14:paraId="2BCA9888" w14:textId="77777777" w:rsidR="00BF6221" w:rsidRPr="00BF6221" w:rsidRDefault="00BF6221" w:rsidP="00BF6221">
      <w:pPr>
        <w:spacing w:line="360" w:lineRule="auto"/>
        <w:jc w:val="center"/>
        <w:rPr>
          <w:b/>
          <w:lang w:eastAsia="es-ES"/>
        </w:rPr>
      </w:pPr>
    </w:p>
    <w:p w14:paraId="164A5CC5" w14:textId="77777777" w:rsidR="00BF6221" w:rsidRPr="00BF6221" w:rsidRDefault="00BF6221" w:rsidP="00BF6221">
      <w:pPr>
        <w:spacing w:line="360" w:lineRule="auto"/>
        <w:jc w:val="center"/>
        <w:rPr>
          <w:sz w:val="22"/>
          <w:szCs w:val="22"/>
          <w:lang w:val="es-ES" w:eastAsia="es-ES"/>
        </w:rPr>
      </w:pPr>
      <w:r w:rsidRPr="00BF6221">
        <w:rPr>
          <w:b/>
          <w:sz w:val="22"/>
          <w:szCs w:val="22"/>
          <w:lang w:eastAsia="es-ES"/>
        </w:rPr>
        <w:t>Tabla 2 -</w:t>
      </w:r>
      <w:r w:rsidRPr="00BF6221">
        <w:rPr>
          <w:sz w:val="22"/>
          <w:szCs w:val="22"/>
          <w:lang w:eastAsia="es-ES"/>
        </w:rPr>
        <w:t xml:space="preserve"> </w:t>
      </w:r>
      <w:r w:rsidRPr="00BF6221">
        <w:rPr>
          <w:iCs/>
          <w:sz w:val="22"/>
          <w:szCs w:val="22"/>
          <w:lang w:eastAsia="es-ES"/>
        </w:rPr>
        <w:t xml:space="preserve">Índices de ajuste de los modelos evaluados mediante el </w:t>
      </w:r>
      <w:r w:rsidRPr="00BF6221">
        <w:rPr>
          <w:sz w:val="22"/>
          <w:szCs w:val="22"/>
          <w:lang w:val="es-ES" w:eastAsia="es-ES"/>
        </w:rPr>
        <w:t>análisis factorial confirmatorio</w:t>
      </w:r>
    </w:p>
    <w:p w14:paraId="3DD5B05B" w14:textId="77777777" w:rsidR="00BF6221" w:rsidRPr="00BF6221" w:rsidRDefault="00BF6221" w:rsidP="00BF6221">
      <w:pPr>
        <w:spacing w:line="360" w:lineRule="auto"/>
        <w:jc w:val="center"/>
        <w:rPr>
          <w:color w:val="000000"/>
          <w:sz w:val="16"/>
          <w:szCs w:val="16"/>
          <w:lang w:val="es-ES" w:eastAsia="es-ES"/>
        </w:rPr>
      </w:pPr>
      <w:r w:rsidRPr="00BF6221">
        <w:rPr>
          <w:noProof/>
          <w:color w:val="000000"/>
          <w:sz w:val="16"/>
          <w:szCs w:val="16"/>
          <w:lang w:val="es-ES" w:eastAsia="es-ES"/>
        </w:rPr>
        <w:drawing>
          <wp:inline distT="0" distB="0" distL="0" distR="0" wp14:anchorId="301FE994" wp14:editId="53508D6F">
            <wp:extent cx="5422900" cy="1431290"/>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2900" cy="1431290"/>
                    </a:xfrm>
                    <a:prstGeom prst="rect">
                      <a:avLst/>
                    </a:prstGeom>
                    <a:noFill/>
                    <a:ln>
                      <a:noFill/>
                    </a:ln>
                  </pic:spPr>
                </pic:pic>
              </a:graphicData>
            </a:graphic>
          </wp:inline>
        </w:drawing>
      </w:r>
    </w:p>
    <w:p w14:paraId="49DB7524" w14:textId="77777777" w:rsidR="00BF6221" w:rsidRPr="00BF6221" w:rsidRDefault="00BF6221" w:rsidP="00BF6221">
      <w:pPr>
        <w:spacing w:line="360" w:lineRule="auto"/>
        <w:jc w:val="center"/>
        <w:rPr>
          <w:i/>
          <w:sz w:val="16"/>
          <w:szCs w:val="16"/>
          <w:lang w:val="es-ES" w:eastAsia="es-ES"/>
        </w:rPr>
      </w:pPr>
      <w:r w:rsidRPr="00BF6221">
        <w:rPr>
          <w:color w:val="000000"/>
          <w:sz w:val="16"/>
          <w:szCs w:val="16"/>
          <w:lang w:val="es-ES" w:eastAsia="es-ES"/>
        </w:rPr>
        <w:t>Grado de libertad (</w:t>
      </w:r>
      <w:proofErr w:type="spellStart"/>
      <w:r w:rsidRPr="00BF6221">
        <w:rPr>
          <w:color w:val="000000"/>
          <w:sz w:val="16"/>
          <w:szCs w:val="16"/>
          <w:lang w:val="es-ES" w:eastAsia="es-ES"/>
        </w:rPr>
        <w:t>df</w:t>
      </w:r>
      <w:proofErr w:type="spellEnd"/>
      <w:r w:rsidRPr="00BF6221">
        <w:rPr>
          <w:color w:val="000000"/>
          <w:sz w:val="16"/>
          <w:szCs w:val="16"/>
          <w:lang w:val="es-ES" w:eastAsia="es-ES"/>
        </w:rPr>
        <w:t>), índice de ajuste comparativo (CFI), índice de Tucker-Lewis (TLI), raíz del error cuadrático medio de aproximación (RMSEA</w:t>
      </w:r>
      <w:r w:rsidRPr="00BF6221">
        <w:rPr>
          <w:sz w:val="16"/>
          <w:szCs w:val="16"/>
          <w:shd w:val="clear" w:color="auto" w:fill="FFFFFF"/>
          <w:lang w:val="es-ES" w:eastAsia="es-ES"/>
        </w:rPr>
        <w:t>), intervalo de confianza (IC), error cuadrático medio de aproximación (SRMR) y media cuadrática residual (WRMR).</w:t>
      </w:r>
    </w:p>
    <w:p w14:paraId="0329B701" w14:textId="77777777" w:rsidR="00BF6221" w:rsidRPr="00BF6221" w:rsidRDefault="00BF6221" w:rsidP="00BF6221">
      <w:pPr>
        <w:spacing w:line="360" w:lineRule="auto"/>
        <w:jc w:val="both"/>
        <w:rPr>
          <w:i/>
          <w:lang w:val="es-ES" w:eastAsia="es-ES"/>
        </w:rPr>
      </w:pPr>
    </w:p>
    <w:p w14:paraId="725E5B6E" w14:textId="77777777" w:rsidR="00BF6221" w:rsidRPr="00BF6221" w:rsidRDefault="00BF6221" w:rsidP="00BF6221">
      <w:pPr>
        <w:spacing w:line="360" w:lineRule="auto"/>
        <w:jc w:val="both"/>
        <w:rPr>
          <w:lang w:val="es-ES" w:eastAsia="es-ES"/>
        </w:rPr>
      </w:pPr>
      <w:r w:rsidRPr="00BF6221">
        <w:rPr>
          <w:iCs/>
          <w:lang w:val="es-ES" w:eastAsia="es-ES"/>
        </w:rPr>
        <w:t>Confiabilidad:</w:t>
      </w:r>
      <w:r w:rsidRPr="00BF6221">
        <w:rPr>
          <w:lang w:val="es-ES" w:eastAsia="es-ES"/>
        </w:rPr>
        <w:t xml:space="preserve"> fue estimada mediante el coeficiente α de Cronbach, mostró valores aceptables. Para la escala general (α = 0,81, IC 95 % = 0,78–0,83), para el factor agotamiento emocional (α = 0,67, IC 95 % = 0,62–0,70), factor despersonalización (α = 0,85, IC 95 % = 0,82–0,86) y para el factor falta de realización personal (α = 0,87, IC 95 % = 0,85–0,88).</w:t>
      </w:r>
    </w:p>
    <w:p w14:paraId="28E68267" w14:textId="77777777" w:rsidR="00BF6221" w:rsidRPr="00BF6221" w:rsidRDefault="00BF6221" w:rsidP="00BF6221">
      <w:pPr>
        <w:spacing w:line="360" w:lineRule="auto"/>
        <w:jc w:val="center"/>
        <w:rPr>
          <w:i/>
          <w:lang w:val="es-ES" w:eastAsia="es-ES"/>
        </w:rPr>
      </w:pPr>
    </w:p>
    <w:p w14:paraId="2E256224" w14:textId="77777777" w:rsidR="00BF6221" w:rsidRPr="00BF6221" w:rsidRDefault="00BF6221" w:rsidP="00BF6221">
      <w:pPr>
        <w:spacing w:line="360" w:lineRule="auto"/>
        <w:ind w:left="-397"/>
        <w:jc w:val="center"/>
        <w:rPr>
          <w:lang w:val="es-ES" w:eastAsia="es-ES"/>
        </w:rPr>
      </w:pPr>
      <w:r w:rsidRPr="00BF6221">
        <w:rPr>
          <w:noProof/>
          <w:lang w:val="es-ES" w:eastAsia="es-ES"/>
        </w:rPr>
        <w:lastRenderedPageBreak/>
        <w:drawing>
          <wp:inline distT="0" distB="0" distL="0" distR="0" wp14:anchorId="544EBDC7" wp14:editId="6BD36F0E">
            <wp:extent cx="5128895" cy="29343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28895" cy="2934335"/>
                    </a:xfrm>
                    <a:prstGeom prst="rect">
                      <a:avLst/>
                    </a:prstGeom>
                    <a:noFill/>
                    <a:ln>
                      <a:noFill/>
                    </a:ln>
                  </pic:spPr>
                </pic:pic>
              </a:graphicData>
            </a:graphic>
          </wp:inline>
        </w:drawing>
      </w:r>
    </w:p>
    <w:p w14:paraId="6B32C5CF" w14:textId="77777777" w:rsidR="00BF6221" w:rsidRPr="00BF6221" w:rsidRDefault="00BF6221" w:rsidP="00BF6221">
      <w:pPr>
        <w:spacing w:line="360" w:lineRule="auto"/>
        <w:jc w:val="center"/>
        <w:rPr>
          <w:sz w:val="22"/>
          <w:szCs w:val="22"/>
          <w:lang w:val="es-ES" w:eastAsia="es-ES"/>
        </w:rPr>
      </w:pPr>
      <w:r w:rsidRPr="00BF6221">
        <w:rPr>
          <w:b/>
          <w:sz w:val="22"/>
          <w:szCs w:val="22"/>
          <w:lang w:val="es-ES" w:eastAsia="es-ES"/>
        </w:rPr>
        <w:t>Fig. 1 -</w:t>
      </w:r>
      <w:r w:rsidRPr="00BF6221">
        <w:rPr>
          <w:sz w:val="22"/>
          <w:szCs w:val="22"/>
          <w:lang w:val="es-ES" w:eastAsia="es-ES"/>
        </w:rPr>
        <w:t xml:space="preserve"> Modelo 2 de la escala.</w:t>
      </w:r>
    </w:p>
    <w:p w14:paraId="15DB8206" w14:textId="77777777" w:rsidR="00BF6221" w:rsidRPr="00BF6221" w:rsidRDefault="00BF6221" w:rsidP="00BF6221">
      <w:pPr>
        <w:spacing w:line="360" w:lineRule="auto"/>
        <w:jc w:val="both"/>
        <w:rPr>
          <w:b/>
          <w:lang w:val="es-ES" w:eastAsia="es-ES"/>
        </w:rPr>
      </w:pPr>
    </w:p>
    <w:p w14:paraId="2117E258" w14:textId="77777777" w:rsidR="00BF6221" w:rsidRPr="00BF6221" w:rsidRDefault="00BF6221" w:rsidP="00BF6221">
      <w:pPr>
        <w:spacing w:line="360" w:lineRule="auto"/>
        <w:jc w:val="both"/>
        <w:rPr>
          <w:b/>
          <w:lang w:val="es-ES" w:eastAsia="es-ES"/>
        </w:rPr>
      </w:pPr>
    </w:p>
    <w:p w14:paraId="2C530C5B" w14:textId="77777777" w:rsidR="00BF6221" w:rsidRPr="00BF6221" w:rsidRDefault="00BF6221" w:rsidP="00BF6221">
      <w:pPr>
        <w:spacing w:line="360" w:lineRule="auto"/>
        <w:jc w:val="center"/>
        <w:rPr>
          <w:b/>
          <w:sz w:val="32"/>
          <w:szCs w:val="32"/>
          <w:lang w:val="es-ES" w:eastAsia="es-ES"/>
        </w:rPr>
      </w:pPr>
      <w:r w:rsidRPr="00BF6221">
        <w:rPr>
          <w:b/>
          <w:sz w:val="32"/>
          <w:szCs w:val="32"/>
          <w:lang w:val="es-ES" w:eastAsia="es-ES"/>
        </w:rPr>
        <w:t>DISCUSIÓN</w:t>
      </w:r>
    </w:p>
    <w:p w14:paraId="090DD65B" w14:textId="77777777" w:rsidR="00BF6221" w:rsidRPr="00BF6221" w:rsidRDefault="00BF6221" w:rsidP="00BF6221">
      <w:pPr>
        <w:spacing w:line="360" w:lineRule="auto"/>
        <w:jc w:val="both"/>
        <w:rPr>
          <w:rFonts w:eastAsia="Calibri"/>
          <w:lang w:val="es-PE" w:eastAsia="en-US"/>
        </w:rPr>
      </w:pPr>
      <w:r w:rsidRPr="00BF6221">
        <w:rPr>
          <w:rFonts w:eastAsia="Calibri"/>
          <w:lang w:val="es-ES" w:eastAsia="en-US"/>
        </w:rPr>
        <w:t xml:space="preserve">En Cuba, el estudio </w:t>
      </w:r>
      <w:r w:rsidRPr="00BF6221">
        <w:rPr>
          <w:rFonts w:eastAsia="Calibri"/>
          <w:lang w:val="es-PE" w:eastAsia="en-US"/>
        </w:rPr>
        <w:t>del estrés</w:t>
      </w:r>
      <w:r w:rsidRPr="00BF6221">
        <w:rPr>
          <w:rFonts w:eastAsia="Calibri"/>
          <w:lang w:val="es-ES" w:eastAsia="en-US"/>
        </w:rPr>
        <w:t xml:space="preserve"> en estudiantes de ciencias médicas se ha convertido en un tema de </w:t>
      </w:r>
      <w:r w:rsidRPr="00BF6221">
        <w:rPr>
          <w:rFonts w:eastAsia="Calibri"/>
          <w:lang w:val="es-PE" w:eastAsia="en-US"/>
        </w:rPr>
        <w:t>gran</w:t>
      </w:r>
      <w:r w:rsidRPr="00BF6221">
        <w:rPr>
          <w:rFonts w:eastAsia="Calibri"/>
          <w:lang w:val="es-ES" w:eastAsia="en-US"/>
        </w:rPr>
        <w:t xml:space="preserve"> interés</w:t>
      </w:r>
      <w:r w:rsidRPr="00BF6221">
        <w:rPr>
          <w:rFonts w:eastAsia="Calibri"/>
          <w:lang w:val="es-PE" w:eastAsia="en-US"/>
        </w:rPr>
        <w:t xml:space="preserve"> para la comunidad científica y académica</w:t>
      </w:r>
      <w:r w:rsidRPr="00BF6221">
        <w:rPr>
          <w:rFonts w:eastAsia="Calibri"/>
          <w:lang w:val="es-ES" w:eastAsia="en-US"/>
        </w:rPr>
        <w:t xml:space="preserve">, </w:t>
      </w:r>
      <w:r w:rsidRPr="00BF6221">
        <w:rPr>
          <w:rFonts w:eastAsia="Calibri"/>
          <w:lang w:val="es-PE" w:eastAsia="en-US"/>
        </w:rPr>
        <w:t>sobre todo durante</w:t>
      </w:r>
      <w:r w:rsidRPr="00BF6221">
        <w:rPr>
          <w:rFonts w:eastAsia="Calibri"/>
          <w:lang w:val="es-ES" w:eastAsia="en-US"/>
        </w:rPr>
        <w:t xml:space="preserve"> la pandemia por la COVID-19, </w:t>
      </w:r>
      <w:r w:rsidRPr="00BF6221">
        <w:rPr>
          <w:rFonts w:eastAsia="Calibri"/>
          <w:lang w:val="es-PE" w:eastAsia="en-US"/>
        </w:rPr>
        <w:t xml:space="preserve">en la que </w:t>
      </w:r>
      <w:r w:rsidRPr="00BF6221">
        <w:rPr>
          <w:rFonts w:eastAsia="Calibri"/>
          <w:lang w:val="es-ES" w:eastAsia="en-US"/>
        </w:rPr>
        <w:t>una parte de esta población ha evidenciado manifestaciones de estrés.</w:t>
      </w:r>
      <w:r w:rsidRPr="00BF6221">
        <w:rPr>
          <w:rFonts w:eastAsia="Calibri"/>
          <w:vertAlign w:val="superscript"/>
          <w:lang w:val="es-ES" w:eastAsia="en-US"/>
        </w:rPr>
        <w:t>(22)</w:t>
      </w:r>
      <w:r w:rsidRPr="00BF6221">
        <w:rPr>
          <w:rFonts w:eastAsia="Calibri"/>
          <w:lang w:val="es-ES" w:eastAsia="en-US"/>
        </w:rPr>
        <w:t xml:space="preserve"> Así, el SB puede repercutir</w:t>
      </w:r>
      <w:r w:rsidRPr="00BF6221">
        <w:rPr>
          <w:rFonts w:eastAsia="Calibri"/>
          <w:lang w:val="es-PE" w:eastAsia="en-US"/>
        </w:rPr>
        <w:t xml:space="preserve"> en la salud mental y general de la comunidad universitaria; afecta al estudiante en el desempeño de sus actividades académicas.</w:t>
      </w:r>
      <w:r w:rsidRPr="00BF6221">
        <w:rPr>
          <w:rFonts w:eastAsia="Calibri"/>
          <w:vertAlign w:val="superscript"/>
          <w:lang w:val="es-PE" w:eastAsia="en-US"/>
        </w:rPr>
        <w:t>(2,3)</w:t>
      </w:r>
      <w:r w:rsidRPr="00BF6221">
        <w:rPr>
          <w:rFonts w:eastAsia="Calibri"/>
          <w:lang w:val="es-PE" w:eastAsia="en-US"/>
        </w:rPr>
        <w:t xml:space="preserve"> Aunque no es una temática de discusión reciente, aún no existen instrumentos de medición adaptados al contexto de los estudiantes cubanos de Estomatología. </w:t>
      </w:r>
    </w:p>
    <w:p w14:paraId="72E5059F" w14:textId="77777777" w:rsidR="00BF6221" w:rsidRPr="00BF6221" w:rsidRDefault="00BF6221" w:rsidP="00BF6221">
      <w:pPr>
        <w:spacing w:line="360" w:lineRule="auto"/>
        <w:jc w:val="both"/>
        <w:rPr>
          <w:rFonts w:eastAsia="Calibri"/>
          <w:lang w:val="es-PE" w:eastAsia="en-US"/>
        </w:rPr>
      </w:pPr>
      <w:r w:rsidRPr="00BF6221">
        <w:rPr>
          <w:rFonts w:eastAsia="Calibri"/>
          <w:lang w:val="es-ES" w:eastAsia="en-US"/>
        </w:rPr>
        <w:t>La creación, validación y adaptación de escalas para evaluar este fenómeno, conforman una parte fundamental de la psiquiatría actual, pues los instrumentos deben ser útiles no solo para ser aplicados y mejorar los procesos de diagnóstico y tratamiento, sino</w:t>
      </w:r>
      <w:r w:rsidRPr="00BF6221">
        <w:rPr>
          <w:rFonts w:eastAsia="Calibri"/>
          <w:lang w:val="es-PE" w:eastAsia="en-US"/>
        </w:rPr>
        <w:t>,</w:t>
      </w:r>
      <w:r w:rsidRPr="00BF6221">
        <w:rPr>
          <w:rFonts w:eastAsia="Calibri"/>
          <w:lang w:val="es-ES" w:eastAsia="en-US"/>
        </w:rPr>
        <w:t xml:space="preserve"> también para ayudar al progreso de la ciencia.</w:t>
      </w:r>
      <w:r w:rsidRPr="00BF6221">
        <w:rPr>
          <w:rFonts w:eastAsia="Calibri"/>
          <w:vertAlign w:val="superscript"/>
          <w:lang w:val="es-ES" w:eastAsia="en-US"/>
        </w:rPr>
        <w:t>(23)</w:t>
      </w:r>
      <w:r w:rsidRPr="00BF6221">
        <w:rPr>
          <w:rFonts w:eastAsia="Calibri"/>
          <w:lang w:val="es-ES" w:eastAsia="en-US"/>
        </w:rPr>
        <w:t xml:space="preserve"> </w:t>
      </w:r>
    </w:p>
    <w:p w14:paraId="5715972D" w14:textId="77777777" w:rsidR="00BF6221" w:rsidRPr="00BF6221" w:rsidRDefault="00BF6221" w:rsidP="00BF6221">
      <w:pPr>
        <w:spacing w:line="360" w:lineRule="auto"/>
        <w:jc w:val="both"/>
        <w:rPr>
          <w:rFonts w:eastAsia="Calibri"/>
          <w:lang w:val="es-ES" w:eastAsia="en-US"/>
        </w:rPr>
      </w:pPr>
      <w:r w:rsidRPr="00BF6221">
        <w:rPr>
          <w:rFonts w:eastAsia="Calibri"/>
          <w:lang w:val="es-ES" w:eastAsia="en-US"/>
        </w:rPr>
        <w:t>La validación se realizó siguiendo un enfoque factorial, así, el AFC reveló mejores índices de bondad de ajuste en el modelo 2 (</w:t>
      </w:r>
      <w:proofErr w:type="spellStart"/>
      <w:r w:rsidRPr="00BF6221">
        <w:rPr>
          <w:rFonts w:eastAsia="Calibri"/>
          <w:lang w:val="es-ES" w:eastAsia="en-US"/>
        </w:rPr>
        <w:t>reespecificado</w:t>
      </w:r>
      <w:proofErr w:type="spellEnd"/>
      <w:r w:rsidRPr="00BF6221">
        <w:rPr>
          <w:rFonts w:eastAsia="Calibri"/>
          <w:lang w:val="es-ES" w:eastAsia="en-US"/>
        </w:rPr>
        <w:t>), lo cual confirma la existencia de 3 factores y 11 ítems. Aunque este resultado difiere de la versión original de la prueba</w:t>
      </w:r>
      <w:r w:rsidRPr="00BF6221">
        <w:rPr>
          <w:rFonts w:eastAsia="Calibri"/>
          <w:vertAlign w:val="superscript"/>
          <w:lang w:val="es-ES" w:eastAsia="en-US"/>
        </w:rPr>
        <w:t>(20)</w:t>
      </w:r>
      <w:r w:rsidRPr="00BF6221">
        <w:rPr>
          <w:rFonts w:eastAsia="Calibri"/>
          <w:lang w:val="es-ES" w:eastAsia="en-US"/>
        </w:rPr>
        <w:t xml:space="preserve"> y la versión en español</w:t>
      </w:r>
      <w:r w:rsidRPr="00BF6221">
        <w:rPr>
          <w:rFonts w:eastAsia="Calibri"/>
          <w:vertAlign w:val="superscript"/>
          <w:lang w:val="es-ES" w:eastAsia="en-US"/>
        </w:rPr>
        <w:t>(4)</w:t>
      </w:r>
      <w:r w:rsidRPr="00BF6221">
        <w:rPr>
          <w:rFonts w:eastAsia="Calibri"/>
          <w:lang w:val="es-ES" w:eastAsia="en-US"/>
        </w:rPr>
        <w:t xml:space="preserve"> (15 ítems distribuidos </w:t>
      </w:r>
      <w:r w:rsidRPr="00BF6221">
        <w:rPr>
          <w:rFonts w:eastAsia="Calibri"/>
          <w:lang w:val="es-ES" w:eastAsia="en-US"/>
        </w:rPr>
        <w:lastRenderedPageBreak/>
        <w:t>en 3 factores), el modelo actual revela niveles adecuados de fiabilidad mediante el coeficiente α de Cronbach (α = 0,81, IC 95 % = 0,78-0,83), que corroboran la adecuada consistencia interna de los 11 ítems de la escala, que es similar a otros estudios psicométricos.</w:t>
      </w:r>
      <w:r w:rsidRPr="00BF6221">
        <w:rPr>
          <w:rFonts w:eastAsia="Calibri"/>
          <w:vertAlign w:val="superscript"/>
          <w:lang w:val="es-ES" w:eastAsia="en-US"/>
        </w:rPr>
        <w:t>(1,4,20,24)</w:t>
      </w:r>
      <w:r w:rsidRPr="00BF6221">
        <w:rPr>
          <w:rFonts w:eastAsia="Calibri"/>
          <w:lang w:val="es-ES" w:eastAsia="en-US"/>
        </w:rPr>
        <w:t xml:space="preserve">   </w:t>
      </w:r>
    </w:p>
    <w:p w14:paraId="72558145" w14:textId="77777777" w:rsidR="00BF6221" w:rsidRPr="00BF6221" w:rsidRDefault="00BF6221" w:rsidP="00BF6221">
      <w:pPr>
        <w:spacing w:line="360" w:lineRule="auto"/>
        <w:jc w:val="both"/>
        <w:rPr>
          <w:rFonts w:eastAsia="Calibri"/>
          <w:lang w:val="es-PE" w:eastAsia="en-US"/>
        </w:rPr>
      </w:pPr>
      <w:r w:rsidRPr="00BF6221">
        <w:rPr>
          <w:rFonts w:eastAsia="Calibri"/>
          <w:lang w:val="es-ES" w:eastAsia="en-US"/>
        </w:rPr>
        <w:t xml:space="preserve">Con base en estos hallazgos, se asume que existen evidencias satisfactorias de la estructura interna de la escala en su versión de 11 ítems y se confirma así la </w:t>
      </w:r>
      <w:proofErr w:type="spellStart"/>
      <w:r w:rsidRPr="00BF6221">
        <w:rPr>
          <w:rFonts w:eastAsia="Calibri"/>
          <w:lang w:val="es-ES" w:eastAsia="en-US"/>
        </w:rPr>
        <w:t>trifactorialidad</w:t>
      </w:r>
      <w:proofErr w:type="spellEnd"/>
      <w:r w:rsidRPr="00BF6221">
        <w:rPr>
          <w:rFonts w:eastAsia="Calibri"/>
          <w:lang w:val="es-ES" w:eastAsia="en-US"/>
        </w:rPr>
        <w:t xml:space="preserve"> del constructo, lo cual demuestra que esta versión </w:t>
      </w:r>
      <w:r w:rsidRPr="00BF6221">
        <w:rPr>
          <w:rFonts w:eastAsia="Calibri"/>
          <w:lang w:val="es-PE" w:eastAsia="en-US"/>
        </w:rPr>
        <w:t>cumple con los requisitos de validez y confiabilidad. Aunado a esto, los ítems que se configuran en el instrumento obtenido,</w:t>
      </w:r>
      <w:r w:rsidRPr="00BF6221">
        <w:rPr>
          <w:rFonts w:eastAsia="Calibri"/>
          <w:shd w:val="clear" w:color="auto" w:fill="FFFFFF"/>
          <w:lang w:val="es-PE" w:eastAsia="en-US"/>
        </w:rPr>
        <w:t xml:space="preserve"> </w:t>
      </w:r>
      <w:r w:rsidRPr="00BF6221">
        <w:rPr>
          <w:rFonts w:eastAsia="Calibri"/>
          <w:lang w:val="es-PE" w:eastAsia="en-US"/>
        </w:rPr>
        <w:t xml:space="preserve">abordan aspectos como el sentirse emocionalmente agotado por los estudios y extenuados al final del día en la universidad, en cuanto a la dimensión relacionada con el agotamiento emocional. La dimensión despersonalización cuenta con ítems que se refieren a estar menos interesado en los estudios desde que ingresó en la universidad o a estar menos entusiasmado acerca de los estudios, el llegar a ser más cínicos acerca de la utilidad potencial de los estudios, así como dudar del significado de estos. Por su parte, la dimensión relacionada con la falta de realización personal, incorpora el creer que realizó una efectiva contribución a las clases a las que asistió, ser un buen estudiante, sentirse estimulado cuando logra sus metas de estudio, aprender muchas cosas interesantes durante el curso y sentirse confiado de ser efectivos al hacer las cosas durante las clases. </w:t>
      </w:r>
    </w:p>
    <w:p w14:paraId="554D31CC" w14:textId="77777777" w:rsidR="00BF6221" w:rsidRPr="00BF6221" w:rsidRDefault="00BF6221" w:rsidP="00BF6221">
      <w:pPr>
        <w:spacing w:line="360" w:lineRule="auto"/>
        <w:jc w:val="both"/>
        <w:rPr>
          <w:rFonts w:eastAsia="Calibri"/>
          <w:shd w:val="clear" w:color="auto" w:fill="FFFFFF"/>
          <w:lang w:val="es-PE" w:eastAsia="en-US"/>
        </w:rPr>
      </w:pPr>
      <w:r w:rsidRPr="00BF6221">
        <w:rPr>
          <w:rFonts w:eastAsia="Calibri"/>
          <w:lang w:val="es-PE" w:eastAsia="en-US"/>
        </w:rPr>
        <w:t>Todos estos reactivos son de suma importancia pues abordan aspectos muy importantes relacionados con la fatiga que pueden padecer los estudiantes cubanos de Estomatología durante los ejercicios relacionados a la carrera, y más aún, sabiendo que con el reinicio de la actividad docente, luego del confinamiento generado por la pandemia de COVID-19, el cambio de contexto puede ser perjudicial</w:t>
      </w:r>
      <w:r w:rsidRPr="00BF6221">
        <w:rPr>
          <w:rFonts w:eastAsia="Calibri"/>
          <w:shd w:val="clear" w:color="auto" w:fill="FFFFFF"/>
          <w:lang w:val="es-PE" w:eastAsia="en-US"/>
        </w:rPr>
        <w:t>.</w:t>
      </w:r>
      <w:r w:rsidRPr="00BF6221">
        <w:rPr>
          <w:rFonts w:eastAsia="Calibri"/>
          <w:shd w:val="clear" w:color="auto" w:fill="FFFFFF"/>
          <w:vertAlign w:val="superscript"/>
          <w:lang w:val="es-PE" w:eastAsia="en-US"/>
        </w:rPr>
        <w:t>(22)</w:t>
      </w:r>
      <w:r w:rsidRPr="00BF6221">
        <w:rPr>
          <w:rFonts w:eastAsia="Calibri"/>
          <w:shd w:val="clear" w:color="auto" w:fill="FFFFFF"/>
          <w:lang w:val="es-PE" w:eastAsia="en-US"/>
        </w:rPr>
        <w:t xml:space="preserve"> Por lo tanto, muchas investigaciones han empezado a mostrar evidencias del SB en estudiantes de Estomatología.</w:t>
      </w:r>
      <w:r w:rsidRPr="00BF6221">
        <w:rPr>
          <w:rFonts w:eastAsia="Calibri"/>
          <w:shd w:val="clear" w:color="auto" w:fill="FFFFFF"/>
          <w:vertAlign w:val="superscript"/>
          <w:lang w:val="es-PE" w:eastAsia="en-US"/>
        </w:rPr>
        <w:t>(3,6,7,9,10,11,12)</w:t>
      </w:r>
      <w:r w:rsidRPr="00BF6221">
        <w:rPr>
          <w:rFonts w:eastAsia="Calibri"/>
          <w:shd w:val="clear" w:color="auto" w:fill="FFFFFF"/>
          <w:lang w:val="es-PE" w:eastAsia="en-US"/>
        </w:rPr>
        <w:t xml:space="preserve"> En tal sentido, </w:t>
      </w:r>
      <w:r w:rsidRPr="00BF6221">
        <w:rPr>
          <w:rFonts w:eastAsia="Calibri"/>
          <w:i/>
          <w:shd w:val="clear" w:color="auto" w:fill="FFFFFF"/>
          <w:lang w:val="es-PE" w:eastAsia="en-US"/>
        </w:rPr>
        <w:t xml:space="preserve">Gil Álvarez </w:t>
      </w:r>
      <w:r w:rsidRPr="00BF6221">
        <w:rPr>
          <w:rFonts w:eastAsia="Calibri"/>
          <w:shd w:val="clear" w:color="auto" w:fill="FFFFFF"/>
          <w:lang w:val="es-PE" w:eastAsia="en-US"/>
        </w:rPr>
        <w:t>y otros</w:t>
      </w:r>
      <w:r w:rsidRPr="00BF6221">
        <w:rPr>
          <w:rFonts w:eastAsia="Calibri"/>
          <w:shd w:val="clear" w:color="auto" w:fill="FFFFFF"/>
          <w:vertAlign w:val="superscript"/>
          <w:lang w:val="es-PE" w:eastAsia="en-US"/>
        </w:rPr>
        <w:t>(17)</w:t>
      </w:r>
      <w:r w:rsidRPr="00BF6221">
        <w:rPr>
          <w:rFonts w:eastAsia="Calibri"/>
          <w:shd w:val="clear" w:color="auto" w:fill="FFFFFF"/>
          <w:lang w:val="es-PE" w:eastAsia="en-US"/>
        </w:rPr>
        <w:t xml:space="preserve"> no solo detectaron altos niveles de agotamiento emocional en estudiantes del quinto año de Estomatología, sino que señalan la importancia de realizar estudios acerca del </w:t>
      </w:r>
      <w:r w:rsidRPr="00BF6221">
        <w:rPr>
          <w:rFonts w:eastAsia="Calibri"/>
          <w:i/>
          <w:shd w:val="clear" w:color="auto" w:fill="FFFFFF"/>
          <w:lang w:val="es-PE" w:eastAsia="en-US"/>
        </w:rPr>
        <w:t>burnout</w:t>
      </w:r>
      <w:r w:rsidRPr="00BF6221">
        <w:rPr>
          <w:rFonts w:eastAsia="Calibri"/>
          <w:shd w:val="clear" w:color="auto" w:fill="FFFFFF"/>
          <w:lang w:val="es-PE" w:eastAsia="en-US"/>
        </w:rPr>
        <w:t xml:space="preserve"> académico  en  los  estudiantes  para  detectar  oportunamente  cualquier  posible  alteración  en alguna  de  sus  dimensiones,  determinar  la  mejor  manera  de  apoyarlos,  informarles  de  su presencia y motivarlos a buscar ayuda profesional si se sienten afectados para prevenir a tiempo que padezcan altos niveles de agotamiento emocional.</w:t>
      </w:r>
    </w:p>
    <w:p w14:paraId="0D7C3129" w14:textId="77777777" w:rsidR="00BF6221" w:rsidRPr="00BF6221" w:rsidRDefault="00BF6221" w:rsidP="00BF6221">
      <w:pPr>
        <w:spacing w:line="360" w:lineRule="auto"/>
        <w:contextualSpacing/>
        <w:jc w:val="both"/>
        <w:rPr>
          <w:rFonts w:eastAsia="Calibri"/>
          <w:lang w:val="es-PE" w:eastAsia="en-US"/>
        </w:rPr>
      </w:pPr>
      <w:r w:rsidRPr="00BF6221">
        <w:rPr>
          <w:rFonts w:eastAsia="Calibri"/>
          <w:lang w:val="es-PE" w:eastAsia="en-US"/>
        </w:rPr>
        <w:t>El estudio posee limitaciones. En primer lugar, el aplicar un</w:t>
      </w:r>
      <w:r w:rsidRPr="00BF6221">
        <w:rPr>
          <w:rFonts w:eastAsia="Calibri"/>
          <w:highlight w:val="white"/>
          <w:lang w:val="es-PE" w:eastAsia="en-US"/>
        </w:rPr>
        <w:t xml:space="preserve"> muestreo </w:t>
      </w:r>
      <w:r w:rsidRPr="00BF6221">
        <w:rPr>
          <w:rFonts w:eastAsia="Calibri"/>
          <w:lang w:val="es-PE" w:eastAsia="en-US"/>
        </w:rPr>
        <w:t xml:space="preserve">no probabilístico e intencional puede haber generado un sesgo de selección. Segundo, no se emplearon otras medidas para evaluar la </w:t>
      </w:r>
      <w:r w:rsidRPr="00BF6221">
        <w:rPr>
          <w:rFonts w:eastAsia="Calibri"/>
          <w:lang w:val="es-PE" w:eastAsia="en-US"/>
        </w:rPr>
        <w:lastRenderedPageBreak/>
        <w:t>validez externa. Tercero, no fue posible realizar un análisis test-</w:t>
      </w:r>
      <w:proofErr w:type="spellStart"/>
      <w:r w:rsidRPr="00BF6221">
        <w:rPr>
          <w:rFonts w:eastAsia="Calibri"/>
          <w:lang w:val="es-PE" w:eastAsia="en-US"/>
        </w:rPr>
        <w:t>retest</w:t>
      </w:r>
      <w:proofErr w:type="spellEnd"/>
      <w:r w:rsidRPr="00BF6221">
        <w:rPr>
          <w:rFonts w:eastAsia="Calibri"/>
          <w:lang w:val="es-PE" w:eastAsia="en-US"/>
        </w:rPr>
        <w:t xml:space="preserve">, lo cual hubiera permitido tener datos sobre la estabilidad temporal de los puntajes de la versión de 11 ítems. </w:t>
      </w:r>
    </w:p>
    <w:p w14:paraId="7076A165" w14:textId="11A9D487" w:rsidR="00BF6221" w:rsidRDefault="00BF6221" w:rsidP="00BF6221">
      <w:pPr>
        <w:spacing w:line="360" w:lineRule="auto"/>
        <w:contextualSpacing/>
        <w:jc w:val="both"/>
        <w:rPr>
          <w:rFonts w:eastAsia="Calibri"/>
          <w:lang w:val="es-US" w:eastAsia="en-US"/>
        </w:rPr>
      </w:pPr>
      <w:r w:rsidRPr="00BF6221">
        <w:rPr>
          <w:rFonts w:eastAsia="Calibri"/>
          <w:lang w:val="es-US" w:eastAsia="en-US"/>
        </w:rPr>
        <w:t xml:space="preserve">Se validó una escala de </w:t>
      </w:r>
      <w:r w:rsidRPr="00BF6221">
        <w:rPr>
          <w:rFonts w:eastAsia="Calibri"/>
          <w:i/>
          <w:lang w:val="es-US" w:eastAsia="en-US"/>
        </w:rPr>
        <w:t>burnout</w:t>
      </w:r>
      <w:r w:rsidRPr="00BF6221">
        <w:rPr>
          <w:rFonts w:eastAsia="Calibri"/>
          <w:lang w:val="es-US" w:eastAsia="en-US"/>
        </w:rPr>
        <w:t xml:space="preserve"> académico de 11 ítems, la cual posee evidencias de validez y confiabilidad adecuadas para evaluar el síndrome de </w:t>
      </w:r>
      <w:r w:rsidRPr="00BF6221">
        <w:rPr>
          <w:rFonts w:eastAsia="Calibri"/>
          <w:i/>
          <w:iCs/>
          <w:lang w:val="es-US" w:eastAsia="en-US"/>
        </w:rPr>
        <w:t xml:space="preserve">burnout </w:t>
      </w:r>
      <w:r w:rsidRPr="00BF6221">
        <w:rPr>
          <w:rFonts w:eastAsia="Calibri"/>
          <w:lang w:val="es-US" w:eastAsia="en-US"/>
        </w:rPr>
        <w:t>en estudiantes cubanos de Estomatología.</w:t>
      </w:r>
    </w:p>
    <w:p w14:paraId="3B4B0421" w14:textId="47EA2B99" w:rsidR="00012CAC" w:rsidRDefault="00012CAC" w:rsidP="00BF6221">
      <w:pPr>
        <w:spacing w:line="360" w:lineRule="auto"/>
        <w:contextualSpacing/>
        <w:jc w:val="both"/>
        <w:rPr>
          <w:rFonts w:eastAsia="Calibri"/>
          <w:lang w:val="es-US" w:eastAsia="en-US"/>
        </w:rPr>
      </w:pPr>
    </w:p>
    <w:p w14:paraId="7D975C9A" w14:textId="32C87FD9" w:rsidR="00012CAC" w:rsidRDefault="00012CAC" w:rsidP="00BF6221">
      <w:pPr>
        <w:spacing w:line="360" w:lineRule="auto"/>
        <w:contextualSpacing/>
        <w:jc w:val="both"/>
        <w:rPr>
          <w:rFonts w:eastAsia="Calibri"/>
          <w:lang w:val="es-US" w:eastAsia="en-US"/>
        </w:rPr>
      </w:pPr>
    </w:p>
    <w:p w14:paraId="154DBF5E" w14:textId="77777777" w:rsidR="00012CAC" w:rsidRPr="00012CAC" w:rsidRDefault="00012CAC" w:rsidP="00284ADF">
      <w:pPr>
        <w:spacing w:line="360" w:lineRule="auto"/>
        <w:contextualSpacing/>
        <w:jc w:val="center"/>
        <w:rPr>
          <w:rFonts w:eastAsia="Calibri"/>
          <w:b/>
          <w:bCs/>
          <w:lang w:val="es-PE" w:eastAsia="en-US"/>
        </w:rPr>
      </w:pPr>
      <w:r w:rsidRPr="00012CAC">
        <w:rPr>
          <w:rFonts w:eastAsia="Calibri"/>
          <w:b/>
          <w:bCs/>
          <w:lang w:val="es-PE" w:eastAsia="en-US"/>
        </w:rPr>
        <w:t>Agradecimientos</w:t>
      </w:r>
    </w:p>
    <w:p w14:paraId="50DD8411" w14:textId="0DD252AA" w:rsidR="00012CAC" w:rsidRPr="00BF6221" w:rsidRDefault="00012CAC" w:rsidP="00BF6221">
      <w:pPr>
        <w:spacing w:line="360" w:lineRule="auto"/>
        <w:contextualSpacing/>
        <w:jc w:val="both"/>
        <w:rPr>
          <w:rFonts w:eastAsia="Calibri"/>
          <w:lang w:val="es-PE" w:eastAsia="en-US"/>
        </w:rPr>
      </w:pPr>
      <w:r w:rsidRPr="00012CAC">
        <w:rPr>
          <w:rFonts w:eastAsia="Calibri"/>
          <w:lang w:val="es-PE" w:eastAsia="en-US"/>
        </w:rPr>
        <w:t xml:space="preserve">A los estudiantes participantes y a los investigadores que encuestaron en las diferentes universidades: Adrián Alejandro </w:t>
      </w:r>
      <w:proofErr w:type="spellStart"/>
      <w:r w:rsidRPr="00012CAC">
        <w:rPr>
          <w:rFonts w:eastAsia="Calibri"/>
          <w:lang w:val="es-PE" w:eastAsia="en-US"/>
        </w:rPr>
        <w:t>Vitón</w:t>
      </w:r>
      <w:proofErr w:type="spellEnd"/>
      <w:r w:rsidRPr="00012CAC">
        <w:rPr>
          <w:rFonts w:eastAsia="Calibri"/>
          <w:lang w:val="es-PE" w:eastAsia="en-US"/>
        </w:rPr>
        <w:t>-Castillo, Olga Lidia Véliz-Concepción, Rolando Torrecilla-Venegas, Leonardo Valdés-Gamboa y Diana Tusell-</w:t>
      </w:r>
      <w:proofErr w:type="spellStart"/>
      <w:r w:rsidRPr="00012CAC">
        <w:rPr>
          <w:rFonts w:eastAsia="Calibri"/>
          <w:lang w:val="es-PE" w:eastAsia="en-US"/>
        </w:rPr>
        <w:t>Hormigó</w:t>
      </w:r>
      <w:proofErr w:type="spellEnd"/>
      <w:r w:rsidRPr="00012CAC">
        <w:rPr>
          <w:rFonts w:eastAsia="Calibri"/>
          <w:lang w:val="es-PE" w:eastAsia="en-US"/>
        </w:rPr>
        <w:t>.</w:t>
      </w:r>
    </w:p>
    <w:p w14:paraId="121AA60A" w14:textId="77777777" w:rsidR="00BF6221" w:rsidRPr="00BF6221" w:rsidRDefault="00BF6221" w:rsidP="00BF6221">
      <w:pPr>
        <w:spacing w:line="360" w:lineRule="auto"/>
        <w:jc w:val="both"/>
        <w:rPr>
          <w:rFonts w:eastAsia="Calibri"/>
          <w:shd w:val="clear" w:color="auto" w:fill="FFFFFF"/>
          <w:lang w:val="es-PE" w:eastAsia="en-US"/>
        </w:rPr>
      </w:pPr>
    </w:p>
    <w:p w14:paraId="23609B56" w14:textId="77777777" w:rsidR="00BF6221" w:rsidRPr="00BF6221" w:rsidRDefault="00BF6221" w:rsidP="00BF6221">
      <w:pPr>
        <w:spacing w:line="360" w:lineRule="auto"/>
        <w:jc w:val="center"/>
        <w:rPr>
          <w:b/>
          <w:lang w:val="es-ES" w:eastAsia="es-ES"/>
        </w:rPr>
      </w:pPr>
    </w:p>
    <w:p w14:paraId="4C33F394" w14:textId="77777777" w:rsidR="00BF6221" w:rsidRPr="00BF6221" w:rsidRDefault="00BF6221" w:rsidP="00BF6221">
      <w:pPr>
        <w:spacing w:line="360" w:lineRule="auto"/>
        <w:jc w:val="center"/>
        <w:rPr>
          <w:b/>
          <w:sz w:val="32"/>
          <w:szCs w:val="32"/>
          <w:lang w:val="en-US" w:eastAsia="es-ES"/>
        </w:rPr>
      </w:pPr>
      <w:r w:rsidRPr="00BF6221">
        <w:rPr>
          <w:b/>
          <w:sz w:val="32"/>
          <w:szCs w:val="32"/>
          <w:lang w:val="en-US" w:eastAsia="es-ES"/>
        </w:rPr>
        <w:t>REFERENCIAS BIBLIOGRÁFICAS</w:t>
      </w:r>
    </w:p>
    <w:p w14:paraId="00145D98" w14:textId="77777777" w:rsidR="00BF6221" w:rsidRPr="00BF6221" w:rsidRDefault="00BF6221" w:rsidP="00BF6221">
      <w:pPr>
        <w:spacing w:line="360" w:lineRule="auto"/>
        <w:rPr>
          <w:bCs/>
          <w:lang w:val="en-US" w:eastAsia="es-ES"/>
        </w:rPr>
      </w:pPr>
      <w:r w:rsidRPr="00BF6221">
        <w:rPr>
          <w:bCs/>
          <w:lang w:val="en-US" w:eastAsia="es-ES"/>
        </w:rPr>
        <w:t xml:space="preserve">1. </w:t>
      </w:r>
      <w:proofErr w:type="spellStart"/>
      <w:r w:rsidRPr="00BF6221">
        <w:rPr>
          <w:bCs/>
          <w:lang w:val="en-US" w:eastAsia="es-ES"/>
        </w:rPr>
        <w:t>Eckleberry</w:t>
      </w:r>
      <w:proofErr w:type="spellEnd"/>
      <w:r w:rsidRPr="00BF6221">
        <w:rPr>
          <w:bCs/>
          <w:lang w:val="en-US" w:eastAsia="es-ES"/>
        </w:rPr>
        <w:t xml:space="preserve">-Hunt J, Kirkpatrick H, Barbera T. The problems with burnout research. </w:t>
      </w:r>
      <w:proofErr w:type="spellStart"/>
      <w:r w:rsidRPr="00BF6221">
        <w:rPr>
          <w:bCs/>
          <w:lang w:val="en-US" w:eastAsia="es-ES"/>
        </w:rPr>
        <w:t>Acad</w:t>
      </w:r>
      <w:proofErr w:type="spellEnd"/>
      <w:r w:rsidRPr="00BF6221">
        <w:rPr>
          <w:bCs/>
          <w:lang w:val="en-US" w:eastAsia="es-ES"/>
        </w:rPr>
        <w:t xml:space="preserve"> Med. 2018; 93(3):367–70. DOI: 10.1097/acm.0000000000001890 </w:t>
      </w:r>
    </w:p>
    <w:p w14:paraId="2857481E" w14:textId="77777777" w:rsidR="00BF6221" w:rsidRPr="00BF6221" w:rsidRDefault="00BF6221" w:rsidP="00BF6221">
      <w:pPr>
        <w:spacing w:line="360" w:lineRule="auto"/>
        <w:rPr>
          <w:bCs/>
          <w:lang w:val="es-ES" w:eastAsia="es-ES"/>
        </w:rPr>
      </w:pPr>
      <w:r w:rsidRPr="00BF6221">
        <w:rPr>
          <w:bCs/>
          <w:lang w:val="en-US" w:eastAsia="es-ES"/>
        </w:rPr>
        <w:t xml:space="preserve">2. </w:t>
      </w:r>
      <w:proofErr w:type="spellStart"/>
      <w:r w:rsidRPr="00BF6221">
        <w:rPr>
          <w:bCs/>
          <w:lang w:val="en-US" w:eastAsia="es-ES"/>
        </w:rPr>
        <w:t>Irandoost</w:t>
      </w:r>
      <w:proofErr w:type="spellEnd"/>
      <w:r w:rsidRPr="00BF6221">
        <w:rPr>
          <w:bCs/>
          <w:lang w:val="en-US" w:eastAsia="es-ES"/>
        </w:rPr>
        <w:t xml:space="preserve"> SF, </w:t>
      </w:r>
      <w:proofErr w:type="spellStart"/>
      <w:r w:rsidRPr="00BF6221">
        <w:rPr>
          <w:bCs/>
          <w:lang w:val="en-US" w:eastAsia="es-ES"/>
        </w:rPr>
        <w:t>Yoosefi</w:t>
      </w:r>
      <w:proofErr w:type="spellEnd"/>
      <w:r w:rsidRPr="00BF6221">
        <w:rPr>
          <w:bCs/>
          <w:lang w:val="en-US" w:eastAsia="es-ES"/>
        </w:rPr>
        <w:t xml:space="preserve"> Lebni J, </w:t>
      </w:r>
      <w:proofErr w:type="spellStart"/>
      <w:r w:rsidRPr="00BF6221">
        <w:rPr>
          <w:bCs/>
          <w:lang w:val="en-US" w:eastAsia="es-ES"/>
        </w:rPr>
        <w:t>Soofizad</w:t>
      </w:r>
      <w:proofErr w:type="spellEnd"/>
      <w:r w:rsidRPr="00BF6221">
        <w:rPr>
          <w:bCs/>
          <w:lang w:val="en-US" w:eastAsia="es-ES"/>
        </w:rPr>
        <w:t xml:space="preserve"> G, </w:t>
      </w:r>
      <w:proofErr w:type="spellStart"/>
      <w:r w:rsidRPr="00BF6221">
        <w:rPr>
          <w:bCs/>
          <w:lang w:val="en-US" w:eastAsia="es-ES"/>
        </w:rPr>
        <w:t>Chaboksavar</w:t>
      </w:r>
      <w:proofErr w:type="spellEnd"/>
      <w:r w:rsidRPr="00BF6221">
        <w:rPr>
          <w:bCs/>
          <w:lang w:val="en-US" w:eastAsia="es-ES"/>
        </w:rPr>
        <w:t xml:space="preserve"> F, Khalili S, Mehedi N, et al. The prevalence of burnout and its relationship with capital types among university staff in Tehran, Iran: A cross-sectional study. </w:t>
      </w:r>
      <w:proofErr w:type="spellStart"/>
      <w:r w:rsidRPr="00BF6221">
        <w:rPr>
          <w:bCs/>
          <w:lang w:val="es-ES" w:eastAsia="es-ES"/>
        </w:rPr>
        <w:t>Heliyon</w:t>
      </w:r>
      <w:proofErr w:type="spellEnd"/>
      <w:r w:rsidRPr="00BF6221">
        <w:rPr>
          <w:bCs/>
          <w:lang w:val="es-ES" w:eastAsia="es-ES"/>
        </w:rPr>
        <w:t>. 2021;7(1):5–10. DOI: 10.1016/j.heliyon.2021.e06055</w:t>
      </w:r>
    </w:p>
    <w:p w14:paraId="37766DB5" w14:textId="77777777" w:rsidR="00BF6221" w:rsidRPr="00BF6221" w:rsidRDefault="00BF6221" w:rsidP="00BF6221">
      <w:pPr>
        <w:spacing w:line="360" w:lineRule="auto"/>
        <w:rPr>
          <w:bCs/>
          <w:lang w:val="es-ES" w:eastAsia="es-ES"/>
        </w:rPr>
      </w:pPr>
      <w:r w:rsidRPr="00BF6221">
        <w:rPr>
          <w:bCs/>
          <w:lang w:val="es-ES" w:eastAsia="es-ES"/>
        </w:rPr>
        <w:t xml:space="preserve">3. Pérez F, Cartes-Velásquez R. Estrés y burnout en estudiantes de Odontología: una situación preocupante en la formación profesional. EDUMECENTRO. 2015 [acceso: 14/01/2022]; 7(2):179-90. Disponible en: </w:t>
      </w:r>
      <w:hyperlink r:id="rId17" w:history="1">
        <w:r w:rsidRPr="00BF6221">
          <w:rPr>
            <w:bCs/>
            <w:color w:val="0563C1"/>
            <w:u w:val="single"/>
            <w:lang w:val="es-ES" w:eastAsia="es-ES"/>
          </w:rPr>
          <w:t>http://www.revedumecentro.sld.cu/index.php/edumc/article/view/570</w:t>
        </w:r>
      </w:hyperlink>
      <w:r w:rsidRPr="00BF6221">
        <w:rPr>
          <w:bCs/>
          <w:lang w:val="es-ES" w:eastAsia="es-ES"/>
        </w:rPr>
        <w:t xml:space="preserve">  </w:t>
      </w:r>
    </w:p>
    <w:p w14:paraId="555B92D1" w14:textId="77777777" w:rsidR="00BF6221" w:rsidRPr="00BF6221" w:rsidRDefault="00BF6221" w:rsidP="00BF6221">
      <w:pPr>
        <w:spacing w:line="360" w:lineRule="auto"/>
        <w:rPr>
          <w:bCs/>
          <w:lang w:val="es-ES" w:eastAsia="es-ES"/>
        </w:rPr>
      </w:pPr>
      <w:r w:rsidRPr="00BF6221">
        <w:rPr>
          <w:bCs/>
          <w:lang w:val="es-ES" w:eastAsia="es-ES"/>
        </w:rPr>
        <w:t xml:space="preserve">4. Simancas-Pallares MA, </w:t>
      </w:r>
      <w:proofErr w:type="spellStart"/>
      <w:r w:rsidRPr="00BF6221">
        <w:rPr>
          <w:bCs/>
          <w:lang w:val="es-ES" w:eastAsia="es-ES"/>
        </w:rPr>
        <w:t>Fortich</w:t>
      </w:r>
      <w:proofErr w:type="spellEnd"/>
      <w:r w:rsidRPr="00BF6221">
        <w:rPr>
          <w:bCs/>
          <w:lang w:val="es-ES" w:eastAsia="es-ES"/>
        </w:rPr>
        <w:t xml:space="preserve"> Mesa N, González Martínez FD. Validez y consistencia interna del Inventario Maslach para burnout en estudiantes de Odontología de Cartagena, Colombia. </w:t>
      </w:r>
      <w:proofErr w:type="spellStart"/>
      <w:r w:rsidRPr="00BF6221">
        <w:rPr>
          <w:bCs/>
          <w:lang w:val="es-ES" w:eastAsia="es-ES"/>
        </w:rPr>
        <w:t>Rev</w:t>
      </w:r>
      <w:proofErr w:type="spellEnd"/>
      <w:r w:rsidRPr="00BF6221">
        <w:rPr>
          <w:bCs/>
          <w:lang w:val="es-ES" w:eastAsia="es-ES"/>
        </w:rPr>
        <w:t xml:space="preserve"> </w:t>
      </w:r>
      <w:proofErr w:type="spellStart"/>
      <w:r w:rsidRPr="00BF6221">
        <w:rPr>
          <w:bCs/>
          <w:lang w:val="es-ES" w:eastAsia="es-ES"/>
        </w:rPr>
        <w:t>Colomb</w:t>
      </w:r>
      <w:proofErr w:type="spellEnd"/>
      <w:r w:rsidRPr="00BF6221">
        <w:rPr>
          <w:bCs/>
          <w:lang w:val="es-ES" w:eastAsia="es-ES"/>
        </w:rPr>
        <w:t xml:space="preserve"> </w:t>
      </w:r>
      <w:proofErr w:type="spellStart"/>
      <w:r w:rsidRPr="00BF6221">
        <w:rPr>
          <w:bCs/>
          <w:lang w:val="es-ES" w:eastAsia="es-ES"/>
        </w:rPr>
        <w:t>Psiquiatr</w:t>
      </w:r>
      <w:proofErr w:type="spellEnd"/>
      <w:r w:rsidRPr="00BF6221">
        <w:rPr>
          <w:bCs/>
          <w:lang w:val="es-ES" w:eastAsia="es-ES"/>
        </w:rPr>
        <w:t>. 2017; 46(2):103–9. DOI: 10.1016/j.rcp.2016.02.003</w:t>
      </w:r>
    </w:p>
    <w:p w14:paraId="351C4281" w14:textId="77777777" w:rsidR="00BF6221" w:rsidRPr="00BF6221" w:rsidRDefault="00BF6221" w:rsidP="00BF6221">
      <w:pPr>
        <w:spacing w:line="360" w:lineRule="auto"/>
        <w:rPr>
          <w:bCs/>
          <w:lang w:val="es-ES" w:eastAsia="es-ES"/>
        </w:rPr>
      </w:pPr>
      <w:r w:rsidRPr="00BF6221">
        <w:rPr>
          <w:bCs/>
          <w:lang w:val="es-ES" w:eastAsia="es-ES"/>
        </w:rPr>
        <w:t xml:space="preserve">5. </w:t>
      </w:r>
      <w:proofErr w:type="spellStart"/>
      <w:r w:rsidRPr="00BF6221">
        <w:rPr>
          <w:bCs/>
          <w:lang w:val="es-ES" w:eastAsia="es-ES"/>
        </w:rPr>
        <w:t>Kilic</w:t>
      </w:r>
      <w:proofErr w:type="spellEnd"/>
      <w:r w:rsidRPr="00BF6221">
        <w:rPr>
          <w:bCs/>
          <w:lang w:val="es-ES" w:eastAsia="es-ES"/>
        </w:rPr>
        <w:t xml:space="preserve"> R, </w:t>
      </w:r>
      <w:proofErr w:type="spellStart"/>
      <w:r w:rsidRPr="00BF6221">
        <w:rPr>
          <w:bCs/>
          <w:lang w:val="es-ES" w:eastAsia="es-ES"/>
        </w:rPr>
        <w:t>Nasello</w:t>
      </w:r>
      <w:proofErr w:type="spellEnd"/>
      <w:r w:rsidRPr="00BF6221">
        <w:rPr>
          <w:bCs/>
          <w:lang w:val="es-ES" w:eastAsia="es-ES"/>
        </w:rPr>
        <w:t xml:space="preserve"> JA, </w:t>
      </w:r>
      <w:proofErr w:type="spellStart"/>
      <w:r w:rsidRPr="00BF6221">
        <w:rPr>
          <w:bCs/>
          <w:lang w:val="es-ES" w:eastAsia="es-ES"/>
        </w:rPr>
        <w:t>Melchior</w:t>
      </w:r>
      <w:proofErr w:type="spellEnd"/>
      <w:r w:rsidRPr="00BF6221">
        <w:rPr>
          <w:bCs/>
          <w:lang w:val="es-ES" w:eastAsia="es-ES"/>
        </w:rPr>
        <w:t xml:space="preserve"> V, </w:t>
      </w:r>
      <w:proofErr w:type="spellStart"/>
      <w:r w:rsidRPr="00BF6221">
        <w:rPr>
          <w:bCs/>
          <w:lang w:val="es-ES" w:eastAsia="es-ES"/>
        </w:rPr>
        <w:t>Triffaux</w:t>
      </w:r>
      <w:proofErr w:type="spellEnd"/>
      <w:r w:rsidRPr="00BF6221">
        <w:rPr>
          <w:bCs/>
          <w:lang w:val="es-ES" w:eastAsia="es-ES"/>
        </w:rPr>
        <w:t xml:space="preserve"> JM. </w:t>
      </w:r>
      <w:r w:rsidRPr="00BF6221">
        <w:rPr>
          <w:bCs/>
          <w:lang w:val="en-US" w:eastAsia="es-ES"/>
        </w:rPr>
        <w:t xml:space="preserve">Academic burnout among medical students: respective importance of risk and protective factors. </w:t>
      </w:r>
      <w:proofErr w:type="spellStart"/>
      <w:r w:rsidRPr="00BF6221">
        <w:rPr>
          <w:bCs/>
          <w:lang w:val="es-ES" w:eastAsia="es-ES"/>
        </w:rPr>
        <w:t>Public</w:t>
      </w:r>
      <w:proofErr w:type="spellEnd"/>
      <w:r w:rsidRPr="00BF6221">
        <w:rPr>
          <w:bCs/>
          <w:lang w:val="es-ES" w:eastAsia="es-ES"/>
        </w:rPr>
        <w:t xml:space="preserve"> </w:t>
      </w:r>
      <w:proofErr w:type="spellStart"/>
      <w:r w:rsidRPr="00BF6221">
        <w:rPr>
          <w:bCs/>
          <w:lang w:val="es-ES" w:eastAsia="es-ES"/>
        </w:rPr>
        <w:t>Health</w:t>
      </w:r>
      <w:proofErr w:type="spellEnd"/>
      <w:r w:rsidRPr="00BF6221">
        <w:rPr>
          <w:bCs/>
          <w:lang w:val="es-ES" w:eastAsia="es-ES"/>
        </w:rPr>
        <w:t>. 2021; 198: 187–95. DOI: 10.1016/j.puhe.2021.07.025</w:t>
      </w:r>
    </w:p>
    <w:p w14:paraId="18301BE4" w14:textId="77777777" w:rsidR="00BF6221" w:rsidRPr="00BF6221" w:rsidRDefault="00BF6221" w:rsidP="00BF6221">
      <w:pPr>
        <w:spacing w:line="360" w:lineRule="auto"/>
        <w:rPr>
          <w:bCs/>
          <w:lang w:val="es-ES" w:eastAsia="es-ES"/>
        </w:rPr>
      </w:pPr>
      <w:r w:rsidRPr="00BF6221">
        <w:rPr>
          <w:bCs/>
          <w:lang w:val="es-ES" w:eastAsia="es-ES"/>
        </w:rPr>
        <w:lastRenderedPageBreak/>
        <w:t xml:space="preserve">6. García-Castro LS, Espino-Cumpa LC. Prevalencia del síndrome de burnout en estudiantes de pregrado de la Facultad de Estomatología de la UCSUR, Lima 2013. </w:t>
      </w:r>
      <w:proofErr w:type="spellStart"/>
      <w:r w:rsidRPr="00BF6221">
        <w:rPr>
          <w:bCs/>
          <w:lang w:val="es-ES" w:eastAsia="es-ES"/>
        </w:rPr>
        <w:t>Rev</w:t>
      </w:r>
      <w:proofErr w:type="spellEnd"/>
      <w:r w:rsidRPr="00BF6221">
        <w:rPr>
          <w:bCs/>
          <w:lang w:val="es-ES" w:eastAsia="es-ES"/>
        </w:rPr>
        <w:t xml:space="preserve"> </w:t>
      </w:r>
      <w:proofErr w:type="spellStart"/>
      <w:r w:rsidRPr="00BF6221">
        <w:rPr>
          <w:bCs/>
          <w:lang w:val="es-ES" w:eastAsia="es-ES"/>
        </w:rPr>
        <w:t>Cient</w:t>
      </w:r>
      <w:proofErr w:type="spellEnd"/>
      <w:r w:rsidRPr="00BF6221">
        <w:rPr>
          <w:bCs/>
          <w:lang w:val="es-ES" w:eastAsia="es-ES"/>
        </w:rPr>
        <w:t xml:space="preserve"> </w:t>
      </w:r>
      <w:proofErr w:type="spellStart"/>
      <w:r w:rsidRPr="00BF6221">
        <w:rPr>
          <w:bCs/>
          <w:lang w:val="es-ES" w:eastAsia="es-ES"/>
        </w:rPr>
        <w:t>Odontol</w:t>
      </w:r>
      <w:proofErr w:type="spellEnd"/>
      <w:r w:rsidRPr="00BF6221">
        <w:rPr>
          <w:bCs/>
          <w:lang w:val="es-ES" w:eastAsia="es-ES"/>
        </w:rPr>
        <w:t xml:space="preserve">. 2014 [acceso: 14/01/2022]; 2:92-101. Disponible en: </w:t>
      </w:r>
      <w:hyperlink r:id="rId18" w:history="1">
        <w:r w:rsidRPr="00BF6221">
          <w:rPr>
            <w:bCs/>
            <w:color w:val="0563C1"/>
            <w:u w:val="single"/>
            <w:lang w:val="es-ES" w:eastAsia="es-ES"/>
          </w:rPr>
          <w:t>https://revistas.cientifica.edu.pe/index.php/odontologica/article/download/108/103</w:t>
        </w:r>
      </w:hyperlink>
      <w:r w:rsidRPr="00BF6221">
        <w:rPr>
          <w:bCs/>
          <w:lang w:val="es-ES" w:eastAsia="es-ES"/>
        </w:rPr>
        <w:t xml:space="preserve">  </w:t>
      </w:r>
    </w:p>
    <w:p w14:paraId="08AAC92E" w14:textId="77777777" w:rsidR="00BF6221" w:rsidRPr="00BF6221" w:rsidRDefault="00BF6221" w:rsidP="00BF6221">
      <w:pPr>
        <w:spacing w:line="360" w:lineRule="auto"/>
        <w:rPr>
          <w:bCs/>
          <w:lang w:val="en-US" w:eastAsia="es-ES"/>
        </w:rPr>
      </w:pPr>
      <w:r w:rsidRPr="00BF6221">
        <w:rPr>
          <w:bCs/>
          <w:lang w:val="en-US" w:eastAsia="es-ES"/>
        </w:rPr>
        <w:t xml:space="preserve">7. Meyerson J, </w:t>
      </w:r>
      <w:proofErr w:type="spellStart"/>
      <w:r w:rsidRPr="00BF6221">
        <w:rPr>
          <w:bCs/>
          <w:lang w:val="en-US" w:eastAsia="es-ES"/>
        </w:rPr>
        <w:t>Gelkopf</w:t>
      </w:r>
      <w:proofErr w:type="spellEnd"/>
      <w:r w:rsidRPr="00BF6221">
        <w:rPr>
          <w:bCs/>
          <w:lang w:val="en-US" w:eastAsia="es-ES"/>
        </w:rPr>
        <w:t xml:space="preserve"> M, Eli I, </w:t>
      </w:r>
      <w:proofErr w:type="spellStart"/>
      <w:r w:rsidRPr="00BF6221">
        <w:rPr>
          <w:bCs/>
          <w:lang w:val="en-US" w:eastAsia="es-ES"/>
        </w:rPr>
        <w:t>Uziel</w:t>
      </w:r>
      <w:proofErr w:type="spellEnd"/>
      <w:r w:rsidRPr="00BF6221">
        <w:rPr>
          <w:bCs/>
          <w:lang w:val="en-US" w:eastAsia="es-ES"/>
        </w:rPr>
        <w:t xml:space="preserve"> N. Burnout and professional quality of life among Israeli dentists: the role of sensory processing sensitivity. Int Dent J. 2020; 70(1):29–37. DOI: 10.1111/idj.12523</w:t>
      </w:r>
    </w:p>
    <w:p w14:paraId="1AF4AAE7" w14:textId="77777777" w:rsidR="00BF6221" w:rsidRPr="00BF6221" w:rsidRDefault="00BF6221" w:rsidP="00BF6221">
      <w:pPr>
        <w:spacing w:line="360" w:lineRule="auto"/>
        <w:rPr>
          <w:bCs/>
          <w:lang w:val="en-US" w:eastAsia="es-ES"/>
        </w:rPr>
      </w:pPr>
      <w:r w:rsidRPr="00BF6221">
        <w:rPr>
          <w:bCs/>
          <w:lang w:val="en-US" w:eastAsia="es-ES"/>
        </w:rPr>
        <w:t xml:space="preserve">8. Lee CY, Wu JH, Du JK. Work stress and occupational burnout among dental staff in a medical center. J Dent Sci. 2019; 14(3): 295–301. DOI: 10.1016/j.jds.2019.01.006 </w:t>
      </w:r>
    </w:p>
    <w:p w14:paraId="374D1472" w14:textId="77777777" w:rsidR="00BF6221" w:rsidRPr="00BF6221" w:rsidRDefault="00BF6221" w:rsidP="00BF6221">
      <w:pPr>
        <w:spacing w:line="360" w:lineRule="auto"/>
        <w:rPr>
          <w:bCs/>
          <w:lang w:val="es-ES" w:eastAsia="es-ES"/>
        </w:rPr>
      </w:pPr>
      <w:r w:rsidRPr="00BF6221">
        <w:rPr>
          <w:bCs/>
          <w:lang w:val="en-US" w:eastAsia="es-ES"/>
        </w:rPr>
        <w:t xml:space="preserve">9. Arora S, Knight A. Questionnaire Survey of Burnout Amongst Dentists in Singapore. </w:t>
      </w:r>
      <w:proofErr w:type="spellStart"/>
      <w:r w:rsidRPr="00BF6221">
        <w:rPr>
          <w:bCs/>
          <w:lang w:val="es-ES" w:eastAsia="es-ES"/>
        </w:rPr>
        <w:t>Int</w:t>
      </w:r>
      <w:proofErr w:type="spellEnd"/>
      <w:r w:rsidRPr="00BF6221">
        <w:rPr>
          <w:bCs/>
          <w:lang w:val="es-ES" w:eastAsia="es-ES"/>
        </w:rPr>
        <w:t xml:space="preserve"> </w:t>
      </w:r>
      <w:proofErr w:type="spellStart"/>
      <w:r w:rsidRPr="00BF6221">
        <w:rPr>
          <w:bCs/>
          <w:lang w:val="es-ES" w:eastAsia="es-ES"/>
        </w:rPr>
        <w:t>Dent</w:t>
      </w:r>
      <w:proofErr w:type="spellEnd"/>
      <w:r w:rsidRPr="00BF6221">
        <w:rPr>
          <w:bCs/>
          <w:lang w:val="es-ES" w:eastAsia="es-ES"/>
        </w:rPr>
        <w:t xml:space="preserve"> J. 2021;1–8. DOI: 10.1016/j.identj.2021.08.054</w:t>
      </w:r>
    </w:p>
    <w:p w14:paraId="2316198E" w14:textId="77777777" w:rsidR="00BF6221" w:rsidRPr="00BF6221" w:rsidRDefault="00BF6221" w:rsidP="00BF6221">
      <w:pPr>
        <w:spacing w:line="360" w:lineRule="auto"/>
        <w:rPr>
          <w:bCs/>
          <w:lang w:val="es-ES" w:eastAsia="es-ES"/>
        </w:rPr>
      </w:pPr>
      <w:r w:rsidRPr="00BF6221">
        <w:rPr>
          <w:bCs/>
          <w:lang w:val="es-ES" w:eastAsia="es-ES"/>
        </w:rPr>
        <w:t xml:space="preserve">10. Uribe MA, </w:t>
      </w:r>
      <w:proofErr w:type="spellStart"/>
      <w:r w:rsidRPr="00BF6221">
        <w:rPr>
          <w:bCs/>
          <w:lang w:val="es-ES" w:eastAsia="es-ES"/>
        </w:rPr>
        <w:t>Illesca</w:t>
      </w:r>
      <w:proofErr w:type="spellEnd"/>
      <w:r w:rsidRPr="00BF6221">
        <w:rPr>
          <w:bCs/>
          <w:lang w:val="es-ES" w:eastAsia="es-ES"/>
        </w:rPr>
        <w:t xml:space="preserve"> M. Burnout en estudiantes de enfermería de una universidad privada. </w:t>
      </w:r>
      <w:proofErr w:type="spellStart"/>
      <w:r w:rsidRPr="00BF6221">
        <w:rPr>
          <w:bCs/>
          <w:lang w:val="es-ES" w:eastAsia="es-ES"/>
        </w:rPr>
        <w:t>Inv</w:t>
      </w:r>
      <w:proofErr w:type="spellEnd"/>
      <w:r w:rsidRPr="00BF6221">
        <w:rPr>
          <w:bCs/>
          <w:lang w:val="es-ES" w:eastAsia="es-ES"/>
        </w:rPr>
        <w:t xml:space="preserve"> Ed </w:t>
      </w:r>
      <w:proofErr w:type="spellStart"/>
      <w:r w:rsidRPr="00BF6221">
        <w:rPr>
          <w:bCs/>
          <w:lang w:val="es-ES" w:eastAsia="es-ES"/>
        </w:rPr>
        <w:t>Med</w:t>
      </w:r>
      <w:proofErr w:type="spellEnd"/>
      <w:r w:rsidRPr="00BF6221">
        <w:rPr>
          <w:bCs/>
          <w:lang w:val="es-ES" w:eastAsia="es-ES"/>
        </w:rPr>
        <w:t xml:space="preserve">. 2017 [acceso: 14/01/2022]; 6(24):234-41. Disponible en: </w:t>
      </w:r>
      <w:hyperlink r:id="rId19" w:history="1">
        <w:r w:rsidRPr="00BF6221">
          <w:rPr>
            <w:bCs/>
            <w:color w:val="0563C1"/>
            <w:u w:val="single"/>
            <w:lang w:val="es-ES" w:eastAsia="es-ES"/>
          </w:rPr>
          <w:t>https://www.sciencedirect.com/science/article/pii/S2007505716300825</w:t>
        </w:r>
      </w:hyperlink>
      <w:r w:rsidRPr="00BF6221">
        <w:rPr>
          <w:bCs/>
          <w:lang w:val="es-ES" w:eastAsia="es-ES"/>
        </w:rPr>
        <w:t xml:space="preserve">  </w:t>
      </w:r>
    </w:p>
    <w:p w14:paraId="21DF22A5" w14:textId="77777777" w:rsidR="00BF6221" w:rsidRPr="00BF6221" w:rsidRDefault="00BF6221" w:rsidP="00BF6221">
      <w:pPr>
        <w:spacing w:line="360" w:lineRule="auto"/>
        <w:rPr>
          <w:bCs/>
          <w:lang w:val="es-ES" w:eastAsia="es-ES"/>
        </w:rPr>
      </w:pPr>
      <w:r w:rsidRPr="00BF6221">
        <w:rPr>
          <w:bCs/>
          <w:lang w:val="es-ES" w:eastAsia="es-ES"/>
        </w:rPr>
        <w:t xml:space="preserve">11. </w:t>
      </w:r>
      <w:proofErr w:type="spellStart"/>
      <w:r w:rsidRPr="00BF6221">
        <w:rPr>
          <w:bCs/>
          <w:lang w:val="es-ES" w:eastAsia="es-ES"/>
        </w:rPr>
        <w:t>Kwak</w:t>
      </w:r>
      <w:proofErr w:type="spellEnd"/>
      <w:r w:rsidRPr="00BF6221">
        <w:rPr>
          <w:bCs/>
          <w:lang w:val="es-ES" w:eastAsia="es-ES"/>
        </w:rPr>
        <w:t xml:space="preserve"> EJ, Ji YA, </w:t>
      </w:r>
      <w:proofErr w:type="spellStart"/>
      <w:r w:rsidRPr="00BF6221">
        <w:rPr>
          <w:bCs/>
          <w:lang w:val="es-ES" w:eastAsia="es-ES"/>
        </w:rPr>
        <w:t>Baek</w:t>
      </w:r>
      <w:proofErr w:type="spellEnd"/>
      <w:r w:rsidRPr="00BF6221">
        <w:rPr>
          <w:bCs/>
          <w:lang w:val="es-ES" w:eastAsia="es-ES"/>
        </w:rPr>
        <w:t xml:space="preserve"> SH, </w:t>
      </w:r>
      <w:proofErr w:type="spellStart"/>
      <w:r w:rsidRPr="00BF6221">
        <w:rPr>
          <w:bCs/>
          <w:lang w:val="es-ES" w:eastAsia="es-ES"/>
        </w:rPr>
        <w:t>Baek</w:t>
      </w:r>
      <w:proofErr w:type="spellEnd"/>
      <w:r w:rsidRPr="00BF6221">
        <w:rPr>
          <w:bCs/>
          <w:lang w:val="es-ES" w:eastAsia="es-ES"/>
        </w:rPr>
        <w:t xml:space="preserve"> YS. </w:t>
      </w:r>
      <w:r w:rsidRPr="00BF6221">
        <w:rPr>
          <w:bCs/>
          <w:lang w:val="en-US" w:eastAsia="es-ES"/>
        </w:rPr>
        <w:t xml:space="preserve">High levels of burnout and depression in a population of senior dental students in a school of dentistry in Korea. </w:t>
      </w:r>
      <w:r w:rsidRPr="00BF6221">
        <w:rPr>
          <w:bCs/>
          <w:lang w:val="es-ES" w:eastAsia="es-ES"/>
        </w:rPr>
        <w:t xml:space="preserve">J </w:t>
      </w:r>
      <w:proofErr w:type="spellStart"/>
      <w:r w:rsidRPr="00BF6221">
        <w:rPr>
          <w:bCs/>
          <w:lang w:val="es-ES" w:eastAsia="es-ES"/>
        </w:rPr>
        <w:t>Dent</w:t>
      </w:r>
      <w:proofErr w:type="spellEnd"/>
      <w:r w:rsidRPr="00BF6221">
        <w:rPr>
          <w:bCs/>
          <w:lang w:val="es-ES" w:eastAsia="es-ES"/>
        </w:rPr>
        <w:t xml:space="preserve"> </w:t>
      </w:r>
      <w:proofErr w:type="spellStart"/>
      <w:r w:rsidRPr="00BF6221">
        <w:rPr>
          <w:bCs/>
          <w:lang w:val="es-ES" w:eastAsia="es-ES"/>
        </w:rPr>
        <w:t>Sci</w:t>
      </w:r>
      <w:proofErr w:type="spellEnd"/>
      <w:r w:rsidRPr="00BF6221">
        <w:rPr>
          <w:bCs/>
          <w:lang w:val="es-ES" w:eastAsia="es-ES"/>
        </w:rPr>
        <w:t>. 2021; 16(1):65–70. DOI: 10.1016/j.jds.2020.07.009</w:t>
      </w:r>
    </w:p>
    <w:p w14:paraId="0840E76A" w14:textId="77777777" w:rsidR="00BF6221" w:rsidRPr="00BF6221" w:rsidRDefault="00BF6221" w:rsidP="00BF6221">
      <w:pPr>
        <w:spacing w:line="360" w:lineRule="auto"/>
        <w:rPr>
          <w:bCs/>
          <w:lang w:val="es-ES" w:eastAsia="es-ES"/>
        </w:rPr>
      </w:pPr>
      <w:r w:rsidRPr="00BF6221">
        <w:rPr>
          <w:bCs/>
          <w:lang w:val="es-ES" w:eastAsia="es-ES"/>
        </w:rPr>
        <w:t xml:space="preserve">12. Castro-Rodríguez Y, Valenzuela-Torres O, Hinojosa-Añorga M, </w:t>
      </w:r>
      <w:proofErr w:type="spellStart"/>
      <w:r w:rsidRPr="00BF6221">
        <w:rPr>
          <w:bCs/>
          <w:lang w:val="es-ES" w:eastAsia="es-ES"/>
        </w:rPr>
        <w:t>Piscoche</w:t>
      </w:r>
      <w:proofErr w:type="spellEnd"/>
      <w:r w:rsidRPr="00BF6221">
        <w:rPr>
          <w:bCs/>
          <w:lang w:val="es-ES" w:eastAsia="es-ES"/>
        </w:rPr>
        <w:t xml:space="preserve">-Rodríguez C. Agotamiento emocional en estudiantes de Odontología de la Universidad Nacional Mayor de San Marcos. </w:t>
      </w:r>
      <w:proofErr w:type="spellStart"/>
      <w:r w:rsidRPr="00BF6221">
        <w:rPr>
          <w:bCs/>
          <w:lang w:val="es-ES" w:eastAsia="es-ES"/>
        </w:rPr>
        <w:t>Rev</w:t>
      </w:r>
      <w:proofErr w:type="spellEnd"/>
      <w:r w:rsidRPr="00BF6221">
        <w:rPr>
          <w:bCs/>
          <w:lang w:val="es-ES" w:eastAsia="es-ES"/>
        </w:rPr>
        <w:t xml:space="preserve"> </w:t>
      </w:r>
      <w:proofErr w:type="spellStart"/>
      <w:r w:rsidRPr="00BF6221">
        <w:rPr>
          <w:bCs/>
          <w:lang w:val="es-ES" w:eastAsia="es-ES"/>
        </w:rPr>
        <w:t>Haban</w:t>
      </w:r>
      <w:proofErr w:type="spellEnd"/>
      <w:r w:rsidRPr="00BF6221">
        <w:rPr>
          <w:bCs/>
          <w:lang w:val="es-ES" w:eastAsia="es-ES"/>
        </w:rPr>
        <w:t xml:space="preserve"> </w:t>
      </w:r>
      <w:proofErr w:type="spellStart"/>
      <w:r w:rsidRPr="00BF6221">
        <w:rPr>
          <w:bCs/>
          <w:lang w:val="es-ES" w:eastAsia="es-ES"/>
        </w:rPr>
        <w:t>Cienc</w:t>
      </w:r>
      <w:proofErr w:type="spellEnd"/>
      <w:r w:rsidRPr="00BF6221">
        <w:rPr>
          <w:bCs/>
          <w:lang w:val="es-ES" w:eastAsia="es-ES"/>
        </w:rPr>
        <w:t xml:space="preserve"> </w:t>
      </w:r>
      <w:proofErr w:type="spellStart"/>
      <w:r w:rsidRPr="00BF6221">
        <w:rPr>
          <w:bCs/>
          <w:lang w:val="es-ES" w:eastAsia="es-ES"/>
        </w:rPr>
        <w:t>Méd</w:t>
      </w:r>
      <w:proofErr w:type="spellEnd"/>
      <w:r w:rsidRPr="00BF6221">
        <w:rPr>
          <w:bCs/>
          <w:lang w:val="es-ES" w:eastAsia="es-ES"/>
        </w:rPr>
        <w:t xml:space="preserve">. 2018 [acceso: 14/01/2022]; 18(1):150-63. Disponible en: </w:t>
      </w:r>
      <w:hyperlink r:id="rId20" w:history="1">
        <w:r w:rsidRPr="00BF6221">
          <w:rPr>
            <w:bCs/>
            <w:color w:val="0563C1"/>
            <w:u w:val="single"/>
            <w:lang w:val="es-ES" w:eastAsia="es-ES"/>
          </w:rPr>
          <w:t>https://www.revhabanera.sld.cu/index.php/rhab/article/view/2427</w:t>
        </w:r>
      </w:hyperlink>
      <w:r w:rsidRPr="00BF6221">
        <w:rPr>
          <w:bCs/>
          <w:lang w:val="es-ES" w:eastAsia="es-ES"/>
        </w:rPr>
        <w:t xml:space="preserve"> </w:t>
      </w:r>
    </w:p>
    <w:p w14:paraId="3CFA8E52" w14:textId="77777777" w:rsidR="00BF6221" w:rsidRPr="00BF6221" w:rsidRDefault="00BF6221" w:rsidP="00BF6221">
      <w:pPr>
        <w:spacing w:line="360" w:lineRule="auto"/>
        <w:rPr>
          <w:bCs/>
          <w:lang w:val="es-ES" w:eastAsia="es-ES"/>
        </w:rPr>
      </w:pPr>
      <w:r w:rsidRPr="00BF6221">
        <w:rPr>
          <w:bCs/>
          <w:lang w:val="en-US" w:eastAsia="es-ES"/>
        </w:rPr>
        <w:t xml:space="preserve">13. Pérez F, Caro P, Valenzuela B, Ortiz J &amp; Narvaez J. Association of burnout with stress, coping strategies and vocational satisfaction in Chilean clinical dental students. </w:t>
      </w:r>
      <w:r w:rsidRPr="00BF6221">
        <w:rPr>
          <w:bCs/>
          <w:lang w:val="es-ES" w:eastAsia="es-ES"/>
        </w:rPr>
        <w:t xml:space="preserve">J Oral Res. 2016; 5(8):320-27. DOI: 10.17126/joralres.2016.067 </w:t>
      </w:r>
    </w:p>
    <w:p w14:paraId="7332BE32" w14:textId="77777777" w:rsidR="00BF6221" w:rsidRPr="00BF6221" w:rsidRDefault="00BF6221" w:rsidP="00BF6221">
      <w:pPr>
        <w:spacing w:line="360" w:lineRule="auto"/>
        <w:rPr>
          <w:bCs/>
          <w:lang w:val="es-ES" w:eastAsia="es-ES"/>
        </w:rPr>
      </w:pPr>
      <w:r w:rsidRPr="00BF6221">
        <w:rPr>
          <w:bCs/>
          <w:lang w:val="es-ES" w:eastAsia="es-ES"/>
        </w:rPr>
        <w:t xml:space="preserve">14. Muñoz F, Medina A, Carrasco C, Pérez C, Ortiz L. Antecedentes académicos como predictores de Burnout en estudiantes de primer año de Odontología. </w:t>
      </w:r>
      <w:proofErr w:type="spellStart"/>
      <w:r w:rsidRPr="00BF6221">
        <w:rPr>
          <w:bCs/>
          <w:lang w:val="es-ES" w:eastAsia="es-ES"/>
        </w:rPr>
        <w:t>Educ</w:t>
      </w:r>
      <w:proofErr w:type="spellEnd"/>
      <w:r w:rsidRPr="00BF6221">
        <w:rPr>
          <w:bCs/>
          <w:lang w:val="es-ES" w:eastAsia="es-ES"/>
        </w:rPr>
        <w:t xml:space="preserve"> </w:t>
      </w:r>
      <w:proofErr w:type="spellStart"/>
      <w:r w:rsidRPr="00BF6221">
        <w:rPr>
          <w:bCs/>
          <w:lang w:val="es-ES" w:eastAsia="es-ES"/>
        </w:rPr>
        <w:t>Méd</w:t>
      </w:r>
      <w:proofErr w:type="spellEnd"/>
      <w:r w:rsidRPr="00BF6221">
        <w:rPr>
          <w:bCs/>
          <w:lang w:val="es-ES" w:eastAsia="es-ES"/>
        </w:rPr>
        <w:t xml:space="preserve"> </w:t>
      </w:r>
      <w:proofErr w:type="spellStart"/>
      <w:r w:rsidRPr="00BF6221">
        <w:rPr>
          <w:bCs/>
          <w:lang w:val="es-ES" w:eastAsia="es-ES"/>
        </w:rPr>
        <w:t>Sup</w:t>
      </w:r>
      <w:proofErr w:type="spellEnd"/>
      <w:r w:rsidRPr="00BF6221">
        <w:rPr>
          <w:bCs/>
          <w:lang w:val="es-ES" w:eastAsia="es-ES"/>
        </w:rPr>
        <w:t xml:space="preserve">. 2017 [acceso: 14/01/2022]; 31(2). Disponible en: </w:t>
      </w:r>
      <w:hyperlink r:id="rId21" w:history="1">
        <w:r w:rsidRPr="00BF6221">
          <w:rPr>
            <w:bCs/>
            <w:color w:val="0563C1"/>
            <w:u w:val="single"/>
            <w:lang w:val="es-ES" w:eastAsia="es-ES"/>
          </w:rPr>
          <w:t>http://www.ems.sld.cu/index.php/ems/article/view/927</w:t>
        </w:r>
      </w:hyperlink>
      <w:r w:rsidRPr="00BF6221">
        <w:rPr>
          <w:bCs/>
          <w:lang w:val="es-ES" w:eastAsia="es-ES"/>
        </w:rPr>
        <w:t xml:space="preserve"> </w:t>
      </w:r>
    </w:p>
    <w:p w14:paraId="7CB77F45" w14:textId="77777777" w:rsidR="00BF6221" w:rsidRPr="00BF6221" w:rsidRDefault="00BF6221" w:rsidP="00BF6221">
      <w:pPr>
        <w:spacing w:line="360" w:lineRule="auto"/>
        <w:rPr>
          <w:bCs/>
          <w:lang w:val="es-ES" w:eastAsia="es-ES"/>
        </w:rPr>
      </w:pPr>
      <w:r w:rsidRPr="00BF6221">
        <w:rPr>
          <w:bCs/>
          <w:lang w:val="es-ES" w:eastAsia="es-ES"/>
        </w:rPr>
        <w:lastRenderedPageBreak/>
        <w:t xml:space="preserve">15. Peralta-Ayala C, Moya TJ. Síndrome de Burnout en estudiantes de Odontología. </w:t>
      </w:r>
      <w:proofErr w:type="spellStart"/>
      <w:r w:rsidRPr="00BF6221">
        <w:rPr>
          <w:bCs/>
          <w:lang w:val="es-ES" w:eastAsia="es-ES"/>
        </w:rPr>
        <w:t>Dom</w:t>
      </w:r>
      <w:proofErr w:type="spellEnd"/>
      <w:r w:rsidRPr="00BF6221">
        <w:rPr>
          <w:bCs/>
          <w:lang w:val="es-ES" w:eastAsia="es-ES"/>
        </w:rPr>
        <w:t xml:space="preserve"> Cien. 2017; 3(1):432-42. DOI: 10.23857/dom.cien.pocaip.2017.3.1.432-442 </w:t>
      </w:r>
    </w:p>
    <w:p w14:paraId="269A64B1" w14:textId="77777777" w:rsidR="00BF6221" w:rsidRPr="00BF6221" w:rsidRDefault="00BF6221" w:rsidP="00BF6221">
      <w:pPr>
        <w:spacing w:line="360" w:lineRule="auto"/>
        <w:rPr>
          <w:bCs/>
          <w:lang w:val="es-ES" w:eastAsia="es-ES"/>
        </w:rPr>
      </w:pPr>
      <w:r w:rsidRPr="00BF6221">
        <w:rPr>
          <w:bCs/>
          <w:lang w:val="es-ES" w:eastAsia="es-ES"/>
        </w:rPr>
        <w:t xml:space="preserve">16. Jiménez-Ortiz JL, Islas-Valle RM, Jiménez-Ortiz JL, Pérez-Lizárraga, Hernández-García ME, González-Salazar F. </w:t>
      </w:r>
      <w:proofErr w:type="spellStart"/>
      <w:r w:rsidRPr="00BF6221">
        <w:rPr>
          <w:bCs/>
          <w:lang w:val="es-ES" w:eastAsia="es-ES"/>
        </w:rPr>
        <w:t>Emotional</w:t>
      </w:r>
      <w:proofErr w:type="spellEnd"/>
      <w:r w:rsidRPr="00BF6221">
        <w:rPr>
          <w:bCs/>
          <w:lang w:val="es-ES" w:eastAsia="es-ES"/>
        </w:rPr>
        <w:t xml:space="preserve"> </w:t>
      </w:r>
      <w:proofErr w:type="spellStart"/>
      <w:r w:rsidRPr="00BF6221">
        <w:rPr>
          <w:bCs/>
          <w:lang w:val="es-ES" w:eastAsia="es-ES"/>
        </w:rPr>
        <w:t>exhaustion</w:t>
      </w:r>
      <w:proofErr w:type="spellEnd"/>
      <w:r w:rsidRPr="00BF6221">
        <w:rPr>
          <w:bCs/>
          <w:lang w:val="es-ES" w:eastAsia="es-ES"/>
        </w:rPr>
        <w:t xml:space="preserve">, burnout, and </w:t>
      </w:r>
      <w:proofErr w:type="spellStart"/>
      <w:r w:rsidRPr="00BF6221">
        <w:rPr>
          <w:bCs/>
          <w:lang w:val="es-ES" w:eastAsia="es-ES"/>
        </w:rPr>
        <w:t>perceived</w:t>
      </w:r>
      <w:proofErr w:type="spellEnd"/>
      <w:r w:rsidRPr="00BF6221">
        <w:rPr>
          <w:bCs/>
          <w:lang w:val="es-ES" w:eastAsia="es-ES"/>
        </w:rPr>
        <w:t xml:space="preserve"> stress in dental </w:t>
      </w:r>
      <w:proofErr w:type="spellStart"/>
      <w:r w:rsidRPr="00BF6221">
        <w:rPr>
          <w:bCs/>
          <w:lang w:val="es-ES" w:eastAsia="es-ES"/>
        </w:rPr>
        <w:t>students</w:t>
      </w:r>
      <w:proofErr w:type="spellEnd"/>
      <w:r w:rsidRPr="00BF6221">
        <w:rPr>
          <w:bCs/>
          <w:lang w:val="es-ES" w:eastAsia="es-ES"/>
        </w:rPr>
        <w:t xml:space="preserve">. J </w:t>
      </w:r>
      <w:proofErr w:type="spellStart"/>
      <w:r w:rsidRPr="00BF6221">
        <w:rPr>
          <w:bCs/>
          <w:lang w:val="es-ES" w:eastAsia="es-ES"/>
        </w:rPr>
        <w:t>Int</w:t>
      </w:r>
      <w:proofErr w:type="spellEnd"/>
      <w:r w:rsidRPr="00BF6221">
        <w:rPr>
          <w:bCs/>
          <w:lang w:val="es-ES" w:eastAsia="es-ES"/>
        </w:rPr>
        <w:t xml:space="preserve"> </w:t>
      </w:r>
      <w:proofErr w:type="spellStart"/>
      <w:r w:rsidRPr="00BF6221">
        <w:rPr>
          <w:bCs/>
          <w:lang w:val="es-ES" w:eastAsia="es-ES"/>
        </w:rPr>
        <w:t>Med</w:t>
      </w:r>
      <w:proofErr w:type="spellEnd"/>
      <w:r w:rsidRPr="00BF6221">
        <w:rPr>
          <w:bCs/>
          <w:lang w:val="es-ES" w:eastAsia="es-ES"/>
        </w:rPr>
        <w:t xml:space="preserve"> Res. 2019; 47(9):4251–9. DOI: 10.1177/0300060519859145</w:t>
      </w:r>
    </w:p>
    <w:p w14:paraId="0C15A010" w14:textId="77777777" w:rsidR="00BF6221" w:rsidRPr="00BF6221" w:rsidRDefault="00BF6221" w:rsidP="00BF6221">
      <w:pPr>
        <w:spacing w:line="360" w:lineRule="auto"/>
        <w:rPr>
          <w:bCs/>
          <w:lang w:val="es-ES" w:eastAsia="es-ES"/>
        </w:rPr>
      </w:pPr>
      <w:r w:rsidRPr="00BF6221">
        <w:rPr>
          <w:bCs/>
          <w:lang w:val="es-ES" w:eastAsia="es-ES"/>
        </w:rPr>
        <w:t xml:space="preserve">17. Gil JA, Cruz D. El burnout académico y el </w:t>
      </w:r>
      <w:proofErr w:type="spellStart"/>
      <w:r w:rsidRPr="00BF6221">
        <w:rPr>
          <w:bCs/>
          <w:lang w:val="es-ES" w:eastAsia="es-ES"/>
        </w:rPr>
        <w:t>engagement</w:t>
      </w:r>
      <w:proofErr w:type="spellEnd"/>
      <w:r w:rsidRPr="00BF6221">
        <w:rPr>
          <w:bCs/>
          <w:lang w:val="es-ES" w:eastAsia="es-ES"/>
        </w:rPr>
        <w:t xml:space="preserve"> en estudiantes de quinto año de Estomatología. EDUMECENTRO. 2018 [acceso: 14/01/2022]; 10(4):37-53. Disponible en: </w:t>
      </w:r>
      <w:hyperlink r:id="rId22" w:history="1">
        <w:r w:rsidRPr="00BF6221">
          <w:rPr>
            <w:bCs/>
            <w:color w:val="0563C1"/>
            <w:u w:val="single"/>
            <w:lang w:val="es-ES" w:eastAsia="es-ES"/>
          </w:rPr>
          <w:t>https://scielo.sld.cu/pdf/edu/v10n4/edu03418.pdf</w:t>
        </w:r>
      </w:hyperlink>
      <w:r w:rsidRPr="00BF6221">
        <w:rPr>
          <w:bCs/>
          <w:lang w:val="es-ES" w:eastAsia="es-ES"/>
        </w:rPr>
        <w:t xml:space="preserve"> </w:t>
      </w:r>
    </w:p>
    <w:p w14:paraId="34AA3D69" w14:textId="77777777" w:rsidR="00BF6221" w:rsidRPr="00BF6221" w:rsidRDefault="00BF6221" w:rsidP="00BF6221">
      <w:pPr>
        <w:spacing w:line="360" w:lineRule="auto"/>
        <w:rPr>
          <w:bCs/>
          <w:lang w:val="en-US" w:eastAsia="es-ES"/>
        </w:rPr>
      </w:pPr>
      <w:r w:rsidRPr="00BF6221">
        <w:rPr>
          <w:bCs/>
          <w:lang w:val="en-US" w:eastAsia="es-ES"/>
        </w:rPr>
        <w:t xml:space="preserve">18. Maslach C, Jackson SE. The measurement of experienced burnout. J Organ </w:t>
      </w:r>
      <w:proofErr w:type="spellStart"/>
      <w:r w:rsidRPr="00BF6221">
        <w:rPr>
          <w:bCs/>
          <w:lang w:val="en-US" w:eastAsia="es-ES"/>
        </w:rPr>
        <w:t>Behav</w:t>
      </w:r>
      <w:proofErr w:type="spellEnd"/>
      <w:r w:rsidRPr="00BF6221">
        <w:rPr>
          <w:bCs/>
          <w:lang w:val="en-US" w:eastAsia="es-ES"/>
        </w:rPr>
        <w:t>. 1981; 2(2):99–113. DOI: 10.1002/job.4030020205</w:t>
      </w:r>
    </w:p>
    <w:p w14:paraId="0202B672" w14:textId="77777777" w:rsidR="00BF6221" w:rsidRPr="00BF6221" w:rsidRDefault="00BF6221" w:rsidP="00BF6221">
      <w:pPr>
        <w:spacing w:line="360" w:lineRule="auto"/>
        <w:rPr>
          <w:bCs/>
          <w:lang w:val="en-US" w:eastAsia="es-ES"/>
        </w:rPr>
      </w:pPr>
      <w:r w:rsidRPr="00BF6221">
        <w:rPr>
          <w:bCs/>
          <w:lang w:val="en-US" w:eastAsia="es-ES"/>
        </w:rPr>
        <w:t xml:space="preserve">19. </w:t>
      </w:r>
      <w:proofErr w:type="spellStart"/>
      <w:r w:rsidRPr="00BF6221">
        <w:rPr>
          <w:bCs/>
          <w:lang w:val="en-US" w:eastAsia="es-ES"/>
        </w:rPr>
        <w:t>Alsharif</w:t>
      </w:r>
      <w:proofErr w:type="spellEnd"/>
      <w:r w:rsidRPr="00BF6221">
        <w:rPr>
          <w:bCs/>
          <w:lang w:val="en-US" w:eastAsia="es-ES"/>
        </w:rPr>
        <w:t xml:space="preserve"> A. The protective role of resilience in emotional exhaustion among dental students at clinical levels. Psychol Res </w:t>
      </w:r>
      <w:proofErr w:type="spellStart"/>
      <w:r w:rsidRPr="00BF6221">
        <w:rPr>
          <w:bCs/>
          <w:lang w:val="en-US" w:eastAsia="es-ES"/>
        </w:rPr>
        <w:t>Behav</w:t>
      </w:r>
      <w:proofErr w:type="spellEnd"/>
      <w:r w:rsidRPr="00BF6221">
        <w:rPr>
          <w:bCs/>
          <w:lang w:val="en-US" w:eastAsia="es-ES"/>
        </w:rPr>
        <w:t xml:space="preserve"> </w:t>
      </w:r>
      <w:proofErr w:type="spellStart"/>
      <w:r w:rsidRPr="00BF6221">
        <w:rPr>
          <w:bCs/>
          <w:lang w:val="en-US" w:eastAsia="es-ES"/>
        </w:rPr>
        <w:t>Manag</w:t>
      </w:r>
      <w:proofErr w:type="spellEnd"/>
      <w:r w:rsidRPr="00BF6221">
        <w:rPr>
          <w:bCs/>
          <w:lang w:val="en-US" w:eastAsia="es-ES"/>
        </w:rPr>
        <w:t xml:space="preserve">. 2020; 13:989–95. DOI: 10.2147/prbm.s281580 </w:t>
      </w:r>
    </w:p>
    <w:p w14:paraId="3D1DE9F6" w14:textId="77777777" w:rsidR="00BF6221" w:rsidRPr="00BF6221" w:rsidRDefault="00BF6221" w:rsidP="00BF6221">
      <w:pPr>
        <w:spacing w:line="360" w:lineRule="auto"/>
        <w:rPr>
          <w:bCs/>
          <w:lang w:val="en-US" w:eastAsia="es-ES"/>
        </w:rPr>
      </w:pPr>
      <w:r w:rsidRPr="00BF6221">
        <w:rPr>
          <w:bCs/>
          <w:lang w:val="en-US" w:eastAsia="es-ES"/>
        </w:rPr>
        <w:t xml:space="preserve">20. Schaufeli W, </w:t>
      </w:r>
      <w:proofErr w:type="spellStart"/>
      <w:r w:rsidRPr="00BF6221">
        <w:rPr>
          <w:bCs/>
          <w:lang w:val="en-US" w:eastAsia="es-ES"/>
        </w:rPr>
        <w:t>Salanova</w:t>
      </w:r>
      <w:proofErr w:type="spellEnd"/>
      <w:r w:rsidRPr="00BF6221">
        <w:rPr>
          <w:bCs/>
          <w:lang w:val="en-US" w:eastAsia="es-ES"/>
        </w:rPr>
        <w:t xml:space="preserve"> M, González-</w:t>
      </w:r>
      <w:proofErr w:type="spellStart"/>
      <w:r w:rsidRPr="00BF6221">
        <w:rPr>
          <w:bCs/>
          <w:lang w:val="en-US" w:eastAsia="es-ES"/>
        </w:rPr>
        <w:t>Romá</w:t>
      </w:r>
      <w:proofErr w:type="spellEnd"/>
      <w:r w:rsidRPr="00BF6221">
        <w:rPr>
          <w:bCs/>
          <w:lang w:val="en-US" w:eastAsia="es-ES"/>
        </w:rPr>
        <w:t xml:space="preserve"> V, Bakker A. The measurement of engagement and burnout: a two-sample confirmatory factor analytic approach. J Happiness Studies. 2002; 3(1):71-92. DOI: 10.1023/A:1015630930326</w:t>
      </w:r>
    </w:p>
    <w:p w14:paraId="3FA56533" w14:textId="77777777" w:rsidR="00BF6221" w:rsidRPr="00BF6221" w:rsidRDefault="00BF6221" w:rsidP="00BF6221">
      <w:pPr>
        <w:spacing w:line="360" w:lineRule="auto"/>
        <w:rPr>
          <w:bCs/>
          <w:lang w:val="es-ES" w:eastAsia="es-ES"/>
        </w:rPr>
      </w:pPr>
      <w:r w:rsidRPr="00BF6221">
        <w:rPr>
          <w:bCs/>
          <w:lang w:val="en-US" w:eastAsia="es-ES"/>
        </w:rPr>
        <w:t xml:space="preserve">21. Hu L, </w:t>
      </w:r>
      <w:proofErr w:type="spellStart"/>
      <w:r w:rsidRPr="00BF6221">
        <w:rPr>
          <w:bCs/>
          <w:lang w:val="en-US" w:eastAsia="es-ES"/>
        </w:rPr>
        <w:t>Bentler</w:t>
      </w:r>
      <w:proofErr w:type="spellEnd"/>
      <w:r w:rsidRPr="00BF6221">
        <w:rPr>
          <w:bCs/>
          <w:lang w:val="en-US" w:eastAsia="es-ES"/>
        </w:rPr>
        <w:t xml:space="preserve"> PM. Cutoff criteria for fit indexes in covariance structure analysis: Conventional criteria versus new alternatives. </w:t>
      </w:r>
      <w:proofErr w:type="spellStart"/>
      <w:r w:rsidRPr="00BF6221">
        <w:rPr>
          <w:bCs/>
          <w:lang w:val="es-ES" w:eastAsia="es-ES"/>
        </w:rPr>
        <w:t>Struct</w:t>
      </w:r>
      <w:proofErr w:type="spellEnd"/>
      <w:r w:rsidRPr="00BF6221">
        <w:rPr>
          <w:bCs/>
          <w:lang w:val="es-ES" w:eastAsia="es-ES"/>
        </w:rPr>
        <w:t xml:space="preserve"> </w:t>
      </w:r>
      <w:proofErr w:type="spellStart"/>
      <w:r w:rsidRPr="00BF6221">
        <w:rPr>
          <w:bCs/>
          <w:lang w:val="es-ES" w:eastAsia="es-ES"/>
        </w:rPr>
        <w:t>Equ</w:t>
      </w:r>
      <w:proofErr w:type="spellEnd"/>
      <w:r w:rsidRPr="00BF6221">
        <w:rPr>
          <w:bCs/>
          <w:lang w:val="es-ES" w:eastAsia="es-ES"/>
        </w:rPr>
        <w:t xml:space="preserve"> </w:t>
      </w:r>
      <w:proofErr w:type="spellStart"/>
      <w:r w:rsidRPr="00BF6221">
        <w:rPr>
          <w:bCs/>
          <w:lang w:val="es-ES" w:eastAsia="es-ES"/>
        </w:rPr>
        <w:t>Model</w:t>
      </w:r>
      <w:proofErr w:type="spellEnd"/>
      <w:r w:rsidRPr="00BF6221">
        <w:rPr>
          <w:bCs/>
          <w:lang w:val="es-ES" w:eastAsia="es-ES"/>
        </w:rPr>
        <w:t xml:space="preserve"> </w:t>
      </w:r>
      <w:proofErr w:type="spellStart"/>
      <w:r w:rsidRPr="00BF6221">
        <w:rPr>
          <w:bCs/>
          <w:lang w:val="es-ES" w:eastAsia="es-ES"/>
        </w:rPr>
        <w:t>Multidiscip</w:t>
      </w:r>
      <w:proofErr w:type="spellEnd"/>
      <w:r w:rsidRPr="00BF6221">
        <w:rPr>
          <w:bCs/>
          <w:lang w:val="es-ES" w:eastAsia="es-ES"/>
        </w:rPr>
        <w:t xml:space="preserve"> J. 1999;6(1):1-55. DOI: 10.1080/10705519909540118</w:t>
      </w:r>
    </w:p>
    <w:p w14:paraId="47283669" w14:textId="77777777" w:rsidR="00BF6221" w:rsidRPr="00BF6221" w:rsidRDefault="00BF6221" w:rsidP="00BF6221">
      <w:pPr>
        <w:spacing w:line="360" w:lineRule="auto"/>
        <w:rPr>
          <w:bCs/>
          <w:lang w:val="es-ES" w:eastAsia="es-ES"/>
        </w:rPr>
      </w:pPr>
      <w:r w:rsidRPr="00BF6221">
        <w:rPr>
          <w:bCs/>
          <w:lang w:val="es-ES" w:eastAsia="es-ES"/>
        </w:rPr>
        <w:t xml:space="preserve">22. Hernández-García F, Góngora Gómez O, González-Velázquez VE, Pedraza-Rodríguez EM, Zamora-Fung R, Lazo Herrera LA. </w:t>
      </w:r>
      <w:r w:rsidRPr="00BF6221">
        <w:rPr>
          <w:bCs/>
          <w:lang w:val="en-US" w:eastAsia="es-ES"/>
        </w:rPr>
        <w:t xml:space="preserve">Perceived Stress by Students of the Medical Sciences in Cuba Toward the COVID-19 Pandemic: Results of an Online Survey. </w:t>
      </w:r>
      <w:proofErr w:type="spellStart"/>
      <w:r w:rsidRPr="00BF6221">
        <w:rPr>
          <w:bCs/>
          <w:lang w:val="es-ES" w:eastAsia="es-ES"/>
        </w:rPr>
        <w:t>Rev</w:t>
      </w:r>
      <w:proofErr w:type="spellEnd"/>
      <w:r w:rsidRPr="00BF6221">
        <w:rPr>
          <w:bCs/>
          <w:lang w:val="es-ES" w:eastAsia="es-ES"/>
        </w:rPr>
        <w:t xml:space="preserve"> </w:t>
      </w:r>
      <w:proofErr w:type="spellStart"/>
      <w:r w:rsidRPr="00BF6221">
        <w:rPr>
          <w:bCs/>
          <w:lang w:val="es-ES" w:eastAsia="es-ES"/>
        </w:rPr>
        <w:t>Colomb</w:t>
      </w:r>
      <w:proofErr w:type="spellEnd"/>
      <w:r w:rsidRPr="00BF6221">
        <w:rPr>
          <w:bCs/>
          <w:lang w:val="es-ES" w:eastAsia="es-ES"/>
        </w:rPr>
        <w:t xml:space="preserve"> </w:t>
      </w:r>
      <w:proofErr w:type="spellStart"/>
      <w:r w:rsidRPr="00BF6221">
        <w:rPr>
          <w:bCs/>
          <w:lang w:val="es-ES" w:eastAsia="es-ES"/>
        </w:rPr>
        <w:t>Psiquiatr</w:t>
      </w:r>
      <w:proofErr w:type="spellEnd"/>
      <w:r w:rsidRPr="00BF6221">
        <w:rPr>
          <w:bCs/>
          <w:lang w:val="es-ES" w:eastAsia="es-ES"/>
        </w:rPr>
        <w:t>. 2021; 50(3):176–83. DOI: 10.1016/j.rcp.2021.02.011</w:t>
      </w:r>
    </w:p>
    <w:p w14:paraId="6CBC2EA9" w14:textId="77777777" w:rsidR="00BF6221" w:rsidRPr="00BF6221" w:rsidRDefault="00BF6221" w:rsidP="00BF6221">
      <w:pPr>
        <w:spacing w:line="360" w:lineRule="auto"/>
        <w:rPr>
          <w:bCs/>
          <w:lang w:val="es-ES" w:eastAsia="es-ES"/>
        </w:rPr>
      </w:pPr>
      <w:r w:rsidRPr="00BF6221">
        <w:rPr>
          <w:bCs/>
          <w:lang w:val="es-ES" w:eastAsia="es-ES"/>
        </w:rPr>
        <w:t xml:space="preserve">23. Corrales-Reyes IE, Carranza-Esteban R, Mamani-Benito O, Naranjo-Zaldívar H, </w:t>
      </w:r>
      <w:proofErr w:type="spellStart"/>
      <w:r w:rsidRPr="00BF6221">
        <w:rPr>
          <w:bCs/>
          <w:lang w:val="es-ES" w:eastAsia="es-ES"/>
        </w:rPr>
        <w:t>Mejia</w:t>
      </w:r>
      <w:proofErr w:type="spellEnd"/>
      <w:r w:rsidRPr="00BF6221">
        <w:rPr>
          <w:bCs/>
          <w:lang w:val="es-ES" w:eastAsia="es-ES"/>
        </w:rPr>
        <w:t xml:space="preserve"> C. Impacto académico de la COVID-19 en estudiantes cubanos de Estomatología. </w:t>
      </w:r>
      <w:proofErr w:type="spellStart"/>
      <w:r w:rsidRPr="00BF6221">
        <w:rPr>
          <w:bCs/>
          <w:lang w:val="es-ES" w:eastAsia="es-ES"/>
        </w:rPr>
        <w:t>Rev</w:t>
      </w:r>
      <w:proofErr w:type="spellEnd"/>
      <w:r w:rsidRPr="00BF6221">
        <w:rPr>
          <w:bCs/>
          <w:lang w:val="es-ES" w:eastAsia="es-ES"/>
        </w:rPr>
        <w:t xml:space="preserve"> Cubana </w:t>
      </w:r>
      <w:proofErr w:type="spellStart"/>
      <w:r w:rsidRPr="00BF6221">
        <w:rPr>
          <w:bCs/>
          <w:lang w:val="es-ES" w:eastAsia="es-ES"/>
        </w:rPr>
        <w:t>Estomatol</w:t>
      </w:r>
      <w:proofErr w:type="spellEnd"/>
      <w:r w:rsidRPr="00BF6221">
        <w:rPr>
          <w:bCs/>
          <w:lang w:val="es-ES" w:eastAsia="es-ES"/>
        </w:rPr>
        <w:t xml:space="preserve">. 2021 [acceso: 14/01/2022]; 58(3):e3678. Disponible en: </w:t>
      </w:r>
      <w:hyperlink r:id="rId23" w:history="1">
        <w:r w:rsidRPr="00BF6221">
          <w:rPr>
            <w:bCs/>
            <w:color w:val="0563C1"/>
            <w:u w:val="single"/>
            <w:lang w:val="es-ES" w:eastAsia="es-ES"/>
          </w:rPr>
          <w:t>http://www.revestomatologia.sld.cu/index.php/est/article/view/3678</w:t>
        </w:r>
      </w:hyperlink>
      <w:r w:rsidRPr="00BF6221">
        <w:rPr>
          <w:bCs/>
          <w:lang w:val="es-ES" w:eastAsia="es-ES"/>
        </w:rPr>
        <w:t xml:space="preserve">  </w:t>
      </w:r>
    </w:p>
    <w:p w14:paraId="0A570568" w14:textId="77777777" w:rsidR="00BF6221" w:rsidRPr="00BF6221" w:rsidRDefault="00BF6221" w:rsidP="00BF6221">
      <w:pPr>
        <w:spacing w:line="360" w:lineRule="auto"/>
        <w:rPr>
          <w:bCs/>
          <w:lang w:val="es-ES" w:eastAsia="es-ES"/>
        </w:rPr>
      </w:pPr>
      <w:r w:rsidRPr="00BF6221">
        <w:rPr>
          <w:bCs/>
          <w:lang w:val="es-ES" w:eastAsia="es-ES"/>
        </w:rPr>
        <w:t xml:space="preserve">24. Roncero C. La validación de instrumentos psicométricos: un asunto capital en la salud mental. Salud </w:t>
      </w:r>
      <w:proofErr w:type="spellStart"/>
      <w:r w:rsidRPr="00BF6221">
        <w:rPr>
          <w:bCs/>
          <w:lang w:val="es-ES" w:eastAsia="es-ES"/>
        </w:rPr>
        <w:t>Ment</w:t>
      </w:r>
      <w:proofErr w:type="spellEnd"/>
      <w:r w:rsidRPr="00BF6221">
        <w:rPr>
          <w:bCs/>
          <w:lang w:val="es-ES" w:eastAsia="es-ES"/>
        </w:rPr>
        <w:t>. 2015; 38(4):235-36. DOI: 10.17711/sm.0185-3325.2015.032</w:t>
      </w:r>
    </w:p>
    <w:p w14:paraId="47770B92" w14:textId="77777777" w:rsidR="00BF6221" w:rsidRPr="00BF6221" w:rsidRDefault="00BF6221" w:rsidP="00BF6221">
      <w:pPr>
        <w:widowControl w:val="0"/>
        <w:autoSpaceDE w:val="0"/>
        <w:autoSpaceDN w:val="0"/>
        <w:adjustRightInd w:val="0"/>
        <w:spacing w:line="360" w:lineRule="auto"/>
        <w:ind w:left="360"/>
        <w:contextualSpacing/>
        <w:jc w:val="both"/>
        <w:rPr>
          <w:noProof/>
          <w:lang w:val="es-ES" w:eastAsia="es-ES"/>
        </w:rPr>
      </w:pPr>
      <w:r w:rsidRPr="00BF6221">
        <w:rPr>
          <w:noProof/>
          <w:lang w:val="es-ES" w:eastAsia="es-ES"/>
        </w:rPr>
        <w:lastRenderedPageBreak/>
        <w:t xml:space="preserve"> </w:t>
      </w:r>
    </w:p>
    <w:p w14:paraId="3D03C0FF" w14:textId="77777777" w:rsidR="00BF6221" w:rsidRPr="00BF6221" w:rsidRDefault="00BF6221" w:rsidP="00BF6221">
      <w:pPr>
        <w:widowControl w:val="0"/>
        <w:autoSpaceDE w:val="0"/>
        <w:autoSpaceDN w:val="0"/>
        <w:adjustRightInd w:val="0"/>
        <w:spacing w:line="360" w:lineRule="auto"/>
        <w:ind w:left="-20"/>
        <w:contextualSpacing/>
        <w:jc w:val="both"/>
        <w:rPr>
          <w:noProof/>
          <w:lang w:val="es-ES" w:eastAsia="es-ES"/>
        </w:rPr>
      </w:pPr>
    </w:p>
    <w:p w14:paraId="540FD220" w14:textId="77777777" w:rsidR="00BF6221" w:rsidRPr="00BF6221" w:rsidRDefault="00BF6221" w:rsidP="00BF6221">
      <w:pPr>
        <w:spacing w:line="360" w:lineRule="auto"/>
        <w:jc w:val="center"/>
        <w:rPr>
          <w:b/>
          <w:lang w:eastAsia="x-none"/>
        </w:rPr>
      </w:pPr>
      <w:r w:rsidRPr="00BF6221">
        <w:rPr>
          <w:b/>
          <w:lang w:eastAsia="x-none"/>
        </w:rPr>
        <w:t>Conflictos de intereses</w:t>
      </w:r>
    </w:p>
    <w:p w14:paraId="7DFCE725" w14:textId="77777777" w:rsidR="00BF6221" w:rsidRPr="00BF6221" w:rsidRDefault="00BF6221" w:rsidP="00BF6221">
      <w:pPr>
        <w:spacing w:line="360" w:lineRule="auto"/>
        <w:jc w:val="both"/>
        <w:rPr>
          <w:bCs/>
          <w:color w:val="000000"/>
          <w:lang w:eastAsia="x-none"/>
        </w:rPr>
      </w:pPr>
      <w:r w:rsidRPr="00BF6221">
        <w:rPr>
          <w:bCs/>
          <w:color w:val="000000"/>
          <w:lang w:eastAsia="x-none"/>
        </w:rPr>
        <w:t>Los autores no tienen conflictos de interés que declarar ni fuentes de financiación.</w:t>
      </w:r>
    </w:p>
    <w:p w14:paraId="6A3C6841" w14:textId="77777777" w:rsidR="00BF6221" w:rsidRPr="00BF6221" w:rsidRDefault="00BF6221" w:rsidP="00BF6221">
      <w:pPr>
        <w:spacing w:line="360" w:lineRule="auto"/>
        <w:jc w:val="both"/>
        <w:rPr>
          <w:b/>
          <w:lang w:val="es-ES" w:eastAsia="es-ES"/>
        </w:rPr>
      </w:pPr>
    </w:p>
    <w:p w14:paraId="2A788285" w14:textId="77777777" w:rsidR="00BF6221" w:rsidRPr="00BF6221" w:rsidRDefault="00BF6221" w:rsidP="00BF6221">
      <w:pPr>
        <w:spacing w:line="360" w:lineRule="auto"/>
        <w:jc w:val="center"/>
        <w:rPr>
          <w:bCs/>
          <w:lang w:val="es-ES" w:eastAsia="es-ES"/>
        </w:rPr>
      </w:pPr>
      <w:r w:rsidRPr="00BF6221">
        <w:rPr>
          <w:b/>
          <w:lang w:val="es-ES" w:eastAsia="es-ES"/>
        </w:rPr>
        <w:t>Contribuciones de los autores</w:t>
      </w:r>
    </w:p>
    <w:p w14:paraId="6C33FA49" w14:textId="77777777" w:rsidR="00BF6221" w:rsidRPr="00BF6221" w:rsidRDefault="00BF6221" w:rsidP="00BF6221">
      <w:pPr>
        <w:spacing w:line="360" w:lineRule="auto"/>
        <w:jc w:val="both"/>
        <w:rPr>
          <w:bCs/>
          <w:lang w:val="es-ES" w:eastAsia="es-ES"/>
        </w:rPr>
      </w:pPr>
      <w:r w:rsidRPr="00BF6221">
        <w:rPr>
          <w:bCs/>
          <w:lang w:val="es-ES" w:eastAsia="es-ES"/>
        </w:rPr>
        <w:t xml:space="preserve">Conceptualización: </w:t>
      </w:r>
      <w:proofErr w:type="spellStart"/>
      <w:r w:rsidRPr="00BF6221">
        <w:rPr>
          <w:bCs/>
          <w:i/>
          <w:iCs/>
          <w:lang w:val="es-ES" w:eastAsia="es-ES"/>
        </w:rPr>
        <w:t>Ibraín</w:t>
      </w:r>
      <w:proofErr w:type="spellEnd"/>
      <w:r w:rsidRPr="00BF6221">
        <w:rPr>
          <w:bCs/>
          <w:i/>
          <w:iCs/>
          <w:lang w:val="es-ES" w:eastAsia="es-ES"/>
        </w:rPr>
        <w:t xml:space="preserve"> Enrique Corrales-Reyes.</w:t>
      </w:r>
    </w:p>
    <w:p w14:paraId="2115B7C9" w14:textId="77777777" w:rsidR="00BF6221" w:rsidRPr="00BF6221" w:rsidRDefault="00BF6221" w:rsidP="00BF6221">
      <w:pPr>
        <w:spacing w:line="360" w:lineRule="auto"/>
        <w:jc w:val="both"/>
        <w:rPr>
          <w:bCs/>
          <w:lang w:val="es-ES" w:eastAsia="es-ES"/>
        </w:rPr>
      </w:pPr>
      <w:r w:rsidRPr="00BF6221">
        <w:rPr>
          <w:bCs/>
          <w:lang w:val="es-ES" w:eastAsia="es-ES"/>
        </w:rPr>
        <w:t xml:space="preserve">Curación de datos: </w:t>
      </w:r>
      <w:proofErr w:type="spellStart"/>
      <w:r w:rsidRPr="00BF6221">
        <w:rPr>
          <w:bCs/>
          <w:i/>
          <w:iCs/>
          <w:lang w:val="es-ES" w:eastAsia="es-ES"/>
        </w:rPr>
        <w:t>Ibraín</w:t>
      </w:r>
      <w:proofErr w:type="spellEnd"/>
      <w:r w:rsidRPr="00BF6221">
        <w:rPr>
          <w:bCs/>
          <w:i/>
          <w:iCs/>
          <w:lang w:val="es-ES" w:eastAsia="es-ES"/>
        </w:rPr>
        <w:t xml:space="preserve"> Enrique Corrales-Reyes, José Daniel Villegas-Maestre, Juan Arturo Berenguer-</w:t>
      </w:r>
      <w:proofErr w:type="spellStart"/>
      <w:r w:rsidRPr="00BF6221">
        <w:rPr>
          <w:bCs/>
          <w:i/>
          <w:iCs/>
          <w:lang w:val="es-ES" w:eastAsia="es-ES"/>
        </w:rPr>
        <w:t>Gouarnaluses</w:t>
      </w:r>
      <w:proofErr w:type="spellEnd"/>
      <w:r w:rsidRPr="00BF6221">
        <w:rPr>
          <w:bCs/>
          <w:i/>
          <w:iCs/>
          <w:lang w:val="es-ES" w:eastAsia="es-ES"/>
        </w:rPr>
        <w:t>, Lilian Susana Torres-Fernández.</w:t>
      </w:r>
    </w:p>
    <w:p w14:paraId="593857D6" w14:textId="77777777" w:rsidR="00BF6221" w:rsidRPr="00BF6221" w:rsidRDefault="00BF6221" w:rsidP="00BF6221">
      <w:pPr>
        <w:spacing w:line="360" w:lineRule="auto"/>
        <w:jc w:val="both"/>
        <w:rPr>
          <w:bCs/>
          <w:lang w:val="es-ES" w:eastAsia="es-ES"/>
        </w:rPr>
      </w:pPr>
      <w:r w:rsidRPr="00BF6221">
        <w:rPr>
          <w:bCs/>
          <w:lang w:val="es-ES" w:eastAsia="es-ES"/>
        </w:rPr>
        <w:t xml:space="preserve">Análisis formal: </w:t>
      </w:r>
      <w:proofErr w:type="spellStart"/>
      <w:r w:rsidRPr="00BF6221">
        <w:rPr>
          <w:bCs/>
          <w:i/>
          <w:iCs/>
          <w:lang w:val="es-ES" w:eastAsia="es-ES"/>
        </w:rPr>
        <w:t>Ibraín</w:t>
      </w:r>
      <w:proofErr w:type="spellEnd"/>
      <w:r w:rsidRPr="00BF6221">
        <w:rPr>
          <w:bCs/>
          <w:i/>
          <w:iCs/>
          <w:lang w:val="es-ES" w:eastAsia="es-ES"/>
        </w:rPr>
        <w:t xml:space="preserve"> Enrique Corrales-Reyes, Renzo Felipe Carranza-Esteban.</w:t>
      </w:r>
    </w:p>
    <w:p w14:paraId="618E80F6" w14:textId="77777777" w:rsidR="00BF6221" w:rsidRPr="00BF6221" w:rsidRDefault="00BF6221" w:rsidP="00BF6221">
      <w:pPr>
        <w:spacing w:line="360" w:lineRule="auto"/>
        <w:jc w:val="both"/>
        <w:rPr>
          <w:bCs/>
          <w:lang w:val="es-ES" w:eastAsia="es-ES"/>
        </w:rPr>
      </w:pPr>
      <w:r w:rsidRPr="00BF6221">
        <w:rPr>
          <w:bCs/>
          <w:lang w:val="es-ES" w:eastAsia="es-ES"/>
        </w:rPr>
        <w:t xml:space="preserve">Investigación: </w:t>
      </w:r>
      <w:proofErr w:type="spellStart"/>
      <w:r w:rsidRPr="00BF6221">
        <w:rPr>
          <w:bCs/>
          <w:i/>
          <w:iCs/>
          <w:lang w:val="es-ES" w:eastAsia="es-ES"/>
        </w:rPr>
        <w:t>Ibraín</w:t>
      </w:r>
      <w:proofErr w:type="spellEnd"/>
      <w:r w:rsidRPr="00BF6221">
        <w:rPr>
          <w:bCs/>
          <w:i/>
          <w:iCs/>
          <w:lang w:val="es-ES" w:eastAsia="es-ES"/>
        </w:rPr>
        <w:t xml:space="preserve"> Enrique Corrales-Reyes, José Daniel Villegas-Maestre, Juan Arturo Berenguer-</w:t>
      </w:r>
      <w:proofErr w:type="spellStart"/>
      <w:r w:rsidRPr="00BF6221">
        <w:rPr>
          <w:bCs/>
          <w:i/>
          <w:iCs/>
          <w:lang w:val="es-ES" w:eastAsia="es-ES"/>
        </w:rPr>
        <w:t>Gouarnaluses</w:t>
      </w:r>
      <w:proofErr w:type="spellEnd"/>
      <w:r w:rsidRPr="00BF6221">
        <w:rPr>
          <w:bCs/>
          <w:i/>
          <w:iCs/>
          <w:lang w:val="es-ES" w:eastAsia="es-ES"/>
        </w:rPr>
        <w:t>, Lilian Susana Torres-Fernández.</w:t>
      </w:r>
    </w:p>
    <w:p w14:paraId="32F63D80" w14:textId="77777777" w:rsidR="00BF6221" w:rsidRPr="00BF6221" w:rsidRDefault="00BF6221" w:rsidP="00BF6221">
      <w:pPr>
        <w:spacing w:line="360" w:lineRule="auto"/>
        <w:jc w:val="both"/>
        <w:rPr>
          <w:bCs/>
          <w:i/>
          <w:iCs/>
          <w:lang w:val="es-ES" w:eastAsia="es-ES"/>
        </w:rPr>
      </w:pPr>
      <w:r w:rsidRPr="00BF6221">
        <w:rPr>
          <w:bCs/>
          <w:lang w:val="es-ES" w:eastAsia="es-ES"/>
        </w:rPr>
        <w:t xml:space="preserve">Metodología: </w:t>
      </w:r>
      <w:proofErr w:type="spellStart"/>
      <w:r w:rsidRPr="00BF6221">
        <w:rPr>
          <w:bCs/>
          <w:i/>
          <w:iCs/>
          <w:lang w:val="es-ES" w:eastAsia="es-ES"/>
        </w:rPr>
        <w:t>Ibraín</w:t>
      </w:r>
      <w:proofErr w:type="spellEnd"/>
      <w:r w:rsidRPr="00BF6221">
        <w:rPr>
          <w:bCs/>
          <w:i/>
          <w:iCs/>
          <w:lang w:val="es-ES" w:eastAsia="es-ES"/>
        </w:rPr>
        <w:t xml:space="preserve"> Enrique Corrales-Reyes, Renzo Felipe Carranza-Esteban.</w:t>
      </w:r>
    </w:p>
    <w:p w14:paraId="2BA23310" w14:textId="77777777" w:rsidR="00BF6221" w:rsidRPr="00BF6221" w:rsidRDefault="00BF6221" w:rsidP="00BF6221">
      <w:pPr>
        <w:spacing w:line="360" w:lineRule="auto"/>
        <w:jc w:val="both"/>
        <w:rPr>
          <w:bCs/>
          <w:lang w:val="es-ES" w:eastAsia="es-ES"/>
        </w:rPr>
      </w:pPr>
      <w:r w:rsidRPr="00BF6221">
        <w:rPr>
          <w:bCs/>
          <w:lang w:val="es-ES" w:eastAsia="es-ES"/>
        </w:rPr>
        <w:t xml:space="preserve">Administración del proyecto: </w:t>
      </w:r>
      <w:proofErr w:type="spellStart"/>
      <w:r w:rsidRPr="00BF6221">
        <w:rPr>
          <w:bCs/>
          <w:i/>
          <w:iCs/>
          <w:lang w:val="es-ES" w:eastAsia="es-ES"/>
        </w:rPr>
        <w:t>Ibraín</w:t>
      </w:r>
      <w:proofErr w:type="spellEnd"/>
      <w:r w:rsidRPr="00BF6221">
        <w:rPr>
          <w:bCs/>
          <w:i/>
          <w:iCs/>
          <w:lang w:val="es-ES" w:eastAsia="es-ES"/>
        </w:rPr>
        <w:t xml:space="preserve"> Enrique Corrales-Reyes, Renzo Felipe Carranza-Esteban.</w:t>
      </w:r>
    </w:p>
    <w:p w14:paraId="088DC54E" w14:textId="77777777" w:rsidR="00BF6221" w:rsidRPr="00BF6221" w:rsidRDefault="00BF6221" w:rsidP="00BF6221">
      <w:pPr>
        <w:spacing w:line="360" w:lineRule="auto"/>
        <w:jc w:val="both"/>
        <w:rPr>
          <w:bCs/>
          <w:lang w:val="es-ES" w:eastAsia="es-ES"/>
        </w:rPr>
      </w:pPr>
      <w:r w:rsidRPr="00BF6221">
        <w:rPr>
          <w:bCs/>
          <w:lang w:val="es-ES" w:eastAsia="es-ES"/>
        </w:rPr>
        <w:t xml:space="preserve">Recursos: </w:t>
      </w:r>
      <w:proofErr w:type="spellStart"/>
      <w:r w:rsidRPr="00BF6221">
        <w:rPr>
          <w:bCs/>
          <w:i/>
          <w:iCs/>
          <w:lang w:val="es-ES" w:eastAsia="es-ES"/>
        </w:rPr>
        <w:t>Ibraín</w:t>
      </w:r>
      <w:proofErr w:type="spellEnd"/>
      <w:r w:rsidRPr="00BF6221">
        <w:rPr>
          <w:bCs/>
          <w:i/>
          <w:iCs/>
          <w:lang w:val="es-ES" w:eastAsia="es-ES"/>
        </w:rPr>
        <w:t xml:space="preserve"> Enrique Corrales-Reyes, José Daniel Villegas-Maestre, Juan Arturo Berenguer-</w:t>
      </w:r>
      <w:proofErr w:type="spellStart"/>
      <w:r w:rsidRPr="00BF6221">
        <w:rPr>
          <w:bCs/>
          <w:i/>
          <w:iCs/>
          <w:lang w:val="es-ES" w:eastAsia="es-ES"/>
        </w:rPr>
        <w:t>Gouarnaluses</w:t>
      </w:r>
      <w:proofErr w:type="spellEnd"/>
      <w:r w:rsidRPr="00BF6221">
        <w:rPr>
          <w:bCs/>
          <w:i/>
          <w:iCs/>
          <w:lang w:val="es-ES" w:eastAsia="es-ES"/>
        </w:rPr>
        <w:t>, Lilian Susana Torres-Fernández, Oscar Mamani-Benito, Renzo Felipe Carranza-Esteban.</w:t>
      </w:r>
    </w:p>
    <w:p w14:paraId="41D708AB" w14:textId="77777777" w:rsidR="00BF6221" w:rsidRPr="00BF6221" w:rsidRDefault="00BF6221" w:rsidP="00BF6221">
      <w:pPr>
        <w:spacing w:line="360" w:lineRule="auto"/>
        <w:jc w:val="both"/>
        <w:rPr>
          <w:bCs/>
          <w:lang w:val="es-ES" w:eastAsia="es-ES"/>
        </w:rPr>
      </w:pPr>
      <w:r w:rsidRPr="00BF6221">
        <w:rPr>
          <w:bCs/>
          <w:lang w:val="es-ES" w:eastAsia="es-ES"/>
        </w:rPr>
        <w:t xml:space="preserve">Supervisión: </w:t>
      </w:r>
      <w:proofErr w:type="spellStart"/>
      <w:r w:rsidRPr="00BF6221">
        <w:rPr>
          <w:bCs/>
          <w:i/>
          <w:iCs/>
          <w:lang w:val="es-ES" w:eastAsia="es-ES"/>
        </w:rPr>
        <w:t>Ibraín</w:t>
      </w:r>
      <w:proofErr w:type="spellEnd"/>
      <w:r w:rsidRPr="00BF6221">
        <w:rPr>
          <w:bCs/>
          <w:i/>
          <w:iCs/>
          <w:lang w:val="es-ES" w:eastAsia="es-ES"/>
        </w:rPr>
        <w:t xml:space="preserve"> Enrique Corrales-Reyes, Renzo Felipe Carranza-Esteban.</w:t>
      </w:r>
    </w:p>
    <w:p w14:paraId="71745EF6" w14:textId="77777777" w:rsidR="00BF6221" w:rsidRPr="00BF6221" w:rsidRDefault="00BF6221" w:rsidP="00BF6221">
      <w:pPr>
        <w:spacing w:line="360" w:lineRule="auto"/>
        <w:jc w:val="both"/>
        <w:rPr>
          <w:bCs/>
          <w:lang w:val="es-ES" w:eastAsia="es-ES"/>
        </w:rPr>
      </w:pPr>
      <w:r w:rsidRPr="00BF6221">
        <w:rPr>
          <w:bCs/>
          <w:lang w:val="es-ES" w:eastAsia="es-ES"/>
        </w:rPr>
        <w:t xml:space="preserve">Validación – verificación: </w:t>
      </w:r>
      <w:proofErr w:type="spellStart"/>
      <w:r w:rsidRPr="00BF6221">
        <w:rPr>
          <w:bCs/>
          <w:i/>
          <w:iCs/>
          <w:lang w:val="es-ES" w:eastAsia="es-ES"/>
        </w:rPr>
        <w:t>Ibraín</w:t>
      </w:r>
      <w:proofErr w:type="spellEnd"/>
      <w:r w:rsidRPr="00BF6221">
        <w:rPr>
          <w:bCs/>
          <w:i/>
          <w:iCs/>
          <w:lang w:val="es-ES" w:eastAsia="es-ES"/>
        </w:rPr>
        <w:t xml:space="preserve"> Enrique Corrales-Reyes, Renzo Felipe Carranza-Esteban.</w:t>
      </w:r>
    </w:p>
    <w:p w14:paraId="186BF137" w14:textId="77777777" w:rsidR="00BF6221" w:rsidRPr="00BF6221" w:rsidRDefault="00BF6221" w:rsidP="00BF6221">
      <w:pPr>
        <w:spacing w:line="360" w:lineRule="auto"/>
        <w:jc w:val="both"/>
        <w:rPr>
          <w:bCs/>
          <w:lang w:val="es-ES" w:eastAsia="es-ES"/>
        </w:rPr>
      </w:pPr>
      <w:r w:rsidRPr="00BF6221">
        <w:rPr>
          <w:bCs/>
          <w:lang w:val="es-ES" w:eastAsia="es-ES"/>
        </w:rPr>
        <w:t xml:space="preserve">Visualización: </w:t>
      </w:r>
      <w:proofErr w:type="spellStart"/>
      <w:r w:rsidRPr="00BF6221">
        <w:rPr>
          <w:bCs/>
          <w:i/>
          <w:iCs/>
          <w:lang w:val="es-ES" w:eastAsia="es-ES"/>
        </w:rPr>
        <w:t>Ibraín</w:t>
      </w:r>
      <w:proofErr w:type="spellEnd"/>
      <w:r w:rsidRPr="00BF6221">
        <w:rPr>
          <w:bCs/>
          <w:i/>
          <w:iCs/>
          <w:lang w:val="es-ES" w:eastAsia="es-ES"/>
        </w:rPr>
        <w:t xml:space="preserve"> Enrique Corrales-Reyes, Renzo Felipe Carranza-Esteban.</w:t>
      </w:r>
    </w:p>
    <w:p w14:paraId="0011898D" w14:textId="77777777" w:rsidR="00BF6221" w:rsidRPr="00BF6221" w:rsidRDefault="00BF6221" w:rsidP="00BF6221">
      <w:pPr>
        <w:spacing w:line="360" w:lineRule="auto"/>
        <w:jc w:val="both"/>
        <w:rPr>
          <w:bCs/>
          <w:lang w:val="es-ES" w:eastAsia="es-ES"/>
        </w:rPr>
      </w:pPr>
      <w:r w:rsidRPr="00BF6221">
        <w:rPr>
          <w:bCs/>
          <w:lang w:val="es-ES" w:eastAsia="es-ES"/>
        </w:rPr>
        <w:t xml:space="preserve">Redacción – borrador original: </w:t>
      </w:r>
      <w:proofErr w:type="spellStart"/>
      <w:r w:rsidRPr="00BF6221">
        <w:rPr>
          <w:bCs/>
          <w:i/>
          <w:iCs/>
          <w:lang w:val="es-ES" w:eastAsia="es-ES"/>
        </w:rPr>
        <w:t>Ibraín</w:t>
      </w:r>
      <w:proofErr w:type="spellEnd"/>
      <w:r w:rsidRPr="00BF6221">
        <w:rPr>
          <w:bCs/>
          <w:i/>
          <w:iCs/>
          <w:lang w:val="es-ES" w:eastAsia="es-ES"/>
        </w:rPr>
        <w:t xml:space="preserve"> Enrique Corrales-Reyes, José Daniel Villegas-Maestre, Oscar Mamani-Benito, Renzo Felipe Carranza-Esteban.</w:t>
      </w:r>
    </w:p>
    <w:p w14:paraId="3BD68D09" w14:textId="77777777" w:rsidR="00BF6221" w:rsidRPr="00BF6221" w:rsidRDefault="00BF6221" w:rsidP="00BF6221">
      <w:pPr>
        <w:spacing w:line="360" w:lineRule="auto"/>
        <w:jc w:val="both"/>
        <w:rPr>
          <w:bCs/>
          <w:lang w:val="es-ES" w:eastAsia="es-ES"/>
        </w:rPr>
      </w:pPr>
      <w:r w:rsidRPr="00BF6221">
        <w:rPr>
          <w:bCs/>
          <w:lang w:val="es-ES" w:eastAsia="es-ES"/>
        </w:rPr>
        <w:t xml:space="preserve">Redacción – revisión y edición: </w:t>
      </w:r>
      <w:proofErr w:type="spellStart"/>
      <w:r w:rsidRPr="00BF6221">
        <w:rPr>
          <w:bCs/>
          <w:i/>
          <w:iCs/>
          <w:lang w:val="es-ES" w:eastAsia="es-ES"/>
        </w:rPr>
        <w:t>Ibraín</w:t>
      </w:r>
      <w:proofErr w:type="spellEnd"/>
      <w:r w:rsidRPr="00BF6221">
        <w:rPr>
          <w:bCs/>
          <w:i/>
          <w:iCs/>
          <w:lang w:val="es-ES" w:eastAsia="es-ES"/>
        </w:rPr>
        <w:t xml:space="preserve"> Enrique Corrales-Reyes, José Daniel Villegas-Maestre, Juan Arturo Berenguer-</w:t>
      </w:r>
      <w:proofErr w:type="spellStart"/>
      <w:r w:rsidRPr="00BF6221">
        <w:rPr>
          <w:bCs/>
          <w:i/>
          <w:iCs/>
          <w:lang w:val="es-ES" w:eastAsia="es-ES"/>
        </w:rPr>
        <w:t>Gouarnaluses</w:t>
      </w:r>
      <w:proofErr w:type="spellEnd"/>
      <w:r w:rsidRPr="00BF6221">
        <w:rPr>
          <w:bCs/>
          <w:i/>
          <w:iCs/>
          <w:lang w:val="es-ES" w:eastAsia="es-ES"/>
        </w:rPr>
        <w:t>, Lilian Susana Torres-Fernández, Oscar Mamani-Benito, Renzo Felipe Carranza-Esteban.</w:t>
      </w:r>
    </w:p>
    <w:p w14:paraId="30ED6F8F" w14:textId="77777777" w:rsidR="00675476" w:rsidRPr="00BF6221" w:rsidRDefault="00675476" w:rsidP="00EA1FEF">
      <w:pPr>
        <w:pStyle w:val="PDFRevista"/>
        <w:rPr>
          <w:lang w:val="es-ES"/>
        </w:rPr>
      </w:pPr>
    </w:p>
    <w:sectPr w:rsidR="00675476" w:rsidRPr="00BF6221" w:rsidSect="00FD3DF8">
      <w:headerReference w:type="default" r:id="rId24"/>
      <w:footerReference w:type="even" r:id="rId25"/>
      <w:footerReference w:type="default" r:id="rId26"/>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84629" w14:textId="77777777" w:rsidR="00912BD5" w:rsidRDefault="00912BD5">
      <w:r>
        <w:separator/>
      </w:r>
    </w:p>
  </w:endnote>
  <w:endnote w:type="continuationSeparator" w:id="0">
    <w:p w14:paraId="7913ED3C" w14:textId="77777777" w:rsidR="00912BD5" w:rsidRDefault="00912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oto Serif CJK SC">
    <w:altName w:val="Yu Gothic"/>
    <w:panose1 w:val="00000000000000000000"/>
    <w:charset w:val="80"/>
    <w:family w:val="roman"/>
    <w:notTrueType/>
    <w:pitch w:val="variable"/>
    <w:sig w:usb0="30000287" w:usb1="2BDF3C10" w:usb2="00000016" w:usb3="00000000" w:csb0="002E0107" w:csb1="00000000"/>
  </w:font>
  <w:font w:name="Noto Sans">
    <w:charset w:val="00"/>
    <w:family w:val="swiss"/>
    <w:pitch w:val="variable"/>
    <w:sig w:usb0="E00002FF" w:usb1="4000001F" w:usb2="08000029"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95D93"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D7AE5D"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BBD89"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769973FF" wp14:editId="7803E6E8">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5066F"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0FE339F7" w14:textId="77777777" w:rsidR="00675476" w:rsidRPr="00AE044C" w:rsidRDefault="00912BD5" w:rsidP="00391509">
    <w:pPr>
      <w:pStyle w:val="Piedepgina"/>
      <w:ind w:right="360"/>
      <w:rPr>
        <w:sz w:val="22"/>
        <w:szCs w:val="22"/>
      </w:rPr>
    </w:pPr>
    <w:hyperlink r:id="rId1" w:history="1">
      <w:r w:rsidR="00391509" w:rsidRPr="00AE044C">
        <w:rPr>
          <w:rStyle w:val="Hipervnculo"/>
          <w:sz w:val="22"/>
          <w:szCs w:val="22"/>
        </w:rPr>
        <w:t>http://scielo.sld.cu</w:t>
      </w:r>
    </w:hyperlink>
  </w:p>
  <w:p w14:paraId="1B3382B0" w14:textId="77777777" w:rsidR="00391509" w:rsidRPr="00AE044C" w:rsidRDefault="00912BD5"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22295821"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48BE5A6D" wp14:editId="499FE316">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2EF4B" w14:textId="77777777" w:rsidR="00912BD5" w:rsidRDefault="00912BD5">
      <w:r>
        <w:separator/>
      </w:r>
    </w:p>
  </w:footnote>
  <w:footnote w:type="continuationSeparator" w:id="0">
    <w:p w14:paraId="26D13047" w14:textId="77777777" w:rsidR="00912BD5" w:rsidRDefault="00912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0F4D" w14:textId="46410218" w:rsidR="00CC376A" w:rsidRPr="00AE044C" w:rsidRDefault="00BF6221"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1</w:t>
    </w:r>
    <w:r w:rsidR="007D2D0C" w:rsidRPr="00AE044C">
      <w:rPr>
        <w:sz w:val="22"/>
        <w:szCs w:val="22"/>
      </w:rPr>
      <w:t>):</w:t>
    </w:r>
    <w:r>
      <w:rPr>
        <w:sz w:val="22"/>
        <w:szCs w:val="22"/>
      </w:rPr>
      <w:t xml:space="preserve"> </w:t>
    </w:r>
    <w:r w:rsidR="007D2D0C">
      <w:rPr>
        <w:b/>
        <w:noProof/>
        <w:color w:val="00FFFF"/>
        <w:sz w:val="22"/>
        <w:szCs w:val="22"/>
        <w:lang w:val="en-US" w:eastAsia="en-US"/>
      </w:rPr>
      <w:drawing>
        <wp:anchor distT="0" distB="0" distL="114300" distR="114300" simplePos="0" relativeHeight="251663360" behindDoc="1" locked="0" layoutInCell="1" allowOverlap="1" wp14:anchorId="02F8D51C" wp14:editId="1F14412E">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e02201847</w:t>
    </w:r>
  </w:p>
  <w:p w14:paraId="22B3B399"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671554EA" wp14:editId="38678656">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C2270"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0BF0"/>
    <w:multiLevelType w:val="hybridMultilevel"/>
    <w:tmpl w:val="66E82C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C8177A"/>
    <w:multiLevelType w:val="multilevel"/>
    <w:tmpl w:val="D0A28732"/>
    <w:lvl w:ilvl="0">
      <w:start w:val="2"/>
      <w:numFmt w:val="decimal"/>
      <w:lvlText w:val="%1."/>
      <w:lvlJc w:val="left"/>
      <w:pPr>
        <w:ind w:left="390" w:hanging="390"/>
      </w:pPr>
      <w:rPr>
        <w:rFonts w:hint="default"/>
        <w:b/>
        <w:sz w:val="28"/>
      </w:rPr>
    </w:lvl>
    <w:lvl w:ilvl="1">
      <w:start w:val="1"/>
      <w:numFmt w:val="decimal"/>
      <w:lvlText w:val="%1.%2."/>
      <w:lvlJc w:val="left"/>
      <w:pPr>
        <w:ind w:left="1080" w:hanging="720"/>
      </w:pPr>
      <w:rPr>
        <w:rFonts w:hint="default"/>
        <w:b w:val="0"/>
        <w:i w:val="0"/>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4680" w:hanging="1800"/>
      </w:pPr>
      <w:rPr>
        <w:rFonts w:hint="default"/>
        <w:sz w:val="24"/>
      </w:rPr>
    </w:lvl>
  </w:abstractNum>
  <w:abstractNum w:abstractNumId="2" w15:restartNumberingAfterBreak="0">
    <w:nsid w:val="0C8E525D"/>
    <w:multiLevelType w:val="hybridMultilevel"/>
    <w:tmpl w:val="F7564E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02103"/>
    <w:multiLevelType w:val="hybridMultilevel"/>
    <w:tmpl w:val="6F50AA9A"/>
    <w:lvl w:ilvl="0" w:tplc="31E460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51668A"/>
    <w:multiLevelType w:val="hybridMultilevel"/>
    <w:tmpl w:val="F9189FD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EE5DEF"/>
    <w:multiLevelType w:val="multilevel"/>
    <w:tmpl w:val="D0106B2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4365A1D"/>
    <w:multiLevelType w:val="hybridMultilevel"/>
    <w:tmpl w:val="F2D0D636"/>
    <w:lvl w:ilvl="0" w:tplc="C1C4FF6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34698A"/>
    <w:multiLevelType w:val="hybridMultilevel"/>
    <w:tmpl w:val="E7F090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9245E1"/>
    <w:multiLevelType w:val="hybridMultilevel"/>
    <w:tmpl w:val="3D5A2B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147345D"/>
    <w:multiLevelType w:val="hybridMultilevel"/>
    <w:tmpl w:val="45A8C7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37C68F2"/>
    <w:multiLevelType w:val="multilevel"/>
    <w:tmpl w:val="A09A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B232D5"/>
    <w:multiLevelType w:val="hybridMultilevel"/>
    <w:tmpl w:val="A5265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EB197D"/>
    <w:multiLevelType w:val="hybridMultilevel"/>
    <w:tmpl w:val="FAE485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B91732A"/>
    <w:multiLevelType w:val="hybridMultilevel"/>
    <w:tmpl w:val="CA0E18A6"/>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4" w15:restartNumberingAfterBreak="0">
    <w:nsid w:val="3FBB32E6"/>
    <w:multiLevelType w:val="hybridMultilevel"/>
    <w:tmpl w:val="2264A612"/>
    <w:lvl w:ilvl="0" w:tplc="6F6A9B18">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1500A0"/>
    <w:multiLevelType w:val="hybridMultilevel"/>
    <w:tmpl w:val="2D8805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6602555"/>
    <w:multiLevelType w:val="hybridMultilevel"/>
    <w:tmpl w:val="6D3E4384"/>
    <w:lvl w:ilvl="0" w:tplc="6C2C34BC">
      <w:start w:val="1"/>
      <w:numFmt w:val="decimal"/>
      <w:lvlText w:val="%1."/>
      <w:lvlJc w:val="left"/>
      <w:pPr>
        <w:ind w:left="1080" w:hanging="540"/>
      </w:pPr>
      <w:rPr>
        <w:rFonts w:hint="default"/>
        <w:b/>
        <w:bCs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9977843"/>
    <w:multiLevelType w:val="hybridMultilevel"/>
    <w:tmpl w:val="8020BAF8"/>
    <w:lvl w:ilvl="0" w:tplc="0C0A0009">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9" w15:restartNumberingAfterBreak="0">
    <w:nsid w:val="5540357D"/>
    <w:multiLevelType w:val="multilevel"/>
    <w:tmpl w:val="396C64EC"/>
    <w:lvl w:ilvl="0">
      <w:start w:val="1"/>
      <w:numFmt w:val="decimal"/>
      <w:lvlText w:val="%1."/>
      <w:lvlJc w:val="left"/>
      <w:pPr>
        <w:ind w:left="720" w:hanging="360"/>
      </w:pPr>
      <w:rPr>
        <w:rFonts w:hint="default"/>
        <w:b w:val="0"/>
        <w:sz w:val="22"/>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20" w15:restartNumberingAfterBreak="0">
    <w:nsid w:val="58E16654"/>
    <w:multiLevelType w:val="hybridMultilevel"/>
    <w:tmpl w:val="F962B174"/>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A023E1F"/>
    <w:multiLevelType w:val="hybridMultilevel"/>
    <w:tmpl w:val="BEBEFD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ADD0E93"/>
    <w:multiLevelType w:val="multilevel"/>
    <w:tmpl w:val="426E0C8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23" w15:restartNumberingAfterBreak="0">
    <w:nsid w:val="609156BD"/>
    <w:multiLevelType w:val="hybridMultilevel"/>
    <w:tmpl w:val="6212A920"/>
    <w:lvl w:ilvl="0" w:tplc="97B6AC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945560"/>
    <w:multiLevelType w:val="hybridMultilevel"/>
    <w:tmpl w:val="1812B618"/>
    <w:lvl w:ilvl="0" w:tplc="0C0A0017">
      <w:start w:val="1"/>
      <w:numFmt w:val="lowerLetter"/>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5" w15:restartNumberingAfterBreak="0">
    <w:nsid w:val="68CE6267"/>
    <w:multiLevelType w:val="hybridMultilevel"/>
    <w:tmpl w:val="020E1B66"/>
    <w:lvl w:ilvl="0" w:tplc="59685F6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FA3FD3"/>
    <w:multiLevelType w:val="hybridMultilevel"/>
    <w:tmpl w:val="962812BA"/>
    <w:lvl w:ilvl="0" w:tplc="0C0A0001">
      <w:start w:val="1"/>
      <w:numFmt w:val="bullet"/>
      <w:lvlText w:val=""/>
      <w:lvlJc w:val="left"/>
      <w:pPr>
        <w:tabs>
          <w:tab w:val="num" w:pos="720"/>
        </w:tabs>
        <w:ind w:left="720" w:hanging="360"/>
      </w:pPr>
      <w:rPr>
        <w:rFonts w:ascii="Symbol" w:hAnsi="Symbol" w:hint="default"/>
      </w:rPr>
    </w:lvl>
    <w:lvl w:ilvl="1" w:tplc="0C0A0017">
      <w:start w:val="1"/>
      <w:numFmt w:val="lowerLetter"/>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1C3C9D"/>
    <w:multiLevelType w:val="hybridMultilevel"/>
    <w:tmpl w:val="3370CE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3B07703"/>
    <w:multiLevelType w:val="hybridMultilevel"/>
    <w:tmpl w:val="F56847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300F30"/>
    <w:multiLevelType w:val="hybridMultilevel"/>
    <w:tmpl w:val="994A27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DFB5B82"/>
    <w:multiLevelType w:val="hybridMultilevel"/>
    <w:tmpl w:val="82C07E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16"/>
  </w:num>
  <w:num w:numId="4">
    <w:abstractNumId w:val="6"/>
  </w:num>
  <w:num w:numId="5">
    <w:abstractNumId w:val="29"/>
  </w:num>
  <w:num w:numId="6">
    <w:abstractNumId w:val="24"/>
  </w:num>
  <w:num w:numId="7">
    <w:abstractNumId w:val="4"/>
  </w:num>
  <w:num w:numId="8">
    <w:abstractNumId w:val="26"/>
  </w:num>
  <w:num w:numId="9">
    <w:abstractNumId w:val="28"/>
  </w:num>
  <w:num w:numId="10">
    <w:abstractNumId w:val="3"/>
  </w:num>
  <w:num w:numId="11">
    <w:abstractNumId w:val="2"/>
  </w:num>
  <w:num w:numId="12">
    <w:abstractNumId w:val="30"/>
  </w:num>
  <w:num w:numId="13">
    <w:abstractNumId w:val="9"/>
  </w:num>
  <w:num w:numId="14">
    <w:abstractNumId w:val="10"/>
  </w:num>
  <w:num w:numId="15">
    <w:abstractNumId w:val="22"/>
  </w:num>
  <w:num w:numId="16">
    <w:abstractNumId w:val="21"/>
  </w:num>
  <w:num w:numId="17">
    <w:abstractNumId w:val="1"/>
  </w:num>
  <w:num w:numId="18">
    <w:abstractNumId w:val="27"/>
  </w:num>
  <w:num w:numId="19">
    <w:abstractNumId w:val="8"/>
  </w:num>
  <w:num w:numId="20">
    <w:abstractNumId w:val="25"/>
  </w:num>
  <w:num w:numId="21">
    <w:abstractNumId w:val="19"/>
  </w:num>
  <w:num w:numId="22">
    <w:abstractNumId w:val="12"/>
  </w:num>
  <w:num w:numId="23">
    <w:abstractNumId w:val="7"/>
  </w:num>
  <w:num w:numId="24">
    <w:abstractNumId w:val="20"/>
  </w:num>
  <w:num w:numId="25">
    <w:abstractNumId w:val="15"/>
  </w:num>
  <w:num w:numId="26">
    <w:abstractNumId w:val="0"/>
  </w:num>
  <w:num w:numId="27">
    <w:abstractNumId w:val="11"/>
  </w:num>
  <w:num w:numId="28">
    <w:abstractNumId w:val="23"/>
  </w:num>
  <w:num w:numId="29">
    <w:abstractNumId w:val="5"/>
  </w:num>
  <w:num w:numId="30">
    <w:abstractNumId w:val="14"/>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221"/>
    <w:rsid w:val="00012CAC"/>
    <w:rsid w:val="00057F45"/>
    <w:rsid w:val="0007121C"/>
    <w:rsid w:val="000D3958"/>
    <w:rsid w:val="000F3690"/>
    <w:rsid w:val="001221D1"/>
    <w:rsid w:val="001421DD"/>
    <w:rsid w:val="00165CB5"/>
    <w:rsid w:val="00180CE9"/>
    <w:rsid w:val="00230DD5"/>
    <w:rsid w:val="00250AE9"/>
    <w:rsid w:val="00284ADF"/>
    <w:rsid w:val="00380D64"/>
    <w:rsid w:val="00391509"/>
    <w:rsid w:val="003E03D5"/>
    <w:rsid w:val="00455528"/>
    <w:rsid w:val="00486BFA"/>
    <w:rsid w:val="00493701"/>
    <w:rsid w:val="004E2065"/>
    <w:rsid w:val="005508A2"/>
    <w:rsid w:val="0055115D"/>
    <w:rsid w:val="00566F71"/>
    <w:rsid w:val="005918BD"/>
    <w:rsid w:val="006173A6"/>
    <w:rsid w:val="00675476"/>
    <w:rsid w:val="007C430F"/>
    <w:rsid w:val="007D2D0C"/>
    <w:rsid w:val="007D614D"/>
    <w:rsid w:val="007F53BE"/>
    <w:rsid w:val="00912BD5"/>
    <w:rsid w:val="00960D6A"/>
    <w:rsid w:val="009A0560"/>
    <w:rsid w:val="009B0917"/>
    <w:rsid w:val="009F0F96"/>
    <w:rsid w:val="009F786F"/>
    <w:rsid w:val="00A23C0C"/>
    <w:rsid w:val="00A477DE"/>
    <w:rsid w:val="00A71E65"/>
    <w:rsid w:val="00AA7B94"/>
    <w:rsid w:val="00AE044C"/>
    <w:rsid w:val="00B31971"/>
    <w:rsid w:val="00B4380A"/>
    <w:rsid w:val="00B66ECB"/>
    <w:rsid w:val="00BF6221"/>
    <w:rsid w:val="00C7523A"/>
    <w:rsid w:val="00CB74EC"/>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95769"/>
  <w15:docId w15:val="{EFC3C5E7-B996-441F-B124-118EB4A32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qFormat/>
    <w:rsid w:val="00BF6221"/>
    <w:pPr>
      <w:keepNext/>
      <w:spacing w:before="240" w:after="60"/>
      <w:outlineLvl w:val="0"/>
    </w:pPr>
    <w:rPr>
      <w:rFonts w:ascii="Arial" w:hAnsi="Arial"/>
      <w:b/>
      <w:bCs/>
      <w:kern w:val="32"/>
      <w:sz w:val="32"/>
      <w:szCs w:val="32"/>
      <w:lang w:val="es-ES" w:eastAsia="es-ES"/>
    </w:rPr>
  </w:style>
  <w:style w:type="paragraph" w:styleId="Ttulo3">
    <w:name w:val="heading 3"/>
    <w:basedOn w:val="Normal"/>
    <w:next w:val="Normal"/>
    <w:link w:val="Ttulo3Car"/>
    <w:qFormat/>
    <w:rsid w:val="00BF6221"/>
    <w:pPr>
      <w:keepNext/>
      <w:jc w:val="center"/>
      <w:outlineLvl w:val="2"/>
    </w:pPr>
    <w:rPr>
      <w:rFonts w:ascii="Verdana" w:hAnsi="Verdana"/>
      <w:b/>
      <w:color w:val="FF0000"/>
      <w:w w:val="90"/>
      <w:kern w:val="28"/>
      <w:szCs w:val="20"/>
      <w:lang w:val="es-ES" w:eastAsia="es-ES"/>
    </w:rPr>
  </w:style>
  <w:style w:type="paragraph" w:styleId="Ttulo4">
    <w:name w:val="heading 4"/>
    <w:basedOn w:val="Normal"/>
    <w:next w:val="Normal"/>
    <w:link w:val="Ttulo4Car"/>
    <w:uiPriority w:val="9"/>
    <w:qFormat/>
    <w:rsid w:val="00BF6221"/>
    <w:pPr>
      <w:keepNext/>
      <w:keepLines/>
      <w:spacing w:before="200"/>
      <w:outlineLvl w:val="3"/>
    </w:pPr>
    <w:rPr>
      <w:rFonts w:ascii="Cambria" w:hAnsi="Cambria"/>
      <w:b/>
      <w:bCs/>
      <w:i/>
      <w:iCs/>
      <w:color w:val="4F81BD"/>
      <w:lang w:val="es-ES" w:eastAsia="es-ES"/>
    </w:rPr>
  </w:style>
  <w:style w:type="paragraph" w:styleId="Ttulo5">
    <w:name w:val="heading 5"/>
    <w:basedOn w:val="Normal"/>
    <w:next w:val="Normal"/>
    <w:link w:val="Ttulo5Car"/>
    <w:qFormat/>
    <w:rsid w:val="00BF6221"/>
    <w:pPr>
      <w:spacing w:before="240" w:after="60"/>
      <w:outlineLvl w:val="4"/>
    </w:pPr>
    <w:rPr>
      <w:rFonts w:ascii="Calibri" w:hAnsi="Calibri"/>
      <w:b/>
      <w:bCs/>
      <w:i/>
      <w:iCs/>
      <w:sz w:val="26"/>
      <w:szCs w:val="26"/>
      <w:lang w:val="x-none" w:eastAsia="x-none"/>
    </w:rPr>
  </w:style>
  <w:style w:type="paragraph" w:styleId="Ttulo6">
    <w:name w:val="heading 6"/>
    <w:basedOn w:val="Normal"/>
    <w:next w:val="Normal"/>
    <w:link w:val="Ttulo6Car"/>
    <w:qFormat/>
    <w:rsid w:val="00BF6221"/>
    <w:pPr>
      <w:spacing w:before="240" w:after="60"/>
      <w:outlineLvl w:val="5"/>
    </w:pPr>
    <w:rPr>
      <w:rFonts w:eastAsia="Calibri"/>
      <w:b/>
      <w:bCs/>
      <w:sz w:val="22"/>
      <w:szCs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rsid w:val="00FE40CB"/>
    <w:pPr>
      <w:spacing w:before="100" w:beforeAutospacing="1" w:after="100" w:afterAutospacing="1"/>
    </w:pPr>
  </w:style>
  <w:style w:type="character" w:styleId="Hipervnculo">
    <w:name w:val="Hyperlink"/>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customStyle="1" w:styleId="Ttulo1Car">
    <w:name w:val="Título 1 Car"/>
    <w:basedOn w:val="Fuentedeprrafopredeter"/>
    <w:link w:val="Ttulo1"/>
    <w:rsid w:val="00BF6221"/>
    <w:rPr>
      <w:rFonts w:ascii="Arial" w:hAnsi="Arial"/>
      <w:b/>
      <w:bCs/>
      <w:kern w:val="32"/>
      <w:sz w:val="32"/>
      <w:szCs w:val="32"/>
    </w:rPr>
  </w:style>
  <w:style w:type="character" w:customStyle="1" w:styleId="Ttulo3Car">
    <w:name w:val="Título 3 Car"/>
    <w:basedOn w:val="Fuentedeprrafopredeter"/>
    <w:link w:val="Ttulo3"/>
    <w:rsid w:val="00BF6221"/>
    <w:rPr>
      <w:rFonts w:ascii="Verdana" w:hAnsi="Verdana"/>
      <w:b/>
      <w:color w:val="FF0000"/>
      <w:w w:val="90"/>
      <w:kern w:val="28"/>
      <w:sz w:val="24"/>
    </w:rPr>
  </w:style>
  <w:style w:type="character" w:customStyle="1" w:styleId="Ttulo4Car">
    <w:name w:val="Título 4 Car"/>
    <w:basedOn w:val="Fuentedeprrafopredeter"/>
    <w:link w:val="Ttulo4"/>
    <w:uiPriority w:val="9"/>
    <w:rsid w:val="00BF6221"/>
    <w:rPr>
      <w:rFonts w:ascii="Cambria" w:hAnsi="Cambria"/>
      <w:b/>
      <w:bCs/>
      <w:i/>
      <w:iCs/>
      <w:color w:val="4F81BD"/>
      <w:sz w:val="24"/>
      <w:szCs w:val="24"/>
    </w:rPr>
  </w:style>
  <w:style w:type="character" w:customStyle="1" w:styleId="Ttulo5Car">
    <w:name w:val="Título 5 Car"/>
    <w:basedOn w:val="Fuentedeprrafopredeter"/>
    <w:link w:val="Ttulo5"/>
    <w:rsid w:val="00BF6221"/>
    <w:rPr>
      <w:rFonts w:ascii="Calibri" w:hAnsi="Calibri"/>
      <w:b/>
      <w:bCs/>
      <w:i/>
      <w:iCs/>
      <w:sz w:val="26"/>
      <w:szCs w:val="26"/>
      <w:lang w:val="x-none" w:eastAsia="x-none"/>
    </w:rPr>
  </w:style>
  <w:style w:type="character" w:customStyle="1" w:styleId="Ttulo6Car">
    <w:name w:val="Título 6 Car"/>
    <w:basedOn w:val="Fuentedeprrafopredeter"/>
    <w:link w:val="Ttulo6"/>
    <w:rsid w:val="00BF6221"/>
    <w:rPr>
      <w:rFonts w:eastAsia="Calibri"/>
      <w:b/>
      <w:bCs/>
      <w:sz w:val="22"/>
      <w:szCs w:val="22"/>
      <w:lang w:val="x-none" w:eastAsia="x-none"/>
    </w:rPr>
  </w:style>
  <w:style w:type="numbering" w:customStyle="1" w:styleId="Sinlista1">
    <w:name w:val="Sin lista1"/>
    <w:next w:val="Sinlista"/>
    <w:semiHidden/>
    <w:unhideWhenUsed/>
    <w:rsid w:val="00BF6221"/>
  </w:style>
  <w:style w:type="paragraph" w:styleId="Textoindependiente3">
    <w:name w:val="Body Text 3"/>
    <w:basedOn w:val="Normal"/>
    <w:link w:val="Textoindependiente3Car"/>
    <w:rsid w:val="00BF6221"/>
    <w:pPr>
      <w:spacing w:before="100" w:beforeAutospacing="1" w:after="100" w:afterAutospacing="1"/>
    </w:pPr>
    <w:rPr>
      <w:lang w:val="es-ES" w:eastAsia="es-ES"/>
    </w:rPr>
  </w:style>
  <w:style w:type="character" w:customStyle="1" w:styleId="Textoindependiente3Car">
    <w:name w:val="Texto independiente 3 Car"/>
    <w:basedOn w:val="Fuentedeprrafopredeter"/>
    <w:link w:val="Textoindependiente3"/>
    <w:rsid w:val="00BF6221"/>
    <w:rPr>
      <w:sz w:val="24"/>
      <w:szCs w:val="24"/>
    </w:rPr>
  </w:style>
  <w:style w:type="paragraph" w:styleId="Prrafodelista">
    <w:name w:val="List Paragraph"/>
    <w:basedOn w:val="Normal"/>
    <w:uiPriority w:val="34"/>
    <w:qFormat/>
    <w:rsid w:val="00BF6221"/>
    <w:pPr>
      <w:ind w:left="720"/>
      <w:contextualSpacing/>
    </w:pPr>
    <w:rPr>
      <w:lang w:val="es-ES" w:eastAsia="es-ES"/>
    </w:rPr>
  </w:style>
  <w:style w:type="paragraph" w:styleId="Textosinformato">
    <w:name w:val="Plain Text"/>
    <w:basedOn w:val="Normal"/>
    <w:link w:val="TextosinformatoCar"/>
    <w:rsid w:val="00BF6221"/>
    <w:rPr>
      <w:rFonts w:ascii="Courier New" w:hAnsi="Courier New"/>
      <w:sz w:val="20"/>
      <w:szCs w:val="20"/>
      <w:lang w:eastAsia="es-ES"/>
    </w:rPr>
  </w:style>
  <w:style w:type="character" w:customStyle="1" w:styleId="TextosinformatoCar">
    <w:name w:val="Texto sin formato Car"/>
    <w:basedOn w:val="Fuentedeprrafopredeter"/>
    <w:link w:val="Textosinformato"/>
    <w:rsid w:val="00BF6221"/>
    <w:rPr>
      <w:rFonts w:ascii="Courier New" w:hAnsi="Courier New"/>
      <w:lang w:val="es-ES_tradnl"/>
    </w:rPr>
  </w:style>
  <w:style w:type="paragraph" w:styleId="Textoindependiente">
    <w:name w:val="Body Text"/>
    <w:basedOn w:val="Normal"/>
    <w:link w:val="TextoindependienteCar"/>
    <w:rsid w:val="00BF6221"/>
    <w:pPr>
      <w:spacing w:after="120"/>
    </w:pPr>
    <w:rPr>
      <w:lang w:val="en-US" w:eastAsia="x-none"/>
    </w:rPr>
  </w:style>
  <w:style w:type="character" w:customStyle="1" w:styleId="TextoindependienteCar">
    <w:name w:val="Texto independiente Car"/>
    <w:basedOn w:val="Fuentedeprrafopredeter"/>
    <w:link w:val="Textoindependiente"/>
    <w:rsid w:val="00BF6221"/>
    <w:rPr>
      <w:sz w:val="24"/>
      <w:szCs w:val="24"/>
      <w:lang w:val="en-US" w:eastAsia="x-none"/>
    </w:rPr>
  </w:style>
  <w:style w:type="character" w:styleId="Refdecomentario">
    <w:name w:val="annotation reference"/>
    <w:uiPriority w:val="99"/>
    <w:rsid w:val="00BF6221"/>
    <w:rPr>
      <w:sz w:val="16"/>
      <w:szCs w:val="16"/>
    </w:rPr>
  </w:style>
  <w:style w:type="paragraph" w:styleId="Textocomentario">
    <w:name w:val="annotation text"/>
    <w:basedOn w:val="Normal"/>
    <w:link w:val="TextocomentarioCar"/>
    <w:uiPriority w:val="99"/>
    <w:qFormat/>
    <w:rsid w:val="00BF6221"/>
    <w:rPr>
      <w:sz w:val="20"/>
      <w:szCs w:val="20"/>
      <w:lang w:val="en-US" w:eastAsia="x-none"/>
    </w:rPr>
  </w:style>
  <w:style w:type="character" w:customStyle="1" w:styleId="TextocomentarioCar">
    <w:name w:val="Texto comentario Car"/>
    <w:basedOn w:val="Fuentedeprrafopredeter"/>
    <w:link w:val="Textocomentario"/>
    <w:uiPriority w:val="99"/>
    <w:qFormat/>
    <w:rsid w:val="00BF6221"/>
    <w:rPr>
      <w:lang w:val="en-US" w:eastAsia="x-none"/>
    </w:rPr>
  </w:style>
  <w:style w:type="paragraph" w:styleId="Asuntodelcomentario">
    <w:name w:val="annotation subject"/>
    <w:basedOn w:val="Textocomentario"/>
    <w:next w:val="Textocomentario"/>
    <w:link w:val="AsuntodelcomentarioCar"/>
    <w:rsid w:val="00BF6221"/>
    <w:rPr>
      <w:b/>
      <w:bCs/>
    </w:rPr>
  </w:style>
  <w:style w:type="character" w:customStyle="1" w:styleId="AsuntodelcomentarioCar">
    <w:name w:val="Asunto del comentario Car"/>
    <w:basedOn w:val="TextocomentarioCar"/>
    <w:link w:val="Asuntodelcomentario"/>
    <w:rsid w:val="00BF6221"/>
    <w:rPr>
      <w:b/>
      <w:bCs/>
      <w:lang w:val="en-US" w:eastAsia="x-none"/>
    </w:rPr>
  </w:style>
  <w:style w:type="paragraph" w:styleId="Textoindependiente2">
    <w:name w:val="Body Text 2"/>
    <w:basedOn w:val="Normal"/>
    <w:link w:val="Textoindependiente2Car"/>
    <w:rsid w:val="00BF6221"/>
    <w:pPr>
      <w:spacing w:after="120" w:line="480" w:lineRule="auto"/>
    </w:pPr>
    <w:rPr>
      <w:lang w:val="en-US" w:eastAsia="x-none"/>
    </w:rPr>
  </w:style>
  <w:style w:type="character" w:customStyle="1" w:styleId="Textoindependiente2Car">
    <w:name w:val="Texto independiente 2 Car"/>
    <w:basedOn w:val="Fuentedeprrafopredeter"/>
    <w:link w:val="Textoindependiente2"/>
    <w:rsid w:val="00BF6221"/>
    <w:rPr>
      <w:sz w:val="24"/>
      <w:szCs w:val="24"/>
      <w:lang w:val="en-US" w:eastAsia="x-none"/>
    </w:rPr>
  </w:style>
  <w:style w:type="paragraph" w:customStyle="1" w:styleId="GenricodelasNormas">
    <w:name w:val="Genérico de las Normas"/>
    <w:rsid w:val="00BF6221"/>
    <w:pPr>
      <w:jc w:val="both"/>
    </w:pPr>
    <w:rPr>
      <w:rFonts w:ascii="Arial" w:eastAsia="Calibri" w:hAnsi="Arial" w:cs="Arial"/>
      <w:sz w:val="22"/>
      <w:szCs w:val="22"/>
    </w:rPr>
  </w:style>
  <w:style w:type="paragraph" w:customStyle="1" w:styleId="Default">
    <w:name w:val="Default"/>
    <w:rsid w:val="00BF6221"/>
    <w:pPr>
      <w:autoSpaceDE w:val="0"/>
      <w:autoSpaceDN w:val="0"/>
      <w:adjustRightInd w:val="0"/>
    </w:pPr>
    <w:rPr>
      <w:rFonts w:ascii="Tahoma" w:hAnsi="Tahoma" w:cs="Tahoma"/>
      <w:color w:val="000000"/>
      <w:sz w:val="24"/>
      <w:szCs w:val="24"/>
    </w:rPr>
  </w:style>
  <w:style w:type="table" w:customStyle="1" w:styleId="Tablaconcuadrcula1">
    <w:name w:val="Tabla con cuadrícula1"/>
    <w:basedOn w:val="Tablanormal"/>
    <w:next w:val="Tablaconcuadrcula"/>
    <w:rsid w:val="00BF6221"/>
    <w:rPr>
      <w:rFonts w:ascii="Calibri" w:eastAsia="Calibri" w:hAnsi="Calibri"/>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1">
    <w:name w:val="Pa21"/>
    <w:basedOn w:val="Normal"/>
    <w:next w:val="Normal"/>
    <w:uiPriority w:val="99"/>
    <w:rsid w:val="00BF6221"/>
    <w:pPr>
      <w:autoSpaceDE w:val="0"/>
      <w:autoSpaceDN w:val="0"/>
      <w:adjustRightInd w:val="0"/>
      <w:spacing w:line="221" w:lineRule="atLeast"/>
    </w:pPr>
    <w:rPr>
      <w:rFonts w:ascii="Calibri" w:eastAsia="Calibri" w:hAnsi="Calibri"/>
      <w:lang w:val="es-MX" w:eastAsia="en-US"/>
    </w:rPr>
  </w:style>
  <w:style w:type="character" w:customStyle="1" w:styleId="A4">
    <w:name w:val="A4"/>
    <w:uiPriority w:val="99"/>
    <w:rsid w:val="00BF6221"/>
    <w:rPr>
      <w:rFonts w:cs="Calibri"/>
      <w:color w:val="000000"/>
      <w:sz w:val="20"/>
      <w:szCs w:val="20"/>
    </w:rPr>
  </w:style>
  <w:style w:type="character" w:styleId="Mencinsinresolver">
    <w:name w:val="Unresolved Mention"/>
    <w:uiPriority w:val="99"/>
    <w:semiHidden/>
    <w:unhideWhenUsed/>
    <w:rsid w:val="00BF6221"/>
    <w:rPr>
      <w:color w:val="605E5C"/>
      <w:shd w:val="clear" w:color="auto" w:fill="E1DFDD"/>
    </w:rPr>
  </w:style>
  <w:style w:type="character" w:styleId="nfasis">
    <w:name w:val="Emphasis"/>
    <w:uiPriority w:val="20"/>
    <w:qFormat/>
    <w:rsid w:val="00BF6221"/>
    <w:rPr>
      <w:i/>
      <w:iCs/>
    </w:rPr>
  </w:style>
  <w:style w:type="paragraph" w:styleId="Sinespaciado">
    <w:name w:val="No Spacing"/>
    <w:uiPriority w:val="1"/>
    <w:qFormat/>
    <w:rsid w:val="00BF6221"/>
    <w:rPr>
      <w:rFonts w:ascii="Calibri" w:eastAsia="Calibri" w:hAnsi="Calibri"/>
      <w:sz w:val="22"/>
      <w:szCs w:val="22"/>
      <w:lang w:val="es-PE" w:eastAsia="en-US"/>
    </w:rPr>
  </w:style>
  <w:style w:type="paragraph" w:customStyle="1" w:styleId="Contenidodelatabla">
    <w:name w:val="Contenido de la tabla"/>
    <w:basedOn w:val="Normal"/>
    <w:qFormat/>
    <w:rsid w:val="00BF6221"/>
    <w:pPr>
      <w:suppressLineNumbers/>
      <w:suppressAutoHyphens/>
    </w:pPr>
    <w:rPr>
      <w:rFonts w:ascii="Liberation Serif" w:eastAsia="Noto Serif CJK SC" w:hAnsi="Liberation Serif" w:cs="Noto Sans"/>
      <w:kern w:val="2"/>
      <w:lang w:val="es-PE" w:eastAsia="zh-CN" w:bidi="hi-IN"/>
    </w:rPr>
  </w:style>
  <w:style w:type="character" w:customStyle="1" w:styleId="jlqj4b">
    <w:name w:val="jlqj4b"/>
    <w:rsid w:val="00BF6221"/>
  </w:style>
  <w:style w:type="character" w:customStyle="1" w:styleId="viiyi">
    <w:name w:val="viiyi"/>
    <w:rsid w:val="00BF6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959-9217" TargetMode="External"/><Relationship Id="rId13" Type="http://schemas.openxmlformats.org/officeDocument/2006/relationships/hyperlink" Target="mailto:iecorralesr@infomed.sld.cu" TargetMode="External"/><Relationship Id="rId18" Type="http://schemas.openxmlformats.org/officeDocument/2006/relationships/hyperlink" Target="https://revistas.cientifica.edu.pe/index.php/odontologica/article/download/108/103"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ems.sld.cu/index.php/ems/article/view/927" TargetMode="External"/><Relationship Id="rId7" Type="http://schemas.openxmlformats.org/officeDocument/2006/relationships/hyperlink" Target="https://orcid.org/0000-0002-2146-9014" TargetMode="External"/><Relationship Id="rId12" Type="http://schemas.openxmlformats.org/officeDocument/2006/relationships/hyperlink" Target="https://orcid.org/0000-0002-4086-4845" TargetMode="External"/><Relationship Id="rId17" Type="http://schemas.openxmlformats.org/officeDocument/2006/relationships/hyperlink" Target="http://www.revedumecentro.sld.cu/index.php/edumc/article/view/570"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www.revhabanera.sld.cu/index.php/rhab/article/view/242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9818-2601"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2.gif"/><Relationship Id="rId23" Type="http://schemas.openxmlformats.org/officeDocument/2006/relationships/hyperlink" Target="http://www.revestomatologia.sld.cu/index.php/est/article/view/3678" TargetMode="External"/><Relationship Id="rId28" Type="http://schemas.openxmlformats.org/officeDocument/2006/relationships/theme" Target="theme/theme1.xml"/><Relationship Id="rId10" Type="http://schemas.openxmlformats.org/officeDocument/2006/relationships/hyperlink" Target="https://orcid.org/0000-0002-9442-8969" TargetMode="External"/><Relationship Id="rId19" Type="http://schemas.openxmlformats.org/officeDocument/2006/relationships/hyperlink" Target="https://www.sciencedirect.com/science/article/pii/S2007505716300825" TargetMode="External"/><Relationship Id="rId4" Type="http://schemas.openxmlformats.org/officeDocument/2006/relationships/webSettings" Target="webSettings.xml"/><Relationship Id="rId9" Type="http://schemas.openxmlformats.org/officeDocument/2006/relationships/hyperlink" Target="https://orcid.org/0000-0003-0174-6333" TargetMode="External"/><Relationship Id="rId14" Type="http://schemas.openxmlformats.org/officeDocument/2006/relationships/image" Target="media/image1.gif"/><Relationship Id="rId22" Type="http://schemas.openxmlformats.org/officeDocument/2006/relationships/hyperlink" Target="https://scielo.sld.cu/pdf/edu/v10n4/edu03418.pdf"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16</TotalTime>
  <Pages>14</Pages>
  <Words>4078</Words>
  <Characters>22430</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26456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VP</dc:creator>
  <cp:lastModifiedBy>VP</cp:lastModifiedBy>
  <cp:revision>13</cp:revision>
  <cp:lastPrinted>2022-03-14T18:28:00Z</cp:lastPrinted>
  <dcterms:created xsi:type="dcterms:W3CDTF">2022-03-13T00:13:00Z</dcterms:created>
  <dcterms:modified xsi:type="dcterms:W3CDTF">2022-03-14T18:36:00Z</dcterms:modified>
</cp:coreProperties>
</file>