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5D60" w14:textId="77777777" w:rsidR="007C3CE5" w:rsidRPr="007C3CE5" w:rsidRDefault="007C3CE5" w:rsidP="007C3CE5">
      <w:pPr>
        <w:suppressAutoHyphens/>
        <w:spacing w:line="360" w:lineRule="auto"/>
        <w:jc w:val="right"/>
        <w:rPr>
          <w:rFonts w:eastAsia="Calibri"/>
          <w:bCs/>
          <w:iCs/>
          <w:sz w:val="20"/>
          <w:szCs w:val="20"/>
          <w:lang w:val="es-MX" w:eastAsia="en-US"/>
        </w:rPr>
      </w:pPr>
      <w:r w:rsidRPr="007C3CE5">
        <w:rPr>
          <w:rFonts w:eastAsia="Calibri"/>
          <w:bCs/>
          <w:iCs/>
          <w:sz w:val="20"/>
          <w:szCs w:val="20"/>
          <w:lang w:val="es-MX" w:eastAsia="en-US"/>
        </w:rPr>
        <w:t>Presentación de caso</w:t>
      </w:r>
    </w:p>
    <w:p w14:paraId="676504E3" w14:textId="77777777" w:rsidR="007C3CE5" w:rsidRPr="007C3CE5" w:rsidRDefault="007C3CE5" w:rsidP="007C3CE5">
      <w:pPr>
        <w:suppressAutoHyphens/>
        <w:spacing w:line="360" w:lineRule="auto"/>
        <w:jc w:val="both"/>
        <w:rPr>
          <w:rFonts w:eastAsia="Calibri"/>
          <w:lang w:val="es-MX" w:eastAsia="en-US"/>
        </w:rPr>
      </w:pPr>
    </w:p>
    <w:p w14:paraId="29797094" w14:textId="2B21DA4D" w:rsidR="007C3CE5" w:rsidRPr="007C3CE5" w:rsidRDefault="00957E5F" w:rsidP="007C3CE5">
      <w:pPr>
        <w:suppressAutoHyphens/>
        <w:spacing w:line="360" w:lineRule="auto"/>
        <w:jc w:val="center"/>
        <w:rPr>
          <w:rFonts w:eastAsia="Calibri"/>
          <w:b/>
          <w:sz w:val="28"/>
          <w:szCs w:val="28"/>
          <w:lang w:val="es-CU" w:eastAsia="en-US"/>
        </w:rPr>
      </w:pPr>
      <w:r>
        <w:rPr>
          <w:rFonts w:eastAsia="Calibri"/>
          <w:b/>
          <w:sz w:val="28"/>
          <w:szCs w:val="28"/>
          <w:lang w:val="es-MX" w:eastAsia="en-US"/>
        </w:rPr>
        <w:t>T</w:t>
      </w:r>
      <w:r w:rsidR="007C3CE5" w:rsidRPr="007C3CE5">
        <w:rPr>
          <w:rFonts w:eastAsia="Calibri"/>
          <w:b/>
          <w:sz w:val="28"/>
          <w:szCs w:val="28"/>
          <w:lang w:val="es-MX" w:eastAsia="en-US"/>
        </w:rPr>
        <w:t>umores pardos de región maxilofacial en paciente con hiperparatiroidismo secundario</w:t>
      </w:r>
    </w:p>
    <w:p w14:paraId="32E097C3" w14:textId="77777777" w:rsidR="007C3CE5" w:rsidRPr="007C3CE5" w:rsidRDefault="007C3CE5" w:rsidP="007C3CE5">
      <w:pPr>
        <w:suppressAutoHyphens/>
        <w:spacing w:line="360" w:lineRule="auto"/>
        <w:jc w:val="center"/>
        <w:rPr>
          <w:rFonts w:eastAsia="Calibri"/>
          <w:lang w:val="en-US" w:eastAsia="en-US"/>
        </w:rPr>
      </w:pPr>
      <w:r w:rsidRPr="007C3CE5">
        <w:rPr>
          <w:rFonts w:eastAsia="Calibri"/>
          <w:sz w:val="28"/>
          <w:szCs w:val="28"/>
          <w:lang w:val="en-US" w:eastAsia="en-US"/>
        </w:rPr>
        <w:t>Brown tumors of maxillofacial region in patient with secondary hyperparathyroidism</w:t>
      </w:r>
    </w:p>
    <w:p w14:paraId="6D2ADDF1" w14:textId="77777777" w:rsidR="007C3CE5" w:rsidRPr="007C3CE5" w:rsidRDefault="007C3CE5" w:rsidP="007C3CE5">
      <w:pPr>
        <w:suppressAutoHyphens/>
        <w:spacing w:line="360" w:lineRule="auto"/>
        <w:jc w:val="both"/>
        <w:rPr>
          <w:rFonts w:eastAsia="Calibri"/>
          <w:lang w:val="en-US" w:eastAsia="en-US"/>
        </w:rPr>
      </w:pPr>
    </w:p>
    <w:p w14:paraId="2091590B" w14:textId="10DE2ABC" w:rsidR="007C3CE5" w:rsidRPr="007C3CE5" w:rsidRDefault="007C3CE5" w:rsidP="007C3CE5">
      <w:pPr>
        <w:suppressAutoHyphens/>
        <w:spacing w:line="360" w:lineRule="auto"/>
        <w:jc w:val="both"/>
        <w:rPr>
          <w:rFonts w:eastAsia="Calibri"/>
          <w:lang w:val="es-MX" w:eastAsia="en-US"/>
        </w:rPr>
      </w:pPr>
      <w:proofErr w:type="spellStart"/>
      <w:r w:rsidRPr="007C3CE5">
        <w:rPr>
          <w:rFonts w:eastAsia="Calibri"/>
          <w:lang w:val="es-MX" w:eastAsia="en-US"/>
        </w:rPr>
        <w:t>Yoimar</w:t>
      </w:r>
      <w:proofErr w:type="spellEnd"/>
      <w:r w:rsidRPr="007C3CE5">
        <w:rPr>
          <w:rFonts w:eastAsia="Calibri"/>
          <w:lang w:val="es-MX" w:eastAsia="en-US"/>
        </w:rPr>
        <w:t xml:space="preserve"> Deronceré-Columbié</w:t>
      </w:r>
      <w:r w:rsidRPr="007C3CE5">
        <w:rPr>
          <w:rFonts w:eastAsia="Calibri"/>
          <w:vertAlign w:val="superscript"/>
          <w:lang w:val="es-MX" w:eastAsia="en-US"/>
        </w:rPr>
        <w:t>1</w:t>
      </w:r>
      <w:r w:rsidR="00003F44">
        <w:rPr>
          <w:rFonts w:eastAsia="Calibri"/>
          <w:lang w:val="es-MX" w:eastAsia="en-US"/>
        </w:rPr>
        <w:t>*</w:t>
      </w:r>
      <w:r w:rsidRPr="007C3CE5">
        <w:rPr>
          <w:rFonts w:eastAsia="Calibri"/>
          <w:vertAlign w:val="superscript"/>
          <w:lang w:val="es-MX" w:eastAsia="en-US"/>
        </w:rPr>
        <w:t xml:space="preserve"> </w:t>
      </w:r>
      <w:hyperlink r:id="rId7" w:history="1">
        <w:r w:rsidRPr="007C3CE5">
          <w:rPr>
            <w:rFonts w:eastAsia="Calibri"/>
            <w:color w:val="0563C1"/>
            <w:u w:val="single"/>
            <w:lang w:val="es-MX" w:eastAsia="en-US"/>
          </w:rPr>
          <w:t>https://orcid.org/0000-0003-3205-5340</w:t>
        </w:r>
      </w:hyperlink>
      <w:r w:rsidRPr="007C3CE5">
        <w:rPr>
          <w:rFonts w:eastAsia="Calibri"/>
          <w:lang w:val="es-MX" w:eastAsia="en-US"/>
        </w:rPr>
        <w:t xml:space="preserve"> </w:t>
      </w:r>
    </w:p>
    <w:p w14:paraId="0311C375" w14:textId="77777777" w:rsidR="007C3CE5" w:rsidRPr="007C3CE5" w:rsidRDefault="007C3CE5" w:rsidP="007C3CE5">
      <w:pPr>
        <w:suppressAutoHyphens/>
        <w:spacing w:line="360" w:lineRule="auto"/>
        <w:jc w:val="both"/>
        <w:rPr>
          <w:rFonts w:eastAsia="Calibri"/>
          <w:lang w:val="es-MX" w:eastAsia="en-US"/>
        </w:rPr>
      </w:pPr>
      <w:proofErr w:type="spellStart"/>
      <w:r w:rsidRPr="007C3CE5">
        <w:rPr>
          <w:rFonts w:eastAsia="Calibri"/>
          <w:lang w:val="es-MX" w:eastAsia="en-US"/>
        </w:rPr>
        <w:t>Dilber</w:t>
      </w:r>
      <w:proofErr w:type="spellEnd"/>
      <w:r w:rsidRPr="007C3CE5">
        <w:rPr>
          <w:rFonts w:eastAsia="Calibri"/>
          <w:lang w:val="es-MX" w:eastAsia="en-US"/>
        </w:rPr>
        <w:t xml:space="preserve"> Cedeño-Ramos</w:t>
      </w:r>
      <w:r w:rsidRPr="007C3CE5">
        <w:rPr>
          <w:rFonts w:eastAsia="Calibri"/>
          <w:vertAlign w:val="superscript"/>
          <w:lang w:val="es-MX" w:eastAsia="en-US"/>
        </w:rPr>
        <w:t>1</w:t>
      </w:r>
      <w:r w:rsidRPr="007C3CE5">
        <w:rPr>
          <w:rFonts w:eastAsia="Calibri"/>
          <w:lang w:val="es-MX" w:eastAsia="en-US"/>
        </w:rPr>
        <w:t xml:space="preserve"> </w:t>
      </w:r>
      <w:hyperlink r:id="rId8" w:history="1">
        <w:r w:rsidRPr="007C3CE5">
          <w:rPr>
            <w:rFonts w:eastAsia="Calibri"/>
            <w:color w:val="0563C1"/>
            <w:u w:val="single"/>
            <w:lang w:val="es-MX" w:eastAsia="en-US"/>
          </w:rPr>
          <w:t>https://orcid.org/0000-0001-8742-5850</w:t>
        </w:r>
      </w:hyperlink>
      <w:r w:rsidRPr="007C3CE5">
        <w:rPr>
          <w:rFonts w:eastAsia="Calibri"/>
          <w:lang w:val="es-MX" w:eastAsia="en-US"/>
        </w:rPr>
        <w:t xml:space="preserve"> </w:t>
      </w:r>
    </w:p>
    <w:p w14:paraId="5B84056B" w14:textId="77777777" w:rsidR="007C3CE5" w:rsidRPr="007C3CE5" w:rsidRDefault="007C3CE5" w:rsidP="007C3CE5">
      <w:pPr>
        <w:suppressAutoHyphens/>
        <w:spacing w:line="360" w:lineRule="auto"/>
        <w:jc w:val="both"/>
        <w:rPr>
          <w:rFonts w:eastAsia="Calibri"/>
          <w:lang w:val="es-MX" w:eastAsia="en-US"/>
        </w:rPr>
      </w:pPr>
    </w:p>
    <w:p w14:paraId="72D0B043" w14:textId="77777777" w:rsidR="007C3CE5" w:rsidRPr="007C3CE5" w:rsidRDefault="007C3CE5" w:rsidP="007C3CE5">
      <w:pPr>
        <w:suppressAutoHyphens/>
        <w:spacing w:line="360" w:lineRule="auto"/>
        <w:jc w:val="both"/>
        <w:rPr>
          <w:rFonts w:eastAsia="Calibri"/>
          <w:lang w:val="es-MX" w:eastAsia="en-US"/>
        </w:rPr>
      </w:pPr>
      <w:r w:rsidRPr="007C3CE5">
        <w:rPr>
          <w:rFonts w:eastAsia="Calibri"/>
          <w:vertAlign w:val="superscript"/>
          <w:lang w:val="es-MX" w:eastAsia="en-US"/>
        </w:rPr>
        <w:t>1</w:t>
      </w:r>
      <w:r w:rsidRPr="007C3CE5">
        <w:rPr>
          <w:rFonts w:eastAsia="Calibri"/>
          <w:lang w:val="es-MX" w:eastAsia="en-US"/>
        </w:rPr>
        <w:t xml:space="preserve">Universidad de Ciencias Médicas de Granma. Hospital General Provincial “Carlos Manuel de </w:t>
      </w:r>
      <w:proofErr w:type="spellStart"/>
      <w:r w:rsidRPr="007C3CE5">
        <w:rPr>
          <w:rFonts w:eastAsia="Calibri"/>
          <w:lang w:val="es-MX" w:eastAsia="en-US"/>
        </w:rPr>
        <w:t>Céspedes</w:t>
      </w:r>
      <w:proofErr w:type="spellEnd"/>
      <w:r w:rsidRPr="007C3CE5">
        <w:rPr>
          <w:rFonts w:eastAsia="Calibri"/>
          <w:lang w:val="es-MX" w:eastAsia="en-US"/>
        </w:rPr>
        <w:t>”. Granma, Cuba.</w:t>
      </w:r>
    </w:p>
    <w:p w14:paraId="4B06FBBE" w14:textId="77777777" w:rsidR="007C3CE5" w:rsidRPr="007C3CE5" w:rsidRDefault="007C3CE5" w:rsidP="007C3CE5">
      <w:pPr>
        <w:suppressAutoHyphens/>
        <w:spacing w:line="360" w:lineRule="auto"/>
        <w:jc w:val="both"/>
        <w:rPr>
          <w:rFonts w:eastAsia="Calibri"/>
          <w:lang w:val="es-MX" w:eastAsia="en-US"/>
        </w:rPr>
      </w:pPr>
    </w:p>
    <w:p w14:paraId="65F4762C"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*Autor para la correspondencia. Correo electrónico: </w:t>
      </w:r>
      <w:hyperlink r:id="rId9" w:history="1">
        <w:r w:rsidRPr="007C3CE5">
          <w:rPr>
            <w:rFonts w:eastAsia="Calibri"/>
            <w:color w:val="0563C1"/>
            <w:u w:val="single"/>
            <w:lang w:val="es-MX" w:eastAsia="en-US"/>
          </w:rPr>
          <w:t>ydc82@nauta.cu</w:t>
        </w:r>
      </w:hyperlink>
      <w:r w:rsidRPr="007C3CE5">
        <w:rPr>
          <w:rFonts w:eastAsia="Calibri"/>
          <w:lang w:val="es-MX" w:eastAsia="en-US"/>
        </w:rPr>
        <w:t xml:space="preserve"> </w:t>
      </w:r>
    </w:p>
    <w:p w14:paraId="6E666121" w14:textId="77777777" w:rsidR="007C3CE5" w:rsidRPr="007C3CE5" w:rsidRDefault="007C3CE5" w:rsidP="007C3CE5">
      <w:pPr>
        <w:suppressAutoHyphens/>
        <w:spacing w:line="360" w:lineRule="auto"/>
        <w:jc w:val="both"/>
        <w:rPr>
          <w:rFonts w:eastAsia="Calibri"/>
          <w:b/>
          <w:lang w:val="es-ES" w:eastAsia="en-US"/>
        </w:rPr>
      </w:pPr>
    </w:p>
    <w:p w14:paraId="68A92573" w14:textId="77777777" w:rsidR="007C3CE5" w:rsidRPr="007C3CE5" w:rsidRDefault="007C3CE5" w:rsidP="007C3CE5">
      <w:pPr>
        <w:suppressAutoHyphens/>
        <w:spacing w:line="360" w:lineRule="auto"/>
        <w:rPr>
          <w:rFonts w:eastAsia="Calibri"/>
          <w:b/>
          <w:lang w:val="es-MX" w:eastAsia="en-US"/>
        </w:rPr>
      </w:pPr>
      <w:r w:rsidRPr="007C3CE5">
        <w:rPr>
          <w:rFonts w:eastAsia="Calibri"/>
          <w:b/>
          <w:lang w:val="es-MX" w:eastAsia="en-US"/>
        </w:rPr>
        <w:t>RESUMEN</w:t>
      </w:r>
    </w:p>
    <w:p w14:paraId="3C0E8D5C" w14:textId="73504EB3" w:rsidR="007C3CE5" w:rsidRPr="007C3CE5" w:rsidRDefault="007C3CE5" w:rsidP="007C3CE5">
      <w:pPr>
        <w:suppressAutoHyphens/>
        <w:spacing w:line="360" w:lineRule="auto"/>
        <w:jc w:val="both"/>
        <w:rPr>
          <w:rFonts w:eastAsia="Calibri"/>
          <w:lang w:val="es-MX" w:eastAsia="en-US"/>
        </w:rPr>
      </w:pPr>
      <w:r w:rsidRPr="007C3CE5">
        <w:rPr>
          <w:rFonts w:eastAsia="Calibri"/>
          <w:b/>
          <w:lang w:val="es-MX" w:eastAsia="en-US"/>
        </w:rPr>
        <w:t>Introducción:</w:t>
      </w:r>
      <w:r w:rsidRPr="007C3CE5">
        <w:rPr>
          <w:rFonts w:eastAsia="Calibri"/>
          <w:lang w:val="es-MX" w:eastAsia="en-US"/>
        </w:rPr>
        <w:t xml:space="preserve"> Los tumores pardos ocasionados por hiperparatiroidismo, ya sea primario o secundario, son lesiones de tejido blando intraóseo vascularizado, que se presentan con mayor frecuencia en huesos largos; ocasionalmente, las lesiones llegan a ser periféricas y </w:t>
      </w:r>
      <w:r w:rsidR="000E3389" w:rsidRPr="007C3CE5">
        <w:rPr>
          <w:rFonts w:eastAsia="Calibri"/>
          <w:lang w:val="es-MX" w:eastAsia="en-US"/>
        </w:rPr>
        <w:t>se localizan</w:t>
      </w:r>
      <w:r w:rsidRPr="007C3CE5">
        <w:rPr>
          <w:rFonts w:eastAsia="Calibri"/>
          <w:lang w:val="es-MX" w:eastAsia="en-US"/>
        </w:rPr>
        <w:t xml:space="preserve"> sobre procesos alveolares de maxilar y mandíbula.</w:t>
      </w:r>
    </w:p>
    <w:p w14:paraId="1551E16F" w14:textId="77777777" w:rsidR="007C3CE5" w:rsidRPr="007C3CE5" w:rsidRDefault="007C3CE5" w:rsidP="007C3CE5">
      <w:pPr>
        <w:suppressAutoHyphens/>
        <w:spacing w:line="360" w:lineRule="auto"/>
        <w:jc w:val="both"/>
        <w:rPr>
          <w:rFonts w:eastAsia="Calibri"/>
          <w:lang w:val="es-MX" w:eastAsia="en-US"/>
        </w:rPr>
      </w:pPr>
      <w:r w:rsidRPr="007C3CE5">
        <w:rPr>
          <w:rFonts w:eastAsia="Calibri"/>
          <w:b/>
          <w:lang w:val="es-MX" w:eastAsia="en-US"/>
        </w:rPr>
        <w:t>Objetivo:</w:t>
      </w:r>
      <w:r w:rsidRPr="007C3CE5">
        <w:rPr>
          <w:rFonts w:eastAsia="Calibri"/>
          <w:lang w:val="es-MX" w:eastAsia="en-US"/>
        </w:rPr>
        <w:t xml:space="preserve"> Presentar un paciente bajo tratamiento de hemodiálisis, que presenta tumores pardos en región maxilofacial, en relación con hiperparatiroidismo secundario.</w:t>
      </w:r>
    </w:p>
    <w:p w14:paraId="01421F18" w14:textId="77777777" w:rsidR="007C3CE5" w:rsidRPr="007C3CE5" w:rsidRDefault="007C3CE5" w:rsidP="007C3CE5">
      <w:pPr>
        <w:suppressAutoHyphens/>
        <w:spacing w:line="360" w:lineRule="auto"/>
        <w:jc w:val="both"/>
        <w:rPr>
          <w:rFonts w:eastAsia="Calibri"/>
          <w:lang w:val="es-MX" w:eastAsia="en-US"/>
        </w:rPr>
      </w:pPr>
      <w:r w:rsidRPr="007C3CE5">
        <w:rPr>
          <w:rFonts w:eastAsia="Calibri"/>
          <w:b/>
          <w:lang w:val="es-MX" w:eastAsia="en-US"/>
        </w:rPr>
        <w:t>Caso clínico:</w:t>
      </w:r>
      <w:r w:rsidRPr="007C3CE5">
        <w:rPr>
          <w:rFonts w:eastAsia="Calibri"/>
          <w:lang w:val="es-MX" w:eastAsia="en-US"/>
        </w:rPr>
        <w:t xml:space="preserve"> Paciente de 39 años, con antecedentes de insuficiencia renal crónica, diagnosticada hace más de 20 años e hiperparatiroidismo secundario, para lo cual lleva tratamiento con régimen regular de diálisis. Acude por presentar deformidad facial; radiológicamente presenta lesiones </w:t>
      </w:r>
      <w:proofErr w:type="spellStart"/>
      <w:r w:rsidRPr="007C3CE5">
        <w:rPr>
          <w:rFonts w:eastAsia="Calibri"/>
          <w:lang w:val="es-MX" w:eastAsia="en-US"/>
        </w:rPr>
        <w:t>osteolíticas</w:t>
      </w:r>
      <w:proofErr w:type="spellEnd"/>
      <w:r w:rsidRPr="007C3CE5">
        <w:rPr>
          <w:rFonts w:eastAsia="Calibri"/>
          <w:lang w:val="es-MX" w:eastAsia="en-US"/>
        </w:rPr>
        <w:t xml:space="preserve"> en maxilar y mandíbula con impresión diagnóstica de tumores pardos.</w:t>
      </w:r>
    </w:p>
    <w:p w14:paraId="60AF7EEF" w14:textId="77777777" w:rsidR="007C3CE5" w:rsidRPr="007C3CE5" w:rsidRDefault="007C3CE5" w:rsidP="007C3CE5">
      <w:pPr>
        <w:suppressAutoHyphens/>
        <w:spacing w:line="360" w:lineRule="auto"/>
        <w:jc w:val="both"/>
        <w:rPr>
          <w:rFonts w:eastAsia="Calibri"/>
          <w:lang w:val="es-MX" w:eastAsia="en-US"/>
        </w:rPr>
      </w:pPr>
      <w:r w:rsidRPr="007C3CE5">
        <w:rPr>
          <w:rFonts w:eastAsia="Calibri"/>
          <w:b/>
          <w:lang w:val="es-MX" w:eastAsia="en-US"/>
        </w:rPr>
        <w:t>Conclusiones:</w:t>
      </w:r>
      <w:r w:rsidRPr="007C3CE5">
        <w:rPr>
          <w:rFonts w:eastAsia="Calibri"/>
          <w:lang w:val="es-MX" w:eastAsia="en-US"/>
        </w:rPr>
        <w:t xml:space="preserve"> Esta manifestación de hiperparatiroidismo secundario se observa al incrementarse la longevidad de los pacientes con fallo renal. Una completa evaluación del paciente puede ayudar a un correcto diagnóstico.</w:t>
      </w:r>
    </w:p>
    <w:p w14:paraId="47A57EE7" w14:textId="77777777" w:rsidR="007C3CE5" w:rsidRPr="007C3CE5" w:rsidRDefault="007C3CE5" w:rsidP="007C3CE5">
      <w:pPr>
        <w:suppressAutoHyphens/>
        <w:spacing w:line="360" w:lineRule="auto"/>
        <w:jc w:val="both"/>
        <w:rPr>
          <w:rFonts w:eastAsia="Calibri"/>
          <w:lang w:val="es-MX" w:eastAsia="en-US"/>
        </w:rPr>
      </w:pPr>
      <w:r w:rsidRPr="007C3CE5">
        <w:rPr>
          <w:rFonts w:eastAsia="Calibri"/>
          <w:b/>
          <w:lang w:val="es-MX" w:eastAsia="en-US"/>
        </w:rPr>
        <w:lastRenderedPageBreak/>
        <w:t>Palabras clave</w:t>
      </w:r>
      <w:r w:rsidRPr="007C3CE5">
        <w:rPr>
          <w:rFonts w:eastAsia="Calibri"/>
          <w:b/>
          <w:bCs/>
          <w:lang w:val="es-MX" w:eastAsia="en-US"/>
        </w:rPr>
        <w:t xml:space="preserve">: </w:t>
      </w:r>
      <w:r w:rsidRPr="007C3CE5">
        <w:rPr>
          <w:rFonts w:eastAsia="Calibri"/>
          <w:lang w:val="es-MX" w:eastAsia="en-US"/>
        </w:rPr>
        <w:t>tumores; hiperparatiroidismo secundario; maxilar; mandíbula; diálisis renal.</w:t>
      </w:r>
    </w:p>
    <w:p w14:paraId="33022E53" w14:textId="77777777" w:rsidR="007C3CE5" w:rsidRPr="007C3CE5" w:rsidRDefault="007C3CE5" w:rsidP="007C3CE5">
      <w:pPr>
        <w:suppressAutoHyphens/>
        <w:spacing w:line="360" w:lineRule="auto"/>
        <w:jc w:val="both"/>
        <w:rPr>
          <w:rFonts w:eastAsia="Calibri"/>
          <w:b/>
          <w:lang w:val="es-MX" w:eastAsia="en-US"/>
        </w:rPr>
      </w:pPr>
    </w:p>
    <w:p w14:paraId="75B7E7C9" w14:textId="77777777" w:rsidR="007C3CE5" w:rsidRPr="007C3CE5" w:rsidRDefault="007C3CE5" w:rsidP="007C3CE5">
      <w:pPr>
        <w:suppressAutoHyphens/>
        <w:spacing w:line="360" w:lineRule="auto"/>
        <w:rPr>
          <w:rFonts w:eastAsia="Calibri"/>
          <w:b/>
          <w:lang w:val="en-US" w:eastAsia="en-US"/>
        </w:rPr>
      </w:pPr>
      <w:r w:rsidRPr="007C3CE5">
        <w:rPr>
          <w:rFonts w:eastAsia="Calibri"/>
          <w:b/>
          <w:lang w:val="en-US" w:eastAsia="en-US"/>
        </w:rPr>
        <w:t>ABSTRACT</w:t>
      </w:r>
    </w:p>
    <w:p w14:paraId="2B440EB8" w14:textId="188ADD23" w:rsidR="007C3CE5" w:rsidRPr="007C3CE5" w:rsidRDefault="007C3CE5" w:rsidP="007C3CE5">
      <w:pPr>
        <w:suppressAutoHyphens/>
        <w:spacing w:line="360" w:lineRule="auto"/>
        <w:jc w:val="both"/>
        <w:rPr>
          <w:rFonts w:eastAsia="Calibri"/>
          <w:lang w:val="en-US" w:eastAsia="en-US"/>
        </w:rPr>
      </w:pPr>
      <w:r w:rsidRPr="007C3CE5">
        <w:rPr>
          <w:rFonts w:eastAsia="Calibri"/>
          <w:b/>
          <w:lang w:val="en-US" w:eastAsia="en-US"/>
        </w:rPr>
        <w:t xml:space="preserve">Introduction: </w:t>
      </w:r>
      <w:r w:rsidRPr="007C3CE5">
        <w:rPr>
          <w:rFonts w:eastAsia="Calibri"/>
          <w:lang w:val="en-US" w:eastAsia="en-US"/>
        </w:rPr>
        <w:t>Brown tumors caused by hyperparathyroidism, primary or secondary, are lesions of the vascular soft intraosseous tissue that more frequently develop in long bones; occasionally, the lesions tend to be peripher</w:t>
      </w:r>
      <w:r w:rsidR="002040B1">
        <w:rPr>
          <w:rFonts w:eastAsia="Calibri"/>
          <w:lang w:val="en-US" w:eastAsia="en-US"/>
        </w:rPr>
        <w:t>al</w:t>
      </w:r>
      <w:r w:rsidRPr="007C3CE5">
        <w:rPr>
          <w:rFonts w:eastAsia="Calibri"/>
          <w:lang w:val="en-US" w:eastAsia="en-US"/>
        </w:rPr>
        <w:t xml:space="preserve"> located on the alveolar ridges of the maxilla and mandible.</w:t>
      </w:r>
    </w:p>
    <w:p w14:paraId="6CF576B1" w14:textId="71CEEEB0" w:rsidR="007C3CE5" w:rsidRPr="007C3CE5" w:rsidRDefault="007C3CE5" w:rsidP="007C3CE5">
      <w:pPr>
        <w:suppressAutoHyphens/>
        <w:spacing w:line="360" w:lineRule="auto"/>
        <w:jc w:val="both"/>
        <w:rPr>
          <w:rFonts w:eastAsia="Calibri"/>
          <w:lang w:val="en-US" w:eastAsia="en-US"/>
        </w:rPr>
      </w:pPr>
      <w:r w:rsidRPr="007C3CE5">
        <w:rPr>
          <w:rFonts w:eastAsia="Calibri"/>
          <w:b/>
          <w:lang w:val="en-US" w:eastAsia="en-US"/>
        </w:rPr>
        <w:t>Objective</w:t>
      </w:r>
      <w:r w:rsidRPr="007C3CE5">
        <w:rPr>
          <w:rFonts w:eastAsia="Calibri"/>
          <w:lang w:val="en-US" w:eastAsia="en-US"/>
        </w:rPr>
        <w:t xml:space="preserve">: To describe a case of a patient under hemodialysis treatment with brown tumors of </w:t>
      </w:r>
      <w:r w:rsidR="000E3389">
        <w:rPr>
          <w:rFonts w:eastAsia="Calibri"/>
          <w:lang w:val="en-US" w:eastAsia="en-US"/>
        </w:rPr>
        <w:t xml:space="preserve">the </w:t>
      </w:r>
      <w:r w:rsidRPr="007C3CE5">
        <w:rPr>
          <w:rFonts w:eastAsia="Calibri"/>
          <w:lang w:val="en-US" w:eastAsia="en-US"/>
        </w:rPr>
        <w:t>maxillofacial region due to secondary hyperparathyroidism.</w:t>
      </w:r>
    </w:p>
    <w:p w14:paraId="1FD759F1" w14:textId="7FBE63A3" w:rsidR="007C3CE5" w:rsidRPr="007C3CE5" w:rsidRDefault="007C3CE5" w:rsidP="007C3CE5">
      <w:pPr>
        <w:suppressAutoHyphens/>
        <w:spacing w:line="360" w:lineRule="auto"/>
        <w:jc w:val="both"/>
        <w:rPr>
          <w:rFonts w:eastAsia="Calibri"/>
          <w:lang w:val="en-US" w:eastAsia="en-US"/>
        </w:rPr>
      </w:pPr>
      <w:r w:rsidRPr="007C3CE5">
        <w:rPr>
          <w:rFonts w:eastAsia="Calibri"/>
          <w:b/>
          <w:lang w:val="en-US" w:eastAsia="en-US"/>
        </w:rPr>
        <w:t>Clinical case</w:t>
      </w:r>
      <w:r w:rsidRPr="007C3CE5">
        <w:rPr>
          <w:rFonts w:eastAsia="Calibri"/>
          <w:b/>
          <w:bCs/>
          <w:lang w:val="en-US" w:eastAsia="en-US"/>
        </w:rPr>
        <w:t>:</w:t>
      </w:r>
      <w:r w:rsidRPr="007C3CE5">
        <w:rPr>
          <w:rFonts w:eastAsia="Calibri"/>
          <w:lang w:val="en-US" w:eastAsia="en-US"/>
        </w:rPr>
        <w:t xml:space="preserve"> We describe a 39-year-old male, he received hemodialysis for 20 years, for chronic renal failure with secondary hyperparathyroidism, and he comes by facial deformity in the image evaluation, there are osteolytic lesions in maxilla and mandible were suspected to be brown tumors. </w:t>
      </w:r>
    </w:p>
    <w:p w14:paraId="23A22CEC" w14:textId="77777777" w:rsidR="007C3CE5" w:rsidRPr="007C3CE5" w:rsidRDefault="007C3CE5" w:rsidP="007C3CE5">
      <w:pPr>
        <w:suppressAutoHyphens/>
        <w:spacing w:line="360" w:lineRule="auto"/>
        <w:jc w:val="both"/>
        <w:rPr>
          <w:rFonts w:eastAsia="Calibri"/>
          <w:lang w:val="en-US" w:eastAsia="en-US"/>
        </w:rPr>
      </w:pPr>
      <w:r w:rsidRPr="007C3CE5">
        <w:rPr>
          <w:rFonts w:eastAsia="Calibri"/>
          <w:b/>
          <w:lang w:val="en-US" w:eastAsia="en-US"/>
        </w:rPr>
        <w:t>Conclusions:</w:t>
      </w:r>
      <w:r w:rsidRPr="007C3CE5">
        <w:rPr>
          <w:rFonts w:eastAsia="Calibri"/>
          <w:lang w:val="en-US" w:eastAsia="en-US"/>
        </w:rPr>
        <w:t xml:space="preserve"> This manifestation of secondary hyperparathyroidism can be expected to occur with increased longevity of patients with renal failure. A complete evaluation can help to reach a correct diagnosis.</w:t>
      </w:r>
    </w:p>
    <w:p w14:paraId="1FA22052" w14:textId="77777777" w:rsidR="007C3CE5" w:rsidRPr="007C3CE5" w:rsidRDefault="007C3CE5" w:rsidP="007C3CE5">
      <w:pPr>
        <w:suppressAutoHyphens/>
        <w:spacing w:line="360" w:lineRule="auto"/>
        <w:jc w:val="both"/>
        <w:rPr>
          <w:rFonts w:eastAsia="Calibri"/>
          <w:lang w:val="en-US" w:eastAsia="en-US"/>
        </w:rPr>
      </w:pPr>
      <w:r w:rsidRPr="007C3CE5">
        <w:rPr>
          <w:rFonts w:eastAsia="Calibri"/>
          <w:b/>
          <w:lang w:val="en-US" w:eastAsia="en-US"/>
        </w:rPr>
        <w:t>Keywords</w:t>
      </w:r>
      <w:r w:rsidRPr="007C3CE5">
        <w:rPr>
          <w:rFonts w:eastAsia="Calibri"/>
          <w:b/>
          <w:bCs/>
          <w:lang w:val="en-US" w:eastAsia="en-US"/>
        </w:rPr>
        <w:t xml:space="preserve">: </w:t>
      </w:r>
      <w:r w:rsidRPr="007C3CE5">
        <w:rPr>
          <w:rFonts w:eastAsia="Calibri"/>
          <w:lang w:val="en-US" w:eastAsia="en-US"/>
        </w:rPr>
        <w:t>neoplasms; secondary hyperparathyroidism; maxilla; mandible; renal dialysis.</w:t>
      </w:r>
    </w:p>
    <w:p w14:paraId="29BEA150" w14:textId="77777777" w:rsidR="007C3CE5" w:rsidRPr="007C3CE5" w:rsidRDefault="007C3CE5" w:rsidP="007C3CE5">
      <w:pPr>
        <w:suppressAutoHyphens/>
        <w:spacing w:line="360" w:lineRule="auto"/>
        <w:jc w:val="both"/>
        <w:rPr>
          <w:rFonts w:eastAsia="Calibri"/>
          <w:lang w:val="en-US" w:eastAsia="en-US"/>
        </w:rPr>
      </w:pPr>
    </w:p>
    <w:p w14:paraId="113F4465" w14:textId="77777777" w:rsidR="007C3CE5" w:rsidRPr="007C3CE5" w:rsidRDefault="007C3CE5" w:rsidP="007C3CE5">
      <w:pPr>
        <w:suppressAutoHyphens/>
        <w:spacing w:line="360" w:lineRule="auto"/>
        <w:jc w:val="both"/>
        <w:rPr>
          <w:rFonts w:eastAsia="Calibri"/>
          <w:lang w:val="en-US" w:eastAsia="en-US"/>
        </w:rPr>
      </w:pPr>
    </w:p>
    <w:p w14:paraId="432F915C" w14:textId="7EBA3BEE" w:rsidR="007C3CE5" w:rsidRPr="007C3CE5" w:rsidRDefault="007C3CE5" w:rsidP="007C3CE5">
      <w:pPr>
        <w:suppressAutoHyphens/>
        <w:spacing w:line="360" w:lineRule="auto"/>
        <w:jc w:val="both"/>
        <w:rPr>
          <w:rFonts w:eastAsia="Calibri"/>
          <w:lang w:val="es-CU" w:eastAsia="en-US"/>
        </w:rPr>
      </w:pPr>
      <w:r w:rsidRPr="007C3CE5">
        <w:rPr>
          <w:rFonts w:eastAsia="Calibri"/>
          <w:lang w:val="es-CU" w:eastAsia="en-US"/>
        </w:rPr>
        <w:t>Recibido: 1</w:t>
      </w:r>
      <w:r w:rsidR="005F4DBE">
        <w:rPr>
          <w:rFonts w:eastAsia="Calibri"/>
          <w:lang w:val="es-CU" w:eastAsia="en-US"/>
        </w:rPr>
        <w:t>9</w:t>
      </w:r>
      <w:r w:rsidRPr="007C3CE5">
        <w:rPr>
          <w:rFonts w:eastAsia="Calibri"/>
          <w:lang w:val="es-CU" w:eastAsia="en-US"/>
        </w:rPr>
        <w:t>/0</w:t>
      </w:r>
      <w:r w:rsidR="005F4DBE">
        <w:rPr>
          <w:rFonts w:eastAsia="Calibri"/>
          <w:lang w:val="es-CU" w:eastAsia="en-US"/>
        </w:rPr>
        <w:t>4</w:t>
      </w:r>
      <w:r w:rsidRPr="007C3CE5">
        <w:rPr>
          <w:rFonts w:eastAsia="Calibri"/>
          <w:lang w:val="es-CU" w:eastAsia="en-US"/>
        </w:rPr>
        <w:t>/2022</w:t>
      </w:r>
    </w:p>
    <w:p w14:paraId="12E858E1" w14:textId="77777777" w:rsidR="007C3CE5" w:rsidRPr="007C3CE5" w:rsidRDefault="007C3CE5" w:rsidP="007C3CE5">
      <w:pPr>
        <w:suppressAutoHyphens/>
        <w:spacing w:line="360" w:lineRule="auto"/>
        <w:jc w:val="both"/>
        <w:rPr>
          <w:rFonts w:eastAsia="Calibri"/>
          <w:lang w:val="es-CU" w:eastAsia="en-US"/>
        </w:rPr>
      </w:pPr>
      <w:r w:rsidRPr="007C3CE5">
        <w:rPr>
          <w:rFonts w:eastAsia="Calibri"/>
          <w:lang w:val="es-CU" w:eastAsia="en-US"/>
        </w:rPr>
        <w:t>Aprobado: 18/07/2022</w:t>
      </w:r>
    </w:p>
    <w:p w14:paraId="76A67D23" w14:textId="77777777" w:rsidR="007C3CE5" w:rsidRPr="007C3CE5" w:rsidRDefault="007C3CE5" w:rsidP="007C3CE5">
      <w:pPr>
        <w:suppressAutoHyphens/>
        <w:spacing w:line="360" w:lineRule="auto"/>
        <w:jc w:val="both"/>
        <w:rPr>
          <w:rFonts w:eastAsia="Calibri"/>
          <w:lang w:val="es-CU" w:eastAsia="en-US"/>
        </w:rPr>
      </w:pPr>
    </w:p>
    <w:p w14:paraId="6C1B99E7" w14:textId="77777777" w:rsidR="007C3CE5" w:rsidRPr="007C3CE5" w:rsidRDefault="007C3CE5" w:rsidP="007C3CE5">
      <w:pPr>
        <w:suppressAutoHyphens/>
        <w:spacing w:line="360" w:lineRule="auto"/>
        <w:jc w:val="both"/>
        <w:rPr>
          <w:rFonts w:eastAsia="Calibri"/>
          <w:lang w:val="es-CU" w:eastAsia="en-US"/>
        </w:rPr>
      </w:pPr>
    </w:p>
    <w:p w14:paraId="79EC2C39" w14:textId="77777777" w:rsidR="007C3CE5" w:rsidRPr="007C3CE5" w:rsidRDefault="007C3CE5" w:rsidP="007C3CE5">
      <w:pPr>
        <w:suppressAutoHyphens/>
        <w:spacing w:line="360" w:lineRule="auto"/>
        <w:jc w:val="center"/>
        <w:rPr>
          <w:rFonts w:eastAsia="Calibri"/>
          <w:b/>
          <w:sz w:val="32"/>
          <w:szCs w:val="32"/>
          <w:lang w:val="es-MX" w:eastAsia="en-US"/>
        </w:rPr>
      </w:pPr>
      <w:r w:rsidRPr="007C3CE5">
        <w:rPr>
          <w:rFonts w:eastAsia="Calibri"/>
          <w:b/>
          <w:sz w:val="32"/>
          <w:szCs w:val="32"/>
          <w:lang w:val="es-MX" w:eastAsia="en-US"/>
        </w:rPr>
        <w:t>INTRODUCCIÓN</w:t>
      </w:r>
    </w:p>
    <w:p w14:paraId="746989E7"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El hiperparatiroidismo es una entidad clínica que se caracteriza por presentar, analíticamente, niveles altos de calcio sérico combinados con niveles bajos de fósforo. Es causado por la secreción aumentada de la hormona paratiroidea (</w:t>
      </w:r>
      <w:proofErr w:type="spellStart"/>
      <w:r w:rsidRPr="007C3CE5">
        <w:rPr>
          <w:rFonts w:eastAsia="Calibri"/>
          <w:lang w:val="es-MX" w:eastAsia="en-US"/>
        </w:rPr>
        <w:t>PTH</w:t>
      </w:r>
      <w:proofErr w:type="spellEnd"/>
      <w:r w:rsidRPr="007C3CE5">
        <w:rPr>
          <w:rFonts w:eastAsia="Calibri"/>
          <w:lang w:val="es-MX" w:eastAsia="en-US"/>
        </w:rPr>
        <w:t xml:space="preserve">). La hiperproducción de la hormona puede ser por causas primarias, secundarias o terciarias. El hiperparatiroidismo secundario es habitualmente producido por un fallo renal crónico que produce aumento de la retención de fósforo e hipocalcemia sistémica; se compensa con aumento en la producción de </w:t>
      </w:r>
      <w:proofErr w:type="spellStart"/>
      <w:proofErr w:type="gramStart"/>
      <w:r w:rsidRPr="007C3CE5">
        <w:rPr>
          <w:rFonts w:eastAsia="Calibri"/>
          <w:lang w:val="es-MX" w:eastAsia="en-US"/>
        </w:rPr>
        <w:t>PTH</w:t>
      </w:r>
      <w:proofErr w:type="spellEnd"/>
      <w:r w:rsidRPr="007C3CE5">
        <w:rPr>
          <w:rFonts w:eastAsia="Calibri"/>
          <w:lang w:val="es-MX" w:eastAsia="en-US"/>
        </w:rPr>
        <w:t>.</w:t>
      </w:r>
      <w:r w:rsidRPr="007C3CE5">
        <w:rPr>
          <w:rFonts w:eastAsia="Calibri"/>
          <w:vertAlign w:val="superscript"/>
          <w:lang w:val="es-MX" w:eastAsia="en-US"/>
        </w:rPr>
        <w:t>(</w:t>
      </w:r>
      <w:proofErr w:type="gramEnd"/>
      <w:r w:rsidRPr="007C3CE5">
        <w:rPr>
          <w:rFonts w:eastAsia="Calibri"/>
          <w:vertAlign w:val="superscript"/>
          <w:lang w:val="es-MX" w:eastAsia="en-US"/>
        </w:rPr>
        <w:t>1)</w:t>
      </w:r>
    </w:p>
    <w:p w14:paraId="0FDC6539"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lastRenderedPageBreak/>
        <w:t xml:space="preserve">Se define al tumor pardo como una lesión focal y lítica, ósea, no neoplásica, secundaria a una alteración metabólica ósea. Es una forma localizada de osteítis fibrosa quística, a la que se llega después de una reabsorción </w:t>
      </w:r>
      <w:proofErr w:type="spellStart"/>
      <w:r w:rsidRPr="007C3CE5">
        <w:rPr>
          <w:rFonts w:eastAsia="Calibri"/>
          <w:lang w:val="es-MX" w:eastAsia="en-US"/>
        </w:rPr>
        <w:t>medular</w:t>
      </w:r>
      <w:proofErr w:type="spellEnd"/>
      <w:r w:rsidRPr="007C3CE5">
        <w:rPr>
          <w:rFonts w:eastAsia="Calibri"/>
          <w:lang w:val="es-MX" w:eastAsia="en-US"/>
        </w:rPr>
        <w:t xml:space="preserve"> ósea, que se remplaza progresivamente por tejido fibroso, con cambios quísticos. Debido al rápido recambio óseo por la acción de la </w:t>
      </w:r>
      <w:proofErr w:type="spellStart"/>
      <w:r w:rsidRPr="007C3CE5">
        <w:rPr>
          <w:rFonts w:eastAsia="Calibri"/>
          <w:lang w:val="es-MX" w:eastAsia="en-US"/>
        </w:rPr>
        <w:t>PTH</w:t>
      </w:r>
      <w:proofErr w:type="spellEnd"/>
      <w:r w:rsidRPr="007C3CE5">
        <w:rPr>
          <w:rFonts w:eastAsia="Calibri"/>
          <w:lang w:val="es-MX" w:eastAsia="en-US"/>
        </w:rPr>
        <w:t xml:space="preserve">, se crean áreas de hemorragia local, tejido de granulación reparativo y proliferación fibrosa vascular, que remplazan al hueso sano. La progresión de este proceso da lugar a los quistes visibles macroscópicamente, que alcanzan en procesos avanzados la expansión ósea y las fracturas patológicas </w:t>
      </w:r>
      <w:proofErr w:type="gramStart"/>
      <w:r w:rsidRPr="007C3CE5">
        <w:rPr>
          <w:rFonts w:eastAsia="Calibri"/>
          <w:lang w:val="es-MX" w:eastAsia="en-US"/>
        </w:rPr>
        <w:t>consecuentes.</w:t>
      </w:r>
      <w:r w:rsidRPr="007C3CE5">
        <w:rPr>
          <w:rFonts w:eastAsia="Calibri"/>
          <w:vertAlign w:val="superscript"/>
          <w:lang w:val="es-MX" w:eastAsia="en-US"/>
        </w:rPr>
        <w:t>(</w:t>
      </w:r>
      <w:proofErr w:type="gramEnd"/>
      <w:r w:rsidRPr="007C3CE5">
        <w:rPr>
          <w:rFonts w:eastAsia="Calibri"/>
          <w:vertAlign w:val="superscript"/>
          <w:lang w:val="es-MX" w:eastAsia="en-US"/>
        </w:rPr>
        <w:t>2)</w:t>
      </w:r>
    </w:p>
    <w:p w14:paraId="1523EA64"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La incidencia de la lesión en los huesos maxilares es del 4,5 %; es más frecuente en la mandíbula que en el </w:t>
      </w:r>
      <w:proofErr w:type="gramStart"/>
      <w:r w:rsidRPr="007C3CE5">
        <w:rPr>
          <w:rFonts w:eastAsia="Calibri"/>
          <w:lang w:val="es-MX" w:eastAsia="en-US"/>
        </w:rPr>
        <w:t>maxilar.</w:t>
      </w:r>
      <w:r w:rsidRPr="007C3CE5">
        <w:rPr>
          <w:rFonts w:eastAsia="Calibri"/>
          <w:vertAlign w:val="superscript"/>
          <w:lang w:val="es-MX" w:eastAsia="en-US"/>
        </w:rPr>
        <w:t>(</w:t>
      </w:r>
      <w:proofErr w:type="gramEnd"/>
      <w:r w:rsidRPr="007C3CE5">
        <w:rPr>
          <w:rFonts w:eastAsia="Calibri"/>
          <w:vertAlign w:val="superscript"/>
          <w:lang w:val="es-MX" w:eastAsia="en-US"/>
        </w:rPr>
        <w:t>3)</w:t>
      </w:r>
      <w:r w:rsidRPr="007C3CE5">
        <w:rPr>
          <w:rFonts w:eastAsia="Calibri"/>
          <w:lang w:val="es-MX" w:eastAsia="en-US"/>
        </w:rPr>
        <w:t xml:space="preserve"> Es aún menos frecuente en ambos huesos maxilares simultáneamente. La presencia de síntomas depende de la localización y del tamaño de la </w:t>
      </w:r>
      <w:proofErr w:type="gramStart"/>
      <w:r w:rsidRPr="007C3CE5">
        <w:rPr>
          <w:rFonts w:eastAsia="Calibri"/>
          <w:lang w:val="es-MX" w:eastAsia="en-US"/>
        </w:rPr>
        <w:t>lesión.</w:t>
      </w:r>
      <w:r w:rsidRPr="007C3CE5">
        <w:rPr>
          <w:rFonts w:eastAsia="Calibri"/>
          <w:vertAlign w:val="superscript"/>
          <w:lang w:val="es-MX" w:eastAsia="en-US"/>
        </w:rPr>
        <w:t>(</w:t>
      </w:r>
      <w:proofErr w:type="gramEnd"/>
      <w:r w:rsidRPr="007C3CE5">
        <w:rPr>
          <w:rFonts w:eastAsia="Calibri"/>
          <w:vertAlign w:val="superscript"/>
          <w:lang w:val="es-MX" w:eastAsia="en-US"/>
        </w:rPr>
        <w:t>4)</w:t>
      </w:r>
      <w:r w:rsidRPr="007C3CE5">
        <w:rPr>
          <w:rFonts w:eastAsia="Calibri"/>
          <w:lang w:val="es-MX" w:eastAsia="en-US"/>
        </w:rPr>
        <w:t xml:space="preserve"> En casos de afectación de los maxilares, el paciente puede referir la presencia de una tumoración palpable, que abomba la cavidad oral, puede ser dolorosa o indolora, padecer alguna alteración masticatoria o dental, o bien ser totalmente asintomática y tratarse de un hallazgo casual tras una exploración radiográfica de rutina. En la enfermedad avanzada pueden causar deformidades estéticas y funcionales, como alteraciones de la respiración y la </w:t>
      </w:r>
      <w:proofErr w:type="gramStart"/>
      <w:r w:rsidRPr="007C3CE5">
        <w:rPr>
          <w:rFonts w:eastAsia="Calibri"/>
          <w:lang w:val="es-MX" w:eastAsia="en-US"/>
        </w:rPr>
        <w:t>deglución.</w:t>
      </w:r>
      <w:r w:rsidRPr="007C3CE5">
        <w:rPr>
          <w:rFonts w:eastAsia="Calibri"/>
          <w:vertAlign w:val="superscript"/>
          <w:lang w:val="es-MX" w:eastAsia="en-US"/>
        </w:rPr>
        <w:t>(</w:t>
      </w:r>
      <w:proofErr w:type="gramEnd"/>
      <w:r w:rsidRPr="007C3CE5">
        <w:rPr>
          <w:rFonts w:eastAsia="Calibri"/>
          <w:vertAlign w:val="superscript"/>
          <w:lang w:val="es-MX" w:eastAsia="en-US"/>
        </w:rPr>
        <w:t>5)</w:t>
      </w:r>
    </w:p>
    <w:p w14:paraId="1DE3B806"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El aspecto radiográfico en una vista panorámica es de una imagen lítica intraósea simple o </w:t>
      </w:r>
      <w:proofErr w:type="spellStart"/>
      <w:r w:rsidRPr="007C3CE5">
        <w:rPr>
          <w:rFonts w:eastAsia="Calibri"/>
          <w:lang w:val="es-MX" w:eastAsia="en-US"/>
        </w:rPr>
        <w:t>multiloculada</w:t>
      </w:r>
      <w:proofErr w:type="spellEnd"/>
      <w:r w:rsidRPr="007C3CE5">
        <w:rPr>
          <w:rFonts w:eastAsia="Calibri"/>
          <w:lang w:val="es-MX" w:eastAsia="en-US"/>
        </w:rPr>
        <w:t xml:space="preserve">, con contorno tortuoso, los bordes son bien definidos o difusos de manera variable; puede causar una expansión de la cortical ósea. En las pruebas de imagen con contraste se presentan como áreas de intensa actividad metabólica, que no invaden tejidos blandos y no tienen reacción </w:t>
      </w:r>
      <w:proofErr w:type="gramStart"/>
      <w:r w:rsidRPr="007C3CE5">
        <w:rPr>
          <w:rFonts w:eastAsia="Calibri"/>
          <w:lang w:val="es-MX" w:eastAsia="en-US"/>
        </w:rPr>
        <w:t>perióstica.</w:t>
      </w:r>
      <w:r w:rsidRPr="007C3CE5">
        <w:rPr>
          <w:rFonts w:eastAsia="Calibri"/>
          <w:vertAlign w:val="superscript"/>
          <w:lang w:val="es-MX" w:eastAsia="en-US"/>
        </w:rPr>
        <w:t>(</w:t>
      </w:r>
      <w:proofErr w:type="gramEnd"/>
      <w:r w:rsidRPr="007C3CE5">
        <w:rPr>
          <w:rFonts w:eastAsia="Calibri"/>
          <w:vertAlign w:val="superscript"/>
          <w:lang w:val="es-MX" w:eastAsia="en-US"/>
        </w:rPr>
        <w:t>6)</w:t>
      </w:r>
    </w:p>
    <w:p w14:paraId="441792C6"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Se presenta el caso de un paciente con lesiones óseas en maxilar y mandíbula, compatibles con tumores pardos, en relación con hiperparatiroidismo secundario en el curso de una enfermedad renal crónica avanzada.</w:t>
      </w:r>
    </w:p>
    <w:p w14:paraId="5766928A" w14:textId="77777777" w:rsidR="007C3CE5" w:rsidRPr="007C3CE5" w:rsidRDefault="007C3CE5" w:rsidP="007C3CE5">
      <w:pPr>
        <w:suppressAutoHyphens/>
        <w:spacing w:line="360" w:lineRule="auto"/>
        <w:jc w:val="both"/>
        <w:rPr>
          <w:rFonts w:eastAsia="Calibri"/>
          <w:lang w:val="es-MX" w:eastAsia="en-US"/>
        </w:rPr>
      </w:pPr>
    </w:p>
    <w:p w14:paraId="1510A575" w14:textId="77777777" w:rsidR="007C3CE5" w:rsidRPr="007C3CE5" w:rsidRDefault="007C3CE5" w:rsidP="007C3CE5">
      <w:pPr>
        <w:suppressAutoHyphens/>
        <w:spacing w:line="360" w:lineRule="auto"/>
        <w:jc w:val="center"/>
        <w:rPr>
          <w:rFonts w:eastAsia="Calibri"/>
          <w:b/>
          <w:lang w:val="es-MX" w:eastAsia="en-US"/>
        </w:rPr>
      </w:pPr>
    </w:p>
    <w:p w14:paraId="3AA82D81" w14:textId="77777777" w:rsidR="007C3CE5" w:rsidRPr="007C3CE5" w:rsidRDefault="007C3CE5" w:rsidP="007C3CE5">
      <w:pPr>
        <w:suppressAutoHyphens/>
        <w:spacing w:line="360" w:lineRule="auto"/>
        <w:jc w:val="center"/>
        <w:rPr>
          <w:rFonts w:eastAsia="Calibri"/>
          <w:b/>
          <w:sz w:val="32"/>
          <w:szCs w:val="32"/>
          <w:lang w:val="es-MX" w:eastAsia="en-US"/>
        </w:rPr>
      </w:pPr>
      <w:r w:rsidRPr="007C3CE5">
        <w:rPr>
          <w:rFonts w:eastAsia="Calibri"/>
          <w:b/>
          <w:sz w:val="32"/>
          <w:szCs w:val="32"/>
          <w:lang w:val="es-MX" w:eastAsia="en-US"/>
        </w:rPr>
        <w:t>CASO CLÍNICO</w:t>
      </w:r>
    </w:p>
    <w:p w14:paraId="60E689F3"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Se trata de un paciente masculino de 39 años de edad, procedencia rural, con antecedentes de insuficiencia renal crónica, diagnosticada hace más de 20 años, para lo cual lleva tratamiento con régimen regular de diálisis 3 veces por semana. Acudió al servicio de Cirugía Maxilofacial del Hospital Provincial “Carlos Manuel de </w:t>
      </w:r>
      <w:proofErr w:type="spellStart"/>
      <w:r w:rsidRPr="007C3CE5">
        <w:rPr>
          <w:rFonts w:eastAsia="Calibri"/>
          <w:lang w:val="es-MX" w:eastAsia="en-US"/>
        </w:rPr>
        <w:t>Céspedes</w:t>
      </w:r>
      <w:proofErr w:type="spellEnd"/>
      <w:r w:rsidRPr="007C3CE5">
        <w:rPr>
          <w:rFonts w:eastAsia="Calibri"/>
          <w:lang w:val="es-MX" w:eastAsia="en-US"/>
        </w:rPr>
        <w:t xml:space="preserve">”, por presentar deformidad facial.   </w:t>
      </w:r>
    </w:p>
    <w:p w14:paraId="07471230" w14:textId="77777777" w:rsidR="007C3CE5" w:rsidRPr="007C3CE5" w:rsidRDefault="007C3CE5" w:rsidP="007C3CE5">
      <w:pPr>
        <w:suppressAutoHyphens/>
        <w:spacing w:line="360" w:lineRule="auto"/>
        <w:jc w:val="both"/>
        <w:rPr>
          <w:rFonts w:eastAsia="Calibri"/>
          <w:lang w:val="es-MX" w:eastAsia="es-MX"/>
        </w:rPr>
      </w:pPr>
      <w:r w:rsidRPr="007C3CE5">
        <w:rPr>
          <w:rFonts w:eastAsia="Calibri"/>
          <w:lang w:val="es-MX" w:eastAsia="en-US"/>
        </w:rPr>
        <w:lastRenderedPageBreak/>
        <w:t>El examen físico regional reveló una asimetría facial, dada por aumento de volumen en la región labial superior y nasal, que causaba deformidad y elevación del piso nasal derecho, con depresión del dorso nasal y desviación de la pirámide nasal hacia el lado izquierdo; no doloroso a la palpación y de consistencia duro-elástica, todo lo cual causa obstrucción nasal.</w:t>
      </w:r>
      <w:r w:rsidRPr="007C3CE5">
        <w:rPr>
          <w:rFonts w:eastAsia="Calibri"/>
          <w:lang w:val="es-MX" w:eastAsia="es-MX"/>
        </w:rPr>
        <w:t xml:space="preserve"> </w:t>
      </w:r>
    </w:p>
    <w:p w14:paraId="4C9165EC"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En la región intraoral presenta un aumento de volumen en el fondo del surco vestibular superior, en toda la región anterior y en la encía de dicho sector, </w:t>
      </w:r>
      <w:proofErr w:type="spellStart"/>
      <w:r w:rsidRPr="007C3CE5">
        <w:rPr>
          <w:rFonts w:eastAsia="Calibri"/>
          <w:lang w:val="es-MX" w:eastAsia="en-US"/>
        </w:rPr>
        <w:t>hipercoloreado</w:t>
      </w:r>
      <w:proofErr w:type="spellEnd"/>
      <w:r w:rsidRPr="007C3CE5">
        <w:rPr>
          <w:rFonts w:eastAsia="Calibri"/>
          <w:lang w:val="es-MX" w:eastAsia="en-US"/>
        </w:rPr>
        <w:t xml:space="preserve">, de consistencia duro-elástica, que causa migración y movilidad dentaria. En la región </w:t>
      </w:r>
      <w:proofErr w:type="spellStart"/>
      <w:r w:rsidRPr="007C3CE5">
        <w:rPr>
          <w:rFonts w:eastAsia="Calibri"/>
          <w:lang w:val="es-MX" w:eastAsia="en-US"/>
        </w:rPr>
        <w:t>parasinfisiaria</w:t>
      </w:r>
      <w:proofErr w:type="spellEnd"/>
      <w:r w:rsidRPr="007C3CE5">
        <w:rPr>
          <w:rFonts w:eastAsia="Calibri"/>
          <w:lang w:val="es-MX" w:eastAsia="en-US"/>
        </w:rPr>
        <w:t xml:space="preserve"> mandibular, presenta lesiones clínicamente similares a las del maxilar, pero de menor tamaño.</w:t>
      </w:r>
    </w:p>
    <w:p w14:paraId="00FFE834"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El examen físico se complementó con los estudios radiográficos (radiografía panorámica y tomografía axial computadorizada). En la figura 1 se observa una imagen radiolúcida multilocular, que abarca prácticamente todo el maxilar; expande y destruye las corticales, provoca deformidad del sector </w:t>
      </w:r>
      <w:proofErr w:type="spellStart"/>
      <w:r w:rsidRPr="007C3CE5">
        <w:rPr>
          <w:rFonts w:eastAsia="Calibri"/>
          <w:lang w:val="es-MX" w:eastAsia="en-US"/>
        </w:rPr>
        <w:t>ántero</w:t>
      </w:r>
      <w:proofErr w:type="spellEnd"/>
      <w:r w:rsidRPr="007C3CE5">
        <w:rPr>
          <w:rFonts w:eastAsia="Calibri"/>
          <w:lang w:val="es-MX" w:eastAsia="en-US"/>
        </w:rPr>
        <w:t>-superior, migración dentaria y rizólisis del 22. En la región de los caninos inferiores (bilateral) se observan imágenes radiolúcidas uniloculares, la mayor del lado derecho.</w:t>
      </w:r>
    </w:p>
    <w:p w14:paraId="747BC1B8" w14:textId="77777777" w:rsidR="007C3CE5" w:rsidRPr="007C3CE5" w:rsidRDefault="007C3CE5" w:rsidP="007C3CE5">
      <w:pPr>
        <w:suppressAutoHyphens/>
        <w:spacing w:line="360" w:lineRule="auto"/>
        <w:jc w:val="both"/>
        <w:rPr>
          <w:rFonts w:eastAsia="Calibri"/>
          <w:lang w:val="es-MX" w:eastAsia="en-US"/>
        </w:rPr>
      </w:pPr>
    </w:p>
    <w:p w14:paraId="4AC39DD7" w14:textId="3671285A" w:rsidR="007C3CE5" w:rsidRPr="007C3CE5" w:rsidRDefault="007C3CE5" w:rsidP="007C3CE5">
      <w:pPr>
        <w:suppressAutoHyphens/>
        <w:spacing w:line="360" w:lineRule="auto"/>
        <w:jc w:val="center"/>
        <w:rPr>
          <w:rFonts w:eastAsia="Calibri"/>
          <w:lang w:val="es-ES" w:eastAsia="es-ES"/>
        </w:rPr>
      </w:pPr>
      <w:r w:rsidRPr="007C3CE5">
        <w:rPr>
          <w:rFonts w:eastAsia="Calibri"/>
          <w:noProof/>
          <w:lang w:val="es-ES" w:eastAsia="es-ES"/>
        </w:rPr>
        <w:drawing>
          <wp:inline distT="0" distB="0" distL="0" distR="0" wp14:anchorId="2B22A61A" wp14:editId="33AAB1BB">
            <wp:extent cx="4314825" cy="2867025"/>
            <wp:effectExtent l="0" t="0" r="0" b="0"/>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867025"/>
                    </a:xfrm>
                    <a:prstGeom prst="rect">
                      <a:avLst/>
                    </a:prstGeom>
                    <a:noFill/>
                    <a:ln>
                      <a:noFill/>
                    </a:ln>
                  </pic:spPr>
                </pic:pic>
              </a:graphicData>
            </a:graphic>
          </wp:inline>
        </w:drawing>
      </w:r>
    </w:p>
    <w:p w14:paraId="4D8B18FF" w14:textId="77777777" w:rsidR="007C3CE5" w:rsidRPr="007C3CE5" w:rsidRDefault="007C3CE5" w:rsidP="007C3CE5">
      <w:pPr>
        <w:suppressAutoHyphens/>
        <w:spacing w:line="360" w:lineRule="auto"/>
        <w:jc w:val="center"/>
        <w:rPr>
          <w:rFonts w:eastAsia="Calibri"/>
          <w:sz w:val="22"/>
          <w:szCs w:val="22"/>
          <w:lang w:val="es-MX" w:eastAsia="en-US"/>
        </w:rPr>
      </w:pPr>
      <w:r w:rsidRPr="007C3CE5">
        <w:rPr>
          <w:rFonts w:eastAsia="Calibri"/>
          <w:b/>
          <w:sz w:val="22"/>
          <w:szCs w:val="22"/>
          <w:lang w:val="es-MX" w:eastAsia="en-US"/>
        </w:rPr>
        <w:t>Fig. 1 -</w:t>
      </w:r>
      <w:r w:rsidRPr="007C3CE5">
        <w:rPr>
          <w:rFonts w:eastAsia="Calibri"/>
          <w:sz w:val="22"/>
          <w:szCs w:val="22"/>
          <w:lang w:val="es-MX" w:eastAsia="en-US"/>
        </w:rPr>
        <w:t xml:space="preserve"> Radiografía panorámica.</w:t>
      </w:r>
    </w:p>
    <w:p w14:paraId="6C4ACAF2" w14:textId="77777777" w:rsidR="007C3CE5" w:rsidRPr="007C3CE5" w:rsidRDefault="007C3CE5" w:rsidP="007C3CE5">
      <w:pPr>
        <w:suppressAutoHyphens/>
        <w:spacing w:line="360" w:lineRule="auto"/>
        <w:jc w:val="center"/>
        <w:rPr>
          <w:rFonts w:eastAsia="Calibri"/>
          <w:lang w:val="es-MX" w:eastAsia="en-US"/>
        </w:rPr>
      </w:pPr>
    </w:p>
    <w:p w14:paraId="0C589DBA"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lastRenderedPageBreak/>
        <w:t xml:space="preserve">La tomografía muestra una imagen hiperdensa que ocupa el seno maxilar derecho y las fosas nasales; es heterogénea, con calcificaciones en su interior, produce destrucción de la pared lateral de la fosa nasal y penetra en ella, con destrucción del tabique nasal del seno, del </w:t>
      </w:r>
      <w:r w:rsidRPr="007C3CE5">
        <w:rPr>
          <w:rFonts w:eastAsia="Calibri"/>
          <w:i/>
          <w:iCs/>
          <w:lang w:val="es-MX" w:eastAsia="en-US"/>
        </w:rPr>
        <w:t>septum</w:t>
      </w:r>
      <w:r w:rsidRPr="007C3CE5">
        <w:rPr>
          <w:rFonts w:eastAsia="Calibri"/>
          <w:lang w:val="es-MX" w:eastAsia="en-US"/>
        </w:rPr>
        <w:t xml:space="preserve"> nasal, abomba y produce destrucción del borde anterior del maxilar, lateraliza la nariz hacia la izquierda debido a la lesión ocupante de espacio que involucra al maxilar, seno maxilar derecho y fosas nasales (Fig. 2).  </w:t>
      </w:r>
    </w:p>
    <w:p w14:paraId="3EA7AD21" w14:textId="77777777" w:rsidR="007C3CE5" w:rsidRPr="007C3CE5" w:rsidRDefault="007C3CE5" w:rsidP="007C3CE5">
      <w:pPr>
        <w:suppressAutoHyphens/>
        <w:spacing w:line="360" w:lineRule="auto"/>
        <w:jc w:val="both"/>
        <w:rPr>
          <w:rFonts w:eastAsia="Calibri"/>
          <w:lang w:val="es-MX" w:eastAsia="en-US"/>
        </w:rPr>
      </w:pPr>
    </w:p>
    <w:p w14:paraId="41A9AC8C" w14:textId="21364D83" w:rsidR="007C3CE5" w:rsidRPr="007C3CE5" w:rsidRDefault="007C3CE5" w:rsidP="007C3CE5">
      <w:pPr>
        <w:suppressAutoHyphens/>
        <w:spacing w:line="360" w:lineRule="auto"/>
        <w:jc w:val="center"/>
        <w:rPr>
          <w:rFonts w:eastAsia="Calibri"/>
          <w:lang w:val="es-MX" w:eastAsia="en-US"/>
        </w:rPr>
      </w:pPr>
      <w:r w:rsidRPr="007C3CE5">
        <w:rPr>
          <w:rFonts w:eastAsia="Calibri"/>
          <w:noProof/>
          <w:lang w:val="es-MX" w:eastAsia="en-US"/>
        </w:rPr>
        <w:drawing>
          <wp:inline distT="0" distB="0" distL="0" distR="0" wp14:anchorId="18AF2908" wp14:editId="10517D08">
            <wp:extent cx="4029075" cy="31242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9075" cy="3124200"/>
                    </a:xfrm>
                    <a:prstGeom prst="rect">
                      <a:avLst/>
                    </a:prstGeom>
                    <a:noFill/>
                    <a:ln>
                      <a:noFill/>
                    </a:ln>
                  </pic:spPr>
                </pic:pic>
              </a:graphicData>
            </a:graphic>
          </wp:inline>
        </w:drawing>
      </w:r>
    </w:p>
    <w:p w14:paraId="254D3D5E" w14:textId="77777777" w:rsidR="007C3CE5" w:rsidRPr="007C3CE5" w:rsidRDefault="007C3CE5" w:rsidP="007C3CE5">
      <w:pPr>
        <w:suppressAutoHyphens/>
        <w:spacing w:line="360" w:lineRule="auto"/>
        <w:jc w:val="center"/>
        <w:rPr>
          <w:rFonts w:eastAsia="Calibri"/>
          <w:sz w:val="22"/>
          <w:szCs w:val="22"/>
          <w:lang w:val="es-MX" w:eastAsia="en-US"/>
        </w:rPr>
      </w:pPr>
      <w:r w:rsidRPr="007C3CE5">
        <w:rPr>
          <w:rFonts w:eastAsia="Calibri"/>
          <w:b/>
          <w:sz w:val="22"/>
          <w:szCs w:val="22"/>
          <w:lang w:val="es-MX" w:eastAsia="en-US"/>
        </w:rPr>
        <w:t>Fig. 2 -</w:t>
      </w:r>
      <w:r w:rsidRPr="007C3CE5">
        <w:rPr>
          <w:rFonts w:eastAsia="Calibri"/>
          <w:sz w:val="22"/>
          <w:szCs w:val="22"/>
          <w:lang w:val="es-MX" w:eastAsia="en-US"/>
        </w:rPr>
        <w:t xml:space="preserve"> Tomografía axial computarizada.</w:t>
      </w:r>
    </w:p>
    <w:p w14:paraId="1F381611" w14:textId="77777777" w:rsidR="007C3CE5" w:rsidRPr="007C3CE5" w:rsidRDefault="007C3CE5" w:rsidP="007C3CE5">
      <w:pPr>
        <w:suppressAutoHyphens/>
        <w:spacing w:line="360" w:lineRule="auto"/>
        <w:jc w:val="center"/>
        <w:rPr>
          <w:rFonts w:eastAsia="Calibri"/>
          <w:lang w:val="es-MX" w:eastAsia="en-US"/>
        </w:rPr>
      </w:pPr>
    </w:p>
    <w:p w14:paraId="45B358A0"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Se practicaron los exámenes de laboratorio, que mostraron un aumento de las cifras de la fosfatasa alcalina, el calcio sérico y el fósforo, por encima de los límites normales, lo cual confirmó la impresión diagnóstica de tumor pardo por hiperparatiroidismo secundario.</w:t>
      </w:r>
    </w:p>
    <w:p w14:paraId="0C5BD2C9" w14:textId="77777777" w:rsidR="007C3CE5" w:rsidRPr="007C3CE5" w:rsidRDefault="007C3CE5" w:rsidP="007C3CE5">
      <w:pPr>
        <w:suppressAutoHyphens/>
        <w:spacing w:line="360" w:lineRule="auto"/>
        <w:jc w:val="both"/>
        <w:rPr>
          <w:rFonts w:eastAsia="Calibri"/>
          <w:lang w:val="es-MX" w:eastAsia="en-US"/>
        </w:rPr>
      </w:pPr>
    </w:p>
    <w:p w14:paraId="39B228A2" w14:textId="3A6B7B73" w:rsidR="007C3CE5" w:rsidRPr="007C3CE5" w:rsidRDefault="007C3CE5" w:rsidP="007C3CE5">
      <w:pPr>
        <w:suppressAutoHyphens/>
        <w:spacing w:line="360" w:lineRule="auto"/>
        <w:jc w:val="center"/>
        <w:rPr>
          <w:rFonts w:eastAsia="Calibri"/>
          <w:lang w:val="es-MX" w:eastAsia="en-US"/>
        </w:rPr>
      </w:pPr>
      <w:r w:rsidRPr="007C3CE5">
        <w:rPr>
          <w:rFonts w:eastAsia="Calibri"/>
          <w:noProof/>
          <w:lang w:val="es-MX" w:eastAsia="en-US"/>
        </w:rPr>
        <w:lastRenderedPageBreak/>
        <w:drawing>
          <wp:inline distT="0" distB="0" distL="0" distR="0" wp14:anchorId="30593524" wp14:editId="4F66EBA8">
            <wp:extent cx="3895725" cy="28670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95725" cy="2867025"/>
                    </a:xfrm>
                    <a:prstGeom prst="rect">
                      <a:avLst/>
                    </a:prstGeom>
                    <a:noFill/>
                    <a:ln>
                      <a:noFill/>
                    </a:ln>
                  </pic:spPr>
                </pic:pic>
              </a:graphicData>
            </a:graphic>
          </wp:inline>
        </w:drawing>
      </w:r>
    </w:p>
    <w:p w14:paraId="02CDB0DD" w14:textId="77777777" w:rsidR="007C3CE5" w:rsidRPr="007C3CE5" w:rsidRDefault="007C3CE5" w:rsidP="007C3CE5">
      <w:pPr>
        <w:suppressAutoHyphens/>
        <w:spacing w:line="360" w:lineRule="auto"/>
        <w:jc w:val="center"/>
        <w:rPr>
          <w:rFonts w:eastAsia="Calibri"/>
          <w:sz w:val="22"/>
          <w:szCs w:val="22"/>
          <w:lang w:val="es-MX" w:eastAsia="en-US"/>
        </w:rPr>
      </w:pPr>
      <w:r w:rsidRPr="007C3CE5">
        <w:rPr>
          <w:rFonts w:eastAsia="Calibri"/>
          <w:b/>
          <w:sz w:val="22"/>
          <w:szCs w:val="22"/>
          <w:lang w:val="es-MX" w:eastAsia="en-US"/>
        </w:rPr>
        <w:t>Fig. 3 -</w:t>
      </w:r>
      <w:r w:rsidRPr="007C3CE5">
        <w:rPr>
          <w:rFonts w:eastAsia="Calibri"/>
          <w:sz w:val="22"/>
          <w:szCs w:val="22"/>
          <w:lang w:val="es-MX" w:eastAsia="en-US"/>
        </w:rPr>
        <w:t xml:space="preserve"> Corte histológico de la lesión.</w:t>
      </w:r>
    </w:p>
    <w:p w14:paraId="2806B1E1" w14:textId="77777777" w:rsidR="007C3CE5" w:rsidRPr="007C3CE5" w:rsidRDefault="007C3CE5" w:rsidP="007C3CE5">
      <w:pPr>
        <w:suppressAutoHyphens/>
        <w:spacing w:line="360" w:lineRule="auto"/>
        <w:jc w:val="center"/>
        <w:rPr>
          <w:rFonts w:eastAsia="Calibri"/>
          <w:lang w:val="es-MX" w:eastAsia="en-US"/>
        </w:rPr>
      </w:pPr>
    </w:p>
    <w:p w14:paraId="23E2C2EF"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Con los datos del examen físico, los estudios radiográficos y exámenes de laboratorio se realizó una biopsia </w:t>
      </w:r>
      <w:proofErr w:type="spellStart"/>
      <w:r w:rsidRPr="007C3CE5">
        <w:rPr>
          <w:rFonts w:eastAsia="Calibri"/>
          <w:lang w:val="es-MX" w:eastAsia="en-US"/>
        </w:rPr>
        <w:t>incisional</w:t>
      </w:r>
      <w:proofErr w:type="spellEnd"/>
      <w:r w:rsidRPr="007C3CE5">
        <w:rPr>
          <w:rFonts w:eastAsia="Calibri"/>
          <w:lang w:val="es-MX" w:eastAsia="en-US"/>
        </w:rPr>
        <w:t xml:space="preserve"> de la lesión del maxilar. La figura 3 detalla una imagen histopatológica de la lesión, en la que se muestran varias trabéculas de tejido óseo inmaduro, esparcidas en un estroma fibroso constituido por fibroblastos e histiocitos, además de células gigantes multinucleadas, zonas de hemorragia y pigmento de hemosiderina y </w:t>
      </w:r>
      <w:proofErr w:type="spellStart"/>
      <w:r w:rsidRPr="007C3CE5">
        <w:rPr>
          <w:rFonts w:eastAsia="Calibri"/>
          <w:lang w:val="es-MX" w:eastAsia="en-US"/>
        </w:rPr>
        <w:t>hemosiderófagos</w:t>
      </w:r>
      <w:proofErr w:type="spellEnd"/>
      <w:r w:rsidRPr="007C3CE5">
        <w:rPr>
          <w:rFonts w:eastAsia="Calibri"/>
          <w:lang w:val="es-MX" w:eastAsia="en-US"/>
        </w:rPr>
        <w:t>.</w:t>
      </w:r>
    </w:p>
    <w:p w14:paraId="4D5D0C29"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El resultado histológico informó hallazgos a favor de un tumor pardo del hiperparatiroidismo.</w:t>
      </w:r>
    </w:p>
    <w:p w14:paraId="05A869B9" w14:textId="77777777" w:rsidR="007C3CE5" w:rsidRPr="007C3CE5" w:rsidRDefault="007C3CE5" w:rsidP="007C3CE5">
      <w:pPr>
        <w:suppressAutoHyphens/>
        <w:spacing w:line="360" w:lineRule="auto"/>
        <w:jc w:val="both"/>
        <w:rPr>
          <w:rFonts w:eastAsia="Calibri"/>
          <w:lang w:val="es-MX" w:eastAsia="en-US"/>
        </w:rPr>
      </w:pPr>
    </w:p>
    <w:p w14:paraId="28EC961B" w14:textId="77777777" w:rsidR="007C3CE5" w:rsidRPr="007C3CE5" w:rsidRDefault="007C3CE5" w:rsidP="007C3CE5">
      <w:pPr>
        <w:suppressAutoHyphens/>
        <w:spacing w:line="360" w:lineRule="auto"/>
        <w:jc w:val="center"/>
        <w:rPr>
          <w:rFonts w:eastAsia="Calibri"/>
          <w:b/>
          <w:lang w:val="es-MX" w:eastAsia="en-US"/>
        </w:rPr>
      </w:pPr>
    </w:p>
    <w:p w14:paraId="1747509E" w14:textId="77777777" w:rsidR="007C3CE5" w:rsidRPr="007C3CE5" w:rsidRDefault="007C3CE5" w:rsidP="007C3CE5">
      <w:pPr>
        <w:suppressAutoHyphens/>
        <w:spacing w:line="360" w:lineRule="auto"/>
        <w:jc w:val="center"/>
        <w:rPr>
          <w:rFonts w:eastAsia="Calibri"/>
          <w:b/>
          <w:sz w:val="32"/>
          <w:szCs w:val="32"/>
          <w:lang w:val="es-MX" w:eastAsia="en-US"/>
        </w:rPr>
      </w:pPr>
      <w:r w:rsidRPr="007C3CE5">
        <w:rPr>
          <w:rFonts w:eastAsia="Calibri"/>
          <w:b/>
          <w:sz w:val="32"/>
          <w:szCs w:val="32"/>
          <w:lang w:val="es-MX" w:eastAsia="en-US"/>
        </w:rPr>
        <w:t>COMENTARIOS</w:t>
      </w:r>
    </w:p>
    <w:p w14:paraId="25EC89D4"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Las lesiones líticas de los maxilares pueden estar producidas por diversas entidades anatomopatológicas, tanto benignas como </w:t>
      </w:r>
      <w:proofErr w:type="gramStart"/>
      <w:r w:rsidRPr="007C3CE5">
        <w:rPr>
          <w:rFonts w:eastAsia="Calibri"/>
          <w:lang w:val="es-MX" w:eastAsia="en-US"/>
        </w:rPr>
        <w:t>malignas.</w:t>
      </w:r>
      <w:r w:rsidRPr="007C3CE5">
        <w:rPr>
          <w:rFonts w:eastAsia="Calibri"/>
          <w:vertAlign w:val="superscript"/>
          <w:lang w:val="es-MX" w:eastAsia="en-US"/>
        </w:rPr>
        <w:t>(</w:t>
      </w:r>
      <w:proofErr w:type="gramEnd"/>
      <w:r w:rsidRPr="007C3CE5">
        <w:rPr>
          <w:rFonts w:eastAsia="Calibri"/>
          <w:vertAlign w:val="superscript"/>
          <w:lang w:val="es-MX" w:eastAsia="en-US"/>
        </w:rPr>
        <w:t xml:space="preserve">5) </w:t>
      </w:r>
      <w:r w:rsidRPr="007C3CE5">
        <w:rPr>
          <w:rFonts w:eastAsia="Calibri"/>
          <w:lang w:val="es-MX" w:eastAsia="en-US"/>
        </w:rPr>
        <w:t xml:space="preserve">En los pacientes con una o más lesiones óseas de aspecto lítico en la región maxilofacial, el diagnóstico diferencial resulta sumamente complejo. Un importante elemento diagnóstico es la confirmación histológica de una lesión con células </w:t>
      </w:r>
      <w:proofErr w:type="gramStart"/>
      <w:r w:rsidRPr="007C3CE5">
        <w:rPr>
          <w:rFonts w:eastAsia="Calibri"/>
          <w:lang w:val="es-MX" w:eastAsia="en-US"/>
        </w:rPr>
        <w:t>gigantes.</w:t>
      </w:r>
      <w:r w:rsidRPr="007C3CE5">
        <w:rPr>
          <w:rFonts w:eastAsia="Calibri"/>
          <w:vertAlign w:val="superscript"/>
          <w:lang w:val="es-MX" w:eastAsia="en-US"/>
        </w:rPr>
        <w:t>(</w:t>
      </w:r>
      <w:proofErr w:type="gramEnd"/>
      <w:r w:rsidRPr="007C3CE5">
        <w:rPr>
          <w:rFonts w:eastAsia="Calibri"/>
          <w:vertAlign w:val="superscript"/>
          <w:lang w:val="es-MX" w:eastAsia="en-US"/>
        </w:rPr>
        <w:t>6)</w:t>
      </w:r>
      <w:r w:rsidRPr="007C3CE5">
        <w:rPr>
          <w:rFonts w:eastAsia="Calibri"/>
          <w:lang w:val="es-MX" w:eastAsia="en-US"/>
        </w:rPr>
        <w:t xml:space="preserve"> </w:t>
      </w:r>
    </w:p>
    <w:p w14:paraId="7E7047FA"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Las lesiones de células gigantes que afectan a los maxilares incluyen el tumor de células gigantes, el granuloma reparativo de células gigantes, el </w:t>
      </w:r>
      <w:proofErr w:type="spellStart"/>
      <w:r w:rsidRPr="007C3CE5">
        <w:rPr>
          <w:rFonts w:eastAsia="Calibri"/>
          <w:lang w:val="es-MX" w:eastAsia="en-US"/>
        </w:rPr>
        <w:t>querubismo</w:t>
      </w:r>
      <w:proofErr w:type="spellEnd"/>
      <w:r w:rsidRPr="007C3CE5">
        <w:rPr>
          <w:rFonts w:eastAsia="Calibri"/>
          <w:lang w:val="es-MX" w:eastAsia="en-US"/>
        </w:rPr>
        <w:t xml:space="preserve"> y el tumor pardo. Los tumores pardos son </w:t>
      </w:r>
      <w:r w:rsidRPr="007C3CE5">
        <w:rPr>
          <w:rFonts w:eastAsia="Calibri"/>
          <w:lang w:val="es-MX" w:eastAsia="en-US"/>
        </w:rPr>
        <w:lastRenderedPageBreak/>
        <w:t xml:space="preserve">resultado de un proceso destructivo óseo, relacionado con un hiperparatiroidismo grave primario, secundario o incluso terciario y es la forma localizada de la osteítis fibrosa </w:t>
      </w:r>
      <w:proofErr w:type="gramStart"/>
      <w:r w:rsidRPr="007C3CE5">
        <w:rPr>
          <w:rFonts w:eastAsia="Calibri"/>
          <w:lang w:val="es-MX" w:eastAsia="en-US"/>
        </w:rPr>
        <w:t>quística.</w:t>
      </w:r>
      <w:r w:rsidRPr="007C3CE5">
        <w:rPr>
          <w:rFonts w:eastAsia="Calibri"/>
          <w:vertAlign w:val="superscript"/>
          <w:lang w:val="es-MX" w:eastAsia="en-US"/>
        </w:rPr>
        <w:t>(</w:t>
      </w:r>
      <w:proofErr w:type="gramEnd"/>
      <w:r w:rsidRPr="007C3CE5">
        <w:rPr>
          <w:rFonts w:eastAsia="Calibri"/>
          <w:vertAlign w:val="superscript"/>
          <w:lang w:val="es-MX" w:eastAsia="en-US"/>
        </w:rPr>
        <w:t>7,8)</w:t>
      </w:r>
    </w:p>
    <w:p w14:paraId="34864A57"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La incidencia de tumores pardos en la insuficiencia renal crónica varía desde 1,5 % a 13 % de los casos y se describe que es más frecuente cuando se presenta en mujeres jóvenes con tratamiento prolongado de </w:t>
      </w:r>
      <w:proofErr w:type="gramStart"/>
      <w:r w:rsidRPr="007C3CE5">
        <w:rPr>
          <w:rFonts w:eastAsia="Calibri"/>
          <w:lang w:val="es-MX" w:eastAsia="en-US"/>
        </w:rPr>
        <w:t>hemodiálisis.</w:t>
      </w:r>
      <w:r w:rsidRPr="007C3CE5">
        <w:rPr>
          <w:rFonts w:eastAsia="Calibri"/>
          <w:vertAlign w:val="superscript"/>
          <w:lang w:val="es-MX" w:eastAsia="en-US"/>
        </w:rPr>
        <w:t>(</w:t>
      </w:r>
      <w:proofErr w:type="gramEnd"/>
      <w:r w:rsidRPr="007C3CE5">
        <w:rPr>
          <w:rFonts w:eastAsia="Calibri"/>
          <w:vertAlign w:val="superscript"/>
          <w:lang w:val="es-MX" w:eastAsia="en-US"/>
        </w:rPr>
        <w:t>9)</w:t>
      </w:r>
    </w:p>
    <w:p w14:paraId="1EDEC3A6"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La presencia de múltiples tumores pardos simultáneos en los huesos faciales, como en el caso descrito, es extraordinaria. </w:t>
      </w:r>
      <w:proofErr w:type="spellStart"/>
      <w:r w:rsidRPr="007C3CE5">
        <w:rPr>
          <w:rFonts w:eastAsia="Calibri"/>
          <w:i/>
          <w:lang w:val="es-MX" w:eastAsia="en-US"/>
        </w:rPr>
        <w:t>Yamazaki</w:t>
      </w:r>
      <w:proofErr w:type="spellEnd"/>
      <w:r w:rsidRPr="007C3CE5">
        <w:rPr>
          <w:rFonts w:eastAsia="Calibri"/>
          <w:i/>
          <w:lang w:val="es-MX" w:eastAsia="en-US"/>
        </w:rPr>
        <w:t xml:space="preserve"> </w:t>
      </w:r>
      <w:r w:rsidRPr="007C3CE5">
        <w:rPr>
          <w:rFonts w:eastAsia="Calibri"/>
          <w:iCs/>
          <w:lang w:val="es-MX" w:eastAsia="en-US"/>
        </w:rPr>
        <w:t xml:space="preserve">y </w:t>
      </w:r>
      <w:proofErr w:type="gramStart"/>
      <w:r w:rsidRPr="007C3CE5">
        <w:rPr>
          <w:rFonts w:eastAsia="Calibri"/>
          <w:iCs/>
          <w:lang w:val="es-MX" w:eastAsia="en-US"/>
        </w:rPr>
        <w:t>otros</w:t>
      </w:r>
      <w:r w:rsidRPr="007C3CE5">
        <w:rPr>
          <w:rFonts w:eastAsia="Calibri"/>
          <w:vertAlign w:val="superscript"/>
          <w:lang w:val="es-MX" w:eastAsia="en-US"/>
        </w:rPr>
        <w:t>(</w:t>
      </w:r>
      <w:proofErr w:type="gramEnd"/>
      <w:r w:rsidRPr="007C3CE5">
        <w:rPr>
          <w:rFonts w:eastAsia="Calibri"/>
          <w:vertAlign w:val="superscript"/>
          <w:lang w:val="es-MX" w:eastAsia="en-US"/>
        </w:rPr>
        <w:t>10)</w:t>
      </w:r>
      <w:r w:rsidRPr="007C3CE5">
        <w:rPr>
          <w:rFonts w:eastAsia="Calibri"/>
          <w:lang w:val="es-MX" w:eastAsia="en-US"/>
        </w:rPr>
        <w:t xml:space="preserve"> afirman que en pacientes adultos solo se habían reportado en la literatura 4 con tumores pardos simultáneos en la mandíbula y en los maxilares.</w:t>
      </w:r>
      <w:r w:rsidRPr="007C3CE5">
        <w:rPr>
          <w:rFonts w:eastAsia="Calibri"/>
          <w:vertAlign w:val="superscript"/>
          <w:lang w:val="es-MX" w:eastAsia="en-US"/>
        </w:rPr>
        <w:t>(11)</w:t>
      </w:r>
    </w:p>
    <w:p w14:paraId="63047B30"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 xml:space="preserve">El tratamiento de los tumores pardos debe dirigirse inicialmente a la curación del </w:t>
      </w:r>
      <w:proofErr w:type="gramStart"/>
      <w:r w:rsidRPr="007C3CE5">
        <w:rPr>
          <w:rFonts w:eastAsia="Calibri"/>
          <w:lang w:val="es-MX" w:eastAsia="en-US"/>
        </w:rPr>
        <w:t>hiperparatiroidismo.</w:t>
      </w:r>
      <w:r w:rsidRPr="007C3CE5">
        <w:rPr>
          <w:rFonts w:eastAsia="Calibri"/>
          <w:vertAlign w:val="superscript"/>
          <w:lang w:val="es-MX" w:eastAsia="en-US"/>
        </w:rPr>
        <w:t>(</w:t>
      </w:r>
      <w:proofErr w:type="gramEnd"/>
      <w:r w:rsidRPr="007C3CE5">
        <w:rPr>
          <w:rFonts w:eastAsia="Calibri"/>
          <w:vertAlign w:val="superscript"/>
          <w:lang w:val="es-MX" w:eastAsia="en-US"/>
        </w:rPr>
        <w:t>12)</w:t>
      </w:r>
      <w:r w:rsidRPr="007C3CE5">
        <w:rPr>
          <w:rFonts w:eastAsia="Calibri"/>
          <w:lang w:val="es-MX" w:eastAsia="en-US"/>
        </w:rPr>
        <w:t xml:space="preserve"> Después de la </w:t>
      </w:r>
      <w:proofErr w:type="spellStart"/>
      <w:r w:rsidRPr="007C3CE5">
        <w:rPr>
          <w:rFonts w:eastAsia="Calibri"/>
          <w:lang w:val="es-MX" w:eastAsia="en-US"/>
        </w:rPr>
        <w:t>paratiroidectomía</w:t>
      </w:r>
      <w:proofErr w:type="spellEnd"/>
      <w:r w:rsidRPr="007C3CE5">
        <w:rPr>
          <w:rFonts w:eastAsia="Calibri"/>
          <w:lang w:val="es-MX" w:eastAsia="en-US"/>
        </w:rPr>
        <w:t>, cuando los valores bioquímicos se normalizan, las lesiones en la región maxilofacial tienden a involucionar espontáneamente de manera parcial o total; sin embargo, algunos autores recomiendan la resección inmediata del tumor.</w:t>
      </w:r>
      <w:r w:rsidRPr="007C3CE5">
        <w:rPr>
          <w:rFonts w:eastAsia="Calibri"/>
          <w:vertAlign w:val="superscript"/>
          <w:lang w:val="es-MX" w:eastAsia="en-US"/>
        </w:rPr>
        <w:t>(13)</w:t>
      </w:r>
      <w:r w:rsidRPr="007C3CE5">
        <w:rPr>
          <w:rFonts w:eastAsia="Calibri"/>
          <w:lang w:val="es-MX" w:eastAsia="en-US"/>
        </w:rPr>
        <w:t xml:space="preserve"> </w:t>
      </w:r>
    </w:p>
    <w:p w14:paraId="3DF6D002"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Si bien la presencia de tumores pardos ha sido básicamente descrita en el hiperparatiroidismo primario, esta presentación inusual en un caso de hiperparatiroidismo secundario en el curso de la insuficiencia renal crónica debe esperarse, si se considera que la población en diálisis incrementa su longevidad.</w:t>
      </w:r>
    </w:p>
    <w:p w14:paraId="4096A1F6"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El tumor pardo representa el estadio más avanzado de la enfermedad ósea asociada al hiperparatiroidismo. En todo paciente con una biopsia compatible con un tumor de células gigantes debe descartarse un hiperparatiroidismo.</w:t>
      </w:r>
    </w:p>
    <w:p w14:paraId="6DD02DE9"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Es importante llegar a un diagnóstico final de certeza mediante la anatomía patológica para establecer un protocolo de actuación que sea lo menos agresivo y más curativo.</w:t>
      </w:r>
    </w:p>
    <w:p w14:paraId="667E31CA"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Por lo extremadamente raro de esta lesión en más de 20 años es el segundo caso diagnosticado en el hospital; el paciente se discutió en colectivo por los servicios de Cirugía General, Nefrología y Cirugía Maxilofacial y se decidió remitir a una institución de tercer nivel para continuar tratamiento.</w:t>
      </w:r>
    </w:p>
    <w:p w14:paraId="1248ECD3" w14:textId="77777777" w:rsidR="007C3CE5" w:rsidRPr="007C3CE5" w:rsidRDefault="007C3CE5" w:rsidP="007C3CE5">
      <w:pPr>
        <w:suppressAutoHyphens/>
        <w:spacing w:line="360" w:lineRule="auto"/>
        <w:jc w:val="both"/>
        <w:rPr>
          <w:rFonts w:eastAsia="Calibri"/>
          <w:lang w:val="es-MX" w:eastAsia="en-US"/>
        </w:rPr>
      </w:pPr>
      <w:r w:rsidRPr="007C3CE5">
        <w:rPr>
          <w:rFonts w:eastAsia="Calibri"/>
          <w:lang w:val="es-MX" w:eastAsia="en-US"/>
        </w:rPr>
        <w:t>Esta manifestación de hiperparatiroidismo secundario se observa al incrementarse la longevidad de los pacientes con fallo renal. Una completa evaluación del paciente puede ayudar a un correcto diagnóstico.</w:t>
      </w:r>
    </w:p>
    <w:p w14:paraId="12B21759" w14:textId="77777777" w:rsidR="007C3CE5" w:rsidRPr="007C3CE5" w:rsidRDefault="007C3CE5" w:rsidP="007C3CE5">
      <w:pPr>
        <w:suppressAutoHyphens/>
        <w:spacing w:line="360" w:lineRule="auto"/>
        <w:jc w:val="center"/>
        <w:rPr>
          <w:rFonts w:eastAsia="Calibri"/>
          <w:b/>
          <w:lang w:val="es-MX" w:eastAsia="en-US"/>
        </w:rPr>
      </w:pPr>
    </w:p>
    <w:p w14:paraId="553669C1" w14:textId="77777777" w:rsidR="007C3CE5" w:rsidRPr="007C3CE5" w:rsidRDefault="007C3CE5" w:rsidP="007C3CE5">
      <w:pPr>
        <w:suppressAutoHyphens/>
        <w:spacing w:line="360" w:lineRule="auto"/>
        <w:jc w:val="center"/>
        <w:rPr>
          <w:rFonts w:eastAsia="Calibri"/>
          <w:b/>
          <w:lang w:val="es-MX" w:eastAsia="en-US"/>
        </w:rPr>
      </w:pPr>
    </w:p>
    <w:p w14:paraId="73E1117B" w14:textId="77777777" w:rsidR="00EF7649" w:rsidRDefault="00EF7649">
      <w:pPr>
        <w:rPr>
          <w:rFonts w:eastAsia="Calibri"/>
          <w:b/>
          <w:sz w:val="32"/>
          <w:szCs w:val="32"/>
          <w:lang w:val="es-MX" w:eastAsia="en-US"/>
        </w:rPr>
      </w:pPr>
      <w:r>
        <w:rPr>
          <w:rFonts w:eastAsia="Calibri"/>
          <w:b/>
          <w:sz w:val="32"/>
          <w:szCs w:val="32"/>
          <w:lang w:val="es-MX" w:eastAsia="en-US"/>
        </w:rPr>
        <w:br w:type="page"/>
      </w:r>
    </w:p>
    <w:p w14:paraId="2383E256" w14:textId="0E9B38DC" w:rsidR="007C3CE5" w:rsidRPr="007C3CE5" w:rsidRDefault="007C3CE5" w:rsidP="007C3CE5">
      <w:pPr>
        <w:suppressAutoHyphens/>
        <w:spacing w:line="360" w:lineRule="auto"/>
        <w:jc w:val="center"/>
        <w:rPr>
          <w:rFonts w:eastAsia="Calibri"/>
          <w:b/>
          <w:sz w:val="32"/>
          <w:szCs w:val="32"/>
          <w:lang w:val="es-MX" w:eastAsia="en-US"/>
        </w:rPr>
      </w:pPr>
      <w:r w:rsidRPr="007C3CE5">
        <w:rPr>
          <w:rFonts w:eastAsia="Calibri"/>
          <w:b/>
          <w:sz w:val="32"/>
          <w:szCs w:val="32"/>
          <w:lang w:val="es-MX" w:eastAsia="en-US"/>
        </w:rPr>
        <w:lastRenderedPageBreak/>
        <w:t>REFERENCIAS BIBLIOGRÁFICAS</w:t>
      </w:r>
    </w:p>
    <w:p w14:paraId="158ED330" w14:textId="77777777" w:rsidR="007C3CE5" w:rsidRPr="007C3CE5" w:rsidRDefault="007C3CE5" w:rsidP="007C3CE5">
      <w:pPr>
        <w:suppressAutoHyphens/>
        <w:spacing w:line="360" w:lineRule="auto"/>
        <w:rPr>
          <w:rFonts w:eastAsia="Calibri"/>
          <w:lang w:val="en-US" w:eastAsia="en-US"/>
        </w:rPr>
      </w:pPr>
      <w:r w:rsidRPr="007C3CE5">
        <w:rPr>
          <w:rFonts w:eastAsia="Calibri"/>
          <w:lang w:val="es-MX" w:eastAsia="en-US"/>
        </w:rPr>
        <w:t xml:space="preserve">1. </w:t>
      </w:r>
      <w:proofErr w:type="spellStart"/>
      <w:r w:rsidRPr="007C3CE5">
        <w:rPr>
          <w:rFonts w:eastAsia="Calibri"/>
          <w:lang w:val="es-MX" w:eastAsia="en-US"/>
        </w:rPr>
        <w:t>Sutbeyaz</w:t>
      </w:r>
      <w:proofErr w:type="spellEnd"/>
      <w:r w:rsidRPr="007C3CE5">
        <w:rPr>
          <w:rFonts w:eastAsia="Calibri"/>
          <w:lang w:val="es-MX" w:eastAsia="en-US"/>
        </w:rPr>
        <w:t xml:space="preserve"> Y, </w:t>
      </w:r>
      <w:proofErr w:type="spellStart"/>
      <w:r w:rsidRPr="007C3CE5">
        <w:rPr>
          <w:rFonts w:eastAsia="Calibri"/>
          <w:lang w:val="es-MX" w:eastAsia="en-US"/>
        </w:rPr>
        <w:t>Yoruk</w:t>
      </w:r>
      <w:proofErr w:type="spellEnd"/>
      <w:r w:rsidRPr="007C3CE5">
        <w:rPr>
          <w:rFonts w:eastAsia="Calibri"/>
          <w:lang w:val="es-MX" w:eastAsia="en-US"/>
        </w:rPr>
        <w:t xml:space="preserve"> O, </w:t>
      </w:r>
      <w:proofErr w:type="spellStart"/>
      <w:r w:rsidRPr="007C3CE5">
        <w:rPr>
          <w:rFonts w:eastAsia="Calibri"/>
          <w:lang w:val="es-MX" w:eastAsia="en-US"/>
        </w:rPr>
        <w:t>Bilen</w:t>
      </w:r>
      <w:proofErr w:type="spellEnd"/>
      <w:r w:rsidRPr="007C3CE5">
        <w:rPr>
          <w:rFonts w:eastAsia="Calibri"/>
          <w:lang w:val="es-MX" w:eastAsia="en-US"/>
        </w:rPr>
        <w:t xml:space="preserve"> H, </w:t>
      </w:r>
      <w:proofErr w:type="spellStart"/>
      <w:r w:rsidRPr="007C3CE5">
        <w:rPr>
          <w:rFonts w:eastAsia="Calibri"/>
          <w:lang w:val="es-MX" w:eastAsia="en-US"/>
        </w:rPr>
        <w:t>Gursan</w:t>
      </w:r>
      <w:proofErr w:type="spellEnd"/>
      <w:r w:rsidRPr="007C3CE5">
        <w:rPr>
          <w:rFonts w:eastAsia="Calibri"/>
          <w:lang w:val="es-MX" w:eastAsia="en-US"/>
        </w:rPr>
        <w:t xml:space="preserve"> N. </w:t>
      </w:r>
      <w:proofErr w:type="spellStart"/>
      <w:r w:rsidRPr="007C3CE5">
        <w:rPr>
          <w:rFonts w:eastAsia="Calibri"/>
          <w:lang w:val="es-MX" w:eastAsia="en-US"/>
        </w:rPr>
        <w:t>Primary</w:t>
      </w:r>
      <w:proofErr w:type="spellEnd"/>
      <w:r w:rsidRPr="007C3CE5">
        <w:rPr>
          <w:rFonts w:eastAsia="Calibri"/>
          <w:lang w:val="es-MX" w:eastAsia="en-US"/>
        </w:rPr>
        <w:t xml:space="preserve"> </w:t>
      </w:r>
      <w:proofErr w:type="spellStart"/>
      <w:r w:rsidRPr="007C3CE5">
        <w:rPr>
          <w:rFonts w:eastAsia="Calibri"/>
          <w:lang w:val="es-MX" w:eastAsia="en-US"/>
        </w:rPr>
        <w:t>hyperparathyroidism</w:t>
      </w:r>
      <w:proofErr w:type="spellEnd"/>
      <w:r w:rsidRPr="007C3CE5">
        <w:rPr>
          <w:rFonts w:eastAsia="Calibri"/>
          <w:lang w:val="es-MX" w:eastAsia="en-US"/>
        </w:rPr>
        <w:t xml:space="preserve"> </w:t>
      </w:r>
      <w:proofErr w:type="spellStart"/>
      <w:r w:rsidRPr="007C3CE5">
        <w:rPr>
          <w:rFonts w:eastAsia="Calibri"/>
          <w:lang w:val="es-MX" w:eastAsia="en-US"/>
        </w:rPr>
        <w:t>presenting</w:t>
      </w:r>
      <w:proofErr w:type="spellEnd"/>
      <w:r w:rsidRPr="007C3CE5">
        <w:rPr>
          <w:rFonts w:eastAsia="Calibri"/>
          <w:lang w:val="es-MX" w:eastAsia="en-US"/>
        </w:rPr>
        <w:t xml:space="preserve"> as a palatal and mandibular Brown tumor. </w:t>
      </w:r>
      <w:r w:rsidRPr="007C3CE5">
        <w:rPr>
          <w:rFonts w:eastAsia="Calibri"/>
          <w:lang w:val="en-US" w:eastAsia="en-US"/>
        </w:rPr>
        <w:t xml:space="preserve">J </w:t>
      </w:r>
      <w:proofErr w:type="spellStart"/>
      <w:r w:rsidRPr="007C3CE5">
        <w:rPr>
          <w:rFonts w:eastAsia="Calibri"/>
          <w:lang w:val="en-US" w:eastAsia="en-US"/>
        </w:rPr>
        <w:t>Craniofac</w:t>
      </w:r>
      <w:proofErr w:type="spellEnd"/>
      <w:r w:rsidRPr="007C3CE5">
        <w:rPr>
          <w:rFonts w:eastAsia="Calibri"/>
          <w:lang w:val="en-US" w:eastAsia="en-US"/>
        </w:rPr>
        <w:t xml:space="preserve"> Surg. 2009; 20:2101–4. DOI: 10.1097/SCS.0b013e3181bec5f3</w:t>
      </w:r>
    </w:p>
    <w:p w14:paraId="23489907" w14:textId="77777777" w:rsidR="007C3CE5" w:rsidRPr="007C3CE5" w:rsidRDefault="007C3CE5" w:rsidP="007C3CE5">
      <w:pPr>
        <w:suppressAutoHyphens/>
        <w:spacing w:line="360" w:lineRule="auto"/>
        <w:rPr>
          <w:rFonts w:eastAsia="Calibri"/>
          <w:lang w:val="es-CU" w:eastAsia="en-US"/>
        </w:rPr>
      </w:pPr>
      <w:r w:rsidRPr="007C3CE5">
        <w:rPr>
          <w:rFonts w:eastAsia="Calibri"/>
          <w:lang w:val="en-US" w:eastAsia="en-US"/>
        </w:rPr>
        <w:t>2. Suarez-</w:t>
      </w:r>
      <w:proofErr w:type="spellStart"/>
      <w:r w:rsidRPr="007C3CE5">
        <w:rPr>
          <w:rFonts w:eastAsia="Calibri"/>
          <w:lang w:val="en-US" w:eastAsia="en-US"/>
        </w:rPr>
        <w:t>Cunqueiro</w:t>
      </w:r>
      <w:proofErr w:type="spellEnd"/>
      <w:r w:rsidRPr="007C3CE5">
        <w:rPr>
          <w:rFonts w:eastAsia="Calibri"/>
          <w:lang w:val="en-US" w:eastAsia="en-US"/>
        </w:rPr>
        <w:t xml:space="preserve"> MM, Schoen R, Kersten A, </w:t>
      </w:r>
      <w:proofErr w:type="spellStart"/>
      <w:r w:rsidRPr="007C3CE5">
        <w:rPr>
          <w:rFonts w:eastAsia="Calibri"/>
          <w:lang w:val="en-US" w:eastAsia="en-US"/>
        </w:rPr>
        <w:t>Klisch</w:t>
      </w:r>
      <w:proofErr w:type="spellEnd"/>
      <w:r w:rsidRPr="007C3CE5">
        <w:rPr>
          <w:rFonts w:eastAsia="Calibri"/>
          <w:lang w:val="en-US" w:eastAsia="en-US"/>
        </w:rPr>
        <w:t xml:space="preserve"> J, </w:t>
      </w:r>
      <w:proofErr w:type="spellStart"/>
      <w:r w:rsidRPr="007C3CE5">
        <w:rPr>
          <w:rFonts w:eastAsia="Calibri"/>
          <w:lang w:val="en-US" w:eastAsia="en-US"/>
        </w:rPr>
        <w:t>Schmelzeisen</w:t>
      </w:r>
      <w:proofErr w:type="spellEnd"/>
      <w:r w:rsidRPr="007C3CE5">
        <w:rPr>
          <w:rFonts w:eastAsia="Calibri"/>
          <w:lang w:val="en-US" w:eastAsia="en-US"/>
        </w:rPr>
        <w:t xml:space="preserve"> R. Brown tumor of the mandible as first manifestation of atypical parathyroid adenoma. </w:t>
      </w:r>
      <w:r w:rsidRPr="007C3CE5">
        <w:rPr>
          <w:rFonts w:eastAsia="Calibri"/>
          <w:lang w:val="es-CU" w:eastAsia="en-US"/>
        </w:rPr>
        <w:t xml:space="preserve">J Oral </w:t>
      </w:r>
      <w:proofErr w:type="spellStart"/>
      <w:r w:rsidRPr="007C3CE5">
        <w:rPr>
          <w:rFonts w:eastAsia="Calibri"/>
          <w:lang w:val="es-CU" w:eastAsia="en-US"/>
        </w:rPr>
        <w:t>Maxillofac</w:t>
      </w:r>
      <w:proofErr w:type="spellEnd"/>
      <w:r w:rsidRPr="007C3CE5">
        <w:rPr>
          <w:rFonts w:eastAsia="Calibri"/>
          <w:lang w:val="es-CU" w:eastAsia="en-US"/>
        </w:rPr>
        <w:t xml:space="preserve"> </w:t>
      </w:r>
      <w:proofErr w:type="spellStart"/>
      <w:r w:rsidRPr="007C3CE5">
        <w:rPr>
          <w:rFonts w:eastAsia="Calibri"/>
          <w:lang w:val="es-CU" w:eastAsia="en-US"/>
        </w:rPr>
        <w:t>Surg</w:t>
      </w:r>
      <w:proofErr w:type="spellEnd"/>
      <w:r w:rsidRPr="007C3CE5">
        <w:rPr>
          <w:rFonts w:eastAsia="Calibri"/>
          <w:lang w:val="es-CU" w:eastAsia="en-US"/>
        </w:rPr>
        <w:t xml:space="preserve">. 2004; 62(8):1024–8. </w:t>
      </w:r>
      <w:proofErr w:type="spellStart"/>
      <w:r w:rsidRPr="007C3CE5">
        <w:rPr>
          <w:rFonts w:eastAsia="Calibri"/>
          <w:lang w:val="es-CU" w:eastAsia="en-US"/>
        </w:rPr>
        <w:t>DOI</w:t>
      </w:r>
      <w:proofErr w:type="spellEnd"/>
      <w:r w:rsidRPr="007C3CE5">
        <w:rPr>
          <w:rFonts w:eastAsia="Calibri"/>
          <w:lang w:val="es-CU" w:eastAsia="en-US"/>
        </w:rPr>
        <w:t>: 10.1016/j.joms.2004.02.011</w:t>
      </w:r>
    </w:p>
    <w:p w14:paraId="33236B0C" w14:textId="77777777" w:rsidR="007C3CE5" w:rsidRPr="007C3CE5" w:rsidRDefault="007C3CE5" w:rsidP="007C3CE5">
      <w:pPr>
        <w:suppressAutoHyphens/>
        <w:spacing w:line="360" w:lineRule="auto"/>
        <w:rPr>
          <w:rFonts w:eastAsia="Calibri"/>
          <w:lang w:val="es-CU" w:eastAsia="en-US"/>
        </w:rPr>
      </w:pPr>
      <w:r w:rsidRPr="007C3CE5">
        <w:rPr>
          <w:rFonts w:eastAsia="Calibri"/>
          <w:lang w:val="es-CU" w:eastAsia="en-US"/>
        </w:rPr>
        <w:t xml:space="preserve">3. Ramos B, Pinero A, Illana J, Palazón T, Méndez S, Parrilla </w:t>
      </w:r>
      <w:proofErr w:type="spellStart"/>
      <w:r w:rsidRPr="007C3CE5">
        <w:rPr>
          <w:rFonts w:eastAsia="Calibri"/>
          <w:lang w:val="es-CU" w:eastAsia="en-US"/>
        </w:rPr>
        <w:t>Paricio</w:t>
      </w:r>
      <w:proofErr w:type="spellEnd"/>
      <w:r w:rsidRPr="007C3CE5">
        <w:rPr>
          <w:rFonts w:eastAsia="Calibri"/>
          <w:lang w:val="es-CU" w:eastAsia="en-US"/>
        </w:rPr>
        <w:t xml:space="preserve"> P. Tumor pardo maxilar como primera manifestación del hiperparatiroidismo primario. </w:t>
      </w:r>
      <w:proofErr w:type="spellStart"/>
      <w:r w:rsidRPr="007C3CE5">
        <w:rPr>
          <w:rFonts w:eastAsia="Calibri"/>
          <w:lang w:val="es-CU" w:eastAsia="en-US"/>
        </w:rPr>
        <w:t>Cir</w:t>
      </w:r>
      <w:proofErr w:type="spellEnd"/>
      <w:r w:rsidRPr="007C3CE5">
        <w:rPr>
          <w:rFonts w:eastAsia="Calibri"/>
          <w:lang w:val="es-CU" w:eastAsia="en-US"/>
        </w:rPr>
        <w:t xml:space="preserve"> Esp. 2001; 69(5):498–500. </w:t>
      </w:r>
      <w:proofErr w:type="spellStart"/>
      <w:r w:rsidRPr="007C3CE5">
        <w:rPr>
          <w:rFonts w:eastAsia="Calibri"/>
          <w:lang w:val="es-CU" w:eastAsia="en-US"/>
        </w:rPr>
        <w:t>DOI</w:t>
      </w:r>
      <w:proofErr w:type="spellEnd"/>
      <w:r w:rsidRPr="007C3CE5">
        <w:rPr>
          <w:rFonts w:eastAsia="Calibri"/>
          <w:lang w:val="es-CU" w:eastAsia="en-US"/>
        </w:rPr>
        <w:t>: 10.1016/S0009-739</w:t>
      </w:r>
      <w:proofErr w:type="gramStart"/>
      <w:r w:rsidRPr="007C3CE5">
        <w:rPr>
          <w:rFonts w:eastAsia="Calibri"/>
          <w:lang w:val="es-CU" w:eastAsia="en-US"/>
        </w:rPr>
        <w:t>X(</w:t>
      </w:r>
      <w:proofErr w:type="gramEnd"/>
      <w:r w:rsidRPr="007C3CE5">
        <w:rPr>
          <w:rFonts w:eastAsia="Calibri"/>
          <w:lang w:val="es-CU" w:eastAsia="en-US"/>
        </w:rPr>
        <w:t>01)71790-3</w:t>
      </w:r>
    </w:p>
    <w:p w14:paraId="70CE8C77" w14:textId="77777777" w:rsidR="007C3CE5" w:rsidRPr="007C3CE5" w:rsidRDefault="007C3CE5" w:rsidP="007C3CE5">
      <w:pPr>
        <w:suppressAutoHyphens/>
        <w:spacing w:line="360" w:lineRule="auto"/>
        <w:rPr>
          <w:rFonts w:eastAsia="Calibri"/>
          <w:lang w:val="es-CU" w:eastAsia="en-US"/>
        </w:rPr>
      </w:pPr>
      <w:r w:rsidRPr="007C3CE5">
        <w:rPr>
          <w:rFonts w:eastAsia="Calibri"/>
          <w:lang w:val="es-CU" w:eastAsia="en-US"/>
        </w:rPr>
        <w:t xml:space="preserve">4. </w:t>
      </w:r>
      <w:proofErr w:type="spellStart"/>
      <w:r w:rsidRPr="007C3CE5">
        <w:rPr>
          <w:rFonts w:eastAsia="Calibri"/>
          <w:lang w:val="es-CU" w:eastAsia="en-US"/>
        </w:rPr>
        <w:t>Gallana</w:t>
      </w:r>
      <w:proofErr w:type="spellEnd"/>
      <w:r w:rsidRPr="007C3CE5">
        <w:rPr>
          <w:rFonts w:eastAsia="Calibri"/>
          <w:lang w:val="es-CU" w:eastAsia="en-US"/>
        </w:rPr>
        <w:t xml:space="preserve"> Álvarez S, Salazar Fernández CI, </w:t>
      </w:r>
      <w:proofErr w:type="spellStart"/>
      <w:r w:rsidRPr="007C3CE5">
        <w:rPr>
          <w:rFonts w:eastAsia="Calibri"/>
          <w:lang w:val="es-CU" w:eastAsia="en-US"/>
        </w:rPr>
        <w:t>Avellá</w:t>
      </w:r>
      <w:proofErr w:type="spellEnd"/>
      <w:r w:rsidRPr="007C3CE5">
        <w:rPr>
          <w:rFonts w:eastAsia="Calibri"/>
          <w:lang w:val="es-CU" w:eastAsia="en-US"/>
        </w:rPr>
        <w:t xml:space="preserve"> Vecino </w:t>
      </w:r>
      <w:proofErr w:type="spellStart"/>
      <w:r w:rsidRPr="007C3CE5">
        <w:rPr>
          <w:rFonts w:eastAsia="Calibri"/>
          <w:lang w:val="es-CU" w:eastAsia="en-US"/>
        </w:rPr>
        <w:t>FJ</w:t>
      </w:r>
      <w:proofErr w:type="spellEnd"/>
      <w:r w:rsidRPr="007C3CE5">
        <w:rPr>
          <w:rFonts w:eastAsia="Calibri"/>
          <w:lang w:val="es-CU" w:eastAsia="en-US"/>
        </w:rPr>
        <w:t xml:space="preserve">, Torres Gómez J, Pérez Sánchez </w:t>
      </w:r>
      <w:proofErr w:type="spellStart"/>
      <w:r w:rsidRPr="007C3CE5">
        <w:rPr>
          <w:rFonts w:eastAsia="Calibri"/>
          <w:lang w:val="es-CU" w:eastAsia="en-US"/>
        </w:rPr>
        <w:t>JM</w:t>
      </w:r>
      <w:proofErr w:type="spellEnd"/>
      <w:r w:rsidRPr="007C3CE5">
        <w:rPr>
          <w:rFonts w:eastAsia="Calibri"/>
          <w:lang w:val="es-CU" w:eastAsia="en-US"/>
        </w:rPr>
        <w:t xml:space="preserve">. Tumor pardo maxilar: elemento diagnóstico de hiperparatiroidismo primario. </w:t>
      </w:r>
      <w:proofErr w:type="spellStart"/>
      <w:r w:rsidRPr="007C3CE5">
        <w:rPr>
          <w:rFonts w:eastAsia="Calibri"/>
          <w:lang w:val="es-CU" w:eastAsia="en-US"/>
        </w:rPr>
        <w:t>Rev</w:t>
      </w:r>
      <w:proofErr w:type="spellEnd"/>
      <w:r w:rsidRPr="007C3CE5">
        <w:rPr>
          <w:rFonts w:eastAsia="Calibri"/>
          <w:lang w:val="es-CU" w:eastAsia="en-US"/>
        </w:rPr>
        <w:t xml:space="preserve"> </w:t>
      </w:r>
      <w:proofErr w:type="spellStart"/>
      <w:r w:rsidRPr="007C3CE5">
        <w:rPr>
          <w:rFonts w:eastAsia="Calibri"/>
          <w:lang w:val="es-CU" w:eastAsia="en-US"/>
        </w:rPr>
        <w:t>Esp</w:t>
      </w:r>
      <w:proofErr w:type="spellEnd"/>
      <w:r w:rsidRPr="007C3CE5">
        <w:rPr>
          <w:rFonts w:eastAsia="Calibri"/>
          <w:lang w:val="es-CU" w:eastAsia="en-US"/>
        </w:rPr>
        <w:t xml:space="preserve"> </w:t>
      </w:r>
      <w:proofErr w:type="spellStart"/>
      <w:r w:rsidRPr="007C3CE5">
        <w:rPr>
          <w:rFonts w:eastAsia="Calibri"/>
          <w:lang w:val="es-CU" w:eastAsia="en-US"/>
        </w:rPr>
        <w:t>Cir</w:t>
      </w:r>
      <w:proofErr w:type="spellEnd"/>
      <w:r w:rsidRPr="007C3CE5">
        <w:rPr>
          <w:rFonts w:eastAsia="Calibri"/>
          <w:lang w:val="es-CU" w:eastAsia="en-US"/>
        </w:rPr>
        <w:t xml:space="preserve"> Oral </w:t>
      </w:r>
      <w:proofErr w:type="spellStart"/>
      <w:r w:rsidRPr="007C3CE5">
        <w:rPr>
          <w:rFonts w:eastAsia="Calibri"/>
          <w:lang w:val="es-CU" w:eastAsia="en-US"/>
        </w:rPr>
        <w:t>Maxilofac</w:t>
      </w:r>
      <w:proofErr w:type="spellEnd"/>
      <w:r w:rsidRPr="007C3CE5">
        <w:rPr>
          <w:rFonts w:eastAsia="Calibri"/>
          <w:lang w:val="es-CU" w:eastAsia="en-US"/>
        </w:rPr>
        <w:t xml:space="preserve">. 2015 [acceso: 04/04/2022]; 27(4):225–30. Disponible en: </w:t>
      </w:r>
      <w:hyperlink r:id="rId13" w:history="1">
        <w:r w:rsidRPr="007C3CE5">
          <w:rPr>
            <w:rFonts w:eastAsia="Calibri"/>
            <w:color w:val="0563C1"/>
            <w:u w:val="single"/>
            <w:lang w:val="es-CU" w:eastAsia="en-US"/>
          </w:rPr>
          <w:t>https://scielo.isciii.es/pdf/maxi/v27n4/en_caso2.pdf</w:t>
        </w:r>
      </w:hyperlink>
      <w:r w:rsidRPr="007C3CE5">
        <w:rPr>
          <w:rFonts w:eastAsia="Calibri"/>
          <w:lang w:val="es-CU" w:eastAsia="en-US"/>
        </w:rPr>
        <w:t xml:space="preserve"> </w:t>
      </w:r>
    </w:p>
    <w:p w14:paraId="3EEF9AA8"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 xml:space="preserve">5. </w:t>
      </w:r>
      <w:proofErr w:type="spellStart"/>
      <w:r w:rsidRPr="007C3CE5">
        <w:rPr>
          <w:rFonts w:eastAsia="Calibri"/>
          <w:lang w:val="en-US" w:eastAsia="en-US"/>
        </w:rPr>
        <w:t>Mirra</w:t>
      </w:r>
      <w:proofErr w:type="spellEnd"/>
      <w:r w:rsidRPr="007C3CE5">
        <w:rPr>
          <w:rFonts w:eastAsia="Calibri"/>
          <w:lang w:val="en-US" w:eastAsia="en-US"/>
        </w:rPr>
        <w:t xml:space="preserve"> JM. Bone Tumor. Clinical, Radiologic, and Pathologic Correlations. Philadelphia: PA, Lea &amp; </w:t>
      </w:r>
      <w:proofErr w:type="spellStart"/>
      <w:r w:rsidRPr="007C3CE5">
        <w:rPr>
          <w:rFonts w:eastAsia="Calibri"/>
          <w:lang w:val="en-US" w:eastAsia="en-US"/>
        </w:rPr>
        <w:t>Febiger</w:t>
      </w:r>
      <w:proofErr w:type="spellEnd"/>
      <w:r w:rsidRPr="007C3CE5">
        <w:rPr>
          <w:rFonts w:eastAsia="Calibri"/>
          <w:lang w:val="en-US" w:eastAsia="en-US"/>
        </w:rPr>
        <w:t xml:space="preserve">; 1989. </w:t>
      </w:r>
    </w:p>
    <w:p w14:paraId="090CE864"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 xml:space="preserve">6. Gleason BC, Kleinman PK, </w:t>
      </w:r>
      <w:proofErr w:type="spellStart"/>
      <w:r w:rsidRPr="007C3CE5">
        <w:rPr>
          <w:rFonts w:eastAsia="Calibri"/>
          <w:lang w:val="en-US" w:eastAsia="en-US"/>
        </w:rPr>
        <w:t>Debelenko</w:t>
      </w:r>
      <w:proofErr w:type="spellEnd"/>
      <w:r w:rsidRPr="007C3CE5">
        <w:rPr>
          <w:rFonts w:eastAsia="Calibri"/>
          <w:lang w:val="en-US" w:eastAsia="en-US"/>
        </w:rPr>
        <w:t xml:space="preserve"> LV, Rahbar R, Gebhardt MC, Pérez- </w:t>
      </w:r>
      <w:proofErr w:type="spellStart"/>
      <w:r w:rsidRPr="007C3CE5">
        <w:rPr>
          <w:rFonts w:eastAsia="Calibri"/>
          <w:lang w:val="en-US" w:eastAsia="en-US"/>
        </w:rPr>
        <w:t>Atayde</w:t>
      </w:r>
      <w:proofErr w:type="spellEnd"/>
      <w:r w:rsidRPr="007C3CE5">
        <w:rPr>
          <w:rFonts w:eastAsia="Calibri"/>
          <w:lang w:val="en-US" w:eastAsia="en-US"/>
        </w:rPr>
        <w:t xml:space="preserve"> AR. Novel karyotypes in giant cell-rich lesions of bone. Am J Surg </w:t>
      </w:r>
      <w:proofErr w:type="spellStart"/>
      <w:r w:rsidRPr="007C3CE5">
        <w:rPr>
          <w:rFonts w:eastAsia="Calibri"/>
          <w:lang w:val="en-US" w:eastAsia="en-US"/>
        </w:rPr>
        <w:t>Pathol</w:t>
      </w:r>
      <w:proofErr w:type="spellEnd"/>
      <w:r w:rsidRPr="007C3CE5">
        <w:rPr>
          <w:rFonts w:eastAsia="Calibri"/>
          <w:lang w:val="en-US" w:eastAsia="en-US"/>
        </w:rPr>
        <w:t>. 2007; 31(6):926-32. DOI: 10.1097/PAS.0b013e31802fb498</w:t>
      </w:r>
    </w:p>
    <w:p w14:paraId="4F3BF122" w14:textId="77777777" w:rsidR="007C3CE5" w:rsidRPr="007C3CE5" w:rsidRDefault="007C3CE5" w:rsidP="007C3CE5">
      <w:pPr>
        <w:suppressAutoHyphens/>
        <w:spacing w:line="360" w:lineRule="auto"/>
        <w:rPr>
          <w:rFonts w:eastAsia="Calibri"/>
          <w:lang w:val="es-CU" w:eastAsia="en-US"/>
        </w:rPr>
      </w:pPr>
      <w:r w:rsidRPr="007C3CE5">
        <w:rPr>
          <w:rFonts w:eastAsia="Calibri"/>
          <w:lang w:val="en-US" w:eastAsia="en-US"/>
        </w:rPr>
        <w:t xml:space="preserve">7. </w:t>
      </w:r>
      <w:proofErr w:type="spellStart"/>
      <w:r w:rsidRPr="007C3CE5">
        <w:rPr>
          <w:rFonts w:eastAsia="Calibri"/>
          <w:lang w:val="en-US" w:eastAsia="en-US"/>
        </w:rPr>
        <w:t>Chavin</w:t>
      </w:r>
      <w:proofErr w:type="spellEnd"/>
      <w:r w:rsidRPr="007C3CE5">
        <w:rPr>
          <w:rFonts w:eastAsia="Calibri"/>
          <w:lang w:val="en-US" w:eastAsia="en-US"/>
        </w:rPr>
        <w:t xml:space="preserve"> HC, </w:t>
      </w:r>
      <w:proofErr w:type="spellStart"/>
      <w:r w:rsidRPr="007C3CE5">
        <w:rPr>
          <w:rFonts w:eastAsia="Calibri"/>
          <w:lang w:val="en-US" w:eastAsia="en-US"/>
        </w:rPr>
        <w:t>Pisarevsky</w:t>
      </w:r>
      <w:proofErr w:type="spellEnd"/>
      <w:r w:rsidRPr="007C3CE5">
        <w:rPr>
          <w:rFonts w:eastAsia="Calibri"/>
          <w:lang w:val="en-US" w:eastAsia="en-US"/>
        </w:rPr>
        <w:t xml:space="preserve"> AA, </w:t>
      </w:r>
      <w:proofErr w:type="spellStart"/>
      <w:r w:rsidRPr="007C3CE5">
        <w:rPr>
          <w:rFonts w:eastAsia="Calibri"/>
          <w:lang w:val="en-US" w:eastAsia="en-US"/>
        </w:rPr>
        <w:t>Chavin</w:t>
      </w:r>
      <w:proofErr w:type="spellEnd"/>
      <w:r w:rsidRPr="007C3CE5">
        <w:rPr>
          <w:rFonts w:eastAsia="Calibri"/>
          <w:lang w:val="en-US" w:eastAsia="en-US"/>
        </w:rPr>
        <w:t xml:space="preserve"> C. Brown tumor as the initial manifestation of primary hyperparathyroidism. </w:t>
      </w:r>
      <w:r w:rsidRPr="007C3CE5">
        <w:rPr>
          <w:rFonts w:eastAsia="Calibri"/>
          <w:lang w:val="es-CU" w:eastAsia="en-US"/>
        </w:rPr>
        <w:t xml:space="preserve">Medicine. 2008 [acceso: 04/04/2022]; 68(3):219-21. Disponible en: </w:t>
      </w:r>
      <w:hyperlink r:id="rId14" w:history="1">
        <w:r w:rsidRPr="007C3CE5">
          <w:rPr>
            <w:rFonts w:eastAsia="Calibri"/>
            <w:color w:val="0563C1"/>
            <w:u w:val="single"/>
            <w:lang w:val="es-CU" w:eastAsia="en-US"/>
          </w:rPr>
          <w:t>https://pubmed.ncbi.nlm.nih.gov/18689153/</w:t>
        </w:r>
      </w:hyperlink>
      <w:r w:rsidRPr="007C3CE5">
        <w:rPr>
          <w:rFonts w:eastAsia="Calibri"/>
          <w:lang w:val="es-CU" w:eastAsia="en-US"/>
        </w:rPr>
        <w:t xml:space="preserve"> </w:t>
      </w:r>
    </w:p>
    <w:p w14:paraId="499E9704"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 xml:space="preserve">8. Angadi PV, Rekha K, Shetty SR. An exophytic mandibular brown tumor: an unusual presentation of primary hyperparathyroidism. Oral </w:t>
      </w:r>
      <w:proofErr w:type="spellStart"/>
      <w:r w:rsidRPr="007C3CE5">
        <w:rPr>
          <w:rFonts w:eastAsia="Calibri"/>
          <w:lang w:val="en-US" w:eastAsia="en-US"/>
        </w:rPr>
        <w:t>Maxillofac</w:t>
      </w:r>
      <w:proofErr w:type="spellEnd"/>
      <w:r w:rsidRPr="007C3CE5">
        <w:rPr>
          <w:rFonts w:eastAsia="Calibri"/>
          <w:lang w:val="en-US" w:eastAsia="en-US"/>
        </w:rPr>
        <w:t xml:space="preserve"> Surg. 2010; 14(1):67-9. DOI: 10.1007/s10006-009-0186-0</w:t>
      </w:r>
    </w:p>
    <w:p w14:paraId="64146358"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 xml:space="preserve">9. Sumer AP, Arik N, Sumer M, </w:t>
      </w:r>
      <w:proofErr w:type="spellStart"/>
      <w:r w:rsidRPr="007C3CE5">
        <w:rPr>
          <w:rFonts w:eastAsia="Calibri"/>
          <w:lang w:val="en-US" w:eastAsia="en-US"/>
        </w:rPr>
        <w:t>Karagoz</w:t>
      </w:r>
      <w:proofErr w:type="spellEnd"/>
      <w:r w:rsidRPr="007C3CE5">
        <w:rPr>
          <w:rFonts w:eastAsia="Calibri"/>
          <w:lang w:val="en-US" w:eastAsia="en-US"/>
        </w:rPr>
        <w:t xml:space="preserve"> F. A rare complication of secondary hyperparathyroidism. Brown tumor of the maxilla and mandible. Saudi Med J. 2004 [</w:t>
      </w:r>
      <w:proofErr w:type="spellStart"/>
      <w:r w:rsidRPr="007C3CE5">
        <w:rPr>
          <w:rFonts w:eastAsia="Calibri"/>
          <w:lang w:val="en-US" w:eastAsia="en-US"/>
        </w:rPr>
        <w:t>acceso</w:t>
      </w:r>
      <w:proofErr w:type="spellEnd"/>
      <w:r w:rsidRPr="007C3CE5">
        <w:rPr>
          <w:rFonts w:eastAsia="Calibri"/>
          <w:lang w:val="en-US" w:eastAsia="en-US"/>
        </w:rPr>
        <w:t xml:space="preserve">: 04/04/2022]; 25(12):2010-2. Disponible </w:t>
      </w:r>
      <w:proofErr w:type="spellStart"/>
      <w:r w:rsidRPr="007C3CE5">
        <w:rPr>
          <w:rFonts w:eastAsia="Calibri"/>
          <w:lang w:val="en-US" w:eastAsia="en-US"/>
        </w:rPr>
        <w:t>en</w:t>
      </w:r>
      <w:proofErr w:type="spellEnd"/>
      <w:r w:rsidRPr="007C3CE5">
        <w:rPr>
          <w:rFonts w:eastAsia="Calibri"/>
          <w:lang w:val="en-US" w:eastAsia="en-US"/>
        </w:rPr>
        <w:t>: https://pubmed.ncbi.nlm.nih.gov/15711688/</w:t>
      </w:r>
    </w:p>
    <w:p w14:paraId="7D342093"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lastRenderedPageBreak/>
        <w:t xml:space="preserve">10. </w:t>
      </w:r>
      <w:proofErr w:type="spellStart"/>
      <w:r w:rsidRPr="007C3CE5">
        <w:rPr>
          <w:rFonts w:eastAsia="Calibri"/>
          <w:lang w:val="en-US" w:eastAsia="en-US"/>
        </w:rPr>
        <w:t>Yamazaky</w:t>
      </w:r>
      <w:proofErr w:type="spellEnd"/>
      <w:r w:rsidRPr="007C3CE5">
        <w:rPr>
          <w:rFonts w:eastAsia="Calibri"/>
          <w:lang w:val="en-US" w:eastAsia="en-US"/>
        </w:rPr>
        <w:t xml:space="preserve"> H, Ota Y, Aoki T, </w:t>
      </w:r>
      <w:proofErr w:type="spellStart"/>
      <w:r w:rsidRPr="007C3CE5">
        <w:rPr>
          <w:rFonts w:eastAsia="Calibri"/>
          <w:lang w:val="en-US" w:eastAsia="en-US"/>
        </w:rPr>
        <w:t>Karakida</w:t>
      </w:r>
      <w:proofErr w:type="spellEnd"/>
      <w:r w:rsidRPr="007C3CE5">
        <w:rPr>
          <w:rFonts w:eastAsia="Calibri"/>
          <w:lang w:val="en-US" w:eastAsia="en-US"/>
        </w:rPr>
        <w:t xml:space="preserve"> K. Brown tumor of the maxilla and mandible: progressive mandibular brown tumor after removal of parathyroid adenoma. J Oral </w:t>
      </w:r>
      <w:proofErr w:type="spellStart"/>
      <w:r w:rsidRPr="007C3CE5">
        <w:rPr>
          <w:rFonts w:eastAsia="Calibri"/>
          <w:lang w:val="en-US" w:eastAsia="en-US"/>
        </w:rPr>
        <w:t>Maxillofac</w:t>
      </w:r>
      <w:proofErr w:type="spellEnd"/>
      <w:r w:rsidRPr="007C3CE5">
        <w:rPr>
          <w:rFonts w:eastAsia="Calibri"/>
          <w:lang w:val="en-US" w:eastAsia="en-US"/>
        </w:rPr>
        <w:t xml:space="preserve"> Surg. 2003; 61(6):719-22. DOI: 10.1053/joms.2003.50142</w:t>
      </w:r>
    </w:p>
    <w:p w14:paraId="53D2A009"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 xml:space="preserve">11. Kar DK, Gupta SK, Agarwal A, Mishra SK. Brown tumor of the palate and mandible in association with primary hyperparathyroidism. J Oral </w:t>
      </w:r>
      <w:proofErr w:type="spellStart"/>
      <w:r w:rsidRPr="007C3CE5">
        <w:rPr>
          <w:rFonts w:eastAsia="Calibri"/>
          <w:lang w:val="en-US" w:eastAsia="en-US"/>
        </w:rPr>
        <w:t>Maxillofac</w:t>
      </w:r>
      <w:proofErr w:type="spellEnd"/>
      <w:r w:rsidRPr="007C3CE5">
        <w:rPr>
          <w:rFonts w:eastAsia="Calibri"/>
          <w:lang w:val="en-US" w:eastAsia="en-US"/>
        </w:rPr>
        <w:t xml:space="preserve"> Surg. 2001; 59(11):1352-4. DOI: 10.1053/joms.2001.27533</w:t>
      </w:r>
    </w:p>
    <w:p w14:paraId="52526431" w14:textId="77777777" w:rsidR="007C3CE5" w:rsidRPr="007C3CE5" w:rsidRDefault="007C3CE5" w:rsidP="007C3CE5">
      <w:pPr>
        <w:suppressAutoHyphens/>
        <w:spacing w:line="360" w:lineRule="auto"/>
        <w:rPr>
          <w:rFonts w:eastAsia="Calibri"/>
          <w:lang w:val="en-US" w:eastAsia="en-US"/>
        </w:rPr>
      </w:pPr>
      <w:r w:rsidRPr="007C3CE5">
        <w:rPr>
          <w:rFonts w:eastAsia="Calibri"/>
          <w:lang w:val="en-US" w:eastAsia="en-US"/>
        </w:rPr>
        <w:t>12. Agarwal G, Mishra SK, Kar DK, Singh AK, Arya V, Gupta SK, et al. Recovery pattern of patients with osteitis fibrosa cystica in primary hyperparathyroidism after successful parathyroidectomy. Surgery. 2002;132(6):1075-85. DOI: 10.1067/msy.2002.128484</w:t>
      </w:r>
    </w:p>
    <w:p w14:paraId="3DDA8D5C" w14:textId="77777777" w:rsidR="007C3CE5" w:rsidRPr="007C3CE5" w:rsidRDefault="007C3CE5" w:rsidP="007C3CE5">
      <w:pPr>
        <w:suppressAutoHyphens/>
        <w:spacing w:line="360" w:lineRule="auto"/>
        <w:rPr>
          <w:rFonts w:eastAsia="Calibri"/>
          <w:lang w:val="es-CU" w:eastAsia="en-US"/>
        </w:rPr>
      </w:pPr>
      <w:r w:rsidRPr="007C3CE5">
        <w:rPr>
          <w:rFonts w:eastAsia="Calibri"/>
          <w:lang w:val="en-US" w:eastAsia="en-US"/>
        </w:rPr>
        <w:t xml:space="preserve">13. </w:t>
      </w:r>
      <w:proofErr w:type="spellStart"/>
      <w:r w:rsidRPr="007C3CE5">
        <w:rPr>
          <w:rFonts w:eastAsia="Calibri"/>
          <w:lang w:val="en-US" w:eastAsia="en-US"/>
        </w:rPr>
        <w:t>Lessa</w:t>
      </w:r>
      <w:proofErr w:type="spellEnd"/>
      <w:r w:rsidRPr="007C3CE5">
        <w:rPr>
          <w:rFonts w:eastAsia="Calibri"/>
          <w:lang w:val="en-US" w:eastAsia="en-US"/>
        </w:rPr>
        <w:t xml:space="preserve"> MM, Sakae FA, Tsuji </w:t>
      </w:r>
      <w:proofErr w:type="spellStart"/>
      <w:r w:rsidRPr="007C3CE5">
        <w:rPr>
          <w:rFonts w:eastAsia="Calibri"/>
          <w:lang w:val="en-US" w:eastAsia="en-US"/>
        </w:rPr>
        <w:t>RK</w:t>
      </w:r>
      <w:proofErr w:type="spellEnd"/>
      <w:r w:rsidRPr="007C3CE5">
        <w:rPr>
          <w:rFonts w:eastAsia="Calibri"/>
          <w:lang w:val="en-US" w:eastAsia="en-US"/>
        </w:rPr>
        <w:t xml:space="preserve">, </w:t>
      </w:r>
      <w:proofErr w:type="spellStart"/>
      <w:r w:rsidRPr="007C3CE5">
        <w:rPr>
          <w:rFonts w:eastAsia="Calibri"/>
          <w:lang w:val="en-US" w:eastAsia="en-US"/>
        </w:rPr>
        <w:t>Aráujo</w:t>
      </w:r>
      <w:proofErr w:type="spellEnd"/>
      <w:r w:rsidRPr="007C3CE5">
        <w:rPr>
          <w:rFonts w:eastAsia="Calibri"/>
          <w:lang w:val="en-US" w:eastAsia="en-US"/>
        </w:rPr>
        <w:t xml:space="preserve"> BC, </w:t>
      </w:r>
      <w:proofErr w:type="spellStart"/>
      <w:r w:rsidRPr="007C3CE5">
        <w:rPr>
          <w:rFonts w:eastAsia="Calibri"/>
          <w:lang w:val="en-US" w:eastAsia="en-US"/>
        </w:rPr>
        <w:t>Voegels</w:t>
      </w:r>
      <w:proofErr w:type="spellEnd"/>
      <w:r w:rsidRPr="007C3CE5">
        <w:rPr>
          <w:rFonts w:eastAsia="Calibri"/>
          <w:lang w:val="en-US" w:eastAsia="en-US"/>
        </w:rPr>
        <w:t xml:space="preserve"> </w:t>
      </w:r>
      <w:proofErr w:type="spellStart"/>
      <w:r w:rsidRPr="007C3CE5">
        <w:rPr>
          <w:rFonts w:eastAsia="Calibri"/>
          <w:lang w:val="en-US" w:eastAsia="en-US"/>
        </w:rPr>
        <w:t>RL</w:t>
      </w:r>
      <w:proofErr w:type="spellEnd"/>
      <w:r w:rsidRPr="007C3CE5">
        <w:rPr>
          <w:rFonts w:eastAsia="Calibri"/>
          <w:lang w:val="en-US" w:eastAsia="en-US"/>
        </w:rPr>
        <w:t xml:space="preserve">, </w:t>
      </w:r>
      <w:proofErr w:type="spellStart"/>
      <w:r w:rsidRPr="007C3CE5">
        <w:rPr>
          <w:rFonts w:eastAsia="Calibri"/>
          <w:lang w:val="en-US" w:eastAsia="en-US"/>
        </w:rPr>
        <w:t>Butugan</w:t>
      </w:r>
      <w:proofErr w:type="spellEnd"/>
      <w:r w:rsidRPr="007C3CE5">
        <w:rPr>
          <w:rFonts w:eastAsia="Calibri"/>
          <w:lang w:val="en-US" w:eastAsia="en-US"/>
        </w:rPr>
        <w:t xml:space="preserve"> O. Brown tumor of the facial bones: case report and literature review. </w:t>
      </w:r>
      <w:proofErr w:type="spellStart"/>
      <w:r w:rsidRPr="007C3CE5">
        <w:rPr>
          <w:rFonts w:eastAsia="Calibri"/>
          <w:lang w:val="es-CU" w:eastAsia="en-US"/>
        </w:rPr>
        <w:t>Ear</w:t>
      </w:r>
      <w:proofErr w:type="spellEnd"/>
      <w:r w:rsidRPr="007C3CE5">
        <w:rPr>
          <w:rFonts w:eastAsia="Calibri"/>
          <w:lang w:val="es-CU" w:eastAsia="en-US"/>
        </w:rPr>
        <w:t xml:space="preserve"> </w:t>
      </w:r>
      <w:proofErr w:type="spellStart"/>
      <w:r w:rsidRPr="007C3CE5">
        <w:rPr>
          <w:rFonts w:eastAsia="Calibri"/>
          <w:lang w:val="es-CU" w:eastAsia="en-US"/>
        </w:rPr>
        <w:t>Nose</w:t>
      </w:r>
      <w:proofErr w:type="spellEnd"/>
      <w:r w:rsidRPr="007C3CE5">
        <w:rPr>
          <w:rFonts w:eastAsia="Calibri"/>
          <w:lang w:val="es-CU" w:eastAsia="en-US"/>
        </w:rPr>
        <w:t xml:space="preserve"> </w:t>
      </w:r>
      <w:proofErr w:type="spellStart"/>
      <w:r w:rsidRPr="007C3CE5">
        <w:rPr>
          <w:rFonts w:eastAsia="Calibri"/>
          <w:lang w:val="es-CU" w:eastAsia="en-US"/>
        </w:rPr>
        <w:t>Throat</w:t>
      </w:r>
      <w:proofErr w:type="spellEnd"/>
      <w:r w:rsidRPr="007C3CE5">
        <w:rPr>
          <w:rFonts w:eastAsia="Calibri"/>
          <w:lang w:val="es-CU" w:eastAsia="en-US"/>
        </w:rPr>
        <w:t xml:space="preserve"> J. 2005 [acceso: 04/04/2022]; 84(7):432-4. Disponible en: </w:t>
      </w:r>
      <w:hyperlink r:id="rId15" w:history="1">
        <w:r w:rsidRPr="007C3CE5">
          <w:rPr>
            <w:rFonts w:eastAsia="Calibri"/>
            <w:color w:val="0563C1"/>
            <w:u w:val="single"/>
            <w:lang w:val="es-CU" w:eastAsia="en-US"/>
          </w:rPr>
          <w:t>https://journals.sagepub.com/doi/pdf/10.1177/014556130508400714</w:t>
        </w:r>
      </w:hyperlink>
      <w:r w:rsidRPr="007C3CE5">
        <w:rPr>
          <w:rFonts w:eastAsia="Calibri"/>
          <w:lang w:val="es-CU" w:eastAsia="en-US"/>
        </w:rPr>
        <w:t xml:space="preserve"> </w:t>
      </w:r>
    </w:p>
    <w:p w14:paraId="046DC8EF" w14:textId="77777777" w:rsidR="007C3CE5" w:rsidRPr="007C3CE5" w:rsidRDefault="007C3CE5" w:rsidP="007C3CE5">
      <w:pPr>
        <w:suppressAutoHyphens/>
        <w:spacing w:line="360" w:lineRule="auto"/>
        <w:ind w:left="284"/>
        <w:jc w:val="both"/>
        <w:rPr>
          <w:rFonts w:eastAsia="Calibri"/>
          <w:lang w:val="es-CU" w:eastAsia="en-US"/>
        </w:rPr>
      </w:pPr>
    </w:p>
    <w:p w14:paraId="02C22962" w14:textId="77777777" w:rsidR="007C3CE5" w:rsidRPr="007C3CE5" w:rsidRDefault="007C3CE5" w:rsidP="007C3CE5">
      <w:pPr>
        <w:suppressAutoHyphens/>
        <w:spacing w:line="360" w:lineRule="auto"/>
        <w:ind w:left="284"/>
        <w:rPr>
          <w:rFonts w:eastAsia="Calibri"/>
          <w:color w:val="000000"/>
          <w:lang w:val="es-CU" w:eastAsia="en-US"/>
        </w:rPr>
      </w:pPr>
    </w:p>
    <w:p w14:paraId="6DBA3CB0" w14:textId="77777777" w:rsidR="007C3CE5" w:rsidRPr="007C3CE5" w:rsidRDefault="007C3CE5" w:rsidP="007C3CE5">
      <w:pPr>
        <w:suppressAutoHyphens/>
        <w:spacing w:line="360" w:lineRule="auto"/>
        <w:ind w:left="-142"/>
        <w:jc w:val="center"/>
        <w:rPr>
          <w:rFonts w:eastAsia="Calibri"/>
          <w:b/>
          <w:bCs/>
          <w:color w:val="000000"/>
          <w:lang w:val="es-CU" w:eastAsia="en-US"/>
        </w:rPr>
      </w:pPr>
      <w:r w:rsidRPr="007C3CE5">
        <w:rPr>
          <w:rFonts w:eastAsia="Calibri"/>
          <w:b/>
          <w:bCs/>
          <w:color w:val="000000"/>
          <w:lang w:val="es-CU" w:eastAsia="en-US"/>
        </w:rPr>
        <w:t>Conflictos de interés</w:t>
      </w:r>
    </w:p>
    <w:p w14:paraId="1CB70C9A" w14:textId="77777777" w:rsidR="007C3CE5" w:rsidRPr="007C3CE5" w:rsidRDefault="007C3CE5" w:rsidP="007C3CE5">
      <w:pPr>
        <w:suppressAutoHyphens/>
        <w:spacing w:line="360" w:lineRule="auto"/>
        <w:ind w:left="-142"/>
        <w:rPr>
          <w:rFonts w:eastAsia="Calibri"/>
          <w:color w:val="000000"/>
          <w:lang w:val="es-CU" w:eastAsia="en-US"/>
        </w:rPr>
      </w:pPr>
      <w:r w:rsidRPr="007C3CE5">
        <w:rPr>
          <w:rFonts w:eastAsia="Calibri"/>
          <w:color w:val="000000"/>
          <w:lang w:val="es-CU" w:eastAsia="en-US"/>
        </w:rPr>
        <w:t>Los autores no presentan conflicto de intereses.</w:t>
      </w:r>
    </w:p>
    <w:p w14:paraId="5FDF3309" w14:textId="77777777" w:rsidR="00675476" w:rsidRPr="0055115D" w:rsidRDefault="00675476" w:rsidP="00EA1FEF">
      <w:pPr>
        <w:pStyle w:val="PDFRevista"/>
      </w:pPr>
    </w:p>
    <w:sectPr w:rsidR="00675476" w:rsidRPr="0055115D"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5187" w14:textId="77777777" w:rsidR="007F09A0" w:rsidRDefault="007F09A0">
      <w:r>
        <w:separator/>
      </w:r>
    </w:p>
  </w:endnote>
  <w:endnote w:type="continuationSeparator" w:id="0">
    <w:p w14:paraId="5E6F7613" w14:textId="77777777" w:rsidR="007F09A0" w:rsidRDefault="007F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06B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46C25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47B4" w14:textId="38013699" w:rsidR="000F3690" w:rsidRPr="00AE044C" w:rsidRDefault="007C3CE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CEBB72F" wp14:editId="21BF03CB">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AD6BE5"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731A307"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064806D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143AD134" w14:textId="465E2B8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7C3CE5" w:rsidRPr="007C3CE5">
      <w:rPr>
        <w:rFonts w:ascii="Verdana" w:hAnsi="Verdana"/>
        <w:noProof/>
        <w:sz w:val="18"/>
        <w:szCs w:val="18"/>
        <w:lang w:val="en-US" w:eastAsia="en-US"/>
      </w:rPr>
      <w:drawing>
        <wp:inline distT="0" distB="0" distL="0" distR="0" wp14:anchorId="09DF5C05" wp14:editId="4150732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ED9B" w14:textId="77777777" w:rsidR="007F09A0" w:rsidRDefault="007F09A0">
      <w:r>
        <w:separator/>
      </w:r>
    </w:p>
  </w:footnote>
  <w:footnote w:type="continuationSeparator" w:id="0">
    <w:p w14:paraId="4129F260" w14:textId="77777777" w:rsidR="007F09A0" w:rsidRDefault="007F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A709" w14:textId="2B882067" w:rsidR="00CC376A" w:rsidRPr="00AE044C" w:rsidRDefault="007C3CE5"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r>
      <w:rPr>
        <w:sz w:val="22"/>
        <w:szCs w:val="22"/>
      </w:rPr>
      <w:t>e</w:t>
    </w:r>
    <w:proofErr w:type="gramEnd"/>
    <w:r>
      <w:rPr>
        <w:sz w:val="22"/>
        <w:szCs w:val="22"/>
      </w:rPr>
      <w:t>02202033</w:t>
    </w:r>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2A07BDEA" wp14:editId="6ACBE7CA">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A3DE30" w14:textId="580D322D" w:rsidR="00A477DE" w:rsidRDefault="007C3CE5">
    <w:r>
      <w:rPr>
        <w:noProof/>
      </w:rPr>
      <mc:AlternateContent>
        <mc:Choice Requires="wps">
          <w:drawing>
            <wp:anchor distT="0" distB="0" distL="114300" distR="114300" simplePos="0" relativeHeight="251654144" behindDoc="0" locked="0" layoutInCell="1" allowOverlap="1" wp14:anchorId="060D726F" wp14:editId="32E6B727">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BF4C9AE"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97684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E5"/>
    <w:rsid w:val="00003F44"/>
    <w:rsid w:val="00012E48"/>
    <w:rsid w:val="00057F45"/>
    <w:rsid w:val="000D3958"/>
    <w:rsid w:val="000E3389"/>
    <w:rsid w:val="000F3690"/>
    <w:rsid w:val="001221D1"/>
    <w:rsid w:val="00165CB5"/>
    <w:rsid w:val="00180CE9"/>
    <w:rsid w:val="002040B1"/>
    <w:rsid w:val="00230DD5"/>
    <w:rsid w:val="00250AE9"/>
    <w:rsid w:val="00380D64"/>
    <w:rsid w:val="00391509"/>
    <w:rsid w:val="003E03D5"/>
    <w:rsid w:val="00486BFA"/>
    <w:rsid w:val="00493701"/>
    <w:rsid w:val="004E2065"/>
    <w:rsid w:val="005508A2"/>
    <w:rsid w:val="0055115D"/>
    <w:rsid w:val="00566F71"/>
    <w:rsid w:val="005918BD"/>
    <w:rsid w:val="005F4DBE"/>
    <w:rsid w:val="006173A6"/>
    <w:rsid w:val="00675476"/>
    <w:rsid w:val="007C3CE5"/>
    <w:rsid w:val="007C430F"/>
    <w:rsid w:val="007D2D0C"/>
    <w:rsid w:val="007D614D"/>
    <w:rsid w:val="007F09A0"/>
    <w:rsid w:val="00957E5F"/>
    <w:rsid w:val="00960D6A"/>
    <w:rsid w:val="009A0560"/>
    <w:rsid w:val="009B0917"/>
    <w:rsid w:val="009F0F96"/>
    <w:rsid w:val="00A23C0C"/>
    <w:rsid w:val="00A477DE"/>
    <w:rsid w:val="00A71E65"/>
    <w:rsid w:val="00AE044C"/>
    <w:rsid w:val="00B20728"/>
    <w:rsid w:val="00B31971"/>
    <w:rsid w:val="00B4380A"/>
    <w:rsid w:val="00B66ECB"/>
    <w:rsid w:val="00C7523A"/>
    <w:rsid w:val="00CC1B6E"/>
    <w:rsid w:val="00CC376A"/>
    <w:rsid w:val="00CC48A1"/>
    <w:rsid w:val="00CF50E0"/>
    <w:rsid w:val="00D85951"/>
    <w:rsid w:val="00E62606"/>
    <w:rsid w:val="00EA1FEF"/>
    <w:rsid w:val="00EC5A6B"/>
    <w:rsid w:val="00EE301D"/>
    <w:rsid w:val="00EF7649"/>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1B49"/>
  <w15:docId w15:val="{77ABFD73-AA40-41E8-94C4-8F81B392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742-5850" TargetMode="External"/><Relationship Id="rId13" Type="http://schemas.openxmlformats.org/officeDocument/2006/relationships/hyperlink" Target="https://scielo.isciii.es/pdf/maxi/v27n4/en_caso2.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3205-5340"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journals.sagepub.com/doi/pdf/10.1177/014556130508400714"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dc82@nauta.cu" TargetMode="External"/><Relationship Id="rId14" Type="http://schemas.openxmlformats.org/officeDocument/2006/relationships/hyperlink" Target="https://pubmed.ncbi.nlm.nih.gov/18689153/"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9</Pages>
  <Words>2255</Words>
  <Characters>12405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14631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11</cp:revision>
  <cp:lastPrinted>2022-07-25T16:08:00Z</cp:lastPrinted>
  <dcterms:created xsi:type="dcterms:W3CDTF">2022-07-25T15:59:00Z</dcterms:created>
  <dcterms:modified xsi:type="dcterms:W3CDTF">2022-07-25T16:11:00Z</dcterms:modified>
</cp:coreProperties>
</file>