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627A" w14:textId="77777777" w:rsidR="00AD7EBB" w:rsidRPr="00AD7EBB" w:rsidRDefault="00AD7EBB" w:rsidP="00AD7EBB">
      <w:pPr>
        <w:tabs>
          <w:tab w:val="left" w:pos="0"/>
        </w:tabs>
        <w:spacing w:line="360" w:lineRule="auto"/>
        <w:ind w:right="-567"/>
        <w:jc w:val="right"/>
        <w:rPr>
          <w:sz w:val="20"/>
          <w:szCs w:val="20"/>
          <w:lang w:val="es-PE" w:eastAsia="es-MX"/>
        </w:rPr>
      </w:pPr>
      <w:r w:rsidRPr="00AD7EBB">
        <w:rPr>
          <w:sz w:val="20"/>
          <w:szCs w:val="20"/>
          <w:lang w:val="es-PE" w:eastAsia="es-MX"/>
        </w:rPr>
        <w:t>Artículo de investigación</w:t>
      </w:r>
    </w:p>
    <w:p w14:paraId="0419B27F" w14:textId="77777777" w:rsidR="00AD7EBB" w:rsidRPr="00AD7EBB" w:rsidRDefault="00AD7EBB" w:rsidP="00AD7EBB">
      <w:pPr>
        <w:tabs>
          <w:tab w:val="left" w:pos="0"/>
        </w:tabs>
        <w:spacing w:line="360" w:lineRule="auto"/>
        <w:ind w:right="-567"/>
        <w:rPr>
          <w:color w:val="FF0000"/>
          <w:lang w:val="es-PE" w:eastAsia="es-MX"/>
        </w:rPr>
      </w:pPr>
    </w:p>
    <w:p w14:paraId="68E1733F" w14:textId="77777777" w:rsidR="00AD7EBB" w:rsidRPr="00AD7EBB" w:rsidRDefault="00AD7EBB" w:rsidP="00AD7EBB">
      <w:pPr>
        <w:tabs>
          <w:tab w:val="left" w:pos="0"/>
        </w:tabs>
        <w:spacing w:line="360" w:lineRule="auto"/>
        <w:ind w:right="-567"/>
        <w:jc w:val="center"/>
        <w:rPr>
          <w:b/>
          <w:sz w:val="28"/>
          <w:szCs w:val="28"/>
          <w:lang w:val="es-PE" w:eastAsia="es-MX"/>
        </w:rPr>
      </w:pPr>
      <w:r w:rsidRPr="00AD7EBB">
        <w:rPr>
          <w:b/>
          <w:sz w:val="28"/>
          <w:szCs w:val="28"/>
          <w:lang w:val="es-PE" w:eastAsia="es-MX"/>
        </w:rPr>
        <w:t>Factores relacionados con el estrés postraumático en pacientes con alta médica por la COVID-19</w:t>
      </w:r>
    </w:p>
    <w:p w14:paraId="2C0F322C" w14:textId="77777777" w:rsidR="00AD7EBB" w:rsidRPr="00AD7EBB" w:rsidRDefault="00AD7EBB" w:rsidP="00AD7EBB">
      <w:pPr>
        <w:tabs>
          <w:tab w:val="left" w:pos="0"/>
        </w:tabs>
        <w:spacing w:line="360" w:lineRule="auto"/>
        <w:ind w:right="-567"/>
        <w:jc w:val="center"/>
        <w:rPr>
          <w:b/>
          <w:sz w:val="28"/>
          <w:szCs w:val="28"/>
          <w:lang w:val="en-US" w:eastAsia="es-MX"/>
        </w:rPr>
      </w:pPr>
      <w:r w:rsidRPr="00AD7EBB">
        <w:rPr>
          <w:sz w:val="28"/>
          <w:szCs w:val="28"/>
          <w:lang w:val="en-US" w:eastAsia="es-MX"/>
        </w:rPr>
        <w:t>Factors related to post-traumatic stress in patients with medical discharge due to COVID-19</w:t>
      </w:r>
    </w:p>
    <w:p w14:paraId="5E04863E" w14:textId="77777777" w:rsidR="00AD7EBB" w:rsidRPr="00AD7EBB" w:rsidRDefault="00AD7EBB" w:rsidP="00AD7EBB">
      <w:pPr>
        <w:spacing w:line="360" w:lineRule="auto"/>
        <w:rPr>
          <w:lang w:val="en-US" w:eastAsia="es-MX"/>
        </w:rPr>
      </w:pPr>
    </w:p>
    <w:p w14:paraId="6E9EE491" w14:textId="3FE6773E" w:rsidR="00AD7EBB" w:rsidRPr="00AD7EBB" w:rsidRDefault="00AD7EBB" w:rsidP="00AD7EBB">
      <w:pPr>
        <w:spacing w:line="360" w:lineRule="auto"/>
        <w:rPr>
          <w:color w:val="0000FF"/>
          <w:u w:val="single"/>
          <w:lang w:val="es-PE" w:eastAsia="es-MX"/>
        </w:rPr>
      </w:pPr>
      <w:bookmarkStart w:id="0" w:name="_Hlk113137373"/>
      <w:r w:rsidRPr="00AD7EBB">
        <w:rPr>
          <w:lang w:val="es-PE" w:eastAsia="es-MX"/>
        </w:rPr>
        <w:t xml:space="preserve">Miguel Eduardo Rioja </w:t>
      </w:r>
      <w:proofErr w:type="spellStart"/>
      <w:r w:rsidRPr="00AD7EBB">
        <w:rPr>
          <w:lang w:val="es-PE" w:eastAsia="es-MX"/>
        </w:rPr>
        <w:t>Castañeda</w:t>
      </w:r>
      <w:r w:rsidRPr="00AD7EBB">
        <w:rPr>
          <w:vertAlign w:val="superscript"/>
          <w:lang w:val="es-PE" w:eastAsia="es-MX"/>
        </w:rPr>
        <w:t>1</w:t>
      </w:r>
      <w:proofErr w:type="spellEnd"/>
      <w:r w:rsidRPr="00AD7EBB">
        <w:rPr>
          <w:vertAlign w:val="superscript"/>
          <w:lang w:val="es-PE" w:eastAsia="es-MX"/>
        </w:rPr>
        <w:t xml:space="preserve"> </w:t>
      </w:r>
      <w:hyperlink r:id="rId7">
        <w:r w:rsidRPr="00AD7EBB">
          <w:rPr>
            <w:color w:val="0000FF"/>
            <w:u w:val="single"/>
            <w:lang w:val="es-PE" w:eastAsia="es-MX"/>
          </w:rPr>
          <w:t>https://orcid.org/0000-0001-9320-6136</w:t>
        </w:r>
      </w:hyperlink>
    </w:p>
    <w:p w14:paraId="60B38C07" w14:textId="77777777" w:rsidR="00AD7EBB" w:rsidRPr="00AD7EBB" w:rsidRDefault="00AD7EBB" w:rsidP="00AD7EBB">
      <w:pPr>
        <w:spacing w:line="360" w:lineRule="auto"/>
        <w:rPr>
          <w:lang w:val="es-PE" w:eastAsia="es-MX"/>
        </w:rPr>
      </w:pPr>
      <w:r w:rsidRPr="00AD7EBB">
        <w:rPr>
          <w:lang w:val="es-PE" w:eastAsia="es-MX"/>
        </w:rPr>
        <w:t xml:space="preserve">Henry Santa Cruz </w:t>
      </w:r>
      <w:proofErr w:type="spellStart"/>
      <w:r w:rsidRPr="00AD7EBB">
        <w:rPr>
          <w:lang w:val="es-PE" w:eastAsia="es-MX"/>
        </w:rPr>
        <w:t>Espinoza</w:t>
      </w:r>
      <w:bookmarkEnd w:id="0"/>
      <w:r w:rsidRPr="00AD7EBB">
        <w:rPr>
          <w:vertAlign w:val="superscript"/>
          <w:lang w:val="es-PE" w:eastAsia="es-MX"/>
        </w:rPr>
        <w:t>2</w:t>
      </w:r>
      <w:proofErr w:type="spellEnd"/>
      <w:r w:rsidRPr="00AD7EBB">
        <w:rPr>
          <w:lang w:val="es-PE" w:eastAsia="es-MX"/>
        </w:rPr>
        <w:t>*</w:t>
      </w:r>
      <w:r w:rsidRPr="00AD7EBB">
        <w:rPr>
          <w:vertAlign w:val="superscript"/>
          <w:lang w:val="es-PE" w:eastAsia="es-MX"/>
        </w:rPr>
        <w:t xml:space="preserve"> </w:t>
      </w:r>
      <w:hyperlink r:id="rId8" w:history="1">
        <w:r w:rsidRPr="00AD7EBB">
          <w:rPr>
            <w:color w:val="0000FF"/>
            <w:u w:val="single"/>
            <w:lang w:val="es-PE" w:eastAsia="es-MX"/>
          </w:rPr>
          <w:t>https://orcid.org/0000-0002-6475-9724</w:t>
        </w:r>
      </w:hyperlink>
      <w:r w:rsidRPr="00AD7EBB">
        <w:rPr>
          <w:lang w:val="es-PE" w:eastAsia="es-MX"/>
        </w:rPr>
        <w:t xml:space="preserve"> </w:t>
      </w:r>
    </w:p>
    <w:p w14:paraId="630FE466" w14:textId="77777777" w:rsidR="00AD7EBB" w:rsidRPr="00AD7EBB" w:rsidRDefault="00AD7EBB" w:rsidP="00AD7EBB">
      <w:pPr>
        <w:spacing w:line="360" w:lineRule="auto"/>
        <w:rPr>
          <w:lang w:val="es-PE" w:eastAsia="es-MX"/>
        </w:rPr>
      </w:pPr>
    </w:p>
    <w:p w14:paraId="73BA008E" w14:textId="77777777" w:rsidR="00AD7EBB" w:rsidRPr="00AD7EBB" w:rsidRDefault="00AD7EBB" w:rsidP="00AD7EBB">
      <w:pPr>
        <w:spacing w:line="360" w:lineRule="auto"/>
        <w:rPr>
          <w:lang w:val="es-PE" w:eastAsia="es-MX"/>
        </w:rPr>
      </w:pPr>
      <w:proofErr w:type="spellStart"/>
      <w:r w:rsidRPr="00AD7EBB">
        <w:rPr>
          <w:vertAlign w:val="superscript"/>
          <w:lang w:val="es-PE" w:eastAsia="es-MX"/>
        </w:rPr>
        <w:t>1</w:t>
      </w:r>
      <w:r w:rsidRPr="00AD7EBB">
        <w:rPr>
          <w:lang w:val="es-PE" w:eastAsia="es-MX"/>
        </w:rPr>
        <w:t>Universidad</w:t>
      </w:r>
      <w:proofErr w:type="spellEnd"/>
      <w:r w:rsidRPr="00AD7EBB">
        <w:rPr>
          <w:lang w:val="es-PE" w:eastAsia="es-MX"/>
        </w:rPr>
        <w:t xml:space="preserve"> César Vallejo. Trujillo, Perú.</w:t>
      </w:r>
    </w:p>
    <w:p w14:paraId="41B4502E" w14:textId="77777777" w:rsidR="00AD7EBB" w:rsidRPr="00AD7EBB" w:rsidRDefault="00AD7EBB" w:rsidP="00AD7EBB">
      <w:pPr>
        <w:spacing w:line="360" w:lineRule="auto"/>
        <w:rPr>
          <w:lang w:val="es-PE" w:eastAsia="es-MX"/>
        </w:rPr>
      </w:pPr>
      <w:proofErr w:type="spellStart"/>
      <w:r w:rsidRPr="00AD7EBB">
        <w:rPr>
          <w:vertAlign w:val="superscript"/>
          <w:lang w:val="es-PE" w:eastAsia="es-MX"/>
        </w:rPr>
        <w:t>2</w:t>
      </w:r>
      <w:r w:rsidRPr="00AD7EBB">
        <w:rPr>
          <w:lang w:val="es-PE" w:eastAsia="es-MX"/>
        </w:rPr>
        <w:t>Universidad</w:t>
      </w:r>
      <w:proofErr w:type="spellEnd"/>
      <w:r w:rsidRPr="00AD7EBB">
        <w:rPr>
          <w:lang w:val="es-PE" w:eastAsia="es-MX"/>
        </w:rPr>
        <w:t xml:space="preserve"> Autónoma del Perú. Lima, Perú.</w:t>
      </w:r>
    </w:p>
    <w:p w14:paraId="3D74D3A5" w14:textId="77777777" w:rsidR="00AD7EBB" w:rsidRPr="00AD7EBB" w:rsidRDefault="00AD7EBB" w:rsidP="00AD7EBB">
      <w:pPr>
        <w:spacing w:line="360" w:lineRule="auto"/>
        <w:rPr>
          <w:lang w:val="es-PE" w:eastAsia="es-MX"/>
        </w:rPr>
      </w:pPr>
    </w:p>
    <w:p w14:paraId="45E8401A" w14:textId="77777777" w:rsidR="00AD7EBB" w:rsidRPr="00AD7EBB" w:rsidRDefault="00AD7EBB" w:rsidP="00AD7EBB">
      <w:pPr>
        <w:spacing w:line="360" w:lineRule="auto"/>
        <w:rPr>
          <w:lang w:val="es-PE" w:eastAsia="es-MX"/>
        </w:rPr>
      </w:pPr>
      <w:r w:rsidRPr="00AD7EBB">
        <w:rPr>
          <w:lang w:val="es-PE" w:eastAsia="es-MX"/>
        </w:rPr>
        <w:t xml:space="preserve">*Autor para la correspondencia. Correo electrónico: </w:t>
      </w:r>
      <w:hyperlink r:id="rId9">
        <w:r w:rsidRPr="00AD7EBB">
          <w:rPr>
            <w:color w:val="0563C1"/>
            <w:u w:val="single"/>
            <w:lang w:val="es-PE" w:eastAsia="es-MX"/>
          </w:rPr>
          <w:t>hsantacruze@gmail.com</w:t>
        </w:r>
      </w:hyperlink>
      <w:r w:rsidRPr="00AD7EBB">
        <w:rPr>
          <w:lang w:val="es-PE" w:eastAsia="es-MX"/>
        </w:rPr>
        <w:t xml:space="preserve"> </w:t>
      </w:r>
    </w:p>
    <w:p w14:paraId="79EFF325" w14:textId="77777777" w:rsidR="00AD7EBB" w:rsidRPr="00AD7EBB" w:rsidRDefault="00AD7EBB" w:rsidP="00AD7EBB">
      <w:pPr>
        <w:spacing w:line="360" w:lineRule="auto"/>
        <w:rPr>
          <w:lang w:val="es-PE" w:eastAsia="es-MX"/>
        </w:rPr>
      </w:pPr>
    </w:p>
    <w:p w14:paraId="054FBA25" w14:textId="77777777" w:rsidR="00AD7EBB" w:rsidRPr="00AD7EBB" w:rsidRDefault="00AD7EBB" w:rsidP="00AD7EBB">
      <w:pPr>
        <w:spacing w:line="360" w:lineRule="auto"/>
        <w:rPr>
          <w:lang w:val="es-PE" w:eastAsia="es-MX"/>
        </w:rPr>
      </w:pPr>
      <w:r w:rsidRPr="00AD7EBB">
        <w:rPr>
          <w:b/>
          <w:lang w:val="es-PE" w:eastAsia="es-MX"/>
        </w:rPr>
        <w:t>RESUMEN</w:t>
      </w:r>
    </w:p>
    <w:p w14:paraId="5EA4DFE7" w14:textId="77777777" w:rsidR="00AD7EBB" w:rsidRPr="00AD7EBB" w:rsidRDefault="00AD7EBB" w:rsidP="00AD7EBB">
      <w:pPr>
        <w:spacing w:line="360" w:lineRule="auto"/>
        <w:jc w:val="both"/>
        <w:rPr>
          <w:b/>
          <w:lang w:val="es-PE" w:eastAsia="es-MX"/>
        </w:rPr>
      </w:pPr>
      <w:r w:rsidRPr="00AD7EBB">
        <w:rPr>
          <w:b/>
          <w:lang w:val="es-PE" w:eastAsia="es-MX"/>
        </w:rPr>
        <w:t xml:space="preserve">Introducción: </w:t>
      </w:r>
      <w:r w:rsidRPr="00AD7EBB">
        <w:rPr>
          <w:lang w:val="es-PE" w:eastAsia="es-MX"/>
        </w:rPr>
        <w:t xml:space="preserve">La hospitalización a causa de la COVID-19 puede predisponer a la aparición de posibles secuelas psicológicas a largo plazo. </w:t>
      </w:r>
    </w:p>
    <w:p w14:paraId="762E7F2D" w14:textId="77777777" w:rsidR="00AD7EBB" w:rsidRPr="00AD7EBB" w:rsidRDefault="00AD7EBB" w:rsidP="00AD7EBB">
      <w:pPr>
        <w:spacing w:line="360" w:lineRule="auto"/>
        <w:jc w:val="both"/>
        <w:rPr>
          <w:b/>
          <w:lang w:val="es-PE" w:eastAsia="es-MX"/>
        </w:rPr>
      </w:pPr>
      <w:r w:rsidRPr="00AD7EBB">
        <w:rPr>
          <w:b/>
          <w:lang w:val="es-PE" w:eastAsia="es-MX"/>
        </w:rPr>
        <w:t xml:space="preserve">Objetivo: </w:t>
      </w:r>
      <w:r w:rsidRPr="00AD7EBB">
        <w:rPr>
          <w:lang w:val="es-PE" w:eastAsia="es-MX"/>
        </w:rPr>
        <w:t xml:space="preserve">Determinar la relación entre los factores hospitalarios y no hospitalarios con el estrés postraumático en pacientes con alta médica por la COVID-19. </w:t>
      </w:r>
    </w:p>
    <w:p w14:paraId="70D1CE84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  <w:r w:rsidRPr="00AD7EBB">
        <w:rPr>
          <w:b/>
          <w:lang w:val="es-PE" w:eastAsia="es-MX"/>
        </w:rPr>
        <w:t xml:space="preserve">Métodos: </w:t>
      </w:r>
      <w:r w:rsidRPr="00AD7EBB">
        <w:rPr>
          <w:lang w:val="es-PE" w:eastAsia="es-MX"/>
        </w:rPr>
        <w:t xml:space="preserve">Estudio de corte transversal y diseño correlacional. La muestra no probabilística estuvo compuesta por 126 participantes con la COVID-19, evaluados mediante un cuestionario autoadministrado y la Escala de Trauma de Davidson. Para el procesamiento de datos se aplicó la prueba </w:t>
      </w:r>
      <w:r w:rsidRPr="00AD7EBB">
        <w:rPr>
          <w:i/>
          <w:iCs/>
          <w:lang w:val="es-PE" w:eastAsia="es-MX"/>
        </w:rPr>
        <w:t>ji</w:t>
      </w:r>
      <w:r w:rsidRPr="00AD7EBB">
        <w:rPr>
          <w:lang w:val="es-PE" w:eastAsia="es-MX"/>
        </w:rPr>
        <w:t xml:space="preserve"> cuadrado y la V de Cramer como medida de magnitud de efecto.  </w:t>
      </w:r>
    </w:p>
    <w:p w14:paraId="3BEC90D2" w14:textId="77777777" w:rsidR="00AD7EBB" w:rsidRPr="00AD7EBB" w:rsidRDefault="00AD7EBB" w:rsidP="00AD7EBB">
      <w:pPr>
        <w:spacing w:line="360" w:lineRule="auto"/>
        <w:jc w:val="both"/>
        <w:rPr>
          <w:b/>
          <w:lang w:val="es-PE" w:eastAsia="es-MX"/>
        </w:rPr>
      </w:pPr>
      <w:r w:rsidRPr="00AD7EBB">
        <w:rPr>
          <w:b/>
          <w:lang w:val="es-PE" w:eastAsia="es-MX"/>
        </w:rPr>
        <w:t xml:space="preserve">Resultados: </w:t>
      </w:r>
      <w:r w:rsidRPr="00AD7EBB">
        <w:rPr>
          <w:lang w:val="es-PE" w:eastAsia="es-MX"/>
        </w:rPr>
        <w:t xml:space="preserve">El trastorno por estrés postraumático presenta asociaciones moderadas con los factores hospitalarios: tiempo de hospitalización (p&lt; 0,001) (V de Cramer= 0,33), tipo clínico de COVID-19 (p&lt; 0,001) (V de Cramer= 0,49) y soporte ventilatorio invasivo (p&lt; 0,001) (V de Cramer= 0,39); y con los factores no hospitalarios: oxigenoterapia en rehabilitación (p&lt; 0,001) (V de Cramer= 0,33), secuelas neurológicas (p&lt; 0,001) (V de Cramer= 0,41), dificultad respiratoria (p&lt; 0,001) (V de Cramer= 0,53), </w:t>
      </w:r>
      <w:r w:rsidRPr="00AD7EBB">
        <w:rPr>
          <w:lang w:val="es-PE" w:eastAsia="es-MX"/>
        </w:rPr>
        <w:lastRenderedPageBreak/>
        <w:t xml:space="preserve">percepción de discriminación social (p&lt; 0,05) (V de Cramer= 0,29), dificultad para reincorporarse a las actividades diarias (p&lt; 0,001) (V de Cramer= 0,40)  y  familiares infectados con la COVID-19 (p&lt; 0,001) (V de Cramer= 0,30). </w:t>
      </w:r>
    </w:p>
    <w:p w14:paraId="7D7C8D4B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  <w:r w:rsidRPr="00AD7EBB">
        <w:rPr>
          <w:b/>
          <w:lang w:val="es-PE" w:eastAsia="es-MX"/>
        </w:rPr>
        <w:t xml:space="preserve">Conclusiones: </w:t>
      </w:r>
      <w:r w:rsidRPr="00AD7EBB">
        <w:rPr>
          <w:lang w:val="es-PE" w:eastAsia="es-MX"/>
        </w:rPr>
        <w:t xml:space="preserve">Existen factores, tanto intra como extrahospitalarios, que se relacionan con el trastorno por estrés postraumático luego del alta médica por la COVID-19. </w:t>
      </w:r>
    </w:p>
    <w:p w14:paraId="2E45819D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  <w:r w:rsidRPr="00AD7EBB">
        <w:rPr>
          <w:b/>
          <w:lang w:val="es-PE" w:eastAsia="es-MX"/>
        </w:rPr>
        <w:t xml:space="preserve">Palabras clave: </w:t>
      </w:r>
      <w:r w:rsidRPr="00AD7EBB">
        <w:rPr>
          <w:lang w:val="es-PE" w:eastAsia="es-MX"/>
        </w:rPr>
        <w:t xml:space="preserve">trastornos por estrés postraumático; infecciones por coronavirus; salud mental. </w:t>
      </w:r>
    </w:p>
    <w:p w14:paraId="3B8A382E" w14:textId="77777777" w:rsidR="00AD7EBB" w:rsidRPr="00AD7EBB" w:rsidRDefault="00AD7EBB" w:rsidP="00AD7EBB">
      <w:pPr>
        <w:spacing w:line="360" w:lineRule="auto"/>
        <w:jc w:val="center"/>
        <w:rPr>
          <w:lang w:val="es-PE" w:eastAsia="es-MX"/>
        </w:rPr>
      </w:pPr>
    </w:p>
    <w:p w14:paraId="409A15E0" w14:textId="77777777" w:rsidR="00AD7EBB" w:rsidRPr="00AD7EBB" w:rsidRDefault="00AD7EBB" w:rsidP="00AD7EBB">
      <w:pPr>
        <w:spacing w:line="360" w:lineRule="auto"/>
        <w:rPr>
          <w:b/>
          <w:lang w:val="en-US" w:eastAsia="es-MX"/>
        </w:rPr>
      </w:pPr>
      <w:r w:rsidRPr="00AD7EBB">
        <w:rPr>
          <w:b/>
          <w:lang w:val="en-US" w:eastAsia="es-MX"/>
        </w:rPr>
        <w:t>ABSTRACT</w:t>
      </w:r>
    </w:p>
    <w:p w14:paraId="7246120E" w14:textId="77777777" w:rsidR="00AD7EBB" w:rsidRPr="00AD7EBB" w:rsidRDefault="00AD7EBB" w:rsidP="00AD7EBB">
      <w:pPr>
        <w:spacing w:line="360" w:lineRule="auto"/>
        <w:jc w:val="both"/>
        <w:rPr>
          <w:b/>
          <w:lang w:val="en-US" w:eastAsia="es-MX"/>
        </w:rPr>
      </w:pPr>
      <w:r w:rsidRPr="00AD7EBB">
        <w:rPr>
          <w:b/>
          <w:lang w:val="en-US" w:eastAsia="es-MX"/>
        </w:rPr>
        <w:t xml:space="preserve">Introduction: </w:t>
      </w:r>
      <w:r w:rsidRPr="00AD7EBB">
        <w:rPr>
          <w:lang w:val="en-US" w:eastAsia="es-MX"/>
        </w:rPr>
        <w:t>Hospitalization due to COVID-19 can predispose to the appearance of possible long-term psychological sequelae.</w:t>
      </w:r>
    </w:p>
    <w:p w14:paraId="052FA192" w14:textId="77777777" w:rsidR="00AD7EBB" w:rsidRPr="00AD7EBB" w:rsidRDefault="00AD7EBB" w:rsidP="00AD7EBB">
      <w:pPr>
        <w:spacing w:line="360" w:lineRule="auto"/>
        <w:jc w:val="both"/>
        <w:rPr>
          <w:lang w:val="en-US" w:eastAsia="es-MX"/>
        </w:rPr>
      </w:pPr>
      <w:r w:rsidRPr="00AD7EBB">
        <w:rPr>
          <w:b/>
          <w:lang w:val="en-US" w:eastAsia="es-MX"/>
        </w:rPr>
        <w:t>Objective</w:t>
      </w:r>
      <w:r w:rsidRPr="00AD7EBB">
        <w:rPr>
          <w:lang w:val="en-US" w:eastAsia="es-MX"/>
        </w:rPr>
        <w:t>: To determine the relationship between hospital and non-hospital factors with post-traumatic stress in patients discharged for COVID-19 from a hospital in Peru.</w:t>
      </w:r>
    </w:p>
    <w:p w14:paraId="0F560288" w14:textId="77777777" w:rsidR="00AD7EBB" w:rsidRPr="00AD7EBB" w:rsidRDefault="00AD7EBB" w:rsidP="00AD7EBB">
      <w:pPr>
        <w:spacing w:line="360" w:lineRule="auto"/>
        <w:jc w:val="both"/>
        <w:rPr>
          <w:b/>
          <w:lang w:val="en-US" w:eastAsia="es-MX"/>
        </w:rPr>
      </w:pPr>
      <w:r w:rsidRPr="00AD7EBB">
        <w:rPr>
          <w:b/>
          <w:lang w:val="en-US" w:eastAsia="es-MX"/>
        </w:rPr>
        <w:t xml:space="preserve">Methods: </w:t>
      </w:r>
      <w:r w:rsidRPr="00AD7EBB">
        <w:rPr>
          <w:lang w:val="en-US" w:eastAsia="es-MX"/>
        </w:rPr>
        <w:t xml:space="preserve">Cross-sectional study and correlational design. The non-probabilistic sample consisted of 126 participants, evaluated through a self-administered questionnaire and the Davidson Trauma Scale. For data processing, the chi-square test and Cramer's V were used as measures of the magnitude of effect.  </w:t>
      </w:r>
    </w:p>
    <w:p w14:paraId="71ABE07D" w14:textId="77777777" w:rsidR="00AD7EBB" w:rsidRPr="00AD7EBB" w:rsidRDefault="00AD7EBB" w:rsidP="00AD7EBB">
      <w:pPr>
        <w:spacing w:line="360" w:lineRule="auto"/>
        <w:jc w:val="both"/>
        <w:rPr>
          <w:b/>
          <w:lang w:val="en-US" w:eastAsia="es-MX"/>
        </w:rPr>
      </w:pPr>
      <w:r w:rsidRPr="00AD7EBB">
        <w:rPr>
          <w:b/>
          <w:lang w:val="en-US" w:eastAsia="es-MX"/>
        </w:rPr>
        <w:t xml:space="preserve">Results:  </w:t>
      </w:r>
      <w:r w:rsidRPr="00AD7EBB">
        <w:rPr>
          <w:lang w:val="en-US" w:eastAsia="es-MX"/>
        </w:rPr>
        <w:t>Post-traumatic stress disorder presents moderate associations with hospital factors: hospitalization time (p&lt;0.001) (Cramer's V = 0.33), clinical type of COVID-19 (p&lt;0.001) (Cramer's V = 0 .49) and invasive ventilatory support (p&lt;0.001) (Cramer's V = 0.39); and with non-hospital factors: oxygen therapy in rehabilitation (p&lt;0.001) (Cramer's V = 0.33), neurological sequelae (p&lt;0.001) (Cramer's V = 0.41), respiratory distress (p&lt;0.001) (Cramer's V = 0.53), perception of social discrimination (p&lt;0.05) (Cramer's V = 0.29), difficulty returning to daily activities (p&lt;0.001) (Cramer's V = 0.40) and family members infected with COVID-19 (p&lt;0.001) (Cramer's V = 0.30).</w:t>
      </w:r>
    </w:p>
    <w:p w14:paraId="69D00761" w14:textId="77777777" w:rsidR="00AD7EBB" w:rsidRPr="00AD7EBB" w:rsidRDefault="00AD7EBB" w:rsidP="00AD7EBB">
      <w:pPr>
        <w:spacing w:line="360" w:lineRule="auto"/>
        <w:jc w:val="both"/>
        <w:rPr>
          <w:lang w:val="en-US" w:eastAsia="es-MX"/>
        </w:rPr>
      </w:pPr>
      <w:r w:rsidRPr="00AD7EBB">
        <w:rPr>
          <w:b/>
          <w:lang w:val="en-US" w:eastAsia="es-MX"/>
        </w:rPr>
        <w:t xml:space="preserve">Conclusions:  </w:t>
      </w:r>
      <w:r w:rsidRPr="00AD7EBB">
        <w:rPr>
          <w:lang w:val="en-US" w:eastAsia="es-MX"/>
        </w:rPr>
        <w:t>There are both in-hospital and out-of-hospital factors associated with post-traumatic stress disorder following discharge from COVID-19.</w:t>
      </w:r>
    </w:p>
    <w:p w14:paraId="6CB80AB3" w14:textId="77777777" w:rsidR="00AD7EBB" w:rsidRPr="00AD7EBB" w:rsidRDefault="00AD7EBB" w:rsidP="00AD7EBB">
      <w:pPr>
        <w:spacing w:line="360" w:lineRule="auto"/>
        <w:jc w:val="both"/>
        <w:rPr>
          <w:lang w:val="en-US" w:eastAsia="es-MX"/>
        </w:rPr>
      </w:pPr>
      <w:r w:rsidRPr="00AD7EBB">
        <w:rPr>
          <w:b/>
          <w:lang w:val="en-US" w:eastAsia="es-MX"/>
        </w:rPr>
        <w:t xml:space="preserve">Keywords:  </w:t>
      </w:r>
      <w:r w:rsidRPr="00AD7EBB">
        <w:rPr>
          <w:lang w:val="en-US" w:eastAsia="es-MX"/>
        </w:rPr>
        <w:t>stress disorders post-traumatic; coronavirus infections; mental health.</w:t>
      </w:r>
    </w:p>
    <w:p w14:paraId="6B7F5588" w14:textId="77777777" w:rsidR="00AD7EBB" w:rsidRPr="00AD7EBB" w:rsidRDefault="00AD7EBB" w:rsidP="00AD7EBB">
      <w:pPr>
        <w:spacing w:line="360" w:lineRule="auto"/>
        <w:jc w:val="both"/>
        <w:rPr>
          <w:lang w:val="en-US" w:eastAsia="es-MX"/>
        </w:rPr>
      </w:pPr>
    </w:p>
    <w:p w14:paraId="0F0140D0" w14:textId="77777777" w:rsidR="00AD7EBB" w:rsidRPr="00AD7EBB" w:rsidRDefault="00AD7EBB" w:rsidP="00AD7EBB">
      <w:pPr>
        <w:spacing w:line="360" w:lineRule="auto"/>
        <w:jc w:val="both"/>
        <w:rPr>
          <w:lang w:val="en-US" w:eastAsia="es-MX"/>
        </w:rPr>
      </w:pPr>
    </w:p>
    <w:p w14:paraId="01076970" w14:textId="77777777" w:rsidR="003A0CCC" w:rsidRDefault="003A0CCC">
      <w:pPr>
        <w:rPr>
          <w:lang w:val="es-PE" w:eastAsia="es-MX"/>
        </w:rPr>
      </w:pPr>
      <w:r>
        <w:rPr>
          <w:lang w:val="es-PE" w:eastAsia="es-MX"/>
        </w:rPr>
        <w:br w:type="page"/>
      </w:r>
    </w:p>
    <w:p w14:paraId="3E202F86" w14:textId="5B08F0B6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  <w:r w:rsidRPr="00AD7EBB">
        <w:rPr>
          <w:lang w:val="es-PE" w:eastAsia="es-MX"/>
        </w:rPr>
        <w:lastRenderedPageBreak/>
        <w:t>Recibido: 15/06/2022</w:t>
      </w:r>
    </w:p>
    <w:p w14:paraId="73CBF7DA" w14:textId="77777777" w:rsidR="00AD7EBB" w:rsidRPr="00AD7EBB" w:rsidRDefault="00AD7EBB" w:rsidP="00AD7EBB">
      <w:pPr>
        <w:spacing w:line="360" w:lineRule="auto"/>
        <w:jc w:val="both"/>
        <w:rPr>
          <w:b/>
          <w:lang w:val="es-PE" w:eastAsia="es-MX"/>
        </w:rPr>
      </w:pPr>
      <w:r w:rsidRPr="00AD7EBB">
        <w:rPr>
          <w:lang w:val="es-PE" w:eastAsia="es-MX"/>
        </w:rPr>
        <w:t>Aprobado: 06/09/2022</w:t>
      </w:r>
    </w:p>
    <w:p w14:paraId="72F04DAB" w14:textId="77777777" w:rsidR="00AD7EBB" w:rsidRPr="00AD7EBB" w:rsidRDefault="00AD7EBB" w:rsidP="00AD7EBB">
      <w:pPr>
        <w:spacing w:line="360" w:lineRule="auto"/>
        <w:jc w:val="center"/>
        <w:rPr>
          <w:b/>
          <w:sz w:val="32"/>
          <w:szCs w:val="32"/>
          <w:lang w:val="es-PE" w:eastAsia="es-MX"/>
        </w:rPr>
      </w:pPr>
    </w:p>
    <w:p w14:paraId="07E0937C" w14:textId="77777777" w:rsidR="00AD7EBB" w:rsidRPr="00AD7EBB" w:rsidRDefault="00AD7EBB" w:rsidP="00AD7EBB">
      <w:pPr>
        <w:spacing w:line="360" w:lineRule="auto"/>
        <w:jc w:val="center"/>
        <w:rPr>
          <w:b/>
          <w:sz w:val="32"/>
          <w:szCs w:val="32"/>
          <w:lang w:val="es-PE" w:eastAsia="es-MX"/>
        </w:rPr>
      </w:pPr>
    </w:p>
    <w:p w14:paraId="4D86A0FC" w14:textId="77777777" w:rsidR="00AD7EBB" w:rsidRPr="00AD7EBB" w:rsidRDefault="00AD7EBB" w:rsidP="00AD7EBB">
      <w:pPr>
        <w:spacing w:line="360" w:lineRule="auto"/>
        <w:jc w:val="center"/>
        <w:rPr>
          <w:b/>
          <w:sz w:val="32"/>
          <w:szCs w:val="32"/>
          <w:lang w:val="es-PE" w:eastAsia="es-MX"/>
        </w:rPr>
      </w:pPr>
      <w:r w:rsidRPr="00AD7EBB">
        <w:rPr>
          <w:b/>
          <w:sz w:val="32"/>
          <w:szCs w:val="32"/>
          <w:lang w:val="es-PE" w:eastAsia="es-MX"/>
        </w:rPr>
        <w:t>INTRODUCCIÓN</w:t>
      </w:r>
    </w:p>
    <w:p w14:paraId="40DAD271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  <w:r w:rsidRPr="00AD7EBB">
        <w:rPr>
          <w:lang w:val="es-PE" w:eastAsia="es-MX"/>
        </w:rPr>
        <w:t>El trastorno por estrés postraumático (</w:t>
      </w:r>
      <w:proofErr w:type="spellStart"/>
      <w:r w:rsidRPr="00AD7EBB">
        <w:rPr>
          <w:lang w:val="es-PE" w:eastAsia="es-MX"/>
        </w:rPr>
        <w:t>TEPT</w:t>
      </w:r>
      <w:proofErr w:type="spellEnd"/>
      <w:r w:rsidRPr="00AD7EBB">
        <w:rPr>
          <w:lang w:val="es-PE" w:eastAsia="es-MX"/>
        </w:rPr>
        <w:t xml:space="preserve">) es un síndrome que abarca momentos de ansiedad y estrés luego de la exposición a un evento </w:t>
      </w:r>
      <w:proofErr w:type="gramStart"/>
      <w:r w:rsidRPr="00AD7EBB">
        <w:rPr>
          <w:lang w:val="es-PE" w:eastAsia="es-MX"/>
        </w:rPr>
        <w:t>traumático.</w:t>
      </w:r>
      <w:r w:rsidRPr="00AD7EBB">
        <w:rPr>
          <w:vertAlign w:val="superscript"/>
          <w:lang w:val="es-PE" w:eastAsia="es-MX"/>
        </w:rPr>
        <w:t>(</w:t>
      </w:r>
      <w:proofErr w:type="gramEnd"/>
      <w:r w:rsidRPr="00AD7EBB">
        <w:rPr>
          <w:vertAlign w:val="superscript"/>
          <w:lang w:val="es-PE" w:eastAsia="es-MX"/>
        </w:rPr>
        <w:t xml:space="preserve">1) </w:t>
      </w:r>
      <w:r w:rsidRPr="00AD7EBB">
        <w:rPr>
          <w:lang w:val="es-PE" w:eastAsia="es-MX"/>
        </w:rPr>
        <w:t>Las manifestaciones clínicas incluyen 3 campos: recuerdos intrusivos respecto al trauma, evitación de situaciones que conlleven al recuerdo y síntomas del estado de ánimo y disociativos.</w:t>
      </w:r>
      <w:r w:rsidRPr="00AD7EBB">
        <w:rPr>
          <w:vertAlign w:val="superscript"/>
          <w:lang w:val="es-PE" w:eastAsia="es-MX"/>
        </w:rPr>
        <w:t>(2,3)</w:t>
      </w:r>
    </w:p>
    <w:p w14:paraId="25C80C4C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  <w:r w:rsidRPr="00AD7EBB">
        <w:rPr>
          <w:lang w:val="es-PE" w:eastAsia="es-MX"/>
        </w:rPr>
        <w:t xml:space="preserve">A largo plazo, el </w:t>
      </w:r>
      <w:proofErr w:type="spellStart"/>
      <w:r w:rsidRPr="00AD7EBB">
        <w:rPr>
          <w:lang w:val="es-PE" w:eastAsia="es-MX"/>
        </w:rPr>
        <w:t>TEPT</w:t>
      </w:r>
      <w:proofErr w:type="spellEnd"/>
      <w:r w:rsidRPr="00AD7EBB">
        <w:rPr>
          <w:lang w:val="es-PE" w:eastAsia="es-MX"/>
        </w:rPr>
        <w:t xml:space="preserve"> se asocia con ideación suicida, intento de suicidio, autolesiones, abuso de alcohol y riesgos psicosociales, como desconexión social, anomia e incluso la </w:t>
      </w:r>
      <w:proofErr w:type="gramStart"/>
      <w:r w:rsidRPr="00AD7EBB">
        <w:rPr>
          <w:lang w:val="es-PE" w:eastAsia="es-MX"/>
        </w:rPr>
        <w:t>muerte.</w:t>
      </w:r>
      <w:r w:rsidRPr="00AD7EBB">
        <w:rPr>
          <w:vertAlign w:val="superscript"/>
          <w:lang w:val="es-PE" w:eastAsia="es-MX"/>
        </w:rPr>
        <w:t>(</w:t>
      </w:r>
      <w:proofErr w:type="gramEnd"/>
      <w:r w:rsidRPr="00AD7EBB">
        <w:rPr>
          <w:vertAlign w:val="superscript"/>
          <w:lang w:val="es-PE" w:eastAsia="es-MX"/>
        </w:rPr>
        <w:t>4)</w:t>
      </w:r>
    </w:p>
    <w:p w14:paraId="068C91E2" w14:textId="77777777" w:rsidR="00AD7EBB" w:rsidRPr="00AD7EBB" w:rsidRDefault="00AD7EBB" w:rsidP="00AD7E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s-PE" w:eastAsia="es-MX"/>
        </w:rPr>
      </w:pPr>
      <w:r w:rsidRPr="00AD7EBB">
        <w:rPr>
          <w:color w:val="000000"/>
          <w:lang w:val="es-PE" w:eastAsia="es-MX"/>
        </w:rPr>
        <w:t xml:space="preserve">Los desastres naturales, la exposición a la guerra y a la violencia se encuentran entre las causas más comunes del </w:t>
      </w:r>
      <w:proofErr w:type="spellStart"/>
      <w:r w:rsidRPr="00AD7EBB">
        <w:rPr>
          <w:color w:val="000000"/>
          <w:lang w:val="es-PE" w:eastAsia="es-MX"/>
        </w:rPr>
        <w:t>TEPT</w:t>
      </w:r>
      <w:proofErr w:type="spellEnd"/>
      <w:r w:rsidRPr="00AD7EBB">
        <w:rPr>
          <w:color w:val="000000"/>
          <w:lang w:val="es-PE" w:eastAsia="es-MX"/>
        </w:rPr>
        <w:t xml:space="preserve">. De la misma forma, el ingreso hospitalario debido a una enfermedad aguda ha sido reconocido como un potencial evento </w:t>
      </w:r>
      <w:proofErr w:type="gramStart"/>
      <w:r w:rsidRPr="00AD7EBB">
        <w:rPr>
          <w:color w:val="000000"/>
          <w:lang w:val="es-PE" w:eastAsia="es-MX"/>
        </w:rPr>
        <w:t>traumático.</w:t>
      </w:r>
      <w:r w:rsidRPr="00AD7EBB">
        <w:rPr>
          <w:color w:val="000000"/>
          <w:vertAlign w:val="superscript"/>
          <w:lang w:val="es-PE" w:eastAsia="es-MX"/>
        </w:rPr>
        <w:t>(</w:t>
      </w:r>
      <w:proofErr w:type="gramEnd"/>
      <w:r w:rsidRPr="00AD7EBB">
        <w:rPr>
          <w:color w:val="000000"/>
          <w:vertAlign w:val="superscript"/>
          <w:lang w:val="es-PE" w:eastAsia="es-MX"/>
        </w:rPr>
        <w:t xml:space="preserve">5) </w:t>
      </w:r>
      <w:r w:rsidRPr="00AD7EBB">
        <w:rPr>
          <w:color w:val="000000"/>
          <w:lang w:val="es-PE" w:eastAsia="es-MX"/>
        </w:rPr>
        <w:t>Al respecto, la literatura ha identificado la aparición de este trastorno en sobrevivientes de la unidad de cuidados intensivos.</w:t>
      </w:r>
      <w:r w:rsidRPr="00AD7EBB">
        <w:rPr>
          <w:color w:val="000000"/>
          <w:vertAlign w:val="superscript"/>
          <w:lang w:val="es-PE" w:eastAsia="es-MX"/>
        </w:rPr>
        <w:t xml:space="preserve">(6) </w:t>
      </w:r>
    </w:p>
    <w:p w14:paraId="59C54F83" w14:textId="77777777" w:rsidR="00AD7EBB" w:rsidRPr="00AD7EBB" w:rsidRDefault="00AD7EBB" w:rsidP="00AD7E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vertAlign w:val="superscript"/>
          <w:lang w:val="es-PE" w:eastAsia="es-MX"/>
        </w:rPr>
      </w:pPr>
      <w:r w:rsidRPr="00AD7EBB">
        <w:rPr>
          <w:color w:val="000000"/>
          <w:lang w:val="es-PE" w:eastAsia="es-MX"/>
        </w:rPr>
        <w:t xml:space="preserve">En marzo del 2020, la Organización Mundial de la Salud declaró el brote de la enfermedad por un nuevo coronavirus (COVID-19) como una </w:t>
      </w:r>
      <w:proofErr w:type="gramStart"/>
      <w:r w:rsidRPr="00AD7EBB">
        <w:rPr>
          <w:color w:val="000000"/>
          <w:lang w:val="es-PE" w:eastAsia="es-MX"/>
        </w:rPr>
        <w:t>pandemia.</w:t>
      </w:r>
      <w:r w:rsidRPr="00AD7EBB">
        <w:rPr>
          <w:color w:val="000000"/>
          <w:vertAlign w:val="superscript"/>
          <w:lang w:val="es-PE" w:eastAsia="es-MX"/>
        </w:rPr>
        <w:t>(</w:t>
      </w:r>
      <w:proofErr w:type="gramEnd"/>
      <w:r w:rsidRPr="00AD7EBB">
        <w:rPr>
          <w:color w:val="000000"/>
          <w:vertAlign w:val="superscript"/>
          <w:lang w:val="es-PE" w:eastAsia="es-MX"/>
        </w:rPr>
        <w:t>7)</w:t>
      </w:r>
      <w:r w:rsidRPr="00AD7EBB">
        <w:rPr>
          <w:color w:val="000000"/>
          <w:lang w:val="es-PE" w:eastAsia="es-MX"/>
        </w:rPr>
        <w:t xml:space="preserve"> En los meses siguientes al brote inicial, surgió una gran cantidad de información relacionada con la acelerada propagación de la infección y su letalidad, e incluso especulaciones falaces sobre la pandemia; lo que generó afectación en la salud mental a nivel mundial.</w:t>
      </w:r>
      <w:r w:rsidRPr="00AD7EBB">
        <w:rPr>
          <w:color w:val="000000"/>
          <w:vertAlign w:val="superscript"/>
          <w:lang w:val="es-PE" w:eastAsia="es-MX"/>
        </w:rPr>
        <w:t>(8)</w:t>
      </w:r>
    </w:p>
    <w:p w14:paraId="01882837" w14:textId="77777777" w:rsidR="00AD7EBB" w:rsidRPr="00AD7EBB" w:rsidRDefault="00AD7EBB" w:rsidP="00AD7E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s-PE" w:eastAsia="es-MX"/>
        </w:rPr>
      </w:pPr>
      <w:r w:rsidRPr="00AD7EBB">
        <w:rPr>
          <w:color w:val="000000"/>
          <w:lang w:val="es-PE" w:eastAsia="es-MX"/>
        </w:rPr>
        <w:t xml:space="preserve">Datos procedentes de anteriores brotes de coronavirus han señalado efectos perjudiciales en la salud mental de la población </w:t>
      </w:r>
      <w:proofErr w:type="gramStart"/>
      <w:r w:rsidRPr="00AD7EBB">
        <w:rPr>
          <w:color w:val="000000"/>
          <w:lang w:val="es-PE" w:eastAsia="es-MX"/>
        </w:rPr>
        <w:t>general.</w:t>
      </w:r>
      <w:r w:rsidRPr="00AD7EBB">
        <w:rPr>
          <w:color w:val="000000"/>
          <w:vertAlign w:val="superscript"/>
          <w:lang w:val="es-PE" w:eastAsia="es-MX"/>
        </w:rPr>
        <w:t>(</w:t>
      </w:r>
      <w:proofErr w:type="gramEnd"/>
      <w:r w:rsidRPr="00AD7EBB">
        <w:rPr>
          <w:color w:val="000000"/>
          <w:vertAlign w:val="superscript"/>
          <w:lang w:val="es-PE" w:eastAsia="es-MX"/>
        </w:rPr>
        <w:t>9)</w:t>
      </w:r>
      <w:r w:rsidRPr="00AD7EBB">
        <w:rPr>
          <w:color w:val="000000"/>
          <w:lang w:val="es-PE" w:eastAsia="es-MX"/>
        </w:rPr>
        <w:t xml:space="preserve"> Igualmente, en el brote actual, expertos indican un incremento del 30 al 50 % de la incidencia de alteraciones mentales, como el estrés, síntomas depresivos, ansiedad, insomnio y miedo.</w:t>
      </w:r>
      <w:r w:rsidRPr="00AD7EBB">
        <w:rPr>
          <w:color w:val="000000"/>
          <w:vertAlign w:val="superscript"/>
          <w:lang w:val="es-PE" w:eastAsia="es-MX"/>
        </w:rPr>
        <w:t xml:space="preserve">(10,11) </w:t>
      </w:r>
    </w:p>
    <w:p w14:paraId="5F7B6E5D" w14:textId="77777777" w:rsidR="00AD7EBB" w:rsidRPr="00AD7EBB" w:rsidRDefault="00AD7EBB" w:rsidP="00AD7E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s-PE" w:eastAsia="es-MX"/>
        </w:rPr>
      </w:pPr>
      <w:r w:rsidRPr="00AD7EBB">
        <w:rPr>
          <w:color w:val="000000"/>
          <w:lang w:val="es-PE" w:eastAsia="es-MX"/>
        </w:rPr>
        <w:t>Es posible que las medidas para evitar la propagación del virus y las cifras sobre el número de fallecimientos diarios hayan despertado el miedo colectivo por la letalidad del nuevo coronavirus y la hospitalización por la COVID-19 haya pasado a ser una amenaza importante para la vida.</w:t>
      </w:r>
      <w:r w:rsidRPr="00AD7EBB">
        <w:rPr>
          <w:color w:val="000000"/>
          <w:vertAlign w:val="superscript"/>
          <w:lang w:val="es-PE" w:eastAsia="es-MX"/>
        </w:rPr>
        <w:t>(5)</w:t>
      </w:r>
      <w:r w:rsidRPr="00AD7EBB">
        <w:rPr>
          <w:color w:val="FF0000"/>
          <w:lang w:val="es-PE" w:eastAsia="es-MX"/>
        </w:rPr>
        <w:t xml:space="preserve"> </w:t>
      </w:r>
      <w:r w:rsidRPr="00AD7EBB">
        <w:rPr>
          <w:color w:val="000000"/>
          <w:lang w:val="es-PE" w:eastAsia="es-MX"/>
        </w:rPr>
        <w:t>Estudios recientes</w:t>
      </w:r>
      <w:r w:rsidRPr="00AD7EBB">
        <w:rPr>
          <w:color w:val="000000"/>
          <w:vertAlign w:val="superscript"/>
          <w:lang w:val="es-PE" w:eastAsia="es-MX"/>
        </w:rPr>
        <w:t>(5,12,13)</w:t>
      </w:r>
      <w:r w:rsidRPr="00AD7EBB">
        <w:rPr>
          <w:color w:val="000000"/>
          <w:lang w:val="es-PE" w:eastAsia="es-MX"/>
        </w:rPr>
        <w:t xml:space="preserve"> destacan la presencia de síntomas significativos de </w:t>
      </w:r>
      <w:proofErr w:type="spellStart"/>
      <w:r w:rsidRPr="00AD7EBB">
        <w:rPr>
          <w:color w:val="000000"/>
          <w:lang w:val="es-PE" w:eastAsia="es-MX"/>
        </w:rPr>
        <w:t>TEPT</w:t>
      </w:r>
      <w:proofErr w:type="spellEnd"/>
      <w:r w:rsidRPr="00AD7EBB">
        <w:rPr>
          <w:color w:val="000000"/>
          <w:lang w:val="es-PE" w:eastAsia="es-MX"/>
        </w:rPr>
        <w:t xml:space="preserve"> luego del alta médica por la </w:t>
      </w:r>
      <w:r w:rsidRPr="00AD7EBB">
        <w:rPr>
          <w:color w:val="000000"/>
          <w:lang w:val="es-PE" w:eastAsia="es-MX"/>
        </w:rPr>
        <w:lastRenderedPageBreak/>
        <w:t>COVID-19,</w:t>
      </w:r>
      <w:r w:rsidRPr="00AD7EBB">
        <w:rPr>
          <w:color w:val="000000"/>
          <w:vertAlign w:val="superscript"/>
          <w:lang w:val="es-PE" w:eastAsia="es-MX"/>
        </w:rPr>
        <w:t xml:space="preserve"> </w:t>
      </w:r>
      <w:r w:rsidRPr="00AD7EBB">
        <w:rPr>
          <w:color w:val="000000"/>
          <w:lang w:val="es-PE" w:eastAsia="es-MX"/>
        </w:rPr>
        <w:t>en una proporción del 40 %.</w:t>
      </w:r>
      <w:r w:rsidRPr="00AD7EBB">
        <w:rPr>
          <w:color w:val="000000"/>
          <w:vertAlign w:val="superscript"/>
          <w:lang w:val="es-PE" w:eastAsia="es-MX"/>
        </w:rPr>
        <w:t>(14) </w:t>
      </w:r>
      <w:r w:rsidRPr="00AD7EBB">
        <w:rPr>
          <w:color w:val="000000"/>
          <w:lang w:val="es-PE" w:eastAsia="es-MX"/>
        </w:rPr>
        <w:t>Ello ha despertado el interés de otros autores,</w:t>
      </w:r>
      <w:r w:rsidRPr="00AD7EBB">
        <w:rPr>
          <w:color w:val="000000"/>
          <w:vertAlign w:val="superscript"/>
          <w:lang w:val="es-PE" w:eastAsia="es-MX"/>
        </w:rPr>
        <w:t>(15,16,17)</w:t>
      </w:r>
      <w:r w:rsidRPr="00AD7EBB">
        <w:rPr>
          <w:color w:val="000000"/>
          <w:lang w:val="es-PE" w:eastAsia="es-MX"/>
        </w:rPr>
        <w:t xml:space="preserve"> quienes han indagado sobre el </w:t>
      </w:r>
      <w:proofErr w:type="spellStart"/>
      <w:r w:rsidRPr="00AD7EBB">
        <w:rPr>
          <w:color w:val="000000"/>
          <w:lang w:val="es-PE" w:eastAsia="es-MX"/>
        </w:rPr>
        <w:t>TEPT</w:t>
      </w:r>
      <w:proofErr w:type="spellEnd"/>
      <w:r w:rsidRPr="00AD7EBB">
        <w:rPr>
          <w:color w:val="000000"/>
          <w:lang w:val="es-PE" w:eastAsia="es-MX"/>
        </w:rPr>
        <w:t xml:space="preserve"> en tiempos de pandemia. </w:t>
      </w:r>
    </w:p>
    <w:p w14:paraId="1D45E252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  <w:r w:rsidRPr="00AD7EBB">
        <w:rPr>
          <w:lang w:val="es-PE" w:eastAsia="es-MX"/>
        </w:rPr>
        <w:t xml:space="preserve">La COVID-19 ha perpetuado la sensación de peligro e incertidumbre en la población y hasta el momento, no se cuenta con gran número de datos epidemiológicos sobre problemas de salud mental y morbilidades psiquiátricas, de los pacientes que han sido diagnosticados con esta enfermedad. Por ello, es importante identificar tempranamente los factores sociodemográficos, sociales e individuales que puedan predisponer al </w:t>
      </w:r>
      <w:proofErr w:type="spellStart"/>
      <w:r w:rsidRPr="00AD7EBB">
        <w:rPr>
          <w:lang w:val="es-PE" w:eastAsia="es-MX"/>
        </w:rPr>
        <w:t>TEPT</w:t>
      </w:r>
      <w:proofErr w:type="spellEnd"/>
      <w:r w:rsidRPr="00AD7EBB">
        <w:rPr>
          <w:lang w:val="es-PE" w:eastAsia="es-MX"/>
        </w:rPr>
        <w:t xml:space="preserve"> mediante rastreo de pacientes sobrevivientes. </w:t>
      </w:r>
    </w:p>
    <w:p w14:paraId="1D081E63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  <w:r w:rsidRPr="00AD7EBB">
        <w:rPr>
          <w:lang w:val="es-PE" w:eastAsia="es-MX"/>
        </w:rPr>
        <w:t xml:space="preserve">El presente estudio tiene como objetivo determinar la relación entre los factores hospitalarios y no hospitalarios con el </w:t>
      </w:r>
      <w:proofErr w:type="spellStart"/>
      <w:r w:rsidRPr="00AD7EBB">
        <w:rPr>
          <w:lang w:val="es-PE" w:eastAsia="es-MX"/>
        </w:rPr>
        <w:t>TEPT</w:t>
      </w:r>
      <w:proofErr w:type="spellEnd"/>
      <w:r w:rsidRPr="00AD7EBB">
        <w:rPr>
          <w:lang w:val="es-PE" w:eastAsia="es-MX"/>
        </w:rPr>
        <w:t xml:space="preserve"> en pacientes con alta médica por la COVID-19 de un hospital en Perú. </w:t>
      </w:r>
    </w:p>
    <w:p w14:paraId="5B827116" w14:textId="77777777" w:rsidR="00AD7EBB" w:rsidRPr="00AD7EBB" w:rsidRDefault="00AD7EBB" w:rsidP="00AD7EBB">
      <w:pPr>
        <w:spacing w:line="360" w:lineRule="auto"/>
        <w:jc w:val="center"/>
        <w:rPr>
          <w:b/>
          <w:lang w:val="es-PE" w:eastAsia="es-MX"/>
        </w:rPr>
      </w:pPr>
    </w:p>
    <w:p w14:paraId="363950E1" w14:textId="77777777" w:rsidR="00AD7EBB" w:rsidRPr="00AD7EBB" w:rsidRDefault="00AD7EBB" w:rsidP="00AD7EBB">
      <w:pPr>
        <w:spacing w:line="360" w:lineRule="auto"/>
        <w:jc w:val="center"/>
        <w:rPr>
          <w:b/>
          <w:sz w:val="32"/>
          <w:szCs w:val="32"/>
          <w:lang w:val="es-PE" w:eastAsia="es-MX"/>
        </w:rPr>
      </w:pPr>
    </w:p>
    <w:p w14:paraId="4FE09331" w14:textId="77777777" w:rsidR="00AD7EBB" w:rsidRPr="00AD7EBB" w:rsidRDefault="00AD7EBB" w:rsidP="00AD7EBB">
      <w:pPr>
        <w:spacing w:line="360" w:lineRule="auto"/>
        <w:jc w:val="center"/>
        <w:rPr>
          <w:b/>
          <w:sz w:val="32"/>
          <w:szCs w:val="32"/>
          <w:lang w:val="es-PE" w:eastAsia="es-MX"/>
        </w:rPr>
      </w:pPr>
      <w:r w:rsidRPr="00AD7EBB">
        <w:rPr>
          <w:b/>
          <w:sz w:val="32"/>
          <w:szCs w:val="32"/>
          <w:lang w:val="es-PE" w:eastAsia="es-MX"/>
        </w:rPr>
        <w:t>MÉTODOS</w:t>
      </w:r>
    </w:p>
    <w:p w14:paraId="757B9544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  <w:r w:rsidRPr="00AD7EBB">
        <w:rPr>
          <w:lang w:val="es-PE" w:eastAsia="es-MX"/>
        </w:rPr>
        <w:t>Este estudio observacional, de corte transversal y diseño correlacional; se desarrolló en un hospital peruano durante el año 2021.</w:t>
      </w:r>
    </w:p>
    <w:p w14:paraId="211A4312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  <w:r w:rsidRPr="00AD7EBB">
        <w:rPr>
          <w:lang w:val="es-PE" w:eastAsia="es-MX"/>
        </w:rPr>
        <w:t xml:space="preserve">La población estuvo constituida por 318 pacientes. Todos fueron contactados mediante llamada telefónica, sin embargo 192 personas quedaron fuera del estudio debido a que no contestaron (63), tenían números telefónicos erróneos (38), no cumplieron con los criterios de inclusión (33) o habían fallecido (5). Finalmente, la muestra no probabilística quedó conformada por 126 participantes. </w:t>
      </w:r>
    </w:p>
    <w:p w14:paraId="078BDCA3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  <w:r w:rsidRPr="00AD7EBB">
        <w:rPr>
          <w:lang w:val="es-PE" w:eastAsia="es-MX"/>
        </w:rPr>
        <w:t>Los criterios de inclusión fueron: mayor de 18 años, de ambos sexos, diagnosticados como positivos a la COVID-19 según sus síntomas o prueba antigénica o prueba rápida, recuperados, que se les dio alta y que estuvieron estabilizados en su estado médico general durante el año 2021.</w:t>
      </w:r>
    </w:p>
    <w:p w14:paraId="1B9C1D8D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  <w:r w:rsidRPr="00AD7EBB">
        <w:rPr>
          <w:lang w:val="es-PE" w:eastAsia="es-MX"/>
        </w:rPr>
        <w:t xml:space="preserve">Las variables incluidas en el estudio fueron: </w:t>
      </w:r>
    </w:p>
    <w:p w14:paraId="4F2676E0" w14:textId="77777777" w:rsidR="00AD7EBB" w:rsidRPr="00AD7EBB" w:rsidRDefault="00AD7EBB" w:rsidP="004956A6">
      <w:pPr>
        <w:spacing w:line="360" w:lineRule="auto"/>
        <w:jc w:val="both"/>
        <w:rPr>
          <w:lang w:val="es-PE" w:eastAsia="es-MX"/>
        </w:rPr>
      </w:pPr>
      <w:r w:rsidRPr="00AD7EBB">
        <w:rPr>
          <w:lang w:val="es-PE" w:eastAsia="es-MX"/>
        </w:rPr>
        <w:t xml:space="preserve">Factores hospitalarios: </w:t>
      </w:r>
    </w:p>
    <w:p w14:paraId="11AB4240" w14:textId="77777777" w:rsidR="00AD7EBB" w:rsidRPr="00AD7EBB" w:rsidRDefault="00AD7EBB" w:rsidP="004956A6">
      <w:pPr>
        <w:spacing w:line="360" w:lineRule="auto"/>
        <w:jc w:val="both"/>
        <w:rPr>
          <w:lang w:val="es-PE" w:eastAsia="es-MX"/>
        </w:rPr>
      </w:pPr>
    </w:p>
    <w:p w14:paraId="721940AD" w14:textId="26B327EE" w:rsidR="00AD7EBB" w:rsidRPr="00AD7EBB" w:rsidRDefault="00AD7EBB" w:rsidP="004956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  <w:lang w:val="es-PE" w:eastAsia="es-MX"/>
        </w:rPr>
      </w:pPr>
      <w:r w:rsidRPr="00AD7EBB">
        <w:rPr>
          <w:color w:val="000000"/>
          <w:lang w:val="es-PE" w:eastAsia="es-MX"/>
        </w:rPr>
        <w:t>Tiempo de hospitalización: menos de 14 días, 14 días</w:t>
      </w:r>
      <w:r w:rsidR="00385B32">
        <w:rPr>
          <w:color w:val="000000"/>
          <w:lang w:val="es-PE" w:eastAsia="es-MX"/>
        </w:rPr>
        <w:t xml:space="preserve"> o más</w:t>
      </w:r>
      <w:r w:rsidRPr="00AD7EBB">
        <w:rPr>
          <w:color w:val="000000"/>
          <w:lang w:val="es-PE" w:eastAsia="es-MX"/>
        </w:rPr>
        <w:t xml:space="preserve">. </w:t>
      </w:r>
    </w:p>
    <w:p w14:paraId="4DD32C3A" w14:textId="77777777" w:rsidR="00AD7EBB" w:rsidRPr="00AD7EBB" w:rsidRDefault="00AD7EBB" w:rsidP="004956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  <w:lang w:val="es-PE" w:eastAsia="es-MX"/>
        </w:rPr>
      </w:pPr>
      <w:r w:rsidRPr="00AD7EBB">
        <w:rPr>
          <w:color w:val="000000"/>
          <w:lang w:val="es-PE" w:eastAsia="es-MX"/>
        </w:rPr>
        <w:lastRenderedPageBreak/>
        <w:t xml:space="preserve">Tipo clínico: leve (hospitalizados con síntomas respiratorios y comorbilidades), moderado (hospitalizado por neumonía con soporte respiratorio) y grave (hospitalizado en unidad de cuidados intensivos). </w:t>
      </w:r>
    </w:p>
    <w:p w14:paraId="39547ED1" w14:textId="77777777" w:rsidR="00AD7EBB" w:rsidRPr="00AD7EBB" w:rsidRDefault="00AD7EBB" w:rsidP="004956A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  <w:lang w:val="es-PE" w:eastAsia="es-MX"/>
        </w:rPr>
      </w:pPr>
      <w:r w:rsidRPr="00AD7EBB">
        <w:rPr>
          <w:lang w:val="es-PE" w:eastAsia="es-MX"/>
        </w:rPr>
        <w:t xml:space="preserve">Soporte respiratorio: invasivo (intubación orotraqueal y conexión a ventilador mecánico), no invasivo (máscara o cánula con alto flujo de oxígeno). </w:t>
      </w:r>
    </w:p>
    <w:p w14:paraId="7991F848" w14:textId="77777777" w:rsidR="00AD7EBB" w:rsidRPr="00AD7EBB" w:rsidRDefault="00AD7EBB" w:rsidP="004956A6">
      <w:pPr>
        <w:spacing w:line="360" w:lineRule="auto"/>
        <w:jc w:val="both"/>
        <w:rPr>
          <w:lang w:val="es-PE" w:eastAsia="es-MX"/>
        </w:rPr>
      </w:pPr>
    </w:p>
    <w:p w14:paraId="6FEED29F" w14:textId="77777777" w:rsidR="00AD7EBB" w:rsidRPr="00AD7EBB" w:rsidRDefault="00AD7EBB" w:rsidP="004956A6">
      <w:pPr>
        <w:spacing w:line="360" w:lineRule="auto"/>
        <w:jc w:val="both"/>
        <w:rPr>
          <w:lang w:val="es-PE" w:eastAsia="es-MX"/>
        </w:rPr>
      </w:pPr>
      <w:r w:rsidRPr="00AD7EBB">
        <w:rPr>
          <w:lang w:val="es-PE" w:eastAsia="es-MX"/>
        </w:rPr>
        <w:t xml:space="preserve">Factores no hospitalarios: </w:t>
      </w:r>
    </w:p>
    <w:p w14:paraId="38131054" w14:textId="77777777" w:rsidR="00AD7EBB" w:rsidRPr="00AD7EBB" w:rsidRDefault="00AD7EBB" w:rsidP="004956A6">
      <w:pPr>
        <w:spacing w:line="360" w:lineRule="auto"/>
        <w:jc w:val="both"/>
        <w:rPr>
          <w:lang w:val="es-PE" w:eastAsia="es-MX"/>
        </w:rPr>
      </w:pPr>
    </w:p>
    <w:p w14:paraId="4E663604" w14:textId="77777777" w:rsidR="00AD7EBB" w:rsidRPr="00AD7EBB" w:rsidRDefault="00AD7EBB" w:rsidP="004956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lang w:val="es-PE" w:eastAsia="es-MX"/>
        </w:rPr>
      </w:pPr>
      <w:r w:rsidRPr="00AD7EBB">
        <w:rPr>
          <w:color w:val="000000"/>
          <w:lang w:val="es-PE" w:eastAsia="es-MX"/>
        </w:rPr>
        <w:t xml:space="preserve">Oxigenoterapia en rehabilitación. </w:t>
      </w:r>
    </w:p>
    <w:p w14:paraId="42330694" w14:textId="77777777" w:rsidR="00AD7EBB" w:rsidRPr="00AD7EBB" w:rsidRDefault="00AD7EBB" w:rsidP="004956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lang w:val="es-PE" w:eastAsia="es-MX"/>
        </w:rPr>
      </w:pPr>
      <w:r w:rsidRPr="00AD7EBB">
        <w:rPr>
          <w:color w:val="000000"/>
          <w:lang w:val="es-PE" w:eastAsia="es-MX"/>
        </w:rPr>
        <w:t xml:space="preserve">Complicaciones después del alta: dificultad respiratoria, secuela neurológica. </w:t>
      </w:r>
    </w:p>
    <w:p w14:paraId="3A902E6A" w14:textId="77777777" w:rsidR="00AD7EBB" w:rsidRPr="00AD7EBB" w:rsidRDefault="00AD7EBB" w:rsidP="004956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lang w:val="es-PE" w:eastAsia="es-MX"/>
        </w:rPr>
      </w:pPr>
      <w:r w:rsidRPr="00AD7EBB">
        <w:rPr>
          <w:color w:val="000000"/>
          <w:lang w:val="es-PE" w:eastAsia="es-MX"/>
        </w:rPr>
        <w:t xml:space="preserve">Percepción de discriminación social. </w:t>
      </w:r>
    </w:p>
    <w:p w14:paraId="48515965" w14:textId="77777777" w:rsidR="00AD7EBB" w:rsidRPr="00AD7EBB" w:rsidRDefault="00AD7EBB" w:rsidP="004956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lang w:val="es-PE" w:eastAsia="es-MX"/>
        </w:rPr>
      </w:pPr>
      <w:r w:rsidRPr="00AD7EBB">
        <w:rPr>
          <w:color w:val="000000"/>
          <w:lang w:val="es-PE" w:eastAsia="es-MX"/>
        </w:rPr>
        <w:t xml:space="preserve">Reincorporación a actividades diarias. </w:t>
      </w:r>
    </w:p>
    <w:p w14:paraId="73DF5D11" w14:textId="77777777" w:rsidR="00AD7EBB" w:rsidRPr="00AD7EBB" w:rsidRDefault="00AD7EBB" w:rsidP="004956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lang w:val="es-PE" w:eastAsia="es-MX"/>
        </w:rPr>
      </w:pPr>
      <w:r w:rsidRPr="00AD7EBB">
        <w:rPr>
          <w:color w:val="000000"/>
          <w:lang w:val="es-PE" w:eastAsia="es-MX"/>
        </w:rPr>
        <w:t xml:space="preserve">Familiares con diagnóstico de la COVID-19. </w:t>
      </w:r>
    </w:p>
    <w:p w14:paraId="5B024C29" w14:textId="77777777" w:rsidR="00AD7EBB" w:rsidRPr="00AD7EBB" w:rsidRDefault="00AD7EBB" w:rsidP="004956A6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color w:val="000000"/>
          <w:lang w:val="es-PE" w:eastAsia="es-MX"/>
        </w:rPr>
      </w:pPr>
      <w:r w:rsidRPr="00AD7EBB">
        <w:rPr>
          <w:lang w:val="es-PE" w:eastAsia="es-MX"/>
        </w:rPr>
        <w:t xml:space="preserve">Familiares fallecidos a causa de la COVID-19. </w:t>
      </w:r>
    </w:p>
    <w:p w14:paraId="0230ABD2" w14:textId="77777777" w:rsidR="00AD7EBB" w:rsidRPr="00AD7EBB" w:rsidRDefault="00AD7EBB" w:rsidP="004956A6">
      <w:pPr>
        <w:spacing w:line="360" w:lineRule="auto"/>
        <w:jc w:val="both"/>
        <w:rPr>
          <w:lang w:val="es-PE" w:eastAsia="es-MX"/>
        </w:rPr>
      </w:pPr>
    </w:p>
    <w:p w14:paraId="203C527C" w14:textId="77777777" w:rsidR="00AD7EBB" w:rsidRPr="00AD7EBB" w:rsidRDefault="00AD7EBB" w:rsidP="004956A6">
      <w:pPr>
        <w:spacing w:line="360" w:lineRule="auto"/>
        <w:jc w:val="both"/>
        <w:rPr>
          <w:lang w:val="es-PE" w:eastAsia="es-MX"/>
        </w:rPr>
      </w:pPr>
      <w:r w:rsidRPr="00AD7EBB">
        <w:rPr>
          <w:lang w:val="es-PE" w:eastAsia="es-MX"/>
        </w:rPr>
        <w:t xml:space="preserve">La recolección de datos se realizó de forma remota. Al contar con el permiso institucional del hospital se accedió a las historias clínicas y se obtuvieron datos de las fichas epidemiológicas. Los participantes fueron contactados mediante llamadas telefónicas en las cuales se les informó sobre el objetivo del estudio, la confidencialidad y el consentimiento informado. Posteriormente se procedió a la aplicación del instrumento en 2 modalidades: mediante la misma llamada telefónica o a través de un enlace de acceso a un formulario de Google en el cual se encontraba el cuestionario. </w:t>
      </w:r>
    </w:p>
    <w:p w14:paraId="4535258F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  <w:r w:rsidRPr="00AD7EBB">
        <w:rPr>
          <w:lang w:val="es-PE" w:eastAsia="es-MX"/>
        </w:rPr>
        <w:t xml:space="preserve">Se elaboró una ficha sociodemográfica la cual contenía preguntas cerradas, que indagaban los factores hospitalarios y no hospitalarios. </w:t>
      </w:r>
    </w:p>
    <w:p w14:paraId="22EEA682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  <w:r w:rsidRPr="00AD7EBB">
        <w:rPr>
          <w:lang w:val="es-PE" w:eastAsia="es-MX"/>
        </w:rPr>
        <w:t>Se usó además, la Escala de Trauma de Davidson (</w:t>
      </w:r>
      <w:proofErr w:type="spellStart"/>
      <w:r w:rsidRPr="00AD7EBB">
        <w:rPr>
          <w:lang w:val="es-PE" w:eastAsia="es-MX"/>
        </w:rPr>
        <w:t>DTS</w:t>
      </w:r>
      <w:proofErr w:type="spellEnd"/>
      <w:r w:rsidRPr="00AD7EBB">
        <w:rPr>
          <w:lang w:val="es-PE" w:eastAsia="es-MX"/>
        </w:rPr>
        <w:t>, por su denominación en inglés</w:t>
      </w:r>
      <w:proofErr w:type="gramStart"/>
      <w:r w:rsidRPr="00AD7EBB">
        <w:rPr>
          <w:lang w:val="es-PE" w:eastAsia="es-MX"/>
        </w:rPr>
        <w:t>).</w:t>
      </w:r>
      <w:r w:rsidRPr="00AD7EBB">
        <w:rPr>
          <w:vertAlign w:val="superscript"/>
          <w:lang w:val="es-PE" w:eastAsia="es-MX"/>
        </w:rPr>
        <w:t>(</w:t>
      </w:r>
      <w:proofErr w:type="gramEnd"/>
      <w:r w:rsidRPr="00AD7EBB">
        <w:rPr>
          <w:vertAlign w:val="superscript"/>
          <w:lang w:val="es-PE" w:eastAsia="es-MX"/>
        </w:rPr>
        <w:t>18)</w:t>
      </w:r>
      <w:r w:rsidRPr="00AD7EBB">
        <w:rPr>
          <w:color w:val="FF0000"/>
          <w:lang w:val="es-PE" w:eastAsia="es-MX"/>
        </w:rPr>
        <w:t xml:space="preserve"> </w:t>
      </w:r>
      <w:r w:rsidRPr="00AD7EBB">
        <w:rPr>
          <w:lang w:val="es-PE" w:eastAsia="es-MX"/>
        </w:rPr>
        <w:t>Está conformada por 17 ítems que evalúan los 17 síntomas del trastorno por estrés post traumático incluidos en el DSM-IV. Los ítems 1, 2, 3, 4, 17 representan el criterio B (reexperimentación intrusiva), los ítems 5, 6, 7, 8, 9, 10, 11 el criterio C (evasión y entumecimiento) y los ítems 12, 13, 14, 15, 16 el criterio D (</w:t>
      </w:r>
      <w:proofErr w:type="spellStart"/>
      <w:r w:rsidRPr="00AD7EBB">
        <w:rPr>
          <w:lang w:val="es-PE" w:eastAsia="es-MX"/>
        </w:rPr>
        <w:t>hiperexcitación</w:t>
      </w:r>
      <w:proofErr w:type="spellEnd"/>
      <w:r w:rsidRPr="00AD7EBB">
        <w:rPr>
          <w:lang w:val="es-PE" w:eastAsia="es-MX"/>
        </w:rPr>
        <w:t xml:space="preserve">). Las alternativas de respuesta se presentan en una escala Likert de 5 puntos (0= nunca </w:t>
      </w:r>
      <w:r w:rsidRPr="00AD7EBB">
        <w:rPr>
          <w:lang w:val="es-PE" w:eastAsia="es-MX"/>
        </w:rPr>
        <w:lastRenderedPageBreak/>
        <w:t xml:space="preserve">o gravedad nula a 4= diario o gravedad extrema), mediante la cual el sujeto puntúa la frecuencia de presentación y gravedad de los síntomas. Posee un puntaje total de 136, sin embargo, una puntuación mayor a 40 indica presencia de trastorno por estrés postraumático. </w:t>
      </w:r>
    </w:p>
    <w:p w14:paraId="38768E9C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  <w:r w:rsidRPr="00AD7EBB">
        <w:rPr>
          <w:lang w:val="es-PE" w:eastAsia="es-MX"/>
        </w:rPr>
        <w:t>La escala fue validada en su versión al español en un estudio multicéntrico.</w:t>
      </w:r>
      <w:r w:rsidRPr="00AD7EBB">
        <w:rPr>
          <w:vertAlign w:val="superscript"/>
          <w:lang w:val="es-PE" w:eastAsia="es-MX"/>
        </w:rPr>
        <w:t>(19)</w:t>
      </w:r>
      <w:r w:rsidRPr="00AD7EBB">
        <w:rPr>
          <w:lang w:val="es-PE" w:eastAsia="es-MX"/>
        </w:rPr>
        <w:t xml:space="preserve"> Se obtuvo un coeficiente α de Cronbach de 0,89, una fiabilidad de test-</w:t>
      </w:r>
      <w:proofErr w:type="spellStart"/>
      <w:r w:rsidRPr="00AD7EBB">
        <w:rPr>
          <w:lang w:val="es-PE" w:eastAsia="es-MX"/>
        </w:rPr>
        <w:t>retest</w:t>
      </w:r>
      <w:proofErr w:type="spellEnd"/>
      <w:r w:rsidRPr="00AD7EBB">
        <w:rPr>
          <w:lang w:val="es-PE" w:eastAsia="es-MX"/>
        </w:rPr>
        <w:t xml:space="preserve"> (intervalo de 15 días) de 0,87 y un coeficiente de correlación con la Escala </w:t>
      </w:r>
      <w:proofErr w:type="spellStart"/>
      <w:r w:rsidRPr="00AD7EBB">
        <w:rPr>
          <w:i/>
          <w:iCs/>
          <w:lang w:val="es-PE" w:eastAsia="es-MX"/>
        </w:rPr>
        <w:t>Clinical</w:t>
      </w:r>
      <w:proofErr w:type="spellEnd"/>
      <w:r w:rsidRPr="00AD7EBB">
        <w:rPr>
          <w:i/>
          <w:iCs/>
          <w:lang w:val="es-PE" w:eastAsia="es-MX"/>
        </w:rPr>
        <w:t xml:space="preserve"> Global </w:t>
      </w:r>
      <w:proofErr w:type="spellStart"/>
      <w:r w:rsidRPr="00AD7EBB">
        <w:rPr>
          <w:i/>
          <w:iCs/>
          <w:lang w:val="es-PE" w:eastAsia="es-MX"/>
        </w:rPr>
        <w:t>Impression</w:t>
      </w:r>
      <w:proofErr w:type="spellEnd"/>
      <w:r w:rsidRPr="00AD7EBB">
        <w:rPr>
          <w:lang w:val="es-PE" w:eastAsia="es-MX"/>
        </w:rPr>
        <w:t xml:space="preserve"> de 0,62. Para fines de esta investigación, el contenido de los ítems fue sometido al juicio de 5 expertos en el área de la salud mental: 4 psicólogos y 1 psiquiatra; quienes los verificaron en función a su relevancia, coherencia y claridad. </w:t>
      </w:r>
    </w:p>
    <w:p w14:paraId="3749D828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  <w:r w:rsidRPr="00AD7EBB">
        <w:rPr>
          <w:lang w:val="es-PE" w:eastAsia="es-MX"/>
        </w:rPr>
        <w:t xml:space="preserve">El procesamiento estadístico se realizó mediante el programa Proyecto </w:t>
      </w:r>
      <w:proofErr w:type="spellStart"/>
      <w:r w:rsidRPr="00AD7EBB">
        <w:rPr>
          <w:lang w:val="es-PE" w:eastAsia="es-MX"/>
        </w:rPr>
        <w:t>Jamovi</w:t>
      </w:r>
      <w:proofErr w:type="spellEnd"/>
      <w:r w:rsidRPr="00AD7EBB">
        <w:rPr>
          <w:lang w:val="es-PE" w:eastAsia="es-MX"/>
        </w:rPr>
        <w:t xml:space="preserve"> versión 1.6.  Para identificar la asociación entre variables se usó la prueba de ji cuadrado y un valor de significación estadística (p) menor que 0,05. En adición al valor p y prestando atención al tipo de muestreo no probabilístico, se optó también por el uso de la V de Cramer para el reporte de la magnitud de efecto de las relaciones (0,10: pequeña, 0,30: moderada y 0,50: grande</w:t>
      </w:r>
      <w:proofErr w:type="gramStart"/>
      <w:r w:rsidRPr="00AD7EBB">
        <w:rPr>
          <w:lang w:val="es-PE" w:eastAsia="es-MX"/>
        </w:rPr>
        <w:t>).</w:t>
      </w:r>
      <w:r w:rsidRPr="00AD7EBB">
        <w:rPr>
          <w:vertAlign w:val="superscript"/>
          <w:lang w:val="es-PE" w:eastAsia="es-MX"/>
        </w:rPr>
        <w:t>(</w:t>
      </w:r>
      <w:proofErr w:type="gramEnd"/>
      <w:r w:rsidRPr="00AD7EBB">
        <w:rPr>
          <w:vertAlign w:val="superscript"/>
          <w:lang w:val="es-PE" w:eastAsia="es-MX"/>
        </w:rPr>
        <w:t>20)</w:t>
      </w:r>
      <w:r w:rsidRPr="00AD7EBB">
        <w:rPr>
          <w:lang w:val="es-PE" w:eastAsia="es-MX"/>
        </w:rPr>
        <w:t xml:space="preserve"> </w:t>
      </w:r>
    </w:p>
    <w:p w14:paraId="26F63613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  <w:r w:rsidRPr="00AD7EBB">
        <w:rPr>
          <w:lang w:val="es-PE" w:eastAsia="es-MX"/>
        </w:rPr>
        <w:t xml:space="preserve">Fueron seguidas las indicaciones de la Declaración de Helsinki para la investigación con humanos. En consecuencia, se conservó la confidencialidad, se evaluó el riesgo y beneficio de la participación y se solicitó el consentimiento informado.  </w:t>
      </w:r>
    </w:p>
    <w:p w14:paraId="4E852B94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</w:p>
    <w:p w14:paraId="65E59AD7" w14:textId="77777777" w:rsidR="00AD7EBB" w:rsidRPr="00AD7EBB" w:rsidRDefault="00AD7EBB" w:rsidP="00AD7EBB">
      <w:pPr>
        <w:spacing w:line="360" w:lineRule="auto"/>
        <w:jc w:val="center"/>
        <w:rPr>
          <w:b/>
          <w:lang w:val="es-PE" w:eastAsia="es-MX"/>
        </w:rPr>
      </w:pPr>
    </w:p>
    <w:p w14:paraId="34720E49" w14:textId="77777777" w:rsidR="00AD7EBB" w:rsidRPr="00AD7EBB" w:rsidRDefault="00AD7EBB" w:rsidP="00AD7EBB">
      <w:pPr>
        <w:spacing w:line="360" w:lineRule="auto"/>
        <w:jc w:val="center"/>
        <w:rPr>
          <w:b/>
          <w:sz w:val="32"/>
          <w:szCs w:val="32"/>
          <w:lang w:val="es-PE" w:eastAsia="es-MX"/>
        </w:rPr>
      </w:pPr>
      <w:r w:rsidRPr="00AD7EBB">
        <w:rPr>
          <w:b/>
          <w:sz w:val="32"/>
          <w:szCs w:val="32"/>
          <w:lang w:val="es-PE" w:eastAsia="es-MX"/>
        </w:rPr>
        <w:t>RESULTADOS</w:t>
      </w:r>
    </w:p>
    <w:p w14:paraId="169ADABE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  <w:r w:rsidRPr="00AD7EBB">
        <w:rPr>
          <w:lang w:val="es-PE" w:eastAsia="es-MX"/>
        </w:rPr>
        <w:t xml:space="preserve">Participaron 57,10 % mujeres y 42,90 % varones. Del total, se identificó presencia de </w:t>
      </w:r>
      <w:proofErr w:type="spellStart"/>
      <w:r w:rsidRPr="00AD7EBB">
        <w:rPr>
          <w:lang w:val="es-PE" w:eastAsia="es-MX"/>
        </w:rPr>
        <w:t>TEPT</w:t>
      </w:r>
      <w:proofErr w:type="spellEnd"/>
      <w:r w:rsidRPr="00AD7EBB">
        <w:rPr>
          <w:lang w:val="es-PE" w:eastAsia="es-MX"/>
        </w:rPr>
        <w:t xml:space="preserve"> en el 51,60 %. </w:t>
      </w:r>
    </w:p>
    <w:p w14:paraId="4DC664CB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  <w:r w:rsidRPr="00AD7EBB">
        <w:rPr>
          <w:lang w:val="es-PE" w:eastAsia="es-MX"/>
        </w:rPr>
        <w:t xml:space="preserve">En la tabla 1 se observan asociaciones estadísticamente significativas y de magnitud de efectos moderadas entre todos los factores hospitalarios y el </w:t>
      </w:r>
      <w:proofErr w:type="spellStart"/>
      <w:r w:rsidRPr="00AD7EBB">
        <w:rPr>
          <w:lang w:val="es-PE" w:eastAsia="es-MX"/>
        </w:rPr>
        <w:t>TEPT</w:t>
      </w:r>
      <w:proofErr w:type="spellEnd"/>
      <w:r w:rsidRPr="00AD7EBB">
        <w:rPr>
          <w:lang w:val="es-PE" w:eastAsia="es-MX"/>
        </w:rPr>
        <w:t xml:space="preserve">, excepto en el factor soporte ventilatorio no invasivo. </w:t>
      </w:r>
    </w:p>
    <w:p w14:paraId="4F159B4F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</w:p>
    <w:p w14:paraId="0F1CE66F" w14:textId="77777777" w:rsidR="004956A6" w:rsidRDefault="004956A6">
      <w:pPr>
        <w:rPr>
          <w:b/>
          <w:sz w:val="22"/>
          <w:szCs w:val="22"/>
          <w:lang w:val="es-PE" w:eastAsia="es-MX"/>
        </w:rPr>
      </w:pPr>
      <w:r>
        <w:rPr>
          <w:b/>
          <w:sz w:val="22"/>
          <w:szCs w:val="22"/>
          <w:lang w:val="es-PE" w:eastAsia="es-MX"/>
        </w:rPr>
        <w:br w:type="page"/>
      </w:r>
    </w:p>
    <w:p w14:paraId="0AF3FE31" w14:textId="6E56B2F9" w:rsidR="00AD7EBB" w:rsidRPr="00AD7EBB" w:rsidRDefault="00AD7EBB" w:rsidP="00AD7EBB">
      <w:pPr>
        <w:spacing w:line="360" w:lineRule="auto"/>
        <w:jc w:val="center"/>
        <w:rPr>
          <w:sz w:val="22"/>
          <w:szCs w:val="22"/>
          <w:lang w:val="es-PE" w:eastAsia="es-MX"/>
        </w:rPr>
      </w:pPr>
      <w:r w:rsidRPr="00AD7EBB">
        <w:rPr>
          <w:b/>
          <w:sz w:val="22"/>
          <w:szCs w:val="22"/>
          <w:lang w:val="es-PE" w:eastAsia="es-MX"/>
        </w:rPr>
        <w:lastRenderedPageBreak/>
        <w:t>Tabla 1 -</w:t>
      </w:r>
      <w:r w:rsidRPr="00AD7EBB">
        <w:rPr>
          <w:sz w:val="22"/>
          <w:szCs w:val="22"/>
          <w:lang w:val="es-PE" w:eastAsia="es-MX"/>
        </w:rPr>
        <w:t xml:space="preserve"> Relación entre factores hospitalarios y el trastorno por estrés postraumático en pacientes con alta médica por la COVID-19</w:t>
      </w:r>
    </w:p>
    <w:p w14:paraId="1E5F008E" w14:textId="2D1A90E6" w:rsidR="00FA6B9F" w:rsidRDefault="0019781E" w:rsidP="00AD7EBB">
      <w:pPr>
        <w:spacing w:line="360" w:lineRule="auto"/>
        <w:jc w:val="center"/>
        <w:rPr>
          <w:sz w:val="16"/>
          <w:szCs w:val="16"/>
          <w:lang w:val="es-PE" w:eastAsia="es-MX"/>
        </w:rPr>
      </w:pPr>
      <w:r>
        <w:rPr>
          <w:noProof/>
          <w:sz w:val="16"/>
          <w:szCs w:val="16"/>
          <w:lang w:val="es-PE" w:eastAsia="es-MX"/>
        </w:rPr>
        <w:drawing>
          <wp:inline distT="0" distB="0" distL="0" distR="0" wp14:anchorId="6F359D92" wp14:editId="025E302E">
            <wp:extent cx="4685714" cy="3076190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714" cy="3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939F7" w14:textId="43E409F6" w:rsidR="00AD7EBB" w:rsidRPr="00AD7EBB" w:rsidRDefault="00AD7EBB" w:rsidP="00AD7EBB">
      <w:pPr>
        <w:spacing w:line="360" w:lineRule="auto"/>
        <w:jc w:val="center"/>
        <w:rPr>
          <w:rFonts w:eastAsia="Calibri"/>
          <w:sz w:val="16"/>
          <w:szCs w:val="16"/>
          <w:lang w:val="es-PE" w:eastAsia="es-MX"/>
        </w:rPr>
      </w:pPr>
      <w:r w:rsidRPr="00AD7EBB">
        <w:rPr>
          <w:sz w:val="16"/>
          <w:szCs w:val="16"/>
          <w:lang w:val="es-PE" w:eastAsia="es-MX"/>
        </w:rPr>
        <w:t>X</w:t>
      </w:r>
      <w:r w:rsidRPr="00AD7EBB">
        <w:rPr>
          <w:sz w:val="16"/>
          <w:szCs w:val="16"/>
          <w:vertAlign w:val="superscript"/>
          <w:lang w:val="es-PE" w:eastAsia="es-MX"/>
        </w:rPr>
        <w:t>2</w:t>
      </w:r>
      <w:r w:rsidRPr="00AD7EBB">
        <w:rPr>
          <w:sz w:val="16"/>
          <w:szCs w:val="16"/>
          <w:lang w:val="es-PE" w:eastAsia="es-MX"/>
        </w:rPr>
        <w:t xml:space="preserve">: </w:t>
      </w:r>
      <w:proofErr w:type="gramStart"/>
      <w:r w:rsidRPr="00AD7EBB">
        <w:rPr>
          <w:i/>
          <w:iCs/>
          <w:sz w:val="16"/>
          <w:szCs w:val="16"/>
          <w:lang w:val="es-PE" w:eastAsia="es-MX"/>
        </w:rPr>
        <w:t>ji</w:t>
      </w:r>
      <w:r w:rsidRPr="00AD7EBB">
        <w:rPr>
          <w:sz w:val="16"/>
          <w:szCs w:val="16"/>
          <w:lang w:val="es-PE" w:eastAsia="es-MX"/>
        </w:rPr>
        <w:t xml:space="preserve"> cuadrado</w:t>
      </w:r>
      <w:proofErr w:type="gramEnd"/>
      <w:r w:rsidRPr="00AD7EBB">
        <w:rPr>
          <w:sz w:val="16"/>
          <w:szCs w:val="16"/>
          <w:lang w:val="es-PE" w:eastAsia="es-MX"/>
        </w:rPr>
        <w:t>, gl: grados de libertad, p= significación estadística, V Cramer: medida de magnitud de efecto.</w:t>
      </w:r>
    </w:p>
    <w:p w14:paraId="2E617580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</w:p>
    <w:p w14:paraId="6BE56EE3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  <w:r w:rsidRPr="00AD7EBB">
        <w:rPr>
          <w:lang w:val="es-PE" w:eastAsia="es-MX"/>
        </w:rPr>
        <w:t>En la</w:t>
      </w:r>
      <w:r w:rsidRPr="00AD7EBB">
        <w:rPr>
          <w:b/>
          <w:lang w:val="es-PE" w:eastAsia="es-MX"/>
        </w:rPr>
        <w:t xml:space="preserve"> </w:t>
      </w:r>
      <w:r w:rsidRPr="00AD7EBB">
        <w:rPr>
          <w:bCs/>
          <w:lang w:val="es-PE" w:eastAsia="es-MX"/>
        </w:rPr>
        <w:t>tabla 2</w:t>
      </w:r>
      <w:r w:rsidRPr="00AD7EBB">
        <w:rPr>
          <w:b/>
          <w:lang w:val="es-PE" w:eastAsia="es-MX"/>
        </w:rPr>
        <w:t xml:space="preserve"> </w:t>
      </w:r>
      <w:r w:rsidRPr="00AD7EBB">
        <w:rPr>
          <w:lang w:val="es-PE" w:eastAsia="es-MX"/>
        </w:rPr>
        <w:t xml:space="preserve">se identifican relaciones estadísticamente significativas con magnitud de efecto grande y moderadas entre el </w:t>
      </w:r>
      <w:proofErr w:type="spellStart"/>
      <w:r w:rsidRPr="00AD7EBB">
        <w:rPr>
          <w:lang w:val="es-PE" w:eastAsia="es-MX"/>
        </w:rPr>
        <w:t>TEPT</w:t>
      </w:r>
      <w:proofErr w:type="spellEnd"/>
      <w:r w:rsidRPr="00AD7EBB">
        <w:rPr>
          <w:lang w:val="es-PE" w:eastAsia="es-MX"/>
        </w:rPr>
        <w:t xml:space="preserve"> y los factores no hospitalarios, excepto en el factor familiares fallecidos a causa de la COVID-19. </w:t>
      </w:r>
    </w:p>
    <w:p w14:paraId="5BDBEDEE" w14:textId="77777777" w:rsidR="00AD7EBB" w:rsidRPr="00AD7EBB" w:rsidRDefault="00AD7EBB" w:rsidP="00AD7EBB">
      <w:pPr>
        <w:spacing w:line="360" w:lineRule="auto"/>
        <w:rPr>
          <w:b/>
          <w:lang w:val="es-PE" w:eastAsia="es-MX"/>
        </w:rPr>
      </w:pPr>
    </w:p>
    <w:p w14:paraId="7969C06B" w14:textId="77777777" w:rsidR="00FA6B9F" w:rsidRDefault="00FA6B9F">
      <w:pPr>
        <w:rPr>
          <w:b/>
          <w:sz w:val="22"/>
          <w:szCs w:val="22"/>
          <w:lang w:val="es-PE" w:eastAsia="es-MX"/>
        </w:rPr>
      </w:pPr>
      <w:r>
        <w:rPr>
          <w:b/>
          <w:sz w:val="22"/>
          <w:szCs w:val="22"/>
          <w:lang w:val="es-PE" w:eastAsia="es-MX"/>
        </w:rPr>
        <w:br w:type="page"/>
      </w:r>
    </w:p>
    <w:p w14:paraId="1F4399DB" w14:textId="35397C7E" w:rsidR="00AD7EBB" w:rsidRPr="00AD7EBB" w:rsidRDefault="00AD7EBB" w:rsidP="00AD7EBB">
      <w:pPr>
        <w:spacing w:line="360" w:lineRule="auto"/>
        <w:jc w:val="center"/>
        <w:rPr>
          <w:sz w:val="22"/>
          <w:szCs w:val="22"/>
          <w:lang w:val="es-PE" w:eastAsia="es-MX"/>
        </w:rPr>
      </w:pPr>
      <w:r w:rsidRPr="00AD7EBB">
        <w:rPr>
          <w:b/>
          <w:sz w:val="22"/>
          <w:szCs w:val="22"/>
          <w:lang w:val="es-PE" w:eastAsia="es-MX"/>
        </w:rPr>
        <w:lastRenderedPageBreak/>
        <w:t xml:space="preserve">Tabla 2 - </w:t>
      </w:r>
      <w:r w:rsidRPr="00AD7EBB">
        <w:rPr>
          <w:sz w:val="22"/>
          <w:szCs w:val="22"/>
          <w:lang w:val="es-PE" w:eastAsia="es-MX"/>
        </w:rPr>
        <w:t>Relación entre factores no hospitalarios y el trastorno por estrés postraumático en pacientes con alta médica por la COVID-19</w:t>
      </w:r>
    </w:p>
    <w:p w14:paraId="1D606DC2" w14:textId="34BC2C8A" w:rsidR="001174DF" w:rsidRDefault="0019781E" w:rsidP="00AD7EBB">
      <w:pPr>
        <w:spacing w:line="360" w:lineRule="auto"/>
        <w:jc w:val="center"/>
        <w:rPr>
          <w:sz w:val="16"/>
          <w:szCs w:val="16"/>
          <w:lang w:val="es-PE" w:eastAsia="es-MX"/>
        </w:rPr>
      </w:pPr>
      <w:r>
        <w:rPr>
          <w:noProof/>
          <w:sz w:val="16"/>
          <w:szCs w:val="16"/>
          <w:lang w:val="es-PE" w:eastAsia="es-MX"/>
        </w:rPr>
        <w:drawing>
          <wp:inline distT="0" distB="0" distL="0" distR="0" wp14:anchorId="32057403" wp14:editId="41C8E5AB">
            <wp:extent cx="5609524" cy="513333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5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1D8E7" w14:textId="2420E791" w:rsidR="00AD7EBB" w:rsidRPr="00AD7EBB" w:rsidRDefault="00AD7EBB" w:rsidP="00AD7EBB">
      <w:pPr>
        <w:spacing w:line="360" w:lineRule="auto"/>
        <w:jc w:val="center"/>
        <w:rPr>
          <w:sz w:val="16"/>
          <w:szCs w:val="16"/>
          <w:lang w:val="es-PE" w:eastAsia="es-MX"/>
        </w:rPr>
      </w:pPr>
      <w:r w:rsidRPr="00AD7EBB">
        <w:rPr>
          <w:sz w:val="16"/>
          <w:szCs w:val="16"/>
          <w:lang w:val="es-PE" w:eastAsia="es-MX"/>
        </w:rPr>
        <w:t>X</w:t>
      </w:r>
      <w:r w:rsidRPr="00AD7EBB">
        <w:rPr>
          <w:sz w:val="16"/>
          <w:szCs w:val="16"/>
          <w:vertAlign w:val="superscript"/>
          <w:lang w:val="es-PE" w:eastAsia="es-MX"/>
        </w:rPr>
        <w:t>2</w:t>
      </w:r>
      <w:r w:rsidRPr="00AD7EBB">
        <w:rPr>
          <w:sz w:val="16"/>
          <w:szCs w:val="16"/>
          <w:lang w:val="es-PE" w:eastAsia="es-MX"/>
        </w:rPr>
        <w:t xml:space="preserve">: </w:t>
      </w:r>
      <w:proofErr w:type="gramStart"/>
      <w:r w:rsidRPr="00AD7EBB">
        <w:rPr>
          <w:i/>
          <w:iCs/>
          <w:sz w:val="16"/>
          <w:szCs w:val="16"/>
          <w:lang w:val="es-PE" w:eastAsia="es-MX"/>
        </w:rPr>
        <w:t>ji</w:t>
      </w:r>
      <w:r w:rsidRPr="00AD7EBB">
        <w:rPr>
          <w:sz w:val="16"/>
          <w:szCs w:val="16"/>
          <w:lang w:val="es-PE" w:eastAsia="es-MX"/>
        </w:rPr>
        <w:t xml:space="preserve"> cuadrado</w:t>
      </w:r>
      <w:proofErr w:type="gramEnd"/>
      <w:r w:rsidRPr="00AD7EBB">
        <w:rPr>
          <w:sz w:val="16"/>
          <w:szCs w:val="16"/>
          <w:lang w:val="es-PE" w:eastAsia="es-MX"/>
        </w:rPr>
        <w:t>, gl: grados de libertad, p= significación estadística, V Cramer: medida de magnitud de efecto.</w:t>
      </w:r>
    </w:p>
    <w:p w14:paraId="43CABB62" w14:textId="77777777" w:rsidR="00AD7EBB" w:rsidRPr="00AD7EBB" w:rsidRDefault="00AD7EBB" w:rsidP="00AD7EBB">
      <w:pPr>
        <w:spacing w:line="360" w:lineRule="auto"/>
        <w:rPr>
          <w:b/>
          <w:lang w:val="es-PE" w:eastAsia="es-MX"/>
        </w:rPr>
      </w:pPr>
    </w:p>
    <w:p w14:paraId="5383718C" w14:textId="77777777" w:rsidR="00AD7EBB" w:rsidRPr="00AD7EBB" w:rsidRDefault="00AD7EBB" w:rsidP="00AD7EBB">
      <w:pPr>
        <w:spacing w:line="360" w:lineRule="auto"/>
        <w:jc w:val="center"/>
        <w:rPr>
          <w:b/>
          <w:lang w:val="es-PE" w:eastAsia="es-MX"/>
        </w:rPr>
      </w:pPr>
    </w:p>
    <w:p w14:paraId="12A7EF36" w14:textId="77777777" w:rsidR="0096074C" w:rsidRDefault="0096074C">
      <w:pPr>
        <w:rPr>
          <w:b/>
          <w:sz w:val="32"/>
          <w:szCs w:val="32"/>
          <w:lang w:val="es-PE" w:eastAsia="es-MX"/>
        </w:rPr>
      </w:pPr>
      <w:r>
        <w:rPr>
          <w:b/>
          <w:sz w:val="32"/>
          <w:szCs w:val="32"/>
          <w:lang w:val="es-PE" w:eastAsia="es-MX"/>
        </w:rPr>
        <w:br w:type="page"/>
      </w:r>
    </w:p>
    <w:p w14:paraId="74A7E49E" w14:textId="2AEE4A5F" w:rsidR="00AD7EBB" w:rsidRPr="00AD7EBB" w:rsidRDefault="00AD7EBB" w:rsidP="00AD7EBB">
      <w:pPr>
        <w:spacing w:line="360" w:lineRule="auto"/>
        <w:jc w:val="center"/>
        <w:rPr>
          <w:b/>
          <w:sz w:val="32"/>
          <w:szCs w:val="32"/>
          <w:lang w:val="es-PE" w:eastAsia="es-MX"/>
        </w:rPr>
      </w:pPr>
      <w:r w:rsidRPr="00AD7EBB">
        <w:rPr>
          <w:b/>
          <w:sz w:val="32"/>
          <w:szCs w:val="32"/>
          <w:lang w:val="es-PE" w:eastAsia="es-MX"/>
        </w:rPr>
        <w:lastRenderedPageBreak/>
        <w:t>DISCUSIÓN</w:t>
      </w:r>
    </w:p>
    <w:p w14:paraId="67FA7CA7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  <w:r w:rsidRPr="00AD7EBB">
        <w:rPr>
          <w:lang w:val="es-PE" w:eastAsia="es-MX"/>
        </w:rPr>
        <w:t xml:space="preserve">Durante la actual pandemia, los rezagos en la salud mental de aquellos que vivenciaron el proceso clínico, terapéutico y de rehabilitación de la COVID-19 pueden desencadenar el inicio de la sintomatología de </w:t>
      </w:r>
      <w:proofErr w:type="spellStart"/>
      <w:proofErr w:type="gramStart"/>
      <w:r w:rsidRPr="00AD7EBB">
        <w:rPr>
          <w:lang w:val="es-PE" w:eastAsia="es-MX"/>
        </w:rPr>
        <w:t>TEPT</w:t>
      </w:r>
      <w:proofErr w:type="spellEnd"/>
      <w:r w:rsidRPr="00AD7EBB">
        <w:rPr>
          <w:lang w:val="es-PE" w:eastAsia="es-MX"/>
        </w:rPr>
        <w:t>.</w:t>
      </w:r>
      <w:r w:rsidRPr="00AD7EBB">
        <w:rPr>
          <w:vertAlign w:val="superscript"/>
          <w:lang w:val="es-PE" w:eastAsia="es-MX"/>
        </w:rPr>
        <w:t>(</w:t>
      </w:r>
      <w:proofErr w:type="gramEnd"/>
      <w:r w:rsidRPr="00AD7EBB">
        <w:rPr>
          <w:vertAlign w:val="superscript"/>
          <w:lang w:val="es-PE" w:eastAsia="es-MX"/>
        </w:rPr>
        <w:t>21)</w:t>
      </w:r>
      <w:r w:rsidRPr="00AD7EBB">
        <w:rPr>
          <w:color w:val="FF0000"/>
          <w:lang w:val="es-PE" w:eastAsia="es-MX"/>
        </w:rPr>
        <w:t xml:space="preserve"> </w:t>
      </w:r>
    </w:p>
    <w:p w14:paraId="0F8D0B3B" w14:textId="77777777" w:rsidR="00AD7EBB" w:rsidRPr="00AD7EBB" w:rsidRDefault="00AD7EBB" w:rsidP="00AD7EBB">
      <w:pPr>
        <w:spacing w:line="360" w:lineRule="auto"/>
        <w:jc w:val="both"/>
        <w:rPr>
          <w:color w:val="000000"/>
          <w:lang w:val="es-PE" w:eastAsia="es-MX"/>
        </w:rPr>
      </w:pPr>
      <w:r w:rsidRPr="00AD7EBB">
        <w:rPr>
          <w:lang w:val="es-PE" w:eastAsia="es-MX"/>
        </w:rPr>
        <w:t xml:space="preserve">Durante la hospitalización se incrementa la percepción de la situación crítica y el peligro que representa el proceso de la COVID-19, además el haber percibido las consecuencias sanitarias de la primera ola, conduce a una respuesta de estrés alta y </w:t>
      </w:r>
      <w:proofErr w:type="gramStart"/>
      <w:r w:rsidRPr="00AD7EBB">
        <w:rPr>
          <w:lang w:val="es-PE" w:eastAsia="es-MX"/>
        </w:rPr>
        <w:t>constante.</w:t>
      </w:r>
      <w:r w:rsidRPr="00AD7EBB">
        <w:rPr>
          <w:vertAlign w:val="superscript"/>
          <w:lang w:val="es-PE" w:eastAsia="es-MX"/>
        </w:rPr>
        <w:t>(</w:t>
      </w:r>
      <w:proofErr w:type="gramEnd"/>
      <w:r w:rsidRPr="00AD7EBB">
        <w:rPr>
          <w:vertAlign w:val="superscript"/>
          <w:lang w:val="es-PE" w:eastAsia="es-MX"/>
        </w:rPr>
        <w:t xml:space="preserve">22) </w:t>
      </w:r>
      <w:r w:rsidRPr="00AD7EBB">
        <w:rPr>
          <w:color w:val="000000"/>
          <w:lang w:val="es-PE" w:eastAsia="es-MX"/>
        </w:rPr>
        <w:t xml:space="preserve">Al respecto, permanecer más de 14 días hospitalizado se asoció en mayor medida al </w:t>
      </w:r>
      <w:proofErr w:type="spellStart"/>
      <w:r w:rsidRPr="00AD7EBB">
        <w:rPr>
          <w:color w:val="000000"/>
          <w:lang w:val="es-PE" w:eastAsia="es-MX"/>
        </w:rPr>
        <w:t>TEPT</w:t>
      </w:r>
      <w:proofErr w:type="spellEnd"/>
      <w:r w:rsidRPr="00AD7EBB">
        <w:rPr>
          <w:color w:val="000000"/>
          <w:lang w:val="es-PE" w:eastAsia="es-MX"/>
        </w:rPr>
        <w:t>, resultados similares fueron hallados en otros estudios.</w:t>
      </w:r>
      <w:r w:rsidRPr="00AD7EBB">
        <w:rPr>
          <w:color w:val="000000"/>
          <w:vertAlign w:val="superscript"/>
          <w:lang w:val="es-PE" w:eastAsia="es-MX"/>
        </w:rPr>
        <w:t>(23,24)</w:t>
      </w:r>
    </w:p>
    <w:p w14:paraId="30F493E0" w14:textId="77777777" w:rsidR="00AD7EBB" w:rsidRPr="00AD7EBB" w:rsidRDefault="00AD7EBB" w:rsidP="00AD7EBB">
      <w:pPr>
        <w:spacing w:line="360" w:lineRule="auto"/>
        <w:jc w:val="both"/>
        <w:rPr>
          <w:color w:val="000000"/>
          <w:lang w:val="es-PE" w:eastAsia="es-MX"/>
        </w:rPr>
      </w:pPr>
      <w:r w:rsidRPr="00AD7EBB">
        <w:rPr>
          <w:color w:val="000000"/>
          <w:lang w:val="es-PE" w:eastAsia="es-MX"/>
        </w:rPr>
        <w:t xml:space="preserve">En cuanto al tipo clínico, quienes permanecieron hospitalizados con tipo moderado presentaron en mayor medida manifestaciones de </w:t>
      </w:r>
      <w:proofErr w:type="spellStart"/>
      <w:r w:rsidRPr="00AD7EBB">
        <w:rPr>
          <w:color w:val="000000"/>
          <w:lang w:val="es-PE" w:eastAsia="es-MX"/>
        </w:rPr>
        <w:t>TEPT</w:t>
      </w:r>
      <w:proofErr w:type="spellEnd"/>
      <w:r w:rsidRPr="00AD7EBB">
        <w:rPr>
          <w:color w:val="000000"/>
          <w:lang w:val="es-PE" w:eastAsia="es-MX"/>
        </w:rPr>
        <w:t xml:space="preserve">. Esto debido a que la percepción de síntomas moderados o graves de la COVID-19, aumentan la posibilidad de manifestaciones clínicas de este </w:t>
      </w:r>
      <w:proofErr w:type="gramStart"/>
      <w:r w:rsidRPr="00AD7EBB">
        <w:rPr>
          <w:color w:val="000000"/>
          <w:lang w:val="es-PE" w:eastAsia="es-MX"/>
        </w:rPr>
        <w:t>trastorno,</w:t>
      </w:r>
      <w:r w:rsidRPr="00AD7EBB">
        <w:rPr>
          <w:color w:val="000000"/>
          <w:vertAlign w:val="superscript"/>
          <w:lang w:val="es-PE" w:eastAsia="es-MX"/>
        </w:rPr>
        <w:t>(</w:t>
      </w:r>
      <w:proofErr w:type="gramEnd"/>
      <w:r w:rsidRPr="00AD7EBB">
        <w:rPr>
          <w:color w:val="000000"/>
          <w:vertAlign w:val="superscript"/>
          <w:lang w:val="es-PE" w:eastAsia="es-MX"/>
        </w:rPr>
        <w:t>12)</w:t>
      </w:r>
      <w:r w:rsidRPr="00AD7EBB">
        <w:rPr>
          <w:color w:val="000000"/>
          <w:lang w:val="es-PE" w:eastAsia="es-MX"/>
        </w:rPr>
        <w:t xml:space="preserve"> debido a los distintos procedimientos médicos cada vez más invasivos, según la gravedad del cuadro y mayor cantidad de días en hospitalización. </w:t>
      </w:r>
    </w:p>
    <w:p w14:paraId="31D9D01E" w14:textId="77777777" w:rsidR="00AD7EBB" w:rsidRPr="00AD7EBB" w:rsidRDefault="00AD7EBB" w:rsidP="00AD7EBB">
      <w:pPr>
        <w:spacing w:line="360" w:lineRule="auto"/>
        <w:jc w:val="both"/>
        <w:rPr>
          <w:color w:val="000000"/>
          <w:lang w:val="es-PE" w:eastAsia="es-MX"/>
        </w:rPr>
      </w:pPr>
      <w:r w:rsidRPr="00AD7EBB">
        <w:rPr>
          <w:color w:val="000000"/>
          <w:lang w:val="es-PE" w:eastAsia="es-MX"/>
        </w:rPr>
        <w:t xml:space="preserve">Respecto a lo anterior, las intervenciones médicas integrales e invasivas para mantener o restaurar las funciones vitales, aumentan la probabilidad del desarrollo de síntomas de </w:t>
      </w:r>
      <w:proofErr w:type="spellStart"/>
      <w:proofErr w:type="gramStart"/>
      <w:r w:rsidRPr="00AD7EBB">
        <w:rPr>
          <w:color w:val="000000"/>
          <w:lang w:val="es-PE" w:eastAsia="es-MX"/>
        </w:rPr>
        <w:t>TEPT</w:t>
      </w:r>
      <w:proofErr w:type="spellEnd"/>
      <w:r w:rsidRPr="00AD7EBB">
        <w:rPr>
          <w:color w:val="000000"/>
          <w:lang w:val="es-PE" w:eastAsia="es-MX"/>
        </w:rPr>
        <w:t>,</w:t>
      </w:r>
      <w:r w:rsidRPr="00AD7EBB">
        <w:rPr>
          <w:color w:val="000000"/>
          <w:vertAlign w:val="superscript"/>
          <w:lang w:val="es-PE" w:eastAsia="es-MX"/>
        </w:rPr>
        <w:t>(</w:t>
      </w:r>
      <w:proofErr w:type="gramEnd"/>
      <w:r w:rsidRPr="00AD7EBB">
        <w:rPr>
          <w:color w:val="000000"/>
          <w:vertAlign w:val="superscript"/>
          <w:lang w:val="es-PE" w:eastAsia="es-MX"/>
        </w:rPr>
        <w:t>25)</w:t>
      </w:r>
      <w:r w:rsidRPr="00AD7EBB">
        <w:rPr>
          <w:color w:val="000000"/>
          <w:lang w:val="es-PE" w:eastAsia="es-MX"/>
        </w:rPr>
        <w:t xml:space="preserve"> lo cual es demostrado en este estudio, en el cual el uso de soporte ventilatorio invasivo se asoció en mayor medida al </w:t>
      </w:r>
      <w:proofErr w:type="spellStart"/>
      <w:r w:rsidRPr="00AD7EBB">
        <w:rPr>
          <w:color w:val="000000"/>
          <w:lang w:val="es-PE" w:eastAsia="es-MX"/>
        </w:rPr>
        <w:t>TEPT</w:t>
      </w:r>
      <w:proofErr w:type="spellEnd"/>
      <w:r w:rsidRPr="00AD7EBB">
        <w:rPr>
          <w:color w:val="000000"/>
          <w:lang w:val="es-PE" w:eastAsia="es-MX"/>
        </w:rPr>
        <w:t>.</w:t>
      </w:r>
    </w:p>
    <w:p w14:paraId="0C11DD47" w14:textId="77777777" w:rsidR="00AD7EBB" w:rsidRPr="00AD7EBB" w:rsidRDefault="00AD7EBB" w:rsidP="00AD7EBB">
      <w:pPr>
        <w:spacing w:line="360" w:lineRule="auto"/>
        <w:jc w:val="both"/>
        <w:rPr>
          <w:color w:val="000000"/>
          <w:lang w:val="es-PE" w:eastAsia="es-MX"/>
        </w:rPr>
      </w:pPr>
      <w:r w:rsidRPr="00AD7EBB">
        <w:rPr>
          <w:color w:val="000000"/>
          <w:lang w:val="es-PE" w:eastAsia="es-MX"/>
        </w:rPr>
        <w:t>Las secuelas por la COVID-19: uso de oxígeno como parte de rehabilitación, secuelas neurológicas y dificultad respiratoria también mostraron relación. Estas secuelas pueden generar un menor desempeño en los pacientes dados de alta, generarse recuerdos intrusivos al seguir presentando sintomatología compatible con la COVID-19 y expectativa incierta de cuándo desaparecerán. Están alteraciones pueden tener repercusión en el desarrollo del trastorno.</w:t>
      </w:r>
    </w:p>
    <w:p w14:paraId="2462A01F" w14:textId="77777777" w:rsidR="00AD7EBB" w:rsidRPr="00AD7EBB" w:rsidRDefault="00AD7EBB" w:rsidP="00AD7EBB">
      <w:pPr>
        <w:spacing w:line="360" w:lineRule="auto"/>
        <w:jc w:val="both"/>
        <w:rPr>
          <w:color w:val="000000"/>
          <w:vertAlign w:val="superscript"/>
          <w:lang w:val="es-PE" w:eastAsia="es-MX"/>
        </w:rPr>
      </w:pPr>
      <w:r w:rsidRPr="00AD7EBB">
        <w:rPr>
          <w:color w:val="000000"/>
          <w:lang w:val="es-PE" w:eastAsia="es-MX"/>
        </w:rPr>
        <w:t xml:space="preserve">Del mismo modo se observa mayor presencia de </w:t>
      </w:r>
      <w:proofErr w:type="spellStart"/>
      <w:r w:rsidRPr="00AD7EBB">
        <w:rPr>
          <w:color w:val="000000"/>
          <w:lang w:val="es-PE" w:eastAsia="es-MX"/>
        </w:rPr>
        <w:t>TEPT</w:t>
      </w:r>
      <w:proofErr w:type="spellEnd"/>
      <w:r w:rsidRPr="00AD7EBB">
        <w:rPr>
          <w:color w:val="000000"/>
          <w:lang w:val="es-PE" w:eastAsia="es-MX"/>
        </w:rPr>
        <w:t xml:space="preserve"> en quienes perciben discriminación social o tienen dificultad para reincorporarse a sus actividades cotidianas luego del alta médica. Al respecto, el bajo apoyo social se ha asociado con sintomatología </w:t>
      </w:r>
      <w:proofErr w:type="spellStart"/>
      <w:r w:rsidRPr="00AD7EBB">
        <w:rPr>
          <w:color w:val="000000"/>
          <w:lang w:val="es-PE" w:eastAsia="es-MX"/>
        </w:rPr>
        <w:t>TEPT</w:t>
      </w:r>
      <w:proofErr w:type="spellEnd"/>
      <w:r w:rsidRPr="00AD7EBB">
        <w:rPr>
          <w:color w:val="000000"/>
          <w:lang w:val="es-PE" w:eastAsia="es-MX"/>
        </w:rPr>
        <w:t xml:space="preserve"> puesto que los pacientes consideran más importante los recursos externos para superar su </w:t>
      </w:r>
      <w:proofErr w:type="gramStart"/>
      <w:r w:rsidRPr="00AD7EBB">
        <w:rPr>
          <w:color w:val="000000"/>
          <w:lang w:val="es-PE" w:eastAsia="es-MX"/>
        </w:rPr>
        <w:t>situación.</w:t>
      </w:r>
      <w:r w:rsidRPr="00AD7EBB">
        <w:rPr>
          <w:color w:val="000000"/>
          <w:vertAlign w:val="superscript"/>
          <w:lang w:val="es-PE" w:eastAsia="es-MX"/>
        </w:rPr>
        <w:t>(</w:t>
      </w:r>
      <w:proofErr w:type="gramEnd"/>
      <w:r w:rsidRPr="00AD7EBB">
        <w:rPr>
          <w:color w:val="000000"/>
          <w:vertAlign w:val="superscript"/>
          <w:lang w:val="es-PE" w:eastAsia="es-MX"/>
        </w:rPr>
        <w:t>26)</w:t>
      </w:r>
      <w:r w:rsidRPr="00AD7EBB">
        <w:rPr>
          <w:color w:val="000000"/>
          <w:lang w:val="es-PE" w:eastAsia="es-MX"/>
        </w:rPr>
        <w:t xml:space="preserve"> De igual forma, otra investigación señala que la percepción de apoyo social se asocia con síntomas de estrés emocional asociados a eventos </w:t>
      </w:r>
      <w:r w:rsidRPr="00AD7EBB">
        <w:rPr>
          <w:color w:val="000000"/>
          <w:lang w:val="es-PE" w:eastAsia="es-MX"/>
        </w:rPr>
        <w:lastRenderedPageBreak/>
        <w:t>traumáticos menos graves.</w:t>
      </w:r>
      <w:r w:rsidRPr="00AD7EBB">
        <w:rPr>
          <w:color w:val="000000"/>
          <w:vertAlign w:val="superscript"/>
          <w:lang w:val="es-PE" w:eastAsia="es-MX"/>
        </w:rPr>
        <w:t>(27)</w:t>
      </w:r>
      <w:r w:rsidRPr="00AD7EBB">
        <w:rPr>
          <w:color w:val="000000"/>
          <w:lang w:val="es-PE" w:eastAsia="es-MX"/>
        </w:rPr>
        <w:t xml:space="preserve"> Además, la discapacidad temporal en los centros de trabajo de las personas dadas de alta hospitalaria se asocia a la gravedad de sintomatología.</w:t>
      </w:r>
      <w:r w:rsidRPr="00AD7EBB">
        <w:rPr>
          <w:color w:val="000000"/>
          <w:vertAlign w:val="superscript"/>
          <w:lang w:val="es-PE" w:eastAsia="es-MX"/>
        </w:rPr>
        <w:t>(12)</w:t>
      </w:r>
    </w:p>
    <w:p w14:paraId="76A588FE" w14:textId="77777777" w:rsidR="00AD7EBB" w:rsidRPr="00AD7EBB" w:rsidRDefault="00AD7EBB" w:rsidP="00AD7EBB">
      <w:pPr>
        <w:spacing w:line="360" w:lineRule="auto"/>
        <w:jc w:val="both"/>
        <w:rPr>
          <w:vertAlign w:val="superscript"/>
          <w:lang w:val="es-PE" w:eastAsia="es-MX"/>
        </w:rPr>
      </w:pPr>
      <w:r w:rsidRPr="00AD7EBB">
        <w:rPr>
          <w:color w:val="000000"/>
          <w:lang w:val="es-PE" w:eastAsia="es-MX"/>
        </w:rPr>
        <w:t xml:space="preserve">Otro factor asociado al </w:t>
      </w:r>
      <w:proofErr w:type="spellStart"/>
      <w:r w:rsidRPr="00AD7EBB">
        <w:rPr>
          <w:color w:val="000000"/>
          <w:lang w:val="es-PE" w:eastAsia="es-MX"/>
        </w:rPr>
        <w:t>TEPT</w:t>
      </w:r>
      <w:proofErr w:type="spellEnd"/>
      <w:r w:rsidRPr="00AD7EBB">
        <w:rPr>
          <w:color w:val="000000"/>
          <w:lang w:val="es-PE" w:eastAsia="es-MX"/>
        </w:rPr>
        <w:t xml:space="preserve"> fue tener un familiar enfermo por la COVID-19. L</w:t>
      </w:r>
      <w:r w:rsidRPr="00AD7EBB">
        <w:rPr>
          <w:lang w:val="es-PE" w:eastAsia="es-MX"/>
        </w:rPr>
        <w:t xml:space="preserve">as preocupaciones sobre los problemas de salud de los miembros de la familia infectados y la culpa de ser una fuente de infección, conducen al deterioro del estado de ánimo, que pueden degradarse y desaparecer a medida que los seres queridos se recuperan, o deteriorarse y persistir de ser de mayor gravedad la COVID-19 en sus </w:t>
      </w:r>
      <w:proofErr w:type="gramStart"/>
      <w:r w:rsidRPr="00AD7EBB">
        <w:rPr>
          <w:lang w:val="es-PE" w:eastAsia="es-MX"/>
        </w:rPr>
        <w:t>familiares.</w:t>
      </w:r>
      <w:r w:rsidRPr="00AD7EBB">
        <w:rPr>
          <w:vertAlign w:val="superscript"/>
          <w:lang w:val="es-PE" w:eastAsia="es-MX"/>
        </w:rPr>
        <w:t>(</w:t>
      </w:r>
      <w:proofErr w:type="gramEnd"/>
      <w:r w:rsidRPr="00AD7EBB">
        <w:rPr>
          <w:vertAlign w:val="superscript"/>
          <w:lang w:val="es-PE" w:eastAsia="es-MX"/>
        </w:rPr>
        <w:t>27)</w:t>
      </w:r>
    </w:p>
    <w:p w14:paraId="47858045" w14:textId="77777777" w:rsidR="00AD7EBB" w:rsidRPr="00AD7EBB" w:rsidRDefault="00AD7EBB" w:rsidP="00AD7EBB">
      <w:pPr>
        <w:spacing w:line="360" w:lineRule="auto"/>
        <w:jc w:val="both"/>
        <w:rPr>
          <w:color w:val="000000"/>
          <w:lang w:val="es-PE" w:eastAsia="es-MX"/>
        </w:rPr>
      </w:pPr>
      <w:r w:rsidRPr="00AD7EBB">
        <w:rPr>
          <w:color w:val="000000"/>
          <w:lang w:val="es-PE" w:eastAsia="es-MX"/>
        </w:rPr>
        <w:t xml:space="preserve">El estudio presenta como limitaciones, que el tipo de muestreo no probabilístico empleado afecta la validez externa, además, el uso de una encuesta autoadministrada pudo proporcionar una medición subjetiva. </w:t>
      </w:r>
    </w:p>
    <w:p w14:paraId="6796A49D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  <w:r w:rsidRPr="00AD7EBB">
        <w:rPr>
          <w:lang w:val="es-PE" w:eastAsia="es-MX"/>
        </w:rPr>
        <w:t xml:space="preserve">La identificación de factores intrahospitalarios y extrahospitalarios relacionados con el </w:t>
      </w:r>
      <w:proofErr w:type="spellStart"/>
      <w:r w:rsidRPr="00AD7EBB">
        <w:rPr>
          <w:lang w:val="es-PE" w:eastAsia="es-MX"/>
        </w:rPr>
        <w:t>TEPT</w:t>
      </w:r>
      <w:proofErr w:type="spellEnd"/>
      <w:r w:rsidRPr="00AD7EBB">
        <w:rPr>
          <w:lang w:val="es-PE" w:eastAsia="es-MX"/>
        </w:rPr>
        <w:t xml:space="preserve"> brindan un alcance sobre las características que predispongan a padecerlo. Mediante ello, la toma de decisiones respecto a una atención integral del paciente durante y después de la hospitalización, al considerar, tanto su recuperación física como mental primordiales para su reincorporación a sus actividades cotidianas y laborales luego del alta médica. Se abre la posibilidad de seguir indagando sobre los factores asociados al </w:t>
      </w:r>
      <w:proofErr w:type="spellStart"/>
      <w:r w:rsidRPr="00AD7EBB">
        <w:rPr>
          <w:lang w:val="es-PE" w:eastAsia="es-MX"/>
        </w:rPr>
        <w:t>TEPT</w:t>
      </w:r>
      <w:proofErr w:type="spellEnd"/>
      <w:r w:rsidRPr="00AD7EBB">
        <w:rPr>
          <w:lang w:val="es-PE" w:eastAsia="es-MX"/>
        </w:rPr>
        <w:t xml:space="preserve">, con el fin de contribuir a su prevención o detección precoz en el contexto hospitalario. </w:t>
      </w:r>
    </w:p>
    <w:p w14:paraId="19361B2A" w14:textId="77777777" w:rsidR="00AD7EBB" w:rsidRPr="00AD7EBB" w:rsidRDefault="00AD7EBB" w:rsidP="00AD7EBB">
      <w:pPr>
        <w:spacing w:line="360" w:lineRule="auto"/>
        <w:jc w:val="both"/>
        <w:rPr>
          <w:lang w:val="es-PE" w:eastAsia="es-MX"/>
        </w:rPr>
      </w:pPr>
      <w:r w:rsidRPr="00AD7EBB">
        <w:rPr>
          <w:lang w:val="es-PE" w:eastAsia="es-MX"/>
        </w:rPr>
        <w:t>Los factores hospitalarios y no hospitalarios relacionados con el estrés postraumático en pacientes con alta médica por la COVID-19 son tiempo de hospitalización, tipo clínico de COVID-19, soporte ventilatorio invasivo, oxigenoterapia en rehabilitación, secuelas neurológicas, dificultad respiratoria, percepción de discriminación social, dificultad para reincorporarse a las actividades diarias y familiares infectados con la COVID-19.</w:t>
      </w:r>
    </w:p>
    <w:p w14:paraId="4BBCE4F6" w14:textId="77777777" w:rsidR="00AD7EBB" w:rsidRPr="00AD7EBB" w:rsidRDefault="00AD7EBB" w:rsidP="00AD7EBB">
      <w:pPr>
        <w:spacing w:line="360" w:lineRule="auto"/>
        <w:jc w:val="center"/>
        <w:rPr>
          <w:b/>
          <w:lang w:val="es-PE" w:eastAsia="es-MX"/>
        </w:rPr>
      </w:pPr>
    </w:p>
    <w:p w14:paraId="28A88EE1" w14:textId="77777777" w:rsidR="00AD7EBB" w:rsidRPr="00AD7EBB" w:rsidRDefault="00AD7EBB" w:rsidP="00AD7EBB">
      <w:pPr>
        <w:spacing w:line="360" w:lineRule="auto"/>
        <w:jc w:val="center"/>
        <w:rPr>
          <w:b/>
          <w:lang w:val="es-PE" w:eastAsia="es-MX"/>
        </w:rPr>
      </w:pPr>
    </w:p>
    <w:p w14:paraId="657E1B96" w14:textId="77777777" w:rsidR="00AD7EBB" w:rsidRPr="00AD7EBB" w:rsidRDefault="00AD7EBB" w:rsidP="00AD7EBB">
      <w:pPr>
        <w:spacing w:line="360" w:lineRule="auto"/>
        <w:jc w:val="center"/>
        <w:rPr>
          <w:b/>
          <w:sz w:val="32"/>
          <w:szCs w:val="32"/>
          <w:lang w:val="es-PE" w:eastAsia="es-MX"/>
        </w:rPr>
      </w:pPr>
      <w:r w:rsidRPr="00AD7EBB">
        <w:rPr>
          <w:b/>
          <w:sz w:val="32"/>
          <w:szCs w:val="32"/>
          <w:lang w:val="es-PE" w:eastAsia="es-MX"/>
        </w:rPr>
        <w:t xml:space="preserve">REFERENCIAS BIBLIOGRÁFICAS </w:t>
      </w:r>
    </w:p>
    <w:p w14:paraId="31F53F21" w14:textId="77777777" w:rsidR="00AD7EBB" w:rsidRPr="00AD7EBB" w:rsidRDefault="00AD7EBB" w:rsidP="00AD7EBB">
      <w:pP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s-PE" w:eastAsia="es-MX"/>
        </w:rPr>
      </w:pPr>
      <w:r w:rsidRPr="00AD7EBB">
        <w:rPr>
          <w:lang w:val="es-PE" w:eastAsia="es-MX"/>
        </w:rPr>
        <w:t xml:space="preserve">1. James B, </w:t>
      </w:r>
      <w:proofErr w:type="spellStart"/>
      <w:r w:rsidRPr="00AD7EBB">
        <w:rPr>
          <w:lang w:val="es-PE" w:eastAsia="es-MX"/>
        </w:rPr>
        <w:t>Alcott</w:t>
      </w:r>
      <w:proofErr w:type="spellEnd"/>
      <w:r w:rsidRPr="00AD7EBB">
        <w:rPr>
          <w:lang w:val="es-PE" w:eastAsia="es-MX"/>
        </w:rPr>
        <w:t xml:space="preserve"> V, Ruiz P. Manual de Psiquiatría Clínica. Barcelona: Wolters </w:t>
      </w:r>
      <w:proofErr w:type="spellStart"/>
      <w:r w:rsidRPr="00AD7EBB">
        <w:rPr>
          <w:lang w:val="es-PE" w:eastAsia="es-MX"/>
        </w:rPr>
        <w:t>Kluwer</w:t>
      </w:r>
      <w:proofErr w:type="spellEnd"/>
      <w:r w:rsidRPr="00AD7EBB">
        <w:rPr>
          <w:lang w:val="es-PE" w:eastAsia="es-MX"/>
        </w:rPr>
        <w:t xml:space="preserve">; 2017. </w:t>
      </w:r>
    </w:p>
    <w:p w14:paraId="2883B593" w14:textId="77777777" w:rsidR="00AD7EBB" w:rsidRPr="00AD7EBB" w:rsidRDefault="00AD7EBB" w:rsidP="00AD7E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s-PE" w:eastAsia="es-MX"/>
        </w:rPr>
      </w:pPr>
      <w:r w:rsidRPr="00AD7EBB">
        <w:rPr>
          <w:color w:val="000000"/>
          <w:lang w:val="es-PE" w:eastAsia="es-MX"/>
        </w:rPr>
        <w:t xml:space="preserve">2. Kaplan S. Sinopsis de la psiquiatría. </w:t>
      </w:r>
      <w:proofErr w:type="spellStart"/>
      <w:r w:rsidRPr="00AD7EBB">
        <w:rPr>
          <w:color w:val="000000"/>
          <w:lang w:val="es-PE" w:eastAsia="es-MX"/>
        </w:rPr>
        <w:t>11va</w:t>
      </w:r>
      <w:proofErr w:type="spellEnd"/>
      <w:r w:rsidRPr="00AD7EBB">
        <w:rPr>
          <w:color w:val="000000"/>
          <w:lang w:val="es-PE" w:eastAsia="es-MX"/>
        </w:rPr>
        <w:t xml:space="preserve"> ed. Barcelona: Wolters </w:t>
      </w:r>
      <w:proofErr w:type="spellStart"/>
      <w:r w:rsidRPr="00AD7EBB">
        <w:rPr>
          <w:color w:val="000000"/>
          <w:lang w:val="es-PE" w:eastAsia="es-MX"/>
        </w:rPr>
        <w:t>Kluwer</w:t>
      </w:r>
      <w:proofErr w:type="spellEnd"/>
      <w:r w:rsidRPr="00AD7EBB">
        <w:rPr>
          <w:color w:val="000000"/>
          <w:lang w:val="es-PE" w:eastAsia="es-MX"/>
        </w:rPr>
        <w:t>; 2015.</w:t>
      </w:r>
    </w:p>
    <w:p w14:paraId="5FD9810C" w14:textId="77777777" w:rsidR="00AD7EBB" w:rsidRPr="00AD7EBB" w:rsidRDefault="00AD7EBB" w:rsidP="00AD7E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s-PE" w:eastAsia="es-MX"/>
        </w:rPr>
      </w:pPr>
      <w:r w:rsidRPr="00AD7EBB">
        <w:rPr>
          <w:color w:val="000000"/>
          <w:lang w:val="es-PE" w:eastAsia="es-MX"/>
        </w:rPr>
        <w:t>3. Black D, Andreasen N. Texto Introductorio de Psiquiatría. México: Manual Moderno; 2015.</w:t>
      </w:r>
    </w:p>
    <w:p w14:paraId="36388F7D" w14:textId="77777777" w:rsidR="00AD7EBB" w:rsidRPr="00AD7EBB" w:rsidRDefault="00AD7EBB" w:rsidP="00AD7EBB">
      <w:pP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s-PE" w:eastAsia="es-MX"/>
        </w:rPr>
      </w:pPr>
      <w:r w:rsidRPr="00AD7EBB">
        <w:rPr>
          <w:lang w:val="es-PE" w:eastAsia="es-MX"/>
        </w:rPr>
        <w:lastRenderedPageBreak/>
        <w:t xml:space="preserve">4. </w:t>
      </w:r>
      <w:proofErr w:type="spellStart"/>
      <w:r w:rsidRPr="00AD7EBB">
        <w:rPr>
          <w:lang w:val="es-PE" w:eastAsia="es-MX"/>
        </w:rPr>
        <w:t>Fhur</w:t>
      </w:r>
      <w:proofErr w:type="spellEnd"/>
      <w:r w:rsidRPr="00AD7EBB">
        <w:rPr>
          <w:lang w:val="es-PE" w:eastAsia="es-MX"/>
        </w:rPr>
        <w:t xml:space="preserve"> D, </w:t>
      </w:r>
      <w:proofErr w:type="spellStart"/>
      <w:r w:rsidRPr="00AD7EBB">
        <w:rPr>
          <w:lang w:val="es-PE" w:eastAsia="es-MX"/>
        </w:rPr>
        <w:t>Acarturk</w:t>
      </w:r>
      <w:proofErr w:type="spellEnd"/>
      <w:r w:rsidRPr="00AD7EBB">
        <w:rPr>
          <w:lang w:val="es-PE" w:eastAsia="es-MX"/>
        </w:rPr>
        <w:t xml:space="preserve"> C, McGrath C, </w:t>
      </w:r>
      <w:proofErr w:type="spellStart"/>
      <w:r w:rsidRPr="00AD7EBB">
        <w:rPr>
          <w:lang w:val="es-PE" w:eastAsia="es-MX"/>
        </w:rPr>
        <w:t>Ilkkursun</w:t>
      </w:r>
      <w:proofErr w:type="spellEnd"/>
      <w:r w:rsidRPr="00AD7EBB">
        <w:rPr>
          <w:lang w:val="es-PE" w:eastAsia="es-MX"/>
        </w:rPr>
        <w:t xml:space="preserve"> Z, </w:t>
      </w:r>
      <w:proofErr w:type="spellStart"/>
      <w:r w:rsidRPr="00AD7EBB">
        <w:rPr>
          <w:lang w:val="es-PE" w:eastAsia="es-MX"/>
        </w:rPr>
        <w:t>Sondorp</w:t>
      </w:r>
      <w:proofErr w:type="spellEnd"/>
      <w:r w:rsidRPr="00AD7EBB">
        <w:rPr>
          <w:lang w:val="es-PE" w:eastAsia="es-MX"/>
        </w:rPr>
        <w:t xml:space="preserve"> E, </w:t>
      </w:r>
      <w:proofErr w:type="spellStart"/>
      <w:r w:rsidRPr="00AD7EBB">
        <w:rPr>
          <w:lang w:val="es-PE" w:eastAsia="es-MX"/>
        </w:rPr>
        <w:t>Sijbrandij</w:t>
      </w:r>
      <w:proofErr w:type="spellEnd"/>
      <w:r w:rsidRPr="00AD7EBB">
        <w:rPr>
          <w:lang w:val="es-PE" w:eastAsia="es-MX"/>
        </w:rPr>
        <w:t xml:space="preserve"> M, et al. </w:t>
      </w:r>
      <w:r w:rsidRPr="00AD7EBB">
        <w:rPr>
          <w:lang w:val="en-US" w:eastAsia="es-MX"/>
        </w:rPr>
        <w:t xml:space="preserve">Treatment gap and mental health service use among Syrian refugees in </w:t>
      </w:r>
      <w:proofErr w:type="spellStart"/>
      <w:r w:rsidRPr="00AD7EBB">
        <w:rPr>
          <w:lang w:val="en-US" w:eastAsia="es-MX"/>
        </w:rPr>
        <w:t>Sultanbeyli</w:t>
      </w:r>
      <w:proofErr w:type="spellEnd"/>
      <w:r w:rsidRPr="00AD7EBB">
        <w:rPr>
          <w:lang w:val="en-US" w:eastAsia="es-MX"/>
        </w:rPr>
        <w:t xml:space="preserve">, Istanbul: a cross-sectional survey. </w:t>
      </w:r>
      <w:proofErr w:type="spellStart"/>
      <w:r w:rsidRPr="00AD7EBB">
        <w:rPr>
          <w:lang w:val="es-PE" w:eastAsia="es-MX"/>
        </w:rPr>
        <w:t>Epidemiol</w:t>
      </w:r>
      <w:proofErr w:type="spellEnd"/>
      <w:r w:rsidRPr="00AD7EBB">
        <w:rPr>
          <w:lang w:val="es-PE" w:eastAsia="es-MX"/>
        </w:rPr>
        <w:t xml:space="preserve"> </w:t>
      </w:r>
      <w:proofErr w:type="spellStart"/>
      <w:r w:rsidRPr="00AD7EBB">
        <w:rPr>
          <w:lang w:val="es-PE" w:eastAsia="es-MX"/>
        </w:rPr>
        <w:t>Psychiatr</w:t>
      </w:r>
      <w:proofErr w:type="spellEnd"/>
      <w:r w:rsidRPr="00AD7EBB">
        <w:rPr>
          <w:lang w:val="es-PE" w:eastAsia="es-MX"/>
        </w:rPr>
        <w:t xml:space="preserve"> </w:t>
      </w:r>
      <w:proofErr w:type="spellStart"/>
      <w:r w:rsidRPr="00AD7EBB">
        <w:rPr>
          <w:lang w:val="es-PE" w:eastAsia="es-MX"/>
        </w:rPr>
        <w:t>Sci</w:t>
      </w:r>
      <w:proofErr w:type="spellEnd"/>
      <w:r w:rsidRPr="00AD7EBB">
        <w:rPr>
          <w:lang w:val="es-PE" w:eastAsia="es-MX"/>
        </w:rPr>
        <w:t xml:space="preserve">. 2020 [acceso: 09/06/2021]; </w:t>
      </w:r>
      <w:proofErr w:type="spellStart"/>
      <w:proofErr w:type="gramStart"/>
      <w:r w:rsidRPr="00AD7EBB">
        <w:rPr>
          <w:lang w:val="es-PE" w:eastAsia="es-MX"/>
        </w:rPr>
        <w:t>29:e</w:t>
      </w:r>
      <w:proofErr w:type="gramEnd"/>
      <w:r w:rsidRPr="00AD7EBB">
        <w:rPr>
          <w:lang w:val="es-PE" w:eastAsia="es-MX"/>
        </w:rPr>
        <w:t>70</w:t>
      </w:r>
      <w:proofErr w:type="spellEnd"/>
      <w:r w:rsidRPr="00AD7EBB">
        <w:rPr>
          <w:lang w:val="es-PE" w:eastAsia="es-MX"/>
        </w:rPr>
        <w:t xml:space="preserve">. Disponible en:  </w:t>
      </w:r>
      <w:hyperlink r:id="rId12">
        <w:r w:rsidRPr="00AD7EBB">
          <w:rPr>
            <w:color w:val="0563C1"/>
            <w:u w:val="single"/>
            <w:lang w:val="es-PE" w:eastAsia="es-MX"/>
          </w:rPr>
          <w:t>https://doi.org/10.1017/S2045796019000660</w:t>
        </w:r>
      </w:hyperlink>
    </w:p>
    <w:p w14:paraId="32E577FE" w14:textId="77777777" w:rsidR="00AD7EBB" w:rsidRPr="00AD7EBB" w:rsidRDefault="00AD7EBB" w:rsidP="00AD7EBB">
      <w:pP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s-PE" w:eastAsia="es-MX"/>
        </w:rPr>
      </w:pPr>
      <w:r w:rsidRPr="00AD7EBB">
        <w:rPr>
          <w:lang w:val="es-PE" w:eastAsia="es-MX"/>
        </w:rPr>
        <w:t xml:space="preserve">5. </w:t>
      </w:r>
      <w:proofErr w:type="spellStart"/>
      <w:r w:rsidRPr="00AD7EBB">
        <w:rPr>
          <w:lang w:val="es-PE" w:eastAsia="es-MX"/>
        </w:rPr>
        <w:t>Tarsitani</w:t>
      </w:r>
      <w:proofErr w:type="spellEnd"/>
      <w:r w:rsidRPr="00AD7EBB">
        <w:rPr>
          <w:lang w:val="es-PE" w:eastAsia="es-MX"/>
        </w:rPr>
        <w:t xml:space="preserve"> L, </w:t>
      </w:r>
      <w:proofErr w:type="spellStart"/>
      <w:r w:rsidRPr="00AD7EBB">
        <w:rPr>
          <w:lang w:val="es-PE" w:eastAsia="es-MX"/>
        </w:rPr>
        <w:t>Vassalini</w:t>
      </w:r>
      <w:proofErr w:type="spellEnd"/>
      <w:r w:rsidRPr="00AD7EBB">
        <w:rPr>
          <w:lang w:val="es-PE" w:eastAsia="es-MX"/>
        </w:rPr>
        <w:t xml:space="preserve"> P, </w:t>
      </w:r>
      <w:proofErr w:type="spellStart"/>
      <w:r w:rsidRPr="00AD7EBB">
        <w:rPr>
          <w:lang w:val="es-PE" w:eastAsia="es-MX"/>
        </w:rPr>
        <w:t>Koukopoulos</w:t>
      </w:r>
      <w:proofErr w:type="spellEnd"/>
      <w:r w:rsidRPr="00AD7EBB">
        <w:rPr>
          <w:lang w:val="es-PE" w:eastAsia="es-MX"/>
        </w:rPr>
        <w:t xml:space="preserve"> A, </w:t>
      </w:r>
      <w:proofErr w:type="spellStart"/>
      <w:r w:rsidRPr="00AD7EBB">
        <w:rPr>
          <w:lang w:val="es-PE" w:eastAsia="es-MX"/>
        </w:rPr>
        <w:t>Borrazzo</w:t>
      </w:r>
      <w:proofErr w:type="spellEnd"/>
      <w:r w:rsidRPr="00AD7EBB">
        <w:rPr>
          <w:lang w:val="es-PE" w:eastAsia="es-MX"/>
        </w:rPr>
        <w:t xml:space="preserve"> C, Alessi F, </w:t>
      </w:r>
      <w:proofErr w:type="spellStart"/>
      <w:r w:rsidRPr="00AD7EBB">
        <w:rPr>
          <w:lang w:val="es-PE" w:eastAsia="es-MX"/>
        </w:rPr>
        <w:t>Nicolantonio</w:t>
      </w:r>
      <w:proofErr w:type="spellEnd"/>
      <w:r w:rsidRPr="00AD7EBB">
        <w:rPr>
          <w:lang w:val="es-PE" w:eastAsia="es-MX"/>
        </w:rPr>
        <w:t xml:space="preserve"> C, et al. </w:t>
      </w:r>
      <w:r w:rsidRPr="00AD7EBB">
        <w:rPr>
          <w:lang w:val="en-US" w:eastAsia="es-MX"/>
        </w:rPr>
        <w:t xml:space="preserve">Post-traumatic Stress Disorder Among COVID-19 Survivors at 3-Month Follow-up After Hospital Discharge. </w:t>
      </w:r>
      <w:r w:rsidRPr="00AD7EBB">
        <w:rPr>
          <w:shd w:val="clear" w:color="auto" w:fill="FCFCFC"/>
          <w:lang w:val="es-PE" w:eastAsia="es-MX"/>
        </w:rPr>
        <w:t xml:space="preserve">J Gen </w:t>
      </w:r>
      <w:proofErr w:type="spellStart"/>
      <w:r w:rsidRPr="00AD7EBB">
        <w:rPr>
          <w:shd w:val="clear" w:color="auto" w:fill="FCFCFC"/>
          <w:lang w:val="es-PE" w:eastAsia="es-MX"/>
        </w:rPr>
        <w:t>Intern</w:t>
      </w:r>
      <w:proofErr w:type="spellEnd"/>
      <w:r w:rsidRPr="00AD7EBB">
        <w:rPr>
          <w:shd w:val="clear" w:color="auto" w:fill="FCFCFC"/>
          <w:lang w:val="es-PE" w:eastAsia="es-MX"/>
        </w:rPr>
        <w:t xml:space="preserve"> </w:t>
      </w:r>
      <w:proofErr w:type="spellStart"/>
      <w:r w:rsidRPr="00AD7EBB">
        <w:rPr>
          <w:shd w:val="clear" w:color="auto" w:fill="FCFCFC"/>
          <w:lang w:val="es-PE" w:eastAsia="es-MX"/>
        </w:rPr>
        <w:t>Med</w:t>
      </w:r>
      <w:proofErr w:type="spellEnd"/>
      <w:r w:rsidRPr="00AD7EBB">
        <w:rPr>
          <w:shd w:val="clear" w:color="auto" w:fill="FCFCFC"/>
          <w:lang w:val="es-PE" w:eastAsia="es-MX"/>
        </w:rPr>
        <w:t xml:space="preserve">. 2021 </w:t>
      </w:r>
      <w:r w:rsidRPr="00AD7EBB">
        <w:rPr>
          <w:lang w:val="es-PE" w:eastAsia="es-MX"/>
        </w:rPr>
        <w:t>[acceso: 09/06/2021];</w:t>
      </w:r>
      <w:r w:rsidRPr="00AD7EBB">
        <w:rPr>
          <w:shd w:val="clear" w:color="auto" w:fill="FCFCFC"/>
          <w:lang w:val="es-PE" w:eastAsia="es-MX"/>
        </w:rPr>
        <w:t xml:space="preserve">36(6):1702–7. </w:t>
      </w:r>
      <w:r w:rsidRPr="00AD7EBB">
        <w:rPr>
          <w:lang w:val="es-PE" w:eastAsia="es-MX"/>
        </w:rPr>
        <w:t xml:space="preserve">Disponible en: </w:t>
      </w:r>
      <w:r w:rsidRPr="00AD7EBB">
        <w:rPr>
          <w:shd w:val="clear" w:color="auto" w:fill="FCFCFC"/>
          <w:lang w:val="es-PE" w:eastAsia="es-MX"/>
        </w:rPr>
        <w:t xml:space="preserve"> </w:t>
      </w:r>
      <w:hyperlink r:id="rId13">
        <w:r w:rsidRPr="00AD7EBB">
          <w:rPr>
            <w:color w:val="0563C1"/>
            <w:u w:val="single"/>
            <w:lang w:val="es-PE" w:eastAsia="es-MX"/>
          </w:rPr>
          <w:t>https://doi.org/10.1007/s11606-021-06731-7</w:t>
        </w:r>
      </w:hyperlink>
    </w:p>
    <w:p w14:paraId="28390CFD" w14:textId="77777777" w:rsidR="00AD7EBB" w:rsidRPr="00AD7EBB" w:rsidRDefault="00AD7EBB" w:rsidP="00AD7EBB">
      <w:pP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s-PE" w:eastAsia="es-MX"/>
        </w:rPr>
      </w:pPr>
      <w:r w:rsidRPr="00AD7EBB">
        <w:rPr>
          <w:lang w:val="en-US" w:eastAsia="es-MX"/>
        </w:rPr>
        <w:t xml:space="preserve">6. Battle </w:t>
      </w:r>
      <w:proofErr w:type="spellStart"/>
      <w:r w:rsidRPr="00AD7EBB">
        <w:rPr>
          <w:lang w:val="en-US" w:eastAsia="es-MX"/>
        </w:rPr>
        <w:t>Ceri</w:t>
      </w:r>
      <w:proofErr w:type="spellEnd"/>
      <w:r w:rsidRPr="00AD7EBB">
        <w:rPr>
          <w:lang w:val="en-US" w:eastAsia="es-MX"/>
        </w:rPr>
        <w:t xml:space="preserve"> E, James K, Bromfield T, </w:t>
      </w:r>
      <w:proofErr w:type="spellStart"/>
      <w:r w:rsidRPr="00AD7EBB">
        <w:rPr>
          <w:lang w:val="en-US" w:eastAsia="es-MX"/>
        </w:rPr>
        <w:t>Temblett</w:t>
      </w:r>
      <w:proofErr w:type="spellEnd"/>
      <w:r w:rsidRPr="00AD7EBB">
        <w:rPr>
          <w:lang w:val="en-US" w:eastAsia="es-MX"/>
        </w:rPr>
        <w:t xml:space="preserve"> P. Predictors of post-traumatic stress disorder following critical illness: A mixed methods study. </w:t>
      </w:r>
      <w:r w:rsidRPr="00AD7EBB">
        <w:rPr>
          <w:lang w:val="es-PE" w:eastAsia="es-MX"/>
        </w:rPr>
        <w:t xml:space="preserve">J Intensive Care Soc. 2017 [acceso: 10/06/2021];18(4):289-93. Disponible en:  </w:t>
      </w:r>
      <w:hyperlink r:id="rId14">
        <w:r w:rsidRPr="00AD7EBB">
          <w:rPr>
            <w:lang w:val="es-PE" w:eastAsia="es-MX"/>
          </w:rPr>
          <w:t>https://doi.org/10.1177%2F1751143717713853</w:t>
        </w:r>
      </w:hyperlink>
    </w:p>
    <w:p w14:paraId="2FB404DA" w14:textId="77777777" w:rsidR="00AD7EBB" w:rsidRPr="00AD7EBB" w:rsidRDefault="00AD7EBB" w:rsidP="00AD7EBB">
      <w:pP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s-PE" w:eastAsia="es-MX"/>
        </w:rPr>
      </w:pPr>
      <w:r w:rsidRPr="00AD7EBB">
        <w:rPr>
          <w:lang w:val="es-PE" w:eastAsia="es-MX"/>
        </w:rPr>
        <w:t xml:space="preserve">7. Organización Mundial de la Salud. Pandemia por enfermedad por coronavirus. Ginebra: OMS; 2021 [acceso: 18/04/2021]. Disponible en: </w:t>
      </w:r>
      <w:hyperlink r:id="rId15">
        <w:r w:rsidRPr="00AD7EBB">
          <w:rPr>
            <w:color w:val="0563C1"/>
            <w:u w:val="single"/>
            <w:lang w:val="es-PE" w:eastAsia="es-MX"/>
          </w:rPr>
          <w:t>https://www.who.int/emergencies/diseases/novel-coronavirus-2019</w:t>
        </w:r>
      </w:hyperlink>
    </w:p>
    <w:p w14:paraId="282AE8DA" w14:textId="77777777" w:rsidR="00AD7EBB" w:rsidRPr="00AD7EBB" w:rsidRDefault="00AD7EBB" w:rsidP="00AD7EBB">
      <w:pP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s-PE" w:eastAsia="es-MX"/>
        </w:rPr>
      </w:pPr>
      <w:r w:rsidRPr="00AD7EBB">
        <w:rPr>
          <w:lang w:val="en-US" w:eastAsia="es-MX"/>
        </w:rPr>
        <w:t xml:space="preserve">8. </w:t>
      </w:r>
      <w:proofErr w:type="spellStart"/>
      <w:r w:rsidRPr="00AD7EBB">
        <w:rPr>
          <w:lang w:val="en-US" w:eastAsia="es-MX"/>
        </w:rPr>
        <w:t>Torales</w:t>
      </w:r>
      <w:proofErr w:type="spellEnd"/>
      <w:r w:rsidRPr="00AD7EBB">
        <w:rPr>
          <w:lang w:val="en-US" w:eastAsia="es-MX"/>
        </w:rPr>
        <w:t xml:space="preserve"> J, O'Higgins M, </w:t>
      </w:r>
      <w:proofErr w:type="spellStart"/>
      <w:r w:rsidRPr="00AD7EBB">
        <w:rPr>
          <w:lang w:val="en-US" w:eastAsia="es-MX"/>
        </w:rPr>
        <w:t>Castaldelli</w:t>
      </w:r>
      <w:proofErr w:type="spellEnd"/>
      <w:r w:rsidRPr="00AD7EBB">
        <w:rPr>
          <w:lang w:val="en-US" w:eastAsia="es-MX"/>
        </w:rPr>
        <w:t xml:space="preserve">-Maia J, </w:t>
      </w:r>
      <w:proofErr w:type="spellStart"/>
      <w:r w:rsidRPr="00AD7EBB">
        <w:rPr>
          <w:lang w:val="en-US" w:eastAsia="es-MX"/>
        </w:rPr>
        <w:t>Ventriglio</w:t>
      </w:r>
      <w:proofErr w:type="spellEnd"/>
      <w:r w:rsidRPr="00AD7EBB">
        <w:rPr>
          <w:lang w:val="en-US" w:eastAsia="es-MX"/>
        </w:rPr>
        <w:t xml:space="preserve"> A. The outbreak of COVID-19 coronavirus and its impact on global mental health. </w:t>
      </w:r>
      <w:proofErr w:type="spellStart"/>
      <w:r w:rsidRPr="00AD7EBB">
        <w:rPr>
          <w:lang w:val="es-PE" w:eastAsia="es-MX"/>
        </w:rPr>
        <w:t>Int</w:t>
      </w:r>
      <w:proofErr w:type="spellEnd"/>
      <w:r w:rsidRPr="00AD7EBB">
        <w:rPr>
          <w:lang w:val="es-PE" w:eastAsia="es-MX"/>
        </w:rPr>
        <w:t xml:space="preserve"> J </w:t>
      </w:r>
      <w:proofErr w:type="spellStart"/>
      <w:r w:rsidRPr="00AD7EBB">
        <w:rPr>
          <w:lang w:val="es-PE" w:eastAsia="es-MX"/>
        </w:rPr>
        <w:t>Soc</w:t>
      </w:r>
      <w:proofErr w:type="spellEnd"/>
      <w:r w:rsidRPr="00AD7EBB">
        <w:rPr>
          <w:lang w:val="es-PE" w:eastAsia="es-MX"/>
        </w:rPr>
        <w:t xml:space="preserve"> </w:t>
      </w:r>
      <w:proofErr w:type="spellStart"/>
      <w:r w:rsidRPr="00AD7EBB">
        <w:rPr>
          <w:lang w:val="es-PE" w:eastAsia="es-MX"/>
        </w:rPr>
        <w:t>Psychiatry</w:t>
      </w:r>
      <w:proofErr w:type="spellEnd"/>
      <w:r w:rsidRPr="00AD7EBB">
        <w:rPr>
          <w:lang w:val="es-PE" w:eastAsia="es-MX"/>
        </w:rPr>
        <w:t xml:space="preserve">. 2020 [acceso: 11/06/2021]; 66(4):317-20. Disponible en:  </w:t>
      </w:r>
      <w:hyperlink r:id="rId16">
        <w:r w:rsidRPr="00AD7EBB">
          <w:rPr>
            <w:color w:val="0563C1"/>
            <w:u w:val="single"/>
            <w:lang w:val="es-PE" w:eastAsia="es-MX"/>
          </w:rPr>
          <w:t>https://doi.org/</w:t>
        </w:r>
      </w:hyperlink>
      <w:hyperlink r:id="rId17">
        <w:r w:rsidRPr="00AD7EBB">
          <w:rPr>
            <w:color w:val="0563C1"/>
            <w:u w:val="single"/>
            <w:lang w:val="es-PE" w:eastAsia="es-MX"/>
          </w:rPr>
          <w:t>10.1177/0020764020915212</w:t>
        </w:r>
      </w:hyperlink>
    </w:p>
    <w:p w14:paraId="1133BBE1" w14:textId="77777777" w:rsidR="00AD7EBB" w:rsidRPr="00AD7EBB" w:rsidRDefault="00AD7EBB" w:rsidP="00AD7EBB">
      <w:pPr>
        <w:spacing w:line="360" w:lineRule="auto"/>
        <w:ind w:left="-76"/>
        <w:rPr>
          <w:lang w:val="es-PE" w:eastAsia="es-MX"/>
        </w:rPr>
      </w:pPr>
      <w:r w:rsidRPr="00AD7EBB">
        <w:rPr>
          <w:lang w:val="en-US" w:eastAsia="es-MX"/>
        </w:rPr>
        <w:t xml:space="preserve">9. </w:t>
      </w:r>
      <w:proofErr w:type="spellStart"/>
      <w:r w:rsidRPr="00AD7EBB">
        <w:rPr>
          <w:lang w:val="en-US" w:eastAsia="es-MX"/>
        </w:rPr>
        <w:t>Jeong</w:t>
      </w:r>
      <w:proofErr w:type="spellEnd"/>
      <w:r w:rsidRPr="00AD7EBB">
        <w:rPr>
          <w:lang w:val="en-US" w:eastAsia="es-MX"/>
        </w:rPr>
        <w:t xml:space="preserve"> H, </w:t>
      </w:r>
      <w:proofErr w:type="spellStart"/>
      <w:r w:rsidRPr="00AD7EBB">
        <w:rPr>
          <w:lang w:val="en-US" w:eastAsia="es-MX"/>
        </w:rPr>
        <w:t>Yim</w:t>
      </w:r>
      <w:proofErr w:type="spellEnd"/>
      <w:r w:rsidRPr="00AD7EBB">
        <w:rPr>
          <w:lang w:val="en-US" w:eastAsia="es-MX"/>
        </w:rPr>
        <w:t xml:space="preserve"> </w:t>
      </w:r>
      <w:proofErr w:type="spellStart"/>
      <w:r w:rsidRPr="00AD7EBB">
        <w:rPr>
          <w:lang w:val="en-US" w:eastAsia="es-MX"/>
        </w:rPr>
        <w:t>HW</w:t>
      </w:r>
      <w:proofErr w:type="spellEnd"/>
      <w:r w:rsidRPr="00AD7EBB">
        <w:rPr>
          <w:lang w:val="en-US" w:eastAsia="es-MX"/>
        </w:rPr>
        <w:t xml:space="preserve">, Song </w:t>
      </w:r>
      <w:proofErr w:type="spellStart"/>
      <w:r w:rsidRPr="00AD7EBB">
        <w:rPr>
          <w:lang w:val="en-US" w:eastAsia="es-MX"/>
        </w:rPr>
        <w:t>YJ</w:t>
      </w:r>
      <w:proofErr w:type="spellEnd"/>
      <w:r w:rsidRPr="00AD7EBB">
        <w:rPr>
          <w:lang w:val="en-US" w:eastAsia="es-MX"/>
        </w:rPr>
        <w:t xml:space="preserve">, Ki M, Min JA, Cho J, Chae J. Mental health status of people isolated due to Middle East Respiratory Syndrome. </w:t>
      </w:r>
      <w:proofErr w:type="spellStart"/>
      <w:r w:rsidRPr="00AD7EBB">
        <w:rPr>
          <w:lang w:val="es-PE" w:eastAsia="es-MX"/>
        </w:rPr>
        <w:t>Epidemiol</w:t>
      </w:r>
      <w:proofErr w:type="spellEnd"/>
      <w:r w:rsidRPr="00AD7EBB">
        <w:rPr>
          <w:lang w:val="es-PE" w:eastAsia="es-MX"/>
        </w:rPr>
        <w:t xml:space="preserve"> </w:t>
      </w:r>
      <w:proofErr w:type="spellStart"/>
      <w:r w:rsidRPr="00AD7EBB">
        <w:rPr>
          <w:lang w:val="es-PE" w:eastAsia="es-MX"/>
        </w:rPr>
        <w:t>Health</w:t>
      </w:r>
      <w:proofErr w:type="spellEnd"/>
      <w:r w:rsidRPr="00AD7EBB">
        <w:rPr>
          <w:lang w:val="es-PE" w:eastAsia="es-MX"/>
        </w:rPr>
        <w:t xml:space="preserve">. 2016 [acceso: 09/06/2021]; </w:t>
      </w:r>
      <w:proofErr w:type="spellStart"/>
      <w:proofErr w:type="gramStart"/>
      <w:r w:rsidRPr="00AD7EBB">
        <w:rPr>
          <w:lang w:val="es-PE" w:eastAsia="es-MX"/>
        </w:rPr>
        <w:t>38:e</w:t>
      </w:r>
      <w:proofErr w:type="gramEnd"/>
      <w:r w:rsidRPr="00AD7EBB">
        <w:rPr>
          <w:lang w:val="es-PE" w:eastAsia="es-MX"/>
        </w:rPr>
        <w:t>2016048</w:t>
      </w:r>
      <w:proofErr w:type="spellEnd"/>
      <w:r w:rsidRPr="00AD7EBB">
        <w:rPr>
          <w:lang w:val="es-PE" w:eastAsia="es-MX"/>
        </w:rPr>
        <w:t xml:space="preserve">. Disponible en: </w:t>
      </w:r>
      <w:hyperlink r:id="rId18">
        <w:r w:rsidRPr="00AD7EBB">
          <w:rPr>
            <w:color w:val="0563C1"/>
            <w:u w:val="single"/>
            <w:lang w:val="es-PE" w:eastAsia="es-MX"/>
          </w:rPr>
          <w:t>https://doi.org/10.4178/epih.e2016048</w:t>
        </w:r>
      </w:hyperlink>
    </w:p>
    <w:p w14:paraId="08BB6190" w14:textId="77777777" w:rsidR="00AD7EBB" w:rsidRPr="00AD7EBB" w:rsidRDefault="00AD7EBB" w:rsidP="00AD7EBB">
      <w:pP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s-PE" w:eastAsia="es-MX"/>
        </w:rPr>
      </w:pPr>
      <w:r w:rsidRPr="00AD7EBB">
        <w:rPr>
          <w:lang w:val="en-US" w:eastAsia="es-MX"/>
        </w:rPr>
        <w:t xml:space="preserve">10. Wing I, Ming C, </w:t>
      </w:r>
      <w:proofErr w:type="spellStart"/>
      <w:r w:rsidRPr="00AD7EBB">
        <w:rPr>
          <w:lang w:val="en-US" w:eastAsia="es-MX"/>
        </w:rPr>
        <w:t>Chyou</w:t>
      </w:r>
      <w:proofErr w:type="spellEnd"/>
      <w:r w:rsidRPr="00AD7EBB">
        <w:rPr>
          <w:lang w:val="en-US" w:eastAsia="es-MX"/>
        </w:rPr>
        <w:t xml:space="preserve"> P, Chung M, Lee V. Long-term psychiatric morbidities among SARS survivors. </w:t>
      </w:r>
      <w:r w:rsidRPr="00AD7EBB">
        <w:rPr>
          <w:lang w:val="es-PE" w:eastAsia="es-MX"/>
        </w:rPr>
        <w:t xml:space="preserve">Gen </w:t>
      </w:r>
      <w:proofErr w:type="spellStart"/>
      <w:r w:rsidRPr="00AD7EBB">
        <w:rPr>
          <w:lang w:val="es-PE" w:eastAsia="es-MX"/>
        </w:rPr>
        <w:t>Hosp</w:t>
      </w:r>
      <w:proofErr w:type="spellEnd"/>
      <w:r w:rsidRPr="00AD7EBB">
        <w:rPr>
          <w:lang w:val="es-PE" w:eastAsia="es-MX"/>
        </w:rPr>
        <w:t xml:space="preserve"> </w:t>
      </w:r>
      <w:proofErr w:type="spellStart"/>
      <w:r w:rsidRPr="00AD7EBB">
        <w:rPr>
          <w:lang w:val="es-PE" w:eastAsia="es-MX"/>
        </w:rPr>
        <w:t>Psychiatry</w:t>
      </w:r>
      <w:proofErr w:type="spellEnd"/>
      <w:r w:rsidRPr="00AD7EBB">
        <w:rPr>
          <w:lang w:val="es-PE" w:eastAsia="es-MX"/>
        </w:rPr>
        <w:t xml:space="preserve">. 2009 [acceso: 09/06/2021]; 31(4):318–26. Disponible en: </w:t>
      </w:r>
      <w:hyperlink r:id="rId19">
        <w:r w:rsidRPr="00AD7EBB">
          <w:rPr>
            <w:color w:val="0563C1"/>
            <w:u w:val="single"/>
            <w:lang w:val="es-PE" w:eastAsia="es-MX"/>
          </w:rPr>
          <w:t>https://doi.org/10.1016/j.genhosppsych.2009.03.001</w:t>
        </w:r>
      </w:hyperlink>
    </w:p>
    <w:p w14:paraId="179A74FB" w14:textId="77777777" w:rsidR="00AD7EBB" w:rsidRPr="00AD7EBB" w:rsidRDefault="00AD7EBB" w:rsidP="00AD7EBB">
      <w:pP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s-PE" w:eastAsia="es-MX"/>
        </w:rPr>
      </w:pPr>
      <w:r w:rsidRPr="00AD7EBB">
        <w:rPr>
          <w:lang w:val="en-US" w:eastAsia="es-MX"/>
        </w:rPr>
        <w:t xml:space="preserve">11. </w:t>
      </w:r>
      <w:proofErr w:type="spellStart"/>
      <w:r w:rsidRPr="00AD7EBB">
        <w:rPr>
          <w:lang w:val="en-US" w:eastAsia="es-MX"/>
        </w:rPr>
        <w:t>Jakovljevic</w:t>
      </w:r>
      <w:proofErr w:type="spellEnd"/>
      <w:r w:rsidRPr="00AD7EBB">
        <w:rPr>
          <w:lang w:val="en-US" w:eastAsia="es-MX"/>
        </w:rPr>
        <w:t xml:space="preserve"> M, </w:t>
      </w:r>
      <w:proofErr w:type="spellStart"/>
      <w:r w:rsidRPr="00AD7EBB">
        <w:rPr>
          <w:lang w:val="en-US" w:eastAsia="es-MX"/>
        </w:rPr>
        <w:t>Bjedov</w:t>
      </w:r>
      <w:proofErr w:type="spellEnd"/>
      <w:r w:rsidRPr="00AD7EBB">
        <w:rPr>
          <w:lang w:val="en-US" w:eastAsia="es-MX"/>
        </w:rPr>
        <w:t xml:space="preserve"> S, </w:t>
      </w:r>
      <w:proofErr w:type="spellStart"/>
      <w:r w:rsidRPr="00AD7EBB">
        <w:rPr>
          <w:lang w:val="en-US" w:eastAsia="es-MX"/>
        </w:rPr>
        <w:t>Jacksic</w:t>
      </w:r>
      <w:proofErr w:type="spellEnd"/>
      <w:r w:rsidRPr="00AD7EBB">
        <w:rPr>
          <w:lang w:val="en-US" w:eastAsia="es-MX"/>
        </w:rPr>
        <w:t xml:space="preserve"> N, </w:t>
      </w:r>
      <w:proofErr w:type="spellStart"/>
      <w:r w:rsidRPr="00AD7EBB">
        <w:rPr>
          <w:lang w:val="en-US" w:eastAsia="es-MX"/>
        </w:rPr>
        <w:t>Jakovljevic</w:t>
      </w:r>
      <w:proofErr w:type="spellEnd"/>
      <w:r w:rsidRPr="00AD7EBB">
        <w:rPr>
          <w:lang w:val="en-US" w:eastAsia="es-MX"/>
        </w:rPr>
        <w:t xml:space="preserve"> I. COVID-19 </w:t>
      </w:r>
      <w:proofErr w:type="spellStart"/>
      <w:r w:rsidRPr="00AD7EBB">
        <w:rPr>
          <w:lang w:val="en-US" w:eastAsia="es-MX"/>
        </w:rPr>
        <w:t>Pandemia</w:t>
      </w:r>
      <w:proofErr w:type="spellEnd"/>
      <w:r w:rsidRPr="00AD7EBB">
        <w:rPr>
          <w:lang w:val="en-US" w:eastAsia="es-MX"/>
        </w:rPr>
        <w:t xml:space="preserve"> and Public and Global Mental Health from the perspective of Global Health Security. </w:t>
      </w:r>
      <w:proofErr w:type="spellStart"/>
      <w:r w:rsidRPr="00AD7EBB">
        <w:rPr>
          <w:lang w:val="es-PE" w:eastAsia="es-MX"/>
        </w:rPr>
        <w:t>Psychiatr</w:t>
      </w:r>
      <w:proofErr w:type="spellEnd"/>
      <w:r w:rsidRPr="00AD7EBB">
        <w:rPr>
          <w:lang w:val="es-PE" w:eastAsia="es-MX"/>
        </w:rPr>
        <w:t xml:space="preserve"> </w:t>
      </w:r>
      <w:proofErr w:type="spellStart"/>
      <w:r w:rsidRPr="00AD7EBB">
        <w:rPr>
          <w:lang w:val="es-PE" w:eastAsia="es-MX"/>
        </w:rPr>
        <w:t>Danub</w:t>
      </w:r>
      <w:proofErr w:type="spellEnd"/>
      <w:r w:rsidRPr="00AD7EBB">
        <w:rPr>
          <w:lang w:val="es-PE" w:eastAsia="es-MX"/>
        </w:rPr>
        <w:t xml:space="preserve">. 2020 [acceso: 08/06/2021]; 32(1):6-14. Disponible en:  </w:t>
      </w:r>
      <w:hyperlink r:id="rId20">
        <w:r w:rsidRPr="00AD7EBB">
          <w:rPr>
            <w:color w:val="0563C1"/>
            <w:u w:val="single"/>
            <w:lang w:val="es-PE" w:eastAsia="es-MX"/>
          </w:rPr>
          <w:t>https://doi.org/10.24869/psyd.2020.6</w:t>
        </w:r>
      </w:hyperlink>
    </w:p>
    <w:p w14:paraId="1B868658" w14:textId="77777777" w:rsidR="00AD7EBB" w:rsidRPr="00AD7EBB" w:rsidRDefault="00AD7EBB" w:rsidP="00AD7EBB">
      <w:pP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s-PE" w:eastAsia="es-MX"/>
        </w:rPr>
      </w:pPr>
      <w:r w:rsidRPr="00AD7EBB">
        <w:rPr>
          <w:lang w:val="es-PE" w:eastAsia="es-MX"/>
        </w:rPr>
        <w:lastRenderedPageBreak/>
        <w:t xml:space="preserve">12. </w:t>
      </w:r>
      <w:proofErr w:type="spellStart"/>
      <w:r w:rsidRPr="00AD7EBB">
        <w:rPr>
          <w:lang w:val="es-PE" w:eastAsia="es-MX"/>
        </w:rPr>
        <w:t>Poyraz</w:t>
      </w:r>
      <w:proofErr w:type="spellEnd"/>
      <w:r w:rsidRPr="00AD7EBB">
        <w:rPr>
          <w:lang w:val="es-PE" w:eastAsia="es-MX"/>
        </w:rPr>
        <w:t xml:space="preserve"> </w:t>
      </w:r>
      <w:proofErr w:type="spellStart"/>
      <w:r w:rsidRPr="00AD7EBB">
        <w:rPr>
          <w:lang w:val="es-PE" w:eastAsia="es-MX"/>
        </w:rPr>
        <w:t>BÇ</w:t>
      </w:r>
      <w:proofErr w:type="spellEnd"/>
      <w:r w:rsidRPr="00AD7EBB">
        <w:rPr>
          <w:lang w:val="es-PE" w:eastAsia="es-MX"/>
        </w:rPr>
        <w:t xml:space="preserve">, </w:t>
      </w:r>
      <w:proofErr w:type="spellStart"/>
      <w:r w:rsidRPr="00AD7EBB">
        <w:rPr>
          <w:lang w:val="es-PE" w:eastAsia="es-MX"/>
        </w:rPr>
        <w:t>Poyraz</w:t>
      </w:r>
      <w:proofErr w:type="spellEnd"/>
      <w:r w:rsidRPr="00AD7EBB">
        <w:rPr>
          <w:lang w:val="es-PE" w:eastAsia="es-MX"/>
        </w:rPr>
        <w:t xml:space="preserve"> C, </w:t>
      </w:r>
      <w:proofErr w:type="spellStart"/>
      <w:r w:rsidRPr="00AD7EBB">
        <w:rPr>
          <w:lang w:val="es-PE" w:eastAsia="es-MX"/>
        </w:rPr>
        <w:t>Olgun</w:t>
      </w:r>
      <w:proofErr w:type="spellEnd"/>
      <w:r w:rsidRPr="00AD7EBB">
        <w:rPr>
          <w:lang w:val="es-PE" w:eastAsia="es-MX"/>
        </w:rPr>
        <w:t xml:space="preserve"> Y, </w:t>
      </w:r>
      <w:proofErr w:type="spellStart"/>
      <w:r w:rsidRPr="00AD7EBB">
        <w:rPr>
          <w:lang w:val="es-PE" w:eastAsia="es-MX"/>
        </w:rPr>
        <w:t>Gurel</w:t>
      </w:r>
      <w:proofErr w:type="spellEnd"/>
      <w:r w:rsidRPr="00AD7EBB">
        <w:rPr>
          <w:lang w:val="es-PE" w:eastAsia="es-MX"/>
        </w:rPr>
        <w:t xml:space="preserve"> O, </w:t>
      </w:r>
      <w:proofErr w:type="spellStart"/>
      <w:r w:rsidRPr="00AD7EBB">
        <w:rPr>
          <w:lang w:val="es-PE" w:eastAsia="es-MX"/>
        </w:rPr>
        <w:t>Alkan</w:t>
      </w:r>
      <w:proofErr w:type="spellEnd"/>
      <w:r w:rsidRPr="00AD7EBB">
        <w:rPr>
          <w:lang w:val="es-PE" w:eastAsia="es-MX"/>
        </w:rPr>
        <w:t xml:space="preserve"> S, </w:t>
      </w:r>
      <w:proofErr w:type="spellStart"/>
      <w:r w:rsidRPr="00AD7EBB">
        <w:rPr>
          <w:lang w:val="es-PE" w:eastAsia="es-MX"/>
        </w:rPr>
        <w:t>Ozdemir</w:t>
      </w:r>
      <w:proofErr w:type="spellEnd"/>
      <w:r w:rsidRPr="00AD7EBB">
        <w:rPr>
          <w:lang w:val="es-PE" w:eastAsia="es-MX"/>
        </w:rPr>
        <w:t xml:space="preserve"> Y, et al. </w:t>
      </w:r>
      <w:r w:rsidRPr="00AD7EBB">
        <w:rPr>
          <w:lang w:val="en-US" w:eastAsia="es-MX"/>
        </w:rPr>
        <w:t xml:space="preserve">Psychiatric morbidity and protracted symptoms after COVID-19. </w:t>
      </w:r>
      <w:proofErr w:type="spellStart"/>
      <w:r w:rsidRPr="00AD7EBB">
        <w:rPr>
          <w:lang w:val="en-US" w:eastAsia="es-MX"/>
        </w:rPr>
        <w:t>Psichiatry</w:t>
      </w:r>
      <w:proofErr w:type="spellEnd"/>
      <w:r w:rsidRPr="00AD7EBB">
        <w:rPr>
          <w:lang w:val="en-US" w:eastAsia="es-MX"/>
        </w:rPr>
        <w:t xml:space="preserve"> Res. 2021 [</w:t>
      </w:r>
      <w:proofErr w:type="spellStart"/>
      <w:r w:rsidRPr="00AD7EBB">
        <w:rPr>
          <w:lang w:val="en-US" w:eastAsia="es-MX"/>
        </w:rPr>
        <w:t>acceso</w:t>
      </w:r>
      <w:proofErr w:type="spellEnd"/>
      <w:r w:rsidRPr="00AD7EBB">
        <w:rPr>
          <w:lang w:val="en-US" w:eastAsia="es-MX"/>
        </w:rPr>
        <w:t xml:space="preserve">: 08/06/2021]; 295:113604. </w:t>
      </w:r>
      <w:r w:rsidRPr="00AD7EBB">
        <w:rPr>
          <w:lang w:val="es-PE" w:eastAsia="es-MX"/>
        </w:rPr>
        <w:t xml:space="preserve">Disponible en:  </w:t>
      </w:r>
      <w:hyperlink r:id="rId21">
        <w:r w:rsidRPr="00AD7EBB">
          <w:rPr>
            <w:color w:val="0563C1"/>
            <w:u w:val="single"/>
            <w:lang w:val="es-PE" w:eastAsia="es-MX"/>
          </w:rPr>
          <w:t>https://doi.org/10.1016/j.psychres.2020.113604</w:t>
        </w:r>
      </w:hyperlink>
    </w:p>
    <w:p w14:paraId="12DCAA8C" w14:textId="77777777" w:rsidR="00AD7EBB" w:rsidRPr="00AD7EBB" w:rsidRDefault="00AD7EBB" w:rsidP="00AD7EBB">
      <w:pP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n-US" w:eastAsia="es-MX"/>
        </w:rPr>
      </w:pPr>
      <w:r w:rsidRPr="00AD7EBB">
        <w:rPr>
          <w:lang w:val="es-PE" w:eastAsia="es-MX"/>
        </w:rPr>
        <w:t xml:space="preserve">13. </w:t>
      </w:r>
      <w:proofErr w:type="spellStart"/>
      <w:r w:rsidRPr="00AD7EBB">
        <w:rPr>
          <w:lang w:val="es-PE" w:eastAsia="es-MX"/>
        </w:rPr>
        <w:t>Bellan</w:t>
      </w:r>
      <w:proofErr w:type="spellEnd"/>
      <w:r w:rsidRPr="00AD7EBB">
        <w:rPr>
          <w:lang w:val="es-PE" w:eastAsia="es-MX"/>
        </w:rPr>
        <w:t xml:space="preserve"> M, </w:t>
      </w:r>
      <w:proofErr w:type="spellStart"/>
      <w:r w:rsidRPr="00AD7EBB">
        <w:rPr>
          <w:lang w:val="es-PE" w:eastAsia="es-MX"/>
        </w:rPr>
        <w:t>Baricich</w:t>
      </w:r>
      <w:proofErr w:type="spellEnd"/>
      <w:r w:rsidRPr="00AD7EBB">
        <w:rPr>
          <w:lang w:val="es-PE" w:eastAsia="es-MX"/>
        </w:rPr>
        <w:t xml:space="preserve"> A, Patrucco F, </w:t>
      </w:r>
      <w:proofErr w:type="spellStart"/>
      <w:r w:rsidRPr="00AD7EBB">
        <w:rPr>
          <w:lang w:val="es-PE" w:eastAsia="es-MX"/>
        </w:rPr>
        <w:t>Zeppegno</w:t>
      </w:r>
      <w:proofErr w:type="spellEnd"/>
      <w:r w:rsidRPr="00AD7EBB">
        <w:rPr>
          <w:lang w:val="es-PE" w:eastAsia="es-MX"/>
        </w:rPr>
        <w:t xml:space="preserve"> P, </w:t>
      </w:r>
      <w:proofErr w:type="spellStart"/>
      <w:r w:rsidRPr="00AD7EBB">
        <w:rPr>
          <w:lang w:val="es-PE" w:eastAsia="es-MX"/>
        </w:rPr>
        <w:t>Gramaglia</w:t>
      </w:r>
      <w:proofErr w:type="spellEnd"/>
      <w:r w:rsidRPr="00AD7EBB">
        <w:rPr>
          <w:lang w:val="es-PE" w:eastAsia="es-MX"/>
        </w:rPr>
        <w:t xml:space="preserve"> C, Balbo P, et al. </w:t>
      </w:r>
      <w:r w:rsidRPr="00AD7EBB">
        <w:rPr>
          <w:lang w:val="en-US" w:eastAsia="es-MX"/>
        </w:rPr>
        <w:t>Long-term sequelae are highly prevalent one year after hospitalization for severe COVID-19. Sci Rep. 2021 [</w:t>
      </w:r>
      <w:proofErr w:type="spellStart"/>
      <w:r w:rsidRPr="00AD7EBB">
        <w:rPr>
          <w:lang w:val="en-US" w:eastAsia="es-MX"/>
        </w:rPr>
        <w:t>acceso</w:t>
      </w:r>
      <w:proofErr w:type="spellEnd"/>
      <w:r w:rsidRPr="00AD7EBB">
        <w:rPr>
          <w:lang w:val="en-US" w:eastAsia="es-MX"/>
        </w:rPr>
        <w:t xml:space="preserve">: 09/06/2021]; 11:22666. Disponible </w:t>
      </w:r>
      <w:proofErr w:type="spellStart"/>
      <w:r w:rsidRPr="00AD7EBB">
        <w:rPr>
          <w:lang w:val="en-US" w:eastAsia="es-MX"/>
        </w:rPr>
        <w:t>en</w:t>
      </w:r>
      <w:proofErr w:type="spellEnd"/>
      <w:r w:rsidRPr="00AD7EBB">
        <w:rPr>
          <w:lang w:val="en-US" w:eastAsia="es-MX"/>
        </w:rPr>
        <w:t xml:space="preserve">:  </w:t>
      </w:r>
      <w:hyperlink r:id="rId22">
        <w:r w:rsidRPr="00AD7EBB">
          <w:rPr>
            <w:color w:val="0563C1"/>
            <w:u w:val="single"/>
            <w:lang w:val="en-US" w:eastAsia="es-MX"/>
          </w:rPr>
          <w:t>https://doi.org/10.1038/s41598-021-01215-4</w:t>
        </w:r>
      </w:hyperlink>
    </w:p>
    <w:p w14:paraId="368788C3" w14:textId="77777777" w:rsidR="00AD7EBB" w:rsidRPr="00AD7EBB" w:rsidRDefault="00AD7EBB" w:rsidP="00AD7E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n-US" w:eastAsia="es-MX"/>
        </w:rPr>
      </w:pPr>
      <w:r w:rsidRPr="00AD7EBB">
        <w:rPr>
          <w:color w:val="000000"/>
          <w:lang w:val="en-US" w:eastAsia="es-MX"/>
        </w:rPr>
        <w:t xml:space="preserve">14. Tang W, Hu T, Hu B, </w:t>
      </w:r>
      <w:proofErr w:type="spellStart"/>
      <w:r w:rsidRPr="00AD7EBB">
        <w:rPr>
          <w:color w:val="000000"/>
          <w:lang w:val="en-US" w:eastAsia="es-MX"/>
        </w:rPr>
        <w:t>Chunchan</w:t>
      </w:r>
      <w:proofErr w:type="spellEnd"/>
      <w:r w:rsidRPr="00AD7EBB">
        <w:rPr>
          <w:color w:val="000000"/>
          <w:lang w:val="en-US" w:eastAsia="es-MX"/>
        </w:rPr>
        <w:t xml:space="preserve"> J, Wang G, </w:t>
      </w:r>
      <w:proofErr w:type="spellStart"/>
      <w:r w:rsidRPr="00AD7EBB">
        <w:rPr>
          <w:color w:val="000000"/>
          <w:lang w:val="en-US" w:eastAsia="es-MX"/>
        </w:rPr>
        <w:t>Xie</w:t>
      </w:r>
      <w:proofErr w:type="spellEnd"/>
      <w:r w:rsidRPr="00AD7EBB">
        <w:rPr>
          <w:color w:val="000000"/>
          <w:lang w:val="en-US" w:eastAsia="es-MX"/>
        </w:rPr>
        <w:t xml:space="preserve"> C, et al. Prevalence and correlates of PTSD and depressive symptoms one month after the outbreak of the COVID-19 epidemic in a sample of home-quarantined Chinese university students. J. Affect. </w:t>
      </w:r>
      <w:proofErr w:type="spellStart"/>
      <w:r w:rsidRPr="00AD7EBB">
        <w:rPr>
          <w:color w:val="000000"/>
          <w:lang w:val="en-US" w:eastAsia="es-MX"/>
        </w:rPr>
        <w:t>Disord</w:t>
      </w:r>
      <w:proofErr w:type="spellEnd"/>
      <w:r w:rsidRPr="00AD7EBB">
        <w:rPr>
          <w:color w:val="000000"/>
          <w:lang w:val="en-US" w:eastAsia="es-MX"/>
        </w:rPr>
        <w:t>. 2020 [</w:t>
      </w:r>
      <w:proofErr w:type="spellStart"/>
      <w:r w:rsidRPr="00AD7EBB">
        <w:rPr>
          <w:color w:val="000000"/>
          <w:lang w:val="en-US" w:eastAsia="es-MX"/>
        </w:rPr>
        <w:t>acceso</w:t>
      </w:r>
      <w:proofErr w:type="spellEnd"/>
      <w:r w:rsidRPr="00AD7EBB">
        <w:rPr>
          <w:color w:val="000000"/>
          <w:lang w:val="en-US" w:eastAsia="es-MX"/>
        </w:rPr>
        <w:t xml:space="preserve">: 09/06/2021]; 274:1-7. Disponible </w:t>
      </w:r>
      <w:proofErr w:type="spellStart"/>
      <w:r w:rsidRPr="00AD7EBB">
        <w:rPr>
          <w:color w:val="000000"/>
          <w:lang w:val="en-US" w:eastAsia="es-MX"/>
        </w:rPr>
        <w:t>en</w:t>
      </w:r>
      <w:proofErr w:type="spellEnd"/>
      <w:r w:rsidRPr="00AD7EBB">
        <w:rPr>
          <w:color w:val="000000"/>
          <w:lang w:val="en-US" w:eastAsia="es-MX"/>
        </w:rPr>
        <w:t xml:space="preserve">: </w:t>
      </w:r>
      <w:hyperlink r:id="rId23">
        <w:r w:rsidRPr="00AD7EBB">
          <w:rPr>
            <w:color w:val="0563C1"/>
            <w:u w:val="single"/>
            <w:lang w:val="en-US" w:eastAsia="es-MX"/>
          </w:rPr>
          <w:t>https://doi.org/10.1016/j.jad.2020.05.009</w:t>
        </w:r>
      </w:hyperlink>
    </w:p>
    <w:p w14:paraId="08967AC2" w14:textId="77777777" w:rsidR="00AD7EBB" w:rsidRPr="00AD7EBB" w:rsidRDefault="00AD7EBB" w:rsidP="00AD7E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n-US" w:eastAsia="es-MX"/>
        </w:rPr>
      </w:pPr>
      <w:r w:rsidRPr="00AD7EBB">
        <w:rPr>
          <w:color w:val="000000"/>
          <w:lang w:val="en-US" w:eastAsia="es-MX"/>
        </w:rPr>
        <w:t xml:space="preserve">15. </w:t>
      </w:r>
      <w:proofErr w:type="spellStart"/>
      <w:r w:rsidRPr="00AD7EBB">
        <w:rPr>
          <w:color w:val="000000"/>
          <w:lang w:val="en-US" w:eastAsia="es-MX"/>
        </w:rPr>
        <w:t>Einvik</w:t>
      </w:r>
      <w:proofErr w:type="spellEnd"/>
      <w:r w:rsidRPr="00AD7EBB">
        <w:rPr>
          <w:color w:val="000000"/>
          <w:lang w:val="en-US" w:eastAsia="es-MX"/>
        </w:rPr>
        <w:t xml:space="preserve"> G, </w:t>
      </w:r>
      <w:proofErr w:type="spellStart"/>
      <w:r w:rsidRPr="00AD7EBB">
        <w:rPr>
          <w:color w:val="000000"/>
          <w:lang w:val="en-US" w:eastAsia="es-MX"/>
        </w:rPr>
        <w:t>Dammen</w:t>
      </w:r>
      <w:proofErr w:type="spellEnd"/>
      <w:r w:rsidRPr="00AD7EBB">
        <w:rPr>
          <w:color w:val="000000"/>
          <w:lang w:val="en-US" w:eastAsia="es-MX"/>
        </w:rPr>
        <w:t xml:space="preserve"> T, </w:t>
      </w:r>
      <w:proofErr w:type="spellStart"/>
      <w:r w:rsidRPr="00AD7EBB">
        <w:rPr>
          <w:color w:val="000000"/>
          <w:lang w:val="en-US" w:eastAsia="es-MX"/>
        </w:rPr>
        <w:t>Ghanima</w:t>
      </w:r>
      <w:proofErr w:type="spellEnd"/>
      <w:r w:rsidRPr="00AD7EBB">
        <w:rPr>
          <w:color w:val="000000"/>
          <w:lang w:val="en-US" w:eastAsia="es-MX"/>
        </w:rPr>
        <w:t xml:space="preserve"> W, Heir T, </w:t>
      </w:r>
      <w:proofErr w:type="spellStart"/>
      <w:r w:rsidRPr="00AD7EBB">
        <w:rPr>
          <w:color w:val="000000"/>
          <w:lang w:val="en-US" w:eastAsia="es-MX"/>
        </w:rPr>
        <w:t>Stavem</w:t>
      </w:r>
      <w:proofErr w:type="spellEnd"/>
      <w:r w:rsidRPr="00AD7EBB">
        <w:rPr>
          <w:color w:val="000000"/>
          <w:lang w:val="en-US" w:eastAsia="es-MX"/>
        </w:rPr>
        <w:t xml:space="preserve"> K. Prevalence and risk factors for post-traumatic stress in hospitalized and non-hospitalized COVID-19 patients. Int. J. Environ Res Public Health. 2021 [</w:t>
      </w:r>
      <w:proofErr w:type="spellStart"/>
      <w:r w:rsidRPr="00AD7EBB">
        <w:rPr>
          <w:color w:val="000000"/>
          <w:lang w:val="en-US" w:eastAsia="es-MX"/>
        </w:rPr>
        <w:t>acceso</w:t>
      </w:r>
      <w:proofErr w:type="spellEnd"/>
      <w:r w:rsidRPr="00AD7EBB">
        <w:rPr>
          <w:color w:val="000000"/>
          <w:lang w:val="en-US" w:eastAsia="es-MX"/>
        </w:rPr>
        <w:t xml:space="preserve">: 09/06/2021]; 18(4):2079. Disponible </w:t>
      </w:r>
      <w:proofErr w:type="spellStart"/>
      <w:r w:rsidRPr="00AD7EBB">
        <w:rPr>
          <w:color w:val="000000"/>
          <w:lang w:val="en-US" w:eastAsia="es-MX"/>
        </w:rPr>
        <w:t>en</w:t>
      </w:r>
      <w:proofErr w:type="spellEnd"/>
      <w:r w:rsidRPr="00AD7EBB">
        <w:rPr>
          <w:color w:val="000000"/>
          <w:lang w:val="en-US" w:eastAsia="es-MX"/>
        </w:rPr>
        <w:t xml:space="preserve">: </w:t>
      </w:r>
      <w:hyperlink r:id="rId24">
        <w:r w:rsidRPr="00AD7EBB">
          <w:rPr>
            <w:color w:val="0563C1"/>
            <w:u w:val="single"/>
            <w:lang w:val="en-US" w:eastAsia="es-MX"/>
          </w:rPr>
          <w:t>https://doi.org/10.3390/ijerph18042079</w:t>
        </w:r>
      </w:hyperlink>
    </w:p>
    <w:p w14:paraId="0FF016C2" w14:textId="77777777" w:rsidR="00AD7EBB" w:rsidRPr="00AD7EBB" w:rsidRDefault="00AD7EBB" w:rsidP="00AD7EBB">
      <w:pP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n-US" w:eastAsia="es-MX"/>
        </w:rPr>
      </w:pPr>
      <w:r w:rsidRPr="00AD7EBB">
        <w:rPr>
          <w:lang w:val="en-US" w:eastAsia="es-MX"/>
        </w:rPr>
        <w:t xml:space="preserve">16. </w:t>
      </w:r>
      <w:proofErr w:type="spellStart"/>
      <w:r w:rsidRPr="00AD7EBB">
        <w:rPr>
          <w:lang w:val="en-US" w:eastAsia="es-MX"/>
        </w:rPr>
        <w:t>Martillo</w:t>
      </w:r>
      <w:proofErr w:type="spellEnd"/>
      <w:r w:rsidRPr="00AD7EBB">
        <w:rPr>
          <w:lang w:val="en-US" w:eastAsia="es-MX"/>
        </w:rPr>
        <w:t xml:space="preserve"> M, </w:t>
      </w:r>
      <w:proofErr w:type="spellStart"/>
      <w:r w:rsidRPr="00AD7EBB">
        <w:rPr>
          <w:lang w:val="en-US" w:eastAsia="es-MX"/>
        </w:rPr>
        <w:t>Dangayach</w:t>
      </w:r>
      <w:proofErr w:type="spellEnd"/>
      <w:r w:rsidRPr="00AD7EBB">
        <w:rPr>
          <w:lang w:val="en-US" w:eastAsia="es-MX"/>
        </w:rPr>
        <w:t xml:space="preserve"> N, </w:t>
      </w:r>
      <w:proofErr w:type="spellStart"/>
      <w:r w:rsidRPr="00AD7EBB">
        <w:rPr>
          <w:lang w:val="en-US" w:eastAsia="es-MX"/>
        </w:rPr>
        <w:t>Tabacof</w:t>
      </w:r>
      <w:proofErr w:type="spellEnd"/>
      <w:r w:rsidRPr="00AD7EBB">
        <w:rPr>
          <w:lang w:val="en-US" w:eastAsia="es-MX"/>
        </w:rPr>
        <w:t xml:space="preserve"> L, Spielman L, Dams-O’Connor K, Chan C, et al. </w:t>
      </w:r>
      <w:proofErr w:type="spellStart"/>
      <w:r w:rsidRPr="00AD7EBB">
        <w:rPr>
          <w:lang w:val="en-US" w:eastAsia="es-MX"/>
        </w:rPr>
        <w:t>Postintensive</w:t>
      </w:r>
      <w:proofErr w:type="spellEnd"/>
      <w:r w:rsidRPr="00AD7EBB">
        <w:rPr>
          <w:lang w:val="en-US" w:eastAsia="es-MX"/>
        </w:rPr>
        <w:t xml:space="preserve"> Care Syndrome in Survivors of Critical Illness Related to Coronavirus Disease 2019: Cohort Study </w:t>
      </w:r>
      <w:proofErr w:type="gramStart"/>
      <w:r w:rsidRPr="00AD7EBB">
        <w:rPr>
          <w:lang w:val="en-US" w:eastAsia="es-MX"/>
        </w:rPr>
        <w:t>From</w:t>
      </w:r>
      <w:proofErr w:type="gramEnd"/>
      <w:r w:rsidRPr="00AD7EBB">
        <w:rPr>
          <w:lang w:val="en-US" w:eastAsia="es-MX"/>
        </w:rPr>
        <w:t xml:space="preserve"> a New York City Critical Care Recovery Clinic. Crit. Care Med. 2021 [</w:t>
      </w:r>
      <w:proofErr w:type="spellStart"/>
      <w:r w:rsidRPr="00AD7EBB">
        <w:rPr>
          <w:lang w:val="en-US" w:eastAsia="es-MX"/>
        </w:rPr>
        <w:t>acceso</w:t>
      </w:r>
      <w:proofErr w:type="spellEnd"/>
      <w:r w:rsidRPr="00AD7EBB">
        <w:rPr>
          <w:lang w:val="en-US" w:eastAsia="es-MX"/>
        </w:rPr>
        <w:t xml:space="preserve">: 09/06/2021]; 49(9):1427-38. Disponible </w:t>
      </w:r>
      <w:proofErr w:type="spellStart"/>
      <w:r w:rsidRPr="00AD7EBB">
        <w:rPr>
          <w:lang w:val="en-US" w:eastAsia="es-MX"/>
        </w:rPr>
        <w:t>en</w:t>
      </w:r>
      <w:proofErr w:type="spellEnd"/>
      <w:r w:rsidRPr="00AD7EBB">
        <w:rPr>
          <w:lang w:val="en-US" w:eastAsia="es-MX"/>
        </w:rPr>
        <w:t xml:space="preserve">:  </w:t>
      </w:r>
      <w:hyperlink r:id="rId25">
        <w:r w:rsidRPr="00AD7EBB">
          <w:rPr>
            <w:color w:val="0563C1"/>
            <w:u w:val="single"/>
            <w:lang w:val="en-US" w:eastAsia="es-MX"/>
          </w:rPr>
          <w:t>https://doi.org/10.1097/ccm.0000000000005014</w:t>
        </w:r>
      </w:hyperlink>
    </w:p>
    <w:p w14:paraId="08A5BF63" w14:textId="77777777" w:rsidR="00AD7EBB" w:rsidRPr="00AD7EBB" w:rsidRDefault="00AD7EBB" w:rsidP="00AD7E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s-PE" w:eastAsia="es-MX"/>
        </w:rPr>
      </w:pPr>
      <w:r w:rsidRPr="00AD7EBB">
        <w:rPr>
          <w:color w:val="000000"/>
          <w:lang w:val="en-US" w:eastAsia="es-MX"/>
        </w:rPr>
        <w:t xml:space="preserve">17. </w:t>
      </w:r>
      <w:proofErr w:type="spellStart"/>
      <w:r w:rsidRPr="00AD7EBB">
        <w:rPr>
          <w:color w:val="000000"/>
          <w:lang w:val="en-US" w:eastAsia="es-MX"/>
        </w:rPr>
        <w:t>Karatzias</w:t>
      </w:r>
      <w:proofErr w:type="spellEnd"/>
      <w:r w:rsidRPr="00AD7EBB">
        <w:rPr>
          <w:color w:val="000000"/>
          <w:lang w:val="en-US" w:eastAsia="es-MX"/>
        </w:rPr>
        <w:t xml:space="preserve"> T, Shevlin M, Murphy J, McBride, O, Ben-Ezra M, Bentall R, et al. Posttraumatic stress symptoms and associated comorbidity during the COVID-19 pandemic in Ireland: A population- based study. </w:t>
      </w:r>
      <w:r w:rsidRPr="00AD7EBB">
        <w:rPr>
          <w:color w:val="000000"/>
          <w:lang w:val="es-PE" w:eastAsia="es-MX"/>
        </w:rPr>
        <w:t xml:space="preserve">J. Trauma. Stress. 2020 [acceso: 09/06/2021]; 33(4):365-70. Disponible en:  </w:t>
      </w:r>
      <w:hyperlink r:id="rId26">
        <w:r w:rsidRPr="00AD7EBB">
          <w:rPr>
            <w:color w:val="0563C1"/>
            <w:u w:val="single"/>
            <w:lang w:val="es-PE" w:eastAsia="es-MX"/>
          </w:rPr>
          <w:t>https://doi.org/10.1002/jts.22565</w:t>
        </w:r>
      </w:hyperlink>
    </w:p>
    <w:p w14:paraId="59ABE133" w14:textId="77777777" w:rsidR="00AD7EBB" w:rsidRPr="00AD7EBB" w:rsidRDefault="00AD7EBB" w:rsidP="00AD7E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s-PE" w:eastAsia="es-MX"/>
        </w:rPr>
      </w:pPr>
      <w:r w:rsidRPr="00AD7EBB">
        <w:rPr>
          <w:color w:val="000000"/>
          <w:lang w:val="en-US" w:eastAsia="es-MX"/>
        </w:rPr>
        <w:t xml:space="preserve">18. Davidson J, Book S, </w:t>
      </w:r>
      <w:proofErr w:type="spellStart"/>
      <w:r w:rsidRPr="00AD7EBB">
        <w:rPr>
          <w:color w:val="000000"/>
          <w:lang w:val="en-US" w:eastAsia="es-MX"/>
        </w:rPr>
        <w:t>Colket</w:t>
      </w:r>
      <w:proofErr w:type="spellEnd"/>
      <w:r w:rsidRPr="00AD7EBB">
        <w:rPr>
          <w:color w:val="000000"/>
          <w:lang w:val="en-US" w:eastAsia="es-MX"/>
        </w:rPr>
        <w:t xml:space="preserve"> J, </w:t>
      </w:r>
      <w:proofErr w:type="spellStart"/>
      <w:r w:rsidRPr="00AD7EBB">
        <w:rPr>
          <w:color w:val="000000"/>
          <w:lang w:val="en-US" w:eastAsia="es-MX"/>
        </w:rPr>
        <w:t>Tupler</w:t>
      </w:r>
      <w:proofErr w:type="spellEnd"/>
      <w:r w:rsidRPr="00AD7EBB">
        <w:rPr>
          <w:color w:val="000000"/>
          <w:lang w:val="en-US" w:eastAsia="es-MX"/>
        </w:rPr>
        <w:t xml:space="preserve"> L, Roth S, David D, et al. Assessment of a new self- rating scale for </w:t>
      </w:r>
      <w:proofErr w:type="spellStart"/>
      <w:r w:rsidRPr="00AD7EBB">
        <w:rPr>
          <w:color w:val="000000"/>
          <w:lang w:val="en-US" w:eastAsia="es-MX"/>
        </w:rPr>
        <w:t>postraumatic</w:t>
      </w:r>
      <w:proofErr w:type="spellEnd"/>
      <w:r w:rsidRPr="00AD7EBB">
        <w:rPr>
          <w:color w:val="000000"/>
          <w:lang w:val="en-US" w:eastAsia="es-MX"/>
        </w:rPr>
        <w:t xml:space="preserve"> disorder. </w:t>
      </w:r>
      <w:proofErr w:type="spellStart"/>
      <w:r w:rsidRPr="00AD7EBB">
        <w:rPr>
          <w:color w:val="000000"/>
          <w:lang w:val="es-PE" w:eastAsia="es-MX"/>
        </w:rPr>
        <w:t>Psychol</w:t>
      </w:r>
      <w:proofErr w:type="spellEnd"/>
      <w:r w:rsidRPr="00AD7EBB">
        <w:rPr>
          <w:color w:val="000000"/>
          <w:lang w:val="es-PE" w:eastAsia="es-MX"/>
        </w:rPr>
        <w:t xml:space="preserve"> </w:t>
      </w:r>
      <w:proofErr w:type="spellStart"/>
      <w:r w:rsidRPr="00AD7EBB">
        <w:rPr>
          <w:color w:val="000000"/>
          <w:lang w:val="es-PE" w:eastAsia="es-MX"/>
        </w:rPr>
        <w:t>Med</w:t>
      </w:r>
      <w:proofErr w:type="spellEnd"/>
      <w:r w:rsidRPr="00AD7EBB">
        <w:rPr>
          <w:color w:val="000000"/>
          <w:lang w:val="es-PE" w:eastAsia="es-MX"/>
        </w:rPr>
        <w:t xml:space="preserve">. 1997 [acceso: 09/06/2021]; 27(1):153-60. Disponible en:  </w:t>
      </w:r>
      <w:hyperlink r:id="rId27">
        <w:r w:rsidRPr="00AD7EBB">
          <w:rPr>
            <w:color w:val="0563C1"/>
            <w:u w:val="single"/>
            <w:lang w:val="es-PE" w:eastAsia="es-MX"/>
          </w:rPr>
          <w:t>https://doi.org/10.1017/s0033291796004229</w:t>
        </w:r>
      </w:hyperlink>
    </w:p>
    <w:p w14:paraId="31EB501F" w14:textId="77777777" w:rsidR="00AD7EBB" w:rsidRPr="00AD7EBB" w:rsidRDefault="00AD7EBB" w:rsidP="00AD7EBB">
      <w:pP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s-PE" w:eastAsia="es-MX"/>
        </w:rPr>
      </w:pPr>
      <w:r w:rsidRPr="00AD7EBB">
        <w:rPr>
          <w:lang w:val="es-PE" w:eastAsia="es-MX"/>
        </w:rPr>
        <w:t xml:space="preserve">19. Bobes J, </w:t>
      </w:r>
      <w:proofErr w:type="spellStart"/>
      <w:r w:rsidRPr="00AD7EBB">
        <w:rPr>
          <w:lang w:val="es-PE" w:eastAsia="es-MX"/>
        </w:rPr>
        <w:t>Calcedo</w:t>
      </w:r>
      <w:proofErr w:type="spellEnd"/>
      <w:r w:rsidRPr="00AD7EBB">
        <w:rPr>
          <w:lang w:val="es-PE" w:eastAsia="es-MX"/>
        </w:rPr>
        <w:t xml:space="preserve">-Barba A, García M, </w:t>
      </w:r>
      <w:proofErr w:type="spellStart"/>
      <w:r w:rsidRPr="00AD7EBB">
        <w:rPr>
          <w:lang w:val="es-PE" w:eastAsia="es-MX"/>
        </w:rPr>
        <w:t>Francois</w:t>
      </w:r>
      <w:proofErr w:type="spellEnd"/>
      <w:r w:rsidRPr="00AD7EBB">
        <w:rPr>
          <w:lang w:val="es-PE" w:eastAsia="es-MX"/>
        </w:rPr>
        <w:t xml:space="preserve"> M, Rico-</w:t>
      </w:r>
      <w:proofErr w:type="spellStart"/>
      <w:r w:rsidRPr="00AD7EBB">
        <w:rPr>
          <w:lang w:val="es-PE" w:eastAsia="es-MX"/>
        </w:rPr>
        <w:t>Villademoros</w:t>
      </w:r>
      <w:proofErr w:type="spellEnd"/>
      <w:r w:rsidRPr="00AD7EBB">
        <w:rPr>
          <w:lang w:val="es-PE" w:eastAsia="es-MX"/>
        </w:rPr>
        <w:t xml:space="preserve"> F, González M, et al. </w:t>
      </w:r>
      <w:r w:rsidRPr="00AD7EBB">
        <w:rPr>
          <w:lang w:val="en-US" w:eastAsia="es-MX"/>
        </w:rPr>
        <w:t xml:space="preserve">Evaluation of the psychometric properties of the Spanish version of 5 questionnaires for the evaluation of post-traumatic stress syndrome. </w:t>
      </w:r>
      <w:r w:rsidRPr="00AD7EBB">
        <w:rPr>
          <w:lang w:val="es-PE" w:eastAsia="es-MX"/>
        </w:rPr>
        <w:t xml:space="preserve">Actas </w:t>
      </w:r>
      <w:proofErr w:type="spellStart"/>
      <w:r w:rsidRPr="00AD7EBB">
        <w:rPr>
          <w:lang w:val="es-PE" w:eastAsia="es-MX"/>
        </w:rPr>
        <w:t>Esp</w:t>
      </w:r>
      <w:proofErr w:type="spellEnd"/>
      <w:r w:rsidRPr="00AD7EBB">
        <w:rPr>
          <w:lang w:val="es-PE" w:eastAsia="es-MX"/>
        </w:rPr>
        <w:t xml:space="preserve"> </w:t>
      </w:r>
      <w:proofErr w:type="spellStart"/>
      <w:r w:rsidRPr="00AD7EBB">
        <w:rPr>
          <w:lang w:val="es-PE" w:eastAsia="es-MX"/>
        </w:rPr>
        <w:t>Psiquiatr</w:t>
      </w:r>
      <w:proofErr w:type="spellEnd"/>
      <w:r w:rsidRPr="00AD7EBB">
        <w:rPr>
          <w:lang w:val="es-PE" w:eastAsia="es-MX"/>
        </w:rPr>
        <w:t xml:space="preserve">. 2000 [acceso: 10/06/2021]; 28(4):207-18. Disponible en: </w:t>
      </w:r>
      <w:hyperlink r:id="rId28">
        <w:r w:rsidRPr="00AD7EBB">
          <w:rPr>
            <w:color w:val="0563C1"/>
            <w:u w:val="single"/>
            <w:lang w:val="es-PE" w:eastAsia="es-MX"/>
          </w:rPr>
          <w:t>https://pubmed.ncbi.nlm.nih.gov/11116791/</w:t>
        </w:r>
      </w:hyperlink>
    </w:p>
    <w:p w14:paraId="2B6D9300" w14:textId="77777777" w:rsidR="00AD7EBB" w:rsidRPr="00AD7EBB" w:rsidRDefault="00AD7EBB" w:rsidP="00AD7EBB">
      <w:pP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s-PE" w:eastAsia="es-MX"/>
        </w:rPr>
      </w:pPr>
      <w:r w:rsidRPr="00AD7EBB">
        <w:rPr>
          <w:lang w:val="es-PE" w:eastAsia="es-MX"/>
        </w:rPr>
        <w:lastRenderedPageBreak/>
        <w:t xml:space="preserve">20. Domínguez-Lara S. Magnitud del efecto, una guía rápida. Educación Médica. 2018 [acceso: 09/06/2021]; 19(4):251-54. Disponible en:  </w:t>
      </w:r>
      <w:hyperlink r:id="rId29">
        <w:r w:rsidRPr="00AD7EBB">
          <w:rPr>
            <w:color w:val="0563C1"/>
            <w:u w:val="single"/>
            <w:lang w:val="es-PE" w:eastAsia="es-MX"/>
          </w:rPr>
          <w:t>https://www.elsevier.es/es-revista-educacion-medica-71-articulo-magnitud-del-efecto-una-guia-S1575181317301390</w:t>
        </w:r>
      </w:hyperlink>
    </w:p>
    <w:p w14:paraId="25AD2365" w14:textId="77777777" w:rsidR="00AD7EBB" w:rsidRPr="00AD7EBB" w:rsidRDefault="00AD7EBB" w:rsidP="00AD7EBB">
      <w:pP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s-PE" w:eastAsia="es-MX"/>
        </w:rPr>
      </w:pPr>
      <w:r w:rsidRPr="00AD7EBB">
        <w:rPr>
          <w:lang w:val="en-US" w:eastAsia="es-MX"/>
        </w:rPr>
        <w:t xml:space="preserve">21. Costa A, </w:t>
      </w:r>
      <w:proofErr w:type="spellStart"/>
      <w:r w:rsidRPr="00AD7EBB">
        <w:rPr>
          <w:lang w:val="en-US" w:eastAsia="es-MX"/>
        </w:rPr>
        <w:t>Bak</w:t>
      </w:r>
      <w:proofErr w:type="spellEnd"/>
      <w:r w:rsidRPr="00AD7EBB">
        <w:rPr>
          <w:lang w:val="en-US" w:eastAsia="es-MX"/>
        </w:rPr>
        <w:t xml:space="preserve"> T, </w:t>
      </w:r>
      <w:proofErr w:type="spellStart"/>
      <w:r w:rsidRPr="00AD7EBB">
        <w:rPr>
          <w:lang w:val="en-US" w:eastAsia="es-MX"/>
        </w:rPr>
        <w:t>Caffarra</w:t>
      </w:r>
      <w:proofErr w:type="spellEnd"/>
      <w:r w:rsidRPr="00AD7EBB">
        <w:rPr>
          <w:lang w:val="en-US" w:eastAsia="es-MX"/>
        </w:rPr>
        <w:t xml:space="preserve"> P, </w:t>
      </w:r>
      <w:proofErr w:type="spellStart"/>
      <w:r w:rsidRPr="00AD7EBB">
        <w:rPr>
          <w:lang w:val="en-US" w:eastAsia="es-MX"/>
        </w:rPr>
        <w:t>Caltagirone</w:t>
      </w:r>
      <w:proofErr w:type="spellEnd"/>
      <w:r w:rsidRPr="00AD7EBB">
        <w:rPr>
          <w:lang w:val="en-US" w:eastAsia="es-MX"/>
        </w:rPr>
        <w:t xml:space="preserve"> C, </w:t>
      </w:r>
      <w:proofErr w:type="spellStart"/>
      <w:r w:rsidRPr="00AD7EBB">
        <w:rPr>
          <w:lang w:val="en-US" w:eastAsia="es-MX"/>
        </w:rPr>
        <w:t>Ceccaldi</w:t>
      </w:r>
      <w:proofErr w:type="spellEnd"/>
      <w:r w:rsidRPr="00AD7EBB">
        <w:rPr>
          <w:lang w:val="en-US" w:eastAsia="es-MX"/>
        </w:rPr>
        <w:t xml:space="preserve"> M, Collette F, et al. The need for </w:t>
      </w:r>
      <w:proofErr w:type="spellStart"/>
      <w:r w:rsidRPr="00AD7EBB">
        <w:rPr>
          <w:lang w:val="en-US" w:eastAsia="es-MX"/>
        </w:rPr>
        <w:t>harmonisation</w:t>
      </w:r>
      <w:proofErr w:type="spellEnd"/>
      <w:r w:rsidRPr="00AD7EBB">
        <w:rPr>
          <w:lang w:val="en-US" w:eastAsia="es-MX"/>
        </w:rPr>
        <w:t xml:space="preserve"> and innovation of neuropsychological assessment in neurodegenerative dementias in Europe: consensus document of the Joint Program for Neurodegenerative Diseases Working Group. </w:t>
      </w:r>
      <w:proofErr w:type="spellStart"/>
      <w:r w:rsidRPr="00AD7EBB">
        <w:rPr>
          <w:lang w:val="es-PE" w:eastAsia="es-MX"/>
        </w:rPr>
        <w:t>Alzheimers</w:t>
      </w:r>
      <w:proofErr w:type="spellEnd"/>
      <w:r w:rsidRPr="00AD7EBB">
        <w:rPr>
          <w:lang w:val="es-PE" w:eastAsia="es-MX"/>
        </w:rPr>
        <w:t xml:space="preserve"> Res </w:t>
      </w:r>
      <w:proofErr w:type="spellStart"/>
      <w:r w:rsidRPr="00AD7EBB">
        <w:rPr>
          <w:lang w:val="es-PE" w:eastAsia="es-MX"/>
        </w:rPr>
        <w:t>Ther</w:t>
      </w:r>
      <w:proofErr w:type="spellEnd"/>
      <w:r w:rsidRPr="00AD7EBB">
        <w:rPr>
          <w:lang w:val="es-PE" w:eastAsia="es-MX"/>
        </w:rPr>
        <w:t xml:space="preserve">. 2017 [acceso: 09/06/2021]; 9(27):1-15. Disponible en:  </w:t>
      </w:r>
      <w:hyperlink r:id="rId30">
        <w:r w:rsidRPr="00AD7EBB">
          <w:rPr>
            <w:color w:val="0563C1"/>
            <w:u w:val="single"/>
            <w:lang w:val="es-PE" w:eastAsia="es-MX"/>
          </w:rPr>
          <w:t>https://doi.org/10.1186/s13195-017-0254-x</w:t>
        </w:r>
      </w:hyperlink>
    </w:p>
    <w:p w14:paraId="7E339C99" w14:textId="77777777" w:rsidR="00AD7EBB" w:rsidRPr="00AD7EBB" w:rsidRDefault="00AD7EBB" w:rsidP="00AD7E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n-US" w:eastAsia="es-MX"/>
        </w:rPr>
      </w:pPr>
      <w:r w:rsidRPr="00AD7EBB">
        <w:rPr>
          <w:color w:val="000000"/>
          <w:lang w:val="en-US" w:eastAsia="es-MX"/>
        </w:rPr>
        <w:t>22. Bryant R. Post-traumatic stress disorder: a state-of-the-art review of evidence and challenges. World Psychiatry. 2019 [</w:t>
      </w:r>
      <w:proofErr w:type="spellStart"/>
      <w:r w:rsidRPr="00AD7EBB">
        <w:rPr>
          <w:color w:val="000000"/>
          <w:lang w:val="en-US" w:eastAsia="es-MX"/>
        </w:rPr>
        <w:t>acceso</w:t>
      </w:r>
      <w:proofErr w:type="spellEnd"/>
      <w:r w:rsidRPr="00AD7EBB">
        <w:rPr>
          <w:color w:val="000000"/>
          <w:lang w:val="en-US" w:eastAsia="es-MX"/>
        </w:rPr>
        <w:t xml:space="preserve">: 09/06/2021]; 18(3):259-69. Disponible </w:t>
      </w:r>
      <w:proofErr w:type="spellStart"/>
      <w:r w:rsidRPr="00AD7EBB">
        <w:rPr>
          <w:color w:val="000000"/>
          <w:lang w:val="en-US" w:eastAsia="es-MX"/>
        </w:rPr>
        <w:t>en</w:t>
      </w:r>
      <w:proofErr w:type="spellEnd"/>
      <w:r w:rsidRPr="00AD7EBB">
        <w:rPr>
          <w:color w:val="000000"/>
          <w:lang w:val="en-US" w:eastAsia="es-MX"/>
        </w:rPr>
        <w:t xml:space="preserve">: </w:t>
      </w:r>
      <w:hyperlink r:id="rId31">
        <w:r w:rsidRPr="00AD7EBB">
          <w:rPr>
            <w:color w:val="0563C1"/>
            <w:u w:val="single"/>
            <w:lang w:val="en-US" w:eastAsia="es-MX"/>
          </w:rPr>
          <w:t>https://doi.org/10.1002/wps.20656</w:t>
        </w:r>
      </w:hyperlink>
    </w:p>
    <w:p w14:paraId="1D0BA1A7" w14:textId="77777777" w:rsidR="00AD7EBB" w:rsidRPr="00AD7EBB" w:rsidRDefault="00AD7EBB" w:rsidP="00AD7E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s-PE" w:eastAsia="es-MX"/>
        </w:rPr>
      </w:pPr>
      <w:r w:rsidRPr="00AD7EBB">
        <w:rPr>
          <w:color w:val="000000"/>
          <w:lang w:val="en-US" w:eastAsia="es-MX"/>
        </w:rPr>
        <w:t xml:space="preserve">23. Liu D, Baumeister R, Veilleux J, Chen C, Liu W, Yue Y, et a. Risk factors associated with mental illness in hospital discharged patients infected with COVID-19 in Wuhan, China. </w:t>
      </w:r>
      <w:proofErr w:type="spellStart"/>
      <w:r w:rsidRPr="00AD7EBB">
        <w:rPr>
          <w:color w:val="000000"/>
          <w:lang w:val="es-PE" w:eastAsia="es-MX"/>
        </w:rPr>
        <w:t>Psychiatry</w:t>
      </w:r>
      <w:proofErr w:type="spellEnd"/>
      <w:r w:rsidRPr="00AD7EBB">
        <w:rPr>
          <w:color w:val="000000"/>
          <w:lang w:val="es-PE" w:eastAsia="es-MX"/>
        </w:rPr>
        <w:t xml:space="preserve"> Res. 2020 [acceso: 09/06/2021]; 292:113297. Disponible en: </w:t>
      </w:r>
      <w:hyperlink r:id="rId32">
        <w:r w:rsidRPr="00AD7EBB">
          <w:rPr>
            <w:color w:val="0563C1"/>
            <w:u w:val="single"/>
            <w:lang w:val="es-PE" w:eastAsia="es-MX"/>
          </w:rPr>
          <w:t>https://doi.org/10.1016/j.psychres.2020.113297</w:t>
        </w:r>
      </w:hyperlink>
    </w:p>
    <w:p w14:paraId="6245581C" w14:textId="77777777" w:rsidR="00AD7EBB" w:rsidRPr="00AD7EBB" w:rsidRDefault="00AD7EBB" w:rsidP="00AD7EBB">
      <w:pP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n-US" w:eastAsia="es-MX"/>
        </w:rPr>
      </w:pPr>
      <w:r w:rsidRPr="00AD7EBB">
        <w:rPr>
          <w:lang w:val="es-PE" w:eastAsia="es-MX"/>
        </w:rPr>
        <w:t>24. Huarcaya J, Barreto J, Aire L, Podestá A, Caqui M, Guija-</w:t>
      </w:r>
      <w:proofErr w:type="spellStart"/>
      <w:r w:rsidRPr="00AD7EBB">
        <w:rPr>
          <w:lang w:val="es-PE" w:eastAsia="es-MX"/>
        </w:rPr>
        <w:t>Igreda</w:t>
      </w:r>
      <w:proofErr w:type="spellEnd"/>
      <w:r w:rsidRPr="00AD7EBB">
        <w:rPr>
          <w:lang w:val="es-PE" w:eastAsia="es-MX"/>
        </w:rPr>
        <w:t xml:space="preserve"> R, et al. </w:t>
      </w:r>
      <w:r w:rsidRPr="00AD7EBB">
        <w:rPr>
          <w:lang w:val="en-US" w:eastAsia="es-MX"/>
        </w:rPr>
        <w:t>Mental health in COVID-19 survivors from a general hospital: association with sociodemographic, clinical, and inflammatory variables. Research Square. 2021 [</w:t>
      </w:r>
      <w:proofErr w:type="spellStart"/>
      <w:r w:rsidRPr="00AD7EBB">
        <w:rPr>
          <w:lang w:val="en-US" w:eastAsia="es-MX"/>
        </w:rPr>
        <w:t>acceso</w:t>
      </w:r>
      <w:proofErr w:type="spellEnd"/>
      <w:r w:rsidRPr="00AD7EBB">
        <w:rPr>
          <w:lang w:val="en-US" w:eastAsia="es-MX"/>
        </w:rPr>
        <w:t xml:space="preserve">: 09/06/2021];1-19. Disponible </w:t>
      </w:r>
      <w:proofErr w:type="spellStart"/>
      <w:r w:rsidRPr="00AD7EBB">
        <w:rPr>
          <w:lang w:val="en-US" w:eastAsia="es-MX"/>
        </w:rPr>
        <w:t>en</w:t>
      </w:r>
      <w:proofErr w:type="spellEnd"/>
      <w:r w:rsidRPr="00AD7EBB">
        <w:rPr>
          <w:lang w:val="en-US" w:eastAsia="es-MX"/>
        </w:rPr>
        <w:t xml:space="preserve">:  </w:t>
      </w:r>
      <w:hyperlink r:id="rId33">
        <w:r w:rsidRPr="00AD7EBB">
          <w:rPr>
            <w:color w:val="0563C1"/>
            <w:u w:val="single"/>
            <w:lang w:val="en-US" w:eastAsia="es-MX"/>
          </w:rPr>
          <w:t>https://doi.org/10.21203/rs.3.rs-146200/v1</w:t>
        </w:r>
      </w:hyperlink>
    </w:p>
    <w:p w14:paraId="19521F36" w14:textId="77777777" w:rsidR="00AD7EBB" w:rsidRPr="00AD7EBB" w:rsidRDefault="00AD7EBB" w:rsidP="00AD7EBB">
      <w:pP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n-US" w:eastAsia="es-MX"/>
        </w:rPr>
      </w:pPr>
      <w:r w:rsidRPr="00AD7EBB">
        <w:rPr>
          <w:lang w:val="en-US" w:eastAsia="es-MX"/>
        </w:rPr>
        <w:t xml:space="preserve">25. Abdelghani M, Hassan M, </w:t>
      </w:r>
      <w:proofErr w:type="spellStart"/>
      <w:r w:rsidRPr="00AD7EBB">
        <w:rPr>
          <w:lang w:val="en-US" w:eastAsia="es-MX"/>
        </w:rPr>
        <w:t>Alsadik</w:t>
      </w:r>
      <w:proofErr w:type="spellEnd"/>
      <w:r w:rsidRPr="00AD7EBB">
        <w:rPr>
          <w:lang w:val="en-US" w:eastAsia="es-MX"/>
        </w:rPr>
        <w:t xml:space="preserve"> M, </w:t>
      </w:r>
      <w:proofErr w:type="spellStart"/>
      <w:r w:rsidRPr="00AD7EBB">
        <w:rPr>
          <w:lang w:val="en-US" w:eastAsia="es-MX"/>
        </w:rPr>
        <w:t>Abdelmoaty</w:t>
      </w:r>
      <w:proofErr w:type="spellEnd"/>
      <w:r w:rsidRPr="00AD7EBB">
        <w:rPr>
          <w:lang w:val="en-US" w:eastAsia="es-MX"/>
        </w:rPr>
        <w:t xml:space="preserve"> A, Said A, </w:t>
      </w:r>
      <w:proofErr w:type="spellStart"/>
      <w:r w:rsidRPr="00AD7EBB">
        <w:rPr>
          <w:lang w:val="en-US" w:eastAsia="es-MX"/>
        </w:rPr>
        <w:t>Atwa</w:t>
      </w:r>
      <w:proofErr w:type="spellEnd"/>
      <w:r w:rsidRPr="00AD7EBB">
        <w:rPr>
          <w:lang w:val="en-US" w:eastAsia="es-MX"/>
        </w:rPr>
        <w:t xml:space="preserve"> S. Post-traumatic stress symptoms among an Egyptian sample of post-remission COVID-19 survivors: prevalence and sociodemographic and clinical correlates. Middle East </w:t>
      </w:r>
      <w:proofErr w:type="spellStart"/>
      <w:r w:rsidRPr="00AD7EBB">
        <w:rPr>
          <w:lang w:val="en-US" w:eastAsia="es-MX"/>
        </w:rPr>
        <w:t>Curr</w:t>
      </w:r>
      <w:proofErr w:type="spellEnd"/>
      <w:r w:rsidRPr="00AD7EBB">
        <w:rPr>
          <w:lang w:val="en-US" w:eastAsia="es-MX"/>
        </w:rPr>
        <w:t>. Psychiatry. 2021 [</w:t>
      </w:r>
      <w:proofErr w:type="spellStart"/>
      <w:r w:rsidRPr="00AD7EBB">
        <w:rPr>
          <w:lang w:val="en-US" w:eastAsia="es-MX"/>
        </w:rPr>
        <w:t>acceso</w:t>
      </w:r>
      <w:proofErr w:type="spellEnd"/>
      <w:r w:rsidRPr="00AD7EBB">
        <w:rPr>
          <w:lang w:val="en-US" w:eastAsia="es-MX"/>
        </w:rPr>
        <w:t xml:space="preserve">: 09/06/2021]; 28(20):1-8. Disponible </w:t>
      </w:r>
      <w:proofErr w:type="spellStart"/>
      <w:r w:rsidRPr="00AD7EBB">
        <w:rPr>
          <w:lang w:val="en-US" w:eastAsia="es-MX"/>
        </w:rPr>
        <w:t>en</w:t>
      </w:r>
      <w:proofErr w:type="spellEnd"/>
      <w:r w:rsidRPr="00AD7EBB">
        <w:rPr>
          <w:lang w:val="en-US" w:eastAsia="es-MX"/>
        </w:rPr>
        <w:t xml:space="preserve">: </w:t>
      </w:r>
      <w:hyperlink r:id="rId34">
        <w:r w:rsidRPr="00AD7EBB">
          <w:rPr>
            <w:color w:val="0563C1"/>
            <w:u w:val="single"/>
            <w:lang w:val="en-US" w:eastAsia="es-MX"/>
          </w:rPr>
          <w:t>https://doi.org/10.1186/s43045-021-00102-y</w:t>
        </w:r>
      </w:hyperlink>
    </w:p>
    <w:p w14:paraId="7E8429D0" w14:textId="77777777" w:rsidR="00AD7EBB" w:rsidRPr="00AD7EBB" w:rsidRDefault="00AD7EBB" w:rsidP="00AD7E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n-US" w:eastAsia="es-MX"/>
        </w:rPr>
      </w:pPr>
      <w:r w:rsidRPr="00AD7EBB">
        <w:rPr>
          <w:color w:val="000000"/>
          <w:lang w:val="es-CU" w:eastAsia="es-MX"/>
        </w:rPr>
        <w:t xml:space="preserve">26. Chen Y, Huang X, Zhang C, </w:t>
      </w:r>
      <w:proofErr w:type="spellStart"/>
      <w:r w:rsidRPr="00AD7EBB">
        <w:rPr>
          <w:color w:val="000000"/>
          <w:lang w:val="es-CU" w:eastAsia="es-MX"/>
        </w:rPr>
        <w:t>An</w:t>
      </w:r>
      <w:proofErr w:type="spellEnd"/>
      <w:r w:rsidRPr="00AD7EBB">
        <w:rPr>
          <w:color w:val="000000"/>
          <w:lang w:val="es-CU" w:eastAsia="es-MX"/>
        </w:rPr>
        <w:t xml:space="preserve"> Y, </w:t>
      </w:r>
      <w:proofErr w:type="spellStart"/>
      <w:r w:rsidRPr="00AD7EBB">
        <w:rPr>
          <w:color w:val="000000"/>
          <w:lang w:val="es-CU" w:eastAsia="es-MX"/>
        </w:rPr>
        <w:t>Liang</w:t>
      </w:r>
      <w:proofErr w:type="spellEnd"/>
      <w:r w:rsidRPr="00AD7EBB">
        <w:rPr>
          <w:color w:val="000000"/>
          <w:lang w:val="es-CU" w:eastAsia="es-MX"/>
        </w:rPr>
        <w:t xml:space="preserve"> Y, Yang Y, et al. </w:t>
      </w:r>
      <w:r w:rsidRPr="00AD7EBB">
        <w:rPr>
          <w:color w:val="000000"/>
          <w:lang w:val="en-US" w:eastAsia="es-MX"/>
        </w:rPr>
        <w:t>Prevalence and predictors of posttraumatic stress disorder, depression and anxiety among hospitalized patients with coronavirus disease 2019 in China. BMC Psychiatry. 2021 [</w:t>
      </w:r>
      <w:proofErr w:type="spellStart"/>
      <w:r w:rsidRPr="00AD7EBB">
        <w:rPr>
          <w:color w:val="000000"/>
          <w:lang w:val="en-US" w:eastAsia="es-MX"/>
        </w:rPr>
        <w:t>acceso</w:t>
      </w:r>
      <w:proofErr w:type="spellEnd"/>
      <w:r w:rsidRPr="00AD7EBB">
        <w:rPr>
          <w:color w:val="000000"/>
          <w:lang w:val="en-US" w:eastAsia="es-MX"/>
        </w:rPr>
        <w:t xml:space="preserve">: 09/06/2021]; 21(80):1-8. Disponible </w:t>
      </w:r>
      <w:proofErr w:type="spellStart"/>
      <w:r w:rsidRPr="00AD7EBB">
        <w:rPr>
          <w:color w:val="000000"/>
          <w:lang w:val="en-US" w:eastAsia="es-MX"/>
        </w:rPr>
        <w:t>en</w:t>
      </w:r>
      <w:proofErr w:type="spellEnd"/>
      <w:r w:rsidRPr="00AD7EBB">
        <w:rPr>
          <w:color w:val="000000"/>
          <w:lang w:val="en-US" w:eastAsia="es-MX"/>
        </w:rPr>
        <w:t xml:space="preserve">:  </w:t>
      </w:r>
      <w:hyperlink r:id="rId35">
        <w:r w:rsidRPr="00AD7EBB">
          <w:rPr>
            <w:color w:val="0563C1"/>
            <w:u w:val="single"/>
            <w:lang w:val="en-US" w:eastAsia="es-MX"/>
          </w:rPr>
          <w:t>https://doi.org/10.1186/s12888-021-03076-7</w:t>
        </w:r>
      </w:hyperlink>
    </w:p>
    <w:p w14:paraId="2F45108B" w14:textId="77777777" w:rsidR="00AD7EBB" w:rsidRPr="00AD7EBB" w:rsidRDefault="00AD7EBB" w:rsidP="00AD7EBB">
      <w:pPr>
        <w:spacing w:line="360" w:lineRule="auto"/>
        <w:ind w:left="-76"/>
        <w:rPr>
          <w:rFonts w:ascii="Calibri" w:eastAsia="Calibri" w:hAnsi="Calibri" w:cs="Calibri"/>
          <w:sz w:val="22"/>
          <w:szCs w:val="22"/>
          <w:lang w:val="es-PE" w:eastAsia="es-MX"/>
        </w:rPr>
      </w:pPr>
      <w:r w:rsidRPr="00AD7EBB">
        <w:rPr>
          <w:lang w:val="en-US" w:eastAsia="es-MX"/>
        </w:rPr>
        <w:t xml:space="preserve">27. Cai X, Hu X, Pharm M, </w:t>
      </w:r>
      <w:proofErr w:type="spellStart"/>
      <w:r w:rsidRPr="00AD7EBB">
        <w:rPr>
          <w:lang w:val="en-US" w:eastAsia="es-MX"/>
        </w:rPr>
        <w:t>Ekumi</w:t>
      </w:r>
      <w:proofErr w:type="spellEnd"/>
      <w:r w:rsidRPr="00AD7EBB">
        <w:rPr>
          <w:lang w:val="en-US" w:eastAsia="es-MX"/>
        </w:rPr>
        <w:t xml:space="preserve"> I, Wang J, </w:t>
      </w:r>
      <w:proofErr w:type="gramStart"/>
      <w:r w:rsidRPr="00AD7EBB">
        <w:rPr>
          <w:lang w:val="en-US" w:eastAsia="es-MX"/>
        </w:rPr>
        <w:t>An</w:t>
      </w:r>
      <w:proofErr w:type="gramEnd"/>
      <w:r w:rsidRPr="00AD7EBB">
        <w:rPr>
          <w:lang w:val="en-US" w:eastAsia="es-MX"/>
        </w:rPr>
        <w:t xml:space="preserve"> Y, et al. Psychological distress and its correlates among COVID-19 survivors during early convalescence across age groups. </w:t>
      </w:r>
      <w:r w:rsidRPr="00AD7EBB">
        <w:rPr>
          <w:lang w:val="es-PE" w:eastAsia="es-MX"/>
        </w:rPr>
        <w:t xml:space="preserve">Am J </w:t>
      </w:r>
      <w:proofErr w:type="spellStart"/>
      <w:r w:rsidRPr="00AD7EBB">
        <w:rPr>
          <w:lang w:val="es-PE" w:eastAsia="es-MX"/>
        </w:rPr>
        <w:t>Geriatr</w:t>
      </w:r>
      <w:proofErr w:type="spellEnd"/>
      <w:r w:rsidRPr="00AD7EBB">
        <w:rPr>
          <w:lang w:val="es-PE" w:eastAsia="es-MX"/>
        </w:rPr>
        <w:t xml:space="preserve"> </w:t>
      </w:r>
      <w:proofErr w:type="spellStart"/>
      <w:r w:rsidRPr="00AD7EBB">
        <w:rPr>
          <w:lang w:val="es-PE" w:eastAsia="es-MX"/>
        </w:rPr>
        <w:t>Psychiatry</w:t>
      </w:r>
      <w:proofErr w:type="spellEnd"/>
      <w:r w:rsidRPr="00AD7EBB">
        <w:rPr>
          <w:lang w:val="es-PE" w:eastAsia="es-MX"/>
        </w:rPr>
        <w:t xml:space="preserve">. 2020 [acceso: 09/06/2021]; 28(10):1030-39. Disponible en:  </w:t>
      </w:r>
      <w:hyperlink r:id="rId36">
        <w:r w:rsidRPr="00AD7EBB">
          <w:rPr>
            <w:color w:val="0563C1"/>
            <w:u w:val="single"/>
            <w:lang w:val="es-PE" w:eastAsia="es-MX"/>
          </w:rPr>
          <w:t>https://doi.org/10.1016/j.jagp.2020.07.003</w:t>
        </w:r>
      </w:hyperlink>
    </w:p>
    <w:p w14:paraId="07986144" w14:textId="77777777" w:rsidR="00AD7EBB" w:rsidRPr="00AD7EBB" w:rsidRDefault="00AD7EBB" w:rsidP="00AD7E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s-PE" w:eastAsia="es-MX"/>
        </w:rPr>
      </w:pPr>
    </w:p>
    <w:p w14:paraId="7BD82D17" w14:textId="77777777" w:rsidR="00AD7EBB" w:rsidRPr="00AD7EBB" w:rsidRDefault="00AD7EBB" w:rsidP="00AD7E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center"/>
        <w:rPr>
          <w:b/>
          <w:color w:val="000000"/>
          <w:lang w:val="es-PE" w:eastAsia="es-MX"/>
        </w:rPr>
      </w:pPr>
    </w:p>
    <w:p w14:paraId="2F46BED2" w14:textId="77777777" w:rsidR="00AD7EBB" w:rsidRPr="00AD7EBB" w:rsidRDefault="00AD7EBB" w:rsidP="00AD7E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center"/>
        <w:rPr>
          <w:color w:val="000000"/>
          <w:lang w:val="es-PE" w:eastAsia="es-MX"/>
        </w:rPr>
      </w:pPr>
      <w:r w:rsidRPr="00AD7EBB">
        <w:rPr>
          <w:b/>
          <w:color w:val="000000"/>
          <w:lang w:val="es-PE" w:eastAsia="es-MX"/>
        </w:rPr>
        <w:t>Conflictos de interés</w:t>
      </w:r>
    </w:p>
    <w:p w14:paraId="481354AE" w14:textId="77777777" w:rsidR="00AD7EBB" w:rsidRPr="00AD7EBB" w:rsidRDefault="00AD7EBB" w:rsidP="00AD7E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color w:val="000000"/>
          <w:lang w:val="es-PE" w:eastAsia="es-MX"/>
        </w:rPr>
      </w:pPr>
      <w:r w:rsidRPr="00AD7EBB">
        <w:rPr>
          <w:color w:val="000000"/>
          <w:lang w:val="es-PE" w:eastAsia="es-MX"/>
        </w:rPr>
        <w:t xml:space="preserve">Los autores declaran no presentar conflicto de intereses. </w:t>
      </w:r>
    </w:p>
    <w:p w14:paraId="28A4819C" w14:textId="77777777" w:rsidR="00AD7EBB" w:rsidRPr="00AD7EBB" w:rsidRDefault="00AD7EBB" w:rsidP="00AD7E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color w:val="000000"/>
          <w:lang w:val="es-PE" w:eastAsia="es-MX"/>
        </w:rPr>
      </w:pPr>
    </w:p>
    <w:p w14:paraId="4A0D14D0" w14:textId="77777777" w:rsidR="00AD7EBB" w:rsidRPr="00AD7EBB" w:rsidRDefault="00AD7EBB" w:rsidP="00AD7EBB">
      <w:pPr>
        <w:spacing w:line="360" w:lineRule="auto"/>
        <w:ind w:left="-142"/>
        <w:jc w:val="center"/>
        <w:rPr>
          <w:b/>
          <w:color w:val="000000"/>
          <w:lang w:val="es-PE" w:eastAsia="es-MX"/>
        </w:rPr>
      </w:pPr>
      <w:r w:rsidRPr="00AD7EBB">
        <w:rPr>
          <w:b/>
          <w:color w:val="000000"/>
          <w:lang w:val="es-PE" w:eastAsia="es-MX"/>
        </w:rPr>
        <w:t>Contribuciones de los autores</w:t>
      </w:r>
    </w:p>
    <w:p w14:paraId="72E452EA" w14:textId="77777777" w:rsidR="00AD7EBB" w:rsidRPr="00AD7EBB" w:rsidRDefault="00AD7EBB" w:rsidP="00AD7EBB">
      <w:pPr>
        <w:spacing w:line="360" w:lineRule="auto"/>
        <w:ind w:left="-142"/>
        <w:rPr>
          <w:bCs/>
          <w:color w:val="000000"/>
          <w:lang w:val="es-PE" w:eastAsia="es-MX"/>
        </w:rPr>
      </w:pPr>
      <w:r w:rsidRPr="00AD7EBB">
        <w:rPr>
          <w:bCs/>
          <w:color w:val="000000"/>
          <w:lang w:val="es-PE" w:eastAsia="es-MX"/>
        </w:rPr>
        <w:t xml:space="preserve">Conceptualización: </w:t>
      </w:r>
      <w:r w:rsidRPr="00AD7EBB">
        <w:rPr>
          <w:bCs/>
          <w:i/>
          <w:iCs/>
          <w:color w:val="000000"/>
          <w:lang w:val="es-PE" w:eastAsia="es-MX"/>
        </w:rPr>
        <w:t>Miguel Rioja Castañeda,</w:t>
      </w:r>
      <w:r w:rsidRPr="00AD7EBB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val="es-PE" w:eastAsia="es-MX"/>
        </w:rPr>
        <w:t xml:space="preserve"> </w:t>
      </w:r>
      <w:r w:rsidRPr="00AD7EBB">
        <w:rPr>
          <w:bCs/>
          <w:i/>
          <w:iCs/>
          <w:color w:val="000000"/>
          <w:lang w:val="es-PE" w:eastAsia="es-MX"/>
        </w:rPr>
        <w:t>Henry Santa Cruz Espinoza.</w:t>
      </w:r>
    </w:p>
    <w:p w14:paraId="3C4DD5AA" w14:textId="77777777" w:rsidR="00AD7EBB" w:rsidRPr="00AD7EBB" w:rsidRDefault="00AD7EBB" w:rsidP="00AD7EBB">
      <w:pPr>
        <w:spacing w:line="360" w:lineRule="auto"/>
        <w:ind w:left="-142"/>
        <w:jc w:val="both"/>
        <w:rPr>
          <w:bCs/>
          <w:i/>
          <w:iCs/>
          <w:color w:val="000000"/>
          <w:lang w:val="es-PE" w:eastAsia="es-MX"/>
        </w:rPr>
      </w:pPr>
      <w:r w:rsidRPr="00AD7EBB">
        <w:rPr>
          <w:bCs/>
          <w:color w:val="000000"/>
          <w:lang w:val="es-PE" w:eastAsia="es-MX"/>
        </w:rPr>
        <w:t xml:space="preserve">Curación de datos: </w:t>
      </w:r>
      <w:r w:rsidRPr="00AD7EBB">
        <w:rPr>
          <w:bCs/>
          <w:i/>
          <w:iCs/>
          <w:color w:val="000000"/>
          <w:lang w:val="es-PE" w:eastAsia="es-MX"/>
        </w:rPr>
        <w:t>Miguel Rioja Castañeda,</w:t>
      </w:r>
      <w:r w:rsidRPr="00AD7EBB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val="es-PE" w:eastAsia="es-MX"/>
        </w:rPr>
        <w:t xml:space="preserve"> </w:t>
      </w:r>
      <w:r w:rsidRPr="00AD7EBB">
        <w:rPr>
          <w:bCs/>
          <w:i/>
          <w:iCs/>
          <w:color w:val="000000"/>
          <w:lang w:val="es-PE" w:eastAsia="es-MX"/>
        </w:rPr>
        <w:t>Henry Santa Cruz Espinoza.</w:t>
      </w:r>
    </w:p>
    <w:p w14:paraId="110AC1F0" w14:textId="77777777" w:rsidR="00AD7EBB" w:rsidRPr="00AD7EBB" w:rsidRDefault="00AD7EBB" w:rsidP="00AD7EBB">
      <w:pPr>
        <w:spacing w:line="360" w:lineRule="auto"/>
        <w:ind w:left="-142"/>
        <w:jc w:val="both"/>
        <w:rPr>
          <w:bCs/>
          <w:color w:val="000000"/>
          <w:lang w:val="es-PE" w:eastAsia="es-MX"/>
        </w:rPr>
      </w:pPr>
      <w:r w:rsidRPr="00AD7EBB">
        <w:rPr>
          <w:bCs/>
          <w:color w:val="000000"/>
          <w:lang w:val="es-PE" w:eastAsia="es-MX"/>
        </w:rPr>
        <w:t>Análisis formal:</w:t>
      </w:r>
      <w:r w:rsidRPr="00AD7EBB">
        <w:rPr>
          <w:bCs/>
          <w:i/>
          <w:iCs/>
          <w:color w:val="000000"/>
          <w:lang w:val="es-PE" w:eastAsia="es-MX"/>
        </w:rPr>
        <w:t xml:space="preserve"> Miguel Rioja Castañeda.</w:t>
      </w:r>
    </w:p>
    <w:p w14:paraId="64BECC3B" w14:textId="77777777" w:rsidR="00AD7EBB" w:rsidRPr="00AD7EBB" w:rsidRDefault="00AD7EBB" w:rsidP="00AD7EBB">
      <w:pPr>
        <w:spacing w:line="360" w:lineRule="auto"/>
        <w:ind w:left="-142"/>
        <w:rPr>
          <w:bCs/>
          <w:color w:val="000000"/>
          <w:lang w:val="es-PE" w:eastAsia="es-MX"/>
        </w:rPr>
      </w:pPr>
      <w:r w:rsidRPr="00AD7EBB">
        <w:rPr>
          <w:bCs/>
          <w:color w:val="000000"/>
          <w:lang w:val="es-PE" w:eastAsia="es-MX"/>
        </w:rPr>
        <w:t xml:space="preserve">Investigación: </w:t>
      </w:r>
      <w:r w:rsidRPr="00AD7EBB">
        <w:rPr>
          <w:bCs/>
          <w:i/>
          <w:iCs/>
          <w:color w:val="000000"/>
          <w:lang w:val="es-PE" w:eastAsia="es-MX"/>
        </w:rPr>
        <w:t>Miguel Rioja Castañeda.</w:t>
      </w:r>
    </w:p>
    <w:p w14:paraId="06ADEE8B" w14:textId="77777777" w:rsidR="00AD7EBB" w:rsidRPr="00AD7EBB" w:rsidRDefault="00AD7EBB" w:rsidP="00AD7EBB">
      <w:pPr>
        <w:spacing w:line="360" w:lineRule="auto"/>
        <w:ind w:left="-142"/>
        <w:rPr>
          <w:bCs/>
          <w:i/>
          <w:iCs/>
          <w:color w:val="000000"/>
          <w:lang w:val="es-PE" w:eastAsia="es-MX"/>
        </w:rPr>
      </w:pPr>
      <w:r w:rsidRPr="00AD7EBB">
        <w:rPr>
          <w:bCs/>
          <w:color w:val="000000"/>
          <w:lang w:val="es-PE" w:eastAsia="es-MX"/>
        </w:rPr>
        <w:t xml:space="preserve">Metodología: </w:t>
      </w:r>
      <w:r w:rsidRPr="00AD7EBB">
        <w:rPr>
          <w:bCs/>
          <w:i/>
          <w:iCs/>
          <w:color w:val="000000"/>
          <w:lang w:val="es-PE" w:eastAsia="es-MX"/>
        </w:rPr>
        <w:t>Henry Santa Cruz Espinoza.</w:t>
      </w:r>
    </w:p>
    <w:p w14:paraId="59A50EAE" w14:textId="77777777" w:rsidR="00AD7EBB" w:rsidRPr="00AD7EBB" w:rsidRDefault="00AD7EBB" w:rsidP="00AD7EBB">
      <w:pPr>
        <w:spacing w:line="360" w:lineRule="auto"/>
        <w:ind w:left="-142"/>
        <w:rPr>
          <w:bCs/>
          <w:i/>
          <w:iCs/>
          <w:color w:val="000000"/>
          <w:lang w:val="es-PE" w:eastAsia="es-MX"/>
        </w:rPr>
      </w:pPr>
      <w:r w:rsidRPr="00AD7EBB">
        <w:rPr>
          <w:bCs/>
          <w:color w:val="000000"/>
          <w:lang w:val="es-PE" w:eastAsia="es-MX"/>
        </w:rPr>
        <w:t xml:space="preserve">Administración del proyecto: </w:t>
      </w:r>
      <w:r w:rsidRPr="00AD7EBB">
        <w:rPr>
          <w:bCs/>
          <w:i/>
          <w:iCs/>
          <w:color w:val="000000"/>
          <w:lang w:val="es-PE" w:eastAsia="es-MX"/>
        </w:rPr>
        <w:t>Miguel Rioja Castañeda.</w:t>
      </w:r>
    </w:p>
    <w:p w14:paraId="2C310E4A" w14:textId="77777777" w:rsidR="00AD7EBB" w:rsidRPr="00AD7EBB" w:rsidRDefault="00AD7EBB" w:rsidP="00AD7EBB">
      <w:pPr>
        <w:spacing w:line="360" w:lineRule="auto"/>
        <w:ind w:left="-142"/>
        <w:rPr>
          <w:bCs/>
          <w:i/>
          <w:iCs/>
          <w:color w:val="000000"/>
          <w:lang w:val="es-PE" w:eastAsia="es-MX"/>
        </w:rPr>
      </w:pPr>
      <w:r w:rsidRPr="00AD7EBB">
        <w:rPr>
          <w:bCs/>
          <w:color w:val="000000"/>
          <w:lang w:val="es-PE" w:eastAsia="es-MX"/>
        </w:rPr>
        <w:t xml:space="preserve">Recursos: </w:t>
      </w:r>
      <w:r w:rsidRPr="00AD7EBB">
        <w:rPr>
          <w:bCs/>
          <w:i/>
          <w:iCs/>
          <w:color w:val="000000"/>
          <w:lang w:val="es-PE" w:eastAsia="es-MX"/>
        </w:rPr>
        <w:t>Miguel Rioja Castañeda.</w:t>
      </w:r>
    </w:p>
    <w:p w14:paraId="70FE07FE" w14:textId="77777777" w:rsidR="00AD7EBB" w:rsidRPr="00AD7EBB" w:rsidRDefault="00AD7EBB" w:rsidP="00AD7EBB">
      <w:pPr>
        <w:spacing w:line="360" w:lineRule="auto"/>
        <w:ind w:left="-142"/>
        <w:rPr>
          <w:bCs/>
          <w:color w:val="000000"/>
          <w:lang w:val="es-PE" w:eastAsia="es-MX"/>
        </w:rPr>
      </w:pPr>
      <w:r w:rsidRPr="00AD7EBB">
        <w:rPr>
          <w:bCs/>
          <w:color w:val="000000"/>
          <w:lang w:val="es-PE" w:eastAsia="es-MX"/>
        </w:rPr>
        <w:t xml:space="preserve">Supervisión: </w:t>
      </w:r>
      <w:r w:rsidRPr="00AD7EBB">
        <w:rPr>
          <w:bCs/>
          <w:i/>
          <w:iCs/>
          <w:color w:val="000000"/>
          <w:lang w:val="es-PE" w:eastAsia="es-MX"/>
        </w:rPr>
        <w:t>Henry Santa Cruz Espinoza.</w:t>
      </w:r>
    </w:p>
    <w:p w14:paraId="5C8596AE" w14:textId="77777777" w:rsidR="00AD7EBB" w:rsidRPr="00AD7EBB" w:rsidRDefault="00AD7EBB" w:rsidP="00AD7EBB">
      <w:pPr>
        <w:spacing w:line="360" w:lineRule="auto"/>
        <w:ind w:left="-142"/>
        <w:rPr>
          <w:bCs/>
          <w:i/>
          <w:iCs/>
          <w:color w:val="000000"/>
          <w:lang w:val="es-PE" w:eastAsia="es-MX"/>
        </w:rPr>
      </w:pPr>
      <w:r w:rsidRPr="00AD7EBB">
        <w:rPr>
          <w:bCs/>
          <w:color w:val="000000"/>
          <w:lang w:val="es-PE" w:eastAsia="es-MX"/>
        </w:rPr>
        <w:t xml:space="preserve">Validación: </w:t>
      </w:r>
      <w:r w:rsidRPr="00AD7EBB">
        <w:rPr>
          <w:bCs/>
          <w:i/>
          <w:iCs/>
          <w:color w:val="000000"/>
          <w:lang w:val="es-PE" w:eastAsia="es-MX"/>
        </w:rPr>
        <w:t>Henry Santa Cruz Espinoza.</w:t>
      </w:r>
    </w:p>
    <w:p w14:paraId="0BF27159" w14:textId="77777777" w:rsidR="00AD7EBB" w:rsidRPr="00AD7EBB" w:rsidRDefault="00AD7EBB" w:rsidP="00AD7EBB">
      <w:pPr>
        <w:spacing w:line="360" w:lineRule="auto"/>
        <w:ind w:left="-142"/>
        <w:rPr>
          <w:bCs/>
          <w:color w:val="000000"/>
          <w:lang w:val="es-PE" w:eastAsia="es-MX"/>
        </w:rPr>
      </w:pPr>
      <w:r w:rsidRPr="00AD7EBB">
        <w:rPr>
          <w:bCs/>
          <w:color w:val="000000"/>
          <w:lang w:val="es-PE" w:eastAsia="es-MX"/>
        </w:rPr>
        <w:t xml:space="preserve">Visualización: </w:t>
      </w:r>
      <w:r w:rsidRPr="00AD7EBB">
        <w:rPr>
          <w:bCs/>
          <w:i/>
          <w:iCs/>
          <w:color w:val="000000"/>
          <w:lang w:val="es-PE" w:eastAsia="es-MX"/>
        </w:rPr>
        <w:t>Miguel Rioja Castañeda,</w:t>
      </w:r>
      <w:r w:rsidRPr="00AD7EBB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val="es-PE" w:eastAsia="es-MX"/>
        </w:rPr>
        <w:t xml:space="preserve"> </w:t>
      </w:r>
      <w:r w:rsidRPr="00AD7EBB">
        <w:rPr>
          <w:bCs/>
          <w:i/>
          <w:iCs/>
          <w:color w:val="000000"/>
          <w:lang w:val="es-PE" w:eastAsia="es-MX"/>
        </w:rPr>
        <w:t>Henry Santa Cruz Espinoza.</w:t>
      </w:r>
    </w:p>
    <w:p w14:paraId="6EF31887" w14:textId="77777777" w:rsidR="00AD7EBB" w:rsidRPr="00AD7EBB" w:rsidRDefault="00AD7EBB" w:rsidP="00AD7EBB">
      <w:pPr>
        <w:spacing w:line="360" w:lineRule="auto"/>
        <w:ind w:left="-142"/>
        <w:rPr>
          <w:bCs/>
          <w:color w:val="000000"/>
          <w:lang w:val="es-PE" w:eastAsia="es-MX"/>
        </w:rPr>
      </w:pPr>
      <w:r w:rsidRPr="00AD7EBB">
        <w:rPr>
          <w:bCs/>
          <w:color w:val="000000"/>
          <w:lang w:val="es-PE" w:eastAsia="es-MX"/>
        </w:rPr>
        <w:t xml:space="preserve">Redacción – borrador original: </w:t>
      </w:r>
      <w:r w:rsidRPr="00AD7EBB">
        <w:rPr>
          <w:bCs/>
          <w:i/>
          <w:iCs/>
          <w:color w:val="000000"/>
          <w:lang w:val="es-PE" w:eastAsia="es-MX"/>
        </w:rPr>
        <w:t>Miguel Rioja Castañeda,</w:t>
      </w:r>
      <w:r w:rsidRPr="00AD7EBB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val="es-PE" w:eastAsia="es-MX"/>
        </w:rPr>
        <w:t xml:space="preserve"> </w:t>
      </w:r>
      <w:r w:rsidRPr="00AD7EBB">
        <w:rPr>
          <w:bCs/>
          <w:i/>
          <w:iCs/>
          <w:color w:val="000000"/>
          <w:lang w:val="es-PE" w:eastAsia="es-MX"/>
        </w:rPr>
        <w:t>Henry Santa Cruz Espinoza.</w:t>
      </w:r>
    </w:p>
    <w:p w14:paraId="7F00F1E5" w14:textId="77777777" w:rsidR="00AD7EBB" w:rsidRPr="00AD7EBB" w:rsidRDefault="00AD7EBB" w:rsidP="00AD7EBB">
      <w:pPr>
        <w:spacing w:line="360" w:lineRule="auto"/>
        <w:ind w:left="-142"/>
        <w:jc w:val="both"/>
        <w:rPr>
          <w:bCs/>
          <w:color w:val="000000"/>
          <w:lang w:val="es-PE" w:eastAsia="es-MX"/>
        </w:rPr>
      </w:pPr>
      <w:r w:rsidRPr="00AD7EBB">
        <w:rPr>
          <w:bCs/>
          <w:color w:val="000000"/>
          <w:lang w:val="es-PE" w:eastAsia="es-MX"/>
        </w:rPr>
        <w:t xml:space="preserve">Redacción – revisión y edición: </w:t>
      </w:r>
      <w:bookmarkStart w:id="1" w:name="_Hlk113137443"/>
      <w:r w:rsidRPr="00AD7EBB">
        <w:rPr>
          <w:bCs/>
          <w:i/>
          <w:iCs/>
          <w:color w:val="000000"/>
          <w:lang w:val="es-PE" w:eastAsia="es-MX"/>
        </w:rPr>
        <w:t>Henry Santa Cruz Espinoza</w:t>
      </w:r>
      <w:bookmarkEnd w:id="1"/>
      <w:r w:rsidRPr="00AD7EBB">
        <w:rPr>
          <w:bCs/>
          <w:i/>
          <w:iCs/>
          <w:color w:val="000000"/>
          <w:lang w:val="es-PE" w:eastAsia="es-MX"/>
        </w:rPr>
        <w:t>.</w:t>
      </w:r>
    </w:p>
    <w:p w14:paraId="1A832645" w14:textId="77777777" w:rsidR="00675476" w:rsidRPr="00AD7EBB" w:rsidRDefault="00675476" w:rsidP="00EA1FEF">
      <w:pPr>
        <w:pStyle w:val="PDFRevista"/>
        <w:rPr>
          <w:lang w:val="es-PE"/>
        </w:rPr>
      </w:pPr>
    </w:p>
    <w:sectPr w:rsidR="00675476" w:rsidRPr="00AD7EBB" w:rsidSect="00FD3DF8">
      <w:headerReference w:type="default" r:id="rId37"/>
      <w:footerReference w:type="even" r:id="rId38"/>
      <w:footerReference w:type="default" r:id="rId39"/>
      <w:type w:val="continuous"/>
      <w:pgSz w:w="12242" w:h="15842" w:code="1"/>
      <w:pgMar w:top="1134" w:right="1134" w:bottom="1134" w:left="1134" w:header="1418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D0C7" w14:textId="77777777" w:rsidR="00B743D4" w:rsidRDefault="00B743D4">
      <w:r>
        <w:separator/>
      </w:r>
    </w:p>
  </w:endnote>
  <w:endnote w:type="continuationSeparator" w:id="0">
    <w:p w14:paraId="14624114" w14:textId="77777777" w:rsidR="00B743D4" w:rsidRDefault="00B7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8FFC" w14:textId="77777777" w:rsidR="00FE40CB" w:rsidRDefault="00FE40CB" w:rsidP="00B66E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E28586" w14:textId="77777777" w:rsidR="00FE40CB" w:rsidRDefault="00FE40CB" w:rsidP="00FE4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0776" w14:textId="2C6B8AD7" w:rsidR="000F3690" w:rsidRPr="00AE044C" w:rsidRDefault="00AD7EBB" w:rsidP="00391509">
    <w:pPr>
      <w:pStyle w:val="Piedepgina"/>
      <w:ind w:right="360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E99B54" wp14:editId="751E7496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6500" cy="19050"/>
              <wp:effectExtent l="19050" t="1905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C43C7"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95pt" to="4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" strokecolor="blue" strokeweight="2.25pt"/>
          </w:pict>
        </mc:Fallback>
      </mc:AlternateContent>
    </w:r>
  </w:p>
  <w:p w14:paraId="21C6F823" w14:textId="77777777" w:rsidR="00675476" w:rsidRPr="00AE044C" w:rsidRDefault="00000000" w:rsidP="00391509">
    <w:pPr>
      <w:pStyle w:val="Piedepgina"/>
      <w:ind w:right="360"/>
      <w:rPr>
        <w:sz w:val="22"/>
        <w:szCs w:val="22"/>
      </w:rPr>
    </w:pPr>
    <w:hyperlink r:id="rId1" w:history="1">
      <w:r w:rsidR="00391509" w:rsidRPr="00AE044C">
        <w:rPr>
          <w:rStyle w:val="Hipervnculo"/>
          <w:sz w:val="22"/>
          <w:szCs w:val="22"/>
        </w:rPr>
        <w:t>http://scielo.sld.cu</w:t>
      </w:r>
    </w:hyperlink>
  </w:p>
  <w:p w14:paraId="692A0804" w14:textId="77777777" w:rsidR="00391509" w:rsidRPr="00AE044C" w:rsidRDefault="00000000" w:rsidP="00AE044C">
    <w:pPr>
      <w:pStyle w:val="Piedepgina"/>
      <w:tabs>
        <w:tab w:val="clear" w:pos="4252"/>
        <w:tab w:val="left" w:pos="8504"/>
      </w:tabs>
      <w:ind w:right="360"/>
      <w:rPr>
        <w:sz w:val="22"/>
        <w:szCs w:val="22"/>
      </w:rPr>
    </w:pPr>
    <w:hyperlink r:id="rId2" w:history="1">
      <w:r w:rsidR="00391509" w:rsidRPr="00AE044C">
        <w:rPr>
          <w:rStyle w:val="Hipervnculo"/>
          <w:sz w:val="22"/>
          <w:szCs w:val="22"/>
        </w:rPr>
        <w:t>http://www.revmedmilitar.sld.cu</w:t>
      </w:r>
    </w:hyperlink>
    <w:r w:rsidR="00391509" w:rsidRPr="00AE044C">
      <w:rPr>
        <w:sz w:val="22"/>
        <w:szCs w:val="22"/>
      </w:rPr>
      <w:t xml:space="preserve"> </w:t>
    </w:r>
    <w:r w:rsidR="00AE044C">
      <w:rPr>
        <w:sz w:val="22"/>
        <w:szCs w:val="22"/>
      </w:rPr>
      <w:tab/>
    </w:r>
  </w:p>
  <w:p w14:paraId="0C826F3A" w14:textId="22559E30" w:rsidR="00180CE9" w:rsidRPr="00CC376A" w:rsidRDefault="00180CE9" w:rsidP="00180CE9">
    <w:pPr>
      <w:pStyle w:val="Piedepgina"/>
      <w:ind w:right="360"/>
      <w:jc w:val="center"/>
      <w:rPr>
        <w:rFonts w:ascii="Verdana" w:hAnsi="Verdana"/>
        <w:sz w:val="18"/>
        <w:szCs w:val="18"/>
      </w:rPr>
    </w:pPr>
    <w:r w:rsidRPr="00AE044C">
      <w:rPr>
        <w:sz w:val="22"/>
        <w:szCs w:val="22"/>
      </w:rPr>
      <w:t xml:space="preserve">Bajo licencia Creative </w:t>
    </w:r>
    <w:proofErr w:type="spellStart"/>
    <w:r w:rsidRPr="00AE044C">
      <w:rPr>
        <w:sz w:val="22"/>
        <w:szCs w:val="22"/>
      </w:rPr>
      <w:t>Commons</w:t>
    </w:r>
    <w:proofErr w:type="spellEnd"/>
    <w:r>
      <w:rPr>
        <w:rFonts w:ascii="Verdana" w:hAnsi="Verdana"/>
        <w:sz w:val="18"/>
        <w:szCs w:val="18"/>
      </w:rPr>
      <w:t xml:space="preserve"> </w:t>
    </w:r>
    <w:r w:rsidR="00AD7EBB" w:rsidRPr="00AD7EBB">
      <w:rPr>
        <w:rFonts w:ascii="Verdana" w:hAnsi="Verdana"/>
        <w:noProof/>
        <w:sz w:val="18"/>
        <w:szCs w:val="18"/>
        <w:lang w:val="en-US" w:eastAsia="en-US"/>
      </w:rPr>
      <w:drawing>
        <wp:inline distT="0" distB="0" distL="0" distR="0" wp14:anchorId="1FF8D516" wp14:editId="130783BD">
          <wp:extent cx="641350" cy="149860"/>
          <wp:effectExtent l="0" t="0" r="0" b="0"/>
          <wp:docPr id="1" name="Imagen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94AE" w14:textId="77777777" w:rsidR="00B743D4" w:rsidRDefault="00B743D4">
      <w:r>
        <w:separator/>
      </w:r>
    </w:p>
  </w:footnote>
  <w:footnote w:type="continuationSeparator" w:id="0">
    <w:p w14:paraId="4F0C4222" w14:textId="77777777" w:rsidR="00B743D4" w:rsidRDefault="00B7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CC50" w14:textId="67AACE2A" w:rsidR="00CC376A" w:rsidRPr="00AE044C" w:rsidRDefault="00AD7EBB" w:rsidP="00180CE9">
    <w:pPr>
      <w:pStyle w:val="Encabezado"/>
      <w:tabs>
        <w:tab w:val="left" w:pos="420"/>
      </w:tabs>
      <w:jc w:val="center"/>
      <w:rPr>
        <w:sz w:val="22"/>
        <w:szCs w:val="22"/>
      </w:rPr>
    </w:pPr>
    <w:r>
      <w:rPr>
        <w:sz w:val="22"/>
        <w:szCs w:val="22"/>
      </w:rPr>
      <w:t>2022</w:t>
    </w:r>
    <w:r w:rsidR="007D2D0C">
      <w:rPr>
        <w:sz w:val="22"/>
        <w:szCs w:val="22"/>
      </w:rPr>
      <w:t>;</w:t>
    </w:r>
    <w:r>
      <w:rPr>
        <w:sz w:val="22"/>
        <w:szCs w:val="22"/>
      </w:rPr>
      <w:t>51</w:t>
    </w:r>
    <w:r w:rsidR="007D2D0C" w:rsidRPr="00AE044C">
      <w:rPr>
        <w:sz w:val="22"/>
        <w:szCs w:val="22"/>
      </w:rPr>
      <w:t>(</w:t>
    </w:r>
    <w:r>
      <w:rPr>
        <w:sz w:val="22"/>
        <w:szCs w:val="22"/>
      </w:rPr>
      <w:t>3</w:t>
    </w:r>
    <w:proofErr w:type="gramStart"/>
    <w:r w:rsidR="007D2D0C" w:rsidRPr="00AE044C">
      <w:rPr>
        <w:sz w:val="22"/>
        <w:szCs w:val="22"/>
      </w:rPr>
      <w:t>):</w:t>
    </w:r>
    <w:proofErr w:type="spellStart"/>
    <w:r>
      <w:rPr>
        <w:sz w:val="22"/>
        <w:szCs w:val="22"/>
      </w:rPr>
      <w:t>e</w:t>
    </w:r>
    <w:proofErr w:type="gramEnd"/>
    <w:r>
      <w:rPr>
        <w:sz w:val="22"/>
        <w:szCs w:val="22"/>
      </w:rPr>
      <w:t>02202128</w:t>
    </w:r>
    <w:proofErr w:type="spellEnd"/>
    <w:r w:rsidR="007D2D0C" w:rsidRPr="007D2D0C">
      <w:rPr>
        <w:b/>
        <w:noProof/>
        <w:color w:val="00FFFF"/>
        <w:sz w:val="22"/>
        <w:szCs w:val="22"/>
        <w:lang w:val="es-CU" w:eastAsia="en-US"/>
      </w:rPr>
      <w:t xml:space="preserve"> </w:t>
    </w:r>
    <w:r>
      <w:rPr>
        <w:noProof/>
      </w:rPr>
      <w:drawing>
        <wp:anchor distT="0" distB="0" distL="114300" distR="114300" simplePos="0" relativeHeight="251663360" behindDoc="1" locked="0" layoutInCell="1" allowOverlap="1" wp14:anchorId="361BAB5B" wp14:editId="503DA333">
          <wp:simplePos x="0" y="0"/>
          <wp:positionH relativeFrom="column">
            <wp:posOffset>2540</wp:posOffset>
          </wp:positionH>
          <wp:positionV relativeFrom="paragraph">
            <wp:posOffset>-598805</wp:posOffset>
          </wp:positionV>
          <wp:extent cx="6333490" cy="593725"/>
          <wp:effectExtent l="0" t="0" r="0" b="0"/>
          <wp:wrapNone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1E573" w14:textId="2FEB0454" w:rsidR="00A477DE" w:rsidRDefault="00AD7EBB"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899A19" wp14:editId="3A642BA4">
              <wp:simplePos x="0" y="0"/>
              <wp:positionH relativeFrom="column">
                <wp:posOffset>635</wp:posOffset>
              </wp:positionH>
              <wp:positionV relativeFrom="paragraph">
                <wp:posOffset>42545</wp:posOffset>
              </wp:positionV>
              <wp:extent cx="6307455" cy="28575"/>
              <wp:effectExtent l="19050" t="19050" r="17145" b="952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7455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126DD0" id="Conector recto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35pt" to="496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" strokecolor="blue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07A30"/>
    <w:multiLevelType w:val="hybridMultilevel"/>
    <w:tmpl w:val="D144DF1A"/>
    <w:lvl w:ilvl="0" w:tplc="F39C5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36CFB"/>
    <w:multiLevelType w:val="multilevel"/>
    <w:tmpl w:val="032C1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D05A67"/>
    <w:multiLevelType w:val="multilevel"/>
    <w:tmpl w:val="D4EAB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43303612">
    <w:abstractNumId w:val="0"/>
  </w:num>
  <w:num w:numId="2" w16cid:durableId="166677487">
    <w:abstractNumId w:val="2"/>
  </w:num>
  <w:num w:numId="3" w16cid:durableId="1556047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BB"/>
    <w:rsid w:val="00057F45"/>
    <w:rsid w:val="000D3958"/>
    <w:rsid w:val="000F3690"/>
    <w:rsid w:val="001174DF"/>
    <w:rsid w:val="001221D1"/>
    <w:rsid w:val="00165CB5"/>
    <w:rsid w:val="00180CE9"/>
    <w:rsid w:val="0019781E"/>
    <w:rsid w:val="00230DD5"/>
    <w:rsid w:val="00250AE9"/>
    <w:rsid w:val="00380D64"/>
    <w:rsid w:val="00385B32"/>
    <w:rsid w:val="00391509"/>
    <w:rsid w:val="003A0CCC"/>
    <w:rsid w:val="003E03D5"/>
    <w:rsid w:val="00486BFA"/>
    <w:rsid w:val="00493701"/>
    <w:rsid w:val="004956A6"/>
    <w:rsid w:val="004C39C0"/>
    <w:rsid w:val="004E2065"/>
    <w:rsid w:val="005508A2"/>
    <w:rsid w:val="0055115D"/>
    <w:rsid w:val="00566F71"/>
    <w:rsid w:val="005918BD"/>
    <w:rsid w:val="006173A6"/>
    <w:rsid w:val="00675476"/>
    <w:rsid w:val="007C430F"/>
    <w:rsid w:val="007D2D0C"/>
    <w:rsid w:val="007D614D"/>
    <w:rsid w:val="0096074C"/>
    <w:rsid w:val="00960D6A"/>
    <w:rsid w:val="009A0560"/>
    <w:rsid w:val="009B0917"/>
    <w:rsid w:val="009F0F96"/>
    <w:rsid w:val="00A23C0C"/>
    <w:rsid w:val="00A477DE"/>
    <w:rsid w:val="00A71E65"/>
    <w:rsid w:val="00AD7EBB"/>
    <w:rsid w:val="00AE044C"/>
    <w:rsid w:val="00B31971"/>
    <w:rsid w:val="00B4380A"/>
    <w:rsid w:val="00B66ECB"/>
    <w:rsid w:val="00B743D4"/>
    <w:rsid w:val="00BC15E6"/>
    <w:rsid w:val="00C7523A"/>
    <w:rsid w:val="00CC1B6E"/>
    <w:rsid w:val="00CC376A"/>
    <w:rsid w:val="00CC48A1"/>
    <w:rsid w:val="00CF50E0"/>
    <w:rsid w:val="00D85951"/>
    <w:rsid w:val="00E62606"/>
    <w:rsid w:val="00EA1FEF"/>
    <w:rsid w:val="00EC5A6B"/>
    <w:rsid w:val="00EE301D"/>
    <w:rsid w:val="00FA6B9F"/>
    <w:rsid w:val="00FA7CC1"/>
    <w:rsid w:val="00FD3DF8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1EE9E"/>
  <w15:docId w15:val="{90EC7972-56C6-4016-B5E3-8CD427CE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U" w:eastAsia="es-C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54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7547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FE40CB"/>
    <w:pPr>
      <w:spacing w:before="100" w:beforeAutospacing="1" w:after="100" w:afterAutospacing="1"/>
    </w:pPr>
  </w:style>
  <w:style w:type="character" w:styleId="Hipervnculo">
    <w:name w:val="Hyperlink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uiPriority w:val="99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71E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71E65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7D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FRevista">
    <w:name w:val="PDF_Revista"/>
    <w:basedOn w:val="Normal"/>
    <w:link w:val="PDFRevistaCar"/>
    <w:qFormat/>
    <w:rsid w:val="00EA1FEF"/>
    <w:pPr>
      <w:spacing w:line="360" w:lineRule="auto"/>
    </w:pPr>
    <w:rPr>
      <w:color w:val="000000"/>
      <w:lang w:val="es-CU"/>
    </w:rPr>
  </w:style>
  <w:style w:type="character" w:customStyle="1" w:styleId="PDFRevistaCar">
    <w:name w:val="PDF_Revista Car"/>
    <w:link w:val="PDFRevista"/>
    <w:rsid w:val="00EA1FEF"/>
    <w:rPr>
      <w:color w:val="000000"/>
      <w:sz w:val="24"/>
      <w:szCs w:val="24"/>
      <w:lang w:val="es-CU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6475-9724" TargetMode="External"/><Relationship Id="rId13" Type="http://schemas.openxmlformats.org/officeDocument/2006/relationships/hyperlink" Target="https://doi.org/10.1007/s11606-021-06731-7" TargetMode="External"/><Relationship Id="rId18" Type="http://schemas.openxmlformats.org/officeDocument/2006/relationships/hyperlink" Target="https://doi.org/10.4178/epih.e2016048" TargetMode="External"/><Relationship Id="rId26" Type="http://schemas.openxmlformats.org/officeDocument/2006/relationships/hyperlink" Target="https://doi.org/10.1002/jts.22565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doi.org/10.1016/j.psychres.2020.113604" TargetMode="External"/><Relationship Id="rId34" Type="http://schemas.openxmlformats.org/officeDocument/2006/relationships/hyperlink" Target="https://doi.org/10.1186/s43045-021-00102-y" TargetMode="External"/><Relationship Id="rId7" Type="http://schemas.openxmlformats.org/officeDocument/2006/relationships/hyperlink" Target="https://orcid.org/0000-0001-9320-6136" TargetMode="External"/><Relationship Id="rId12" Type="http://schemas.openxmlformats.org/officeDocument/2006/relationships/hyperlink" Target="https://doi.org/10.1017/S2045796019000660" TargetMode="External"/><Relationship Id="rId17" Type="http://schemas.openxmlformats.org/officeDocument/2006/relationships/hyperlink" Target="https://doi.org/10.1177%2F0020764020915212" TargetMode="External"/><Relationship Id="rId25" Type="http://schemas.openxmlformats.org/officeDocument/2006/relationships/hyperlink" Target="https://doi.org/10.1097/ccm.0000000000005014" TargetMode="External"/><Relationship Id="rId33" Type="http://schemas.openxmlformats.org/officeDocument/2006/relationships/hyperlink" Target="https://doi.org/10.21203/rs.3.rs-146200/v1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i.org/10.1177/0020764020915212" TargetMode="External"/><Relationship Id="rId20" Type="http://schemas.openxmlformats.org/officeDocument/2006/relationships/hyperlink" Target="https://doi.org/10.24869/psyd.2020.6" TargetMode="External"/><Relationship Id="rId29" Type="http://schemas.openxmlformats.org/officeDocument/2006/relationships/hyperlink" Target="https://www.elsevier.es/es-revista-educacion-medica-71-articulo-magnitud-del-efecto-una-guia-S157518131730139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doi.org/10.3390/ijerph18042079" TargetMode="External"/><Relationship Id="rId32" Type="http://schemas.openxmlformats.org/officeDocument/2006/relationships/hyperlink" Target="https://doi.org/10.1016/j.psychres.2020.113297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who.int/emergencies/diseases/novel-coronavirus-2019" TargetMode="External"/><Relationship Id="rId23" Type="http://schemas.openxmlformats.org/officeDocument/2006/relationships/hyperlink" Target="https://doi.org/10.1016/j.jad.2020.05.009" TargetMode="External"/><Relationship Id="rId28" Type="http://schemas.openxmlformats.org/officeDocument/2006/relationships/hyperlink" Target="https://pubmed.ncbi.nlm.nih.gov/11116791/" TargetMode="External"/><Relationship Id="rId36" Type="http://schemas.openxmlformats.org/officeDocument/2006/relationships/hyperlink" Target="https://doi.org/10.1016/j.jagp.2020.07.003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doi.org/10.1016/j.genhosppsych.2009.03.001" TargetMode="External"/><Relationship Id="rId31" Type="http://schemas.openxmlformats.org/officeDocument/2006/relationships/hyperlink" Target="https://doi.org/10.1002/wps.206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santacruze@gmail.com" TargetMode="External"/><Relationship Id="rId14" Type="http://schemas.openxmlformats.org/officeDocument/2006/relationships/hyperlink" Target="https://doi.org/10.1177%2F1751143717713853" TargetMode="External"/><Relationship Id="rId22" Type="http://schemas.openxmlformats.org/officeDocument/2006/relationships/hyperlink" Target="https://doi.org/10.1038/s41598-021-01215-4" TargetMode="External"/><Relationship Id="rId27" Type="http://schemas.openxmlformats.org/officeDocument/2006/relationships/hyperlink" Target="https://doi.org/10.1017/s0033291796004229" TargetMode="External"/><Relationship Id="rId30" Type="http://schemas.openxmlformats.org/officeDocument/2006/relationships/hyperlink" Target="https://doi.org/10.1186/s13195-017-0254-x" TargetMode="External"/><Relationship Id="rId35" Type="http://schemas.openxmlformats.org/officeDocument/2006/relationships/hyperlink" Target="https://doi.org/10.1186/s12888-021-03076-7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://www.revmedmilitar.sld.cu" TargetMode="External"/><Relationship Id="rId1" Type="http://schemas.openxmlformats.org/officeDocument/2006/relationships/hyperlink" Target="http://scielo.sld.cu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vista%20CMM\NORMAS\PLANTILLA%20PDF\OK_art&#237;culo_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OK_artículo_nuevo.dotx</Template>
  <TotalTime>84</TotalTime>
  <Pages>14</Pages>
  <Words>4010</Words>
  <Characters>22055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26013</CharactersWithSpaces>
  <SharedDoc>false</SharedDoc>
  <HLinks>
    <vt:vector size="30" baseType="variant"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mailto:nereyda@ipk.sld.cu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mailto:nereydac@infomed.sld.cu</vt:lpwstr>
      </vt:variant>
      <vt:variant>
        <vt:lpwstr/>
      </vt:variant>
      <vt:variant>
        <vt:i4>8192031</vt:i4>
      </vt:variant>
      <vt:variant>
        <vt:i4>6</vt:i4>
      </vt:variant>
      <vt:variant>
        <vt:i4>0</vt:i4>
      </vt:variant>
      <vt:variant>
        <vt:i4>5</vt:i4>
      </vt:variant>
      <vt:variant>
        <vt:lpwstr>mailto:bcantelar@ipk.sld.cu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mailto:mayasilmp@infomed.sld.cu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mailto:nery@ipk.sld.cu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Plantilla para pdf</dc:subject>
  <dc:creator>SG</dc:creator>
  <cp:lastModifiedBy>SG</cp:lastModifiedBy>
  <cp:revision>10</cp:revision>
  <cp:lastPrinted>2022-09-10T17:13:00Z</cp:lastPrinted>
  <dcterms:created xsi:type="dcterms:W3CDTF">2022-09-10T16:33:00Z</dcterms:created>
  <dcterms:modified xsi:type="dcterms:W3CDTF">2022-09-10T18:01:00Z</dcterms:modified>
</cp:coreProperties>
</file>