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A668A" w14:textId="77777777" w:rsidR="00135EC1" w:rsidRPr="00342921" w:rsidRDefault="00135EC1" w:rsidP="00135EC1">
      <w:pPr>
        <w:tabs>
          <w:tab w:val="left" w:pos="5245"/>
        </w:tabs>
        <w:spacing w:after="0" w:line="36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es-PE"/>
        </w:rPr>
      </w:pPr>
      <w:r w:rsidRPr="00342921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es-PE"/>
        </w:rPr>
        <w:t>Carta al Editor</w:t>
      </w:r>
    </w:p>
    <w:p w14:paraId="676C8D34" w14:textId="77777777" w:rsidR="00135EC1" w:rsidRPr="00342921" w:rsidRDefault="00135EC1" w:rsidP="00135EC1">
      <w:pPr>
        <w:tabs>
          <w:tab w:val="left" w:pos="5245"/>
        </w:tabs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</w:pPr>
    </w:p>
    <w:p w14:paraId="4A71F242" w14:textId="77777777" w:rsidR="00135EC1" w:rsidRPr="00342921" w:rsidRDefault="00135EC1" w:rsidP="00135EC1">
      <w:pPr>
        <w:tabs>
          <w:tab w:val="left" w:pos="524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es-PE"/>
        </w:rPr>
      </w:pPr>
      <w:r w:rsidRPr="00342921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es-PE"/>
        </w:rPr>
        <w:t>Un caso del factor Bayes en un estudio comparativo según género del miedo a la COVID-19 en Cuba</w:t>
      </w:r>
    </w:p>
    <w:p w14:paraId="1067BD2C" w14:textId="77777777" w:rsidR="00135EC1" w:rsidRPr="00342921" w:rsidRDefault="00135EC1" w:rsidP="00135EC1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en-US" w:eastAsia="es-PE"/>
        </w:rPr>
      </w:pPr>
      <w:r w:rsidRPr="0034292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en-US" w:eastAsia="es-PE"/>
        </w:rPr>
        <w:t>A case of the Bayes factor in a comparative study according to gender of the fear of COVID-19 in Cuba</w:t>
      </w:r>
    </w:p>
    <w:p w14:paraId="76D109BD" w14:textId="77777777" w:rsidR="00135EC1" w:rsidRPr="00365BB4" w:rsidRDefault="00135EC1" w:rsidP="00135EC1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es-PE"/>
        </w:rPr>
      </w:pPr>
    </w:p>
    <w:p w14:paraId="4C6F7FCF" w14:textId="77777777" w:rsidR="00135EC1" w:rsidRPr="00342921" w:rsidRDefault="00135EC1" w:rsidP="00135EC1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</w:pPr>
      <w:r w:rsidRPr="0034292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  <w:t>Cristian Antony Ramos Vera</w:t>
      </w:r>
      <w:r w:rsidRPr="0034292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vertAlign w:val="superscript"/>
          <w:lang w:eastAsia="es-PE"/>
        </w:rPr>
        <w:t>1</w:t>
      </w:r>
      <w:r w:rsidRPr="0034292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  <w:t xml:space="preserve">* </w:t>
      </w:r>
      <w:hyperlink r:id="rId6" w:history="1">
        <w:r w:rsidRPr="00342921">
          <w:rPr>
            <w:rStyle w:val="Hipervnculo"/>
            <w:rFonts w:ascii="Times New Roman" w:eastAsia="Times New Roman" w:hAnsi="Times New Roman" w:cs="Times New Roman"/>
            <w:iCs/>
            <w:sz w:val="24"/>
            <w:szCs w:val="24"/>
            <w:shd w:val="clear" w:color="auto" w:fill="FFFFFF"/>
            <w:lang w:eastAsia="es-PE"/>
          </w:rPr>
          <w:t>https://orcid.org/0000-0002-3417-5701</w:t>
        </w:r>
      </w:hyperlink>
      <w:r w:rsidRPr="0034292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  <w:t xml:space="preserve"> </w:t>
      </w:r>
    </w:p>
    <w:p w14:paraId="6C87149E" w14:textId="77777777" w:rsidR="00135EC1" w:rsidRPr="00342921" w:rsidRDefault="00135EC1" w:rsidP="00135EC1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</w:pPr>
    </w:p>
    <w:p w14:paraId="152EEB3C" w14:textId="77777777" w:rsidR="00135EC1" w:rsidRPr="00342921" w:rsidRDefault="00135EC1" w:rsidP="00135EC1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</w:pPr>
      <w:r w:rsidRPr="0034292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vertAlign w:val="superscript"/>
          <w:lang w:eastAsia="es-PE"/>
        </w:rPr>
        <w:t>1</w:t>
      </w:r>
      <w:r w:rsidRPr="0034292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  <w:t>Facultad de Ciencias de la Salud. Universidad Cesar Vallejo. Lima, Perú.</w:t>
      </w:r>
    </w:p>
    <w:p w14:paraId="469987D3" w14:textId="77777777" w:rsidR="00135EC1" w:rsidRPr="00342921" w:rsidRDefault="00135EC1" w:rsidP="00135EC1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</w:pPr>
      <w:r w:rsidRPr="0034292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  <w:t xml:space="preserve">*Correspondencia. Correo electrónico: </w:t>
      </w:r>
      <w:hyperlink r:id="rId7" w:history="1">
        <w:r w:rsidRPr="00342921">
          <w:rPr>
            <w:rStyle w:val="Hipervnculo"/>
            <w:rFonts w:ascii="Times New Roman" w:eastAsia="Times New Roman" w:hAnsi="Times New Roman" w:cs="Times New Roman"/>
            <w:iCs/>
            <w:sz w:val="24"/>
            <w:szCs w:val="24"/>
            <w:shd w:val="clear" w:color="auto" w:fill="FFFFFF"/>
            <w:lang w:eastAsia="es-PE"/>
          </w:rPr>
          <w:t>cristony_777@hotmail.com</w:t>
        </w:r>
      </w:hyperlink>
      <w:r w:rsidRPr="0034292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  <w:t xml:space="preserve"> </w:t>
      </w:r>
    </w:p>
    <w:p w14:paraId="0AFC7628" w14:textId="77777777" w:rsidR="00135EC1" w:rsidRPr="00342921" w:rsidRDefault="00135EC1" w:rsidP="00135EC1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</w:pPr>
    </w:p>
    <w:p w14:paraId="124DA178" w14:textId="77777777" w:rsidR="00135EC1" w:rsidRPr="00342921" w:rsidRDefault="00135EC1" w:rsidP="00135EC1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</w:pPr>
      <w:r w:rsidRPr="0034292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  <w:t>Sr. Editor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  <w:t>;</w:t>
      </w:r>
    </w:p>
    <w:p w14:paraId="47383044" w14:textId="77777777" w:rsidR="00135EC1" w:rsidRPr="00342921" w:rsidRDefault="00135EC1" w:rsidP="00135EC1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</w:pPr>
      <w:r w:rsidRPr="0034292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  <w:t>De acuerdo con un estudio cubano reciente, que compara las diferencias según género, del miedo a la COVID-19, a través de la prueba estadística t de Student de dos muestras,</w:t>
      </w:r>
      <w:r w:rsidRPr="0034292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vertAlign w:val="superscript"/>
          <w:lang w:eastAsia="es-PE"/>
        </w:rPr>
        <w:t>(1)</w:t>
      </w:r>
      <w:r w:rsidRPr="0034292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  <w:t xml:space="preserve"> reporta mayor nivel de miedo a la COVID-19 en las mujeres. Este análisis comparativo es uno de los más utilizados en las ciencias médicas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  <w:t>,</w:t>
      </w:r>
      <w:r w:rsidRPr="0034292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vertAlign w:val="superscript"/>
          <w:lang w:eastAsia="es-PE"/>
        </w:rPr>
        <w:t>(2)</w:t>
      </w:r>
      <w:r w:rsidRPr="0034292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  <w:t xml:space="preserve"> basado en la prueba de significa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  <w:t>ción</w:t>
      </w:r>
      <w:r w:rsidRPr="0034292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  <w:t xml:space="preserve"> de la hipótesis nula (NHST, siglas en inglés) “p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  <w:t> </w:t>
      </w:r>
      <w:r w:rsidRPr="00342921">
        <w:rPr>
          <w:rFonts w:ascii="Times New Roman" w:hAnsi="Times New Roman" w:cs="Times New Roman"/>
          <w:sz w:val="24"/>
          <w:shd w:val="clear" w:color="auto" w:fill="FFFFFF"/>
        </w:rPr>
        <w:t>&lt;</w:t>
      </w:r>
      <w:r>
        <w:rPr>
          <w:rFonts w:ascii="Times New Roman" w:hAnsi="Times New Roman" w:cs="Times New Roman"/>
          <w:sz w:val="24"/>
          <w:shd w:val="clear" w:color="auto" w:fill="FFFFFF"/>
        </w:rPr>
        <w:t> </w:t>
      </w:r>
      <w:r w:rsidRPr="0034292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  <w:t>0,05” (estadística frecuentista) que permite rechazar la hipótesis nula (no diferencia) y brinda mayor confianza de verosimilitud al investigador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  <w:t>,</w:t>
      </w:r>
      <w:r w:rsidRPr="0034292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  <w:t xml:space="preserve"> a asumir la hipótesis alterna (diferencia) dado la muestra de estudio, que ha presentado algunos cuestionamientos.</w:t>
      </w:r>
      <w:r w:rsidRPr="0034292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vertAlign w:val="superscript"/>
          <w:lang w:eastAsia="es-PE"/>
        </w:rPr>
        <w:t>(2)</w:t>
      </w:r>
    </w:p>
    <w:p w14:paraId="51A078F8" w14:textId="77777777" w:rsidR="00135EC1" w:rsidRPr="00342921" w:rsidRDefault="00135EC1" w:rsidP="00135EC1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</w:pPr>
      <w:r w:rsidRPr="0034292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  <w:t>La estadística bayesiana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  <w:t>,</w:t>
      </w:r>
      <w:r w:rsidRPr="0034292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  <w:t xml:space="preserve"> también permite contrastar dos hipótesis opuestas mediante probabilidades a </w:t>
      </w:r>
      <w:r w:rsidRPr="0034292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es-PE"/>
        </w:rPr>
        <w:t xml:space="preserve">priori </w:t>
      </w:r>
      <w:r w:rsidRPr="0034292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  <w:t>y</w:t>
      </w:r>
      <w:r w:rsidRPr="0034292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es-PE"/>
        </w:rPr>
        <w:t xml:space="preserve"> posteriori</w:t>
      </w:r>
      <w:r w:rsidRPr="0034292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  <w:t xml:space="preserve"> dado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  <w:t>s</w:t>
      </w:r>
      <w:r w:rsidRPr="0034292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  <w:t xml:space="preserve"> los datos, cuya utilidad es más idónea para reforzar las pruebas de significa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  <w:t>ción</w:t>
      </w:r>
      <w:r w:rsidRPr="0034292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  <w:t xml:space="preserve"> estadística que se basan en el rendimiento promedio hipotético al realizar una serie de repeticiones idénticas del estudio efectuado.</w:t>
      </w:r>
      <w:r w:rsidRPr="0034292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vertAlign w:val="superscript"/>
          <w:lang w:eastAsia="es-PE"/>
        </w:rPr>
        <w:t>(2)</w:t>
      </w:r>
      <w:r w:rsidRPr="0034292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  <w:t xml:space="preserve"> Además, cuando se cuenta con hallazgos de significa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  <w:t>ción</w:t>
      </w:r>
      <w:r w:rsidRPr="0034292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  <w:t>, el modelo bayesiano puede ser una alternativa metodológica de replicación estadística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  <w:t>.</w:t>
      </w:r>
      <w:r w:rsidRPr="0034292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vertAlign w:val="superscript"/>
          <w:lang w:eastAsia="es-PE"/>
        </w:rPr>
        <w:t>(3,4)</w:t>
      </w:r>
      <w:r w:rsidRPr="0034292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  <w:t xml:space="preserve"> Desde este enfoque específicamente, el factor </w:t>
      </w:r>
      <w:r w:rsidRPr="00866A4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es-PE"/>
        </w:rPr>
        <w:t>Bayes</w:t>
      </w:r>
      <w:r w:rsidRPr="0034292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  <w:t xml:space="preserve"> es el método alternativo para evaluar las hipótesis de significa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  <w:t>ción</w:t>
      </w:r>
      <w:r w:rsidRPr="0034292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  <w:t xml:space="preserve">, el cual estima el grado en que los datos apoyan a ambas hipótesis, a partir del esquema de clasificación de </w:t>
      </w:r>
      <w:r w:rsidRPr="00866A4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es-PE"/>
        </w:rPr>
        <w:t>Jeffreys</w:t>
      </w:r>
      <w:r w:rsidRPr="0034292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  <w:t>:</w:t>
      </w:r>
      <w:r w:rsidRPr="0034292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vertAlign w:val="superscript"/>
          <w:lang w:eastAsia="es-PE"/>
        </w:rPr>
        <w:t>(5)</w:t>
      </w:r>
      <w:r w:rsidRPr="0034292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  <w:t xml:space="preserve"> débil, moderado, fuerte, muy fuerte y extrema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  <w:t xml:space="preserve"> </w:t>
      </w:r>
      <w:r w:rsidRPr="0034292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  <w:t xml:space="preserve">(tabla 1). </w:t>
      </w:r>
    </w:p>
    <w:p w14:paraId="144D9AE3" w14:textId="77777777" w:rsidR="00135EC1" w:rsidRPr="00342921" w:rsidRDefault="00135EC1" w:rsidP="00135EC1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</w:pPr>
      <w:r w:rsidRPr="0034292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  <w:lastRenderedPageBreak/>
        <w:t xml:space="preserve">Para el presente ejemplo del factor </w:t>
      </w:r>
      <w:r w:rsidRPr="00B1557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es-PE"/>
        </w:rPr>
        <w:t>Bayes</w:t>
      </w:r>
      <w:r w:rsidRPr="0034292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  <w:t xml:space="preserve">, se requiere el valor t (6,6) y los tamaños de muestra de ambos grupos (569 mujeres y 203 varones) reportado por </w:t>
      </w:r>
      <w:r w:rsidRPr="0034292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es-PE"/>
        </w:rPr>
        <w:t>Broche-Pérez</w:t>
      </w:r>
      <w:r w:rsidRPr="0034292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  <w:t xml:space="preserve"> y otros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  <w:t>,</w:t>
      </w:r>
      <w:r w:rsidRPr="0034292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vertAlign w:val="superscript"/>
          <w:lang w:eastAsia="es-PE"/>
        </w:rPr>
        <w:t>(1)</w:t>
      </w:r>
      <w:r w:rsidRPr="0034292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  <w:t xml:space="preserve"> quienes compararon la puntuación general de la escala del miedo a la COVID-19</w:t>
      </w:r>
      <w:r w:rsidRPr="0034292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vertAlign w:val="superscript"/>
          <w:lang w:eastAsia="es-PE"/>
        </w:rPr>
        <w:t xml:space="preserve">(6) </w:t>
      </w:r>
      <w:r w:rsidRPr="0034292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  <w:t>que fue traducido y adaptado al contexto cubano. Estos autores refieren que en promedio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  <w:t>,</w:t>
      </w:r>
      <w:r w:rsidRPr="0034292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  <w:t xml:space="preserve"> las mujeres experimentan más el miedo que los hombres, aun así 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  <w:t>5</w:t>
      </w:r>
      <w:r w:rsidRPr="0034292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  <w:t xml:space="preserve"> de los 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  <w:t>7</w:t>
      </w:r>
      <w:r w:rsidRPr="0034292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  <w:t>í</w:t>
      </w:r>
      <w:r w:rsidRPr="0034292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  <w:t>tems del instrumento utilizado, presentan diferencias en las medias de efecto pequeño (d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  <w:t> </w:t>
      </w:r>
      <w:r w:rsidRPr="0034292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  <w:t>&gt;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  <w:t> </w:t>
      </w:r>
      <w:r w:rsidRPr="0034292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  <w:t>0,2)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  <w:t>,</w:t>
      </w:r>
      <w:r w:rsidRPr="0034292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vertAlign w:val="superscript"/>
          <w:lang w:eastAsia="es-PE"/>
        </w:rPr>
        <w:t>(1)</w:t>
      </w:r>
      <w:r w:rsidRPr="0034292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  <w:t xml:space="preserve"> por lo cual es importante reforzar dichos hallazgos. En cuanto al factor </w:t>
      </w:r>
      <w:r w:rsidRPr="002F62D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es-PE"/>
        </w:rPr>
        <w:t>Bayes</w:t>
      </w:r>
      <w:r w:rsidRPr="0034292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  <w:t>, este permite inferir dos interpretaciones: FB</w:t>
      </w:r>
      <w:r w:rsidRPr="0034292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vertAlign w:val="subscript"/>
          <w:lang w:eastAsia="es-PE"/>
        </w:rPr>
        <w:t>10</w:t>
      </w:r>
      <w:r w:rsidRPr="0034292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  <w:t xml:space="preserve"> (a favor de la hipótesis alternativa de diferencia) y BF</w:t>
      </w:r>
      <w:r w:rsidRPr="0034292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vertAlign w:val="subscript"/>
          <w:lang w:eastAsia="es-PE"/>
        </w:rPr>
        <w:t>01</w:t>
      </w:r>
      <w:r w:rsidRPr="0034292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  <w:t xml:space="preserve"> (a favor de la hipótesis nula de falta de no diferencia) y el intervalo de credibilidad dado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  <w:t>s</w:t>
      </w:r>
      <w:r w:rsidRPr="0034292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  <w:t xml:space="preserve"> los datos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  <w:t>,</w:t>
      </w:r>
      <w:r w:rsidRPr="0034292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vertAlign w:val="superscript"/>
          <w:lang w:eastAsia="es-PE"/>
        </w:rPr>
        <w:t>(4)</w:t>
      </w:r>
      <w:r w:rsidRPr="0034292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  <w:t xml:space="preserve"> ante la evidencia de la hipótesis alterna (diferencia de medias), este análisis se enfoca en el grado de certeza de esta hipótesis. </w:t>
      </w:r>
    </w:p>
    <w:p w14:paraId="003BB350" w14:textId="77777777" w:rsidR="00135EC1" w:rsidRPr="00342921" w:rsidRDefault="00135EC1" w:rsidP="00135EC1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</w:pPr>
      <w:r w:rsidRPr="0034292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  <w:t xml:space="preserve">Los resultados, obtenidos mediante el factor </w:t>
      </w:r>
      <w:r w:rsidRPr="002F62D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es-PE"/>
        </w:rPr>
        <w:t>Bayes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  <w:t>,</w:t>
      </w:r>
      <w:r w:rsidRPr="0034292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  <w:t xml:space="preserve"> son BF</w:t>
      </w:r>
      <w:r w:rsidRPr="0034292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vertAlign w:val="subscript"/>
          <w:lang w:eastAsia="es-PE"/>
        </w:rPr>
        <w:t>10 </w:t>
      </w:r>
      <w:r w:rsidRPr="0034292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  <w:t>= 9,56e+7 y BF</w:t>
      </w:r>
      <w:r w:rsidRPr="0034292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vertAlign w:val="subscript"/>
          <w:lang w:eastAsia="es-PE"/>
        </w:rPr>
        <w:t>01 </w:t>
      </w:r>
      <w:r w:rsidRPr="0034292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  <w:t xml:space="preserve">= 7,311e-13 e IC 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  <w:t>(</w:t>
      </w:r>
      <w:r w:rsidRPr="0034292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  <w:t>0,192 a 0,359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  <w:t>)</w:t>
      </w:r>
      <w:r w:rsidRPr="0034292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  <w:t xml:space="preserve">. Estos hallazgos refieren una evidencia extrema a favor de la hipótesis estadística alterna (diferencia). </w:t>
      </w:r>
    </w:p>
    <w:p w14:paraId="0D5AA40F" w14:textId="77777777" w:rsidR="00135EC1" w:rsidRPr="00342921" w:rsidRDefault="00135EC1" w:rsidP="00135EC1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</w:pPr>
      <w:r w:rsidRPr="0034292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  <w:t xml:space="preserve">Según el estudio de </w:t>
      </w:r>
      <w:r w:rsidRPr="0034292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es-PE"/>
        </w:rPr>
        <w:t>Broche-Pérez</w:t>
      </w:r>
      <w:r w:rsidRPr="0034292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  <w:t xml:space="preserve"> y otros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  <w:t>,</w:t>
      </w:r>
      <w:r w:rsidRPr="0034292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vertAlign w:val="superscript"/>
          <w:lang w:eastAsia="es-PE"/>
        </w:rPr>
        <w:t>(1)</w:t>
      </w:r>
      <w:r w:rsidRPr="0034292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  <w:t xml:space="preserve"> se tuvo como objetivo predefinido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  <w:t>,</w:t>
      </w:r>
      <w:r w:rsidRPr="0034292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  <w:t xml:space="preserve"> a partir de la evidencia de la literatura científica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  <w:t>,</w:t>
      </w:r>
      <w:r w:rsidRPr="0034292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  <w:t xml:space="preserve"> de una mayor prevalencia del miedo a la COVID-19 en el género femenino, evaluar una diferencia favorable a las mujeres mediante las pruebas de significa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  <w:t>ción</w:t>
      </w:r>
      <w:r w:rsidRPr="0034292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  <w:t xml:space="preserve"> “p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  <w:t> </w:t>
      </w:r>
      <w:r w:rsidRPr="00342921">
        <w:rPr>
          <w:rFonts w:ascii="Times New Roman" w:hAnsi="Times New Roman" w:cs="Times New Roman"/>
          <w:sz w:val="24"/>
          <w:shd w:val="clear" w:color="auto" w:fill="FFFFFF"/>
        </w:rPr>
        <w:t>&lt;</w:t>
      </w:r>
      <w:r>
        <w:rPr>
          <w:rFonts w:ascii="Times New Roman" w:hAnsi="Times New Roman" w:cs="Times New Roman"/>
          <w:sz w:val="24"/>
          <w:shd w:val="clear" w:color="auto" w:fill="FFFFFF"/>
        </w:rPr>
        <w:t> </w:t>
      </w:r>
      <w:r w:rsidRPr="0034292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  <w:t xml:space="preserve">0,05”, este modelo estadístico es menos apropiado cuando los objetivos buscan confirmar la hipótesis alterna (diferencia). </w:t>
      </w:r>
    </w:p>
    <w:p w14:paraId="69549C6E" w14:textId="77777777" w:rsidR="00135EC1" w:rsidRPr="00342921" w:rsidRDefault="00135EC1" w:rsidP="00135EC1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</w:pPr>
      <w:r w:rsidRPr="0034292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  <w:t xml:space="preserve">El factor </w:t>
      </w:r>
      <w:r w:rsidRPr="00A6563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es-PE"/>
        </w:rPr>
        <w:t>Bayes</w:t>
      </w:r>
      <w:r w:rsidRPr="0034292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  <w:t xml:space="preserve"> es más idóneo en investigaciones clínicas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  <w:t>,</w:t>
      </w:r>
      <w:r w:rsidRPr="0034292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  <w:t xml:space="preserve"> cuyo objetivo es confirmar la diferencia de medias entre grupos,</w:t>
      </w:r>
      <w:r w:rsidRPr="0034292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vertAlign w:val="superscript"/>
          <w:lang w:eastAsia="es-PE"/>
        </w:rPr>
        <w:t>(7)</w:t>
      </w:r>
      <w:r w:rsidRPr="0034292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  <w:t xml:space="preserve"> debido a que permite precisar el nivel de certeza de la hipótesis alterna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  <w:t>,</w:t>
      </w:r>
      <w:r w:rsidRPr="0034292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  <w:t xml:space="preserve"> más allá de las limitaciones del poder estadístico y el tamaño muestral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  <w:t>,</w:t>
      </w:r>
      <w:r w:rsidRPr="0034292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  <w:t xml:space="preserve"> que favorecen falsos positivos (errores de tipo I)</w:t>
      </w:r>
      <w:r w:rsidRPr="0034292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vertAlign w:val="superscript"/>
          <w:lang w:eastAsia="es-PE"/>
        </w:rPr>
        <w:t>(8)</w:t>
      </w:r>
      <w:r w:rsidRPr="0034292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  <w:t xml:space="preserve"> y la inestabilidad de los tamaños de efecto en los estudios según el enfoque NHST,</w:t>
      </w:r>
      <w:r w:rsidRPr="0034292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vertAlign w:val="superscript"/>
          <w:lang w:eastAsia="es-PE"/>
        </w:rPr>
        <w:t>(9)</w:t>
      </w:r>
      <w:r w:rsidRPr="0034292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  <w:t xml:space="preserve"> cuyas pautas de interpretación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  <w:t>,</w:t>
      </w:r>
      <w:r w:rsidRPr="0034292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  <w:t xml:space="preserve"> pueden variar en diversas disciplinas de las ciencias de la salud.</w:t>
      </w:r>
      <w:r w:rsidRPr="0034292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vertAlign w:val="superscript"/>
          <w:lang w:eastAsia="es-PE"/>
        </w:rPr>
        <w:t>(9)</w:t>
      </w:r>
    </w:p>
    <w:p w14:paraId="6E020D05" w14:textId="77777777" w:rsidR="00135EC1" w:rsidRPr="00342921" w:rsidRDefault="00135EC1" w:rsidP="00135EC1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</w:pPr>
      <w:r w:rsidRPr="0034292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  <w:t>Durante el contexto pandémico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  <w:t>,</w:t>
      </w:r>
      <w:r w:rsidRPr="0034292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  <w:t xml:space="preserve"> se ha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  <w:t>n</w:t>
      </w:r>
      <w:r w:rsidRPr="0034292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  <w:t xml:space="preserve"> incrementado diversas investigaciones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  <w:t>,</w:t>
      </w:r>
      <w:r w:rsidRPr="0034292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  <w:t xml:space="preserve"> que comparan las puntuaciones de los instrumentos o encuestas de salud validadas que miden las percepciones, sentimientos, pensamientos y reacciones del impacto de la COVID-19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  <w:t>.</w:t>
      </w:r>
      <w:r w:rsidRPr="0034292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  <w:t>La</w:t>
      </w:r>
      <w:r w:rsidRPr="0034292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  <w:t xml:space="preserve"> inclusión del factor </w:t>
      </w:r>
      <w:r w:rsidRPr="00A6563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es-PE"/>
        </w:rPr>
        <w:t>Bayes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  <w:t>,</w:t>
      </w:r>
      <w:r w:rsidRPr="0034292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  <w:t xml:space="preserve"> permite brindar información adicional y más precisa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  <w:t>,</w:t>
      </w:r>
      <w:r w:rsidRPr="0034292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  <w:t xml:space="preserve"> más allá del rechazo o aceptación de la hipótesis nula de los efectos verdaderos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  <w:t>,</w:t>
      </w:r>
      <w:r w:rsidRPr="0034292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  <w:t xml:space="preserve"> dado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  <w:t>s</w:t>
      </w:r>
      <w:r w:rsidRPr="0034292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  <w:t xml:space="preserve"> los datos respectivos.</w:t>
      </w:r>
      <w:r w:rsidRPr="0034292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vertAlign w:val="superscript"/>
          <w:lang w:eastAsia="es-PE"/>
        </w:rPr>
        <w:t>(10)</w:t>
      </w:r>
    </w:p>
    <w:p w14:paraId="5FBA5BCC" w14:textId="77777777" w:rsidR="00135EC1" w:rsidRPr="00342921" w:rsidRDefault="00135EC1" w:rsidP="00135EC1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</w:pPr>
      <w:r w:rsidRPr="0034292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  <w:lastRenderedPageBreak/>
        <w:t>El enfoque bayesiano es de gran utilidad en otros análisis y reanálisis cuantitativos clínicos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  <w:t>,</w:t>
      </w:r>
      <w:r w:rsidRPr="0034292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vertAlign w:val="superscript"/>
          <w:lang w:eastAsia="es-PE"/>
        </w:rPr>
        <w:t>(2,4,8)</w:t>
      </w:r>
      <w:r w:rsidRPr="0034292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  <w:t xml:space="preserve"> además permite reforzar las investigaciones cuantitativas sistemáticas de las ciencias de la salud que usen dichas pruebas estadísticas para brindar una mayor credibilidad a los estudios metaanalíticos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  <w:t>.</w:t>
      </w:r>
      <w:r w:rsidRPr="0034292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  <w:t>P</w:t>
      </w:r>
      <w:r w:rsidRPr="0034292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  <w:t>or lo tanto, esta carta es un aporte metodológico para futuros artículos de la presente revista.</w:t>
      </w:r>
    </w:p>
    <w:p w14:paraId="0B607901" w14:textId="77777777" w:rsidR="00135EC1" w:rsidRPr="00342921" w:rsidRDefault="00135EC1" w:rsidP="00135E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14:paraId="0F0ED151" w14:textId="77777777" w:rsidR="00135EC1" w:rsidRPr="00A6563C" w:rsidRDefault="00135EC1" w:rsidP="00135EC1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shd w:val="clear" w:color="auto" w:fill="FFFFFF"/>
          <w:lang w:eastAsia="es-PE"/>
        </w:rPr>
      </w:pPr>
      <w:r w:rsidRPr="00A6563C">
        <w:rPr>
          <w:rFonts w:ascii="Times New Roman" w:eastAsia="Times New Roman" w:hAnsi="Times New Roman" w:cs="Times New Roman"/>
          <w:b/>
          <w:bCs/>
          <w:lang w:eastAsia="es-PE"/>
        </w:rPr>
        <w:t>Tabla 1 -</w:t>
      </w:r>
      <w:r w:rsidRPr="00A6563C">
        <w:rPr>
          <w:rFonts w:ascii="Times New Roman" w:eastAsia="Times New Roman" w:hAnsi="Times New Roman" w:cs="Times New Roman"/>
          <w:lang w:eastAsia="es-PE"/>
        </w:rPr>
        <w:t xml:space="preserve"> Valores de interpretación cuantificable del factor </w:t>
      </w:r>
      <w:r w:rsidRPr="00A6563C">
        <w:rPr>
          <w:rFonts w:ascii="Times New Roman" w:eastAsia="Times New Roman" w:hAnsi="Times New Roman" w:cs="Times New Roman"/>
          <w:i/>
          <w:iCs/>
          <w:lang w:eastAsia="es-PE"/>
        </w:rPr>
        <w:t>Bayes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343"/>
        <w:gridCol w:w="1625"/>
      </w:tblGrid>
      <w:tr w:rsidR="00135EC1" w:rsidRPr="00A6563C" w14:paraId="29BF7067" w14:textId="77777777" w:rsidTr="00247AA4">
        <w:trPr>
          <w:trHeight w:val="26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680BB82" w14:textId="77777777" w:rsidR="00135EC1" w:rsidRPr="00A6563C" w:rsidRDefault="00135EC1" w:rsidP="00247AA4">
            <w:pPr>
              <w:tabs>
                <w:tab w:val="left" w:pos="177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  <w:r w:rsidRPr="00A6563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PE"/>
              </w:rPr>
              <w:t>&gt; 100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53A65513" w14:textId="77777777" w:rsidR="00135EC1" w:rsidRPr="00A6563C" w:rsidRDefault="00135EC1" w:rsidP="00247AA4">
            <w:pPr>
              <w:tabs>
                <w:tab w:val="left" w:pos="177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  <w:r w:rsidRPr="00A6563C"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  <w:t>Extrema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1A947E" w14:textId="77777777" w:rsidR="00135EC1" w:rsidRPr="00A6563C" w:rsidRDefault="00135EC1" w:rsidP="00247AA4">
            <w:pPr>
              <w:tabs>
                <w:tab w:val="left" w:pos="177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  <w:r w:rsidRPr="00A6563C"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  <w:t>Hipótesis alternativa</w:t>
            </w:r>
          </w:p>
        </w:tc>
      </w:tr>
      <w:tr w:rsidR="00135EC1" w:rsidRPr="00A6563C" w14:paraId="7A98E0F7" w14:textId="77777777" w:rsidTr="00247AA4">
        <w:trPr>
          <w:trHeight w:val="26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47F5F6" w14:textId="77777777" w:rsidR="00135EC1" w:rsidRPr="00A6563C" w:rsidRDefault="00135EC1" w:rsidP="00247AA4">
            <w:pPr>
              <w:tabs>
                <w:tab w:val="left" w:pos="177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  <w:r w:rsidRPr="00A6563C"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  <w:t>30 – 100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14:paraId="53B3B056" w14:textId="77777777" w:rsidR="00135EC1" w:rsidRPr="00A6563C" w:rsidRDefault="00135EC1" w:rsidP="00247AA4">
            <w:pPr>
              <w:tabs>
                <w:tab w:val="left" w:pos="177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  <w:r w:rsidRPr="00A6563C"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  <w:t>Muy fuerte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80C882" w14:textId="77777777" w:rsidR="00135EC1" w:rsidRPr="00A6563C" w:rsidRDefault="00135EC1" w:rsidP="00247AA4">
            <w:pPr>
              <w:tabs>
                <w:tab w:val="left" w:pos="177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  <w:r w:rsidRPr="00A6563C"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  <w:t>Hipótesis alternativa</w:t>
            </w:r>
          </w:p>
        </w:tc>
      </w:tr>
      <w:tr w:rsidR="00135EC1" w:rsidRPr="00A6563C" w14:paraId="4057AF18" w14:textId="77777777" w:rsidTr="00247AA4">
        <w:trPr>
          <w:trHeight w:val="25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55FB5758" w14:textId="77777777" w:rsidR="00135EC1" w:rsidRPr="00A6563C" w:rsidRDefault="00135EC1" w:rsidP="00247AA4">
            <w:pPr>
              <w:tabs>
                <w:tab w:val="left" w:pos="177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  <w:r w:rsidRPr="00A6563C"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  <w:t>10 – 30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14:paraId="2652AF4D" w14:textId="77777777" w:rsidR="00135EC1" w:rsidRPr="00A6563C" w:rsidRDefault="00135EC1" w:rsidP="00247AA4">
            <w:pPr>
              <w:tabs>
                <w:tab w:val="left" w:pos="177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  <w:r w:rsidRPr="00A6563C"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  <w:t>Fuerte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1BD8C4" w14:textId="77777777" w:rsidR="00135EC1" w:rsidRPr="00A6563C" w:rsidRDefault="00135EC1" w:rsidP="00247AA4">
            <w:pPr>
              <w:tabs>
                <w:tab w:val="left" w:pos="177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  <w:r w:rsidRPr="00A6563C"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  <w:t>Hipótesis alternativa</w:t>
            </w:r>
          </w:p>
        </w:tc>
      </w:tr>
      <w:tr w:rsidR="00135EC1" w:rsidRPr="00A6563C" w14:paraId="72B445F4" w14:textId="77777777" w:rsidTr="00247AA4">
        <w:trPr>
          <w:trHeight w:val="25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7EE50807" w14:textId="77777777" w:rsidR="00135EC1" w:rsidRPr="00A6563C" w:rsidRDefault="00135EC1" w:rsidP="00247AA4">
            <w:pPr>
              <w:tabs>
                <w:tab w:val="left" w:pos="177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  <w:r w:rsidRPr="00A6563C"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  <w:t>3,1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  <w:t xml:space="preserve"> – </w:t>
            </w:r>
            <w:r w:rsidRPr="00A6563C"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  <w:t xml:space="preserve"> 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14:paraId="3371EC5B" w14:textId="77777777" w:rsidR="00135EC1" w:rsidRPr="00A6563C" w:rsidRDefault="00135EC1" w:rsidP="00247AA4">
            <w:pPr>
              <w:tabs>
                <w:tab w:val="left" w:pos="177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  <w:r w:rsidRPr="00A6563C"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  <w:t>Moderado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85239E" w14:textId="77777777" w:rsidR="00135EC1" w:rsidRPr="00A6563C" w:rsidRDefault="00135EC1" w:rsidP="00247AA4">
            <w:pPr>
              <w:tabs>
                <w:tab w:val="left" w:pos="177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  <w:r w:rsidRPr="00A6563C"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  <w:t>Hipótesis alternativa</w:t>
            </w:r>
          </w:p>
        </w:tc>
      </w:tr>
      <w:tr w:rsidR="00135EC1" w:rsidRPr="00A6563C" w14:paraId="01A2BA66" w14:textId="77777777" w:rsidTr="00247AA4">
        <w:trPr>
          <w:trHeight w:val="25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08EC8E84" w14:textId="77777777" w:rsidR="00135EC1" w:rsidRPr="00A6563C" w:rsidRDefault="00135EC1" w:rsidP="00247AA4">
            <w:pPr>
              <w:tabs>
                <w:tab w:val="left" w:pos="177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  <w:r w:rsidRPr="00A6563C"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  <w:t>1,1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  <w:t xml:space="preserve"> – </w:t>
            </w:r>
            <w:r w:rsidRPr="00A6563C"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  <w:t xml:space="preserve"> 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14:paraId="76240E94" w14:textId="77777777" w:rsidR="00135EC1" w:rsidRPr="00A6563C" w:rsidRDefault="00135EC1" w:rsidP="00247AA4">
            <w:pPr>
              <w:tabs>
                <w:tab w:val="left" w:pos="177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  <w:r w:rsidRPr="00A6563C"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  <w:t>Débil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503F8C" w14:textId="77777777" w:rsidR="00135EC1" w:rsidRPr="00A6563C" w:rsidRDefault="00135EC1" w:rsidP="00247AA4">
            <w:pPr>
              <w:tabs>
                <w:tab w:val="left" w:pos="177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  <w:r w:rsidRPr="00A6563C"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  <w:t>Hipótesis alternativa</w:t>
            </w:r>
          </w:p>
        </w:tc>
      </w:tr>
      <w:tr w:rsidR="00135EC1" w:rsidRPr="00A6563C" w14:paraId="764B6254" w14:textId="77777777" w:rsidTr="00247AA4">
        <w:trPr>
          <w:trHeight w:val="25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5AD59B0B" w14:textId="77777777" w:rsidR="00135EC1" w:rsidRPr="00A6563C" w:rsidRDefault="00135EC1" w:rsidP="00247AA4">
            <w:pPr>
              <w:tabs>
                <w:tab w:val="left" w:pos="177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  <w:r w:rsidRPr="00A6563C"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14:paraId="4FA9D37B" w14:textId="77777777" w:rsidR="00135EC1" w:rsidRPr="00A6563C" w:rsidRDefault="00135EC1" w:rsidP="00247AA4">
            <w:pPr>
              <w:tabs>
                <w:tab w:val="left" w:pos="12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  <w:r w:rsidRPr="00A6563C"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22FCDC" w14:textId="77777777" w:rsidR="00135EC1" w:rsidRPr="00A6563C" w:rsidRDefault="00135EC1" w:rsidP="00247AA4">
            <w:pPr>
              <w:tabs>
                <w:tab w:val="left" w:pos="177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  <w:r w:rsidRPr="00A6563C"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  <w:t>No evidencia</w:t>
            </w:r>
          </w:p>
        </w:tc>
      </w:tr>
      <w:tr w:rsidR="00135EC1" w:rsidRPr="00A6563C" w14:paraId="6B0F0B4B" w14:textId="77777777" w:rsidTr="00247AA4">
        <w:trPr>
          <w:trHeight w:val="25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45082B9F" w14:textId="77777777" w:rsidR="00135EC1" w:rsidRPr="00A6563C" w:rsidRDefault="00135EC1" w:rsidP="00247AA4">
            <w:pPr>
              <w:tabs>
                <w:tab w:val="left" w:pos="177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  <w:r w:rsidRPr="00A6563C"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  <w:t>0,3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  <w:t xml:space="preserve"> </w:t>
            </w:r>
            <w:r w:rsidRPr="00A6563C"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  <w:t xml:space="preserve"> </w:t>
            </w:r>
            <w:r w:rsidRPr="00A6563C"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  <w:t>0,9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  <w:t xml:space="preserve"> 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14:paraId="657E5D62" w14:textId="77777777" w:rsidR="00135EC1" w:rsidRPr="00A6563C" w:rsidRDefault="00135EC1" w:rsidP="00247AA4">
            <w:pPr>
              <w:tabs>
                <w:tab w:val="left" w:pos="177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  <w:r w:rsidRPr="00A6563C"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  <w:t>Débil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D164A6" w14:textId="77777777" w:rsidR="00135EC1" w:rsidRPr="00A6563C" w:rsidRDefault="00135EC1" w:rsidP="00247AA4">
            <w:pPr>
              <w:tabs>
                <w:tab w:val="left" w:pos="177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  <w:r w:rsidRPr="00A6563C"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  <w:t>Hipótesis nula</w:t>
            </w:r>
          </w:p>
        </w:tc>
      </w:tr>
      <w:tr w:rsidR="00135EC1" w:rsidRPr="00A6563C" w14:paraId="698FC5E1" w14:textId="77777777" w:rsidTr="00247AA4">
        <w:trPr>
          <w:trHeight w:val="25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3B313807" w14:textId="77777777" w:rsidR="00135EC1" w:rsidRPr="00A6563C" w:rsidRDefault="00135EC1" w:rsidP="00247AA4">
            <w:pPr>
              <w:tabs>
                <w:tab w:val="left" w:pos="177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  <w:r w:rsidRPr="00A6563C"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  <w:t>0,3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  <w:t xml:space="preserve"> </w:t>
            </w:r>
            <w:r w:rsidRPr="00A6563C"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  <w:t xml:space="preserve"> </w:t>
            </w:r>
            <w:r w:rsidRPr="00A6563C"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  <w:t>0,1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14:paraId="6A3F4114" w14:textId="77777777" w:rsidR="00135EC1" w:rsidRPr="00A6563C" w:rsidRDefault="00135EC1" w:rsidP="00247AA4">
            <w:pPr>
              <w:tabs>
                <w:tab w:val="left" w:pos="177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  <w:r w:rsidRPr="00A6563C"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  <w:t>Moderado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B0829F" w14:textId="77777777" w:rsidR="00135EC1" w:rsidRPr="00A6563C" w:rsidRDefault="00135EC1" w:rsidP="00247AA4">
            <w:pPr>
              <w:tabs>
                <w:tab w:val="left" w:pos="177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  <w:r w:rsidRPr="00A6563C"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  <w:t>Hipótesis nula</w:t>
            </w:r>
          </w:p>
        </w:tc>
      </w:tr>
      <w:tr w:rsidR="00135EC1" w:rsidRPr="00A6563C" w14:paraId="3E84C587" w14:textId="77777777" w:rsidTr="00247AA4">
        <w:trPr>
          <w:trHeight w:val="25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4BA74AD0" w14:textId="77777777" w:rsidR="00135EC1" w:rsidRPr="00A6563C" w:rsidRDefault="00135EC1" w:rsidP="00247AA4">
            <w:pPr>
              <w:tabs>
                <w:tab w:val="left" w:pos="177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  <w:r w:rsidRPr="00A6563C"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  <w:t>0,1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  <w:t xml:space="preserve"> </w:t>
            </w:r>
            <w:r w:rsidRPr="00A6563C"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  <w:t xml:space="preserve"> </w:t>
            </w:r>
            <w:r w:rsidRPr="00A6563C"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  <w:t>0,03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14:paraId="6BEDF3FD" w14:textId="77777777" w:rsidR="00135EC1" w:rsidRPr="00A6563C" w:rsidRDefault="00135EC1" w:rsidP="00247AA4">
            <w:pPr>
              <w:tabs>
                <w:tab w:val="left" w:pos="177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  <w:r w:rsidRPr="00A6563C"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  <w:t>Fuerte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B6165D" w14:textId="77777777" w:rsidR="00135EC1" w:rsidRPr="00A6563C" w:rsidRDefault="00135EC1" w:rsidP="00247AA4">
            <w:pPr>
              <w:tabs>
                <w:tab w:val="left" w:pos="177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  <w:r w:rsidRPr="00A6563C"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  <w:t>Hipótesis nula</w:t>
            </w:r>
          </w:p>
        </w:tc>
      </w:tr>
      <w:tr w:rsidR="00135EC1" w:rsidRPr="00A6563C" w14:paraId="217519FE" w14:textId="77777777" w:rsidTr="00247AA4">
        <w:trPr>
          <w:trHeight w:val="26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9A9A6C" w14:textId="77777777" w:rsidR="00135EC1" w:rsidRPr="00A6563C" w:rsidRDefault="00135EC1" w:rsidP="00247AA4">
            <w:pPr>
              <w:tabs>
                <w:tab w:val="left" w:pos="177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  <w:r w:rsidRPr="00A6563C"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  <w:t>0,03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  <w:t xml:space="preserve"> </w:t>
            </w:r>
            <w:r w:rsidRPr="00A6563C"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  <w:t xml:space="preserve"> </w:t>
            </w:r>
            <w:r w:rsidRPr="00A6563C"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  <w:t>0,01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14:paraId="7422D48F" w14:textId="77777777" w:rsidR="00135EC1" w:rsidRPr="00A6563C" w:rsidRDefault="00135EC1" w:rsidP="00247AA4">
            <w:pPr>
              <w:tabs>
                <w:tab w:val="left" w:pos="177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  <w:r w:rsidRPr="00A6563C"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  <w:t>Muy fuerte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415C0B" w14:textId="77777777" w:rsidR="00135EC1" w:rsidRPr="00A6563C" w:rsidRDefault="00135EC1" w:rsidP="00247AA4">
            <w:pPr>
              <w:tabs>
                <w:tab w:val="left" w:pos="177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  <w:r w:rsidRPr="00A6563C"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  <w:t>Hipótesis nula</w:t>
            </w:r>
          </w:p>
        </w:tc>
      </w:tr>
      <w:tr w:rsidR="00135EC1" w:rsidRPr="00A6563C" w14:paraId="67BE7DE9" w14:textId="77777777" w:rsidTr="00247AA4">
        <w:trPr>
          <w:trHeight w:val="26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472F2D4" w14:textId="77777777" w:rsidR="00135EC1" w:rsidRPr="00A6563C" w:rsidRDefault="00135EC1" w:rsidP="00247AA4">
            <w:pPr>
              <w:tabs>
                <w:tab w:val="left" w:pos="177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  <w:r w:rsidRPr="00A6563C"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  <w:t>&lt;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  <w:t xml:space="preserve"> </w:t>
            </w:r>
            <w:r w:rsidRPr="00A6563C"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  <w:t>0,01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68DA626A" w14:textId="77777777" w:rsidR="00135EC1" w:rsidRPr="00A6563C" w:rsidRDefault="00135EC1" w:rsidP="00247AA4">
            <w:pPr>
              <w:tabs>
                <w:tab w:val="left" w:pos="177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  <w:r w:rsidRPr="00A6563C"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  <w:t>Extrema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FE6D94" w14:textId="77777777" w:rsidR="00135EC1" w:rsidRPr="00A6563C" w:rsidRDefault="00135EC1" w:rsidP="00247AA4">
            <w:pPr>
              <w:tabs>
                <w:tab w:val="left" w:pos="177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  <w:r w:rsidRPr="00A6563C"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  <w:t>Hipótesis nula</w:t>
            </w:r>
          </w:p>
        </w:tc>
      </w:tr>
    </w:tbl>
    <w:p w14:paraId="11F147DD" w14:textId="77777777" w:rsidR="00135EC1" w:rsidRPr="00342921" w:rsidRDefault="00135EC1" w:rsidP="00135E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05E9232" w14:textId="77777777" w:rsidR="00135EC1" w:rsidRDefault="00135EC1" w:rsidP="00135E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71B68BE" w14:textId="77777777" w:rsidR="00135EC1" w:rsidRPr="00A6563C" w:rsidRDefault="00135EC1" w:rsidP="00135EC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6563C">
        <w:rPr>
          <w:rFonts w:ascii="Times New Roman" w:hAnsi="Times New Roman" w:cs="Times New Roman"/>
          <w:b/>
          <w:bCs/>
          <w:sz w:val="32"/>
          <w:szCs w:val="32"/>
        </w:rPr>
        <w:t>REFERENCIAS BIBLIOGRÁFICAS</w:t>
      </w:r>
    </w:p>
    <w:p w14:paraId="718E4678" w14:textId="77777777" w:rsidR="00135EC1" w:rsidRPr="00342921" w:rsidRDefault="00135EC1" w:rsidP="00135EC1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es-PE"/>
        </w:rPr>
      </w:pPr>
      <w:r w:rsidRPr="0034292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  <w:t>1.</w:t>
      </w:r>
      <w:r w:rsidRPr="00342921">
        <w:rPr>
          <w:rFonts w:ascii="Times New Roman" w:hAnsi="Times New Roman" w:cs="Times New Roman"/>
          <w:sz w:val="24"/>
          <w:szCs w:val="24"/>
        </w:rPr>
        <w:t xml:space="preserve"> </w:t>
      </w:r>
      <w:r w:rsidRPr="0034292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  <w:t xml:space="preserve">Broche-Pérez Y, Fernández-Fleites Z, Jiménez-Puig E. Fernández-Castillo E, Rodríguez-Martin BC. </w:t>
      </w:r>
      <w:r w:rsidRPr="0034292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es-PE"/>
        </w:rPr>
        <w:t>Gender and Fear of COVID-19 in a Cuban Population Sample. Int J Ment Health Addict. 2020 [acceso: 08/27/2020];1-9. DOI: 10.1007/s11469-020-00343-8</w:t>
      </w:r>
    </w:p>
    <w:p w14:paraId="7A3256C3" w14:textId="77777777" w:rsidR="00135EC1" w:rsidRPr="00342921" w:rsidRDefault="00135EC1" w:rsidP="00135EC1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es-PE"/>
        </w:rPr>
      </w:pPr>
      <w:r w:rsidRPr="0034292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es-PE"/>
        </w:rPr>
        <w:t>2. Kelter R. Bayesian alternatives to null hypothesis significance testing in biomedical research: a non-technical introduction to Bayesian inference with JASP: BMC Med Res Methodol. 2020 [acceso: 08/27/2020]; 20:1-12.</w:t>
      </w:r>
      <w:r w:rsidRPr="00342921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34292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es-PE"/>
        </w:rPr>
        <w:t>DOI:10.1186/s12874-020-00980-6</w:t>
      </w:r>
    </w:p>
    <w:p w14:paraId="783769B4" w14:textId="77777777" w:rsidR="00135EC1" w:rsidRPr="00342921" w:rsidRDefault="00135EC1" w:rsidP="00135EC1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</w:pPr>
      <w:r w:rsidRPr="0034292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es-PE"/>
        </w:rPr>
        <w:t>3.</w:t>
      </w:r>
      <w:r w:rsidRPr="003429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292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es-PE"/>
        </w:rPr>
        <w:t xml:space="preserve">Marsmamn M, Wagenmakers EJ. Bayesian benefits with JASP. Eur. J. Dev. </w:t>
      </w:r>
      <w:r w:rsidRPr="0034292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  <w:t>Psychol. 2017 [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  <w:t>a</w:t>
      </w:r>
      <w:r w:rsidRPr="0034292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  <w:t>cceso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  <w:t>:</w:t>
      </w:r>
      <w:r w:rsidRPr="0034292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  <w:t xml:space="preserve"> 08/27/2020];14(5):545-55. Disponible en: </w:t>
      </w:r>
      <w:hyperlink r:id="rId8" w:history="1">
        <w:r w:rsidRPr="00F11772">
          <w:rPr>
            <w:rStyle w:val="Hipervnculo"/>
            <w:rFonts w:ascii="Times New Roman" w:eastAsia="Times New Roman" w:hAnsi="Times New Roman" w:cs="Times New Roman"/>
            <w:iCs/>
            <w:sz w:val="24"/>
            <w:szCs w:val="24"/>
            <w:shd w:val="clear" w:color="auto" w:fill="FFFFFF"/>
            <w:lang w:eastAsia="es-PE"/>
          </w:rPr>
          <w:t>https://www.tandfonline.com/doi/full/10.1080/17405629.2016.1259614</w:t>
        </w:r>
      </w:hyperlink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  <w:t xml:space="preserve"> </w:t>
      </w:r>
    </w:p>
    <w:p w14:paraId="00DF09C4" w14:textId="77777777" w:rsidR="00135EC1" w:rsidRPr="00342921" w:rsidRDefault="00135EC1" w:rsidP="00135EC1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es-PE"/>
        </w:rPr>
      </w:pPr>
      <w:r w:rsidRPr="0034292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es-PE"/>
        </w:rPr>
        <w:lastRenderedPageBreak/>
        <w:t xml:space="preserve">4. Ly A, Raj A, Etz A, Gronau QF, Wagenmakers EJ. Bayesian reanalyses from summary statistics: a guide for academic consumers. Adv Meth Pract Psychol Sci. 2018 [acceso: 08/27/2020]; 1(3):367-74. Disponible </w:t>
      </w:r>
      <w:r w:rsidRPr="00342921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34292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es-PE"/>
        </w:rPr>
        <w:t xml:space="preserve">: </w:t>
      </w:r>
      <w:hyperlink r:id="rId9" w:history="1">
        <w:r w:rsidRPr="00F11772">
          <w:rPr>
            <w:rStyle w:val="Hipervnculo"/>
            <w:rFonts w:ascii="Times New Roman" w:eastAsia="Times New Roman" w:hAnsi="Times New Roman" w:cs="Times New Roman"/>
            <w:iCs/>
            <w:sz w:val="24"/>
            <w:szCs w:val="24"/>
            <w:shd w:val="clear" w:color="auto" w:fill="FFFFFF"/>
            <w:lang w:val="en-US" w:eastAsia="es-PE"/>
          </w:rPr>
          <w:t>https://journals.sagepub.com/doi/full/10.1177/2515245918779348</w:t>
        </w:r>
      </w:hyperlink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es-PE"/>
        </w:rPr>
        <w:t xml:space="preserve"> </w:t>
      </w:r>
      <w:r>
        <w:rPr>
          <w:rStyle w:val="Hipervnculo"/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es-PE"/>
        </w:rPr>
        <w:t xml:space="preserve">  </w:t>
      </w:r>
    </w:p>
    <w:p w14:paraId="078662EC" w14:textId="77777777" w:rsidR="00135EC1" w:rsidRPr="00342921" w:rsidRDefault="00135EC1" w:rsidP="00135EC1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es-PE"/>
        </w:rPr>
      </w:pPr>
      <w:r w:rsidRPr="0034292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es-PE"/>
        </w:rPr>
        <w:t>5. Jeffreys H. Theory of probability. Oxford: Oxford University Press; 1961.</w:t>
      </w:r>
    </w:p>
    <w:p w14:paraId="498DAC7C" w14:textId="77777777" w:rsidR="00135EC1" w:rsidRPr="00342921" w:rsidRDefault="00135EC1" w:rsidP="00135EC1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es-PE"/>
        </w:rPr>
      </w:pPr>
      <w:r w:rsidRPr="0034292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es-PE"/>
        </w:rPr>
        <w:t>6. Ahorsu DK, Lin CY, Imani V, Saffari M, Griffiths MD, Pakpour AH. The Fear of COVID-19 Scale: Development and Initial Validation. Int J Ment Health Addict. 2020 [acceso: 08/27/2020];1-9. DOI: 10.1007/s11469-020-00270-8</w:t>
      </w:r>
    </w:p>
    <w:p w14:paraId="5B1EF197" w14:textId="77777777" w:rsidR="00135EC1" w:rsidRPr="00342921" w:rsidRDefault="00135EC1" w:rsidP="00135EC1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</w:pPr>
      <w:r w:rsidRPr="0034292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es-PE"/>
        </w:rPr>
        <w:t xml:space="preserve">7. Kelter R. Bayesian and frequentist testing for differences between two groups with parametric and nonparametric two‐sample tests. </w:t>
      </w:r>
      <w:r w:rsidRPr="0034292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  <w:t>WIREs Comput. Stat. 2020 [acceso: 08/27/2020]; e15235:393–419.</w:t>
      </w:r>
      <w:r w:rsidRPr="00342921">
        <w:rPr>
          <w:rFonts w:ascii="Times New Roman" w:hAnsi="Times New Roman" w:cs="Times New Roman"/>
        </w:rPr>
        <w:t xml:space="preserve"> </w:t>
      </w:r>
      <w:r w:rsidRPr="0034292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  <w:t>DOI:10.1002/wics.1523</w:t>
      </w:r>
    </w:p>
    <w:p w14:paraId="4D271C99" w14:textId="77777777" w:rsidR="00135EC1" w:rsidRPr="00342921" w:rsidRDefault="00135EC1" w:rsidP="00135EC1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es-PE"/>
        </w:rPr>
      </w:pPr>
      <w:r w:rsidRPr="0034292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  <w:t xml:space="preserve">8. Ramos-Vera CA. Replicación bayesiana: cuán probable es la hipótesis nula e hipótesis alterna. </w:t>
      </w:r>
      <w:r w:rsidRPr="0034292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es-PE"/>
        </w:rPr>
        <w:t>Educ Med. 2020 [acceso: 08/27/2020] En prensa.</w:t>
      </w:r>
      <w:r w:rsidRPr="0034292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es-PE"/>
        </w:rPr>
        <w:br/>
        <w:t>DOI: 10.1016/j.edumed.2020.09.014</w:t>
      </w:r>
    </w:p>
    <w:p w14:paraId="70810540" w14:textId="77777777" w:rsidR="00135EC1" w:rsidRPr="00342921" w:rsidRDefault="00135EC1" w:rsidP="00135EC1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</w:pPr>
      <w:r w:rsidRPr="0034292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es-PE"/>
        </w:rPr>
        <w:t xml:space="preserve">9. Brydges CR. Effect Size Guidelines, Sample Size Calculations, and Statistical Power in Gerontology. </w:t>
      </w:r>
      <w:r w:rsidRPr="0034292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  <w:t>Innov Aging. 2019; [acceso: 08/27/2020]; 3(4): igz036 DOI:10.1093/geroni/igz036</w:t>
      </w:r>
    </w:p>
    <w:p w14:paraId="20B36921" w14:textId="77777777" w:rsidR="00135EC1" w:rsidRDefault="00135EC1" w:rsidP="00135E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F70A12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10. Ramos-Vera CA. </w:t>
      </w:r>
      <w:r w:rsidRPr="00AB414D"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  <w:t xml:space="preserve">The Bayes Factor, a Suitable Complement beyond Values of p&lt;0.05 in Nursing Research and Education. </w:t>
      </w:r>
      <w:r w:rsidRPr="00F70A12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Invest. Educ. </w:t>
      </w:r>
      <w:r w:rsidRPr="00AB414D">
        <w:rPr>
          <w:rFonts w:ascii="Times New Roman" w:eastAsia="Times New Roman" w:hAnsi="Times New Roman" w:cs="Times New Roman"/>
          <w:sz w:val="24"/>
          <w:szCs w:val="24"/>
          <w:lang w:eastAsia="es-PE"/>
        </w:rPr>
        <w:t>Enferm. 2021</w:t>
      </w:r>
      <w:r w:rsidRPr="00F70A12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s-PE"/>
        </w:rPr>
        <w:t>[acceso: 03/07/2021]</w:t>
      </w:r>
      <w:r w:rsidRPr="00AB414D">
        <w:rPr>
          <w:rFonts w:ascii="Times New Roman" w:eastAsia="Times New Roman" w:hAnsi="Times New Roman" w:cs="Times New Roman"/>
          <w:sz w:val="24"/>
          <w:szCs w:val="24"/>
          <w:lang w:eastAsia="es-PE"/>
        </w:rPr>
        <w:t>; 39(1): e14.</w:t>
      </w:r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D</w:t>
      </w:r>
      <w:r w:rsidRPr="00F70A12">
        <w:rPr>
          <w:rFonts w:ascii="Times New Roman" w:eastAsia="Times New Roman" w:hAnsi="Times New Roman" w:cs="Times New Roman"/>
          <w:sz w:val="24"/>
          <w:szCs w:val="24"/>
          <w:lang w:eastAsia="es-PE"/>
        </w:rPr>
        <w:t>OI: 10.17533/udea.iee.v39n1e14</w:t>
      </w:r>
    </w:p>
    <w:p w14:paraId="1DD4DAA7" w14:textId="77777777" w:rsidR="00135EC1" w:rsidRDefault="00135EC1" w:rsidP="00135E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14:paraId="09D4ECF9" w14:textId="77777777" w:rsidR="00135EC1" w:rsidRDefault="00135EC1" w:rsidP="00135E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14:paraId="4893B7B1" w14:textId="77777777" w:rsidR="00135EC1" w:rsidRDefault="00135EC1" w:rsidP="00135EC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PE"/>
        </w:rPr>
        <w:t>Conflictos de interés</w:t>
      </w:r>
    </w:p>
    <w:p w14:paraId="65FAD3B8" w14:textId="77777777" w:rsidR="00135EC1" w:rsidRPr="00CA633D" w:rsidRDefault="00135EC1" w:rsidP="00135E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es-P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t>Sin conflictos de interés ni financiamiento</w:t>
      </w:r>
    </w:p>
    <w:p w14:paraId="6299328D" w14:textId="77777777" w:rsidR="00675476" w:rsidRPr="00391509" w:rsidRDefault="00675476" w:rsidP="00391509"/>
    <w:sectPr w:rsidR="00675476" w:rsidRPr="00391509" w:rsidSect="000F3690">
      <w:headerReference w:type="default" r:id="rId10"/>
      <w:footerReference w:type="even" r:id="rId11"/>
      <w:footerReference w:type="default" r:id="rId12"/>
      <w:pgSz w:w="12242" w:h="15842" w:code="1"/>
      <w:pgMar w:top="1418" w:right="1134" w:bottom="1701" w:left="1134" w:header="851" w:footer="1134" w:gutter="0"/>
      <w:pgNumType w:start="2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11058" w14:textId="77777777" w:rsidR="002914A6" w:rsidRDefault="002914A6">
      <w:r>
        <w:separator/>
      </w:r>
    </w:p>
  </w:endnote>
  <w:endnote w:type="continuationSeparator" w:id="0">
    <w:p w14:paraId="0DECF87E" w14:textId="77777777" w:rsidR="002914A6" w:rsidRDefault="0029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352D2" w14:textId="77777777" w:rsidR="00FE40CB" w:rsidRDefault="00FE40CB" w:rsidP="00B66EC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71CFF6E" w14:textId="77777777" w:rsidR="00FE40CB" w:rsidRDefault="00FE40CB" w:rsidP="00FE40C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A93A8" w14:textId="77777777" w:rsidR="000F3690" w:rsidRPr="00AE044C" w:rsidRDefault="000F3690" w:rsidP="00391509">
    <w:pPr>
      <w:pStyle w:val="Piedepgina"/>
      <w:ind w:right="360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BAA951" wp14:editId="4CFE31C9">
              <wp:simplePos x="0" y="0"/>
              <wp:positionH relativeFrom="column">
                <wp:posOffset>3810</wp:posOffset>
              </wp:positionH>
              <wp:positionV relativeFrom="paragraph">
                <wp:posOffset>50165</wp:posOffset>
              </wp:positionV>
              <wp:extent cx="6286500" cy="19050"/>
              <wp:effectExtent l="19050" t="19050" r="19050" b="1905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1905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37AA03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3.95pt" to="495.3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" strokecolor="blue" strokeweight="2.25pt"/>
          </w:pict>
        </mc:Fallback>
      </mc:AlternateContent>
    </w:r>
  </w:p>
  <w:p w14:paraId="63BF9295" w14:textId="77777777" w:rsidR="00675476" w:rsidRPr="004824C9" w:rsidRDefault="002914A6" w:rsidP="004824C9">
    <w:pPr>
      <w:pStyle w:val="Piedepgina"/>
      <w:spacing w:after="0"/>
      <w:ind w:right="357"/>
      <w:rPr>
        <w:rFonts w:ascii="Times New Roman" w:hAnsi="Times New Roman" w:cs="Times New Roman"/>
      </w:rPr>
    </w:pPr>
    <w:hyperlink r:id="rId1" w:history="1">
      <w:r w:rsidR="00391509" w:rsidRPr="004824C9">
        <w:rPr>
          <w:rStyle w:val="Hipervnculo"/>
          <w:rFonts w:ascii="Times New Roman" w:hAnsi="Times New Roman" w:cs="Times New Roman"/>
        </w:rPr>
        <w:t>http://scielo.sld.cu</w:t>
      </w:r>
    </w:hyperlink>
  </w:p>
  <w:p w14:paraId="47675664" w14:textId="77777777" w:rsidR="00391509" w:rsidRPr="004824C9" w:rsidRDefault="002914A6" w:rsidP="004824C9">
    <w:pPr>
      <w:pStyle w:val="Piedepgina"/>
      <w:tabs>
        <w:tab w:val="clear" w:pos="4252"/>
        <w:tab w:val="left" w:pos="8504"/>
      </w:tabs>
      <w:spacing w:after="0"/>
      <w:ind w:right="357"/>
      <w:rPr>
        <w:rFonts w:ascii="Times New Roman" w:hAnsi="Times New Roman" w:cs="Times New Roman"/>
      </w:rPr>
    </w:pPr>
    <w:hyperlink r:id="rId2" w:history="1">
      <w:r w:rsidR="00391509" w:rsidRPr="004824C9">
        <w:rPr>
          <w:rStyle w:val="Hipervnculo"/>
          <w:rFonts w:ascii="Times New Roman" w:hAnsi="Times New Roman" w:cs="Times New Roman"/>
        </w:rPr>
        <w:t>http://www.revmedmilitar.sld.cu</w:t>
      </w:r>
    </w:hyperlink>
    <w:r w:rsidR="00391509" w:rsidRPr="004824C9">
      <w:rPr>
        <w:rFonts w:ascii="Times New Roman" w:hAnsi="Times New Roman" w:cs="Times New Roman"/>
      </w:rPr>
      <w:t xml:space="preserve"> </w:t>
    </w:r>
    <w:r w:rsidR="00AE044C" w:rsidRPr="004824C9">
      <w:rPr>
        <w:rFonts w:ascii="Times New Roman" w:hAnsi="Times New Roman" w:cs="Times New Roman"/>
      </w:rPr>
      <w:tab/>
    </w:r>
  </w:p>
  <w:p w14:paraId="626A0242" w14:textId="77777777" w:rsidR="00180CE9" w:rsidRPr="00CC376A" w:rsidRDefault="00180CE9" w:rsidP="004824C9">
    <w:pPr>
      <w:pStyle w:val="Piedepgina"/>
      <w:spacing w:after="0"/>
      <w:ind w:right="357"/>
      <w:jc w:val="center"/>
      <w:rPr>
        <w:rFonts w:ascii="Verdana" w:hAnsi="Verdana"/>
        <w:sz w:val="18"/>
        <w:szCs w:val="18"/>
      </w:rPr>
    </w:pPr>
    <w:r w:rsidRPr="004824C9">
      <w:rPr>
        <w:rFonts w:ascii="Times New Roman" w:hAnsi="Times New Roman" w:cs="Times New Roman"/>
      </w:rPr>
      <w:t>Bajo licencia Creative Commons</w:t>
    </w:r>
    <w:r w:rsidRPr="004824C9">
      <w:rPr>
        <w:rFonts w:ascii="Times New Roman" w:hAnsi="Times New Roman" w:cs="Times New Roman"/>
        <w:sz w:val="18"/>
        <w:szCs w:val="18"/>
      </w:rPr>
      <w:t xml:space="preserve"> </w:t>
    </w:r>
    <w:r>
      <w:rPr>
        <w:rFonts w:ascii="Verdana" w:hAnsi="Verdana"/>
        <w:noProof/>
        <w:sz w:val="18"/>
        <w:szCs w:val="18"/>
        <w:lang w:val="es-ES" w:eastAsia="es-ES"/>
      </w:rPr>
      <w:drawing>
        <wp:inline distT="0" distB="0" distL="0" distR="0" wp14:anchorId="4EC8D00C" wp14:editId="08E24902">
          <wp:extent cx="642106" cy="148894"/>
          <wp:effectExtent l="0" t="0" r="5715" b="3810"/>
          <wp:docPr id="3" name="Imagen 3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Commons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951" cy="183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28DDC" w14:textId="77777777" w:rsidR="002914A6" w:rsidRDefault="002914A6">
      <w:r>
        <w:separator/>
      </w:r>
    </w:p>
  </w:footnote>
  <w:footnote w:type="continuationSeparator" w:id="0">
    <w:p w14:paraId="6D8FD507" w14:textId="77777777" w:rsidR="002914A6" w:rsidRDefault="00291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EECFE" w14:textId="77777777" w:rsidR="00CC376A" w:rsidRPr="004824C9" w:rsidRDefault="00B31971" w:rsidP="00180CE9">
    <w:pPr>
      <w:pStyle w:val="Encabezado"/>
      <w:tabs>
        <w:tab w:val="left" w:pos="420"/>
      </w:tabs>
      <w:jc w:val="center"/>
      <w:rPr>
        <w:rFonts w:ascii="Times New Roman" w:hAnsi="Times New Roman" w:cs="Times New Roman"/>
      </w:rPr>
    </w:pPr>
    <w:r w:rsidRPr="004824C9">
      <w:rPr>
        <w:rFonts w:ascii="Times New Roman" w:hAnsi="Times New Roman" w:cs="Times New Roman"/>
        <w:b/>
        <w:noProof/>
        <w:color w:val="00FFFF"/>
        <w:lang w:val="es-ES" w:eastAsia="es-ES"/>
      </w:rPr>
      <w:drawing>
        <wp:anchor distT="0" distB="0" distL="114300" distR="114300" simplePos="0" relativeHeight="251662336" behindDoc="0" locked="0" layoutInCell="1" allowOverlap="1" wp14:anchorId="313357FB" wp14:editId="19C3019E">
          <wp:simplePos x="0" y="0"/>
          <wp:positionH relativeFrom="column">
            <wp:posOffset>6029325</wp:posOffset>
          </wp:positionH>
          <wp:positionV relativeFrom="paragraph">
            <wp:posOffset>-276225</wp:posOffset>
          </wp:positionV>
          <wp:extent cx="238125" cy="269875"/>
          <wp:effectExtent l="0" t="0" r="9525" b="0"/>
          <wp:wrapThrough wrapText="bothSides">
            <wp:wrapPolygon edited="0">
              <wp:start x="0" y="0"/>
              <wp:lineTo x="0" y="19821"/>
              <wp:lineTo x="20736" y="19821"/>
              <wp:lineTo x="20736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ITMA copia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" cy="269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40CB" w:rsidRPr="004824C9">
      <w:rPr>
        <w:rFonts w:ascii="Times New Roman" w:hAnsi="Times New Roman" w:cs="Times New Roman"/>
      </w:rPr>
      <w:t xml:space="preserve">Revista </w:t>
    </w:r>
    <w:r w:rsidR="00380D64" w:rsidRPr="004824C9">
      <w:rPr>
        <w:rFonts w:ascii="Times New Roman" w:hAnsi="Times New Roman" w:cs="Times New Roman"/>
      </w:rPr>
      <w:t>Cubana de Medicina Militar.</w:t>
    </w:r>
    <w:r w:rsidR="00D85951" w:rsidRPr="004824C9">
      <w:rPr>
        <w:rFonts w:ascii="Times New Roman" w:hAnsi="Times New Roman" w:cs="Times New Roman"/>
      </w:rPr>
      <w:t xml:space="preserve"> </w:t>
    </w:r>
    <w:r w:rsidR="004824C9">
      <w:rPr>
        <w:rFonts w:ascii="Times New Roman" w:hAnsi="Times New Roman" w:cs="Times New Roman"/>
      </w:rPr>
      <w:t>2021</w:t>
    </w:r>
    <w:r w:rsidR="003E03D5" w:rsidRPr="004824C9">
      <w:rPr>
        <w:rFonts w:ascii="Times New Roman" w:hAnsi="Times New Roman" w:cs="Times New Roman"/>
      </w:rPr>
      <w:t>;</w:t>
    </w:r>
    <w:r w:rsidR="004824C9">
      <w:rPr>
        <w:rFonts w:ascii="Times New Roman" w:hAnsi="Times New Roman" w:cs="Times New Roman"/>
      </w:rPr>
      <w:t>50</w:t>
    </w:r>
    <w:r w:rsidR="00493701" w:rsidRPr="004824C9">
      <w:rPr>
        <w:rFonts w:ascii="Times New Roman" w:hAnsi="Times New Roman" w:cs="Times New Roman"/>
      </w:rPr>
      <w:t>(</w:t>
    </w:r>
    <w:r w:rsidR="004824C9">
      <w:rPr>
        <w:rFonts w:ascii="Times New Roman" w:hAnsi="Times New Roman" w:cs="Times New Roman"/>
      </w:rPr>
      <w:t>2</w:t>
    </w:r>
    <w:r w:rsidR="00493701" w:rsidRPr="004824C9">
      <w:rPr>
        <w:rFonts w:ascii="Times New Roman" w:hAnsi="Times New Roman" w:cs="Times New Roman"/>
      </w:rPr>
      <w:t>)</w:t>
    </w:r>
    <w:r w:rsidR="00391509" w:rsidRPr="004824C9">
      <w:rPr>
        <w:rFonts w:ascii="Times New Roman" w:hAnsi="Times New Roman" w:cs="Times New Roman"/>
      </w:rPr>
      <w:t>:</w:t>
    </w:r>
    <w:r w:rsidR="004824C9">
      <w:rPr>
        <w:rFonts w:ascii="Times New Roman" w:hAnsi="Times New Roman" w:cs="Times New Roman"/>
      </w:rPr>
      <w:t>e0210980</w:t>
    </w:r>
  </w:p>
  <w:p w14:paraId="7AA6B924" w14:textId="77777777" w:rsidR="00A477DE" w:rsidRDefault="000F3690">
    <w:r w:rsidRPr="00CC376A">
      <w:rPr>
        <w:rFonts w:ascii="Verdana" w:hAnsi="Verdana"/>
        <w:noProof/>
        <w:color w:val="00FFFF"/>
        <w:sz w:val="18"/>
        <w:szCs w:val="18"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21BE2C" wp14:editId="4E898B87">
              <wp:simplePos x="0" y="0"/>
              <wp:positionH relativeFrom="column">
                <wp:posOffset>3809</wp:posOffset>
              </wp:positionH>
              <wp:positionV relativeFrom="paragraph">
                <wp:posOffset>44449</wp:posOffset>
              </wp:positionV>
              <wp:extent cx="6276975" cy="28575"/>
              <wp:effectExtent l="19050" t="19050" r="28575" b="2857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28575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AA4B6A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3.5pt" to="494.5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" strokecolor="blue" strokeweight="2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EC1"/>
    <w:rsid w:val="000F3690"/>
    <w:rsid w:val="001221D1"/>
    <w:rsid w:val="00135EC1"/>
    <w:rsid w:val="00180CE9"/>
    <w:rsid w:val="00230DD5"/>
    <w:rsid w:val="002914A6"/>
    <w:rsid w:val="00303D45"/>
    <w:rsid w:val="00380D64"/>
    <w:rsid w:val="00391509"/>
    <w:rsid w:val="003E03D5"/>
    <w:rsid w:val="004824C9"/>
    <w:rsid w:val="00493701"/>
    <w:rsid w:val="004E2065"/>
    <w:rsid w:val="005508A2"/>
    <w:rsid w:val="00566F71"/>
    <w:rsid w:val="00675476"/>
    <w:rsid w:val="007C430F"/>
    <w:rsid w:val="007D614D"/>
    <w:rsid w:val="00960D6A"/>
    <w:rsid w:val="009A0560"/>
    <w:rsid w:val="009B0917"/>
    <w:rsid w:val="00A23C0C"/>
    <w:rsid w:val="00A477DE"/>
    <w:rsid w:val="00A71E65"/>
    <w:rsid w:val="00AE044C"/>
    <w:rsid w:val="00B31971"/>
    <w:rsid w:val="00B4380A"/>
    <w:rsid w:val="00B66ECB"/>
    <w:rsid w:val="00C7523A"/>
    <w:rsid w:val="00CC1B6E"/>
    <w:rsid w:val="00CC376A"/>
    <w:rsid w:val="00CC48A1"/>
    <w:rsid w:val="00D85951"/>
    <w:rsid w:val="00E62606"/>
    <w:rsid w:val="00FE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8B9479"/>
  <w15:docId w15:val="{AA42164D-C521-42F2-B44D-A80C184D4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5EC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7547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675476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FE40CB"/>
    <w:pPr>
      <w:spacing w:before="100" w:beforeAutospacing="1" w:after="100" w:afterAutospacing="1"/>
    </w:pPr>
  </w:style>
  <w:style w:type="character" w:styleId="Hipervnculo">
    <w:name w:val="Hyperlink"/>
    <w:uiPriority w:val="99"/>
    <w:rsid w:val="00FE40CB"/>
    <w:rPr>
      <w:color w:val="0000FF"/>
      <w:u w:val="single"/>
    </w:rPr>
  </w:style>
  <w:style w:type="character" w:styleId="Nmerodepgina">
    <w:name w:val="page number"/>
    <w:basedOn w:val="Fuentedeprrafopredeter"/>
    <w:rsid w:val="00FE40CB"/>
  </w:style>
  <w:style w:type="character" w:customStyle="1" w:styleId="EncabezadoCar">
    <w:name w:val="Encabezado Car"/>
    <w:link w:val="Encabezado"/>
    <w:uiPriority w:val="99"/>
    <w:rsid w:val="00A71E65"/>
    <w:rPr>
      <w:sz w:val="24"/>
      <w:szCs w:val="24"/>
      <w:lang w:val="es-ES_tradnl" w:eastAsia="es-ES_tradnl"/>
    </w:rPr>
  </w:style>
  <w:style w:type="character" w:customStyle="1" w:styleId="PiedepginaCar">
    <w:name w:val="Pie de página Car"/>
    <w:link w:val="Piedepgina"/>
    <w:uiPriority w:val="99"/>
    <w:rsid w:val="00A71E65"/>
    <w:rPr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rsid w:val="00A71E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71E65"/>
    <w:rPr>
      <w:rFonts w:ascii="Tahoma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ndfonline.com/doi/full/10.1080/17405629.2016.125961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ristony_777@hotmail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cid.org/0000-0002-3417-5701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journals.sagepub.com/doi/full/10.1177/2515245918779348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nc-sa/4.0/" TargetMode="External"/><Relationship Id="rId2" Type="http://schemas.openxmlformats.org/officeDocument/2006/relationships/hyperlink" Target="http://www.revmedmilitar.sld.cu" TargetMode="External"/><Relationship Id="rId1" Type="http://schemas.openxmlformats.org/officeDocument/2006/relationships/hyperlink" Target="http://scielo.sld.cu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RABAJO\N&#250;mero%20nuevo\PDF\OK_art&#237;cul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OK_artículo.dotx</Template>
  <TotalTime>4</TotalTime>
  <Pages>4</Pages>
  <Words>1192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The houze!</Company>
  <LinksUpToDate>false</LinksUpToDate>
  <CharactersWithSpaces>7737</CharactersWithSpaces>
  <SharedDoc>false</SharedDoc>
  <HLinks>
    <vt:vector size="30" baseType="variant">
      <vt:variant>
        <vt:i4>1048690</vt:i4>
      </vt:variant>
      <vt:variant>
        <vt:i4>12</vt:i4>
      </vt:variant>
      <vt:variant>
        <vt:i4>0</vt:i4>
      </vt:variant>
      <vt:variant>
        <vt:i4>5</vt:i4>
      </vt:variant>
      <vt:variant>
        <vt:lpwstr>mailto:nereyda@ipk.sld.cu</vt:lpwstr>
      </vt:variant>
      <vt:variant>
        <vt:lpwstr/>
      </vt:variant>
      <vt:variant>
        <vt:i4>5963839</vt:i4>
      </vt:variant>
      <vt:variant>
        <vt:i4>9</vt:i4>
      </vt:variant>
      <vt:variant>
        <vt:i4>0</vt:i4>
      </vt:variant>
      <vt:variant>
        <vt:i4>5</vt:i4>
      </vt:variant>
      <vt:variant>
        <vt:lpwstr>mailto:nereydac@infomed.sld.cu</vt:lpwstr>
      </vt:variant>
      <vt:variant>
        <vt:lpwstr/>
      </vt:variant>
      <vt:variant>
        <vt:i4>8192031</vt:i4>
      </vt:variant>
      <vt:variant>
        <vt:i4>6</vt:i4>
      </vt:variant>
      <vt:variant>
        <vt:i4>0</vt:i4>
      </vt:variant>
      <vt:variant>
        <vt:i4>5</vt:i4>
      </vt:variant>
      <vt:variant>
        <vt:lpwstr>mailto:bcantelar@ipk.sld.cu</vt:lpwstr>
      </vt:variant>
      <vt:variant>
        <vt:lpwstr/>
      </vt:variant>
      <vt:variant>
        <vt:i4>7012358</vt:i4>
      </vt:variant>
      <vt:variant>
        <vt:i4>3</vt:i4>
      </vt:variant>
      <vt:variant>
        <vt:i4>0</vt:i4>
      </vt:variant>
      <vt:variant>
        <vt:i4>5</vt:i4>
      </vt:variant>
      <vt:variant>
        <vt:lpwstr>mailto:mayasilmp@infomed.sld.cu</vt:lpwstr>
      </vt:variant>
      <vt:variant>
        <vt:lpwstr/>
      </vt:variant>
      <vt:variant>
        <vt:i4>5701664</vt:i4>
      </vt:variant>
      <vt:variant>
        <vt:i4>0</vt:i4>
      </vt:variant>
      <vt:variant>
        <vt:i4>0</vt:i4>
      </vt:variant>
      <vt:variant>
        <vt:i4>5</vt:i4>
      </vt:variant>
      <vt:variant>
        <vt:lpwstr>mailto:nery@ipk.sld.cu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Plantilla para pdf</dc:subject>
  <dc:creator>Amanda Talía Castillo Carratala</dc:creator>
  <cp:lastModifiedBy>SG</cp:lastModifiedBy>
  <cp:revision>3</cp:revision>
  <cp:lastPrinted>2010-09-13T21:29:00Z</cp:lastPrinted>
  <dcterms:created xsi:type="dcterms:W3CDTF">2021-03-24T21:01:00Z</dcterms:created>
  <dcterms:modified xsi:type="dcterms:W3CDTF">2021-04-01T16:53:00Z</dcterms:modified>
</cp:coreProperties>
</file>