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9EDD" w14:textId="77777777" w:rsidR="002D215E" w:rsidRPr="002D215E" w:rsidRDefault="002D215E" w:rsidP="002D215E">
      <w:pPr>
        <w:spacing w:line="360" w:lineRule="auto"/>
        <w:jc w:val="right"/>
        <w:rPr>
          <w:rFonts w:eastAsia="Calibri"/>
          <w:sz w:val="20"/>
          <w:szCs w:val="20"/>
          <w:lang w:val="es-ES" w:eastAsia="en-US"/>
        </w:rPr>
      </w:pPr>
      <w:r w:rsidRPr="002D215E">
        <w:rPr>
          <w:rFonts w:eastAsia="Calibri"/>
          <w:sz w:val="20"/>
          <w:szCs w:val="20"/>
          <w:lang w:val="es-ES" w:eastAsia="en-US"/>
        </w:rPr>
        <w:t>Trabajo de investigación</w:t>
      </w:r>
    </w:p>
    <w:p w14:paraId="5103828A" w14:textId="77777777" w:rsidR="002D215E" w:rsidRPr="002D215E" w:rsidRDefault="002D215E" w:rsidP="002D215E">
      <w:pPr>
        <w:spacing w:line="360" w:lineRule="auto"/>
        <w:jc w:val="right"/>
        <w:rPr>
          <w:rFonts w:eastAsia="Calibri"/>
          <w:lang w:val="es-ES" w:eastAsia="en-US"/>
        </w:rPr>
      </w:pPr>
    </w:p>
    <w:p w14:paraId="0EB3C473" w14:textId="77777777" w:rsidR="002D215E" w:rsidRPr="002D215E" w:rsidRDefault="002D215E" w:rsidP="002D215E">
      <w:pPr>
        <w:spacing w:line="360" w:lineRule="auto"/>
        <w:jc w:val="center"/>
        <w:rPr>
          <w:rFonts w:eastAsia="Calibri"/>
          <w:b/>
          <w:sz w:val="28"/>
          <w:szCs w:val="28"/>
          <w:lang w:val="es-ES" w:eastAsia="en-US"/>
        </w:rPr>
      </w:pPr>
      <w:r w:rsidRPr="002D215E">
        <w:rPr>
          <w:rFonts w:eastAsia="Calibri"/>
          <w:b/>
          <w:sz w:val="28"/>
          <w:szCs w:val="28"/>
          <w:lang w:val="es-ES" w:eastAsia="en-US"/>
        </w:rPr>
        <w:t>Sexualidad y características biológicas, psicoafectivas y sociales en mujeres climatéricas</w:t>
      </w:r>
    </w:p>
    <w:p w14:paraId="21841ADD" w14:textId="77777777" w:rsidR="002D215E" w:rsidRPr="002D215E" w:rsidRDefault="002D215E" w:rsidP="002D215E">
      <w:pPr>
        <w:spacing w:line="360" w:lineRule="auto"/>
        <w:jc w:val="center"/>
        <w:rPr>
          <w:rFonts w:eastAsia="Calibri"/>
          <w:sz w:val="28"/>
          <w:szCs w:val="28"/>
          <w:lang w:val="en-US" w:eastAsia="en-US"/>
        </w:rPr>
      </w:pPr>
      <w:r w:rsidRPr="002D215E">
        <w:rPr>
          <w:rFonts w:eastAsia="Calibri"/>
          <w:sz w:val="28"/>
          <w:szCs w:val="28"/>
          <w:lang w:val="en-US" w:eastAsia="en-US"/>
        </w:rPr>
        <w:t>Sexuality and biological, psycho-affective and social characteristics in climacterics women</w:t>
      </w:r>
    </w:p>
    <w:p w14:paraId="640754C5" w14:textId="77777777" w:rsidR="002D215E" w:rsidRPr="002D215E" w:rsidRDefault="002D215E" w:rsidP="002D215E">
      <w:pPr>
        <w:spacing w:line="360" w:lineRule="auto"/>
        <w:jc w:val="center"/>
        <w:rPr>
          <w:rFonts w:eastAsia="Calibri"/>
          <w:lang w:val="en-US" w:eastAsia="en-US"/>
        </w:rPr>
      </w:pPr>
    </w:p>
    <w:p w14:paraId="084BE429" w14:textId="77777777" w:rsidR="002D215E" w:rsidRPr="002D215E" w:rsidRDefault="002D215E" w:rsidP="002D215E">
      <w:pPr>
        <w:spacing w:line="360" w:lineRule="auto"/>
        <w:jc w:val="both"/>
        <w:rPr>
          <w:rFonts w:eastAsia="Calibri"/>
          <w:lang w:val="en-US" w:eastAsia="en-US"/>
        </w:rPr>
      </w:pPr>
      <w:r w:rsidRPr="002D215E">
        <w:rPr>
          <w:rFonts w:eastAsia="Calibri"/>
          <w:lang w:val="en-US" w:eastAsia="en-US"/>
        </w:rPr>
        <w:t>Lessing Spengler González</w:t>
      </w:r>
      <w:r w:rsidRPr="002D215E">
        <w:rPr>
          <w:rFonts w:eastAsia="Calibri"/>
          <w:vertAlign w:val="superscript"/>
          <w:lang w:val="en-US" w:eastAsia="en-US"/>
        </w:rPr>
        <w:t>1</w:t>
      </w:r>
      <w:r w:rsidRPr="002D215E">
        <w:rPr>
          <w:rFonts w:eastAsia="Calibri"/>
          <w:lang w:val="en-US" w:eastAsia="en-US"/>
        </w:rPr>
        <w:t xml:space="preserve">* </w:t>
      </w:r>
      <w:hyperlink r:id="rId7" w:history="1">
        <w:r w:rsidRPr="002D215E">
          <w:rPr>
            <w:rFonts w:eastAsia="Calibri"/>
            <w:color w:val="0563C1"/>
            <w:u w:val="single"/>
            <w:lang w:val="en-US" w:eastAsia="en-US"/>
          </w:rPr>
          <w:t>https://orcid.org/0000-0002-8371-9859</w:t>
        </w:r>
      </w:hyperlink>
    </w:p>
    <w:p w14:paraId="627C9D28"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Ozara Granado Martínez</w:t>
      </w:r>
      <w:r w:rsidRPr="002D215E">
        <w:rPr>
          <w:rFonts w:eastAsia="Calibri"/>
          <w:vertAlign w:val="superscript"/>
          <w:lang w:val="es-ES" w:eastAsia="en-US"/>
        </w:rPr>
        <w:t xml:space="preserve">1 </w:t>
      </w:r>
      <w:hyperlink r:id="rId8" w:history="1">
        <w:r w:rsidRPr="002D215E">
          <w:rPr>
            <w:rFonts w:eastAsia="Calibri"/>
            <w:color w:val="0563C1"/>
            <w:u w:val="single"/>
            <w:lang w:val="es-ES" w:eastAsia="en-US"/>
          </w:rPr>
          <w:t>https://orcid.org/0000-0002-9822-6264</w:t>
        </w:r>
      </w:hyperlink>
    </w:p>
    <w:p w14:paraId="61A6046F"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Miguel Ramón Benítez Santa Cruz</w:t>
      </w:r>
      <w:r w:rsidRPr="002D215E">
        <w:rPr>
          <w:rFonts w:eastAsia="Calibri"/>
          <w:vertAlign w:val="superscript"/>
          <w:lang w:val="es-ES" w:eastAsia="en-US"/>
        </w:rPr>
        <w:t xml:space="preserve">1 </w:t>
      </w:r>
      <w:hyperlink r:id="rId9" w:history="1">
        <w:r w:rsidRPr="002D215E">
          <w:rPr>
            <w:rFonts w:eastAsia="Calibri"/>
            <w:color w:val="0563C1"/>
            <w:u w:val="single"/>
            <w:lang w:val="es-ES" w:eastAsia="en-US"/>
          </w:rPr>
          <w:t>https://orcid.org/0000-0001-7819-2856</w:t>
        </w:r>
      </w:hyperlink>
    </w:p>
    <w:p w14:paraId="39050EA9" w14:textId="77777777" w:rsidR="002D215E" w:rsidRPr="002D215E" w:rsidRDefault="002D215E" w:rsidP="002D215E">
      <w:pPr>
        <w:spacing w:line="360" w:lineRule="auto"/>
        <w:jc w:val="both"/>
        <w:rPr>
          <w:rFonts w:eastAsia="Calibri"/>
          <w:lang w:val="es-ES" w:eastAsia="en-US"/>
        </w:rPr>
      </w:pPr>
    </w:p>
    <w:p w14:paraId="1210384C" w14:textId="77777777" w:rsidR="002D215E" w:rsidRPr="002D215E" w:rsidRDefault="002D215E" w:rsidP="002D215E">
      <w:pPr>
        <w:spacing w:line="360" w:lineRule="auto"/>
        <w:jc w:val="both"/>
        <w:rPr>
          <w:rFonts w:eastAsia="Calibri"/>
          <w:lang w:val="es-ES" w:eastAsia="en-US"/>
        </w:rPr>
      </w:pPr>
      <w:r w:rsidRPr="002D215E">
        <w:rPr>
          <w:rFonts w:eastAsia="Calibri"/>
          <w:vertAlign w:val="superscript"/>
          <w:lang w:val="es-ES" w:eastAsia="en-US"/>
        </w:rPr>
        <w:t>1</w:t>
      </w:r>
      <w:r w:rsidRPr="002D215E">
        <w:rPr>
          <w:rFonts w:eastAsia="Calibri"/>
          <w:lang w:val="es-ES" w:eastAsia="en-US"/>
        </w:rPr>
        <w:t>Hospital Militar Central "Dr. Carlos J. Finlay". La Habana, Cuba.</w:t>
      </w:r>
    </w:p>
    <w:p w14:paraId="134C795A"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 xml:space="preserve">*Autor para la correspondencia. Correo electrónico: </w:t>
      </w:r>
      <w:hyperlink r:id="rId10" w:history="1">
        <w:r w:rsidRPr="002D215E">
          <w:rPr>
            <w:rFonts w:eastAsia="Calibri"/>
            <w:color w:val="0000FF"/>
            <w:u w:val="single"/>
            <w:lang w:val="es-ES" w:eastAsia="en-US"/>
          </w:rPr>
          <w:t>lessingm@infomed.sld.cu</w:t>
        </w:r>
      </w:hyperlink>
    </w:p>
    <w:p w14:paraId="77D83EF1" w14:textId="77777777" w:rsidR="002D215E" w:rsidRPr="002D215E" w:rsidRDefault="002D215E" w:rsidP="002D215E">
      <w:pPr>
        <w:autoSpaceDE w:val="0"/>
        <w:autoSpaceDN w:val="0"/>
        <w:adjustRightInd w:val="0"/>
        <w:spacing w:line="360" w:lineRule="auto"/>
        <w:jc w:val="both"/>
        <w:rPr>
          <w:rFonts w:eastAsia="Calibri"/>
          <w:b/>
          <w:lang w:val="es-ES" w:eastAsia="en-US"/>
        </w:rPr>
      </w:pPr>
    </w:p>
    <w:p w14:paraId="3DF3AE2B" w14:textId="77777777" w:rsidR="002D215E" w:rsidRPr="002D215E" w:rsidRDefault="002D215E" w:rsidP="002D215E">
      <w:pPr>
        <w:spacing w:line="360" w:lineRule="auto"/>
        <w:rPr>
          <w:rFonts w:eastAsia="Calibri"/>
          <w:b/>
          <w:lang w:val="es-ES" w:eastAsia="en-US"/>
        </w:rPr>
      </w:pPr>
      <w:r w:rsidRPr="002D215E">
        <w:rPr>
          <w:rFonts w:eastAsia="Calibri"/>
          <w:b/>
          <w:lang w:val="es-ES" w:eastAsia="en-US"/>
        </w:rPr>
        <w:t>RESUMEN</w:t>
      </w:r>
    </w:p>
    <w:p w14:paraId="486D82F5" w14:textId="77777777" w:rsidR="002D215E" w:rsidRPr="002D215E" w:rsidRDefault="002D215E" w:rsidP="002D215E">
      <w:pPr>
        <w:spacing w:line="360" w:lineRule="auto"/>
        <w:jc w:val="both"/>
        <w:rPr>
          <w:rFonts w:eastAsia="Calibri"/>
          <w:lang w:val="es-ES" w:eastAsia="en-US"/>
        </w:rPr>
      </w:pPr>
      <w:r w:rsidRPr="002D215E">
        <w:rPr>
          <w:rFonts w:eastAsia="Calibri"/>
          <w:b/>
          <w:lang w:val="es-ES" w:eastAsia="en-US"/>
        </w:rPr>
        <w:t>Introducción</w:t>
      </w:r>
      <w:r w:rsidRPr="002D215E">
        <w:rPr>
          <w:rFonts w:eastAsia="Calibri"/>
          <w:b/>
          <w:bCs/>
          <w:lang w:val="es-ES" w:eastAsia="en-US"/>
        </w:rPr>
        <w:t xml:space="preserve">: </w:t>
      </w:r>
      <w:r w:rsidRPr="002D215E">
        <w:rPr>
          <w:rFonts w:eastAsia="Calibri"/>
          <w:lang w:val="es-ES" w:eastAsia="en-US"/>
        </w:rPr>
        <w:t>Se desconocen las características sexuales, biológicas y psicosociales de mujeres con menopausia fisiológica, en la consulta de climaterio y menopausia. Esta información resulta importante para realizar acciones de promoción de salud.</w:t>
      </w:r>
    </w:p>
    <w:p w14:paraId="2C45DAF4" w14:textId="77777777" w:rsidR="002D215E" w:rsidRPr="002D215E" w:rsidRDefault="002D215E" w:rsidP="002D215E">
      <w:pPr>
        <w:spacing w:line="360" w:lineRule="auto"/>
        <w:jc w:val="both"/>
        <w:rPr>
          <w:rFonts w:eastAsia="Calibri"/>
          <w:lang w:val="es-ES" w:eastAsia="en-US"/>
        </w:rPr>
      </w:pPr>
      <w:r w:rsidRPr="002D215E">
        <w:rPr>
          <w:rFonts w:eastAsia="Calibri"/>
          <w:b/>
          <w:lang w:val="es-ES" w:eastAsia="en-US"/>
        </w:rPr>
        <w:t>Objetivo</w:t>
      </w:r>
      <w:r w:rsidRPr="002D215E">
        <w:rPr>
          <w:rFonts w:eastAsia="Calibri"/>
          <w:b/>
          <w:bCs/>
          <w:lang w:val="es-ES" w:eastAsia="en-US"/>
        </w:rPr>
        <w:t>:</w:t>
      </w:r>
      <w:r w:rsidRPr="002D215E">
        <w:rPr>
          <w:rFonts w:eastAsia="Calibri"/>
          <w:lang w:val="es-ES" w:eastAsia="en-US"/>
        </w:rPr>
        <w:t xml:space="preserve"> Determinar las características sexuales, biológicas y psicosociales más frecuentes en mujeres climatéricas.</w:t>
      </w:r>
    </w:p>
    <w:p w14:paraId="0EED9657" w14:textId="77777777" w:rsidR="002D215E" w:rsidRPr="002D215E" w:rsidRDefault="002D215E" w:rsidP="002D215E">
      <w:pPr>
        <w:spacing w:line="360" w:lineRule="auto"/>
        <w:jc w:val="both"/>
        <w:rPr>
          <w:rFonts w:eastAsia="Calibri"/>
          <w:lang w:val="es-ES" w:eastAsia="en-US"/>
        </w:rPr>
      </w:pPr>
      <w:r w:rsidRPr="002D215E">
        <w:rPr>
          <w:rFonts w:eastAsia="Calibri"/>
          <w:b/>
          <w:lang w:val="es-ES" w:eastAsia="en-US"/>
        </w:rPr>
        <w:t>Métodos</w:t>
      </w:r>
      <w:r w:rsidRPr="002D215E">
        <w:rPr>
          <w:rFonts w:eastAsia="Calibri"/>
          <w:b/>
          <w:bCs/>
          <w:lang w:val="es-ES" w:eastAsia="en-US"/>
        </w:rPr>
        <w:t>:</w:t>
      </w:r>
      <w:r w:rsidRPr="002D215E">
        <w:rPr>
          <w:rFonts w:eastAsia="Calibri"/>
          <w:lang w:val="es-ES" w:eastAsia="en-US"/>
        </w:rPr>
        <w:t xml:space="preserve"> Se realizó un estudio descriptivo, de corte transversal en 300 mujeres climatéricas, con menopausia fisiológica confirmada. Se recogió la edad (agrupada en 40-44, 45-49 y más de 49 años), el tiempo de menopausia (agrupada en menos de 3 años, 3-5 años, 6-10 años y más de 10 años), presencia de afecciones genitourinarias, síntomas físicos, psicosociales y sexuales.</w:t>
      </w:r>
    </w:p>
    <w:p w14:paraId="4BAD36F6" w14:textId="4A7819B8" w:rsidR="002D215E" w:rsidRPr="002D215E" w:rsidRDefault="002D215E" w:rsidP="002D215E">
      <w:pPr>
        <w:spacing w:line="360" w:lineRule="auto"/>
        <w:jc w:val="both"/>
        <w:rPr>
          <w:rFonts w:eastAsia="Calibri"/>
          <w:bCs/>
          <w:lang w:val="es-ES" w:eastAsia="en-US"/>
        </w:rPr>
      </w:pPr>
      <w:r w:rsidRPr="002D215E">
        <w:rPr>
          <w:rFonts w:eastAsia="Calibri"/>
          <w:b/>
          <w:lang w:val="es-ES" w:eastAsia="en-US"/>
        </w:rPr>
        <w:t>Resultados</w:t>
      </w:r>
      <w:r w:rsidRPr="002D215E">
        <w:rPr>
          <w:rFonts w:eastAsia="Calibri"/>
          <w:b/>
          <w:bCs/>
          <w:lang w:val="es-ES" w:eastAsia="en-US"/>
        </w:rPr>
        <w:t xml:space="preserve">: </w:t>
      </w:r>
      <w:r w:rsidRPr="002D215E">
        <w:rPr>
          <w:rFonts w:eastAsia="Calibri"/>
          <w:lang w:val="es-ES" w:eastAsia="en-US"/>
        </w:rPr>
        <w:t xml:space="preserve">Predominaron mujeres mayores de 49 años (56 %) con 33,4 % de 3 a 5 años de menopausia, 6,7 % de atrofia genitourinaria, </w:t>
      </w:r>
      <w:r w:rsidRPr="002D215E">
        <w:rPr>
          <w:rFonts w:eastAsia="Calibri"/>
          <w:bCs/>
          <w:lang w:val="es-ES" w:eastAsia="en-US"/>
        </w:rPr>
        <w:t xml:space="preserve">síntomas de sofocos 75 %, dolores óseos, 70 %, depresión-ansiedad y sequedad vaginal, 50 %; </w:t>
      </w:r>
      <w:r w:rsidRPr="002D215E">
        <w:rPr>
          <w:rFonts w:eastAsia="Calibri"/>
          <w:lang w:val="es-ES" w:eastAsia="en-US"/>
        </w:rPr>
        <w:t xml:space="preserve">45 % </w:t>
      </w:r>
      <w:r w:rsidRPr="002D215E">
        <w:rPr>
          <w:rFonts w:eastAsia="Calibri"/>
          <w:bCs/>
          <w:lang w:val="es-ES" w:eastAsia="en-US"/>
        </w:rPr>
        <w:t>de insatisfacción sexual y dificultad en la toma de decisiones, 40 % con dificultades en la comunicación con la pareja y desinterés, 38,6 % tuvo disminución del deseo sexual, mientras que el</w:t>
      </w:r>
      <w:r w:rsidR="00B04639">
        <w:rPr>
          <w:rFonts w:eastAsia="Calibri"/>
          <w:bCs/>
          <w:lang w:val="es-ES" w:eastAsia="en-US"/>
        </w:rPr>
        <w:t xml:space="preserve"> </w:t>
      </w:r>
      <w:r w:rsidRPr="002D215E">
        <w:rPr>
          <w:rFonts w:eastAsia="Calibri"/>
          <w:bCs/>
          <w:lang w:val="es-ES" w:eastAsia="en-US"/>
        </w:rPr>
        <w:t>16 % incrementó su apetencia sexual.</w:t>
      </w:r>
    </w:p>
    <w:p w14:paraId="4F224D6A" w14:textId="77777777" w:rsidR="002D215E" w:rsidRPr="002D215E" w:rsidRDefault="002D215E" w:rsidP="002D215E">
      <w:pPr>
        <w:spacing w:line="360" w:lineRule="auto"/>
        <w:jc w:val="both"/>
        <w:rPr>
          <w:rFonts w:eastAsia="Calibri"/>
          <w:bCs/>
          <w:lang w:val="es-ES" w:eastAsia="en-US"/>
        </w:rPr>
      </w:pPr>
      <w:r w:rsidRPr="002D215E">
        <w:rPr>
          <w:rFonts w:eastAsia="Calibri"/>
          <w:b/>
          <w:bCs/>
          <w:lang w:val="es-ES" w:eastAsia="en-US"/>
        </w:rPr>
        <w:lastRenderedPageBreak/>
        <w:t xml:space="preserve">Conclusiones: </w:t>
      </w:r>
      <w:r w:rsidRPr="002D215E">
        <w:rPr>
          <w:rFonts w:eastAsia="Calibri"/>
          <w:bCs/>
          <w:lang w:val="es-ES" w:eastAsia="en-US"/>
        </w:rPr>
        <w:t>Las mujeres climatéricas estudiadas fueron mayores de 49 años, con menopausia entre 3 y 5 años, con bajo porcentaje de atrofia genitourinaria, con sofocos, dolores óseos, sequedad vaginal, depresión, ansiedad, dificultad en la comunicación de pareja y disminución del deseo sexual.</w:t>
      </w:r>
    </w:p>
    <w:p w14:paraId="7200B15F" w14:textId="77777777" w:rsidR="002D215E" w:rsidRPr="002D215E" w:rsidRDefault="002D215E" w:rsidP="002D215E">
      <w:pPr>
        <w:spacing w:line="360" w:lineRule="auto"/>
        <w:jc w:val="both"/>
        <w:rPr>
          <w:rFonts w:eastAsia="Calibri"/>
          <w:bCs/>
          <w:lang w:val="es-ES" w:eastAsia="en-US"/>
        </w:rPr>
      </w:pPr>
      <w:r w:rsidRPr="002D215E">
        <w:rPr>
          <w:rFonts w:eastAsia="Calibri"/>
          <w:b/>
          <w:bCs/>
          <w:lang w:val="es-ES" w:eastAsia="en-US"/>
        </w:rPr>
        <w:t xml:space="preserve">Palabras clave: </w:t>
      </w:r>
      <w:r w:rsidRPr="002D215E">
        <w:rPr>
          <w:rFonts w:eastAsia="Calibri"/>
          <w:lang w:val="es-ES" w:eastAsia="en-US"/>
        </w:rPr>
        <w:t>s</w:t>
      </w:r>
      <w:r w:rsidRPr="002D215E">
        <w:rPr>
          <w:rFonts w:eastAsia="Calibri"/>
          <w:bCs/>
          <w:lang w:val="es-ES" w:eastAsia="en-US"/>
        </w:rPr>
        <w:t>exualidad; características biológicas, psicológicas, sociales y sexuales; mujer climatérica; menopausia fisiológica.</w:t>
      </w:r>
    </w:p>
    <w:p w14:paraId="1FA18FDC" w14:textId="77777777" w:rsidR="002D215E" w:rsidRPr="002D215E" w:rsidRDefault="002D215E" w:rsidP="002D215E">
      <w:pPr>
        <w:spacing w:line="360" w:lineRule="auto"/>
        <w:jc w:val="both"/>
        <w:rPr>
          <w:rFonts w:eastAsia="Calibri"/>
          <w:lang w:val="es-ES" w:eastAsia="en-US"/>
        </w:rPr>
      </w:pPr>
    </w:p>
    <w:p w14:paraId="1418B8A0" w14:textId="77777777" w:rsidR="002D215E" w:rsidRPr="002D215E" w:rsidRDefault="002D215E" w:rsidP="002D215E">
      <w:pPr>
        <w:spacing w:line="360" w:lineRule="auto"/>
        <w:rPr>
          <w:lang w:val="en-US" w:eastAsia="es-ES"/>
        </w:rPr>
      </w:pPr>
      <w:r w:rsidRPr="002D215E">
        <w:rPr>
          <w:b/>
          <w:bCs/>
          <w:lang w:val="en-US" w:eastAsia="es-ES"/>
        </w:rPr>
        <w:t>ABSTRACT</w:t>
      </w:r>
    </w:p>
    <w:p w14:paraId="136F9377" w14:textId="77777777" w:rsidR="002D215E" w:rsidRPr="002D215E" w:rsidRDefault="002D215E" w:rsidP="002D215E">
      <w:pPr>
        <w:spacing w:line="360" w:lineRule="auto"/>
        <w:jc w:val="both"/>
        <w:rPr>
          <w:lang w:val="en-US" w:eastAsia="es-ES"/>
        </w:rPr>
      </w:pPr>
      <w:r w:rsidRPr="002D215E">
        <w:rPr>
          <w:b/>
          <w:bCs/>
          <w:lang w:val="en-US" w:eastAsia="es-ES"/>
        </w:rPr>
        <w:t>Introduction:</w:t>
      </w:r>
      <w:r w:rsidRPr="002D215E">
        <w:rPr>
          <w:lang w:val="en-US" w:eastAsia="es-ES"/>
        </w:rPr>
        <w:t xml:space="preserve"> The sexual, biological and psychosocial characteristics of women with physiological menopause in the climacteric and menopause consultation are not known. This information is important to carry out health promotion actions.</w:t>
      </w:r>
    </w:p>
    <w:p w14:paraId="3A78FEB1" w14:textId="77777777" w:rsidR="002D215E" w:rsidRPr="002D215E" w:rsidRDefault="002D215E" w:rsidP="002D215E">
      <w:pPr>
        <w:spacing w:line="360" w:lineRule="auto"/>
        <w:jc w:val="both"/>
        <w:rPr>
          <w:lang w:val="en-US" w:eastAsia="es-ES"/>
        </w:rPr>
      </w:pPr>
      <w:r w:rsidRPr="002D215E">
        <w:rPr>
          <w:b/>
          <w:bCs/>
          <w:lang w:val="en-US" w:eastAsia="es-ES"/>
        </w:rPr>
        <w:t>Objective:</w:t>
      </w:r>
      <w:r w:rsidRPr="002D215E">
        <w:rPr>
          <w:lang w:val="en-US" w:eastAsia="es-ES"/>
        </w:rPr>
        <w:t xml:space="preserve"> To determine the most frequent sexual, biological and psychosocial characteristics in climacteric women.</w:t>
      </w:r>
    </w:p>
    <w:p w14:paraId="4ECFAA8F" w14:textId="77777777" w:rsidR="002D215E" w:rsidRPr="002D215E" w:rsidRDefault="002D215E" w:rsidP="002D215E">
      <w:pPr>
        <w:spacing w:line="360" w:lineRule="auto"/>
        <w:jc w:val="both"/>
        <w:rPr>
          <w:lang w:val="en-US" w:eastAsia="es-ES"/>
        </w:rPr>
      </w:pPr>
      <w:r w:rsidRPr="002D215E">
        <w:rPr>
          <w:b/>
          <w:bCs/>
          <w:lang w:val="en-US" w:eastAsia="es-ES"/>
        </w:rPr>
        <w:t>Methods:</w:t>
      </w:r>
      <w:r w:rsidRPr="002D215E">
        <w:rPr>
          <w:lang w:val="en-US" w:eastAsia="es-ES"/>
        </w:rPr>
        <w:t xml:space="preserve"> A descriptive, cross-sectional study was carried out in 300 climacteric women with confirmed physiological menopause. Age (grouped in 40-44, 45-49 and more than 49 years), time of menopause (grouped in less than 3 years, 3-5 years, 6-10 years and more than 10 years), presence of genitourinary affections, physical, psychosocial and sexual symptoms.</w:t>
      </w:r>
    </w:p>
    <w:p w14:paraId="0FCF1D1F" w14:textId="77777777" w:rsidR="002D215E" w:rsidRPr="002D215E" w:rsidRDefault="002D215E" w:rsidP="002D215E">
      <w:pPr>
        <w:spacing w:line="360" w:lineRule="auto"/>
        <w:jc w:val="both"/>
        <w:rPr>
          <w:lang w:val="en-US" w:eastAsia="es-ES"/>
        </w:rPr>
      </w:pPr>
      <w:r w:rsidRPr="002D215E">
        <w:rPr>
          <w:b/>
          <w:bCs/>
          <w:lang w:val="en-US" w:eastAsia="es-ES"/>
        </w:rPr>
        <w:t xml:space="preserve">Results: </w:t>
      </w:r>
      <w:r w:rsidRPr="002D215E">
        <w:rPr>
          <w:lang w:val="en-US" w:eastAsia="es-ES"/>
        </w:rPr>
        <w:t>Women older than 49 years (56%) predominated with 33.4% of 3 to 5 years of menopause, 6.7% of genitourinary atrophy, symptoms of hot flashes 75%, bone pain, 70%, depression-anxiety and dryness vaginal, 50%; 45% of sexual dissatisfaction and difficulty in making decisions, 40% with difficulties in communication with the partner and disinterest, 38.6% had a decrease in sexual desire, while 16% increased their sexual desire.</w:t>
      </w:r>
    </w:p>
    <w:p w14:paraId="179CFAB1" w14:textId="77777777" w:rsidR="002D215E" w:rsidRPr="002D215E" w:rsidRDefault="002D215E" w:rsidP="002D215E">
      <w:pPr>
        <w:spacing w:line="360" w:lineRule="auto"/>
        <w:jc w:val="both"/>
        <w:rPr>
          <w:lang w:val="en-US" w:eastAsia="es-ES"/>
        </w:rPr>
      </w:pPr>
      <w:r w:rsidRPr="002D215E">
        <w:rPr>
          <w:b/>
          <w:bCs/>
          <w:lang w:val="en-US" w:eastAsia="es-ES"/>
        </w:rPr>
        <w:t>Conclusions:</w:t>
      </w:r>
      <w:r w:rsidRPr="002D215E">
        <w:rPr>
          <w:lang w:val="en-US" w:eastAsia="es-ES"/>
        </w:rPr>
        <w:t xml:space="preserve"> The climacteric women studied were older than 49 years, with menopause between 3 and 5 years, with a low percentage of genitourinary atrophy, with hot flashes, bone pain, vaginal dryness, depression, anxiety, difficulty in partner communication and decreased desire sexual. </w:t>
      </w:r>
    </w:p>
    <w:p w14:paraId="7C4A1643" w14:textId="77777777" w:rsidR="002D215E" w:rsidRPr="002D215E" w:rsidRDefault="002D215E" w:rsidP="002D215E">
      <w:pPr>
        <w:spacing w:line="360" w:lineRule="auto"/>
        <w:jc w:val="both"/>
        <w:rPr>
          <w:lang w:val="en-US" w:eastAsia="es-ES"/>
        </w:rPr>
      </w:pPr>
      <w:r w:rsidRPr="002D215E">
        <w:rPr>
          <w:b/>
          <w:bCs/>
          <w:lang w:val="en-US" w:eastAsia="es-ES"/>
        </w:rPr>
        <w:t xml:space="preserve">Keywords: </w:t>
      </w:r>
      <w:r w:rsidRPr="002D215E">
        <w:rPr>
          <w:lang w:val="en-US" w:eastAsia="es-ES"/>
        </w:rPr>
        <w:t>sexuality; biological, psychological, social and sexual characteristics; climacteric woman; physiological menopause.</w:t>
      </w:r>
    </w:p>
    <w:p w14:paraId="414510DC" w14:textId="77777777" w:rsidR="002D215E" w:rsidRPr="002D215E" w:rsidRDefault="002D215E" w:rsidP="002D215E">
      <w:pPr>
        <w:spacing w:line="360" w:lineRule="auto"/>
        <w:jc w:val="both"/>
        <w:rPr>
          <w:lang w:val="en-US" w:eastAsia="es-ES"/>
        </w:rPr>
      </w:pPr>
    </w:p>
    <w:p w14:paraId="73998A9D" w14:textId="77777777" w:rsidR="002D215E" w:rsidRPr="002D215E" w:rsidRDefault="002D215E" w:rsidP="002D215E">
      <w:pPr>
        <w:spacing w:line="360" w:lineRule="auto"/>
        <w:jc w:val="both"/>
        <w:rPr>
          <w:lang w:val="es-ES" w:eastAsia="es-ES"/>
        </w:rPr>
      </w:pPr>
      <w:r w:rsidRPr="002D215E">
        <w:rPr>
          <w:lang w:val="es-ES" w:eastAsia="es-ES"/>
        </w:rPr>
        <w:t>Recibido: 07/10/2020</w:t>
      </w:r>
    </w:p>
    <w:p w14:paraId="6467989A" w14:textId="77777777" w:rsidR="002D215E" w:rsidRPr="002D215E" w:rsidRDefault="002D215E" w:rsidP="002D215E">
      <w:pPr>
        <w:spacing w:line="360" w:lineRule="auto"/>
        <w:jc w:val="both"/>
        <w:rPr>
          <w:lang w:val="es-ES" w:eastAsia="es-ES"/>
        </w:rPr>
      </w:pPr>
      <w:r w:rsidRPr="002D215E">
        <w:rPr>
          <w:lang w:val="es-ES" w:eastAsia="es-ES"/>
        </w:rPr>
        <w:t>Aprobado: 22/02/2021</w:t>
      </w:r>
    </w:p>
    <w:p w14:paraId="33CB0EAB" w14:textId="77777777" w:rsidR="002D215E" w:rsidRPr="002D215E" w:rsidRDefault="002D215E" w:rsidP="002D215E">
      <w:pPr>
        <w:spacing w:line="360" w:lineRule="auto"/>
        <w:jc w:val="center"/>
        <w:rPr>
          <w:rFonts w:eastAsia="Calibri"/>
          <w:b/>
          <w:sz w:val="32"/>
          <w:szCs w:val="32"/>
          <w:lang w:val="es-ES" w:eastAsia="en-US"/>
        </w:rPr>
      </w:pPr>
      <w:r w:rsidRPr="002D215E">
        <w:rPr>
          <w:rFonts w:eastAsia="Calibri"/>
          <w:b/>
          <w:sz w:val="32"/>
          <w:szCs w:val="32"/>
          <w:lang w:val="es-ES" w:eastAsia="en-US"/>
        </w:rPr>
        <w:lastRenderedPageBreak/>
        <w:t>INTRODUCCIÓN</w:t>
      </w:r>
    </w:p>
    <w:p w14:paraId="0FFE90CA" w14:textId="56B8595A" w:rsidR="002D215E" w:rsidRPr="002D215E" w:rsidRDefault="002D215E" w:rsidP="002D215E">
      <w:pPr>
        <w:spacing w:line="360" w:lineRule="auto"/>
        <w:jc w:val="both"/>
        <w:rPr>
          <w:lang w:val="es-ES" w:eastAsia="es-ES"/>
        </w:rPr>
      </w:pPr>
      <w:r w:rsidRPr="002D215E">
        <w:rPr>
          <w:rFonts w:eastAsia="Calibri"/>
          <w:lang w:val="es-ES" w:eastAsia="en-US"/>
        </w:rPr>
        <w:t xml:space="preserve">Para </w:t>
      </w:r>
      <w:r w:rsidRPr="002D215E">
        <w:rPr>
          <w:rFonts w:eastAsia="Calibri"/>
          <w:i/>
          <w:lang w:val="es-ES" w:eastAsia="en-US"/>
        </w:rPr>
        <w:t xml:space="preserve">Cuoto </w:t>
      </w:r>
      <w:r w:rsidRPr="002D215E">
        <w:rPr>
          <w:rFonts w:eastAsia="Calibri"/>
          <w:iCs/>
          <w:lang w:val="es-ES" w:eastAsia="en-US"/>
        </w:rPr>
        <w:t>y otros</w:t>
      </w:r>
      <w:r w:rsidRPr="002D215E">
        <w:rPr>
          <w:rFonts w:eastAsia="Calibri"/>
          <w:vertAlign w:val="superscript"/>
          <w:lang w:val="es-ES" w:eastAsia="en-US"/>
        </w:rPr>
        <w:t>(1)</w:t>
      </w:r>
      <w:r w:rsidR="00B04639">
        <w:rPr>
          <w:rFonts w:eastAsia="Calibri"/>
          <w:vertAlign w:val="superscript"/>
          <w:lang w:val="es-ES" w:eastAsia="en-US"/>
        </w:rPr>
        <w:t xml:space="preserve"> </w:t>
      </w:r>
      <w:r w:rsidRPr="002D215E">
        <w:rPr>
          <w:rFonts w:eastAsia="Calibri"/>
          <w:vertAlign w:val="superscript"/>
          <w:lang w:val="es-ES" w:eastAsia="en-US"/>
        </w:rPr>
        <w:t xml:space="preserve"> </w:t>
      </w:r>
      <w:r w:rsidRPr="002D215E">
        <w:rPr>
          <w:rFonts w:eastAsia="Calibri"/>
          <w:color w:val="000000"/>
          <w:lang w:val="es-ES" w:eastAsia="en-US"/>
        </w:rPr>
        <w:t xml:space="preserve">“la sexualidad matiza los intercambios entre las personas en su vida familiar, laboral y social, lo cual es un importante indicador del bienestar y de la calidad de vida”. </w:t>
      </w:r>
      <w:r w:rsidRPr="002D215E">
        <w:rPr>
          <w:rFonts w:eastAsia="Calibri"/>
          <w:lang w:val="es-ES" w:eastAsia="en-US"/>
        </w:rPr>
        <w:t>La sexualidad es la expresión personalizada del ser humano, atravesada por la cultura y determinada por el momento histórico que le toca vivir. Desde este concepto, la sexualidad modula todos los actos a lo largo del ciclo vital. Está presente desde el nacimiento, en el proceso de diferenciación sexual y su construcción atraviesa los eventos fisiológicos vitales hasta la muerte. Matiza el accionar cotidiano.</w:t>
      </w:r>
      <w:r w:rsidRPr="002D215E">
        <w:rPr>
          <w:rFonts w:eastAsia="Calibri"/>
          <w:vertAlign w:val="superscript"/>
          <w:lang w:val="es-ES" w:eastAsia="en-US"/>
        </w:rPr>
        <w:t>(2)</w:t>
      </w:r>
    </w:p>
    <w:p w14:paraId="3405409E"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Las cifras de mujeres climatéricas, se han incrementado en Cuba, gracias a las políticas de salud cubanas que han aumentado su expectativa de vida. El climaterio femenino se caracteriza por transformaciones biológicas, psicológicas y sociales que repercuten en la sexualidad. El conocimiento de estos cambios es importante, para realizar acciones de promoción de salud, que permitan lograr una mejor atención y calidad de vida.</w:t>
      </w:r>
    </w:p>
    <w:p w14:paraId="488CBFD2" w14:textId="77777777" w:rsidR="002D215E" w:rsidRPr="002D215E" w:rsidRDefault="002D215E" w:rsidP="002D215E">
      <w:pPr>
        <w:autoSpaceDE w:val="0"/>
        <w:autoSpaceDN w:val="0"/>
        <w:adjustRightInd w:val="0"/>
        <w:spacing w:line="360" w:lineRule="auto"/>
        <w:jc w:val="both"/>
        <w:rPr>
          <w:rFonts w:eastAsia="Calibri"/>
          <w:vertAlign w:val="superscript"/>
          <w:lang w:val="es-ES" w:eastAsia="en-US"/>
        </w:rPr>
      </w:pPr>
      <w:r w:rsidRPr="002D215E">
        <w:rPr>
          <w:rFonts w:eastAsia="Calibri"/>
          <w:lang w:val="es-ES" w:eastAsia="en-US"/>
        </w:rPr>
        <w:t>La etapa climatérica ofrece modalidades variadas en su presentación y modo de vivirla. Sus cambios pueden abarcar y manifestarse directamente en todas las esferas del concepto de salud; cómo se manifiesta, cómo las mujeres se lo representan y cómo se preparan para transitarlo, depende de características biológicas, psicológicas y socioculturales, en las cuales interviene la individualidad y el estado de bienestar de cada mujer. En esta etapa la sexualidad renueva su importancia vital.</w:t>
      </w:r>
      <w:r w:rsidRPr="002D215E">
        <w:rPr>
          <w:rFonts w:eastAsia="Calibri"/>
          <w:vertAlign w:val="superscript"/>
          <w:lang w:val="es-ES" w:eastAsia="en-US"/>
        </w:rPr>
        <w:t>(3)</w:t>
      </w:r>
    </w:p>
    <w:p w14:paraId="5AA7ADA2" w14:textId="490BC38B" w:rsidR="002D215E" w:rsidRPr="002D215E" w:rsidRDefault="002D215E" w:rsidP="002D215E">
      <w:pPr>
        <w:autoSpaceDE w:val="0"/>
        <w:autoSpaceDN w:val="0"/>
        <w:adjustRightInd w:val="0"/>
        <w:spacing w:line="360" w:lineRule="auto"/>
        <w:jc w:val="both"/>
        <w:rPr>
          <w:rFonts w:eastAsia="Calibri"/>
          <w:lang w:val="es-ES" w:eastAsia="en-US"/>
        </w:rPr>
      </w:pPr>
      <w:r w:rsidRPr="002D215E">
        <w:rPr>
          <w:rFonts w:eastAsia="Calibri"/>
          <w:lang w:val="es-ES" w:eastAsia="en-US"/>
        </w:rPr>
        <w:t>Según II Consenso sobre climaterio y menopausia,</w:t>
      </w:r>
      <w:r w:rsidRPr="002D215E">
        <w:rPr>
          <w:rFonts w:eastAsia="Calibri"/>
          <w:vertAlign w:val="superscript"/>
          <w:lang w:val="es-ES" w:eastAsia="en-US"/>
        </w:rPr>
        <w:t>(4)</w:t>
      </w:r>
      <w:r w:rsidRPr="002D215E">
        <w:rPr>
          <w:rFonts w:eastAsia="Calibri"/>
          <w:i/>
          <w:lang w:val="es-ES" w:eastAsia="en-US"/>
        </w:rPr>
        <w:t xml:space="preserve"> “</w:t>
      </w:r>
      <w:r w:rsidRPr="002D215E">
        <w:rPr>
          <w:rFonts w:eastAsia="Calibri"/>
          <w:lang w:val="es-ES" w:eastAsia="en-US"/>
        </w:rPr>
        <w:t>los síntomas genitourinarios se presentan fundamentalmente durante la etapa tardía de la posmenopausia, con frecuencia entre 11 y 30</w:t>
      </w:r>
      <w:r w:rsidR="004A2069">
        <w:rPr>
          <w:rFonts w:eastAsia="Calibri"/>
          <w:lang w:val="es-ES" w:eastAsia="en-US"/>
        </w:rPr>
        <w:t> </w:t>
      </w:r>
      <w:r w:rsidRPr="002D215E">
        <w:rPr>
          <w:rFonts w:eastAsia="Calibri"/>
          <w:lang w:val="es-ES" w:eastAsia="en-US"/>
        </w:rPr>
        <w:t>%.</w:t>
      </w:r>
      <w:r w:rsidR="00CC3746">
        <w:rPr>
          <w:rFonts w:eastAsia="Calibri"/>
          <w:lang w:val="es-ES" w:eastAsia="en-US"/>
        </w:rPr>
        <w:t xml:space="preserve"> </w:t>
      </w:r>
      <w:r w:rsidRPr="002D215E">
        <w:rPr>
          <w:rFonts w:eastAsia="Calibri"/>
          <w:lang w:val="es-ES" w:eastAsia="en-US"/>
        </w:rPr>
        <w:t xml:space="preserve">El desempeño de los roles de género en general, y las disfunciones en la dinámica familiar y de pareja, en particular, incrementan en más de dos veces el riesgo de que la mujer padezca de síntomas climatéricos”. </w:t>
      </w:r>
    </w:p>
    <w:p w14:paraId="6DBD1197"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Se desconocen las características biológicas, psicosociales y sexuales más frecuentes en mujeres cubanas de mediana edad, (entre 40 y 59 años) con menopausia confirmada de origen fisiológico de la consulta de climaterio y menopausia, aunque en otros lugares sí se han realizado estudios.</w:t>
      </w:r>
    </w:p>
    <w:p w14:paraId="0958C3B9"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Este trabajo tiene el objetivo de determinar las características sexuales y biopsicosociales más frecuentes en mujeres climatéricas.</w:t>
      </w:r>
    </w:p>
    <w:p w14:paraId="2D59390B" w14:textId="77777777" w:rsidR="002D215E" w:rsidRPr="002D215E" w:rsidRDefault="002D215E" w:rsidP="002D215E">
      <w:pPr>
        <w:spacing w:line="360" w:lineRule="auto"/>
        <w:jc w:val="center"/>
        <w:rPr>
          <w:rFonts w:eastAsia="Calibri"/>
          <w:b/>
          <w:lang w:val="es-ES" w:eastAsia="en-US"/>
        </w:rPr>
      </w:pPr>
    </w:p>
    <w:p w14:paraId="52EE349C" w14:textId="77777777" w:rsidR="002D215E" w:rsidRPr="002D215E" w:rsidRDefault="002D215E" w:rsidP="002D215E">
      <w:pPr>
        <w:spacing w:line="360" w:lineRule="auto"/>
        <w:jc w:val="center"/>
        <w:rPr>
          <w:rFonts w:eastAsia="Calibri"/>
          <w:b/>
          <w:lang w:val="es-ES" w:eastAsia="en-US"/>
        </w:rPr>
      </w:pPr>
    </w:p>
    <w:p w14:paraId="68355A4C" w14:textId="77777777" w:rsidR="008E0917" w:rsidRDefault="008E0917">
      <w:pPr>
        <w:rPr>
          <w:rFonts w:eastAsia="Calibri"/>
          <w:b/>
          <w:sz w:val="32"/>
          <w:szCs w:val="32"/>
          <w:lang w:val="es-ES" w:eastAsia="en-US"/>
        </w:rPr>
      </w:pPr>
      <w:r>
        <w:rPr>
          <w:rFonts w:eastAsia="Calibri"/>
          <w:b/>
          <w:sz w:val="32"/>
          <w:szCs w:val="32"/>
          <w:lang w:val="es-ES" w:eastAsia="en-US"/>
        </w:rPr>
        <w:br w:type="page"/>
      </w:r>
    </w:p>
    <w:p w14:paraId="176527CE" w14:textId="7749E078" w:rsidR="002D215E" w:rsidRPr="002D215E" w:rsidRDefault="002D215E" w:rsidP="002D215E">
      <w:pPr>
        <w:spacing w:line="360" w:lineRule="auto"/>
        <w:jc w:val="center"/>
        <w:rPr>
          <w:rFonts w:eastAsia="Calibri"/>
          <w:lang w:val="es-ES" w:eastAsia="en-US"/>
        </w:rPr>
      </w:pPr>
      <w:r w:rsidRPr="002D215E">
        <w:rPr>
          <w:rFonts w:eastAsia="Calibri"/>
          <w:b/>
          <w:sz w:val="32"/>
          <w:szCs w:val="32"/>
          <w:lang w:val="es-ES" w:eastAsia="en-US"/>
        </w:rPr>
        <w:lastRenderedPageBreak/>
        <w:t>MÉTODOS</w:t>
      </w:r>
    </w:p>
    <w:p w14:paraId="1EB4C93A"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Se realizó un estudio descriptivo, de corte transversal en mujeres cubanas entre 40 y 59 años, que asistieron a la consulta de climaterio y menopausia del Hospital Militar Central “Dr. Carlos J. Finlay”, desde enero del 2015 a enero del 2018, quienes dieron su consentimiento para participar en el estudio.</w:t>
      </w:r>
    </w:p>
    <w:p w14:paraId="1898832D"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Se excluyeron las mujeres con enfermedades crónicas descompensadas, tratamientos hormonales previos y menopausia artificial. La serie resultó en 300 mujeres con menopausia fisiológica confirmada.</w:t>
      </w:r>
    </w:p>
    <w:p w14:paraId="2DED054E" w14:textId="77777777" w:rsidR="002D215E" w:rsidRPr="002D215E" w:rsidRDefault="002D215E" w:rsidP="002D215E">
      <w:pPr>
        <w:spacing w:line="360" w:lineRule="auto"/>
        <w:jc w:val="both"/>
        <w:rPr>
          <w:rFonts w:eastAsia="Calibri"/>
          <w:lang w:eastAsia="en-US"/>
        </w:rPr>
      </w:pPr>
      <w:r w:rsidRPr="002D215E">
        <w:rPr>
          <w:rFonts w:eastAsia="Calibri"/>
          <w:lang w:val="es-ES" w:eastAsia="en-US"/>
        </w:rPr>
        <w:t xml:space="preserve">El modelo diseñado para la recolección del dato primario incluyó las variables, edad (agrupada en 40-44, 45-49 y más de 49 años), tiempo de menopausia (agrupada en menos de 3 años, 3-5 años, 6-10 años y más de 10 años), presencia de afecciones genitourinarias, síntomas físicos, psicosociales y sexuales. Para el procesamiento de los datos de las variables, se confeccionaron </w:t>
      </w:r>
      <w:r w:rsidRPr="002D215E">
        <w:rPr>
          <w:rFonts w:eastAsia="Calibri"/>
          <w:lang w:eastAsia="en-US"/>
        </w:rPr>
        <w:t>tablas de frecuencias.</w:t>
      </w:r>
    </w:p>
    <w:p w14:paraId="78F13E66" w14:textId="77777777" w:rsidR="002D215E" w:rsidRPr="002D215E" w:rsidRDefault="002D215E" w:rsidP="002D215E">
      <w:pPr>
        <w:spacing w:line="360" w:lineRule="auto"/>
        <w:jc w:val="both"/>
        <w:rPr>
          <w:rFonts w:eastAsia="Calibri"/>
          <w:lang w:val="es-ES" w:eastAsia="en-US"/>
        </w:rPr>
      </w:pPr>
      <w:r w:rsidRPr="002D215E">
        <w:rPr>
          <w:rFonts w:eastAsia="Calibri"/>
          <w:lang w:eastAsia="en-US"/>
        </w:rPr>
        <w:t xml:space="preserve">Desde el punto de vista bioético, se obtuvo el </w:t>
      </w:r>
      <w:r w:rsidRPr="002D215E">
        <w:rPr>
          <w:rFonts w:eastAsia="Calibri"/>
          <w:lang w:val="es-ES" w:eastAsia="en-US"/>
        </w:rPr>
        <w:t>consentimiento informado de todas las participantes en la investigación. Los datos fueron tratados de forma confidencial.</w:t>
      </w:r>
    </w:p>
    <w:p w14:paraId="59F3D0AE" w14:textId="77777777" w:rsidR="002D215E" w:rsidRPr="002D215E" w:rsidRDefault="002D215E" w:rsidP="002D215E">
      <w:pPr>
        <w:spacing w:line="360" w:lineRule="auto"/>
        <w:jc w:val="both"/>
        <w:rPr>
          <w:rFonts w:eastAsia="Calibri"/>
          <w:lang w:val="es-ES" w:eastAsia="en-US"/>
        </w:rPr>
      </w:pPr>
    </w:p>
    <w:p w14:paraId="79998656" w14:textId="77777777" w:rsidR="002D215E" w:rsidRPr="002D215E" w:rsidRDefault="002D215E" w:rsidP="002D215E">
      <w:pPr>
        <w:spacing w:line="360" w:lineRule="auto"/>
        <w:jc w:val="center"/>
        <w:rPr>
          <w:rFonts w:eastAsia="Calibri"/>
          <w:b/>
          <w:lang w:val="es-ES" w:eastAsia="en-US"/>
        </w:rPr>
      </w:pPr>
    </w:p>
    <w:p w14:paraId="11C39D5C" w14:textId="77777777" w:rsidR="002D215E" w:rsidRPr="002D215E" w:rsidRDefault="002D215E" w:rsidP="002D215E">
      <w:pPr>
        <w:spacing w:line="360" w:lineRule="auto"/>
        <w:jc w:val="center"/>
        <w:rPr>
          <w:rFonts w:eastAsia="Calibri"/>
          <w:b/>
          <w:sz w:val="32"/>
          <w:szCs w:val="32"/>
          <w:lang w:val="es-ES" w:eastAsia="en-US"/>
        </w:rPr>
      </w:pPr>
      <w:r w:rsidRPr="002D215E">
        <w:rPr>
          <w:rFonts w:eastAsia="Calibri"/>
          <w:b/>
          <w:sz w:val="32"/>
          <w:szCs w:val="32"/>
          <w:lang w:val="es-ES" w:eastAsia="en-US"/>
        </w:rPr>
        <w:t>RESULTADOS</w:t>
      </w:r>
    </w:p>
    <w:p w14:paraId="18789FAD"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 xml:space="preserve">La figura 1 muestra que, de las 300 pacientes estudiadas, 20 (6,7 %) tenían de 40 a 44 años, 112 (37,3 %) de 44 a 49 años, prevaleció el grupo de más de 49 años con 168 pacientes (56 %). </w:t>
      </w:r>
    </w:p>
    <w:p w14:paraId="66926DBD" w14:textId="77777777" w:rsidR="002D215E" w:rsidRPr="002D215E" w:rsidRDefault="002D215E" w:rsidP="002D215E">
      <w:pPr>
        <w:spacing w:line="360" w:lineRule="auto"/>
        <w:jc w:val="both"/>
        <w:rPr>
          <w:rFonts w:eastAsia="Calibri"/>
          <w:lang w:val="es-ES" w:eastAsia="en-US"/>
        </w:rPr>
      </w:pPr>
    </w:p>
    <w:p w14:paraId="1A88C6DA" w14:textId="7043D9D2" w:rsidR="002D215E" w:rsidRPr="002D215E" w:rsidRDefault="002D215E" w:rsidP="002D215E">
      <w:pPr>
        <w:spacing w:line="360" w:lineRule="auto"/>
        <w:jc w:val="center"/>
        <w:rPr>
          <w:rFonts w:eastAsia="Calibri"/>
          <w:bCs/>
          <w:lang w:val="es-ES" w:eastAsia="en-US"/>
        </w:rPr>
      </w:pPr>
      <w:r w:rsidRPr="002D215E">
        <w:rPr>
          <w:rFonts w:eastAsia="Calibri"/>
          <w:noProof/>
          <w:lang w:val="es-ES" w:eastAsia="en-US"/>
        </w:rPr>
        <w:drawing>
          <wp:inline distT="0" distB="0" distL="0" distR="0" wp14:anchorId="2B7C2E3F" wp14:editId="243A6BBC">
            <wp:extent cx="2663825" cy="2289810"/>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3825" cy="2289810"/>
                    </a:xfrm>
                    <a:prstGeom prst="rect">
                      <a:avLst/>
                    </a:prstGeom>
                    <a:noFill/>
                    <a:ln>
                      <a:noFill/>
                    </a:ln>
                  </pic:spPr>
                </pic:pic>
              </a:graphicData>
            </a:graphic>
          </wp:inline>
        </w:drawing>
      </w:r>
    </w:p>
    <w:p w14:paraId="0C414ED9" w14:textId="77777777" w:rsidR="002D215E" w:rsidRPr="002D215E" w:rsidRDefault="002D215E" w:rsidP="002D215E">
      <w:pPr>
        <w:spacing w:line="360" w:lineRule="auto"/>
        <w:jc w:val="center"/>
        <w:rPr>
          <w:rFonts w:eastAsia="Calibri"/>
          <w:b/>
          <w:sz w:val="22"/>
          <w:szCs w:val="22"/>
          <w:lang w:val="es-ES" w:eastAsia="en-US"/>
        </w:rPr>
      </w:pPr>
      <w:r w:rsidRPr="002D215E">
        <w:rPr>
          <w:rFonts w:eastAsia="Calibri"/>
          <w:b/>
          <w:sz w:val="22"/>
          <w:szCs w:val="22"/>
          <w:lang w:val="es-ES" w:eastAsia="en-US"/>
        </w:rPr>
        <w:t xml:space="preserve">Fig. 1 - </w:t>
      </w:r>
      <w:r w:rsidRPr="002D215E">
        <w:rPr>
          <w:rFonts w:eastAsia="Calibri"/>
          <w:sz w:val="22"/>
          <w:szCs w:val="22"/>
          <w:lang w:val="es-ES" w:eastAsia="en-US"/>
        </w:rPr>
        <w:t>Distribución de la serie estudiada por grupos etarios.</w:t>
      </w:r>
    </w:p>
    <w:p w14:paraId="407A9068" w14:textId="77777777" w:rsidR="002D215E" w:rsidRPr="002D215E" w:rsidRDefault="002D215E" w:rsidP="002D215E">
      <w:pPr>
        <w:spacing w:line="360" w:lineRule="auto"/>
        <w:jc w:val="both"/>
        <w:rPr>
          <w:rFonts w:eastAsia="Calibri"/>
          <w:b/>
          <w:lang w:val="es-ES" w:eastAsia="en-US"/>
        </w:rPr>
      </w:pPr>
    </w:p>
    <w:p w14:paraId="3902BAC0" w14:textId="77777777" w:rsidR="002D215E" w:rsidRPr="002D215E" w:rsidRDefault="002D215E" w:rsidP="002D215E">
      <w:pPr>
        <w:autoSpaceDE w:val="0"/>
        <w:autoSpaceDN w:val="0"/>
        <w:adjustRightInd w:val="0"/>
        <w:spacing w:line="360" w:lineRule="auto"/>
        <w:jc w:val="both"/>
        <w:rPr>
          <w:rFonts w:eastAsia="Calibri"/>
          <w:bCs/>
          <w:lang w:val="es-ES" w:eastAsia="en-US"/>
        </w:rPr>
      </w:pPr>
      <w:r w:rsidRPr="002D215E">
        <w:rPr>
          <w:rFonts w:eastAsia="Calibri"/>
          <w:bCs/>
          <w:lang w:val="es-ES" w:eastAsia="en-US"/>
        </w:rPr>
        <w:lastRenderedPageBreak/>
        <w:t>La figura 2 expone el tiempo transcurrido desde la menopausia. El intervalo más frecuente fue entre 3 a 5 años, en el 33,4 % de las mujeres estudiadas. De menos de 3 años el 18,3 % (55 casos), de 6 a 10 años el 28,3 % (85 casos) y de más de 10 años el 20 % (60 casos).</w:t>
      </w:r>
    </w:p>
    <w:p w14:paraId="38C330D7" w14:textId="77777777" w:rsidR="002D215E" w:rsidRPr="002D215E" w:rsidRDefault="002D215E" w:rsidP="002D215E">
      <w:pPr>
        <w:autoSpaceDE w:val="0"/>
        <w:autoSpaceDN w:val="0"/>
        <w:adjustRightInd w:val="0"/>
        <w:spacing w:line="360" w:lineRule="auto"/>
        <w:jc w:val="both"/>
        <w:rPr>
          <w:rFonts w:eastAsia="Calibri"/>
          <w:bCs/>
          <w:lang w:val="es-ES" w:eastAsia="en-US"/>
        </w:rPr>
      </w:pPr>
    </w:p>
    <w:p w14:paraId="333580D2" w14:textId="01760CE5" w:rsidR="002D215E" w:rsidRPr="002D215E" w:rsidRDefault="002D215E" w:rsidP="002D215E">
      <w:pPr>
        <w:autoSpaceDE w:val="0"/>
        <w:autoSpaceDN w:val="0"/>
        <w:adjustRightInd w:val="0"/>
        <w:spacing w:line="360" w:lineRule="auto"/>
        <w:jc w:val="center"/>
        <w:rPr>
          <w:rFonts w:eastAsia="Calibri"/>
          <w:bCs/>
          <w:lang w:val="es-ES" w:eastAsia="en-US"/>
        </w:rPr>
      </w:pPr>
      <w:r w:rsidRPr="002D215E">
        <w:rPr>
          <w:rFonts w:eastAsia="Calibri"/>
          <w:noProof/>
          <w:lang w:val="es-ES" w:eastAsia="en-US"/>
        </w:rPr>
        <w:drawing>
          <wp:inline distT="0" distB="0" distL="0" distR="0" wp14:anchorId="4347348A" wp14:editId="624EBB58">
            <wp:extent cx="2329815" cy="2544445"/>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815" cy="2544445"/>
                    </a:xfrm>
                    <a:prstGeom prst="rect">
                      <a:avLst/>
                    </a:prstGeom>
                    <a:noFill/>
                    <a:ln>
                      <a:noFill/>
                    </a:ln>
                  </pic:spPr>
                </pic:pic>
              </a:graphicData>
            </a:graphic>
          </wp:inline>
        </w:drawing>
      </w:r>
    </w:p>
    <w:p w14:paraId="269BD487" w14:textId="77777777" w:rsidR="002D215E" w:rsidRPr="002D215E" w:rsidRDefault="002D215E" w:rsidP="002D215E">
      <w:pPr>
        <w:autoSpaceDE w:val="0"/>
        <w:autoSpaceDN w:val="0"/>
        <w:adjustRightInd w:val="0"/>
        <w:spacing w:line="360" w:lineRule="auto"/>
        <w:jc w:val="center"/>
        <w:rPr>
          <w:rFonts w:eastAsia="Calibri"/>
          <w:sz w:val="22"/>
          <w:szCs w:val="22"/>
          <w:lang w:val="es-ES" w:eastAsia="en-US"/>
        </w:rPr>
      </w:pPr>
      <w:r w:rsidRPr="002D215E">
        <w:rPr>
          <w:rFonts w:eastAsia="Calibri"/>
          <w:b/>
          <w:bCs/>
          <w:sz w:val="22"/>
          <w:szCs w:val="22"/>
          <w:lang w:val="es-ES" w:eastAsia="en-US"/>
        </w:rPr>
        <w:t xml:space="preserve">Fig. 2 - </w:t>
      </w:r>
      <w:r w:rsidRPr="002D215E">
        <w:rPr>
          <w:rFonts w:eastAsia="Calibri"/>
          <w:sz w:val="22"/>
          <w:szCs w:val="22"/>
          <w:lang w:val="es-ES" w:eastAsia="en-US"/>
        </w:rPr>
        <w:t>Tiempo transcurrido desde la menopausia.</w:t>
      </w:r>
    </w:p>
    <w:p w14:paraId="43350986" w14:textId="77777777" w:rsidR="002D215E" w:rsidRPr="002D215E" w:rsidRDefault="002D215E" w:rsidP="002D215E">
      <w:pPr>
        <w:autoSpaceDE w:val="0"/>
        <w:autoSpaceDN w:val="0"/>
        <w:adjustRightInd w:val="0"/>
        <w:spacing w:line="360" w:lineRule="auto"/>
        <w:jc w:val="center"/>
        <w:rPr>
          <w:rFonts w:eastAsia="Calibri"/>
          <w:sz w:val="22"/>
          <w:szCs w:val="22"/>
          <w:lang w:val="es-ES" w:eastAsia="en-US"/>
        </w:rPr>
      </w:pPr>
    </w:p>
    <w:p w14:paraId="64BB2249" w14:textId="77777777" w:rsidR="002D215E" w:rsidRPr="002D215E" w:rsidRDefault="002D215E" w:rsidP="002D215E">
      <w:pPr>
        <w:autoSpaceDE w:val="0"/>
        <w:autoSpaceDN w:val="0"/>
        <w:adjustRightInd w:val="0"/>
        <w:spacing w:line="360" w:lineRule="auto"/>
        <w:jc w:val="both"/>
        <w:rPr>
          <w:rFonts w:eastAsia="Calibri"/>
          <w:bCs/>
          <w:color w:val="FF0000"/>
          <w:lang w:val="es-ES" w:eastAsia="en-US"/>
        </w:rPr>
      </w:pPr>
      <w:r w:rsidRPr="002D215E">
        <w:rPr>
          <w:rFonts w:eastAsia="Calibri"/>
          <w:bCs/>
          <w:lang w:val="es-ES" w:eastAsia="en-US"/>
        </w:rPr>
        <w:t>Las afecciones genitourinarias presentes en cada historia de vida de las mujeres de estudio se muestran a continuación.</w:t>
      </w:r>
    </w:p>
    <w:p w14:paraId="7A1F24BB" w14:textId="77777777" w:rsidR="002D215E" w:rsidRPr="002D215E" w:rsidRDefault="002D215E" w:rsidP="002D215E">
      <w:pPr>
        <w:autoSpaceDE w:val="0"/>
        <w:autoSpaceDN w:val="0"/>
        <w:adjustRightInd w:val="0"/>
        <w:spacing w:line="360" w:lineRule="auto"/>
        <w:jc w:val="both"/>
        <w:rPr>
          <w:rFonts w:eastAsia="Calibri"/>
          <w:bCs/>
          <w:lang w:val="es-ES" w:eastAsia="en-US"/>
        </w:rPr>
      </w:pPr>
    </w:p>
    <w:p w14:paraId="17D10E73" w14:textId="77777777"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Disminución de la lubricación vaginal.</w:t>
      </w:r>
    </w:p>
    <w:p w14:paraId="4A2416A3" w14:textId="77777777"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Vaginitis atrófica.</w:t>
      </w:r>
    </w:p>
    <w:p w14:paraId="65854248" w14:textId="77777777"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Aumento del diámetro vaginal (por desgarros obstétricos).</w:t>
      </w:r>
    </w:p>
    <w:p w14:paraId="444CA08B" w14:textId="77777777"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Relajación de mucosa vaginal (pérdida de elasticidad).</w:t>
      </w:r>
    </w:p>
    <w:p w14:paraId="4AB7CCE9" w14:textId="77777777"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Cistocele, rectocele o prolapso genital.</w:t>
      </w:r>
    </w:p>
    <w:p w14:paraId="083CED60" w14:textId="77777777"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Atrofia por desuso.</w:t>
      </w:r>
    </w:p>
    <w:p w14:paraId="246B307A" w14:textId="5C5AC235"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Atrofia uretral.</w:t>
      </w:r>
      <w:r w:rsidR="008175AE">
        <w:rPr>
          <w:rFonts w:eastAsia="Calibri"/>
          <w:bCs/>
          <w:lang w:val="es-ES" w:eastAsia="en-US"/>
        </w:rPr>
        <w:tab/>
      </w:r>
    </w:p>
    <w:p w14:paraId="3F2F7F6D" w14:textId="77777777"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Incontinencia urinaria, uretritis y cistitis intersticiales</w:t>
      </w:r>
    </w:p>
    <w:p w14:paraId="1C3860E6" w14:textId="77777777" w:rsidR="002D215E" w:rsidRPr="002D215E" w:rsidRDefault="002D215E" w:rsidP="001817B2">
      <w:pPr>
        <w:numPr>
          <w:ilvl w:val="0"/>
          <w:numId w:val="11"/>
        </w:numPr>
        <w:autoSpaceDE w:val="0"/>
        <w:autoSpaceDN w:val="0"/>
        <w:adjustRightInd w:val="0"/>
        <w:spacing w:line="360" w:lineRule="auto"/>
        <w:ind w:left="1139" w:hanging="782"/>
        <w:contextualSpacing/>
        <w:jc w:val="both"/>
        <w:rPr>
          <w:rFonts w:eastAsia="Calibri"/>
          <w:bCs/>
          <w:lang w:val="es-ES" w:eastAsia="en-US"/>
        </w:rPr>
      </w:pPr>
      <w:r w:rsidRPr="002D215E">
        <w:rPr>
          <w:rFonts w:eastAsia="Calibri"/>
          <w:bCs/>
          <w:lang w:val="es-ES" w:eastAsia="en-US"/>
        </w:rPr>
        <w:t>Atrofia de la mama.</w:t>
      </w:r>
    </w:p>
    <w:p w14:paraId="39EA2B66" w14:textId="77777777" w:rsidR="002D215E" w:rsidRPr="002D215E" w:rsidRDefault="002D215E" w:rsidP="002D215E">
      <w:pPr>
        <w:autoSpaceDE w:val="0"/>
        <w:autoSpaceDN w:val="0"/>
        <w:adjustRightInd w:val="0"/>
        <w:spacing w:line="360" w:lineRule="auto"/>
        <w:jc w:val="both"/>
        <w:rPr>
          <w:rFonts w:eastAsia="Calibri"/>
          <w:bCs/>
          <w:lang w:val="es-ES" w:eastAsia="en-US"/>
        </w:rPr>
      </w:pPr>
    </w:p>
    <w:p w14:paraId="678FCBB5" w14:textId="77777777" w:rsidR="002D215E" w:rsidRPr="002D215E" w:rsidRDefault="002D215E" w:rsidP="002D215E">
      <w:pPr>
        <w:autoSpaceDE w:val="0"/>
        <w:autoSpaceDN w:val="0"/>
        <w:adjustRightInd w:val="0"/>
        <w:spacing w:line="360" w:lineRule="auto"/>
        <w:jc w:val="both"/>
        <w:rPr>
          <w:rFonts w:eastAsia="Calibri"/>
          <w:bCs/>
          <w:lang w:val="es-ES" w:eastAsia="en-US"/>
        </w:rPr>
      </w:pPr>
      <w:r w:rsidRPr="002D215E">
        <w:rPr>
          <w:rFonts w:eastAsia="Calibri"/>
          <w:bCs/>
          <w:lang w:val="es-ES" w:eastAsia="en-US"/>
        </w:rPr>
        <w:lastRenderedPageBreak/>
        <w:t>Sin embargo, solo en el 6,67 % de la serie estudiada (20 casos) se presentaron las manifestaciones clínicas de la atrofia genitourinaria.</w:t>
      </w:r>
    </w:p>
    <w:p w14:paraId="1286CEED" w14:textId="77777777" w:rsidR="002D215E" w:rsidRPr="002D215E" w:rsidRDefault="002D215E" w:rsidP="002D215E">
      <w:pPr>
        <w:autoSpaceDE w:val="0"/>
        <w:autoSpaceDN w:val="0"/>
        <w:adjustRightInd w:val="0"/>
        <w:spacing w:line="360" w:lineRule="auto"/>
        <w:jc w:val="both"/>
        <w:rPr>
          <w:rFonts w:eastAsia="Calibri"/>
          <w:bCs/>
          <w:lang w:val="es-ES" w:eastAsia="en-US"/>
        </w:rPr>
      </w:pPr>
      <w:r w:rsidRPr="002D215E">
        <w:rPr>
          <w:rFonts w:eastAsia="Calibri"/>
          <w:bCs/>
          <w:lang w:val="es-ES" w:eastAsia="en-US"/>
        </w:rPr>
        <w:t>La figura 3 muestra los síntomas físicos y sexuales de las mujeres estudiadas, los síntomas predominantes fueron sofocos en 225 casos (75 %), dolores óseos en 210 casos (70 %), sequedad vaginal en 150 casos (50 %) y alteraciones cutáneas en 132 casos (44 %). La anorgasmia, dispareunia, inhibición sexual general, conductas de evitación, incontinencia urinaria, atrofia por desuso y los trastornos del sostén pélvico, estuvieron presentes en menores cifras.</w:t>
      </w:r>
    </w:p>
    <w:p w14:paraId="58BD0A5A" w14:textId="77777777" w:rsidR="002D215E" w:rsidRPr="002D215E" w:rsidRDefault="002D215E" w:rsidP="002D215E">
      <w:pPr>
        <w:spacing w:line="360" w:lineRule="auto"/>
        <w:jc w:val="center"/>
        <w:rPr>
          <w:rFonts w:eastAsia="Calibri"/>
          <w:b/>
          <w:lang w:val="es-ES" w:eastAsia="en-US"/>
        </w:rPr>
      </w:pPr>
    </w:p>
    <w:p w14:paraId="6742F7A2" w14:textId="47A36FEB" w:rsidR="002D215E" w:rsidRPr="002D215E" w:rsidRDefault="002D215E" w:rsidP="002D215E">
      <w:pPr>
        <w:spacing w:line="360" w:lineRule="auto"/>
        <w:jc w:val="center"/>
        <w:rPr>
          <w:rFonts w:eastAsia="Calibri"/>
          <w:b/>
          <w:lang w:val="es-ES" w:eastAsia="en-US"/>
        </w:rPr>
      </w:pPr>
      <w:r w:rsidRPr="002D215E">
        <w:rPr>
          <w:rFonts w:eastAsia="Calibri"/>
          <w:b/>
          <w:noProof/>
          <w:lang w:val="es-ES" w:eastAsia="en-US"/>
        </w:rPr>
        <w:drawing>
          <wp:inline distT="0" distB="0" distL="0" distR="0" wp14:anchorId="644D9989" wp14:editId="7BA36D42">
            <wp:extent cx="4364990" cy="2607945"/>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4990" cy="2607945"/>
                    </a:xfrm>
                    <a:prstGeom prst="rect">
                      <a:avLst/>
                    </a:prstGeom>
                    <a:noFill/>
                    <a:ln>
                      <a:noFill/>
                    </a:ln>
                  </pic:spPr>
                </pic:pic>
              </a:graphicData>
            </a:graphic>
          </wp:inline>
        </w:drawing>
      </w:r>
    </w:p>
    <w:p w14:paraId="0F22F2FF" w14:textId="77777777" w:rsidR="002D215E" w:rsidRPr="002D215E" w:rsidRDefault="002D215E" w:rsidP="002D215E">
      <w:pPr>
        <w:autoSpaceDE w:val="0"/>
        <w:autoSpaceDN w:val="0"/>
        <w:adjustRightInd w:val="0"/>
        <w:spacing w:line="360" w:lineRule="auto"/>
        <w:jc w:val="center"/>
        <w:rPr>
          <w:rFonts w:eastAsia="Calibri"/>
          <w:bCs/>
          <w:sz w:val="22"/>
          <w:szCs w:val="22"/>
          <w:lang w:val="es-ES" w:eastAsia="en-US"/>
        </w:rPr>
      </w:pPr>
      <w:r w:rsidRPr="002D215E">
        <w:rPr>
          <w:rFonts w:eastAsia="Calibri"/>
          <w:b/>
          <w:bCs/>
          <w:sz w:val="22"/>
          <w:szCs w:val="22"/>
          <w:lang w:val="es-ES" w:eastAsia="en-US"/>
        </w:rPr>
        <w:t xml:space="preserve">Fig. 3 - </w:t>
      </w:r>
      <w:r w:rsidRPr="002D215E">
        <w:rPr>
          <w:rFonts w:eastAsia="Calibri"/>
          <w:bCs/>
          <w:sz w:val="22"/>
          <w:szCs w:val="22"/>
          <w:lang w:val="es-ES" w:eastAsia="en-US"/>
        </w:rPr>
        <w:t>Distribución de síntomas físicos y sexuales en la serie estudiada.</w:t>
      </w:r>
    </w:p>
    <w:p w14:paraId="4AD0DEC0" w14:textId="77777777" w:rsidR="002D215E" w:rsidRPr="002D215E" w:rsidRDefault="002D215E" w:rsidP="002D215E">
      <w:pPr>
        <w:spacing w:line="360" w:lineRule="auto"/>
        <w:jc w:val="center"/>
        <w:rPr>
          <w:rFonts w:eastAsia="Calibri"/>
          <w:b/>
          <w:lang w:val="es-ES" w:eastAsia="en-US"/>
        </w:rPr>
      </w:pPr>
    </w:p>
    <w:p w14:paraId="49FE5BD8" w14:textId="7E512F68" w:rsidR="002D215E" w:rsidRPr="002D215E" w:rsidRDefault="002D215E" w:rsidP="002D215E">
      <w:pPr>
        <w:spacing w:line="360" w:lineRule="auto"/>
        <w:jc w:val="both"/>
        <w:rPr>
          <w:rFonts w:eastAsia="Calibri"/>
          <w:bCs/>
          <w:lang w:val="es-ES" w:eastAsia="en-US"/>
        </w:rPr>
      </w:pPr>
      <w:r w:rsidRPr="002D215E">
        <w:rPr>
          <w:rFonts w:eastAsia="Calibri"/>
          <w:bCs/>
          <w:lang w:val="es-ES" w:eastAsia="en-US"/>
        </w:rPr>
        <w:t>La figura 4 expone los síntomas psicosociales y sexuales en mujeres posmenopáusicas. Prevalecieron la depresión – ansiedad, en el 50 % (150 casos), la insatisfacción sexual y la disminución en la toma de decisiones en el 45 % (135 casos), dificultades en la comunicación de pareja y desinterés en el 40 % (120 casos) y la disminución del deseo sexual en un 38 % (115 casos). El aferro a la soledad, minusvalía, anorgasmia, dispareunia, dificultades con la autoimagen, disfunción familiar y conductas de evitación se presentaron en menores porcientos.</w:t>
      </w:r>
    </w:p>
    <w:p w14:paraId="3E163D1E" w14:textId="77777777" w:rsidR="002D215E" w:rsidRPr="002D215E" w:rsidRDefault="002D215E" w:rsidP="002D215E">
      <w:pPr>
        <w:spacing w:line="360" w:lineRule="auto"/>
        <w:jc w:val="both"/>
        <w:rPr>
          <w:rFonts w:eastAsia="Calibri"/>
          <w:b/>
          <w:lang w:val="es-ES" w:eastAsia="en-US"/>
        </w:rPr>
      </w:pPr>
    </w:p>
    <w:p w14:paraId="763384F5" w14:textId="2C735E7E" w:rsidR="002D215E" w:rsidRPr="002D215E" w:rsidRDefault="004A2069" w:rsidP="002D215E">
      <w:pPr>
        <w:spacing w:line="360" w:lineRule="auto"/>
        <w:jc w:val="center"/>
        <w:rPr>
          <w:rFonts w:eastAsia="Calibri"/>
          <w:b/>
          <w:lang w:val="es-ES" w:eastAsia="en-US"/>
        </w:rPr>
      </w:pPr>
      <w:r>
        <w:rPr>
          <w:rFonts w:eastAsia="Calibri"/>
          <w:b/>
          <w:noProof/>
          <w:lang w:val="es-ES" w:eastAsia="en-US"/>
        </w:rPr>
        <w:lastRenderedPageBreak/>
        <w:drawing>
          <wp:inline distT="0" distB="0" distL="0" distR="0" wp14:anchorId="60FCBFAB" wp14:editId="45BD5FD0">
            <wp:extent cx="4810125" cy="32194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4810125" cy="3219450"/>
                    </a:xfrm>
                    <a:prstGeom prst="rect">
                      <a:avLst/>
                    </a:prstGeom>
                  </pic:spPr>
                </pic:pic>
              </a:graphicData>
            </a:graphic>
          </wp:inline>
        </w:drawing>
      </w:r>
    </w:p>
    <w:p w14:paraId="31809BC6" w14:textId="77777777" w:rsidR="002D215E" w:rsidRPr="002D215E" w:rsidRDefault="002D215E" w:rsidP="002D215E">
      <w:pPr>
        <w:autoSpaceDE w:val="0"/>
        <w:autoSpaceDN w:val="0"/>
        <w:adjustRightInd w:val="0"/>
        <w:spacing w:line="360" w:lineRule="auto"/>
        <w:ind w:left="720"/>
        <w:jc w:val="center"/>
        <w:rPr>
          <w:rFonts w:eastAsia="Calibri"/>
          <w:bCs/>
          <w:sz w:val="22"/>
          <w:szCs w:val="22"/>
          <w:lang w:val="es-ES" w:eastAsia="en-US"/>
        </w:rPr>
      </w:pPr>
      <w:r w:rsidRPr="002D215E">
        <w:rPr>
          <w:rFonts w:eastAsia="Calibri"/>
          <w:b/>
          <w:bCs/>
          <w:sz w:val="22"/>
          <w:szCs w:val="22"/>
          <w:lang w:val="es-ES" w:eastAsia="en-US"/>
        </w:rPr>
        <w:t>Fig. 4 -</w:t>
      </w:r>
      <w:r w:rsidRPr="002D215E">
        <w:rPr>
          <w:rFonts w:eastAsia="Calibri"/>
          <w:bCs/>
          <w:sz w:val="22"/>
          <w:szCs w:val="22"/>
          <w:lang w:val="es-ES" w:eastAsia="en-US"/>
        </w:rPr>
        <w:t>Síntomas psicosociales y sexuales en las mujeres estudiadas.</w:t>
      </w:r>
    </w:p>
    <w:p w14:paraId="2DE4BCA5" w14:textId="77777777" w:rsidR="002D215E" w:rsidRPr="002D215E" w:rsidRDefault="002D215E" w:rsidP="002D215E">
      <w:pPr>
        <w:autoSpaceDE w:val="0"/>
        <w:autoSpaceDN w:val="0"/>
        <w:adjustRightInd w:val="0"/>
        <w:spacing w:line="360" w:lineRule="auto"/>
        <w:ind w:left="720"/>
        <w:jc w:val="both"/>
        <w:rPr>
          <w:rFonts w:eastAsia="Calibri"/>
          <w:b/>
          <w:bCs/>
          <w:lang w:val="es-ES" w:eastAsia="en-US"/>
        </w:rPr>
      </w:pPr>
    </w:p>
    <w:p w14:paraId="3B25C4E2" w14:textId="77777777" w:rsidR="002D215E" w:rsidRPr="002D215E" w:rsidRDefault="002D215E" w:rsidP="002D215E">
      <w:pPr>
        <w:autoSpaceDE w:val="0"/>
        <w:autoSpaceDN w:val="0"/>
        <w:adjustRightInd w:val="0"/>
        <w:spacing w:line="360" w:lineRule="auto"/>
        <w:jc w:val="both"/>
        <w:rPr>
          <w:rFonts w:eastAsia="Calibri"/>
          <w:bCs/>
          <w:lang w:val="es-ES" w:eastAsia="en-US"/>
        </w:rPr>
      </w:pPr>
      <w:r w:rsidRPr="002D215E">
        <w:rPr>
          <w:rFonts w:eastAsia="Calibri"/>
          <w:bCs/>
          <w:lang w:val="es-ES" w:eastAsia="en-US"/>
        </w:rPr>
        <w:t>Los síntomas antes descritos correspondieron a las manifestaciones del síndrome climatérico, mayormente vivenciada por el 56 % (168 mujeres) de más de 49 años. En la serie estudiada se evidenció un mayor deterioro sexual mientras más se alejaban del momento menopáusico.</w:t>
      </w:r>
    </w:p>
    <w:p w14:paraId="32FEDBC2" w14:textId="77777777" w:rsidR="002D215E" w:rsidRPr="002D215E" w:rsidRDefault="002D215E" w:rsidP="002D215E">
      <w:pPr>
        <w:autoSpaceDE w:val="0"/>
        <w:autoSpaceDN w:val="0"/>
        <w:adjustRightInd w:val="0"/>
        <w:spacing w:line="360" w:lineRule="auto"/>
        <w:jc w:val="both"/>
        <w:rPr>
          <w:rFonts w:eastAsia="Calibri"/>
          <w:bCs/>
          <w:lang w:val="es-ES" w:eastAsia="en-US"/>
        </w:rPr>
      </w:pPr>
      <w:r w:rsidRPr="002D215E">
        <w:rPr>
          <w:rFonts w:eastAsia="Calibri"/>
          <w:bCs/>
          <w:lang w:val="es-ES" w:eastAsia="en-US"/>
        </w:rPr>
        <w:t>El 77,3 % (232 mujeres), refirieron tener relaciones sexuales activas, pero con molestias de tipo somáticas, psicoafectivas y sexuales, con dificultades en la comunicación de pareja, es decir relaciones sexuales no placenteras.  El 16 % de mujeres climatéricas (48) refirieron haber incrementado su apetencia sexual tras los primeros años de menopausia.</w:t>
      </w:r>
    </w:p>
    <w:p w14:paraId="76416A27" w14:textId="77777777" w:rsidR="002D215E" w:rsidRPr="002D215E" w:rsidRDefault="002D215E" w:rsidP="002D215E">
      <w:pPr>
        <w:spacing w:line="360" w:lineRule="auto"/>
        <w:jc w:val="center"/>
        <w:rPr>
          <w:rFonts w:eastAsia="Calibri"/>
          <w:b/>
          <w:lang w:val="es-ES" w:eastAsia="en-US"/>
        </w:rPr>
      </w:pPr>
    </w:p>
    <w:p w14:paraId="469261B7" w14:textId="77777777" w:rsidR="002D215E" w:rsidRPr="002D215E" w:rsidRDefault="002D215E" w:rsidP="002D215E">
      <w:pPr>
        <w:spacing w:line="360" w:lineRule="auto"/>
        <w:jc w:val="center"/>
        <w:rPr>
          <w:rFonts w:eastAsia="Calibri"/>
          <w:b/>
          <w:lang w:val="es-ES" w:eastAsia="en-US"/>
        </w:rPr>
      </w:pPr>
    </w:p>
    <w:p w14:paraId="78BB7395" w14:textId="77777777" w:rsidR="002D215E" w:rsidRPr="002D215E" w:rsidRDefault="002D215E" w:rsidP="002D215E">
      <w:pPr>
        <w:spacing w:line="360" w:lineRule="auto"/>
        <w:jc w:val="center"/>
        <w:rPr>
          <w:rFonts w:eastAsia="Calibri"/>
          <w:b/>
          <w:sz w:val="32"/>
          <w:szCs w:val="32"/>
          <w:lang w:val="es-ES" w:eastAsia="en-US"/>
        </w:rPr>
      </w:pPr>
      <w:r w:rsidRPr="002D215E">
        <w:rPr>
          <w:rFonts w:eastAsia="Calibri"/>
          <w:b/>
          <w:sz w:val="32"/>
          <w:szCs w:val="32"/>
          <w:lang w:val="es-ES" w:eastAsia="en-US"/>
        </w:rPr>
        <w:t>DISCUSIÓN</w:t>
      </w:r>
    </w:p>
    <w:p w14:paraId="4A4E0D9E" w14:textId="77777777" w:rsidR="002D215E" w:rsidRPr="002D215E" w:rsidRDefault="002D215E" w:rsidP="002D215E">
      <w:pPr>
        <w:autoSpaceDE w:val="0"/>
        <w:autoSpaceDN w:val="0"/>
        <w:adjustRightInd w:val="0"/>
        <w:spacing w:line="360" w:lineRule="auto"/>
        <w:jc w:val="both"/>
        <w:rPr>
          <w:rFonts w:eastAsia="Calibri"/>
          <w:color w:val="000000"/>
          <w:lang w:val="es-ES" w:eastAsia="en-US"/>
        </w:rPr>
      </w:pPr>
      <w:r w:rsidRPr="002D215E">
        <w:rPr>
          <w:rFonts w:eastAsia="Calibri"/>
          <w:color w:val="000000"/>
          <w:lang w:val="es-ES" w:eastAsia="en-US"/>
        </w:rPr>
        <w:t xml:space="preserve">Para </w:t>
      </w:r>
      <w:r w:rsidRPr="002D215E">
        <w:rPr>
          <w:rFonts w:eastAsia="Calibri"/>
          <w:i/>
          <w:lang w:val="es-ES" w:eastAsia="en-US"/>
        </w:rPr>
        <w:t xml:space="preserve">Rivera Moya </w:t>
      </w:r>
      <w:r w:rsidRPr="002D215E">
        <w:rPr>
          <w:rFonts w:eastAsia="Calibri"/>
          <w:lang w:val="es-ES" w:eastAsia="en-US"/>
        </w:rPr>
        <w:t>y otros</w:t>
      </w:r>
      <w:r w:rsidRPr="002D215E">
        <w:rPr>
          <w:rFonts w:eastAsia="Calibri"/>
          <w:vertAlign w:val="superscript"/>
          <w:lang w:val="es-ES" w:eastAsia="en-US"/>
        </w:rPr>
        <w:t>(5)</w:t>
      </w:r>
      <w:r w:rsidRPr="002D215E">
        <w:rPr>
          <w:rFonts w:eastAsia="Calibri"/>
          <w:color w:val="000000"/>
          <w:lang w:val="es-ES" w:eastAsia="en-US"/>
        </w:rPr>
        <w:t xml:space="preserve"> “La sexualidad es el resultado de la interacción de factores biológicos, psicológicos, sociales, culturales, éticos y religiosos o espirituales, que en conjunto influyen en la función sexual de las mujeres, y refleja el nivel de bienestar físico, psicológico y social”. El agotamiento funcional del ovario, con la consiguiente deprivación hormonal estrogénica, trae consigo modificaciones anatomofisiológicas involutivas, motivo de consulta médica, entre las cuales la atrofia genitourinaria, en </w:t>
      </w:r>
      <w:r w:rsidRPr="002D215E">
        <w:rPr>
          <w:rFonts w:eastAsia="Calibri"/>
          <w:color w:val="000000"/>
          <w:lang w:val="es-ES" w:eastAsia="en-US"/>
        </w:rPr>
        <w:lastRenderedPageBreak/>
        <w:t>cualquiera de sus grados, desde lo biológico puede traducirse en dispareunia, anorgasmia; y conductas de evitación desde lo sexual, lo cual se pone de manifiesto en el comportamiento sexual de algunas mujeres climatéricas.</w:t>
      </w:r>
    </w:p>
    <w:p w14:paraId="2F6D5538" w14:textId="77777777" w:rsidR="002D215E" w:rsidRPr="002D215E" w:rsidRDefault="002D215E" w:rsidP="002D215E">
      <w:pPr>
        <w:autoSpaceDE w:val="0"/>
        <w:autoSpaceDN w:val="0"/>
        <w:adjustRightInd w:val="0"/>
        <w:spacing w:line="360" w:lineRule="auto"/>
        <w:jc w:val="both"/>
        <w:rPr>
          <w:rFonts w:eastAsia="Calibri"/>
          <w:color w:val="000000"/>
          <w:vertAlign w:val="superscript"/>
          <w:lang w:val="es-ES" w:eastAsia="en-US"/>
        </w:rPr>
      </w:pPr>
      <w:r w:rsidRPr="002D215E">
        <w:rPr>
          <w:rFonts w:eastAsia="Calibri"/>
          <w:i/>
          <w:lang w:val="es-ES" w:eastAsia="en-US"/>
        </w:rPr>
        <w:t>Navarro</w:t>
      </w:r>
      <w:r w:rsidRPr="002D215E">
        <w:rPr>
          <w:rFonts w:eastAsia="Calibri"/>
          <w:lang w:val="es-ES" w:eastAsia="en-US"/>
        </w:rPr>
        <w:t xml:space="preserve"> y otros</w:t>
      </w:r>
      <w:r w:rsidRPr="002D215E">
        <w:rPr>
          <w:rFonts w:eastAsia="Calibri"/>
          <w:vertAlign w:val="superscript"/>
          <w:lang w:val="es-ES" w:eastAsia="en-US"/>
        </w:rPr>
        <w:t xml:space="preserve">(6) </w:t>
      </w:r>
      <w:r w:rsidRPr="002D215E">
        <w:rPr>
          <w:rFonts w:eastAsia="Calibri"/>
          <w:color w:val="000000"/>
          <w:lang w:val="es-ES" w:eastAsia="en-US"/>
        </w:rPr>
        <w:t>opinan que “la etapa climatérica constituye un período de adaptabilidad y conocimiento en relación con cambios en la vida de la mujer, con expresión tanto biológica como social en que la mujer se torna más vulnerable y susceptible a las relaciones dentro del entorno familiar”. También señalan que estas características pueden influir en la expresión clínica y social del climaterio, ya que el déficit estrogénico posmenopáusico se expresa con variada intensidad, independientemente de la raza y estado económico-social. Es por ello que en ocasiones requieren asistencia médica.</w:t>
      </w:r>
    </w:p>
    <w:p w14:paraId="106B11A0" w14:textId="77777777" w:rsidR="002D215E" w:rsidRPr="002D215E" w:rsidRDefault="002D215E" w:rsidP="002D215E">
      <w:pPr>
        <w:autoSpaceDE w:val="0"/>
        <w:autoSpaceDN w:val="0"/>
        <w:adjustRightInd w:val="0"/>
        <w:spacing w:line="360" w:lineRule="auto"/>
        <w:jc w:val="both"/>
        <w:rPr>
          <w:rFonts w:eastAsia="Calibri"/>
          <w:iCs/>
          <w:lang w:val="es-ES" w:eastAsia="en-US"/>
        </w:rPr>
      </w:pPr>
      <w:r w:rsidRPr="002D215E">
        <w:rPr>
          <w:rFonts w:eastAsia="Calibri"/>
          <w:color w:val="000000"/>
          <w:lang w:val="es-ES" w:eastAsia="en-US"/>
        </w:rPr>
        <w:t xml:space="preserve">Las manifestaciones del síndrome climatérico, pudieron afectar la sexualidad en el 77,3 % de las mujeres estudiadas, cifras algo superiores a estudios de </w:t>
      </w:r>
      <w:r w:rsidRPr="002D215E">
        <w:rPr>
          <w:rFonts w:eastAsia="Calibri"/>
          <w:i/>
          <w:lang w:val="es-ES" w:eastAsia="en-US"/>
        </w:rPr>
        <w:t>Haro Vilela</w:t>
      </w:r>
      <w:r w:rsidRPr="002D215E">
        <w:rPr>
          <w:rFonts w:eastAsia="Calibri"/>
          <w:lang w:val="es-ES" w:eastAsia="en-US"/>
        </w:rPr>
        <w:t>,</w:t>
      </w:r>
      <w:r w:rsidRPr="002D215E">
        <w:rPr>
          <w:rFonts w:eastAsia="Calibri"/>
          <w:vertAlign w:val="superscript"/>
          <w:lang w:val="es-ES" w:eastAsia="en-US"/>
        </w:rPr>
        <w:t xml:space="preserve">(7) </w:t>
      </w:r>
      <w:r w:rsidRPr="002D215E">
        <w:rPr>
          <w:rFonts w:eastAsia="Calibri"/>
          <w:lang w:val="es-ES" w:eastAsia="en-US"/>
        </w:rPr>
        <w:t>en 68 %; así como en</w:t>
      </w:r>
      <w:r w:rsidRPr="002D215E">
        <w:rPr>
          <w:rFonts w:eastAsia="Calibri"/>
          <w:i/>
          <w:iCs/>
          <w:lang w:val="es-ES" w:eastAsia="en-US"/>
        </w:rPr>
        <w:t xml:space="preserve"> Martínez Chang </w:t>
      </w:r>
      <w:r w:rsidRPr="002D215E">
        <w:rPr>
          <w:rFonts w:eastAsia="Calibri"/>
          <w:iCs/>
          <w:lang w:val="es-ES" w:eastAsia="en-US"/>
        </w:rPr>
        <w:t>y otros</w:t>
      </w:r>
      <w:r w:rsidRPr="002D215E">
        <w:rPr>
          <w:rFonts w:eastAsia="Calibri"/>
          <w:iCs/>
          <w:vertAlign w:val="superscript"/>
          <w:lang w:val="es-ES" w:eastAsia="en-US"/>
        </w:rPr>
        <w:t xml:space="preserve">(8,9) </w:t>
      </w:r>
      <w:r w:rsidRPr="002D215E">
        <w:rPr>
          <w:rFonts w:eastAsia="Calibri"/>
          <w:iCs/>
          <w:lang w:val="es-ES" w:eastAsia="en-US"/>
        </w:rPr>
        <w:t>en el 63 % de mujeres de estudio que, a pesar de la repercusión negativa en el disfrute sexual por manifestaciones de índole psicosomáticas, mantuvieron relaciones sexuales no placenteras.</w:t>
      </w:r>
    </w:p>
    <w:p w14:paraId="768FD727" w14:textId="77777777" w:rsidR="002D215E" w:rsidRPr="002D215E" w:rsidRDefault="002D215E" w:rsidP="002D215E">
      <w:pPr>
        <w:autoSpaceDE w:val="0"/>
        <w:autoSpaceDN w:val="0"/>
        <w:adjustRightInd w:val="0"/>
        <w:spacing w:line="360" w:lineRule="auto"/>
        <w:jc w:val="both"/>
        <w:rPr>
          <w:rFonts w:eastAsia="Calibri"/>
          <w:lang w:val="es-ES" w:eastAsia="en-US"/>
        </w:rPr>
      </w:pPr>
      <w:r w:rsidRPr="002D215E">
        <w:rPr>
          <w:rFonts w:eastAsia="Calibri"/>
          <w:lang w:val="es-ES" w:eastAsia="en-US"/>
        </w:rPr>
        <w:t>Las transformaciones anatómicas producto del desbalance hormonal estrogénico que caracterizan la etapa climatérica, deben verse como transformaciones en órganos sexuados, que pueden poner obstáculos al desempeño sexual. Cualquier entidad que afecte la imagen física, la autoestima, altere el estado reproductivo o provoque malestares físicos, puede repercutir en la sexualidad.</w:t>
      </w:r>
      <w:r w:rsidRPr="002D215E">
        <w:rPr>
          <w:rFonts w:eastAsia="Calibri"/>
          <w:vertAlign w:val="superscript"/>
          <w:lang w:val="es-ES" w:eastAsia="en-US"/>
        </w:rPr>
        <w:t xml:space="preserve">(2,10) </w:t>
      </w:r>
      <w:r w:rsidRPr="002D215E">
        <w:rPr>
          <w:rFonts w:eastAsia="Calibri"/>
          <w:lang w:val="es-ES" w:eastAsia="en-US"/>
        </w:rPr>
        <w:t>La existencia de afecciones genitourinarias en mujeres climatéricas, puede estar en relación con el comportamiento y disfrute sexual de estas.</w:t>
      </w:r>
    </w:p>
    <w:p w14:paraId="073DDD92" w14:textId="77777777" w:rsidR="002D215E" w:rsidRPr="002D215E" w:rsidRDefault="002D215E" w:rsidP="002D215E">
      <w:pPr>
        <w:autoSpaceDE w:val="0"/>
        <w:autoSpaceDN w:val="0"/>
        <w:adjustRightInd w:val="0"/>
        <w:spacing w:line="360" w:lineRule="auto"/>
        <w:jc w:val="both"/>
        <w:rPr>
          <w:rFonts w:eastAsia="Calibri"/>
          <w:color w:val="000000"/>
          <w:lang w:val="es-ES" w:eastAsia="en-US"/>
        </w:rPr>
      </w:pPr>
      <w:r w:rsidRPr="002D215E">
        <w:rPr>
          <w:rFonts w:eastAsia="Calibri"/>
          <w:color w:val="000000"/>
          <w:lang w:val="es-ES" w:eastAsia="en-US"/>
        </w:rPr>
        <w:t>El predominio de entre 3 a 5 años, para el tiempo transcurrido desde acontecida la menopausia, resultó favorable para poder determinar el impacto de la etapa, por corresponder este intervalo, con la mayor rapidez e intensidad de cambios en la posmenopausia.</w:t>
      </w:r>
      <w:r w:rsidRPr="002D215E">
        <w:rPr>
          <w:rFonts w:eastAsia="Calibri"/>
          <w:color w:val="000000"/>
          <w:vertAlign w:val="superscript"/>
          <w:lang w:val="es-ES" w:eastAsia="en-US"/>
        </w:rPr>
        <w:t>(2,6)</w:t>
      </w:r>
    </w:p>
    <w:p w14:paraId="6B69DAD1" w14:textId="77777777" w:rsidR="002D215E" w:rsidRPr="002D215E" w:rsidRDefault="002D215E" w:rsidP="002D215E">
      <w:pPr>
        <w:spacing w:line="360" w:lineRule="auto"/>
        <w:jc w:val="both"/>
        <w:rPr>
          <w:lang w:val="es-ES" w:eastAsia="es-ES"/>
        </w:rPr>
      </w:pPr>
      <w:r w:rsidRPr="002D215E">
        <w:rPr>
          <w:lang w:val="es-ES" w:eastAsia="es-ES"/>
        </w:rPr>
        <w:t xml:space="preserve">Para </w:t>
      </w:r>
      <w:r w:rsidRPr="002D215E">
        <w:rPr>
          <w:i/>
          <w:lang w:val="es-ES" w:eastAsia="es-ES"/>
        </w:rPr>
        <w:t>Maure Barcia,</w:t>
      </w:r>
      <w:r w:rsidRPr="002D215E">
        <w:rPr>
          <w:vertAlign w:val="superscript"/>
          <w:lang w:val="es-ES" w:eastAsia="es-ES"/>
        </w:rPr>
        <w:t>(11)</w:t>
      </w:r>
      <w:r w:rsidRPr="002D215E">
        <w:rPr>
          <w:lang w:val="es-ES" w:eastAsia="es-ES"/>
        </w:rPr>
        <w:t xml:space="preserve"> las manifestaciones vasomotoras suelen comenzar en la perimenopausia, alcanzan su pico máximo en los primeros 2 años de la posmenopausia y desaparecen de forma gradual con los años. Los sofocos o bochornos para algunos y las sudoraciones causadas por la inestabilidad vasomotora, afectan al 75 – 85 % de las mujeres, antes del cese de la menstruación. Continúan durante más de 1 año en la mayoría de las mujeres y durante más de 5 años en el 10 %. El 45 al 54 % de las mujeres occidentales, en los primeros años de la posmenopausia los padecen. En el Segundo Consenso sobre </w:t>
      </w:r>
      <w:r w:rsidRPr="002D215E">
        <w:rPr>
          <w:lang w:val="es-ES" w:eastAsia="es-ES"/>
        </w:rPr>
        <w:lastRenderedPageBreak/>
        <w:t>Climaterio y Menopausia,</w:t>
      </w:r>
      <w:r w:rsidRPr="002D215E">
        <w:rPr>
          <w:vertAlign w:val="superscript"/>
          <w:lang w:val="es-ES" w:eastAsia="es-ES"/>
        </w:rPr>
        <w:t xml:space="preserve">(4) </w:t>
      </w:r>
      <w:r w:rsidRPr="002D215E">
        <w:rPr>
          <w:lang w:val="es-ES" w:eastAsia="es-ES"/>
        </w:rPr>
        <w:t xml:space="preserve">publicado en el 2007, quedó establecida la presencia de sofocos entre el 50 al 60 % de las mujeres atendidas. </w:t>
      </w:r>
    </w:p>
    <w:p w14:paraId="56FC6748" w14:textId="77777777" w:rsidR="002D215E" w:rsidRPr="002D215E" w:rsidRDefault="002D215E" w:rsidP="002D215E">
      <w:pPr>
        <w:spacing w:line="360" w:lineRule="auto"/>
        <w:jc w:val="both"/>
        <w:rPr>
          <w:i/>
          <w:iCs/>
          <w:lang w:val="es-ES" w:eastAsia="es-ES"/>
        </w:rPr>
      </w:pPr>
      <w:r w:rsidRPr="002D215E">
        <w:rPr>
          <w:i/>
          <w:lang w:val="es-ES" w:eastAsia="es-ES"/>
        </w:rPr>
        <w:t xml:space="preserve">Capote </w:t>
      </w:r>
      <w:r w:rsidRPr="002D215E">
        <w:rPr>
          <w:lang w:val="es-ES" w:eastAsia="es-ES"/>
        </w:rPr>
        <w:t>y otros</w:t>
      </w:r>
      <w:r w:rsidRPr="002D215E">
        <w:rPr>
          <w:vertAlign w:val="superscript"/>
          <w:lang w:val="es-ES" w:eastAsia="es-ES"/>
        </w:rPr>
        <w:t xml:space="preserve">(12) </w:t>
      </w:r>
      <w:r w:rsidRPr="002D215E">
        <w:rPr>
          <w:lang w:val="es-ES" w:eastAsia="es-ES"/>
        </w:rPr>
        <w:t>señalan que, “aunque las mujeres no mueren de bochornos, estos afectan significativamente la calidad de vida de quien los padece”, al ocasionar despertares frecuentes que alteran la calidad del sueño y afectan su vida en pareja y el entorno familiar.</w:t>
      </w:r>
    </w:p>
    <w:p w14:paraId="2C13099A" w14:textId="77777777" w:rsidR="002D215E" w:rsidRPr="002D215E" w:rsidRDefault="002D215E" w:rsidP="002D215E">
      <w:pPr>
        <w:spacing w:line="360" w:lineRule="auto"/>
        <w:jc w:val="both"/>
        <w:rPr>
          <w:rFonts w:eastAsia="Calibri"/>
          <w:lang w:val="es-ES" w:eastAsia="en-US"/>
        </w:rPr>
      </w:pPr>
      <w:r w:rsidRPr="002D215E">
        <w:rPr>
          <w:rFonts w:eastAsia="Calibri"/>
          <w:i/>
          <w:lang w:val="es-ES" w:eastAsia="en-US"/>
        </w:rPr>
        <w:t xml:space="preserve">Jimbo </w:t>
      </w:r>
      <w:r w:rsidRPr="002D215E">
        <w:rPr>
          <w:rFonts w:eastAsia="Calibri"/>
          <w:lang w:val="es-ES" w:eastAsia="en-US"/>
        </w:rPr>
        <w:t>y otros,</w:t>
      </w:r>
      <w:r w:rsidRPr="002D215E">
        <w:rPr>
          <w:rFonts w:eastAsia="Calibri"/>
          <w:vertAlign w:val="superscript"/>
          <w:lang w:val="es-ES" w:eastAsia="en-US"/>
        </w:rPr>
        <w:t xml:space="preserve">(13) </w:t>
      </w:r>
      <w:r w:rsidRPr="002D215E">
        <w:rPr>
          <w:rFonts w:eastAsia="Calibri"/>
          <w:lang w:val="es-ES" w:eastAsia="en-US"/>
        </w:rPr>
        <w:t>identificaron en el cortejo sintomático de la posmenopausia: sofocos, depresión y ansiedad, dolores óseos y sequedad vaginal, en cifras superiores a este estudio, con el 96,3 %, 85,2 %, 91,2 %, 92,3 % y 69,2 % respectivamente.</w:t>
      </w:r>
    </w:p>
    <w:p w14:paraId="7164279E" w14:textId="77777777" w:rsidR="002D215E" w:rsidRPr="002D215E" w:rsidRDefault="002D215E" w:rsidP="002D215E">
      <w:pPr>
        <w:spacing w:line="360" w:lineRule="auto"/>
        <w:jc w:val="both"/>
        <w:rPr>
          <w:lang w:val="es-ES" w:eastAsia="es-ES"/>
        </w:rPr>
      </w:pPr>
      <w:r w:rsidRPr="002D215E">
        <w:rPr>
          <w:rFonts w:eastAsia="Calibri"/>
          <w:lang w:val="es-ES" w:eastAsia="en-US"/>
        </w:rPr>
        <w:t xml:space="preserve">Estudios de </w:t>
      </w:r>
      <w:r w:rsidRPr="002D215E">
        <w:rPr>
          <w:rFonts w:eastAsia="Calibri"/>
          <w:i/>
          <w:lang w:val="es-ES" w:eastAsia="en-US"/>
        </w:rPr>
        <w:t xml:space="preserve">Haro Vilela </w:t>
      </w:r>
      <w:r w:rsidRPr="002D215E">
        <w:rPr>
          <w:rFonts w:eastAsia="Calibri"/>
          <w:lang w:val="es-ES" w:eastAsia="en-US"/>
        </w:rPr>
        <w:t>y otros</w:t>
      </w:r>
      <w:r w:rsidRPr="002D215E">
        <w:rPr>
          <w:rFonts w:eastAsia="Calibri"/>
          <w:i/>
          <w:lang w:val="es-ES" w:eastAsia="en-US"/>
        </w:rPr>
        <w:t>,</w:t>
      </w:r>
      <w:r w:rsidRPr="002D215E">
        <w:rPr>
          <w:vertAlign w:val="superscript"/>
          <w:lang w:val="es-ES" w:eastAsia="es-ES"/>
        </w:rPr>
        <w:t xml:space="preserve">(7) </w:t>
      </w:r>
      <w:r w:rsidRPr="002D215E">
        <w:rPr>
          <w:lang w:val="es-ES" w:eastAsia="es-ES"/>
        </w:rPr>
        <w:t>plantean disminución del deseo sexual (46 %), 75 % con síntomas depresivos, agotamiento físico y mental, 70 % con problemas de comunicación de pareja, con predominio de trastornos vasomotores el 78 %  y 68 % de vida sexual activa no placentera.</w:t>
      </w:r>
    </w:p>
    <w:p w14:paraId="2A50CDF6" w14:textId="77777777" w:rsidR="002D215E" w:rsidRPr="002D215E" w:rsidRDefault="002D215E" w:rsidP="002D215E">
      <w:pPr>
        <w:spacing w:line="360" w:lineRule="auto"/>
        <w:jc w:val="both"/>
        <w:rPr>
          <w:rFonts w:eastAsia="Calibri"/>
          <w:lang w:val="es-ES" w:eastAsia="en-US"/>
        </w:rPr>
      </w:pPr>
      <w:r w:rsidRPr="002D215E">
        <w:rPr>
          <w:rFonts w:eastAsia="Calibri"/>
          <w:i/>
          <w:lang w:val="es-ES" w:eastAsia="en-US"/>
        </w:rPr>
        <w:t xml:space="preserve">Lozano </w:t>
      </w:r>
      <w:r w:rsidRPr="002D215E">
        <w:rPr>
          <w:rFonts w:eastAsia="Calibri"/>
          <w:lang w:val="es-ES" w:eastAsia="en-US"/>
        </w:rPr>
        <w:t>y otros</w:t>
      </w:r>
      <w:r w:rsidRPr="002D215E">
        <w:rPr>
          <w:rFonts w:eastAsia="Calibri"/>
          <w:vertAlign w:val="superscript"/>
          <w:lang w:val="es-ES" w:eastAsia="en-US"/>
        </w:rPr>
        <w:t xml:space="preserve">(14) </w:t>
      </w:r>
      <w:r w:rsidRPr="002D215E">
        <w:rPr>
          <w:rFonts w:eastAsia="Calibri"/>
          <w:lang w:val="es-ES" w:eastAsia="en-US"/>
        </w:rPr>
        <w:t xml:space="preserve">respecto a síntomas sexuales presentados, señalan un 6,6 % de disminución del deseo sexual, 20 % de relaciones sexuales no placenteras y 25 % de anorgasmia, cifras inferiores a este estudio. </w:t>
      </w:r>
      <w:r w:rsidRPr="002D215E">
        <w:rPr>
          <w:lang w:val="es-ES" w:eastAsia="es-ES"/>
        </w:rPr>
        <w:t xml:space="preserve">Mientras </w:t>
      </w:r>
      <w:r w:rsidRPr="002D215E">
        <w:rPr>
          <w:i/>
          <w:lang w:val="es-ES" w:eastAsia="es-ES"/>
        </w:rPr>
        <w:t>Riguete de Souza</w:t>
      </w:r>
      <w:r w:rsidRPr="002D215E">
        <w:rPr>
          <w:vertAlign w:val="superscript"/>
          <w:lang w:val="es-ES" w:eastAsia="es-ES"/>
        </w:rPr>
        <w:t xml:space="preserve">(15) </w:t>
      </w:r>
      <w:r w:rsidRPr="002D215E">
        <w:rPr>
          <w:lang w:val="es-ES" w:eastAsia="es-ES"/>
        </w:rPr>
        <w:t xml:space="preserve">reporta </w:t>
      </w:r>
      <w:r w:rsidRPr="002D215E">
        <w:rPr>
          <w:rFonts w:eastAsia="Calibri"/>
          <w:lang w:val="es-ES" w:eastAsia="en-US"/>
        </w:rPr>
        <w:t>51,3 % de mujeres climatéricas con algún problema sexual, 37,8 % con disminución del deseo, 34,8 % dispareunia y 26 % con dificultad en el orgasmo. Como se puede observar, los resultados son muy variables</w:t>
      </w:r>
      <w:r w:rsidRPr="002D215E">
        <w:rPr>
          <w:lang w:val="es-ES" w:eastAsia="es-ES"/>
        </w:rPr>
        <w:t>.</w:t>
      </w:r>
    </w:p>
    <w:p w14:paraId="78FA300E" w14:textId="77777777" w:rsidR="002D215E" w:rsidRPr="002D215E" w:rsidRDefault="002D215E" w:rsidP="002D215E">
      <w:pPr>
        <w:autoSpaceDE w:val="0"/>
        <w:autoSpaceDN w:val="0"/>
        <w:adjustRightInd w:val="0"/>
        <w:spacing w:line="360" w:lineRule="auto"/>
        <w:jc w:val="both"/>
        <w:rPr>
          <w:rFonts w:eastAsia="Calibri"/>
          <w:lang w:val="es-ES" w:eastAsia="en-US"/>
        </w:rPr>
      </w:pPr>
      <w:r w:rsidRPr="002D215E">
        <w:rPr>
          <w:rFonts w:eastAsia="Calibri"/>
          <w:i/>
          <w:lang w:val="es-ES" w:eastAsia="en-US"/>
        </w:rPr>
        <w:t>Artiles Visbal</w:t>
      </w:r>
      <w:r w:rsidRPr="002D215E">
        <w:rPr>
          <w:rFonts w:eastAsia="Calibri"/>
          <w:vertAlign w:val="superscript"/>
          <w:lang w:val="es-ES" w:eastAsia="en-US"/>
        </w:rPr>
        <w:t xml:space="preserve">(16) </w:t>
      </w:r>
      <w:r w:rsidRPr="002D215E">
        <w:rPr>
          <w:rFonts w:eastAsia="Calibri"/>
          <w:lang w:val="es-ES" w:eastAsia="en-US"/>
        </w:rPr>
        <w:t xml:space="preserve">señala que los sofocos se encontraron en el 50 al 65 % de la población estudiada, los trastornos afectivos, depresión, ansiedad, minusvalía, autoimagen disminuida, en el 30 al 40 %, los síntomas genitourinarios de sequedad vaginal y dispareunia, en el 20 al 30 % y los síntomas sexuales de disminución del deseo sexual y trastornos del orgasmo, del 18 al 20 %; cifras que junto a </w:t>
      </w:r>
      <w:r w:rsidRPr="002D215E">
        <w:rPr>
          <w:rFonts w:eastAsia="Calibri"/>
          <w:i/>
          <w:lang w:val="es-ES" w:eastAsia="en-US"/>
        </w:rPr>
        <w:t xml:space="preserve">Jimbo </w:t>
      </w:r>
      <w:r w:rsidRPr="002D215E">
        <w:rPr>
          <w:rFonts w:eastAsia="Calibri"/>
          <w:lang w:val="es-ES" w:eastAsia="en-US"/>
        </w:rPr>
        <w:t>y otros</w:t>
      </w:r>
      <w:r w:rsidRPr="002D215E">
        <w:rPr>
          <w:rFonts w:eastAsia="Calibri"/>
          <w:vertAlign w:val="superscript"/>
          <w:lang w:val="es-ES" w:eastAsia="en-US"/>
        </w:rPr>
        <w:t xml:space="preserve">(13) </w:t>
      </w:r>
      <w:r w:rsidRPr="002D215E">
        <w:rPr>
          <w:rFonts w:eastAsia="Calibri"/>
          <w:lang w:val="es-ES" w:eastAsia="en-US"/>
        </w:rPr>
        <w:t xml:space="preserve">resultan inferiores a las encontradas en este estudio. </w:t>
      </w:r>
    </w:p>
    <w:p w14:paraId="31127330" w14:textId="77777777" w:rsidR="002D215E" w:rsidRPr="002D215E" w:rsidRDefault="002D215E" w:rsidP="002D215E">
      <w:pPr>
        <w:autoSpaceDE w:val="0"/>
        <w:autoSpaceDN w:val="0"/>
        <w:adjustRightInd w:val="0"/>
        <w:spacing w:line="360" w:lineRule="auto"/>
        <w:jc w:val="both"/>
        <w:rPr>
          <w:rFonts w:eastAsia="Calibri"/>
          <w:vertAlign w:val="superscript"/>
          <w:lang w:val="es-ES" w:eastAsia="en-US"/>
        </w:rPr>
      </w:pPr>
      <w:r w:rsidRPr="002D215E">
        <w:rPr>
          <w:rFonts w:eastAsia="Calibri"/>
          <w:i/>
          <w:lang w:val="es-ES" w:eastAsia="en-US"/>
        </w:rPr>
        <w:t>Palacios Tavara</w:t>
      </w:r>
      <w:r w:rsidRPr="002D215E">
        <w:rPr>
          <w:rFonts w:eastAsia="Calibri"/>
          <w:lang w:val="es-ES" w:eastAsia="en-US"/>
        </w:rPr>
        <w:t>,</w:t>
      </w:r>
      <w:r w:rsidRPr="002D215E">
        <w:rPr>
          <w:rFonts w:eastAsia="Calibri"/>
          <w:vertAlign w:val="superscript"/>
          <w:lang w:val="es-ES" w:eastAsia="en-US"/>
        </w:rPr>
        <w:t>(10)</w:t>
      </w:r>
      <w:r w:rsidRPr="002D215E">
        <w:rPr>
          <w:rFonts w:eastAsia="Calibri"/>
          <w:lang w:val="es-ES" w:eastAsia="en-US"/>
        </w:rPr>
        <w:t xml:space="preserve"> encontró dolores óseos en el 82,1 %, sofocos en 86,4 %, tristeza en 83,2  %, disminución del deseo sexual en 88,9  %, y respuestas de “ya no rindo como antes” en el 92,1 %. En este estudio los síntomas sexuales en las mujeres posmenopáusicas se encuentran en porcientos inferiores a estos y a otros estudios revisados.</w:t>
      </w:r>
      <w:r w:rsidRPr="002D215E">
        <w:rPr>
          <w:rFonts w:eastAsia="Calibri"/>
          <w:vertAlign w:val="superscript"/>
          <w:lang w:val="es-ES" w:eastAsia="en-US"/>
        </w:rPr>
        <w:t>(1,17,18)</w:t>
      </w:r>
    </w:p>
    <w:p w14:paraId="2BD9B3B5" w14:textId="77777777" w:rsidR="002D215E" w:rsidRPr="002D215E" w:rsidRDefault="002D215E" w:rsidP="002D215E">
      <w:pPr>
        <w:autoSpaceDE w:val="0"/>
        <w:autoSpaceDN w:val="0"/>
        <w:adjustRightInd w:val="0"/>
        <w:spacing w:line="360" w:lineRule="auto"/>
        <w:jc w:val="both"/>
        <w:rPr>
          <w:rFonts w:eastAsia="Calibri"/>
          <w:lang w:val="es-ES" w:eastAsia="en-US"/>
        </w:rPr>
      </w:pPr>
      <w:r w:rsidRPr="002D215E">
        <w:rPr>
          <w:rFonts w:eastAsia="Calibri"/>
          <w:lang w:val="es-ES" w:eastAsia="en-US"/>
        </w:rPr>
        <w:t>Se piensa que en estas oscilaciones influye el tipo de paciente incluido, el tamaño de la muestra, así como factores objeto de investigación, muy en relación con la prevalencia de atrofia urogenital</w:t>
      </w:r>
      <w:r w:rsidRPr="002D215E">
        <w:rPr>
          <w:rFonts w:eastAsia="Calibri"/>
          <w:vertAlign w:val="superscript"/>
          <w:lang w:val="es-ES" w:eastAsia="en-US"/>
        </w:rPr>
        <w:t>(19,20)</w:t>
      </w:r>
      <w:r w:rsidRPr="002D215E">
        <w:rPr>
          <w:rFonts w:eastAsia="Calibri"/>
          <w:lang w:val="es-ES" w:eastAsia="en-US"/>
        </w:rPr>
        <w:t xml:space="preserve"> que sufre una de cada tres mujeres posmenopáusicas, debido al hipoestronismo característico de la etapa y al </w:t>
      </w:r>
      <w:r w:rsidRPr="002D215E">
        <w:rPr>
          <w:rFonts w:eastAsia="Calibri"/>
          <w:lang w:val="es-ES" w:eastAsia="en-US"/>
        </w:rPr>
        <w:lastRenderedPageBreak/>
        <w:t>tiempo transitado desde la menopausia. Estos cambios fisiológicos y psicosociales pudieron repercutir de forma variable, en el comportamiento sexual de las mujeres estudiadas.</w:t>
      </w:r>
    </w:p>
    <w:p w14:paraId="59CFF43A"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 xml:space="preserve">Al analizar las causas fisiológicas de la disfunción sexual en la mujer climatérica, la edad determina una atrofia de los genitales. Primero, ocurre una pérdida de la elasticidad de la túnica media vaginal, con tendencia al estrechamiento del órgano. Segundo, una atrofia del epitelio vaginal lo hace más delicado, sensible y muchas veces reacciona con dolor, irritación e inflamación a la introducción del pene. También hay disminución de la vascularización y pérdida de elasticidad de la túnica conjuntivo - vascular subyacente. </w:t>
      </w:r>
    </w:p>
    <w:p w14:paraId="19D94E3B" w14:textId="6835D61A" w:rsidR="002D215E" w:rsidRPr="002D215E" w:rsidRDefault="002D215E" w:rsidP="002D215E">
      <w:pPr>
        <w:spacing w:line="360" w:lineRule="auto"/>
        <w:jc w:val="both"/>
        <w:rPr>
          <w:rFonts w:eastAsia="Calibri"/>
          <w:lang w:val="es-ES" w:eastAsia="en-US"/>
        </w:rPr>
      </w:pPr>
      <w:r w:rsidRPr="002D215E">
        <w:rPr>
          <w:rFonts w:eastAsia="Calibri"/>
          <w:lang w:val="es-ES" w:eastAsia="en-US"/>
        </w:rPr>
        <w:t xml:space="preserve">Aproximadamente </w:t>
      </w:r>
      <w:r w:rsidR="008E0917" w:rsidRPr="002D215E">
        <w:rPr>
          <w:rFonts w:eastAsia="Calibri"/>
          <w:lang w:val="es-ES" w:eastAsia="en-US"/>
        </w:rPr>
        <w:t>una de cada 3 mujeres en la posmenopausia experimenta</w:t>
      </w:r>
      <w:r w:rsidRPr="002D215E">
        <w:rPr>
          <w:rFonts w:eastAsia="Calibri"/>
          <w:lang w:val="es-ES" w:eastAsia="en-US"/>
        </w:rPr>
        <w:t xml:space="preserve"> síntomas relacionados con atrofia urogenital, atrofia uretral con incontinencia urinaria, cistitis intersticial y uretritis, muy frecuentemente tras largos años de menopausia.</w:t>
      </w:r>
    </w:p>
    <w:p w14:paraId="409AFC42"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 xml:space="preserve">Según </w:t>
      </w:r>
      <w:r w:rsidRPr="002D215E">
        <w:rPr>
          <w:rFonts w:eastAsia="Calibri"/>
          <w:i/>
          <w:lang w:val="es-ES" w:eastAsia="en-US"/>
        </w:rPr>
        <w:t xml:space="preserve">Monterrosa-Castro </w:t>
      </w:r>
      <w:r w:rsidRPr="002D215E">
        <w:rPr>
          <w:rFonts w:eastAsia="Calibri"/>
          <w:lang w:val="es-ES" w:eastAsia="en-US"/>
        </w:rPr>
        <w:t>y otros,</w:t>
      </w:r>
      <w:r w:rsidRPr="002D215E">
        <w:rPr>
          <w:rFonts w:eastAsia="Calibri"/>
          <w:vertAlign w:val="superscript"/>
          <w:lang w:val="es-ES" w:eastAsia="en-US"/>
        </w:rPr>
        <w:t xml:space="preserve">(19) </w:t>
      </w:r>
      <w:r w:rsidRPr="002D215E">
        <w:rPr>
          <w:rFonts w:eastAsia="Calibri"/>
          <w:lang w:val="es-ES" w:eastAsia="en-US"/>
        </w:rPr>
        <w:t>“la sequedad vaginal y la dispareunia resultante conducen a disminución o pérdida del deseo sexual; síntomas y signos que repercuten en la esfera psicoafectiva”, todo lo cual influye en la función sexual y la calidad de vida, constatada en las mujeres estudiadas.</w:t>
      </w:r>
    </w:p>
    <w:p w14:paraId="14CC4D1E"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Las vaginitis atróficas, aportan una causa adicional, la dispareunia, la vagina se erosiona y sangra solo con el roce peneal e incluso a la exploración con espéculo. La disminución o ausencia del moco cervical y el de las glándulas de Bartholino, son también causa de alteración de la lubricación vaginal, referida como sensación de sequedad, de alteración en la capacidad de unión y conductas de evitación agravadas por la inactividad sexual característica del comportamiento sexual de algunas mujeres.</w:t>
      </w:r>
    </w:p>
    <w:p w14:paraId="7CB722E7" w14:textId="77777777" w:rsidR="002D215E" w:rsidRPr="002D215E" w:rsidRDefault="002D215E" w:rsidP="002D215E">
      <w:pPr>
        <w:autoSpaceDE w:val="0"/>
        <w:autoSpaceDN w:val="0"/>
        <w:adjustRightInd w:val="0"/>
        <w:spacing w:line="360" w:lineRule="auto"/>
        <w:jc w:val="both"/>
        <w:rPr>
          <w:rFonts w:eastAsia="Calibri"/>
          <w:lang w:val="es-ES" w:eastAsia="en-US"/>
        </w:rPr>
      </w:pPr>
      <w:r w:rsidRPr="002D215E">
        <w:rPr>
          <w:rFonts w:eastAsia="Calibri"/>
          <w:lang w:val="es-ES" w:eastAsia="en-US"/>
        </w:rPr>
        <w:t>Otras veces, como consecuencia de los partos, se sufren desgarros obstétricos que amplían el diámetro vaginal, así como pérdida de elementos de sostén, que ocasionan cistocele, rectocele y hasta prolapso genital. Más que dispareunia se observa anorgasmia, por no tener la capacidad de ajuste sobre el pene, lo cual provoca insatisfacción sexual.</w:t>
      </w:r>
    </w:p>
    <w:p w14:paraId="18C3022A" w14:textId="77777777" w:rsidR="002D215E" w:rsidRPr="002D215E" w:rsidRDefault="002D215E" w:rsidP="002D215E">
      <w:pPr>
        <w:spacing w:line="360" w:lineRule="auto"/>
        <w:jc w:val="both"/>
        <w:rPr>
          <w:lang w:val="es-ES" w:eastAsia="es-ES"/>
        </w:rPr>
      </w:pPr>
      <w:r w:rsidRPr="002D215E">
        <w:rPr>
          <w:lang w:val="es-ES" w:eastAsia="es-ES"/>
        </w:rPr>
        <w:t xml:space="preserve">Según </w:t>
      </w:r>
      <w:r w:rsidRPr="002D215E">
        <w:rPr>
          <w:i/>
          <w:lang w:val="es-ES" w:eastAsia="es-ES"/>
        </w:rPr>
        <w:t>Baffet,</w:t>
      </w:r>
      <w:r w:rsidRPr="002D215E">
        <w:rPr>
          <w:vertAlign w:val="superscript"/>
          <w:lang w:val="es-ES" w:eastAsia="es-ES"/>
        </w:rPr>
        <w:t xml:space="preserve">(17) </w:t>
      </w:r>
      <w:r w:rsidRPr="002D215E">
        <w:rPr>
          <w:lang w:val="es-ES" w:eastAsia="es-ES"/>
        </w:rPr>
        <w:t xml:space="preserve">“el 75 % de las mujeres presentan disfunción sexual en el momento de la menopausia, la que durará alrededor de 5 años en el 50 % de los casos”. </w:t>
      </w:r>
      <w:r w:rsidRPr="002D215E">
        <w:rPr>
          <w:i/>
          <w:iCs/>
          <w:lang w:val="es-ES" w:eastAsia="es-ES"/>
        </w:rPr>
        <w:t>Real Cancio</w:t>
      </w:r>
      <w:r w:rsidRPr="002D215E">
        <w:rPr>
          <w:vertAlign w:val="superscript"/>
          <w:lang w:val="es-ES" w:eastAsia="es-ES"/>
        </w:rPr>
        <w:t xml:space="preserve">(21) </w:t>
      </w:r>
      <w:r w:rsidRPr="002D215E">
        <w:rPr>
          <w:lang w:val="es-ES" w:eastAsia="es-ES"/>
        </w:rPr>
        <w:t xml:space="preserve">en un estudio epidemiológico sobre la disfunción sexual femenina en un área de salud de la Habana Vieja, señala que la dispareunia está presente entre un 35 y 40 % de la población general y ocupa el cuarto lugar en la presentación de dichas disfunciones. Cifras superiores a las encontradas en este estudio. </w:t>
      </w:r>
      <w:r w:rsidRPr="002D215E">
        <w:rPr>
          <w:i/>
          <w:lang w:val="es-ES" w:eastAsia="es-ES"/>
        </w:rPr>
        <w:t>Lema y otros</w:t>
      </w:r>
      <w:r w:rsidRPr="002D215E">
        <w:rPr>
          <w:vertAlign w:val="superscript"/>
          <w:lang w:val="es-ES" w:eastAsia="es-ES"/>
        </w:rPr>
        <w:t>(9)</w:t>
      </w:r>
      <w:r w:rsidRPr="002D215E">
        <w:rPr>
          <w:lang w:val="es-ES" w:eastAsia="es-ES"/>
        </w:rPr>
        <w:t xml:space="preserve"> señalan  del 25 al 43 % la disfunción sexual en esta etapa, lo consideran como un problema de salud pública a resolver. </w:t>
      </w:r>
      <w:r w:rsidRPr="002D215E">
        <w:rPr>
          <w:lang w:val="es-ES" w:eastAsia="es-ES"/>
        </w:rPr>
        <w:lastRenderedPageBreak/>
        <w:t>Otros autores,</w:t>
      </w:r>
      <w:r w:rsidRPr="002D215E">
        <w:rPr>
          <w:vertAlign w:val="superscript"/>
          <w:lang w:val="es-ES" w:eastAsia="es-ES"/>
        </w:rPr>
        <w:t xml:space="preserve">(21,22,23) </w:t>
      </w:r>
      <w:r w:rsidRPr="002D215E">
        <w:rPr>
          <w:lang w:val="es-ES" w:eastAsia="es-ES"/>
        </w:rPr>
        <w:t>la refieren entre 33 a 69,1 % y con sintomatología molesta. Un estudio en La Habana informa 33 % de disfunción sexual femenina.</w:t>
      </w:r>
      <w:r w:rsidRPr="002D215E">
        <w:rPr>
          <w:vertAlign w:val="superscript"/>
          <w:lang w:val="es-ES" w:eastAsia="es-ES"/>
        </w:rPr>
        <w:t xml:space="preserve">(21) </w:t>
      </w:r>
      <w:r w:rsidRPr="002D215E">
        <w:rPr>
          <w:lang w:val="es-ES" w:eastAsia="es-ES"/>
        </w:rPr>
        <w:t>Respecto a síntomas psicosexuales, en cifras inferiores en este estudio, se suman distanciamiento de pareja, incomunicación y/o aferro a la soledad.</w:t>
      </w:r>
    </w:p>
    <w:p w14:paraId="0C36BDAF" w14:textId="77777777" w:rsidR="002D215E" w:rsidRPr="002D215E" w:rsidRDefault="002D215E" w:rsidP="002D215E">
      <w:pPr>
        <w:autoSpaceDE w:val="0"/>
        <w:autoSpaceDN w:val="0"/>
        <w:adjustRightInd w:val="0"/>
        <w:spacing w:line="360" w:lineRule="auto"/>
        <w:jc w:val="both"/>
        <w:rPr>
          <w:rFonts w:eastAsia="Calibri"/>
          <w:lang w:val="es-ES" w:eastAsia="en-US"/>
        </w:rPr>
      </w:pPr>
      <w:r w:rsidRPr="002D215E">
        <w:rPr>
          <w:rFonts w:eastAsia="Calibri"/>
          <w:lang w:val="es-ES" w:eastAsia="en-US"/>
        </w:rPr>
        <w:t>La atrofia de la mama se presentó casi exclusivamente en mujeres delgadas. Las mujeres obesas con estrogenopoyesis extra ovárica en la grasa, aunque tienen atrofia, es menor y no se manifiesta porque el tamaño mamario aumenta a expensas del aumento de grasa, mantienen sus caracteres sexuales, tal como otros estudios reportan.</w:t>
      </w:r>
      <w:r w:rsidRPr="002D215E">
        <w:rPr>
          <w:rFonts w:eastAsia="Calibri"/>
          <w:vertAlign w:val="superscript"/>
          <w:lang w:val="es-ES" w:eastAsia="en-US"/>
        </w:rPr>
        <w:t xml:space="preserve">(2,24) </w:t>
      </w:r>
      <w:r w:rsidRPr="002D215E">
        <w:rPr>
          <w:rFonts w:eastAsia="Calibri"/>
          <w:lang w:val="es-ES" w:eastAsia="en-US"/>
        </w:rPr>
        <w:t>Las alteraciones en la estética corporal, causan preocupaciones y malestares en las mujeres afectadas e influyen negativamente en el comportamiento sexual.</w:t>
      </w:r>
    </w:p>
    <w:p w14:paraId="2B178D6F" w14:textId="77777777" w:rsidR="002D215E" w:rsidRPr="002D215E" w:rsidRDefault="002D215E" w:rsidP="002D215E">
      <w:pPr>
        <w:autoSpaceDE w:val="0"/>
        <w:autoSpaceDN w:val="0"/>
        <w:adjustRightInd w:val="0"/>
        <w:spacing w:line="360" w:lineRule="auto"/>
        <w:jc w:val="both"/>
        <w:rPr>
          <w:rFonts w:eastAsia="Calibri"/>
          <w:vertAlign w:val="superscript"/>
          <w:lang w:val="es-ES" w:eastAsia="en-US"/>
        </w:rPr>
      </w:pPr>
      <w:r w:rsidRPr="002D215E">
        <w:rPr>
          <w:rFonts w:eastAsia="Calibri"/>
          <w:lang w:val="es-ES" w:eastAsia="en-US"/>
        </w:rPr>
        <w:t>Se evidenciaron conductas de evitación sexual, renuncia a la actividad sexual con impacto en la relación de pareja, anorgasmia, inhibición sexual general, que aluden a la repercusión de las infecciones genitourinarias en la sexualidad femenina.</w:t>
      </w:r>
      <w:r w:rsidRPr="002D215E">
        <w:rPr>
          <w:rFonts w:eastAsia="Calibri"/>
          <w:vertAlign w:val="superscript"/>
          <w:lang w:val="es-ES" w:eastAsia="en-US"/>
        </w:rPr>
        <w:t>(2,22)</w:t>
      </w:r>
    </w:p>
    <w:p w14:paraId="4199B144" w14:textId="77777777" w:rsidR="002D215E" w:rsidRPr="002D215E" w:rsidRDefault="002D215E" w:rsidP="002D215E">
      <w:pPr>
        <w:autoSpaceDE w:val="0"/>
        <w:autoSpaceDN w:val="0"/>
        <w:adjustRightInd w:val="0"/>
        <w:spacing w:line="360" w:lineRule="auto"/>
        <w:jc w:val="both"/>
        <w:rPr>
          <w:rFonts w:eastAsia="Calibri"/>
          <w:vertAlign w:val="superscript"/>
          <w:lang w:val="es-ES" w:eastAsia="en-US"/>
        </w:rPr>
      </w:pPr>
      <w:r w:rsidRPr="002D215E">
        <w:rPr>
          <w:rFonts w:eastAsia="Calibri"/>
          <w:lang w:val="es-ES" w:eastAsia="en-US"/>
        </w:rPr>
        <w:t xml:space="preserve">El 16 % de mujeres posmenopáusicas incrementaron su apetencia sexual tras los primeros años de menopausia. En sus estudios </w:t>
      </w:r>
      <w:r w:rsidRPr="002D215E">
        <w:rPr>
          <w:rFonts w:eastAsia="Calibri"/>
          <w:i/>
          <w:lang w:val="es-ES" w:eastAsia="en-US"/>
        </w:rPr>
        <w:t xml:space="preserve">Martínez Chang </w:t>
      </w:r>
      <w:r w:rsidRPr="002D215E">
        <w:rPr>
          <w:rFonts w:eastAsia="Calibri"/>
          <w:lang w:val="es-ES" w:eastAsia="en-US"/>
        </w:rPr>
        <w:t>y otros</w:t>
      </w:r>
      <w:r w:rsidRPr="002D215E">
        <w:rPr>
          <w:rFonts w:eastAsia="Calibri"/>
          <w:vertAlign w:val="superscript"/>
          <w:lang w:val="es-ES" w:eastAsia="en-US"/>
        </w:rPr>
        <w:t>(5</w:t>
      </w:r>
      <w:r w:rsidRPr="002D215E">
        <w:rPr>
          <w:rFonts w:eastAsia="Calibri"/>
          <w:i/>
          <w:vertAlign w:val="superscript"/>
          <w:lang w:val="es-ES" w:eastAsia="en-US"/>
        </w:rPr>
        <w:t xml:space="preserve">) </w:t>
      </w:r>
      <w:r w:rsidRPr="002D215E">
        <w:rPr>
          <w:rFonts w:eastAsia="Calibri"/>
          <w:lang w:val="es-ES" w:eastAsia="en-US"/>
        </w:rPr>
        <w:t xml:space="preserve">y </w:t>
      </w:r>
      <w:r w:rsidRPr="002D215E">
        <w:rPr>
          <w:rFonts w:eastAsia="Calibri"/>
          <w:i/>
          <w:lang w:val="es-ES" w:eastAsia="en-US"/>
        </w:rPr>
        <w:t>Cedrés S</w:t>
      </w:r>
      <w:r w:rsidRPr="002D215E">
        <w:rPr>
          <w:rFonts w:eastAsia="Calibri"/>
          <w:vertAlign w:val="superscript"/>
          <w:lang w:val="es-ES" w:eastAsia="en-US"/>
        </w:rPr>
        <w:t xml:space="preserve">(25) </w:t>
      </w:r>
      <w:r w:rsidRPr="002D215E">
        <w:rPr>
          <w:rFonts w:eastAsia="Calibri"/>
          <w:lang w:val="es-ES" w:eastAsia="en-US"/>
        </w:rPr>
        <w:t>señalan que las mujeres con estilos de vida saludables, ligeros cambios en la autoestima y manifestaciones leves o casi asintomáticas durante esta etapa, al sentirse liberadas de la posibilidad de gestación y/o disponer de mayor intimidad tras la partida de hijos, alcanzan buen nivel de satisfacción sexual y al transitar por esta etapa no advierten cambios en el deseo sexual; evidencian que los factores psicológicos y socioculturales pueden influenciar individualmente en la sexualidad de la mujer climatérica.</w:t>
      </w:r>
    </w:p>
    <w:p w14:paraId="403264A8" w14:textId="77777777" w:rsidR="002D215E" w:rsidRPr="002D215E" w:rsidRDefault="002D215E" w:rsidP="002D215E">
      <w:pPr>
        <w:spacing w:line="360" w:lineRule="auto"/>
        <w:jc w:val="both"/>
        <w:rPr>
          <w:lang w:val="es-ES" w:eastAsia="es-ES"/>
        </w:rPr>
      </w:pPr>
      <w:r w:rsidRPr="002D215E">
        <w:rPr>
          <w:lang w:val="es-ES" w:eastAsia="es-ES"/>
        </w:rPr>
        <w:t>Otros autores</w:t>
      </w:r>
      <w:r w:rsidRPr="002D215E">
        <w:rPr>
          <w:vertAlign w:val="superscript"/>
          <w:lang w:val="es-ES" w:eastAsia="es-ES"/>
        </w:rPr>
        <w:t xml:space="preserve">(23) </w:t>
      </w:r>
      <w:r w:rsidRPr="002D215E">
        <w:rPr>
          <w:lang w:val="es-ES" w:eastAsia="es-ES"/>
        </w:rPr>
        <w:t>señalan que el declinar hormonal está en relación con lo vivido, tanto psíquica como socialmente, con repercusión sexual evidente según la asimilación del envejecimiento. Las vivencias a veces son matizadas hasta por procesos neoplásicos malignos de los genitales, debido al incremento de lesiones precursoras y atipias cervicales en mujeres de mediana edad. De cómo estas mujeres enfrenten y/o asimilen estos cambios, dependerá su calidad de vida.</w:t>
      </w:r>
    </w:p>
    <w:p w14:paraId="684C4A89" w14:textId="77777777" w:rsidR="002D215E" w:rsidRPr="002D215E" w:rsidRDefault="002D215E" w:rsidP="002D215E">
      <w:pPr>
        <w:autoSpaceDE w:val="0"/>
        <w:autoSpaceDN w:val="0"/>
        <w:adjustRightInd w:val="0"/>
        <w:spacing w:line="360" w:lineRule="auto"/>
        <w:jc w:val="both"/>
        <w:rPr>
          <w:rFonts w:eastAsia="Calibri"/>
          <w:color w:val="000000"/>
          <w:lang w:val="es-ES" w:eastAsia="en-US"/>
        </w:rPr>
      </w:pPr>
      <w:r w:rsidRPr="002D215E">
        <w:rPr>
          <w:rFonts w:eastAsia="Calibri"/>
          <w:color w:val="000000"/>
          <w:lang w:val="es-ES" w:eastAsia="en-US"/>
        </w:rPr>
        <w:t xml:space="preserve">Estudios de </w:t>
      </w:r>
      <w:r w:rsidRPr="002D215E">
        <w:rPr>
          <w:rFonts w:eastAsia="Calibri"/>
          <w:i/>
          <w:color w:val="000000"/>
          <w:lang w:val="es-ES" w:eastAsia="en-US"/>
        </w:rPr>
        <w:t xml:space="preserve">Rivera Moya </w:t>
      </w:r>
      <w:r w:rsidRPr="002D215E">
        <w:rPr>
          <w:rFonts w:eastAsia="Calibri"/>
          <w:color w:val="000000"/>
          <w:lang w:val="es-ES" w:eastAsia="en-US"/>
        </w:rPr>
        <w:t>y otros</w:t>
      </w:r>
      <w:r w:rsidRPr="002D215E">
        <w:rPr>
          <w:rFonts w:eastAsia="Calibri"/>
          <w:iCs/>
          <w:color w:val="000000"/>
          <w:vertAlign w:val="superscript"/>
          <w:lang w:val="es-ES" w:eastAsia="en-US"/>
        </w:rPr>
        <w:t>(5)</w:t>
      </w:r>
      <w:r w:rsidRPr="002D215E">
        <w:rPr>
          <w:rFonts w:eastAsia="Calibri"/>
          <w:color w:val="000000"/>
          <w:lang w:val="es-ES" w:eastAsia="en-US"/>
        </w:rPr>
        <w:t xml:space="preserve"> señalan que “Muchas mujeres climatéricas pierden o tienen menos deseos sexuales, probablemente por el descenso de los estrógenos o por el descenso de los andrógenos que son los responsables de la libido; esta disminución determina cambios locales y generales en esta edad, sin embargo, otras mujeres bajo las mismas condiciones, sí mantienen o aumentan el deseo sexual”. Este comportamiento y disfrute sexual, si es mal visto y no aceptado por la sociedad, significaría un conflicto tanto de pareja como en su contexto social.</w:t>
      </w:r>
    </w:p>
    <w:p w14:paraId="51D44AE0"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lastRenderedPageBreak/>
        <w:t>Si al trastorno real físico, agravado por los efectos de la no sistematización de la actividad sexual y en grado máximo, inactividad sexual, muy frecuentes en esta etapa de la vida, se le suman la no prioridad en el desempeño de las relaciones de pareja y la no privacidad para ello, la incomunicación, además de la pérdida o disminución del interés sexual, la sexualidad tiende a enmudecer.</w:t>
      </w:r>
    </w:p>
    <w:p w14:paraId="58495CCC"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 xml:space="preserve">Por otra parte </w:t>
      </w:r>
      <w:r w:rsidRPr="002D215E">
        <w:rPr>
          <w:rFonts w:eastAsia="Calibri"/>
          <w:i/>
          <w:lang w:val="es-ES" w:eastAsia="en-US"/>
        </w:rPr>
        <w:t xml:space="preserve">Diago Caballero D </w:t>
      </w:r>
      <w:r w:rsidRPr="002D215E">
        <w:rPr>
          <w:rFonts w:eastAsia="Calibri"/>
          <w:lang w:val="es-ES" w:eastAsia="en-US"/>
        </w:rPr>
        <w:t>y otros,</w:t>
      </w:r>
      <w:r w:rsidRPr="002D215E">
        <w:rPr>
          <w:rFonts w:eastAsia="Calibri"/>
          <w:vertAlign w:val="superscript"/>
          <w:lang w:val="es-ES" w:eastAsia="en-US"/>
        </w:rPr>
        <w:t>(26)</w:t>
      </w:r>
      <w:r w:rsidRPr="002D215E">
        <w:rPr>
          <w:rFonts w:eastAsia="Calibri"/>
          <w:lang w:val="es-ES" w:eastAsia="en-US"/>
        </w:rPr>
        <w:t xml:space="preserve"> informan de sofocos en un 50 % y dolores corporales generalizados en un 36 %, cifras muy por debajo de las encontradas en este estudio. La sequedad vaginal en más del 90 %, resulta tener cifras superiores. En cuanto a los síntomas psíquicos, señalan porcentajes similares.</w:t>
      </w:r>
    </w:p>
    <w:p w14:paraId="1179EDC1" w14:textId="77777777" w:rsidR="002D215E" w:rsidRPr="002D215E" w:rsidRDefault="002D215E" w:rsidP="002D215E">
      <w:pPr>
        <w:spacing w:line="360" w:lineRule="auto"/>
        <w:jc w:val="both"/>
        <w:rPr>
          <w:rFonts w:eastAsia="Calibri"/>
          <w:color w:val="000000"/>
          <w:lang w:val="es-ES" w:eastAsia="en-US"/>
        </w:rPr>
      </w:pPr>
      <w:r w:rsidRPr="002D215E">
        <w:rPr>
          <w:rFonts w:eastAsia="Calibri"/>
          <w:lang w:val="es-ES" w:eastAsia="en-US"/>
        </w:rPr>
        <w:t xml:space="preserve">Estudios de </w:t>
      </w:r>
      <w:r w:rsidRPr="002D215E">
        <w:rPr>
          <w:rFonts w:eastAsia="Calibri"/>
          <w:i/>
          <w:lang w:val="es-ES" w:eastAsia="en-US"/>
        </w:rPr>
        <w:t xml:space="preserve">Quintana Ramírez </w:t>
      </w:r>
      <w:r w:rsidRPr="002D215E">
        <w:rPr>
          <w:rFonts w:eastAsia="Calibri"/>
          <w:lang w:val="es-ES" w:eastAsia="en-US"/>
        </w:rPr>
        <w:t>y otros,</w:t>
      </w:r>
      <w:r w:rsidRPr="002D215E">
        <w:rPr>
          <w:rFonts w:eastAsia="Calibri"/>
          <w:vertAlign w:val="superscript"/>
          <w:lang w:val="es-ES" w:eastAsia="en-US"/>
        </w:rPr>
        <w:t>(27)</w:t>
      </w:r>
      <w:r w:rsidRPr="002D215E">
        <w:rPr>
          <w:rFonts w:eastAsia="Calibri"/>
          <w:lang w:val="es-ES" w:eastAsia="en-US"/>
        </w:rPr>
        <w:t xml:space="preserve"> señalan que “las alteraciones psicológicas no implican deterioro de la salud mental, pero originan un sinnúmero de malestares, a veces de tal magnitud que pueden bajar la autoestima, haciendo necesaria la labor preventiva”. </w:t>
      </w:r>
      <w:r w:rsidRPr="002D215E">
        <w:rPr>
          <w:rFonts w:eastAsia="Calibri"/>
          <w:color w:val="000000"/>
          <w:lang w:val="es-ES" w:eastAsia="en-US"/>
        </w:rPr>
        <w:t>La sexualidad se encuentra mediatizada por muchos mitos que insisten que con la menopausia culmina el disfrute sexual, pero en realidad las mujeres de edad mediana pueden y deben disfrutar su sexualidad como fuente de crecimiento espiritual, espacio de recreo, comunicación y de expresión de su afectividad, debido a que la sexualidad va mucho más allá de las relaciones sexuales de la pareja, más allá de lo genital o de la conducta reproductiva.</w:t>
      </w:r>
    </w:p>
    <w:p w14:paraId="0DA2D152" w14:textId="77777777" w:rsidR="002D215E" w:rsidRPr="002D215E" w:rsidRDefault="002D215E" w:rsidP="002D215E">
      <w:pPr>
        <w:spacing w:line="360" w:lineRule="auto"/>
        <w:jc w:val="both"/>
        <w:rPr>
          <w:rFonts w:eastAsia="Calibri"/>
          <w:color w:val="FF0000"/>
          <w:lang w:val="es-ES" w:eastAsia="en-US"/>
        </w:rPr>
      </w:pPr>
      <w:r w:rsidRPr="002D215E">
        <w:rPr>
          <w:rFonts w:eastAsia="Calibri"/>
          <w:color w:val="000000"/>
          <w:lang w:val="es-ES" w:eastAsia="en-US"/>
        </w:rPr>
        <w:t xml:space="preserve">Se coincide con lo expresado </w:t>
      </w:r>
      <w:r w:rsidRPr="002D215E">
        <w:rPr>
          <w:rFonts w:eastAsia="Calibri"/>
          <w:lang w:val="es-ES" w:eastAsia="en-US"/>
        </w:rPr>
        <w:t xml:space="preserve">por </w:t>
      </w:r>
      <w:r w:rsidRPr="002D215E">
        <w:rPr>
          <w:rFonts w:eastAsia="Calibri"/>
          <w:i/>
          <w:lang w:val="es-ES" w:eastAsia="en-US"/>
        </w:rPr>
        <w:t xml:space="preserve">Couto </w:t>
      </w:r>
      <w:r w:rsidRPr="002D215E">
        <w:rPr>
          <w:rFonts w:eastAsia="Calibri"/>
          <w:lang w:val="es-ES" w:eastAsia="en-US"/>
        </w:rPr>
        <w:t>y otros</w:t>
      </w:r>
      <w:r w:rsidRPr="002D215E">
        <w:rPr>
          <w:rFonts w:eastAsia="Calibri"/>
          <w:vertAlign w:val="superscript"/>
          <w:lang w:val="es-ES" w:eastAsia="en-US"/>
        </w:rPr>
        <w:t xml:space="preserve">(1) </w:t>
      </w:r>
      <w:r w:rsidRPr="002D215E">
        <w:rPr>
          <w:rFonts w:eastAsia="Calibri"/>
          <w:lang w:val="es-ES" w:eastAsia="en-US"/>
        </w:rPr>
        <w:t>cuando señala que “en la edad mediana, como consecuencia de las variaciones fisiológicas del climaterio y la repercusión del contexto social, cuya sobrecarga física y mental favorece la aparición de procesos que deterioran la salud femenina y hacen más crítico el cuadro sintomático en este período, todo lo cual puede agravarse máxime si existe un trastorno psicogénico previo, así como algunos elementos desfavorables del medio circundante”</w:t>
      </w:r>
    </w:p>
    <w:p w14:paraId="3A44DFDA" w14:textId="77777777" w:rsidR="002D215E" w:rsidRPr="002D215E" w:rsidRDefault="002D215E" w:rsidP="002D215E">
      <w:pPr>
        <w:spacing w:line="360" w:lineRule="auto"/>
        <w:jc w:val="both"/>
        <w:rPr>
          <w:rFonts w:eastAsia="Calibri"/>
          <w:lang w:val="es-ES" w:eastAsia="en-US"/>
        </w:rPr>
      </w:pPr>
      <w:r w:rsidRPr="002D215E">
        <w:rPr>
          <w:rFonts w:eastAsia="Calibri"/>
          <w:i/>
          <w:lang w:val="es-ES" w:eastAsia="en-US"/>
        </w:rPr>
        <w:t xml:space="preserve">Yanes Calderón </w:t>
      </w:r>
      <w:r w:rsidRPr="002D215E">
        <w:rPr>
          <w:rFonts w:eastAsia="Calibri"/>
          <w:lang w:val="es-ES" w:eastAsia="en-US"/>
        </w:rPr>
        <w:t>y otros</w:t>
      </w:r>
      <w:r w:rsidRPr="002D215E">
        <w:rPr>
          <w:rFonts w:eastAsia="Calibri"/>
          <w:vertAlign w:val="superscript"/>
          <w:lang w:val="es-ES" w:eastAsia="en-US"/>
        </w:rPr>
        <w:t xml:space="preserve">(28) </w:t>
      </w:r>
      <w:r w:rsidRPr="002D215E">
        <w:rPr>
          <w:rFonts w:eastAsia="Calibri"/>
          <w:lang w:val="es-ES" w:eastAsia="en-US"/>
        </w:rPr>
        <w:t xml:space="preserve">y </w:t>
      </w:r>
      <w:r w:rsidRPr="002D215E">
        <w:rPr>
          <w:rFonts w:eastAsia="Calibri"/>
          <w:i/>
          <w:lang w:val="es-ES" w:eastAsia="en-US"/>
        </w:rPr>
        <w:t>Chauca Maza D</w:t>
      </w:r>
      <w:r w:rsidRPr="002D215E">
        <w:rPr>
          <w:rFonts w:eastAsia="Calibri"/>
          <w:vertAlign w:val="superscript"/>
          <w:lang w:val="es-ES" w:eastAsia="en-US"/>
        </w:rPr>
        <w:t>(29)</w:t>
      </w:r>
      <w:r w:rsidRPr="002D215E">
        <w:rPr>
          <w:rFonts w:eastAsia="Calibri"/>
          <w:lang w:val="es-ES" w:eastAsia="en-US"/>
        </w:rPr>
        <w:t xml:space="preserve"> señalan el 27,6 % de relaciones sexuales de complacencia, el temor a perder la pareja o no poder encontrarla, la doble jornada laboral, el cuidado de padres ancianos o nietos, las discusiones frecuentes con la pareja, la disfuncionalidad familiar, que junto con la disminución del autocuidado y de la autoimagen intervienen en las características psicosociales que mostraron en cifras similares las mujeres de estudio.</w:t>
      </w:r>
    </w:p>
    <w:p w14:paraId="7F4C7659"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 xml:space="preserve">Se ratifica que el climaterio, es una etapa transicional de vulnerabilidad en el ciclo vital femenino, no es una enfermedad y está matizado por contextos sociales y culturales. El cómo se lo representen mentalmente las mujeres, depende de su cotidianidad en el contexto social. </w:t>
      </w:r>
    </w:p>
    <w:p w14:paraId="33653177" w14:textId="77777777" w:rsidR="002D215E" w:rsidRPr="002D215E" w:rsidRDefault="002D215E" w:rsidP="002D215E">
      <w:pPr>
        <w:spacing w:line="360" w:lineRule="auto"/>
        <w:jc w:val="both"/>
        <w:rPr>
          <w:rFonts w:eastAsia="Calibri"/>
          <w:bCs/>
          <w:lang w:val="es-ES" w:eastAsia="en-US"/>
        </w:rPr>
      </w:pPr>
      <w:r w:rsidRPr="002D215E">
        <w:rPr>
          <w:rFonts w:eastAsia="Calibri"/>
          <w:bCs/>
          <w:lang w:val="es-ES" w:eastAsia="en-US"/>
        </w:rPr>
        <w:lastRenderedPageBreak/>
        <w:t>Las mujeres climatéricas estudiadas fueron mayores de 49 años, con menopausia entre 3 y 5 años, bajo porcentaje de atrofia genitourinaria, con sofocos, dolores óseos, sequedad vaginal, depresión, ansiedad, dificultad en la comunicación de pareja y disminución del deseo sexual.</w:t>
      </w:r>
    </w:p>
    <w:p w14:paraId="4C2762E5" w14:textId="77777777" w:rsidR="002D215E" w:rsidRPr="002D215E" w:rsidRDefault="002D215E" w:rsidP="002D215E">
      <w:pPr>
        <w:spacing w:line="360" w:lineRule="auto"/>
        <w:jc w:val="both"/>
        <w:rPr>
          <w:rFonts w:eastAsia="Calibri"/>
          <w:bCs/>
          <w:lang w:val="es-ES" w:eastAsia="en-US"/>
        </w:rPr>
      </w:pPr>
    </w:p>
    <w:p w14:paraId="1E09BBAB" w14:textId="77777777" w:rsidR="002D215E" w:rsidRPr="002D215E" w:rsidRDefault="002D215E" w:rsidP="002D215E">
      <w:pPr>
        <w:autoSpaceDE w:val="0"/>
        <w:autoSpaceDN w:val="0"/>
        <w:adjustRightInd w:val="0"/>
        <w:spacing w:line="360" w:lineRule="auto"/>
        <w:jc w:val="both"/>
        <w:rPr>
          <w:rFonts w:eastAsia="Calibri"/>
          <w:b/>
          <w:bCs/>
          <w:lang w:val="es-ES" w:eastAsia="en-US"/>
        </w:rPr>
      </w:pPr>
    </w:p>
    <w:p w14:paraId="767145BE" w14:textId="77777777" w:rsidR="002D215E" w:rsidRPr="002D215E" w:rsidRDefault="002D215E" w:rsidP="002D215E">
      <w:pPr>
        <w:autoSpaceDE w:val="0"/>
        <w:autoSpaceDN w:val="0"/>
        <w:adjustRightInd w:val="0"/>
        <w:spacing w:line="360" w:lineRule="auto"/>
        <w:jc w:val="center"/>
        <w:rPr>
          <w:rFonts w:eastAsia="Calibri"/>
          <w:b/>
          <w:bCs/>
          <w:sz w:val="32"/>
          <w:szCs w:val="32"/>
          <w:lang w:val="es-ES" w:eastAsia="en-US"/>
        </w:rPr>
      </w:pPr>
      <w:r w:rsidRPr="002D215E">
        <w:rPr>
          <w:rFonts w:eastAsia="Calibri"/>
          <w:b/>
          <w:bCs/>
          <w:sz w:val="32"/>
          <w:szCs w:val="32"/>
          <w:lang w:val="es-ES" w:eastAsia="en-US"/>
        </w:rPr>
        <w:t>REFERENCIAS BIBLIOGRÁFICAS</w:t>
      </w:r>
    </w:p>
    <w:p w14:paraId="728D73D2"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 Couto Núñez D, Nápoles Méndez D. Síndrome climatérico en mujeres de edad mediana desde un enfoque médico social. MEDISAN. 2012[acceso: 31/01/2020]; 16(8):1185-94. Disponible en: </w:t>
      </w:r>
      <w:hyperlink r:id="rId15" w:history="1">
        <w:r w:rsidRPr="002D215E">
          <w:rPr>
            <w:rFonts w:eastAsia="Calibri"/>
            <w:color w:val="0563C1"/>
            <w:u w:val="single"/>
            <w:lang w:val="es-ES" w:eastAsia="en-US"/>
          </w:rPr>
          <w:t>http://scielo.sld.cu/scielo.php?script=sci_arttext&amp;pid=S1029-30192012000800001&amp;lng=es</w:t>
        </w:r>
      </w:hyperlink>
    </w:p>
    <w:p w14:paraId="37A12B69"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2. Spengler González LM. Afecciones ginecológicas y sexualidad en la mujer climatérica. En: Artiles Visbal L, Navarro Despaigne D, Manzano Ovies B. Climaterio y Menopausia: Un enfoque desde lo social. La Habana: Editorial científico-técnica; 2007. p. 223-31.</w:t>
      </w:r>
    </w:p>
    <w:p w14:paraId="3D0B392E"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3. Sánchez Izquierdo M, Hernández García E. Climaterio y sexualidad. Enferm. glob.  2015 [acceso: 27/01/2021]; 14(40):76-85. Disponible en: </w:t>
      </w:r>
      <w:hyperlink r:id="rId16" w:history="1">
        <w:r w:rsidRPr="002D215E">
          <w:rPr>
            <w:rFonts w:eastAsia="Calibri"/>
            <w:color w:val="0563C1"/>
            <w:u w:val="single"/>
            <w:lang w:val="es-ES" w:eastAsia="en-US"/>
          </w:rPr>
          <w:t>http://scielo.isciii.es/scielo.php?script=sci_arttext&amp;pid=S1695-61412015000400004&amp;lng=es</w:t>
        </w:r>
      </w:hyperlink>
    </w:p>
    <w:p w14:paraId="729D71F9"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4. Sarduy Nápoles M, Lugones Botell M, Editores. II Consenso Cubano sobre Climaterio y Menopausia. La Habana: Editorial CIMEQ; 2007.</w:t>
      </w:r>
    </w:p>
    <w:p w14:paraId="1D2A5C9D"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5. Rivera Moya DC, Bayona Abello SY. Climaterio y función sexual: un abordaje integral a la sexualidad femenina.  Revista CES Salud Pública. 2014[acceso: 29/01/2021]; 5(1):70-76. Disponible en: </w:t>
      </w:r>
      <w:hyperlink r:id="rId17" w:history="1">
        <w:r w:rsidRPr="002D215E">
          <w:rPr>
            <w:rFonts w:eastAsia="Calibri"/>
            <w:color w:val="0563C1"/>
            <w:u w:val="single"/>
            <w:lang w:val="es-ES" w:eastAsia="en-US"/>
          </w:rPr>
          <w:t>https://dialnet.unirioja.es/servlet/articulo?codigo=4804768</w:t>
        </w:r>
      </w:hyperlink>
    </w:p>
    <w:p w14:paraId="7D2FAFF3"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6. Navarro Despaigne D, Fontaine SemanatY. Síndrome climatérico: su repercusión social en mujeres de edad mediana. Rev Cubana Med Gen Integr. 2001 [acceso: 16/12/2020]; 17(2):169-76. Disponible en: </w:t>
      </w:r>
      <w:hyperlink r:id="rId18" w:history="1">
        <w:r w:rsidRPr="002D215E">
          <w:rPr>
            <w:rFonts w:eastAsia="Calibri"/>
            <w:color w:val="0563C1"/>
            <w:u w:val="single"/>
            <w:lang w:val="es-ES" w:eastAsia="en-US"/>
          </w:rPr>
          <w:t>http://scielo.sld.cu/scielo.php?script=sci_arttext&amp;pid=S0864-21252001000200010&amp;lng=es</w:t>
        </w:r>
      </w:hyperlink>
    </w:p>
    <w:p w14:paraId="297DF0F8"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7. Haro Vilela MJ, Sanizaca Saetros CW. Aspectos biológicos y psicosociales que afectan la sexualidad en mujeres mayores de 40 años atendidas en el Centro de salud Cisne II. [Tesis para optar por el grado de Obstetra]. Guayaquil: Facultad de Ciencias Médicas de la Universidad de Guayaquil; 2018[acceso: 01/10/2020]. Disponible en: </w:t>
      </w:r>
      <w:hyperlink r:id="rId19" w:history="1">
        <w:r w:rsidRPr="002D215E">
          <w:rPr>
            <w:rFonts w:eastAsia="Calibri"/>
            <w:color w:val="0563C1"/>
            <w:u w:val="single"/>
            <w:lang w:val="es-ES" w:eastAsia="en-US"/>
          </w:rPr>
          <w:t>http://repositorio.ug.edu.ec/handle/redug/31652</w:t>
        </w:r>
      </w:hyperlink>
    </w:p>
    <w:p w14:paraId="5F921EF4"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8. Martínez Chang YM, Sarduy Nápoles M, Rodríguez Martínez L, Rodríguez Molina M, Iglesias González B. Síntomas climatéricos según el estilo de vida en mujeres de edad mediana. Rev Cubana </w:t>
      </w:r>
      <w:r w:rsidRPr="002D215E">
        <w:rPr>
          <w:rFonts w:eastAsia="Calibri"/>
          <w:color w:val="000000"/>
          <w:lang w:val="es-ES" w:eastAsia="en-US"/>
        </w:rPr>
        <w:lastRenderedPageBreak/>
        <w:t xml:space="preserve">Obstet Ginecol. 2016[acceso: 27/11/2020]; 42(3):295-308. Disponible en: </w:t>
      </w:r>
      <w:hyperlink r:id="rId20" w:history="1">
        <w:r w:rsidRPr="002D215E">
          <w:rPr>
            <w:rFonts w:eastAsia="Calibri"/>
            <w:color w:val="0563C1"/>
            <w:u w:val="single"/>
            <w:lang w:val="es-ES" w:eastAsia="en-US"/>
          </w:rPr>
          <w:t>https://scielo.sld.cu/scielo.php?script=sci_arttext&amp;pid=S0138-600X2016000300005&amp;lng=es</w:t>
        </w:r>
      </w:hyperlink>
    </w:p>
    <w:p w14:paraId="03BA4DB6"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9. Lema Lema LP, Naranjo Logoño I. Impacto del síndrome climatérico en la función sexual. ESPOCH. 2017[acceso: 28/11/2020]; 8(2):36-44. Disponible en: </w:t>
      </w:r>
      <w:hyperlink r:id="rId21" w:history="1">
        <w:r w:rsidRPr="002D215E">
          <w:rPr>
            <w:rFonts w:eastAsia="Calibri"/>
            <w:color w:val="0563C1"/>
            <w:u w:val="single"/>
            <w:lang w:val="es-ES" w:eastAsia="en-US"/>
          </w:rPr>
          <w:t>https://revistas.espoch.edu.ec/index.php/cssn/article/view/16/15</w:t>
        </w:r>
      </w:hyperlink>
    </w:p>
    <w:p w14:paraId="1D43F525"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10. Palacios Tavara MS, Zambrano Macías JS, Vallejo López AB. Depresión y sexualidad en mujeres climatéricas atendidas en dispensario María Auxiliadora provincia del Guayas Cantón Guayaquil del Ecuador. Rev Cient Mundo de la Investigación y del conocimiento. 2019[acceso: 28/11/2020]; 3(1): 832-49. Disponible en: </w:t>
      </w:r>
      <w:hyperlink r:id="rId22" w:history="1">
        <w:r w:rsidRPr="002D215E">
          <w:rPr>
            <w:rFonts w:eastAsia="Calibri"/>
            <w:color w:val="0563C1"/>
            <w:u w:val="single"/>
            <w:lang w:val="es-ES" w:eastAsia="en-US"/>
          </w:rPr>
          <w:t>http://recimundo.com/index.php/es/article/view/394/501</w:t>
        </w:r>
      </w:hyperlink>
    </w:p>
    <w:p w14:paraId="53203E7E"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11. Maure Barcia J. Síntomas vasomotores en la mujer climatérica. Rev Cubana Obstet Ginecol. 2011[acceso: 28/01/2021]; 37(4):577-92. Disponible en: </w:t>
      </w:r>
      <w:hyperlink r:id="rId23" w:history="1">
        <w:r w:rsidRPr="002D215E">
          <w:rPr>
            <w:rFonts w:eastAsia="Calibri"/>
            <w:color w:val="0563C1"/>
            <w:u w:val="single"/>
            <w:lang w:val="es-ES" w:eastAsia="en-US"/>
          </w:rPr>
          <w:t>https://scielo.sld.cu/scielo.php?script=sci_arttext&amp;pid=S0138-600X2011000400014&amp;lng=es</w:t>
        </w:r>
      </w:hyperlink>
    </w:p>
    <w:p w14:paraId="170A4E81"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12. Capote Bueno María I, Segredo Pérez AM, Gómez Zayas O. Climaterio y menopausia. Rev Cubana Med Gen Integr. 2011[acceso: 28/01/2021]; 27(4):543-57. Disponible en: </w:t>
      </w:r>
      <w:hyperlink r:id="rId24" w:history="1">
        <w:r w:rsidRPr="002D215E">
          <w:rPr>
            <w:rFonts w:eastAsia="Calibri"/>
            <w:color w:val="0563C1"/>
            <w:u w:val="single"/>
            <w:lang w:val="es-ES" w:eastAsia="en-US"/>
          </w:rPr>
          <w:t>http://scielo.sld.cu/scielo.php?script=sci_arttext&amp;pid=S0864-21252011000400013&amp;lng=es</w:t>
        </w:r>
      </w:hyperlink>
    </w:p>
    <w:p w14:paraId="01725F78"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13. Jimbo Yepez LA, Carrasco Guaman NR, Jimbo Mendoza JC. Manifestaciones clínicas, psicológicas y de la sexualidad en un grupo de mujeres en el climaterio y la menopausia. Pol. Con. 2017 [acceso: 11/11/2020]; 2(1):162-75. Disponible en: </w:t>
      </w:r>
      <w:hyperlink r:id="rId25" w:history="1">
        <w:r w:rsidRPr="002D215E">
          <w:rPr>
            <w:rFonts w:eastAsia="Calibri"/>
            <w:color w:val="0563C1"/>
            <w:u w:val="single"/>
            <w:lang w:val="es-ES" w:eastAsia="en-US"/>
          </w:rPr>
          <w:t>http://polodelconocimiento.com/ojs/index.php/es</w:t>
        </w:r>
      </w:hyperlink>
    </w:p>
    <w:p w14:paraId="1BC51F57"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14. Lozano Hernández E, Márquez Hernández V, Moya Diéguez JM, Alarcón Rodríguez R. Cambios en la sexualidad durante la menopausia. Aten Primaria. 2013[acceso: 17/12/2020];45(6):[aprox.7 p.]. Disponible en: </w:t>
      </w:r>
      <w:hyperlink r:id="rId26" w:history="1">
        <w:r w:rsidRPr="002D215E">
          <w:rPr>
            <w:rFonts w:eastAsia="Calibri"/>
            <w:color w:val="0563C1"/>
            <w:u w:val="single"/>
            <w:lang w:val="es-ES" w:eastAsia="en-US"/>
          </w:rPr>
          <w:t>https://www.ncbi.nlm.nih.gov/pmc/articles/PMC6983578/</w:t>
        </w:r>
      </w:hyperlink>
    </w:p>
    <w:p w14:paraId="74500E8A"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15. Riguete de Souza Soares G, Faria Simoes SM, Silveira Fazoli KL, Halász Coutinho F, Antunes Cortez E. El vivir de las mujeres en el climaterio: revisión sistemática de la literatura. Enferm. glob.  2012 [acceso: 27/12/ 2020]; 11(25): 440-50. Disponible en: </w:t>
      </w:r>
      <w:hyperlink r:id="rId27" w:history="1">
        <w:r w:rsidRPr="002D215E">
          <w:rPr>
            <w:rFonts w:eastAsia="Calibri"/>
            <w:color w:val="0563C1"/>
            <w:u w:val="single"/>
            <w:lang w:val="es-ES" w:eastAsia="en-US"/>
          </w:rPr>
          <w:t>http://dx.doi.org/10.4321/S1695-1412012000100025</w:t>
        </w:r>
      </w:hyperlink>
    </w:p>
    <w:p w14:paraId="3E4AC9D8"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16. ArtilesVisbal L. La experiencia cubana en la atención a la mujer de edad mediana. Quaden CAPS. 2003 [acceso: 17/12/2020]; [aprox. 9 p.]. Disponible en: </w:t>
      </w:r>
      <w:hyperlink r:id="rId28" w:history="1">
        <w:r w:rsidRPr="002D215E">
          <w:rPr>
            <w:rFonts w:eastAsia="Calibri"/>
            <w:color w:val="0563C1"/>
            <w:u w:val="single"/>
            <w:lang w:val="es-ES" w:eastAsia="en-US"/>
          </w:rPr>
          <w:t>http://www.caps.cat/images/stories/8.31artiles2.pdf</w:t>
        </w:r>
      </w:hyperlink>
    </w:p>
    <w:p w14:paraId="562E2F85"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n-US" w:eastAsia="en-US"/>
        </w:rPr>
        <w:lastRenderedPageBreak/>
        <w:t xml:space="preserve">17. Baffet H, Robin H, Letombet G. Menopausia. </w:t>
      </w:r>
      <w:r w:rsidRPr="002D215E">
        <w:rPr>
          <w:rFonts w:eastAsia="Calibri"/>
          <w:color w:val="000000"/>
          <w:lang w:val="es-ES" w:eastAsia="en-US"/>
        </w:rPr>
        <w:t xml:space="preserve">EMC- Ginecol. 2015 [acceso: 28/10/2020]; 51(3):1-18. Disponible en: </w:t>
      </w:r>
      <w:hyperlink r:id="rId29" w:history="1">
        <w:r w:rsidRPr="002D215E">
          <w:rPr>
            <w:rFonts w:eastAsia="Calibri"/>
            <w:color w:val="0563C1"/>
            <w:u w:val="single"/>
            <w:lang w:val="es-ES" w:eastAsia="en-US"/>
          </w:rPr>
          <w:t>http://linkinghub.elsevier.com/retrieve/pii/S1283081x15728328</w:t>
        </w:r>
      </w:hyperlink>
    </w:p>
    <w:p w14:paraId="44E1E92B"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18. Pugo Plaza JP, Quintuña Bravo RM. Conocimientos, actitudes y sintomatología sobre el climaterio en mujeres de 45 a 65 años que acuden a consulta externa de Ginecología del Hospital Vicente Corral Moscoso (HVCM).[Tesis para optar por el título de Doctora en Medicina]. Cuenca; 2016. [acceso:27/11/2020]. Disponible en: </w:t>
      </w:r>
      <w:hyperlink r:id="rId30" w:history="1">
        <w:r w:rsidRPr="002D215E">
          <w:rPr>
            <w:rFonts w:eastAsia="Calibri"/>
            <w:color w:val="0563C1"/>
            <w:u w:val="single"/>
            <w:lang w:val="es-ES" w:eastAsia="en-US"/>
          </w:rPr>
          <w:t>https://dspace.ucuenca.edu.ec/bitstream/123456789/25225/1/TESIS.pdf</w:t>
        </w:r>
      </w:hyperlink>
    </w:p>
    <w:p w14:paraId="29BAE705"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19. Monterrosa-Castro A, Márquez-Vega J, Arteta-Acosta C. Disfunción sexual en mujeres climatéricas afrodescendientes del Caribe Colombiano. Revista Iatreia. 2014 [acceso: 27/10/2020]; 27(1):31-41. Disponible en: </w:t>
      </w:r>
      <w:hyperlink r:id="rId31" w:history="1">
        <w:r w:rsidRPr="002D215E">
          <w:rPr>
            <w:rFonts w:eastAsia="Calibri"/>
            <w:color w:val="0563C1"/>
            <w:u w:val="single"/>
            <w:lang w:val="es-ES" w:eastAsia="en-US"/>
          </w:rPr>
          <w:t>https://www.redalyc.org/pdf/1805/180529791004.pdf</w:t>
        </w:r>
      </w:hyperlink>
    </w:p>
    <w:p w14:paraId="023D80D7"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20. Torres Jiménez AP, Torres Rincón JM. Climaterio y menopausia. Rev Fac Med UNAM. 2018[acceso:21/12/2020]; 61(2):51-58. Disponible en: </w:t>
      </w:r>
      <w:hyperlink r:id="rId32" w:history="1">
        <w:r w:rsidRPr="002D215E">
          <w:rPr>
            <w:rFonts w:eastAsia="Calibri"/>
            <w:color w:val="0563C1"/>
            <w:u w:val="single"/>
            <w:lang w:val="es-ES" w:eastAsia="en-US"/>
          </w:rPr>
          <w:t>https://www.medigraphic.com/pdfs/facmed/un-2018/un182j.pdf</w:t>
        </w:r>
      </w:hyperlink>
    </w:p>
    <w:p w14:paraId="0C84594D"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21. Cancio RM. Estudio epidemiológico de la disfunción sexual femenina. Asociación con otras enfermedades y factores de riesgo [Tesis de doctorado]. La Habana: Hospital Hermanos Ameijeiras; 2012. [acceso: 17/01/2021]. Disponible en: </w:t>
      </w:r>
      <w:hyperlink r:id="rId33" w:history="1">
        <w:r w:rsidRPr="002D215E">
          <w:rPr>
            <w:rFonts w:eastAsia="Calibri"/>
            <w:color w:val="0563C1"/>
            <w:u w:val="single"/>
            <w:lang w:val="es-ES" w:eastAsia="en-US"/>
          </w:rPr>
          <w:t>https://tesis.sld.cu/index.php?P=DownloadFile&amp;Id=179</w:t>
        </w:r>
      </w:hyperlink>
    </w:p>
    <w:p w14:paraId="4C62A45C"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22. Vázquez López MJ. Repercusión de la menopausia en la sexualidad de la mujer. [Tesis fin de grado de enfermería]. España: Universidad de Jaen, Facultad de Ciencias de la Salud; 2016. [acceso: 17/11/2020]. Disponible en: </w:t>
      </w:r>
      <w:hyperlink r:id="rId34" w:history="1">
        <w:r w:rsidRPr="002D215E">
          <w:rPr>
            <w:rFonts w:eastAsia="Calibri"/>
            <w:color w:val="0563C1"/>
            <w:u w:val="single"/>
            <w:lang w:val="es-ES" w:eastAsia="en-US"/>
          </w:rPr>
          <w:t>http://tauja.ujaen.es/bitstream/10953.1/2788/1/Trabajo_Fin_de_Grado__Mara_Jos_Vzquez_Lpez.pdf</w:t>
        </w:r>
      </w:hyperlink>
    </w:p>
    <w:p w14:paraId="7F482F88"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23. Rodríguez González D, Pérez Piñero J, Sarduy Nápoles M. Infección por el virus del papiloma humano en mujeres de edad mediana y factores asociados. Rev Cubana Obstet Ginecol. 2014 [acceso: 19/12/2020];40(2):218-32. Disponible en: </w:t>
      </w:r>
      <w:hyperlink r:id="rId35" w:history="1">
        <w:r w:rsidRPr="002D215E">
          <w:rPr>
            <w:rFonts w:eastAsia="Calibri"/>
            <w:color w:val="0563C1"/>
            <w:u w:val="single"/>
            <w:lang w:val="es-ES" w:eastAsia="en-US"/>
          </w:rPr>
          <w:t>https://scielo.sld.cu/scielo.php?script=sci_arttext&amp;pid=S0138-600X2014000200009&amp;lng=es</w:t>
        </w:r>
      </w:hyperlink>
    </w:p>
    <w:p w14:paraId="0F546853"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24. Nápoles Betancourt A, Alfonso Rodríguez AC. Apuntes bibliográficos sobre salud sexual en mujeres de edad mediana. Rev. Comunicación y salud. 2019 [acceso: 30/01/2021]; 9(2):17-26. Disponible en: </w:t>
      </w:r>
      <w:hyperlink r:id="rId36" w:history="1">
        <w:r w:rsidRPr="002D215E">
          <w:rPr>
            <w:rFonts w:eastAsia="Calibri"/>
            <w:color w:val="0563C1"/>
            <w:u w:val="single"/>
            <w:lang w:val="es-ES" w:eastAsia="en-US"/>
          </w:rPr>
          <w:t>http://www.revistadecomunicacionysalud.es/index.php/rcys/article/view/186/157</w:t>
        </w:r>
      </w:hyperlink>
    </w:p>
    <w:p w14:paraId="3432EBA1"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lastRenderedPageBreak/>
        <w:t xml:space="preserve">25. Cedrés S, editor. Climaterio y sexualidad: Cambios y nuevas oportunidades. Vol.II. Montevideo: PLENUS; 2017[acceso: 18/02/2021].Disponible en: </w:t>
      </w:r>
      <w:hyperlink r:id="rId37" w:history="1">
        <w:r w:rsidRPr="002D215E">
          <w:rPr>
            <w:rFonts w:eastAsia="Calibri"/>
            <w:color w:val="0563C1"/>
            <w:u w:val="single"/>
            <w:lang w:val="es-ES" w:eastAsia="en-US"/>
          </w:rPr>
          <w:t>https://www.plenus.com.uy/docs/mujer/climaterio_2.pdf</w:t>
        </w:r>
      </w:hyperlink>
    </w:p>
    <w:p w14:paraId="2086512A" w14:textId="77777777" w:rsidR="002D215E" w:rsidRPr="002D215E" w:rsidRDefault="002D215E" w:rsidP="002D215E">
      <w:pPr>
        <w:autoSpaceDE w:val="0"/>
        <w:autoSpaceDN w:val="0"/>
        <w:adjustRightInd w:val="0"/>
        <w:spacing w:line="360" w:lineRule="auto"/>
        <w:rPr>
          <w:rFonts w:ascii="Arial" w:eastAsia="Calibri" w:hAnsi="Arial" w:cs="Arial"/>
          <w:color w:val="000000"/>
          <w:lang w:val="es-ES" w:eastAsia="en-US"/>
        </w:rPr>
      </w:pPr>
      <w:r w:rsidRPr="002D215E">
        <w:rPr>
          <w:rFonts w:eastAsia="Calibri"/>
          <w:color w:val="000000"/>
          <w:lang w:val="es-ES" w:eastAsia="en-US"/>
        </w:rPr>
        <w:t xml:space="preserve">26. Diago Caballero D, Díaz Abreu M, Salabarría Fernández M. Climaterio y algunos aspectos biopsicosociales de su sexualidad. Rev. haban cienc méd. 2008 Jun[acceso: 18/02/2021]; 7(2): [aprox. 7 p] Disponible en: </w:t>
      </w:r>
      <w:hyperlink r:id="rId38" w:history="1">
        <w:r w:rsidRPr="002D215E">
          <w:rPr>
            <w:rFonts w:eastAsia="Calibri"/>
            <w:color w:val="0563C1"/>
            <w:u w:val="single"/>
            <w:lang w:val="es-ES" w:eastAsia="en-US"/>
          </w:rPr>
          <w:t>http://scielo.sld.cu/scielo.php?script=sci_arttext&amp;pid=S1729-519X2008000200006&amp;lng=es</w:t>
        </w:r>
      </w:hyperlink>
    </w:p>
    <w:p w14:paraId="5BE46B48" w14:textId="77777777" w:rsidR="002D215E" w:rsidRPr="002D215E" w:rsidRDefault="002D215E" w:rsidP="002D215E">
      <w:pPr>
        <w:autoSpaceDE w:val="0"/>
        <w:autoSpaceDN w:val="0"/>
        <w:adjustRightInd w:val="0"/>
        <w:spacing w:line="360" w:lineRule="auto"/>
        <w:rPr>
          <w:rFonts w:ascii="Arial" w:eastAsia="Calibri" w:hAnsi="Arial" w:cs="Arial"/>
          <w:color w:val="000000"/>
          <w:lang w:val="es-ES" w:eastAsia="en-US"/>
        </w:rPr>
      </w:pPr>
      <w:r w:rsidRPr="002D215E">
        <w:rPr>
          <w:rFonts w:eastAsia="Calibri"/>
          <w:color w:val="000000"/>
          <w:lang w:val="es-ES" w:eastAsia="en-US"/>
        </w:rPr>
        <w:t xml:space="preserve">27. Quintana Ramírez M, Vázquez Lazo C. Aspectos biopsicosociales que caracterizan a mujeres con Síndrome Climatérico. Rev Cubana Enfermer. 2008[acceso: 25/01/2021];24(1): [aprox. 7 p]. Disponible en: </w:t>
      </w:r>
      <w:hyperlink r:id="rId39" w:history="1">
        <w:r w:rsidRPr="002D215E">
          <w:rPr>
            <w:rFonts w:eastAsia="Calibri"/>
            <w:color w:val="0563C1"/>
            <w:u w:val="single"/>
            <w:lang w:val="es-ES" w:eastAsia="en-US"/>
          </w:rPr>
          <w:t>http://scielo.sld.cu/scielo.php?script=sci_arttext&amp;pid=S0864-03192008000100006&amp;lng=es</w:t>
        </w:r>
      </w:hyperlink>
    </w:p>
    <w:p w14:paraId="64F49DBE"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28. Yanes Calderón M, Chio Naranjo I. Climaterio y sexualidad: su repercusión en la calidad de vida de la mujer de edad mediana. Rev Cubana Med Gen Integr. 2008 [acceso: 18/02/2021]; 24(2):[aprox. 9p]. Disponible en: </w:t>
      </w:r>
      <w:hyperlink r:id="rId40" w:history="1">
        <w:r w:rsidRPr="002D215E">
          <w:rPr>
            <w:rFonts w:eastAsia="Calibri"/>
            <w:color w:val="0563C1"/>
            <w:u w:val="single"/>
            <w:lang w:val="es-ES" w:eastAsia="en-US"/>
          </w:rPr>
          <w:t>https://scielo.sld.cu/scielo.php?script=sci_arttext&amp;pid=S0864-21252008000200005&amp;lng=es</w:t>
        </w:r>
      </w:hyperlink>
    </w:p>
    <w:p w14:paraId="17547424" w14:textId="77777777" w:rsidR="002D215E" w:rsidRPr="002D215E" w:rsidRDefault="002D215E" w:rsidP="002D215E">
      <w:pPr>
        <w:autoSpaceDE w:val="0"/>
        <w:autoSpaceDN w:val="0"/>
        <w:adjustRightInd w:val="0"/>
        <w:spacing w:line="360" w:lineRule="auto"/>
        <w:rPr>
          <w:rFonts w:eastAsia="Calibri"/>
          <w:color w:val="000000"/>
          <w:lang w:val="es-ES" w:eastAsia="en-US"/>
        </w:rPr>
      </w:pPr>
      <w:r w:rsidRPr="002D215E">
        <w:rPr>
          <w:rFonts w:eastAsia="Calibri"/>
          <w:color w:val="000000"/>
          <w:lang w:val="es-ES" w:eastAsia="en-US"/>
        </w:rPr>
        <w:t xml:space="preserve">29. Chauca Maza DY. Factores asociados a los cambios sexuales en mujeres climatéricas que acuden a Maternidad de María Chimbote: Abril-Julio 2018. [Tesis para obtener el título de licenciada en obstetricia]. </w:t>
      </w:r>
      <w:r w:rsidRPr="002D215E">
        <w:rPr>
          <w:rFonts w:eastAsia="Calibri"/>
          <w:lang w:val="es-ES" w:eastAsia="en-US"/>
        </w:rPr>
        <w:t xml:space="preserve">Perú: </w:t>
      </w:r>
      <w:r w:rsidRPr="002D215E">
        <w:rPr>
          <w:rFonts w:eastAsia="Calibri"/>
          <w:color w:val="000000"/>
          <w:lang w:val="es-ES" w:eastAsia="en-US"/>
        </w:rPr>
        <w:t xml:space="preserve">Universidad San Pedro, Facultad Ciencias de la Salud; </w:t>
      </w:r>
      <w:r w:rsidRPr="002D215E">
        <w:rPr>
          <w:rFonts w:eastAsia="Calibri"/>
          <w:lang w:val="es-ES" w:eastAsia="en-US"/>
        </w:rPr>
        <w:t>2019</w:t>
      </w:r>
      <w:r w:rsidRPr="002D215E">
        <w:rPr>
          <w:rFonts w:eastAsia="Calibri"/>
          <w:color w:val="000000"/>
          <w:lang w:val="es-ES" w:eastAsia="en-US"/>
        </w:rPr>
        <w:t xml:space="preserve">.[acceso: 18/02/2021]. Disponible en: </w:t>
      </w:r>
      <w:hyperlink r:id="rId41" w:history="1">
        <w:r w:rsidRPr="002D215E">
          <w:rPr>
            <w:rFonts w:eastAsia="Calibri"/>
            <w:color w:val="0563C1"/>
            <w:u w:val="single"/>
            <w:lang w:val="es-ES" w:eastAsia="en-US"/>
          </w:rPr>
          <w:t>http://repositorio.usanpedro.edu.pe/handle/USANPEDRO/8499; Tesis 60382.pdf</w:t>
        </w:r>
      </w:hyperlink>
    </w:p>
    <w:p w14:paraId="1DF8550F" w14:textId="77777777" w:rsidR="002D215E" w:rsidRPr="002D215E" w:rsidRDefault="002D215E" w:rsidP="002D215E">
      <w:pPr>
        <w:autoSpaceDE w:val="0"/>
        <w:autoSpaceDN w:val="0"/>
        <w:adjustRightInd w:val="0"/>
        <w:spacing w:line="360" w:lineRule="auto"/>
        <w:rPr>
          <w:rFonts w:eastAsia="Calibri"/>
          <w:color w:val="000000"/>
          <w:lang w:val="es-ES" w:eastAsia="en-US"/>
        </w:rPr>
      </w:pPr>
    </w:p>
    <w:p w14:paraId="5AE3DAF8" w14:textId="77777777" w:rsidR="002D215E" w:rsidRPr="002D215E" w:rsidRDefault="002D215E" w:rsidP="002D215E">
      <w:pPr>
        <w:autoSpaceDE w:val="0"/>
        <w:autoSpaceDN w:val="0"/>
        <w:adjustRightInd w:val="0"/>
        <w:spacing w:line="360" w:lineRule="auto"/>
        <w:jc w:val="both"/>
        <w:rPr>
          <w:rFonts w:eastAsia="Calibri"/>
          <w:color w:val="0563C1"/>
          <w:u w:val="single"/>
          <w:lang w:val="es-ES" w:eastAsia="en-US"/>
        </w:rPr>
      </w:pPr>
    </w:p>
    <w:p w14:paraId="7254309C" w14:textId="77777777" w:rsidR="002D215E" w:rsidRPr="002D215E" w:rsidRDefault="002D215E" w:rsidP="002D215E">
      <w:pPr>
        <w:spacing w:line="360" w:lineRule="auto"/>
        <w:jc w:val="center"/>
        <w:rPr>
          <w:rFonts w:eastAsia="Calibri"/>
          <w:b/>
          <w:lang w:val="es-ES" w:eastAsia="en-US"/>
        </w:rPr>
      </w:pPr>
      <w:r w:rsidRPr="002D215E">
        <w:rPr>
          <w:rFonts w:eastAsia="Calibri"/>
          <w:b/>
          <w:lang w:val="es-ES" w:eastAsia="en-US"/>
        </w:rPr>
        <w:t>Conflictos de intereses</w:t>
      </w:r>
    </w:p>
    <w:p w14:paraId="22D9CCAE" w14:textId="77777777" w:rsidR="002D215E" w:rsidRPr="002D215E" w:rsidRDefault="002D215E" w:rsidP="002D215E">
      <w:pPr>
        <w:spacing w:line="360" w:lineRule="auto"/>
        <w:jc w:val="both"/>
        <w:rPr>
          <w:rFonts w:eastAsia="Calibri"/>
          <w:lang w:val="es-ES" w:eastAsia="en-US"/>
        </w:rPr>
      </w:pPr>
      <w:r w:rsidRPr="002D215E">
        <w:rPr>
          <w:rFonts w:eastAsia="Calibri"/>
          <w:lang w:val="es-ES" w:eastAsia="en-US"/>
        </w:rPr>
        <w:t xml:space="preserve"> Los autores declaran no tener conflictos de interés relacionados con este trabajo.</w:t>
      </w:r>
    </w:p>
    <w:p w14:paraId="188DFA5E" w14:textId="77777777" w:rsidR="002D215E" w:rsidRPr="002D215E" w:rsidRDefault="002D215E" w:rsidP="002D215E">
      <w:pPr>
        <w:spacing w:line="360" w:lineRule="auto"/>
        <w:jc w:val="both"/>
        <w:rPr>
          <w:rFonts w:eastAsia="Calibri"/>
          <w:lang w:val="es-ES" w:eastAsia="en-US"/>
        </w:rPr>
      </w:pPr>
    </w:p>
    <w:p w14:paraId="19CAA2BF" w14:textId="77777777" w:rsidR="002D215E" w:rsidRPr="002D215E" w:rsidRDefault="002D215E" w:rsidP="002D215E">
      <w:pPr>
        <w:spacing w:line="360" w:lineRule="auto"/>
        <w:jc w:val="center"/>
        <w:rPr>
          <w:rFonts w:eastAsia="Calibri"/>
          <w:b/>
          <w:lang w:val="es-ES" w:eastAsia="en-US"/>
        </w:rPr>
      </w:pPr>
      <w:r w:rsidRPr="002D215E">
        <w:rPr>
          <w:rFonts w:eastAsia="Calibri"/>
          <w:b/>
          <w:lang w:val="es-ES" w:eastAsia="en-US"/>
        </w:rPr>
        <w:t>Contribuciones de los autores</w:t>
      </w:r>
    </w:p>
    <w:p w14:paraId="0DD22E84" w14:textId="77777777" w:rsidR="002D215E" w:rsidRPr="002D215E" w:rsidRDefault="002D215E" w:rsidP="002D215E">
      <w:pPr>
        <w:spacing w:line="360" w:lineRule="auto"/>
        <w:jc w:val="both"/>
        <w:rPr>
          <w:rFonts w:eastAsia="Calibri"/>
          <w:lang w:val="es-ES" w:eastAsia="en-US"/>
        </w:rPr>
      </w:pPr>
      <w:r w:rsidRPr="002D215E">
        <w:rPr>
          <w:rFonts w:eastAsia="Calibri"/>
          <w:i/>
          <w:iCs/>
          <w:lang w:val="es-ES" w:eastAsia="en-US"/>
        </w:rPr>
        <w:t>Lessing Spengler González:</w:t>
      </w:r>
      <w:r w:rsidRPr="002D215E">
        <w:rPr>
          <w:rFonts w:eastAsia="Calibri"/>
          <w:lang w:val="es-ES" w:eastAsia="en-US"/>
        </w:rPr>
        <w:t xml:space="preserve"> diseño, realización de la investigación y redacción del artículo.</w:t>
      </w:r>
    </w:p>
    <w:p w14:paraId="534F291C" w14:textId="77777777" w:rsidR="002D215E" w:rsidRPr="002D215E" w:rsidRDefault="002D215E" w:rsidP="002D215E">
      <w:pPr>
        <w:spacing w:line="360" w:lineRule="auto"/>
        <w:jc w:val="both"/>
        <w:rPr>
          <w:rFonts w:eastAsia="Calibri"/>
          <w:lang w:val="es-ES" w:eastAsia="en-US"/>
        </w:rPr>
      </w:pPr>
      <w:r w:rsidRPr="002D215E">
        <w:rPr>
          <w:rFonts w:eastAsia="Calibri"/>
          <w:i/>
          <w:iCs/>
          <w:lang w:val="es-ES" w:eastAsia="en-US"/>
        </w:rPr>
        <w:t>Ozara Granado Martínez:</w:t>
      </w:r>
      <w:r w:rsidRPr="002D215E">
        <w:rPr>
          <w:rFonts w:eastAsia="Calibri"/>
          <w:lang w:val="es-ES" w:eastAsia="en-US"/>
        </w:rPr>
        <w:t xml:space="preserve"> diseño, realización de la investigación y redacción del artículo.</w:t>
      </w:r>
    </w:p>
    <w:p w14:paraId="1EE908FE" w14:textId="77777777" w:rsidR="002D215E" w:rsidRPr="002D215E" w:rsidRDefault="002D215E" w:rsidP="002D215E">
      <w:pPr>
        <w:spacing w:line="360" w:lineRule="auto"/>
        <w:jc w:val="both"/>
        <w:rPr>
          <w:rFonts w:eastAsia="Calibri"/>
          <w:lang w:val="es-ES" w:eastAsia="en-US"/>
        </w:rPr>
      </w:pPr>
      <w:r w:rsidRPr="002D215E">
        <w:rPr>
          <w:rFonts w:eastAsia="Calibri"/>
          <w:i/>
          <w:iCs/>
          <w:lang w:val="es-ES" w:eastAsia="en-US"/>
        </w:rPr>
        <w:t>Miguel Ramón Benítez Santa Cruz:</w:t>
      </w:r>
      <w:r w:rsidRPr="002D215E">
        <w:rPr>
          <w:rFonts w:eastAsia="Calibri"/>
          <w:lang w:val="es-ES" w:eastAsia="en-US"/>
        </w:rPr>
        <w:t xml:space="preserve"> diseño, realización de la investigación y redacción del artículo.</w:t>
      </w:r>
    </w:p>
    <w:p w14:paraId="6EC4BBAC" w14:textId="549FA6F8" w:rsidR="00675476" w:rsidRPr="008E0917" w:rsidRDefault="002D215E" w:rsidP="008E0917">
      <w:pPr>
        <w:spacing w:line="360" w:lineRule="auto"/>
        <w:jc w:val="both"/>
        <w:rPr>
          <w:rFonts w:eastAsia="Calibri"/>
          <w:lang w:val="es-ES" w:eastAsia="en-US"/>
        </w:rPr>
      </w:pPr>
      <w:r w:rsidRPr="002D215E">
        <w:rPr>
          <w:rFonts w:eastAsia="Calibri"/>
          <w:lang w:val="es-ES" w:eastAsia="en-US"/>
        </w:rPr>
        <w:t xml:space="preserve">Los autores, individualmente se responsabilizan con todo el contenido del artículo. </w:t>
      </w:r>
    </w:p>
    <w:sectPr w:rsidR="00675476" w:rsidRPr="008E0917" w:rsidSect="00486BFA">
      <w:headerReference w:type="default" r:id="rId42"/>
      <w:footerReference w:type="even" r:id="rId43"/>
      <w:footerReference w:type="default" r:id="rId44"/>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739B" w14:textId="77777777" w:rsidR="00FB1CB5" w:rsidRDefault="00FB1CB5">
      <w:r>
        <w:separator/>
      </w:r>
    </w:p>
  </w:endnote>
  <w:endnote w:type="continuationSeparator" w:id="0">
    <w:p w14:paraId="41575D15" w14:textId="77777777" w:rsidR="00FB1CB5" w:rsidRDefault="00FB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205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A285B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B880" w14:textId="3F19A6C1" w:rsidR="000F3690" w:rsidRPr="00AE044C" w:rsidRDefault="002D215E"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ABADED8" wp14:editId="2F071E14">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9207E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6587C7C3" w14:textId="77777777" w:rsidR="00675476" w:rsidRPr="00AE044C" w:rsidRDefault="00FB1CB5" w:rsidP="00391509">
    <w:pPr>
      <w:pStyle w:val="Piedepgina"/>
      <w:ind w:right="360"/>
      <w:rPr>
        <w:sz w:val="22"/>
        <w:szCs w:val="22"/>
      </w:rPr>
    </w:pPr>
    <w:hyperlink r:id="rId1" w:history="1">
      <w:r w:rsidR="00391509" w:rsidRPr="00AE044C">
        <w:rPr>
          <w:rStyle w:val="Hipervnculo"/>
          <w:sz w:val="22"/>
          <w:szCs w:val="22"/>
        </w:rPr>
        <w:t>http://scielo.sld.cu</w:t>
      </w:r>
    </w:hyperlink>
  </w:p>
  <w:p w14:paraId="250765B3" w14:textId="77777777" w:rsidR="00391509" w:rsidRPr="00AE044C" w:rsidRDefault="00FB1CB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7D5400C" w14:textId="60D73898"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D215E" w:rsidRPr="002D215E">
      <w:rPr>
        <w:rFonts w:ascii="Verdana" w:hAnsi="Verdana"/>
        <w:noProof/>
        <w:sz w:val="18"/>
        <w:szCs w:val="18"/>
        <w:lang w:val="en-US" w:eastAsia="en-US"/>
      </w:rPr>
      <w:drawing>
        <wp:inline distT="0" distB="0" distL="0" distR="0" wp14:anchorId="3E03B553" wp14:editId="2A462A73">
          <wp:extent cx="643890" cy="15113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8A33E" w14:textId="77777777" w:rsidR="00FB1CB5" w:rsidRDefault="00FB1CB5">
      <w:r>
        <w:separator/>
      </w:r>
    </w:p>
  </w:footnote>
  <w:footnote w:type="continuationSeparator" w:id="0">
    <w:p w14:paraId="2AF1C91A" w14:textId="77777777" w:rsidR="00FB1CB5" w:rsidRDefault="00FB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CE0E" w14:textId="62709D50" w:rsidR="00CC376A" w:rsidRPr="00AE044C" w:rsidRDefault="002D215E"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7402D03B" wp14:editId="16ED5943">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6B2A36">
      <w:rPr>
        <w:sz w:val="22"/>
        <w:szCs w:val="22"/>
      </w:rPr>
      <w:t>2021</w:t>
    </w:r>
    <w:r w:rsidR="003E03D5">
      <w:rPr>
        <w:sz w:val="22"/>
        <w:szCs w:val="22"/>
      </w:rPr>
      <w:t>;</w:t>
    </w:r>
    <w:r w:rsidR="006B2A36">
      <w:rPr>
        <w:sz w:val="22"/>
        <w:szCs w:val="22"/>
      </w:rPr>
      <w:t>50</w:t>
    </w:r>
    <w:r w:rsidR="00493701" w:rsidRPr="00AE044C">
      <w:rPr>
        <w:sz w:val="22"/>
        <w:szCs w:val="22"/>
      </w:rPr>
      <w:t>(</w:t>
    </w:r>
    <w:r w:rsidR="006B2A36">
      <w:rPr>
        <w:sz w:val="22"/>
        <w:szCs w:val="22"/>
      </w:rPr>
      <w:t>2</w:t>
    </w:r>
    <w:r w:rsidR="00493701" w:rsidRPr="00AE044C">
      <w:rPr>
        <w:sz w:val="22"/>
        <w:szCs w:val="22"/>
      </w:rPr>
      <w:t>)</w:t>
    </w:r>
    <w:r w:rsidR="00391509" w:rsidRPr="00AE044C">
      <w:rPr>
        <w:sz w:val="22"/>
        <w:szCs w:val="22"/>
      </w:rPr>
      <w:t>:</w:t>
    </w:r>
    <w:r w:rsidR="006B2A36">
      <w:rPr>
        <w:sz w:val="22"/>
        <w:szCs w:val="22"/>
      </w:rPr>
      <w:t>e02101000</w:t>
    </w:r>
  </w:p>
  <w:p w14:paraId="5AE8D0DE" w14:textId="0613A448" w:rsidR="00A477DE" w:rsidRDefault="002D215E">
    <w:r>
      <w:rPr>
        <w:noProof/>
      </w:rPr>
      <mc:AlternateContent>
        <mc:Choice Requires="wps">
          <w:drawing>
            <wp:anchor distT="0" distB="0" distL="114300" distR="114300" simplePos="0" relativeHeight="251657216" behindDoc="0" locked="0" layoutInCell="1" allowOverlap="1" wp14:anchorId="2AFB6E15" wp14:editId="0EEBC5E5">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C514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1823"/>
    <w:multiLevelType w:val="hybridMultilevel"/>
    <w:tmpl w:val="5106E25A"/>
    <w:lvl w:ilvl="0" w:tplc="0C0A0001">
      <w:start w:val="1"/>
      <w:numFmt w:val="bullet"/>
      <w:lvlText w:val=""/>
      <w:lvlJc w:val="left"/>
      <w:pPr>
        <w:ind w:left="1140" w:hanging="78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2C3883"/>
    <w:multiLevelType w:val="hybridMultilevel"/>
    <w:tmpl w:val="29BC6D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8A1C87"/>
    <w:multiLevelType w:val="hybridMultilevel"/>
    <w:tmpl w:val="3B0A6338"/>
    <w:lvl w:ilvl="0" w:tplc="C0F0296E">
      <w:start w:val="1"/>
      <w:numFmt w:val="bullet"/>
      <w:lvlText w:val="-"/>
      <w:lvlJc w:val="left"/>
      <w:pPr>
        <w:tabs>
          <w:tab w:val="num" w:pos="720"/>
        </w:tabs>
        <w:ind w:left="720" w:hanging="360"/>
      </w:pPr>
      <w:rPr>
        <w:rFonts w:ascii="Times New Roman" w:hAnsi="Times New Roman" w:hint="default"/>
      </w:rPr>
    </w:lvl>
    <w:lvl w:ilvl="1" w:tplc="AECC40B8" w:tentative="1">
      <w:start w:val="1"/>
      <w:numFmt w:val="bullet"/>
      <w:lvlText w:val="-"/>
      <w:lvlJc w:val="left"/>
      <w:pPr>
        <w:tabs>
          <w:tab w:val="num" w:pos="1440"/>
        </w:tabs>
        <w:ind w:left="1440" w:hanging="360"/>
      </w:pPr>
      <w:rPr>
        <w:rFonts w:ascii="Times New Roman" w:hAnsi="Times New Roman" w:hint="default"/>
      </w:rPr>
    </w:lvl>
    <w:lvl w:ilvl="2" w:tplc="3C304B78" w:tentative="1">
      <w:start w:val="1"/>
      <w:numFmt w:val="bullet"/>
      <w:lvlText w:val="-"/>
      <w:lvlJc w:val="left"/>
      <w:pPr>
        <w:tabs>
          <w:tab w:val="num" w:pos="2160"/>
        </w:tabs>
        <w:ind w:left="2160" w:hanging="360"/>
      </w:pPr>
      <w:rPr>
        <w:rFonts w:ascii="Times New Roman" w:hAnsi="Times New Roman" w:hint="default"/>
      </w:rPr>
    </w:lvl>
    <w:lvl w:ilvl="3" w:tplc="C8A01E20" w:tentative="1">
      <w:start w:val="1"/>
      <w:numFmt w:val="bullet"/>
      <w:lvlText w:val="-"/>
      <w:lvlJc w:val="left"/>
      <w:pPr>
        <w:tabs>
          <w:tab w:val="num" w:pos="2880"/>
        </w:tabs>
        <w:ind w:left="2880" w:hanging="360"/>
      </w:pPr>
      <w:rPr>
        <w:rFonts w:ascii="Times New Roman" w:hAnsi="Times New Roman" w:hint="default"/>
      </w:rPr>
    </w:lvl>
    <w:lvl w:ilvl="4" w:tplc="14D81B24" w:tentative="1">
      <w:start w:val="1"/>
      <w:numFmt w:val="bullet"/>
      <w:lvlText w:val="-"/>
      <w:lvlJc w:val="left"/>
      <w:pPr>
        <w:tabs>
          <w:tab w:val="num" w:pos="3600"/>
        </w:tabs>
        <w:ind w:left="3600" w:hanging="360"/>
      </w:pPr>
      <w:rPr>
        <w:rFonts w:ascii="Times New Roman" w:hAnsi="Times New Roman" w:hint="default"/>
      </w:rPr>
    </w:lvl>
    <w:lvl w:ilvl="5" w:tplc="ACB66464" w:tentative="1">
      <w:start w:val="1"/>
      <w:numFmt w:val="bullet"/>
      <w:lvlText w:val="-"/>
      <w:lvlJc w:val="left"/>
      <w:pPr>
        <w:tabs>
          <w:tab w:val="num" w:pos="4320"/>
        </w:tabs>
        <w:ind w:left="4320" w:hanging="360"/>
      </w:pPr>
      <w:rPr>
        <w:rFonts w:ascii="Times New Roman" w:hAnsi="Times New Roman" w:hint="default"/>
      </w:rPr>
    </w:lvl>
    <w:lvl w:ilvl="6" w:tplc="BE4C10DC" w:tentative="1">
      <w:start w:val="1"/>
      <w:numFmt w:val="bullet"/>
      <w:lvlText w:val="-"/>
      <w:lvlJc w:val="left"/>
      <w:pPr>
        <w:tabs>
          <w:tab w:val="num" w:pos="5040"/>
        </w:tabs>
        <w:ind w:left="5040" w:hanging="360"/>
      </w:pPr>
      <w:rPr>
        <w:rFonts w:ascii="Times New Roman" w:hAnsi="Times New Roman" w:hint="default"/>
      </w:rPr>
    </w:lvl>
    <w:lvl w:ilvl="7" w:tplc="18E09F96" w:tentative="1">
      <w:start w:val="1"/>
      <w:numFmt w:val="bullet"/>
      <w:lvlText w:val="-"/>
      <w:lvlJc w:val="left"/>
      <w:pPr>
        <w:tabs>
          <w:tab w:val="num" w:pos="5760"/>
        </w:tabs>
        <w:ind w:left="5760" w:hanging="360"/>
      </w:pPr>
      <w:rPr>
        <w:rFonts w:ascii="Times New Roman" w:hAnsi="Times New Roman" w:hint="default"/>
      </w:rPr>
    </w:lvl>
    <w:lvl w:ilvl="8" w:tplc="D4FC63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930D4D"/>
    <w:multiLevelType w:val="hybridMultilevel"/>
    <w:tmpl w:val="94E6B21C"/>
    <w:lvl w:ilvl="0" w:tplc="550E7D68">
      <w:numFmt w:val="bullet"/>
      <w:lvlText w:val="-"/>
      <w:lvlJc w:val="left"/>
      <w:pPr>
        <w:ind w:left="1140" w:hanging="78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135D92"/>
    <w:multiLevelType w:val="hybridMultilevel"/>
    <w:tmpl w:val="EA38F63A"/>
    <w:lvl w:ilvl="0" w:tplc="C0F0296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2F3878"/>
    <w:multiLevelType w:val="hybridMultilevel"/>
    <w:tmpl w:val="34B438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E87881"/>
    <w:multiLevelType w:val="hybridMultilevel"/>
    <w:tmpl w:val="2DE2B024"/>
    <w:lvl w:ilvl="0" w:tplc="040A000F">
      <w:start w:val="1"/>
      <w:numFmt w:val="decimal"/>
      <w:lvlText w:val="%1."/>
      <w:lvlJc w:val="left"/>
      <w:pPr>
        <w:tabs>
          <w:tab w:val="num" w:pos="720"/>
        </w:tabs>
        <w:ind w:left="720" w:hanging="360"/>
      </w:p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59817DA9"/>
    <w:multiLevelType w:val="hybridMultilevel"/>
    <w:tmpl w:val="34B438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8045FE"/>
    <w:multiLevelType w:val="hybridMultilevel"/>
    <w:tmpl w:val="EAE27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C5326E"/>
    <w:multiLevelType w:val="hybridMultilevel"/>
    <w:tmpl w:val="C02E51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7337BF"/>
    <w:multiLevelType w:val="hybridMultilevel"/>
    <w:tmpl w:val="A6E2C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5"/>
  </w:num>
  <w:num w:numId="6">
    <w:abstractNumId w:val="6"/>
  </w:num>
  <w:num w:numId="7">
    <w:abstractNumId w:val="7"/>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5E"/>
    <w:rsid w:val="000F3690"/>
    <w:rsid w:val="001221D1"/>
    <w:rsid w:val="00180CE9"/>
    <w:rsid w:val="001817B2"/>
    <w:rsid w:val="00230DD5"/>
    <w:rsid w:val="002D215E"/>
    <w:rsid w:val="00380D64"/>
    <w:rsid w:val="00391509"/>
    <w:rsid w:val="003E03D5"/>
    <w:rsid w:val="00486BFA"/>
    <w:rsid w:val="00493701"/>
    <w:rsid w:val="004A2069"/>
    <w:rsid w:val="004E2065"/>
    <w:rsid w:val="005508A2"/>
    <w:rsid w:val="00566F71"/>
    <w:rsid w:val="005918BD"/>
    <w:rsid w:val="006173A6"/>
    <w:rsid w:val="00675476"/>
    <w:rsid w:val="006B2A36"/>
    <w:rsid w:val="00745D29"/>
    <w:rsid w:val="007C430F"/>
    <w:rsid w:val="007D614D"/>
    <w:rsid w:val="008175AE"/>
    <w:rsid w:val="008E0917"/>
    <w:rsid w:val="00960D6A"/>
    <w:rsid w:val="009A0560"/>
    <w:rsid w:val="009B0917"/>
    <w:rsid w:val="00A23C0C"/>
    <w:rsid w:val="00A477DE"/>
    <w:rsid w:val="00A71E65"/>
    <w:rsid w:val="00AE044C"/>
    <w:rsid w:val="00B04639"/>
    <w:rsid w:val="00B31971"/>
    <w:rsid w:val="00B4380A"/>
    <w:rsid w:val="00B66ECB"/>
    <w:rsid w:val="00C7523A"/>
    <w:rsid w:val="00CC1B6E"/>
    <w:rsid w:val="00CC3746"/>
    <w:rsid w:val="00CC376A"/>
    <w:rsid w:val="00CC48A1"/>
    <w:rsid w:val="00CF50E0"/>
    <w:rsid w:val="00D85951"/>
    <w:rsid w:val="00E62606"/>
    <w:rsid w:val="00EC5A6B"/>
    <w:rsid w:val="00FB1CB5"/>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B29B6"/>
  <w15:docId w15:val="{AD3D6987-2A03-4E62-AB1A-E3C61E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2D215E"/>
  </w:style>
  <w:style w:type="paragraph" w:styleId="Textocomentario">
    <w:name w:val="annotation text"/>
    <w:basedOn w:val="Normal"/>
    <w:link w:val="TextocomentarioCar"/>
    <w:uiPriority w:val="99"/>
    <w:semiHidden/>
    <w:unhideWhenUsed/>
    <w:rsid w:val="002D215E"/>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2D215E"/>
    <w:rPr>
      <w:rFonts w:ascii="Calibri" w:eastAsia="Calibri" w:hAnsi="Calibri"/>
      <w:lang w:val="es-ES" w:eastAsia="en-US"/>
    </w:rPr>
  </w:style>
  <w:style w:type="character" w:styleId="Refdecomentario">
    <w:name w:val="annotation reference"/>
    <w:uiPriority w:val="99"/>
    <w:semiHidden/>
    <w:unhideWhenUsed/>
    <w:rsid w:val="002D215E"/>
    <w:rPr>
      <w:sz w:val="16"/>
      <w:szCs w:val="16"/>
    </w:rPr>
  </w:style>
  <w:style w:type="character" w:customStyle="1" w:styleId="A1">
    <w:name w:val="A1"/>
    <w:uiPriority w:val="99"/>
    <w:rsid w:val="002D215E"/>
    <w:rPr>
      <w:color w:val="000000"/>
      <w:sz w:val="19"/>
      <w:szCs w:val="19"/>
    </w:rPr>
  </w:style>
  <w:style w:type="paragraph" w:customStyle="1" w:styleId="Pa4">
    <w:name w:val="Pa4"/>
    <w:basedOn w:val="Normal"/>
    <w:next w:val="Normal"/>
    <w:uiPriority w:val="99"/>
    <w:rsid w:val="002D215E"/>
    <w:pPr>
      <w:autoSpaceDE w:val="0"/>
      <w:autoSpaceDN w:val="0"/>
      <w:adjustRightInd w:val="0"/>
      <w:spacing w:line="221" w:lineRule="atLeast"/>
    </w:pPr>
    <w:rPr>
      <w:rFonts w:ascii="Arial" w:eastAsia="Calibri" w:hAnsi="Arial" w:cs="Arial"/>
      <w:lang w:val="es-ES" w:eastAsia="en-US"/>
    </w:rPr>
  </w:style>
  <w:style w:type="table" w:customStyle="1" w:styleId="Sombreadomedio2-nfasis51">
    <w:name w:val="Sombreado medio 2 - Énfasis 51"/>
    <w:basedOn w:val="Tablanormal"/>
    <w:next w:val="Sombreadomedio2-nfasis5"/>
    <w:uiPriority w:val="64"/>
    <w:rsid w:val="002D215E"/>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D215E"/>
    <w:pPr>
      <w:spacing w:after="160" w:line="259" w:lineRule="auto"/>
      <w:ind w:left="720"/>
      <w:contextualSpacing/>
    </w:pPr>
    <w:rPr>
      <w:rFonts w:ascii="Calibri" w:eastAsia="Calibri" w:hAnsi="Calibri"/>
      <w:sz w:val="22"/>
      <w:szCs w:val="22"/>
      <w:lang w:val="es-ES" w:eastAsia="en-US"/>
    </w:rPr>
  </w:style>
  <w:style w:type="paragraph" w:customStyle="1" w:styleId="Default">
    <w:name w:val="Default"/>
    <w:rsid w:val="002D215E"/>
    <w:pPr>
      <w:autoSpaceDE w:val="0"/>
      <w:autoSpaceDN w:val="0"/>
      <w:adjustRightInd w:val="0"/>
    </w:pPr>
    <w:rPr>
      <w:rFonts w:ascii="Arial" w:eastAsia="Calibri" w:hAnsi="Arial" w:cs="Arial"/>
      <w:color w:val="000000"/>
      <w:sz w:val="24"/>
      <w:szCs w:val="24"/>
      <w:lang w:val="es-ES" w:eastAsia="en-US"/>
    </w:rPr>
  </w:style>
  <w:style w:type="character" w:customStyle="1" w:styleId="A4">
    <w:name w:val="A4"/>
    <w:uiPriority w:val="99"/>
    <w:rsid w:val="002D215E"/>
    <w:rPr>
      <w:color w:val="000000"/>
      <w:sz w:val="20"/>
      <w:szCs w:val="20"/>
    </w:rPr>
  </w:style>
  <w:style w:type="character" w:customStyle="1" w:styleId="A7">
    <w:name w:val="A7"/>
    <w:uiPriority w:val="99"/>
    <w:rsid w:val="002D215E"/>
    <w:rPr>
      <w:color w:val="000000"/>
      <w:sz w:val="11"/>
      <w:szCs w:val="11"/>
    </w:rPr>
  </w:style>
  <w:style w:type="character" w:customStyle="1" w:styleId="A0">
    <w:name w:val="A0"/>
    <w:uiPriority w:val="99"/>
    <w:rsid w:val="002D215E"/>
    <w:rPr>
      <w:color w:val="000000"/>
      <w:sz w:val="18"/>
      <w:szCs w:val="18"/>
    </w:rPr>
  </w:style>
  <w:style w:type="paragraph" w:styleId="Asuntodelcomentario">
    <w:name w:val="annotation subject"/>
    <w:basedOn w:val="Textocomentario"/>
    <w:next w:val="Textocomentario"/>
    <w:link w:val="AsuntodelcomentarioCar"/>
    <w:uiPriority w:val="99"/>
    <w:semiHidden/>
    <w:unhideWhenUsed/>
    <w:rsid w:val="002D215E"/>
    <w:rPr>
      <w:b/>
      <w:bCs/>
    </w:rPr>
  </w:style>
  <w:style w:type="character" w:customStyle="1" w:styleId="AsuntodelcomentarioCar">
    <w:name w:val="Asunto del comentario Car"/>
    <w:basedOn w:val="TextocomentarioCar"/>
    <w:link w:val="Asuntodelcomentario"/>
    <w:uiPriority w:val="99"/>
    <w:semiHidden/>
    <w:rsid w:val="002D215E"/>
    <w:rPr>
      <w:rFonts w:ascii="Calibri" w:eastAsia="Calibri" w:hAnsi="Calibri"/>
      <w:b/>
      <w:bCs/>
      <w:lang w:val="es-ES" w:eastAsia="en-US"/>
    </w:rPr>
  </w:style>
  <w:style w:type="character" w:customStyle="1" w:styleId="Mencinsinresolver1">
    <w:name w:val="Mención sin resolver1"/>
    <w:uiPriority w:val="99"/>
    <w:semiHidden/>
    <w:unhideWhenUsed/>
    <w:rsid w:val="002D215E"/>
    <w:rPr>
      <w:color w:val="605E5C"/>
      <w:shd w:val="clear" w:color="auto" w:fill="E1DFDD"/>
    </w:rPr>
  </w:style>
  <w:style w:type="character" w:styleId="Mencinsinresolver">
    <w:name w:val="Unresolved Mention"/>
    <w:uiPriority w:val="99"/>
    <w:semiHidden/>
    <w:unhideWhenUsed/>
    <w:rsid w:val="002D215E"/>
    <w:rPr>
      <w:color w:val="605E5C"/>
      <w:shd w:val="clear" w:color="auto" w:fill="E1DFDD"/>
    </w:rPr>
  </w:style>
  <w:style w:type="table" w:styleId="Sombreadomedio2-nfasis5">
    <w:name w:val="Medium Shading 2 Accent 5"/>
    <w:basedOn w:val="Tablanormal"/>
    <w:uiPriority w:val="64"/>
    <w:semiHidden/>
    <w:unhideWhenUsed/>
    <w:rsid w:val="002D21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822-6264" TargetMode="External"/><Relationship Id="rId13" Type="http://schemas.openxmlformats.org/officeDocument/2006/relationships/image" Target="media/image3.jpeg"/><Relationship Id="rId18" Type="http://schemas.openxmlformats.org/officeDocument/2006/relationships/hyperlink" Target="http://scielo.sld.cu/scielo.php?script=sci_arttext&amp;pid=S0864-21252001000200010&amp;lng=es" TargetMode="External"/><Relationship Id="rId26" Type="http://schemas.openxmlformats.org/officeDocument/2006/relationships/hyperlink" Target="https://www.ncbi.nlm.nih.gov/pmc/articles/PMC6983578/" TargetMode="External"/><Relationship Id="rId39" Type="http://schemas.openxmlformats.org/officeDocument/2006/relationships/hyperlink" Target="http://scielo.sld.cu/scielo.php?script=sci_arttext&amp;pid=S0864-03192008000100006&amp;lng=es" TargetMode="External"/><Relationship Id="rId3" Type="http://schemas.openxmlformats.org/officeDocument/2006/relationships/settings" Target="settings.xml"/><Relationship Id="rId21" Type="http://schemas.openxmlformats.org/officeDocument/2006/relationships/hyperlink" Target="https://revistas.espoch.edu.ec/index.php/cssn/article/view/16/15" TargetMode="External"/><Relationship Id="rId34" Type="http://schemas.openxmlformats.org/officeDocument/2006/relationships/hyperlink" Target="http://tauja.ujaen.es/bitstream/10953.1/2788/1/Trabajo_Fin_de_Grado__Mara_Jos_Vzquez_Lpez.pdf" TargetMode="External"/><Relationship Id="rId42" Type="http://schemas.openxmlformats.org/officeDocument/2006/relationships/header" Target="header1.xml"/><Relationship Id="rId7" Type="http://schemas.openxmlformats.org/officeDocument/2006/relationships/hyperlink" Target="https://orcid.org/0000-0002-8371-9859" TargetMode="External"/><Relationship Id="rId12" Type="http://schemas.openxmlformats.org/officeDocument/2006/relationships/image" Target="media/image2.jpeg"/><Relationship Id="rId17" Type="http://schemas.openxmlformats.org/officeDocument/2006/relationships/hyperlink" Target="https://dialnet.unirioja.es/servlet/articulo?codigo=4804768" TargetMode="External"/><Relationship Id="rId25" Type="http://schemas.openxmlformats.org/officeDocument/2006/relationships/hyperlink" Target="http://polodelconocimiento.com/ojs/index.php/es" TargetMode="External"/><Relationship Id="rId33" Type="http://schemas.openxmlformats.org/officeDocument/2006/relationships/hyperlink" Target="https://tesis.sld.cu/index.php?P=DownloadFile&amp;Id=179" TargetMode="External"/><Relationship Id="rId38" Type="http://schemas.openxmlformats.org/officeDocument/2006/relationships/hyperlink" Target="http://scielo.sld.cu/scielo.php?script=sci_arttext&amp;pid=S1729-519X2008000200006&amp;lng=e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elo.isciii.es/scielo.php?script=sci_arttext&amp;pid=S1695-61412015000400004&amp;lng=es" TargetMode="External"/><Relationship Id="rId20" Type="http://schemas.openxmlformats.org/officeDocument/2006/relationships/hyperlink" Target="https://scielo.sld.cu/scielo.php?script=sci_arttext&amp;pid=S0138-600X2016000300005&amp;lng=es" TargetMode="External"/><Relationship Id="rId29" Type="http://schemas.openxmlformats.org/officeDocument/2006/relationships/hyperlink" Target="http://linkinghub.elsevier.com/retrieve/pii/S1283081x15728328" TargetMode="External"/><Relationship Id="rId41" Type="http://schemas.openxmlformats.org/officeDocument/2006/relationships/hyperlink" Target="http://repositorio.usanpedro.edu.pe/handle/USANPEDRO/8499;%20Tesis%206038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cielo.sld.cu/scielo.php?script=sci_arttext&amp;pid=S0864-21252011000400013&amp;lng=es" TargetMode="External"/><Relationship Id="rId32" Type="http://schemas.openxmlformats.org/officeDocument/2006/relationships/hyperlink" Target="https://www.medigraphic.com/pdfs/facmed/un-2018/un182j.pdf" TargetMode="External"/><Relationship Id="rId37" Type="http://schemas.openxmlformats.org/officeDocument/2006/relationships/hyperlink" Target="https://www.plenus.com.uy/docs/mujer/climaterio_2.pdf" TargetMode="External"/><Relationship Id="rId40" Type="http://schemas.openxmlformats.org/officeDocument/2006/relationships/hyperlink" Target="https://scielo.sld.cu/scielo.php?script=sci_arttext&amp;pid=S0864-21252008000200005&amp;lng=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ielo.sld.cu/scielo.php?script=sci_arttext&amp;pid=S1029-30192012000800001&amp;lng=es" TargetMode="External"/><Relationship Id="rId23" Type="http://schemas.openxmlformats.org/officeDocument/2006/relationships/hyperlink" Target="https://scielo.sld.cu/scielo.php?script=sci_arttext&amp;pid=S0138-600X2011000400014&amp;lng=es" TargetMode="External"/><Relationship Id="rId28" Type="http://schemas.openxmlformats.org/officeDocument/2006/relationships/hyperlink" Target="http://www.caps.cat/images/stories/8.31artiles2.pdf" TargetMode="External"/><Relationship Id="rId36" Type="http://schemas.openxmlformats.org/officeDocument/2006/relationships/hyperlink" Target="http://www.revistadecomunicacionysalud.es/index.php/rcys/article/view/186/157" TargetMode="External"/><Relationship Id="rId10" Type="http://schemas.openxmlformats.org/officeDocument/2006/relationships/hyperlink" Target="mailto:lessingm@infomed.sld.cu" TargetMode="External"/><Relationship Id="rId19" Type="http://schemas.openxmlformats.org/officeDocument/2006/relationships/hyperlink" Target="http://repositorio.ug.edu.ec/handle/redug/31652" TargetMode="External"/><Relationship Id="rId31" Type="http://schemas.openxmlformats.org/officeDocument/2006/relationships/hyperlink" Target="https://www.redalyc.org/pdf/1805/180529791004.p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7819-2856" TargetMode="External"/><Relationship Id="rId14" Type="http://schemas.openxmlformats.org/officeDocument/2006/relationships/image" Target="media/image4.jpg"/><Relationship Id="rId22" Type="http://schemas.openxmlformats.org/officeDocument/2006/relationships/hyperlink" Target="http://recimundo.com/index.php/es/article/view/394/501" TargetMode="External"/><Relationship Id="rId27" Type="http://schemas.openxmlformats.org/officeDocument/2006/relationships/hyperlink" Target="http://dx.doi.org/10.4321/S1695-1412012000100025" TargetMode="External"/><Relationship Id="rId30" Type="http://schemas.openxmlformats.org/officeDocument/2006/relationships/hyperlink" Target="https://dspace.ucuenca.edu.ec/bitstream/123456789/25225/1/TESIS.pdf" TargetMode="External"/><Relationship Id="rId35" Type="http://schemas.openxmlformats.org/officeDocument/2006/relationships/hyperlink" Target="https://scielo.sld.cu/scielo.php?script=sci_arttext&amp;pid=S0138-600X2014000200009&amp;lng=es"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7</TotalTime>
  <Pages>16</Pages>
  <Words>5444</Words>
  <Characters>29948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35322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9</cp:revision>
  <cp:lastPrinted>2021-04-06T15:32:00Z</cp:lastPrinted>
  <dcterms:created xsi:type="dcterms:W3CDTF">2021-04-06T15:29:00Z</dcterms:created>
  <dcterms:modified xsi:type="dcterms:W3CDTF">2021-04-07T16:27:00Z</dcterms:modified>
</cp:coreProperties>
</file>