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73D6A" w14:textId="77777777" w:rsidR="00D94FF3" w:rsidRPr="002361A6" w:rsidRDefault="00D94FF3" w:rsidP="00D94FF3">
      <w:pPr>
        <w:autoSpaceDE w:val="0"/>
        <w:autoSpaceDN w:val="0"/>
        <w:adjustRightInd w:val="0"/>
        <w:spacing w:after="0" w:line="360" w:lineRule="auto"/>
        <w:jc w:val="right"/>
        <w:rPr>
          <w:rFonts w:ascii="Times New Roman" w:hAnsi="Times New Roman"/>
          <w:bCs/>
          <w:color w:val="131413"/>
          <w:sz w:val="20"/>
          <w:szCs w:val="20"/>
        </w:rPr>
      </w:pPr>
      <w:r w:rsidRPr="002361A6">
        <w:rPr>
          <w:rFonts w:ascii="Times New Roman" w:hAnsi="Times New Roman"/>
          <w:bCs/>
          <w:color w:val="131413"/>
          <w:sz w:val="20"/>
          <w:szCs w:val="20"/>
        </w:rPr>
        <w:t>Presentación de caso</w:t>
      </w:r>
    </w:p>
    <w:p w14:paraId="071BDCF5" w14:textId="77777777" w:rsidR="00D94FF3" w:rsidRPr="002361A6" w:rsidRDefault="00D94FF3" w:rsidP="00D94FF3">
      <w:pPr>
        <w:autoSpaceDE w:val="0"/>
        <w:autoSpaceDN w:val="0"/>
        <w:adjustRightInd w:val="0"/>
        <w:spacing w:after="0" w:line="360" w:lineRule="auto"/>
        <w:jc w:val="right"/>
        <w:rPr>
          <w:rFonts w:ascii="Times New Roman" w:hAnsi="Times New Roman"/>
          <w:bCs/>
          <w:color w:val="131413"/>
          <w:sz w:val="20"/>
          <w:szCs w:val="20"/>
        </w:rPr>
      </w:pPr>
    </w:p>
    <w:p w14:paraId="52F8677D" w14:textId="77777777" w:rsidR="00D94FF3" w:rsidRPr="002361A6" w:rsidRDefault="00D94FF3" w:rsidP="00D94FF3">
      <w:pPr>
        <w:autoSpaceDE w:val="0"/>
        <w:autoSpaceDN w:val="0"/>
        <w:adjustRightInd w:val="0"/>
        <w:spacing w:after="0" w:line="360" w:lineRule="auto"/>
        <w:jc w:val="center"/>
        <w:rPr>
          <w:rFonts w:ascii="Times New Roman" w:hAnsi="Times New Roman"/>
          <w:b/>
          <w:color w:val="131413"/>
          <w:sz w:val="28"/>
          <w:szCs w:val="28"/>
        </w:rPr>
      </w:pPr>
      <w:r w:rsidRPr="002361A6">
        <w:rPr>
          <w:rFonts w:ascii="Times New Roman" w:hAnsi="Times New Roman"/>
          <w:b/>
          <w:color w:val="131413"/>
          <w:sz w:val="28"/>
          <w:szCs w:val="28"/>
        </w:rPr>
        <w:t>Ruptura espontánea de absceso hepático del lóbulo izquierdo en hemitórax derecho</w:t>
      </w:r>
    </w:p>
    <w:p w14:paraId="1EA70100" w14:textId="77777777" w:rsidR="00D94FF3" w:rsidRPr="002361A6" w:rsidRDefault="00D94FF3" w:rsidP="00D94FF3">
      <w:pPr>
        <w:autoSpaceDE w:val="0"/>
        <w:autoSpaceDN w:val="0"/>
        <w:adjustRightInd w:val="0"/>
        <w:spacing w:after="0" w:line="360" w:lineRule="auto"/>
        <w:jc w:val="center"/>
        <w:rPr>
          <w:rFonts w:ascii="Times New Roman" w:hAnsi="Times New Roman"/>
          <w:bCs/>
          <w:color w:val="131413"/>
          <w:sz w:val="28"/>
          <w:szCs w:val="28"/>
          <w:lang w:val="en-US"/>
        </w:rPr>
      </w:pPr>
      <w:r w:rsidRPr="002361A6">
        <w:rPr>
          <w:rFonts w:ascii="Times New Roman" w:hAnsi="Times New Roman"/>
          <w:bCs/>
          <w:color w:val="131413"/>
          <w:sz w:val="28"/>
          <w:szCs w:val="28"/>
          <w:lang w:val="en-US"/>
        </w:rPr>
        <w:t>Spontaneous rupture of liver abscess of the left lobe in the right hemithorax</w:t>
      </w:r>
    </w:p>
    <w:p w14:paraId="07DE27A2" w14:textId="77777777" w:rsidR="00D94FF3" w:rsidRPr="002361A6" w:rsidRDefault="00D94FF3" w:rsidP="00D94FF3">
      <w:pPr>
        <w:autoSpaceDE w:val="0"/>
        <w:autoSpaceDN w:val="0"/>
        <w:adjustRightInd w:val="0"/>
        <w:spacing w:after="0" w:line="360" w:lineRule="auto"/>
        <w:jc w:val="center"/>
        <w:rPr>
          <w:rFonts w:ascii="Times New Roman" w:hAnsi="Times New Roman"/>
          <w:b/>
          <w:color w:val="131413"/>
          <w:sz w:val="24"/>
          <w:szCs w:val="24"/>
          <w:lang w:val="en-US"/>
        </w:rPr>
      </w:pPr>
    </w:p>
    <w:p w14:paraId="70A32207" w14:textId="77777777" w:rsidR="00D94FF3" w:rsidRPr="002361A6" w:rsidRDefault="00D94FF3" w:rsidP="00D94FF3">
      <w:pPr>
        <w:autoSpaceDE w:val="0"/>
        <w:autoSpaceDN w:val="0"/>
        <w:adjustRightInd w:val="0"/>
        <w:spacing w:after="0" w:line="360" w:lineRule="auto"/>
        <w:rPr>
          <w:rFonts w:ascii="Times New Roman" w:hAnsi="Times New Roman"/>
          <w:bCs/>
          <w:color w:val="131413"/>
          <w:sz w:val="24"/>
          <w:szCs w:val="24"/>
        </w:rPr>
      </w:pPr>
      <w:r w:rsidRPr="002361A6">
        <w:rPr>
          <w:rFonts w:ascii="Times New Roman" w:hAnsi="Times New Roman"/>
          <w:bCs/>
          <w:color w:val="131413"/>
          <w:sz w:val="24"/>
          <w:szCs w:val="24"/>
        </w:rPr>
        <w:t>Arturo Martínez García</w:t>
      </w:r>
      <w:r w:rsidRPr="002361A6">
        <w:rPr>
          <w:rFonts w:ascii="Times New Roman" w:hAnsi="Times New Roman"/>
          <w:bCs/>
          <w:color w:val="131413"/>
          <w:sz w:val="24"/>
          <w:szCs w:val="24"/>
          <w:vertAlign w:val="superscript"/>
        </w:rPr>
        <w:t xml:space="preserve">1 </w:t>
      </w:r>
      <w:hyperlink r:id="rId6" w:history="1">
        <w:r w:rsidRPr="002361A6">
          <w:rPr>
            <w:rStyle w:val="Hipervnculo"/>
            <w:rFonts w:ascii="Times New Roman" w:hAnsi="Times New Roman"/>
            <w:bCs/>
          </w:rPr>
          <w:t>https://orcid.org/0000-0001-7983-614x</w:t>
        </w:r>
      </w:hyperlink>
      <w:r w:rsidRPr="002361A6">
        <w:rPr>
          <w:rFonts w:ascii="Times New Roman" w:hAnsi="Times New Roman"/>
          <w:bCs/>
          <w:color w:val="131413"/>
          <w:sz w:val="24"/>
          <w:szCs w:val="24"/>
        </w:rPr>
        <w:t xml:space="preserve"> </w:t>
      </w:r>
    </w:p>
    <w:p w14:paraId="3D5D5EE1" w14:textId="77777777" w:rsidR="00D94FF3" w:rsidRPr="002361A6" w:rsidRDefault="00D94FF3" w:rsidP="00D94FF3">
      <w:pPr>
        <w:autoSpaceDE w:val="0"/>
        <w:autoSpaceDN w:val="0"/>
        <w:adjustRightInd w:val="0"/>
        <w:spacing w:after="0" w:line="360" w:lineRule="auto"/>
        <w:rPr>
          <w:rFonts w:ascii="Times New Roman" w:hAnsi="Times New Roman"/>
          <w:bCs/>
          <w:color w:val="131413"/>
          <w:sz w:val="24"/>
          <w:szCs w:val="24"/>
        </w:rPr>
      </w:pPr>
      <w:r w:rsidRPr="002361A6">
        <w:rPr>
          <w:rFonts w:ascii="Times New Roman" w:hAnsi="Times New Roman"/>
          <w:bCs/>
          <w:color w:val="131413"/>
          <w:sz w:val="24"/>
          <w:szCs w:val="24"/>
        </w:rPr>
        <w:t>Olga Caridad León González</w:t>
      </w:r>
      <w:r w:rsidRPr="002361A6">
        <w:rPr>
          <w:rFonts w:ascii="Times New Roman" w:hAnsi="Times New Roman"/>
          <w:bCs/>
          <w:color w:val="131413"/>
          <w:sz w:val="24"/>
          <w:szCs w:val="24"/>
          <w:vertAlign w:val="superscript"/>
        </w:rPr>
        <w:t xml:space="preserve">2 </w:t>
      </w:r>
      <w:hyperlink r:id="rId7" w:history="1">
        <w:r w:rsidRPr="002361A6">
          <w:rPr>
            <w:rStyle w:val="Hipervnculo"/>
            <w:rFonts w:ascii="Times New Roman" w:hAnsi="Times New Roman"/>
            <w:bCs/>
          </w:rPr>
          <w:t>https://orcid.org/0000-0001-9437-3091</w:t>
        </w:r>
      </w:hyperlink>
      <w:r w:rsidRPr="002361A6">
        <w:rPr>
          <w:rFonts w:ascii="Times New Roman" w:hAnsi="Times New Roman"/>
          <w:bCs/>
          <w:color w:val="131413"/>
          <w:sz w:val="24"/>
          <w:szCs w:val="24"/>
        </w:rPr>
        <w:t xml:space="preserve"> </w:t>
      </w:r>
    </w:p>
    <w:p w14:paraId="420DACCA" w14:textId="7FCF0B50" w:rsidR="00D94FF3" w:rsidRPr="002361A6" w:rsidRDefault="00D94FF3" w:rsidP="00D94FF3">
      <w:pPr>
        <w:autoSpaceDE w:val="0"/>
        <w:autoSpaceDN w:val="0"/>
        <w:adjustRightInd w:val="0"/>
        <w:spacing w:after="0" w:line="360" w:lineRule="auto"/>
        <w:rPr>
          <w:rFonts w:ascii="Times New Roman" w:hAnsi="Times New Roman"/>
          <w:bCs/>
          <w:color w:val="131413"/>
          <w:sz w:val="24"/>
          <w:szCs w:val="24"/>
        </w:rPr>
      </w:pPr>
      <w:r w:rsidRPr="002361A6">
        <w:rPr>
          <w:rFonts w:ascii="Times New Roman" w:hAnsi="Times New Roman"/>
          <w:bCs/>
          <w:color w:val="131413"/>
          <w:sz w:val="24"/>
          <w:szCs w:val="24"/>
        </w:rPr>
        <w:t>Luis Manuel Danta Fundora</w:t>
      </w:r>
      <w:r w:rsidR="003C69FF">
        <w:rPr>
          <w:rFonts w:ascii="Times New Roman" w:hAnsi="Times New Roman"/>
          <w:bCs/>
          <w:color w:val="131413"/>
          <w:sz w:val="24"/>
          <w:szCs w:val="24"/>
          <w:vertAlign w:val="superscript"/>
        </w:rPr>
        <w:t>2</w:t>
      </w:r>
      <w:r w:rsidRPr="002361A6">
        <w:rPr>
          <w:rFonts w:ascii="Times New Roman" w:hAnsi="Times New Roman"/>
          <w:bCs/>
          <w:color w:val="131413"/>
          <w:sz w:val="24"/>
          <w:szCs w:val="24"/>
          <w:vertAlign w:val="superscript"/>
        </w:rPr>
        <w:t xml:space="preserve"> </w:t>
      </w:r>
      <w:hyperlink r:id="rId8" w:history="1">
        <w:r w:rsidRPr="002361A6">
          <w:rPr>
            <w:rStyle w:val="Hipervnculo"/>
            <w:rFonts w:ascii="Times New Roman" w:hAnsi="Times New Roman"/>
            <w:bCs/>
          </w:rPr>
          <w:t>https://prcid.org/0000-0002-3777-0493</w:t>
        </w:r>
      </w:hyperlink>
      <w:r w:rsidRPr="002361A6">
        <w:rPr>
          <w:rFonts w:ascii="Times New Roman" w:hAnsi="Times New Roman"/>
          <w:bCs/>
          <w:color w:val="131413"/>
          <w:sz w:val="24"/>
          <w:szCs w:val="24"/>
        </w:rPr>
        <w:t xml:space="preserve"> </w:t>
      </w:r>
    </w:p>
    <w:p w14:paraId="21AA8D10" w14:textId="77777777" w:rsidR="00D94FF3" w:rsidRPr="002361A6" w:rsidRDefault="00D94FF3" w:rsidP="00D94FF3">
      <w:pPr>
        <w:autoSpaceDE w:val="0"/>
        <w:autoSpaceDN w:val="0"/>
        <w:adjustRightInd w:val="0"/>
        <w:spacing w:after="0" w:line="360" w:lineRule="auto"/>
        <w:jc w:val="both"/>
        <w:rPr>
          <w:rFonts w:ascii="Times New Roman" w:hAnsi="Times New Roman"/>
          <w:b/>
          <w:color w:val="131413"/>
          <w:sz w:val="24"/>
          <w:szCs w:val="24"/>
        </w:rPr>
      </w:pPr>
    </w:p>
    <w:p w14:paraId="26F263D3" w14:textId="77777777" w:rsidR="00D94FF3" w:rsidRPr="002361A6" w:rsidRDefault="00D94FF3" w:rsidP="00D94FF3">
      <w:pPr>
        <w:tabs>
          <w:tab w:val="left" w:pos="567"/>
        </w:tabs>
        <w:autoSpaceDE w:val="0"/>
        <w:autoSpaceDN w:val="0"/>
        <w:adjustRightInd w:val="0"/>
        <w:spacing w:after="0" w:line="360" w:lineRule="auto"/>
        <w:rPr>
          <w:rFonts w:ascii="Times New Roman" w:hAnsi="Times New Roman"/>
          <w:color w:val="131413"/>
          <w:sz w:val="24"/>
          <w:szCs w:val="24"/>
        </w:rPr>
      </w:pPr>
      <w:r w:rsidRPr="002361A6">
        <w:rPr>
          <w:rFonts w:ascii="Times New Roman" w:hAnsi="Times New Roman"/>
          <w:color w:val="131413"/>
          <w:sz w:val="24"/>
          <w:szCs w:val="24"/>
          <w:vertAlign w:val="superscript"/>
        </w:rPr>
        <w:t>1</w:t>
      </w:r>
      <w:r w:rsidRPr="002361A6">
        <w:rPr>
          <w:rFonts w:ascii="Times New Roman" w:hAnsi="Times New Roman"/>
          <w:color w:val="131413"/>
          <w:sz w:val="24"/>
          <w:szCs w:val="24"/>
        </w:rPr>
        <w:t>Hospital Clínico Quirúrgico “Hermanos Ameijeiras”. Universidad de Ciencias Médicas de la Habana. La Habana, Cuba.</w:t>
      </w:r>
    </w:p>
    <w:p w14:paraId="3BEC544B" w14:textId="3FBBE65F" w:rsidR="00D94FF3" w:rsidRPr="002361A6" w:rsidRDefault="00D94FF3" w:rsidP="00D94FF3">
      <w:pPr>
        <w:tabs>
          <w:tab w:val="left" w:pos="567"/>
        </w:tabs>
        <w:autoSpaceDE w:val="0"/>
        <w:autoSpaceDN w:val="0"/>
        <w:adjustRightInd w:val="0"/>
        <w:spacing w:after="0" w:line="360" w:lineRule="auto"/>
        <w:rPr>
          <w:rFonts w:ascii="Times New Roman" w:hAnsi="Times New Roman"/>
          <w:color w:val="131413"/>
          <w:sz w:val="24"/>
          <w:szCs w:val="24"/>
        </w:rPr>
      </w:pPr>
      <w:r w:rsidRPr="002361A6">
        <w:rPr>
          <w:rFonts w:ascii="Times New Roman" w:hAnsi="Times New Roman"/>
          <w:color w:val="131413"/>
          <w:sz w:val="24"/>
          <w:szCs w:val="24"/>
          <w:vertAlign w:val="superscript"/>
        </w:rPr>
        <w:t>2</w:t>
      </w:r>
      <w:r w:rsidRPr="002361A6">
        <w:rPr>
          <w:rFonts w:ascii="Times New Roman" w:hAnsi="Times New Roman"/>
          <w:color w:val="131413"/>
          <w:sz w:val="24"/>
          <w:szCs w:val="24"/>
        </w:rPr>
        <w:t>Hospital General Docente “Enrique Cabrera Coss</w:t>
      </w:r>
      <w:r w:rsidR="008A1B1D">
        <w:rPr>
          <w:rFonts w:ascii="Times New Roman" w:hAnsi="Times New Roman"/>
          <w:color w:val="131413"/>
          <w:sz w:val="24"/>
          <w:szCs w:val="24"/>
        </w:rPr>
        <w:t>í</w:t>
      </w:r>
      <w:r w:rsidRPr="002361A6">
        <w:rPr>
          <w:rFonts w:ascii="Times New Roman" w:hAnsi="Times New Roman"/>
          <w:color w:val="131413"/>
          <w:sz w:val="24"/>
          <w:szCs w:val="24"/>
        </w:rPr>
        <w:t>o”. Universidad de Ciencias Médicas de la Habana. La Habana, Cuba</w:t>
      </w:r>
    </w:p>
    <w:p w14:paraId="37F1F67E" w14:textId="77777777" w:rsidR="00D94FF3" w:rsidRPr="002361A6" w:rsidRDefault="00D94FF3" w:rsidP="00D94FF3">
      <w:pPr>
        <w:tabs>
          <w:tab w:val="left" w:pos="567"/>
        </w:tabs>
        <w:autoSpaceDE w:val="0"/>
        <w:autoSpaceDN w:val="0"/>
        <w:adjustRightInd w:val="0"/>
        <w:spacing w:after="0" w:line="360" w:lineRule="auto"/>
        <w:rPr>
          <w:rFonts w:ascii="Times New Roman" w:hAnsi="Times New Roman"/>
          <w:color w:val="131413"/>
          <w:sz w:val="24"/>
          <w:szCs w:val="24"/>
        </w:rPr>
      </w:pPr>
    </w:p>
    <w:p w14:paraId="588A1F9B" w14:textId="77777777" w:rsidR="00D94FF3" w:rsidRPr="002361A6" w:rsidRDefault="00D94FF3" w:rsidP="00D94FF3">
      <w:pPr>
        <w:tabs>
          <w:tab w:val="left" w:pos="567"/>
        </w:tabs>
        <w:autoSpaceDE w:val="0"/>
        <w:autoSpaceDN w:val="0"/>
        <w:adjustRightInd w:val="0"/>
        <w:spacing w:after="0" w:line="360" w:lineRule="auto"/>
        <w:rPr>
          <w:rFonts w:ascii="Times New Roman" w:hAnsi="Times New Roman"/>
          <w:color w:val="131413"/>
          <w:sz w:val="24"/>
          <w:szCs w:val="24"/>
        </w:rPr>
      </w:pPr>
      <w:r w:rsidRPr="002361A6">
        <w:rPr>
          <w:rFonts w:ascii="Times New Roman" w:hAnsi="Times New Roman"/>
          <w:color w:val="131413"/>
          <w:sz w:val="24"/>
          <w:szCs w:val="24"/>
        </w:rPr>
        <w:t xml:space="preserve">*Autor para la correspondencia. Correo electrónico: </w:t>
      </w:r>
      <w:hyperlink r:id="rId9" w:history="1">
        <w:r w:rsidRPr="002361A6">
          <w:rPr>
            <w:rStyle w:val="Hipervnculo"/>
            <w:rFonts w:ascii="Times New Roman" w:hAnsi="Times New Roman"/>
          </w:rPr>
          <w:t>toscain1987@gmail.com</w:t>
        </w:r>
      </w:hyperlink>
    </w:p>
    <w:p w14:paraId="45EB635C" w14:textId="77777777" w:rsidR="00D94FF3" w:rsidRPr="002361A6" w:rsidRDefault="00D94FF3" w:rsidP="00D94FF3">
      <w:pPr>
        <w:tabs>
          <w:tab w:val="left" w:pos="567"/>
        </w:tabs>
        <w:autoSpaceDE w:val="0"/>
        <w:autoSpaceDN w:val="0"/>
        <w:adjustRightInd w:val="0"/>
        <w:spacing w:after="0" w:line="360" w:lineRule="auto"/>
        <w:rPr>
          <w:rFonts w:ascii="Times New Roman" w:hAnsi="Times New Roman"/>
          <w:color w:val="131413"/>
          <w:sz w:val="24"/>
          <w:szCs w:val="24"/>
        </w:rPr>
      </w:pPr>
    </w:p>
    <w:p w14:paraId="724FA965" w14:textId="77777777" w:rsidR="00D94FF3" w:rsidRPr="002361A6" w:rsidRDefault="00D94FF3" w:rsidP="00D94FF3">
      <w:pPr>
        <w:autoSpaceDE w:val="0"/>
        <w:autoSpaceDN w:val="0"/>
        <w:adjustRightInd w:val="0"/>
        <w:spacing w:after="0" w:line="360" w:lineRule="auto"/>
        <w:jc w:val="both"/>
        <w:rPr>
          <w:rFonts w:ascii="Times New Roman" w:hAnsi="Times New Roman"/>
          <w:b/>
          <w:color w:val="131413"/>
          <w:sz w:val="24"/>
          <w:szCs w:val="24"/>
        </w:rPr>
      </w:pPr>
      <w:r w:rsidRPr="002361A6">
        <w:rPr>
          <w:rFonts w:ascii="Times New Roman" w:hAnsi="Times New Roman"/>
          <w:b/>
          <w:color w:val="131413"/>
          <w:sz w:val="24"/>
          <w:szCs w:val="24"/>
        </w:rPr>
        <w:t>RESUMEN</w:t>
      </w:r>
    </w:p>
    <w:p w14:paraId="752273E3" w14:textId="77777777" w:rsidR="00D94FF3" w:rsidRPr="002361A6" w:rsidRDefault="00D94FF3" w:rsidP="00D94FF3">
      <w:pPr>
        <w:autoSpaceDE w:val="0"/>
        <w:autoSpaceDN w:val="0"/>
        <w:adjustRightInd w:val="0"/>
        <w:spacing w:after="0" w:line="360" w:lineRule="auto"/>
        <w:jc w:val="both"/>
        <w:rPr>
          <w:rFonts w:ascii="Times New Roman" w:hAnsi="Times New Roman"/>
          <w:color w:val="131413"/>
          <w:sz w:val="24"/>
          <w:szCs w:val="24"/>
        </w:rPr>
      </w:pPr>
      <w:r w:rsidRPr="002361A6">
        <w:rPr>
          <w:rFonts w:ascii="Times New Roman" w:hAnsi="Times New Roman"/>
          <w:b/>
          <w:color w:val="131413"/>
          <w:sz w:val="24"/>
          <w:szCs w:val="24"/>
        </w:rPr>
        <w:t>Introducción:</w:t>
      </w:r>
      <w:r w:rsidRPr="002361A6">
        <w:rPr>
          <w:rFonts w:ascii="Times New Roman" w:hAnsi="Times New Roman"/>
          <w:color w:val="131413"/>
          <w:sz w:val="24"/>
          <w:szCs w:val="24"/>
        </w:rPr>
        <w:t xml:space="preserve"> La extensión transdiafragmática del absceso hepático piógeno constituye un caso raro de empiema pleural. Es una enfermedad de progresión rápida y con altas tasas de mortalidad, cercanas al 100 % si no se trata a tiempo.</w:t>
      </w:r>
    </w:p>
    <w:p w14:paraId="45C4B065" w14:textId="77777777" w:rsidR="00D94FF3" w:rsidRPr="002361A6" w:rsidRDefault="00D94FF3" w:rsidP="00D94FF3">
      <w:pPr>
        <w:autoSpaceDE w:val="0"/>
        <w:autoSpaceDN w:val="0"/>
        <w:adjustRightInd w:val="0"/>
        <w:spacing w:after="0" w:line="360" w:lineRule="auto"/>
        <w:jc w:val="both"/>
        <w:rPr>
          <w:rFonts w:ascii="Times New Roman" w:hAnsi="Times New Roman"/>
          <w:color w:val="131413"/>
          <w:sz w:val="24"/>
          <w:szCs w:val="24"/>
        </w:rPr>
      </w:pPr>
      <w:r w:rsidRPr="002361A6">
        <w:rPr>
          <w:rFonts w:ascii="Times New Roman" w:hAnsi="Times New Roman"/>
          <w:b/>
          <w:color w:val="131413"/>
          <w:sz w:val="24"/>
          <w:szCs w:val="24"/>
        </w:rPr>
        <w:t xml:space="preserve">Objetivo: </w:t>
      </w:r>
      <w:r w:rsidRPr="002361A6">
        <w:rPr>
          <w:rFonts w:ascii="Times New Roman" w:hAnsi="Times New Roman"/>
          <w:color w:val="131413"/>
          <w:sz w:val="24"/>
          <w:szCs w:val="24"/>
        </w:rPr>
        <w:t>Describir el caso de una paciente con empiema pleural derecho, secundario a ruptura de absceso piógeno del lóbulo hepático izquierdo.</w:t>
      </w:r>
    </w:p>
    <w:p w14:paraId="25AFDFF2" w14:textId="77777777" w:rsidR="00D94FF3" w:rsidRPr="002361A6" w:rsidRDefault="00D94FF3" w:rsidP="00D94FF3">
      <w:pPr>
        <w:autoSpaceDE w:val="0"/>
        <w:autoSpaceDN w:val="0"/>
        <w:adjustRightInd w:val="0"/>
        <w:spacing w:after="0" w:line="360" w:lineRule="auto"/>
        <w:jc w:val="both"/>
        <w:rPr>
          <w:rFonts w:ascii="Times New Roman" w:hAnsi="Times New Roman"/>
          <w:color w:val="131413"/>
          <w:sz w:val="24"/>
          <w:szCs w:val="24"/>
        </w:rPr>
      </w:pPr>
      <w:r w:rsidRPr="002361A6">
        <w:rPr>
          <w:rFonts w:ascii="Times New Roman" w:hAnsi="Times New Roman"/>
          <w:b/>
          <w:color w:val="131413"/>
          <w:sz w:val="24"/>
          <w:szCs w:val="24"/>
        </w:rPr>
        <w:t>Caso clínico:</w:t>
      </w:r>
      <w:r w:rsidRPr="002361A6">
        <w:rPr>
          <w:rFonts w:ascii="Times New Roman" w:hAnsi="Times New Roman"/>
          <w:color w:val="131413"/>
          <w:sz w:val="24"/>
          <w:szCs w:val="24"/>
        </w:rPr>
        <w:t xml:space="preserve"> Paciente femenina de 70 años de edad que acude al cuerpo de guardia con fiebre, dolor abdominal, síndrome general. La tomografía computadorizada mostró absceso hepático el lóbulo izquierdo con licuefacción casi total y posteriormente presentó como complicación un empiema torácico derecho. La paciente fue tratada con drenaje con sonda pleural. A pesar de los tratamientos antibióticos y quirúrgicos oportunos la paciente fallece en </w:t>
      </w:r>
      <w:r w:rsidRPr="002361A6">
        <w:rPr>
          <w:rFonts w:ascii="Times New Roman" w:hAnsi="Times New Roman"/>
          <w:i/>
          <w:iCs/>
          <w:color w:val="131413"/>
          <w:sz w:val="24"/>
          <w:szCs w:val="24"/>
        </w:rPr>
        <w:t>shock</w:t>
      </w:r>
      <w:r w:rsidRPr="002361A6">
        <w:rPr>
          <w:rFonts w:ascii="Times New Roman" w:hAnsi="Times New Roman"/>
          <w:color w:val="131413"/>
          <w:sz w:val="24"/>
          <w:szCs w:val="24"/>
        </w:rPr>
        <w:t xml:space="preserve"> séptico.</w:t>
      </w:r>
    </w:p>
    <w:p w14:paraId="672F04CE" w14:textId="77777777" w:rsidR="00D94FF3" w:rsidRPr="002361A6" w:rsidRDefault="00D94FF3" w:rsidP="00D94FF3">
      <w:pPr>
        <w:autoSpaceDE w:val="0"/>
        <w:autoSpaceDN w:val="0"/>
        <w:adjustRightInd w:val="0"/>
        <w:spacing w:after="0" w:line="360" w:lineRule="auto"/>
        <w:jc w:val="both"/>
        <w:rPr>
          <w:rFonts w:ascii="Times New Roman" w:hAnsi="Times New Roman"/>
          <w:color w:val="131413"/>
          <w:sz w:val="24"/>
          <w:szCs w:val="24"/>
        </w:rPr>
      </w:pPr>
      <w:r w:rsidRPr="002361A6">
        <w:rPr>
          <w:rFonts w:ascii="Times New Roman" w:hAnsi="Times New Roman"/>
          <w:b/>
          <w:color w:val="131413"/>
          <w:sz w:val="24"/>
          <w:szCs w:val="24"/>
        </w:rPr>
        <w:lastRenderedPageBreak/>
        <w:t>Conclusiones:</w:t>
      </w:r>
      <w:r w:rsidRPr="002361A6">
        <w:rPr>
          <w:rFonts w:ascii="Times New Roman" w:hAnsi="Times New Roman"/>
          <w:color w:val="131413"/>
          <w:sz w:val="24"/>
          <w:szCs w:val="24"/>
        </w:rPr>
        <w:t xml:space="preserve"> Se reporta un caso raro de empiema secundario a absceso hepático del lóbulo izquierdo. La demora de la paciente en acudir a instituciones de salud conllevó al fallecimiento de la paciente a pesar del tratamiento antibiótico y quirúrgico.</w:t>
      </w:r>
    </w:p>
    <w:p w14:paraId="11D82E07" w14:textId="77777777" w:rsidR="00D94FF3" w:rsidRPr="002361A6" w:rsidRDefault="00D94FF3" w:rsidP="00D94FF3">
      <w:pPr>
        <w:autoSpaceDE w:val="0"/>
        <w:autoSpaceDN w:val="0"/>
        <w:adjustRightInd w:val="0"/>
        <w:spacing w:after="0" w:line="360" w:lineRule="auto"/>
        <w:jc w:val="both"/>
        <w:rPr>
          <w:rFonts w:ascii="Times New Roman" w:hAnsi="Times New Roman"/>
          <w:color w:val="131413"/>
          <w:sz w:val="24"/>
          <w:szCs w:val="24"/>
        </w:rPr>
      </w:pPr>
      <w:r w:rsidRPr="002361A6">
        <w:rPr>
          <w:rFonts w:ascii="Times New Roman" w:hAnsi="Times New Roman"/>
          <w:b/>
          <w:bCs/>
          <w:color w:val="131413"/>
          <w:sz w:val="24"/>
          <w:szCs w:val="24"/>
        </w:rPr>
        <w:t>Palabras clave:</w:t>
      </w:r>
      <w:r w:rsidRPr="002361A6">
        <w:rPr>
          <w:rFonts w:ascii="Times New Roman" w:hAnsi="Times New Roman"/>
          <w:color w:val="131413"/>
          <w:sz w:val="24"/>
          <w:szCs w:val="24"/>
        </w:rPr>
        <w:t xml:space="preserve"> absceso hepático izquierdo; fístula biliopleural; empiema derecho.</w:t>
      </w:r>
    </w:p>
    <w:p w14:paraId="2D6A7831" w14:textId="77777777" w:rsidR="00D94FF3" w:rsidRPr="002361A6" w:rsidRDefault="00D94FF3" w:rsidP="00D94FF3">
      <w:pPr>
        <w:autoSpaceDE w:val="0"/>
        <w:autoSpaceDN w:val="0"/>
        <w:adjustRightInd w:val="0"/>
        <w:spacing w:after="0" w:line="360" w:lineRule="auto"/>
        <w:jc w:val="both"/>
        <w:rPr>
          <w:rFonts w:ascii="Times New Roman" w:hAnsi="Times New Roman"/>
          <w:b/>
          <w:color w:val="131413"/>
          <w:sz w:val="24"/>
          <w:szCs w:val="24"/>
        </w:rPr>
      </w:pPr>
    </w:p>
    <w:p w14:paraId="3C41E6A1" w14:textId="77777777" w:rsidR="00D94FF3" w:rsidRPr="002361A6" w:rsidRDefault="00D94FF3" w:rsidP="00D94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b/>
          <w:sz w:val="24"/>
          <w:szCs w:val="24"/>
          <w:lang w:val="en" w:eastAsia="es-ES"/>
        </w:rPr>
      </w:pPr>
      <w:r w:rsidRPr="002361A6">
        <w:rPr>
          <w:rFonts w:ascii="Times New Roman" w:eastAsia="Times New Roman" w:hAnsi="Times New Roman"/>
          <w:b/>
          <w:sz w:val="24"/>
          <w:szCs w:val="24"/>
          <w:lang w:val="en" w:eastAsia="es-ES"/>
        </w:rPr>
        <w:t>ABSTRACT</w:t>
      </w:r>
    </w:p>
    <w:p w14:paraId="47398794" w14:textId="77777777" w:rsidR="00D94FF3" w:rsidRPr="002361A6" w:rsidRDefault="00D94FF3" w:rsidP="00D94FF3">
      <w:pPr>
        <w:pStyle w:val="HTMLconformatoprevio"/>
        <w:spacing w:line="360" w:lineRule="auto"/>
        <w:jc w:val="both"/>
        <w:rPr>
          <w:rFonts w:ascii="Times New Roman" w:hAnsi="Times New Roman"/>
          <w:sz w:val="24"/>
          <w:szCs w:val="24"/>
          <w:lang w:val="en"/>
        </w:rPr>
      </w:pPr>
      <w:r w:rsidRPr="002361A6">
        <w:rPr>
          <w:rFonts w:ascii="Times New Roman" w:hAnsi="Times New Roman"/>
          <w:b/>
          <w:bCs/>
          <w:sz w:val="24"/>
          <w:szCs w:val="24"/>
          <w:lang w:val="en"/>
        </w:rPr>
        <w:t xml:space="preserve">Introduction: </w:t>
      </w:r>
      <w:r w:rsidRPr="002361A6">
        <w:rPr>
          <w:rFonts w:ascii="Times New Roman" w:hAnsi="Times New Roman"/>
          <w:sz w:val="24"/>
          <w:szCs w:val="24"/>
          <w:lang w:val="en"/>
        </w:rPr>
        <w:t>The transdiaphragmatic extension of the pyogenic liver abscess constitutes a rare case of pleural empyema. It is a rapidly progressive disease with high mortality rates close to 100% if it is not treated in time.</w:t>
      </w:r>
    </w:p>
    <w:p w14:paraId="0513117C" w14:textId="77777777" w:rsidR="00D94FF3" w:rsidRPr="002361A6" w:rsidRDefault="00D94FF3" w:rsidP="00D94FF3">
      <w:pPr>
        <w:pStyle w:val="HTMLconformatoprevio"/>
        <w:spacing w:line="360" w:lineRule="auto"/>
        <w:jc w:val="both"/>
        <w:rPr>
          <w:rFonts w:ascii="Times New Roman" w:hAnsi="Times New Roman"/>
          <w:sz w:val="24"/>
          <w:szCs w:val="24"/>
          <w:lang w:val="en"/>
        </w:rPr>
      </w:pPr>
      <w:r w:rsidRPr="002361A6">
        <w:rPr>
          <w:rFonts w:ascii="Times New Roman" w:hAnsi="Times New Roman"/>
          <w:b/>
          <w:bCs/>
          <w:sz w:val="24"/>
          <w:szCs w:val="24"/>
          <w:lang w:val="en"/>
        </w:rPr>
        <w:t>Objective:</w:t>
      </w:r>
      <w:r w:rsidRPr="002361A6">
        <w:rPr>
          <w:rFonts w:ascii="Times New Roman" w:hAnsi="Times New Roman"/>
          <w:sz w:val="24"/>
          <w:szCs w:val="24"/>
          <w:lang w:val="en"/>
        </w:rPr>
        <w:t xml:space="preserve"> To describe the case of a patient with right pleural empyema secondary to a ruptured pyogenic abscess of the left hepatic lobe.</w:t>
      </w:r>
    </w:p>
    <w:p w14:paraId="479277EC" w14:textId="77777777" w:rsidR="00D94FF3" w:rsidRPr="002361A6" w:rsidRDefault="00D94FF3" w:rsidP="00D94FF3">
      <w:pPr>
        <w:pStyle w:val="HTMLconformatoprevio"/>
        <w:spacing w:line="360" w:lineRule="auto"/>
        <w:jc w:val="both"/>
        <w:rPr>
          <w:rFonts w:ascii="Times New Roman" w:hAnsi="Times New Roman"/>
          <w:sz w:val="24"/>
          <w:szCs w:val="24"/>
          <w:lang w:val="en"/>
        </w:rPr>
      </w:pPr>
      <w:r w:rsidRPr="002361A6">
        <w:rPr>
          <w:rFonts w:ascii="Times New Roman" w:hAnsi="Times New Roman"/>
          <w:b/>
          <w:bCs/>
          <w:sz w:val="24"/>
          <w:szCs w:val="24"/>
          <w:lang w:val="en"/>
        </w:rPr>
        <w:t>Clinical case:</w:t>
      </w:r>
      <w:r w:rsidRPr="002361A6">
        <w:rPr>
          <w:rFonts w:ascii="Times New Roman" w:hAnsi="Times New Roman"/>
          <w:sz w:val="24"/>
          <w:szCs w:val="24"/>
          <w:lang w:val="en"/>
        </w:rPr>
        <w:t xml:space="preserve"> A 70-year-old female patient who came to emergency with fever, abdominal pain and general syndrome. The computed tomography scan showed a liver abscess in the left lobe with almost total liquefaction, and later a right thoracic empyema was a complication. The patient was treated with chest tube drainage. Despite timely antibiotic and surgical treatments, the patient died of septic shock.</w:t>
      </w:r>
    </w:p>
    <w:p w14:paraId="590F6336" w14:textId="77777777" w:rsidR="00D94FF3" w:rsidRPr="002361A6" w:rsidRDefault="00D94FF3" w:rsidP="00D94FF3">
      <w:pPr>
        <w:pStyle w:val="HTMLconformatoprevio"/>
        <w:spacing w:line="360" w:lineRule="auto"/>
        <w:jc w:val="both"/>
        <w:rPr>
          <w:rFonts w:ascii="Times New Roman" w:hAnsi="Times New Roman"/>
          <w:sz w:val="24"/>
          <w:szCs w:val="24"/>
          <w:lang w:val="en-US"/>
        </w:rPr>
      </w:pPr>
      <w:r w:rsidRPr="002361A6">
        <w:rPr>
          <w:rFonts w:ascii="Times New Roman" w:hAnsi="Times New Roman"/>
          <w:b/>
          <w:bCs/>
          <w:sz w:val="24"/>
          <w:szCs w:val="24"/>
          <w:lang w:val="en"/>
        </w:rPr>
        <w:t xml:space="preserve">Conclusions: </w:t>
      </w:r>
      <w:r w:rsidRPr="002361A6">
        <w:rPr>
          <w:rFonts w:ascii="Times New Roman" w:hAnsi="Times New Roman"/>
          <w:sz w:val="24"/>
          <w:szCs w:val="24"/>
          <w:lang w:val="en"/>
        </w:rPr>
        <w:t>A rare case of empyema secondary to liver abscess of the left lobe is reported. The delay of the patient in going to health institutions led to the death of the patient despite antibiotic and surgical treatment.</w:t>
      </w:r>
    </w:p>
    <w:p w14:paraId="3E5DFD96" w14:textId="77777777" w:rsidR="00D94FF3" w:rsidRPr="002361A6" w:rsidRDefault="00D94FF3" w:rsidP="00D94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eastAsia="es-ES"/>
        </w:rPr>
      </w:pPr>
      <w:r w:rsidRPr="002361A6">
        <w:rPr>
          <w:rFonts w:ascii="Times New Roman" w:eastAsia="Times New Roman" w:hAnsi="Times New Roman"/>
          <w:b/>
          <w:bCs/>
          <w:sz w:val="24"/>
          <w:szCs w:val="24"/>
          <w:lang w:val="en" w:eastAsia="es-ES"/>
        </w:rPr>
        <w:t>Keywords:</w:t>
      </w:r>
      <w:r w:rsidRPr="002361A6">
        <w:rPr>
          <w:rFonts w:ascii="Times New Roman" w:eastAsia="Times New Roman" w:hAnsi="Times New Roman"/>
          <w:sz w:val="24"/>
          <w:szCs w:val="24"/>
          <w:lang w:val="en" w:eastAsia="es-ES"/>
        </w:rPr>
        <w:t xml:space="preserve"> left liver abscess; biliopleural fistula; rigth empyema.</w:t>
      </w:r>
    </w:p>
    <w:p w14:paraId="36D63DB5" w14:textId="77777777" w:rsidR="00D94FF3" w:rsidRPr="002361A6" w:rsidRDefault="00D94FF3" w:rsidP="00D94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eastAsia="es-ES"/>
        </w:rPr>
      </w:pPr>
    </w:p>
    <w:p w14:paraId="540A16E7" w14:textId="77777777" w:rsidR="00D94FF3" w:rsidRPr="002361A6" w:rsidRDefault="00D94FF3" w:rsidP="00D94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eastAsia="es-ES"/>
        </w:rPr>
      </w:pPr>
    </w:p>
    <w:p w14:paraId="221D8711" w14:textId="77777777" w:rsidR="00D94FF3" w:rsidRPr="002361A6" w:rsidRDefault="00D94FF3" w:rsidP="00D94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eastAsia="es-ES"/>
        </w:rPr>
      </w:pPr>
      <w:r w:rsidRPr="002361A6">
        <w:rPr>
          <w:rFonts w:ascii="Times New Roman" w:eastAsia="Times New Roman" w:hAnsi="Times New Roman"/>
          <w:sz w:val="24"/>
          <w:szCs w:val="24"/>
          <w:lang w:eastAsia="es-ES"/>
        </w:rPr>
        <w:t>Recibido: 07/10/2020</w:t>
      </w:r>
    </w:p>
    <w:p w14:paraId="61D36746" w14:textId="77777777" w:rsidR="00D94FF3" w:rsidRPr="002361A6" w:rsidRDefault="00D94FF3" w:rsidP="00D94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eastAsia="es-ES"/>
        </w:rPr>
      </w:pPr>
      <w:r w:rsidRPr="002361A6">
        <w:rPr>
          <w:rFonts w:ascii="Times New Roman" w:eastAsia="Times New Roman" w:hAnsi="Times New Roman"/>
          <w:sz w:val="24"/>
          <w:szCs w:val="24"/>
          <w:lang w:eastAsia="es-ES"/>
        </w:rPr>
        <w:t>Aprobado: 06/01/2021</w:t>
      </w:r>
    </w:p>
    <w:p w14:paraId="1924D652" w14:textId="77777777" w:rsidR="00D94FF3" w:rsidRPr="002361A6" w:rsidRDefault="00D94FF3" w:rsidP="00D94FF3">
      <w:pPr>
        <w:autoSpaceDE w:val="0"/>
        <w:autoSpaceDN w:val="0"/>
        <w:adjustRightInd w:val="0"/>
        <w:spacing w:after="0" w:line="360" w:lineRule="auto"/>
        <w:jc w:val="both"/>
        <w:rPr>
          <w:rFonts w:ascii="Times New Roman" w:hAnsi="Times New Roman"/>
          <w:b/>
          <w:bCs/>
          <w:sz w:val="24"/>
          <w:szCs w:val="24"/>
        </w:rPr>
      </w:pPr>
    </w:p>
    <w:p w14:paraId="42BB28F8" w14:textId="77777777" w:rsidR="004447DD" w:rsidRDefault="004447DD" w:rsidP="00D94FF3">
      <w:pPr>
        <w:autoSpaceDE w:val="0"/>
        <w:autoSpaceDN w:val="0"/>
        <w:adjustRightInd w:val="0"/>
        <w:spacing w:after="0" w:line="360" w:lineRule="auto"/>
        <w:jc w:val="center"/>
        <w:rPr>
          <w:rFonts w:ascii="Times New Roman" w:hAnsi="Times New Roman"/>
          <w:b/>
          <w:bCs/>
          <w:sz w:val="32"/>
          <w:szCs w:val="32"/>
        </w:rPr>
      </w:pPr>
    </w:p>
    <w:p w14:paraId="353ED0FF" w14:textId="3D13FC19" w:rsidR="00D94FF3" w:rsidRPr="002361A6" w:rsidRDefault="00D94FF3" w:rsidP="00D94FF3">
      <w:pPr>
        <w:autoSpaceDE w:val="0"/>
        <w:autoSpaceDN w:val="0"/>
        <w:adjustRightInd w:val="0"/>
        <w:spacing w:after="0" w:line="360" w:lineRule="auto"/>
        <w:jc w:val="center"/>
        <w:rPr>
          <w:rFonts w:ascii="Times New Roman" w:hAnsi="Times New Roman"/>
          <w:b/>
          <w:bCs/>
          <w:sz w:val="32"/>
          <w:szCs w:val="32"/>
        </w:rPr>
      </w:pPr>
      <w:r w:rsidRPr="002361A6">
        <w:rPr>
          <w:rFonts w:ascii="Times New Roman" w:hAnsi="Times New Roman"/>
          <w:b/>
          <w:bCs/>
          <w:sz w:val="32"/>
          <w:szCs w:val="32"/>
        </w:rPr>
        <w:t>INTRODUCCIÓN</w:t>
      </w:r>
    </w:p>
    <w:p w14:paraId="45E48BDF" w14:textId="77777777" w:rsidR="00D94FF3" w:rsidRPr="002361A6" w:rsidRDefault="00D94FF3" w:rsidP="00D94FF3">
      <w:pPr>
        <w:pStyle w:val="Default"/>
        <w:spacing w:line="360" w:lineRule="auto"/>
        <w:jc w:val="both"/>
        <w:rPr>
          <w:rFonts w:ascii="Times New Roman" w:eastAsia="SegoeUI" w:hAnsi="Times New Roman" w:cs="Times New Roman"/>
        </w:rPr>
      </w:pPr>
      <w:r w:rsidRPr="002361A6">
        <w:rPr>
          <w:rFonts w:ascii="Times New Roman" w:eastAsia="SegoeUI" w:hAnsi="Times New Roman" w:cs="Times New Roman"/>
        </w:rPr>
        <w:t xml:space="preserve">Los abscesos piógenos del hígado son relativamente raros. Fueron descritos por primera vez desde el tiempo de </w:t>
      </w:r>
      <w:r w:rsidRPr="002361A6">
        <w:rPr>
          <w:rFonts w:ascii="Times New Roman" w:eastAsia="SegoeUI" w:hAnsi="Times New Roman" w:cs="Times New Roman"/>
          <w:i/>
        </w:rPr>
        <w:t>Hipócrates</w:t>
      </w:r>
      <w:r w:rsidRPr="002361A6">
        <w:rPr>
          <w:rFonts w:ascii="Times New Roman" w:eastAsia="SegoeUI" w:hAnsi="Times New Roman" w:cs="Times New Roman"/>
        </w:rPr>
        <w:t xml:space="preserve"> (400 a.C.) y publicados por primera vez en la revisión del </w:t>
      </w:r>
      <w:r w:rsidRPr="002361A6">
        <w:rPr>
          <w:rFonts w:ascii="Times New Roman" w:eastAsia="SegoeUI" w:hAnsi="Times New Roman" w:cs="Times New Roman"/>
          <w:i/>
        </w:rPr>
        <w:t>Dr. Bright</w:t>
      </w:r>
      <w:r w:rsidRPr="002361A6">
        <w:rPr>
          <w:rFonts w:ascii="Times New Roman" w:eastAsia="SegoeUI" w:hAnsi="Times New Roman" w:cs="Times New Roman"/>
        </w:rPr>
        <w:t xml:space="preserve"> en el año </w:t>
      </w:r>
      <w:r w:rsidRPr="002361A6">
        <w:rPr>
          <w:rFonts w:ascii="Times New Roman" w:eastAsia="SegoeUI" w:hAnsi="Times New Roman" w:cs="Times New Roman"/>
        </w:rPr>
        <w:lastRenderedPageBreak/>
        <w:t>1936.</w:t>
      </w:r>
      <w:r w:rsidRPr="002361A6">
        <w:rPr>
          <w:rFonts w:ascii="Times New Roman" w:eastAsia="SegoeUI" w:hAnsi="Times New Roman" w:cs="Times New Roman"/>
          <w:bCs/>
          <w:vertAlign w:val="superscript"/>
        </w:rPr>
        <w:t>(1)</w:t>
      </w:r>
      <w:r w:rsidRPr="002361A6">
        <w:rPr>
          <w:rFonts w:ascii="Times New Roman" w:eastAsia="SegoeUI" w:hAnsi="Times New Roman" w:cs="Times New Roman"/>
        </w:rPr>
        <w:t xml:space="preserve"> Su cuadro clínico de presentación atípico, dificulta el diagnóstico. El lóbulo hepático derecho es afectado con mayor frecuencia que el izquierdo, con una razón de 2:1</w:t>
      </w:r>
      <w:r w:rsidRPr="002361A6">
        <w:rPr>
          <w:rFonts w:ascii="Times New Roman" w:hAnsi="Times New Roman" w:cs="Times New Roman"/>
          <w:lang w:eastAsia="es-ES"/>
        </w:rPr>
        <w:t>.</w:t>
      </w:r>
      <w:r w:rsidRPr="002361A6">
        <w:rPr>
          <w:rFonts w:ascii="Times New Roman" w:hAnsi="Times New Roman" w:cs="Times New Roman"/>
          <w:vertAlign w:val="superscript"/>
          <w:lang w:eastAsia="es-ES"/>
        </w:rPr>
        <w:t>(</w:t>
      </w:r>
      <w:r w:rsidRPr="002361A6">
        <w:rPr>
          <w:rFonts w:ascii="Times New Roman" w:eastAsia="SegoeUI" w:hAnsi="Times New Roman" w:cs="Times New Roman"/>
          <w:vertAlign w:val="superscript"/>
        </w:rPr>
        <w:t>1,2)</w:t>
      </w:r>
    </w:p>
    <w:p w14:paraId="6BD6BD8E" w14:textId="77777777" w:rsidR="00D94FF3" w:rsidRPr="002361A6" w:rsidRDefault="00D94FF3" w:rsidP="00D94FF3">
      <w:pPr>
        <w:pStyle w:val="Default"/>
        <w:spacing w:line="360" w:lineRule="auto"/>
        <w:jc w:val="both"/>
        <w:rPr>
          <w:rFonts w:ascii="Times New Roman" w:hAnsi="Times New Roman" w:cs="Times New Roman"/>
        </w:rPr>
      </w:pPr>
      <w:r w:rsidRPr="002361A6">
        <w:rPr>
          <w:rFonts w:ascii="Times New Roman" w:hAnsi="Times New Roman" w:cs="Times New Roman"/>
          <w:lang w:eastAsia="es-ES"/>
        </w:rPr>
        <w:t>Los abscesos hepáticos más frecuentes son derechos y drenan hacia la cavidad pleural ipsilateral, de ahí</w:t>
      </w:r>
      <w:r w:rsidRPr="002361A6">
        <w:rPr>
          <w:rFonts w:ascii="Times New Roman" w:hAnsi="Times New Roman" w:cs="Times New Roman"/>
        </w:rPr>
        <w:t xml:space="preserve"> la importancia en publicar este caso, en quien un absceso en el lóbulo hepático izquierdo drena espontáneamente hacia la cavidad pleural derecha, caso insólito, no encontrado en la literatura revisada.       </w:t>
      </w:r>
    </w:p>
    <w:p w14:paraId="2832DEBB" w14:textId="77777777" w:rsidR="00D94FF3" w:rsidRPr="002361A6" w:rsidRDefault="00D94FF3" w:rsidP="00D94FF3">
      <w:pPr>
        <w:autoSpaceDE w:val="0"/>
        <w:autoSpaceDN w:val="0"/>
        <w:adjustRightInd w:val="0"/>
        <w:spacing w:after="0" w:line="360" w:lineRule="auto"/>
        <w:jc w:val="both"/>
        <w:rPr>
          <w:rFonts w:ascii="Times New Roman" w:hAnsi="Times New Roman"/>
          <w:bCs/>
          <w:color w:val="131413"/>
          <w:sz w:val="24"/>
          <w:szCs w:val="24"/>
        </w:rPr>
      </w:pPr>
      <w:r w:rsidRPr="002361A6">
        <w:rPr>
          <w:rFonts w:ascii="Times New Roman" w:hAnsi="Times New Roman"/>
          <w:bCs/>
          <w:color w:val="131413"/>
          <w:sz w:val="24"/>
          <w:szCs w:val="24"/>
        </w:rPr>
        <w:t xml:space="preserve">El objetivo de esta presentación es describir el caso de una paciente con empiema pleural derecho, secundario a ruptura de absceso piógeno del lóbulo hepático izquierdo dada la baja frecuencia de esta complicación.      </w:t>
      </w:r>
    </w:p>
    <w:p w14:paraId="4297865F" w14:textId="77777777" w:rsidR="00D94FF3" w:rsidRPr="002361A6" w:rsidRDefault="00D94FF3" w:rsidP="00D94FF3">
      <w:pPr>
        <w:autoSpaceDE w:val="0"/>
        <w:autoSpaceDN w:val="0"/>
        <w:adjustRightInd w:val="0"/>
        <w:spacing w:after="0" w:line="360" w:lineRule="auto"/>
        <w:jc w:val="both"/>
        <w:rPr>
          <w:rFonts w:ascii="Times New Roman" w:hAnsi="Times New Roman"/>
          <w:b/>
          <w:bCs/>
          <w:sz w:val="24"/>
          <w:szCs w:val="24"/>
        </w:rPr>
      </w:pPr>
    </w:p>
    <w:p w14:paraId="4A0ACD91" w14:textId="77777777" w:rsidR="00D94FF3" w:rsidRPr="002361A6" w:rsidRDefault="00D94FF3" w:rsidP="00D94FF3">
      <w:pPr>
        <w:autoSpaceDE w:val="0"/>
        <w:autoSpaceDN w:val="0"/>
        <w:adjustRightInd w:val="0"/>
        <w:spacing w:after="0" w:line="360" w:lineRule="auto"/>
        <w:jc w:val="both"/>
        <w:rPr>
          <w:rFonts w:ascii="Times New Roman" w:hAnsi="Times New Roman"/>
          <w:b/>
          <w:bCs/>
          <w:sz w:val="24"/>
          <w:szCs w:val="24"/>
        </w:rPr>
      </w:pPr>
    </w:p>
    <w:p w14:paraId="1B7D1276" w14:textId="77777777" w:rsidR="00D94FF3" w:rsidRPr="002361A6" w:rsidRDefault="00D94FF3" w:rsidP="00D94FF3">
      <w:pPr>
        <w:autoSpaceDE w:val="0"/>
        <w:autoSpaceDN w:val="0"/>
        <w:adjustRightInd w:val="0"/>
        <w:spacing w:after="0" w:line="360" w:lineRule="auto"/>
        <w:jc w:val="center"/>
        <w:rPr>
          <w:rFonts w:ascii="Times New Roman" w:hAnsi="Times New Roman"/>
          <w:b/>
          <w:bCs/>
          <w:sz w:val="32"/>
          <w:szCs w:val="32"/>
        </w:rPr>
      </w:pPr>
      <w:r w:rsidRPr="002361A6">
        <w:rPr>
          <w:rFonts w:ascii="Times New Roman" w:hAnsi="Times New Roman"/>
          <w:b/>
          <w:bCs/>
          <w:sz w:val="32"/>
          <w:szCs w:val="32"/>
        </w:rPr>
        <w:t>CASO CLÍNICO</w:t>
      </w:r>
    </w:p>
    <w:p w14:paraId="283A0A17" w14:textId="77777777" w:rsidR="00D94FF3" w:rsidRPr="002361A6" w:rsidRDefault="00D94FF3" w:rsidP="00D94FF3">
      <w:pPr>
        <w:autoSpaceDE w:val="0"/>
        <w:autoSpaceDN w:val="0"/>
        <w:adjustRightInd w:val="0"/>
        <w:spacing w:after="0" w:line="360" w:lineRule="auto"/>
        <w:jc w:val="both"/>
        <w:rPr>
          <w:rFonts w:ascii="Times New Roman" w:eastAsia="SegoeUI" w:hAnsi="Times New Roman"/>
          <w:sz w:val="24"/>
          <w:szCs w:val="24"/>
        </w:rPr>
      </w:pPr>
      <w:r w:rsidRPr="002361A6">
        <w:rPr>
          <w:rFonts w:ascii="Times New Roman" w:eastAsia="SegoeUI" w:hAnsi="Times New Roman"/>
          <w:sz w:val="24"/>
          <w:szCs w:val="24"/>
        </w:rPr>
        <w:t>Mujer de 70 años de edad con antecedentes patológicos personales de cirrosis hepática por virus de la hepatitis C, colecistectomizada hace 20 años, que hace aproximadamente 10 años, presentó cuadro de íctero obstructivo por litiasis primaria de colédoco, por lo cual requirió la colocación de una endoprótesis en la vía biliar que no fue removida posteriormente.</w:t>
      </w:r>
    </w:p>
    <w:p w14:paraId="55A1EA4C" w14:textId="77777777" w:rsidR="00D94FF3" w:rsidRPr="002361A6" w:rsidRDefault="00D94FF3" w:rsidP="00D94FF3">
      <w:pPr>
        <w:autoSpaceDE w:val="0"/>
        <w:autoSpaceDN w:val="0"/>
        <w:adjustRightInd w:val="0"/>
        <w:spacing w:after="0" w:line="360" w:lineRule="auto"/>
        <w:jc w:val="both"/>
        <w:rPr>
          <w:rFonts w:ascii="Times New Roman" w:eastAsia="SegoeUI" w:hAnsi="Times New Roman"/>
          <w:sz w:val="24"/>
          <w:szCs w:val="24"/>
        </w:rPr>
      </w:pPr>
      <w:r w:rsidRPr="002361A6">
        <w:rPr>
          <w:rFonts w:ascii="Times New Roman" w:eastAsia="SegoeUI" w:hAnsi="Times New Roman"/>
          <w:sz w:val="24"/>
          <w:szCs w:val="24"/>
        </w:rPr>
        <w:t>Ingresó al servicio de urgencias por un cuadro clínico de un mes de evolución, caracterizado por dolor abdominal en epigastrio, sin irradiación, mantenido, de moderada intensidad, asociado a fiebre de 38 – 39 ºC, vespertina. Progresivamente apareció astenia, anorexia y pérdida de peso no cuantificada, pero ostensible con el decurso del tiempo.</w:t>
      </w:r>
    </w:p>
    <w:p w14:paraId="3FA64C90" w14:textId="77777777" w:rsidR="00D94FF3" w:rsidRPr="002361A6" w:rsidRDefault="00D94FF3" w:rsidP="00D94FF3">
      <w:pPr>
        <w:autoSpaceDE w:val="0"/>
        <w:autoSpaceDN w:val="0"/>
        <w:adjustRightInd w:val="0"/>
        <w:spacing w:after="0" w:line="360" w:lineRule="auto"/>
        <w:jc w:val="both"/>
        <w:rPr>
          <w:rFonts w:ascii="Times New Roman" w:eastAsia="SegoeUI" w:hAnsi="Times New Roman"/>
          <w:sz w:val="24"/>
          <w:szCs w:val="24"/>
        </w:rPr>
      </w:pPr>
      <w:r w:rsidRPr="002361A6">
        <w:rPr>
          <w:rFonts w:ascii="Times New Roman" w:eastAsia="SegoeUI" w:hAnsi="Times New Roman"/>
          <w:sz w:val="24"/>
          <w:szCs w:val="24"/>
        </w:rPr>
        <w:t>En el examen físico al ingreso, se documentó una paciente con aspecto de enferma aguda,  coloración ictérica de la piel, mucosas ligeramente secas e hipocoloreadas, índice de masa corporal de 17 kg/cm</w:t>
      </w:r>
      <w:r w:rsidRPr="002361A6">
        <w:rPr>
          <w:rFonts w:ascii="Times New Roman" w:eastAsia="SegoeUI" w:hAnsi="Times New Roman"/>
          <w:sz w:val="24"/>
          <w:szCs w:val="24"/>
          <w:vertAlign w:val="superscript"/>
        </w:rPr>
        <w:t>2</w:t>
      </w:r>
      <w:r w:rsidRPr="002361A6">
        <w:rPr>
          <w:rFonts w:ascii="Times New Roman" w:eastAsia="SegoeUI" w:hAnsi="Times New Roman"/>
          <w:sz w:val="24"/>
          <w:szCs w:val="24"/>
        </w:rPr>
        <w:t>, temperatura de 38,5 ºC, sin signos de dificultad respiratoria, con murmullo vesicular audible en ambos campos pulmonares, sin estertores, SO</w:t>
      </w:r>
      <w:r w:rsidRPr="002361A6">
        <w:rPr>
          <w:rFonts w:ascii="Times New Roman" w:eastAsia="SegoeUI" w:hAnsi="Times New Roman"/>
          <w:sz w:val="24"/>
          <w:szCs w:val="24"/>
          <w:vertAlign w:val="subscript"/>
        </w:rPr>
        <w:t>2</w:t>
      </w:r>
      <w:r w:rsidRPr="002361A6">
        <w:rPr>
          <w:rFonts w:ascii="Times New Roman" w:eastAsia="SegoeUI" w:hAnsi="Times New Roman"/>
          <w:sz w:val="24"/>
          <w:szCs w:val="24"/>
        </w:rPr>
        <w:t xml:space="preserve"> 98 %; taquicardia ligera (115 latidos por minuto), tensión arterial de 100/60 mmHg, dolor a la palpación del abdomen en el epigastrio, con masa de aproximadamente 10 cm de diámetro, dolorosa, no móvil y de consistencia dura, con contractura abdominal en dicha zona. Ruidos hidroaéreos normales. El tacto rectal fue normal.</w:t>
      </w:r>
    </w:p>
    <w:p w14:paraId="69D3F9D1" w14:textId="77777777" w:rsidR="00D94FF3" w:rsidRPr="002361A6" w:rsidRDefault="00D94FF3" w:rsidP="00D94FF3">
      <w:pPr>
        <w:autoSpaceDE w:val="0"/>
        <w:autoSpaceDN w:val="0"/>
        <w:adjustRightInd w:val="0"/>
        <w:spacing w:after="0" w:line="360" w:lineRule="auto"/>
        <w:jc w:val="both"/>
        <w:rPr>
          <w:rFonts w:ascii="Times New Roman" w:eastAsia="SegoeUI" w:hAnsi="Times New Roman"/>
          <w:sz w:val="24"/>
          <w:szCs w:val="24"/>
        </w:rPr>
      </w:pPr>
      <w:r w:rsidRPr="002361A6">
        <w:rPr>
          <w:rFonts w:ascii="Times New Roman" w:eastAsia="SegoeUI" w:hAnsi="Times New Roman"/>
          <w:sz w:val="24"/>
          <w:szCs w:val="24"/>
        </w:rPr>
        <w:t>El hemograma mostró anemia, leucocitosis con neutrofilia y eritrosedimentación acelerada (tabla 1).</w:t>
      </w:r>
    </w:p>
    <w:p w14:paraId="0423A809" w14:textId="77777777" w:rsidR="00D94FF3" w:rsidRPr="002361A6" w:rsidRDefault="00D94FF3" w:rsidP="00D94FF3">
      <w:pPr>
        <w:autoSpaceDE w:val="0"/>
        <w:autoSpaceDN w:val="0"/>
        <w:adjustRightInd w:val="0"/>
        <w:spacing w:after="0" w:line="360" w:lineRule="auto"/>
        <w:jc w:val="both"/>
        <w:rPr>
          <w:rFonts w:ascii="Times New Roman" w:eastAsia="SegoeUI" w:hAnsi="Times New Roman"/>
          <w:sz w:val="24"/>
          <w:szCs w:val="24"/>
        </w:rPr>
      </w:pPr>
    </w:p>
    <w:p w14:paraId="66F22454" w14:textId="77777777" w:rsidR="00D94FF3" w:rsidRPr="002361A6" w:rsidRDefault="00D94FF3" w:rsidP="00D94FF3">
      <w:pPr>
        <w:autoSpaceDE w:val="0"/>
        <w:autoSpaceDN w:val="0"/>
        <w:adjustRightInd w:val="0"/>
        <w:spacing w:after="0" w:line="360" w:lineRule="auto"/>
        <w:jc w:val="center"/>
        <w:rPr>
          <w:rFonts w:ascii="Times New Roman" w:eastAsia="SegoeUI" w:hAnsi="Times New Roman"/>
          <w:bCs/>
        </w:rPr>
      </w:pPr>
      <w:r w:rsidRPr="002361A6">
        <w:rPr>
          <w:rFonts w:ascii="Times New Roman" w:eastAsia="SegoeUI" w:hAnsi="Times New Roman"/>
          <w:b/>
        </w:rPr>
        <w:t>Tabla 1 -</w:t>
      </w:r>
      <w:r w:rsidRPr="002361A6">
        <w:rPr>
          <w:rFonts w:ascii="Times New Roman" w:eastAsia="SegoeUI" w:hAnsi="Times New Roman"/>
          <w:bCs/>
        </w:rPr>
        <w:t xml:space="preserve"> Analítica sanguínea realizada en las primeras 24 horas del ingreso hospitalario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4"/>
        <w:gridCol w:w="1314"/>
        <w:gridCol w:w="2898"/>
        <w:gridCol w:w="2106"/>
      </w:tblGrid>
      <w:tr w:rsidR="00D94FF3" w:rsidRPr="002361A6" w14:paraId="4CE43442" w14:textId="77777777" w:rsidTr="00EB306D">
        <w:trPr>
          <w:jc w:val="center"/>
        </w:trPr>
        <w:tc>
          <w:tcPr>
            <w:tcW w:w="2514" w:type="dxa"/>
            <w:shd w:val="clear" w:color="auto" w:fill="auto"/>
          </w:tcPr>
          <w:p w14:paraId="72689A28" w14:textId="77777777" w:rsidR="00D94FF3" w:rsidRPr="002361A6" w:rsidRDefault="00D94FF3" w:rsidP="00EB306D">
            <w:pPr>
              <w:autoSpaceDE w:val="0"/>
              <w:autoSpaceDN w:val="0"/>
              <w:adjustRightInd w:val="0"/>
              <w:spacing w:after="0" w:line="360" w:lineRule="auto"/>
              <w:jc w:val="center"/>
              <w:rPr>
                <w:rFonts w:ascii="Times New Roman" w:eastAsia="SegoeUI" w:hAnsi="Times New Roman"/>
                <w:b/>
                <w:bCs/>
                <w:sz w:val="18"/>
                <w:szCs w:val="18"/>
              </w:rPr>
            </w:pPr>
            <w:r w:rsidRPr="002361A6">
              <w:rPr>
                <w:rFonts w:ascii="Times New Roman" w:eastAsia="SegoeUI" w:hAnsi="Times New Roman"/>
                <w:b/>
                <w:bCs/>
                <w:sz w:val="18"/>
                <w:szCs w:val="18"/>
              </w:rPr>
              <w:lastRenderedPageBreak/>
              <w:t>Hemograma</w:t>
            </w:r>
          </w:p>
        </w:tc>
        <w:tc>
          <w:tcPr>
            <w:tcW w:w="1314" w:type="dxa"/>
            <w:shd w:val="clear" w:color="auto" w:fill="auto"/>
          </w:tcPr>
          <w:p w14:paraId="31EEE319" w14:textId="77777777" w:rsidR="00D94FF3" w:rsidRPr="002361A6" w:rsidRDefault="00D94FF3" w:rsidP="00EB306D">
            <w:pPr>
              <w:autoSpaceDE w:val="0"/>
              <w:autoSpaceDN w:val="0"/>
              <w:adjustRightInd w:val="0"/>
              <w:spacing w:after="0" w:line="360" w:lineRule="auto"/>
              <w:jc w:val="center"/>
              <w:rPr>
                <w:rFonts w:ascii="Times New Roman" w:eastAsia="SegoeUI" w:hAnsi="Times New Roman"/>
                <w:b/>
                <w:bCs/>
                <w:sz w:val="18"/>
                <w:szCs w:val="18"/>
              </w:rPr>
            </w:pPr>
            <w:r w:rsidRPr="002361A6">
              <w:rPr>
                <w:rFonts w:ascii="Times New Roman" w:eastAsia="SegoeUI" w:hAnsi="Times New Roman"/>
                <w:b/>
                <w:bCs/>
                <w:sz w:val="18"/>
                <w:szCs w:val="18"/>
              </w:rPr>
              <w:t>Uroanálisis</w:t>
            </w:r>
          </w:p>
        </w:tc>
        <w:tc>
          <w:tcPr>
            <w:tcW w:w="2898" w:type="dxa"/>
            <w:shd w:val="clear" w:color="auto" w:fill="auto"/>
          </w:tcPr>
          <w:p w14:paraId="348B0595" w14:textId="77777777" w:rsidR="00D94FF3" w:rsidRPr="002361A6" w:rsidRDefault="00D94FF3" w:rsidP="00EB306D">
            <w:pPr>
              <w:autoSpaceDE w:val="0"/>
              <w:autoSpaceDN w:val="0"/>
              <w:adjustRightInd w:val="0"/>
              <w:spacing w:after="0" w:line="360" w:lineRule="auto"/>
              <w:jc w:val="center"/>
              <w:rPr>
                <w:rFonts w:ascii="Times New Roman" w:eastAsia="SegoeUI" w:hAnsi="Times New Roman"/>
                <w:b/>
                <w:bCs/>
                <w:sz w:val="18"/>
                <w:szCs w:val="18"/>
              </w:rPr>
            </w:pPr>
            <w:r w:rsidRPr="002361A6">
              <w:rPr>
                <w:rFonts w:ascii="Times New Roman" w:eastAsia="SegoeUI" w:hAnsi="Times New Roman"/>
                <w:b/>
                <w:bCs/>
                <w:sz w:val="18"/>
                <w:szCs w:val="18"/>
              </w:rPr>
              <w:t>Química sanguínea</w:t>
            </w:r>
          </w:p>
        </w:tc>
        <w:tc>
          <w:tcPr>
            <w:tcW w:w="2106" w:type="dxa"/>
            <w:shd w:val="clear" w:color="auto" w:fill="auto"/>
          </w:tcPr>
          <w:p w14:paraId="5461F441" w14:textId="77777777" w:rsidR="00D94FF3" w:rsidRPr="002361A6" w:rsidRDefault="00D94FF3" w:rsidP="00EB306D">
            <w:pPr>
              <w:autoSpaceDE w:val="0"/>
              <w:autoSpaceDN w:val="0"/>
              <w:adjustRightInd w:val="0"/>
              <w:spacing w:after="0" w:line="360" w:lineRule="auto"/>
              <w:jc w:val="center"/>
              <w:rPr>
                <w:rFonts w:ascii="Times New Roman" w:eastAsia="SegoeUI" w:hAnsi="Times New Roman"/>
                <w:b/>
                <w:bCs/>
                <w:sz w:val="18"/>
                <w:szCs w:val="18"/>
              </w:rPr>
            </w:pPr>
            <w:r w:rsidRPr="002361A6">
              <w:rPr>
                <w:rFonts w:ascii="Times New Roman" w:eastAsia="SegoeUI" w:hAnsi="Times New Roman"/>
                <w:b/>
                <w:bCs/>
                <w:sz w:val="18"/>
                <w:szCs w:val="18"/>
              </w:rPr>
              <w:t>Gases arteriales</w:t>
            </w:r>
          </w:p>
        </w:tc>
      </w:tr>
      <w:tr w:rsidR="00D94FF3" w:rsidRPr="002361A6" w14:paraId="6DA0FB13" w14:textId="77777777" w:rsidTr="00EB306D">
        <w:trPr>
          <w:trHeight w:val="70"/>
          <w:jc w:val="center"/>
        </w:trPr>
        <w:tc>
          <w:tcPr>
            <w:tcW w:w="2514" w:type="dxa"/>
          </w:tcPr>
          <w:p w14:paraId="69B5AF3A" w14:textId="77777777" w:rsidR="00D94FF3" w:rsidRPr="002361A6" w:rsidRDefault="00D94FF3" w:rsidP="00EB306D">
            <w:pPr>
              <w:autoSpaceDE w:val="0"/>
              <w:autoSpaceDN w:val="0"/>
              <w:adjustRightInd w:val="0"/>
              <w:spacing w:after="0" w:line="360" w:lineRule="auto"/>
              <w:jc w:val="both"/>
              <w:rPr>
                <w:rFonts w:ascii="Times New Roman" w:eastAsia="SegoeUI" w:hAnsi="Times New Roman"/>
                <w:sz w:val="18"/>
                <w:szCs w:val="18"/>
              </w:rPr>
            </w:pPr>
            <w:r w:rsidRPr="002361A6">
              <w:rPr>
                <w:rFonts w:ascii="Times New Roman" w:eastAsia="SegoeUI" w:hAnsi="Times New Roman"/>
                <w:sz w:val="18"/>
                <w:szCs w:val="18"/>
              </w:rPr>
              <w:t>Hemoglobina 9,2 g/L</w:t>
            </w:r>
          </w:p>
          <w:p w14:paraId="7A102972" w14:textId="77777777" w:rsidR="00D94FF3" w:rsidRPr="002361A6" w:rsidRDefault="00D94FF3" w:rsidP="00EB306D">
            <w:pPr>
              <w:autoSpaceDE w:val="0"/>
              <w:autoSpaceDN w:val="0"/>
              <w:adjustRightInd w:val="0"/>
              <w:spacing w:after="0" w:line="360" w:lineRule="auto"/>
              <w:jc w:val="both"/>
              <w:rPr>
                <w:rFonts w:ascii="Times New Roman" w:eastAsia="SegoeUI" w:hAnsi="Times New Roman"/>
                <w:sz w:val="18"/>
                <w:szCs w:val="18"/>
              </w:rPr>
            </w:pPr>
            <w:r w:rsidRPr="002361A6">
              <w:rPr>
                <w:rFonts w:ascii="Times New Roman" w:eastAsia="SegoeUI" w:hAnsi="Times New Roman"/>
                <w:sz w:val="18"/>
                <w:szCs w:val="18"/>
              </w:rPr>
              <w:t>Hematocrito 0,28</w:t>
            </w:r>
          </w:p>
          <w:p w14:paraId="5912F166" w14:textId="77777777" w:rsidR="00D94FF3" w:rsidRPr="002361A6" w:rsidRDefault="00D94FF3" w:rsidP="00EB306D">
            <w:pPr>
              <w:autoSpaceDE w:val="0"/>
              <w:autoSpaceDN w:val="0"/>
              <w:adjustRightInd w:val="0"/>
              <w:spacing w:after="0" w:line="360" w:lineRule="auto"/>
              <w:jc w:val="both"/>
              <w:rPr>
                <w:rFonts w:ascii="Times New Roman" w:eastAsia="SegoeUI" w:hAnsi="Times New Roman"/>
                <w:sz w:val="18"/>
                <w:szCs w:val="18"/>
              </w:rPr>
            </w:pPr>
            <w:r w:rsidRPr="002361A6">
              <w:rPr>
                <w:rFonts w:ascii="Times New Roman" w:eastAsia="SegoeUI" w:hAnsi="Times New Roman"/>
                <w:sz w:val="18"/>
                <w:szCs w:val="18"/>
              </w:rPr>
              <w:t>Plaquetas 200 x 10</w:t>
            </w:r>
            <w:r w:rsidRPr="002361A6">
              <w:rPr>
                <w:rFonts w:ascii="Times New Roman" w:eastAsia="SegoeUI" w:hAnsi="Times New Roman"/>
                <w:sz w:val="18"/>
                <w:szCs w:val="18"/>
                <w:vertAlign w:val="superscript"/>
              </w:rPr>
              <w:t xml:space="preserve">9 </w:t>
            </w:r>
            <w:r w:rsidRPr="002361A6">
              <w:rPr>
                <w:rFonts w:ascii="Times New Roman" w:eastAsia="SegoeUI" w:hAnsi="Times New Roman"/>
                <w:sz w:val="18"/>
                <w:szCs w:val="18"/>
              </w:rPr>
              <w:t>/L</w:t>
            </w:r>
          </w:p>
          <w:p w14:paraId="46C3C0FA" w14:textId="77777777" w:rsidR="00D94FF3" w:rsidRPr="002361A6" w:rsidRDefault="00D94FF3" w:rsidP="00EB306D">
            <w:pPr>
              <w:autoSpaceDE w:val="0"/>
              <w:autoSpaceDN w:val="0"/>
              <w:adjustRightInd w:val="0"/>
              <w:spacing w:after="0" w:line="360" w:lineRule="auto"/>
              <w:jc w:val="both"/>
              <w:rPr>
                <w:rFonts w:ascii="Times New Roman" w:eastAsia="SegoeUI" w:hAnsi="Times New Roman"/>
                <w:sz w:val="18"/>
                <w:szCs w:val="18"/>
              </w:rPr>
            </w:pPr>
            <w:r w:rsidRPr="002361A6">
              <w:rPr>
                <w:rFonts w:ascii="Times New Roman" w:eastAsia="SegoeUI" w:hAnsi="Times New Roman"/>
                <w:sz w:val="18"/>
                <w:szCs w:val="18"/>
              </w:rPr>
              <w:t>Leucocitos 18,0 x 10</w:t>
            </w:r>
            <w:r w:rsidRPr="002361A6">
              <w:rPr>
                <w:rFonts w:ascii="Times New Roman" w:eastAsia="SegoeUI" w:hAnsi="Times New Roman"/>
                <w:sz w:val="18"/>
                <w:szCs w:val="18"/>
                <w:vertAlign w:val="superscript"/>
              </w:rPr>
              <w:t xml:space="preserve">9 </w:t>
            </w:r>
            <w:r w:rsidRPr="002361A6">
              <w:rPr>
                <w:rFonts w:ascii="Times New Roman" w:eastAsia="SegoeUI" w:hAnsi="Times New Roman"/>
                <w:sz w:val="18"/>
                <w:szCs w:val="18"/>
              </w:rPr>
              <w:t>/L</w:t>
            </w:r>
          </w:p>
          <w:p w14:paraId="5ECF1860" w14:textId="77777777" w:rsidR="00D94FF3" w:rsidRPr="002361A6" w:rsidRDefault="00D94FF3" w:rsidP="00EB306D">
            <w:pPr>
              <w:autoSpaceDE w:val="0"/>
              <w:autoSpaceDN w:val="0"/>
              <w:adjustRightInd w:val="0"/>
              <w:spacing w:after="0" w:line="360" w:lineRule="auto"/>
              <w:ind w:left="142"/>
              <w:jc w:val="both"/>
              <w:rPr>
                <w:rFonts w:ascii="Times New Roman" w:eastAsia="SegoeUI" w:hAnsi="Times New Roman"/>
                <w:sz w:val="18"/>
                <w:szCs w:val="18"/>
              </w:rPr>
            </w:pPr>
            <w:r w:rsidRPr="002361A6">
              <w:rPr>
                <w:rFonts w:ascii="Times New Roman" w:eastAsia="SegoeUI" w:hAnsi="Times New Roman"/>
                <w:sz w:val="18"/>
                <w:szCs w:val="18"/>
              </w:rPr>
              <w:t>Neutrófilos 0,94 %</w:t>
            </w:r>
          </w:p>
          <w:p w14:paraId="49E707BF" w14:textId="77777777" w:rsidR="00D94FF3" w:rsidRPr="002361A6" w:rsidRDefault="00D94FF3" w:rsidP="00EB306D">
            <w:pPr>
              <w:autoSpaceDE w:val="0"/>
              <w:autoSpaceDN w:val="0"/>
              <w:adjustRightInd w:val="0"/>
              <w:spacing w:after="0" w:line="360" w:lineRule="auto"/>
              <w:ind w:left="142"/>
              <w:jc w:val="both"/>
              <w:rPr>
                <w:rFonts w:ascii="Times New Roman" w:eastAsia="SegoeUI" w:hAnsi="Times New Roman"/>
                <w:sz w:val="18"/>
                <w:szCs w:val="18"/>
              </w:rPr>
            </w:pPr>
            <w:r w:rsidRPr="002361A6">
              <w:rPr>
                <w:rFonts w:ascii="Times New Roman" w:eastAsia="SegoeUI" w:hAnsi="Times New Roman"/>
                <w:sz w:val="18"/>
                <w:szCs w:val="18"/>
              </w:rPr>
              <w:t>Linfocitos 0,06 %</w:t>
            </w:r>
          </w:p>
          <w:p w14:paraId="3F21014E" w14:textId="77777777" w:rsidR="00D94FF3" w:rsidRPr="002361A6" w:rsidRDefault="00D94FF3" w:rsidP="00EB306D">
            <w:pPr>
              <w:autoSpaceDE w:val="0"/>
              <w:autoSpaceDN w:val="0"/>
              <w:adjustRightInd w:val="0"/>
              <w:spacing w:after="0" w:line="360" w:lineRule="auto"/>
              <w:jc w:val="both"/>
              <w:rPr>
                <w:rFonts w:ascii="Times New Roman" w:eastAsia="SegoeUI" w:hAnsi="Times New Roman"/>
                <w:sz w:val="18"/>
                <w:szCs w:val="18"/>
              </w:rPr>
            </w:pPr>
            <w:r w:rsidRPr="002361A6">
              <w:rPr>
                <w:rFonts w:ascii="Times New Roman" w:eastAsia="SegoeUI" w:hAnsi="Times New Roman"/>
                <w:sz w:val="18"/>
                <w:szCs w:val="18"/>
              </w:rPr>
              <w:t>Eritrosedimentación 90 mm/h</w:t>
            </w:r>
          </w:p>
        </w:tc>
        <w:tc>
          <w:tcPr>
            <w:tcW w:w="1314" w:type="dxa"/>
          </w:tcPr>
          <w:p w14:paraId="703BDBC9" w14:textId="77777777" w:rsidR="00D94FF3" w:rsidRPr="002361A6" w:rsidRDefault="00D94FF3" w:rsidP="00EB306D">
            <w:pPr>
              <w:autoSpaceDE w:val="0"/>
              <w:autoSpaceDN w:val="0"/>
              <w:adjustRightInd w:val="0"/>
              <w:spacing w:after="0" w:line="360" w:lineRule="auto"/>
              <w:jc w:val="both"/>
              <w:rPr>
                <w:rFonts w:ascii="Times New Roman" w:eastAsia="SegoeUI" w:hAnsi="Times New Roman"/>
                <w:sz w:val="18"/>
                <w:szCs w:val="18"/>
              </w:rPr>
            </w:pPr>
            <w:r w:rsidRPr="002361A6">
              <w:rPr>
                <w:rFonts w:ascii="Times New Roman" w:eastAsia="SegoeUI" w:hAnsi="Times New Roman"/>
                <w:sz w:val="18"/>
                <w:szCs w:val="18"/>
              </w:rPr>
              <w:t xml:space="preserve">Negativo </w:t>
            </w:r>
          </w:p>
        </w:tc>
        <w:tc>
          <w:tcPr>
            <w:tcW w:w="2898" w:type="dxa"/>
          </w:tcPr>
          <w:p w14:paraId="436B8EAD" w14:textId="77777777" w:rsidR="00D94FF3" w:rsidRPr="002361A6" w:rsidRDefault="00D94FF3" w:rsidP="00EB306D">
            <w:pPr>
              <w:autoSpaceDE w:val="0"/>
              <w:autoSpaceDN w:val="0"/>
              <w:adjustRightInd w:val="0"/>
              <w:spacing w:after="0" w:line="360" w:lineRule="auto"/>
              <w:jc w:val="both"/>
              <w:rPr>
                <w:rFonts w:ascii="Times New Roman" w:eastAsia="SegoeUI" w:hAnsi="Times New Roman"/>
                <w:sz w:val="18"/>
                <w:szCs w:val="18"/>
              </w:rPr>
            </w:pPr>
            <w:r w:rsidRPr="002361A6">
              <w:rPr>
                <w:rFonts w:ascii="Times New Roman" w:eastAsia="SegoeUI" w:hAnsi="Times New Roman"/>
                <w:sz w:val="18"/>
                <w:szCs w:val="18"/>
              </w:rPr>
              <w:t>Glicemia 4,4</w:t>
            </w:r>
            <w:r w:rsidRPr="002361A6">
              <w:rPr>
                <w:rFonts w:ascii="Times New Roman" w:hAnsi="Times New Roman"/>
                <w:sz w:val="18"/>
                <w:szCs w:val="18"/>
              </w:rPr>
              <w:t xml:space="preserve"> mmol/L</w:t>
            </w:r>
          </w:p>
          <w:p w14:paraId="104D68FA" w14:textId="77777777" w:rsidR="00D94FF3" w:rsidRPr="002361A6" w:rsidRDefault="00D94FF3" w:rsidP="00EB306D">
            <w:pPr>
              <w:autoSpaceDE w:val="0"/>
              <w:autoSpaceDN w:val="0"/>
              <w:adjustRightInd w:val="0"/>
              <w:spacing w:after="0" w:line="360" w:lineRule="auto"/>
              <w:jc w:val="both"/>
              <w:rPr>
                <w:rFonts w:ascii="Times New Roman" w:eastAsia="SegoeUI" w:hAnsi="Times New Roman"/>
                <w:sz w:val="18"/>
                <w:szCs w:val="18"/>
              </w:rPr>
            </w:pPr>
            <w:r w:rsidRPr="002361A6">
              <w:rPr>
                <w:rFonts w:ascii="Times New Roman" w:eastAsia="SegoeUI" w:hAnsi="Times New Roman"/>
                <w:sz w:val="18"/>
                <w:szCs w:val="18"/>
              </w:rPr>
              <w:t>TGO 62</w:t>
            </w:r>
            <w:r w:rsidRPr="002361A6">
              <w:rPr>
                <w:rFonts w:ascii="Times New Roman" w:hAnsi="Times New Roman"/>
                <w:sz w:val="18"/>
                <w:szCs w:val="18"/>
              </w:rPr>
              <w:t>U/L</w:t>
            </w:r>
          </w:p>
          <w:p w14:paraId="04C10867" w14:textId="77777777" w:rsidR="00D94FF3" w:rsidRPr="002361A6" w:rsidRDefault="00D94FF3" w:rsidP="00EB306D">
            <w:pPr>
              <w:autoSpaceDE w:val="0"/>
              <w:autoSpaceDN w:val="0"/>
              <w:adjustRightInd w:val="0"/>
              <w:spacing w:after="0" w:line="360" w:lineRule="auto"/>
              <w:jc w:val="both"/>
              <w:rPr>
                <w:rFonts w:ascii="Times New Roman" w:eastAsia="SegoeUI" w:hAnsi="Times New Roman"/>
                <w:sz w:val="18"/>
                <w:szCs w:val="18"/>
              </w:rPr>
            </w:pPr>
            <w:r w:rsidRPr="002361A6">
              <w:rPr>
                <w:rFonts w:ascii="Times New Roman" w:eastAsia="SegoeUI" w:hAnsi="Times New Roman"/>
                <w:sz w:val="18"/>
                <w:szCs w:val="18"/>
              </w:rPr>
              <w:t>TGP 50</w:t>
            </w:r>
            <w:r w:rsidRPr="002361A6">
              <w:rPr>
                <w:rFonts w:ascii="Times New Roman" w:hAnsi="Times New Roman"/>
                <w:sz w:val="18"/>
                <w:szCs w:val="18"/>
              </w:rPr>
              <w:t xml:space="preserve"> U/L</w:t>
            </w:r>
          </w:p>
          <w:p w14:paraId="7C6C1920" w14:textId="77777777" w:rsidR="00D94FF3" w:rsidRPr="002361A6" w:rsidRDefault="00D94FF3" w:rsidP="00EB306D">
            <w:pPr>
              <w:autoSpaceDE w:val="0"/>
              <w:autoSpaceDN w:val="0"/>
              <w:adjustRightInd w:val="0"/>
              <w:spacing w:after="0" w:line="360" w:lineRule="auto"/>
              <w:jc w:val="both"/>
              <w:rPr>
                <w:rFonts w:ascii="Times New Roman" w:eastAsia="SegoeUI" w:hAnsi="Times New Roman"/>
                <w:sz w:val="18"/>
                <w:szCs w:val="18"/>
              </w:rPr>
            </w:pPr>
            <w:r w:rsidRPr="002361A6">
              <w:rPr>
                <w:rFonts w:ascii="Times New Roman" w:eastAsia="SegoeUI" w:hAnsi="Times New Roman"/>
                <w:sz w:val="18"/>
                <w:szCs w:val="18"/>
              </w:rPr>
              <w:t xml:space="preserve">Colesterol 2,24 </w:t>
            </w:r>
            <w:r w:rsidRPr="002361A6">
              <w:rPr>
                <w:rFonts w:ascii="Times New Roman" w:hAnsi="Times New Roman"/>
                <w:sz w:val="18"/>
                <w:szCs w:val="18"/>
              </w:rPr>
              <w:t>mmol/L</w:t>
            </w:r>
          </w:p>
          <w:p w14:paraId="5A0CEC4A" w14:textId="77777777" w:rsidR="00D94FF3" w:rsidRPr="002361A6" w:rsidRDefault="00D94FF3" w:rsidP="00EB306D">
            <w:pPr>
              <w:autoSpaceDE w:val="0"/>
              <w:autoSpaceDN w:val="0"/>
              <w:adjustRightInd w:val="0"/>
              <w:spacing w:after="0" w:line="360" w:lineRule="auto"/>
              <w:jc w:val="both"/>
              <w:rPr>
                <w:rFonts w:ascii="Times New Roman" w:eastAsia="SegoeUI" w:hAnsi="Times New Roman"/>
                <w:sz w:val="18"/>
                <w:szCs w:val="18"/>
              </w:rPr>
            </w:pPr>
            <w:r w:rsidRPr="002361A6">
              <w:rPr>
                <w:rFonts w:ascii="Times New Roman" w:eastAsia="SegoeUI" w:hAnsi="Times New Roman"/>
                <w:sz w:val="18"/>
                <w:szCs w:val="18"/>
              </w:rPr>
              <w:t>Triglicéridos 0,90</w:t>
            </w:r>
            <w:r w:rsidRPr="002361A6">
              <w:rPr>
                <w:rFonts w:ascii="Times New Roman" w:hAnsi="Times New Roman"/>
                <w:sz w:val="18"/>
                <w:szCs w:val="18"/>
              </w:rPr>
              <w:t xml:space="preserve"> mmol/L</w:t>
            </w:r>
          </w:p>
          <w:p w14:paraId="3CD1C2E7" w14:textId="77777777" w:rsidR="00D94FF3" w:rsidRPr="002361A6" w:rsidRDefault="00D94FF3" w:rsidP="00EB306D">
            <w:pPr>
              <w:autoSpaceDE w:val="0"/>
              <w:autoSpaceDN w:val="0"/>
              <w:adjustRightInd w:val="0"/>
              <w:spacing w:after="0" w:line="360" w:lineRule="auto"/>
              <w:jc w:val="both"/>
              <w:rPr>
                <w:rFonts w:ascii="Times New Roman" w:eastAsia="SegoeUI" w:hAnsi="Times New Roman"/>
                <w:sz w:val="18"/>
                <w:szCs w:val="18"/>
              </w:rPr>
            </w:pPr>
            <w:r w:rsidRPr="002361A6">
              <w:rPr>
                <w:rFonts w:ascii="Times New Roman" w:eastAsia="SegoeUI" w:hAnsi="Times New Roman"/>
                <w:sz w:val="18"/>
                <w:szCs w:val="18"/>
              </w:rPr>
              <w:t>FAL 350</w:t>
            </w:r>
            <w:r w:rsidRPr="002361A6">
              <w:rPr>
                <w:rFonts w:ascii="Times New Roman" w:hAnsi="Times New Roman"/>
                <w:sz w:val="18"/>
                <w:szCs w:val="18"/>
              </w:rPr>
              <w:t xml:space="preserve"> U/L</w:t>
            </w:r>
          </w:p>
          <w:p w14:paraId="562EE099" w14:textId="77777777" w:rsidR="00D94FF3" w:rsidRPr="002361A6" w:rsidRDefault="00D94FF3" w:rsidP="00EB306D">
            <w:pPr>
              <w:autoSpaceDE w:val="0"/>
              <w:autoSpaceDN w:val="0"/>
              <w:adjustRightInd w:val="0"/>
              <w:spacing w:after="0" w:line="360" w:lineRule="auto"/>
              <w:jc w:val="both"/>
              <w:rPr>
                <w:rFonts w:ascii="Times New Roman" w:eastAsia="SegoeUI" w:hAnsi="Times New Roman"/>
                <w:sz w:val="18"/>
                <w:szCs w:val="18"/>
              </w:rPr>
            </w:pPr>
            <w:r w:rsidRPr="002361A6">
              <w:rPr>
                <w:rFonts w:ascii="Times New Roman" w:eastAsia="SegoeUI" w:hAnsi="Times New Roman"/>
                <w:sz w:val="18"/>
                <w:szCs w:val="18"/>
              </w:rPr>
              <w:t>GGT 150</w:t>
            </w:r>
            <w:r w:rsidRPr="002361A6">
              <w:rPr>
                <w:rFonts w:ascii="Times New Roman" w:hAnsi="Times New Roman"/>
                <w:sz w:val="18"/>
                <w:szCs w:val="18"/>
              </w:rPr>
              <w:t xml:space="preserve"> U/L</w:t>
            </w:r>
          </w:p>
          <w:p w14:paraId="5F6B2EC3" w14:textId="77777777" w:rsidR="00D94FF3" w:rsidRPr="002361A6" w:rsidRDefault="00D94FF3" w:rsidP="00EB306D">
            <w:pPr>
              <w:autoSpaceDE w:val="0"/>
              <w:autoSpaceDN w:val="0"/>
              <w:adjustRightInd w:val="0"/>
              <w:spacing w:after="0" w:line="360" w:lineRule="auto"/>
              <w:jc w:val="both"/>
              <w:rPr>
                <w:rFonts w:ascii="Times New Roman" w:eastAsia="SegoeUI" w:hAnsi="Times New Roman"/>
                <w:sz w:val="18"/>
                <w:szCs w:val="18"/>
              </w:rPr>
            </w:pPr>
            <w:r w:rsidRPr="002361A6">
              <w:rPr>
                <w:rFonts w:ascii="Times New Roman" w:eastAsia="SegoeUI" w:hAnsi="Times New Roman"/>
                <w:sz w:val="18"/>
                <w:szCs w:val="18"/>
              </w:rPr>
              <w:t>Proteínas totales 57</w:t>
            </w:r>
            <w:r w:rsidRPr="002361A6">
              <w:rPr>
                <w:rFonts w:ascii="Times New Roman" w:hAnsi="Times New Roman"/>
                <w:sz w:val="18"/>
                <w:szCs w:val="18"/>
              </w:rPr>
              <w:t xml:space="preserve"> g/L</w:t>
            </w:r>
          </w:p>
          <w:p w14:paraId="2DEDDF3C" w14:textId="77777777" w:rsidR="00D94FF3" w:rsidRPr="002361A6" w:rsidRDefault="00D94FF3" w:rsidP="00EB306D">
            <w:pPr>
              <w:autoSpaceDE w:val="0"/>
              <w:autoSpaceDN w:val="0"/>
              <w:adjustRightInd w:val="0"/>
              <w:spacing w:after="0" w:line="360" w:lineRule="auto"/>
              <w:jc w:val="both"/>
              <w:rPr>
                <w:rFonts w:ascii="Times New Roman" w:eastAsia="SegoeUI" w:hAnsi="Times New Roman"/>
                <w:sz w:val="18"/>
                <w:szCs w:val="18"/>
              </w:rPr>
            </w:pPr>
            <w:r w:rsidRPr="002361A6">
              <w:rPr>
                <w:rFonts w:ascii="Times New Roman" w:eastAsia="SegoeUI" w:hAnsi="Times New Roman"/>
                <w:sz w:val="18"/>
                <w:szCs w:val="18"/>
              </w:rPr>
              <w:t>Albúmina 20,2</w:t>
            </w:r>
            <w:r w:rsidRPr="002361A6">
              <w:rPr>
                <w:rFonts w:ascii="Times New Roman" w:hAnsi="Times New Roman"/>
                <w:sz w:val="18"/>
                <w:szCs w:val="18"/>
              </w:rPr>
              <w:t xml:space="preserve"> g/L</w:t>
            </w:r>
          </w:p>
          <w:p w14:paraId="1999C5F5" w14:textId="77777777" w:rsidR="00D94FF3" w:rsidRPr="002361A6" w:rsidRDefault="00D94FF3" w:rsidP="00EB306D">
            <w:pPr>
              <w:autoSpaceDE w:val="0"/>
              <w:autoSpaceDN w:val="0"/>
              <w:adjustRightInd w:val="0"/>
              <w:spacing w:after="0" w:line="360" w:lineRule="auto"/>
              <w:jc w:val="both"/>
              <w:rPr>
                <w:rFonts w:ascii="Times New Roman" w:eastAsia="SegoeUI" w:hAnsi="Times New Roman"/>
                <w:sz w:val="18"/>
                <w:szCs w:val="18"/>
              </w:rPr>
            </w:pPr>
            <w:r w:rsidRPr="002361A6">
              <w:rPr>
                <w:rFonts w:ascii="Times New Roman" w:eastAsia="SegoeUI" w:hAnsi="Times New Roman"/>
                <w:sz w:val="18"/>
                <w:szCs w:val="18"/>
              </w:rPr>
              <w:t>Bilirrubina T 11,9</w:t>
            </w:r>
            <w:r w:rsidRPr="002361A6">
              <w:rPr>
                <w:rFonts w:ascii="Times New Roman" w:hAnsi="Times New Roman"/>
                <w:sz w:val="18"/>
                <w:szCs w:val="18"/>
              </w:rPr>
              <w:t xml:space="preserve"> mmol/L</w:t>
            </w:r>
          </w:p>
          <w:p w14:paraId="3B4C1495" w14:textId="77777777" w:rsidR="00D94FF3" w:rsidRPr="002361A6" w:rsidRDefault="00D94FF3" w:rsidP="00EB306D">
            <w:pPr>
              <w:autoSpaceDE w:val="0"/>
              <w:autoSpaceDN w:val="0"/>
              <w:adjustRightInd w:val="0"/>
              <w:spacing w:after="0" w:line="360" w:lineRule="auto"/>
              <w:jc w:val="both"/>
              <w:rPr>
                <w:rFonts w:ascii="Times New Roman" w:eastAsia="SegoeUI" w:hAnsi="Times New Roman"/>
                <w:sz w:val="18"/>
                <w:szCs w:val="18"/>
              </w:rPr>
            </w:pPr>
            <w:r w:rsidRPr="002361A6">
              <w:rPr>
                <w:rFonts w:ascii="Times New Roman" w:eastAsia="SegoeUI" w:hAnsi="Times New Roman"/>
                <w:sz w:val="18"/>
                <w:szCs w:val="18"/>
              </w:rPr>
              <w:t>Amilasa sérica 60,32 US</w:t>
            </w:r>
          </w:p>
        </w:tc>
        <w:tc>
          <w:tcPr>
            <w:tcW w:w="2106" w:type="dxa"/>
          </w:tcPr>
          <w:p w14:paraId="70BE6407" w14:textId="77777777" w:rsidR="00D94FF3" w:rsidRPr="002361A6" w:rsidRDefault="00D94FF3" w:rsidP="00EB306D">
            <w:pPr>
              <w:autoSpaceDE w:val="0"/>
              <w:autoSpaceDN w:val="0"/>
              <w:adjustRightInd w:val="0"/>
              <w:spacing w:after="0" w:line="360" w:lineRule="auto"/>
              <w:jc w:val="both"/>
              <w:rPr>
                <w:rFonts w:ascii="Times New Roman" w:eastAsia="SegoeUI" w:hAnsi="Times New Roman"/>
                <w:sz w:val="18"/>
                <w:szCs w:val="18"/>
              </w:rPr>
            </w:pPr>
            <w:r w:rsidRPr="002361A6">
              <w:rPr>
                <w:rFonts w:ascii="Times New Roman" w:eastAsia="SegoeUI" w:hAnsi="Times New Roman"/>
                <w:sz w:val="18"/>
                <w:szCs w:val="18"/>
              </w:rPr>
              <w:t>pH 7,50</w:t>
            </w:r>
          </w:p>
          <w:p w14:paraId="531060D2" w14:textId="77777777" w:rsidR="00D94FF3" w:rsidRPr="002361A6" w:rsidRDefault="00D94FF3" w:rsidP="00EB306D">
            <w:pPr>
              <w:autoSpaceDE w:val="0"/>
              <w:autoSpaceDN w:val="0"/>
              <w:adjustRightInd w:val="0"/>
              <w:spacing w:after="0" w:line="360" w:lineRule="auto"/>
              <w:jc w:val="both"/>
              <w:rPr>
                <w:rFonts w:ascii="Times New Roman" w:eastAsia="SegoeUI" w:hAnsi="Times New Roman"/>
                <w:sz w:val="18"/>
                <w:szCs w:val="18"/>
              </w:rPr>
            </w:pPr>
            <w:r w:rsidRPr="002361A6">
              <w:rPr>
                <w:rFonts w:ascii="Times New Roman" w:eastAsia="SegoeUI" w:hAnsi="Times New Roman"/>
                <w:sz w:val="18"/>
                <w:szCs w:val="18"/>
              </w:rPr>
              <w:t>pO</w:t>
            </w:r>
            <w:r w:rsidRPr="002361A6">
              <w:rPr>
                <w:rFonts w:ascii="Times New Roman" w:eastAsia="SegoeUI" w:hAnsi="Times New Roman"/>
                <w:sz w:val="18"/>
                <w:szCs w:val="18"/>
                <w:vertAlign w:val="subscript"/>
              </w:rPr>
              <w:t>2</w:t>
            </w:r>
            <w:r w:rsidRPr="002361A6">
              <w:rPr>
                <w:rFonts w:ascii="Times New Roman" w:eastAsia="SegoeUI" w:hAnsi="Times New Roman"/>
                <w:sz w:val="18"/>
                <w:szCs w:val="18"/>
              </w:rPr>
              <w:t xml:space="preserve"> 82,8 mmHg</w:t>
            </w:r>
          </w:p>
          <w:p w14:paraId="365F30EE" w14:textId="77777777" w:rsidR="00D94FF3" w:rsidRPr="002361A6" w:rsidRDefault="00D94FF3" w:rsidP="00EB306D">
            <w:pPr>
              <w:autoSpaceDE w:val="0"/>
              <w:autoSpaceDN w:val="0"/>
              <w:adjustRightInd w:val="0"/>
              <w:spacing w:after="0" w:line="360" w:lineRule="auto"/>
              <w:jc w:val="both"/>
              <w:rPr>
                <w:rFonts w:ascii="Times New Roman" w:eastAsia="SegoeUI" w:hAnsi="Times New Roman"/>
                <w:sz w:val="18"/>
                <w:szCs w:val="18"/>
              </w:rPr>
            </w:pPr>
            <w:r w:rsidRPr="002361A6">
              <w:rPr>
                <w:rFonts w:ascii="Times New Roman" w:eastAsia="SegoeUI" w:hAnsi="Times New Roman"/>
                <w:sz w:val="18"/>
                <w:szCs w:val="18"/>
              </w:rPr>
              <w:t>pCO</w:t>
            </w:r>
            <w:r w:rsidRPr="002361A6">
              <w:rPr>
                <w:rFonts w:ascii="Times New Roman" w:eastAsia="SegoeUI" w:hAnsi="Times New Roman"/>
                <w:sz w:val="18"/>
                <w:szCs w:val="18"/>
                <w:vertAlign w:val="subscript"/>
              </w:rPr>
              <w:t xml:space="preserve">2 </w:t>
            </w:r>
            <w:r w:rsidRPr="002361A6">
              <w:rPr>
                <w:rFonts w:ascii="Times New Roman" w:eastAsia="SegoeUI" w:hAnsi="Times New Roman"/>
                <w:sz w:val="18"/>
                <w:szCs w:val="18"/>
              </w:rPr>
              <w:t>30,7 mmHg</w:t>
            </w:r>
          </w:p>
          <w:p w14:paraId="7CE4EFBA" w14:textId="77777777" w:rsidR="00D94FF3" w:rsidRPr="002361A6" w:rsidRDefault="00D94FF3" w:rsidP="00EB306D">
            <w:pPr>
              <w:autoSpaceDE w:val="0"/>
              <w:autoSpaceDN w:val="0"/>
              <w:adjustRightInd w:val="0"/>
              <w:spacing w:after="0" w:line="360" w:lineRule="auto"/>
              <w:jc w:val="both"/>
              <w:rPr>
                <w:rFonts w:ascii="Times New Roman" w:eastAsia="SegoeUI" w:hAnsi="Times New Roman"/>
                <w:sz w:val="18"/>
                <w:szCs w:val="18"/>
              </w:rPr>
            </w:pPr>
            <w:r w:rsidRPr="002361A6">
              <w:rPr>
                <w:rFonts w:ascii="Times New Roman" w:eastAsia="SegoeUI" w:hAnsi="Times New Roman"/>
                <w:sz w:val="18"/>
                <w:szCs w:val="18"/>
              </w:rPr>
              <w:t>HCO</w:t>
            </w:r>
            <w:r w:rsidRPr="002361A6">
              <w:rPr>
                <w:rFonts w:ascii="Times New Roman" w:eastAsia="SegoeUI" w:hAnsi="Times New Roman"/>
                <w:sz w:val="18"/>
                <w:szCs w:val="18"/>
                <w:vertAlign w:val="subscript"/>
              </w:rPr>
              <w:t>3</w:t>
            </w:r>
            <w:r w:rsidRPr="002361A6">
              <w:rPr>
                <w:rFonts w:ascii="Times New Roman" w:eastAsia="SegoeUI" w:hAnsi="Times New Roman"/>
                <w:sz w:val="18"/>
                <w:szCs w:val="18"/>
              </w:rPr>
              <w:t xml:space="preserve"> 25,2 mmol/L</w:t>
            </w:r>
          </w:p>
          <w:p w14:paraId="75CDA788" w14:textId="77777777" w:rsidR="00D94FF3" w:rsidRPr="002361A6" w:rsidRDefault="00D94FF3" w:rsidP="00EB306D">
            <w:pPr>
              <w:autoSpaceDE w:val="0"/>
              <w:autoSpaceDN w:val="0"/>
              <w:adjustRightInd w:val="0"/>
              <w:spacing w:after="0" w:line="360" w:lineRule="auto"/>
              <w:jc w:val="both"/>
              <w:rPr>
                <w:rFonts w:ascii="Times New Roman" w:eastAsia="SegoeUI" w:hAnsi="Times New Roman"/>
                <w:sz w:val="18"/>
                <w:szCs w:val="18"/>
                <w:lang w:val="en-US"/>
              </w:rPr>
            </w:pPr>
            <w:r w:rsidRPr="002361A6">
              <w:rPr>
                <w:rFonts w:ascii="Times New Roman" w:eastAsia="SegoeUI" w:hAnsi="Times New Roman"/>
                <w:sz w:val="18"/>
                <w:szCs w:val="18"/>
                <w:lang w:val="en-US"/>
              </w:rPr>
              <w:t>BE +1,0 mmol/L</w:t>
            </w:r>
          </w:p>
        </w:tc>
      </w:tr>
    </w:tbl>
    <w:p w14:paraId="53CCECAE" w14:textId="77777777" w:rsidR="00D94FF3" w:rsidRPr="002361A6" w:rsidRDefault="00D94FF3" w:rsidP="00D94FF3">
      <w:pPr>
        <w:autoSpaceDE w:val="0"/>
        <w:autoSpaceDN w:val="0"/>
        <w:adjustRightInd w:val="0"/>
        <w:spacing w:after="0" w:line="360" w:lineRule="auto"/>
        <w:jc w:val="both"/>
        <w:rPr>
          <w:rFonts w:ascii="Times New Roman" w:eastAsia="SegoeUI" w:hAnsi="Times New Roman"/>
          <w:sz w:val="24"/>
          <w:szCs w:val="24"/>
          <w:lang w:val="en-US"/>
        </w:rPr>
      </w:pPr>
    </w:p>
    <w:p w14:paraId="77A0B4E3" w14:textId="77777777" w:rsidR="00D94FF3" w:rsidRPr="002361A6" w:rsidRDefault="00D94FF3" w:rsidP="00D94FF3">
      <w:pPr>
        <w:autoSpaceDE w:val="0"/>
        <w:autoSpaceDN w:val="0"/>
        <w:adjustRightInd w:val="0"/>
        <w:spacing w:after="0" w:line="360" w:lineRule="auto"/>
        <w:jc w:val="both"/>
        <w:rPr>
          <w:rFonts w:ascii="Times New Roman" w:eastAsia="SegoeUI" w:hAnsi="Times New Roman"/>
          <w:sz w:val="24"/>
          <w:szCs w:val="24"/>
        </w:rPr>
      </w:pPr>
      <w:r w:rsidRPr="002361A6">
        <w:rPr>
          <w:rFonts w:ascii="Times New Roman" w:eastAsia="SegoeUI" w:hAnsi="Times New Roman"/>
          <w:sz w:val="24"/>
          <w:szCs w:val="24"/>
        </w:rPr>
        <w:t>El ultrasonido abdominal mostró a nivel del lóbulo hepático izquierdo, imagen compleja de contornos irregulares, que mide 102 x 98 mm con ligera dilatación de vías biliares intrahepáticas (Fig. 1).</w:t>
      </w:r>
    </w:p>
    <w:p w14:paraId="6B4854F5" w14:textId="77777777" w:rsidR="00D94FF3" w:rsidRPr="002361A6" w:rsidRDefault="00D94FF3" w:rsidP="00D94FF3">
      <w:pPr>
        <w:autoSpaceDE w:val="0"/>
        <w:autoSpaceDN w:val="0"/>
        <w:adjustRightInd w:val="0"/>
        <w:spacing w:after="0" w:line="360" w:lineRule="auto"/>
        <w:jc w:val="both"/>
        <w:rPr>
          <w:rFonts w:ascii="Times New Roman" w:eastAsia="SegoeUI" w:hAnsi="Times New Roman"/>
          <w:sz w:val="24"/>
          <w:szCs w:val="24"/>
        </w:rPr>
      </w:pPr>
    </w:p>
    <w:p w14:paraId="50F03BCE" w14:textId="77777777" w:rsidR="00D94FF3" w:rsidRPr="002361A6" w:rsidRDefault="00D94FF3" w:rsidP="00D94FF3">
      <w:pPr>
        <w:autoSpaceDE w:val="0"/>
        <w:autoSpaceDN w:val="0"/>
        <w:adjustRightInd w:val="0"/>
        <w:spacing w:after="0" w:line="360" w:lineRule="auto"/>
        <w:jc w:val="center"/>
        <w:rPr>
          <w:rFonts w:ascii="Times New Roman" w:eastAsia="SegoeUI" w:hAnsi="Times New Roman"/>
          <w:sz w:val="24"/>
          <w:szCs w:val="24"/>
        </w:rPr>
      </w:pPr>
      <w:r>
        <w:rPr>
          <w:noProof/>
          <w:lang w:eastAsia="es-ES"/>
        </w:rPr>
        <w:drawing>
          <wp:inline distT="0" distB="0" distL="0" distR="0" wp14:anchorId="2288780A" wp14:editId="6871D872">
            <wp:extent cx="2568575" cy="2385695"/>
            <wp:effectExtent l="0" t="0" r="317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68575" cy="2385695"/>
                    </a:xfrm>
                    <a:prstGeom prst="rect">
                      <a:avLst/>
                    </a:prstGeom>
                    <a:noFill/>
                    <a:ln>
                      <a:noFill/>
                    </a:ln>
                  </pic:spPr>
                </pic:pic>
              </a:graphicData>
            </a:graphic>
          </wp:inline>
        </w:drawing>
      </w:r>
    </w:p>
    <w:p w14:paraId="2B3330F8" w14:textId="77777777" w:rsidR="00D94FF3" w:rsidRPr="002361A6" w:rsidRDefault="00D94FF3" w:rsidP="00D94FF3">
      <w:pPr>
        <w:autoSpaceDE w:val="0"/>
        <w:autoSpaceDN w:val="0"/>
        <w:adjustRightInd w:val="0"/>
        <w:spacing w:after="0" w:line="360" w:lineRule="auto"/>
        <w:jc w:val="center"/>
        <w:rPr>
          <w:rFonts w:ascii="Times New Roman" w:eastAsia="SegoeUI" w:hAnsi="Times New Roman"/>
        </w:rPr>
      </w:pPr>
      <w:r w:rsidRPr="002361A6">
        <w:rPr>
          <w:rFonts w:ascii="Times New Roman" w:eastAsia="SegoeUI" w:hAnsi="Times New Roman"/>
          <w:b/>
          <w:bCs/>
        </w:rPr>
        <w:t>Fig. 1 -</w:t>
      </w:r>
      <w:r w:rsidRPr="002361A6">
        <w:rPr>
          <w:rFonts w:ascii="Times New Roman" w:eastAsia="SegoeUI" w:hAnsi="Times New Roman"/>
        </w:rPr>
        <w:t xml:space="preserve"> Ultrasonido de abdomen con imagen compleja a nivel del lóbulo hepático izquierdo. </w:t>
      </w:r>
    </w:p>
    <w:p w14:paraId="65EA597B" w14:textId="77777777" w:rsidR="00D94FF3" w:rsidRPr="002361A6" w:rsidRDefault="00D94FF3" w:rsidP="00D94FF3">
      <w:pPr>
        <w:autoSpaceDE w:val="0"/>
        <w:autoSpaceDN w:val="0"/>
        <w:adjustRightInd w:val="0"/>
        <w:spacing w:after="0" w:line="360" w:lineRule="auto"/>
        <w:jc w:val="both"/>
        <w:rPr>
          <w:rFonts w:ascii="Times New Roman" w:eastAsia="SegoeUI" w:hAnsi="Times New Roman"/>
          <w:sz w:val="24"/>
          <w:szCs w:val="24"/>
        </w:rPr>
      </w:pPr>
    </w:p>
    <w:p w14:paraId="6A77B725" w14:textId="77777777" w:rsidR="00D94FF3" w:rsidRPr="002361A6" w:rsidRDefault="00D94FF3" w:rsidP="00D94FF3">
      <w:pPr>
        <w:autoSpaceDE w:val="0"/>
        <w:autoSpaceDN w:val="0"/>
        <w:adjustRightInd w:val="0"/>
        <w:spacing w:after="0" w:line="360" w:lineRule="auto"/>
        <w:jc w:val="both"/>
        <w:rPr>
          <w:rFonts w:ascii="Times New Roman" w:eastAsia="SegoeUI" w:hAnsi="Times New Roman"/>
          <w:sz w:val="24"/>
          <w:szCs w:val="24"/>
        </w:rPr>
      </w:pPr>
      <w:r w:rsidRPr="002361A6">
        <w:rPr>
          <w:rFonts w:ascii="Times New Roman" w:eastAsia="SegoeUI" w:hAnsi="Times New Roman"/>
          <w:sz w:val="24"/>
          <w:szCs w:val="24"/>
        </w:rPr>
        <w:t>Se realizó tomografía computadorizada simple de abdomen, que informa: imagen con características similares a las descritas ultrasonográficamente pero de mayor tamaño, aproximadamente de 150 x 100 mm de diámetro. Se corrobora el diagnóstico de absceso hepático de posible etiología bacteriana, dado el antecedente de la presencia de la endoprótesis en la vía biliar principal.</w:t>
      </w:r>
    </w:p>
    <w:p w14:paraId="0DBA0320" w14:textId="77777777" w:rsidR="00D94FF3" w:rsidRPr="002361A6" w:rsidRDefault="00D94FF3" w:rsidP="00D94FF3">
      <w:pPr>
        <w:autoSpaceDE w:val="0"/>
        <w:autoSpaceDN w:val="0"/>
        <w:adjustRightInd w:val="0"/>
        <w:spacing w:after="0" w:line="360" w:lineRule="auto"/>
        <w:jc w:val="both"/>
        <w:rPr>
          <w:rFonts w:ascii="Times New Roman" w:eastAsia="SegoeUI" w:hAnsi="Times New Roman"/>
          <w:sz w:val="24"/>
          <w:szCs w:val="24"/>
        </w:rPr>
      </w:pPr>
      <w:r w:rsidRPr="002361A6">
        <w:rPr>
          <w:rFonts w:ascii="Times New Roman" w:eastAsia="SegoeUI" w:hAnsi="Times New Roman"/>
          <w:sz w:val="24"/>
          <w:szCs w:val="24"/>
        </w:rPr>
        <w:lastRenderedPageBreak/>
        <w:t>Se instauró tratamiento con ceftriaxona, metronidazol y amikacina por vía parenteral y se decidió realizar drenaje percutáneo del absceso, guiado por ultrasonografía. En el momento de realizar el procedimiento, se constató que la colección hepática había disminuido considerablemente y casi desaparecido. Se visualizó un derrame pleural derecho, se sospecha la presencia de una ruptura del absceso hepático hacia la cavidad pleural derecha.</w:t>
      </w:r>
    </w:p>
    <w:p w14:paraId="34169FB1" w14:textId="211F7C6D" w:rsidR="00D94FF3" w:rsidRDefault="00D94FF3" w:rsidP="00D94FF3">
      <w:pPr>
        <w:autoSpaceDE w:val="0"/>
        <w:autoSpaceDN w:val="0"/>
        <w:adjustRightInd w:val="0"/>
        <w:spacing w:after="0" w:line="360" w:lineRule="auto"/>
        <w:jc w:val="both"/>
        <w:rPr>
          <w:rFonts w:ascii="Times New Roman" w:eastAsia="SegoeUI" w:hAnsi="Times New Roman"/>
          <w:sz w:val="24"/>
          <w:szCs w:val="24"/>
        </w:rPr>
      </w:pPr>
      <w:r w:rsidRPr="002361A6">
        <w:rPr>
          <w:rFonts w:ascii="Times New Roman" w:eastAsia="SegoeUI" w:hAnsi="Times New Roman"/>
          <w:sz w:val="24"/>
          <w:szCs w:val="24"/>
        </w:rPr>
        <w:t>Se realizó radiografía de tórax y tomografía computadorizada, que muestra derrame pleural derecho de moderada cuantía (Fig. 2).</w:t>
      </w:r>
    </w:p>
    <w:p w14:paraId="4FF51C44" w14:textId="77777777" w:rsidR="004447DD" w:rsidRPr="002361A6" w:rsidRDefault="004447DD" w:rsidP="00D94FF3">
      <w:pPr>
        <w:autoSpaceDE w:val="0"/>
        <w:autoSpaceDN w:val="0"/>
        <w:adjustRightInd w:val="0"/>
        <w:spacing w:after="0" w:line="360" w:lineRule="auto"/>
        <w:jc w:val="both"/>
        <w:rPr>
          <w:rFonts w:ascii="Times New Roman" w:eastAsia="SegoeUI" w:hAnsi="Times New Roman"/>
          <w:sz w:val="24"/>
          <w:szCs w:val="24"/>
        </w:rPr>
      </w:pPr>
    </w:p>
    <w:p w14:paraId="15789411" w14:textId="77777777" w:rsidR="00D94FF3" w:rsidRPr="002361A6" w:rsidRDefault="00D94FF3" w:rsidP="00D94FF3">
      <w:pPr>
        <w:autoSpaceDE w:val="0"/>
        <w:autoSpaceDN w:val="0"/>
        <w:adjustRightInd w:val="0"/>
        <w:spacing w:after="0" w:line="360" w:lineRule="auto"/>
        <w:jc w:val="center"/>
        <w:rPr>
          <w:rFonts w:ascii="Times New Roman" w:eastAsia="SegoeUI" w:hAnsi="Times New Roman"/>
          <w:sz w:val="24"/>
          <w:szCs w:val="24"/>
        </w:rPr>
      </w:pPr>
      <w:r>
        <w:rPr>
          <w:rFonts w:ascii="Times New Roman" w:hAnsi="Times New Roman"/>
          <w:noProof/>
          <w:lang w:eastAsia="es-ES"/>
        </w:rPr>
        <w:drawing>
          <wp:inline distT="0" distB="0" distL="0" distR="0" wp14:anchorId="72896BD2" wp14:editId="1CFA5266">
            <wp:extent cx="3323590" cy="2226310"/>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23590" cy="2226310"/>
                    </a:xfrm>
                    <a:prstGeom prst="rect">
                      <a:avLst/>
                    </a:prstGeom>
                    <a:noFill/>
                    <a:ln>
                      <a:noFill/>
                    </a:ln>
                  </pic:spPr>
                </pic:pic>
              </a:graphicData>
            </a:graphic>
          </wp:inline>
        </w:drawing>
      </w:r>
    </w:p>
    <w:p w14:paraId="4DD4FF28" w14:textId="77777777" w:rsidR="00D94FF3" w:rsidRPr="002361A6" w:rsidRDefault="00D94FF3" w:rsidP="00D94FF3">
      <w:pPr>
        <w:spacing w:after="0" w:line="360" w:lineRule="auto"/>
        <w:jc w:val="center"/>
        <w:rPr>
          <w:rFonts w:ascii="Times New Roman" w:eastAsia="SegoeUI" w:hAnsi="Times New Roman"/>
        </w:rPr>
      </w:pPr>
      <w:r w:rsidRPr="002361A6">
        <w:rPr>
          <w:rFonts w:ascii="Times New Roman" w:eastAsia="SegoeUI" w:hAnsi="Times New Roman"/>
          <w:b/>
          <w:bCs/>
        </w:rPr>
        <w:t>Fig. 2 -</w:t>
      </w:r>
      <w:r w:rsidRPr="002361A6">
        <w:rPr>
          <w:rFonts w:ascii="Times New Roman" w:eastAsia="SegoeUI" w:hAnsi="Times New Roman"/>
        </w:rPr>
        <w:t xml:space="preserve"> Tomografía de tórax simple con derrame pleural derecho de moderada cuantía.</w:t>
      </w:r>
    </w:p>
    <w:p w14:paraId="7F4D7719" w14:textId="77777777" w:rsidR="00D94FF3" w:rsidRDefault="00D94FF3" w:rsidP="00D94FF3">
      <w:pPr>
        <w:spacing w:after="0" w:line="360" w:lineRule="auto"/>
        <w:jc w:val="both"/>
        <w:rPr>
          <w:rFonts w:ascii="Times New Roman" w:eastAsia="SegoeUI" w:hAnsi="Times New Roman"/>
          <w:sz w:val="24"/>
          <w:szCs w:val="24"/>
        </w:rPr>
      </w:pPr>
    </w:p>
    <w:p w14:paraId="56F2F9C5" w14:textId="77777777" w:rsidR="00D94FF3" w:rsidRDefault="00D94FF3" w:rsidP="00D94FF3">
      <w:pPr>
        <w:autoSpaceDE w:val="0"/>
        <w:autoSpaceDN w:val="0"/>
        <w:adjustRightInd w:val="0"/>
        <w:spacing w:after="0" w:line="360" w:lineRule="auto"/>
        <w:jc w:val="both"/>
        <w:rPr>
          <w:rFonts w:ascii="Times New Roman" w:eastAsia="SegoeUI" w:hAnsi="Times New Roman"/>
          <w:sz w:val="24"/>
          <w:szCs w:val="24"/>
        </w:rPr>
      </w:pPr>
      <w:r w:rsidRPr="002361A6">
        <w:rPr>
          <w:rFonts w:ascii="Times New Roman" w:eastAsia="SegoeUI" w:hAnsi="Times New Roman"/>
          <w:sz w:val="24"/>
          <w:szCs w:val="24"/>
        </w:rPr>
        <w:t xml:space="preserve">Se procede a realizar pleurostomía mínima baja, se obtuvieron 1500 ml de líquido biliopurulento </w:t>
      </w:r>
      <w:r w:rsidRPr="002361A6">
        <w:rPr>
          <w:rFonts w:ascii="Times New Roman" w:hAnsi="Times New Roman"/>
          <w:color w:val="131413"/>
          <w:sz w:val="24"/>
          <w:szCs w:val="24"/>
          <w:lang w:eastAsia="es-ES"/>
        </w:rPr>
        <w:t>(pH, 7,009; LDH, 7974 U/L y proteínas 3,3 g/dl)</w:t>
      </w:r>
      <w:r w:rsidRPr="002361A6">
        <w:rPr>
          <w:rFonts w:ascii="Times New Roman" w:eastAsia="SegoeUI" w:hAnsi="Times New Roman"/>
          <w:sz w:val="24"/>
          <w:szCs w:val="24"/>
        </w:rPr>
        <w:t xml:space="preserve"> fétido, con fibrina y esfacelos. Además se realizó pleurotomía mínima alta para realizar pleuroclisis.</w:t>
      </w:r>
    </w:p>
    <w:p w14:paraId="4264E0C5" w14:textId="77777777" w:rsidR="00D94FF3" w:rsidRPr="002361A6" w:rsidRDefault="00D94FF3" w:rsidP="00D94FF3">
      <w:pPr>
        <w:spacing w:after="0" w:line="360" w:lineRule="auto"/>
        <w:jc w:val="both"/>
        <w:rPr>
          <w:rFonts w:ascii="Times New Roman" w:eastAsia="SegoeUI" w:hAnsi="Times New Roman"/>
          <w:sz w:val="24"/>
          <w:szCs w:val="24"/>
        </w:rPr>
      </w:pPr>
      <w:r w:rsidRPr="002361A6">
        <w:rPr>
          <w:rFonts w:ascii="Times New Roman" w:eastAsia="SegoeUI" w:hAnsi="Times New Roman"/>
          <w:sz w:val="24"/>
          <w:szCs w:val="24"/>
        </w:rPr>
        <w:t xml:space="preserve">El cultivo de la secreción pleural diagnosticó la presencia de </w:t>
      </w:r>
      <w:r w:rsidRPr="002361A6">
        <w:rPr>
          <w:rFonts w:ascii="Times New Roman" w:eastAsia="SegoeUI" w:hAnsi="Times New Roman"/>
          <w:i/>
          <w:sz w:val="24"/>
          <w:szCs w:val="24"/>
        </w:rPr>
        <w:t>Escherichia coli, Enteroccocus faecalis, Pseudomonas spp y Citrobacter spp</w:t>
      </w:r>
      <w:r w:rsidRPr="002361A6">
        <w:rPr>
          <w:rFonts w:ascii="Times New Roman" w:eastAsia="SegoeUI" w:hAnsi="Times New Roman"/>
          <w:sz w:val="24"/>
          <w:szCs w:val="24"/>
        </w:rPr>
        <w:t xml:space="preserve"> sensibles a meropenem, piperacilina tazobactam y fosfomicina</w:t>
      </w:r>
    </w:p>
    <w:p w14:paraId="330FB61E" w14:textId="77777777" w:rsidR="00D94FF3" w:rsidRPr="002361A6" w:rsidRDefault="00D94FF3" w:rsidP="00D94FF3">
      <w:pPr>
        <w:autoSpaceDE w:val="0"/>
        <w:autoSpaceDN w:val="0"/>
        <w:adjustRightInd w:val="0"/>
        <w:spacing w:after="0" w:line="360" w:lineRule="auto"/>
        <w:jc w:val="both"/>
        <w:rPr>
          <w:rFonts w:ascii="Times New Roman" w:eastAsia="SegoeUI" w:hAnsi="Times New Roman"/>
          <w:sz w:val="24"/>
          <w:szCs w:val="24"/>
        </w:rPr>
      </w:pPr>
      <w:r w:rsidRPr="002361A6">
        <w:rPr>
          <w:rFonts w:ascii="Times New Roman" w:eastAsia="SegoeUI" w:hAnsi="Times New Roman"/>
          <w:sz w:val="24"/>
          <w:szCs w:val="24"/>
        </w:rPr>
        <w:t>El tratamiento parenteral fue cambiado a meropenem 1g ev c/8h, piperacilina/tazobactam 2,25g ev c/8h y clindamicina 600mg ev c/6h.</w:t>
      </w:r>
    </w:p>
    <w:p w14:paraId="7CCA5A7C" w14:textId="77777777" w:rsidR="00D94FF3" w:rsidRPr="002361A6" w:rsidRDefault="00D94FF3" w:rsidP="00D94FF3">
      <w:pPr>
        <w:autoSpaceDE w:val="0"/>
        <w:autoSpaceDN w:val="0"/>
        <w:adjustRightInd w:val="0"/>
        <w:spacing w:after="0" w:line="360" w:lineRule="auto"/>
        <w:jc w:val="both"/>
        <w:rPr>
          <w:rFonts w:ascii="Times New Roman" w:eastAsia="SegoeUI" w:hAnsi="Times New Roman"/>
          <w:sz w:val="24"/>
          <w:szCs w:val="24"/>
        </w:rPr>
      </w:pPr>
      <w:r w:rsidRPr="002361A6">
        <w:rPr>
          <w:rFonts w:ascii="Times New Roman" w:eastAsia="SegoeUI" w:hAnsi="Times New Roman"/>
          <w:sz w:val="24"/>
          <w:szCs w:val="24"/>
        </w:rPr>
        <w:t xml:space="preserve">Evolutivamente las secreciones obtenidas por la sonda de pleurotomía, comenzaron a ser serosas y la cuantía en los primeros tres días disminuyó a aproximadamente 150 ml por día. A pesar de ello, la paciente se mantenía con fiebre de 38 – 39 ºC y taquipnea. Evolucionó a un </w:t>
      </w:r>
      <w:r w:rsidRPr="002361A6">
        <w:rPr>
          <w:rFonts w:ascii="Times New Roman" w:eastAsia="SegoeUI" w:hAnsi="Times New Roman"/>
          <w:i/>
          <w:iCs/>
          <w:sz w:val="24"/>
          <w:szCs w:val="24"/>
        </w:rPr>
        <w:t>shock</w:t>
      </w:r>
      <w:r w:rsidRPr="002361A6">
        <w:rPr>
          <w:rFonts w:ascii="Times New Roman" w:eastAsia="SegoeUI" w:hAnsi="Times New Roman"/>
          <w:sz w:val="24"/>
          <w:szCs w:val="24"/>
        </w:rPr>
        <w:t xml:space="preserve"> séptico. Se trasladó a </w:t>
      </w:r>
      <w:r w:rsidRPr="002361A6">
        <w:rPr>
          <w:rFonts w:ascii="Times New Roman" w:eastAsia="SegoeUI" w:hAnsi="Times New Roman"/>
          <w:sz w:val="24"/>
          <w:szCs w:val="24"/>
        </w:rPr>
        <w:lastRenderedPageBreak/>
        <w:t>la unidad de cuidados intensivos, donde a pesar del tratamiento, la paciente presentó una disfunción múltiple de órganos y falleció al quinto día del postoperatorio.</w:t>
      </w:r>
    </w:p>
    <w:p w14:paraId="79FE5316" w14:textId="77777777" w:rsidR="00D94FF3" w:rsidRPr="002361A6" w:rsidRDefault="00D94FF3" w:rsidP="00D94FF3">
      <w:pPr>
        <w:autoSpaceDE w:val="0"/>
        <w:autoSpaceDN w:val="0"/>
        <w:adjustRightInd w:val="0"/>
        <w:spacing w:after="0" w:line="360" w:lineRule="auto"/>
        <w:jc w:val="both"/>
        <w:rPr>
          <w:rFonts w:ascii="Times New Roman" w:eastAsia="SegoeUI" w:hAnsi="Times New Roman"/>
          <w:sz w:val="24"/>
          <w:szCs w:val="24"/>
        </w:rPr>
      </w:pPr>
    </w:p>
    <w:p w14:paraId="2CC65F91" w14:textId="77777777" w:rsidR="00D94FF3" w:rsidRPr="002361A6" w:rsidRDefault="00D94FF3" w:rsidP="00D94FF3">
      <w:pPr>
        <w:spacing w:after="0" w:line="360" w:lineRule="auto"/>
        <w:jc w:val="both"/>
        <w:rPr>
          <w:rFonts w:ascii="Times New Roman" w:eastAsia="SegoeUI" w:hAnsi="Times New Roman"/>
          <w:b/>
          <w:sz w:val="24"/>
          <w:szCs w:val="24"/>
        </w:rPr>
      </w:pPr>
    </w:p>
    <w:p w14:paraId="514CF8CB" w14:textId="77777777" w:rsidR="00D94FF3" w:rsidRPr="002361A6" w:rsidRDefault="00D94FF3" w:rsidP="00D94FF3">
      <w:pPr>
        <w:spacing w:after="0" w:line="360" w:lineRule="auto"/>
        <w:jc w:val="center"/>
        <w:rPr>
          <w:rFonts w:ascii="Times New Roman" w:eastAsia="SegoeUI" w:hAnsi="Times New Roman"/>
          <w:b/>
          <w:sz w:val="32"/>
          <w:szCs w:val="32"/>
        </w:rPr>
      </w:pPr>
      <w:r w:rsidRPr="002361A6">
        <w:rPr>
          <w:rFonts w:ascii="Times New Roman" w:eastAsia="SegoeUI" w:hAnsi="Times New Roman"/>
          <w:b/>
          <w:sz w:val="32"/>
          <w:szCs w:val="32"/>
        </w:rPr>
        <w:t>COMENTARIOS</w:t>
      </w:r>
    </w:p>
    <w:p w14:paraId="10F169A7" w14:textId="77777777" w:rsidR="00D94FF3" w:rsidRPr="002361A6" w:rsidRDefault="00D94FF3" w:rsidP="00D94FF3">
      <w:pPr>
        <w:spacing w:after="0" w:line="360" w:lineRule="auto"/>
        <w:jc w:val="both"/>
        <w:rPr>
          <w:rFonts w:ascii="Times New Roman" w:eastAsia="SegoeUI" w:hAnsi="Times New Roman"/>
          <w:sz w:val="24"/>
          <w:szCs w:val="24"/>
        </w:rPr>
      </w:pPr>
      <w:r w:rsidRPr="002361A6">
        <w:rPr>
          <w:rFonts w:ascii="Times New Roman" w:eastAsia="SegoeUI" w:hAnsi="Times New Roman"/>
          <w:sz w:val="24"/>
          <w:szCs w:val="24"/>
        </w:rPr>
        <w:t>Los abscesos piógenos del lóbulo izquierdo del hígado son muy raros. La colelitiasis, las enfermedades malignas de la vía biliar y las enfermedades congénitas promueven la formación de múltiples abscesos hepáticos. Otras causas menos frecuentes son infecciones en órganos intraabdominales que drenen a la circulación portal, diseminación hematógena asociada a una bacteriemia sistémica secundaria a una endocarditis o pielonefritis y traumatismo penetrante o cerrado de abdomen.</w:t>
      </w:r>
      <w:r w:rsidRPr="002361A6">
        <w:rPr>
          <w:rFonts w:ascii="Times New Roman" w:eastAsia="SegoeUI" w:hAnsi="Times New Roman"/>
          <w:sz w:val="24"/>
          <w:szCs w:val="24"/>
          <w:vertAlign w:val="superscript"/>
        </w:rPr>
        <w:t>(1,2)</w:t>
      </w:r>
      <w:r w:rsidRPr="002361A6">
        <w:rPr>
          <w:rFonts w:ascii="Times New Roman" w:eastAsia="SegoeUI" w:hAnsi="Times New Roman"/>
          <w:sz w:val="24"/>
          <w:szCs w:val="24"/>
        </w:rPr>
        <w:t xml:space="preserve"> </w:t>
      </w:r>
    </w:p>
    <w:p w14:paraId="186EE058" w14:textId="77777777" w:rsidR="00D94FF3" w:rsidRPr="002361A6" w:rsidRDefault="00D94FF3" w:rsidP="00D94FF3">
      <w:pPr>
        <w:spacing w:after="0" w:line="360" w:lineRule="auto"/>
        <w:jc w:val="both"/>
        <w:rPr>
          <w:rFonts w:ascii="Times New Roman" w:eastAsia="SegoeUI" w:hAnsi="Times New Roman"/>
          <w:sz w:val="24"/>
          <w:szCs w:val="24"/>
        </w:rPr>
      </w:pPr>
      <w:r w:rsidRPr="002361A6">
        <w:rPr>
          <w:rFonts w:ascii="Times New Roman" w:eastAsia="SegoeUI" w:hAnsi="Times New Roman"/>
          <w:sz w:val="24"/>
          <w:szCs w:val="24"/>
        </w:rPr>
        <w:t xml:space="preserve">El lóbulo hepático derecho es afectado con mayor frecuencia que el izquierdo, con una razón de 2:1. Los abscesos bilaterales se describen en un 5 % de los casos, generalmente son polimicrobianos. La </w:t>
      </w:r>
      <w:r w:rsidRPr="002361A6">
        <w:rPr>
          <w:rFonts w:ascii="Times New Roman" w:eastAsia="SegoeUI" w:hAnsi="Times New Roman"/>
          <w:i/>
          <w:sz w:val="24"/>
          <w:szCs w:val="24"/>
        </w:rPr>
        <w:t xml:space="preserve">Escherichia coli </w:t>
      </w:r>
      <w:r w:rsidRPr="002361A6">
        <w:rPr>
          <w:rFonts w:ascii="Times New Roman" w:eastAsia="SegoeUI" w:hAnsi="Times New Roman"/>
          <w:iCs/>
          <w:sz w:val="24"/>
          <w:szCs w:val="24"/>
        </w:rPr>
        <w:t>y la</w:t>
      </w:r>
      <w:r w:rsidRPr="002361A6">
        <w:rPr>
          <w:rFonts w:ascii="Times New Roman" w:eastAsia="SegoeUI" w:hAnsi="Times New Roman"/>
          <w:i/>
          <w:sz w:val="24"/>
          <w:szCs w:val="24"/>
        </w:rPr>
        <w:t xml:space="preserve"> Klebsiella pneumoniae</w:t>
      </w:r>
      <w:r w:rsidRPr="002361A6">
        <w:rPr>
          <w:rFonts w:ascii="Times New Roman" w:eastAsia="SegoeUI" w:hAnsi="Times New Roman"/>
          <w:sz w:val="24"/>
          <w:szCs w:val="24"/>
        </w:rPr>
        <w:t xml:space="preserve"> constituyen los microorganismos más frecuentemente aislados.</w:t>
      </w:r>
      <w:r w:rsidRPr="002361A6">
        <w:rPr>
          <w:rFonts w:ascii="Times New Roman" w:eastAsia="SegoeUI" w:hAnsi="Times New Roman"/>
          <w:sz w:val="24"/>
          <w:szCs w:val="24"/>
          <w:vertAlign w:val="superscript"/>
        </w:rPr>
        <w:t>(1,3,4)</w:t>
      </w:r>
    </w:p>
    <w:p w14:paraId="70A15E0B" w14:textId="77777777" w:rsidR="00D94FF3" w:rsidRPr="002361A6" w:rsidRDefault="00D94FF3" w:rsidP="00D94FF3">
      <w:pPr>
        <w:autoSpaceDE w:val="0"/>
        <w:autoSpaceDN w:val="0"/>
        <w:adjustRightInd w:val="0"/>
        <w:spacing w:after="0" w:line="360" w:lineRule="auto"/>
        <w:jc w:val="both"/>
        <w:rPr>
          <w:rFonts w:ascii="Times New Roman" w:hAnsi="Times New Roman"/>
          <w:color w:val="231F20"/>
          <w:sz w:val="24"/>
          <w:szCs w:val="24"/>
          <w:lang w:eastAsia="es-ES"/>
        </w:rPr>
      </w:pPr>
      <w:r w:rsidRPr="002361A6">
        <w:rPr>
          <w:rFonts w:ascii="Times New Roman" w:hAnsi="Times New Roman"/>
          <w:color w:val="231F20"/>
          <w:sz w:val="24"/>
          <w:szCs w:val="24"/>
          <w:lang w:eastAsia="es-ES"/>
        </w:rPr>
        <w:t>El absceso hepático piógeno tiene mal pronóstico, si es múltiple o el paciente tiene otras comorbilidades (tercera edad, desnutrición o diagnóstico tardío). La mortalidad de los abscesos piógenos es del 10 %.</w:t>
      </w:r>
      <w:r w:rsidRPr="002361A6">
        <w:rPr>
          <w:rFonts w:ascii="Times New Roman" w:eastAsia="SegoeUI" w:hAnsi="Times New Roman"/>
          <w:sz w:val="24"/>
          <w:szCs w:val="24"/>
          <w:vertAlign w:val="superscript"/>
        </w:rPr>
        <w:t>(5,6,7)</w:t>
      </w:r>
    </w:p>
    <w:p w14:paraId="79A1B02C" w14:textId="77777777" w:rsidR="00D94FF3" w:rsidRPr="002361A6" w:rsidRDefault="00D94FF3" w:rsidP="00D94FF3">
      <w:pPr>
        <w:autoSpaceDE w:val="0"/>
        <w:autoSpaceDN w:val="0"/>
        <w:adjustRightInd w:val="0"/>
        <w:spacing w:after="0" w:line="360" w:lineRule="auto"/>
        <w:jc w:val="both"/>
        <w:rPr>
          <w:rFonts w:ascii="Times New Roman" w:eastAsia="SegoeUI" w:hAnsi="Times New Roman"/>
          <w:sz w:val="24"/>
          <w:szCs w:val="24"/>
        </w:rPr>
      </w:pPr>
      <w:r w:rsidRPr="002361A6">
        <w:rPr>
          <w:rFonts w:ascii="Times New Roman" w:hAnsi="Times New Roman"/>
          <w:color w:val="231F20"/>
          <w:sz w:val="24"/>
          <w:szCs w:val="24"/>
          <w:lang w:eastAsia="es-ES"/>
        </w:rPr>
        <w:t>Las complicaciones del absceso hepático son la sepsis, el empiema, como extensión directa o la rotura del absceso en la cavidad pleural, la peritonitis debida a la rotura del absceso y el derrame pleuropericárdico.</w:t>
      </w:r>
      <w:r w:rsidRPr="002361A6">
        <w:rPr>
          <w:rFonts w:ascii="Times New Roman" w:eastAsia="SegoeUI" w:hAnsi="Times New Roman"/>
          <w:sz w:val="24"/>
          <w:szCs w:val="24"/>
          <w:vertAlign w:val="superscript"/>
        </w:rPr>
        <w:t>(2,8)</w:t>
      </w:r>
    </w:p>
    <w:p w14:paraId="4AF082A4" w14:textId="77777777" w:rsidR="00D94FF3" w:rsidRPr="002361A6" w:rsidRDefault="00D94FF3" w:rsidP="00D94FF3">
      <w:pPr>
        <w:autoSpaceDE w:val="0"/>
        <w:autoSpaceDN w:val="0"/>
        <w:adjustRightInd w:val="0"/>
        <w:spacing w:after="0" w:line="360" w:lineRule="auto"/>
        <w:jc w:val="both"/>
        <w:rPr>
          <w:rFonts w:ascii="Times New Roman" w:hAnsi="Times New Roman"/>
          <w:color w:val="231F20"/>
          <w:sz w:val="24"/>
          <w:szCs w:val="24"/>
          <w:lang w:eastAsia="es-ES"/>
        </w:rPr>
      </w:pPr>
      <w:r w:rsidRPr="002361A6">
        <w:rPr>
          <w:rFonts w:ascii="Times New Roman" w:hAnsi="Times New Roman"/>
          <w:sz w:val="24"/>
          <w:szCs w:val="24"/>
        </w:rPr>
        <w:t>Las manifestaciones clínicas son variables, aunque los síntomas más frecuentes son la presencia de tos, dolor torácico y fiebre. Algunos pacientes pueden cursar con episodios de neumonía recurrente, acompañados de derrame pleural y disnea. La presencia de bilis tiene un efecto corrosivo sobre el pulmón y el espacio pleural, lo cual favorece el desarrollo de infecciones bacterianas y sepsis.</w:t>
      </w:r>
      <w:r w:rsidRPr="002361A6">
        <w:rPr>
          <w:rFonts w:ascii="Times New Roman" w:eastAsia="SegoeUI" w:hAnsi="Times New Roman"/>
          <w:sz w:val="24"/>
          <w:szCs w:val="24"/>
          <w:vertAlign w:val="superscript"/>
        </w:rPr>
        <w:t>(</w:t>
      </w:r>
      <w:r w:rsidRPr="002361A6">
        <w:rPr>
          <w:rFonts w:ascii="Times New Roman" w:hAnsi="Times New Roman"/>
          <w:sz w:val="24"/>
          <w:szCs w:val="24"/>
          <w:vertAlign w:val="superscript"/>
        </w:rPr>
        <w:t>8)</w:t>
      </w:r>
    </w:p>
    <w:p w14:paraId="07D0B4C2" w14:textId="77777777" w:rsidR="00D94FF3" w:rsidRPr="002361A6" w:rsidRDefault="00D94FF3" w:rsidP="00D94FF3">
      <w:pPr>
        <w:autoSpaceDE w:val="0"/>
        <w:autoSpaceDN w:val="0"/>
        <w:adjustRightInd w:val="0"/>
        <w:spacing w:after="0" w:line="360" w:lineRule="auto"/>
        <w:jc w:val="both"/>
        <w:rPr>
          <w:rFonts w:ascii="Times New Roman" w:hAnsi="Times New Roman"/>
          <w:color w:val="231F20"/>
          <w:sz w:val="24"/>
          <w:szCs w:val="24"/>
          <w:lang w:eastAsia="es-ES"/>
        </w:rPr>
      </w:pPr>
      <w:r w:rsidRPr="002361A6">
        <w:rPr>
          <w:rFonts w:ascii="Times New Roman" w:hAnsi="Times New Roman"/>
          <w:sz w:val="24"/>
          <w:szCs w:val="24"/>
        </w:rPr>
        <w:t xml:space="preserve">Se consideró un tratamiento conservador con tubo de drenaje torácico y antibiótico, el cual ha revelado éxito hasta en un 60 % de los casos. Se recomienda reservar el manejo quirúrgico para las fístulas que no responden al tratamiento conservador y/o las fístulas complicadas, de acuerdo con un manejo individualizado, según las condiciones del paciente, la etiología de la fístula biliopleural, la tecnología </w:t>
      </w:r>
      <w:r w:rsidRPr="002361A6">
        <w:rPr>
          <w:rFonts w:ascii="Times New Roman" w:hAnsi="Times New Roman"/>
          <w:sz w:val="24"/>
          <w:szCs w:val="24"/>
        </w:rPr>
        <w:lastRenderedPageBreak/>
        <w:t>disponible y la experiencia del centro. En ocasiones es preciso combinar varias estrategias terapéuticas.</w:t>
      </w:r>
      <w:r w:rsidRPr="002361A6">
        <w:rPr>
          <w:rFonts w:ascii="Times New Roman" w:eastAsia="SegoeUI" w:hAnsi="Times New Roman"/>
          <w:sz w:val="24"/>
          <w:szCs w:val="24"/>
          <w:vertAlign w:val="superscript"/>
        </w:rPr>
        <w:t>(</w:t>
      </w:r>
      <w:r w:rsidRPr="002361A6">
        <w:rPr>
          <w:rFonts w:ascii="Times New Roman" w:hAnsi="Times New Roman"/>
          <w:sz w:val="24"/>
          <w:szCs w:val="24"/>
          <w:vertAlign w:val="superscript"/>
        </w:rPr>
        <w:t>8)</w:t>
      </w:r>
    </w:p>
    <w:p w14:paraId="6CB32E85" w14:textId="77777777" w:rsidR="00D94FF3" w:rsidRPr="002361A6" w:rsidRDefault="00D94FF3" w:rsidP="00D94FF3">
      <w:pPr>
        <w:autoSpaceDE w:val="0"/>
        <w:autoSpaceDN w:val="0"/>
        <w:adjustRightInd w:val="0"/>
        <w:spacing w:after="0" w:line="360" w:lineRule="auto"/>
        <w:jc w:val="both"/>
        <w:rPr>
          <w:rFonts w:ascii="Times New Roman" w:hAnsi="Times New Roman"/>
          <w:color w:val="131413"/>
          <w:sz w:val="24"/>
          <w:szCs w:val="24"/>
        </w:rPr>
      </w:pPr>
      <w:r w:rsidRPr="002361A6">
        <w:rPr>
          <w:rFonts w:ascii="Times New Roman" w:hAnsi="Times New Roman"/>
          <w:color w:val="131413"/>
          <w:sz w:val="24"/>
          <w:szCs w:val="24"/>
        </w:rPr>
        <w:t>La edad avanzada, enfermedad biliar previa, desnutrición proteico calórica y la demora de la paciente en acudir a instituciones de salud, conllevó al fallecimiento de la paciente a pesar del tratamiento antibiótico y quirúrgico.</w:t>
      </w:r>
    </w:p>
    <w:p w14:paraId="310C9F6D" w14:textId="77777777" w:rsidR="00D94FF3" w:rsidRPr="002361A6" w:rsidRDefault="00D94FF3" w:rsidP="00D94FF3">
      <w:pPr>
        <w:autoSpaceDE w:val="0"/>
        <w:autoSpaceDN w:val="0"/>
        <w:adjustRightInd w:val="0"/>
        <w:spacing w:after="0" w:line="360" w:lineRule="auto"/>
        <w:jc w:val="both"/>
        <w:rPr>
          <w:rFonts w:ascii="Times New Roman" w:hAnsi="Times New Roman"/>
          <w:color w:val="231F20"/>
          <w:sz w:val="24"/>
          <w:szCs w:val="24"/>
          <w:lang w:eastAsia="es-ES"/>
        </w:rPr>
      </w:pPr>
    </w:p>
    <w:p w14:paraId="4C4CDCDB" w14:textId="77777777" w:rsidR="00D94FF3" w:rsidRPr="002361A6" w:rsidRDefault="00D94FF3" w:rsidP="00D94FF3">
      <w:pPr>
        <w:spacing w:after="0" w:line="360" w:lineRule="auto"/>
        <w:jc w:val="both"/>
        <w:rPr>
          <w:rFonts w:ascii="Times New Roman" w:eastAsia="SegoeUI" w:hAnsi="Times New Roman"/>
          <w:b/>
          <w:sz w:val="24"/>
          <w:szCs w:val="24"/>
        </w:rPr>
      </w:pPr>
    </w:p>
    <w:p w14:paraId="3BC1A99B" w14:textId="77777777" w:rsidR="00D94FF3" w:rsidRPr="002361A6" w:rsidRDefault="00D94FF3" w:rsidP="00D94FF3">
      <w:pPr>
        <w:spacing w:after="0" w:line="360" w:lineRule="auto"/>
        <w:jc w:val="center"/>
        <w:rPr>
          <w:rFonts w:ascii="Times New Roman" w:hAnsi="Times New Roman"/>
          <w:sz w:val="24"/>
          <w:szCs w:val="24"/>
          <w:lang w:val="en-US"/>
        </w:rPr>
      </w:pPr>
      <w:r w:rsidRPr="002361A6">
        <w:rPr>
          <w:rFonts w:ascii="Times New Roman" w:eastAsia="SegoeUI" w:hAnsi="Times New Roman"/>
          <w:b/>
          <w:sz w:val="32"/>
          <w:szCs w:val="32"/>
          <w:lang w:val="en-US"/>
        </w:rPr>
        <w:t>REFERENCIAS BIBLIOGRÁFICAS</w:t>
      </w:r>
      <w:r w:rsidRPr="002361A6">
        <w:rPr>
          <w:rFonts w:ascii="Times New Roman" w:hAnsi="Times New Roman"/>
          <w:sz w:val="24"/>
          <w:szCs w:val="24"/>
          <w:lang w:val="en-US"/>
        </w:rPr>
        <w:t xml:space="preserve"> </w:t>
      </w:r>
    </w:p>
    <w:p w14:paraId="0F94764E" w14:textId="77777777" w:rsidR="00D94FF3" w:rsidRPr="002361A6" w:rsidRDefault="00D94FF3" w:rsidP="00D94FF3">
      <w:pPr>
        <w:autoSpaceDE w:val="0"/>
        <w:autoSpaceDN w:val="0"/>
        <w:adjustRightInd w:val="0"/>
        <w:spacing w:after="0" w:line="360" w:lineRule="auto"/>
        <w:rPr>
          <w:rFonts w:ascii="Times New Roman" w:eastAsia="SegoeUI" w:hAnsi="Times New Roman"/>
          <w:bCs/>
          <w:sz w:val="24"/>
          <w:szCs w:val="24"/>
        </w:rPr>
      </w:pPr>
      <w:r w:rsidRPr="002361A6">
        <w:rPr>
          <w:rFonts w:ascii="Times New Roman" w:eastAsia="SegoeUI" w:hAnsi="Times New Roman"/>
          <w:bCs/>
          <w:sz w:val="24"/>
          <w:szCs w:val="24"/>
          <w:lang w:val="en-US"/>
        </w:rPr>
        <w:t xml:space="preserve">1. Ulnazeer Kawoosa N, Bashir A, Rashid B. Spontaneous Cutaneous Rupture of a Pyogenic Liver Abscess. </w:t>
      </w:r>
      <w:r w:rsidRPr="002361A6">
        <w:rPr>
          <w:rFonts w:ascii="Times New Roman" w:eastAsia="SegoeUI" w:hAnsi="Times New Roman"/>
          <w:bCs/>
          <w:sz w:val="24"/>
          <w:szCs w:val="24"/>
        </w:rPr>
        <w:t xml:space="preserve">Indian J Surg. 2010 [acceso: 23/07/2018]; 72(4):339–42. Disponible en: </w:t>
      </w:r>
      <w:hyperlink r:id="rId12" w:history="1">
        <w:r w:rsidRPr="002361A6">
          <w:rPr>
            <w:rStyle w:val="Hipervnculo"/>
            <w:rFonts w:ascii="Times New Roman" w:eastAsia="SegoeUI" w:hAnsi="Times New Roman"/>
            <w:bCs/>
          </w:rPr>
          <w:t>https://www.ncbi.nlm.nih.gov/pmc/articles/PMC3002775/</w:t>
        </w:r>
      </w:hyperlink>
      <w:r w:rsidRPr="002361A6">
        <w:rPr>
          <w:rFonts w:ascii="Times New Roman" w:eastAsia="SegoeUI" w:hAnsi="Times New Roman"/>
          <w:bCs/>
          <w:sz w:val="24"/>
          <w:szCs w:val="24"/>
        </w:rPr>
        <w:t xml:space="preserve">  </w:t>
      </w:r>
    </w:p>
    <w:p w14:paraId="4D8B3D64" w14:textId="77777777" w:rsidR="00D94FF3" w:rsidRPr="002361A6" w:rsidRDefault="00D94FF3" w:rsidP="00D94FF3">
      <w:pPr>
        <w:autoSpaceDE w:val="0"/>
        <w:autoSpaceDN w:val="0"/>
        <w:adjustRightInd w:val="0"/>
        <w:spacing w:after="0" w:line="360" w:lineRule="auto"/>
        <w:rPr>
          <w:rFonts w:ascii="Times New Roman" w:eastAsia="SegoeUI" w:hAnsi="Times New Roman"/>
          <w:bCs/>
          <w:sz w:val="24"/>
          <w:szCs w:val="24"/>
        </w:rPr>
      </w:pPr>
      <w:r w:rsidRPr="002361A6">
        <w:rPr>
          <w:rFonts w:ascii="Times New Roman" w:eastAsia="SegoeUI" w:hAnsi="Times New Roman"/>
          <w:bCs/>
          <w:sz w:val="24"/>
          <w:szCs w:val="24"/>
        </w:rPr>
        <w:t xml:space="preserve">2. Reyna-Sepúlveda F, Hernández-Guedea M, García-Hernández S, Sinsel-Ayala J, et al. Epidemiología y manejo del empiema torácico por absceso hepático. Neumol Cir Torax. 2017 [acceso: 23/07/2018];76(2):91-5. Disponible en: </w:t>
      </w:r>
      <w:hyperlink r:id="rId13" w:history="1">
        <w:r w:rsidRPr="002361A6">
          <w:rPr>
            <w:rStyle w:val="Hipervnculo"/>
            <w:rFonts w:ascii="Times New Roman" w:eastAsia="SegoeUI" w:hAnsi="Times New Roman"/>
            <w:bCs/>
          </w:rPr>
          <w:t>https://www.medigraphic.com/pdfs/neumo/nt-2017/nt172d.pdf</w:t>
        </w:r>
      </w:hyperlink>
      <w:r w:rsidRPr="002361A6">
        <w:rPr>
          <w:rFonts w:ascii="Times New Roman" w:eastAsia="SegoeUI" w:hAnsi="Times New Roman"/>
          <w:bCs/>
          <w:sz w:val="24"/>
          <w:szCs w:val="24"/>
        </w:rPr>
        <w:t xml:space="preserve"> </w:t>
      </w:r>
    </w:p>
    <w:p w14:paraId="71BF01DD" w14:textId="77777777" w:rsidR="00D94FF3" w:rsidRPr="002361A6" w:rsidRDefault="00D94FF3" w:rsidP="00D94FF3">
      <w:pPr>
        <w:autoSpaceDE w:val="0"/>
        <w:autoSpaceDN w:val="0"/>
        <w:adjustRightInd w:val="0"/>
        <w:spacing w:after="0" w:line="360" w:lineRule="auto"/>
        <w:rPr>
          <w:rFonts w:ascii="Times New Roman" w:eastAsia="SegoeUI" w:hAnsi="Times New Roman"/>
          <w:bCs/>
          <w:sz w:val="24"/>
          <w:szCs w:val="24"/>
        </w:rPr>
      </w:pPr>
      <w:r w:rsidRPr="002361A6">
        <w:rPr>
          <w:rFonts w:ascii="Times New Roman" w:eastAsia="SegoeUI" w:hAnsi="Times New Roman"/>
          <w:bCs/>
          <w:sz w:val="24"/>
          <w:szCs w:val="24"/>
          <w:lang w:val="en-US"/>
        </w:rPr>
        <w:t xml:space="preserve">3. Reddy G, Chatterjee A, Brott BC. Transdiaphragmatic rupture of hepatic abscess producing purulent pericarditis and pericardial tamponade. </w:t>
      </w:r>
      <w:r w:rsidRPr="002361A6">
        <w:rPr>
          <w:rFonts w:ascii="Times New Roman" w:eastAsia="SegoeUI" w:hAnsi="Times New Roman"/>
          <w:bCs/>
          <w:sz w:val="24"/>
          <w:szCs w:val="24"/>
        </w:rPr>
        <w:t xml:space="preserve">Circulation. 2015 [acceso: 15/11/2018];131(1):e1–2.4. Disponible en: </w:t>
      </w:r>
      <w:hyperlink r:id="rId14" w:history="1">
        <w:r w:rsidRPr="002361A6">
          <w:rPr>
            <w:rStyle w:val="Hipervnculo"/>
            <w:rFonts w:ascii="Times New Roman" w:eastAsia="SegoeUI" w:hAnsi="Times New Roman"/>
            <w:bCs/>
          </w:rPr>
          <w:t>https://pubmed.ncbi.nlm.nih.gov/25561477/</w:t>
        </w:r>
      </w:hyperlink>
      <w:r w:rsidRPr="002361A6">
        <w:rPr>
          <w:rFonts w:ascii="Times New Roman" w:eastAsia="SegoeUI" w:hAnsi="Times New Roman"/>
          <w:bCs/>
          <w:sz w:val="24"/>
          <w:szCs w:val="24"/>
        </w:rPr>
        <w:t xml:space="preserve">  </w:t>
      </w:r>
    </w:p>
    <w:p w14:paraId="47B761A3" w14:textId="77777777" w:rsidR="00D94FF3" w:rsidRPr="002361A6" w:rsidRDefault="00D94FF3" w:rsidP="00D94FF3">
      <w:pPr>
        <w:autoSpaceDE w:val="0"/>
        <w:autoSpaceDN w:val="0"/>
        <w:adjustRightInd w:val="0"/>
        <w:spacing w:after="0" w:line="360" w:lineRule="auto"/>
        <w:rPr>
          <w:rFonts w:ascii="Times New Roman" w:eastAsia="SegoeUI" w:hAnsi="Times New Roman"/>
          <w:bCs/>
          <w:sz w:val="24"/>
          <w:szCs w:val="24"/>
        </w:rPr>
      </w:pPr>
      <w:r w:rsidRPr="002361A6">
        <w:rPr>
          <w:rFonts w:ascii="Times New Roman" w:eastAsia="SegoeUI" w:hAnsi="Times New Roman"/>
          <w:bCs/>
          <w:sz w:val="24"/>
          <w:szCs w:val="24"/>
          <w:lang w:val="en-US"/>
        </w:rPr>
        <w:t xml:space="preserve">4. Park IH, Jun CH, Wi JW, Park SY, Lee WS, Jung SI, et al. Prevalence of and risk factors for endogenous endophthalmitis in patients with pyogenic liver abscesses. </w:t>
      </w:r>
      <w:r w:rsidRPr="00131725">
        <w:rPr>
          <w:rFonts w:ascii="Times New Roman" w:eastAsia="SegoeUI" w:hAnsi="Times New Roman"/>
          <w:bCs/>
          <w:sz w:val="24"/>
          <w:szCs w:val="24"/>
          <w:lang w:val="es-CU"/>
        </w:rPr>
        <w:t xml:space="preserve">Korean J Intern Med. 2015 [acceso:  2018 Jul 23];30(4):453–9. </w:t>
      </w:r>
      <w:r w:rsidRPr="002361A6">
        <w:rPr>
          <w:rFonts w:ascii="Times New Roman" w:eastAsia="SegoeUI" w:hAnsi="Times New Roman"/>
          <w:bCs/>
          <w:sz w:val="24"/>
          <w:szCs w:val="24"/>
        </w:rPr>
        <w:t xml:space="preserve">Disponible en: </w:t>
      </w:r>
      <w:hyperlink r:id="rId15" w:history="1">
        <w:r w:rsidRPr="002361A6">
          <w:rPr>
            <w:rStyle w:val="Hipervnculo"/>
            <w:rFonts w:ascii="Times New Roman" w:eastAsia="SegoeUI" w:hAnsi="Times New Roman"/>
            <w:bCs/>
          </w:rPr>
          <w:t>https://pubmed.ncbi.nlm.nih.gov/26161011/</w:t>
        </w:r>
      </w:hyperlink>
      <w:r w:rsidRPr="002361A6">
        <w:rPr>
          <w:rFonts w:ascii="Times New Roman" w:eastAsia="SegoeUI" w:hAnsi="Times New Roman"/>
          <w:bCs/>
          <w:sz w:val="24"/>
          <w:szCs w:val="24"/>
        </w:rPr>
        <w:t xml:space="preserve">  </w:t>
      </w:r>
    </w:p>
    <w:p w14:paraId="612988D9" w14:textId="77777777" w:rsidR="00D94FF3" w:rsidRPr="002361A6" w:rsidRDefault="00D94FF3" w:rsidP="00D94FF3">
      <w:pPr>
        <w:autoSpaceDE w:val="0"/>
        <w:autoSpaceDN w:val="0"/>
        <w:adjustRightInd w:val="0"/>
        <w:spacing w:after="0" w:line="360" w:lineRule="auto"/>
        <w:rPr>
          <w:rFonts w:ascii="Times New Roman" w:eastAsia="SegoeUI" w:hAnsi="Times New Roman"/>
          <w:bCs/>
          <w:sz w:val="24"/>
          <w:szCs w:val="24"/>
        </w:rPr>
      </w:pPr>
      <w:r w:rsidRPr="002361A6">
        <w:rPr>
          <w:rFonts w:ascii="Times New Roman" w:eastAsia="SegoeUI" w:hAnsi="Times New Roman"/>
          <w:bCs/>
          <w:sz w:val="24"/>
          <w:szCs w:val="24"/>
          <w:lang w:val="en-US"/>
        </w:rPr>
        <w:t xml:space="preserve">5. Wong WM, Wong BC, Hui CK, Matthew Ng, Chuen Lai KL, Kuen Tso W, et al. Pyogenic liver abscess: retrospective analysis of 80 cases over a 10-year period. </w:t>
      </w:r>
      <w:r w:rsidRPr="00131725">
        <w:rPr>
          <w:rFonts w:ascii="Times New Roman" w:eastAsia="SegoeUI" w:hAnsi="Times New Roman"/>
          <w:bCs/>
          <w:sz w:val="24"/>
          <w:szCs w:val="24"/>
          <w:lang w:val="es-CU"/>
        </w:rPr>
        <w:t xml:space="preserve">J Gastroenterol Hepatol 2002. [acceso:  15/11/2018]; 17(9):1001-7. </w:t>
      </w:r>
      <w:r w:rsidRPr="002361A6">
        <w:rPr>
          <w:rFonts w:ascii="Times New Roman" w:eastAsia="SegoeUI" w:hAnsi="Times New Roman"/>
          <w:bCs/>
          <w:sz w:val="24"/>
          <w:szCs w:val="24"/>
        </w:rPr>
        <w:t xml:space="preserve">Disponible en: </w:t>
      </w:r>
      <w:hyperlink r:id="rId16" w:history="1">
        <w:r w:rsidRPr="002361A6">
          <w:rPr>
            <w:rStyle w:val="Hipervnculo"/>
            <w:rFonts w:ascii="Times New Roman" w:eastAsia="SegoeUI" w:hAnsi="Times New Roman"/>
            <w:bCs/>
          </w:rPr>
          <w:t>https://pubmed.ncbi.nlm.nih.gov/12167122/</w:t>
        </w:r>
      </w:hyperlink>
      <w:r w:rsidRPr="002361A6">
        <w:rPr>
          <w:rFonts w:ascii="Times New Roman" w:eastAsia="SegoeUI" w:hAnsi="Times New Roman"/>
          <w:bCs/>
          <w:sz w:val="24"/>
          <w:szCs w:val="24"/>
        </w:rPr>
        <w:t xml:space="preserve"> </w:t>
      </w:r>
    </w:p>
    <w:p w14:paraId="1173D67C" w14:textId="77777777" w:rsidR="00D94FF3" w:rsidRPr="002361A6" w:rsidRDefault="00D94FF3" w:rsidP="00D94FF3">
      <w:pPr>
        <w:autoSpaceDE w:val="0"/>
        <w:autoSpaceDN w:val="0"/>
        <w:adjustRightInd w:val="0"/>
        <w:spacing w:after="0" w:line="360" w:lineRule="auto"/>
        <w:rPr>
          <w:rFonts w:ascii="Times New Roman" w:eastAsia="SegoeUI" w:hAnsi="Times New Roman"/>
          <w:bCs/>
          <w:sz w:val="24"/>
          <w:szCs w:val="24"/>
        </w:rPr>
      </w:pPr>
      <w:r w:rsidRPr="002361A6">
        <w:rPr>
          <w:rFonts w:ascii="Times New Roman" w:eastAsia="SegoeUI" w:hAnsi="Times New Roman"/>
          <w:bCs/>
          <w:sz w:val="24"/>
          <w:szCs w:val="24"/>
          <w:lang w:val="en-US"/>
        </w:rPr>
        <w:t xml:space="preserve">6. Cho E, Woo Park S, Hwan Jun C, Soo Shin S, Soo Shin S, Kyu Park E, et al. A rare case of pericarditis and pleural empyema secondary to transdiaphragmatic extension of pyogenic liver abscess. </w:t>
      </w:r>
      <w:r w:rsidRPr="002361A6">
        <w:rPr>
          <w:rFonts w:ascii="Times New Roman" w:eastAsia="SegoeUI" w:hAnsi="Times New Roman"/>
          <w:bCs/>
          <w:sz w:val="24"/>
          <w:szCs w:val="24"/>
        </w:rPr>
        <w:t xml:space="preserve">BMC Infectious Diseases. 2018 [acceso:  01/01/2019];18:40. Disponible en: </w:t>
      </w:r>
      <w:hyperlink r:id="rId17" w:history="1">
        <w:r w:rsidRPr="002361A6">
          <w:rPr>
            <w:rStyle w:val="Hipervnculo"/>
            <w:rFonts w:ascii="Times New Roman" w:eastAsia="SegoeUI" w:hAnsi="Times New Roman"/>
            <w:bCs/>
          </w:rPr>
          <w:t>https://bmcinfectdis.biomedcentral.com/articles/10.1186/s12879-018-2953-8</w:t>
        </w:r>
      </w:hyperlink>
      <w:r w:rsidRPr="002361A6">
        <w:rPr>
          <w:rFonts w:ascii="Times New Roman" w:eastAsia="SegoeUI" w:hAnsi="Times New Roman"/>
          <w:bCs/>
          <w:sz w:val="24"/>
          <w:szCs w:val="24"/>
        </w:rPr>
        <w:t xml:space="preserve"> </w:t>
      </w:r>
    </w:p>
    <w:p w14:paraId="23F80ADF" w14:textId="77777777" w:rsidR="00D94FF3" w:rsidRPr="002361A6" w:rsidRDefault="00D94FF3" w:rsidP="00D94FF3">
      <w:pPr>
        <w:autoSpaceDE w:val="0"/>
        <w:autoSpaceDN w:val="0"/>
        <w:adjustRightInd w:val="0"/>
        <w:spacing w:after="0" w:line="360" w:lineRule="auto"/>
        <w:rPr>
          <w:rFonts w:ascii="Times New Roman" w:eastAsia="SegoeUI" w:hAnsi="Times New Roman"/>
          <w:bCs/>
          <w:sz w:val="24"/>
          <w:szCs w:val="24"/>
        </w:rPr>
      </w:pPr>
      <w:r w:rsidRPr="002361A6">
        <w:rPr>
          <w:rFonts w:ascii="Times New Roman" w:eastAsia="SegoeUI" w:hAnsi="Times New Roman"/>
          <w:bCs/>
          <w:sz w:val="24"/>
          <w:szCs w:val="24"/>
          <w:lang w:val="en-US"/>
        </w:rPr>
        <w:lastRenderedPageBreak/>
        <w:t xml:space="preserve">7. Watanabe I, Kanaychi N, Watanabe H, Hamada A. Successful Treatment of Acute Empyema Due to Rupture of Pyogenic Liver Abscess. </w:t>
      </w:r>
      <w:r w:rsidRPr="002361A6">
        <w:rPr>
          <w:rFonts w:ascii="Times New Roman" w:eastAsia="SegoeUI" w:hAnsi="Times New Roman"/>
          <w:bCs/>
          <w:sz w:val="24"/>
          <w:szCs w:val="24"/>
        </w:rPr>
        <w:t xml:space="preserve">Kyobu Geka. 2017 [acceso:  19/12/2018]; 0(9):750-4. Disponible en: </w:t>
      </w:r>
      <w:hyperlink r:id="rId18" w:history="1">
        <w:r w:rsidRPr="002361A6">
          <w:rPr>
            <w:rStyle w:val="Hipervnculo"/>
            <w:rFonts w:ascii="Times New Roman" w:eastAsia="SegoeUI" w:hAnsi="Times New Roman"/>
            <w:bCs/>
          </w:rPr>
          <w:t>https://pubmed.ncbi.nlm.nih.gov/28790240/</w:t>
        </w:r>
      </w:hyperlink>
      <w:r w:rsidRPr="002361A6">
        <w:rPr>
          <w:rFonts w:ascii="Times New Roman" w:eastAsia="SegoeUI" w:hAnsi="Times New Roman"/>
          <w:bCs/>
          <w:sz w:val="24"/>
          <w:szCs w:val="24"/>
        </w:rPr>
        <w:t xml:space="preserve">  </w:t>
      </w:r>
    </w:p>
    <w:p w14:paraId="7DC5CCD9" w14:textId="77777777" w:rsidR="00D94FF3" w:rsidRPr="002361A6" w:rsidRDefault="00D94FF3" w:rsidP="00D94FF3">
      <w:pPr>
        <w:autoSpaceDE w:val="0"/>
        <w:autoSpaceDN w:val="0"/>
        <w:adjustRightInd w:val="0"/>
        <w:spacing w:after="0" w:line="360" w:lineRule="auto"/>
        <w:rPr>
          <w:rFonts w:ascii="Times New Roman" w:eastAsia="SegoeUI" w:hAnsi="Times New Roman"/>
          <w:bCs/>
          <w:sz w:val="24"/>
          <w:szCs w:val="24"/>
        </w:rPr>
      </w:pPr>
      <w:r w:rsidRPr="002361A6">
        <w:rPr>
          <w:rFonts w:ascii="Times New Roman" w:eastAsia="SegoeUI" w:hAnsi="Times New Roman"/>
          <w:bCs/>
          <w:sz w:val="24"/>
          <w:szCs w:val="24"/>
        </w:rPr>
        <w:t xml:space="preserve">10. Jimeno Griñó C, Borderías Claub L, Cegoñino de Susby J, Briz Muñozba EM. Fístula biliopleural tras colecistectomía laparoscópica en un paciente nonagenario. Rev Esp Geriatr Gerontol. 2019 [acceso:  23/07/2018];54(6):360-5 Disponible en: </w:t>
      </w:r>
      <w:hyperlink r:id="rId19" w:history="1">
        <w:r w:rsidRPr="002361A6">
          <w:rPr>
            <w:rStyle w:val="Hipervnculo"/>
            <w:rFonts w:ascii="Times New Roman" w:eastAsia="SegoeUI" w:hAnsi="Times New Roman"/>
            <w:bCs/>
          </w:rPr>
          <w:t>https://www.researchgate.net/profile/Luis_Borderias/publication/331141799_Fistula_biliopleural_tras_colecistecomia_laparoscopica_en_un_paciente_nonagenario/links/5cf936a7299bf13a38415f74/Fistula-biliopleural-tras-colecistecomia-laparoscopica-en-un-paciente-nonagenario.pdf</w:t>
        </w:r>
      </w:hyperlink>
      <w:r w:rsidRPr="002361A6">
        <w:rPr>
          <w:rFonts w:ascii="Times New Roman" w:eastAsia="SegoeUI" w:hAnsi="Times New Roman"/>
          <w:bCs/>
          <w:sz w:val="24"/>
          <w:szCs w:val="24"/>
        </w:rPr>
        <w:t xml:space="preserve"> </w:t>
      </w:r>
    </w:p>
    <w:p w14:paraId="285097BF" w14:textId="77777777" w:rsidR="00D94FF3" w:rsidRPr="002361A6" w:rsidRDefault="00D94FF3" w:rsidP="00D94FF3">
      <w:pPr>
        <w:autoSpaceDE w:val="0"/>
        <w:autoSpaceDN w:val="0"/>
        <w:adjustRightInd w:val="0"/>
        <w:spacing w:after="0" w:line="360" w:lineRule="auto"/>
        <w:jc w:val="both"/>
        <w:rPr>
          <w:rFonts w:ascii="Times New Roman" w:eastAsia="SegoeUI" w:hAnsi="Times New Roman"/>
          <w:bCs/>
          <w:sz w:val="24"/>
          <w:szCs w:val="24"/>
        </w:rPr>
      </w:pPr>
    </w:p>
    <w:p w14:paraId="36DA380E" w14:textId="77777777" w:rsidR="00D94FF3" w:rsidRPr="002361A6" w:rsidRDefault="00D94FF3" w:rsidP="00D94FF3">
      <w:pPr>
        <w:autoSpaceDE w:val="0"/>
        <w:autoSpaceDN w:val="0"/>
        <w:adjustRightInd w:val="0"/>
        <w:spacing w:after="0" w:line="360" w:lineRule="auto"/>
        <w:jc w:val="both"/>
        <w:rPr>
          <w:rFonts w:ascii="Times New Roman" w:eastAsia="SegoeUI" w:hAnsi="Times New Roman"/>
          <w:b/>
          <w:sz w:val="24"/>
          <w:szCs w:val="24"/>
        </w:rPr>
      </w:pPr>
    </w:p>
    <w:p w14:paraId="6CA5375E" w14:textId="77777777" w:rsidR="00D94FF3" w:rsidRPr="002361A6" w:rsidRDefault="00D94FF3" w:rsidP="00D94FF3">
      <w:pPr>
        <w:autoSpaceDE w:val="0"/>
        <w:autoSpaceDN w:val="0"/>
        <w:adjustRightInd w:val="0"/>
        <w:spacing w:after="0" w:line="360" w:lineRule="auto"/>
        <w:jc w:val="center"/>
        <w:rPr>
          <w:rFonts w:ascii="Times New Roman" w:eastAsia="SegoeUI" w:hAnsi="Times New Roman"/>
          <w:b/>
          <w:sz w:val="24"/>
          <w:szCs w:val="24"/>
        </w:rPr>
      </w:pPr>
      <w:r w:rsidRPr="002361A6">
        <w:rPr>
          <w:rFonts w:ascii="Times New Roman" w:eastAsia="SegoeUI" w:hAnsi="Times New Roman"/>
          <w:b/>
          <w:sz w:val="24"/>
          <w:szCs w:val="24"/>
        </w:rPr>
        <w:t>Conflictos de interés</w:t>
      </w:r>
    </w:p>
    <w:p w14:paraId="1949F987" w14:textId="094A3F2A" w:rsidR="00D94FF3" w:rsidRDefault="00D94FF3" w:rsidP="00D94FF3">
      <w:pPr>
        <w:autoSpaceDE w:val="0"/>
        <w:autoSpaceDN w:val="0"/>
        <w:adjustRightInd w:val="0"/>
        <w:spacing w:after="0" w:line="360" w:lineRule="auto"/>
        <w:jc w:val="both"/>
        <w:rPr>
          <w:rFonts w:ascii="Times New Roman" w:eastAsia="SegoeUI" w:hAnsi="Times New Roman"/>
          <w:sz w:val="24"/>
          <w:szCs w:val="24"/>
        </w:rPr>
      </w:pPr>
      <w:r w:rsidRPr="002361A6">
        <w:rPr>
          <w:rFonts w:ascii="Times New Roman" w:eastAsia="SegoeUI" w:hAnsi="Times New Roman"/>
          <w:sz w:val="24"/>
          <w:szCs w:val="24"/>
        </w:rPr>
        <w:t>Los autores declaran no tener ningún conflicto de interés.</w:t>
      </w:r>
    </w:p>
    <w:p w14:paraId="187CF52E" w14:textId="77777777" w:rsidR="00D94FF3" w:rsidRPr="005C10DB" w:rsidRDefault="00D94FF3" w:rsidP="00D94FF3">
      <w:pPr>
        <w:autoSpaceDE w:val="0"/>
        <w:autoSpaceDN w:val="0"/>
        <w:adjustRightInd w:val="0"/>
        <w:spacing w:after="0" w:line="360" w:lineRule="auto"/>
        <w:rPr>
          <w:rFonts w:ascii="Times New Roman" w:hAnsi="Times New Roman"/>
          <w:color w:val="000000"/>
          <w:sz w:val="23"/>
          <w:szCs w:val="23"/>
          <w:lang w:eastAsia="es-ES"/>
        </w:rPr>
      </w:pPr>
    </w:p>
    <w:p w14:paraId="0CD6ABC6" w14:textId="77777777" w:rsidR="00675476" w:rsidRPr="00391509" w:rsidRDefault="00675476" w:rsidP="00391509"/>
    <w:sectPr w:rsidR="00675476" w:rsidRPr="00391509" w:rsidSect="000F3690">
      <w:headerReference w:type="even" r:id="rId20"/>
      <w:headerReference w:type="default" r:id="rId21"/>
      <w:footerReference w:type="even" r:id="rId22"/>
      <w:footerReference w:type="default" r:id="rId23"/>
      <w:headerReference w:type="first" r:id="rId24"/>
      <w:footerReference w:type="first" r:id="rId25"/>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1C246" w14:textId="77777777" w:rsidR="00E46985" w:rsidRDefault="00E46985">
      <w:r>
        <w:separator/>
      </w:r>
    </w:p>
  </w:endnote>
  <w:endnote w:type="continuationSeparator" w:id="0">
    <w:p w14:paraId="3C7835C1" w14:textId="77777777" w:rsidR="00E46985" w:rsidRDefault="00E46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egoeUI">
    <w:altName w:val="MS Mincho"/>
    <w:panose1 w:val="00000000000000000000"/>
    <w:charset w:val="80"/>
    <w:family w:val="auto"/>
    <w:notTrueType/>
    <w:pitch w:val="default"/>
    <w:sig w:usb0="00000001" w:usb1="08070000" w:usb2="00000010" w:usb3="00000000" w:csb0="0002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ADB00"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410437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6313D" w14:textId="77777777" w:rsidR="000F3690" w:rsidRPr="00AE044C" w:rsidRDefault="000F3690" w:rsidP="00391509">
    <w:pPr>
      <w:pStyle w:val="Piedepgina"/>
      <w:ind w:right="360"/>
      <w:rPr>
        <w:sz w:val="22"/>
        <w:szCs w:val="22"/>
      </w:rPr>
    </w:pPr>
    <w:r>
      <w:rPr>
        <w:noProof/>
        <w:lang w:val="es-ES" w:eastAsia="es-ES"/>
      </w:rPr>
      <mc:AlternateContent>
        <mc:Choice Requires="wps">
          <w:drawing>
            <wp:anchor distT="0" distB="0" distL="114300" distR="114300" simplePos="0" relativeHeight="251658240" behindDoc="0" locked="0" layoutInCell="1" allowOverlap="1" wp14:anchorId="08D94B61" wp14:editId="132D8874">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5B1B0"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2BDBEA9F" w14:textId="77777777" w:rsidR="00675476" w:rsidRPr="00AE044C" w:rsidRDefault="00E46985" w:rsidP="00391509">
    <w:pPr>
      <w:pStyle w:val="Piedepgina"/>
      <w:ind w:right="360"/>
      <w:rPr>
        <w:sz w:val="22"/>
        <w:szCs w:val="22"/>
      </w:rPr>
    </w:pPr>
    <w:hyperlink r:id="rId1" w:history="1">
      <w:r w:rsidR="00391509" w:rsidRPr="00AE044C">
        <w:rPr>
          <w:rStyle w:val="Hipervnculo"/>
          <w:sz w:val="22"/>
          <w:szCs w:val="22"/>
        </w:rPr>
        <w:t>http://scielo.sld.cu</w:t>
      </w:r>
    </w:hyperlink>
  </w:p>
  <w:p w14:paraId="2EC49A2C" w14:textId="77777777" w:rsidR="00391509" w:rsidRPr="00AE044C" w:rsidRDefault="00E46985"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75B5D9B"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s-ES" w:eastAsia="es-ES"/>
      </w:rPr>
      <w:drawing>
        <wp:inline distT="0" distB="0" distL="0" distR="0" wp14:anchorId="54D8972A" wp14:editId="142C1BF9">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4DF56" w14:textId="77777777" w:rsidR="00AE044C" w:rsidRDefault="00AE04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9FFA" w14:textId="77777777" w:rsidR="00E46985" w:rsidRDefault="00E46985">
      <w:r>
        <w:separator/>
      </w:r>
    </w:p>
  </w:footnote>
  <w:footnote w:type="continuationSeparator" w:id="0">
    <w:p w14:paraId="18AC642E" w14:textId="77777777" w:rsidR="00E46985" w:rsidRDefault="00E469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B2EA6" w14:textId="77777777" w:rsidR="00AE044C" w:rsidRDefault="00AE044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EC9A4" w14:textId="60000375" w:rsidR="00CC376A" w:rsidRPr="00AE044C" w:rsidRDefault="00B31971" w:rsidP="00180CE9">
    <w:pPr>
      <w:pStyle w:val="Encabezado"/>
      <w:tabs>
        <w:tab w:val="left" w:pos="420"/>
      </w:tabs>
      <w:jc w:val="center"/>
      <w:rPr>
        <w:sz w:val="22"/>
        <w:szCs w:val="22"/>
      </w:rPr>
    </w:pPr>
    <w:r w:rsidRPr="00AE044C">
      <w:rPr>
        <w:b/>
        <w:noProof/>
        <w:color w:val="00FFFF"/>
        <w:sz w:val="22"/>
        <w:szCs w:val="22"/>
        <w:lang w:val="es-ES" w:eastAsia="es-ES"/>
      </w:rPr>
      <w:drawing>
        <wp:anchor distT="0" distB="0" distL="114300" distR="114300" simplePos="0" relativeHeight="251682816" behindDoc="0" locked="0" layoutInCell="1" allowOverlap="1" wp14:anchorId="73146882" wp14:editId="70FA4539">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131725">
      <w:rPr>
        <w:sz w:val="22"/>
        <w:szCs w:val="22"/>
      </w:rPr>
      <w:t>2021</w:t>
    </w:r>
    <w:r w:rsidR="003E03D5">
      <w:rPr>
        <w:sz w:val="22"/>
        <w:szCs w:val="22"/>
      </w:rPr>
      <w:t>;</w:t>
    </w:r>
    <w:r w:rsidR="00131725">
      <w:rPr>
        <w:sz w:val="22"/>
        <w:szCs w:val="22"/>
      </w:rPr>
      <w:t>50</w:t>
    </w:r>
    <w:r w:rsidR="00493701" w:rsidRPr="00AE044C">
      <w:rPr>
        <w:sz w:val="22"/>
        <w:szCs w:val="22"/>
      </w:rPr>
      <w:t>(</w:t>
    </w:r>
    <w:r w:rsidR="00131725">
      <w:rPr>
        <w:sz w:val="22"/>
        <w:szCs w:val="22"/>
      </w:rPr>
      <w:t>2</w:t>
    </w:r>
    <w:r w:rsidR="00493701" w:rsidRPr="00AE044C">
      <w:rPr>
        <w:sz w:val="22"/>
        <w:szCs w:val="22"/>
      </w:rPr>
      <w:t>)</w:t>
    </w:r>
    <w:r w:rsidR="00391509" w:rsidRPr="00AE044C">
      <w:rPr>
        <w:sz w:val="22"/>
        <w:szCs w:val="22"/>
      </w:rPr>
      <w:t>:</w:t>
    </w:r>
    <w:r w:rsidR="00131725">
      <w:rPr>
        <w:sz w:val="22"/>
        <w:szCs w:val="22"/>
      </w:rPr>
      <w:t>e02101003</w:t>
    </w:r>
  </w:p>
  <w:p w14:paraId="487A563E" w14:textId="77777777" w:rsidR="00A477DE" w:rsidRDefault="000F3690">
    <w:r w:rsidRPr="00CC376A">
      <w:rPr>
        <w:rFonts w:ascii="Verdana" w:hAnsi="Verdana"/>
        <w:noProof/>
        <w:color w:val="00FFFF"/>
        <w:sz w:val="18"/>
        <w:szCs w:val="18"/>
        <w:lang w:eastAsia="es-ES"/>
      </w:rPr>
      <mc:AlternateContent>
        <mc:Choice Requires="wps">
          <w:drawing>
            <wp:anchor distT="0" distB="0" distL="114300" distR="114300" simplePos="0" relativeHeight="251656192" behindDoc="0" locked="0" layoutInCell="1" allowOverlap="1" wp14:anchorId="4C3EA19A" wp14:editId="19CA8191">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52E64"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15F9E" w14:textId="77777777" w:rsidR="00AE044C" w:rsidRDefault="00AE044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4FF3"/>
    <w:rsid w:val="000F3690"/>
    <w:rsid w:val="001221D1"/>
    <w:rsid w:val="00131725"/>
    <w:rsid w:val="00180CE9"/>
    <w:rsid w:val="00230DD5"/>
    <w:rsid w:val="00380D64"/>
    <w:rsid w:val="00391509"/>
    <w:rsid w:val="003C69FF"/>
    <w:rsid w:val="003E03D5"/>
    <w:rsid w:val="004447DD"/>
    <w:rsid w:val="00493701"/>
    <w:rsid w:val="004E2065"/>
    <w:rsid w:val="005508A2"/>
    <w:rsid w:val="00566F71"/>
    <w:rsid w:val="00675476"/>
    <w:rsid w:val="006C6D6D"/>
    <w:rsid w:val="007C430F"/>
    <w:rsid w:val="007D614D"/>
    <w:rsid w:val="008A1B1D"/>
    <w:rsid w:val="00960D6A"/>
    <w:rsid w:val="009A0560"/>
    <w:rsid w:val="009B0917"/>
    <w:rsid w:val="00A23C0C"/>
    <w:rsid w:val="00A477DE"/>
    <w:rsid w:val="00A71E65"/>
    <w:rsid w:val="00AE044C"/>
    <w:rsid w:val="00B31971"/>
    <w:rsid w:val="00B4380A"/>
    <w:rsid w:val="00B66ECB"/>
    <w:rsid w:val="00C7523A"/>
    <w:rsid w:val="00CC1B6E"/>
    <w:rsid w:val="00CC376A"/>
    <w:rsid w:val="00CC48A1"/>
    <w:rsid w:val="00D85951"/>
    <w:rsid w:val="00D94FF3"/>
    <w:rsid w:val="00E46985"/>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6BF4D4"/>
  <w15:docId w15:val="{30FFF193-3A71-4F51-ACDD-E7C11F421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4FF3"/>
    <w:pPr>
      <w:spacing w:after="200" w:line="276" w:lineRule="auto"/>
    </w:pPr>
    <w:rPr>
      <w:rFonts w:ascii="Calibri" w:eastAsia="Calibri" w:hAnsi="Calibr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spacing w:after="0" w:line="240" w:lineRule="auto"/>
    </w:pPr>
    <w:rPr>
      <w:rFonts w:ascii="Times New Roman" w:eastAsia="Times New Roman" w:hAnsi="Times New Roman"/>
      <w:sz w:val="24"/>
      <w:szCs w:val="24"/>
      <w:lang w:val="es-ES_tradnl" w:eastAsia="es-ES_tradnl"/>
    </w:rPr>
  </w:style>
  <w:style w:type="paragraph" w:styleId="Piedepgina">
    <w:name w:val="footer"/>
    <w:basedOn w:val="Normal"/>
    <w:link w:val="PiedepginaCar"/>
    <w:uiPriority w:val="99"/>
    <w:rsid w:val="00675476"/>
    <w:pPr>
      <w:tabs>
        <w:tab w:val="center" w:pos="4252"/>
        <w:tab w:val="right" w:pos="8504"/>
      </w:tabs>
      <w:spacing w:after="0" w:line="240" w:lineRule="auto"/>
    </w:pPr>
    <w:rPr>
      <w:rFonts w:ascii="Times New Roman" w:eastAsia="Times New Roman" w:hAnsi="Times New Roman"/>
      <w:sz w:val="24"/>
      <w:szCs w:val="24"/>
      <w:lang w:val="es-ES_tradnl" w:eastAsia="es-ES_tradnl"/>
    </w:rPr>
  </w:style>
  <w:style w:type="paragraph" w:styleId="NormalWeb">
    <w:name w:val="Normal (Web)"/>
    <w:basedOn w:val="Normal"/>
    <w:uiPriority w:val="99"/>
    <w:rsid w:val="00FE40CB"/>
    <w:pPr>
      <w:spacing w:before="100" w:beforeAutospacing="1" w:after="100" w:afterAutospacing="1" w:line="240" w:lineRule="auto"/>
    </w:pPr>
    <w:rPr>
      <w:rFonts w:ascii="Times New Roman" w:eastAsia="Times New Roman" w:hAnsi="Times New Roman"/>
      <w:sz w:val="24"/>
      <w:szCs w:val="24"/>
      <w:lang w:val="es-ES_tradnl" w:eastAsia="es-ES_tradnl"/>
    </w:r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pPr>
      <w:spacing w:after="0" w:line="240" w:lineRule="auto"/>
    </w:pPr>
    <w:rPr>
      <w:rFonts w:ascii="Tahoma" w:eastAsia="Times New Roman" w:hAnsi="Tahoma" w:cs="Tahoma"/>
      <w:sz w:val="16"/>
      <w:szCs w:val="16"/>
      <w:lang w:val="es-ES_tradnl" w:eastAsia="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paragraph" w:styleId="HTMLconformatoprevio">
    <w:name w:val="HTML Preformatted"/>
    <w:basedOn w:val="Normal"/>
    <w:link w:val="HTMLconformatoprevioCar"/>
    <w:uiPriority w:val="99"/>
    <w:semiHidden/>
    <w:unhideWhenUsed/>
    <w:rsid w:val="00D94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conformatoprevioCar">
    <w:name w:val="HTML con formato previo Car"/>
    <w:basedOn w:val="Fuentedeprrafopredeter"/>
    <w:link w:val="HTMLconformatoprevio"/>
    <w:uiPriority w:val="99"/>
    <w:semiHidden/>
    <w:rsid w:val="00D94FF3"/>
    <w:rPr>
      <w:rFonts w:ascii="Courier New" w:hAnsi="Courier New"/>
      <w:lang w:val="x-none" w:eastAsia="x-none"/>
    </w:rPr>
  </w:style>
  <w:style w:type="paragraph" w:customStyle="1" w:styleId="Default">
    <w:name w:val="Default"/>
    <w:rsid w:val="00D94FF3"/>
    <w:pPr>
      <w:autoSpaceDE w:val="0"/>
      <w:autoSpaceDN w:val="0"/>
      <w:adjustRightInd w:val="0"/>
    </w:pPr>
    <w:rPr>
      <w:rFonts w:ascii="Trebuchet MS" w:eastAsia="Calibri" w:hAnsi="Trebuchet MS" w:cs="Trebuchet MS"/>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cid.org/0000-0002-3777-0493" TargetMode="External"/><Relationship Id="rId13" Type="http://schemas.openxmlformats.org/officeDocument/2006/relationships/hyperlink" Target="https://www.medigraphic.com/pdfs/neumo/nt-2017/nt172d.pdf" TargetMode="External"/><Relationship Id="rId18" Type="http://schemas.openxmlformats.org/officeDocument/2006/relationships/hyperlink" Target="https://pubmed.ncbi.nlm.nih.gov/28790240/"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eader" Target="header2.xml"/><Relationship Id="rId7" Type="http://schemas.openxmlformats.org/officeDocument/2006/relationships/hyperlink" Target="https://orcid.org/0000-0001-9437-3091" TargetMode="External"/><Relationship Id="rId12" Type="http://schemas.openxmlformats.org/officeDocument/2006/relationships/hyperlink" Target="https://www.ncbi.nlm.nih.gov/pmc/articles/PMC3002775/" TargetMode="External"/><Relationship Id="rId17" Type="http://schemas.openxmlformats.org/officeDocument/2006/relationships/hyperlink" Target="https://bmcinfectdis.biomedcentral.com/articles/10.1186/s12879-018-2953-8" TargetMode="External"/><Relationship Id="rId25"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yperlink" Target="https://pubmed.ncbi.nlm.nih.gov/12167122/"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orcid.org/0000-0001-7983-614x" TargetMode="Externa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https://pubmed.ncbi.nlm.nih.gov/26161011/" TargetMode="Externa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www.researchgate.net/profile/Luis_Borderias/publication/331141799_Fistula_biliopleural_tras_colecistecomia_laparoscopica_en_un_paciente_nonagenario/links/5cf936a7299bf13a38415f74/Fistula-biliopleural-tras-colecistecomia-laparoscopica-en-un-paciente-nonagenario.pdf" TargetMode="External"/><Relationship Id="rId4" Type="http://schemas.openxmlformats.org/officeDocument/2006/relationships/footnotes" Target="footnotes.xml"/><Relationship Id="rId9" Type="http://schemas.openxmlformats.org/officeDocument/2006/relationships/hyperlink" Target="mailto:toscain1987@gmail.com" TargetMode="External"/><Relationship Id="rId14" Type="http://schemas.openxmlformats.org/officeDocument/2006/relationships/hyperlink" Target="https://pubmed.ncbi.nlm.nih.gov/25561477/"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8</TotalTime>
  <Pages>8</Pages>
  <Words>2195</Words>
  <Characters>12073</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14240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5</cp:revision>
  <cp:lastPrinted>2010-09-13T21:29:00Z</cp:lastPrinted>
  <dcterms:created xsi:type="dcterms:W3CDTF">2021-05-03T15:59:00Z</dcterms:created>
  <dcterms:modified xsi:type="dcterms:W3CDTF">2021-06-16T19:28:00Z</dcterms:modified>
</cp:coreProperties>
</file>