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3D6A" w14:textId="77777777" w:rsidR="00D94FF3" w:rsidRPr="002361A6" w:rsidRDefault="00D94FF3" w:rsidP="00D94FF3">
      <w:pPr>
        <w:autoSpaceDE w:val="0"/>
        <w:autoSpaceDN w:val="0"/>
        <w:adjustRightInd w:val="0"/>
        <w:spacing w:after="0" w:line="360" w:lineRule="auto"/>
        <w:jc w:val="right"/>
        <w:rPr>
          <w:rFonts w:ascii="Times New Roman" w:hAnsi="Times New Roman"/>
          <w:bCs/>
          <w:color w:val="131413"/>
          <w:sz w:val="20"/>
          <w:szCs w:val="20"/>
        </w:rPr>
      </w:pPr>
      <w:r w:rsidRPr="002361A6">
        <w:rPr>
          <w:rFonts w:ascii="Times New Roman" w:hAnsi="Times New Roman"/>
          <w:bCs/>
          <w:color w:val="131413"/>
          <w:sz w:val="20"/>
          <w:szCs w:val="20"/>
        </w:rPr>
        <w:t>Presentación de caso</w:t>
      </w:r>
    </w:p>
    <w:p w14:paraId="071BDCF5" w14:textId="77777777" w:rsidR="00D94FF3" w:rsidRPr="002361A6" w:rsidRDefault="00D94FF3" w:rsidP="00D94FF3">
      <w:pPr>
        <w:autoSpaceDE w:val="0"/>
        <w:autoSpaceDN w:val="0"/>
        <w:adjustRightInd w:val="0"/>
        <w:spacing w:after="0" w:line="360" w:lineRule="auto"/>
        <w:jc w:val="right"/>
        <w:rPr>
          <w:rFonts w:ascii="Times New Roman" w:hAnsi="Times New Roman"/>
          <w:bCs/>
          <w:color w:val="131413"/>
          <w:sz w:val="20"/>
          <w:szCs w:val="20"/>
        </w:rPr>
      </w:pPr>
    </w:p>
    <w:p w14:paraId="52F8677D" w14:textId="77777777" w:rsidR="00D94FF3" w:rsidRPr="002361A6" w:rsidRDefault="00D94FF3" w:rsidP="00D94FF3">
      <w:pPr>
        <w:autoSpaceDE w:val="0"/>
        <w:autoSpaceDN w:val="0"/>
        <w:adjustRightInd w:val="0"/>
        <w:spacing w:after="0" w:line="360" w:lineRule="auto"/>
        <w:jc w:val="center"/>
        <w:rPr>
          <w:rFonts w:ascii="Times New Roman" w:hAnsi="Times New Roman"/>
          <w:b/>
          <w:color w:val="131413"/>
          <w:sz w:val="28"/>
          <w:szCs w:val="28"/>
        </w:rPr>
      </w:pPr>
      <w:r w:rsidRPr="002361A6">
        <w:rPr>
          <w:rFonts w:ascii="Times New Roman" w:hAnsi="Times New Roman"/>
          <w:b/>
          <w:color w:val="131413"/>
          <w:sz w:val="28"/>
          <w:szCs w:val="28"/>
        </w:rPr>
        <w:t>Ruptura espontánea de absceso hepático del lóbulo izquierdo en hemitórax derecho</w:t>
      </w:r>
    </w:p>
    <w:p w14:paraId="1EA70100" w14:textId="77777777" w:rsidR="00D94FF3" w:rsidRPr="002361A6" w:rsidRDefault="00D94FF3" w:rsidP="00D94FF3">
      <w:pPr>
        <w:autoSpaceDE w:val="0"/>
        <w:autoSpaceDN w:val="0"/>
        <w:adjustRightInd w:val="0"/>
        <w:spacing w:after="0" w:line="360" w:lineRule="auto"/>
        <w:jc w:val="center"/>
        <w:rPr>
          <w:rFonts w:ascii="Times New Roman" w:hAnsi="Times New Roman"/>
          <w:bCs/>
          <w:color w:val="131413"/>
          <w:sz w:val="28"/>
          <w:szCs w:val="28"/>
          <w:lang w:val="en-US"/>
        </w:rPr>
      </w:pPr>
      <w:r w:rsidRPr="002361A6">
        <w:rPr>
          <w:rFonts w:ascii="Times New Roman" w:hAnsi="Times New Roman"/>
          <w:bCs/>
          <w:color w:val="131413"/>
          <w:sz w:val="28"/>
          <w:szCs w:val="28"/>
          <w:lang w:val="en-US"/>
        </w:rPr>
        <w:t>Spontaneous rupture of liver abscess of the left lobe in the right hemithorax</w:t>
      </w:r>
    </w:p>
    <w:p w14:paraId="07DE27A2" w14:textId="77777777" w:rsidR="00D94FF3" w:rsidRPr="002361A6" w:rsidRDefault="00D94FF3" w:rsidP="00D94FF3">
      <w:pPr>
        <w:autoSpaceDE w:val="0"/>
        <w:autoSpaceDN w:val="0"/>
        <w:adjustRightInd w:val="0"/>
        <w:spacing w:after="0" w:line="360" w:lineRule="auto"/>
        <w:jc w:val="center"/>
        <w:rPr>
          <w:rFonts w:ascii="Times New Roman" w:hAnsi="Times New Roman"/>
          <w:b/>
          <w:color w:val="131413"/>
          <w:sz w:val="24"/>
          <w:szCs w:val="24"/>
          <w:lang w:val="en-US"/>
        </w:rPr>
      </w:pPr>
    </w:p>
    <w:p w14:paraId="70A32207" w14:textId="77777777" w:rsidR="00D94FF3" w:rsidRPr="002361A6" w:rsidRDefault="00D94FF3" w:rsidP="00D94FF3">
      <w:pPr>
        <w:autoSpaceDE w:val="0"/>
        <w:autoSpaceDN w:val="0"/>
        <w:adjustRightInd w:val="0"/>
        <w:spacing w:after="0" w:line="360" w:lineRule="auto"/>
        <w:rPr>
          <w:rFonts w:ascii="Times New Roman" w:hAnsi="Times New Roman"/>
          <w:bCs/>
          <w:color w:val="131413"/>
          <w:sz w:val="24"/>
          <w:szCs w:val="24"/>
        </w:rPr>
      </w:pPr>
      <w:r w:rsidRPr="002361A6">
        <w:rPr>
          <w:rFonts w:ascii="Times New Roman" w:hAnsi="Times New Roman"/>
          <w:bCs/>
          <w:color w:val="131413"/>
          <w:sz w:val="24"/>
          <w:szCs w:val="24"/>
        </w:rPr>
        <w:t>Arturo Martínez García</w:t>
      </w:r>
      <w:r w:rsidRPr="002361A6">
        <w:rPr>
          <w:rFonts w:ascii="Times New Roman" w:hAnsi="Times New Roman"/>
          <w:bCs/>
          <w:color w:val="131413"/>
          <w:sz w:val="24"/>
          <w:szCs w:val="24"/>
          <w:vertAlign w:val="superscript"/>
        </w:rPr>
        <w:t xml:space="preserve">1 </w:t>
      </w:r>
      <w:hyperlink r:id="rId6" w:history="1">
        <w:r w:rsidRPr="002361A6">
          <w:rPr>
            <w:rStyle w:val="Hipervnculo"/>
            <w:rFonts w:ascii="Times New Roman" w:hAnsi="Times New Roman"/>
            <w:bCs/>
          </w:rPr>
          <w:t>https://orcid.org/0000-0001-7983-614x</w:t>
        </w:r>
      </w:hyperlink>
      <w:r w:rsidRPr="002361A6">
        <w:rPr>
          <w:rFonts w:ascii="Times New Roman" w:hAnsi="Times New Roman"/>
          <w:bCs/>
          <w:color w:val="131413"/>
          <w:sz w:val="24"/>
          <w:szCs w:val="24"/>
        </w:rPr>
        <w:t xml:space="preserve"> </w:t>
      </w:r>
    </w:p>
    <w:p w14:paraId="3D5D5EE1" w14:textId="77777777" w:rsidR="00D94FF3" w:rsidRPr="002361A6" w:rsidRDefault="00D94FF3" w:rsidP="00D94FF3">
      <w:pPr>
        <w:autoSpaceDE w:val="0"/>
        <w:autoSpaceDN w:val="0"/>
        <w:adjustRightInd w:val="0"/>
        <w:spacing w:after="0" w:line="360" w:lineRule="auto"/>
        <w:rPr>
          <w:rFonts w:ascii="Times New Roman" w:hAnsi="Times New Roman"/>
          <w:bCs/>
          <w:color w:val="131413"/>
          <w:sz w:val="24"/>
          <w:szCs w:val="24"/>
        </w:rPr>
      </w:pPr>
      <w:r w:rsidRPr="002361A6">
        <w:rPr>
          <w:rFonts w:ascii="Times New Roman" w:hAnsi="Times New Roman"/>
          <w:bCs/>
          <w:color w:val="131413"/>
          <w:sz w:val="24"/>
          <w:szCs w:val="24"/>
        </w:rPr>
        <w:t>Olga Caridad León González</w:t>
      </w:r>
      <w:r w:rsidRPr="002361A6">
        <w:rPr>
          <w:rFonts w:ascii="Times New Roman" w:hAnsi="Times New Roman"/>
          <w:bCs/>
          <w:color w:val="131413"/>
          <w:sz w:val="24"/>
          <w:szCs w:val="24"/>
          <w:vertAlign w:val="superscript"/>
        </w:rPr>
        <w:t xml:space="preserve">2 </w:t>
      </w:r>
      <w:hyperlink r:id="rId7" w:history="1">
        <w:r w:rsidRPr="002361A6">
          <w:rPr>
            <w:rStyle w:val="Hipervnculo"/>
            <w:rFonts w:ascii="Times New Roman" w:hAnsi="Times New Roman"/>
            <w:bCs/>
          </w:rPr>
          <w:t>https://orcid.org/0000-0001-9437-3091</w:t>
        </w:r>
      </w:hyperlink>
      <w:r w:rsidRPr="002361A6">
        <w:rPr>
          <w:rFonts w:ascii="Times New Roman" w:hAnsi="Times New Roman"/>
          <w:bCs/>
          <w:color w:val="131413"/>
          <w:sz w:val="24"/>
          <w:szCs w:val="24"/>
        </w:rPr>
        <w:t xml:space="preserve"> </w:t>
      </w:r>
    </w:p>
    <w:p w14:paraId="420DACCA" w14:textId="7FCF0B50" w:rsidR="00D94FF3" w:rsidRPr="002361A6" w:rsidRDefault="00D94FF3" w:rsidP="00D94FF3">
      <w:pPr>
        <w:autoSpaceDE w:val="0"/>
        <w:autoSpaceDN w:val="0"/>
        <w:adjustRightInd w:val="0"/>
        <w:spacing w:after="0" w:line="360" w:lineRule="auto"/>
        <w:rPr>
          <w:rFonts w:ascii="Times New Roman" w:hAnsi="Times New Roman"/>
          <w:bCs/>
          <w:color w:val="131413"/>
          <w:sz w:val="24"/>
          <w:szCs w:val="24"/>
        </w:rPr>
      </w:pPr>
      <w:r w:rsidRPr="002361A6">
        <w:rPr>
          <w:rFonts w:ascii="Times New Roman" w:hAnsi="Times New Roman"/>
          <w:bCs/>
          <w:color w:val="131413"/>
          <w:sz w:val="24"/>
          <w:szCs w:val="24"/>
        </w:rPr>
        <w:t>Luis Manuel Danta Fundora</w:t>
      </w:r>
      <w:r w:rsidR="003C69FF">
        <w:rPr>
          <w:rFonts w:ascii="Times New Roman" w:hAnsi="Times New Roman"/>
          <w:bCs/>
          <w:color w:val="131413"/>
          <w:sz w:val="24"/>
          <w:szCs w:val="24"/>
          <w:vertAlign w:val="superscript"/>
        </w:rPr>
        <w:t>2</w:t>
      </w:r>
      <w:r w:rsidRPr="002361A6">
        <w:rPr>
          <w:rFonts w:ascii="Times New Roman" w:hAnsi="Times New Roman"/>
          <w:bCs/>
          <w:color w:val="131413"/>
          <w:sz w:val="24"/>
          <w:szCs w:val="24"/>
          <w:vertAlign w:val="superscript"/>
        </w:rPr>
        <w:t xml:space="preserve"> </w:t>
      </w:r>
      <w:hyperlink r:id="rId8" w:history="1">
        <w:r w:rsidRPr="002361A6">
          <w:rPr>
            <w:rStyle w:val="Hipervnculo"/>
            <w:rFonts w:ascii="Times New Roman" w:hAnsi="Times New Roman"/>
            <w:bCs/>
          </w:rPr>
          <w:t>https://prcid.org/0000-0002-3777-0493</w:t>
        </w:r>
      </w:hyperlink>
      <w:r w:rsidRPr="002361A6">
        <w:rPr>
          <w:rFonts w:ascii="Times New Roman" w:hAnsi="Times New Roman"/>
          <w:bCs/>
          <w:color w:val="131413"/>
          <w:sz w:val="24"/>
          <w:szCs w:val="24"/>
        </w:rPr>
        <w:t xml:space="preserve"> </w:t>
      </w:r>
    </w:p>
    <w:p w14:paraId="21AA8D10" w14:textId="77777777" w:rsidR="00D94FF3" w:rsidRPr="002361A6" w:rsidRDefault="00D94FF3" w:rsidP="00D94FF3">
      <w:pPr>
        <w:autoSpaceDE w:val="0"/>
        <w:autoSpaceDN w:val="0"/>
        <w:adjustRightInd w:val="0"/>
        <w:spacing w:after="0" w:line="360" w:lineRule="auto"/>
        <w:jc w:val="both"/>
        <w:rPr>
          <w:rFonts w:ascii="Times New Roman" w:hAnsi="Times New Roman"/>
          <w:b/>
          <w:color w:val="131413"/>
          <w:sz w:val="24"/>
          <w:szCs w:val="24"/>
        </w:rPr>
      </w:pPr>
    </w:p>
    <w:p w14:paraId="26F263D3" w14:textId="77777777" w:rsidR="00D94FF3" w:rsidRPr="002361A6" w:rsidRDefault="00D94FF3" w:rsidP="00D94FF3">
      <w:pPr>
        <w:tabs>
          <w:tab w:val="left" w:pos="567"/>
        </w:tabs>
        <w:autoSpaceDE w:val="0"/>
        <w:autoSpaceDN w:val="0"/>
        <w:adjustRightInd w:val="0"/>
        <w:spacing w:after="0" w:line="360" w:lineRule="auto"/>
        <w:rPr>
          <w:rFonts w:ascii="Times New Roman" w:hAnsi="Times New Roman"/>
          <w:color w:val="131413"/>
          <w:sz w:val="24"/>
          <w:szCs w:val="24"/>
        </w:rPr>
      </w:pPr>
      <w:r w:rsidRPr="002361A6">
        <w:rPr>
          <w:rFonts w:ascii="Times New Roman" w:hAnsi="Times New Roman"/>
          <w:color w:val="131413"/>
          <w:sz w:val="24"/>
          <w:szCs w:val="24"/>
          <w:vertAlign w:val="superscript"/>
        </w:rPr>
        <w:t>1</w:t>
      </w:r>
      <w:r w:rsidRPr="002361A6">
        <w:rPr>
          <w:rFonts w:ascii="Times New Roman" w:hAnsi="Times New Roman"/>
          <w:color w:val="131413"/>
          <w:sz w:val="24"/>
          <w:szCs w:val="24"/>
        </w:rPr>
        <w:t>Hospital Clínico Quirúrgico “Hermanos Ameijeiras”. Universidad de Ciencias Médicas de la Habana. La Habana, Cuba.</w:t>
      </w:r>
    </w:p>
    <w:p w14:paraId="3BEC544B" w14:textId="3FBBE65F" w:rsidR="00D94FF3" w:rsidRPr="002361A6" w:rsidRDefault="00D94FF3" w:rsidP="00D94FF3">
      <w:pPr>
        <w:tabs>
          <w:tab w:val="left" w:pos="567"/>
        </w:tabs>
        <w:autoSpaceDE w:val="0"/>
        <w:autoSpaceDN w:val="0"/>
        <w:adjustRightInd w:val="0"/>
        <w:spacing w:after="0" w:line="360" w:lineRule="auto"/>
        <w:rPr>
          <w:rFonts w:ascii="Times New Roman" w:hAnsi="Times New Roman"/>
          <w:color w:val="131413"/>
          <w:sz w:val="24"/>
          <w:szCs w:val="24"/>
        </w:rPr>
      </w:pPr>
      <w:r w:rsidRPr="002361A6">
        <w:rPr>
          <w:rFonts w:ascii="Times New Roman" w:hAnsi="Times New Roman"/>
          <w:color w:val="131413"/>
          <w:sz w:val="24"/>
          <w:szCs w:val="24"/>
          <w:vertAlign w:val="superscript"/>
        </w:rPr>
        <w:t>2</w:t>
      </w:r>
      <w:r w:rsidRPr="002361A6">
        <w:rPr>
          <w:rFonts w:ascii="Times New Roman" w:hAnsi="Times New Roman"/>
          <w:color w:val="131413"/>
          <w:sz w:val="24"/>
          <w:szCs w:val="24"/>
        </w:rPr>
        <w:t>Hospital General Docente “Enrique Cabrera Coss</w:t>
      </w:r>
      <w:r w:rsidR="008A1B1D">
        <w:rPr>
          <w:rFonts w:ascii="Times New Roman" w:hAnsi="Times New Roman"/>
          <w:color w:val="131413"/>
          <w:sz w:val="24"/>
          <w:szCs w:val="24"/>
        </w:rPr>
        <w:t>í</w:t>
      </w:r>
      <w:r w:rsidRPr="002361A6">
        <w:rPr>
          <w:rFonts w:ascii="Times New Roman" w:hAnsi="Times New Roman"/>
          <w:color w:val="131413"/>
          <w:sz w:val="24"/>
          <w:szCs w:val="24"/>
        </w:rPr>
        <w:t>o”. Universidad de Ciencias Médicas de la Habana. La Habana, Cuba</w:t>
      </w:r>
    </w:p>
    <w:p w14:paraId="37F1F67E" w14:textId="77777777" w:rsidR="00D94FF3" w:rsidRPr="002361A6" w:rsidRDefault="00D94FF3" w:rsidP="00D94FF3">
      <w:pPr>
        <w:tabs>
          <w:tab w:val="left" w:pos="567"/>
        </w:tabs>
        <w:autoSpaceDE w:val="0"/>
        <w:autoSpaceDN w:val="0"/>
        <w:adjustRightInd w:val="0"/>
        <w:spacing w:after="0" w:line="360" w:lineRule="auto"/>
        <w:rPr>
          <w:rFonts w:ascii="Times New Roman" w:hAnsi="Times New Roman"/>
          <w:color w:val="131413"/>
          <w:sz w:val="24"/>
          <w:szCs w:val="24"/>
        </w:rPr>
      </w:pPr>
    </w:p>
    <w:p w14:paraId="588A1F9B" w14:textId="77777777" w:rsidR="00D94FF3" w:rsidRPr="002361A6" w:rsidRDefault="00D94FF3" w:rsidP="00D94FF3">
      <w:pPr>
        <w:tabs>
          <w:tab w:val="left" w:pos="567"/>
        </w:tabs>
        <w:autoSpaceDE w:val="0"/>
        <w:autoSpaceDN w:val="0"/>
        <w:adjustRightInd w:val="0"/>
        <w:spacing w:after="0" w:line="360" w:lineRule="auto"/>
        <w:rPr>
          <w:rFonts w:ascii="Times New Roman" w:hAnsi="Times New Roman"/>
          <w:color w:val="131413"/>
          <w:sz w:val="24"/>
          <w:szCs w:val="24"/>
        </w:rPr>
      </w:pPr>
      <w:r w:rsidRPr="002361A6">
        <w:rPr>
          <w:rFonts w:ascii="Times New Roman" w:hAnsi="Times New Roman"/>
          <w:color w:val="131413"/>
          <w:sz w:val="24"/>
          <w:szCs w:val="24"/>
        </w:rPr>
        <w:t xml:space="preserve">*Autor para la correspondencia. Correo electrónico: </w:t>
      </w:r>
      <w:hyperlink r:id="rId9" w:history="1">
        <w:r w:rsidRPr="002361A6">
          <w:rPr>
            <w:rStyle w:val="Hipervnculo"/>
            <w:rFonts w:ascii="Times New Roman" w:hAnsi="Times New Roman"/>
          </w:rPr>
          <w:t>toscain1987@gmail.com</w:t>
        </w:r>
      </w:hyperlink>
    </w:p>
    <w:p w14:paraId="45EB635C" w14:textId="77777777" w:rsidR="00D94FF3" w:rsidRPr="002361A6" w:rsidRDefault="00D94FF3" w:rsidP="00D94FF3">
      <w:pPr>
        <w:tabs>
          <w:tab w:val="left" w:pos="567"/>
        </w:tabs>
        <w:autoSpaceDE w:val="0"/>
        <w:autoSpaceDN w:val="0"/>
        <w:adjustRightInd w:val="0"/>
        <w:spacing w:after="0" w:line="360" w:lineRule="auto"/>
        <w:rPr>
          <w:rFonts w:ascii="Times New Roman" w:hAnsi="Times New Roman"/>
          <w:color w:val="131413"/>
          <w:sz w:val="24"/>
          <w:szCs w:val="24"/>
        </w:rPr>
      </w:pPr>
    </w:p>
    <w:p w14:paraId="724FA965" w14:textId="77777777" w:rsidR="00D94FF3" w:rsidRPr="002361A6" w:rsidRDefault="00D94FF3" w:rsidP="00D94FF3">
      <w:pPr>
        <w:autoSpaceDE w:val="0"/>
        <w:autoSpaceDN w:val="0"/>
        <w:adjustRightInd w:val="0"/>
        <w:spacing w:after="0" w:line="360" w:lineRule="auto"/>
        <w:jc w:val="both"/>
        <w:rPr>
          <w:rFonts w:ascii="Times New Roman" w:hAnsi="Times New Roman"/>
          <w:b/>
          <w:color w:val="131413"/>
          <w:sz w:val="24"/>
          <w:szCs w:val="24"/>
        </w:rPr>
      </w:pPr>
      <w:r w:rsidRPr="002361A6">
        <w:rPr>
          <w:rFonts w:ascii="Times New Roman" w:hAnsi="Times New Roman"/>
          <w:b/>
          <w:color w:val="131413"/>
          <w:sz w:val="24"/>
          <w:szCs w:val="24"/>
        </w:rPr>
        <w:t>RESUMEN</w:t>
      </w:r>
    </w:p>
    <w:p w14:paraId="752273E3" w14:textId="77777777" w:rsidR="00D94FF3" w:rsidRPr="002361A6" w:rsidRDefault="00D94FF3" w:rsidP="00D94FF3">
      <w:pPr>
        <w:autoSpaceDE w:val="0"/>
        <w:autoSpaceDN w:val="0"/>
        <w:adjustRightInd w:val="0"/>
        <w:spacing w:after="0" w:line="360" w:lineRule="auto"/>
        <w:jc w:val="both"/>
        <w:rPr>
          <w:rFonts w:ascii="Times New Roman" w:hAnsi="Times New Roman"/>
          <w:color w:val="131413"/>
          <w:sz w:val="24"/>
          <w:szCs w:val="24"/>
        </w:rPr>
      </w:pPr>
      <w:r w:rsidRPr="002361A6">
        <w:rPr>
          <w:rFonts w:ascii="Times New Roman" w:hAnsi="Times New Roman"/>
          <w:b/>
          <w:color w:val="131413"/>
          <w:sz w:val="24"/>
          <w:szCs w:val="24"/>
        </w:rPr>
        <w:t>Introducción:</w:t>
      </w:r>
      <w:r w:rsidRPr="002361A6">
        <w:rPr>
          <w:rFonts w:ascii="Times New Roman" w:hAnsi="Times New Roman"/>
          <w:color w:val="131413"/>
          <w:sz w:val="24"/>
          <w:szCs w:val="24"/>
        </w:rPr>
        <w:t xml:space="preserve"> La extensión transdiafragmática del absceso hepático piógeno constituye un caso raro de empiema pleural. Es una enfermedad de progresión rápida y con altas tasas de mortalidad, cercanas al 100 % si no se trata a tiempo.</w:t>
      </w:r>
    </w:p>
    <w:p w14:paraId="45C4B065" w14:textId="77777777" w:rsidR="00D94FF3" w:rsidRPr="002361A6" w:rsidRDefault="00D94FF3" w:rsidP="00D94FF3">
      <w:pPr>
        <w:autoSpaceDE w:val="0"/>
        <w:autoSpaceDN w:val="0"/>
        <w:adjustRightInd w:val="0"/>
        <w:spacing w:after="0" w:line="360" w:lineRule="auto"/>
        <w:jc w:val="both"/>
        <w:rPr>
          <w:rFonts w:ascii="Times New Roman" w:hAnsi="Times New Roman"/>
          <w:color w:val="131413"/>
          <w:sz w:val="24"/>
          <w:szCs w:val="24"/>
        </w:rPr>
      </w:pPr>
      <w:r w:rsidRPr="002361A6">
        <w:rPr>
          <w:rFonts w:ascii="Times New Roman" w:hAnsi="Times New Roman"/>
          <w:b/>
          <w:color w:val="131413"/>
          <w:sz w:val="24"/>
          <w:szCs w:val="24"/>
        </w:rPr>
        <w:t xml:space="preserve">Objetivo: </w:t>
      </w:r>
      <w:r w:rsidRPr="002361A6">
        <w:rPr>
          <w:rFonts w:ascii="Times New Roman" w:hAnsi="Times New Roman"/>
          <w:color w:val="131413"/>
          <w:sz w:val="24"/>
          <w:szCs w:val="24"/>
        </w:rPr>
        <w:t>Describir el caso de una paciente con empiema pleural derecho, secundario a ruptura de absceso piógeno del lóbulo hepático izquierdo.</w:t>
      </w:r>
    </w:p>
    <w:p w14:paraId="25AFDFF2" w14:textId="77777777" w:rsidR="00D94FF3" w:rsidRPr="002361A6" w:rsidRDefault="00D94FF3" w:rsidP="00D94FF3">
      <w:pPr>
        <w:autoSpaceDE w:val="0"/>
        <w:autoSpaceDN w:val="0"/>
        <w:adjustRightInd w:val="0"/>
        <w:spacing w:after="0" w:line="360" w:lineRule="auto"/>
        <w:jc w:val="both"/>
        <w:rPr>
          <w:rFonts w:ascii="Times New Roman" w:hAnsi="Times New Roman"/>
          <w:color w:val="131413"/>
          <w:sz w:val="24"/>
          <w:szCs w:val="24"/>
        </w:rPr>
      </w:pPr>
      <w:r w:rsidRPr="002361A6">
        <w:rPr>
          <w:rFonts w:ascii="Times New Roman" w:hAnsi="Times New Roman"/>
          <w:b/>
          <w:color w:val="131413"/>
          <w:sz w:val="24"/>
          <w:szCs w:val="24"/>
        </w:rPr>
        <w:t>Caso clínico:</w:t>
      </w:r>
      <w:r w:rsidRPr="002361A6">
        <w:rPr>
          <w:rFonts w:ascii="Times New Roman" w:hAnsi="Times New Roman"/>
          <w:color w:val="131413"/>
          <w:sz w:val="24"/>
          <w:szCs w:val="24"/>
        </w:rPr>
        <w:t xml:space="preserve"> Paciente femenina de 70 años de edad que acude al cuerpo de guardia con fiebre, dolor abdominal, síndrome general. La tomografía computadorizada mostró absceso hepático el lóbulo izquierdo con licuefacción casi total y posteriormente presentó como complicación un empiema torácico derecho. La paciente fue tratada con drenaje con sonda pleural. A pesar de los tratamientos antibióticos y quirúrgicos oportunos la paciente fallece en </w:t>
      </w:r>
      <w:r w:rsidRPr="002361A6">
        <w:rPr>
          <w:rFonts w:ascii="Times New Roman" w:hAnsi="Times New Roman"/>
          <w:i/>
          <w:iCs/>
          <w:color w:val="131413"/>
          <w:sz w:val="24"/>
          <w:szCs w:val="24"/>
        </w:rPr>
        <w:t>shock</w:t>
      </w:r>
      <w:r w:rsidRPr="002361A6">
        <w:rPr>
          <w:rFonts w:ascii="Times New Roman" w:hAnsi="Times New Roman"/>
          <w:color w:val="131413"/>
          <w:sz w:val="24"/>
          <w:szCs w:val="24"/>
        </w:rPr>
        <w:t xml:space="preserve"> séptico.</w:t>
      </w:r>
    </w:p>
    <w:p w14:paraId="672F04CE" w14:textId="77777777" w:rsidR="00D94FF3" w:rsidRPr="002361A6" w:rsidRDefault="00D94FF3" w:rsidP="00D94FF3">
      <w:pPr>
        <w:autoSpaceDE w:val="0"/>
        <w:autoSpaceDN w:val="0"/>
        <w:adjustRightInd w:val="0"/>
        <w:spacing w:after="0" w:line="360" w:lineRule="auto"/>
        <w:jc w:val="both"/>
        <w:rPr>
          <w:rFonts w:ascii="Times New Roman" w:hAnsi="Times New Roman"/>
          <w:color w:val="131413"/>
          <w:sz w:val="24"/>
          <w:szCs w:val="24"/>
        </w:rPr>
      </w:pPr>
      <w:r w:rsidRPr="002361A6">
        <w:rPr>
          <w:rFonts w:ascii="Times New Roman" w:hAnsi="Times New Roman"/>
          <w:b/>
          <w:color w:val="131413"/>
          <w:sz w:val="24"/>
          <w:szCs w:val="24"/>
        </w:rPr>
        <w:lastRenderedPageBreak/>
        <w:t>Conclusiones:</w:t>
      </w:r>
      <w:r w:rsidRPr="002361A6">
        <w:rPr>
          <w:rFonts w:ascii="Times New Roman" w:hAnsi="Times New Roman"/>
          <w:color w:val="131413"/>
          <w:sz w:val="24"/>
          <w:szCs w:val="24"/>
        </w:rPr>
        <w:t xml:space="preserve"> Se reporta un caso raro de empiema secundario a absceso hepático del lóbulo izquierdo. La demora de la paciente en acudir a instituciones de salud conllevó al fallecimiento de la paciente a pesar del tratamiento antibiótico y quirúrgico.</w:t>
      </w:r>
    </w:p>
    <w:p w14:paraId="11D82E07" w14:textId="77777777" w:rsidR="00D94FF3" w:rsidRPr="002361A6" w:rsidRDefault="00D94FF3" w:rsidP="00D94FF3">
      <w:pPr>
        <w:autoSpaceDE w:val="0"/>
        <w:autoSpaceDN w:val="0"/>
        <w:adjustRightInd w:val="0"/>
        <w:spacing w:after="0" w:line="360" w:lineRule="auto"/>
        <w:jc w:val="both"/>
        <w:rPr>
          <w:rFonts w:ascii="Times New Roman" w:hAnsi="Times New Roman"/>
          <w:color w:val="131413"/>
          <w:sz w:val="24"/>
          <w:szCs w:val="24"/>
        </w:rPr>
      </w:pPr>
      <w:r w:rsidRPr="002361A6">
        <w:rPr>
          <w:rFonts w:ascii="Times New Roman" w:hAnsi="Times New Roman"/>
          <w:b/>
          <w:bCs/>
          <w:color w:val="131413"/>
          <w:sz w:val="24"/>
          <w:szCs w:val="24"/>
        </w:rPr>
        <w:t>Palabras clave:</w:t>
      </w:r>
      <w:r w:rsidRPr="002361A6">
        <w:rPr>
          <w:rFonts w:ascii="Times New Roman" w:hAnsi="Times New Roman"/>
          <w:color w:val="131413"/>
          <w:sz w:val="24"/>
          <w:szCs w:val="24"/>
        </w:rPr>
        <w:t xml:space="preserve"> absceso hepático izquierdo; fístula biliopleural; empiema derecho.</w:t>
      </w:r>
    </w:p>
    <w:p w14:paraId="2D6A7831" w14:textId="77777777" w:rsidR="00D94FF3" w:rsidRPr="002361A6" w:rsidRDefault="00D94FF3" w:rsidP="00D94FF3">
      <w:pPr>
        <w:autoSpaceDE w:val="0"/>
        <w:autoSpaceDN w:val="0"/>
        <w:adjustRightInd w:val="0"/>
        <w:spacing w:after="0" w:line="360" w:lineRule="auto"/>
        <w:jc w:val="both"/>
        <w:rPr>
          <w:rFonts w:ascii="Times New Roman" w:hAnsi="Times New Roman"/>
          <w:b/>
          <w:color w:val="131413"/>
          <w:sz w:val="24"/>
          <w:szCs w:val="24"/>
        </w:rPr>
      </w:pPr>
    </w:p>
    <w:p w14:paraId="3C41E6A1" w14:textId="77777777" w:rsidR="00D94FF3" w:rsidRPr="002361A6" w:rsidRDefault="00D94FF3" w:rsidP="00D94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sz w:val="24"/>
          <w:szCs w:val="24"/>
          <w:lang w:val="en" w:eastAsia="es-ES"/>
        </w:rPr>
      </w:pPr>
      <w:r w:rsidRPr="002361A6">
        <w:rPr>
          <w:rFonts w:ascii="Times New Roman" w:eastAsia="Times New Roman" w:hAnsi="Times New Roman"/>
          <w:b/>
          <w:sz w:val="24"/>
          <w:szCs w:val="24"/>
          <w:lang w:val="en" w:eastAsia="es-ES"/>
        </w:rPr>
        <w:t>ABSTRACT</w:t>
      </w:r>
    </w:p>
    <w:p w14:paraId="47398794" w14:textId="77777777" w:rsidR="00D94FF3" w:rsidRPr="002361A6" w:rsidRDefault="00D94FF3" w:rsidP="00D94FF3">
      <w:pPr>
        <w:pStyle w:val="HTMLconformatoprevio"/>
        <w:spacing w:line="360" w:lineRule="auto"/>
        <w:jc w:val="both"/>
        <w:rPr>
          <w:rFonts w:ascii="Times New Roman" w:hAnsi="Times New Roman"/>
          <w:sz w:val="24"/>
          <w:szCs w:val="24"/>
          <w:lang w:val="en"/>
        </w:rPr>
      </w:pPr>
      <w:r w:rsidRPr="002361A6">
        <w:rPr>
          <w:rFonts w:ascii="Times New Roman" w:hAnsi="Times New Roman"/>
          <w:b/>
          <w:bCs/>
          <w:sz w:val="24"/>
          <w:szCs w:val="24"/>
          <w:lang w:val="en"/>
        </w:rPr>
        <w:t xml:space="preserve">Introduction: </w:t>
      </w:r>
      <w:r w:rsidRPr="002361A6">
        <w:rPr>
          <w:rFonts w:ascii="Times New Roman" w:hAnsi="Times New Roman"/>
          <w:sz w:val="24"/>
          <w:szCs w:val="24"/>
          <w:lang w:val="en"/>
        </w:rPr>
        <w:t>The transdiaphragmatic extension of the pyogenic liver abscess constitutes a rare case of pleural empyema. It is a rapidly progressive disease with high mortality rates close to 100% if it is not treated in time.</w:t>
      </w:r>
    </w:p>
    <w:p w14:paraId="0513117C" w14:textId="77777777" w:rsidR="00D94FF3" w:rsidRPr="002361A6" w:rsidRDefault="00D94FF3" w:rsidP="00D94FF3">
      <w:pPr>
        <w:pStyle w:val="HTMLconformatoprevio"/>
        <w:spacing w:line="360" w:lineRule="auto"/>
        <w:jc w:val="both"/>
        <w:rPr>
          <w:rFonts w:ascii="Times New Roman" w:hAnsi="Times New Roman"/>
          <w:sz w:val="24"/>
          <w:szCs w:val="24"/>
          <w:lang w:val="en"/>
        </w:rPr>
      </w:pPr>
      <w:r w:rsidRPr="002361A6">
        <w:rPr>
          <w:rFonts w:ascii="Times New Roman" w:hAnsi="Times New Roman"/>
          <w:b/>
          <w:bCs/>
          <w:sz w:val="24"/>
          <w:szCs w:val="24"/>
          <w:lang w:val="en"/>
        </w:rPr>
        <w:t>Objective:</w:t>
      </w:r>
      <w:r w:rsidRPr="002361A6">
        <w:rPr>
          <w:rFonts w:ascii="Times New Roman" w:hAnsi="Times New Roman"/>
          <w:sz w:val="24"/>
          <w:szCs w:val="24"/>
          <w:lang w:val="en"/>
        </w:rPr>
        <w:t xml:space="preserve"> To describe the case of a patient with right pleural empyema secondary to a ruptured pyogenic abscess of the left hepatic lobe.</w:t>
      </w:r>
    </w:p>
    <w:p w14:paraId="479277EC" w14:textId="77777777" w:rsidR="00D94FF3" w:rsidRPr="002361A6" w:rsidRDefault="00D94FF3" w:rsidP="00D94FF3">
      <w:pPr>
        <w:pStyle w:val="HTMLconformatoprevio"/>
        <w:spacing w:line="360" w:lineRule="auto"/>
        <w:jc w:val="both"/>
        <w:rPr>
          <w:rFonts w:ascii="Times New Roman" w:hAnsi="Times New Roman"/>
          <w:sz w:val="24"/>
          <w:szCs w:val="24"/>
          <w:lang w:val="en"/>
        </w:rPr>
      </w:pPr>
      <w:r w:rsidRPr="002361A6">
        <w:rPr>
          <w:rFonts w:ascii="Times New Roman" w:hAnsi="Times New Roman"/>
          <w:b/>
          <w:bCs/>
          <w:sz w:val="24"/>
          <w:szCs w:val="24"/>
          <w:lang w:val="en"/>
        </w:rPr>
        <w:t>Clinical case:</w:t>
      </w:r>
      <w:r w:rsidRPr="002361A6">
        <w:rPr>
          <w:rFonts w:ascii="Times New Roman" w:hAnsi="Times New Roman"/>
          <w:sz w:val="24"/>
          <w:szCs w:val="24"/>
          <w:lang w:val="en"/>
        </w:rPr>
        <w:t xml:space="preserve"> A 70-year-old female patient who came to emergency with fever, abdominal pain and general syndrome. The computed tomography scan showed a liver abscess in the left lobe with almost total liquefaction, and later a right thoracic empyema was a complication. The patient was treated with chest tube drainage. Despite timely antibiotic and surgical treatments, the patient died of septic shock.</w:t>
      </w:r>
    </w:p>
    <w:p w14:paraId="590F6336" w14:textId="77777777" w:rsidR="00D94FF3" w:rsidRPr="002361A6" w:rsidRDefault="00D94FF3" w:rsidP="00D94FF3">
      <w:pPr>
        <w:pStyle w:val="HTMLconformatoprevio"/>
        <w:spacing w:line="360" w:lineRule="auto"/>
        <w:jc w:val="both"/>
        <w:rPr>
          <w:rFonts w:ascii="Times New Roman" w:hAnsi="Times New Roman"/>
          <w:sz w:val="24"/>
          <w:szCs w:val="24"/>
          <w:lang w:val="en-US"/>
        </w:rPr>
      </w:pPr>
      <w:r w:rsidRPr="002361A6">
        <w:rPr>
          <w:rFonts w:ascii="Times New Roman" w:hAnsi="Times New Roman"/>
          <w:b/>
          <w:bCs/>
          <w:sz w:val="24"/>
          <w:szCs w:val="24"/>
          <w:lang w:val="en"/>
        </w:rPr>
        <w:t xml:space="preserve">Conclusions: </w:t>
      </w:r>
      <w:r w:rsidRPr="002361A6">
        <w:rPr>
          <w:rFonts w:ascii="Times New Roman" w:hAnsi="Times New Roman"/>
          <w:sz w:val="24"/>
          <w:szCs w:val="24"/>
          <w:lang w:val="en"/>
        </w:rPr>
        <w:t>A rare case of empyema secondary to liver abscess of the left lobe is reported. The delay of the patient in going to health institutions led to the death of the patient despite antibiotic and surgical treatment.</w:t>
      </w:r>
    </w:p>
    <w:p w14:paraId="3E5DFD96" w14:textId="77777777" w:rsidR="00D94FF3" w:rsidRPr="002361A6" w:rsidRDefault="00D94FF3" w:rsidP="00D94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es-ES"/>
        </w:rPr>
      </w:pPr>
      <w:r w:rsidRPr="002361A6">
        <w:rPr>
          <w:rFonts w:ascii="Times New Roman" w:eastAsia="Times New Roman" w:hAnsi="Times New Roman"/>
          <w:b/>
          <w:bCs/>
          <w:sz w:val="24"/>
          <w:szCs w:val="24"/>
          <w:lang w:val="en" w:eastAsia="es-ES"/>
        </w:rPr>
        <w:t>Keywords:</w:t>
      </w:r>
      <w:r w:rsidRPr="002361A6">
        <w:rPr>
          <w:rFonts w:ascii="Times New Roman" w:eastAsia="Times New Roman" w:hAnsi="Times New Roman"/>
          <w:sz w:val="24"/>
          <w:szCs w:val="24"/>
          <w:lang w:val="en" w:eastAsia="es-ES"/>
        </w:rPr>
        <w:t xml:space="preserve"> left liver abscess; biliopleural fistula; rigth empyema.</w:t>
      </w:r>
    </w:p>
    <w:p w14:paraId="36D63DB5" w14:textId="77777777" w:rsidR="00D94FF3" w:rsidRPr="002361A6" w:rsidRDefault="00D94FF3" w:rsidP="00D94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es-ES"/>
        </w:rPr>
      </w:pPr>
    </w:p>
    <w:p w14:paraId="540A16E7" w14:textId="77777777" w:rsidR="00D94FF3" w:rsidRPr="002361A6" w:rsidRDefault="00D94FF3" w:rsidP="00D94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 w:eastAsia="es-ES"/>
        </w:rPr>
      </w:pPr>
    </w:p>
    <w:p w14:paraId="221D8711" w14:textId="77777777" w:rsidR="00D94FF3" w:rsidRPr="002361A6" w:rsidRDefault="00D94FF3" w:rsidP="00D94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eastAsia="es-ES"/>
        </w:rPr>
      </w:pPr>
      <w:r w:rsidRPr="002361A6">
        <w:rPr>
          <w:rFonts w:ascii="Times New Roman" w:eastAsia="Times New Roman" w:hAnsi="Times New Roman"/>
          <w:sz w:val="24"/>
          <w:szCs w:val="24"/>
          <w:lang w:eastAsia="es-ES"/>
        </w:rPr>
        <w:t>Recibido: 07/10/2020</w:t>
      </w:r>
    </w:p>
    <w:p w14:paraId="61D36746" w14:textId="77777777" w:rsidR="00D94FF3" w:rsidRPr="002361A6" w:rsidRDefault="00D94FF3" w:rsidP="00D94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eastAsia="es-ES"/>
        </w:rPr>
      </w:pPr>
      <w:r w:rsidRPr="002361A6">
        <w:rPr>
          <w:rFonts w:ascii="Times New Roman" w:eastAsia="Times New Roman" w:hAnsi="Times New Roman"/>
          <w:sz w:val="24"/>
          <w:szCs w:val="24"/>
          <w:lang w:eastAsia="es-ES"/>
        </w:rPr>
        <w:t>Aprobado: 06/01/2021</w:t>
      </w:r>
    </w:p>
    <w:p w14:paraId="1924D652" w14:textId="77777777" w:rsidR="00D94FF3" w:rsidRPr="002361A6" w:rsidRDefault="00D94FF3" w:rsidP="00D94FF3">
      <w:pPr>
        <w:autoSpaceDE w:val="0"/>
        <w:autoSpaceDN w:val="0"/>
        <w:adjustRightInd w:val="0"/>
        <w:spacing w:after="0" w:line="360" w:lineRule="auto"/>
        <w:jc w:val="both"/>
        <w:rPr>
          <w:rFonts w:ascii="Times New Roman" w:hAnsi="Times New Roman"/>
          <w:b/>
          <w:bCs/>
          <w:sz w:val="24"/>
          <w:szCs w:val="24"/>
        </w:rPr>
      </w:pPr>
    </w:p>
    <w:p w14:paraId="42BB28F8" w14:textId="77777777" w:rsidR="004447DD" w:rsidRDefault="004447DD" w:rsidP="00D94FF3">
      <w:pPr>
        <w:autoSpaceDE w:val="0"/>
        <w:autoSpaceDN w:val="0"/>
        <w:adjustRightInd w:val="0"/>
        <w:spacing w:after="0" w:line="360" w:lineRule="auto"/>
        <w:jc w:val="center"/>
        <w:rPr>
          <w:rFonts w:ascii="Times New Roman" w:hAnsi="Times New Roman"/>
          <w:b/>
          <w:bCs/>
          <w:sz w:val="32"/>
          <w:szCs w:val="32"/>
        </w:rPr>
      </w:pPr>
    </w:p>
    <w:p w14:paraId="353ED0FF" w14:textId="3D13FC19" w:rsidR="00D94FF3" w:rsidRPr="002361A6" w:rsidRDefault="00D94FF3" w:rsidP="00D94FF3">
      <w:pPr>
        <w:autoSpaceDE w:val="0"/>
        <w:autoSpaceDN w:val="0"/>
        <w:adjustRightInd w:val="0"/>
        <w:spacing w:after="0" w:line="360" w:lineRule="auto"/>
        <w:jc w:val="center"/>
        <w:rPr>
          <w:rFonts w:ascii="Times New Roman" w:hAnsi="Times New Roman"/>
          <w:b/>
          <w:bCs/>
          <w:sz w:val="32"/>
          <w:szCs w:val="32"/>
        </w:rPr>
      </w:pPr>
      <w:r w:rsidRPr="002361A6">
        <w:rPr>
          <w:rFonts w:ascii="Times New Roman" w:hAnsi="Times New Roman"/>
          <w:b/>
          <w:bCs/>
          <w:sz w:val="32"/>
          <w:szCs w:val="32"/>
        </w:rPr>
        <w:t>INTRODUCCIÓN</w:t>
      </w:r>
    </w:p>
    <w:p w14:paraId="45E48BDF" w14:textId="77777777" w:rsidR="00D94FF3" w:rsidRPr="002361A6" w:rsidRDefault="00D94FF3" w:rsidP="00D94FF3">
      <w:pPr>
        <w:pStyle w:val="Default"/>
        <w:spacing w:line="360" w:lineRule="auto"/>
        <w:jc w:val="both"/>
        <w:rPr>
          <w:rFonts w:ascii="Times New Roman" w:eastAsia="SegoeUI" w:hAnsi="Times New Roman" w:cs="Times New Roman"/>
        </w:rPr>
      </w:pPr>
      <w:r w:rsidRPr="002361A6">
        <w:rPr>
          <w:rFonts w:ascii="Times New Roman" w:eastAsia="SegoeUI" w:hAnsi="Times New Roman" w:cs="Times New Roman"/>
        </w:rPr>
        <w:t xml:space="preserve">Los abscesos piógenos del hígado son relativamente raros. Fueron descritos por primera vez desde el tiempo de </w:t>
      </w:r>
      <w:r w:rsidRPr="002361A6">
        <w:rPr>
          <w:rFonts w:ascii="Times New Roman" w:eastAsia="SegoeUI" w:hAnsi="Times New Roman" w:cs="Times New Roman"/>
          <w:i/>
        </w:rPr>
        <w:t>Hipócrates</w:t>
      </w:r>
      <w:r w:rsidRPr="002361A6">
        <w:rPr>
          <w:rFonts w:ascii="Times New Roman" w:eastAsia="SegoeUI" w:hAnsi="Times New Roman" w:cs="Times New Roman"/>
        </w:rPr>
        <w:t xml:space="preserve"> (400 a.C.) y publicados por primera vez en la revisión del </w:t>
      </w:r>
      <w:r w:rsidRPr="002361A6">
        <w:rPr>
          <w:rFonts w:ascii="Times New Roman" w:eastAsia="SegoeUI" w:hAnsi="Times New Roman" w:cs="Times New Roman"/>
          <w:i/>
        </w:rPr>
        <w:t>Dr. Bright</w:t>
      </w:r>
      <w:r w:rsidRPr="002361A6">
        <w:rPr>
          <w:rFonts w:ascii="Times New Roman" w:eastAsia="SegoeUI" w:hAnsi="Times New Roman" w:cs="Times New Roman"/>
        </w:rPr>
        <w:t xml:space="preserve"> en el año </w:t>
      </w:r>
      <w:r w:rsidRPr="002361A6">
        <w:rPr>
          <w:rFonts w:ascii="Times New Roman" w:eastAsia="SegoeUI" w:hAnsi="Times New Roman" w:cs="Times New Roman"/>
        </w:rPr>
        <w:lastRenderedPageBreak/>
        <w:t>1936.</w:t>
      </w:r>
      <w:r w:rsidRPr="002361A6">
        <w:rPr>
          <w:rFonts w:ascii="Times New Roman" w:eastAsia="SegoeUI" w:hAnsi="Times New Roman" w:cs="Times New Roman"/>
          <w:bCs/>
          <w:vertAlign w:val="superscript"/>
        </w:rPr>
        <w:t>(1)</w:t>
      </w:r>
      <w:r w:rsidRPr="002361A6">
        <w:rPr>
          <w:rFonts w:ascii="Times New Roman" w:eastAsia="SegoeUI" w:hAnsi="Times New Roman" w:cs="Times New Roman"/>
        </w:rPr>
        <w:t xml:space="preserve"> Su cuadro clínico de presentación atípico, dificulta el diagnóstico. El lóbulo hepático derecho es afectado con mayor frecuencia que el izquierdo, con una razón de 2:1</w:t>
      </w:r>
      <w:r w:rsidRPr="002361A6">
        <w:rPr>
          <w:rFonts w:ascii="Times New Roman" w:hAnsi="Times New Roman" w:cs="Times New Roman"/>
          <w:lang w:eastAsia="es-ES"/>
        </w:rPr>
        <w:t>.</w:t>
      </w:r>
      <w:r w:rsidRPr="002361A6">
        <w:rPr>
          <w:rFonts w:ascii="Times New Roman" w:hAnsi="Times New Roman" w:cs="Times New Roman"/>
          <w:vertAlign w:val="superscript"/>
          <w:lang w:eastAsia="es-ES"/>
        </w:rPr>
        <w:t>(</w:t>
      </w:r>
      <w:r w:rsidRPr="002361A6">
        <w:rPr>
          <w:rFonts w:ascii="Times New Roman" w:eastAsia="SegoeUI" w:hAnsi="Times New Roman" w:cs="Times New Roman"/>
          <w:vertAlign w:val="superscript"/>
        </w:rPr>
        <w:t>1,2)</w:t>
      </w:r>
    </w:p>
    <w:p w14:paraId="6BD6BD8E" w14:textId="77777777" w:rsidR="00D94FF3" w:rsidRPr="002361A6" w:rsidRDefault="00D94FF3" w:rsidP="00D94FF3">
      <w:pPr>
        <w:pStyle w:val="Default"/>
        <w:spacing w:line="360" w:lineRule="auto"/>
        <w:jc w:val="both"/>
        <w:rPr>
          <w:rFonts w:ascii="Times New Roman" w:hAnsi="Times New Roman" w:cs="Times New Roman"/>
        </w:rPr>
      </w:pPr>
      <w:r w:rsidRPr="002361A6">
        <w:rPr>
          <w:rFonts w:ascii="Times New Roman" w:hAnsi="Times New Roman" w:cs="Times New Roman"/>
          <w:lang w:eastAsia="es-ES"/>
        </w:rPr>
        <w:t>Los abscesos hepáticos más frecuentes son derechos y drenan hacia la cavidad pleural ipsilateral, de ahí</w:t>
      </w:r>
      <w:r w:rsidRPr="002361A6">
        <w:rPr>
          <w:rFonts w:ascii="Times New Roman" w:hAnsi="Times New Roman" w:cs="Times New Roman"/>
        </w:rPr>
        <w:t xml:space="preserve"> la importancia en publicar este caso, en quien un absceso en el lóbulo hepático izquierdo drena espontáneamente hacia la cavidad pleural derecha, caso insólito, no encontrado en la literatura revisada.       </w:t>
      </w:r>
    </w:p>
    <w:p w14:paraId="2832DEBB" w14:textId="77777777" w:rsidR="00D94FF3" w:rsidRPr="002361A6" w:rsidRDefault="00D94FF3" w:rsidP="00D94FF3">
      <w:pPr>
        <w:autoSpaceDE w:val="0"/>
        <w:autoSpaceDN w:val="0"/>
        <w:adjustRightInd w:val="0"/>
        <w:spacing w:after="0" w:line="360" w:lineRule="auto"/>
        <w:jc w:val="both"/>
        <w:rPr>
          <w:rFonts w:ascii="Times New Roman" w:hAnsi="Times New Roman"/>
          <w:bCs/>
          <w:color w:val="131413"/>
          <w:sz w:val="24"/>
          <w:szCs w:val="24"/>
        </w:rPr>
      </w:pPr>
      <w:r w:rsidRPr="002361A6">
        <w:rPr>
          <w:rFonts w:ascii="Times New Roman" w:hAnsi="Times New Roman"/>
          <w:bCs/>
          <w:color w:val="131413"/>
          <w:sz w:val="24"/>
          <w:szCs w:val="24"/>
        </w:rPr>
        <w:t xml:space="preserve">El objetivo de esta presentación es describir el caso de una paciente con empiema pleural derecho, secundario a ruptura de absceso piógeno del lóbulo hepático izquierdo dada la baja frecuencia de esta complicación.      </w:t>
      </w:r>
    </w:p>
    <w:p w14:paraId="4297865F" w14:textId="77777777" w:rsidR="00D94FF3" w:rsidRPr="002361A6" w:rsidRDefault="00D94FF3" w:rsidP="00D94FF3">
      <w:pPr>
        <w:autoSpaceDE w:val="0"/>
        <w:autoSpaceDN w:val="0"/>
        <w:adjustRightInd w:val="0"/>
        <w:spacing w:after="0" w:line="360" w:lineRule="auto"/>
        <w:jc w:val="both"/>
        <w:rPr>
          <w:rFonts w:ascii="Times New Roman" w:hAnsi="Times New Roman"/>
          <w:b/>
          <w:bCs/>
          <w:sz w:val="24"/>
          <w:szCs w:val="24"/>
        </w:rPr>
      </w:pPr>
    </w:p>
    <w:p w14:paraId="4A0ACD91" w14:textId="77777777" w:rsidR="00D94FF3" w:rsidRPr="002361A6" w:rsidRDefault="00D94FF3" w:rsidP="00D94FF3">
      <w:pPr>
        <w:autoSpaceDE w:val="0"/>
        <w:autoSpaceDN w:val="0"/>
        <w:adjustRightInd w:val="0"/>
        <w:spacing w:after="0" w:line="360" w:lineRule="auto"/>
        <w:jc w:val="both"/>
        <w:rPr>
          <w:rFonts w:ascii="Times New Roman" w:hAnsi="Times New Roman"/>
          <w:b/>
          <w:bCs/>
          <w:sz w:val="24"/>
          <w:szCs w:val="24"/>
        </w:rPr>
      </w:pPr>
    </w:p>
    <w:p w14:paraId="1B7D1276" w14:textId="77777777" w:rsidR="00D94FF3" w:rsidRPr="002361A6" w:rsidRDefault="00D94FF3" w:rsidP="00D94FF3">
      <w:pPr>
        <w:autoSpaceDE w:val="0"/>
        <w:autoSpaceDN w:val="0"/>
        <w:adjustRightInd w:val="0"/>
        <w:spacing w:after="0" w:line="360" w:lineRule="auto"/>
        <w:jc w:val="center"/>
        <w:rPr>
          <w:rFonts w:ascii="Times New Roman" w:hAnsi="Times New Roman"/>
          <w:b/>
          <w:bCs/>
          <w:sz w:val="32"/>
          <w:szCs w:val="32"/>
        </w:rPr>
      </w:pPr>
      <w:r w:rsidRPr="002361A6">
        <w:rPr>
          <w:rFonts w:ascii="Times New Roman" w:hAnsi="Times New Roman"/>
          <w:b/>
          <w:bCs/>
          <w:sz w:val="32"/>
          <w:szCs w:val="32"/>
        </w:rPr>
        <w:t>CASO CLÍNICO</w:t>
      </w:r>
    </w:p>
    <w:p w14:paraId="283A0A17"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Mujer de 70 años de edad con antecedentes patológicos personales de cirrosis hepática por virus de la hepatitis C, colecistectomizada hace 20 años, que hace aproximadamente 10 años, presentó cuadro de íctero obstructivo por litiasis primaria de colédoco, por lo cual requirió la colocación de una endoprótesis en la vía biliar que no fue removida posteriormente.</w:t>
      </w:r>
    </w:p>
    <w:p w14:paraId="55A1EA4C"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Ingresó al servicio de urgencias por un cuadro clínico de un mes de evolución, caracterizado por dolor abdominal en epigastrio, sin irradiación, mantenido, de moderada intensidad, asociado a fiebre de 38 – 39 ºC, vespertina. Progresivamente apareció astenia, anorexia y pérdida de peso no cuantificada, pero ostensible con el decurso del tiempo.</w:t>
      </w:r>
    </w:p>
    <w:p w14:paraId="3FA64C90"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En el examen físico al ingreso, se documentó una paciente con aspecto de enferma aguda,  coloración ictérica de la piel, mucosas ligeramente secas e hipocoloreadas, índice de masa corporal de 17 kg/cm</w:t>
      </w:r>
      <w:r w:rsidRPr="002361A6">
        <w:rPr>
          <w:rFonts w:ascii="Times New Roman" w:eastAsia="SegoeUI" w:hAnsi="Times New Roman"/>
          <w:sz w:val="24"/>
          <w:szCs w:val="24"/>
          <w:vertAlign w:val="superscript"/>
        </w:rPr>
        <w:t>2</w:t>
      </w:r>
      <w:r w:rsidRPr="002361A6">
        <w:rPr>
          <w:rFonts w:ascii="Times New Roman" w:eastAsia="SegoeUI" w:hAnsi="Times New Roman"/>
          <w:sz w:val="24"/>
          <w:szCs w:val="24"/>
        </w:rPr>
        <w:t>, temperatura de 38,5 ºC, sin signos de dificultad respiratoria, con murmullo vesicular audible en ambos campos pulmonares, sin estertores, SO</w:t>
      </w:r>
      <w:r w:rsidRPr="002361A6">
        <w:rPr>
          <w:rFonts w:ascii="Times New Roman" w:eastAsia="SegoeUI" w:hAnsi="Times New Roman"/>
          <w:sz w:val="24"/>
          <w:szCs w:val="24"/>
          <w:vertAlign w:val="subscript"/>
        </w:rPr>
        <w:t>2</w:t>
      </w:r>
      <w:r w:rsidRPr="002361A6">
        <w:rPr>
          <w:rFonts w:ascii="Times New Roman" w:eastAsia="SegoeUI" w:hAnsi="Times New Roman"/>
          <w:sz w:val="24"/>
          <w:szCs w:val="24"/>
        </w:rPr>
        <w:t xml:space="preserve"> 98 %; taquicardia ligera (115 latidos por minuto), tensión arterial de 100/60 mmHg, dolor a la palpación del abdomen en el epigastrio, con masa de aproximadamente 10 cm de diámetro, dolorosa, no móvil y de consistencia dura, con contractura abdominal en dicha zona. Ruidos hidroaéreos normales. El tacto rectal fue normal.</w:t>
      </w:r>
    </w:p>
    <w:p w14:paraId="69D3F9D1"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El hemograma mostró anemia, leucocitosis con neutrofilia y eritrosedimentación acelerada (tabla 1).</w:t>
      </w:r>
    </w:p>
    <w:p w14:paraId="0423A809"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p>
    <w:p w14:paraId="66F22454" w14:textId="77777777" w:rsidR="00D94FF3" w:rsidRPr="002361A6" w:rsidRDefault="00D94FF3" w:rsidP="00D94FF3">
      <w:pPr>
        <w:autoSpaceDE w:val="0"/>
        <w:autoSpaceDN w:val="0"/>
        <w:adjustRightInd w:val="0"/>
        <w:spacing w:after="0" w:line="360" w:lineRule="auto"/>
        <w:jc w:val="center"/>
        <w:rPr>
          <w:rFonts w:ascii="Times New Roman" w:eastAsia="SegoeUI" w:hAnsi="Times New Roman"/>
          <w:bCs/>
        </w:rPr>
      </w:pPr>
      <w:r w:rsidRPr="002361A6">
        <w:rPr>
          <w:rFonts w:ascii="Times New Roman" w:eastAsia="SegoeUI" w:hAnsi="Times New Roman"/>
          <w:b/>
        </w:rPr>
        <w:t>Tabla 1 -</w:t>
      </w:r>
      <w:r w:rsidRPr="002361A6">
        <w:rPr>
          <w:rFonts w:ascii="Times New Roman" w:eastAsia="SegoeUI" w:hAnsi="Times New Roman"/>
          <w:bCs/>
        </w:rPr>
        <w:t xml:space="preserve"> Analítica sanguínea realizada en las primeras 24 horas del ingreso hospitalario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314"/>
        <w:gridCol w:w="2898"/>
        <w:gridCol w:w="2106"/>
      </w:tblGrid>
      <w:tr w:rsidR="00D94FF3" w:rsidRPr="002361A6" w14:paraId="4CE43442" w14:textId="77777777" w:rsidTr="00EB306D">
        <w:trPr>
          <w:jc w:val="center"/>
        </w:trPr>
        <w:tc>
          <w:tcPr>
            <w:tcW w:w="2514" w:type="dxa"/>
            <w:shd w:val="clear" w:color="auto" w:fill="auto"/>
          </w:tcPr>
          <w:p w14:paraId="72689A28" w14:textId="77777777" w:rsidR="00D94FF3" w:rsidRPr="002361A6" w:rsidRDefault="00D94FF3" w:rsidP="00EB306D">
            <w:pPr>
              <w:autoSpaceDE w:val="0"/>
              <w:autoSpaceDN w:val="0"/>
              <w:adjustRightInd w:val="0"/>
              <w:spacing w:after="0" w:line="360" w:lineRule="auto"/>
              <w:jc w:val="center"/>
              <w:rPr>
                <w:rFonts w:ascii="Times New Roman" w:eastAsia="SegoeUI" w:hAnsi="Times New Roman"/>
                <w:b/>
                <w:bCs/>
                <w:sz w:val="18"/>
                <w:szCs w:val="18"/>
              </w:rPr>
            </w:pPr>
            <w:r w:rsidRPr="002361A6">
              <w:rPr>
                <w:rFonts w:ascii="Times New Roman" w:eastAsia="SegoeUI" w:hAnsi="Times New Roman"/>
                <w:b/>
                <w:bCs/>
                <w:sz w:val="18"/>
                <w:szCs w:val="18"/>
              </w:rPr>
              <w:lastRenderedPageBreak/>
              <w:t>Hemograma</w:t>
            </w:r>
          </w:p>
        </w:tc>
        <w:tc>
          <w:tcPr>
            <w:tcW w:w="1314" w:type="dxa"/>
            <w:shd w:val="clear" w:color="auto" w:fill="auto"/>
          </w:tcPr>
          <w:p w14:paraId="31EEE319" w14:textId="77777777" w:rsidR="00D94FF3" w:rsidRPr="002361A6" w:rsidRDefault="00D94FF3" w:rsidP="00EB306D">
            <w:pPr>
              <w:autoSpaceDE w:val="0"/>
              <w:autoSpaceDN w:val="0"/>
              <w:adjustRightInd w:val="0"/>
              <w:spacing w:after="0" w:line="360" w:lineRule="auto"/>
              <w:jc w:val="center"/>
              <w:rPr>
                <w:rFonts w:ascii="Times New Roman" w:eastAsia="SegoeUI" w:hAnsi="Times New Roman"/>
                <w:b/>
                <w:bCs/>
                <w:sz w:val="18"/>
                <w:szCs w:val="18"/>
              </w:rPr>
            </w:pPr>
            <w:r w:rsidRPr="002361A6">
              <w:rPr>
                <w:rFonts w:ascii="Times New Roman" w:eastAsia="SegoeUI" w:hAnsi="Times New Roman"/>
                <w:b/>
                <w:bCs/>
                <w:sz w:val="18"/>
                <w:szCs w:val="18"/>
              </w:rPr>
              <w:t>Uroanálisis</w:t>
            </w:r>
          </w:p>
        </w:tc>
        <w:tc>
          <w:tcPr>
            <w:tcW w:w="2898" w:type="dxa"/>
            <w:shd w:val="clear" w:color="auto" w:fill="auto"/>
          </w:tcPr>
          <w:p w14:paraId="348B0595" w14:textId="77777777" w:rsidR="00D94FF3" w:rsidRPr="002361A6" w:rsidRDefault="00D94FF3" w:rsidP="00EB306D">
            <w:pPr>
              <w:autoSpaceDE w:val="0"/>
              <w:autoSpaceDN w:val="0"/>
              <w:adjustRightInd w:val="0"/>
              <w:spacing w:after="0" w:line="360" w:lineRule="auto"/>
              <w:jc w:val="center"/>
              <w:rPr>
                <w:rFonts w:ascii="Times New Roman" w:eastAsia="SegoeUI" w:hAnsi="Times New Roman"/>
                <w:b/>
                <w:bCs/>
                <w:sz w:val="18"/>
                <w:szCs w:val="18"/>
              </w:rPr>
            </w:pPr>
            <w:r w:rsidRPr="002361A6">
              <w:rPr>
                <w:rFonts w:ascii="Times New Roman" w:eastAsia="SegoeUI" w:hAnsi="Times New Roman"/>
                <w:b/>
                <w:bCs/>
                <w:sz w:val="18"/>
                <w:szCs w:val="18"/>
              </w:rPr>
              <w:t>Química sanguínea</w:t>
            </w:r>
          </w:p>
        </w:tc>
        <w:tc>
          <w:tcPr>
            <w:tcW w:w="2106" w:type="dxa"/>
            <w:shd w:val="clear" w:color="auto" w:fill="auto"/>
          </w:tcPr>
          <w:p w14:paraId="5461F441" w14:textId="77777777" w:rsidR="00D94FF3" w:rsidRPr="002361A6" w:rsidRDefault="00D94FF3" w:rsidP="00EB306D">
            <w:pPr>
              <w:autoSpaceDE w:val="0"/>
              <w:autoSpaceDN w:val="0"/>
              <w:adjustRightInd w:val="0"/>
              <w:spacing w:after="0" w:line="360" w:lineRule="auto"/>
              <w:jc w:val="center"/>
              <w:rPr>
                <w:rFonts w:ascii="Times New Roman" w:eastAsia="SegoeUI" w:hAnsi="Times New Roman"/>
                <w:b/>
                <w:bCs/>
                <w:sz w:val="18"/>
                <w:szCs w:val="18"/>
              </w:rPr>
            </w:pPr>
            <w:r w:rsidRPr="002361A6">
              <w:rPr>
                <w:rFonts w:ascii="Times New Roman" w:eastAsia="SegoeUI" w:hAnsi="Times New Roman"/>
                <w:b/>
                <w:bCs/>
                <w:sz w:val="18"/>
                <w:szCs w:val="18"/>
              </w:rPr>
              <w:t>Gases arteriales</w:t>
            </w:r>
          </w:p>
        </w:tc>
      </w:tr>
      <w:tr w:rsidR="00D94FF3" w:rsidRPr="002361A6" w14:paraId="6DA0FB13" w14:textId="77777777" w:rsidTr="00EB306D">
        <w:trPr>
          <w:trHeight w:val="70"/>
          <w:jc w:val="center"/>
        </w:trPr>
        <w:tc>
          <w:tcPr>
            <w:tcW w:w="2514" w:type="dxa"/>
          </w:tcPr>
          <w:p w14:paraId="69B5AF3A"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Hemoglobina 9,2 g/L</w:t>
            </w:r>
          </w:p>
          <w:p w14:paraId="7A102972"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Hematocrito 0,28</w:t>
            </w:r>
          </w:p>
          <w:p w14:paraId="5912F166"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Plaquetas 200 x 10</w:t>
            </w:r>
            <w:r w:rsidRPr="002361A6">
              <w:rPr>
                <w:rFonts w:ascii="Times New Roman" w:eastAsia="SegoeUI" w:hAnsi="Times New Roman"/>
                <w:sz w:val="18"/>
                <w:szCs w:val="18"/>
                <w:vertAlign w:val="superscript"/>
              </w:rPr>
              <w:t xml:space="preserve">9 </w:t>
            </w:r>
            <w:r w:rsidRPr="002361A6">
              <w:rPr>
                <w:rFonts w:ascii="Times New Roman" w:eastAsia="SegoeUI" w:hAnsi="Times New Roman"/>
                <w:sz w:val="18"/>
                <w:szCs w:val="18"/>
              </w:rPr>
              <w:t>/L</w:t>
            </w:r>
          </w:p>
          <w:p w14:paraId="46C3C0FA"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Leucocitos 18,0 x 10</w:t>
            </w:r>
            <w:r w:rsidRPr="002361A6">
              <w:rPr>
                <w:rFonts w:ascii="Times New Roman" w:eastAsia="SegoeUI" w:hAnsi="Times New Roman"/>
                <w:sz w:val="18"/>
                <w:szCs w:val="18"/>
                <w:vertAlign w:val="superscript"/>
              </w:rPr>
              <w:t xml:space="preserve">9 </w:t>
            </w:r>
            <w:r w:rsidRPr="002361A6">
              <w:rPr>
                <w:rFonts w:ascii="Times New Roman" w:eastAsia="SegoeUI" w:hAnsi="Times New Roman"/>
                <w:sz w:val="18"/>
                <w:szCs w:val="18"/>
              </w:rPr>
              <w:t>/L</w:t>
            </w:r>
          </w:p>
          <w:p w14:paraId="5ECF1860" w14:textId="77777777" w:rsidR="00D94FF3" w:rsidRPr="002361A6" w:rsidRDefault="00D94FF3" w:rsidP="00EB306D">
            <w:pPr>
              <w:autoSpaceDE w:val="0"/>
              <w:autoSpaceDN w:val="0"/>
              <w:adjustRightInd w:val="0"/>
              <w:spacing w:after="0" w:line="360" w:lineRule="auto"/>
              <w:ind w:left="142"/>
              <w:jc w:val="both"/>
              <w:rPr>
                <w:rFonts w:ascii="Times New Roman" w:eastAsia="SegoeUI" w:hAnsi="Times New Roman"/>
                <w:sz w:val="18"/>
                <w:szCs w:val="18"/>
              </w:rPr>
            </w:pPr>
            <w:r w:rsidRPr="002361A6">
              <w:rPr>
                <w:rFonts w:ascii="Times New Roman" w:eastAsia="SegoeUI" w:hAnsi="Times New Roman"/>
                <w:sz w:val="18"/>
                <w:szCs w:val="18"/>
              </w:rPr>
              <w:t>Neutrófilos 0,94 %</w:t>
            </w:r>
          </w:p>
          <w:p w14:paraId="49E707BF" w14:textId="77777777" w:rsidR="00D94FF3" w:rsidRPr="002361A6" w:rsidRDefault="00D94FF3" w:rsidP="00EB306D">
            <w:pPr>
              <w:autoSpaceDE w:val="0"/>
              <w:autoSpaceDN w:val="0"/>
              <w:adjustRightInd w:val="0"/>
              <w:spacing w:after="0" w:line="360" w:lineRule="auto"/>
              <w:ind w:left="142"/>
              <w:jc w:val="both"/>
              <w:rPr>
                <w:rFonts w:ascii="Times New Roman" w:eastAsia="SegoeUI" w:hAnsi="Times New Roman"/>
                <w:sz w:val="18"/>
                <w:szCs w:val="18"/>
              </w:rPr>
            </w:pPr>
            <w:r w:rsidRPr="002361A6">
              <w:rPr>
                <w:rFonts w:ascii="Times New Roman" w:eastAsia="SegoeUI" w:hAnsi="Times New Roman"/>
                <w:sz w:val="18"/>
                <w:szCs w:val="18"/>
              </w:rPr>
              <w:t>Linfocitos 0,06 %</w:t>
            </w:r>
          </w:p>
          <w:p w14:paraId="3F21014E"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Eritrosedimentación 90 mm/h</w:t>
            </w:r>
          </w:p>
        </w:tc>
        <w:tc>
          <w:tcPr>
            <w:tcW w:w="1314" w:type="dxa"/>
          </w:tcPr>
          <w:p w14:paraId="703BDBC9"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 xml:space="preserve">Negativo </w:t>
            </w:r>
          </w:p>
        </w:tc>
        <w:tc>
          <w:tcPr>
            <w:tcW w:w="2898" w:type="dxa"/>
          </w:tcPr>
          <w:p w14:paraId="436B8EAD"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Glicemia 4,4</w:t>
            </w:r>
            <w:r w:rsidRPr="002361A6">
              <w:rPr>
                <w:rFonts w:ascii="Times New Roman" w:hAnsi="Times New Roman"/>
                <w:sz w:val="18"/>
                <w:szCs w:val="18"/>
              </w:rPr>
              <w:t xml:space="preserve"> mmol/L</w:t>
            </w:r>
          </w:p>
          <w:p w14:paraId="104D68FA"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TGO 62</w:t>
            </w:r>
            <w:r w:rsidRPr="002361A6">
              <w:rPr>
                <w:rFonts w:ascii="Times New Roman" w:hAnsi="Times New Roman"/>
                <w:sz w:val="18"/>
                <w:szCs w:val="18"/>
              </w:rPr>
              <w:t>U/L</w:t>
            </w:r>
          </w:p>
          <w:p w14:paraId="04C10867"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TGP 50</w:t>
            </w:r>
            <w:r w:rsidRPr="002361A6">
              <w:rPr>
                <w:rFonts w:ascii="Times New Roman" w:hAnsi="Times New Roman"/>
                <w:sz w:val="18"/>
                <w:szCs w:val="18"/>
              </w:rPr>
              <w:t xml:space="preserve"> U/L</w:t>
            </w:r>
          </w:p>
          <w:p w14:paraId="7C6C1920"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 xml:space="preserve">Colesterol 2,24 </w:t>
            </w:r>
            <w:r w:rsidRPr="002361A6">
              <w:rPr>
                <w:rFonts w:ascii="Times New Roman" w:hAnsi="Times New Roman"/>
                <w:sz w:val="18"/>
                <w:szCs w:val="18"/>
              </w:rPr>
              <w:t>mmol/L</w:t>
            </w:r>
          </w:p>
          <w:p w14:paraId="5A0CEC4A"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Triglicéridos 0,90</w:t>
            </w:r>
            <w:r w:rsidRPr="002361A6">
              <w:rPr>
                <w:rFonts w:ascii="Times New Roman" w:hAnsi="Times New Roman"/>
                <w:sz w:val="18"/>
                <w:szCs w:val="18"/>
              </w:rPr>
              <w:t xml:space="preserve"> mmol/L</w:t>
            </w:r>
          </w:p>
          <w:p w14:paraId="3CD1C2E7"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FAL 350</w:t>
            </w:r>
            <w:r w:rsidRPr="002361A6">
              <w:rPr>
                <w:rFonts w:ascii="Times New Roman" w:hAnsi="Times New Roman"/>
                <w:sz w:val="18"/>
                <w:szCs w:val="18"/>
              </w:rPr>
              <w:t xml:space="preserve"> U/L</w:t>
            </w:r>
          </w:p>
          <w:p w14:paraId="562EE099"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GGT 150</w:t>
            </w:r>
            <w:r w:rsidRPr="002361A6">
              <w:rPr>
                <w:rFonts w:ascii="Times New Roman" w:hAnsi="Times New Roman"/>
                <w:sz w:val="18"/>
                <w:szCs w:val="18"/>
              </w:rPr>
              <w:t xml:space="preserve"> U/L</w:t>
            </w:r>
          </w:p>
          <w:p w14:paraId="5F6B2EC3"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Proteínas totales 57</w:t>
            </w:r>
            <w:r w:rsidRPr="002361A6">
              <w:rPr>
                <w:rFonts w:ascii="Times New Roman" w:hAnsi="Times New Roman"/>
                <w:sz w:val="18"/>
                <w:szCs w:val="18"/>
              </w:rPr>
              <w:t xml:space="preserve"> g/L</w:t>
            </w:r>
          </w:p>
          <w:p w14:paraId="2DEDDF3C"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Albúmina 20,2</w:t>
            </w:r>
            <w:r w:rsidRPr="002361A6">
              <w:rPr>
                <w:rFonts w:ascii="Times New Roman" w:hAnsi="Times New Roman"/>
                <w:sz w:val="18"/>
                <w:szCs w:val="18"/>
              </w:rPr>
              <w:t xml:space="preserve"> g/L</w:t>
            </w:r>
          </w:p>
          <w:p w14:paraId="1999C5F5"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Bilirrubina T 11,9</w:t>
            </w:r>
            <w:r w:rsidRPr="002361A6">
              <w:rPr>
                <w:rFonts w:ascii="Times New Roman" w:hAnsi="Times New Roman"/>
                <w:sz w:val="18"/>
                <w:szCs w:val="18"/>
              </w:rPr>
              <w:t xml:space="preserve"> mmol/L</w:t>
            </w:r>
          </w:p>
          <w:p w14:paraId="3B4C1495"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Amilasa sérica 60,32 US</w:t>
            </w:r>
          </w:p>
        </w:tc>
        <w:tc>
          <w:tcPr>
            <w:tcW w:w="2106" w:type="dxa"/>
          </w:tcPr>
          <w:p w14:paraId="70BE6407"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pH 7,50</w:t>
            </w:r>
          </w:p>
          <w:p w14:paraId="531060D2"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pO</w:t>
            </w:r>
            <w:r w:rsidRPr="002361A6">
              <w:rPr>
                <w:rFonts w:ascii="Times New Roman" w:eastAsia="SegoeUI" w:hAnsi="Times New Roman"/>
                <w:sz w:val="18"/>
                <w:szCs w:val="18"/>
                <w:vertAlign w:val="subscript"/>
              </w:rPr>
              <w:t>2</w:t>
            </w:r>
            <w:r w:rsidRPr="002361A6">
              <w:rPr>
                <w:rFonts w:ascii="Times New Roman" w:eastAsia="SegoeUI" w:hAnsi="Times New Roman"/>
                <w:sz w:val="18"/>
                <w:szCs w:val="18"/>
              </w:rPr>
              <w:t xml:space="preserve"> 82,8 mmHg</w:t>
            </w:r>
          </w:p>
          <w:p w14:paraId="365F30EE"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pCO</w:t>
            </w:r>
            <w:r w:rsidRPr="002361A6">
              <w:rPr>
                <w:rFonts w:ascii="Times New Roman" w:eastAsia="SegoeUI" w:hAnsi="Times New Roman"/>
                <w:sz w:val="18"/>
                <w:szCs w:val="18"/>
                <w:vertAlign w:val="subscript"/>
              </w:rPr>
              <w:t xml:space="preserve">2 </w:t>
            </w:r>
            <w:r w:rsidRPr="002361A6">
              <w:rPr>
                <w:rFonts w:ascii="Times New Roman" w:eastAsia="SegoeUI" w:hAnsi="Times New Roman"/>
                <w:sz w:val="18"/>
                <w:szCs w:val="18"/>
              </w:rPr>
              <w:t>30,7 mmHg</w:t>
            </w:r>
          </w:p>
          <w:p w14:paraId="7CE4EFBA"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rPr>
            </w:pPr>
            <w:r w:rsidRPr="002361A6">
              <w:rPr>
                <w:rFonts w:ascii="Times New Roman" w:eastAsia="SegoeUI" w:hAnsi="Times New Roman"/>
                <w:sz w:val="18"/>
                <w:szCs w:val="18"/>
              </w:rPr>
              <w:t>HCO</w:t>
            </w:r>
            <w:r w:rsidRPr="002361A6">
              <w:rPr>
                <w:rFonts w:ascii="Times New Roman" w:eastAsia="SegoeUI" w:hAnsi="Times New Roman"/>
                <w:sz w:val="18"/>
                <w:szCs w:val="18"/>
                <w:vertAlign w:val="subscript"/>
              </w:rPr>
              <w:t>3</w:t>
            </w:r>
            <w:r w:rsidRPr="002361A6">
              <w:rPr>
                <w:rFonts w:ascii="Times New Roman" w:eastAsia="SegoeUI" w:hAnsi="Times New Roman"/>
                <w:sz w:val="18"/>
                <w:szCs w:val="18"/>
              </w:rPr>
              <w:t xml:space="preserve"> 25,2 mmol/L</w:t>
            </w:r>
          </w:p>
          <w:p w14:paraId="75CDA788" w14:textId="77777777" w:rsidR="00D94FF3" w:rsidRPr="002361A6" w:rsidRDefault="00D94FF3" w:rsidP="00EB306D">
            <w:pPr>
              <w:autoSpaceDE w:val="0"/>
              <w:autoSpaceDN w:val="0"/>
              <w:adjustRightInd w:val="0"/>
              <w:spacing w:after="0" w:line="360" w:lineRule="auto"/>
              <w:jc w:val="both"/>
              <w:rPr>
                <w:rFonts w:ascii="Times New Roman" w:eastAsia="SegoeUI" w:hAnsi="Times New Roman"/>
                <w:sz w:val="18"/>
                <w:szCs w:val="18"/>
                <w:lang w:val="en-US"/>
              </w:rPr>
            </w:pPr>
            <w:r w:rsidRPr="002361A6">
              <w:rPr>
                <w:rFonts w:ascii="Times New Roman" w:eastAsia="SegoeUI" w:hAnsi="Times New Roman"/>
                <w:sz w:val="18"/>
                <w:szCs w:val="18"/>
                <w:lang w:val="en-US"/>
              </w:rPr>
              <w:t>BE +1,0 mmol/L</w:t>
            </w:r>
          </w:p>
        </w:tc>
      </w:tr>
    </w:tbl>
    <w:p w14:paraId="53CCECAE"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lang w:val="en-US"/>
        </w:rPr>
      </w:pPr>
    </w:p>
    <w:p w14:paraId="77A0B4E3"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El ultrasonido abdominal mostró a nivel del lóbulo hepático izquierdo, imagen compleja de contornos irregulares, que mide 102 x 98 mm con ligera dilatación de vías biliares intrahepáticas (Fig. 1).</w:t>
      </w:r>
    </w:p>
    <w:p w14:paraId="6B4854F5"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p>
    <w:p w14:paraId="50F03BCE" w14:textId="77777777" w:rsidR="00D94FF3" w:rsidRPr="002361A6" w:rsidRDefault="00D94FF3" w:rsidP="00D94FF3">
      <w:pPr>
        <w:autoSpaceDE w:val="0"/>
        <w:autoSpaceDN w:val="0"/>
        <w:adjustRightInd w:val="0"/>
        <w:spacing w:after="0" w:line="360" w:lineRule="auto"/>
        <w:jc w:val="center"/>
        <w:rPr>
          <w:rFonts w:ascii="Times New Roman" w:eastAsia="SegoeUI" w:hAnsi="Times New Roman"/>
          <w:sz w:val="24"/>
          <w:szCs w:val="24"/>
        </w:rPr>
      </w:pPr>
      <w:r>
        <w:rPr>
          <w:noProof/>
          <w:lang w:eastAsia="es-ES"/>
        </w:rPr>
        <w:drawing>
          <wp:inline distT="0" distB="0" distL="0" distR="0" wp14:anchorId="2288780A" wp14:editId="6871D872">
            <wp:extent cx="2568575" cy="238569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8575" cy="2385695"/>
                    </a:xfrm>
                    <a:prstGeom prst="rect">
                      <a:avLst/>
                    </a:prstGeom>
                    <a:noFill/>
                    <a:ln>
                      <a:noFill/>
                    </a:ln>
                  </pic:spPr>
                </pic:pic>
              </a:graphicData>
            </a:graphic>
          </wp:inline>
        </w:drawing>
      </w:r>
    </w:p>
    <w:p w14:paraId="2B3330F8" w14:textId="77777777" w:rsidR="00D94FF3" w:rsidRPr="002361A6" w:rsidRDefault="00D94FF3" w:rsidP="00D94FF3">
      <w:pPr>
        <w:autoSpaceDE w:val="0"/>
        <w:autoSpaceDN w:val="0"/>
        <w:adjustRightInd w:val="0"/>
        <w:spacing w:after="0" w:line="360" w:lineRule="auto"/>
        <w:jc w:val="center"/>
        <w:rPr>
          <w:rFonts w:ascii="Times New Roman" w:eastAsia="SegoeUI" w:hAnsi="Times New Roman"/>
        </w:rPr>
      </w:pPr>
      <w:r w:rsidRPr="002361A6">
        <w:rPr>
          <w:rFonts w:ascii="Times New Roman" w:eastAsia="SegoeUI" w:hAnsi="Times New Roman"/>
          <w:b/>
          <w:bCs/>
        </w:rPr>
        <w:t>Fig. 1 -</w:t>
      </w:r>
      <w:r w:rsidRPr="002361A6">
        <w:rPr>
          <w:rFonts w:ascii="Times New Roman" w:eastAsia="SegoeUI" w:hAnsi="Times New Roman"/>
        </w:rPr>
        <w:t xml:space="preserve"> Ultrasonido de abdomen con imagen compleja a nivel del lóbulo hepático izquierdo. </w:t>
      </w:r>
    </w:p>
    <w:p w14:paraId="65EA597B"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p>
    <w:p w14:paraId="6A77B725"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Se realizó tomografía computadorizada simple de abdomen, que informa: imagen con características similares a las descritas ultrasonográficamente pero de mayor tamaño, aproximadamente de 150 x 100 mm de diámetro. Se corrobora el diagnóstico de absceso hepático de posible etiología bacteriana, dado el antecedente de la presencia de la endoprótesis en la vía biliar principal.</w:t>
      </w:r>
    </w:p>
    <w:p w14:paraId="0DBA0320"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lastRenderedPageBreak/>
        <w:t>Se instauró tratamiento con ceftriaxona, metronidazol y amikacina por vía parenteral y se decidió realizar drenaje percutáneo del absceso, guiado por ultrasonografía. En el momento de realizar el procedimiento, se constató que la colección hepática había disminuido considerablemente y casi desaparecido. Se visualizó un derrame pleural derecho, se sospecha la presencia de una ruptura del absceso hepático hacia la cavidad pleural derecha.</w:t>
      </w:r>
    </w:p>
    <w:p w14:paraId="34169FB1" w14:textId="211F7C6D" w:rsidR="00D94FF3"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Se realizó radiografía de tórax y tomografía computadorizada, que muestra derrame pleural derecho de moderada cuantía (Fig. 2).</w:t>
      </w:r>
    </w:p>
    <w:p w14:paraId="4FF51C44" w14:textId="77777777" w:rsidR="004447DD" w:rsidRPr="002361A6" w:rsidRDefault="004447DD" w:rsidP="00D94FF3">
      <w:pPr>
        <w:autoSpaceDE w:val="0"/>
        <w:autoSpaceDN w:val="0"/>
        <w:adjustRightInd w:val="0"/>
        <w:spacing w:after="0" w:line="360" w:lineRule="auto"/>
        <w:jc w:val="both"/>
        <w:rPr>
          <w:rFonts w:ascii="Times New Roman" w:eastAsia="SegoeUI" w:hAnsi="Times New Roman"/>
          <w:sz w:val="24"/>
          <w:szCs w:val="24"/>
        </w:rPr>
      </w:pPr>
    </w:p>
    <w:p w14:paraId="15789411" w14:textId="77777777" w:rsidR="00D94FF3" w:rsidRPr="002361A6" w:rsidRDefault="00D94FF3" w:rsidP="00D94FF3">
      <w:pPr>
        <w:autoSpaceDE w:val="0"/>
        <w:autoSpaceDN w:val="0"/>
        <w:adjustRightInd w:val="0"/>
        <w:spacing w:after="0" w:line="360" w:lineRule="auto"/>
        <w:jc w:val="center"/>
        <w:rPr>
          <w:rFonts w:ascii="Times New Roman" w:eastAsia="SegoeUI" w:hAnsi="Times New Roman"/>
          <w:sz w:val="24"/>
          <w:szCs w:val="24"/>
        </w:rPr>
      </w:pPr>
      <w:r>
        <w:rPr>
          <w:rFonts w:ascii="Times New Roman" w:hAnsi="Times New Roman"/>
          <w:noProof/>
          <w:lang w:eastAsia="es-ES"/>
        </w:rPr>
        <w:drawing>
          <wp:inline distT="0" distB="0" distL="0" distR="0" wp14:anchorId="72896BD2" wp14:editId="1CFA5266">
            <wp:extent cx="3323590" cy="22263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3590" cy="2226310"/>
                    </a:xfrm>
                    <a:prstGeom prst="rect">
                      <a:avLst/>
                    </a:prstGeom>
                    <a:noFill/>
                    <a:ln>
                      <a:noFill/>
                    </a:ln>
                  </pic:spPr>
                </pic:pic>
              </a:graphicData>
            </a:graphic>
          </wp:inline>
        </w:drawing>
      </w:r>
    </w:p>
    <w:p w14:paraId="4DD4FF28" w14:textId="77777777" w:rsidR="00D94FF3" w:rsidRPr="002361A6" w:rsidRDefault="00D94FF3" w:rsidP="00D94FF3">
      <w:pPr>
        <w:spacing w:after="0" w:line="360" w:lineRule="auto"/>
        <w:jc w:val="center"/>
        <w:rPr>
          <w:rFonts w:ascii="Times New Roman" w:eastAsia="SegoeUI" w:hAnsi="Times New Roman"/>
        </w:rPr>
      </w:pPr>
      <w:r w:rsidRPr="002361A6">
        <w:rPr>
          <w:rFonts w:ascii="Times New Roman" w:eastAsia="SegoeUI" w:hAnsi="Times New Roman"/>
          <w:b/>
          <w:bCs/>
        </w:rPr>
        <w:t>Fig. 2 -</w:t>
      </w:r>
      <w:r w:rsidRPr="002361A6">
        <w:rPr>
          <w:rFonts w:ascii="Times New Roman" w:eastAsia="SegoeUI" w:hAnsi="Times New Roman"/>
        </w:rPr>
        <w:t xml:space="preserve"> Tomografía de tórax simple con derrame pleural derecho de moderada cuantía.</w:t>
      </w:r>
    </w:p>
    <w:p w14:paraId="7F4D7719" w14:textId="77777777" w:rsidR="00D94FF3" w:rsidRDefault="00D94FF3" w:rsidP="00D94FF3">
      <w:pPr>
        <w:spacing w:after="0" w:line="360" w:lineRule="auto"/>
        <w:jc w:val="both"/>
        <w:rPr>
          <w:rFonts w:ascii="Times New Roman" w:eastAsia="SegoeUI" w:hAnsi="Times New Roman"/>
          <w:sz w:val="24"/>
          <w:szCs w:val="24"/>
        </w:rPr>
      </w:pPr>
    </w:p>
    <w:p w14:paraId="56F2F9C5" w14:textId="77777777" w:rsidR="00D94FF3"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 xml:space="preserve">Se procede a realizar pleurostomía mínima baja, se obtuvieron 1500 ml de líquido biliopurulento </w:t>
      </w:r>
      <w:r w:rsidRPr="002361A6">
        <w:rPr>
          <w:rFonts w:ascii="Times New Roman" w:hAnsi="Times New Roman"/>
          <w:color w:val="131413"/>
          <w:sz w:val="24"/>
          <w:szCs w:val="24"/>
          <w:lang w:eastAsia="es-ES"/>
        </w:rPr>
        <w:t>(pH, 7,009; LDH, 7974 U/L y proteínas 3,3 g/dl)</w:t>
      </w:r>
      <w:r w:rsidRPr="002361A6">
        <w:rPr>
          <w:rFonts w:ascii="Times New Roman" w:eastAsia="SegoeUI" w:hAnsi="Times New Roman"/>
          <w:sz w:val="24"/>
          <w:szCs w:val="24"/>
        </w:rPr>
        <w:t xml:space="preserve"> fétido, con fibrina y esfacelos. Además se realizó pleurotomía mínima alta para realizar pleuroclisis.</w:t>
      </w:r>
    </w:p>
    <w:p w14:paraId="4264E0C5" w14:textId="77777777" w:rsidR="00D94FF3" w:rsidRPr="002361A6" w:rsidRDefault="00D94FF3" w:rsidP="00D94FF3">
      <w:pPr>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 xml:space="preserve">El cultivo de la secreción pleural diagnosticó la presencia de </w:t>
      </w:r>
      <w:r w:rsidRPr="002361A6">
        <w:rPr>
          <w:rFonts w:ascii="Times New Roman" w:eastAsia="SegoeUI" w:hAnsi="Times New Roman"/>
          <w:i/>
          <w:sz w:val="24"/>
          <w:szCs w:val="24"/>
        </w:rPr>
        <w:t>Escherichia coli, Enteroccocus faecalis, Pseudomonas spp y Citrobacter spp</w:t>
      </w:r>
      <w:r w:rsidRPr="002361A6">
        <w:rPr>
          <w:rFonts w:ascii="Times New Roman" w:eastAsia="SegoeUI" w:hAnsi="Times New Roman"/>
          <w:sz w:val="24"/>
          <w:szCs w:val="24"/>
        </w:rPr>
        <w:t xml:space="preserve"> sensibles a meropenem, piperacilina tazobactam y fosfomicina</w:t>
      </w:r>
    </w:p>
    <w:p w14:paraId="330FB61E"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El tratamiento parenteral fue cambiado a meropenem 1g ev c/8h, piperacilina/tazobactam 2,25g ev c/8h y clindamicina 600mg ev c/6h.</w:t>
      </w:r>
    </w:p>
    <w:p w14:paraId="7CCA5A7C"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 xml:space="preserve">Evolutivamente las secreciones obtenidas por la sonda de pleurotomía, comenzaron a ser serosas y la cuantía en los primeros tres días disminuyó a aproximadamente 150 ml por día. A pesar de ello, la paciente se mantenía con fiebre de 38 – 39 ºC y taquipnea. Evolucionó a un </w:t>
      </w:r>
      <w:r w:rsidRPr="002361A6">
        <w:rPr>
          <w:rFonts w:ascii="Times New Roman" w:eastAsia="SegoeUI" w:hAnsi="Times New Roman"/>
          <w:i/>
          <w:iCs/>
          <w:sz w:val="24"/>
          <w:szCs w:val="24"/>
        </w:rPr>
        <w:t>shock</w:t>
      </w:r>
      <w:r w:rsidRPr="002361A6">
        <w:rPr>
          <w:rFonts w:ascii="Times New Roman" w:eastAsia="SegoeUI" w:hAnsi="Times New Roman"/>
          <w:sz w:val="24"/>
          <w:szCs w:val="24"/>
        </w:rPr>
        <w:t xml:space="preserve"> séptico. Se trasladó a </w:t>
      </w:r>
      <w:r w:rsidRPr="002361A6">
        <w:rPr>
          <w:rFonts w:ascii="Times New Roman" w:eastAsia="SegoeUI" w:hAnsi="Times New Roman"/>
          <w:sz w:val="24"/>
          <w:szCs w:val="24"/>
        </w:rPr>
        <w:lastRenderedPageBreak/>
        <w:t>la unidad de cuidados intensivos, donde a pesar del tratamiento, la paciente presentó una disfunción múltiple de órganos y falleció al quinto día del postoperatorio.</w:t>
      </w:r>
    </w:p>
    <w:p w14:paraId="79FE5316"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p>
    <w:p w14:paraId="2CC65F91" w14:textId="77777777" w:rsidR="00D94FF3" w:rsidRPr="002361A6" w:rsidRDefault="00D94FF3" w:rsidP="00D94FF3">
      <w:pPr>
        <w:spacing w:after="0" w:line="360" w:lineRule="auto"/>
        <w:jc w:val="both"/>
        <w:rPr>
          <w:rFonts w:ascii="Times New Roman" w:eastAsia="SegoeUI" w:hAnsi="Times New Roman"/>
          <w:b/>
          <w:sz w:val="24"/>
          <w:szCs w:val="24"/>
        </w:rPr>
      </w:pPr>
    </w:p>
    <w:p w14:paraId="514CF8CB" w14:textId="77777777" w:rsidR="00D94FF3" w:rsidRPr="002361A6" w:rsidRDefault="00D94FF3" w:rsidP="00D94FF3">
      <w:pPr>
        <w:spacing w:after="0" w:line="360" w:lineRule="auto"/>
        <w:jc w:val="center"/>
        <w:rPr>
          <w:rFonts w:ascii="Times New Roman" w:eastAsia="SegoeUI" w:hAnsi="Times New Roman"/>
          <w:b/>
          <w:sz w:val="32"/>
          <w:szCs w:val="32"/>
        </w:rPr>
      </w:pPr>
      <w:r w:rsidRPr="002361A6">
        <w:rPr>
          <w:rFonts w:ascii="Times New Roman" w:eastAsia="SegoeUI" w:hAnsi="Times New Roman"/>
          <w:b/>
          <w:sz w:val="32"/>
          <w:szCs w:val="32"/>
        </w:rPr>
        <w:t>COMENTARIOS</w:t>
      </w:r>
    </w:p>
    <w:p w14:paraId="10F169A7" w14:textId="77777777" w:rsidR="00D94FF3" w:rsidRPr="002361A6" w:rsidRDefault="00D94FF3" w:rsidP="00D94FF3">
      <w:pPr>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Los abscesos piógenos del lóbulo izquierdo del hígado son muy raros. La colelitiasis, las enfermedades malignas de la vía biliar y las enfermedades congénitas promueven la formación de múltiples abscesos hepáticos. Otras causas menos frecuentes son infecciones en órganos intraabdominales que drenen a la circulación portal, diseminación hematógena asociada a una bacteriemia sistémica secundaria a una endocarditis o pielonefritis y traumatismo penetrante o cerrado de abdomen.</w:t>
      </w:r>
      <w:r w:rsidRPr="002361A6">
        <w:rPr>
          <w:rFonts w:ascii="Times New Roman" w:eastAsia="SegoeUI" w:hAnsi="Times New Roman"/>
          <w:sz w:val="24"/>
          <w:szCs w:val="24"/>
          <w:vertAlign w:val="superscript"/>
        </w:rPr>
        <w:t>(1,2)</w:t>
      </w:r>
      <w:r w:rsidRPr="002361A6">
        <w:rPr>
          <w:rFonts w:ascii="Times New Roman" w:eastAsia="SegoeUI" w:hAnsi="Times New Roman"/>
          <w:sz w:val="24"/>
          <w:szCs w:val="24"/>
        </w:rPr>
        <w:t xml:space="preserve"> </w:t>
      </w:r>
    </w:p>
    <w:p w14:paraId="186EE058" w14:textId="77777777" w:rsidR="00D94FF3" w:rsidRPr="002361A6" w:rsidRDefault="00D94FF3" w:rsidP="00D94FF3">
      <w:pPr>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 xml:space="preserve">El lóbulo hepático derecho es afectado con mayor frecuencia que el izquierdo, con una razón de 2:1. Los abscesos bilaterales se describen en un 5 % de los casos, generalmente son polimicrobianos. La </w:t>
      </w:r>
      <w:r w:rsidRPr="002361A6">
        <w:rPr>
          <w:rFonts w:ascii="Times New Roman" w:eastAsia="SegoeUI" w:hAnsi="Times New Roman"/>
          <w:i/>
          <w:sz w:val="24"/>
          <w:szCs w:val="24"/>
        </w:rPr>
        <w:t xml:space="preserve">Escherichia coli </w:t>
      </w:r>
      <w:r w:rsidRPr="002361A6">
        <w:rPr>
          <w:rFonts w:ascii="Times New Roman" w:eastAsia="SegoeUI" w:hAnsi="Times New Roman"/>
          <w:iCs/>
          <w:sz w:val="24"/>
          <w:szCs w:val="24"/>
        </w:rPr>
        <w:t>y la</w:t>
      </w:r>
      <w:r w:rsidRPr="002361A6">
        <w:rPr>
          <w:rFonts w:ascii="Times New Roman" w:eastAsia="SegoeUI" w:hAnsi="Times New Roman"/>
          <w:i/>
          <w:sz w:val="24"/>
          <w:szCs w:val="24"/>
        </w:rPr>
        <w:t xml:space="preserve"> Klebsiella pneumoniae</w:t>
      </w:r>
      <w:r w:rsidRPr="002361A6">
        <w:rPr>
          <w:rFonts w:ascii="Times New Roman" w:eastAsia="SegoeUI" w:hAnsi="Times New Roman"/>
          <w:sz w:val="24"/>
          <w:szCs w:val="24"/>
        </w:rPr>
        <w:t xml:space="preserve"> constituyen los microorganismos más frecuentemente aislados.</w:t>
      </w:r>
      <w:r w:rsidRPr="002361A6">
        <w:rPr>
          <w:rFonts w:ascii="Times New Roman" w:eastAsia="SegoeUI" w:hAnsi="Times New Roman"/>
          <w:sz w:val="24"/>
          <w:szCs w:val="24"/>
          <w:vertAlign w:val="superscript"/>
        </w:rPr>
        <w:t>(1,3,4)</w:t>
      </w:r>
    </w:p>
    <w:p w14:paraId="70A15E0B" w14:textId="77777777" w:rsidR="00D94FF3" w:rsidRPr="002361A6" w:rsidRDefault="00D94FF3" w:rsidP="00D94FF3">
      <w:pPr>
        <w:autoSpaceDE w:val="0"/>
        <w:autoSpaceDN w:val="0"/>
        <w:adjustRightInd w:val="0"/>
        <w:spacing w:after="0" w:line="360" w:lineRule="auto"/>
        <w:jc w:val="both"/>
        <w:rPr>
          <w:rFonts w:ascii="Times New Roman" w:hAnsi="Times New Roman"/>
          <w:color w:val="231F20"/>
          <w:sz w:val="24"/>
          <w:szCs w:val="24"/>
          <w:lang w:eastAsia="es-ES"/>
        </w:rPr>
      </w:pPr>
      <w:r w:rsidRPr="002361A6">
        <w:rPr>
          <w:rFonts w:ascii="Times New Roman" w:hAnsi="Times New Roman"/>
          <w:color w:val="231F20"/>
          <w:sz w:val="24"/>
          <w:szCs w:val="24"/>
          <w:lang w:eastAsia="es-ES"/>
        </w:rPr>
        <w:t>El absceso hepático piógeno tiene mal pronóstico, si es múltiple o el paciente tiene otras comorbilidades (tercera edad, desnutrición o diagnóstico tardío). La mortalidad de los abscesos piógenos es del 10 %.</w:t>
      </w:r>
      <w:r w:rsidRPr="002361A6">
        <w:rPr>
          <w:rFonts w:ascii="Times New Roman" w:eastAsia="SegoeUI" w:hAnsi="Times New Roman"/>
          <w:sz w:val="24"/>
          <w:szCs w:val="24"/>
          <w:vertAlign w:val="superscript"/>
        </w:rPr>
        <w:t>(5,6,7)</w:t>
      </w:r>
    </w:p>
    <w:p w14:paraId="79A1B02C"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hAnsi="Times New Roman"/>
          <w:color w:val="231F20"/>
          <w:sz w:val="24"/>
          <w:szCs w:val="24"/>
          <w:lang w:eastAsia="es-ES"/>
        </w:rPr>
        <w:t>Las complicaciones del absceso hepático son la sepsis, el empiema, como extensión directa o la rotura del absceso en la cavidad pleural, la peritonitis debida a la rotura del absceso y el derrame pleuropericárdico.</w:t>
      </w:r>
      <w:r w:rsidRPr="002361A6">
        <w:rPr>
          <w:rFonts w:ascii="Times New Roman" w:eastAsia="SegoeUI" w:hAnsi="Times New Roman"/>
          <w:sz w:val="24"/>
          <w:szCs w:val="24"/>
          <w:vertAlign w:val="superscript"/>
        </w:rPr>
        <w:t>(2,8)</w:t>
      </w:r>
    </w:p>
    <w:p w14:paraId="4AF082A4" w14:textId="77777777" w:rsidR="00D94FF3" w:rsidRPr="002361A6" w:rsidRDefault="00D94FF3" w:rsidP="00D94FF3">
      <w:pPr>
        <w:autoSpaceDE w:val="0"/>
        <w:autoSpaceDN w:val="0"/>
        <w:adjustRightInd w:val="0"/>
        <w:spacing w:after="0" w:line="360" w:lineRule="auto"/>
        <w:jc w:val="both"/>
        <w:rPr>
          <w:rFonts w:ascii="Times New Roman" w:hAnsi="Times New Roman"/>
          <w:color w:val="231F20"/>
          <w:sz w:val="24"/>
          <w:szCs w:val="24"/>
          <w:lang w:eastAsia="es-ES"/>
        </w:rPr>
      </w:pPr>
      <w:r w:rsidRPr="002361A6">
        <w:rPr>
          <w:rFonts w:ascii="Times New Roman" w:hAnsi="Times New Roman"/>
          <w:sz w:val="24"/>
          <w:szCs w:val="24"/>
        </w:rPr>
        <w:t>Las manifestaciones clínicas son variables, aunque los síntomas más frecuentes son la presencia de tos, dolor torácico y fiebre. Algunos pacientes pueden cursar con episodios de neumonía recurrente, acompañados de derrame pleural y disnea. La presencia de bilis tiene un efecto corrosivo sobre el pulmón y el espacio pleural, lo cual favorece el desarrollo de infecciones bacterianas y sepsis.</w:t>
      </w:r>
      <w:r w:rsidRPr="002361A6">
        <w:rPr>
          <w:rFonts w:ascii="Times New Roman" w:eastAsia="SegoeUI" w:hAnsi="Times New Roman"/>
          <w:sz w:val="24"/>
          <w:szCs w:val="24"/>
          <w:vertAlign w:val="superscript"/>
        </w:rPr>
        <w:t>(</w:t>
      </w:r>
      <w:r w:rsidRPr="002361A6">
        <w:rPr>
          <w:rFonts w:ascii="Times New Roman" w:hAnsi="Times New Roman"/>
          <w:sz w:val="24"/>
          <w:szCs w:val="24"/>
          <w:vertAlign w:val="superscript"/>
        </w:rPr>
        <w:t>8)</w:t>
      </w:r>
    </w:p>
    <w:p w14:paraId="07D0B4C2" w14:textId="77777777" w:rsidR="00D94FF3" w:rsidRPr="002361A6" w:rsidRDefault="00D94FF3" w:rsidP="00D94FF3">
      <w:pPr>
        <w:autoSpaceDE w:val="0"/>
        <w:autoSpaceDN w:val="0"/>
        <w:adjustRightInd w:val="0"/>
        <w:spacing w:after="0" w:line="360" w:lineRule="auto"/>
        <w:jc w:val="both"/>
        <w:rPr>
          <w:rFonts w:ascii="Times New Roman" w:hAnsi="Times New Roman"/>
          <w:color w:val="231F20"/>
          <w:sz w:val="24"/>
          <w:szCs w:val="24"/>
          <w:lang w:eastAsia="es-ES"/>
        </w:rPr>
      </w:pPr>
      <w:r w:rsidRPr="002361A6">
        <w:rPr>
          <w:rFonts w:ascii="Times New Roman" w:hAnsi="Times New Roman"/>
          <w:sz w:val="24"/>
          <w:szCs w:val="24"/>
        </w:rPr>
        <w:t xml:space="preserve">Se consideró un tratamiento conservador con tubo de drenaje torácico y antibiótico, el cual ha revelado éxito hasta en un 60 % de los casos. Se recomienda reservar el manejo quirúrgico para las fístulas que no responden al tratamiento conservador y/o las fístulas complicadas, de acuerdo con un manejo individualizado, según las condiciones del paciente, la etiología de la fístula biliopleural, la tecnología </w:t>
      </w:r>
      <w:r w:rsidRPr="002361A6">
        <w:rPr>
          <w:rFonts w:ascii="Times New Roman" w:hAnsi="Times New Roman"/>
          <w:sz w:val="24"/>
          <w:szCs w:val="24"/>
        </w:rPr>
        <w:lastRenderedPageBreak/>
        <w:t>disponible y la experiencia del centro. En ocasiones es preciso combinar varias estrategias terapéuticas.</w:t>
      </w:r>
      <w:r w:rsidRPr="002361A6">
        <w:rPr>
          <w:rFonts w:ascii="Times New Roman" w:eastAsia="SegoeUI" w:hAnsi="Times New Roman"/>
          <w:sz w:val="24"/>
          <w:szCs w:val="24"/>
          <w:vertAlign w:val="superscript"/>
        </w:rPr>
        <w:t>(</w:t>
      </w:r>
      <w:r w:rsidRPr="002361A6">
        <w:rPr>
          <w:rFonts w:ascii="Times New Roman" w:hAnsi="Times New Roman"/>
          <w:sz w:val="24"/>
          <w:szCs w:val="24"/>
          <w:vertAlign w:val="superscript"/>
        </w:rPr>
        <w:t>8)</w:t>
      </w:r>
    </w:p>
    <w:p w14:paraId="6CB32E85" w14:textId="77777777" w:rsidR="00D94FF3" w:rsidRPr="002361A6" w:rsidRDefault="00D94FF3" w:rsidP="00D94FF3">
      <w:pPr>
        <w:autoSpaceDE w:val="0"/>
        <w:autoSpaceDN w:val="0"/>
        <w:adjustRightInd w:val="0"/>
        <w:spacing w:after="0" w:line="360" w:lineRule="auto"/>
        <w:jc w:val="both"/>
        <w:rPr>
          <w:rFonts w:ascii="Times New Roman" w:hAnsi="Times New Roman"/>
          <w:color w:val="131413"/>
          <w:sz w:val="24"/>
          <w:szCs w:val="24"/>
        </w:rPr>
      </w:pPr>
      <w:r w:rsidRPr="002361A6">
        <w:rPr>
          <w:rFonts w:ascii="Times New Roman" w:hAnsi="Times New Roman"/>
          <w:color w:val="131413"/>
          <w:sz w:val="24"/>
          <w:szCs w:val="24"/>
        </w:rPr>
        <w:t>La edad avanzada, enfermedad biliar previa, desnutrición proteico calórica y la demora de la paciente en acudir a instituciones de salud, conllevó al fallecimiento de la paciente a pesar del tratamiento antibiótico y quirúrgico.</w:t>
      </w:r>
    </w:p>
    <w:p w14:paraId="310C9F6D" w14:textId="77777777" w:rsidR="00D94FF3" w:rsidRPr="002361A6" w:rsidRDefault="00D94FF3" w:rsidP="00D94FF3">
      <w:pPr>
        <w:autoSpaceDE w:val="0"/>
        <w:autoSpaceDN w:val="0"/>
        <w:adjustRightInd w:val="0"/>
        <w:spacing w:after="0" w:line="360" w:lineRule="auto"/>
        <w:jc w:val="both"/>
        <w:rPr>
          <w:rFonts w:ascii="Times New Roman" w:hAnsi="Times New Roman"/>
          <w:color w:val="231F20"/>
          <w:sz w:val="24"/>
          <w:szCs w:val="24"/>
          <w:lang w:eastAsia="es-ES"/>
        </w:rPr>
      </w:pPr>
    </w:p>
    <w:p w14:paraId="4C4CDCDB" w14:textId="77777777" w:rsidR="00D94FF3" w:rsidRPr="002361A6" w:rsidRDefault="00D94FF3" w:rsidP="00D94FF3">
      <w:pPr>
        <w:spacing w:after="0" w:line="360" w:lineRule="auto"/>
        <w:jc w:val="both"/>
        <w:rPr>
          <w:rFonts w:ascii="Times New Roman" w:eastAsia="SegoeUI" w:hAnsi="Times New Roman"/>
          <w:b/>
          <w:sz w:val="24"/>
          <w:szCs w:val="24"/>
        </w:rPr>
      </w:pPr>
    </w:p>
    <w:p w14:paraId="3BC1A99B" w14:textId="77777777" w:rsidR="00D94FF3" w:rsidRPr="002361A6" w:rsidRDefault="00D94FF3" w:rsidP="00D94FF3">
      <w:pPr>
        <w:spacing w:after="0" w:line="360" w:lineRule="auto"/>
        <w:jc w:val="center"/>
        <w:rPr>
          <w:rFonts w:ascii="Times New Roman" w:hAnsi="Times New Roman"/>
          <w:sz w:val="24"/>
          <w:szCs w:val="24"/>
          <w:lang w:val="en-US"/>
        </w:rPr>
      </w:pPr>
      <w:r w:rsidRPr="002361A6">
        <w:rPr>
          <w:rFonts w:ascii="Times New Roman" w:eastAsia="SegoeUI" w:hAnsi="Times New Roman"/>
          <w:b/>
          <w:sz w:val="32"/>
          <w:szCs w:val="32"/>
          <w:lang w:val="en-US"/>
        </w:rPr>
        <w:t>REFERENCIAS BIBLIOGRÁFICAS</w:t>
      </w:r>
      <w:r w:rsidRPr="002361A6">
        <w:rPr>
          <w:rFonts w:ascii="Times New Roman" w:hAnsi="Times New Roman"/>
          <w:sz w:val="24"/>
          <w:szCs w:val="24"/>
          <w:lang w:val="en-US"/>
        </w:rPr>
        <w:t xml:space="preserve"> </w:t>
      </w:r>
    </w:p>
    <w:p w14:paraId="0F94764E" w14:textId="77777777" w:rsidR="00D94FF3" w:rsidRPr="002361A6" w:rsidRDefault="00D94FF3" w:rsidP="00D94FF3">
      <w:pPr>
        <w:autoSpaceDE w:val="0"/>
        <w:autoSpaceDN w:val="0"/>
        <w:adjustRightInd w:val="0"/>
        <w:spacing w:after="0" w:line="360" w:lineRule="auto"/>
        <w:rPr>
          <w:rFonts w:ascii="Times New Roman" w:eastAsia="SegoeUI" w:hAnsi="Times New Roman"/>
          <w:bCs/>
          <w:sz w:val="24"/>
          <w:szCs w:val="24"/>
        </w:rPr>
      </w:pPr>
      <w:r w:rsidRPr="002361A6">
        <w:rPr>
          <w:rFonts w:ascii="Times New Roman" w:eastAsia="SegoeUI" w:hAnsi="Times New Roman"/>
          <w:bCs/>
          <w:sz w:val="24"/>
          <w:szCs w:val="24"/>
          <w:lang w:val="en-US"/>
        </w:rPr>
        <w:t xml:space="preserve">1. Ulnazeer Kawoosa N, Bashir A, Rashid B. Spontaneous Cutaneous Rupture of a Pyogenic Liver Abscess. </w:t>
      </w:r>
      <w:r w:rsidRPr="002361A6">
        <w:rPr>
          <w:rFonts w:ascii="Times New Roman" w:eastAsia="SegoeUI" w:hAnsi="Times New Roman"/>
          <w:bCs/>
          <w:sz w:val="24"/>
          <w:szCs w:val="24"/>
        </w:rPr>
        <w:t xml:space="preserve">Indian J Surg. 2010 [acceso: 23/07/2018]; 72(4):339–42. Disponible en: </w:t>
      </w:r>
      <w:hyperlink r:id="rId12" w:history="1">
        <w:r w:rsidRPr="002361A6">
          <w:rPr>
            <w:rStyle w:val="Hipervnculo"/>
            <w:rFonts w:ascii="Times New Roman" w:eastAsia="SegoeUI" w:hAnsi="Times New Roman"/>
            <w:bCs/>
          </w:rPr>
          <w:t>https://www.ncbi.nlm.nih.gov/pmc/articles/PMC3002775/</w:t>
        </w:r>
      </w:hyperlink>
      <w:r w:rsidRPr="002361A6">
        <w:rPr>
          <w:rFonts w:ascii="Times New Roman" w:eastAsia="SegoeUI" w:hAnsi="Times New Roman"/>
          <w:bCs/>
          <w:sz w:val="24"/>
          <w:szCs w:val="24"/>
        </w:rPr>
        <w:t xml:space="preserve">  </w:t>
      </w:r>
    </w:p>
    <w:p w14:paraId="4D8B3D64" w14:textId="77777777" w:rsidR="00D94FF3" w:rsidRPr="002361A6" w:rsidRDefault="00D94FF3" w:rsidP="00D94FF3">
      <w:pPr>
        <w:autoSpaceDE w:val="0"/>
        <w:autoSpaceDN w:val="0"/>
        <w:adjustRightInd w:val="0"/>
        <w:spacing w:after="0" w:line="360" w:lineRule="auto"/>
        <w:rPr>
          <w:rFonts w:ascii="Times New Roman" w:eastAsia="SegoeUI" w:hAnsi="Times New Roman"/>
          <w:bCs/>
          <w:sz w:val="24"/>
          <w:szCs w:val="24"/>
        </w:rPr>
      </w:pPr>
      <w:r w:rsidRPr="002361A6">
        <w:rPr>
          <w:rFonts w:ascii="Times New Roman" w:eastAsia="SegoeUI" w:hAnsi="Times New Roman"/>
          <w:bCs/>
          <w:sz w:val="24"/>
          <w:szCs w:val="24"/>
        </w:rPr>
        <w:t xml:space="preserve">2. Reyna-Sepúlveda F, Hernández-Guedea M, García-Hernández S, Sinsel-Ayala J, et al. Epidemiología y manejo del empiema torácico por absceso hepático. Neumol Cir Torax. 2017 [acceso: 23/07/2018];76(2):91-5. Disponible en: </w:t>
      </w:r>
      <w:hyperlink r:id="rId13" w:history="1">
        <w:r w:rsidRPr="002361A6">
          <w:rPr>
            <w:rStyle w:val="Hipervnculo"/>
            <w:rFonts w:ascii="Times New Roman" w:eastAsia="SegoeUI" w:hAnsi="Times New Roman"/>
            <w:bCs/>
          </w:rPr>
          <w:t>https://www.medigraphic.com/pdfs/neumo/nt-2017/nt172d.pdf</w:t>
        </w:r>
      </w:hyperlink>
      <w:r w:rsidRPr="002361A6">
        <w:rPr>
          <w:rFonts w:ascii="Times New Roman" w:eastAsia="SegoeUI" w:hAnsi="Times New Roman"/>
          <w:bCs/>
          <w:sz w:val="24"/>
          <w:szCs w:val="24"/>
        </w:rPr>
        <w:t xml:space="preserve"> </w:t>
      </w:r>
    </w:p>
    <w:p w14:paraId="71BF01DD" w14:textId="77777777" w:rsidR="00D94FF3" w:rsidRPr="002361A6" w:rsidRDefault="00D94FF3" w:rsidP="00D94FF3">
      <w:pPr>
        <w:autoSpaceDE w:val="0"/>
        <w:autoSpaceDN w:val="0"/>
        <w:adjustRightInd w:val="0"/>
        <w:spacing w:after="0" w:line="360" w:lineRule="auto"/>
        <w:rPr>
          <w:rFonts w:ascii="Times New Roman" w:eastAsia="SegoeUI" w:hAnsi="Times New Roman"/>
          <w:bCs/>
          <w:sz w:val="24"/>
          <w:szCs w:val="24"/>
        </w:rPr>
      </w:pPr>
      <w:r w:rsidRPr="002361A6">
        <w:rPr>
          <w:rFonts w:ascii="Times New Roman" w:eastAsia="SegoeUI" w:hAnsi="Times New Roman"/>
          <w:bCs/>
          <w:sz w:val="24"/>
          <w:szCs w:val="24"/>
          <w:lang w:val="en-US"/>
        </w:rPr>
        <w:t xml:space="preserve">3. Reddy G, Chatterjee A, Brott BC. Transdiaphragmatic rupture of hepatic abscess producing purulent pericarditis and pericardial tamponade. </w:t>
      </w:r>
      <w:r w:rsidRPr="002361A6">
        <w:rPr>
          <w:rFonts w:ascii="Times New Roman" w:eastAsia="SegoeUI" w:hAnsi="Times New Roman"/>
          <w:bCs/>
          <w:sz w:val="24"/>
          <w:szCs w:val="24"/>
        </w:rPr>
        <w:t xml:space="preserve">Circulation. 2015 [acceso: 15/11/2018];131(1):e1–2.4. Disponible en: </w:t>
      </w:r>
      <w:hyperlink r:id="rId14" w:history="1">
        <w:r w:rsidRPr="002361A6">
          <w:rPr>
            <w:rStyle w:val="Hipervnculo"/>
            <w:rFonts w:ascii="Times New Roman" w:eastAsia="SegoeUI" w:hAnsi="Times New Roman"/>
            <w:bCs/>
          </w:rPr>
          <w:t>https://pubmed.ncbi.nlm.nih.gov/25561477/</w:t>
        </w:r>
      </w:hyperlink>
      <w:r w:rsidRPr="002361A6">
        <w:rPr>
          <w:rFonts w:ascii="Times New Roman" w:eastAsia="SegoeUI" w:hAnsi="Times New Roman"/>
          <w:bCs/>
          <w:sz w:val="24"/>
          <w:szCs w:val="24"/>
        </w:rPr>
        <w:t xml:space="preserve">  </w:t>
      </w:r>
    </w:p>
    <w:p w14:paraId="47B761A3" w14:textId="77777777" w:rsidR="00D94FF3" w:rsidRPr="002361A6" w:rsidRDefault="00D94FF3" w:rsidP="00D94FF3">
      <w:pPr>
        <w:autoSpaceDE w:val="0"/>
        <w:autoSpaceDN w:val="0"/>
        <w:adjustRightInd w:val="0"/>
        <w:spacing w:after="0" w:line="360" w:lineRule="auto"/>
        <w:rPr>
          <w:rFonts w:ascii="Times New Roman" w:eastAsia="SegoeUI" w:hAnsi="Times New Roman"/>
          <w:bCs/>
          <w:sz w:val="24"/>
          <w:szCs w:val="24"/>
        </w:rPr>
      </w:pPr>
      <w:r w:rsidRPr="002361A6">
        <w:rPr>
          <w:rFonts w:ascii="Times New Roman" w:eastAsia="SegoeUI" w:hAnsi="Times New Roman"/>
          <w:bCs/>
          <w:sz w:val="24"/>
          <w:szCs w:val="24"/>
          <w:lang w:val="en-US"/>
        </w:rPr>
        <w:t xml:space="preserve">4. Park IH, Jun CH, Wi JW, Park SY, Lee WS, Jung SI, et al. Prevalence of and risk factors for endogenous endophthalmitis in patients with pyogenic liver abscesses. </w:t>
      </w:r>
      <w:r w:rsidRPr="00131725">
        <w:rPr>
          <w:rFonts w:ascii="Times New Roman" w:eastAsia="SegoeUI" w:hAnsi="Times New Roman"/>
          <w:bCs/>
          <w:sz w:val="24"/>
          <w:szCs w:val="24"/>
          <w:lang w:val="es-CU"/>
        </w:rPr>
        <w:t xml:space="preserve">Korean J Intern Med. 2015 [acceso:  2018 Jul 23];30(4):453–9. </w:t>
      </w:r>
      <w:r w:rsidRPr="002361A6">
        <w:rPr>
          <w:rFonts w:ascii="Times New Roman" w:eastAsia="SegoeUI" w:hAnsi="Times New Roman"/>
          <w:bCs/>
          <w:sz w:val="24"/>
          <w:szCs w:val="24"/>
        </w:rPr>
        <w:t xml:space="preserve">Disponible en: </w:t>
      </w:r>
      <w:hyperlink r:id="rId15" w:history="1">
        <w:r w:rsidRPr="002361A6">
          <w:rPr>
            <w:rStyle w:val="Hipervnculo"/>
            <w:rFonts w:ascii="Times New Roman" w:eastAsia="SegoeUI" w:hAnsi="Times New Roman"/>
            <w:bCs/>
          </w:rPr>
          <w:t>https://pubmed.ncbi.nlm.nih.gov/26161011/</w:t>
        </w:r>
      </w:hyperlink>
      <w:r w:rsidRPr="002361A6">
        <w:rPr>
          <w:rFonts w:ascii="Times New Roman" w:eastAsia="SegoeUI" w:hAnsi="Times New Roman"/>
          <w:bCs/>
          <w:sz w:val="24"/>
          <w:szCs w:val="24"/>
        </w:rPr>
        <w:t xml:space="preserve">  </w:t>
      </w:r>
    </w:p>
    <w:p w14:paraId="612988D9" w14:textId="77777777" w:rsidR="00D94FF3" w:rsidRPr="002361A6" w:rsidRDefault="00D94FF3" w:rsidP="00D94FF3">
      <w:pPr>
        <w:autoSpaceDE w:val="0"/>
        <w:autoSpaceDN w:val="0"/>
        <w:adjustRightInd w:val="0"/>
        <w:spacing w:after="0" w:line="360" w:lineRule="auto"/>
        <w:rPr>
          <w:rFonts w:ascii="Times New Roman" w:eastAsia="SegoeUI" w:hAnsi="Times New Roman"/>
          <w:bCs/>
          <w:sz w:val="24"/>
          <w:szCs w:val="24"/>
        </w:rPr>
      </w:pPr>
      <w:r w:rsidRPr="002361A6">
        <w:rPr>
          <w:rFonts w:ascii="Times New Roman" w:eastAsia="SegoeUI" w:hAnsi="Times New Roman"/>
          <w:bCs/>
          <w:sz w:val="24"/>
          <w:szCs w:val="24"/>
          <w:lang w:val="en-US"/>
        </w:rPr>
        <w:t xml:space="preserve">5. Wong WM, Wong BC, Hui CK, Matthew Ng, Chuen Lai KL, Kuen Tso W, et al. Pyogenic liver abscess: retrospective analysis of 80 cases over a 10-year period. </w:t>
      </w:r>
      <w:r w:rsidRPr="00131725">
        <w:rPr>
          <w:rFonts w:ascii="Times New Roman" w:eastAsia="SegoeUI" w:hAnsi="Times New Roman"/>
          <w:bCs/>
          <w:sz w:val="24"/>
          <w:szCs w:val="24"/>
          <w:lang w:val="es-CU"/>
        </w:rPr>
        <w:t xml:space="preserve">J Gastroenterol Hepatol 2002. [acceso:  15/11/2018]; 17(9):1001-7. </w:t>
      </w:r>
      <w:r w:rsidRPr="002361A6">
        <w:rPr>
          <w:rFonts w:ascii="Times New Roman" w:eastAsia="SegoeUI" w:hAnsi="Times New Roman"/>
          <w:bCs/>
          <w:sz w:val="24"/>
          <w:szCs w:val="24"/>
        </w:rPr>
        <w:t xml:space="preserve">Disponible en: </w:t>
      </w:r>
      <w:hyperlink r:id="rId16" w:history="1">
        <w:r w:rsidRPr="002361A6">
          <w:rPr>
            <w:rStyle w:val="Hipervnculo"/>
            <w:rFonts w:ascii="Times New Roman" w:eastAsia="SegoeUI" w:hAnsi="Times New Roman"/>
            <w:bCs/>
          </w:rPr>
          <w:t>https://pubmed.ncbi.nlm.nih.gov/12167122/</w:t>
        </w:r>
      </w:hyperlink>
      <w:r w:rsidRPr="002361A6">
        <w:rPr>
          <w:rFonts w:ascii="Times New Roman" w:eastAsia="SegoeUI" w:hAnsi="Times New Roman"/>
          <w:bCs/>
          <w:sz w:val="24"/>
          <w:szCs w:val="24"/>
        </w:rPr>
        <w:t xml:space="preserve"> </w:t>
      </w:r>
    </w:p>
    <w:p w14:paraId="1173D67C" w14:textId="77777777" w:rsidR="00D94FF3" w:rsidRPr="002361A6" w:rsidRDefault="00D94FF3" w:rsidP="00D94FF3">
      <w:pPr>
        <w:autoSpaceDE w:val="0"/>
        <w:autoSpaceDN w:val="0"/>
        <w:adjustRightInd w:val="0"/>
        <w:spacing w:after="0" w:line="360" w:lineRule="auto"/>
        <w:rPr>
          <w:rFonts w:ascii="Times New Roman" w:eastAsia="SegoeUI" w:hAnsi="Times New Roman"/>
          <w:bCs/>
          <w:sz w:val="24"/>
          <w:szCs w:val="24"/>
        </w:rPr>
      </w:pPr>
      <w:r w:rsidRPr="002361A6">
        <w:rPr>
          <w:rFonts w:ascii="Times New Roman" w:eastAsia="SegoeUI" w:hAnsi="Times New Roman"/>
          <w:bCs/>
          <w:sz w:val="24"/>
          <w:szCs w:val="24"/>
          <w:lang w:val="en-US"/>
        </w:rPr>
        <w:t xml:space="preserve">6. Cho E, Woo Park S, Hwan Jun C, Soo Shin S, Soo Shin S, Kyu Park E, et al. A rare case of pericarditis and pleural empyema secondary to transdiaphragmatic extension of pyogenic liver abscess. </w:t>
      </w:r>
      <w:r w:rsidRPr="002361A6">
        <w:rPr>
          <w:rFonts w:ascii="Times New Roman" w:eastAsia="SegoeUI" w:hAnsi="Times New Roman"/>
          <w:bCs/>
          <w:sz w:val="24"/>
          <w:szCs w:val="24"/>
        </w:rPr>
        <w:t xml:space="preserve">BMC Infectious Diseases. 2018 [acceso:  01/01/2019];18:40. Disponible en: </w:t>
      </w:r>
      <w:hyperlink r:id="rId17" w:history="1">
        <w:r w:rsidRPr="002361A6">
          <w:rPr>
            <w:rStyle w:val="Hipervnculo"/>
            <w:rFonts w:ascii="Times New Roman" w:eastAsia="SegoeUI" w:hAnsi="Times New Roman"/>
            <w:bCs/>
          </w:rPr>
          <w:t>https://bmcinfectdis.biomedcentral.com/articles/10.1186/s12879-018-2953-8</w:t>
        </w:r>
      </w:hyperlink>
      <w:r w:rsidRPr="002361A6">
        <w:rPr>
          <w:rFonts w:ascii="Times New Roman" w:eastAsia="SegoeUI" w:hAnsi="Times New Roman"/>
          <w:bCs/>
          <w:sz w:val="24"/>
          <w:szCs w:val="24"/>
        </w:rPr>
        <w:t xml:space="preserve"> </w:t>
      </w:r>
    </w:p>
    <w:p w14:paraId="23F80ADF" w14:textId="77777777" w:rsidR="00D94FF3" w:rsidRPr="002361A6" w:rsidRDefault="00D94FF3" w:rsidP="00D94FF3">
      <w:pPr>
        <w:autoSpaceDE w:val="0"/>
        <w:autoSpaceDN w:val="0"/>
        <w:adjustRightInd w:val="0"/>
        <w:spacing w:after="0" w:line="360" w:lineRule="auto"/>
        <w:rPr>
          <w:rFonts w:ascii="Times New Roman" w:eastAsia="SegoeUI" w:hAnsi="Times New Roman"/>
          <w:bCs/>
          <w:sz w:val="24"/>
          <w:szCs w:val="24"/>
        </w:rPr>
      </w:pPr>
      <w:r w:rsidRPr="002361A6">
        <w:rPr>
          <w:rFonts w:ascii="Times New Roman" w:eastAsia="SegoeUI" w:hAnsi="Times New Roman"/>
          <w:bCs/>
          <w:sz w:val="24"/>
          <w:szCs w:val="24"/>
          <w:lang w:val="en-US"/>
        </w:rPr>
        <w:lastRenderedPageBreak/>
        <w:t xml:space="preserve">7. Watanabe I, Kanaychi N, Watanabe H, Hamada A. Successful Treatment of Acute Empyema Due to Rupture of Pyogenic Liver Abscess. </w:t>
      </w:r>
      <w:r w:rsidRPr="002361A6">
        <w:rPr>
          <w:rFonts w:ascii="Times New Roman" w:eastAsia="SegoeUI" w:hAnsi="Times New Roman"/>
          <w:bCs/>
          <w:sz w:val="24"/>
          <w:szCs w:val="24"/>
        </w:rPr>
        <w:t xml:space="preserve">Kyobu Geka. 2017 [acceso:  19/12/2018]; 0(9):750-4. Disponible en: </w:t>
      </w:r>
      <w:hyperlink r:id="rId18" w:history="1">
        <w:r w:rsidRPr="002361A6">
          <w:rPr>
            <w:rStyle w:val="Hipervnculo"/>
            <w:rFonts w:ascii="Times New Roman" w:eastAsia="SegoeUI" w:hAnsi="Times New Roman"/>
            <w:bCs/>
          </w:rPr>
          <w:t>https://pubmed.ncbi.nlm.nih.gov/28790240/</w:t>
        </w:r>
      </w:hyperlink>
      <w:r w:rsidRPr="002361A6">
        <w:rPr>
          <w:rFonts w:ascii="Times New Roman" w:eastAsia="SegoeUI" w:hAnsi="Times New Roman"/>
          <w:bCs/>
          <w:sz w:val="24"/>
          <w:szCs w:val="24"/>
        </w:rPr>
        <w:t xml:space="preserve">  </w:t>
      </w:r>
    </w:p>
    <w:p w14:paraId="7DC5CCD9" w14:textId="77777777" w:rsidR="00D94FF3" w:rsidRPr="002361A6" w:rsidRDefault="00D94FF3" w:rsidP="00D94FF3">
      <w:pPr>
        <w:autoSpaceDE w:val="0"/>
        <w:autoSpaceDN w:val="0"/>
        <w:adjustRightInd w:val="0"/>
        <w:spacing w:after="0" w:line="360" w:lineRule="auto"/>
        <w:rPr>
          <w:rFonts w:ascii="Times New Roman" w:eastAsia="SegoeUI" w:hAnsi="Times New Roman"/>
          <w:bCs/>
          <w:sz w:val="24"/>
          <w:szCs w:val="24"/>
        </w:rPr>
      </w:pPr>
      <w:r w:rsidRPr="002361A6">
        <w:rPr>
          <w:rFonts w:ascii="Times New Roman" w:eastAsia="SegoeUI" w:hAnsi="Times New Roman"/>
          <w:bCs/>
          <w:sz w:val="24"/>
          <w:szCs w:val="24"/>
        </w:rPr>
        <w:t xml:space="preserve">10. Jimeno Griñó C, Borderías Claub L, Cegoñino de Susby J, Briz Muñozba EM. Fístula biliopleural tras colecistectomía laparoscópica en un paciente nonagenario. Rev Esp Geriatr Gerontol. 2019 [acceso:  23/07/2018];54(6):360-5 Disponible en: </w:t>
      </w:r>
      <w:hyperlink r:id="rId19" w:history="1">
        <w:r w:rsidRPr="002361A6">
          <w:rPr>
            <w:rStyle w:val="Hipervnculo"/>
            <w:rFonts w:ascii="Times New Roman" w:eastAsia="SegoeUI" w:hAnsi="Times New Roman"/>
            <w:bCs/>
          </w:rPr>
          <w:t>https://www.researchgate.net/profile/Luis_Borderias/publication/331141799_Fistula_biliopleural_tras_colecistecomia_laparoscopica_en_un_paciente_nonagenario/links/5cf936a7299bf13a38415f74/Fistula-biliopleural-tras-colecistecomia-laparoscopica-en-un-paciente-nonagenario.pdf</w:t>
        </w:r>
      </w:hyperlink>
      <w:r w:rsidRPr="002361A6">
        <w:rPr>
          <w:rFonts w:ascii="Times New Roman" w:eastAsia="SegoeUI" w:hAnsi="Times New Roman"/>
          <w:bCs/>
          <w:sz w:val="24"/>
          <w:szCs w:val="24"/>
        </w:rPr>
        <w:t xml:space="preserve"> </w:t>
      </w:r>
    </w:p>
    <w:p w14:paraId="285097BF"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bCs/>
          <w:sz w:val="24"/>
          <w:szCs w:val="24"/>
        </w:rPr>
      </w:pPr>
    </w:p>
    <w:p w14:paraId="36DA380E" w14:textId="77777777" w:rsidR="00D94FF3" w:rsidRPr="002361A6" w:rsidRDefault="00D94FF3" w:rsidP="00D94FF3">
      <w:pPr>
        <w:autoSpaceDE w:val="0"/>
        <w:autoSpaceDN w:val="0"/>
        <w:adjustRightInd w:val="0"/>
        <w:spacing w:after="0" w:line="360" w:lineRule="auto"/>
        <w:jc w:val="both"/>
        <w:rPr>
          <w:rFonts w:ascii="Times New Roman" w:eastAsia="SegoeUI" w:hAnsi="Times New Roman"/>
          <w:b/>
          <w:sz w:val="24"/>
          <w:szCs w:val="24"/>
        </w:rPr>
      </w:pPr>
    </w:p>
    <w:p w14:paraId="6CA5375E" w14:textId="77777777" w:rsidR="00D94FF3" w:rsidRPr="002361A6" w:rsidRDefault="00D94FF3" w:rsidP="00D94FF3">
      <w:pPr>
        <w:autoSpaceDE w:val="0"/>
        <w:autoSpaceDN w:val="0"/>
        <w:adjustRightInd w:val="0"/>
        <w:spacing w:after="0" w:line="360" w:lineRule="auto"/>
        <w:jc w:val="center"/>
        <w:rPr>
          <w:rFonts w:ascii="Times New Roman" w:eastAsia="SegoeUI" w:hAnsi="Times New Roman"/>
          <w:b/>
          <w:sz w:val="24"/>
          <w:szCs w:val="24"/>
        </w:rPr>
      </w:pPr>
      <w:r w:rsidRPr="002361A6">
        <w:rPr>
          <w:rFonts w:ascii="Times New Roman" w:eastAsia="SegoeUI" w:hAnsi="Times New Roman"/>
          <w:b/>
          <w:sz w:val="24"/>
          <w:szCs w:val="24"/>
        </w:rPr>
        <w:t>Conflictos de interés</w:t>
      </w:r>
    </w:p>
    <w:p w14:paraId="1949F987" w14:textId="094A3F2A" w:rsidR="00D94FF3" w:rsidRDefault="00D94FF3" w:rsidP="00D94FF3">
      <w:pPr>
        <w:autoSpaceDE w:val="0"/>
        <w:autoSpaceDN w:val="0"/>
        <w:adjustRightInd w:val="0"/>
        <w:spacing w:after="0" w:line="360" w:lineRule="auto"/>
        <w:jc w:val="both"/>
        <w:rPr>
          <w:rFonts w:ascii="Times New Roman" w:eastAsia="SegoeUI" w:hAnsi="Times New Roman"/>
          <w:sz w:val="24"/>
          <w:szCs w:val="24"/>
        </w:rPr>
      </w:pPr>
      <w:r w:rsidRPr="002361A6">
        <w:rPr>
          <w:rFonts w:ascii="Times New Roman" w:eastAsia="SegoeUI" w:hAnsi="Times New Roman"/>
          <w:sz w:val="24"/>
          <w:szCs w:val="24"/>
        </w:rPr>
        <w:t>Los autores declaran no tener ningún conflicto de interés.</w:t>
      </w:r>
    </w:p>
    <w:p w14:paraId="187CF52E" w14:textId="77777777" w:rsidR="00D94FF3" w:rsidRPr="005C10DB" w:rsidRDefault="00D94FF3" w:rsidP="00D94FF3">
      <w:pPr>
        <w:autoSpaceDE w:val="0"/>
        <w:autoSpaceDN w:val="0"/>
        <w:adjustRightInd w:val="0"/>
        <w:spacing w:after="0" w:line="360" w:lineRule="auto"/>
        <w:rPr>
          <w:rFonts w:ascii="Times New Roman" w:hAnsi="Times New Roman"/>
          <w:color w:val="000000"/>
          <w:sz w:val="23"/>
          <w:szCs w:val="23"/>
          <w:lang w:eastAsia="es-ES"/>
        </w:rPr>
      </w:pPr>
    </w:p>
    <w:p w14:paraId="0CD6ABC6" w14:textId="77777777" w:rsidR="00675476" w:rsidRPr="00391509" w:rsidRDefault="00675476" w:rsidP="00391509"/>
    <w:sectPr w:rsidR="00675476" w:rsidRPr="00391509" w:rsidSect="000F3690">
      <w:headerReference w:type="even" r:id="rId20"/>
      <w:headerReference w:type="default" r:id="rId21"/>
      <w:footerReference w:type="even" r:id="rId22"/>
      <w:footerReference w:type="default" r:id="rId23"/>
      <w:headerReference w:type="first" r:id="rId24"/>
      <w:footerReference w:type="first" r:id="rId25"/>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C246" w14:textId="77777777" w:rsidR="00E46985" w:rsidRDefault="00E46985">
      <w:r>
        <w:separator/>
      </w:r>
    </w:p>
  </w:endnote>
  <w:endnote w:type="continuationSeparator" w:id="0">
    <w:p w14:paraId="3C7835C1" w14:textId="77777777" w:rsidR="00E46985" w:rsidRDefault="00E4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UI">
    <w:altName w:val="MS Mincho"/>
    <w:panose1 w:val="00000000000000000000"/>
    <w:charset w:val="80"/>
    <w:family w:val="auto"/>
    <w:notTrueType/>
    <w:pitch w:val="default"/>
    <w:sig w:usb0="00000001"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DB0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10437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313D"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08D94B61" wp14:editId="132D8874">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5B1B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BDBEA9F" w14:textId="77777777" w:rsidR="00675476" w:rsidRPr="00AE044C" w:rsidRDefault="00E46985" w:rsidP="00391509">
    <w:pPr>
      <w:pStyle w:val="Piedepgina"/>
      <w:ind w:right="360"/>
      <w:rPr>
        <w:sz w:val="22"/>
        <w:szCs w:val="22"/>
      </w:rPr>
    </w:pPr>
    <w:hyperlink r:id="rId1" w:history="1">
      <w:r w:rsidR="00391509" w:rsidRPr="00AE044C">
        <w:rPr>
          <w:rStyle w:val="Hipervnculo"/>
          <w:sz w:val="22"/>
          <w:szCs w:val="22"/>
        </w:rPr>
        <w:t>http://scielo.sld.cu</w:t>
      </w:r>
    </w:hyperlink>
  </w:p>
  <w:p w14:paraId="2EC49A2C" w14:textId="77777777" w:rsidR="00391509" w:rsidRPr="00AE044C" w:rsidRDefault="00E4698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75B5D9B"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54D8972A" wp14:editId="142C1BF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DF56" w14:textId="77777777" w:rsidR="00AE044C" w:rsidRDefault="00AE04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9FFA" w14:textId="77777777" w:rsidR="00E46985" w:rsidRDefault="00E46985">
      <w:r>
        <w:separator/>
      </w:r>
    </w:p>
  </w:footnote>
  <w:footnote w:type="continuationSeparator" w:id="0">
    <w:p w14:paraId="18AC642E" w14:textId="77777777" w:rsidR="00E46985" w:rsidRDefault="00E4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2EA6" w14:textId="77777777" w:rsidR="00AE044C" w:rsidRDefault="00AE04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C9A4" w14:textId="60000375"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2816" behindDoc="0" locked="0" layoutInCell="1" allowOverlap="1" wp14:anchorId="73146882" wp14:editId="70FA4539">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131725">
      <w:rPr>
        <w:sz w:val="22"/>
        <w:szCs w:val="22"/>
      </w:rPr>
      <w:t>2021</w:t>
    </w:r>
    <w:r w:rsidR="003E03D5">
      <w:rPr>
        <w:sz w:val="22"/>
        <w:szCs w:val="22"/>
      </w:rPr>
      <w:t>;</w:t>
    </w:r>
    <w:r w:rsidR="00131725">
      <w:rPr>
        <w:sz w:val="22"/>
        <w:szCs w:val="22"/>
      </w:rPr>
      <w:t>50</w:t>
    </w:r>
    <w:r w:rsidR="00493701" w:rsidRPr="00AE044C">
      <w:rPr>
        <w:sz w:val="22"/>
        <w:szCs w:val="22"/>
      </w:rPr>
      <w:t>(</w:t>
    </w:r>
    <w:r w:rsidR="00131725">
      <w:rPr>
        <w:sz w:val="22"/>
        <w:szCs w:val="22"/>
      </w:rPr>
      <w:t>2</w:t>
    </w:r>
    <w:r w:rsidR="00493701" w:rsidRPr="00AE044C">
      <w:rPr>
        <w:sz w:val="22"/>
        <w:szCs w:val="22"/>
      </w:rPr>
      <w:t>)</w:t>
    </w:r>
    <w:r w:rsidR="00391509" w:rsidRPr="00AE044C">
      <w:rPr>
        <w:sz w:val="22"/>
        <w:szCs w:val="22"/>
      </w:rPr>
      <w:t>:</w:t>
    </w:r>
    <w:r w:rsidR="00131725">
      <w:rPr>
        <w:sz w:val="22"/>
        <w:szCs w:val="22"/>
      </w:rPr>
      <w:t>e02101003</w:t>
    </w:r>
  </w:p>
  <w:p w14:paraId="487A563E"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4C3EA19A" wp14:editId="19CA8191">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52E64"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5F9E" w14:textId="77777777" w:rsidR="00AE044C" w:rsidRDefault="00AE04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FF3"/>
    <w:rsid w:val="000F3690"/>
    <w:rsid w:val="001221D1"/>
    <w:rsid w:val="00131725"/>
    <w:rsid w:val="00180CE9"/>
    <w:rsid w:val="00230DD5"/>
    <w:rsid w:val="00380D64"/>
    <w:rsid w:val="00391509"/>
    <w:rsid w:val="003C69FF"/>
    <w:rsid w:val="003E03D5"/>
    <w:rsid w:val="004447DD"/>
    <w:rsid w:val="00493701"/>
    <w:rsid w:val="004E2065"/>
    <w:rsid w:val="005508A2"/>
    <w:rsid w:val="00566F71"/>
    <w:rsid w:val="00675476"/>
    <w:rsid w:val="006C6D6D"/>
    <w:rsid w:val="007C430F"/>
    <w:rsid w:val="007D614D"/>
    <w:rsid w:val="008A1B1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D85951"/>
    <w:rsid w:val="00D94FF3"/>
    <w:rsid w:val="00E46985"/>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BF4D4"/>
  <w15:docId w15:val="{30FFF193-3A71-4F51-ACDD-E7C11F42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FF3"/>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styleId="HTMLconformatoprevio">
    <w:name w:val="HTML Preformatted"/>
    <w:basedOn w:val="Normal"/>
    <w:link w:val="HTMLconformatoprevioCar"/>
    <w:uiPriority w:val="99"/>
    <w:semiHidden/>
    <w:unhideWhenUsed/>
    <w:rsid w:val="00D94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conformatoprevioCar">
    <w:name w:val="HTML con formato previo Car"/>
    <w:basedOn w:val="Fuentedeprrafopredeter"/>
    <w:link w:val="HTMLconformatoprevio"/>
    <w:uiPriority w:val="99"/>
    <w:semiHidden/>
    <w:rsid w:val="00D94FF3"/>
    <w:rPr>
      <w:rFonts w:ascii="Courier New" w:hAnsi="Courier New"/>
      <w:lang w:val="x-none" w:eastAsia="x-none"/>
    </w:rPr>
  </w:style>
  <w:style w:type="paragraph" w:customStyle="1" w:styleId="Default">
    <w:name w:val="Default"/>
    <w:rsid w:val="00D94FF3"/>
    <w:pPr>
      <w:autoSpaceDE w:val="0"/>
      <w:autoSpaceDN w:val="0"/>
      <w:adjustRightInd w:val="0"/>
    </w:pPr>
    <w:rPr>
      <w:rFonts w:ascii="Trebuchet MS" w:eastAsia="Calibri"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cid.org/0000-0002-3777-0493" TargetMode="External"/><Relationship Id="rId13" Type="http://schemas.openxmlformats.org/officeDocument/2006/relationships/hyperlink" Target="https://www.medigraphic.com/pdfs/neumo/nt-2017/nt172d.pdf" TargetMode="External"/><Relationship Id="rId18" Type="http://schemas.openxmlformats.org/officeDocument/2006/relationships/hyperlink" Target="https://pubmed.ncbi.nlm.nih.gov/2879024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orcid.org/0000-0001-9437-3091" TargetMode="External"/><Relationship Id="rId12" Type="http://schemas.openxmlformats.org/officeDocument/2006/relationships/hyperlink" Target="https://www.ncbi.nlm.nih.gov/pmc/articles/PMC3002775/" TargetMode="External"/><Relationship Id="rId17" Type="http://schemas.openxmlformats.org/officeDocument/2006/relationships/hyperlink" Target="https://bmcinfectdis.biomedcentral.com/articles/10.1186/s12879-018-2953-8"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pubmed.ncbi.nlm.nih.gov/12167122/"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orcid.org/0000-0001-7983-614x" TargetMode="Externa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pubmed.ncbi.nlm.nih.gov/26161011/"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researchgate.net/profile/Luis_Borderias/publication/331141799_Fistula_biliopleural_tras_colecistecomia_laparoscopica_en_un_paciente_nonagenario/links/5cf936a7299bf13a38415f74/Fistula-biliopleural-tras-colecistecomia-laparoscopica-en-un-paciente-nonagenario.pdf" TargetMode="External"/><Relationship Id="rId4" Type="http://schemas.openxmlformats.org/officeDocument/2006/relationships/footnotes" Target="footnotes.xml"/><Relationship Id="rId9" Type="http://schemas.openxmlformats.org/officeDocument/2006/relationships/hyperlink" Target="mailto:toscain1987@gmail.com" TargetMode="External"/><Relationship Id="rId14" Type="http://schemas.openxmlformats.org/officeDocument/2006/relationships/hyperlink" Target="https://pubmed.ncbi.nlm.nih.gov/25561477/"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8</TotalTime>
  <Pages>8</Pages>
  <Words>2195</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14240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5</cp:revision>
  <cp:lastPrinted>2010-09-13T21:29:00Z</cp:lastPrinted>
  <dcterms:created xsi:type="dcterms:W3CDTF">2021-05-03T15:59:00Z</dcterms:created>
  <dcterms:modified xsi:type="dcterms:W3CDTF">2021-06-16T19:28:00Z</dcterms:modified>
</cp:coreProperties>
</file>