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52EA" w14:textId="77777777" w:rsidR="007C01C1" w:rsidRPr="007C01C1" w:rsidRDefault="007C01C1" w:rsidP="007C01C1">
      <w:pPr>
        <w:spacing w:line="360" w:lineRule="auto"/>
        <w:jc w:val="right"/>
        <w:rPr>
          <w:rFonts w:eastAsia="Calibri"/>
          <w:b/>
          <w:sz w:val="20"/>
          <w:szCs w:val="20"/>
          <w:lang w:val="es-ES" w:eastAsia="en-US"/>
        </w:rPr>
      </w:pPr>
      <w:r w:rsidRPr="007C01C1">
        <w:rPr>
          <w:rFonts w:eastAsia="Calibri"/>
          <w:sz w:val="20"/>
          <w:szCs w:val="20"/>
          <w:lang w:val="es-ES" w:eastAsia="en-US"/>
        </w:rPr>
        <w:t>Presentación de caso</w:t>
      </w:r>
    </w:p>
    <w:p w14:paraId="573B9959" w14:textId="77777777" w:rsidR="007C01C1" w:rsidRPr="007C01C1" w:rsidRDefault="007C01C1" w:rsidP="007C01C1">
      <w:pPr>
        <w:spacing w:line="360" w:lineRule="auto"/>
        <w:jc w:val="right"/>
        <w:rPr>
          <w:rFonts w:eastAsia="Calibri"/>
          <w:b/>
          <w:lang w:val="es-ES" w:eastAsia="en-US"/>
        </w:rPr>
      </w:pPr>
    </w:p>
    <w:p w14:paraId="2476C9F8" w14:textId="77777777" w:rsidR="007C01C1" w:rsidRPr="007C01C1" w:rsidRDefault="007C01C1" w:rsidP="007C01C1">
      <w:pPr>
        <w:spacing w:line="360" w:lineRule="auto"/>
        <w:jc w:val="center"/>
        <w:rPr>
          <w:rFonts w:eastAsia="Calibri"/>
          <w:b/>
          <w:sz w:val="28"/>
          <w:szCs w:val="28"/>
          <w:lang w:val="es-ES" w:eastAsia="en-US"/>
        </w:rPr>
      </w:pPr>
      <w:r w:rsidRPr="007C01C1">
        <w:rPr>
          <w:rFonts w:eastAsia="Calibri"/>
          <w:b/>
          <w:sz w:val="28"/>
          <w:szCs w:val="28"/>
          <w:lang w:val="es-ES" w:eastAsia="en-US"/>
        </w:rPr>
        <w:t xml:space="preserve">Fiebre de origen desconocido como forma de presentación de la enfermedad de </w:t>
      </w:r>
      <w:proofErr w:type="spellStart"/>
      <w:r w:rsidRPr="007C01C1">
        <w:rPr>
          <w:rFonts w:eastAsia="Calibri"/>
          <w:b/>
          <w:sz w:val="28"/>
          <w:szCs w:val="28"/>
          <w:lang w:val="es-ES" w:eastAsia="en-US"/>
        </w:rPr>
        <w:t>Still</w:t>
      </w:r>
      <w:proofErr w:type="spellEnd"/>
      <w:r w:rsidRPr="007C01C1">
        <w:rPr>
          <w:rFonts w:eastAsia="Calibri"/>
          <w:b/>
          <w:sz w:val="28"/>
          <w:szCs w:val="28"/>
          <w:lang w:val="es-ES" w:eastAsia="en-US"/>
        </w:rPr>
        <w:t xml:space="preserve"> del adulto</w:t>
      </w:r>
    </w:p>
    <w:p w14:paraId="7C2EF260" w14:textId="77777777" w:rsidR="007C01C1" w:rsidRPr="007C01C1" w:rsidRDefault="007C01C1" w:rsidP="007C01C1">
      <w:pPr>
        <w:spacing w:line="360" w:lineRule="auto"/>
        <w:jc w:val="center"/>
        <w:rPr>
          <w:rFonts w:eastAsia="Calibri"/>
          <w:sz w:val="28"/>
          <w:szCs w:val="28"/>
          <w:lang w:val="en-US" w:eastAsia="en-US"/>
        </w:rPr>
      </w:pPr>
      <w:r w:rsidRPr="007C01C1">
        <w:rPr>
          <w:rFonts w:eastAsia="Calibri"/>
          <w:sz w:val="28"/>
          <w:szCs w:val="28"/>
          <w:lang w:val="en-US" w:eastAsia="en-US"/>
        </w:rPr>
        <w:t>Fever of unknown origin as a form of presentation of an adult-onset Still's disease</w:t>
      </w:r>
    </w:p>
    <w:p w14:paraId="3015516D" w14:textId="77777777" w:rsidR="007C01C1" w:rsidRPr="007C01C1" w:rsidRDefault="007C01C1" w:rsidP="007C01C1">
      <w:pPr>
        <w:spacing w:line="360" w:lineRule="auto"/>
        <w:contextualSpacing/>
        <w:jc w:val="both"/>
        <w:rPr>
          <w:rFonts w:eastAsia="Calibri"/>
          <w:lang w:val="en-US" w:eastAsia="en-US"/>
        </w:rPr>
      </w:pPr>
    </w:p>
    <w:p w14:paraId="3CE18283" w14:textId="77777777" w:rsidR="007C01C1" w:rsidRPr="007C01C1" w:rsidRDefault="007C01C1" w:rsidP="007C01C1">
      <w:pPr>
        <w:spacing w:line="360" w:lineRule="auto"/>
        <w:contextualSpacing/>
        <w:jc w:val="both"/>
        <w:rPr>
          <w:color w:val="0563C1"/>
          <w:lang w:val="es-ES" w:eastAsia="es-ES"/>
        </w:rPr>
      </w:pPr>
      <w:r w:rsidRPr="007C01C1">
        <w:rPr>
          <w:rFonts w:eastAsia="Calibri"/>
          <w:lang w:val="es-ES" w:eastAsia="en-US"/>
        </w:rPr>
        <w:t>Jorge Carlos Castillo Miranda</w:t>
      </w:r>
      <w:r w:rsidRPr="007C01C1">
        <w:rPr>
          <w:rFonts w:eastAsia="Calibri"/>
          <w:vertAlign w:val="superscript"/>
          <w:lang w:val="es-ES" w:eastAsia="en-US"/>
        </w:rPr>
        <w:t>1</w:t>
      </w:r>
      <w:r w:rsidRPr="007C01C1">
        <w:rPr>
          <w:rFonts w:eastAsia="Calibri"/>
          <w:lang w:val="es-ES" w:eastAsia="en-US"/>
        </w:rPr>
        <w:t xml:space="preserve">* </w:t>
      </w:r>
      <w:hyperlink r:id="rId7" w:history="1">
        <w:r w:rsidRPr="007C01C1">
          <w:rPr>
            <w:color w:val="0563C1"/>
            <w:lang w:val="es-ES" w:eastAsia="es-ES"/>
          </w:rPr>
          <w:t>https://orcid.org/0000-0002-2686-4304</w:t>
        </w:r>
      </w:hyperlink>
      <w:r w:rsidRPr="007C01C1">
        <w:rPr>
          <w:color w:val="0563C1"/>
          <w:lang w:val="es-ES" w:eastAsia="es-ES"/>
        </w:rPr>
        <w:t>.</w:t>
      </w:r>
    </w:p>
    <w:p w14:paraId="3258B31B" w14:textId="50FA1351" w:rsidR="007C01C1" w:rsidRPr="007C01C1" w:rsidRDefault="007C01C1" w:rsidP="007C01C1">
      <w:pPr>
        <w:spacing w:line="360" w:lineRule="auto"/>
        <w:contextualSpacing/>
        <w:jc w:val="both"/>
        <w:rPr>
          <w:rFonts w:eastAsia="Calibri"/>
          <w:lang w:val="es-ES" w:eastAsia="en-US"/>
        </w:rPr>
      </w:pPr>
      <w:proofErr w:type="spellStart"/>
      <w:r w:rsidRPr="007C01C1">
        <w:rPr>
          <w:rFonts w:eastAsia="Calibri"/>
          <w:lang w:val="es-ES" w:eastAsia="en-US"/>
        </w:rPr>
        <w:t>Xidix</w:t>
      </w:r>
      <w:proofErr w:type="spellEnd"/>
      <w:r w:rsidRPr="007C01C1">
        <w:rPr>
          <w:rFonts w:eastAsia="Calibri"/>
          <w:lang w:val="es-ES" w:eastAsia="en-US"/>
        </w:rPr>
        <w:t xml:space="preserve"> René </w:t>
      </w:r>
      <w:proofErr w:type="spellStart"/>
      <w:r w:rsidRPr="007C01C1">
        <w:rPr>
          <w:rFonts w:eastAsia="Calibri"/>
          <w:lang w:val="es-ES" w:eastAsia="en-US"/>
        </w:rPr>
        <w:t>Toirac</w:t>
      </w:r>
      <w:proofErr w:type="spellEnd"/>
      <w:r w:rsidRPr="007C01C1">
        <w:rPr>
          <w:rFonts w:eastAsia="Calibri"/>
          <w:lang w:val="es-ES" w:eastAsia="en-US"/>
        </w:rPr>
        <w:t xml:space="preserve"> Cabrera</w:t>
      </w:r>
      <w:r w:rsidRPr="007C01C1">
        <w:rPr>
          <w:rFonts w:eastAsia="Calibri"/>
          <w:vertAlign w:val="superscript"/>
          <w:lang w:val="es-ES" w:eastAsia="en-US"/>
        </w:rPr>
        <w:t xml:space="preserve">1 </w:t>
      </w:r>
      <w:hyperlink r:id="rId8" w:history="1">
        <w:r w:rsidRPr="007C01C1">
          <w:rPr>
            <w:rFonts w:eastAsia="Calibri"/>
            <w:color w:val="0563C1"/>
            <w:lang w:val="es-ES" w:eastAsia="en-US"/>
          </w:rPr>
          <w:t>https://orcid.org/0009-0001-3569-7704</w:t>
        </w:r>
      </w:hyperlink>
    </w:p>
    <w:p w14:paraId="0FDBF2A5" w14:textId="24C3FB92" w:rsidR="007C01C1" w:rsidRPr="007C01C1" w:rsidRDefault="007C01C1" w:rsidP="007C01C1">
      <w:pPr>
        <w:spacing w:line="360" w:lineRule="auto"/>
        <w:rPr>
          <w:rFonts w:eastAsia="Calibri"/>
          <w:color w:val="0563C1"/>
          <w:lang w:val="es-ES" w:eastAsia="en-US"/>
        </w:rPr>
      </w:pPr>
      <w:r w:rsidRPr="007C01C1">
        <w:rPr>
          <w:rFonts w:eastAsia="Calibri"/>
          <w:lang w:val="es-ES" w:eastAsia="en-US"/>
        </w:rPr>
        <w:t>Ana Cristina Noa Rodríguez</w:t>
      </w:r>
      <w:r w:rsidRPr="007C01C1">
        <w:rPr>
          <w:rFonts w:eastAsia="Calibri"/>
          <w:vertAlign w:val="superscript"/>
          <w:lang w:val="es-ES" w:eastAsia="en-US"/>
        </w:rPr>
        <w:t>2</w:t>
      </w:r>
      <w:r w:rsidRPr="007C01C1">
        <w:rPr>
          <w:rFonts w:ascii="Calibri" w:eastAsia="Calibri" w:hAnsi="Calibri"/>
          <w:sz w:val="22"/>
          <w:szCs w:val="22"/>
          <w:lang w:val="es-ES" w:eastAsia="en-US"/>
        </w:rPr>
        <w:t xml:space="preserve"> </w:t>
      </w:r>
      <w:hyperlink r:id="rId9" w:history="1">
        <w:r w:rsidRPr="007C01C1">
          <w:rPr>
            <w:rFonts w:eastAsia="Calibri"/>
            <w:color w:val="0563C1"/>
            <w:lang w:val="es-ES" w:eastAsia="en-US"/>
          </w:rPr>
          <w:t>https://orcid.org/0000-0003-2857-1385</w:t>
        </w:r>
      </w:hyperlink>
    </w:p>
    <w:p w14:paraId="03F863A2" w14:textId="77777777" w:rsidR="007C01C1" w:rsidRPr="007C01C1" w:rsidRDefault="007C01C1" w:rsidP="007C01C1">
      <w:pPr>
        <w:spacing w:line="360" w:lineRule="auto"/>
        <w:jc w:val="both"/>
        <w:rPr>
          <w:rFonts w:eastAsia="Calibri"/>
          <w:lang w:val="es-ES" w:eastAsia="en-US"/>
        </w:rPr>
      </w:pPr>
    </w:p>
    <w:p w14:paraId="6B130076" w14:textId="77777777" w:rsidR="007C01C1" w:rsidRPr="007C01C1" w:rsidRDefault="007C01C1" w:rsidP="007C01C1">
      <w:pPr>
        <w:spacing w:line="360" w:lineRule="auto"/>
        <w:jc w:val="both"/>
        <w:rPr>
          <w:rFonts w:eastAsia="Calibri"/>
          <w:lang w:val="es-ES" w:eastAsia="en-US"/>
        </w:rPr>
      </w:pPr>
      <w:r w:rsidRPr="007C01C1">
        <w:rPr>
          <w:rFonts w:eastAsia="Calibri"/>
          <w:vertAlign w:val="superscript"/>
          <w:lang w:val="es-ES" w:eastAsia="en-US"/>
        </w:rPr>
        <w:t>1</w:t>
      </w:r>
      <w:r w:rsidRPr="007C01C1">
        <w:rPr>
          <w:rFonts w:eastAsia="Calibri"/>
          <w:lang w:val="es-ES" w:eastAsia="en-US"/>
        </w:rPr>
        <w:t>Hospital Militar Dr. "Carlos J. Finlay”. La Habana, Cuba.</w:t>
      </w:r>
    </w:p>
    <w:p w14:paraId="53059B10" w14:textId="77777777" w:rsidR="007C01C1" w:rsidRPr="007C01C1" w:rsidRDefault="007C01C1" w:rsidP="007C01C1">
      <w:pPr>
        <w:spacing w:line="360" w:lineRule="auto"/>
        <w:jc w:val="both"/>
        <w:rPr>
          <w:rFonts w:eastAsia="Calibri"/>
          <w:lang w:val="es-ES" w:eastAsia="en-US"/>
        </w:rPr>
      </w:pPr>
      <w:r w:rsidRPr="007C01C1">
        <w:rPr>
          <w:rFonts w:eastAsia="Calibri"/>
          <w:vertAlign w:val="superscript"/>
          <w:lang w:val="es-ES" w:eastAsia="en-US"/>
        </w:rPr>
        <w:t>2</w:t>
      </w:r>
      <w:r w:rsidRPr="007C01C1">
        <w:rPr>
          <w:rFonts w:eastAsia="Calibri"/>
          <w:lang w:val="es-ES" w:eastAsia="en-US"/>
        </w:rPr>
        <w:t>Centro Nacional de Toxicología (CENATOX). Subdirección de Evaluaciones Toxicológicas y del Medio Ambiente (SETMA). La Habana, Cuba.</w:t>
      </w:r>
    </w:p>
    <w:p w14:paraId="191A99BE" w14:textId="77777777" w:rsidR="007C01C1" w:rsidRPr="007C01C1" w:rsidRDefault="007C01C1" w:rsidP="007C01C1">
      <w:pPr>
        <w:spacing w:line="360" w:lineRule="auto"/>
        <w:ind w:left="720"/>
        <w:contextualSpacing/>
        <w:rPr>
          <w:rFonts w:eastAsia="Calibri"/>
          <w:lang w:val="es-ES" w:eastAsia="en-US"/>
        </w:rPr>
      </w:pPr>
    </w:p>
    <w:p w14:paraId="2C88DB33" w14:textId="77777777" w:rsidR="007C01C1" w:rsidRPr="007C01C1" w:rsidRDefault="007C01C1" w:rsidP="007C01C1">
      <w:pPr>
        <w:spacing w:line="360" w:lineRule="auto"/>
        <w:rPr>
          <w:rFonts w:eastAsia="Calibri"/>
          <w:sz w:val="28"/>
          <w:szCs w:val="28"/>
          <w:lang w:val="es-ES" w:eastAsia="en-US"/>
        </w:rPr>
      </w:pPr>
      <w:r w:rsidRPr="007C01C1">
        <w:rPr>
          <w:rFonts w:eastAsia="Calibri"/>
          <w:b/>
          <w:lang w:val="es-ES" w:eastAsia="en-US"/>
        </w:rPr>
        <w:t>*</w:t>
      </w:r>
      <w:r w:rsidRPr="007C01C1">
        <w:rPr>
          <w:rFonts w:eastAsia="Calibri"/>
          <w:lang w:val="es-ES" w:eastAsia="en-US"/>
        </w:rPr>
        <w:t>Autor para la correspondencia</w:t>
      </w:r>
      <w:r w:rsidRPr="007C01C1">
        <w:rPr>
          <w:rFonts w:eastAsia="Calibri"/>
          <w:b/>
          <w:lang w:val="es-ES" w:eastAsia="en-US"/>
        </w:rPr>
        <w:t xml:space="preserve">. </w:t>
      </w:r>
      <w:r w:rsidRPr="007C01C1">
        <w:rPr>
          <w:rFonts w:eastAsia="Calibri"/>
          <w:lang w:val="es-ES" w:eastAsia="en-US"/>
        </w:rPr>
        <w:t>Correo electrónico:</w:t>
      </w:r>
      <w:r w:rsidRPr="007C01C1">
        <w:rPr>
          <w:rFonts w:eastAsia="Calibri"/>
          <w:color w:val="0563C1"/>
          <w:lang w:val="es-ES" w:eastAsia="en-US"/>
        </w:rPr>
        <w:t xml:space="preserve"> </w:t>
      </w:r>
      <w:hyperlink r:id="rId10" w:history="1">
        <w:r w:rsidRPr="007C01C1">
          <w:rPr>
            <w:rFonts w:eastAsia="Calibri"/>
            <w:color w:val="0563C1"/>
            <w:lang w:val="es-ES" w:eastAsia="en-US"/>
          </w:rPr>
          <w:t>jorgeccm271@gmail.com</w:t>
        </w:r>
      </w:hyperlink>
    </w:p>
    <w:p w14:paraId="194E10D1" w14:textId="77777777" w:rsidR="007C01C1" w:rsidRPr="007C01C1" w:rsidRDefault="007C01C1" w:rsidP="007C01C1">
      <w:pPr>
        <w:spacing w:line="360" w:lineRule="auto"/>
        <w:contextualSpacing/>
        <w:jc w:val="both"/>
        <w:rPr>
          <w:rFonts w:eastAsia="Calibri"/>
          <w:lang w:val="es-ES" w:eastAsia="en-US"/>
        </w:rPr>
      </w:pPr>
    </w:p>
    <w:p w14:paraId="62E7DADF" w14:textId="77777777" w:rsidR="007C01C1" w:rsidRPr="007C01C1" w:rsidRDefault="007C01C1" w:rsidP="007C01C1">
      <w:pPr>
        <w:spacing w:line="360" w:lineRule="auto"/>
        <w:jc w:val="both"/>
        <w:rPr>
          <w:rFonts w:eastAsia="Calibri"/>
          <w:b/>
          <w:lang w:val="es-ES" w:eastAsia="en-US"/>
        </w:rPr>
      </w:pPr>
      <w:r w:rsidRPr="007C01C1">
        <w:rPr>
          <w:rFonts w:eastAsia="Calibri"/>
          <w:b/>
          <w:lang w:val="es-ES" w:eastAsia="en-US"/>
        </w:rPr>
        <w:t>RESUMEN</w:t>
      </w:r>
    </w:p>
    <w:p w14:paraId="73C478A5" w14:textId="77777777" w:rsidR="007C01C1" w:rsidRPr="007C01C1" w:rsidRDefault="007C01C1" w:rsidP="007C01C1">
      <w:pPr>
        <w:autoSpaceDE w:val="0"/>
        <w:autoSpaceDN w:val="0"/>
        <w:adjustRightInd w:val="0"/>
        <w:spacing w:line="360" w:lineRule="auto"/>
        <w:jc w:val="both"/>
        <w:rPr>
          <w:rFonts w:eastAsia="Calibri"/>
          <w:lang w:val="es-ES" w:eastAsia="en-US"/>
        </w:rPr>
      </w:pPr>
      <w:r w:rsidRPr="007C01C1">
        <w:rPr>
          <w:rFonts w:eastAsia="Calibri"/>
          <w:b/>
          <w:lang w:val="es-ES" w:eastAsia="en-US"/>
        </w:rPr>
        <w:t>Introducción</w:t>
      </w:r>
      <w:r w:rsidRPr="007C01C1">
        <w:rPr>
          <w:rFonts w:eastAsia="Calibri"/>
          <w:b/>
          <w:bCs/>
          <w:lang w:val="es-ES" w:eastAsia="en-US"/>
        </w:rPr>
        <w:t>:</w:t>
      </w:r>
      <w:r w:rsidRPr="007C01C1">
        <w:rPr>
          <w:rFonts w:eastAsia="Calibri"/>
          <w:lang w:val="es-ES" w:eastAsia="en-US"/>
        </w:rPr>
        <w:t xml:space="preserve"> La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 es una enfermedad reumática, inflamatoria, sistémica y crónica cuya prevalencia en la población caucásica se estima en 1 caso por cada 100 000 adultos</w:t>
      </w:r>
      <w:r w:rsidRPr="007C01C1">
        <w:rPr>
          <w:rFonts w:eastAsia="Calibri"/>
          <w:vertAlign w:val="superscript"/>
          <w:lang w:val="es-ES" w:eastAsia="en-US"/>
        </w:rPr>
        <w:t xml:space="preserve"> </w:t>
      </w:r>
    </w:p>
    <w:p w14:paraId="535557C3" w14:textId="77777777" w:rsidR="007C01C1" w:rsidRPr="007C01C1" w:rsidRDefault="007C01C1" w:rsidP="007C01C1">
      <w:pPr>
        <w:spacing w:line="360" w:lineRule="auto"/>
        <w:jc w:val="both"/>
        <w:rPr>
          <w:rFonts w:eastAsia="Calibri"/>
          <w:b/>
          <w:lang w:val="es-ES" w:eastAsia="en-US"/>
        </w:rPr>
      </w:pPr>
      <w:r w:rsidRPr="007C01C1">
        <w:rPr>
          <w:rFonts w:eastAsia="Calibri"/>
          <w:b/>
          <w:lang w:val="es-ES" w:eastAsia="en-US"/>
        </w:rPr>
        <w:t xml:space="preserve">Objetivo: </w:t>
      </w:r>
      <w:r w:rsidRPr="007C01C1">
        <w:rPr>
          <w:rFonts w:eastAsia="Calibri"/>
          <w:lang w:val="es-ES" w:eastAsia="en-US"/>
        </w:rPr>
        <w:t xml:space="preserve">Presentar un paciente adulto joven, con una fiebre de origen desconocido como forma de presentación de la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w:t>
      </w:r>
    </w:p>
    <w:p w14:paraId="0C14BD91" w14:textId="77777777" w:rsidR="007C01C1" w:rsidRPr="007C01C1" w:rsidRDefault="007C01C1" w:rsidP="007C01C1">
      <w:pPr>
        <w:autoSpaceDE w:val="0"/>
        <w:autoSpaceDN w:val="0"/>
        <w:adjustRightInd w:val="0"/>
        <w:spacing w:line="360" w:lineRule="auto"/>
        <w:jc w:val="both"/>
        <w:rPr>
          <w:rFonts w:eastAsia="Calibri"/>
          <w:lang w:val="es-ES" w:eastAsia="en-US"/>
        </w:rPr>
      </w:pPr>
      <w:r w:rsidRPr="007C01C1">
        <w:rPr>
          <w:rFonts w:eastAsia="Calibri"/>
          <w:b/>
          <w:lang w:val="es-ES" w:eastAsia="en-US"/>
        </w:rPr>
        <w:t>Caso clínico</w:t>
      </w:r>
      <w:r w:rsidRPr="007C01C1">
        <w:rPr>
          <w:rFonts w:eastAsia="Calibri"/>
          <w:b/>
          <w:bCs/>
          <w:lang w:val="es-ES" w:eastAsia="en-US"/>
        </w:rPr>
        <w:t>:</w:t>
      </w:r>
      <w:r w:rsidRPr="007C01C1">
        <w:rPr>
          <w:rFonts w:eastAsia="Calibri"/>
          <w:lang w:val="es-ES" w:eastAsia="en-US"/>
        </w:rPr>
        <w:t xml:space="preserve"> Paciente de 29 años de edad con antecedente de fiebre reumática, con un ingreso hospitalario anterior; que presentó un cuadro febril no infeccioso, de 50 días de duración, al cual no se le determinó la causa. Un año después reapareció la fiebre, de similares características, asociada a </w:t>
      </w:r>
      <w:proofErr w:type="spellStart"/>
      <w:r w:rsidRPr="007C01C1">
        <w:rPr>
          <w:rFonts w:eastAsia="Calibri"/>
          <w:lang w:val="es-ES" w:eastAsia="en-US"/>
        </w:rPr>
        <w:t>poliartralgia</w:t>
      </w:r>
      <w:proofErr w:type="spellEnd"/>
      <w:r w:rsidRPr="007C01C1">
        <w:rPr>
          <w:rFonts w:eastAsia="Calibri"/>
          <w:lang w:val="es-ES" w:eastAsia="en-US"/>
        </w:rPr>
        <w:t xml:space="preserve">, hepatoesplenomegalia, anemia, </w:t>
      </w:r>
      <w:proofErr w:type="spellStart"/>
      <w:r w:rsidRPr="007C01C1">
        <w:rPr>
          <w:rFonts w:eastAsia="Calibri"/>
          <w:lang w:val="es-ES" w:eastAsia="en-US"/>
        </w:rPr>
        <w:t>hiperferritinemia</w:t>
      </w:r>
      <w:proofErr w:type="spellEnd"/>
      <w:r w:rsidRPr="007C01C1">
        <w:rPr>
          <w:rFonts w:eastAsia="Calibri"/>
          <w:lang w:val="es-ES" w:eastAsia="en-US"/>
        </w:rPr>
        <w:t xml:space="preserve">, neutrofilia, factor reumatoideo negativo y se constató un cuadro de pericarditis durante el ingreso. Se realizó el diagnóstico de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 por exclusión. Se inició tratamiento con esteroides, desapareció la fiebre en las primeras 24 horas y el paciente tuvo una evolución favorable. </w:t>
      </w:r>
    </w:p>
    <w:p w14:paraId="12B92278" w14:textId="77777777" w:rsidR="007C01C1" w:rsidRPr="007C01C1" w:rsidRDefault="007C01C1" w:rsidP="007C01C1">
      <w:pPr>
        <w:autoSpaceDE w:val="0"/>
        <w:autoSpaceDN w:val="0"/>
        <w:adjustRightInd w:val="0"/>
        <w:spacing w:line="360" w:lineRule="auto"/>
        <w:jc w:val="both"/>
        <w:rPr>
          <w:rFonts w:eastAsia="Calibri"/>
          <w:lang w:val="es-ES" w:eastAsia="en-US"/>
        </w:rPr>
      </w:pPr>
      <w:r w:rsidRPr="007C01C1">
        <w:rPr>
          <w:rFonts w:eastAsia="Calibri"/>
          <w:b/>
          <w:lang w:val="es-ES" w:eastAsia="en-US"/>
        </w:rPr>
        <w:lastRenderedPageBreak/>
        <w:t>Conclusiones:</w:t>
      </w:r>
      <w:r w:rsidRPr="007C01C1">
        <w:rPr>
          <w:rFonts w:eastAsia="Calibri"/>
          <w:lang w:val="es-ES" w:eastAsia="en-US"/>
        </w:rPr>
        <w:t xml:space="preserve"> La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 puede presentarse como una fiebre de origen desconocido y se diagnostica por exclusión, ya que no existen manifestaciones clínicas ni pruebas de laboratorio, patognomónicas. La </w:t>
      </w:r>
      <w:proofErr w:type="spellStart"/>
      <w:r w:rsidRPr="007C01C1">
        <w:rPr>
          <w:rFonts w:eastAsia="Calibri"/>
          <w:lang w:val="es-ES" w:eastAsia="en-US"/>
        </w:rPr>
        <w:t>hiperferritinemia</w:t>
      </w:r>
      <w:proofErr w:type="spellEnd"/>
      <w:r w:rsidRPr="007C01C1">
        <w:rPr>
          <w:rFonts w:eastAsia="Calibri"/>
          <w:lang w:val="es-ES" w:eastAsia="en-US"/>
        </w:rPr>
        <w:t xml:space="preserve"> es útil para la sospecha diagnóstica.</w:t>
      </w:r>
    </w:p>
    <w:p w14:paraId="636C114F" w14:textId="77777777" w:rsidR="007C01C1" w:rsidRPr="007C01C1" w:rsidRDefault="007C01C1" w:rsidP="007C01C1">
      <w:pPr>
        <w:spacing w:line="360" w:lineRule="auto"/>
        <w:jc w:val="both"/>
        <w:rPr>
          <w:rFonts w:eastAsia="Calibri"/>
          <w:lang w:val="es-ES" w:eastAsia="en-US"/>
        </w:rPr>
      </w:pPr>
      <w:r w:rsidRPr="007C01C1">
        <w:rPr>
          <w:rFonts w:eastAsia="Calibri"/>
          <w:b/>
          <w:lang w:val="es-ES" w:eastAsia="en-US"/>
        </w:rPr>
        <w:t>Palabras clave:</w:t>
      </w:r>
      <w:r w:rsidRPr="007C01C1">
        <w:rPr>
          <w:rFonts w:eastAsia="Calibri"/>
          <w:lang w:val="es-ES" w:eastAsia="en-US"/>
        </w:rPr>
        <w:t xml:space="preserve">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 fiebre de origen desconocido; </w:t>
      </w:r>
      <w:proofErr w:type="spellStart"/>
      <w:r w:rsidRPr="007C01C1">
        <w:rPr>
          <w:rFonts w:eastAsia="Calibri"/>
          <w:lang w:val="es-ES" w:eastAsia="en-US"/>
        </w:rPr>
        <w:t>hiperferritinemia</w:t>
      </w:r>
      <w:proofErr w:type="spellEnd"/>
      <w:r w:rsidRPr="007C01C1">
        <w:rPr>
          <w:rFonts w:eastAsia="Calibri"/>
          <w:lang w:val="es-ES" w:eastAsia="en-US"/>
        </w:rPr>
        <w:t>.</w:t>
      </w:r>
    </w:p>
    <w:p w14:paraId="43E0FAFC" w14:textId="77777777" w:rsidR="007C01C1" w:rsidRPr="007C01C1" w:rsidRDefault="007C01C1" w:rsidP="007C01C1">
      <w:pPr>
        <w:spacing w:line="360" w:lineRule="auto"/>
        <w:jc w:val="both"/>
        <w:rPr>
          <w:rFonts w:eastAsia="Calibri"/>
          <w:b/>
          <w:lang w:val="es-ES" w:eastAsia="en-US"/>
        </w:rPr>
      </w:pPr>
    </w:p>
    <w:p w14:paraId="290975FB" w14:textId="77777777" w:rsidR="007C01C1" w:rsidRPr="007C01C1" w:rsidRDefault="007C01C1" w:rsidP="007C01C1">
      <w:pPr>
        <w:spacing w:line="360" w:lineRule="auto"/>
        <w:jc w:val="both"/>
        <w:rPr>
          <w:rFonts w:eastAsia="Calibri"/>
          <w:b/>
          <w:lang w:val="en-US" w:eastAsia="en-US"/>
        </w:rPr>
      </w:pPr>
      <w:r w:rsidRPr="007C01C1">
        <w:rPr>
          <w:rFonts w:eastAsia="Calibri"/>
          <w:b/>
          <w:lang w:val="en-US" w:eastAsia="en-US"/>
        </w:rPr>
        <w:t>ABSTRACT</w:t>
      </w:r>
    </w:p>
    <w:p w14:paraId="6AFFEF41" w14:textId="77777777" w:rsidR="007C01C1" w:rsidRPr="007C01C1" w:rsidRDefault="007C01C1" w:rsidP="007C01C1">
      <w:pPr>
        <w:spacing w:line="360" w:lineRule="auto"/>
        <w:jc w:val="both"/>
        <w:rPr>
          <w:rFonts w:eastAsia="Calibri"/>
          <w:bCs/>
          <w:lang w:val="en-US" w:eastAsia="en-US"/>
        </w:rPr>
      </w:pPr>
      <w:r w:rsidRPr="007C01C1">
        <w:rPr>
          <w:rFonts w:eastAsia="Calibri"/>
          <w:b/>
          <w:lang w:val="en-US" w:eastAsia="en-US"/>
        </w:rPr>
        <w:t xml:space="preserve">Introduction: </w:t>
      </w:r>
      <w:r w:rsidRPr="007C01C1">
        <w:rPr>
          <w:rFonts w:eastAsia="Calibri"/>
          <w:bCs/>
          <w:lang w:val="en-US" w:eastAsia="en-US"/>
        </w:rPr>
        <w:t>Adult Still's disease is a rheumatic, inflammatory, systemic and chronic disease whose prevalence in the Caucasian population is estimated at 1 case per 100,000 adults.</w:t>
      </w:r>
    </w:p>
    <w:p w14:paraId="778A7EFB" w14:textId="77777777" w:rsidR="007C01C1" w:rsidRPr="007C01C1" w:rsidRDefault="007C01C1" w:rsidP="007C01C1">
      <w:pPr>
        <w:spacing w:line="360" w:lineRule="auto"/>
        <w:jc w:val="both"/>
        <w:rPr>
          <w:rFonts w:eastAsia="Calibri"/>
          <w:bCs/>
          <w:lang w:val="en-US" w:eastAsia="en-US"/>
        </w:rPr>
      </w:pPr>
      <w:r w:rsidRPr="007C01C1">
        <w:rPr>
          <w:rFonts w:eastAsia="Calibri"/>
          <w:b/>
          <w:lang w:val="en-US" w:eastAsia="en-US"/>
        </w:rPr>
        <w:t>Objective:</w:t>
      </w:r>
      <w:r w:rsidRPr="007C01C1">
        <w:rPr>
          <w:rFonts w:eastAsia="Calibri"/>
          <w:bCs/>
          <w:lang w:val="en-US" w:eastAsia="en-US"/>
        </w:rPr>
        <w:t xml:space="preserve"> To present a young adult patient with a fever of unknown origin as the presentation of adult Still's disease.</w:t>
      </w:r>
    </w:p>
    <w:p w14:paraId="17365274" w14:textId="77777777" w:rsidR="007C01C1" w:rsidRPr="007C01C1" w:rsidRDefault="007C01C1" w:rsidP="007C01C1">
      <w:pPr>
        <w:spacing w:line="360" w:lineRule="auto"/>
        <w:jc w:val="both"/>
        <w:rPr>
          <w:rFonts w:eastAsia="Calibri"/>
          <w:bCs/>
          <w:lang w:val="en-US" w:eastAsia="en-US"/>
        </w:rPr>
      </w:pPr>
      <w:r w:rsidRPr="007C01C1">
        <w:rPr>
          <w:rFonts w:eastAsia="Calibri"/>
          <w:b/>
          <w:lang w:val="en-US" w:eastAsia="en-US"/>
        </w:rPr>
        <w:t>Clinical case:</w:t>
      </w:r>
      <w:r w:rsidRPr="007C01C1">
        <w:rPr>
          <w:rFonts w:eastAsia="Calibri"/>
          <w:bCs/>
          <w:lang w:val="en-US" w:eastAsia="en-US"/>
        </w:rPr>
        <w:t xml:space="preserve"> 29-year-old patient with a history of rheumatic fever, with a previous hospital admission; who presented a non-infectious febrile illness lasting 50 days, for which the cause was not determined. A year later, the fever reappeared, with similar characteristics, associated with polyarthralgia, hepatosplenomegaly, anemia, </w:t>
      </w:r>
      <w:proofErr w:type="spellStart"/>
      <w:r w:rsidRPr="007C01C1">
        <w:rPr>
          <w:rFonts w:eastAsia="Calibri"/>
          <w:bCs/>
          <w:lang w:val="en-US" w:eastAsia="en-US"/>
        </w:rPr>
        <w:t>hyperferritinemia</w:t>
      </w:r>
      <w:proofErr w:type="spellEnd"/>
      <w:r w:rsidRPr="007C01C1">
        <w:rPr>
          <w:rFonts w:eastAsia="Calibri"/>
          <w:bCs/>
          <w:lang w:val="en-US" w:eastAsia="en-US"/>
        </w:rPr>
        <w:t>, neutrophilia, negative rheumatoid factor, and pericarditis was noted during admission. The diagnosis of adult Still's disease was made by exclusion. Treatment with steroids was started, the fever disappeared in the first 24 hours and the patient had a favorable evolution.</w:t>
      </w:r>
    </w:p>
    <w:p w14:paraId="1A05FBF1" w14:textId="77777777" w:rsidR="007C01C1" w:rsidRPr="007C01C1" w:rsidRDefault="007C01C1" w:rsidP="007C01C1">
      <w:pPr>
        <w:spacing w:line="360" w:lineRule="auto"/>
        <w:jc w:val="both"/>
        <w:rPr>
          <w:rFonts w:eastAsia="Calibri"/>
          <w:bCs/>
          <w:lang w:val="en-US" w:eastAsia="en-US"/>
        </w:rPr>
      </w:pPr>
      <w:r w:rsidRPr="007C01C1">
        <w:rPr>
          <w:rFonts w:eastAsia="Calibri"/>
          <w:b/>
          <w:lang w:val="en-US" w:eastAsia="en-US"/>
        </w:rPr>
        <w:t xml:space="preserve">Conclusions: </w:t>
      </w:r>
      <w:r w:rsidRPr="007C01C1">
        <w:rPr>
          <w:rFonts w:eastAsia="Calibri"/>
          <w:bCs/>
          <w:lang w:val="en-US" w:eastAsia="en-US"/>
        </w:rPr>
        <w:t xml:space="preserve">Adult Still's disease can present as a fever of unknown origin and is diagnosed by exclusion, since there are no pathognomonic clinical manifestations or laboratory tests. </w:t>
      </w:r>
      <w:proofErr w:type="spellStart"/>
      <w:r w:rsidRPr="007C01C1">
        <w:rPr>
          <w:rFonts w:eastAsia="Calibri"/>
          <w:bCs/>
          <w:lang w:val="en-US" w:eastAsia="en-US"/>
        </w:rPr>
        <w:t>Hyperferritinemia</w:t>
      </w:r>
      <w:proofErr w:type="spellEnd"/>
      <w:r w:rsidRPr="007C01C1">
        <w:rPr>
          <w:rFonts w:eastAsia="Calibri"/>
          <w:bCs/>
          <w:lang w:val="en-US" w:eastAsia="en-US"/>
        </w:rPr>
        <w:t xml:space="preserve"> is useful for diagnostic suspicion.</w:t>
      </w:r>
    </w:p>
    <w:p w14:paraId="729F112F" w14:textId="77777777" w:rsidR="007C01C1" w:rsidRPr="007C01C1" w:rsidRDefault="007C01C1" w:rsidP="007C01C1">
      <w:pPr>
        <w:spacing w:line="360" w:lineRule="auto"/>
        <w:jc w:val="both"/>
        <w:rPr>
          <w:rFonts w:eastAsia="Calibri"/>
          <w:bCs/>
          <w:lang w:val="en-US" w:eastAsia="en-US"/>
        </w:rPr>
      </w:pPr>
      <w:r w:rsidRPr="007C01C1">
        <w:rPr>
          <w:rFonts w:eastAsia="Calibri"/>
          <w:b/>
          <w:lang w:val="en-US" w:eastAsia="en-US"/>
        </w:rPr>
        <w:t>Keywords:</w:t>
      </w:r>
      <w:r w:rsidRPr="007C01C1">
        <w:rPr>
          <w:rFonts w:eastAsia="Calibri"/>
          <w:bCs/>
          <w:lang w:val="en-US" w:eastAsia="en-US"/>
        </w:rPr>
        <w:t xml:space="preserve"> adult-onset Still's disease; fever of unknown origin; </w:t>
      </w:r>
      <w:proofErr w:type="spellStart"/>
      <w:r w:rsidRPr="007C01C1">
        <w:rPr>
          <w:rFonts w:eastAsia="Calibri"/>
          <w:bCs/>
          <w:lang w:val="en-US" w:eastAsia="en-US"/>
        </w:rPr>
        <w:t>hyperferritinemia</w:t>
      </w:r>
      <w:proofErr w:type="spellEnd"/>
      <w:r w:rsidRPr="007C01C1">
        <w:rPr>
          <w:rFonts w:eastAsia="Calibri"/>
          <w:bCs/>
          <w:lang w:val="en-US" w:eastAsia="en-US"/>
        </w:rPr>
        <w:t>.</w:t>
      </w:r>
    </w:p>
    <w:p w14:paraId="5B632099" w14:textId="77777777" w:rsidR="007C01C1" w:rsidRPr="007C01C1" w:rsidRDefault="007C01C1" w:rsidP="007C01C1">
      <w:pPr>
        <w:spacing w:line="360" w:lineRule="auto"/>
        <w:rPr>
          <w:rFonts w:eastAsia="Calibri"/>
          <w:lang w:val="en-US" w:eastAsia="en-US"/>
        </w:rPr>
      </w:pPr>
    </w:p>
    <w:p w14:paraId="04E67669" w14:textId="77777777" w:rsidR="007C01C1" w:rsidRPr="007C01C1" w:rsidRDefault="007C01C1" w:rsidP="007C01C1">
      <w:pPr>
        <w:spacing w:line="360" w:lineRule="auto"/>
        <w:rPr>
          <w:rFonts w:eastAsia="Calibri"/>
          <w:lang w:val="en-US" w:eastAsia="en-US"/>
        </w:rPr>
      </w:pPr>
    </w:p>
    <w:p w14:paraId="1859520B" w14:textId="77777777" w:rsidR="007C01C1" w:rsidRPr="007C01C1" w:rsidRDefault="007C01C1" w:rsidP="007C01C1">
      <w:pPr>
        <w:spacing w:line="360" w:lineRule="auto"/>
        <w:rPr>
          <w:rFonts w:eastAsia="Calibri"/>
          <w:lang w:val="es-ES" w:eastAsia="en-US"/>
        </w:rPr>
      </w:pPr>
      <w:r w:rsidRPr="007C01C1">
        <w:rPr>
          <w:rFonts w:eastAsia="Calibri"/>
          <w:lang w:val="es-ES" w:eastAsia="en-US"/>
        </w:rPr>
        <w:t>Recibido: 27/06/2023</w:t>
      </w:r>
    </w:p>
    <w:p w14:paraId="35AD36CE" w14:textId="77777777" w:rsidR="007C01C1" w:rsidRPr="007C01C1" w:rsidRDefault="007C01C1" w:rsidP="007C01C1">
      <w:pPr>
        <w:spacing w:line="360" w:lineRule="auto"/>
        <w:rPr>
          <w:rFonts w:eastAsia="Calibri"/>
          <w:lang w:val="es-ES" w:eastAsia="en-US"/>
        </w:rPr>
      </w:pPr>
      <w:r w:rsidRPr="007C01C1">
        <w:rPr>
          <w:rFonts w:eastAsia="Calibri"/>
          <w:lang w:val="es-ES" w:eastAsia="en-US"/>
        </w:rPr>
        <w:t>Aprobado: 24/10/2023</w:t>
      </w:r>
    </w:p>
    <w:p w14:paraId="511C4943" w14:textId="77777777" w:rsidR="007C01C1" w:rsidRPr="007C01C1" w:rsidRDefault="007C01C1" w:rsidP="007C01C1">
      <w:pPr>
        <w:spacing w:line="360" w:lineRule="auto"/>
        <w:rPr>
          <w:rFonts w:eastAsia="Calibri"/>
          <w:lang w:val="es-ES" w:eastAsia="en-US"/>
        </w:rPr>
      </w:pPr>
    </w:p>
    <w:p w14:paraId="453373AB" w14:textId="77777777" w:rsidR="007C01C1" w:rsidRPr="007C01C1" w:rsidRDefault="007C01C1" w:rsidP="007C01C1">
      <w:pPr>
        <w:spacing w:line="360" w:lineRule="auto"/>
        <w:rPr>
          <w:rFonts w:eastAsia="Calibri"/>
          <w:lang w:val="es-ES" w:eastAsia="en-US"/>
        </w:rPr>
      </w:pPr>
    </w:p>
    <w:p w14:paraId="70412320" w14:textId="77777777" w:rsidR="00613CF0" w:rsidRDefault="00613CF0">
      <w:pPr>
        <w:rPr>
          <w:rFonts w:eastAsia="Calibri"/>
          <w:b/>
          <w:sz w:val="32"/>
          <w:szCs w:val="32"/>
          <w:lang w:val="es-ES" w:eastAsia="en-US"/>
        </w:rPr>
      </w:pPr>
      <w:r>
        <w:rPr>
          <w:rFonts w:eastAsia="Calibri"/>
          <w:b/>
          <w:sz w:val="32"/>
          <w:szCs w:val="32"/>
          <w:lang w:val="es-ES" w:eastAsia="en-US"/>
        </w:rPr>
        <w:br w:type="page"/>
      </w:r>
    </w:p>
    <w:p w14:paraId="61E94947" w14:textId="01493349" w:rsidR="007C01C1" w:rsidRPr="007C01C1" w:rsidRDefault="007C01C1" w:rsidP="007C01C1">
      <w:pPr>
        <w:spacing w:line="360" w:lineRule="auto"/>
        <w:jc w:val="center"/>
        <w:rPr>
          <w:rFonts w:eastAsia="Calibri"/>
          <w:sz w:val="32"/>
          <w:szCs w:val="32"/>
          <w:lang w:val="es-ES" w:eastAsia="en-US"/>
        </w:rPr>
      </w:pPr>
      <w:r w:rsidRPr="007C01C1">
        <w:rPr>
          <w:rFonts w:eastAsia="Calibri"/>
          <w:b/>
          <w:sz w:val="32"/>
          <w:szCs w:val="32"/>
          <w:lang w:val="es-ES" w:eastAsia="en-US"/>
        </w:rPr>
        <w:lastRenderedPageBreak/>
        <w:t>INTRODUCCIÓN</w:t>
      </w:r>
    </w:p>
    <w:p w14:paraId="4DAD00AF"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Dentro de las enfermedades reumatológicas, una de las menos frecuentes es</w:t>
      </w:r>
      <w:r w:rsidRPr="007C01C1">
        <w:rPr>
          <w:rFonts w:eastAsia="Calibri"/>
          <w:color w:val="FF0000"/>
          <w:lang w:val="es-ES" w:eastAsia="en-US"/>
        </w:rPr>
        <w:t xml:space="preserve"> </w:t>
      </w:r>
      <w:r w:rsidRPr="007C01C1">
        <w:rPr>
          <w:rFonts w:eastAsia="Calibri"/>
          <w:lang w:val="es-ES" w:eastAsia="en-US"/>
        </w:rPr>
        <w:t xml:space="preserve">la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 (ESA), cuya prevalencia en la población caucásica se estima en 1 caso por cada 100 000 </w:t>
      </w:r>
      <w:proofErr w:type="gramStart"/>
      <w:r w:rsidRPr="007C01C1">
        <w:rPr>
          <w:rFonts w:eastAsia="Calibri"/>
          <w:lang w:val="es-ES" w:eastAsia="en-US"/>
        </w:rPr>
        <w:t>adultos.</w:t>
      </w:r>
      <w:r w:rsidRPr="007C01C1">
        <w:rPr>
          <w:rFonts w:eastAsia="Calibri"/>
          <w:vertAlign w:val="superscript"/>
          <w:lang w:val="es-ES" w:eastAsia="en-US"/>
        </w:rPr>
        <w:t>(</w:t>
      </w:r>
      <w:proofErr w:type="gramEnd"/>
      <w:r w:rsidRPr="007C01C1">
        <w:rPr>
          <w:rFonts w:eastAsia="Calibri"/>
          <w:vertAlign w:val="superscript"/>
          <w:lang w:val="es-ES" w:eastAsia="en-US"/>
        </w:rPr>
        <w:t xml:space="preserve">1) </w:t>
      </w:r>
      <w:r w:rsidRPr="007C01C1">
        <w:rPr>
          <w:rFonts w:eastAsia="Calibri"/>
          <w:lang w:val="es-ES" w:eastAsia="en-US"/>
        </w:rPr>
        <w:t xml:space="preserve"> Fue conceptualizada por </w:t>
      </w:r>
      <w:proofErr w:type="spellStart"/>
      <w:r w:rsidRPr="008F04E4">
        <w:rPr>
          <w:rFonts w:eastAsia="Calibri"/>
          <w:i/>
          <w:lang w:val="es-ES" w:eastAsia="en-US"/>
        </w:rPr>
        <w:t>Bywaters</w:t>
      </w:r>
      <w:proofErr w:type="spellEnd"/>
      <w:r w:rsidRPr="007C01C1">
        <w:rPr>
          <w:rFonts w:eastAsia="Calibri"/>
          <w:lang w:val="es-ES" w:eastAsia="en-US"/>
        </w:rPr>
        <w:t>,</w:t>
      </w:r>
      <w:r w:rsidRPr="007C01C1">
        <w:rPr>
          <w:rFonts w:eastAsia="Calibri"/>
          <w:vertAlign w:val="superscript"/>
          <w:lang w:val="es-ES" w:eastAsia="en-US"/>
        </w:rPr>
        <w:t>(2)</w:t>
      </w:r>
      <w:r w:rsidRPr="007C01C1">
        <w:rPr>
          <w:rFonts w:eastAsia="Calibri"/>
          <w:lang w:val="es-ES" w:eastAsia="en-US"/>
        </w:rPr>
        <w:t xml:space="preserve"> un destacado reumatólogo, quien la describió por primera vez en el año 1971. Se define como un proceso inflamatorio multisistémico, de causa desconocida, caracterizado por episodios diarios de fiebre, </w:t>
      </w:r>
      <w:proofErr w:type="spellStart"/>
      <w:r w:rsidRPr="007C01C1">
        <w:rPr>
          <w:rFonts w:eastAsia="Calibri"/>
          <w:i/>
          <w:lang w:val="es-ES" w:eastAsia="en-US"/>
        </w:rPr>
        <w:t>rash</w:t>
      </w:r>
      <w:proofErr w:type="spellEnd"/>
      <w:r w:rsidRPr="007C01C1">
        <w:rPr>
          <w:rFonts w:eastAsia="Calibri"/>
          <w:lang w:val="es-ES" w:eastAsia="en-US"/>
        </w:rPr>
        <w:t xml:space="preserve"> cutáneo, artralgia/artritis y </w:t>
      </w:r>
      <w:proofErr w:type="gramStart"/>
      <w:r w:rsidRPr="007C01C1">
        <w:rPr>
          <w:rFonts w:eastAsia="Calibri"/>
          <w:lang w:val="es-ES" w:eastAsia="en-US"/>
        </w:rPr>
        <w:t>mialgia.</w:t>
      </w:r>
      <w:r w:rsidRPr="007C01C1">
        <w:rPr>
          <w:rFonts w:eastAsia="Calibri"/>
          <w:vertAlign w:val="superscript"/>
          <w:lang w:val="es-ES" w:eastAsia="en-US"/>
        </w:rPr>
        <w:t>(</w:t>
      </w:r>
      <w:proofErr w:type="gramEnd"/>
      <w:r w:rsidRPr="007C01C1">
        <w:rPr>
          <w:rFonts w:eastAsia="Calibri"/>
          <w:vertAlign w:val="superscript"/>
          <w:lang w:val="es-ES" w:eastAsia="en-US"/>
        </w:rPr>
        <w:t>2)</w:t>
      </w:r>
    </w:p>
    <w:p w14:paraId="010015E4"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En 1992, </w:t>
      </w:r>
      <w:r w:rsidRPr="007C01C1">
        <w:rPr>
          <w:rFonts w:eastAsia="Calibri"/>
          <w:i/>
          <w:lang w:val="es-ES" w:eastAsia="en-US"/>
        </w:rPr>
        <w:t>Yamaguchi</w:t>
      </w:r>
      <w:r w:rsidRPr="007C01C1">
        <w:rPr>
          <w:rFonts w:eastAsia="Calibri"/>
          <w:lang w:val="es-ES" w:eastAsia="en-US"/>
        </w:rPr>
        <w:t xml:space="preserve"> y </w:t>
      </w:r>
      <w:proofErr w:type="gramStart"/>
      <w:r w:rsidRPr="007C01C1">
        <w:rPr>
          <w:rFonts w:eastAsia="Calibri"/>
          <w:lang w:val="es-ES" w:eastAsia="en-US"/>
        </w:rPr>
        <w:t>otros</w:t>
      </w:r>
      <w:r w:rsidRPr="007C01C1">
        <w:rPr>
          <w:rFonts w:eastAsia="Calibri"/>
          <w:vertAlign w:val="superscript"/>
          <w:lang w:val="es-ES" w:eastAsia="en-US"/>
        </w:rPr>
        <w:t>(</w:t>
      </w:r>
      <w:proofErr w:type="gramEnd"/>
      <w:r w:rsidRPr="007C01C1">
        <w:rPr>
          <w:rFonts w:eastAsia="Calibri"/>
          <w:vertAlign w:val="superscript"/>
          <w:lang w:val="es-ES" w:eastAsia="en-US"/>
        </w:rPr>
        <w:t>3)</w:t>
      </w:r>
      <w:r w:rsidRPr="007C01C1">
        <w:rPr>
          <w:rFonts w:eastAsia="Calibri"/>
          <w:lang w:val="es-ES" w:eastAsia="en-US"/>
        </w:rPr>
        <w:t xml:space="preserve"> propusieron los criterios diagnósticos para la ESA, en los cuales incluyeron fiebre alta, artralgias, </w:t>
      </w:r>
      <w:proofErr w:type="spellStart"/>
      <w:r w:rsidRPr="007C01C1">
        <w:rPr>
          <w:rFonts w:eastAsia="Calibri"/>
          <w:i/>
          <w:lang w:val="es-ES" w:eastAsia="en-US"/>
        </w:rPr>
        <w:t>rash</w:t>
      </w:r>
      <w:proofErr w:type="spellEnd"/>
      <w:r w:rsidRPr="007C01C1">
        <w:rPr>
          <w:rFonts w:eastAsia="Calibri"/>
          <w:lang w:val="es-ES" w:eastAsia="en-US"/>
        </w:rPr>
        <w:t xml:space="preserve"> cutáneo y leucocitosis.</w:t>
      </w:r>
      <w:r w:rsidRPr="007C01C1">
        <w:rPr>
          <w:rFonts w:eastAsia="Calibri"/>
          <w:vertAlign w:val="superscript"/>
          <w:lang w:val="es-ES" w:eastAsia="en-US"/>
        </w:rPr>
        <w:t>(3)</w:t>
      </w:r>
    </w:p>
    <w:p w14:paraId="7B5476E9"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Se trata de una enfermedad rara en la que no existe agregación familiar conocida. Tiene una amplia distribución mundial; la incidencia se ha calculado en 1-4 casos por 100 000 habitantes/año y la prevalencia en 14-30 casos por </w:t>
      </w:r>
      <w:proofErr w:type="gramStart"/>
      <w:r w:rsidRPr="007C01C1">
        <w:rPr>
          <w:rFonts w:eastAsia="Calibri"/>
          <w:lang w:val="es-ES" w:eastAsia="en-US"/>
        </w:rPr>
        <w:t>millón.</w:t>
      </w:r>
      <w:r w:rsidRPr="007C01C1">
        <w:rPr>
          <w:rFonts w:eastAsia="Calibri"/>
          <w:vertAlign w:val="superscript"/>
          <w:lang w:val="es-ES" w:eastAsia="en-US"/>
        </w:rPr>
        <w:t>(</w:t>
      </w:r>
      <w:proofErr w:type="gramEnd"/>
      <w:r w:rsidRPr="007C01C1">
        <w:rPr>
          <w:rFonts w:eastAsia="Calibri"/>
          <w:vertAlign w:val="superscript"/>
          <w:lang w:val="es-ES" w:eastAsia="en-US"/>
        </w:rPr>
        <w:t>4)</w:t>
      </w:r>
      <w:r w:rsidRPr="007C01C1">
        <w:rPr>
          <w:rFonts w:eastAsia="Calibri"/>
          <w:lang w:val="es-ES" w:eastAsia="en-US"/>
        </w:rPr>
        <w:t xml:space="preserve"> Suele iniciarse entre los 16 y los 35 años y aunque se presenta en cualquier edad, es más frecuente en mujeres.</w:t>
      </w:r>
      <w:r w:rsidRPr="007C01C1">
        <w:rPr>
          <w:rFonts w:eastAsia="Calibri"/>
          <w:vertAlign w:val="superscript"/>
          <w:lang w:val="es-ES" w:eastAsia="en-US"/>
        </w:rPr>
        <w:t>(5)</w:t>
      </w:r>
    </w:p>
    <w:p w14:paraId="7262B37E"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El objetivo de este trabajo es presentar un paciente adulto joven, con una fiebre de origen desconocido como forma de presentación de la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w:t>
      </w:r>
    </w:p>
    <w:p w14:paraId="4F8CCEE6" w14:textId="77777777" w:rsidR="007C01C1" w:rsidRPr="007C01C1" w:rsidRDefault="007C01C1" w:rsidP="007C01C1">
      <w:pPr>
        <w:spacing w:line="360" w:lineRule="auto"/>
        <w:jc w:val="center"/>
        <w:rPr>
          <w:rFonts w:eastAsia="Calibri"/>
          <w:b/>
          <w:lang w:val="es-ES" w:eastAsia="en-US"/>
        </w:rPr>
      </w:pPr>
    </w:p>
    <w:p w14:paraId="67EA3D92" w14:textId="77777777" w:rsidR="007C01C1" w:rsidRPr="007C01C1" w:rsidRDefault="007C01C1" w:rsidP="007C01C1">
      <w:pPr>
        <w:spacing w:line="360" w:lineRule="auto"/>
        <w:jc w:val="center"/>
        <w:rPr>
          <w:rFonts w:eastAsia="Calibri"/>
          <w:b/>
          <w:lang w:val="es-ES" w:eastAsia="en-US"/>
        </w:rPr>
      </w:pPr>
    </w:p>
    <w:p w14:paraId="2048F916" w14:textId="77777777" w:rsidR="007C01C1" w:rsidRPr="007C01C1" w:rsidRDefault="007C01C1" w:rsidP="007C01C1">
      <w:pPr>
        <w:spacing w:line="360" w:lineRule="auto"/>
        <w:jc w:val="center"/>
        <w:rPr>
          <w:rFonts w:eastAsia="Calibri"/>
          <w:b/>
          <w:sz w:val="32"/>
          <w:szCs w:val="32"/>
          <w:lang w:val="es-ES" w:eastAsia="en-US"/>
        </w:rPr>
      </w:pPr>
      <w:r w:rsidRPr="007C01C1">
        <w:rPr>
          <w:rFonts w:eastAsia="Calibri"/>
          <w:b/>
          <w:sz w:val="32"/>
          <w:szCs w:val="32"/>
          <w:lang w:val="es-ES" w:eastAsia="en-US"/>
        </w:rPr>
        <w:t>CASO CLÍNICO</w:t>
      </w:r>
    </w:p>
    <w:p w14:paraId="2A887BD0"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Paciente de 29 años de edad, sin hábitos tóxicos, con antecedentes patológicos personales de fiebre reumática diagnosticada en la adolescencia. Un año antes tuvo un ingreso por fiebre, de 50 días de duración, pero no se demostró alguna causa infecciosa ni se llegó a un diagnóstico definitivo. En ese ingreso no se utilizaron esteroides como parte del tratamiento.</w:t>
      </w:r>
    </w:p>
    <w:p w14:paraId="5102A497" w14:textId="77777777" w:rsidR="007C01C1" w:rsidRPr="007C01C1" w:rsidRDefault="007C01C1" w:rsidP="007C01C1">
      <w:pPr>
        <w:spacing w:line="360" w:lineRule="auto"/>
        <w:jc w:val="both"/>
        <w:rPr>
          <w:rFonts w:eastAsia="Calibri"/>
          <w:color w:val="000000"/>
          <w:shd w:val="clear" w:color="auto" w:fill="FFFFFF"/>
          <w:lang w:val="es-ES" w:eastAsia="en-US"/>
        </w:rPr>
      </w:pPr>
      <w:r w:rsidRPr="007C01C1">
        <w:rPr>
          <w:rFonts w:eastAsia="Calibri"/>
          <w:color w:val="000000"/>
          <w:shd w:val="clear" w:color="auto" w:fill="FFFFFF"/>
          <w:lang w:val="es-ES" w:eastAsia="en-US"/>
        </w:rPr>
        <w:t>En el ingreso actual el paciente presentaba fiebre de 38,5-39 </w:t>
      </w:r>
      <w:r w:rsidRPr="007C01C1">
        <w:rPr>
          <w:rFonts w:eastAsia="Calibri"/>
          <w:color w:val="000000"/>
          <w:shd w:val="clear" w:color="auto" w:fill="FFFFFF"/>
          <w:vertAlign w:val="superscript"/>
          <w:lang w:val="es-ES" w:eastAsia="en-US"/>
        </w:rPr>
        <w:t>0</w:t>
      </w:r>
      <w:r w:rsidRPr="007C01C1">
        <w:rPr>
          <w:rFonts w:eastAsia="Calibri"/>
          <w:color w:val="000000"/>
          <w:shd w:val="clear" w:color="auto" w:fill="FFFFFF"/>
          <w:lang w:val="es-ES" w:eastAsia="en-US"/>
        </w:rPr>
        <w:t xml:space="preserve">C, 2 o 3 picos diarios, con gran toma del estado general, hepatomegalia, odinofagia sin evidencia de exudados amigdalinos, anemia, artralgias sobre todo en las manos, codos y rodillas. A los 7 días del ingreso presentó dolor torácico, que se exacerbaba a la inspiración y en el decúbito supino; esto se interpretó como una pericarditis, con derrame pericárdico ligero, confirmado por ecocardiograma. </w:t>
      </w:r>
    </w:p>
    <w:p w14:paraId="6D712060" w14:textId="77777777" w:rsidR="007C01C1" w:rsidRPr="007C01C1" w:rsidRDefault="007C01C1" w:rsidP="007C01C1">
      <w:pPr>
        <w:spacing w:line="360" w:lineRule="auto"/>
        <w:jc w:val="both"/>
        <w:rPr>
          <w:rFonts w:eastAsia="Calibri"/>
          <w:color w:val="000000"/>
          <w:shd w:val="clear" w:color="auto" w:fill="FFFFFF"/>
          <w:lang w:val="es-ES" w:eastAsia="en-US"/>
        </w:rPr>
      </w:pPr>
      <w:r w:rsidRPr="007C01C1">
        <w:rPr>
          <w:rFonts w:eastAsia="Calibri"/>
          <w:color w:val="000000"/>
          <w:shd w:val="clear" w:color="auto" w:fill="FFFFFF"/>
          <w:lang w:val="es-ES" w:eastAsia="en-US"/>
        </w:rPr>
        <w:lastRenderedPageBreak/>
        <w:t xml:space="preserve">A pesar de que el cuadro cedió a los 14 días de tratamiento con aspirina, no se modificó la fiebre, que tampoco mejoró con el uso de antibióticos de forma empírica. </w:t>
      </w:r>
    </w:p>
    <w:p w14:paraId="27F3F5D1" w14:textId="77777777" w:rsidR="007C01C1" w:rsidRPr="007C01C1" w:rsidRDefault="007C01C1" w:rsidP="007C01C1">
      <w:pPr>
        <w:spacing w:line="360" w:lineRule="auto"/>
        <w:jc w:val="both"/>
        <w:rPr>
          <w:rFonts w:eastAsia="Calibri"/>
          <w:lang w:val="es-ES" w:eastAsia="en-US"/>
        </w:rPr>
      </w:pPr>
      <w:r w:rsidRPr="007C01C1">
        <w:rPr>
          <w:rFonts w:eastAsia="Calibri"/>
          <w:color w:val="000000"/>
          <w:shd w:val="clear" w:color="auto" w:fill="FFFFFF"/>
          <w:lang w:val="es-ES" w:eastAsia="en-US"/>
        </w:rPr>
        <w:t>A los 25 días del cuadro febril se comenzó el uso de esteroides, debido la sospecha de una ESA y en las 24 horas siguientes, la fiebre cedió. Evolutivamente el paciente se ha mantenido asintomático.</w:t>
      </w:r>
    </w:p>
    <w:p w14:paraId="552A1EFA" w14:textId="77777777" w:rsidR="007C01C1" w:rsidRPr="007C01C1" w:rsidRDefault="007C01C1" w:rsidP="007C01C1">
      <w:pPr>
        <w:spacing w:line="360" w:lineRule="auto"/>
        <w:jc w:val="center"/>
        <w:rPr>
          <w:rFonts w:eastAsia="Calibri"/>
          <w:b/>
          <w:sz w:val="28"/>
          <w:szCs w:val="28"/>
          <w:lang w:val="es-ES" w:eastAsia="en-US"/>
        </w:rPr>
      </w:pPr>
      <w:r w:rsidRPr="007C01C1">
        <w:rPr>
          <w:rFonts w:eastAsia="Calibri"/>
          <w:b/>
          <w:sz w:val="28"/>
          <w:szCs w:val="28"/>
          <w:lang w:val="es-ES" w:eastAsia="en-US"/>
        </w:rPr>
        <w:t>Alteraciones en el examen físico</w:t>
      </w:r>
    </w:p>
    <w:p w14:paraId="4BF344AC"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No se constataron signos flogísticos en ninguna articulación. </w:t>
      </w:r>
    </w:p>
    <w:p w14:paraId="4E9E4AE2"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Hepatomegalia de 2 cm, ligeramente dolorosa, de bordes finos. </w:t>
      </w:r>
    </w:p>
    <w:p w14:paraId="29AB961F"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Ligera palidez de mucosas. </w:t>
      </w:r>
    </w:p>
    <w:p w14:paraId="36AAEAD2"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No se constatan alteraciones a la auscultación del sistema cardiovascular central. </w:t>
      </w:r>
    </w:p>
    <w:p w14:paraId="55FF3FAC" w14:textId="77777777" w:rsidR="007C01C1" w:rsidRPr="007C01C1" w:rsidRDefault="007C01C1" w:rsidP="007C01C1">
      <w:pPr>
        <w:spacing w:line="360" w:lineRule="auto"/>
        <w:jc w:val="center"/>
        <w:rPr>
          <w:rFonts w:eastAsia="Calibri"/>
          <w:b/>
          <w:bCs/>
          <w:sz w:val="28"/>
          <w:szCs w:val="28"/>
          <w:lang w:val="es-ES" w:eastAsia="en-US"/>
        </w:rPr>
      </w:pPr>
      <w:r w:rsidRPr="007C01C1">
        <w:rPr>
          <w:rFonts w:eastAsia="Calibri"/>
          <w:b/>
          <w:bCs/>
          <w:sz w:val="28"/>
          <w:szCs w:val="28"/>
          <w:lang w:val="es-ES" w:eastAsia="en-US"/>
        </w:rPr>
        <w:t>Exámenes complementarios</w:t>
      </w:r>
    </w:p>
    <w:p w14:paraId="3C3A8AF7"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Hemoglobina, 10 g/L; volumen corpuscular medio: 82,4 </w:t>
      </w:r>
      <w:proofErr w:type="spellStart"/>
      <w:r w:rsidRPr="007C01C1">
        <w:rPr>
          <w:rFonts w:eastAsia="Calibri"/>
          <w:lang w:val="es-ES" w:eastAsia="en-US"/>
        </w:rPr>
        <w:t>fL</w:t>
      </w:r>
      <w:proofErr w:type="spellEnd"/>
      <w:r w:rsidRPr="007C01C1">
        <w:rPr>
          <w:rFonts w:eastAsia="Calibri"/>
          <w:lang w:val="es-ES" w:eastAsia="en-US"/>
        </w:rPr>
        <w:t>; leucocitos: 16 x 10</w:t>
      </w:r>
      <w:r w:rsidRPr="007C01C1">
        <w:rPr>
          <w:rFonts w:eastAsia="Calibri"/>
          <w:vertAlign w:val="superscript"/>
          <w:lang w:val="es-ES" w:eastAsia="en-US"/>
        </w:rPr>
        <w:t>9</w:t>
      </w:r>
      <w:r w:rsidRPr="007C01C1">
        <w:rPr>
          <w:rFonts w:eastAsia="Calibri"/>
          <w:lang w:val="es-ES" w:eastAsia="en-US"/>
        </w:rPr>
        <w:t>/L (granulocitos: 82,7 %) plaquetas: 415 x 10</w:t>
      </w:r>
      <w:r w:rsidRPr="007C01C1">
        <w:rPr>
          <w:rFonts w:eastAsia="Calibri"/>
          <w:vertAlign w:val="superscript"/>
          <w:lang w:val="es-ES" w:eastAsia="en-US"/>
        </w:rPr>
        <w:t>9</w:t>
      </w:r>
      <w:r w:rsidRPr="007C01C1">
        <w:rPr>
          <w:rFonts w:eastAsia="Calibri"/>
          <w:lang w:val="es-ES" w:eastAsia="en-US"/>
        </w:rPr>
        <w:t xml:space="preserve">/L; velocidad de sedimentación globular: 123 mm/h; biopsia de yeyuno, inflamación crónica ligera; factor reumatoideo: negativo; proteína C </w:t>
      </w:r>
      <w:proofErr w:type="spellStart"/>
      <w:r w:rsidRPr="007C01C1">
        <w:rPr>
          <w:rFonts w:eastAsia="Calibri"/>
          <w:lang w:val="es-ES" w:eastAsia="en-US"/>
        </w:rPr>
        <w:t>reativa</w:t>
      </w:r>
      <w:proofErr w:type="spellEnd"/>
      <w:r w:rsidRPr="007C01C1">
        <w:rPr>
          <w:rFonts w:eastAsia="Calibri"/>
          <w:lang w:val="es-ES" w:eastAsia="en-US"/>
        </w:rPr>
        <w:t>, positiva; transaminasa glutámico-</w:t>
      </w:r>
      <w:proofErr w:type="spellStart"/>
      <w:r w:rsidRPr="007C01C1">
        <w:rPr>
          <w:rFonts w:eastAsia="Calibri"/>
          <w:lang w:val="es-ES" w:eastAsia="en-US"/>
        </w:rPr>
        <w:t>oxalacética</w:t>
      </w:r>
      <w:proofErr w:type="spellEnd"/>
      <w:r w:rsidRPr="007C01C1">
        <w:rPr>
          <w:rFonts w:eastAsia="Calibri"/>
          <w:lang w:val="es-ES" w:eastAsia="en-US"/>
        </w:rPr>
        <w:t>, 16,2 U/L; transaminasa glutámico-pirúvica, 13,4 U/L; fosfatasa alcalina, 166 U/L; creatinina: 87,5 µmol/L; proteínas totales: 63,7 g/L; albúmina: 42,8 g/L. Hemocultivos con y sin fiebre, negativos; VIH y serología: no reactivos; marcadores virales de hepatitis B y C negativos; antígeno anti-DNA doble cadena, negativo; ferritina: 1450 ng/</w:t>
      </w:r>
      <w:proofErr w:type="spellStart"/>
      <w:r w:rsidRPr="007C01C1">
        <w:rPr>
          <w:rFonts w:eastAsia="Calibri"/>
          <w:lang w:val="es-ES" w:eastAsia="en-US"/>
        </w:rPr>
        <w:t>mL</w:t>
      </w:r>
      <w:proofErr w:type="spellEnd"/>
      <w:r w:rsidRPr="007C01C1">
        <w:rPr>
          <w:rFonts w:eastAsia="Calibri"/>
          <w:lang w:val="es-ES" w:eastAsia="en-US"/>
        </w:rPr>
        <w:t>.</w:t>
      </w:r>
    </w:p>
    <w:p w14:paraId="2CF20BA2"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Ultrasonido abdominal: hepatomegalia de 3 cm, con ecogenicidad conservada. Ecocardiograma: derrame pericárdico ligero. Ecocardiograma transesofágico: estudio negativo de endocarditis infecciosa. Tomografía axial computarizada de tórax y abdomen: confirma el derrame pericárdico y la hepatomegalia.</w:t>
      </w:r>
    </w:p>
    <w:p w14:paraId="5CB520E3" w14:textId="77777777" w:rsidR="007C01C1" w:rsidRPr="007C01C1" w:rsidRDefault="007C01C1" w:rsidP="007C01C1">
      <w:pPr>
        <w:spacing w:line="360" w:lineRule="auto"/>
        <w:jc w:val="center"/>
        <w:rPr>
          <w:rFonts w:eastAsia="Calibri"/>
          <w:b/>
          <w:sz w:val="28"/>
          <w:szCs w:val="28"/>
          <w:lang w:val="es-ES" w:eastAsia="en-US"/>
        </w:rPr>
      </w:pPr>
      <w:r w:rsidRPr="007C01C1">
        <w:rPr>
          <w:rFonts w:eastAsia="Calibri"/>
          <w:b/>
          <w:sz w:val="28"/>
          <w:szCs w:val="28"/>
          <w:lang w:val="es-ES" w:eastAsia="en-US"/>
        </w:rPr>
        <w:t>Tratamiento y evolución clínica</w:t>
      </w:r>
    </w:p>
    <w:p w14:paraId="2BBB98E8"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Se consideró la posibilidad de alguna enfermedad infecciosa, por eso el paciente fue tratado con ceftriaxona por 15 días. Por el diagnóstico de pericarditis, se empleó aspirina en las dosis recomendadas. Mejoró el dolor torácico y el derrame pericárdico, pero sin modificaciones del cuadro febril.</w:t>
      </w:r>
    </w:p>
    <w:p w14:paraId="56E5BA19"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 xml:space="preserve">Se inició el tratamiento con prednisona, a una dosis de 1 mg x kg de peso. En las primeras 24 horas el paciente presentó febrícula y a partir del día siguiente se mantuvo </w:t>
      </w:r>
      <w:proofErr w:type="spellStart"/>
      <w:r w:rsidRPr="007C01C1">
        <w:rPr>
          <w:rFonts w:eastAsia="Calibri"/>
          <w:lang w:val="es-ES" w:eastAsia="en-US"/>
        </w:rPr>
        <w:t>normotérmico</w:t>
      </w:r>
      <w:proofErr w:type="spellEnd"/>
      <w:r w:rsidRPr="007C01C1">
        <w:rPr>
          <w:rFonts w:eastAsia="Calibri"/>
          <w:lang w:val="es-ES" w:eastAsia="en-US"/>
        </w:rPr>
        <w:t xml:space="preserve">. Luego se utilizó una </w:t>
      </w:r>
      <w:r w:rsidRPr="007C01C1">
        <w:rPr>
          <w:rFonts w:eastAsia="Calibri"/>
          <w:lang w:val="es-ES" w:eastAsia="en-US"/>
        </w:rPr>
        <w:lastRenderedPageBreak/>
        <w:t xml:space="preserve">pauta esteroidea decreciente. Al mes de tratamiento se revaluó; mejoró la </w:t>
      </w:r>
      <w:proofErr w:type="spellStart"/>
      <w:r w:rsidRPr="007C01C1">
        <w:rPr>
          <w:rFonts w:eastAsia="Calibri"/>
          <w:lang w:val="es-ES" w:eastAsia="en-US"/>
        </w:rPr>
        <w:t>hemoglobinemia</w:t>
      </w:r>
      <w:proofErr w:type="spellEnd"/>
      <w:r w:rsidRPr="007C01C1">
        <w:rPr>
          <w:rFonts w:eastAsia="Calibri"/>
          <w:lang w:val="es-ES" w:eastAsia="en-US"/>
        </w:rPr>
        <w:t>, disminuyó la leucocitosis y se normalizó la eritrosedimentación. El paciente se ha mantenido asintomático.</w:t>
      </w:r>
    </w:p>
    <w:p w14:paraId="4621254D" w14:textId="77777777" w:rsidR="007C01C1" w:rsidRPr="007C01C1" w:rsidRDefault="007C01C1" w:rsidP="007C01C1">
      <w:pPr>
        <w:spacing w:line="360" w:lineRule="auto"/>
        <w:jc w:val="both"/>
        <w:rPr>
          <w:rFonts w:eastAsia="Calibri"/>
          <w:lang w:val="es-ES" w:eastAsia="en-US"/>
        </w:rPr>
      </w:pPr>
    </w:p>
    <w:p w14:paraId="00A0DB1C" w14:textId="77777777" w:rsidR="007C01C1" w:rsidRPr="007C01C1" w:rsidRDefault="007C01C1" w:rsidP="007C01C1">
      <w:pPr>
        <w:spacing w:line="360" w:lineRule="auto"/>
        <w:jc w:val="both"/>
        <w:rPr>
          <w:rFonts w:eastAsia="Calibri"/>
          <w:lang w:val="es-ES" w:eastAsia="en-US"/>
        </w:rPr>
      </w:pPr>
    </w:p>
    <w:p w14:paraId="3602765F" w14:textId="77777777" w:rsidR="007C01C1" w:rsidRPr="007C01C1" w:rsidRDefault="007C01C1" w:rsidP="007C01C1">
      <w:pPr>
        <w:spacing w:line="360" w:lineRule="auto"/>
        <w:jc w:val="center"/>
        <w:rPr>
          <w:rFonts w:eastAsia="Calibri"/>
          <w:b/>
          <w:sz w:val="32"/>
          <w:szCs w:val="32"/>
          <w:lang w:val="es-ES" w:eastAsia="en-US"/>
        </w:rPr>
      </w:pPr>
      <w:r w:rsidRPr="007C01C1">
        <w:rPr>
          <w:rFonts w:eastAsia="Calibri"/>
          <w:b/>
          <w:sz w:val="32"/>
          <w:szCs w:val="32"/>
          <w:lang w:val="es-ES" w:eastAsia="en-US"/>
        </w:rPr>
        <w:t>COMENTARIOS</w:t>
      </w:r>
    </w:p>
    <w:p w14:paraId="1783F302" w14:textId="77777777" w:rsidR="007C01C1" w:rsidRPr="007C01C1" w:rsidRDefault="007C01C1" w:rsidP="007C01C1">
      <w:pPr>
        <w:spacing w:line="360" w:lineRule="auto"/>
        <w:jc w:val="both"/>
        <w:rPr>
          <w:rFonts w:eastAsia="Calibri"/>
          <w:lang w:val="es-ES" w:eastAsia="en-US"/>
        </w:rPr>
      </w:pPr>
      <w:r w:rsidRPr="007C01C1">
        <w:rPr>
          <w:rFonts w:eastAsia="Calibri"/>
          <w:lang w:val="es-ES" w:eastAsia="en-US"/>
        </w:rPr>
        <w:t>La ESA se considera como una causa frecuente del síndrome de fiebre de origen desconocido (entre el 5 y el 9 % de todos los pacientes con este cuadro</w:t>
      </w:r>
      <w:proofErr w:type="gramStart"/>
      <w:r w:rsidRPr="007C01C1">
        <w:rPr>
          <w:rFonts w:eastAsia="Calibri"/>
          <w:lang w:val="es-ES" w:eastAsia="en-US"/>
        </w:rPr>
        <w:t>).</w:t>
      </w:r>
      <w:r w:rsidRPr="007C01C1">
        <w:rPr>
          <w:rFonts w:eastAsia="Calibri"/>
          <w:vertAlign w:val="superscript"/>
          <w:lang w:val="es-ES" w:eastAsia="en-US"/>
        </w:rPr>
        <w:t>(</w:t>
      </w:r>
      <w:proofErr w:type="gramEnd"/>
      <w:r w:rsidRPr="007C01C1">
        <w:rPr>
          <w:rFonts w:eastAsia="Calibri"/>
          <w:vertAlign w:val="superscript"/>
          <w:lang w:val="es-ES" w:eastAsia="en-US"/>
        </w:rPr>
        <w:t xml:space="preserve">6) </w:t>
      </w:r>
      <w:r w:rsidRPr="007C01C1">
        <w:rPr>
          <w:rFonts w:eastAsia="Calibri"/>
          <w:lang w:val="es-ES" w:eastAsia="en-US"/>
        </w:rPr>
        <w:t>Por eso es un diagnóstico a considerar, tras excluir otras causas.</w:t>
      </w:r>
    </w:p>
    <w:p w14:paraId="3C0E4029" w14:textId="77777777" w:rsidR="007C01C1" w:rsidRPr="007C01C1" w:rsidRDefault="007C01C1" w:rsidP="007C01C1">
      <w:pPr>
        <w:autoSpaceDE w:val="0"/>
        <w:autoSpaceDN w:val="0"/>
        <w:adjustRightInd w:val="0"/>
        <w:spacing w:line="360" w:lineRule="auto"/>
        <w:jc w:val="both"/>
        <w:rPr>
          <w:rFonts w:eastAsia="MinionPro-Regular"/>
          <w:b/>
          <w:color w:val="FF0000"/>
          <w:lang w:val="es-ES" w:eastAsia="en-US"/>
        </w:rPr>
      </w:pPr>
      <w:r w:rsidRPr="007C01C1">
        <w:rPr>
          <w:rFonts w:eastAsia="Calibri"/>
          <w:lang w:val="es-ES" w:eastAsia="en-US"/>
        </w:rPr>
        <w:t xml:space="preserve">Además de los criterios de </w:t>
      </w:r>
      <w:r w:rsidRPr="007C01C1">
        <w:rPr>
          <w:rFonts w:eastAsia="Calibri"/>
          <w:i/>
          <w:lang w:val="es-ES" w:eastAsia="en-US"/>
        </w:rPr>
        <w:t xml:space="preserve">Yamaguchi </w:t>
      </w:r>
      <w:r w:rsidRPr="007C01C1">
        <w:rPr>
          <w:rFonts w:eastAsia="Calibri"/>
          <w:iCs/>
          <w:lang w:val="es-ES" w:eastAsia="en-US"/>
        </w:rPr>
        <w:t xml:space="preserve">y </w:t>
      </w:r>
      <w:proofErr w:type="gramStart"/>
      <w:r w:rsidRPr="007C01C1">
        <w:rPr>
          <w:rFonts w:eastAsia="Calibri"/>
          <w:iCs/>
          <w:lang w:val="es-ES" w:eastAsia="en-US"/>
        </w:rPr>
        <w:t>otros</w:t>
      </w:r>
      <w:r w:rsidRPr="007C01C1">
        <w:rPr>
          <w:rFonts w:eastAsia="Calibri"/>
          <w:lang w:val="es-ES" w:eastAsia="en-US"/>
        </w:rPr>
        <w:t>,</w:t>
      </w:r>
      <w:r w:rsidRPr="007C01C1">
        <w:rPr>
          <w:rFonts w:eastAsia="Calibri"/>
          <w:vertAlign w:val="superscript"/>
          <w:lang w:val="es-ES" w:eastAsia="en-US"/>
        </w:rPr>
        <w:t>(</w:t>
      </w:r>
      <w:proofErr w:type="gramEnd"/>
      <w:r w:rsidRPr="007C01C1">
        <w:rPr>
          <w:rFonts w:eastAsia="Calibri"/>
          <w:vertAlign w:val="superscript"/>
          <w:lang w:val="es-ES" w:eastAsia="en-US"/>
        </w:rPr>
        <w:t>3)</w:t>
      </w:r>
      <w:r w:rsidRPr="007C01C1">
        <w:rPr>
          <w:rFonts w:eastAsia="Calibri"/>
          <w:lang w:val="es-ES" w:eastAsia="en-US"/>
        </w:rPr>
        <w:t xml:space="preserve"> este paciente cumple con los criterios de </w:t>
      </w:r>
      <w:proofErr w:type="spellStart"/>
      <w:r w:rsidRPr="007C01C1">
        <w:rPr>
          <w:rFonts w:eastAsia="Calibri"/>
          <w:i/>
          <w:lang w:val="es-ES" w:eastAsia="en-US"/>
        </w:rPr>
        <w:t>Cush</w:t>
      </w:r>
      <w:proofErr w:type="spellEnd"/>
      <w:r w:rsidRPr="007C01C1">
        <w:rPr>
          <w:rFonts w:eastAsia="Calibri"/>
          <w:i/>
          <w:lang w:val="es-ES" w:eastAsia="en-US"/>
        </w:rPr>
        <w:t xml:space="preserve"> </w:t>
      </w:r>
      <w:r w:rsidRPr="007C01C1">
        <w:rPr>
          <w:rFonts w:eastAsia="Calibri"/>
          <w:iCs/>
          <w:lang w:val="es-ES" w:eastAsia="en-US"/>
        </w:rPr>
        <w:t>y otros</w:t>
      </w:r>
      <w:r w:rsidRPr="007C01C1">
        <w:rPr>
          <w:rFonts w:eastAsia="Calibri"/>
          <w:i/>
          <w:lang w:val="es-ES" w:eastAsia="en-US"/>
        </w:rPr>
        <w:t>,</w:t>
      </w:r>
      <w:r w:rsidRPr="007C01C1">
        <w:rPr>
          <w:rFonts w:eastAsia="MinionPro-Regular"/>
          <w:vertAlign w:val="superscript"/>
          <w:lang w:val="es-ES" w:eastAsia="en-US"/>
        </w:rPr>
        <w:t xml:space="preserve">(5) </w:t>
      </w:r>
      <w:r w:rsidRPr="007C01C1">
        <w:rPr>
          <w:rFonts w:eastAsia="MinionPro-Regular"/>
          <w:lang w:val="es-ES" w:eastAsia="en-US"/>
        </w:rPr>
        <w:t xml:space="preserve">quienes establecen considerar el diagnóstico, en pacientes que presenten los 5 criterios mayores, (puntaje de 2 puntos a cada 1), o la combinación de criterios mayores y menores (puntaje de 1 punto a cada uno), que sume 10 puntos o más. El diagnóstico se considera probable después de 3 meses de actividad clínica, y definitivo después de 6 meses de </w:t>
      </w:r>
      <w:proofErr w:type="gramStart"/>
      <w:r w:rsidRPr="007C01C1">
        <w:rPr>
          <w:rFonts w:eastAsia="MinionPro-Regular"/>
          <w:lang w:val="es-ES" w:eastAsia="en-US"/>
        </w:rPr>
        <w:t>observación.</w:t>
      </w:r>
      <w:r w:rsidRPr="007C01C1">
        <w:rPr>
          <w:rFonts w:eastAsia="MinionPro-Regular"/>
          <w:vertAlign w:val="superscript"/>
          <w:lang w:val="es-ES" w:eastAsia="en-US"/>
        </w:rPr>
        <w:t>(</w:t>
      </w:r>
      <w:proofErr w:type="gramEnd"/>
      <w:r w:rsidRPr="007C01C1">
        <w:rPr>
          <w:rFonts w:eastAsia="MinionPro-Regular"/>
          <w:vertAlign w:val="superscript"/>
          <w:lang w:val="es-ES" w:eastAsia="en-US"/>
        </w:rPr>
        <w:t>5)</w:t>
      </w:r>
    </w:p>
    <w:p w14:paraId="09C033B9" w14:textId="77777777" w:rsidR="007C01C1" w:rsidRPr="007C01C1" w:rsidRDefault="007C01C1" w:rsidP="007C01C1">
      <w:pPr>
        <w:autoSpaceDE w:val="0"/>
        <w:autoSpaceDN w:val="0"/>
        <w:adjustRightInd w:val="0"/>
        <w:spacing w:line="360" w:lineRule="auto"/>
        <w:jc w:val="both"/>
        <w:rPr>
          <w:rFonts w:eastAsia="MinionPro-Regular"/>
          <w:lang w:val="es-ES" w:eastAsia="en-US"/>
        </w:rPr>
      </w:pPr>
      <w:r w:rsidRPr="007C01C1">
        <w:rPr>
          <w:rFonts w:eastAsia="MinionPro-Regular"/>
          <w:color w:val="000000"/>
          <w:lang w:val="es-ES" w:eastAsia="en-US"/>
        </w:rPr>
        <w:t>En este caso</w:t>
      </w:r>
      <w:r w:rsidRPr="007C01C1">
        <w:rPr>
          <w:rFonts w:eastAsia="MinionPro-Regular"/>
          <w:b/>
          <w:color w:val="000000"/>
          <w:lang w:val="es-ES" w:eastAsia="en-US"/>
        </w:rPr>
        <w:t xml:space="preserve"> </w:t>
      </w:r>
      <w:r w:rsidRPr="007C01C1">
        <w:rPr>
          <w:rFonts w:eastAsia="MinionPro-Regular"/>
          <w:lang w:val="es-ES" w:eastAsia="en-US"/>
        </w:rPr>
        <w:t>se evidenciaron 4 criterios mayores: fiebre diaria mayor de 39 </w:t>
      </w:r>
      <w:proofErr w:type="spellStart"/>
      <w:r w:rsidRPr="007C01C1">
        <w:rPr>
          <w:rFonts w:eastAsia="MinionPro-Regular"/>
          <w:lang w:val="es-ES" w:eastAsia="en-US"/>
        </w:rPr>
        <w:t>ºC</w:t>
      </w:r>
      <w:proofErr w:type="spellEnd"/>
      <w:r w:rsidRPr="007C01C1">
        <w:rPr>
          <w:rFonts w:eastAsia="MinionPro-Regular"/>
          <w:lang w:val="es-ES" w:eastAsia="en-US"/>
        </w:rPr>
        <w:t>, leucocitosis mayor de 12 000, eritrosedimentación&gt; 40 mm/h, factor reumatoide y anticuerpos antinucleares negativos; además de 3 criterios menores: inicio a edad menor de 35 años, pródromos con odinofagia y afectación del sistema reticuloendotelial (hepatomegalia); para un total de 11 puntos.</w:t>
      </w:r>
    </w:p>
    <w:p w14:paraId="2D8CF6FB" w14:textId="77777777" w:rsidR="007C01C1" w:rsidRPr="007C01C1" w:rsidRDefault="007C01C1" w:rsidP="007C01C1">
      <w:pPr>
        <w:autoSpaceDE w:val="0"/>
        <w:autoSpaceDN w:val="0"/>
        <w:adjustRightInd w:val="0"/>
        <w:spacing w:line="360" w:lineRule="auto"/>
        <w:jc w:val="both"/>
        <w:rPr>
          <w:rFonts w:eastAsia="MinionPro-Regular"/>
          <w:lang w:val="es-ES" w:eastAsia="en-US"/>
        </w:rPr>
      </w:pPr>
      <w:r w:rsidRPr="007C01C1">
        <w:rPr>
          <w:rFonts w:eastAsia="MinionPro-Regular"/>
          <w:lang w:val="es-ES" w:eastAsia="en-US"/>
        </w:rPr>
        <w:t xml:space="preserve">Lo más frecuente en la práctica clínica es encontrar pacientes con síntomas sugestivos de la enfermedad, pero que no reúnen todos los criterios diagnósticos, ni la tríada clásica. Fue así en el paciente presentado, en quien no se constató el exantema característico. Por esta razón algunos </w:t>
      </w:r>
      <w:proofErr w:type="gramStart"/>
      <w:r w:rsidRPr="007C01C1">
        <w:rPr>
          <w:rFonts w:eastAsia="MinionPro-Regular"/>
          <w:lang w:val="es-ES" w:eastAsia="en-US"/>
        </w:rPr>
        <w:t>clínicos</w:t>
      </w:r>
      <w:r w:rsidRPr="007C01C1">
        <w:rPr>
          <w:rFonts w:eastAsia="MinionPro-Regular"/>
          <w:vertAlign w:val="superscript"/>
          <w:lang w:val="es-ES" w:eastAsia="en-US"/>
        </w:rPr>
        <w:t>(</w:t>
      </w:r>
      <w:proofErr w:type="gramEnd"/>
      <w:r w:rsidRPr="007C01C1">
        <w:rPr>
          <w:rFonts w:eastAsia="MinionPro-Regular"/>
          <w:vertAlign w:val="superscript"/>
          <w:lang w:val="es-ES" w:eastAsia="en-US"/>
        </w:rPr>
        <w:t xml:space="preserve">7) </w:t>
      </w:r>
      <w:r w:rsidRPr="007C01C1">
        <w:rPr>
          <w:rFonts w:eastAsia="MinionPro-Regular"/>
          <w:lang w:val="es-ES" w:eastAsia="en-US"/>
        </w:rPr>
        <w:t xml:space="preserve">denominan a estos casos, como una forma frustrada de la enfermedad. En el seguimiento a largo plazo, estos pacientes tienen una enfermedad más limitada y un pronóstico más favorable, en particular en las </w:t>
      </w:r>
      <w:proofErr w:type="gramStart"/>
      <w:r w:rsidRPr="007C01C1">
        <w:rPr>
          <w:rFonts w:eastAsia="MinionPro-Regular"/>
          <w:lang w:val="es-ES" w:eastAsia="en-US"/>
        </w:rPr>
        <w:t>articulaciones.</w:t>
      </w:r>
      <w:r w:rsidRPr="007C01C1">
        <w:rPr>
          <w:rFonts w:eastAsia="MinionPro-Regular"/>
          <w:vertAlign w:val="superscript"/>
          <w:lang w:val="es-ES" w:eastAsia="en-US"/>
        </w:rPr>
        <w:t>(</w:t>
      </w:r>
      <w:proofErr w:type="gramEnd"/>
      <w:r w:rsidRPr="007C01C1">
        <w:rPr>
          <w:rFonts w:eastAsia="MinionPro-Regular"/>
          <w:color w:val="000000"/>
          <w:vertAlign w:val="superscript"/>
          <w:lang w:val="es-ES" w:eastAsia="en-US"/>
        </w:rPr>
        <w:t>7)</w:t>
      </w:r>
    </w:p>
    <w:p w14:paraId="13EBCC8F" w14:textId="3A9C0402" w:rsidR="007C01C1" w:rsidRPr="007C01C1" w:rsidRDefault="007C01C1" w:rsidP="007C01C1">
      <w:pPr>
        <w:autoSpaceDE w:val="0"/>
        <w:autoSpaceDN w:val="0"/>
        <w:adjustRightInd w:val="0"/>
        <w:spacing w:line="360" w:lineRule="auto"/>
        <w:jc w:val="both"/>
        <w:rPr>
          <w:rFonts w:eastAsia="MinionPro-Regular"/>
          <w:lang w:val="es-ES" w:eastAsia="en-US"/>
        </w:rPr>
      </w:pPr>
      <w:r w:rsidRPr="007C01C1">
        <w:rPr>
          <w:rFonts w:eastAsia="Calibri"/>
          <w:lang w:val="es-ES" w:eastAsia="en-US"/>
        </w:rPr>
        <w:t xml:space="preserve">Un elemento distintivo de este paciente fue la asociación de pericarditis, que </w:t>
      </w:r>
      <w:r w:rsidRPr="007C01C1">
        <w:rPr>
          <w:rFonts w:eastAsia="MinionPro-Regular"/>
          <w:lang w:val="es-ES" w:eastAsia="en-US"/>
        </w:rPr>
        <w:t>se presenta en el 30 al 40</w:t>
      </w:r>
      <w:r w:rsidR="00A57BB8">
        <w:rPr>
          <w:rFonts w:eastAsia="MinionPro-Regular"/>
          <w:lang w:val="es-ES" w:eastAsia="en-US"/>
        </w:rPr>
        <w:t> </w:t>
      </w:r>
      <w:r w:rsidRPr="007C01C1">
        <w:rPr>
          <w:rFonts w:eastAsia="MinionPro-Regular"/>
          <w:lang w:val="es-ES" w:eastAsia="en-US"/>
        </w:rPr>
        <w:t xml:space="preserve">% de los pacientes y pueden ser una de las manifestaciones iniciales. Cuando se practica una pericardiocentesis, es frecuente encontrar derrame exudativo. El taponamiento pericárdico es una complicación </w:t>
      </w:r>
      <w:proofErr w:type="gramStart"/>
      <w:r w:rsidRPr="007C01C1">
        <w:rPr>
          <w:rFonts w:eastAsia="MinionPro-Regular"/>
          <w:lang w:val="es-ES" w:eastAsia="en-US"/>
        </w:rPr>
        <w:t>rara.</w:t>
      </w:r>
      <w:r w:rsidRPr="007C01C1">
        <w:rPr>
          <w:rFonts w:eastAsia="MinionPro-Regular"/>
          <w:vertAlign w:val="superscript"/>
          <w:lang w:val="es-ES" w:eastAsia="en-US"/>
        </w:rPr>
        <w:t>(</w:t>
      </w:r>
      <w:proofErr w:type="gramEnd"/>
      <w:r w:rsidRPr="007C01C1">
        <w:rPr>
          <w:rFonts w:eastAsia="MinionPro-Regular"/>
          <w:vertAlign w:val="superscript"/>
          <w:lang w:val="es-ES" w:eastAsia="en-US"/>
        </w:rPr>
        <w:t>8)</w:t>
      </w:r>
    </w:p>
    <w:p w14:paraId="58134777" w14:textId="77777777" w:rsidR="007C01C1" w:rsidRPr="007C01C1" w:rsidRDefault="007C01C1" w:rsidP="007C01C1">
      <w:pPr>
        <w:autoSpaceDE w:val="0"/>
        <w:autoSpaceDN w:val="0"/>
        <w:adjustRightInd w:val="0"/>
        <w:spacing w:line="360" w:lineRule="auto"/>
        <w:jc w:val="both"/>
        <w:rPr>
          <w:rFonts w:eastAsia="MinionPro-Regular"/>
          <w:color w:val="000000"/>
          <w:lang w:val="es-ES" w:eastAsia="en-US"/>
        </w:rPr>
      </w:pPr>
      <w:r w:rsidRPr="007C01C1">
        <w:rPr>
          <w:rFonts w:eastAsia="MinionPro-Regular"/>
          <w:lang w:val="es-ES" w:eastAsia="en-US"/>
        </w:rPr>
        <w:t xml:space="preserve">Aunque la </w:t>
      </w:r>
      <w:proofErr w:type="spellStart"/>
      <w:r w:rsidRPr="007C01C1">
        <w:rPr>
          <w:rFonts w:eastAsia="MinionPro-Regular"/>
          <w:lang w:val="es-ES" w:eastAsia="en-US"/>
        </w:rPr>
        <w:t>hiperferritinemia</w:t>
      </w:r>
      <w:proofErr w:type="spellEnd"/>
      <w:r w:rsidRPr="007C01C1">
        <w:rPr>
          <w:rFonts w:eastAsia="MinionPro-Regular"/>
          <w:lang w:val="es-ES" w:eastAsia="en-US"/>
        </w:rPr>
        <w:t xml:space="preserve"> se puede encontrar en otras enfermedades, se ha descrito que valores de ferritina mayores o iguales que 1000 ng/</w:t>
      </w:r>
      <w:proofErr w:type="spellStart"/>
      <w:r w:rsidRPr="007C01C1">
        <w:rPr>
          <w:rFonts w:eastAsia="MinionPro-Regular"/>
          <w:lang w:val="es-ES" w:eastAsia="en-US"/>
        </w:rPr>
        <w:t>mL</w:t>
      </w:r>
      <w:proofErr w:type="spellEnd"/>
      <w:r w:rsidRPr="007C01C1">
        <w:rPr>
          <w:rFonts w:eastAsia="MinionPro-Regular"/>
          <w:lang w:val="es-ES" w:eastAsia="en-US"/>
        </w:rPr>
        <w:t xml:space="preserve">, asociados a las manifestaciones clínicas características, son </w:t>
      </w:r>
      <w:r w:rsidRPr="007C01C1">
        <w:rPr>
          <w:rFonts w:eastAsia="MinionPro-Regular"/>
          <w:lang w:val="es-ES" w:eastAsia="en-US"/>
        </w:rPr>
        <w:lastRenderedPageBreak/>
        <w:t xml:space="preserve">sugerentes de </w:t>
      </w:r>
      <w:proofErr w:type="gramStart"/>
      <w:r w:rsidRPr="007C01C1">
        <w:rPr>
          <w:rFonts w:eastAsia="MinionPro-Regular"/>
          <w:lang w:val="es-ES" w:eastAsia="en-US"/>
        </w:rPr>
        <w:t>ESA.</w:t>
      </w:r>
      <w:r w:rsidRPr="007C01C1">
        <w:rPr>
          <w:rFonts w:eastAsia="MinionPro-Regular"/>
          <w:color w:val="000000"/>
          <w:vertAlign w:val="superscript"/>
          <w:lang w:val="es-ES" w:eastAsia="en-US"/>
        </w:rPr>
        <w:t>(</w:t>
      </w:r>
      <w:proofErr w:type="gramEnd"/>
      <w:r w:rsidRPr="007C01C1">
        <w:rPr>
          <w:rFonts w:eastAsia="MinionPro-Regular"/>
          <w:color w:val="000000"/>
          <w:vertAlign w:val="superscript"/>
          <w:lang w:val="es-ES" w:eastAsia="en-US"/>
        </w:rPr>
        <w:t>7)</w:t>
      </w:r>
      <w:r w:rsidRPr="007C01C1">
        <w:rPr>
          <w:rFonts w:eastAsia="MinionPro-Regular"/>
          <w:color w:val="000000"/>
          <w:lang w:val="es-ES" w:eastAsia="en-US"/>
        </w:rPr>
        <w:t xml:space="preserve"> El hecho de que disminuyan los niveles de la ferritina luego de iniciarse el tratamiento, tiene valor diagnóstico. En este paciente caso no se pudo realizar el examen evolutivo, por no disponer de esta prueba diagnóstica.</w:t>
      </w:r>
    </w:p>
    <w:p w14:paraId="76A97EF0" w14:textId="77777777" w:rsidR="007C01C1" w:rsidRPr="007C01C1" w:rsidRDefault="007C01C1" w:rsidP="007C01C1">
      <w:pPr>
        <w:autoSpaceDE w:val="0"/>
        <w:autoSpaceDN w:val="0"/>
        <w:adjustRightInd w:val="0"/>
        <w:spacing w:line="360" w:lineRule="auto"/>
        <w:jc w:val="both"/>
        <w:rPr>
          <w:rFonts w:eastAsia="MinionPro-Regular"/>
          <w:lang w:val="es-ES" w:eastAsia="en-US"/>
        </w:rPr>
      </w:pPr>
      <w:r w:rsidRPr="007C01C1">
        <w:rPr>
          <w:rFonts w:eastAsia="MinionPro-Regular"/>
          <w:lang w:val="es-ES" w:eastAsia="en-US"/>
        </w:rPr>
        <w:t xml:space="preserve">Un aspecto llamativo de este paciente fue la respuesta rápida ante el tratamiento con esteroides. Aunque hay casos reportados, de mejoría con metilprednisolona en pulsos intravenosos, el tratamiento esteroideo no es la primera opción en la conducta </w:t>
      </w:r>
      <w:proofErr w:type="gramStart"/>
      <w:r w:rsidRPr="007C01C1">
        <w:rPr>
          <w:rFonts w:eastAsia="MinionPro-Regular"/>
          <w:lang w:val="es-ES" w:eastAsia="en-US"/>
        </w:rPr>
        <w:t>terapéutica.</w:t>
      </w:r>
      <w:r w:rsidRPr="007C01C1">
        <w:rPr>
          <w:rFonts w:eastAsia="MinionPro-Regular"/>
          <w:vertAlign w:val="superscript"/>
          <w:lang w:val="es-ES" w:eastAsia="en-US"/>
        </w:rPr>
        <w:t>(</w:t>
      </w:r>
      <w:proofErr w:type="gramEnd"/>
      <w:r w:rsidRPr="007C01C1">
        <w:rPr>
          <w:rFonts w:eastAsia="MinionPro-Regular"/>
          <w:vertAlign w:val="superscript"/>
          <w:lang w:val="es-ES" w:eastAsia="en-US"/>
        </w:rPr>
        <w:t>9)</w:t>
      </w:r>
      <w:r w:rsidRPr="007C01C1">
        <w:rPr>
          <w:rFonts w:eastAsia="MinionPro-Regular"/>
          <w:lang w:val="es-ES" w:eastAsia="en-US"/>
        </w:rPr>
        <w:t xml:space="preserve"> Este paciente, en las primeras 24 horas solo hizo febrícula y luego desapareció la hipertermia.</w:t>
      </w:r>
    </w:p>
    <w:p w14:paraId="5F77ADCE" w14:textId="77777777" w:rsidR="007C01C1" w:rsidRPr="007C01C1" w:rsidRDefault="007C01C1" w:rsidP="007C01C1">
      <w:pPr>
        <w:autoSpaceDE w:val="0"/>
        <w:autoSpaceDN w:val="0"/>
        <w:adjustRightInd w:val="0"/>
        <w:spacing w:line="360" w:lineRule="auto"/>
        <w:jc w:val="both"/>
        <w:rPr>
          <w:rFonts w:eastAsia="MinionPro-Regular"/>
          <w:lang w:val="es-ES" w:eastAsia="en-US"/>
        </w:rPr>
      </w:pPr>
      <w:r w:rsidRPr="007C01C1">
        <w:rPr>
          <w:rFonts w:eastAsia="MinionPro-Regular"/>
          <w:lang w:val="es-ES" w:eastAsia="en-US"/>
        </w:rPr>
        <w:t>La mayoría de los pacientes con ESA presentan un patrón recurrente de enfermedad sistémica (policíclica), con o sin compromiso articular; como es habitual en otras enfermedades reumatológicas.</w:t>
      </w:r>
      <w:r w:rsidRPr="007C01C1">
        <w:rPr>
          <w:rFonts w:eastAsia="MinionPro-Regular"/>
          <w:vertAlign w:val="superscript"/>
          <w:lang w:val="es-ES" w:eastAsia="en-US"/>
        </w:rPr>
        <w:t xml:space="preserve">(10) </w:t>
      </w:r>
      <w:r w:rsidRPr="007C01C1">
        <w:rPr>
          <w:rFonts w:eastAsia="MinionPro-Regular"/>
          <w:lang w:val="es-ES" w:eastAsia="en-US"/>
        </w:rPr>
        <w:t xml:space="preserve"> Es típico que los enfermos presenten exacerbaciones sistémicas, que pueden estar intercaladas con períodos asintomáticos, que pueden durar varios años, razón por la cual a todos los pacientes se les debe informar la posibilidad de recurrencia.</w:t>
      </w:r>
      <w:r w:rsidRPr="007C01C1">
        <w:rPr>
          <w:rFonts w:eastAsia="MinionPro-Regular"/>
          <w:vertAlign w:val="superscript"/>
          <w:lang w:val="es-ES" w:eastAsia="en-US"/>
        </w:rPr>
        <w:t xml:space="preserve">(5) </w:t>
      </w:r>
      <w:r w:rsidRPr="007C01C1">
        <w:rPr>
          <w:rFonts w:eastAsia="MinionPro-Regular"/>
          <w:lang w:val="es-ES" w:eastAsia="en-US"/>
        </w:rPr>
        <w:t>En este paciente llama la atención, que 1 año antes del ingreso, había tenido un cuadro febril prolongado al cual no se le definió etiología. Se consideró que haya sido parte de la enfermedad reumatológica, que posteriormente se diagnosticó.</w:t>
      </w:r>
    </w:p>
    <w:p w14:paraId="0D5391FA" w14:textId="77777777" w:rsidR="007C01C1" w:rsidRPr="007C01C1" w:rsidRDefault="007C01C1" w:rsidP="007C01C1">
      <w:pPr>
        <w:autoSpaceDE w:val="0"/>
        <w:autoSpaceDN w:val="0"/>
        <w:adjustRightInd w:val="0"/>
        <w:spacing w:line="360" w:lineRule="auto"/>
        <w:jc w:val="both"/>
        <w:rPr>
          <w:rFonts w:eastAsia="MinionPro-Regular"/>
          <w:lang w:val="es-ES" w:eastAsia="en-US"/>
        </w:rPr>
      </w:pPr>
      <w:r w:rsidRPr="007C01C1">
        <w:rPr>
          <w:rFonts w:eastAsia="MinionPro-Regular"/>
          <w:lang w:val="es-ES" w:eastAsia="en-US"/>
        </w:rPr>
        <w:t xml:space="preserve">Se concluye que </w:t>
      </w:r>
      <w:r w:rsidRPr="007C01C1">
        <w:rPr>
          <w:rFonts w:eastAsia="Calibri"/>
          <w:lang w:val="es-ES" w:eastAsia="en-US"/>
        </w:rPr>
        <w:t xml:space="preserve">la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 puede presentarse como una fiebre de origen desconocido y se diagnostica por exclusión, ya que no existen manifestaciones clínicas ni pruebas de laboratorio, patognomónicas. La </w:t>
      </w:r>
      <w:proofErr w:type="spellStart"/>
      <w:r w:rsidRPr="007C01C1">
        <w:rPr>
          <w:rFonts w:eastAsia="Calibri"/>
          <w:lang w:val="es-ES" w:eastAsia="en-US"/>
        </w:rPr>
        <w:t>hiperferritinemia</w:t>
      </w:r>
      <w:proofErr w:type="spellEnd"/>
      <w:r w:rsidRPr="007C01C1">
        <w:rPr>
          <w:rFonts w:eastAsia="Calibri"/>
          <w:lang w:val="es-ES" w:eastAsia="en-US"/>
        </w:rPr>
        <w:t xml:space="preserve"> es útil para la sospecha diagnóstica.</w:t>
      </w:r>
    </w:p>
    <w:p w14:paraId="5A13EB00" w14:textId="77777777" w:rsidR="007C01C1" w:rsidRPr="007C01C1" w:rsidRDefault="007C01C1" w:rsidP="007C01C1">
      <w:pPr>
        <w:autoSpaceDE w:val="0"/>
        <w:autoSpaceDN w:val="0"/>
        <w:adjustRightInd w:val="0"/>
        <w:spacing w:line="360" w:lineRule="auto"/>
        <w:jc w:val="both"/>
        <w:rPr>
          <w:rFonts w:eastAsia="MinionPro-Regular"/>
          <w:lang w:val="es-ES" w:eastAsia="en-US"/>
        </w:rPr>
      </w:pPr>
    </w:p>
    <w:p w14:paraId="492B4E45" w14:textId="77777777" w:rsidR="007C01C1" w:rsidRPr="007C01C1" w:rsidRDefault="007C01C1" w:rsidP="007C01C1">
      <w:pPr>
        <w:autoSpaceDE w:val="0"/>
        <w:autoSpaceDN w:val="0"/>
        <w:adjustRightInd w:val="0"/>
        <w:spacing w:line="360" w:lineRule="auto"/>
        <w:jc w:val="both"/>
        <w:rPr>
          <w:rFonts w:eastAsia="MinionPro-Regular"/>
          <w:lang w:val="es-ES" w:eastAsia="en-US"/>
        </w:rPr>
      </w:pPr>
    </w:p>
    <w:p w14:paraId="1D667CCB" w14:textId="77777777" w:rsidR="007C01C1" w:rsidRPr="007C01C1" w:rsidRDefault="007C01C1" w:rsidP="007C01C1">
      <w:pPr>
        <w:spacing w:line="360" w:lineRule="auto"/>
        <w:jc w:val="center"/>
        <w:rPr>
          <w:rFonts w:eastAsia="MinionPro-Regular"/>
          <w:b/>
          <w:sz w:val="32"/>
          <w:szCs w:val="32"/>
          <w:lang w:val="es-ES" w:eastAsia="en-US"/>
        </w:rPr>
      </w:pPr>
      <w:r w:rsidRPr="007C01C1">
        <w:rPr>
          <w:rFonts w:eastAsia="MinionPro-Regular"/>
          <w:b/>
          <w:sz w:val="32"/>
          <w:szCs w:val="32"/>
          <w:lang w:val="es-ES" w:eastAsia="en-US"/>
        </w:rPr>
        <w:t>REFERENCIAS BIBLIOGRÁFICAS</w:t>
      </w:r>
    </w:p>
    <w:p w14:paraId="7FCE3569" w14:textId="1A2A6060" w:rsidR="007C01C1" w:rsidRPr="007C01C1" w:rsidRDefault="007C01C1" w:rsidP="007C01C1">
      <w:pPr>
        <w:spacing w:line="360" w:lineRule="auto"/>
        <w:rPr>
          <w:rFonts w:eastAsia="Calibri"/>
          <w:lang w:val="es-ES" w:eastAsia="en-US"/>
        </w:rPr>
      </w:pPr>
      <w:r w:rsidRPr="007C01C1">
        <w:rPr>
          <w:rFonts w:eastAsia="Calibri"/>
          <w:lang w:val="es-ES" w:eastAsia="en-US"/>
        </w:rPr>
        <w:t xml:space="preserve">1. Van de </w:t>
      </w:r>
      <w:proofErr w:type="spellStart"/>
      <w:r w:rsidRPr="007C01C1">
        <w:rPr>
          <w:rFonts w:eastAsia="Calibri"/>
          <w:lang w:val="es-ES" w:eastAsia="en-US"/>
        </w:rPr>
        <w:t>Putte</w:t>
      </w:r>
      <w:proofErr w:type="spellEnd"/>
      <w:r w:rsidRPr="007C01C1">
        <w:rPr>
          <w:rFonts w:eastAsia="Calibri"/>
          <w:lang w:val="es-ES" w:eastAsia="en-US"/>
        </w:rPr>
        <w:t xml:space="preserve"> LB, </w:t>
      </w:r>
      <w:proofErr w:type="spellStart"/>
      <w:r w:rsidRPr="007C01C1">
        <w:rPr>
          <w:rFonts w:eastAsia="Calibri"/>
          <w:lang w:val="es-ES" w:eastAsia="en-US"/>
        </w:rPr>
        <w:t>Wouters</w:t>
      </w:r>
      <w:proofErr w:type="spellEnd"/>
      <w:r w:rsidRPr="007C01C1">
        <w:rPr>
          <w:rFonts w:eastAsia="Calibri"/>
          <w:lang w:val="es-ES" w:eastAsia="en-US"/>
        </w:rPr>
        <w:t xml:space="preserve"> JM. </w:t>
      </w:r>
      <w:r w:rsidRPr="007C01C1">
        <w:rPr>
          <w:rFonts w:eastAsia="Calibri"/>
          <w:lang w:val="en-US" w:eastAsia="en-US"/>
        </w:rPr>
        <w:t xml:space="preserve">Adult-onset Still’s disease. </w:t>
      </w:r>
      <w:proofErr w:type="spellStart"/>
      <w:r w:rsidRPr="007C01C1">
        <w:rPr>
          <w:rFonts w:eastAsia="Calibri"/>
          <w:lang w:val="en-US" w:eastAsia="en-US"/>
        </w:rPr>
        <w:t>Bailieres</w:t>
      </w:r>
      <w:proofErr w:type="spellEnd"/>
      <w:r w:rsidRPr="007C01C1">
        <w:rPr>
          <w:rFonts w:eastAsia="Calibri"/>
          <w:lang w:val="en-US" w:eastAsia="en-US"/>
        </w:rPr>
        <w:t xml:space="preserve"> Clin </w:t>
      </w:r>
      <w:proofErr w:type="spellStart"/>
      <w:r w:rsidRPr="007C01C1">
        <w:rPr>
          <w:rFonts w:eastAsia="Calibri"/>
          <w:lang w:val="en-US" w:eastAsia="en-US"/>
        </w:rPr>
        <w:t>Rheumatol</w:t>
      </w:r>
      <w:proofErr w:type="spellEnd"/>
      <w:r w:rsidRPr="007C01C1">
        <w:rPr>
          <w:rFonts w:eastAsia="Calibri"/>
          <w:lang w:val="en-US" w:eastAsia="en-US"/>
        </w:rPr>
        <w:t xml:space="preserve">. </w:t>
      </w:r>
      <w:r w:rsidRPr="007C01C1">
        <w:rPr>
          <w:rFonts w:eastAsia="Calibri"/>
          <w:lang w:val="es-ES" w:eastAsia="en-US"/>
        </w:rPr>
        <w:t>1991; 5(2):263-275. DOI: 10.1016/s0950-3579(05)80283-3</w:t>
      </w:r>
    </w:p>
    <w:p w14:paraId="24E3E9CB" w14:textId="66C003E9" w:rsidR="007C01C1" w:rsidRPr="007C01C1" w:rsidRDefault="007C01C1" w:rsidP="007C01C1">
      <w:pPr>
        <w:spacing w:line="360" w:lineRule="auto"/>
        <w:rPr>
          <w:rFonts w:eastAsia="MinionPro-Regular"/>
          <w:lang w:val="es-ES" w:eastAsia="en-US"/>
        </w:rPr>
      </w:pPr>
      <w:r w:rsidRPr="007C01C1">
        <w:rPr>
          <w:rFonts w:eastAsia="Calibri"/>
          <w:lang w:val="es-ES" w:eastAsia="en-US"/>
        </w:rPr>
        <w:t xml:space="preserve">2. </w:t>
      </w:r>
      <w:proofErr w:type="spellStart"/>
      <w:r w:rsidRPr="007C01C1">
        <w:rPr>
          <w:rFonts w:eastAsia="Calibri"/>
          <w:lang w:val="es-ES" w:eastAsia="en-US"/>
        </w:rPr>
        <w:t>Peruilh</w:t>
      </w:r>
      <w:proofErr w:type="spellEnd"/>
      <w:r w:rsidRPr="007C01C1">
        <w:rPr>
          <w:rFonts w:eastAsia="Calibri"/>
          <w:lang w:val="es-ES" w:eastAsia="en-US"/>
        </w:rPr>
        <w:t xml:space="preserve"> L, Tapia G, Petit-</w:t>
      </w:r>
      <w:proofErr w:type="spellStart"/>
      <w:r w:rsidRPr="007C01C1">
        <w:rPr>
          <w:rFonts w:eastAsia="Calibri"/>
          <w:lang w:val="es-ES" w:eastAsia="en-US"/>
        </w:rPr>
        <w:t>Breuilh</w:t>
      </w:r>
      <w:proofErr w:type="spellEnd"/>
      <w:r w:rsidRPr="007C01C1">
        <w:rPr>
          <w:rFonts w:eastAsia="Calibri"/>
          <w:lang w:val="es-ES" w:eastAsia="en-US"/>
        </w:rPr>
        <w:t xml:space="preserve"> V, Valenzuela F, Carreño L. Enfermedad de </w:t>
      </w:r>
      <w:proofErr w:type="spellStart"/>
      <w:r w:rsidRPr="007C01C1">
        <w:rPr>
          <w:rFonts w:eastAsia="Calibri"/>
          <w:lang w:val="es-ES" w:eastAsia="en-US"/>
        </w:rPr>
        <w:t>Still</w:t>
      </w:r>
      <w:proofErr w:type="spellEnd"/>
      <w:r w:rsidRPr="007C01C1">
        <w:rPr>
          <w:rFonts w:eastAsia="Calibri"/>
          <w:lang w:val="es-ES" w:eastAsia="en-US"/>
        </w:rPr>
        <w:t xml:space="preserve"> del adulto, a propósito de un caso: Un desafío diagnóstico. Rev </w:t>
      </w:r>
      <w:proofErr w:type="gramStart"/>
      <w:r w:rsidRPr="007C01C1">
        <w:rPr>
          <w:rFonts w:eastAsia="Calibri"/>
          <w:lang w:val="es-ES" w:eastAsia="en-US"/>
        </w:rPr>
        <w:t xml:space="preserve">Chil  </w:t>
      </w:r>
      <w:proofErr w:type="spellStart"/>
      <w:r w:rsidRPr="007C01C1">
        <w:rPr>
          <w:rFonts w:eastAsia="Calibri"/>
          <w:lang w:val="es-ES" w:eastAsia="en-US"/>
        </w:rPr>
        <w:t>derm</w:t>
      </w:r>
      <w:proofErr w:type="spellEnd"/>
      <w:proofErr w:type="gramEnd"/>
      <w:r w:rsidRPr="007C01C1">
        <w:rPr>
          <w:rFonts w:eastAsia="Calibri"/>
          <w:lang w:val="es-ES" w:eastAsia="en-US"/>
        </w:rPr>
        <w:t xml:space="preserve">. 2016; 32(4):23-29. DOI: </w:t>
      </w:r>
      <w:r w:rsidRPr="008F04E4">
        <w:rPr>
          <w:rFonts w:eastAsia="Calibri"/>
          <w:lang w:val="es-ES" w:eastAsia="en-US"/>
        </w:rPr>
        <w:t>10.31879/</w:t>
      </w:r>
      <w:proofErr w:type="gramStart"/>
      <w:r w:rsidRPr="008F04E4">
        <w:rPr>
          <w:rFonts w:eastAsia="Calibri"/>
          <w:lang w:val="es-ES" w:eastAsia="en-US"/>
        </w:rPr>
        <w:t>rcderm.v</w:t>
      </w:r>
      <w:proofErr w:type="gramEnd"/>
      <w:r w:rsidRPr="008F04E4">
        <w:rPr>
          <w:rFonts w:eastAsia="Calibri"/>
          <w:lang w:val="es-ES" w:eastAsia="en-US"/>
        </w:rPr>
        <w:t>32i4.127</w:t>
      </w:r>
    </w:p>
    <w:p w14:paraId="568CD2E8" w14:textId="6F62F4F5" w:rsidR="007C01C1" w:rsidRPr="007C01C1" w:rsidRDefault="007C01C1" w:rsidP="007C01C1">
      <w:pPr>
        <w:spacing w:line="360" w:lineRule="auto"/>
        <w:rPr>
          <w:rFonts w:eastAsia="MinionPro-Regular"/>
          <w:lang w:val="es-ES" w:eastAsia="en-US"/>
        </w:rPr>
      </w:pPr>
      <w:r w:rsidRPr="007C01C1">
        <w:rPr>
          <w:rFonts w:eastAsia="Calibri"/>
          <w:iCs/>
          <w:lang w:val="es-ES" w:eastAsia="en-US"/>
        </w:rPr>
        <w:t xml:space="preserve">3. Yamaguchi M, </w:t>
      </w:r>
      <w:proofErr w:type="spellStart"/>
      <w:r w:rsidRPr="007C01C1">
        <w:rPr>
          <w:rFonts w:eastAsia="Calibri"/>
          <w:iCs/>
          <w:lang w:val="es-ES" w:eastAsia="en-US"/>
        </w:rPr>
        <w:t>Ohta</w:t>
      </w:r>
      <w:proofErr w:type="spellEnd"/>
      <w:r w:rsidRPr="007C01C1">
        <w:rPr>
          <w:rFonts w:eastAsia="Calibri"/>
          <w:iCs/>
          <w:lang w:val="es-ES" w:eastAsia="en-US"/>
        </w:rPr>
        <w:t xml:space="preserve"> A, </w:t>
      </w:r>
      <w:proofErr w:type="spellStart"/>
      <w:r w:rsidRPr="007C01C1">
        <w:rPr>
          <w:rFonts w:eastAsia="Calibri"/>
          <w:iCs/>
          <w:lang w:val="es-ES" w:eastAsia="en-US"/>
        </w:rPr>
        <w:t>Tsunematsu</w:t>
      </w:r>
      <w:proofErr w:type="spellEnd"/>
      <w:r w:rsidRPr="007C01C1">
        <w:rPr>
          <w:rFonts w:eastAsia="Calibri"/>
          <w:iCs/>
          <w:lang w:val="es-ES" w:eastAsia="en-US"/>
        </w:rPr>
        <w:t xml:space="preserve"> T, </w:t>
      </w:r>
      <w:proofErr w:type="spellStart"/>
      <w:r w:rsidRPr="007C01C1">
        <w:rPr>
          <w:rFonts w:eastAsia="Calibri"/>
          <w:iCs/>
          <w:lang w:val="es-ES" w:eastAsia="en-US"/>
        </w:rPr>
        <w:t>Kasu</w:t>
      </w:r>
      <w:proofErr w:type="spellEnd"/>
      <w:r w:rsidRPr="007C01C1">
        <w:rPr>
          <w:rFonts w:eastAsia="Calibri"/>
          <w:iCs/>
          <w:lang w:val="es-ES" w:eastAsia="en-US"/>
        </w:rPr>
        <w:t xml:space="preserve"> </w:t>
      </w:r>
      <w:proofErr w:type="spellStart"/>
      <w:r w:rsidRPr="007C01C1">
        <w:rPr>
          <w:rFonts w:eastAsia="Calibri"/>
          <w:iCs/>
          <w:lang w:val="es-ES" w:eastAsia="en-US"/>
        </w:rPr>
        <w:t>kawa</w:t>
      </w:r>
      <w:proofErr w:type="spellEnd"/>
      <w:r w:rsidRPr="007C01C1">
        <w:rPr>
          <w:rFonts w:eastAsia="Calibri"/>
          <w:iCs/>
          <w:lang w:val="es-ES" w:eastAsia="en-US"/>
        </w:rPr>
        <w:t xml:space="preserve"> R, </w:t>
      </w:r>
      <w:proofErr w:type="spellStart"/>
      <w:r w:rsidRPr="007C01C1">
        <w:rPr>
          <w:rFonts w:eastAsia="Calibri"/>
          <w:iCs/>
          <w:lang w:val="es-ES" w:eastAsia="en-US"/>
        </w:rPr>
        <w:t>Mizushima</w:t>
      </w:r>
      <w:proofErr w:type="spellEnd"/>
      <w:r w:rsidRPr="007C01C1">
        <w:rPr>
          <w:rFonts w:eastAsia="Calibri"/>
          <w:iCs/>
          <w:lang w:val="es-ES" w:eastAsia="en-US"/>
        </w:rPr>
        <w:t xml:space="preserve"> Y, </w:t>
      </w:r>
      <w:proofErr w:type="spellStart"/>
      <w:r w:rsidRPr="007C01C1">
        <w:rPr>
          <w:rFonts w:eastAsia="Calibri"/>
          <w:iCs/>
          <w:lang w:val="es-ES" w:eastAsia="en-US"/>
        </w:rPr>
        <w:t>Kashiwagi</w:t>
      </w:r>
      <w:proofErr w:type="spellEnd"/>
      <w:r w:rsidRPr="007C01C1">
        <w:rPr>
          <w:rFonts w:eastAsia="Calibri"/>
          <w:iCs/>
          <w:lang w:val="es-ES" w:eastAsia="en-US"/>
        </w:rPr>
        <w:t xml:space="preserve"> H, et al. </w:t>
      </w:r>
      <w:r w:rsidRPr="007C01C1">
        <w:rPr>
          <w:rFonts w:eastAsia="Calibri"/>
          <w:iCs/>
          <w:lang w:val="en-US" w:eastAsia="en-US"/>
        </w:rPr>
        <w:t xml:space="preserve">Preliminary criteria for classification of adult Still disease. J </w:t>
      </w:r>
      <w:proofErr w:type="spellStart"/>
      <w:r w:rsidRPr="007C01C1">
        <w:rPr>
          <w:rFonts w:eastAsia="Calibri"/>
          <w:iCs/>
          <w:lang w:val="en-US" w:eastAsia="en-US"/>
        </w:rPr>
        <w:t>Rheumatol</w:t>
      </w:r>
      <w:proofErr w:type="spellEnd"/>
      <w:r w:rsidRPr="007C01C1">
        <w:rPr>
          <w:rFonts w:eastAsia="Calibri"/>
          <w:iCs/>
          <w:lang w:val="en-US" w:eastAsia="en-US"/>
        </w:rPr>
        <w:t xml:space="preserve">. </w:t>
      </w:r>
      <w:r w:rsidRPr="007C01C1">
        <w:rPr>
          <w:rFonts w:eastAsia="Calibri"/>
          <w:iCs/>
          <w:lang w:val="es-ES" w:eastAsia="en-US"/>
        </w:rPr>
        <w:t>1992</w:t>
      </w:r>
      <w:r w:rsidRPr="007C01C1">
        <w:rPr>
          <w:rFonts w:eastAsia="Calibri"/>
          <w:lang w:val="es-ES" w:eastAsia="en-US"/>
        </w:rPr>
        <w:t xml:space="preserve"> [acceso: 03/04/2023];</w:t>
      </w:r>
      <w:r w:rsidR="008F04E4">
        <w:rPr>
          <w:rFonts w:eastAsia="Calibri"/>
          <w:lang w:val="es-ES" w:eastAsia="en-US"/>
        </w:rPr>
        <w:t xml:space="preserve"> </w:t>
      </w:r>
      <w:r w:rsidRPr="007C01C1">
        <w:rPr>
          <w:rFonts w:eastAsia="Calibri"/>
          <w:iCs/>
          <w:lang w:val="es-ES" w:eastAsia="en-US"/>
        </w:rPr>
        <w:t xml:space="preserve">19(3):424-430. </w:t>
      </w:r>
      <w:r w:rsidRPr="007C01C1">
        <w:rPr>
          <w:rFonts w:eastAsia="Calibri"/>
          <w:lang w:val="es-ES" w:eastAsia="en-US"/>
        </w:rPr>
        <w:t xml:space="preserve">Disponible en: </w:t>
      </w:r>
      <w:hyperlink w:history="1">
        <w:r w:rsidRPr="007C01C1">
          <w:rPr>
            <w:rFonts w:eastAsia="Calibri"/>
            <w:color w:val="0563C1"/>
            <w:lang w:val="es-ES" w:eastAsia="en-US"/>
          </w:rPr>
          <w:t>https://</w:t>
        </w:r>
      </w:hyperlink>
      <w:r w:rsidRPr="007C01C1">
        <w:rPr>
          <w:rFonts w:eastAsia="Calibri"/>
          <w:color w:val="0563C1"/>
          <w:lang w:val="es-ES" w:eastAsia="en-US"/>
        </w:rPr>
        <w:t>pubmed.ncbi.nlm.nih.gov/1578458/</w:t>
      </w:r>
      <w:r w:rsidRPr="007C01C1">
        <w:rPr>
          <w:rFonts w:eastAsia="Calibri"/>
          <w:lang w:val="es-ES" w:eastAsia="en-US"/>
        </w:rPr>
        <w:t xml:space="preserve"> </w:t>
      </w:r>
    </w:p>
    <w:p w14:paraId="7383F707" w14:textId="06E84A1C" w:rsidR="007C01C1" w:rsidRPr="008F04E4" w:rsidRDefault="007C01C1" w:rsidP="007C01C1">
      <w:pPr>
        <w:spacing w:line="360" w:lineRule="auto"/>
        <w:rPr>
          <w:rFonts w:eastAsia="Calibri"/>
          <w:lang w:val="en-US" w:eastAsia="en-US"/>
        </w:rPr>
      </w:pPr>
      <w:r w:rsidRPr="008F04E4">
        <w:rPr>
          <w:rFonts w:eastAsia="Calibri"/>
          <w:lang w:val="es-MX" w:eastAsia="en-US"/>
        </w:rPr>
        <w:lastRenderedPageBreak/>
        <w:t xml:space="preserve">4. </w:t>
      </w:r>
      <w:proofErr w:type="spellStart"/>
      <w:r w:rsidRPr="008F04E4">
        <w:rPr>
          <w:rFonts w:eastAsia="Calibri"/>
          <w:lang w:val="es-MX" w:eastAsia="en-US"/>
        </w:rPr>
        <w:t>Evensen</w:t>
      </w:r>
      <w:proofErr w:type="spellEnd"/>
      <w:r w:rsidRPr="008F04E4">
        <w:rPr>
          <w:rFonts w:eastAsia="Calibri"/>
          <w:lang w:val="es-MX" w:eastAsia="en-US"/>
        </w:rPr>
        <w:t xml:space="preserve"> KJ, </w:t>
      </w:r>
      <w:proofErr w:type="spellStart"/>
      <w:r w:rsidRPr="008F04E4">
        <w:rPr>
          <w:rFonts w:eastAsia="Calibri"/>
          <w:lang w:val="es-MX" w:eastAsia="en-US"/>
        </w:rPr>
        <w:t>Nossent</w:t>
      </w:r>
      <w:proofErr w:type="spellEnd"/>
      <w:r w:rsidRPr="008F04E4">
        <w:rPr>
          <w:rFonts w:eastAsia="Calibri"/>
          <w:lang w:val="es-MX" w:eastAsia="en-US"/>
        </w:rPr>
        <w:t xml:space="preserve"> HC. </w:t>
      </w:r>
      <w:r w:rsidRPr="008F04E4">
        <w:rPr>
          <w:rFonts w:eastAsia="Calibri"/>
          <w:lang w:val="en-US" w:eastAsia="en-US"/>
        </w:rPr>
        <w:t xml:space="preserve">Epidemiology and outcome of adult-onset Still's disease in Northern Norway. </w:t>
      </w:r>
      <w:proofErr w:type="spellStart"/>
      <w:r w:rsidRPr="008F04E4">
        <w:rPr>
          <w:rFonts w:eastAsia="Calibri"/>
          <w:lang w:val="en-US" w:eastAsia="en-US"/>
        </w:rPr>
        <w:t>Scand</w:t>
      </w:r>
      <w:proofErr w:type="spellEnd"/>
      <w:r w:rsidRPr="008F04E4">
        <w:rPr>
          <w:rFonts w:eastAsia="Calibri"/>
          <w:lang w:val="en-US" w:eastAsia="en-US"/>
        </w:rPr>
        <w:t xml:space="preserve"> J </w:t>
      </w:r>
      <w:proofErr w:type="spellStart"/>
      <w:r w:rsidRPr="008F04E4">
        <w:rPr>
          <w:rFonts w:eastAsia="Calibri"/>
          <w:lang w:val="en-US" w:eastAsia="en-US"/>
        </w:rPr>
        <w:t>Rheumatol</w:t>
      </w:r>
      <w:proofErr w:type="spellEnd"/>
      <w:r w:rsidRPr="008F04E4">
        <w:rPr>
          <w:rFonts w:eastAsia="Calibri"/>
          <w:lang w:val="en-US" w:eastAsia="en-US"/>
        </w:rPr>
        <w:t>. 2006; 35(1):48-51. DOI: 10.1080/03009740510026616</w:t>
      </w:r>
    </w:p>
    <w:p w14:paraId="28A8C533" w14:textId="2DFABB18" w:rsidR="007C01C1" w:rsidRPr="008F04E4" w:rsidRDefault="007C01C1" w:rsidP="007C01C1">
      <w:pPr>
        <w:spacing w:line="360" w:lineRule="auto"/>
        <w:rPr>
          <w:rFonts w:eastAsia="Calibri"/>
          <w:lang w:val="en-US" w:eastAsia="en-US"/>
        </w:rPr>
      </w:pPr>
      <w:r w:rsidRPr="008F04E4">
        <w:rPr>
          <w:rFonts w:eastAsia="Calibri"/>
          <w:lang w:val="en-US" w:eastAsia="en-US"/>
        </w:rPr>
        <w:t xml:space="preserve">5. </w:t>
      </w:r>
      <w:proofErr w:type="spellStart"/>
      <w:r w:rsidRPr="008F04E4">
        <w:rPr>
          <w:rFonts w:eastAsia="Calibri"/>
          <w:lang w:val="en-US" w:eastAsia="en-US"/>
        </w:rPr>
        <w:t>Efthimiou</w:t>
      </w:r>
      <w:proofErr w:type="spellEnd"/>
      <w:r w:rsidRPr="008F04E4">
        <w:rPr>
          <w:rFonts w:eastAsia="Calibri"/>
          <w:lang w:val="en-US" w:eastAsia="en-US"/>
        </w:rPr>
        <w:t xml:space="preserve"> P, Georgy S. Pathogenesis and management of adult-onset Still's disease. Semin. Arthritis Rheum. 2006; 36(3):144-152. DOI: 10.1016/j.semarthrit.2006.07.001</w:t>
      </w:r>
    </w:p>
    <w:p w14:paraId="6DA20087" w14:textId="64C1AA4C" w:rsidR="007C01C1" w:rsidRPr="008F04E4" w:rsidRDefault="007C01C1" w:rsidP="007C01C1">
      <w:pPr>
        <w:spacing w:line="360" w:lineRule="auto"/>
        <w:rPr>
          <w:rFonts w:eastAsia="Calibri"/>
          <w:lang w:val="en-US" w:eastAsia="en-US"/>
        </w:rPr>
      </w:pPr>
      <w:r w:rsidRPr="008F04E4">
        <w:rPr>
          <w:rFonts w:eastAsia="MinionPro-Regular"/>
          <w:lang w:val="en-US" w:eastAsia="en-US"/>
        </w:rPr>
        <w:t xml:space="preserve">6. </w:t>
      </w:r>
      <w:proofErr w:type="spellStart"/>
      <w:r w:rsidRPr="008F04E4">
        <w:rPr>
          <w:rFonts w:eastAsia="MinionPro-Regular"/>
          <w:lang w:val="en-US" w:eastAsia="en-US"/>
        </w:rPr>
        <w:t>Pinals</w:t>
      </w:r>
      <w:proofErr w:type="spellEnd"/>
      <w:r w:rsidRPr="008F04E4">
        <w:rPr>
          <w:rFonts w:eastAsia="MinionPro-Regular"/>
          <w:lang w:val="en-US" w:eastAsia="en-US"/>
        </w:rPr>
        <w:t xml:space="preserve"> RS, </w:t>
      </w:r>
      <w:proofErr w:type="spellStart"/>
      <w:r w:rsidRPr="008F04E4">
        <w:rPr>
          <w:rFonts w:eastAsia="MinionPro-Regular"/>
          <w:lang w:val="en-US" w:eastAsia="en-US"/>
        </w:rPr>
        <w:t>Massi</w:t>
      </w:r>
      <w:proofErr w:type="spellEnd"/>
      <w:r w:rsidRPr="008F04E4">
        <w:rPr>
          <w:rFonts w:eastAsia="MinionPro-Regular"/>
          <w:lang w:val="en-US" w:eastAsia="en-US"/>
        </w:rPr>
        <w:t xml:space="preserve"> AT, Larsen RA</w:t>
      </w:r>
      <w:r w:rsidRPr="008F04E4">
        <w:rPr>
          <w:rFonts w:eastAsia="MinionPro-Regular"/>
          <w:i/>
          <w:iCs/>
          <w:lang w:val="en-US" w:eastAsia="en-US"/>
        </w:rPr>
        <w:t xml:space="preserve">. </w:t>
      </w:r>
      <w:r w:rsidRPr="008F04E4">
        <w:rPr>
          <w:rFonts w:eastAsia="MinionPro-Regular"/>
          <w:lang w:val="en-US" w:eastAsia="en-US"/>
        </w:rPr>
        <w:t>Preliminary criteria for clinical remission</w:t>
      </w:r>
      <w:r w:rsidRPr="008F04E4">
        <w:rPr>
          <w:rFonts w:eastAsia="MinionPro-Regular"/>
          <w:i/>
          <w:iCs/>
          <w:lang w:val="en-US" w:eastAsia="en-US"/>
        </w:rPr>
        <w:t xml:space="preserve"> </w:t>
      </w:r>
      <w:r w:rsidRPr="008F04E4">
        <w:rPr>
          <w:rFonts w:eastAsia="MinionPro-Regular"/>
          <w:lang w:val="en-US" w:eastAsia="en-US"/>
        </w:rPr>
        <w:t xml:space="preserve">in rheumatoid arthritis. Arthritis Rheum. 1981; 24(10):1308-1315. DOI: </w:t>
      </w:r>
      <w:r w:rsidRPr="008F04E4">
        <w:rPr>
          <w:rFonts w:eastAsia="Calibri"/>
          <w:lang w:val="en-US" w:eastAsia="en-US"/>
        </w:rPr>
        <w:t>10.1002/art.1780241012</w:t>
      </w:r>
    </w:p>
    <w:p w14:paraId="7AFB346C" w14:textId="77777777" w:rsidR="007C01C1" w:rsidRPr="008F04E4" w:rsidRDefault="007C01C1" w:rsidP="007C01C1">
      <w:pPr>
        <w:spacing w:line="360" w:lineRule="auto"/>
        <w:rPr>
          <w:rFonts w:eastAsia="Calibri"/>
          <w:lang w:val="en-US" w:eastAsia="en-US"/>
        </w:rPr>
      </w:pPr>
      <w:r w:rsidRPr="008F04E4">
        <w:rPr>
          <w:rFonts w:eastAsia="MinionPro-Regular"/>
          <w:lang w:val="en-US" w:eastAsia="en-US"/>
        </w:rPr>
        <w:t xml:space="preserve">7. Felson DT, Anderson JJ, Boers M, Bombardier </w:t>
      </w:r>
      <w:proofErr w:type="spellStart"/>
      <w:proofErr w:type="gramStart"/>
      <w:r w:rsidRPr="008F04E4">
        <w:rPr>
          <w:rFonts w:eastAsia="MinionPro-Regular"/>
          <w:lang w:val="en-US" w:eastAsia="en-US"/>
        </w:rPr>
        <w:t>C,Chernoff</w:t>
      </w:r>
      <w:proofErr w:type="spellEnd"/>
      <w:proofErr w:type="gramEnd"/>
      <w:r w:rsidRPr="008F04E4">
        <w:rPr>
          <w:rFonts w:eastAsia="MinionPro-Regular"/>
          <w:lang w:val="en-US" w:eastAsia="en-US"/>
        </w:rPr>
        <w:t xml:space="preserve"> M, Fried B, </w:t>
      </w:r>
      <w:r w:rsidRPr="008F04E4">
        <w:rPr>
          <w:rFonts w:eastAsia="MinionPro-Regular"/>
          <w:iCs/>
          <w:lang w:val="en-US" w:eastAsia="en-US"/>
        </w:rPr>
        <w:t>et al.</w:t>
      </w:r>
      <w:r w:rsidRPr="008F04E4">
        <w:rPr>
          <w:rFonts w:eastAsia="MinionPro-Regular"/>
          <w:i/>
          <w:iCs/>
          <w:lang w:val="en-US" w:eastAsia="en-US"/>
        </w:rPr>
        <w:t xml:space="preserve"> </w:t>
      </w:r>
      <w:r w:rsidRPr="008F04E4">
        <w:rPr>
          <w:rFonts w:eastAsia="MinionPro-Regular"/>
          <w:lang w:val="en-US" w:eastAsia="en-US"/>
        </w:rPr>
        <w:t>The American College of Rheumatology</w:t>
      </w:r>
      <w:r w:rsidRPr="008F04E4">
        <w:rPr>
          <w:rFonts w:eastAsia="MinionPro-Regular"/>
          <w:i/>
          <w:iCs/>
          <w:lang w:val="en-US" w:eastAsia="en-US"/>
        </w:rPr>
        <w:t xml:space="preserve"> </w:t>
      </w:r>
      <w:r w:rsidRPr="008F04E4">
        <w:rPr>
          <w:rFonts w:eastAsia="MinionPro-Regular"/>
          <w:lang w:val="en-US" w:eastAsia="en-US"/>
        </w:rPr>
        <w:t>preliminary core set of disease activity</w:t>
      </w:r>
      <w:r w:rsidRPr="008F04E4">
        <w:rPr>
          <w:rFonts w:eastAsia="MinionPro-Regular"/>
          <w:i/>
          <w:iCs/>
          <w:lang w:val="en-US" w:eastAsia="en-US"/>
        </w:rPr>
        <w:t xml:space="preserve"> </w:t>
      </w:r>
      <w:r w:rsidRPr="008F04E4">
        <w:rPr>
          <w:rFonts w:eastAsia="MinionPro-Regular"/>
          <w:lang w:val="en-US" w:eastAsia="en-US"/>
        </w:rPr>
        <w:t xml:space="preserve">measures for rheumatoid arthritis clinical trials. The </w:t>
      </w:r>
      <w:proofErr w:type="spellStart"/>
      <w:r w:rsidRPr="008F04E4">
        <w:rPr>
          <w:rFonts w:eastAsia="MinionPro-Regular"/>
          <w:lang w:val="en-US" w:eastAsia="en-US"/>
        </w:rPr>
        <w:t>Commitee</w:t>
      </w:r>
      <w:proofErr w:type="spellEnd"/>
      <w:r w:rsidRPr="008F04E4">
        <w:rPr>
          <w:rFonts w:eastAsia="MinionPro-Regular"/>
          <w:lang w:val="en-US" w:eastAsia="en-US"/>
        </w:rPr>
        <w:t xml:space="preserve"> on Outcome Measures in Rheumatoid Arthritis Clinical Trials. Arthritis Rheum. 1993; 36(6):729-40. DOI: </w:t>
      </w:r>
      <w:r w:rsidRPr="008F04E4">
        <w:rPr>
          <w:rFonts w:eastAsia="Calibri"/>
          <w:lang w:val="en-US" w:eastAsia="en-US"/>
        </w:rPr>
        <w:t>10.1002/art.1780360601</w:t>
      </w:r>
    </w:p>
    <w:p w14:paraId="12171D55" w14:textId="74AF0A4F" w:rsidR="007C01C1" w:rsidRPr="008F04E4" w:rsidRDefault="007C01C1" w:rsidP="007C01C1">
      <w:pPr>
        <w:spacing w:line="360" w:lineRule="auto"/>
        <w:rPr>
          <w:rFonts w:eastAsia="Calibri"/>
          <w:lang w:val="en-US" w:eastAsia="en-US"/>
        </w:rPr>
      </w:pPr>
      <w:r w:rsidRPr="008F04E4">
        <w:rPr>
          <w:rFonts w:eastAsia="Calibri"/>
          <w:lang w:val="en-US" w:eastAsia="en-US"/>
        </w:rPr>
        <w:t xml:space="preserve">8. </w:t>
      </w:r>
      <w:proofErr w:type="spellStart"/>
      <w:r w:rsidRPr="008F04E4">
        <w:rPr>
          <w:rFonts w:eastAsia="Calibri"/>
          <w:lang w:val="en-US" w:eastAsia="en-US"/>
        </w:rPr>
        <w:t>Breedveld</w:t>
      </w:r>
      <w:proofErr w:type="spellEnd"/>
      <w:r w:rsidRPr="008F04E4">
        <w:rPr>
          <w:rFonts w:eastAsia="Calibri"/>
          <w:lang w:val="en-US" w:eastAsia="en-US"/>
        </w:rPr>
        <w:t xml:space="preserve"> FC, </w:t>
      </w:r>
      <w:proofErr w:type="spellStart"/>
      <w:r w:rsidRPr="008F04E4">
        <w:rPr>
          <w:rFonts w:eastAsia="Calibri"/>
          <w:lang w:val="en-US" w:eastAsia="en-US"/>
        </w:rPr>
        <w:t>Kalden</w:t>
      </w:r>
      <w:proofErr w:type="spellEnd"/>
      <w:r w:rsidRPr="008F04E4">
        <w:rPr>
          <w:rFonts w:eastAsia="Calibri"/>
          <w:lang w:val="en-US" w:eastAsia="en-US"/>
        </w:rPr>
        <w:t xml:space="preserve"> JR. Appropriate and effective management of rheumatoid arthritis. Ann Rheum Dis 2004; 63(6):627-33.</w:t>
      </w:r>
      <w:r w:rsidRPr="008F04E4">
        <w:rPr>
          <w:rFonts w:eastAsia="MinionPro-Regular"/>
          <w:lang w:val="en-US" w:eastAsia="en-US"/>
        </w:rPr>
        <w:t xml:space="preserve"> DOI: </w:t>
      </w:r>
      <w:r w:rsidRPr="008F04E4">
        <w:rPr>
          <w:rFonts w:eastAsia="Calibri"/>
          <w:lang w:val="en-US" w:eastAsia="en-US"/>
        </w:rPr>
        <w:t>10.1136/ard.2003.011395</w:t>
      </w:r>
    </w:p>
    <w:p w14:paraId="1BCCF05E" w14:textId="77777777" w:rsidR="007C01C1" w:rsidRPr="008F04E4" w:rsidRDefault="007C01C1" w:rsidP="007C01C1">
      <w:pPr>
        <w:spacing w:line="360" w:lineRule="auto"/>
        <w:rPr>
          <w:rFonts w:eastAsia="Calibri"/>
          <w:lang w:val="en-US" w:eastAsia="en-US"/>
        </w:rPr>
      </w:pPr>
      <w:r w:rsidRPr="008F04E4">
        <w:rPr>
          <w:rFonts w:eastAsia="Calibri"/>
          <w:lang w:val="en-US" w:eastAsia="en-US"/>
        </w:rPr>
        <w:t xml:space="preserve">9. O’ Dell JR. Methotrexate use in rheumatoid arthritis. Rheum Dis Clin North Am 1997; 23(4): 779-96. </w:t>
      </w:r>
      <w:r w:rsidRPr="008F04E4">
        <w:rPr>
          <w:rFonts w:eastAsia="MinionPro-Regular"/>
          <w:lang w:val="en-US" w:eastAsia="en-US"/>
        </w:rPr>
        <w:t xml:space="preserve">DOI: </w:t>
      </w:r>
      <w:r w:rsidRPr="008F04E4">
        <w:rPr>
          <w:rFonts w:eastAsia="Calibri"/>
          <w:lang w:val="en-US" w:eastAsia="en-US"/>
        </w:rPr>
        <w:t>10.1016/s0889-857</w:t>
      </w:r>
      <w:proofErr w:type="gramStart"/>
      <w:r w:rsidRPr="008F04E4">
        <w:rPr>
          <w:rFonts w:eastAsia="Calibri"/>
          <w:lang w:val="en-US" w:eastAsia="en-US"/>
        </w:rPr>
        <w:t>x(</w:t>
      </w:r>
      <w:proofErr w:type="gramEnd"/>
      <w:r w:rsidRPr="008F04E4">
        <w:rPr>
          <w:rFonts w:eastAsia="Calibri"/>
          <w:lang w:val="en-US" w:eastAsia="en-US"/>
        </w:rPr>
        <w:t>05)70360-4</w:t>
      </w:r>
    </w:p>
    <w:p w14:paraId="202DF940" w14:textId="232F5E32" w:rsidR="007C01C1" w:rsidRPr="008F04E4" w:rsidRDefault="007C01C1" w:rsidP="007C01C1">
      <w:pPr>
        <w:spacing w:line="360" w:lineRule="auto"/>
        <w:rPr>
          <w:rFonts w:eastAsia="Calibri"/>
          <w:lang w:val="es-ES" w:eastAsia="en-US"/>
        </w:rPr>
      </w:pPr>
      <w:r w:rsidRPr="008F04E4">
        <w:rPr>
          <w:rFonts w:eastAsia="Calibri"/>
          <w:lang w:val="en-US" w:eastAsia="en-US"/>
        </w:rPr>
        <w:t xml:space="preserve">10. Quinn MA, Emery P. Window of opportunity in early rheumatoid arthritis: possibility of altering the disease process with early intervention. </w:t>
      </w:r>
      <w:r w:rsidRPr="008F04E4">
        <w:rPr>
          <w:rFonts w:eastAsia="Calibri"/>
          <w:lang w:val="es-ES" w:eastAsia="en-US"/>
        </w:rPr>
        <w:t xml:space="preserve">Clin </w:t>
      </w:r>
      <w:proofErr w:type="spellStart"/>
      <w:r w:rsidRPr="008F04E4">
        <w:rPr>
          <w:rFonts w:eastAsia="Calibri"/>
          <w:lang w:val="es-ES" w:eastAsia="en-US"/>
        </w:rPr>
        <w:t>Exp</w:t>
      </w:r>
      <w:proofErr w:type="spellEnd"/>
      <w:r w:rsidRPr="008F04E4">
        <w:rPr>
          <w:rFonts w:eastAsia="Calibri"/>
          <w:lang w:val="es-ES" w:eastAsia="en-US"/>
        </w:rPr>
        <w:t xml:space="preserve"> </w:t>
      </w:r>
      <w:proofErr w:type="spellStart"/>
      <w:r w:rsidRPr="008F04E4">
        <w:rPr>
          <w:rFonts w:eastAsia="Calibri"/>
          <w:lang w:val="es-ES" w:eastAsia="en-US"/>
        </w:rPr>
        <w:t>Rheumatol</w:t>
      </w:r>
      <w:proofErr w:type="spellEnd"/>
      <w:r w:rsidRPr="008F04E4">
        <w:rPr>
          <w:rFonts w:eastAsia="Calibri"/>
          <w:lang w:val="es-ES" w:eastAsia="en-US"/>
        </w:rPr>
        <w:t>. 2003 [acceso: 05/04/2023]</w:t>
      </w:r>
      <w:r w:rsidR="00FE49FF" w:rsidRPr="008F04E4">
        <w:rPr>
          <w:rFonts w:eastAsia="Calibri"/>
          <w:lang w:val="es-ES" w:eastAsia="en-US"/>
        </w:rPr>
        <w:t>;</w:t>
      </w:r>
      <w:r w:rsidR="008F04E4">
        <w:rPr>
          <w:rFonts w:eastAsia="Calibri"/>
          <w:color w:val="FF0000"/>
          <w:lang w:val="es-ES" w:eastAsia="en-US"/>
        </w:rPr>
        <w:t xml:space="preserve"> </w:t>
      </w:r>
      <w:r w:rsidRPr="008F04E4">
        <w:rPr>
          <w:rFonts w:eastAsia="Calibri"/>
          <w:lang w:val="es-ES" w:eastAsia="en-US"/>
        </w:rPr>
        <w:t xml:space="preserve">21(5Suppl.31): S154-157. Disponible en: </w:t>
      </w:r>
      <w:hyperlink w:history="1">
        <w:r w:rsidRPr="008F04E4">
          <w:rPr>
            <w:rFonts w:eastAsia="Calibri"/>
            <w:color w:val="0563C1"/>
            <w:lang w:val="es-ES" w:eastAsia="en-US"/>
          </w:rPr>
          <w:t>https://</w:t>
        </w:r>
      </w:hyperlink>
      <w:r w:rsidRPr="008F04E4">
        <w:rPr>
          <w:rFonts w:eastAsia="Calibri"/>
          <w:color w:val="0563C1"/>
          <w:lang w:val="es-ES" w:eastAsia="en-US"/>
        </w:rPr>
        <w:t>pubmed.ncbi.nlm.nih.gov/16287585/</w:t>
      </w:r>
      <w:r w:rsidRPr="008F04E4">
        <w:rPr>
          <w:rFonts w:eastAsia="Calibri"/>
          <w:lang w:val="es-ES" w:eastAsia="en-US"/>
        </w:rPr>
        <w:t xml:space="preserve">  </w:t>
      </w:r>
    </w:p>
    <w:p w14:paraId="1EBFE172" w14:textId="77777777" w:rsidR="007C01C1" w:rsidRPr="007C01C1" w:rsidRDefault="007C01C1" w:rsidP="007C01C1">
      <w:pPr>
        <w:autoSpaceDE w:val="0"/>
        <w:autoSpaceDN w:val="0"/>
        <w:adjustRightInd w:val="0"/>
        <w:spacing w:line="360" w:lineRule="auto"/>
        <w:rPr>
          <w:rFonts w:eastAsia="Calibri"/>
          <w:b/>
          <w:bCs/>
          <w:lang w:val="es-ES" w:eastAsia="en-US"/>
        </w:rPr>
      </w:pPr>
    </w:p>
    <w:p w14:paraId="42389A0C" w14:textId="77777777" w:rsidR="007C01C1" w:rsidRPr="007C01C1" w:rsidRDefault="007C01C1" w:rsidP="007C01C1">
      <w:pPr>
        <w:autoSpaceDE w:val="0"/>
        <w:autoSpaceDN w:val="0"/>
        <w:adjustRightInd w:val="0"/>
        <w:spacing w:line="360" w:lineRule="auto"/>
        <w:jc w:val="center"/>
        <w:rPr>
          <w:rFonts w:eastAsia="Calibri"/>
          <w:b/>
          <w:bCs/>
          <w:lang w:val="es-ES" w:eastAsia="en-US"/>
        </w:rPr>
      </w:pPr>
    </w:p>
    <w:p w14:paraId="107A8AB7" w14:textId="77777777" w:rsidR="007C01C1" w:rsidRPr="007C01C1" w:rsidRDefault="007C01C1" w:rsidP="007C01C1">
      <w:pPr>
        <w:autoSpaceDE w:val="0"/>
        <w:autoSpaceDN w:val="0"/>
        <w:adjustRightInd w:val="0"/>
        <w:spacing w:line="360" w:lineRule="auto"/>
        <w:jc w:val="center"/>
        <w:rPr>
          <w:rFonts w:eastAsia="Calibri"/>
          <w:b/>
          <w:bCs/>
          <w:lang w:val="es-ES" w:eastAsia="en-US"/>
        </w:rPr>
      </w:pPr>
      <w:r w:rsidRPr="007C01C1">
        <w:rPr>
          <w:rFonts w:eastAsia="Calibri"/>
          <w:b/>
          <w:bCs/>
          <w:lang w:val="es-ES" w:eastAsia="en-US"/>
        </w:rPr>
        <w:t>Conflictos de interés</w:t>
      </w:r>
    </w:p>
    <w:p w14:paraId="4828457A" w14:textId="77777777" w:rsidR="007C01C1" w:rsidRPr="007C01C1" w:rsidRDefault="007C01C1" w:rsidP="007C01C1">
      <w:pPr>
        <w:autoSpaceDE w:val="0"/>
        <w:autoSpaceDN w:val="0"/>
        <w:adjustRightInd w:val="0"/>
        <w:spacing w:line="360" w:lineRule="auto"/>
        <w:jc w:val="both"/>
        <w:rPr>
          <w:rFonts w:eastAsia="Calibri"/>
          <w:lang w:val="es-ES" w:eastAsia="en-US"/>
        </w:rPr>
      </w:pPr>
      <w:r w:rsidRPr="007C01C1">
        <w:rPr>
          <w:rFonts w:eastAsia="Calibri"/>
          <w:lang w:val="es-ES" w:eastAsia="en-US"/>
        </w:rPr>
        <w:t>Los autores no declaran conflictos de interés.</w:t>
      </w:r>
    </w:p>
    <w:p w14:paraId="7516F068" w14:textId="77777777" w:rsidR="00675476" w:rsidRPr="007C01C1" w:rsidRDefault="00675476" w:rsidP="00EA1FEF">
      <w:pPr>
        <w:pStyle w:val="PDFRevista"/>
        <w:rPr>
          <w:lang w:val="es-ES"/>
        </w:rPr>
      </w:pPr>
    </w:p>
    <w:sectPr w:rsidR="00675476" w:rsidRPr="007C01C1" w:rsidSect="00FD3DF8">
      <w:headerReference w:type="default" r:id="rId11"/>
      <w:footerReference w:type="even" r:id="rId12"/>
      <w:footerReference w:type="default" r:id="rId1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A1F3" w14:textId="77777777" w:rsidR="00E31F10" w:rsidRDefault="00E31F10">
      <w:r>
        <w:separator/>
      </w:r>
    </w:p>
  </w:endnote>
  <w:endnote w:type="continuationSeparator" w:id="0">
    <w:p w14:paraId="1863F45B" w14:textId="77777777" w:rsidR="00E31F10" w:rsidRDefault="00E3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Malgun Gothic Semilight"/>
    <w:panose1 w:val="00000000000000000000"/>
    <w:charset w:val="88"/>
    <w:family w:val="roman"/>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8B2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BE5A5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D517"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B71877B" wp14:editId="2D676F9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5F74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560B090" w14:textId="77777777" w:rsidR="00675476" w:rsidRPr="00AE044C" w:rsidRDefault="00E31F10" w:rsidP="00391509">
    <w:pPr>
      <w:pStyle w:val="Piedepgina"/>
      <w:ind w:right="360"/>
      <w:rPr>
        <w:sz w:val="22"/>
        <w:szCs w:val="22"/>
      </w:rPr>
    </w:pPr>
    <w:hyperlink r:id="rId1" w:history="1">
      <w:r w:rsidR="00391509" w:rsidRPr="00AE044C">
        <w:rPr>
          <w:rStyle w:val="Hipervnculo"/>
          <w:sz w:val="22"/>
          <w:szCs w:val="22"/>
        </w:rPr>
        <w:t>http://scielo.sld.cu</w:t>
      </w:r>
    </w:hyperlink>
  </w:p>
  <w:p w14:paraId="49628304" w14:textId="77777777" w:rsidR="00391509" w:rsidRPr="00AE044C" w:rsidRDefault="00E31F1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349103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7431FCDA" wp14:editId="3CBE2C15">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A582" w14:textId="77777777" w:rsidR="00E31F10" w:rsidRDefault="00E31F10">
      <w:r>
        <w:separator/>
      </w:r>
    </w:p>
  </w:footnote>
  <w:footnote w:type="continuationSeparator" w:id="0">
    <w:p w14:paraId="55C5E1A1" w14:textId="77777777" w:rsidR="00E31F10" w:rsidRDefault="00E3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83A5" w14:textId="7F7C88C4" w:rsidR="00CC376A" w:rsidRPr="00AE044C" w:rsidRDefault="007C01C1"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B02C715" wp14:editId="149C5915">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e024010128</w:t>
    </w:r>
  </w:p>
  <w:p w14:paraId="3FBE362B"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D12360C" wp14:editId="4EB045C5">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978D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C1"/>
    <w:rsid w:val="00057F45"/>
    <w:rsid w:val="000D3958"/>
    <w:rsid w:val="000F3690"/>
    <w:rsid w:val="001221D1"/>
    <w:rsid w:val="00165CB5"/>
    <w:rsid w:val="00180CE9"/>
    <w:rsid w:val="00230DD5"/>
    <w:rsid w:val="00250AE9"/>
    <w:rsid w:val="00265889"/>
    <w:rsid w:val="00380D64"/>
    <w:rsid w:val="00391509"/>
    <w:rsid w:val="003E03D5"/>
    <w:rsid w:val="00486BFA"/>
    <w:rsid w:val="00493701"/>
    <w:rsid w:val="004E2065"/>
    <w:rsid w:val="005508A2"/>
    <w:rsid w:val="0055115D"/>
    <w:rsid w:val="00566F71"/>
    <w:rsid w:val="005918BD"/>
    <w:rsid w:val="00613CF0"/>
    <w:rsid w:val="006173A6"/>
    <w:rsid w:val="00675476"/>
    <w:rsid w:val="007C01C1"/>
    <w:rsid w:val="007C430F"/>
    <w:rsid w:val="007D2D0C"/>
    <w:rsid w:val="007D614D"/>
    <w:rsid w:val="008F04E4"/>
    <w:rsid w:val="00915D3C"/>
    <w:rsid w:val="00960D6A"/>
    <w:rsid w:val="009A0560"/>
    <w:rsid w:val="009B0917"/>
    <w:rsid w:val="009F0F96"/>
    <w:rsid w:val="00A23C0C"/>
    <w:rsid w:val="00A477DE"/>
    <w:rsid w:val="00A57BB8"/>
    <w:rsid w:val="00A66186"/>
    <w:rsid w:val="00A71E65"/>
    <w:rsid w:val="00AE044C"/>
    <w:rsid w:val="00B31971"/>
    <w:rsid w:val="00B41315"/>
    <w:rsid w:val="00B4380A"/>
    <w:rsid w:val="00B66ECB"/>
    <w:rsid w:val="00C52BD1"/>
    <w:rsid w:val="00C7523A"/>
    <w:rsid w:val="00CC1B6E"/>
    <w:rsid w:val="00CC376A"/>
    <w:rsid w:val="00CC48A1"/>
    <w:rsid w:val="00CF50E0"/>
    <w:rsid w:val="00D85951"/>
    <w:rsid w:val="00E31F10"/>
    <w:rsid w:val="00E62606"/>
    <w:rsid w:val="00EA1FEF"/>
    <w:rsid w:val="00EC5A6B"/>
    <w:rsid w:val="00EE301D"/>
    <w:rsid w:val="00FA7CC1"/>
    <w:rsid w:val="00FD3DF8"/>
    <w:rsid w:val="00FE40CB"/>
    <w:rsid w:val="00FE49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5E478"/>
  <w15:docId w15:val="{E68E85D8-C608-4250-AA8B-619410EE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3569-770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2-2686-430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rgeccm271@gmail.com" TargetMode="External"/><Relationship Id="rId4" Type="http://schemas.openxmlformats.org/officeDocument/2006/relationships/webSettings" Target="webSettings.xml"/><Relationship Id="rId9" Type="http://schemas.openxmlformats.org/officeDocument/2006/relationships/hyperlink" Target="https://orcid.org/0000-0003-2857-1385"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7</Pages>
  <Words>2132</Words>
  <Characters>11727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13832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Jenrry Alvarez Cruz</cp:lastModifiedBy>
  <cp:revision>10</cp:revision>
  <cp:lastPrinted>2023-12-12T22:55:00Z</cp:lastPrinted>
  <dcterms:created xsi:type="dcterms:W3CDTF">2023-12-12T22:52:00Z</dcterms:created>
  <dcterms:modified xsi:type="dcterms:W3CDTF">2023-12-16T01:36:00Z</dcterms:modified>
</cp:coreProperties>
</file>