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754CC" w14:textId="77777777" w:rsidR="00A20E49" w:rsidRPr="00A20E49" w:rsidRDefault="00A20E49" w:rsidP="00A20E49">
      <w:pPr>
        <w:keepNext/>
        <w:keepLines/>
        <w:tabs>
          <w:tab w:val="right" w:pos="10560"/>
        </w:tabs>
        <w:suppressAutoHyphens/>
        <w:spacing w:line="360" w:lineRule="auto"/>
        <w:ind w:right="77"/>
        <w:jc w:val="right"/>
        <w:rPr>
          <w:rFonts w:eastAsia="MS Mincho"/>
          <w:caps/>
          <w:spacing w:val="5"/>
          <w:kern w:val="2"/>
          <w:sz w:val="20"/>
          <w:szCs w:val="20"/>
          <w:lang w:val="es-ES" w:eastAsia="zh-CN" w:bidi="hi-IN"/>
        </w:rPr>
      </w:pPr>
      <w:r w:rsidRPr="00A20E49">
        <w:rPr>
          <w:rFonts w:eastAsia="Calibri"/>
          <w:spacing w:val="5"/>
          <w:sz w:val="20"/>
          <w:szCs w:val="20"/>
          <w:lang w:val="es-ES" w:eastAsia="zh-CN" w:bidi="hi-IN"/>
        </w:rPr>
        <w:t>Artículo de investigación</w:t>
      </w:r>
    </w:p>
    <w:p w14:paraId="06FCCD8F" w14:textId="77777777" w:rsidR="00A20E49" w:rsidRPr="00A20E49" w:rsidRDefault="00A20E49" w:rsidP="00A20E49">
      <w:pPr>
        <w:suppressAutoHyphens/>
        <w:spacing w:line="360" w:lineRule="auto"/>
        <w:jc w:val="both"/>
        <w:rPr>
          <w:rFonts w:eastAsia="DejaVu Sans"/>
          <w:b/>
          <w:kern w:val="2"/>
          <w:lang w:val="es-ES" w:eastAsia="zh-CN" w:bidi="hi-IN"/>
        </w:rPr>
      </w:pPr>
    </w:p>
    <w:p w14:paraId="2B66AA50" w14:textId="77777777" w:rsidR="00A20E49" w:rsidRPr="00A20E49" w:rsidRDefault="00A20E49" w:rsidP="00A20E49">
      <w:pPr>
        <w:suppressAutoHyphens/>
        <w:spacing w:line="360" w:lineRule="auto"/>
        <w:jc w:val="center"/>
        <w:rPr>
          <w:rFonts w:eastAsia="DejaVu Sans"/>
          <w:kern w:val="2"/>
          <w:sz w:val="28"/>
          <w:szCs w:val="28"/>
          <w:lang w:val="es-ES" w:eastAsia="zh-CN" w:bidi="hi-IN"/>
        </w:rPr>
      </w:pPr>
      <w:r w:rsidRPr="00A20E49">
        <w:rPr>
          <w:rFonts w:eastAsia="DejaVu Sans"/>
          <w:b/>
          <w:kern w:val="2"/>
          <w:sz w:val="28"/>
          <w:szCs w:val="28"/>
          <w:lang w:val="es-ES" w:eastAsia="zh-CN" w:bidi="hi-IN"/>
        </w:rPr>
        <w:t>Factores de riesgo aterogénico como predictores de daño microvascular en la retina</w:t>
      </w:r>
    </w:p>
    <w:p w14:paraId="1CA07DDB" w14:textId="77777777" w:rsidR="00A20E49" w:rsidRPr="00A20E49" w:rsidRDefault="00A20E49" w:rsidP="00A20E49">
      <w:pPr>
        <w:suppressAutoHyphens/>
        <w:spacing w:line="360" w:lineRule="auto"/>
        <w:jc w:val="center"/>
        <w:rPr>
          <w:rFonts w:eastAsia="DejaVu Sans"/>
          <w:kern w:val="2"/>
          <w:sz w:val="28"/>
          <w:szCs w:val="28"/>
          <w:lang w:val="en-US" w:eastAsia="zh-CN" w:bidi="hi-IN"/>
        </w:rPr>
      </w:pPr>
      <w:r w:rsidRPr="00A20E49">
        <w:rPr>
          <w:rFonts w:eastAsia="DejaVu Sans"/>
          <w:kern w:val="2"/>
          <w:sz w:val="28"/>
          <w:szCs w:val="28"/>
          <w:lang w:val="en-US" w:eastAsia="zh-CN" w:bidi="hi-IN"/>
        </w:rPr>
        <w:t>Atherogenic risk factors as predictors of retinal microvascular damage</w:t>
      </w:r>
    </w:p>
    <w:p w14:paraId="5408F647" w14:textId="77777777" w:rsidR="00A20E49" w:rsidRPr="00A20E49" w:rsidRDefault="00A20E49" w:rsidP="00A20E49">
      <w:pPr>
        <w:suppressAutoHyphens/>
        <w:spacing w:line="360" w:lineRule="auto"/>
        <w:jc w:val="both"/>
        <w:rPr>
          <w:rFonts w:eastAsia="DejaVu Sans"/>
          <w:kern w:val="2"/>
          <w:lang w:val="en-US" w:eastAsia="zh-CN" w:bidi="hi-IN"/>
        </w:rPr>
      </w:pPr>
    </w:p>
    <w:p w14:paraId="76DCD2B6"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S" w:eastAsia="zh-CN" w:bidi="hi-IN"/>
        </w:rPr>
        <w:t>Yilian Constanten Pompa</w:t>
      </w:r>
      <w:r w:rsidRPr="00A20E49">
        <w:rPr>
          <w:rFonts w:eastAsia="DejaVu Sans"/>
          <w:kern w:val="2"/>
          <w:vertAlign w:val="superscript"/>
          <w:lang w:val="es-ES" w:eastAsia="zh-CN" w:bidi="hi-IN"/>
        </w:rPr>
        <w:t>1</w:t>
      </w:r>
      <w:r w:rsidRPr="00A20E49">
        <w:rPr>
          <w:rFonts w:eastAsia="DejaVu Sans"/>
          <w:kern w:val="2"/>
          <w:lang w:val="es-ES" w:eastAsia="zh-CN" w:bidi="hi-IN"/>
        </w:rPr>
        <w:t xml:space="preserve">* </w:t>
      </w:r>
      <w:hyperlink r:id="rId7">
        <w:r w:rsidRPr="00A20E49">
          <w:rPr>
            <w:rFonts w:eastAsia="DejaVu Sans"/>
            <w:color w:val="0000FF"/>
            <w:kern w:val="2"/>
            <w:lang w:val="es-ES" w:eastAsia="zh-CN" w:bidi="hi-IN"/>
          </w:rPr>
          <w:t>https://orcid.org/0000-0001-7167-158X</w:t>
        </w:r>
      </w:hyperlink>
    </w:p>
    <w:p w14:paraId="108C96EB"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S" w:eastAsia="zh-CN" w:bidi="hi-IN"/>
        </w:rPr>
        <w:t>Yasmina Rodríguez Hernández</w:t>
      </w:r>
      <w:r w:rsidRPr="00A20E49">
        <w:rPr>
          <w:rFonts w:eastAsia="DejaVu Sans"/>
          <w:kern w:val="2"/>
          <w:vertAlign w:val="superscript"/>
          <w:lang w:val="es-ES" w:eastAsia="zh-CN" w:bidi="hi-IN"/>
        </w:rPr>
        <w:t xml:space="preserve">1 </w:t>
      </w:r>
      <w:hyperlink r:id="rId8" w:history="1">
        <w:r w:rsidRPr="00A20E49">
          <w:rPr>
            <w:rFonts w:eastAsia="DejaVu Sans"/>
            <w:color w:val="0000FF"/>
            <w:kern w:val="2"/>
            <w:lang w:val="es-ES" w:eastAsia="zh-CN" w:bidi="hi-IN"/>
          </w:rPr>
          <w:t>https://orcid.org/0000-0001-7691-5184</w:t>
        </w:r>
      </w:hyperlink>
    </w:p>
    <w:p w14:paraId="7C866027"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S" w:eastAsia="zh-CN" w:bidi="hi-IN"/>
        </w:rPr>
        <w:t>Ayrelis Eloina Perovani Argüelles</w:t>
      </w:r>
      <w:r w:rsidRPr="00A20E49">
        <w:rPr>
          <w:rFonts w:eastAsia="DejaVu Sans"/>
          <w:kern w:val="2"/>
          <w:vertAlign w:val="superscript"/>
          <w:lang w:val="es-ES" w:eastAsia="zh-CN" w:bidi="hi-IN"/>
        </w:rPr>
        <w:t xml:space="preserve">1 </w:t>
      </w:r>
      <w:hyperlink r:id="rId9" w:history="1">
        <w:r w:rsidRPr="00A20E49">
          <w:rPr>
            <w:rFonts w:eastAsia="DejaVu Sans"/>
            <w:color w:val="0000FF"/>
            <w:kern w:val="2"/>
            <w:lang w:val="es-ES" w:eastAsia="zh-CN" w:bidi="hi-IN"/>
          </w:rPr>
          <w:t>https://orcid.org/0000-0001-5216-198X</w:t>
        </w:r>
      </w:hyperlink>
    </w:p>
    <w:p w14:paraId="4A23AD81"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S" w:eastAsia="zh-CN" w:bidi="hi-IN"/>
        </w:rPr>
        <w:t>Maritania Vizcaíno César</w:t>
      </w:r>
      <w:r w:rsidRPr="00A20E49">
        <w:rPr>
          <w:rFonts w:eastAsia="DejaVu Sans"/>
          <w:kern w:val="2"/>
          <w:vertAlign w:val="superscript"/>
          <w:lang w:val="es-ES" w:eastAsia="zh-CN" w:bidi="hi-IN"/>
        </w:rPr>
        <w:t xml:space="preserve">1 </w:t>
      </w:r>
      <w:hyperlink r:id="rId10" w:history="1">
        <w:r w:rsidRPr="00A20E49">
          <w:rPr>
            <w:rFonts w:eastAsia="DejaVu Sans"/>
            <w:color w:val="0000FF"/>
            <w:kern w:val="2"/>
            <w:lang w:val="es-ES" w:eastAsia="zh-CN" w:bidi="hi-IN"/>
          </w:rPr>
          <w:t>https://orcid.org/0000-0002-9086-2709</w:t>
        </w:r>
      </w:hyperlink>
    </w:p>
    <w:p w14:paraId="55C41916"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S" w:eastAsia="zh-CN" w:bidi="hi-IN"/>
        </w:rPr>
        <w:t>Yanneris Parada Barroso</w:t>
      </w:r>
      <w:r w:rsidRPr="00A20E49">
        <w:rPr>
          <w:rFonts w:eastAsia="DejaVu Sans"/>
          <w:kern w:val="2"/>
          <w:vertAlign w:val="superscript"/>
          <w:lang w:val="es-ES" w:eastAsia="zh-CN" w:bidi="hi-IN"/>
        </w:rPr>
        <w:t xml:space="preserve">1 </w:t>
      </w:r>
      <w:hyperlink r:id="rId11" w:history="1">
        <w:r w:rsidRPr="00A20E49">
          <w:rPr>
            <w:rFonts w:eastAsia="DejaVu Sans"/>
            <w:color w:val="0000FF"/>
            <w:kern w:val="2"/>
            <w:lang w:val="es-ES" w:eastAsia="zh-CN" w:bidi="hi-IN"/>
          </w:rPr>
          <w:t>https://orcid.org/0000-0002-9217-3157</w:t>
        </w:r>
      </w:hyperlink>
    </w:p>
    <w:p w14:paraId="5F03380F" w14:textId="77777777" w:rsidR="00A20E49" w:rsidRPr="00A20E49" w:rsidRDefault="00A20E49" w:rsidP="00A20E49">
      <w:pPr>
        <w:suppressAutoHyphens/>
        <w:spacing w:line="360" w:lineRule="auto"/>
        <w:jc w:val="both"/>
        <w:rPr>
          <w:rFonts w:eastAsia="DejaVu Sans"/>
          <w:kern w:val="2"/>
          <w:lang w:val="es-ES" w:eastAsia="zh-CN" w:bidi="hi-IN"/>
        </w:rPr>
      </w:pPr>
    </w:p>
    <w:p w14:paraId="198A73D7" w14:textId="1F5DCE1C"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vertAlign w:val="superscript"/>
          <w:lang w:val="es-ES" w:eastAsia="zh-CN" w:bidi="hi-IN"/>
        </w:rPr>
        <w:t>1</w:t>
      </w:r>
      <w:r w:rsidRPr="00A20E49">
        <w:rPr>
          <w:rFonts w:eastAsia="DejaVu Sans"/>
          <w:kern w:val="2"/>
          <w:lang w:val="es-ES" w:eastAsia="zh-CN" w:bidi="hi-IN"/>
        </w:rPr>
        <w:t xml:space="preserve">Hospital Militar Central </w:t>
      </w:r>
      <w:r w:rsidR="00B60DD6">
        <w:rPr>
          <w:rFonts w:eastAsia="DejaVu Sans"/>
          <w:kern w:val="2"/>
          <w:lang w:val="es-ES" w:eastAsia="zh-CN" w:bidi="hi-IN"/>
        </w:rPr>
        <w:t>“</w:t>
      </w:r>
      <w:r w:rsidRPr="00A20E49">
        <w:rPr>
          <w:rFonts w:eastAsia="DejaVu Sans"/>
          <w:kern w:val="2"/>
          <w:lang w:val="es-ES" w:eastAsia="zh-CN" w:bidi="hi-IN"/>
        </w:rPr>
        <w:t xml:space="preserve">Dr. Luis Díaz Soto”. La Habana, Cuba. </w:t>
      </w:r>
    </w:p>
    <w:p w14:paraId="6F8AB128" w14:textId="77777777" w:rsidR="00A20E49" w:rsidRPr="00A20E49" w:rsidRDefault="00A20E49" w:rsidP="00A20E49">
      <w:pPr>
        <w:suppressAutoHyphens/>
        <w:spacing w:line="360" w:lineRule="auto"/>
        <w:jc w:val="both"/>
        <w:rPr>
          <w:rFonts w:eastAsia="DejaVu Sans"/>
          <w:kern w:val="2"/>
          <w:lang w:val="es-ES" w:eastAsia="zh-CN" w:bidi="hi-IN"/>
        </w:rPr>
      </w:pPr>
    </w:p>
    <w:p w14:paraId="36BB3242"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s-ES" w:eastAsia="zh-CN" w:bidi="hi-IN"/>
        </w:rPr>
        <w:t xml:space="preserve">*Autor para la correspondencia. Correo electrónico: </w:t>
      </w:r>
      <w:hyperlink r:id="rId12" w:history="1">
        <w:r w:rsidRPr="00A20E49">
          <w:rPr>
            <w:rFonts w:eastAsia="DejaVu Sans"/>
            <w:color w:val="0000FF"/>
            <w:kern w:val="2"/>
            <w:lang w:val="es-ES" w:eastAsia="zh-CN" w:bidi="hi-IN"/>
          </w:rPr>
          <w:t>yiliancp@infomed.sld.cu</w:t>
        </w:r>
      </w:hyperlink>
      <w:r w:rsidRPr="00A20E49">
        <w:rPr>
          <w:rFonts w:eastAsia="DejaVu Sans"/>
          <w:kern w:val="2"/>
          <w:lang w:val="es-ES" w:eastAsia="zh-CN" w:bidi="hi-IN"/>
        </w:rPr>
        <w:t xml:space="preserve">; </w:t>
      </w:r>
      <w:hyperlink r:id="rId13" w:history="1">
        <w:r w:rsidRPr="00A20E49">
          <w:rPr>
            <w:rFonts w:eastAsia="DejaVu Sans"/>
            <w:color w:val="0000FF"/>
            <w:kern w:val="2"/>
            <w:lang w:val="es-ES" w:eastAsia="zh-CN" w:bidi="hi-IN"/>
          </w:rPr>
          <w:t>y</w:t>
        </w:r>
      </w:hyperlink>
      <w:r w:rsidRPr="00A20E49">
        <w:rPr>
          <w:rFonts w:eastAsia="DejaVu Sans"/>
          <w:color w:val="0000FF"/>
          <w:kern w:val="2"/>
          <w:lang w:val="es-ES" w:eastAsia="zh-CN" w:bidi="hi-IN"/>
        </w:rPr>
        <w:t>ilianconstanten43</w:t>
      </w:r>
      <w:hyperlink r:id="rId14">
        <w:r w:rsidRPr="00A20E49">
          <w:rPr>
            <w:rFonts w:eastAsia="DejaVu Sans"/>
            <w:color w:val="0000FF"/>
            <w:kern w:val="2"/>
            <w:lang w:val="es-ES" w:eastAsia="zh-CN" w:bidi="hi-IN"/>
          </w:rPr>
          <w:t>@gmail.com</w:t>
        </w:r>
      </w:hyperlink>
    </w:p>
    <w:p w14:paraId="4683E904" w14:textId="77777777" w:rsidR="00A20E49" w:rsidRPr="00A20E49" w:rsidRDefault="00A20E49" w:rsidP="00A20E49">
      <w:pPr>
        <w:suppressAutoHyphens/>
        <w:spacing w:line="360" w:lineRule="auto"/>
        <w:jc w:val="both"/>
        <w:rPr>
          <w:rFonts w:eastAsia="DejaVu Sans"/>
          <w:kern w:val="2"/>
          <w:lang w:val="es-ES" w:eastAsia="zh-CN" w:bidi="hi-IN"/>
        </w:rPr>
      </w:pPr>
    </w:p>
    <w:p w14:paraId="4D8F0C87"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b/>
          <w:kern w:val="2"/>
          <w:lang w:val="es-ES" w:eastAsia="zh-CN" w:bidi="hi-IN"/>
        </w:rPr>
        <w:t>RESUMEN</w:t>
      </w:r>
    </w:p>
    <w:p w14:paraId="03E07B3A"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b/>
          <w:kern w:val="2"/>
          <w:lang w:val="es-ES" w:eastAsia="zh-CN" w:bidi="hi-IN"/>
        </w:rPr>
        <w:t>Introducción:</w:t>
      </w:r>
      <w:r w:rsidRPr="00A20E49">
        <w:rPr>
          <w:rFonts w:eastAsia="DejaVu Sans"/>
          <w:kern w:val="2"/>
          <w:lang w:val="es-ES" w:eastAsia="zh-CN" w:bidi="hi-IN"/>
        </w:rPr>
        <w:t xml:space="preserve"> Se reconoce la asociación entre los factores de riesgo aterogénico y las alteraciones microvasculares de la retina, pero no hay consenso sobre si estas afectaciones en la retina preceden o son una respuesta fisiopatológica a dichos factores.</w:t>
      </w:r>
    </w:p>
    <w:p w14:paraId="55E40DED"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b/>
          <w:kern w:val="2"/>
          <w:lang w:val="es-ES" w:eastAsia="zh-CN" w:bidi="hi-IN"/>
        </w:rPr>
        <w:t>Objetivo:</w:t>
      </w:r>
      <w:r w:rsidRPr="00A20E49">
        <w:rPr>
          <w:rFonts w:eastAsia="DejaVu Sans"/>
          <w:kern w:val="2"/>
          <w:lang w:val="es-ES" w:eastAsia="zh-CN" w:bidi="hi-IN"/>
        </w:rPr>
        <w:t xml:space="preserve"> Determinar si la presencia de los factores de riesgo aterogénico predice las alteraciones vasculares retinianas, a través del fondo de ojo y la retinografía.</w:t>
      </w:r>
    </w:p>
    <w:p w14:paraId="28F71D3B"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b/>
          <w:kern w:val="2"/>
          <w:lang w:val="es-ES" w:eastAsia="zh-CN" w:bidi="hi-IN"/>
        </w:rPr>
        <w:t xml:space="preserve">Métodos: </w:t>
      </w:r>
      <w:r w:rsidRPr="00A20E49">
        <w:rPr>
          <w:rFonts w:eastAsia="DejaVu Sans"/>
          <w:kern w:val="2"/>
          <w:lang w:val="es-ES" w:eastAsia="zh-CN" w:bidi="hi-IN"/>
        </w:rPr>
        <w:t xml:space="preserve">Estudio trasversal en 55 sujetos </w:t>
      </w:r>
      <w:r w:rsidRPr="00A20E49">
        <w:rPr>
          <w:lang w:val="es-ES" w:eastAsia="es-ES"/>
        </w:rPr>
        <w:t>mayores de 19 años de edad, de cualquier sexo, sin opacidades en los medios transparentes del ojo. Se estudiaron las variables edad, sexo, dislipidemia, hábito de fumar, consumo de alcohol, hipertensión arterial, diabetes mellitus tipo 2, presión arterial sistólica y diastólica, índice de masa corporal, colesterol, glicemia, triglicéridos, creatinina, lipoproteínas de alta densidad, urea, eritrosedimentación y conteo leucocitario</w:t>
      </w:r>
      <w:r w:rsidRPr="00A20E49">
        <w:rPr>
          <w:rFonts w:eastAsia="DejaVu Sans"/>
          <w:kern w:val="2"/>
          <w:lang w:val="es-ES" w:eastAsia="zh-CN" w:bidi="hi-IN"/>
        </w:rPr>
        <w:t xml:space="preserve">. </w:t>
      </w:r>
    </w:p>
    <w:p w14:paraId="2B293BFF"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b/>
          <w:kern w:val="2"/>
          <w:lang w:val="es-ES" w:eastAsia="zh-CN" w:bidi="hi-IN"/>
        </w:rPr>
        <w:lastRenderedPageBreak/>
        <w:t>Resultados:</w:t>
      </w:r>
      <w:r w:rsidRPr="00A20E49">
        <w:rPr>
          <w:rFonts w:eastAsia="DejaVu Sans"/>
          <w:kern w:val="2"/>
          <w:lang w:val="es-ES" w:eastAsia="zh-CN" w:bidi="hi-IN"/>
        </w:rPr>
        <w:t xml:space="preserve"> El 65,45 % presentó alteraciones en el fondo de ojo: aumento del brillo arteriolar (53,03 %) y disminución del calibre arteriolar generalizado (52,24 %). La retinografía mostró daño en el 58,18 %: rectificación de los cruces arteriovenosos (65,71 %), tortuosidad venosa (28,21 %) y cruces arteriovenosos con aplastamiento (85,71 %). El aumento del colesterol sérico (p= 0,003) se asoció con la presión arterial sistólica (p= 0,037) en el fondo de ojo, y con el antecedente de hipertensión arterial (p= 0,023) en la retinografía.</w:t>
      </w:r>
    </w:p>
    <w:p w14:paraId="67EF7E20"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b/>
          <w:kern w:val="2"/>
          <w:lang w:val="es-ES" w:eastAsia="zh-CN" w:bidi="hi-IN"/>
        </w:rPr>
        <w:t>Conclusiones:</w:t>
      </w:r>
      <w:r w:rsidRPr="00A20E49">
        <w:rPr>
          <w:rFonts w:eastAsia="DejaVu Sans"/>
          <w:kern w:val="2"/>
          <w:lang w:val="es-ES" w:eastAsia="zh-CN" w:bidi="hi-IN"/>
        </w:rPr>
        <w:t xml:space="preserve"> El colesterol sérico, las   cifras elevadas de tensión arterial sistólica y antecedentes de hipertensión arterial son los factores de riesgo que mejor predicen el daño vascular retinal.</w:t>
      </w:r>
    </w:p>
    <w:p w14:paraId="69C67F51" w14:textId="77777777" w:rsidR="00A20E49" w:rsidRPr="00A20E49" w:rsidRDefault="00A20E49" w:rsidP="00A20E49">
      <w:pPr>
        <w:suppressAutoHyphens/>
        <w:spacing w:line="360" w:lineRule="auto"/>
        <w:jc w:val="both"/>
        <w:rPr>
          <w:rFonts w:eastAsia="DejaVu Sans"/>
          <w:b/>
          <w:kern w:val="2"/>
          <w:lang w:val="es-ES" w:eastAsia="zh-CN" w:bidi="hi-IN"/>
        </w:rPr>
      </w:pPr>
      <w:r w:rsidRPr="00A20E49">
        <w:rPr>
          <w:rFonts w:eastAsia="DejaVu Sans"/>
          <w:b/>
          <w:kern w:val="2"/>
          <w:lang w:val="es-ES" w:eastAsia="zh-CN" w:bidi="hi-IN"/>
        </w:rPr>
        <w:t xml:space="preserve">Palabras clave: </w:t>
      </w:r>
      <w:r w:rsidRPr="00A20E49">
        <w:rPr>
          <w:rFonts w:eastAsia="DejaVu Sans"/>
          <w:kern w:val="2"/>
          <w:lang w:val="es-ES" w:eastAsia="zh-CN" w:bidi="hi-IN"/>
        </w:rPr>
        <w:t>arteria retiniana; aterosclerosis; retinopatía; retinopatía diabética; retinopatía hipertensiva; síndrome metabólico; vena retiniana.</w:t>
      </w:r>
    </w:p>
    <w:p w14:paraId="7F0F43A1" w14:textId="77777777" w:rsidR="00A20E49" w:rsidRPr="00A20E49" w:rsidRDefault="00A20E49" w:rsidP="00A20E49">
      <w:pPr>
        <w:suppressAutoHyphens/>
        <w:spacing w:line="360" w:lineRule="auto"/>
        <w:jc w:val="both"/>
        <w:rPr>
          <w:rFonts w:eastAsia="DejaVu Sans"/>
          <w:b/>
          <w:kern w:val="2"/>
          <w:lang w:val="es-MX" w:eastAsia="zh-CN" w:bidi="hi-IN"/>
        </w:rPr>
      </w:pPr>
    </w:p>
    <w:p w14:paraId="07A26556" w14:textId="77777777" w:rsidR="00A20E49" w:rsidRPr="00A20E49" w:rsidRDefault="00A20E49" w:rsidP="00A20E49">
      <w:pPr>
        <w:suppressAutoHyphens/>
        <w:spacing w:line="360" w:lineRule="auto"/>
        <w:jc w:val="both"/>
        <w:rPr>
          <w:rFonts w:eastAsia="DejaVu Sans"/>
          <w:kern w:val="2"/>
          <w:lang w:val="en-US" w:eastAsia="zh-CN" w:bidi="hi-IN"/>
        </w:rPr>
      </w:pPr>
      <w:r w:rsidRPr="00A20E49">
        <w:rPr>
          <w:rFonts w:eastAsia="DejaVu Sans"/>
          <w:b/>
          <w:kern w:val="2"/>
          <w:lang w:val="en-US" w:eastAsia="zh-CN" w:bidi="hi-IN"/>
        </w:rPr>
        <w:t xml:space="preserve">ABSTRACT </w:t>
      </w:r>
    </w:p>
    <w:p w14:paraId="7C1652CE" w14:textId="77777777" w:rsidR="00A20E49" w:rsidRPr="00A20E49" w:rsidRDefault="00A20E49" w:rsidP="00A20E49">
      <w:pPr>
        <w:suppressAutoHyphens/>
        <w:spacing w:line="360" w:lineRule="auto"/>
        <w:jc w:val="both"/>
        <w:rPr>
          <w:rFonts w:eastAsia="DejaVu Sans"/>
          <w:bCs/>
          <w:kern w:val="2"/>
          <w:lang w:val="en-GB" w:eastAsia="zh-CN" w:bidi="hi-IN"/>
        </w:rPr>
      </w:pPr>
      <w:r w:rsidRPr="00A20E49">
        <w:rPr>
          <w:rFonts w:eastAsia="DejaVu Sans"/>
          <w:b/>
          <w:kern w:val="2"/>
          <w:lang w:val="en-GB" w:eastAsia="zh-CN" w:bidi="hi-IN"/>
        </w:rPr>
        <w:t xml:space="preserve">Introduction: </w:t>
      </w:r>
      <w:r w:rsidRPr="00A20E49">
        <w:rPr>
          <w:rFonts w:eastAsia="DejaVu Sans"/>
          <w:bCs/>
          <w:kern w:val="2"/>
          <w:lang w:val="en-GB" w:eastAsia="zh-CN" w:bidi="hi-IN"/>
        </w:rPr>
        <w:t>The association between atherogenic risk factors and retinal microvascular alterations is recognized, but there is no consensus on whether these retinal disorders precede or are a pathophysiological response to these factors.</w:t>
      </w:r>
    </w:p>
    <w:p w14:paraId="7F739C5F" w14:textId="77777777" w:rsidR="00A20E49" w:rsidRPr="00A20E49" w:rsidRDefault="00A20E49" w:rsidP="00A20E49">
      <w:pPr>
        <w:suppressAutoHyphens/>
        <w:spacing w:line="360" w:lineRule="auto"/>
        <w:jc w:val="both"/>
        <w:rPr>
          <w:rFonts w:eastAsia="DejaVu Sans"/>
          <w:bCs/>
          <w:kern w:val="2"/>
          <w:lang w:val="en-GB" w:eastAsia="zh-CN" w:bidi="hi-IN"/>
        </w:rPr>
      </w:pPr>
      <w:r w:rsidRPr="00A20E49">
        <w:rPr>
          <w:rFonts w:eastAsia="DejaVu Sans"/>
          <w:b/>
          <w:kern w:val="2"/>
          <w:lang w:val="en-GB" w:eastAsia="zh-CN" w:bidi="hi-IN"/>
        </w:rPr>
        <w:t>Objective:</w:t>
      </w:r>
      <w:r w:rsidRPr="00A20E49">
        <w:rPr>
          <w:rFonts w:eastAsia="DejaVu Sans"/>
          <w:bCs/>
          <w:kern w:val="2"/>
          <w:lang w:val="en-GB" w:eastAsia="zh-CN" w:bidi="hi-IN"/>
        </w:rPr>
        <w:t xml:space="preserve"> To determine if the presence of atherogenic risk factors predicts retinal vascular alterations, through fundus examination and retinography.</w:t>
      </w:r>
    </w:p>
    <w:p w14:paraId="1142EC50" w14:textId="77777777" w:rsidR="00A20E49" w:rsidRPr="00A20E49" w:rsidRDefault="00A20E49" w:rsidP="00A20E49">
      <w:pPr>
        <w:suppressAutoHyphens/>
        <w:spacing w:line="360" w:lineRule="auto"/>
        <w:jc w:val="both"/>
        <w:rPr>
          <w:rFonts w:eastAsia="DejaVu Sans"/>
          <w:bCs/>
          <w:kern w:val="2"/>
          <w:lang w:val="en-GB" w:eastAsia="zh-CN" w:bidi="hi-IN"/>
        </w:rPr>
      </w:pPr>
      <w:r w:rsidRPr="00A20E49">
        <w:rPr>
          <w:rFonts w:eastAsia="DejaVu Sans"/>
          <w:b/>
          <w:kern w:val="2"/>
          <w:lang w:val="en-GB" w:eastAsia="zh-CN" w:bidi="hi-IN"/>
        </w:rPr>
        <w:t>Methods:</w:t>
      </w:r>
      <w:r w:rsidRPr="00A20E49">
        <w:rPr>
          <w:rFonts w:eastAsia="DejaVu Sans"/>
          <w:bCs/>
          <w:kern w:val="2"/>
          <w:lang w:val="en-GB" w:eastAsia="zh-CN" w:bidi="hi-IN"/>
        </w:rPr>
        <w:t xml:space="preserve"> Cross-sectional study in 55 subjects over 19 years of age, of either sex, without opacities in the transparent media of the eye. The variables studied were age, sex, dyslipidemia, smoking habit, alcohol consumption, arterial hypertension, type 2 diabetes mellitus, systolic and diastolic blood pressure, body mass index, cholesterol, glycemia, triglycerides, creatinine, high-density lipoproteins, urea, erythrocyte sedimentation rate and leukocyte count.</w:t>
      </w:r>
    </w:p>
    <w:p w14:paraId="4F708005" w14:textId="77777777" w:rsidR="00A20E49" w:rsidRPr="00A20E49" w:rsidRDefault="00A20E49" w:rsidP="00A20E49">
      <w:pPr>
        <w:suppressAutoHyphens/>
        <w:spacing w:line="360" w:lineRule="auto"/>
        <w:jc w:val="both"/>
        <w:rPr>
          <w:rFonts w:eastAsia="DejaVu Sans"/>
          <w:bCs/>
          <w:kern w:val="2"/>
          <w:lang w:val="en-GB" w:eastAsia="zh-CN" w:bidi="hi-IN"/>
        </w:rPr>
      </w:pPr>
      <w:r w:rsidRPr="00A20E49">
        <w:rPr>
          <w:rFonts w:eastAsia="DejaVu Sans"/>
          <w:b/>
          <w:kern w:val="2"/>
          <w:lang w:val="en-GB" w:eastAsia="zh-CN" w:bidi="hi-IN"/>
        </w:rPr>
        <w:t>Results:</w:t>
      </w:r>
      <w:r w:rsidRPr="00A20E49">
        <w:rPr>
          <w:rFonts w:eastAsia="DejaVu Sans"/>
          <w:bCs/>
          <w:kern w:val="2"/>
          <w:lang w:val="en-GB" w:eastAsia="zh-CN" w:bidi="hi-IN"/>
        </w:rPr>
        <w:t xml:space="preserve"> 65.45% presented alterations in the fundus of the eye: increased arteriolar brightness (53.03%) and decreased generalized arteriolar caliber (52.24%). Retinography showed damage in 58.18%: rectification of arteriovenous crossings (65.71%), venous tortuosity (28.21%), and arteriovenous crossings with crushing (85.71%). The increase in serum cholesterol (p= 0.003) was associated with systolic blood pressure (p= 0.037) in the fundus, and with a history of arterial hypertension (p= 0.023) in retinography.</w:t>
      </w:r>
    </w:p>
    <w:p w14:paraId="29EC1A2E" w14:textId="77777777" w:rsidR="00A20E49" w:rsidRPr="00A20E49" w:rsidRDefault="00A20E49" w:rsidP="00A20E49">
      <w:pPr>
        <w:suppressAutoHyphens/>
        <w:spacing w:line="360" w:lineRule="auto"/>
        <w:jc w:val="both"/>
        <w:rPr>
          <w:rFonts w:eastAsia="DejaVu Sans"/>
          <w:bCs/>
          <w:kern w:val="2"/>
          <w:lang w:val="en-GB" w:eastAsia="zh-CN" w:bidi="hi-IN"/>
        </w:rPr>
      </w:pPr>
      <w:r w:rsidRPr="00A20E49">
        <w:rPr>
          <w:rFonts w:eastAsia="DejaVu Sans"/>
          <w:b/>
          <w:kern w:val="2"/>
          <w:lang w:val="en-GB" w:eastAsia="zh-CN" w:bidi="hi-IN"/>
        </w:rPr>
        <w:lastRenderedPageBreak/>
        <w:t xml:space="preserve">Conclusions: </w:t>
      </w:r>
      <w:r w:rsidRPr="00A20E49">
        <w:rPr>
          <w:rFonts w:eastAsia="DejaVu Sans"/>
          <w:bCs/>
          <w:kern w:val="2"/>
          <w:lang w:val="en-GB" w:eastAsia="zh-CN" w:bidi="hi-IN"/>
        </w:rPr>
        <w:t>Serum cholesterol, high systolic blood pressure and a history of hypertension are the risk factors that best predict retinal vascular damage.</w:t>
      </w:r>
    </w:p>
    <w:p w14:paraId="61B532CC" w14:textId="650714AD" w:rsidR="00A20E49" w:rsidRPr="00A20E49" w:rsidRDefault="00A20E49" w:rsidP="00A20E49">
      <w:pPr>
        <w:suppressAutoHyphens/>
        <w:spacing w:line="360" w:lineRule="auto"/>
        <w:jc w:val="both"/>
        <w:rPr>
          <w:rFonts w:eastAsia="DejaVu Sans"/>
          <w:kern w:val="2"/>
          <w:lang w:val="en-US" w:eastAsia="zh-CN" w:bidi="hi-IN"/>
        </w:rPr>
      </w:pPr>
      <w:r w:rsidRPr="00A20E49">
        <w:rPr>
          <w:rFonts w:eastAsia="DejaVu Sans"/>
          <w:b/>
          <w:kern w:val="2"/>
          <w:lang w:val="en-US" w:eastAsia="zh-CN" w:bidi="hi-IN"/>
        </w:rPr>
        <w:t>Keywords:</w:t>
      </w:r>
      <w:r w:rsidRPr="00A20E49">
        <w:rPr>
          <w:rFonts w:eastAsia="DejaVu Sans"/>
          <w:kern w:val="2"/>
          <w:lang w:val="en-US" w:eastAsia="zh-CN" w:bidi="hi-IN"/>
        </w:rPr>
        <w:t xml:space="preserve"> atherosclerosis; diabetic retinopathy; hypertensive retinopathy; metabolic syndrome; retinal artery; </w:t>
      </w:r>
      <w:r w:rsidR="00C139AE" w:rsidRPr="00A20E49">
        <w:rPr>
          <w:rFonts w:eastAsia="DejaVu Sans"/>
          <w:kern w:val="2"/>
          <w:lang w:val="en-US" w:eastAsia="zh-CN" w:bidi="hi-IN"/>
        </w:rPr>
        <w:t>retinopathy; retinal</w:t>
      </w:r>
      <w:r w:rsidRPr="00A20E49">
        <w:rPr>
          <w:rFonts w:eastAsia="DejaVu Sans"/>
          <w:kern w:val="2"/>
          <w:lang w:val="en-US" w:eastAsia="zh-CN" w:bidi="hi-IN"/>
        </w:rPr>
        <w:t xml:space="preserve"> vein.</w:t>
      </w:r>
    </w:p>
    <w:p w14:paraId="7F6A9F03" w14:textId="77777777" w:rsidR="00A20E49" w:rsidRPr="00A20E49" w:rsidRDefault="00A20E49" w:rsidP="00A20E49">
      <w:pPr>
        <w:suppressAutoHyphens/>
        <w:spacing w:line="360" w:lineRule="auto"/>
        <w:jc w:val="both"/>
        <w:rPr>
          <w:rFonts w:eastAsia="DejaVu Sans"/>
          <w:kern w:val="2"/>
          <w:lang w:val="en-US" w:eastAsia="zh-CN" w:bidi="hi-IN"/>
        </w:rPr>
      </w:pPr>
    </w:p>
    <w:p w14:paraId="38632D4D" w14:textId="77777777" w:rsidR="00A20E49" w:rsidRPr="00A20E49" w:rsidRDefault="00A20E49" w:rsidP="00A20E49">
      <w:pPr>
        <w:suppressAutoHyphens/>
        <w:spacing w:line="360" w:lineRule="auto"/>
        <w:jc w:val="both"/>
        <w:rPr>
          <w:rFonts w:eastAsia="DejaVu Sans"/>
          <w:kern w:val="2"/>
          <w:lang w:val="en-US" w:eastAsia="zh-CN" w:bidi="hi-IN"/>
        </w:rPr>
      </w:pPr>
    </w:p>
    <w:p w14:paraId="4FCDBC83"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S" w:eastAsia="zh-CN" w:bidi="hi-IN"/>
        </w:rPr>
        <w:t>Recibido: 27/06/2023</w:t>
      </w:r>
    </w:p>
    <w:p w14:paraId="22C5C9C1"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S" w:eastAsia="zh-CN" w:bidi="hi-IN"/>
        </w:rPr>
        <w:t>Aprobado: 02/02/2024</w:t>
      </w:r>
    </w:p>
    <w:p w14:paraId="18D9B4A0" w14:textId="77777777" w:rsidR="00A20E49" w:rsidRPr="00A20E49" w:rsidRDefault="00A20E49" w:rsidP="00A20E49">
      <w:pPr>
        <w:suppressAutoHyphens/>
        <w:spacing w:line="360" w:lineRule="auto"/>
        <w:jc w:val="both"/>
        <w:rPr>
          <w:rFonts w:eastAsia="DejaVu Sans"/>
          <w:b/>
          <w:kern w:val="2"/>
          <w:lang w:val="es-ES" w:eastAsia="zh-CN" w:bidi="hi-IN"/>
        </w:rPr>
      </w:pPr>
    </w:p>
    <w:p w14:paraId="72F32AD9" w14:textId="77777777" w:rsidR="00A20E49" w:rsidRPr="00A20E49" w:rsidRDefault="00A20E49" w:rsidP="00A20E49">
      <w:pPr>
        <w:suppressAutoHyphens/>
        <w:spacing w:line="360" w:lineRule="auto"/>
        <w:jc w:val="both"/>
        <w:rPr>
          <w:rFonts w:eastAsia="DejaVu Sans"/>
          <w:b/>
          <w:kern w:val="2"/>
          <w:lang w:val="es-ES" w:eastAsia="zh-CN" w:bidi="hi-IN"/>
        </w:rPr>
      </w:pPr>
    </w:p>
    <w:p w14:paraId="75BFC708" w14:textId="77777777" w:rsidR="00A20E49" w:rsidRPr="00A20E49" w:rsidRDefault="00A20E49" w:rsidP="00A20E49">
      <w:pPr>
        <w:suppressAutoHyphens/>
        <w:spacing w:line="360" w:lineRule="auto"/>
        <w:jc w:val="center"/>
        <w:rPr>
          <w:rFonts w:eastAsia="DejaVu Sans"/>
          <w:kern w:val="2"/>
          <w:sz w:val="32"/>
          <w:szCs w:val="32"/>
          <w:lang w:val="es-ES" w:eastAsia="zh-CN" w:bidi="hi-IN"/>
        </w:rPr>
      </w:pPr>
      <w:r w:rsidRPr="00A20E49">
        <w:rPr>
          <w:rFonts w:eastAsia="DejaVu Sans"/>
          <w:b/>
          <w:kern w:val="2"/>
          <w:sz w:val="32"/>
          <w:szCs w:val="32"/>
          <w:lang w:val="es-ES" w:eastAsia="zh-CN" w:bidi="hi-IN"/>
        </w:rPr>
        <w:t>INTRODUCCIÓN</w:t>
      </w:r>
    </w:p>
    <w:p w14:paraId="59437604"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S" w:eastAsia="zh-CN" w:bidi="hi-IN"/>
        </w:rPr>
        <w:t>El proceso aterogénico</w:t>
      </w:r>
      <w:r w:rsidRPr="00A20E49">
        <w:rPr>
          <w:rFonts w:eastAsia="DejaVu Sans"/>
          <w:kern w:val="2"/>
          <w:vertAlign w:val="superscript"/>
          <w:lang w:val="es-ES" w:eastAsia="zh-CN" w:bidi="hi-IN"/>
        </w:rPr>
        <w:t>(1)</w:t>
      </w:r>
      <w:r w:rsidRPr="00A20E49">
        <w:rPr>
          <w:rFonts w:eastAsia="DejaVu Sans"/>
          <w:kern w:val="2"/>
          <w:lang w:val="es-ES" w:eastAsia="zh-CN" w:bidi="hi-IN"/>
        </w:rPr>
        <w:t xml:space="preserve"> es complejo y distingue 2 conglomerados</w:t>
      </w:r>
      <w:r w:rsidRPr="00A20E49">
        <w:rPr>
          <w:rFonts w:eastAsia="DejaVu Sans"/>
          <w:kern w:val="2"/>
          <w:vertAlign w:val="superscript"/>
          <w:lang w:val="es-ES" w:eastAsia="zh-CN" w:bidi="hi-IN"/>
        </w:rPr>
        <w:t>(2)</w:t>
      </w:r>
      <w:r w:rsidRPr="00A20E49">
        <w:rPr>
          <w:rFonts w:eastAsia="DejaVu Sans"/>
          <w:kern w:val="2"/>
          <w:lang w:val="es-ES" w:eastAsia="zh-CN" w:bidi="hi-IN"/>
        </w:rPr>
        <w:t xml:space="preserve"> de una cadena causal. Uno es responsable de su origen y desarrollo, llamado factores de riesgo aterogénico (la hipertensión arterial, la diabetes mellitus, las dislipoproteinemias, la obesidad, el tabaquismo, la mala nutrición, el sedentarismo, la resistencia a la insulina, la homocisteinemia, varios agentes infecciosos, la hipercoagulabilidad y otras entidades nosológicas); el otro conglomerado está integrado por las enfermedades que se derivan de su evolución. Entre estas se reconoce a la cardiopatía isquémica, la enfermedad cerebrovascular, la enfermedad arterial periférica obstructiva, la enfermedad renal crónica y los aneurismas.</w:t>
      </w:r>
    </w:p>
    <w:p w14:paraId="0C1357E4"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S" w:eastAsia="zh-CN" w:bidi="hi-IN"/>
        </w:rPr>
        <w:t>En 1856 Rudolf Virchow</w:t>
      </w:r>
      <w:r w:rsidRPr="00A20E49">
        <w:rPr>
          <w:rFonts w:eastAsia="DejaVu Sans"/>
          <w:kern w:val="2"/>
          <w:vertAlign w:val="superscript"/>
          <w:lang w:val="es-ES" w:eastAsia="zh-CN" w:bidi="hi-IN"/>
        </w:rPr>
        <w:t>(3)</w:t>
      </w:r>
      <w:r w:rsidRPr="00A20E49">
        <w:rPr>
          <w:rFonts w:eastAsia="DejaVu Sans"/>
          <w:kern w:val="2"/>
          <w:lang w:val="es-ES" w:eastAsia="zh-CN" w:bidi="hi-IN"/>
        </w:rPr>
        <w:t xml:space="preserve"> definió que la ateroesclerosis que afecta la pared arterial se produce como resultado de las interacciones de 3 elementos básicos: los fenómenos hemodinámicos derivados por el flujo sanguíneo, la sangre y sus componentes (responsables de los fenómenos hematológicos) y los integrantes de la pared arterial.</w:t>
      </w:r>
      <w:r w:rsidRPr="00A20E49">
        <w:rPr>
          <w:rFonts w:eastAsia="DejaVu Sans"/>
          <w:kern w:val="2"/>
          <w:vertAlign w:val="superscript"/>
          <w:lang w:val="es-ES" w:eastAsia="zh-CN" w:bidi="hi-IN"/>
        </w:rPr>
        <w:t xml:space="preserve">(4) </w:t>
      </w:r>
      <w:r w:rsidRPr="00A20E49">
        <w:rPr>
          <w:rFonts w:eastAsia="DejaVu Sans"/>
          <w:kern w:val="2"/>
          <w:lang w:val="es-ES" w:eastAsia="zh-CN" w:bidi="hi-IN"/>
        </w:rPr>
        <w:t xml:space="preserve">El endotelio vascular es afectado por el proceso de aterogénesis y muestra alteraciones en la función, que solo pueden ser percibidas </w:t>
      </w:r>
      <w:r w:rsidRPr="00A20E49">
        <w:rPr>
          <w:rFonts w:eastAsia="DejaVu Sans"/>
          <w:i/>
          <w:kern w:val="2"/>
          <w:lang w:val="es-ES" w:eastAsia="zh-CN" w:bidi="hi-IN"/>
        </w:rPr>
        <w:t>in vivo</w:t>
      </w:r>
      <w:r w:rsidRPr="00A20E49">
        <w:rPr>
          <w:rFonts w:eastAsia="DejaVu Sans"/>
          <w:kern w:val="2"/>
          <w:lang w:val="es-ES" w:eastAsia="zh-CN" w:bidi="hi-IN"/>
        </w:rPr>
        <w:t xml:space="preserve"> y en tiempo real, de forma inocua, a través del fondo de ojo. </w:t>
      </w:r>
    </w:p>
    <w:p w14:paraId="5D1F7089"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C" w:eastAsia="zh-CN" w:bidi="hi-IN"/>
        </w:rPr>
        <w:t>Los factores de riesgo aterogénico que más inciden directamente sobre la pared vascular son, la hipertensión arterial y la diabetes mellitus. Desde los hallazgos de Marcus Gun se reconoce la asociación de las alteraciones microvasculares de la retina, con las cifras elevadas de tensión arterial, el ictus y la enfermedad cardiovascular.</w:t>
      </w:r>
      <w:r w:rsidRPr="00A20E49">
        <w:rPr>
          <w:rFonts w:eastAsia="DejaVu Sans"/>
          <w:kern w:val="2"/>
          <w:vertAlign w:val="superscript"/>
          <w:lang w:val="es-ES" w:eastAsia="zh-CN" w:bidi="hi-IN"/>
        </w:rPr>
        <w:t>(5)</w:t>
      </w:r>
      <w:r w:rsidRPr="00A20E49">
        <w:rPr>
          <w:rFonts w:eastAsia="DejaVu Sans"/>
          <w:kern w:val="2"/>
          <w:lang w:val="es-EC" w:eastAsia="zh-CN" w:bidi="hi-IN"/>
        </w:rPr>
        <w:t xml:space="preserve"> Sin embargo, no hay consenso en cuanto a, si estas alteraciones retinianas </w:t>
      </w:r>
      <w:r w:rsidRPr="00A20E49">
        <w:rPr>
          <w:rFonts w:eastAsia="DejaVu Sans"/>
          <w:kern w:val="2"/>
          <w:lang w:val="es-EC" w:eastAsia="zh-CN" w:bidi="hi-IN"/>
        </w:rPr>
        <w:lastRenderedPageBreak/>
        <w:t>son una respuesta fisiopatológica, o si preceden a la hipertensión arterial. En las personas sin diabetes, los signos aislados de la retinopatía no son precisamente indicadores de riesgo futuro de esta enfermedad; con la posible excepción de los jóvenes y quienes poseen antecedentes familiares.</w:t>
      </w:r>
      <w:r w:rsidRPr="00A20E49">
        <w:rPr>
          <w:rFonts w:eastAsia="DejaVu Sans"/>
          <w:kern w:val="2"/>
          <w:vertAlign w:val="superscript"/>
          <w:lang w:val="es-ES" w:eastAsia="zh-CN" w:bidi="hi-IN"/>
        </w:rPr>
        <w:t>(6)</w:t>
      </w:r>
    </w:p>
    <w:p w14:paraId="1A2D2624" w14:textId="77777777" w:rsidR="00A20E49" w:rsidRPr="00A20E49" w:rsidRDefault="00A20E49" w:rsidP="00A20E49">
      <w:pPr>
        <w:suppressAutoHyphens/>
        <w:spacing w:line="360" w:lineRule="auto"/>
        <w:jc w:val="both"/>
        <w:rPr>
          <w:rFonts w:eastAsia="Calibri"/>
          <w:kern w:val="2"/>
          <w:lang w:val="es-EC" w:eastAsia="zh-CN" w:bidi="hi-IN"/>
        </w:rPr>
      </w:pPr>
      <w:r w:rsidRPr="00A20E49">
        <w:rPr>
          <w:rFonts w:eastAsia="Calibri"/>
          <w:kern w:val="2"/>
          <w:lang w:val="es-EC" w:eastAsia="zh-CN" w:bidi="hi-IN"/>
        </w:rPr>
        <w:t xml:space="preserve">El objetivo del trabajo es determinar </w:t>
      </w:r>
      <w:r w:rsidRPr="00A20E49">
        <w:rPr>
          <w:rFonts w:eastAsia="DejaVu Sans"/>
          <w:kern w:val="2"/>
          <w:lang w:val="es-ES" w:eastAsia="zh-CN" w:bidi="hi-IN"/>
        </w:rPr>
        <w:t xml:space="preserve">si la presencia de los factores de riesgo aterogénico, predice las alteraciones vasculares retinianas, a través del fondo de ojo y la retinografía.  </w:t>
      </w:r>
    </w:p>
    <w:p w14:paraId="511CFBE8" w14:textId="77777777" w:rsidR="00A20E49" w:rsidRPr="00A20E49" w:rsidRDefault="00A20E49" w:rsidP="00A20E49">
      <w:pPr>
        <w:suppressAutoHyphens/>
        <w:spacing w:line="360" w:lineRule="auto"/>
        <w:jc w:val="both"/>
        <w:rPr>
          <w:rFonts w:eastAsia="Calibri"/>
          <w:kern w:val="2"/>
          <w:lang w:val="es-EC" w:eastAsia="zh-CN" w:bidi="hi-IN"/>
        </w:rPr>
      </w:pPr>
    </w:p>
    <w:p w14:paraId="5FF8E266" w14:textId="77777777" w:rsidR="00A20E49" w:rsidRPr="00A20E49" w:rsidRDefault="00A20E49" w:rsidP="00A20E49">
      <w:pPr>
        <w:keepNext/>
        <w:tabs>
          <w:tab w:val="right" w:pos="8640"/>
        </w:tabs>
        <w:suppressAutoHyphens/>
        <w:spacing w:line="360" w:lineRule="auto"/>
        <w:jc w:val="center"/>
        <w:rPr>
          <w:rFonts w:eastAsia="Calibri"/>
          <w:b/>
          <w:sz w:val="32"/>
          <w:szCs w:val="32"/>
          <w:lang w:val="es-EC" w:eastAsia="zh-CN"/>
        </w:rPr>
      </w:pPr>
    </w:p>
    <w:p w14:paraId="6A124B34" w14:textId="77777777" w:rsidR="00A20E49" w:rsidRPr="00A20E49" w:rsidRDefault="00A20E49" w:rsidP="00A20E49">
      <w:pPr>
        <w:keepNext/>
        <w:tabs>
          <w:tab w:val="right" w:pos="8640"/>
        </w:tabs>
        <w:suppressAutoHyphens/>
        <w:spacing w:line="360" w:lineRule="auto"/>
        <w:jc w:val="center"/>
        <w:rPr>
          <w:rFonts w:eastAsia="MS Mincho"/>
          <w:b/>
          <w:spacing w:val="-2"/>
          <w:sz w:val="32"/>
          <w:szCs w:val="32"/>
          <w:lang w:val="es-ES" w:eastAsia="zh-CN"/>
        </w:rPr>
      </w:pPr>
      <w:r w:rsidRPr="00A20E49">
        <w:rPr>
          <w:rFonts w:eastAsia="Calibri"/>
          <w:b/>
          <w:sz w:val="32"/>
          <w:szCs w:val="32"/>
          <w:lang w:val="es-EC" w:eastAsia="zh-CN"/>
        </w:rPr>
        <w:t>MÉTODOS</w:t>
      </w:r>
    </w:p>
    <w:p w14:paraId="5ADBF629" w14:textId="77777777" w:rsidR="00A20E49" w:rsidRPr="00A20E49" w:rsidRDefault="00A20E49" w:rsidP="00A20E49">
      <w:pPr>
        <w:suppressAutoHyphens/>
        <w:spacing w:line="360" w:lineRule="auto"/>
        <w:jc w:val="center"/>
        <w:rPr>
          <w:rFonts w:eastAsia="DejaVu Sans"/>
          <w:kern w:val="2"/>
          <w:sz w:val="28"/>
          <w:szCs w:val="28"/>
          <w:lang w:val="es-ES" w:eastAsia="zh-CN" w:bidi="hi-IN"/>
        </w:rPr>
      </w:pPr>
      <w:r w:rsidRPr="00A20E49">
        <w:rPr>
          <w:rFonts w:eastAsia="DejaVu Sans"/>
          <w:b/>
          <w:bCs/>
          <w:kern w:val="2"/>
          <w:sz w:val="28"/>
          <w:szCs w:val="28"/>
          <w:lang w:val="es-ES" w:eastAsia="zh-CN" w:bidi="hi-IN"/>
        </w:rPr>
        <w:t>Diseño</w:t>
      </w:r>
    </w:p>
    <w:p w14:paraId="437F6ECB"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S" w:eastAsia="zh-CN" w:bidi="hi-IN"/>
        </w:rPr>
        <w:t xml:space="preserve">Se realizó un estudio de corte trasversal en una serie de casos, durante los meses de enero a diciembre de 2020, en el </w:t>
      </w:r>
      <w:r w:rsidRPr="00A20E49">
        <w:rPr>
          <w:lang w:val="es-ES" w:eastAsia="es-ES"/>
        </w:rPr>
        <w:t>Hospital Militar Central “Dr. Luis Díaz Soto”.</w:t>
      </w:r>
    </w:p>
    <w:p w14:paraId="0ACA2ACE" w14:textId="77777777" w:rsidR="00A20E49" w:rsidRPr="00A20E49" w:rsidRDefault="00A20E49" w:rsidP="00A20E49">
      <w:pPr>
        <w:keepNext/>
        <w:tabs>
          <w:tab w:val="right" w:pos="8640"/>
        </w:tabs>
        <w:suppressAutoHyphens/>
        <w:spacing w:line="360" w:lineRule="auto"/>
        <w:jc w:val="center"/>
        <w:rPr>
          <w:rFonts w:eastAsia="MS Mincho"/>
          <w:b/>
          <w:spacing w:val="-2"/>
          <w:sz w:val="28"/>
          <w:szCs w:val="28"/>
          <w:lang w:val="es-ES" w:eastAsia="zh-CN"/>
        </w:rPr>
      </w:pPr>
      <w:r w:rsidRPr="00A20E49">
        <w:rPr>
          <w:rFonts w:eastAsia="Calibri"/>
          <w:b/>
          <w:bCs/>
          <w:spacing w:val="-2"/>
          <w:sz w:val="28"/>
          <w:szCs w:val="28"/>
          <w:lang w:val="es-ES" w:eastAsia="zh-CN"/>
        </w:rPr>
        <w:t>Sujetos</w:t>
      </w:r>
    </w:p>
    <w:p w14:paraId="08D8D823" w14:textId="77777777" w:rsidR="00A20E49" w:rsidRPr="00A20E49" w:rsidRDefault="00A20E49" w:rsidP="00A20E49">
      <w:pPr>
        <w:spacing w:line="360" w:lineRule="auto"/>
        <w:jc w:val="both"/>
        <w:rPr>
          <w:lang w:val="es-ES" w:eastAsia="es-ES"/>
        </w:rPr>
      </w:pPr>
      <w:r w:rsidRPr="00A20E49">
        <w:rPr>
          <w:lang w:val="es-ES" w:eastAsia="es-ES"/>
        </w:rPr>
        <w:t>Se seleccionaron 55 sujetos, mayores de 19 años de edad, de cualquier sexo, sin opacidades en los medios transparentes del ojo. En el caso del sexo femenino, no se seleccionaron embarazadas.</w:t>
      </w:r>
    </w:p>
    <w:p w14:paraId="01E86C25" w14:textId="77777777" w:rsidR="00A20E49" w:rsidRPr="00A20E49" w:rsidRDefault="00A20E49" w:rsidP="00A20E49">
      <w:pPr>
        <w:suppressAutoHyphens/>
        <w:spacing w:line="360" w:lineRule="auto"/>
        <w:jc w:val="center"/>
        <w:rPr>
          <w:rFonts w:eastAsia="DejaVu Sans"/>
          <w:kern w:val="2"/>
          <w:sz w:val="28"/>
          <w:szCs w:val="28"/>
          <w:lang w:val="es-ES" w:eastAsia="zh-CN" w:bidi="hi-IN"/>
        </w:rPr>
      </w:pPr>
      <w:r w:rsidRPr="00A20E49">
        <w:rPr>
          <w:rFonts w:eastAsia="Calibri"/>
          <w:b/>
          <w:bCs/>
          <w:sz w:val="28"/>
          <w:szCs w:val="28"/>
          <w:lang w:val="es-ES" w:eastAsia="zh-CN" w:bidi="hi-IN"/>
        </w:rPr>
        <w:t>Variables</w:t>
      </w:r>
    </w:p>
    <w:p w14:paraId="4C89681C" w14:textId="77777777" w:rsidR="00A20E49" w:rsidRPr="00A20E49" w:rsidRDefault="00A20E49" w:rsidP="00A20E49">
      <w:pPr>
        <w:suppressAutoHyphens/>
        <w:spacing w:line="360" w:lineRule="auto"/>
        <w:jc w:val="both"/>
        <w:rPr>
          <w:rFonts w:eastAsia="DejaVu Sans"/>
          <w:kern w:val="2"/>
          <w:lang w:val="es-ES" w:eastAsia="zh-CN" w:bidi="hi-IN"/>
        </w:rPr>
      </w:pPr>
    </w:p>
    <w:p w14:paraId="4E6BDB81" w14:textId="77777777" w:rsidR="00A20E49" w:rsidRPr="00A20E49" w:rsidRDefault="00A20E49" w:rsidP="00A20E49">
      <w:pPr>
        <w:numPr>
          <w:ilvl w:val="0"/>
          <w:numId w:val="5"/>
        </w:numPr>
        <w:suppressAutoHyphens/>
        <w:spacing w:line="360" w:lineRule="auto"/>
        <w:contextualSpacing/>
        <w:jc w:val="both"/>
        <w:rPr>
          <w:rFonts w:eastAsia="DejaVu Sans"/>
          <w:kern w:val="2"/>
          <w:szCs w:val="21"/>
          <w:lang w:val="es-ES" w:eastAsia="zh-CN" w:bidi="hi-IN"/>
        </w:rPr>
      </w:pPr>
      <w:r w:rsidRPr="00A20E49">
        <w:rPr>
          <w:rFonts w:eastAsia="DejaVu Sans"/>
          <w:kern w:val="2"/>
          <w:szCs w:val="21"/>
          <w:lang w:val="es-ES" w:eastAsia="zh-CN" w:bidi="hi-IN"/>
        </w:rPr>
        <w:t>Edad: años cumplidos al momento del examen.</w:t>
      </w:r>
    </w:p>
    <w:p w14:paraId="1AD0D2D6" w14:textId="77777777" w:rsidR="00A20E49" w:rsidRPr="00A20E49" w:rsidRDefault="00A20E49" w:rsidP="00A20E49">
      <w:pPr>
        <w:numPr>
          <w:ilvl w:val="0"/>
          <w:numId w:val="5"/>
        </w:numPr>
        <w:suppressAutoHyphens/>
        <w:spacing w:line="360" w:lineRule="auto"/>
        <w:contextualSpacing/>
        <w:jc w:val="both"/>
        <w:rPr>
          <w:rFonts w:eastAsia="DejaVu Sans"/>
          <w:kern w:val="2"/>
          <w:lang w:val="es-ES" w:eastAsia="zh-CN" w:bidi="hi-IN"/>
        </w:rPr>
      </w:pPr>
      <w:r w:rsidRPr="00A20E49">
        <w:rPr>
          <w:rFonts w:eastAsia="DejaVu Sans"/>
          <w:kern w:val="2"/>
          <w:szCs w:val="21"/>
          <w:lang w:val="es-ES" w:eastAsia="zh-CN" w:bidi="hi-IN"/>
        </w:rPr>
        <w:t>Sexo.</w:t>
      </w:r>
    </w:p>
    <w:p w14:paraId="58350F97" w14:textId="77777777" w:rsidR="00A20E49" w:rsidRPr="00A20E49" w:rsidRDefault="00A20E49" w:rsidP="00A20E49">
      <w:pPr>
        <w:numPr>
          <w:ilvl w:val="0"/>
          <w:numId w:val="5"/>
        </w:numPr>
        <w:suppressAutoHyphens/>
        <w:spacing w:line="360" w:lineRule="auto"/>
        <w:contextualSpacing/>
        <w:jc w:val="both"/>
        <w:rPr>
          <w:rFonts w:eastAsia="DejaVu Sans"/>
          <w:kern w:val="2"/>
          <w:szCs w:val="21"/>
          <w:lang w:val="es-ES" w:eastAsia="zh-CN" w:bidi="hi-IN"/>
        </w:rPr>
      </w:pPr>
      <w:r w:rsidRPr="00A20E49">
        <w:rPr>
          <w:rFonts w:eastAsia="DejaVu Sans"/>
          <w:kern w:val="2"/>
          <w:szCs w:val="21"/>
          <w:lang w:val="es-ES" w:eastAsia="zh-CN" w:bidi="hi-IN"/>
        </w:rPr>
        <w:t>Dislipidemia: presencia de concentraciones plasmáticas de colesterol, triglicéridos o de ambas (colesterol: normal &lt; 5,3 mmol/L; triglicéridos: normal &lt; 1,7 mmol/L).</w:t>
      </w:r>
    </w:p>
    <w:p w14:paraId="06A4085F" w14:textId="77777777" w:rsidR="00A20E49" w:rsidRPr="00A20E49" w:rsidRDefault="00A20E49" w:rsidP="00A20E49">
      <w:pPr>
        <w:numPr>
          <w:ilvl w:val="0"/>
          <w:numId w:val="5"/>
        </w:numPr>
        <w:suppressAutoHyphens/>
        <w:spacing w:line="360" w:lineRule="auto"/>
        <w:contextualSpacing/>
        <w:jc w:val="both"/>
        <w:rPr>
          <w:rFonts w:eastAsia="DejaVu Sans"/>
          <w:kern w:val="2"/>
          <w:szCs w:val="21"/>
          <w:lang w:val="es-ES" w:eastAsia="zh-CN" w:bidi="hi-IN"/>
        </w:rPr>
      </w:pPr>
      <w:r w:rsidRPr="00A20E49">
        <w:rPr>
          <w:rFonts w:eastAsia="DejaVu Sans"/>
          <w:kern w:val="2"/>
          <w:szCs w:val="21"/>
          <w:lang w:val="es-ES" w:eastAsia="zh-CN" w:bidi="hi-IN"/>
        </w:rPr>
        <w:t>Hábito de fumar: presencia o ausencia, referido por el sujeto.</w:t>
      </w:r>
    </w:p>
    <w:p w14:paraId="5DE1E94B" w14:textId="77777777" w:rsidR="00A20E49" w:rsidRPr="00A20E49" w:rsidRDefault="00A20E49" w:rsidP="00A20E49">
      <w:pPr>
        <w:numPr>
          <w:ilvl w:val="0"/>
          <w:numId w:val="5"/>
        </w:numPr>
        <w:suppressAutoHyphens/>
        <w:spacing w:line="360" w:lineRule="auto"/>
        <w:contextualSpacing/>
        <w:jc w:val="both"/>
        <w:rPr>
          <w:rFonts w:eastAsia="DejaVu Sans"/>
          <w:kern w:val="2"/>
          <w:szCs w:val="21"/>
          <w:lang w:val="es-ES" w:eastAsia="zh-CN" w:bidi="hi-IN"/>
        </w:rPr>
      </w:pPr>
      <w:r w:rsidRPr="00A20E49">
        <w:rPr>
          <w:rFonts w:eastAsia="DejaVu Sans"/>
          <w:kern w:val="2"/>
          <w:szCs w:val="21"/>
          <w:lang w:val="es-ES" w:eastAsia="zh-CN" w:bidi="hi-IN"/>
        </w:rPr>
        <w:t>Consumo de alcohol: presencia o ausencia de consumo, referido por el sujeto.</w:t>
      </w:r>
    </w:p>
    <w:p w14:paraId="3EBFD8B5" w14:textId="77777777" w:rsidR="00A20E49" w:rsidRPr="00A20E49" w:rsidRDefault="00A20E49" w:rsidP="00A20E49">
      <w:pPr>
        <w:numPr>
          <w:ilvl w:val="0"/>
          <w:numId w:val="5"/>
        </w:numPr>
        <w:suppressAutoHyphens/>
        <w:spacing w:line="360" w:lineRule="auto"/>
        <w:contextualSpacing/>
        <w:jc w:val="both"/>
        <w:rPr>
          <w:rFonts w:eastAsia="DejaVu Sans"/>
          <w:kern w:val="2"/>
          <w:szCs w:val="21"/>
          <w:lang w:val="es-ES" w:eastAsia="zh-CN" w:bidi="hi-IN"/>
        </w:rPr>
      </w:pPr>
      <w:r w:rsidRPr="00A20E49">
        <w:rPr>
          <w:rFonts w:eastAsia="DejaVu Sans"/>
          <w:kern w:val="2"/>
          <w:szCs w:val="21"/>
          <w:lang w:val="es-ES" w:eastAsia="zh-CN" w:bidi="hi-IN"/>
        </w:rPr>
        <w:t>Hipertensión arterial (HTA): presencia o ausencia, según la historia clínica personal.</w:t>
      </w:r>
    </w:p>
    <w:p w14:paraId="60E97843" w14:textId="77777777" w:rsidR="00A20E49" w:rsidRPr="00A20E49" w:rsidRDefault="00A20E49" w:rsidP="00A20E49">
      <w:pPr>
        <w:numPr>
          <w:ilvl w:val="0"/>
          <w:numId w:val="5"/>
        </w:numPr>
        <w:suppressAutoHyphens/>
        <w:spacing w:line="360" w:lineRule="auto"/>
        <w:contextualSpacing/>
        <w:jc w:val="both"/>
        <w:rPr>
          <w:rFonts w:eastAsia="DejaVu Sans"/>
          <w:kern w:val="2"/>
          <w:szCs w:val="21"/>
          <w:lang w:val="es-ES" w:eastAsia="zh-CN" w:bidi="hi-IN"/>
        </w:rPr>
      </w:pPr>
      <w:r w:rsidRPr="00A20E49">
        <w:rPr>
          <w:rFonts w:eastAsia="DejaVu Sans"/>
          <w:kern w:val="2"/>
          <w:szCs w:val="21"/>
          <w:lang w:val="es-ES" w:eastAsia="zh-CN" w:bidi="hi-IN"/>
        </w:rPr>
        <w:t>Diabetes mellitus tipo 2: presencia o ausencia, según la historia clínica personal</w:t>
      </w:r>
      <w:r w:rsidRPr="00A20E49" w:rsidDel="00B5376D">
        <w:rPr>
          <w:rFonts w:eastAsia="DejaVu Sans"/>
          <w:kern w:val="2"/>
          <w:szCs w:val="21"/>
          <w:lang w:val="es-ES" w:eastAsia="zh-CN" w:bidi="hi-IN"/>
        </w:rPr>
        <w:t xml:space="preserve"> </w:t>
      </w:r>
      <w:r w:rsidRPr="00A20E49">
        <w:rPr>
          <w:rFonts w:eastAsia="DejaVu Sans"/>
          <w:kern w:val="2"/>
          <w:szCs w:val="21"/>
          <w:lang w:val="es-ES" w:eastAsia="zh-CN" w:bidi="hi-IN"/>
        </w:rPr>
        <w:t>.</w:t>
      </w:r>
    </w:p>
    <w:p w14:paraId="77B77A61" w14:textId="77777777" w:rsidR="00A20E49" w:rsidRPr="00A20E49" w:rsidRDefault="00A20E49" w:rsidP="00A20E49">
      <w:pPr>
        <w:numPr>
          <w:ilvl w:val="0"/>
          <w:numId w:val="5"/>
        </w:numPr>
        <w:suppressAutoHyphens/>
        <w:spacing w:line="360" w:lineRule="auto"/>
        <w:contextualSpacing/>
        <w:jc w:val="both"/>
        <w:rPr>
          <w:rFonts w:eastAsia="DejaVu Sans"/>
          <w:kern w:val="2"/>
          <w:szCs w:val="21"/>
          <w:lang w:val="es-ES" w:eastAsia="zh-CN" w:bidi="hi-IN"/>
        </w:rPr>
      </w:pPr>
      <w:r w:rsidRPr="00A20E49">
        <w:rPr>
          <w:rFonts w:eastAsia="DejaVu Sans"/>
          <w:kern w:val="2"/>
          <w:szCs w:val="21"/>
          <w:lang w:val="es-ES" w:eastAsia="zh-CN" w:bidi="hi-IN"/>
        </w:rPr>
        <w:t>Presión arterial sistólica y presión arterial diastólica: cifras de tensión arterial sistólica (PAS) y diastólica (PAD) medidas en el brazo derecho, con esfigmomanómetro aneroide.</w:t>
      </w:r>
      <w:r w:rsidRPr="00A20E49">
        <w:rPr>
          <w:rFonts w:eastAsia="DejaVu Sans"/>
          <w:kern w:val="2"/>
          <w:szCs w:val="21"/>
          <w:vertAlign w:val="superscript"/>
          <w:lang w:val="es-ES" w:eastAsia="zh-CN" w:bidi="hi-IN"/>
        </w:rPr>
        <w:t>(6)</w:t>
      </w:r>
    </w:p>
    <w:p w14:paraId="54DEC57C" w14:textId="77777777" w:rsidR="00A20E49" w:rsidRPr="00A20E49" w:rsidRDefault="00A20E49" w:rsidP="00A20E49">
      <w:pPr>
        <w:numPr>
          <w:ilvl w:val="0"/>
          <w:numId w:val="5"/>
        </w:numPr>
        <w:suppressAutoHyphens/>
        <w:spacing w:line="360" w:lineRule="auto"/>
        <w:contextualSpacing/>
        <w:jc w:val="both"/>
        <w:rPr>
          <w:rFonts w:eastAsia="DejaVu Sans"/>
          <w:kern w:val="2"/>
          <w:szCs w:val="21"/>
          <w:lang w:val="es-ES" w:eastAsia="zh-CN" w:bidi="hi-IN"/>
        </w:rPr>
      </w:pPr>
      <w:r w:rsidRPr="00A20E49">
        <w:rPr>
          <w:rFonts w:eastAsia="DejaVu Sans"/>
          <w:kern w:val="2"/>
          <w:szCs w:val="21"/>
          <w:lang w:val="es-ES" w:eastAsia="zh-CN" w:bidi="hi-IN"/>
        </w:rPr>
        <w:t>Índice de masa corporal (IMC): según los criterios de la Organización Mundial de la Salud.</w:t>
      </w:r>
      <w:r w:rsidRPr="00A20E49">
        <w:rPr>
          <w:rFonts w:eastAsia="DejaVu Sans"/>
          <w:kern w:val="2"/>
          <w:szCs w:val="21"/>
          <w:vertAlign w:val="superscript"/>
          <w:lang w:val="es-ES" w:eastAsia="zh-CN" w:bidi="hi-IN"/>
        </w:rPr>
        <w:t>(6)</w:t>
      </w:r>
    </w:p>
    <w:p w14:paraId="014B15C5" w14:textId="77777777" w:rsidR="00A20E49" w:rsidRPr="00A20E49" w:rsidRDefault="00A20E49" w:rsidP="00A20E49">
      <w:pPr>
        <w:numPr>
          <w:ilvl w:val="0"/>
          <w:numId w:val="5"/>
        </w:numPr>
        <w:suppressAutoHyphens/>
        <w:spacing w:line="360" w:lineRule="auto"/>
        <w:contextualSpacing/>
        <w:jc w:val="both"/>
        <w:rPr>
          <w:rFonts w:eastAsia="DejaVu Sans"/>
          <w:kern w:val="2"/>
          <w:szCs w:val="21"/>
          <w:lang w:val="es-ES" w:eastAsia="zh-CN" w:bidi="hi-IN"/>
        </w:rPr>
      </w:pPr>
      <w:r w:rsidRPr="00A20E49">
        <w:rPr>
          <w:rFonts w:eastAsia="DejaVu Sans"/>
          <w:kern w:val="2"/>
          <w:szCs w:val="21"/>
          <w:lang w:val="es-ES" w:eastAsia="zh-CN" w:bidi="hi-IN"/>
        </w:rPr>
        <w:lastRenderedPageBreak/>
        <w:t>Colesterol: normal &lt; 5,3 mmol/L.</w:t>
      </w:r>
    </w:p>
    <w:p w14:paraId="388ED360" w14:textId="77777777" w:rsidR="00A20E49" w:rsidRPr="00A20E49" w:rsidRDefault="00A20E49" w:rsidP="00A20E49">
      <w:pPr>
        <w:numPr>
          <w:ilvl w:val="0"/>
          <w:numId w:val="5"/>
        </w:numPr>
        <w:suppressAutoHyphens/>
        <w:spacing w:line="360" w:lineRule="auto"/>
        <w:contextualSpacing/>
        <w:jc w:val="both"/>
        <w:rPr>
          <w:rFonts w:eastAsia="DejaVu Sans"/>
          <w:kern w:val="2"/>
          <w:szCs w:val="21"/>
          <w:lang w:val="es-ES" w:eastAsia="zh-CN" w:bidi="hi-IN"/>
        </w:rPr>
      </w:pPr>
      <w:r w:rsidRPr="00A20E49">
        <w:rPr>
          <w:rFonts w:eastAsia="DejaVu Sans"/>
          <w:kern w:val="2"/>
          <w:szCs w:val="21"/>
          <w:lang w:val="es-ES" w:eastAsia="zh-CN" w:bidi="hi-IN"/>
        </w:rPr>
        <w:t>Glicemia: normal &lt; 5,6 mmol/L.</w:t>
      </w:r>
    </w:p>
    <w:p w14:paraId="5A4FD52E" w14:textId="77777777" w:rsidR="00A20E49" w:rsidRPr="00A20E49" w:rsidRDefault="00A20E49" w:rsidP="00A20E49">
      <w:pPr>
        <w:numPr>
          <w:ilvl w:val="0"/>
          <w:numId w:val="5"/>
        </w:numPr>
        <w:suppressAutoHyphens/>
        <w:spacing w:line="360" w:lineRule="auto"/>
        <w:contextualSpacing/>
        <w:jc w:val="both"/>
        <w:rPr>
          <w:rFonts w:eastAsia="DejaVu Sans"/>
          <w:kern w:val="2"/>
          <w:szCs w:val="21"/>
          <w:lang w:val="es-ES" w:eastAsia="zh-CN" w:bidi="hi-IN"/>
        </w:rPr>
      </w:pPr>
      <w:r w:rsidRPr="00A20E49">
        <w:rPr>
          <w:rFonts w:eastAsia="DejaVu Sans"/>
          <w:kern w:val="2"/>
          <w:szCs w:val="21"/>
          <w:lang w:val="es-ES" w:eastAsia="zh-CN" w:bidi="hi-IN"/>
        </w:rPr>
        <w:t>Triglicéridos: normal &lt; 1,7 mmol/L.</w:t>
      </w:r>
    </w:p>
    <w:p w14:paraId="43B219B5" w14:textId="77777777" w:rsidR="00A20E49" w:rsidRPr="00A20E49" w:rsidRDefault="00A20E49" w:rsidP="00A20E49">
      <w:pPr>
        <w:numPr>
          <w:ilvl w:val="0"/>
          <w:numId w:val="5"/>
        </w:numPr>
        <w:suppressAutoHyphens/>
        <w:spacing w:line="360" w:lineRule="auto"/>
        <w:contextualSpacing/>
        <w:jc w:val="both"/>
        <w:rPr>
          <w:rFonts w:eastAsia="DejaVu Sans"/>
          <w:kern w:val="2"/>
          <w:szCs w:val="21"/>
          <w:lang w:val="es-ES" w:eastAsia="zh-CN" w:bidi="hi-IN"/>
        </w:rPr>
      </w:pPr>
      <w:r w:rsidRPr="00A20E49">
        <w:rPr>
          <w:rFonts w:eastAsia="DejaVu Sans"/>
          <w:kern w:val="2"/>
          <w:szCs w:val="21"/>
          <w:lang w:val="es-ES" w:eastAsia="zh-CN" w:bidi="hi-IN"/>
        </w:rPr>
        <w:t>Creatinina: normal, de 47 a 125 µmmol/L.</w:t>
      </w:r>
    </w:p>
    <w:p w14:paraId="2290FFFC" w14:textId="77777777" w:rsidR="00A20E49" w:rsidRPr="00A20E49" w:rsidRDefault="00A20E49" w:rsidP="00A20E49">
      <w:pPr>
        <w:numPr>
          <w:ilvl w:val="0"/>
          <w:numId w:val="5"/>
        </w:numPr>
        <w:suppressAutoHyphens/>
        <w:spacing w:line="360" w:lineRule="auto"/>
        <w:contextualSpacing/>
        <w:jc w:val="both"/>
        <w:rPr>
          <w:rFonts w:eastAsia="DejaVu Sans"/>
          <w:kern w:val="2"/>
          <w:szCs w:val="21"/>
          <w:lang w:val="es-ES" w:eastAsia="zh-CN" w:bidi="hi-IN"/>
        </w:rPr>
      </w:pPr>
      <w:r w:rsidRPr="00A20E49">
        <w:rPr>
          <w:rFonts w:eastAsia="DejaVu Sans"/>
          <w:kern w:val="2"/>
          <w:szCs w:val="21"/>
          <w:lang w:val="es-ES" w:eastAsia="zh-CN" w:bidi="hi-IN"/>
        </w:rPr>
        <w:t>Lipoproteínas de alta densidad (HDL): normal, de 0,9 a 1,45 mmol/L.</w:t>
      </w:r>
    </w:p>
    <w:p w14:paraId="2FB9281C" w14:textId="77777777" w:rsidR="00A20E49" w:rsidRPr="00A20E49" w:rsidRDefault="00A20E49" w:rsidP="00A20E49">
      <w:pPr>
        <w:numPr>
          <w:ilvl w:val="0"/>
          <w:numId w:val="5"/>
        </w:numPr>
        <w:suppressAutoHyphens/>
        <w:spacing w:line="360" w:lineRule="auto"/>
        <w:contextualSpacing/>
        <w:jc w:val="both"/>
        <w:rPr>
          <w:rFonts w:eastAsia="DejaVu Sans"/>
          <w:kern w:val="2"/>
          <w:szCs w:val="21"/>
          <w:lang w:val="es-ES" w:eastAsia="zh-CN" w:bidi="hi-IN"/>
        </w:rPr>
      </w:pPr>
      <w:r w:rsidRPr="00A20E49">
        <w:rPr>
          <w:rFonts w:eastAsia="DejaVu Sans"/>
          <w:kern w:val="2"/>
          <w:szCs w:val="21"/>
          <w:lang w:val="es-ES" w:eastAsia="zh-CN" w:bidi="hi-IN"/>
        </w:rPr>
        <w:t>Urea: normal, de 1,7 a 8,3 mmol/L.</w:t>
      </w:r>
    </w:p>
    <w:p w14:paraId="6D449189" w14:textId="77777777" w:rsidR="00A20E49" w:rsidRPr="00A20E49" w:rsidRDefault="00A20E49" w:rsidP="00A20E49">
      <w:pPr>
        <w:numPr>
          <w:ilvl w:val="0"/>
          <w:numId w:val="5"/>
        </w:numPr>
        <w:suppressAutoHyphens/>
        <w:spacing w:line="360" w:lineRule="auto"/>
        <w:contextualSpacing/>
        <w:jc w:val="both"/>
        <w:rPr>
          <w:rFonts w:eastAsia="DejaVu Sans"/>
          <w:kern w:val="2"/>
          <w:szCs w:val="21"/>
          <w:lang w:val="es-ES" w:eastAsia="zh-CN" w:bidi="hi-IN"/>
        </w:rPr>
      </w:pPr>
      <w:r w:rsidRPr="00A20E49">
        <w:rPr>
          <w:rFonts w:eastAsia="DejaVu Sans"/>
          <w:kern w:val="2"/>
          <w:szCs w:val="21"/>
          <w:lang w:val="es-ES" w:eastAsia="zh-CN" w:bidi="hi-IN"/>
        </w:rPr>
        <w:t>Eritrosedimentación: normal, sexo femenino &lt; 21 mm/h; masculino, &lt; 11 mm/h.</w:t>
      </w:r>
    </w:p>
    <w:p w14:paraId="7A902D07" w14:textId="77777777" w:rsidR="00A20E49" w:rsidRPr="00A20E49" w:rsidRDefault="00A20E49" w:rsidP="00A20E49">
      <w:pPr>
        <w:numPr>
          <w:ilvl w:val="0"/>
          <w:numId w:val="5"/>
        </w:numPr>
        <w:suppressAutoHyphens/>
        <w:spacing w:line="360" w:lineRule="auto"/>
        <w:contextualSpacing/>
        <w:jc w:val="both"/>
        <w:rPr>
          <w:rFonts w:eastAsia="DejaVu Sans"/>
          <w:kern w:val="2"/>
          <w:szCs w:val="21"/>
          <w:lang w:val="es-ES" w:eastAsia="zh-CN" w:bidi="hi-IN"/>
        </w:rPr>
      </w:pPr>
      <w:r w:rsidRPr="00A20E49">
        <w:rPr>
          <w:rFonts w:eastAsia="DejaVu Sans"/>
          <w:kern w:val="2"/>
          <w:szCs w:val="21"/>
          <w:lang w:val="es-ES" w:eastAsia="zh-CN" w:bidi="hi-IN"/>
        </w:rPr>
        <w:t>Conteo leucocitario: normal, de 4,5 a 11,5 x 10</w:t>
      </w:r>
      <w:r w:rsidRPr="00A20E49">
        <w:rPr>
          <w:rFonts w:eastAsia="DejaVu Sans"/>
          <w:kern w:val="2"/>
          <w:szCs w:val="21"/>
          <w:vertAlign w:val="superscript"/>
          <w:lang w:val="es-ES" w:eastAsia="zh-CN" w:bidi="hi-IN"/>
        </w:rPr>
        <w:t>9</w:t>
      </w:r>
      <w:r w:rsidRPr="00A20E49">
        <w:rPr>
          <w:rFonts w:eastAsia="DejaVu Sans"/>
          <w:kern w:val="2"/>
          <w:szCs w:val="21"/>
          <w:lang w:val="es-ES" w:eastAsia="zh-CN" w:bidi="hi-IN"/>
        </w:rPr>
        <w:t>/L.</w:t>
      </w:r>
    </w:p>
    <w:p w14:paraId="081C53EB" w14:textId="77777777" w:rsidR="00A20E49" w:rsidRPr="00A20E49" w:rsidRDefault="00A20E49" w:rsidP="00A20E49">
      <w:pPr>
        <w:suppressAutoHyphens/>
        <w:spacing w:line="360" w:lineRule="auto"/>
        <w:jc w:val="both"/>
        <w:rPr>
          <w:rFonts w:eastAsia="DejaVu Sans"/>
          <w:kern w:val="2"/>
          <w:lang w:val="es-ES" w:eastAsia="zh-CN" w:bidi="hi-IN"/>
        </w:rPr>
      </w:pPr>
    </w:p>
    <w:p w14:paraId="41CC00EA"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S" w:eastAsia="zh-CN" w:bidi="hi-IN"/>
        </w:rPr>
        <w:t xml:space="preserve">El fondo de ojo se hizo con un oftalmoscopio NEITZ, después de la dilatación pupilar con tropicamida, colirio al 0,5 % según el procedimiento estándar, en ambos ojos. Se realizó retinografía para obtener una foto de ambos ojos, centrada en el disco óptico, a un ángulo de 45 ° con una cámara digital Topcon TRC-50EX. Para evitar el sesgo y las diferencias subjetivas, la evaluación de ambos estudios fue realizada por 2 oftalmólogos; </w:t>
      </w:r>
      <w:r w:rsidRPr="00A20E49">
        <w:rPr>
          <w:rFonts w:eastAsia="DejaVu Sans"/>
          <w:kern w:val="2"/>
          <w:lang w:val="es-EC" w:eastAsia="zh-CN" w:bidi="hi-IN"/>
        </w:rPr>
        <w:t xml:space="preserve">se mantuvieron ambos especialistas y en los casos dudosos se realizó una segunda revisión. </w:t>
      </w:r>
      <w:r w:rsidRPr="00A20E49">
        <w:rPr>
          <w:rFonts w:eastAsia="DejaVu Sans"/>
          <w:kern w:val="2"/>
          <w:lang w:val="es-ES" w:eastAsia="zh-CN" w:bidi="hi-IN"/>
        </w:rPr>
        <w:t xml:space="preserve">Se consideró patológico cuando ambos especialistas llegaron a un consenso y se emitió el resultado, según los signos descritos en las clasificaciones: </w:t>
      </w:r>
    </w:p>
    <w:p w14:paraId="4A4BE0BB" w14:textId="77777777" w:rsidR="00A20E49" w:rsidRPr="00A20E49" w:rsidRDefault="00A20E49" w:rsidP="00A20E49">
      <w:pPr>
        <w:suppressAutoHyphens/>
        <w:spacing w:line="360" w:lineRule="auto"/>
        <w:jc w:val="both"/>
        <w:rPr>
          <w:rFonts w:eastAsia="DejaVu Sans"/>
          <w:kern w:val="2"/>
          <w:lang w:val="es-ES" w:eastAsia="zh-CN" w:bidi="hi-IN"/>
        </w:rPr>
      </w:pPr>
    </w:p>
    <w:p w14:paraId="5BF949F6" w14:textId="77777777" w:rsidR="00A20E49" w:rsidRPr="00A20E49" w:rsidRDefault="00A20E49" w:rsidP="00A20E49">
      <w:pPr>
        <w:numPr>
          <w:ilvl w:val="0"/>
          <w:numId w:val="2"/>
        </w:numPr>
        <w:suppressAutoHyphens/>
        <w:spacing w:line="360" w:lineRule="auto"/>
        <w:contextualSpacing/>
        <w:jc w:val="both"/>
        <w:rPr>
          <w:rFonts w:eastAsia="DejaVu Sans"/>
          <w:kern w:val="2"/>
          <w:lang w:val="es-ES" w:eastAsia="zh-CN" w:bidi="hi-IN"/>
        </w:rPr>
      </w:pPr>
      <w:r w:rsidRPr="00A20E49">
        <w:rPr>
          <w:rFonts w:eastAsia="DejaVu Sans"/>
          <w:kern w:val="2"/>
          <w:lang w:val="es-ES" w:eastAsia="zh-CN" w:bidi="hi-IN"/>
        </w:rPr>
        <w:t>Retinopatía hipertensiva de Keith Wagener y Baker:</w:t>
      </w:r>
      <w:r w:rsidRPr="00A20E49">
        <w:rPr>
          <w:rFonts w:eastAsia="DejaVu Sans"/>
          <w:kern w:val="2"/>
          <w:vertAlign w:val="superscript"/>
          <w:lang w:val="es-EC" w:eastAsia="zh-CN" w:bidi="hi-IN"/>
        </w:rPr>
        <w:t xml:space="preserve">(8) </w:t>
      </w:r>
      <w:r w:rsidRPr="00A20E49">
        <w:rPr>
          <w:rFonts w:eastAsia="DejaVu Sans"/>
          <w:kern w:val="2"/>
          <w:lang w:val="es-ES" w:eastAsia="zh-CN" w:bidi="hi-IN"/>
        </w:rPr>
        <w:t>estrechamiento arterial focal o generalizado, compresión venosa en cruce arteria/vena o “signo de Gunn”, cambio en el reflejo de las arterias “en hilo de cobre”, cambio en el reflejo de las arterias “en hilo de plata”, tortuosidades de los vasos venosos, rectificación de cruces arteria-vena, hemorragias en la retina y borramiento de los márgenes de la papila.</w:t>
      </w:r>
    </w:p>
    <w:p w14:paraId="05974F04" w14:textId="77777777" w:rsidR="00A20E49" w:rsidRPr="00A20E49" w:rsidRDefault="00A20E49" w:rsidP="00A20E49">
      <w:pPr>
        <w:numPr>
          <w:ilvl w:val="0"/>
          <w:numId w:val="2"/>
        </w:numPr>
        <w:suppressAutoHyphens/>
        <w:spacing w:line="360" w:lineRule="auto"/>
        <w:contextualSpacing/>
        <w:jc w:val="both"/>
        <w:rPr>
          <w:rFonts w:eastAsia="DejaVu Sans"/>
          <w:kern w:val="2"/>
          <w:lang w:val="es-ES" w:eastAsia="zh-CN" w:bidi="hi-IN"/>
        </w:rPr>
      </w:pPr>
      <w:r w:rsidRPr="00A20E49">
        <w:rPr>
          <w:rFonts w:eastAsia="DejaVu Sans"/>
          <w:kern w:val="2"/>
          <w:lang w:val="es-ES" w:eastAsia="zh-CN" w:bidi="hi-IN"/>
        </w:rPr>
        <w:t xml:space="preserve">Retinopatía diabética, según </w:t>
      </w:r>
      <w:r w:rsidRPr="00A20E49">
        <w:rPr>
          <w:rFonts w:eastAsia="DejaVu Sans"/>
          <w:i/>
          <w:kern w:val="2"/>
          <w:lang w:val="es-ES" w:eastAsia="zh-CN" w:bidi="hi-IN"/>
        </w:rPr>
        <w:t>Early Treatment Diabetic Retinophaty Study</w:t>
      </w:r>
      <w:r w:rsidRPr="00A20E49">
        <w:rPr>
          <w:rFonts w:eastAsia="DejaVu Sans"/>
          <w:iCs/>
          <w:kern w:val="2"/>
          <w:lang w:val="es-ES" w:eastAsia="zh-CN" w:bidi="hi-IN"/>
        </w:rPr>
        <w:t>:</w:t>
      </w:r>
      <w:r w:rsidRPr="00A20E49">
        <w:rPr>
          <w:rFonts w:eastAsia="DejaVu Sans"/>
          <w:kern w:val="2"/>
          <w:vertAlign w:val="superscript"/>
          <w:lang w:val="es-EC" w:eastAsia="zh-CN" w:bidi="hi-IN"/>
        </w:rPr>
        <w:t>(9)</w:t>
      </w:r>
      <w:r w:rsidRPr="00A20E49">
        <w:rPr>
          <w:rFonts w:eastAsia="DejaVu Sans"/>
          <w:kern w:val="2"/>
          <w:lang w:val="es-ES" w:eastAsia="zh-CN" w:bidi="hi-IN"/>
        </w:rPr>
        <w:t xml:space="preserve"> edema macular, oclusión arterial, oclusión venosa, tortuosidad venosa, microaneurismas, microhemorragias, arrosariamiento venoso, anomalías vasculares intrarretineanas y vasos en neoformación.</w:t>
      </w:r>
    </w:p>
    <w:p w14:paraId="18BF0E78" w14:textId="77777777" w:rsidR="00A20E49" w:rsidRPr="00A20E49" w:rsidRDefault="00A20E49" w:rsidP="00A20E49">
      <w:pPr>
        <w:suppressAutoHyphens/>
        <w:spacing w:line="360" w:lineRule="auto"/>
        <w:jc w:val="both"/>
        <w:rPr>
          <w:rFonts w:eastAsia="DejaVu Sans"/>
          <w:kern w:val="2"/>
          <w:lang w:val="es-ES" w:eastAsia="zh-CN" w:bidi="hi-IN"/>
        </w:rPr>
      </w:pPr>
    </w:p>
    <w:p w14:paraId="749AC60A"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S" w:eastAsia="zh-CN" w:bidi="hi-IN"/>
        </w:rPr>
        <w:t xml:space="preserve">El procesamiento estadístico se realizó con el programa Statistica para Windows, versión 10.0. Se realizó un análisis descriptivo de frecuencias, a las variables cualitativas, tanto para el fondo de ojo como la </w:t>
      </w:r>
      <w:r w:rsidRPr="00A20E49">
        <w:rPr>
          <w:rFonts w:eastAsia="DejaVu Sans"/>
          <w:kern w:val="2"/>
          <w:lang w:val="es-ES" w:eastAsia="zh-CN" w:bidi="hi-IN"/>
        </w:rPr>
        <w:lastRenderedPageBreak/>
        <w:t xml:space="preserve">retinografía. Se realizó un análisis de regresión logística bivariado entre la existencia de alteraciones en la retina (variable dependiente) y los factores de riesgo (variables independientes), tanto para el fondo de ojo como para la retinografía. Se trabajó con un intervalo de confianza de un 95 %. </w:t>
      </w:r>
    </w:p>
    <w:p w14:paraId="70AC7387"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S" w:eastAsia="zh-CN" w:bidi="hi-IN"/>
        </w:rPr>
        <w:t>En la ejecución de la investigación se aplicaron las consideraciones éticas que se incluyen en la declaración de Helsinki para las investigaciones en humanos.</w:t>
      </w:r>
      <w:r w:rsidRPr="00A20E49">
        <w:rPr>
          <w:rFonts w:eastAsia="DejaVu Sans"/>
          <w:kern w:val="2"/>
          <w:vertAlign w:val="superscript"/>
          <w:lang w:val="es-ES" w:eastAsia="zh-CN" w:bidi="hi-IN"/>
        </w:rPr>
        <w:t>(10)</w:t>
      </w:r>
      <w:r w:rsidRPr="00A20E49">
        <w:rPr>
          <w:rFonts w:eastAsia="DejaVu Sans"/>
          <w:kern w:val="2"/>
          <w:lang w:val="es-ES" w:eastAsia="zh-CN" w:bidi="hi-IN"/>
        </w:rPr>
        <w:t xml:space="preserve"> </w:t>
      </w:r>
      <w:r w:rsidRPr="00A20E49">
        <w:rPr>
          <w:rFonts w:eastAsia="DejaVu Sans"/>
          <w:kern w:val="2"/>
          <w:lang w:val="es-HN" w:eastAsia="zh-CN" w:bidi="hi-IN"/>
        </w:rPr>
        <w:t>Se obtuvo el consentimiento informado de los sujetos.</w:t>
      </w:r>
    </w:p>
    <w:p w14:paraId="22D8F2AA" w14:textId="77777777" w:rsidR="00A20E49" w:rsidRPr="00A20E49" w:rsidRDefault="00A20E49" w:rsidP="00A20E49">
      <w:pPr>
        <w:suppressAutoHyphens/>
        <w:spacing w:line="360" w:lineRule="auto"/>
        <w:jc w:val="both"/>
        <w:rPr>
          <w:rFonts w:eastAsia="DejaVu Sans"/>
          <w:kern w:val="2"/>
          <w:lang w:val="es-ES" w:eastAsia="zh-CN" w:bidi="hi-IN"/>
        </w:rPr>
      </w:pPr>
    </w:p>
    <w:p w14:paraId="77E21788" w14:textId="77777777" w:rsidR="00A20E49" w:rsidRPr="00A20E49" w:rsidRDefault="00A20E49" w:rsidP="00A20E49">
      <w:pPr>
        <w:suppressAutoHyphens/>
        <w:spacing w:line="360" w:lineRule="auto"/>
        <w:jc w:val="both"/>
        <w:rPr>
          <w:rFonts w:eastAsia="DejaVu Sans"/>
          <w:b/>
          <w:kern w:val="2"/>
          <w:lang w:val="es-ES" w:eastAsia="zh-CN" w:bidi="hi-IN"/>
        </w:rPr>
      </w:pPr>
    </w:p>
    <w:p w14:paraId="37ADA9F4" w14:textId="77777777" w:rsidR="00A20E49" w:rsidRPr="00A20E49" w:rsidRDefault="00A20E49" w:rsidP="00A20E49">
      <w:pPr>
        <w:suppressAutoHyphens/>
        <w:spacing w:line="360" w:lineRule="auto"/>
        <w:jc w:val="center"/>
        <w:rPr>
          <w:rFonts w:eastAsia="DejaVu Sans"/>
          <w:kern w:val="2"/>
          <w:sz w:val="32"/>
          <w:szCs w:val="32"/>
          <w:lang w:val="es-ES" w:eastAsia="zh-CN" w:bidi="hi-IN"/>
        </w:rPr>
      </w:pPr>
      <w:r w:rsidRPr="00A20E49">
        <w:rPr>
          <w:rFonts w:eastAsia="DejaVu Sans"/>
          <w:b/>
          <w:kern w:val="2"/>
          <w:sz w:val="32"/>
          <w:szCs w:val="32"/>
          <w:lang w:val="es-ES" w:eastAsia="zh-CN" w:bidi="hi-IN"/>
        </w:rPr>
        <w:t>RESULTADOS</w:t>
      </w:r>
    </w:p>
    <w:p w14:paraId="1C5DBEB3"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S" w:eastAsia="zh-CN" w:bidi="hi-IN"/>
        </w:rPr>
        <w:t>El 65,45 % de los sujetos (tabla 1) presentó alteraciones en el fondo de ojo dilatado. Los signos más frecuentes fueron: el aumento del brillo arteriolar (53,03 %) y la disminución del calibre arteriolar generalizado (52,24 %).  La retinografía mostró daño en el 58,18 % de los casos. Las alteraciones más frecuentes fueron, la rectificación de los cruces arteriovenosos (65,71 %), la tortuosidad venosa (28,21 %) y los cruces arteriovenosos con aplastamiento (85,71 %).</w:t>
      </w:r>
    </w:p>
    <w:p w14:paraId="53699053" w14:textId="77777777" w:rsidR="00A20E49" w:rsidRPr="00A20E49" w:rsidRDefault="00A20E49" w:rsidP="00A20E49">
      <w:pPr>
        <w:suppressAutoHyphens/>
        <w:spacing w:line="360" w:lineRule="auto"/>
        <w:jc w:val="both"/>
        <w:rPr>
          <w:rFonts w:eastAsia="DejaVu Sans"/>
          <w:kern w:val="2"/>
          <w:lang w:val="es-ES" w:eastAsia="zh-CN" w:bidi="hi-IN"/>
        </w:rPr>
      </w:pPr>
    </w:p>
    <w:p w14:paraId="13D29BF1" w14:textId="77777777" w:rsidR="00A20E49" w:rsidRPr="00A20E49" w:rsidRDefault="00A20E49" w:rsidP="00A20E49">
      <w:pPr>
        <w:suppressAutoHyphens/>
        <w:spacing w:line="360" w:lineRule="auto"/>
        <w:jc w:val="center"/>
        <w:rPr>
          <w:rFonts w:eastAsia="DejaVu Sans"/>
          <w:kern w:val="2"/>
          <w:sz w:val="22"/>
          <w:szCs w:val="22"/>
          <w:lang w:val="es-ES" w:eastAsia="zh-CN" w:bidi="hi-IN"/>
        </w:rPr>
      </w:pPr>
      <w:r w:rsidRPr="00A20E49">
        <w:rPr>
          <w:rFonts w:eastAsia="DejaVu Sans"/>
          <w:b/>
          <w:kern w:val="2"/>
          <w:sz w:val="22"/>
          <w:szCs w:val="22"/>
          <w:lang w:val="es-ES" w:eastAsia="zh-CN" w:bidi="hi-IN"/>
        </w:rPr>
        <w:t>Tabla 1 -</w:t>
      </w:r>
      <w:r w:rsidRPr="00A20E49">
        <w:rPr>
          <w:rFonts w:eastAsia="DejaVu Sans"/>
          <w:kern w:val="2"/>
          <w:sz w:val="22"/>
          <w:szCs w:val="22"/>
          <w:lang w:val="es-ES" w:eastAsia="zh-CN" w:bidi="hi-IN"/>
        </w:rPr>
        <w:t xml:space="preserve"> Distribución de las alteraciones vasculares en el fondo de ojo y en la retinografía</w:t>
      </w:r>
    </w:p>
    <w:p w14:paraId="118BBB04" w14:textId="33EACD0B" w:rsidR="00A20E49" w:rsidRDefault="00CD5CD4" w:rsidP="00A20E49">
      <w:pPr>
        <w:suppressAutoHyphens/>
        <w:spacing w:line="360" w:lineRule="auto"/>
        <w:jc w:val="center"/>
        <w:rPr>
          <w:rFonts w:eastAsia="DejaVu Sans"/>
          <w:kern w:val="2"/>
          <w:lang w:val="es-ES" w:eastAsia="zh-CN" w:bidi="hi-IN"/>
        </w:rPr>
      </w:pPr>
      <w:r w:rsidRPr="00F60B32">
        <w:rPr>
          <w:noProof/>
          <w:lang w:eastAsia="es-ES"/>
        </w:rPr>
        <w:drawing>
          <wp:inline distT="0" distB="0" distL="0" distR="0" wp14:anchorId="743E1663" wp14:editId="0CEDDBAA">
            <wp:extent cx="5448300" cy="1895475"/>
            <wp:effectExtent l="0" t="0" r="0" b="9525"/>
            <wp:docPr id="5" name="Imagen 5" descr="G:\hoy\10133\t01_1013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hoy\10133\t01_10133.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48300" cy="1895475"/>
                    </a:xfrm>
                    <a:prstGeom prst="rect">
                      <a:avLst/>
                    </a:prstGeom>
                    <a:noFill/>
                    <a:ln>
                      <a:noFill/>
                    </a:ln>
                  </pic:spPr>
                </pic:pic>
              </a:graphicData>
            </a:graphic>
          </wp:inline>
        </w:drawing>
      </w:r>
    </w:p>
    <w:p w14:paraId="51C8E700" w14:textId="77777777" w:rsidR="00CD5CD4" w:rsidRPr="00A20E49" w:rsidRDefault="00CD5CD4" w:rsidP="00A20E49">
      <w:pPr>
        <w:suppressAutoHyphens/>
        <w:spacing w:line="360" w:lineRule="auto"/>
        <w:jc w:val="center"/>
        <w:rPr>
          <w:rFonts w:eastAsia="DejaVu Sans"/>
          <w:kern w:val="2"/>
          <w:lang w:val="es-ES" w:eastAsia="zh-CN" w:bidi="hi-IN"/>
        </w:rPr>
      </w:pPr>
    </w:p>
    <w:p w14:paraId="389231D0"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S" w:eastAsia="zh-CN" w:bidi="hi-IN"/>
        </w:rPr>
        <w:t xml:space="preserve">El análisis de regresión logística binomial (tabla 2) para la predicción del daño vascular, evidenció que en el fondo de ojo, el aumento de los valores séricos de colesterol (p= 0,003) y las cifras de PAS (p= </w:t>
      </w:r>
      <w:r w:rsidRPr="00A20E49">
        <w:rPr>
          <w:rFonts w:eastAsia="DejaVu Sans"/>
          <w:kern w:val="2"/>
          <w:lang w:val="es-ES" w:eastAsia="zh-CN" w:bidi="hi-IN"/>
        </w:rPr>
        <w:lastRenderedPageBreak/>
        <w:t xml:space="preserve">0,037) se asociaron con la presencia de daño vascular. La retinografía mostró similar resultado, con el incremento del colesterol (p= 0,038) y el antecedente de HTA (p= 0,023). </w:t>
      </w:r>
    </w:p>
    <w:p w14:paraId="5B8DDC97" w14:textId="77777777" w:rsidR="00A20E49" w:rsidRPr="00A20E49" w:rsidRDefault="00A20E49" w:rsidP="00A20E49">
      <w:pPr>
        <w:suppressAutoHyphens/>
        <w:spacing w:line="360" w:lineRule="auto"/>
        <w:jc w:val="both"/>
        <w:rPr>
          <w:rFonts w:eastAsia="DejaVu Sans"/>
          <w:b/>
          <w:kern w:val="2"/>
          <w:lang w:val="es-ES" w:eastAsia="zh-CN" w:bidi="hi-IN"/>
        </w:rPr>
      </w:pPr>
    </w:p>
    <w:p w14:paraId="6C547980" w14:textId="77777777" w:rsidR="00A20E49" w:rsidRPr="00A20E49" w:rsidRDefault="00A20E49" w:rsidP="00A20E49">
      <w:pPr>
        <w:spacing w:line="360" w:lineRule="auto"/>
        <w:jc w:val="center"/>
        <w:rPr>
          <w:rFonts w:eastAsia="DejaVu Sans"/>
          <w:kern w:val="2"/>
          <w:sz w:val="22"/>
          <w:szCs w:val="22"/>
          <w:lang w:val="es-ES" w:eastAsia="zh-CN" w:bidi="hi-IN"/>
        </w:rPr>
      </w:pPr>
      <w:r w:rsidRPr="00A20E49">
        <w:rPr>
          <w:rFonts w:eastAsia="DejaVu Sans"/>
          <w:b/>
          <w:kern w:val="2"/>
          <w:sz w:val="22"/>
          <w:szCs w:val="22"/>
          <w:lang w:val="es-ES" w:eastAsia="zh-CN" w:bidi="hi-IN"/>
        </w:rPr>
        <w:t xml:space="preserve">Tabla 2 - </w:t>
      </w:r>
      <w:r w:rsidRPr="00A20E49">
        <w:rPr>
          <w:rFonts w:eastAsia="DejaVu Sans"/>
          <w:kern w:val="2"/>
          <w:sz w:val="22"/>
          <w:szCs w:val="22"/>
          <w:lang w:val="es-ES" w:eastAsia="zh-CN" w:bidi="hi-IN"/>
        </w:rPr>
        <w:t>Asociación de las alteraciones vasculares de retina con los factores de riesgo aterogénicos</w:t>
      </w:r>
    </w:p>
    <w:p w14:paraId="66B8CB17" w14:textId="18DCC6F9" w:rsidR="00CD5CD4" w:rsidRDefault="00CD5CD4" w:rsidP="00A20E49">
      <w:pPr>
        <w:suppressAutoHyphens/>
        <w:spacing w:line="360" w:lineRule="auto"/>
        <w:jc w:val="center"/>
        <w:rPr>
          <w:rFonts w:eastAsia="DejaVu Sans"/>
          <w:kern w:val="2"/>
          <w:sz w:val="16"/>
          <w:szCs w:val="16"/>
          <w:lang w:val="es-EC" w:eastAsia="zh-CN" w:bidi="hi-IN"/>
        </w:rPr>
      </w:pPr>
      <w:r w:rsidRPr="00226461">
        <w:rPr>
          <w:noProof/>
          <w:lang w:eastAsia="es-ES"/>
        </w:rPr>
        <w:drawing>
          <wp:inline distT="0" distB="0" distL="0" distR="0" wp14:anchorId="68C9F24E" wp14:editId="26618EDA">
            <wp:extent cx="5486400" cy="3733800"/>
            <wp:effectExtent l="0" t="0" r="0" b="0"/>
            <wp:docPr id="3" name="Imagen 3" descr="G:\hoy\10133\t02_1013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hoy\10133\t02_10133.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733800"/>
                    </a:xfrm>
                    <a:prstGeom prst="rect">
                      <a:avLst/>
                    </a:prstGeom>
                    <a:noFill/>
                    <a:ln>
                      <a:noFill/>
                    </a:ln>
                  </pic:spPr>
                </pic:pic>
              </a:graphicData>
            </a:graphic>
          </wp:inline>
        </w:drawing>
      </w:r>
    </w:p>
    <w:p w14:paraId="5667F591" w14:textId="7F2FC580" w:rsidR="00A20E49" w:rsidRPr="00A20E49" w:rsidRDefault="00A20E49" w:rsidP="00A20E49">
      <w:pPr>
        <w:suppressAutoHyphens/>
        <w:spacing w:line="360" w:lineRule="auto"/>
        <w:jc w:val="center"/>
        <w:rPr>
          <w:rFonts w:eastAsia="DejaVu Sans"/>
          <w:kern w:val="2"/>
          <w:sz w:val="16"/>
          <w:szCs w:val="16"/>
          <w:lang w:val="es-ES" w:eastAsia="zh-CN" w:bidi="hi-IN"/>
        </w:rPr>
      </w:pPr>
      <w:r w:rsidRPr="00A20E49">
        <w:rPr>
          <w:rFonts w:eastAsia="DejaVu Sans"/>
          <w:kern w:val="2"/>
          <w:sz w:val="16"/>
          <w:szCs w:val="16"/>
          <w:lang w:val="es-EC" w:eastAsia="zh-CN" w:bidi="hi-IN"/>
        </w:rPr>
        <w:t xml:space="preserve">Leyenda: </w:t>
      </w:r>
      <w:r w:rsidRPr="00A20E49">
        <w:rPr>
          <w:rFonts w:eastAsia="DejaVu Sans"/>
          <w:i/>
          <w:kern w:val="2"/>
          <w:sz w:val="16"/>
          <w:szCs w:val="16"/>
          <w:lang w:val="es-ES" w:eastAsia="zh-CN" w:bidi="hi-IN"/>
        </w:rPr>
        <w:t>p</w:t>
      </w:r>
      <w:r w:rsidRPr="00A20E49">
        <w:rPr>
          <w:rFonts w:eastAsia="DejaVu Sans"/>
          <w:kern w:val="2"/>
          <w:sz w:val="16"/>
          <w:szCs w:val="16"/>
          <w:lang w:val="es-ES" w:eastAsia="zh-CN" w:bidi="hi-IN"/>
        </w:rPr>
        <w:t xml:space="preserve">= significación estadística; Eritro= eritrosedimentación; </w:t>
      </w:r>
      <w:r w:rsidRPr="00A20E49">
        <w:rPr>
          <w:rFonts w:eastAsia="DejaVu Sans"/>
          <w:kern w:val="2"/>
          <w:sz w:val="16"/>
          <w:szCs w:val="16"/>
          <w:lang w:val="es-EC" w:eastAsia="zh-CN" w:bidi="hi-IN"/>
        </w:rPr>
        <w:t>TAG= triglicéridos; PAD= presión arterial diastólica; PAS= presión arterial sistólica; IMC= índice de masa corporal; DM= diabetes mellitus tipo 2; X</w:t>
      </w:r>
      <w:r w:rsidRPr="00A20E49">
        <w:rPr>
          <w:rFonts w:eastAsia="DejaVu Sans"/>
          <w:kern w:val="2"/>
          <w:sz w:val="16"/>
          <w:szCs w:val="16"/>
          <w:vertAlign w:val="superscript"/>
          <w:lang w:val="es-ES" w:eastAsia="zh-CN" w:bidi="hi-IN"/>
        </w:rPr>
        <w:t>2</w:t>
      </w:r>
      <w:r w:rsidRPr="00A20E49">
        <w:rPr>
          <w:rFonts w:eastAsia="DejaVu Sans"/>
          <w:kern w:val="2"/>
          <w:sz w:val="16"/>
          <w:szCs w:val="16"/>
          <w:lang w:val="es-EC" w:eastAsia="zh-CN" w:bidi="hi-IN"/>
        </w:rPr>
        <w:t xml:space="preserve">= estadígrafo </w:t>
      </w:r>
      <w:r w:rsidRPr="00A20E49">
        <w:rPr>
          <w:rFonts w:eastAsia="DejaVu Sans"/>
          <w:i/>
          <w:iCs/>
          <w:kern w:val="2"/>
          <w:sz w:val="16"/>
          <w:szCs w:val="16"/>
          <w:lang w:val="es-EC" w:eastAsia="zh-CN" w:bidi="hi-IN"/>
        </w:rPr>
        <w:t>ji</w:t>
      </w:r>
      <w:r w:rsidRPr="00A20E49">
        <w:rPr>
          <w:rFonts w:eastAsia="DejaVu Sans"/>
          <w:kern w:val="2"/>
          <w:sz w:val="16"/>
          <w:szCs w:val="16"/>
          <w:lang w:val="es-EC" w:eastAsia="zh-CN" w:bidi="hi-IN"/>
        </w:rPr>
        <w:t xml:space="preserve"> cuadrado; HDL= </w:t>
      </w:r>
      <w:r w:rsidRPr="00A20E49">
        <w:rPr>
          <w:rFonts w:eastAsia="DejaVu Sans"/>
          <w:kern w:val="2"/>
          <w:sz w:val="16"/>
          <w:szCs w:val="16"/>
          <w:lang w:val="es-ES" w:eastAsia="zh-CN" w:bidi="hi-IN"/>
        </w:rPr>
        <w:t>lipoproteína de alta densidad; HTA</w:t>
      </w:r>
      <w:r w:rsidRPr="00A20E49">
        <w:rPr>
          <w:rFonts w:eastAsia="DejaVu Sans"/>
          <w:kern w:val="2"/>
          <w:sz w:val="16"/>
          <w:szCs w:val="16"/>
          <w:lang w:val="es-EC" w:eastAsia="zh-CN" w:bidi="hi-IN"/>
        </w:rPr>
        <w:t>= hipertensión arterial.</w:t>
      </w:r>
    </w:p>
    <w:p w14:paraId="6D44A399" w14:textId="77777777" w:rsidR="00A20E49" w:rsidRPr="00A20E49" w:rsidRDefault="00A20E49" w:rsidP="00A20E49">
      <w:pPr>
        <w:keepNext/>
        <w:tabs>
          <w:tab w:val="right" w:pos="8640"/>
        </w:tabs>
        <w:suppressAutoHyphens/>
        <w:spacing w:line="360" w:lineRule="auto"/>
        <w:jc w:val="center"/>
        <w:rPr>
          <w:rFonts w:eastAsia="MS Mincho"/>
          <w:b/>
          <w:spacing w:val="-2"/>
          <w:sz w:val="16"/>
          <w:szCs w:val="16"/>
          <w:lang w:val="es-ES" w:eastAsia="zh-CN"/>
        </w:rPr>
      </w:pPr>
    </w:p>
    <w:p w14:paraId="7D45224F" w14:textId="62D53C6D" w:rsidR="00A20E49" w:rsidRPr="00A20E49" w:rsidRDefault="00A20E49" w:rsidP="00A20E49">
      <w:pPr>
        <w:keepNext/>
        <w:tabs>
          <w:tab w:val="right" w:pos="8640"/>
        </w:tabs>
        <w:suppressAutoHyphens/>
        <w:spacing w:line="360" w:lineRule="auto"/>
        <w:jc w:val="center"/>
        <w:rPr>
          <w:rFonts w:eastAsia="MS Mincho"/>
          <w:b/>
          <w:spacing w:val="-2"/>
          <w:lang w:val="es-ES" w:eastAsia="zh-CN"/>
        </w:rPr>
      </w:pPr>
    </w:p>
    <w:p w14:paraId="6042291B" w14:textId="77777777" w:rsidR="00A20E49" w:rsidRPr="00A20E49" w:rsidRDefault="00A20E49" w:rsidP="00A20E49">
      <w:pPr>
        <w:keepNext/>
        <w:tabs>
          <w:tab w:val="right" w:pos="8640"/>
        </w:tabs>
        <w:suppressAutoHyphens/>
        <w:spacing w:line="360" w:lineRule="auto"/>
        <w:jc w:val="center"/>
        <w:rPr>
          <w:rFonts w:eastAsia="MS Mincho"/>
          <w:b/>
          <w:spacing w:val="-2"/>
          <w:sz w:val="32"/>
          <w:szCs w:val="32"/>
          <w:lang w:val="es-ES" w:eastAsia="zh-CN"/>
        </w:rPr>
      </w:pPr>
      <w:r w:rsidRPr="00A20E49">
        <w:rPr>
          <w:rFonts w:eastAsia="MS Mincho"/>
          <w:b/>
          <w:spacing w:val="-2"/>
          <w:sz w:val="32"/>
          <w:szCs w:val="32"/>
          <w:lang w:val="es-ES" w:eastAsia="zh-CN"/>
        </w:rPr>
        <w:t>DISCUSIÓN</w:t>
      </w:r>
    </w:p>
    <w:p w14:paraId="652FED1D"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C" w:eastAsia="zh-CN" w:bidi="hi-IN"/>
        </w:rPr>
        <w:t xml:space="preserve">Algunos estudios poblacionales, como el </w:t>
      </w:r>
      <w:r w:rsidRPr="00A20E49">
        <w:rPr>
          <w:rFonts w:eastAsia="DejaVu Sans"/>
          <w:i/>
          <w:iCs/>
          <w:kern w:val="2"/>
          <w:lang w:val="es-EC" w:eastAsia="zh-CN" w:bidi="hi-IN"/>
        </w:rPr>
        <w:t>Atherosclerosis Risk In Communities</w:t>
      </w:r>
      <w:r w:rsidRPr="00A20E49">
        <w:rPr>
          <w:rFonts w:eastAsia="DejaVu Sans"/>
          <w:iCs/>
          <w:kern w:val="2"/>
          <w:vertAlign w:val="superscript"/>
          <w:lang w:val="es-EC" w:eastAsia="zh-CN" w:bidi="hi-IN"/>
        </w:rPr>
        <w:t>(11)</w:t>
      </w:r>
      <w:r w:rsidRPr="00A20E49">
        <w:rPr>
          <w:rFonts w:eastAsia="DejaVu Sans"/>
          <w:i/>
          <w:kern w:val="2"/>
          <w:lang w:val="es-EC" w:eastAsia="zh-CN" w:bidi="hi-IN"/>
        </w:rPr>
        <w:t xml:space="preserve"> </w:t>
      </w:r>
      <w:r w:rsidRPr="00A20E49">
        <w:rPr>
          <w:rFonts w:eastAsia="DejaVu Sans"/>
          <w:kern w:val="2"/>
          <w:lang w:val="es-EC" w:eastAsia="zh-CN" w:bidi="hi-IN"/>
        </w:rPr>
        <w:t xml:space="preserve">y el </w:t>
      </w:r>
      <w:r w:rsidRPr="00A20E49">
        <w:rPr>
          <w:rFonts w:eastAsia="DejaVu Sans"/>
          <w:i/>
          <w:kern w:val="2"/>
          <w:lang w:val="es-EC" w:eastAsia="zh-CN" w:bidi="hi-IN"/>
        </w:rPr>
        <w:t>Lipid Research Clinic’s Coronary Primary Prevention Trial</w:t>
      </w:r>
      <w:r w:rsidRPr="00A20E49">
        <w:rPr>
          <w:rFonts w:eastAsia="DejaVu Sans"/>
          <w:iCs/>
          <w:kern w:val="2"/>
          <w:lang w:val="es-EC" w:eastAsia="zh-CN" w:bidi="hi-IN"/>
        </w:rPr>
        <w:t>,</w:t>
      </w:r>
      <w:r w:rsidRPr="00A20E49">
        <w:rPr>
          <w:rFonts w:eastAsia="DejaVu Sans"/>
          <w:iCs/>
          <w:kern w:val="2"/>
          <w:vertAlign w:val="superscript"/>
          <w:lang w:val="es-EC" w:eastAsia="zh-CN" w:bidi="hi-IN"/>
        </w:rPr>
        <w:t>(12)</w:t>
      </w:r>
      <w:r w:rsidRPr="00A20E49">
        <w:rPr>
          <w:rFonts w:eastAsia="DejaVu Sans"/>
          <w:iCs/>
          <w:kern w:val="2"/>
          <w:lang w:val="es-EC" w:eastAsia="zh-CN" w:bidi="hi-IN"/>
        </w:rPr>
        <w:t xml:space="preserve"> </w:t>
      </w:r>
      <w:r w:rsidRPr="00A20E49">
        <w:rPr>
          <w:rFonts w:eastAsia="DejaVu Sans"/>
          <w:kern w:val="2"/>
          <w:lang w:val="es-EC" w:eastAsia="zh-CN" w:bidi="hi-IN"/>
        </w:rPr>
        <w:t>evidencian que existe correlación entre las alteraciones retinianas y el riesgo de enfermedad cerebrovascular y cardiovascular. Las guías del 2013 de la Sociedad Europea de Hipertensión y Sociedad Europea de Cardiología,</w:t>
      </w:r>
      <w:r w:rsidRPr="00A20E49">
        <w:rPr>
          <w:rFonts w:eastAsia="DejaVu Sans"/>
          <w:kern w:val="2"/>
          <w:vertAlign w:val="superscript"/>
          <w:lang w:val="es-EC" w:eastAsia="zh-CN" w:bidi="hi-IN"/>
        </w:rPr>
        <w:t>(13)</w:t>
      </w:r>
      <w:r w:rsidRPr="00A20E49">
        <w:rPr>
          <w:rFonts w:eastAsia="DejaVu Sans"/>
          <w:kern w:val="2"/>
          <w:lang w:val="es-EC" w:eastAsia="zh-CN" w:bidi="hi-IN"/>
        </w:rPr>
        <w:t xml:space="preserve"> también mencionan que uno de los </w:t>
      </w:r>
      <w:r w:rsidRPr="00A20E49">
        <w:rPr>
          <w:rFonts w:eastAsia="DejaVu Sans"/>
          <w:kern w:val="2"/>
          <w:lang w:val="es-EC" w:eastAsia="zh-CN" w:bidi="hi-IN"/>
        </w:rPr>
        <w:lastRenderedPageBreak/>
        <w:t>factores que influye sobre el riesgo cardiovascular, en pacientes hipertensos, es la presencia de daño a órganos diana.</w:t>
      </w:r>
    </w:p>
    <w:p w14:paraId="7AA8587C"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C" w:eastAsia="zh-CN" w:bidi="hi-IN"/>
        </w:rPr>
        <w:t>En otros estudios</w:t>
      </w:r>
      <w:r w:rsidRPr="00A20E49">
        <w:rPr>
          <w:rFonts w:eastAsia="DejaVu Sans"/>
          <w:kern w:val="2"/>
          <w:vertAlign w:val="superscript"/>
          <w:lang w:val="es-EC" w:eastAsia="zh-CN" w:bidi="hi-IN"/>
        </w:rPr>
        <w:t xml:space="preserve">(14,15) </w:t>
      </w:r>
      <w:r w:rsidRPr="00A20E49">
        <w:rPr>
          <w:rFonts w:eastAsia="DejaVu Sans"/>
          <w:kern w:val="2"/>
          <w:lang w:val="es-EC" w:eastAsia="zh-CN" w:bidi="hi-IN"/>
        </w:rPr>
        <w:t>se reporta que el estrechamiento arteriolar (7 %) y los cruces arteriovenosos (10 %) son los signos que más se identifican a través del fondo de ojo; frecuente en los hipertensos, mientras que las hemorragias, los microaneurismas y los exudados están más asociados con los cambios bruscos de la tensión arterial. Por tanto, se consideran como indicadores de la presencia de hipertensión arterial. No obstante, estos signos pueden ser evidentes incluso en sujetos asintomáticos o en aquellos con un diagnóstico reciente de la enfermedad hipertensiva sin tratamiento.</w:t>
      </w:r>
    </w:p>
    <w:p w14:paraId="27577CEB"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i/>
          <w:kern w:val="2"/>
          <w:lang w:val="es-ES" w:eastAsia="zh-CN" w:bidi="hi-IN"/>
        </w:rPr>
        <w:t>Triantafyllou</w:t>
      </w:r>
      <w:r w:rsidRPr="00A20E49">
        <w:rPr>
          <w:rFonts w:eastAsia="DejaVu Sans"/>
          <w:kern w:val="2"/>
          <w:lang w:val="es-ES" w:eastAsia="zh-CN" w:bidi="hi-IN"/>
        </w:rPr>
        <w:t xml:space="preserve"> y otros</w:t>
      </w:r>
      <w:r w:rsidRPr="00A20E49">
        <w:rPr>
          <w:rFonts w:eastAsia="DejaVu Sans"/>
          <w:iCs/>
          <w:kern w:val="2"/>
          <w:vertAlign w:val="superscript"/>
          <w:lang w:val="es-EC" w:eastAsia="zh-CN" w:bidi="hi-IN"/>
        </w:rPr>
        <w:t>(16)</w:t>
      </w:r>
      <w:r w:rsidRPr="00A20E49">
        <w:rPr>
          <w:rFonts w:eastAsia="DejaVu Sans"/>
          <w:kern w:val="2"/>
          <w:lang w:val="es-EC" w:eastAsia="zh-CN" w:bidi="hi-IN"/>
        </w:rPr>
        <w:t xml:space="preserve"> estudiaron 66 pacientes con diagnóstico reciente de HTA y 37 controles normotensos; encont</w:t>
      </w:r>
      <w:bookmarkStart w:id="0" w:name="__DdeLink__4425_1544006157"/>
      <w:bookmarkEnd w:id="0"/>
      <w:r w:rsidRPr="00A20E49">
        <w:rPr>
          <w:rFonts w:eastAsia="DejaVu Sans"/>
          <w:kern w:val="2"/>
          <w:lang w:val="es-EC" w:eastAsia="zh-CN" w:bidi="hi-IN"/>
        </w:rPr>
        <w:t xml:space="preserve">ró, que incluso en los estadios más tempranos de la enfermedad (de un año o menos de diagnóstico), la mayoría de los pacientes hipertensos (72,7 %) ya presentaba una o más formas de daño microvascular. </w:t>
      </w:r>
      <w:r w:rsidRPr="00A20E49">
        <w:rPr>
          <w:rFonts w:eastAsia="DejaVu Sans"/>
          <w:i/>
          <w:kern w:val="2"/>
          <w:lang w:val="es-EC" w:eastAsia="zh-CN" w:bidi="hi-IN"/>
        </w:rPr>
        <w:t xml:space="preserve">Alvarado </w:t>
      </w:r>
      <w:r w:rsidRPr="00A20E49">
        <w:rPr>
          <w:rFonts w:eastAsia="DejaVu Sans"/>
          <w:iCs/>
          <w:kern w:val="2"/>
          <w:lang w:val="es-EC" w:eastAsia="zh-CN" w:bidi="hi-IN"/>
        </w:rPr>
        <w:t>y otros</w:t>
      </w:r>
      <w:r w:rsidRPr="00A20E49">
        <w:rPr>
          <w:rFonts w:eastAsia="DejaVu Sans"/>
          <w:iCs/>
          <w:kern w:val="2"/>
          <w:vertAlign w:val="superscript"/>
          <w:lang w:val="es-EC" w:eastAsia="zh-CN" w:bidi="hi-IN"/>
        </w:rPr>
        <w:t>(17)</w:t>
      </w:r>
      <w:r w:rsidRPr="00A20E49">
        <w:rPr>
          <w:rFonts w:eastAsia="DejaVu Sans"/>
          <w:kern w:val="2"/>
          <w:lang w:val="es-EC" w:eastAsia="zh-CN" w:bidi="hi-IN"/>
        </w:rPr>
        <w:t xml:space="preserve"> estudiaron 60 pacientes hipertensos y diabéticos tipo 2; solo aproximadamente la mitad de los casos (28,5 %) presentó retinopatía hipertensiva. </w:t>
      </w:r>
      <w:r w:rsidRPr="00A20E49">
        <w:rPr>
          <w:rFonts w:eastAsia="DejaVu Sans"/>
          <w:i/>
          <w:kern w:val="2"/>
          <w:lang w:val="es-EC" w:eastAsia="zh-CN" w:bidi="hi-IN"/>
        </w:rPr>
        <w:t>Dorta</w:t>
      </w:r>
      <w:r w:rsidRPr="00A20E49">
        <w:rPr>
          <w:rFonts w:eastAsia="DejaVu Sans"/>
          <w:iCs/>
          <w:kern w:val="2"/>
          <w:lang w:val="es-EC" w:eastAsia="zh-CN" w:bidi="hi-IN"/>
        </w:rPr>
        <w:t xml:space="preserve"> y otros</w:t>
      </w:r>
      <w:r w:rsidRPr="00A20E49">
        <w:rPr>
          <w:rFonts w:eastAsia="DejaVu Sans"/>
          <w:iCs/>
          <w:kern w:val="2"/>
          <w:vertAlign w:val="superscript"/>
          <w:lang w:val="es-EC" w:eastAsia="zh-CN" w:bidi="hi-IN"/>
        </w:rPr>
        <w:t>(18)</w:t>
      </w:r>
      <w:r w:rsidRPr="00A20E49">
        <w:rPr>
          <w:rFonts w:eastAsia="DejaVu Sans"/>
          <w:kern w:val="2"/>
          <w:lang w:val="es-EC" w:eastAsia="zh-CN" w:bidi="hi-IN"/>
        </w:rPr>
        <w:t xml:space="preserve"> reportan que aquellos pacientes de mediana edad, con estrechamiento arteriolar retinal generalizado y focal, es más probable que tengan hipertrofia ventricular izquierda; sin embargo, no logran demostrar una asociación consistente, como marcadores validados de forma pronóstica del daño a órganos diana. </w:t>
      </w:r>
      <w:r w:rsidRPr="00A20E49">
        <w:rPr>
          <w:rFonts w:eastAsia="DejaVu Sans"/>
          <w:i/>
          <w:kern w:val="2"/>
          <w:lang w:val="es-EC" w:eastAsia="zh-CN" w:bidi="hi-IN"/>
        </w:rPr>
        <w:t xml:space="preserve">Hernández </w:t>
      </w:r>
      <w:r w:rsidRPr="00A20E49">
        <w:rPr>
          <w:rFonts w:eastAsia="DejaVu Sans"/>
          <w:iCs/>
          <w:kern w:val="2"/>
          <w:lang w:val="es-EC" w:eastAsia="zh-CN" w:bidi="hi-IN"/>
        </w:rPr>
        <w:t>y otros,</w:t>
      </w:r>
      <w:r w:rsidRPr="00A20E49">
        <w:rPr>
          <w:rFonts w:eastAsia="DejaVu Sans"/>
          <w:iCs/>
          <w:kern w:val="2"/>
          <w:vertAlign w:val="superscript"/>
          <w:lang w:val="es-EC" w:eastAsia="zh-CN" w:bidi="hi-IN"/>
        </w:rPr>
        <w:t>(19)</w:t>
      </w:r>
      <w:r w:rsidRPr="00A20E49">
        <w:rPr>
          <w:rFonts w:eastAsia="DejaVu Sans"/>
          <w:kern w:val="2"/>
          <w:lang w:val="es-EC" w:eastAsia="zh-CN" w:bidi="hi-IN"/>
        </w:rPr>
        <w:t xml:space="preserve"> en pacientes ingresados por emergencia hipertensiva, reportan un 46,4 % de casos con retinopatía hipertensiva ligera; mientras que </w:t>
      </w:r>
      <w:r w:rsidRPr="00A20E49">
        <w:rPr>
          <w:rFonts w:eastAsia="DejaVu Sans"/>
          <w:i/>
          <w:kern w:val="2"/>
          <w:lang w:val="es-EC" w:eastAsia="zh-CN" w:bidi="hi-IN"/>
        </w:rPr>
        <w:t xml:space="preserve">Sánchez </w:t>
      </w:r>
      <w:r w:rsidRPr="00A20E49">
        <w:rPr>
          <w:rFonts w:eastAsia="DejaVu Sans"/>
          <w:iCs/>
          <w:kern w:val="2"/>
          <w:lang w:val="es-EC" w:eastAsia="zh-CN" w:bidi="hi-IN"/>
        </w:rPr>
        <w:t>y otros,</w:t>
      </w:r>
      <w:r w:rsidRPr="00A20E49">
        <w:rPr>
          <w:rFonts w:eastAsia="DejaVu Sans"/>
          <w:iCs/>
          <w:kern w:val="2"/>
          <w:vertAlign w:val="superscript"/>
          <w:lang w:val="es-EC" w:eastAsia="zh-CN" w:bidi="hi-IN"/>
        </w:rPr>
        <w:t>(20)</w:t>
      </w:r>
      <w:r w:rsidRPr="00A20E49">
        <w:rPr>
          <w:rFonts w:eastAsia="DejaVu Sans"/>
          <w:kern w:val="2"/>
          <w:lang w:val="es-EC" w:eastAsia="zh-CN" w:bidi="hi-IN"/>
        </w:rPr>
        <w:t xml:space="preserve">  identifican una prevalencia de un 68,6 % de la enfermedad. Ambos resultados son similares a los de la presente investigación.</w:t>
      </w:r>
    </w:p>
    <w:p w14:paraId="625FFE30"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i/>
          <w:kern w:val="2"/>
          <w:lang w:val="es-EC" w:eastAsia="zh-CN" w:bidi="hi-IN"/>
        </w:rPr>
        <w:t xml:space="preserve">Cáceres </w:t>
      </w:r>
      <w:r w:rsidRPr="00A20E49">
        <w:rPr>
          <w:rFonts w:eastAsia="DejaVu Sans"/>
          <w:iCs/>
          <w:kern w:val="2"/>
          <w:lang w:val="es-EC" w:eastAsia="zh-CN" w:bidi="hi-IN"/>
        </w:rPr>
        <w:t>y otros</w:t>
      </w:r>
      <w:r w:rsidRPr="00A20E49">
        <w:rPr>
          <w:rFonts w:eastAsia="DejaVu Sans"/>
          <w:iCs/>
          <w:kern w:val="2"/>
          <w:vertAlign w:val="superscript"/>
          <w:lang w:val="es-EC" w:eastAsia="zh-CN" w:bidi="hi-IN"/>
        </w:rPr>
        <w:t>(21)</w:t>
      </w:r>
      <w:r w:rsidRPr="00A20E49">
        <w:rPr>
          <w:rFonts w:eastAsia="DejaVu Sans"/>
          <w:kern w:val="2"/>
          <w:vertAlign w:val="superscript"/>
          <w:lang w:val="es-EC" w:eastAsia="zh-CN" w:bidi="hi-IN"/>
        </w:rPr>
        <w:t xml:space="preserve"> </w:t>
      </w:r>
      <w:r w:rsidRPr="00A20E49">
        <w:rPr>
          <w:rFonts w:eastAsia="DejaVu Sans"/>
          <w:kern w:val="2"/>
          <w:lang w:val="es-EC" w:eastAsia="zh-CN" w:bidi="hi-IN"/>
        </w:rPr>
        <w:t>muestran un porcentaje superior (85,3 %), lo que quizás está relacionado con que los pacientes fueron evaluados en un centro oftalmológico. El predominio de la retinopatía hipertensiva de grado ligero en esta población, podría explicarse por el hecho de que la mayoría de los participantes mantiene un control aceptable de la tensión arterial, como parte del seguimiento controlado en su área de atención.</w:t>
      </w:r>
    </w:p>
    <w:p w14:paraId="17A767D5"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C" w:eastAsia="zh-CN" w:bidi="hi-IN"/>
        </w:rPr>
        <w:t>La obesidad y la elevación del colesterol sérico son factores de riesgo independientes; el obeso presenta incremento de los triglicéridos y disminución en los niveles de la lipoproteína HLD; lo cual favorece el riesgo cardiovascular.</w:t>
      </w:r>
      <w:r w:rsidRPr="00A20E49">
        <w:rPr>
          <w:rFonts w:eastAsia="DejaVu Sans"/>
          <w:kern w:val="2"/>
          <w:vertAlign w:val="superscript"/>
          <w:lang w:val="es-ES" w:eastAsia="zh-CN" w:bidi="hi-IN"/>
        </w:rPr>
        <w:t>(22,23)</w:t>
      </w:r>
      <w:r w:rsidRPr="00A20E49">
        <w:rPr>
          <w:rFonts w:eastAsia="DejaVu Sans"/>
          <w:kern w:val="2"/>
          <w:lang w:val="es-EC" w:eastAsia="zh-CN" w:bidi="hi-IN"/>
        </w:rPr>
        <w:t xml:space="preserve"> Por tanto, es determinante mantener parámetros de lipidograma aceptables, unido a cifras de tensión arterial normales, para mantener un estado metabólico estable. </w:t>
      </w:r>
      <w:r w:rsidRPr="00A20E49">
        <w:rPr>
          <w:rFonts w:eastAsia="DejaVu Sans"/>
          <w:i/>
          <w:kern w:val="2"/>
          <w:lang w:val="es-EC" w:eastAsia="zh-CN" w:bidi="hi-IN"/>
        </w:rPr>
        <w:t xml:space="preserve">Mahapatra </w:t>
      </w:r>
      <w:r w:rsidRPr="00A20E49">
        <w:rPr>
          <w:rFonts w:eastAsia="DejaVu Sans"/>
          <w:iCs/>
          <w:kern w:val="2"/>
          <w:lang w:val="es-EC" w:eastAsia="zh-CN" w:bidi="hi-IN"/>
        </w:rPr>
        <w:t xml:space="preserve">y </w:t>
      </w:r>
      <w:r w:rsidRPr="00A20E49">
        <w:rPr>
          <w:rFonts w:eastAsia="DejaVu Sans"/>
          <w:iCs/>
          <w:kern w:val="2"/>
          <w:lang w:val="es-EC" w:eastAsia="zh-CN" w:bidi="hi-IN"/>
        </w:rPr>
        <w:lastRenderedPageBreak/>
        <w:t>otros</w:t>
      </w:r>
      <w:r w:rsidRPr="00A20E49">
        <w:rPr>
          <w:rFonts w:eastAsia="DejaVu Sans"/>
          <w:iCs/>
          <w:kern w:val="2"/>
          <w:vertAlign w:val="superscript"/>
          <w:lang w:val="es-EC" w:eastAsia="zh-CN" w:bidi="hi-IN"/>
        </w:rPr>
        <w:t>(24)</w:t>
      </w:r>
      <w:r w:rsidRPr="00A20E49">
        <w:rPr>
          <w:rFonts w:eastAsia="DejaVu Sans"/>
          <w:i/>
          <w:kern w:val="2"/>
          <w:vertAlign w:val="superscript"/>
          <w:lang w:val="es-EC" w:eastAsia="zh-CN" w:bidi="hi-IN"/>
        </w:rPr>
        <w:t xml:space="preserve"> </w:t>
      </w:r>
      <w:r w:rsidRPr="00A20E49">
        <w:rPr>
          <w:rFonts w:eastAsia="DejaVu Sans"/>
          <w:kern w:val="2"/>
          <w:lang w:val="es-EC" w:eastAsia="zh-CN" w:bidi="hi-IN"/>
        </w:rPr>
        <w:t xml:space="preserve">informan, en pacientes con hipertensión arterial refractaria, resultados similares en cuanto al predominio de sobrepesos y obesos mayores de 50 años. Sin embargo, describen la presencia de retinopatía solo en el 40 % de ellos. </w:t>
      </w:r>
      <w:r w:rsidRPr="00A20E49">
        <w:rPr>
          <w:rFonts w:eastAsia="DejaVu Sans"/>
          <w:i/>
          <w:kern w:val="2"/>
          <w:lang w:val="es-EC" w:eastAsia="zh-CN" w:bidi="hi-IN"/>
        </w:rPr>
        <w:t xml:space="preserve">Onwuegbuna </w:t>
      </w:r>
      <w:r w:rsidRPr="00A20E49">
        <w:rPr>
          <w:rFonts w:eastAsia="DejaVu Sans"/>
          <w:iCs/>
          <w:kern w:val="2"/>
          <w:lang w:val="es-EC" w:eastAsia="zh-CN" w:bidi="hi-IN"/>
        </w:rPr>
        <w:t>y otros</w:t>
      </w:r>
      <w:r w:rsidRPr="00A20E49">
        <w:rPr>
          <w:rFonts w:eastAsia="DejaVu Sans"/>
          <w:iCs/>
          <w:kern w:val="2"/>
          <w:vertAlign w:val="superscript"/>
          <w:lang w:val="es-EC" w:eastAsia="zh-CN" w:bidi="hi-IN"/>
        </w:rPr>
        <w:t>(25)</w:t>
      </w:r>
      <w:r w:rsidRPr="00A20E49">
        <w:rPr>
          <w:rFonts w:eastAsia="DejaVu Sans"/>
          <w:iCs/>
          <w:kern w:val="2"/>
          <w:lang w:val="es-EC" w:eastAsia="zh-CN" w:bidi="hi-IN"/>
        </w:rPr>
        <w:t xml:space="preserve"> </w:t>
      </w:r>
      <w:r w:rsidRPr="00A20E49">
        <w:rPr>
          <w:rFonts w:eastAsia="DejaVu Sans"/>
          <w:kern w:val="2"/>
          <w:lang w:val="es-EC" w:eastAsia="zh-CN" w:bidi="hi-IN"/>
        </w:rPr>
        <w:t xml:space="preserve">estudiaron la prevalencia y las determinantes de hipertensión arterial en sujetos con enfermedades vasculares oculares; también señalan la asociación entre las cifras elevadas de colesterol, HTA y la obesidad. </w:t>
      </w:r>
    </w:p>
    <w:p w14:paraId="0C471B8B"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C" w:eastAsia="zh-CN" w:bidi="hi-IN"/>
        </w:rPr>
        <w:t>Tanto en el fondo de ojo, como en la retinografía, la evaluación depende del observador. Son varias las ventajas de esta última; la imagen puede ser examinada por otro especialista, desde otro lugar y tiempo, proporciona documentación fotográfica para referencia futura y el área visualizada es mucho mayor que la que se observa con el oftalmoscopio portátil.</w:t>
      </w:r>
      <w:r w:rsidRPr="00A20E49">
        <w:rPr>
          <w:rFonts w:eastAsia="DejaVu Sans"/>
          <w:kern w:val="2"/>
          <w:vertAlign w:val="superscript"/>
          <w:lang w:val="es-ES" w:eastAsia="zh-CN" w:bidi="hi-IN"/>
        </w:rPr>
        <w:t xml:space="preserve">(26) </w:t>
      </w:r>
      <w:r w:rsidRPr="00A20E49">
        <w:rPr>
          <w:rFonts w:eastAsia="DejaVu Sans"/>
          <w:kern w:val="2"/>
          <w:lang w:val="es-EC" w:eastAsia="zh-CN" w:bidi="hi-IN"/>
        </w:rPr>
        <w:t>En la imagen computarizada, para los signos de microaneurismas y microhemorragias en llama, la concordancia interobservador es mejor que para otros signos, en los cuales hay más variabilidad, como la presencia de los cruces arteriovenosos y los exudados.</w:t>
      </w:r>
      <w:r w:rsidRPr="00A20E49">
        <w:rPr>
          <w:rFonts w:eastAsia="DejaVu Sans"/>
          <w:kern w:val="2"/>
          <w:vertAlign w:val="superscript"/>
          <w:lang w:val="es-ES" w:eastAsia="zh-CN" w:bidi="hi-IN"/>
        </w:rPr>
        <w:t>(27)</w:t>
      </w:r>
    </w:p>
    <w:p w14:paraId="1EF849B6"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C" w:eastAsia="zh-CN" w:bidi="hi-IN"/>
        </w:rPr>
        <w:t>Tradicionalmente, se describe la poca reproducibilidad de la fundoscopía, lo que ha conllevado a la búsqueda de métodos y algoritmos de segmentación de imagen más objetivos, que no fueron empleados en el presente estudio. No obstante, aunque los examinadores tenían un entrenamiento visual para identificar estos signos, pudieron existir posibles errores de medición y evaluación.</w:t>
      </w:r>
    </w:p>
    <w:p w14:paraId="36309705"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C" w:eastAsia="zh-CN" w:bidi="hi-IN"/>
        </w:rPr>
        <w:t>Los cambios vasculares de la retina son comunes en la población general, con tasas de prevalencia del 5-10 %, y del 2,6 a 8,6 % entre quienes no tienen diabetes o hipertensión arterial.</w:t>
      </w:r>
      <w:r w:rsidRPr="00A20E49">
        <w:rPr>
          <w:rFonts w:eastAsia="DejaVu Sans"/>
          <w:kern w:val="2"/>
          <w:vertAlign w:val="superscript"/>
          <w:lang w:val="es-ES" w:eastAsia="zh-CN" w:bidi="hi-IN"/>
        </w:rPr>
        <w:t xml:space="preserve">(25) </w:t>
      </w:r>
      <w:r w:rsidRPr="00A20E49">
        <w:rPr>
          <w:rFonts w:eastAsia="DejaVu Sans"/>
          <w:kern w:val="2"/>
          <w:lang w:val="es-EC" w:eastAsia="zh-CN" w:bidi="hi-IN"/>
        </w:rPr>
        <w:t>La asociación con la presión sanguínea es continua y se ve en adultos y niños. No obstante, estudios prospectivos de 5 años demuestran que hasta el 10 % de las personas mayores de 40 años de edad, sin estas enfermedades, pueden desarrollar estos signos aislados, que además pueden ser transitorios. Otros autores</w:t>
      </w:r>
      <w:r w:rsidRPr="00A20E49">
        <w:rPr>
          <w:rFonts w:eastAsia="DejaVu Sans"/>
          <w:kern w:val="2"/>
          <w:vertAlign w:val="superscript"/>
          <w:lang w:val="es-EC" w:eastAsia="zh-CN" w:bidi="hi-IN"/>
        </w:rPr>
        <w:t>(28)</w:t>
      </w:r>
      <w:r w:rsidRPr="00A20E49">
        <w:rPr>
          <w:rFonts w:eastAsia="DejaVu Sans"/>
          <w:kern w:val="2"/>
          <w:lang w:val="es-EC" w:eastAsia="zh-CN" w:bidi="hi-IN"/>
        </w:rPr>
        <w:t xml:space="preserve"> evidencian que los signos de retinopatía constituyen un riesgo para el desarrollo de hipertensión arterial futura, independientemente de las cifras de presión arterial, el índice de masa corporal y otros factores conocidos.</w:t>
      </w:r>
    </w:p>
    <w:p w14:paraId="011E74BC"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C" w:eastAsia="zh-CN" w:bidi="hi-IN"/>
        </w:rPr>
        <w:t xml:space="preserve">Datos del estudio </w:t>
      </w:r>
      <w:r w:rsidRPr="00A20E49">
        <w:rPr>
          <w:rFonts w:eastAsia="DejaVu Sans"/>
          <w:i/>
          <w:kern w:val="2"/>
          <w:lang w:val="es-EC" w:eastAsia="zh-CN" w:bidi="hi-IN"/>
        </w:rPr>
        <w:t>Beaver Dam Eye Study</w:t>
      </w:r>
      <w:r w:rsidRPr="00A20E49">
        <w:rPr>
          <w:rFonts w:eastAsia="DejaVu Sans"/>
          <w:kern w:val="2"/>
          <w:vertAlign w:val="superscript"/>
          <w:lang w:val="es-ES" w:eastAsia="zh-CN" w:bidi="hi-IN"/>
        </w:rPr>
        <w:t>(29)</w:t>
      </w:r>
      <w:r w:rsidRPr="00A20E49">
        <w:rPr>
          <w:rFonts w:eastAsia="DejaVu Sans"/>
          <w:kern w:val="2"/>
          <w:lang w:val="es-EC" w:eastAsia="zh-CN" w:bidi="hi-IN"/>
        </w:rPr>
        <w:t xml:space="preserve"> muestran que, entre los individuos no hipertensos, aquellos con signos de retinopatía, tienen mayor incidencia de hipertensión arterial. Otros autores</w:t>
      </w:r>
      <w:r w:rsidRPr="00A20E49">
        <w:rPr>
          <w:rFonts w:eastAsia="DejaVu Sans"/>
          <w:kern w:val="2"/>
          <w:vertAlign w:val="superscript"/>
          <w:lang w:val="es-EC" w:eastAsia="zh-CN" w:bidi="hi-IN"/>
        </w:rPr>
        <w:t>(30,31)</w:t>
      </w:r>
      <w:r w:rsidRPr="00A20E49">
        <w:rPr>
          <w:rFonts w:eastAsia="DejaVu Sans"/>
          <w:kern w:val="2"/>
          <w:lang w:val="es-EC" w:eastAsia="zh-CN" w:bidi="hi-IN"/>
        </w:rPr>
        <w:t xml:space="preserve"> identifican que la estrechez vascular de la retina, se asocia a un mayor riesgo de desarrollo de hipertensión, lo cual </w:t>
      </w:r>
      <w:r w:rsidRPr="00A20E49">
        <w:rPr>
          <w:rFonts w:eastAsia="DejaVu Sans"/>
          <w:kern w:val="2"/>
          <w:lang w:val="es-EC" w:eastAsia="zh-CN" w:bidi="hi-IN"/>
        </w:rPr>
        <w:lastRenderedPageBreak/>
        <w:t>sugiere que la resistencia vascular periférica desempeña un papel importante en la génesis de la hipertensión.</w:t>
      </w:r>
    </w:p>
    <w:p w14:paraId="08710294"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SimSun"/>
          <w:kern w:val="2"/>
          <w:lang w:val="es-ES" w:eastAsia="zh-CN" w:bidi="hi-IN"/>
        </w:rPr>
        <w:t xml:space="preserve">La ausencia de estas alteraciones vasculares o su presencia incipiente es compatible con el control de las enfermedades de base, dado por el seguimiento de los casos. Sin embargo, el rango o grado a partir del cual constituyen un riesgo para el desarrollo de otras enfermedades vasculares, todavía no se conoce. No obstante, es posible que estos sujetos, incluso con cambios ligeros, sean más vulnerables para desarrollarlas a mediano o largo plazo, que quienes no presentan ningún signo. </w:t>
      </w:r>
    </w:p>
    <w:p w14:paraId="727C96AB" w14:textId="77777777" w:rsidR="00A20E49" w:rsidRPr="00A20E49" w:rsidRDefault="00A20E49" w:rsidP="00A20E49">
      <w:pPr>
        <w:tabs>
          <w:tab w:val="right" w:pos="8640"/>
        </w:tabs>
        <w:suppressAutoHyphens/>
        <w:spacing w:line="360" w:lineRule="auto"/>
        <w:jc w:val="both"/>
        <w:rPr>
          <w:rFonts w:eastAsia="DejaVu Sans"/>
          <w:kern w:val="2"/>
          <w:lang w:val="es-ES" w:eastAsia="zh-CN" w:bidi="hi-IN"/>
        </w:rPr>
      </w:pPr>
      <w:r w:rsidRPr="00A20E49">
        <w:rPr>
          <w:rFonts w:eastAsia="DejaVu Sans"/>
          <w:kern w:val="2"/>
          <w:lang w:val="es-ES" w:eastAsia="zh-CN" w:bidi="hi-IN"/>
        </w:rPr>
        <w:t>El colesterol sérico, las   cifras elevadas de tensión arterial sistólica y antecedentes de hipertensión arterial son los factores de riesgo que mejor predicen el daño vascular retinal.</w:t>
      </w:r>
    </w:p>
    <w:p w14:paraId="30AD1E96" w14:textId="77777777" w:rsidR="00A20E49" w:rsidRPr="00A20E49" w:rsidRDefault="00A20E49" w:rsidP="00A20E49">
      <w:pPr>
        <w:tabs>
          <w:tab w:val="right" w:pos="8640"/>
        </w:tabs>
        <w:suppressAutoHyphens/>
        <w:spacing w:line="360" w:lineRule="auto"/>
        <w:jc w:val="both"/>
        <w:rPr>
          <w:rFonts w:eastAsia="DejaVu Sans"/>
          <w:kern w:val="2"/>
          <w:lang w:val="es-ES" w:eastAsia="zh-CN" w:bidi="hi-IN"/>
        </w:rPr>
      </w:pPr>
    </w:p>
    <w:p w14:paraId="7C7B377B" w14:textId="77777777" w:rsidR="00A20E49" w:rsidRPr="00A20E49" w:rsidRDefault="00A20E49" w:rsidP="00A20E49">
      <w:pPr>
        <w:suppressAutoHyphens/>
        <w:spacing w:line="360" w:lineRule="auto"/>
        <w:jc w:val="both"/>
        <w:rPr>
          <w:rFonts w:eastAsia="DejaVu Sans"/>
          <w:kern w:val="2"/>
          <w:vertAlign w:val="superscript"/>
          <w:lang w:val="es-EC" w:eastAsia="zh-CN" w:bidi="hi-IN"/>
        </w:rPr>
      </w:pPr>
    </w:p>
    <w:p w14:paraId="1E0C6578" w14:textId="77777777" w:rsidR="00A20E49" w:rsidRPr="00A20E49" w:rsidRDefault="00A20E49" w:rsidP="00A20E49">
      <w:pPr>
        <w:suppressAutoHyphens/>
        <w:spacing w:line="360" w:lineRule="auto"/>
        <w:jc w:val="center"/>
        <w:rPr>
          <w:rFonts w:eastAsia="DejaVu Sans"/>
          <w:kern w:val="2"/>
          <w:sz w:val="32"/>
          <w:szCs w:val="32"/>
          <w:lang w:val="es-ES" w:eastAsia="zh-CN" w:bidi="hi-IN"/>
        </w:rPr>
      </w:pPr>
      <w:r w:rsidRPr="00A20E49">
        <w:rPr>
          <w:rFonts w:eastAsia="DejaVu Sans"/>
          <w:b/>
          <w:kern w:val="2"/>
          <w:sz w:val="32"/>
          <w:szCs w:val="32"/>
          <w:lang w:val="es-ES" w:eastAsia="zh-CN" w:bidi="hi-IN"/>
        </w:rPr>
        <w:t>REFERENCIAS BIBLIOGRÁFICAS</w:t>
      </w:r>
    </w:p>
    <w:p w14:paraId="5C9D62C4"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s-ES" w:eastAsia="zh-CN" w:bidi="hi-IN"/>
        </w:rPr>
        <w:t xml:space="preserve">1. Peinado Martínez M, Dager Vergara I, Quintero Molano K, Mogollón Pérez M, Puello Ospina A. Síndrome metabólico en adultos: revisión narrativa de la literatura. iMed Pub Journals. 2021 </w:t>
      </w:r>
      <w:r w:rsidRPr="00A20E49">
        <w:rPr>
          <w:rFonts w:eastAsia="DejaVu Sans"/>
          <w:kern w:val="2"/>
          <w:lang w:val="es-MX" w:eastAsia="zh-CN" w:bidi="hi-IN"/>
        </w:rPr>
        <w:t>[acceso: 22/09/2023]</w:t>
      </w:r>
      <w:r w:rsidRPr="00A20E49">
        <w:rPr>
          <w:rFonts w:eastAsia="DejaVu Sans"/>
          <w:kern w:val="2"/>
          <w:lang w:val="es-ES" w:eastAsia="zh-CN" w:bidi="hi-IN"/>
        </w:rPr>
        <w:t xml:space="preserve">;17(2:4):1-5. Disponible en: </w:t>
      </w:r>
      <w:hyperlink r:id="rId17" w:history="1">
        <w:r w:rsidRPr="00A20E49">
          <w:rPr>
            <w:rFonts w:eastAsia="DejaVu Sans"/>
            <w:color w:val="0000FF"/>
            <w:kern w:val="2"/>
            <w:lang w:val="es-ES" w:eastAsia="zh-CN" w:bidi="hi-IN"/>
          </w:rPr>
          <w:t>https://www.archivosdemedicina.com/medicina-de-familia/siacutendrome-metaboacutelico-en-adultos-revisioacuten-narrativa-de-la-literatura.pdf</w:t>
        </w:r>
      </w:hyperlink>
      <w:r w:rsidRPr="00A20E49">
        <w:rPr>
          <w:rFonts w:eastAsia="DejaVu Sans"/>
          <w:kern w:val="2"/>
          <w:lang w:val="es-ES" w:eastAsia="zh-CN" w:bidi="hi-IN"/>
        </w:rPr>
        <w:t xml:space="preserve">  </w:t>
      </w:r>
    </w:p>
    <w:p w14:paraId="1CE2DF8F"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s-ES" w:eastAsia="zh-CN" w:bidi="hi-IN"/>
        </w:rPr>
        <w:t xml:space="preserve">2. Yangoua H, Azantsa B, Kuate D, Ntentie F, Nguedjo M, Nkougni J, et al. </w:t>
      </w:r>
      <w:r w:rsidRPr="00A20E49">
        <w:rPr>
          <w:rFonts w:eastAsia="DejaVu Sans"/>
          <w:kern w:val="2"/>
          <w:lang w:val="en-US" w:eastAsia="zh-CN" w:bidi="hi-IN"/>
        </w:rPr>
        <w:t xml:space="preserve">Characterization of dyslipidemia and assessment of atherogenic risk amongst Cameroonian living in Yaounde: A cross sectional study. </w:t>
      </w:r>
      <w:r w:rsidRPr="00A20E49">
        <w:rPr>
          <w:rFonts w:eastAsia="DejaVu Sans"/>
          <w:kern w:val="2"/>
          <w:lang w:val="es-ES" w:eastAsia="zh-CN" w:bidi="hi-IN"/>
        </w:rPr>
        <w:t xml:space="preserve">J Biosci Med. 2019 [acceso: 10/01/2023]; 7(7):35-50. Disponible en: </w:t>
      </w:r>
      <w:hyperlink r:id="rId18" w:history="1">
        <w:r w:rsidRPr="00A20E49">
          <w:rPr>
            <w:rFonts w:eastAsia="DejaVu Sans"/>
            <w:color w:val="0000FF"/>
            <w:kern w:val="2"/>
            <w:lang w:val="es-ES" w:eastAsia="zh-CN" w:bidi="hi-IN"/>
          </w:rPr>
          <w:t>https://www.scirp.org/journal/paperinformation.aspx?paperid=93631</w:t>
        </w:r>
      </w:hyperlink>
    </w:p>
    <w:p w14:paraId="46A72912" w14:textId="77777777" w:rsidR="00A20E49" w:rsidRPr="00A20E49" w:rsidRDefault="00A20E49" w:rsidP="00A20E49">
      <w:pPr>
        <w:suppressAutoHyphens/>
        <w:spacing w:line="360" w:lineRule="auto"/>
        <w:rPr>
          <w:rFonts w:eastAsia="DejaVu Sans"/>
          <w:kern w:val="2"/>
          <w:lang w:val="es-MX" w:eastAsia="zh-CN" w:bidi="hi-IN"/>
        </w:rPr>
      </w:pPr>
      <w:r w:rsidRPr="00A20E49">
        <w:rPr>
          <w:rFonts w:eastAsia="DejaVu Sans"/>
          <w:kern w:val="2"/>
          <w:lang w:val="es-ES" w:eastAsia="zh-CN" w:bidi="hi-IN"/>
        </w:rPr>
        <w:t xml:space="preserve">3. Espósito R, De Medeiros P, Souza F, Gouveia A, Soares C, Oliveira H, et al. </w:t>
      </w:r>
      <w:r w:rsidRPr="00A20E49">
        <w:rPr>
          <w:rFonts w:eastAsia="DejaVu Sans"/>
          <w:kern w:val="2"/>
          <w:lang w:val="en-US" w:eastAsia="zh-CN" w:bidi="hi-IN"/>
        </w:rPr>
        <w:t xml:space="preserve">Prevalence of the metabolic syndrome according to different criteria in the male population during the Blue November Campaign in Natal, RN, Northeastern Brazil. </w:t>
      </w:r>
      <w:r w:rsidRPr="00A20E49">
        <w:rPr>
          <w:rFonts w:eastAsia="DejaVu Sans"/>
          <w:kern w:val="2"/>
          <w:lang w:val="es-ES" w:eastAsia="zh-CN" w:bidi="hi-IN"/>
        </w:rPr>
        <w:t xml:space="preserve">Diabetes Metab Syndr Obes. 2018 [acceso: 10/01/2023]; 11: 401-8.  Disponible en: </w:t>
      </w:r>
      <w:hyperlink w:history="1"/>
      <w:r w:rsidRPr="00A20E49">
        <w:rPr>
          <w:rFonts w:ascii="Liberation Serif" w:eastAsia="DejaVu Sans" w:hAnsi="Liberation Serif" w:cs="Mangal"/>
          <w:kern w:val="2"/>
          <w:sz w:val="20"/>
          <w:szCs w:val="18"/>
          <w:lang w:val="es-ES" w:eastAsia="zh-CN" w:bidi="hi-IN"/>
        </w:rPr>
        <w:t xml:space="preserve"> </w:t>
      </w:r>
      <w:hyperlink r:id="rId19" w:history="1">
        <w:r w:rsidRPr="00A20E49">
          <w:rPr>
            <w:rFonts w:eastAsia="DejaVu Sans"/>
            <w:color w:val="0000FF"/>
            <w:kern w:val="2"/>
            <w:lang w:val="es-MX" w:eastAsia="zh-CN" w:bidi="hi-IN"/>
          </w:rPr>
          <w:t>https://www.tandfonline.com/doi/epdf/10.2147/DMSO.S168430?needAccess=true</w:t>
        </w:r>
      </w:hyperlink>
      <w:r w:rsidRPr="00A20E49">
        <w:rPr>
          <w:rFonts w:eastAsia="DejaVu Sans"/>
          <w:kern w:val="2"/>
          <w:lang w:val="es-MX" w:eastAsia="zh-CN" w:bidi="hi-IN"/>
        </w:rPr>
        <w:t xml:space="preserve">  </w:t>
      </w:r>
    </w:p>
    <w:p w14:paraId="15DF7341"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sz w:val="20"/>
          <w:szCs w:val="18"/>
          <w:lang w:val="es-MX" w:eastAsia="zh-CN" w:bidi="hi-IN"/>
        </w:rPr>
        <w:t xml:space="preserve">4. </w:t>
      </w:r>
      <w:r w:rsidRPr="00A20E49">
        <w:rPr>
          <w:rFonts w:eastAsia="DejaVu Sans"/>
          <w:kern w:val="2"/>
          <w:lang w:val="es-ES" w:eastAsia="zh-CN" w:bidi="hi-IN"/>
        </w:rPr>
        <w:t xml:space="preserve">Fernández-Britto Rodríguez JE, Castillo Herrera JA, Taquechel Tusiente N, Barriuso Andino A, Vilaú F. Aterosclerosis, colesterol y pared arterial: algunas reflexiones. Rev Cubana Invest Bioméd. 1999 </w:t>
      </w:r>
      <w:r w:rsidRPr="00A20E49">
        <w:rPr>
          <w:rFonts w:eastAsia="DejaVu Sans"/>
          <w:kern w:val="2"/>
          <w:lang w:val="es-MX" w:eastAsia="zh-CN" w:bidi="hi-IN"/>
        </w:rPr>
        <w:lastRenderedPageBreak/>
        <w:t>[acceso: 15/11/2023]</w:t>
      </w:r>
      <w:r w:rsidRPr="00A20E49">
        <w:rPr>
          <w:rFonts w:eastAsia="DejaVu Sans"/>
          <w:kern w:val="2"/>
          <w:lang w:val="es-ES" w:eastAsia="zh-CN" w:bidi="hi-IN"/>
        </w:rPr>
        <w:t xml:space="preserve">; 18(3): 169-75. Disponible en: </w:t>
      </w:r>
      <w:hyperlink r:id="rId20" w:history="1">
        <w:r w:rsidRPr="00A20E49">
          <w:rPr>
            <w:rFonts w:eastAsia="DejaVu Sans"/>
            <w:color w:val="0000FF"/>
            <w:kern w:val="2"/>
            <w:lang w:val="es-ES" w:eastAsia="zh-CN" w:bidi="hi-IN"/>
          </w:rPr>
          <w:t>http://scielo.sld.cu/scielo.php?script=sci_arttext&amp;pid=S0864-03001999000300002&amp;lng=es</w:t>
        </w:r>
      </w:hyperlink>
      <w:r w:rsidRPr="00A20E49">
        <w:rPr>
          <w:rFonts w:eastAsia="DejaVu Sans"/>
          <w:kern w:val="2"/>
          <w:lang w:val="es-ES" w:eastAsia="zh-CN" w:bidi="hi-IN"/>
        </w:rPr>
        <w:t xml:space="preserve"> </w:t>
      </w:r>
    </w:p>
    <w:p w14:paraId="385544AE"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s-ES" w:eastAsia="zh-CN" w:bidi="hi-IN"/>
        </w:rPr>
        <w:t xml:space="preserve">5. Manresa JM, Forés R, Vázquez X, Alzamora MT, Heras A, Delgado P, Torán P. Fiabilidad de la retinografía para la detección de retinopatía hipertensiva en Atención Primaria. </w:t>
      </w:r>
      <w:r w:rsidRPr="00A20E49">
        <w:rPr>
          <w:rFonts w:eastAsia="DejaVu Sans"/>
          <w:kern w:val="2"/>
          <w:lang w:val="es-MX" w:eastAsia="zh-CN" w:bidi="hi-IN"/>
        </w:rPr>
        <w:t xml:space="preserve">Aten Primaria. 2020 </w:t>
      </w:r>
      <w:r w:rsidRPr="00A20E49">
        <w:rPr>
          <w:rFonts w:eastAsia="DejaVu Sans"/>
          <w:kern w:val="2"/>
          <w:lang w:val="es-ES" w:eastAsia="zh-CN" w:bidi="hi-IN"/>
        </w:rPr>
        <w:t>[acceso: 10/01/2023]</w:t>
      </w:r>
      <w:r w:rsidRPr="00A20E49">
        <w:rPr>
          <w:rFonts w:eastAsia="DejaVu Sans"/>
          <w:kern w:val="2"/>
          <w:lang w:val="es-MX" w:eastAsia="zh-CN" w:bidi="hi-IN"/>
        </w:rPr>
        <w:t xml:space="preserve">; 52(6):410-17. Disponible en: </w:t>
      </w:r>
      <w:hyperlink w:history="1"/>
      <w:r w:rsidRPr="00A20E49">
        <w:rPr>
          <w:rFonts w:ascii="Liberation Serif" w:eastAsia="DejaVu Sans" w:hAnsi="Liberation Serif" w:cs="Mangal"/>
          <w:kern w:val="2"/>
          <w:sz w:val="20"/>
          <w:szCs w:val="18"/>
          <w:lang w:val="es-ES" w:eastAsia="zh-CN" w:bidi="hi-IN"/>
        </w:rPr>
        <w:t xml:space="preserve"> </w:t>
      </w:r>
      <w:hyperlink r:id="rId21" w:history="1">
        <w:r w:rsidRPr="00A20E49">
          <w:rPr>
            <w:rFonts w:eastAsia="DejaVu Sans"/>
            <w:color w:val="0000FF"/>
            <w:kern w:val="2"/>
            <w:lang w:val="es-ES" w:eastAsia="zh-CN" w:bidi="hi-IN"/>
          </w:rPr>
          <w:t>https://www.elsevier.es/es-revista-atencion-primaria-27-articulo-fiabilidad-retinografia-deteccion-retinopatia-hipertensiva-S0212656719302227</w:t>
        </w:r>
      </w:hyperlink>
      <w:r w:rsidRPr="00A20E49">
        <w:rPr>
          <w:rFonts w:eastAsia="DejaVu Sans"/>
          <w:kern w:val="2"/>
          <w:lang w:val="es-ES" w:eastAsia="zh-CN" w:bidi="hi-IN"/>
        </w:rPr>
        <w:t xml:space="preserve">  </w:t>
      </w:r>
    </w:p>
    <w:p w14:paraId="3A38864D"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n-US" w:eastAsia="zh-CN" w:bidi="hi-IN"/>
        </w:rPr>
        <w:t xml:space="preserve">6. Campbell NRC, Paccot Burnens M, Whelton PK, Angell SY, Jaffe MG, Cohn J, et al. </w:t>
      </w:r>
      <w:r w:rsidRPr="00A20E49">
        <w:rPr>
          <w:rFonts w:eastAsia="DejaVu Sans"/>
          <w:kern w:val="2"/>
          <w:lang w:val="es-ES" w:eastAsia="zh-CN" w:bidi="hi-IN"/>
        </w:rPr>
        <w:t xml:space="preserve">Directrices de la Organización Mundial de la Salud del 2021 sobre el tratamiento farmacológico de la hipertensión: implicaciones de política para la Región de las Américas. Rev Panam Salud Publica. 2022 [acceso: 13/12/2022];46(e54):1-11. Disponible en: </w:t>
      </w:r>
      <w:hyperlink r:id="rId22" w:history="1">
        <w:r w:rsidRPr="00A20E49">
          <w:rPr>
            <w:rFonts w:eastAsia="DejaVu Sans"/>
            <w:color w:val="0000FF"/>
            <w:kern w:val="2"/>
            <w:lang w:val="es-ES" w:eastAsia="zh-CN" w:bidi="hi-IN"/>
          </w:rPr>
          <w:t>https://www.ncbi.nlm.nih.gov/pmc/articles/PMC9097923/pdf/rpsp-46-e54.pdf</w:t>
        </w:r>
      </w:hyperlink>
      <w:r w:rsidRPr="00A20E49">
        <w:rPr>
          <w:rFonts w:eastAsia="DejaVu Sans"/>
          <w:kern w:val="2"/>
          <w:lang w:val="es-ES" w:eastAsia="zh-CN" w:bidi="hi-IN"/>
        </w:rPr>
        <w:t xml:space="preserve">  </w:t>
      </w:r>
    </w:p>
    <w:p w14:paraId="25850F91" w14:textId="77777777" w:rsidR="00A20E49" w:rsidRPr="00A20E49" w:rsidRDefault="00A20E49" w:rsidP="00A20E49">
      <w:pPr>
        <w:suppressAutoHyphens/>
        <w:spacing w:line="360" w:lineRule="auto"/>
        <w:rPr>
          <w:rFonts w:eastAsia="Calibri"/>
          <w:lang w:val="es-MX" w:eastAsia="en-US"/>
        </w:rPr>
      </w:pPr>
      <w:r w:rsidRPr="00A20E49">
        <w:rPr>
          <w:rFonts w:eastAsia="DejaVu Sans"/>
          <w:kern w:val="2"/>
          <w:lang w:val="en-US" w:eastAsia="zh-CN" w:bidi="hi-IN"/>
        </w:rPr>
        <w:t xml:space="preserve">7. Usman Akram M, Akbar S, Hassan T, GulKhawaja S, Yasin U, Basit I. Data on fundus images for vessels segmentation, detection of hypertensive retinopathy, diabetic retinopathy and papilledema. </w:t>
      </w:r>
      <w:r w:rsidRPr="00A20E49">
        <w:rPr>
          <w:rFonts w:eastAsia="DejaVu Sans"/>
          <w:kern w:val="2"/>
          <w:lang w:val="es-MX" w:eastAsia="zh-CN" w:bidi="hi-IN"/>
        </w:rPr>
        <w:t xml:space="preserve">Data in Brief. 2020 [acceso: 05/02/2023]; 29(105282): 3. Disponible en: </w:t>
      </w:r>
      <w:hyperlink r:id="rId23" w:history="1">
        <w:r w:rsidRPr="00A20E49">
          <w:rPr>
            <w:rFonts w:eastAsia="DejaVu Sans"/>
            <w:color w:val="0000FF"/>
            <w:kern w:val="2"/>
            <w:lang w:val="es-MX" w:eastAsia="zh-CN" w:bidi="hi-IN"/>
          </w:rPr>
          <w:t>https://www.sciencedirect.com/science/article/pii/S2352340920301761</w:t>
        </w:r>
      </w:hyperlink>
      <w:r w:rsidRPr="00A20E49">
        <w:rPr>
          <w:rFonts w:eastAsia="DejaVu Sans"/>
          <w:kern w:val="2"/>
          <w:lang w:val="es-MX" w:eastAsia="zh-CN" w:bidi="hi-IN"/>
        </w:rPr>
        <w:t xml:space="preserve"> </w:t>
      </w:r>
    </w:p>
    <w:p w14:paraId="7CB2EE1C" w14:textId="77777777" w:rsidR="00A20E49" w:rsidRPr="00A20E49" w:rsidRDefault="00A20E49" w:rsidP="00A20E49">
      <w:pPr>
        <w:suppressAutoHyphens/>
        <w:spacing w:line="360" w:lineRule="auto"/>
        <w:rPr>
          <w:rFonts w:eastAsia="Calibri"/>
          <w:lang w:val="es-ES" w:eastAsia="en-US"/>
        </w:rPr>
      </w:pPr>
      <w:r w:rsidRPr="00A20E49">
        <w:rPr>
          <w:rFonts w:eastAsia="DejaVu Sans"/>
          <w:kern w:val="2"/>
          <w:lang w:val="es-ES" w:eastAsia="zh-CN" w:bidi="hi-IN"/>
        </w:rPr>
        <w:t xml:space="preserve">8. Ávila H, Franco A, Durán F. Hallazgos fundoscópicos en pacientes preclámpticas y eclámpticas. Boletín Médico de Postgrado. 2022 </w:t>
      </w:r>
      <w:r w:rsidRPr="00A20E49">
        <w:rPr>
          <w:rFonts w:eastAsia="DejaVu Sans"/>
          <w:kern w:val="2"/>
          <w:lang w:val="es-MX" w:eastAsia="zh-CN" w:bidi="hi-IN"/>
        </w:rPr>
        <w:t>[acceso: 22/09/2023]</w:t>
      </w:r>
      <w:r w:rsidRPr="00A20E49">
        <w:rPr>
          <w:rFonts w:eastAsia="DejaVu Sans"/>
          <w:kern w:val="2"/>
          <w:lang w:val="es-ES" w:eastAsia="zh-CN" w:bidi="hi-IN"/>
        </w:rPr>
        <w:t xml:space="preserve">; 38(2):1-9. Disponible en: </w:t>
      </w:r>
      <w:hyperlink r:id="rId24" w:history="1">
        <w:r w:rsidRPr="00A20E49">
          <w:rPr>
            <w:rFonts w:eastAsia="DejaVu Sans"/>
            <w:color w:val="0000FF"/>
            <w:kern w:val="2"/>
            <w:lang w:val="es-ES" w:eastAsia="zh-CN" w:bidi="hi-IN"/>
          </w:rPr>
          <w:t>https://revistas.uclave.org/index.php/bmp/article/view/3977/2566</w:t>
        </w:r>
      </w:hyperlink>
      <w:r w:rsidRPr="00A20E49">
        <w:rPr>
          <w:rFonts w:eastAsia="DejaVu Sans"/>
          <w:kern w:val="2"/>
          <w:lang w:val="es-ES" w:eastAsia="zh-CN" w:bidi="hi-IN"/>
        </w:rPr>
        <w:t xml:space="preserve"> </w:t>
      </w:r>
    </w:p>
    <w:p w14:paraId="7765B077"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s-ES" w:eastAsia="zh-CN" w:bidi="hi-IN"/>
        </w:rPr>
        <w:t xml:space="preserve">9. Gasca Cuello D, Martínez Parra JP, Gómez Gordillo JS, Delgado Contreras SL, Fuentes Martinez RA. Manifestaciones de la retinopatía hipertensiva y de la retinopatía diabética en población adulta. S &amp; EMJ. 2021 </w:t>
      </w:r>
      <w:r w:rsidRPr="00A20E49">
        <w:rPr>
          <w:rFonts w:eastAsia="DejaVu Sans"/>
          <w:kern w:val="2"/>
          <w:lang w:val="es-MX" w:eastAsia="zh-CN" w:bidi="hi-IN"/>
        </w:rPr>
        <w:t>[acceso: 22/09/2023]</w:t>
      </w:r>
      <w:r w:rsidRPr="00A20E49">
        <w:rPr>
          <w:rFonts w:eastAsia="DejaVu Sans"/>
          <w:kern w:val="2"/>
          <w:lang w:val="es-ES" w:eastAsia="zh-CN" w:bidi="hi-IN"/>
        </w:rPr>
        <w:t xml:space="preserve">; 1:64-72. Disponible en: </w:t>
      </w:r>
      <w:hyperlink r:id="rId25" w:history="1">
        <w:r w:rsidRPr="00A20E49">
          <w:rPr>
            <w:rFonts w:eastAsia="DejaVu Sans"/>
            <w:color w:val="0000FF"/>
            <w:kern w:val="2"/>
            <w:lang w:val="es-ES" w:eastAsia="zh-CN" w:bidi="hi-IN"/>
          </w:rPr>
          <w:t>https://www.medicaljournal.com.co/index.php/mj/article/view/15/136</w:t>
        </w:r>
      </w:hyperlink>
      <w:r w:rsidRPr="00A20E49">
        <w:rPr>
          <w:rFonts w:eastAsia="DejaVu Sans"/>
          <w:kern w:val="2"/>
          <w:lang w:val="es-ES" w:eastAsia="zh-CN" w:bidi="hi-IN"/>
        </w:rPr>
        <w:t xml:space="preserve"> </w:t>
      </w:r>
    </w:p>
    <w:p w14:paraId="132FAEA8" w14:textId="77777777" w:rsidR="00A20E49" w:rsidRPr="00A20E49" w:rsidRDefault="00A20E49" w:rsidP="00A20E49">
      <w:pPr>
        <w:suppressAutoHyphens/>
        <w:spacing w:line="360" w:lineRule="auto"/>
        <w:rPr>
          <w:rFonts w:eastAsia="DejaVu Sans"/>
          <w:kern w:val="2"/>
          <w:lang w:val="es-MX" w:eastAsia="zh-CN" w:bidi="hi-IN"/>
        </w:rPr>
      </w:pPr>
      <w:r w:rsidRPr="00A20E49">
        <w:rPr>
          <w:rFonts w:eastAsia="DejaVu Sans"/>
          <w:kern w:val="2"/>
          <w:lang w:val="es-MX" w:eastAsia="zh-CN" w:bidi="hi-IN"/>
        </w:rPr>
        <w:t xml:space="preserve">10. Asociación Médica Mundial. Declaración de Helsinki de la AMM – Principios éticos para las investigaciones médicas en seres humanos. Brasil, Fortaleza: 64ª Asamblea General AMM; 2013. [acceso: 22/05/2023]. Disponible en: </w:t>
      </w:r>
      <w:hyperlink r:id="rId26" w:history="1">
        <w:r w:rsidRPr="00A20E49">
          <w:rPr>
            <w:rFonts w:eastAsia="DejaVu Sans"/>
            <w:color w:val="0000FF"/>
            <w:kern w:val="2"/>
            <w:lang w:val="es-MX" w:eastAsia="zh-CN" w:bidi="hi-IN"/>
          </w:rPr>
          <w:t>https://www.wma.net/es/policies-post/declaracion-de-helsinki-de-la-amm-principios-eticos-para-las-investigaciones-medicas-en-seres-humanos/</w:t>
        </w:r>
      </w:hyperlink>
      <w:r w:rsidRPr="00A20E49">
        <w:rPr>
          <w:rFonts w:eastAsia="DejaVu Sans"/>
          <w:kern w:val="2"/>
          <w:lang w:val="es-MX" w:eastAsia="zh-CN" w:bidi="hi-IN"/>
        </w:rPr>
        <w:t xml:space="preserve"> </w:t>
      </w:r>
    </w:p>
    <w:p w14:paraId="274C2C63" w14:textId="77777777" w:rsidR="00A20E49" w:rsidRPr="00A20E49" w:rsidRDefault="00A20E49" w:rsidP="00A20E49">
      <w:pPr>
        <w:suppressAutoHyphens/>
        <w:spacing w:line="360" w:lineRule="auto"/>
        <w:rPr>
          <w:rFonts w:eastAsia="DejaVu Sans"/>
          <w:kern w:val="2"/>
          <w:lang w:val="en-US" w:eastAsia="zh-CN" w:bidi="hi-IN"/>
        </w:rPr>
      </w:pPr>
      <w:r w:rsidRPr="00A20E49">
        <w:rPr>
          <w:rFonts w:eastAsia="DejaVu Sans"/>
          <w:kern w:val="2"/>
          <w:lang w:val="en-US" w:eastAsia="zh-CN" w:bidi="hi-IN"/>
        </w:rPr>
        <w:t xml:space="preserve">11. Wright JD, Folsom AR, Coresh J, Sharrett AR, Couper D, Wagenknecht LE, et al. The ARIC (Atherosclerosis Risk In Communities) Study: JACC Focus Seminar 3/8. J Am Coll Cardiol. 2021 </w:t>
      </w:r>
      <w:r w:rsidRPr="00A20E49">
        <w:rPr>
          <w:rFonts w:eastAsia="DejaVu Sans"/>
          <w:kern w:val="2"/>
          <w:lang w:val="en-US" w:eastAsia="zh-CN" w:bidi="hi-IN"/>
        </w:rPr>
        <w:lastRenderedPageBreak/>
        <w:t xml:space="preserve">[acceso: 03/06/2023]; 77(23):2939-59. Disponible en: </w:t>
      </w:r>
      <w:hyperlink r:id="rId27" w:history="1">
        <w:r w:rsidRPr="00A20E49">
          <w:rPr>
            <w:rFonts w:eastAsia="DejaVu Sans"/>
            <w:color w:val="0000FF"/>
            <w:kern w:val="2"/>
            <w:lang w:val="en-US" w:eastAsia="zh-CN" w:bidi="hi-IN"/>
          </w:rPr>
          <w:t>https://www.ncbi.nlm.nih.gov/pmc/articles/PMC8667593/pdf/nihms-1704539.pdf</w:t>
        </w:r>
      </w:hyperlink>
      <w:r w:rsidRPr="00A20E49">
        <w:rPr>
          <w:rFonts w:eastAsia="DejaVu Sans"/>
          <w:kern w:val="2"/>
          <w:lang w:val="en-US" w:eastAsia="zh-CN" w:bidi="hi-IN"/>
        </w:rPr>
        <w:t xml:space="preserve"> </w:t>
      </w:r>
    </w:p>
    <w:p w14:paraId="304FA523"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n-US" w:eastAsia="zh-CN" w:bidi="hi-IN"/>
        </w:rPr>
        <w:t xml:space="preserve">12. No authors listed. The Lipid Research Clinics Coronary Primary Prevention Trial results. I. Reduction in incidence of coronary heart disease. JAMA.1984 [acceso: 11/12/2022]; 251(3):351-64. </w:t>
      </w:r>
      <w:r w:rsidRPr="00A20E49">
        <w:rPr>
          <w:rFonts w:eastAsia="DejaVu Sans"/>
          <w:kern w:val="2"/>
          <w:lang w:val="es-ES" w:eastAsia="zh-CN" w:bidi="hi-IN"/>
        </w:rPr>
        <w:t xml:space="preserve">Disponible en: </w:t>
      </w:r>
      <w:hyperlink r:id="rId28" w:history="1">
        <w:r w:rsidRPr="00A20E49">
          <w:rPr>
            <w:rFonts w:eastAsia="DejaVu Sans"/>
            <w:color w:val="0000FF"/>
            <w:kern w:val="2"/>
            <w:lang w:val="es-ES" w:eastAsia="zh-CN" w:bidi="hi-IN"/>
          </w:rPr>
          <w:t>https://pubmed.ncbi.nlm.nih.gov/6361299/</w:t>
        </w:r>
      </w:hyperlink>
      <w:r w:rsidRPr="00A20E49">
        <w:rPr>
          <w:rFonts w:eastAsia="DejaVu Sans"/>
          <w:kern w:val="2"/>
          <w:lang w:val="es-ES" w:eastAsia="zh-CN" w:bidi="hi-IN"/>
        </w:rPr>
        <w:t xml:space="preserve"> </w:t>
      </w:r>
    </w:p>
    <w:p w14:paraId="7A7EFB04"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s-ES" w:eastAsia="zh-CN" w:bidi="hi-IN"/>
        </w:rPr>
        <w:t xml:space="preserve">13. Chávez-Pardo I, Cuéllar-Torres O, Díaz-Ríos A, Rodríguez-Pargas A, Hernández-Rodríguez M. Factores de riesgo que influyen en el desarrollo de la retinopatía diabética. Archivo Médico Camagüey. 2022 [acceso:10/07/2023]; 26:e8971. Disponible en: </w:t>
      </w:r>
      <w:hyperlink r:id="rId29" w:history="1">
        <w:r w:rsidRPr="00A20E49">
          <w:rPr>
            <w:rFonts w:eastAsia="DejaVu Sans"/>
            <w:color w:val="0000FF"/>
            <w:kern w:val="2"/>
            <w:lang w:val="es-ES" w:eastAsia="zh-CN" w:bidi="hi-IN"/>
          </w:rPr>
          <w:t>https://revistaamc.sld.cu/index.php/amc/article/view/8971</w:t>
        </w:r>
      </w:hyperlink>
      <w:r w:rsidRPr="00A20E49">
        <w:rPr>
          <w:rFonts w:eastAsia="DejaVu Sans"/>
          <w:kern w:val="2"/>
          <w:lang w:val="es-ES" w:eastAsia="zh-CN" w:bidi="hi-IN"/>
        </w:rPr>
        <w:t xml:space="preserve"> </w:t>
      </w:r>
    </w:p>
    <w:p w14:paraId="7470B758"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s-ES" w:eastAsia="zh-CN" w:bidi="hi-IN"/>
        </w:rPr>
        <w:t xml:space="preserve">14. Castillo Bermúdez G, Artiles Martínez K, Márquez Falcón A. El fondo de ojo, una ventana a la microvasculatura del paciente hipertenso. 2023 </w:t>
      </w:r>
      <w:r w:rsidRPr="00A20E49">
        <w:rPr>
          <w:rFonts w:eastAsia="DejaVu Sans"/>
          <w:kern w:val="2"/>
          <w:lang w:val="es-MX" w:eastAsia="zh-CN" w:bidi="hi-IN"/>
        </w:rPr>
        <w:t>[acceso: 07/11/2023]</w:t>
      </w:r>
      <w:r w:rsidRPr="00A20E49">
        <w:rPr>
          <w:rFonts w:eastAsia="DejaVu Sans"/>
          <w:kern w:val="2"/>
          <w:lang w:val="es-ES" w:eastAsia="zh-CN" w:bidi="hi-IN"/>
        </w:rPr>
        <w:t xml:space="preserve">; 27(1):e3875. Disponible en: </w:t>
      </w:r>
      <w:hyperlink r:id="rId30" w:history="1">
        <w:r w:rsidRPr="00A20E49">
          <w:rPr>
            <w:rFonts w:eastAsia="DejaVu Sans"/>
            <w:color w:val="0000FF"/>
            <w:kern w:val="2"/>
            <w:lang w:val="es-ES" w:eastAsia="zh-CN" w:bidi="hi-IN"/>
          </w:rPr>
          <w:t>http://scielo.sld.cu/pdf/mdc/v27n1/1029-3043-mdc-27-01-e3875.pdf</w:t>
        </w:r>
      </w:hyperlink>
    </w:p>
    <w:p w14:paraId="2336A494" w14:textId="77777777" w:rsidR="00A20E49" w:rsidRPr="00A20E49" w:rsidRDefault="00A20E49" w:rsidP="00A20E49">
      <w:pPr>
        <w:suppressAutoHyphens/>
        <w:spacing w:line="360" w:lineRule="auto"/>
        <w:rPr>
          <w:rFonts w:eastAsia="Calibri"/>
          <w:lang w:val="es-ES" w:eastAsia="en-US"/>
        </w:rPr>
      </w:pPr>
      <w:r w:rsidRPr="00A20E49">
        <w:rPr>
          <w:rFonts w:eastAsia="DejaVu Sans"/>
          <w:kern w:val="2"/>
          <w:lang w:val="es-ES" w:eastAsia="zh-CN" w:bidi="hi-IN"/>
        </w:rPr>
        <w:t xml:space="preserve">15. Ueno Y, Iwase T, Goto K, Tomita K, Ra E, Yamamoto K, et al. </w:t>
      </w:r>
      <w:r w:rsidRPr="00A20E49">
        <w:rPr>
          <w:rFonts w:eastAsia="DejaVu Sans"/>
          <w:kern w:val="2"/>
          <w:lang w:val="en-US" w:eastAsia="zh-CN" w:bidi="hi-IN"/>
        </w:rPr>
        <w:t xml:space="preserve">Association of changes of retinal vessels diameter with ocular blood flow in eyes with diabetic retinopathy. </w:t>
      </w:r>
      <w:r w:rsidRPr="00A20E49">
        <w:rPr>
          <w:rFonts w:eastAsia="DejaVu Sans"/>
          <w:kern w:val="2"/>
          <w:lang w:val="es-MX" w:eastAsia="zh-CN" w:bidi="hi-IN"/>
        </w:rPr>
        <w:t xml:space="preserve">Sci Rep. 2021 [acceso: 22/05/2023]; 11(4653):1-12. Disponible en: </w:t>
      </w:r>
      <w:hyperlink r:id="rId31">
        <w:r w:rsidRPr="00A20E49">
          <w:rPr>
            <w:rFonts w:eastAsia="DejaVu Sans"/>
            <w:color w:val="0000FF"/>
            <w:kern w:val="2"/>
            <w:lang w:val="es-ES" w:eastAsia="zh-CN" w:bidi="hi-IN"/>
          </w:rPr>
          <w:t>https://www.nature.com/articles/s41598-021-84067-2</w:t>
        </w:r>
      </w:hyperlink>
    </w:p>
    <w:p w14:paraId="0254941E"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s-ES" w:eastAsia="zh-CN" w:bidi="hi-IN"/>
        </w:rPr>
        <w:t xml:space="preserve">16. Triantafyllou A, Anyfanti P, Zabulis X, Gavriilaki E, Karamaounas P, Gkaliagkousi E, et al. </w:t>
      </w:r>
      <w:r w:rsidRPr="00A20E49">
        <w:rPr>
          <w:rFonts w:eastAsia="DejaVu Sans"/>
          <w:kern w:val="2"/>
          <w:lang w:val="en-US" w:eastAsia="zh-CN" w:bidi="hi-IN"/>
        </w:rPr>
        <w:t xml:space="preserve">Accumulation of microvascular target organ damage in newly diagnosed hypertensive patients. </w:t>
      </w:r>
      <w:r w:rsidRPr="00A20E49">
        <w:rPr>
          <w:rFonts w:eastAsia="DejaVu Sans"/>
          <w:kern w:val="2"/>
          <w:lang w:val="es-ES" w:eastAsia="zh-CN" w:bidi="hi-IN"/>
        </w:rPr>
        <w:t xml:space="preserve">J Am Soc Hypertens. 2014 [acceso: 10/01/2023]; 8(8):542–9. Disponible en: </w:t>
      </w:r>
      <w:hyperlink w:history="1"/>
      <w:hyperlink r:id="rId32" w:history="1">
        <w:r w:rsidRPr="00A20E49">
          <w:rPr>
            <w:rFonts w:eastAsia="DejaVu Sans"/>
            <w:color w:val="0000FF"/>
            <w:kern w:val="2"/>
            <w:lang w:val="es-ES" w:eastAsia="zh-CN" w:bidi="hi-IN"/>
          </w:rPr>
          <w:t>https://linkinghub.elsevier.com/retrieve/pii/S1933-1711(14)00515-4</w:t>
        </w:r>
      </w:hyperlink>
      <w:r w:rsidRPr="00A20E49">
        <w:rPr>
          <w:rFonts w:eastAsia="DejaVu Sans"/>
          <w:kern w:val="2"/>
          <w:lang w:val="es-ES" w:eastAsia="zh-CN" w:bidi="hi-IN"/>
        </w:rPr>
        <w:t xml:space="preserve"> </w:t>
      </w:r>
    </w:p>
    <w:p w14:paraId="01C2E7EB"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s-ES" w:eastAsia="zh-CN" w:bidi="hi-IN"/>
        </w:rPr>
        <w:t xml:space="preserve">17. Alvarado Jiménez HD. Prevalencia de retinopatía en los pacientes diagnosticados de Hipertensión Arterial y/o Diabetes Mellitus, que acuden a los Centros de Salud Machángara y Ricaurte del cantón Cuenca, entre marzo y mayo de 2019. [Tesis de maestría]. Ecuador: Universidad del Azuay; 2020. [acceso: 10/01/2023]. Disponible en: </w:t>
      </w:r>
      <w:hyperlink r:id="rId33" w:history="1">
        <w:r w:rsidRPr="00A20E49">
          <w:rPr>
            <w:rFonts w:eastAsia="DejaVu Sans"/>
            <w:color w:val="0000FF"/>
            <w:kern w:val="2"/>
            <w:lang w:val="es-ES" w:eastAsia="zh-CN" w:bidi="hi-IN"/>
          </w:rPr>
          <w:t>https://dspace.uazuay.edu.ec/bitstream/datos/10262/1/15891.pdf</w:t>
        </w:r>
      </w:hyperlink>
      <w:r w:rsidRPr="00A20E49">
        <w:rPr>
          <w:rFonts w:eastAsia="DejaVu Sans"/>
          <w:kern w:val="2"/>
          <w:lang w:val="es-ES" w:eastAsia="zh-CN" w:bidi="hi-IN"/>
        </w:rPr>
        <w:t xml:space="preserve"> </w:t>
      </w:r>
    </w:p>
    <w:p w14:paraId="2D47CB83"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s-ES" w:eastAsia="zh-CN" w:bidi="hi-IN"/>
        </w:rPr>
        <w:t xml:space="preserve">18. Dorta L, Matos George E, Núñez Figueroa Y, Rocha González MG. Relación entre retinopatía hipertensiva e hipertrofia ventricular izquierda en pacientes con Hipertensión Arterial. Comunidad y Salud. 2021 [acceso: 10/01/2023]; 19(1):89. Disponible en: [acceso: 22/05/2023]. Disponible en: </w:t>
      </w:r>
      <w:hyperlink w:history="1"/>
      <w:r w:rsidRPr="00A20E49" w:rsidDel="00BB4AC0">
        <w:rPr>
          <w:rFonts w:eastAsia="DejaVu Sans"/>
          <w:kern w:val="2"/>
          <w:sz w:val="20"/>
          <w:szCs w:val="18"/>
          <w:lang w:val="es-ES" w:eastAsia="zh-CN" w:bidi="hi-IN"/>
        </w:rPr>
        <w:t xml:space="preserve"> </w:t>
      </w:r>
      <w:hyperlink r:id="rId34" w:history="1">
        <w:r w:rsidRPr="00A20E49">
          <w:rPr>
            <w:rFonts w:eastAsia="DejaVu Sans"/>
            <w:color w:val="0000FF"/>
            <w:kern w:val="2"/>
            <w:lang w:val="es-ES" w:eastAsia="zh-CN" w:bidi="hi-IN"/>
          </w:rPr>
          <w:t>http://servicio.bc.uc.edu.ve/fcs/cysv19n1/art02.pdf</w:t>
        </w:r>
      </w:hyperlink>
      <w:r w:rsidRPr="00A20E49">
        <w:rPr>
          <w:rFonts w:eastAsia="DejaVu Sans"/>
          <w:kern w:val="2"/>
          <w:lang w:val="es-ES" w:eastAsia="zh-CN" w:bidi="hi-IN"/>
        </w:rPr>
        <w:t xml:space="preserve"> </w:t>
      </w:r>
    </w:p>
    <w:p w14:paraId="3657205A"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s-ES" w:eastAsia="zh-CN" w:bidi="hi-IN"/>
        </w:rPr>
        <w:lastRenderedPageBreak/>
        <w:t xml:space="preserve">19. Hernández-Velázquez FM, Santisteban-Rodríguez BC, Pizarro-Hechevarría RJ. Prevalencia de retinopatía hipertensiva en pacientes ingresados por emergencia hipertensiva. Es Tu Salud. 2021 [acceso: 10/05/2023]; 4(1):8. Disponible en: </w:t>
      </w:r>
      <w:hyperlink r:id="rId35" w:history="1">
        <w:r w:rsidRPr="00A20E49">
          <w:rPr>
            <w:rFonts w:eastAsia="DejaVu Sans"/>
            <w:color w:val="0000FF"/>
            <w:kern w:val="2"/>
            <w:lang w:val="es-ES" w:eastAsia="zh-CN" w:bidi="hi-IN"/>
          </w:rPr>
          <w:t>https://revestusalud.sld.cu/index.php/estusalud/article/view/191/126</w:t>
        </w:r>
      </w:hyperlink>
    </w:p>
    <w:p w14:paraId="4780DEA2"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s-ES" w:eastAsia="zh-CN" w:bidi="hi-IN"/>
        </w:rPr>
        <w:t xml:space="preserve">20. Sánchez-Lorenzo I, Sánchez-Albor N, Leyva-Feria Z. Pacientes con retinopatía hipertensiva e indicios de lesiones en otros órganos diana. Revista Electrónica Dr. Zoilo E. Marinello Vidaurreta. 2016 [acceso: 31/07/2022]; 41(11):1-7 Disponible en: </w:t>
      </w:r>
      <w:hyperlink r:id="rId36" w:history="1">
        <w:r w:rsidRPr="00A20E49">
          <w:rPr>
            <w:rFonts w:eastAsia="DejaVu Sans"/>
            <w:color w:val="0000FF"/>
            <w:kern w:val="2"/>
            <w:lang w:val="es-ES" w:eastAsia="zh-CN" w:bidi="hi-IN"/>
          </w:rPr>
          <w:t>https://revzoilomarinello.sld.cu/index.php/zmv/article/view/979</w:t>
        </w:r>
      </w:hyperlink>
      <w:r w:rsidRPr="00A20E49">
        <w:rPr>
          <w:rFonts w:eastAsia="DejaVu Sans"/>
          <w:kern w:val="2"/>
          <w:lang w:val="es-ES" w:eastAsia="zh-CN" w:bidi="hi-IN"/>
        </w:rPr>
        <w:t xml:space="preserve"> </w:t>
      </w:r>
    </w:p>
    <w:p w14:paraId="35E9C0B2"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s-ES" w:eastAsia="zh-CN" w:bidi="hi-IN"/>
        </w:rPr>
        <w:t xml:space="preserve">21. Cáceres Toledo M, Cáceres Toledo O, Cordiés Jackson L. Hipertensión arterial y retinopatía hipertensiva. Su comportamiento en un área de salud. Rev Cubana Med. 2000 [acceso: 10/05/2023]; 39(4):210–6. Disponible en: </w:t>
      </w:r>
      <w:hyperlink w:history="1"/>
      <w:r w:rsidRPr="00A20E49">
        <w:rPr>
          <w:rFonts w:ascii="Liberation Serif" w:eastAsia="DejaVu Sans" w:hAnsi="Liberation Serif" w:cs="Mangal"/>
          <w:kern w:val="2"/>
          <w:sz w:val="20"/>
          <w:szCs w:val="18"/>
          <w:lang w:val="es-ES" w:eastAsia="zh-CN" w:bidi="hi-IN"/>
        </w:rPr>
        <w:t xml:space="preserve"> </w:t>
      </w:r>
      <w:hyperlink r:id="rId37" w:history="1">
        <w:r w:rsidRPr="00A20E49">
          <w:rPr>
            <w:rFonts w:eastAsia="DejaVu Sans"/>
            <w:color w:val="0000FF"/>
            <w:kern w:val="2"/>
            <w:lang w:val="es-ES" w:eastAsia="zh-CN" w:bidi="hi-IN"/>
          </w:rPr>
          <w:t>http://scielo.sld.cu/scielo.php?script=sci_arttext&amp;pid=S0034-75232000000400002</w:t>
        </w:r>
      </w:hyperlink>
      <w:r w:rsidRPr="00A20E49">
        <w:rPr>
          <w:rFonts w:eastAsia="DejaVu Sans"/>
          <w:kern w:val="2"/>
          <w:lang w:val="es-ES" w:eastAsia="zh-CN" w:bidi="hi-IN"/>
        </w:rPr>
        <w:t xml:space="preserve">  </w:t>
      </w:r>
    </w:p>
    <w:p w14:paraId="63925051"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s-ES" w:eastAsia="zh-CN" w:bidi="hi-IN"/>
        </w:rPr>
        <w:t xml:space="preserve">22. Salazar Matos V, Espinosa T, González Ruiz DJ, Carrasco S, Romani A, Escalera L, et al. Enfermedad cardiovascular en la mujer. Medicina (B. Aires). 2023 </w:t>
      </w:r>
      <w:r w:rsidRPr="00A20E49">
        <w:rPr>
          <w:rFonts w:eastAsia="DejaVu Sans"/>
          <w:kern w:val="2"/>
          <w:lang w:val="es-MX" w:eastAsia="zh-CN" w:bidi="hi-IN"/>
        </w:rPr>
        <w:t>[acceso: 22/05/2023]</w:t>
      </w:r>
      <w:r w:rsidRPr="00A20E49">
        <w:rPr>
          <w:rFonts w:eastAsia="DejaVu Sans"/>
          <w:kern w:val="2"/>
          <w:lang w:val="es-ES" w:eastAsia="zh-CN" w:bidi="hi-IN"/>
        </w:rPr>
        <w:t xml:space="preserve">; 83(Suppl 1): 36-41. Disponible en: </w:t>
      </w:r>
      <w:hyperlink w:history="1"/>
      <w:hyperlink r:id="rId38" w:history="1">
        <w:r w:rsidRPr="00A20E49">
          <w:rPr>
            <w:rFonts w:eastAsia="DejaVu Sans"/>
            <w:color w:val="0000FF"/>
            <w:kern w:val="2"/>
            <w:lang w:val="es-ES" w:eastAsia="zh-CN" w:bidi="hi-IN"/>
          </w:rPr>
          <w:t>http://www.scielo.org.ar/scielo.php?script=sci_arttext&amp;pid=S0025-76802023000100036</w:t>
        </w:r>
      </w:hyperlink>
      <w:r w:rsidRPr="00A20E49">
        <w:rPr>
          <w:rFonts w:eastAsia="DejaVu Sans"/>
          <w:kern w:val="2"/>
          <w:lang w:val="es-ES" w:eastAsia="zh-CN" w:bidi="hi-IN"/>
        </w:rPr>
        <w:t xml:space="preserve"> </w:t>
      </w:r>
    </w:p>
    <w:p w14:paraId="7F202397"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s-ES" w:eastAsia="zh-CN" w:bidi="hi-IN"/>
        </w:rPr>
        <w:t xml:space="preserve">23. Figueroa Balladares JE. Importancia del perfil lipídico e índices aterogénicos en el seguimiento del riesgo cardiovascular en mujeres menopáusicas. Dom. Cien. 2021 [acceso: 10/05/2023]; 7(2):151-67. Disponible en: </w:t>
      </w:r>
      <w:hyperlink w:history="1"/>
      <w:r w:rsidRPr="00A20E49">
        <w:rPr>
          <w:rFonts w:ascii="Liberation Serif" w:eastAsia="DejaVu Sans" w:hAnsi="Liberation Serif" w:cs="Mangal"/>
          <w:kern w:val="2"/>
          <w:sz w:val="20"/>
          <w:szCs w:val="18"/>
          <w:lang w:val="es-ES" w:eastAsia="zh-CN" w:bidi="hi-IN"/>
        </w:rPr>
        <w:t xml:space="preserve"> </w:t>
      </w:r>
      <w:hyperlink r:id="rId39" w:history="1">
        <w:r w:rsidRPr="00A20E49">
          <w:rPr>
            <w:rFonts w:eastAsia="DejaVu Sans"/>
            <w:color w:val="0000FF"/>
            <w:kern w:val="2"/>
            <w:lang w:val="es-ES" w:eastAsia="zh-CN" w:bidi="hi-IN"/>
          </w:rPr>
          <w:t>https://dialnet.unirioja.es/servlet/articulo?codigo=8386006</w:t>
        </w:r>
      </w:hyperlink>
      <w:r w:rsidRPr="00A20E49">
        <w:rPr>
          <w:rFonts w:eastAsia="DejaVu Sans"/>
          <w:kern w:val="2"/>
          <w:lang w:val="es-ES" w:eastAsia="zh-CN" w:bidi="hi-IN"/>
        </w:rPr>
        <w:t xml:space="preserve">  </w:t>
      </w:r>
    </w:p>
    <w:p w14:paraId="0F0254D7"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s-ES" w:eastAsia="zh-CN" w:bidi="hi-IN"/>
        </w:rPr>
        <w:t xml:space="preserve">24. Mahapatra R, Kaliyappan A, Chinnakali P, Hanumanthappa N, Govindarajalou R, Banmmigatti Ch. </w:t>
      </w:r>
      <w:r w:rsidRPr="00A20E49">
        <w:rPr>
          <w:rFonts w:eastAsia="DejaVu Sans"/>
          <w:kern w:val="2"/>
          <w:lang w:val="en-US" w:eastAsia="zh-CN" w:bidi="hi-IN"/>
        </w:rPr>
        <w:t xml:space="preserve">Prevalence and Risk Factors for Resistant Hypertension: Cross-Sectional Study From a Tertiary Care Referral Hospital in South India. </w:t>
      </w:r>
      <w:r w:rsidRPr="00A20E49">
        <w:rPr>
          <w:rFonts w:eastAsia="DejaVu Sans"/>
          <w:kern w:val="2"/>
          <w:lang w:val="es-ES" w:eastAsia="zh-CN" w:bidi="hi-IN"/>
        </w:rPr>
        <w:t>Cureus. 2021 [acceso: 10/05/2023]; 13(10):e18779. Disponible en:</w:t>
      </w:r>
      <w:r w:rsidRPr="00A20E49">
        <w:rPr>
          <w:rFonts w:ascii="Liberation Serif" w:eastAsia="DejaVu Sans" w:hAnsi="Liberation Serif" w:cs="Mangal"/>
          <w:kern w:val="2"/>
          <w:sz w:val="20"/>
          <w:szCs w:val="18"/>
          <w:lang w:val="es-ES" w:eastAsia="zh-CN" w:bidi="hi-IN"/>
        </w:rPr>
        <w:t xml:space="preserve"> </w:t>
      </w:r>
      <w:hyperlink r:id="rId40" w:history="1">
        <w:r w:rsidRPr="00A20E49">
          <w:rPr>
            <w:rFonts w:eastAsia="DejaVu Sans"/>
            <w:color w:val="0000FF"/>
            <w:kern w:val="2"/>
            <w:lang w:val="es-ES" w:eastAsia="zh-CN" w:bidi="hi-IN"/>
          </w:rPr>
          <w:t>https://pubmed.ncbi.nlm.nih.gov/34796068/</w:t>
        </w:r>
      </w:hyperlink>
      <w:r w:rsidRPr="00A20E49">
        <w:rPr>
          <w:rFonts w:eastAsia="DejaVu Sans"/>
          <w:kern w:val="2"/>
          <w:lang w:val="es-ES" w:eastAsia="zh-CN" w:bidi="hi-IN"/>
        </w:rPr>
        <w:t xml:space="preserve"> </w:t>
      </w:r>
    </w:p>
    <w:p w14:paraId="677D6EAE" w14:textId="77777777" w:rsidR="00A20E49" w:rsidRPr="00A20E49" w:rsidRDefault="00A20E49" w:rsidP="00A20E49">
      <w:pPr>
        <w:suppressAutoHyphens/>
        <w:spacing w:line="360" w:lineRule="auto"/>
        <w:contextualSpacing/>
        <w:rPr>
          <w:rFonts w:eastAsia="DejaVu Sans"/>
          <w:kern w:val="2"/>
          <w:lang w:val="en-US" w:eastAsia="zh-CN" w:bidi="hi-IN"/>
        </w:rPr>
      </w:pPr>
      <w:r w:rsidRPr="00A20E49">
        <w:rPr>
          <w:rFonts w:eastAsia="DejaVu Sans"/>
          <w:kern w:val="2"/>
          <w:lang w:val="es-ES" w:eastAsia="zh-CN" w:bidi="hi-IN"/>
        </w:rPr>
        <w:t xml:space="preserve">25. Onwuegbuna A, Apakama AI, Okosa ChM, Chianakwalam EA, Amobi MB, Chigbo ChG, et al. </w:t>
      </w:r>
      <w:r w:rsidRPr="00A20E49">
        <w:rPr>
          <w:rFonts w:eastAsia="DejaVu Sans"/>
          <w:kern w:val="2"/>
          <w:lang w:val="en-US" w:eastAsia="zh-CN" w:bidi="hi-IN"/>
        </w:rPr>
        <w:t xml:space="preserve">Prevalence and Determinants of Arterial Hypertension among Patients with Ocular Diseases in South East Nigeria. Fortune Journal of Health Sciences. 2021 [acceso: 10/05/2023]; 4(4):479-90. Disponible en: </w:t>
      </w:r>
      <w:hyperlink w:history="1"/>
      <w:r w:rsidRPr="00A20E49">
        <w:rPr>
          <w:rFonts w:ascii="Liberation Serif" w:eastAsia="DejaVu Sans" w:hAnsi="Liberation Serif" w:cs="FreeSans"/>
          <w:kern w:val="2"/>
          <w:lang w:val="en-US" w:eastAsia="zh-CN" w:bidi="hi-IN"/>
        </w:rPr>
        <w:t xml:space="preserve"> </w:t>
      </w:r>
      <w:hyperlink r:id="rId41" w:history="1">
        <w:r w:rsidRPr="00A20E49">
          <w:rPr>
            <w:rFonts w:eastAsia="DejaVu Sans"/>
            <w:color w:val="0000FF"/>
            <w:kern w:val="2"/>
            <w:lang w:val="en-US" w:eastAsia="zh-CN" w:bidi="hi-IN"/>
          </w:rPr>
          <w:t>https://fortuneonline.org/articles/prevalence-and-determinants-of-arterial-hypertension-among-patients-with-ocular-diseases-in-south-east-nigeria.pdf</w:t>
        </w:r>
      </w:hyperlink>
      <w:r w:rsidRPr="00A20E49">
        <w:rPr>
          <w:rFonts w:eastAsia="DejaVu Sans"/>
          <w:kern w:val="2"/>
          <w:lang w:val="en-US" w:eastAsia="zh-CN" w:bidi="hi-IN"/>
        </w:rPr>
        <w:t xml:space="preserve">  </w:t>
      </w:r>
    </w:p>
    <w:p w14:paraId="520BFA5A"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s-ES" w:eastAsia="zh-CN" w:bidi="hi-IN"/>
        </w:rPr>
        <w:lastRenderedPageBreak/>
        <w:t xml:space="preserve">26. Pérez Molina EC, León Veitía L. La fotografía de fondo de ojo como método de diagnóstico en el glaucoma. Medicent Electrón. 2017 [acceso: 10/05/2023]; 21(1):3-10. Disponible en: </w:t>
      </w:r>
      <w:hyperlink r:id="rId42" w:history="1">
        <w:r w:rsidRPr="00A20E49">
          <w:rPr>
            <w:rFonts w:eastAsia="DejaVu Sans"/>
            <w:color w:val="0000FF"/>
            <w:kern w:val="2"/>
            <w:lang w:val="es-ES" w:eastAsia="zh-CN" w:bidi="hi-IN"/>
          </w:rPr>
          <w:t>http://scielo.sld.cu/scielo.php?script=sci_arttext&amp;pid=S1029-30432017000100002&amp;lng=en</w:t>
        </w:r>
      </w:hyperlink>
      <w:r w:rsidRPr="00A20E49">
        <w:rPr>
          <w:rFonts w:eastAsia="DejaVu Sans"/>
          <w:kern w:val="2"/>
          <w:lang w:val="es-ES" w:eastAsia="zh-CN" w:bidi="hi-IN"/>
        </w:rPr>
        <w:t xml:space="preserve"> </w:t>
      </w:r>
    </w:p>
    <w:p w14:paraId="3090332D"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s-ES" w:eastAsia="zh-CN" w:bidi="hi-IN"/>
        </w:rPr>
        <w:t xml:space="preserve">27. Coll de Tuero G, Rodriguez Poncelas A, Faixedas Brunsoms D, Cadena Calderó A. Aplicación práctica de la retinografía en los hipertensos. Hipertens Riesgo Vasc. 2007 [acceso: 10/05/2023]; 24(2):61-9. Disponible en: </w:t>
      </w:r>
      <w:hyperlink w:history="1"/>
      <w:r w:rsidRPr="00A20E49" w:rsidDel="000F0C47">
        <w:rPr>
          <w:rFonts w:eastAsia="DejaVu Sans"/>
          <w:kern w:val="2"/>
          <w:sz w:val="20"/>
          <w:szCs w:val="18"/>
          <w:lang w:val="es-ES" w:eastAsia="zh-CN" w:bidi="hi-IN"/>
        </w:rPr>
        <w:t xml:space="preserve"> </w:t>
      </w:r>
      <w:hyperlink r:id="rId43" w:history="1">
        <w:r w:rsidRPr="00A20E49">
          <w:rPr>
            <w:rFonts w:eastAsia="DejaVu Sans"/>
            <w:color w:val="0000FF"/>
            <w:kern w:val="2"/>
            <w:lang w:val="es-ES" w:eastAsia="zh-CN" w:bidi="hi-IN"/>
          </w:rPr>
          <w:t>https://www.elsevier.es/es-revista-hipertension-riesgo-vascular-67-articulo-aplicacion-practica-retinografia-hipertensos-S1889183707716811</w:t>
        </w:r>
      </w:hyperlink>
      <w:r w:rsidRPr="00A20E49">
        <w:rPr>
          <w:rFonts w:eastAsia="DejaVu Sans"/>
          <w:kern w:val="2"/>
          <w:lang w:val="es-ES" w:eastAsia="zh-CN" w:bidi="hi-IN"/>
        </w:rPr>
        <w:t xml:space="preserve"> </w:t>
      </w:r>
    </w:p>
    <w:p w14:paraId="27080F14" w14:textId="77777777" w:rsidR="00A20E49" w:rsidRPr="00A20E49" w:rsidRDefault="00A20E49" w:rsidP="00A20E49">
      <w:pPr>
        <w:suppressAutoHyphens/>
        <w:spacing w:line="360" w:lineRule="auto"/>
        <w:rPr>
          <w:rFonts w:eastAsia="DejaVu Sans"/>
          <w:kern w:val="2"/>
          <w:sz w:val="20"/>
          <w:szCs w:val="18"/>
          <w:lang w:val="es-MX" w:eastAsia="zh-CN" w:bidi="hi-IN"/>
        </w:rPr>
      </w:pPr>
      <w:r w:rsidRPr="00A20E49">
        <w:rPr>
          <w:rFonts w:eastAsia="DejaVu Sans"/>
          <w:kern w:val="2"/>
          <w:lang w:val="es-ES" w:eastAsia="zh-CN" w:bidi="hi-IN"/>
        </w:rPr>
        <w:t xml:space="preserve">28. Dervenis N, Coleman AL, Harris A, Wilson R, Yu F, Anastasopoulos E, et al. </w:t>
      </w:r>
      <w:r w:rsidRPr="00A20E49">
        <w:rPr>
          <w:rFonts w:eastAsia="DejaVu Sans"/>
          <w:kern w:val="2"/>
          <w:lang w:val="en-US" w:eastAsia="zh-CN" w:bidi="hi-IN"/>
        </w:rPr>
        <w:t xml:space="preserve">Factors associated with retinal vessel diameters in an elderly population: the Thessaloniki Eye Study. </w:t>
      </w:r>
      <w:r w:rsidRPr="00A20E49">
        <w:rPr>
          <w:rFonts w:eastAsia="DejaVu Sans"/>
          <w:kern w:val="2"/>
          <w:lang w:val="es-MX" w:eastAsia="zh-CN" w:bidi="hi-IN"/>
        </w:rPr>
        <w:t xml:space="preserve">Invest Ophthalmol Vis Sci. 2019 [acceso: 22/05/2023]; 60:2208–17. Disponible en: </w:t>
      </w:r>
      <w:hyperlink r:id="rId44" w:history="1">
        <w:r w:rsidRPr="00A20E49">
          <w:rPr>
            <w:rFonts w:eastAsia="DejaVu Sans"/>
            <w:color w:val="0000FF"/>
            <w:kern w:val="2"/>
            <w:lang w:val="es-MX" w:eastAsia="zh-CN" w:bidi="hi-IN"/>
          </w:rPr>
          <w:t>https://iovs.arvojournals.org/article.aspx?articleid=2734482</w:t>
        </w:r>
      </w:hyperlink>
      <w:r w:rsidRPr="00A20E49">
        <w:rPr>
          <w:rFonts w:eastAsia="DejaVu Sans"/>
          <w:kern w:val="2"/>
          <w:lang w:val="es-MX" w:eastAsia="zh-CN" w:bidi="hi-IN"/>
        </w:rPr>
        <w:t xml:space="preserve"> </w:t>
      </w:r>
    </w:p>
    <w:p w14:paraId="7B3741E9"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s-ES" w:eastAsia="zh-CN" w:bidi="hi-IN"/>
        </w:rPr>
        <w:t xml:space="preserve">29. Parra Sánchez J. Relación del índice arteriovenoso de la retina con las lesiones orgánicas subclínicas en pacientes hipertensos y diabéticos. [Tesis doctoral]. España: Universidad de Salamanca; 2012. [acceso: 10/05/2023]. Disponible en: </w:t>
      </w:r>
      <w:hyperlink w:history="1"/>
      <w:hyperlink r:id="rId45" w:history="1">
        <w:r w:rsidRPr="00A20E49">
          <w:rPr>
            <w:rFonts w:eastAsia="DejaVu Sans"/>
            <w:color w:val="0000FF"/>
            <w:kern w:val="2"/>
            <w:lang w:val="es-ES" w:eastAsia="zh-CN" w:bidi="hi-IN"/>
          </w:rPr>
          <w:t>https://dialnet.unirioja.es/servlet/tesis?codigo=72982</w:t>
        </w:r>
      </w:hyperlink>
      <w:r w:rsidRPr="00A20E49">
        <w:rPr>
          <w:rFonts w:eastAsia="DejaVu Sans"/>
          <w:kern w:val="2"/>
          <w:lang w:val="es-ES" w:eastAsia="zh-CN" w:bidi="hi-IN"/>
        </w:rPr>
        <w:t xml:space="preserve"> </w:t>
      </w:r>
    </w:p>
    <w:p w14:paraId="11E88B12" w14:textId="77777777" w:rsidR="00A20E49" w:rsidRPr="00A20E49" w:rsidRDefault="00A20E49" w:rsidP="00A20E49">
      <w:pPr>
        <w:suppressAutoHyphens/>
        <w:spacing w:line="360" w:lineRule="auto"/>
        <w:rPr>
          <w:rFonts w:eastAsia="DejaVu Sans"/>
          <w:kern w:val="2"/>
          <w:lang w:val="es-ES" w:eastAsia="zh-CN" w:bidi="hi-IN"/>
        </w:rPr>
      </w:pPr>
      <w:r w:rsidRPr="00A20E49">
        <w:rPr>
          <w:rFonts w:eastAsia="DejaVu Sans"/>
          <w:kern w:val="2"/>
          <w:lang w:val="es-ES" w:eastAsia="zh-CN" w:bidi="hi-IN"/>
        </w:rPr>
        <w:t xml:space="preserve">30. Castillo Bermúdez G, Artiles Martínez K, Márquez Falcón A. El fondo de ojo, una ventana a la microvasculatura del paciente hipertenso. Medicentro Electrónica. 2023 [acceso: 10/01/2023]; 27(1): e3875. Disponible en: </w:t>
      </w:r>
      <w:r w:rsidRPr="00A20E49">
        <w:rPr>
          <w:rFonts w:ascii="Liberation Serif" w:eastAsia="DejaVu Sans" w:hAnsi="Liberation Serif" w:cs="Mangal"/>
          <w:kern w:val="2"/>
          <w:sz w:val="20"/>
          <w:szCs w:val="18"/>
          <w:lang w:val="es-ES" w:eastAsia="zh-CN" w:bidi="hi-IN"/>
        </w:rPr>
        <w:t xml:space="preserve"> </w:t>
      </w:r>
      <w:hyperlink r:id="rId46" w:history="1">
        <w:r w:rsidRPr="00A20E49">
          <w:rPr>
            <w:rFonts w:eastAsia="DejaVu Sans"/>
            <w:color w:val="0000FF"/>
            <w:kern w:val="2"/>
            <w:lang w:val="es-ES" w:eastAsia="zh-CN" w:bidi="hi-IN"/>
          </w:rPr>
          <w:t>http://scielo.sld.cu/pdf/mdc/v27n1/1029-3043-mdc-27-01-e3875.pdf</w:t>
        </w:r>
      </w:hyperlink>
      <w:r w:rsidRPr="00A20E49">
        <w:rPr>
          <w:rFonts w:eastAsia="DejaVu Sans"/>
          <w:kern w:val="2"/>
          <w:lang w:val="es-ES" w:eastAsia="zh-CN" w:bidi="hi-IN"/>
        </w:rPr>
        <w:t xml:space="preserve"> </w:t>
      </w:r>
    </w:p>
    <w:p w14:paraId="212BFC18" w14:textId="77777777" w:rsidR="00A20E49" w:rsidRPr="00A20E49" w:rsidRDefault="00A20E49" w:rsidP="00A20E49">
      <w:pPr>
        <w:suppressAutoHyphens/>
        <w:spacing w:line="360" w:lineRule="auto"/>
        <w:rPr>
          <w:rFonts w:eastAsia="DejaVu Sans"/>
          <w:kern w:val="2"/>
          <w:lang w:val="es-MX" w:eastAsia="zh-CN" w:bidi="hi-IN"/>
        </w:rPr>
      </w:pPr>
      <w:r w:rsidRPr="00A20E49">
        <w:rPr>
          <w:rFonts w:eastAsia="DejaVu Sans"/>
          <w:kern w:val="2"/>
          <w:lang w:val="en-US" w:eastAsia="zh-CN" w:bidi="hi-IN"/>
        </w:rPr>
        <w:t xml:space="preserve">31. Dai G, He W, Xu L, Pazo EE, Lin T, Liu S, et al. Exploring the effect of hypertension on retinal microvasculature using deep learning on East Asian population. </w:t>
      </w:r>
      <w:r w:rsidRPr="00A20E49">
        <w:rPr>
          <w:rFonts w:eastAsia="DejaVu Sans"/>
          <w:kern w:val="2"/>
          <w:lang w:val="es-ES" w:eastAsia="zh-CN" w:bidi="hi-IN"/>
        </w:rPr>
        <w:t xml:space="preserve">PLoS One. 2020 [acceso: 07/01/2023]; 15(3):1-13.  Disponible en: </w:t>
      </w:r>
      <w:hyperlink r:id="rId47" w:history="1">
        <w:r w:rsidRPr="00A20E49">
          <w:rPr>
            <w:rFonts w:eastAsia="DejaVu Sans"/>
            <w:color w:val="0000FF"/>
            <w:kern w:val="2"/>
            <w:lang w:val="es-ES" w:eastAsia="zh-CN" w:bidi="hi-IN"/>
          </w:rPr>
          <w:t>https://journals.plos.org/plosone/article/file?id=10.1371/journal.pone.0230111&amp;type=printable</w:t>
        </w:r>
      </w:hyperlink>
      <w:r w:rsidRPr="00A20E49">
        <w:rPr>
          <w:rFonts w:eastAsia="DejaVu Sans"/>
          <w:kern w:val="2"/>
          <w:lang w:val="es-ES" w:eastAsia="zh-CN" w:bidi="hi-IN"/>
        </w:rPr>
        <w:t xml:space="preserve"> </w:t>
      </w:r>
      <w:r w:rsidRPr="00A20E49" w:rsidDel="00755B3E">
        <w:rPr>
          <w:rFonts w:eastAsia="DejaVu Sans"/>
          <w:kern w:val="2"/>
          <w:sz w:val="20"/>
          <w:szCs w:val="18"/>
          <w:lang w:val="es-ES" w:eastAsia="zh-CN" w:bidi="hi-IN"/>
        </w:rPr>
        <w:t xml:space="preserve"> </w:t>
      </w:r>
    </w:p>
    <w:p w14:paraId="2F72F44B" w14:textId="77777777" w:rsidR="00A20E49" w:rsidRPr="00A20E49" w:rsidRDefault="00A20E49" w:rsidP="00A20E49">
      <w:pPr>
        <w:suppressAutoHyphens/>
        <w:spacing w:line="360" w:lineRule="auto"/>
        <w:rPr>
          <w:rFonts w:eastAsia="DejaVu Sans"/>
          <w:kern w:val="2"/>
          <w:lang w:val="es-ES" w:eastAsia="zh-CN" w:bidi="hi-IN"/>
        </w:rPr>
      </w:pPr>
    </w:p>
    <w:p w14:paraId="6812B756" w14:textId="77777777" w:rsidR="00A20E49" w:rsidRPr="00A20E49" w:rsidRDefault="00A20E49" w:rsidP="00A20E49">
      <w:pPr>
        <w:suppressAutoHyphens/>
        <w:spacing w:line="360" w:lineRule="auto"/>
        <w:jc w:val="both"/>
        <w:rPr>
          <w:rFonts w:eastAsia="DejaVu Sans"/>
          <w:kern w:val="2"/>
          <w:lang w:val="es-ES" w:eastAsia="zh-CN" w:bidi="hi-IN"/>
        </w:rPr>
      </w:pPr>
    </w:p>
    <w:p w14:paraId="31105322" w14:textId="77777777" w:rsidR="00A20E49" w:rsidRPr="00A20E49" w:rsidRDefault="00A20E49" w:rsidP="00A20E49">
      <w:pPr>
        <w:suppressAutoHyphens/>
        <w:spacing w:line="360" w:lineRule="auto"/>
        <w:jc w:val="center"/>
        <w:rPr>
          <w:rFonts w:eastAsia="DejaVu Sans"/>
          <w:kern w:val="2"/>
          <w:lang w:val="es-ES" w:eastAsia="zh-CN" w:bidi="hi-IN"/>
        </w:rPr>
      </w:pPr>
      <w:r w:rsidRPr="00A20E49">
        <w:rPr>
          <w:rFonts w:eastAsia="DejaVu Sans"/>
          <w:b/>
          <w:kern w:val="2"/>
          <w:lang w:val="es-ES" w:eastAsia="zh-CN" w:bidi="hi-IN"/>
        </w:rPr>
        <w:t>Conflictos de interés</w:t>
      </w:r>
    </w:p>
    <w:p w14:paraId="5A52009D"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S" w:eastAsia="zh-CN" w:bidi="hi-IN"/>
        </w:rPr>
        <w:t>Los autores declaran que no existen conflictos de interés.</w:t>
      </w:r>
    </w:p>
    <w:p w14:paraId="16EE68E5" w14:textId="77777777" w:rsidR="00A20E49" w:rsidRPr="00A20E49" w:rsidRDefault="00A20E49" w:rsidP="00A20E49">
      <w:pPr>
        <w:suppressAutoHyphens/>
        <w:spacing w:line="360" w:lineRule="auto"/>
        <w:jc w:val="both"/>
        <w:rPr>
          <w:rFonts w:eastAsia="DejaVu Sans"/>
          <w:kern w:val="2"/>
          <w:highlight w:val="yellow"/>
          <w:lang w:val="es-ES" w:eastAsia="zh-CN" w:bidi="hi-IN"/>
        </w:rPr>
      </w:pPr>
    </w:p>
    <w:p w14:paraId="533AD535" w14:textId="77777777" w:rsidR="00A20E49" w:rsidRPr="00A20E49" w:rsidRDefault="00A20E49" w:rsidP="00A20E49">
      <w:pPr>
        <w:suppressAutoHyphens/>
        <w:spacing w:line="360" w:lineRule="auto"/>
        <w:jc w:val="center"/>
        <w:rPr>
          <w:rFonts w:eastAsia="DejaVu Sans"/>
          <w:kern w:val="2"/>
          <w:lang w:val="es-ES" w:eastAsia="zh-CN" w:bidi="hi-IN"/>
        </w:rPr>
      </w:pPr>
      <w:r w:rsidRPr="00A20E49">
        <w:rPr>
          <w:rFonts w:eastAsia="DejaVu Sans"/>
          <w:b/>
          <w:kern w:val="2"/>
          <w:lang w:val="es-ES" w:eastAsia="zh-CN" w:bidi="hi-IN"/>
        </w:rPr>
        <w:t>Contribuciones de los autores</w:t>
      </w:r>
    </w:p>
    <w:p w14:paraId="13123F0E"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S" w:eastAsia="zh-CN" w:bidi="hi-IN"/>
        </w:rPr>
        <w:t xml:space="preserve">Conceptualización: </w:t>
      </w:r>
      <w:r w:rsidRPr="00A20E49">
        <w:rPr>
          <w:rFonts w:eastAsia="DejaVu Sans"/>
          <w:i/>
          <w:kern w:val="2"/>
          <w:lang w:val="es-ES" w:eastAsia="zh-CN" w:bidi="hi-IN"/>
        </w:rPr>
        <w:t>Yilian Constanten Pompa.</w:t>
      </w:r>
    </w:p>
    <w:p w14:paraId="3E09A5AC"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S" w:eastAsia="zh-CN" w:bidi="hi-IN"/>
        </w:rPr>
        <w:lastRenderedPageBreak/>
        <w:t xml:space="preserve">Curación de datos: </w:t>
      </w:r>
      <w:r w:rsidRPr="00A20E49">
        <w:rPr>
          <w:rFonts w:eastAsia="DejaVu Sans"/>
          <w:i/>
          <w:kern w:val="2"/>
          <w:lang w:val="es-ES" w:eastAsia="zh-CN" w:bidi="hi-IN"/>
        </w:rPr>
        <w:t>Yilian Constanten Pompa.</w:t>
      </w:r>
    </w:p>
    <w:p w14:paraId="13258A0F" w14:textId="77777777" w:rsidR="00A20E49" w:rsidRPr="00A20E49" w:rsidRDefault="00A20E49" w:rsidP="00A20E49">
      <w:pPr>
        <w:suppressAutoHyphens/>
        <w:spacing w:line="360" w:lineRule="auto"/>
        <w:jc w:val="both"/>
        <w:rPr>
          <w:rFonts w:eastAsia="DejaVu Sans"/>
          <w:i/>
          <w:kern w:val="2"/>
          <w:lang w:val="es-ES" w:eastAsia="zh-CN" w:bidi="hi-IN"/>
        </w:rPr>
      </w:pPr>
      <w:r w:rsidRPr="00A20E49">
        <w:rPr>
          <w:rFonts w:eastAsia="DejaVu Sans"/>
          <w:kern w:val="2"/>
          <w:lang w:val="es-ES" w:eastAsia="zh-CN" w:bidi="hi-IN"/>
        </w:rPr>
        <w:t xml:space="preserve">Análisis formal: </w:t>
      </w:r>
      <w:r w:rsidRPr="00A20E49">
        <w:rPr>
          <w:rFonts w:eastAsia="DejaVu Sans"/>
          <w:i/>
          <w:kern w:val="2"/>
          <w:lang w:val="es-ES" w:eastAsia="zh-CN" w:bidi="hi-IN"/>
        </w:rPr>
        <w:t>Yilian Constanten Pompa, Maritania Vizcaíno César.</w:t>
      </w:r>
    </w:p>
    <w:p w14:paraId="222E1B5F" w14:textId="77777777" w:rsidR="00A20E49" w:rsidRPr="00A20E49" w:rsidRDefault="00A20E49" w:rsidP="00A20E49">
      <w:pPr>
        <w:suppressAutoHyphens/>
        <w:spacing w:line="360" w:lineRule="auto"/>
        <w:jc w:val="both"/>
        <w:rPr>
          <w:rFonts w:eastAsia="DejaVu Sans"/>
          <w:i/>
          <w:kern w:val="2"/>
          <w:lang w:val="es-ES" w:eastAsia="zh-CN" w:bidi="hi-IN"/>
        </w:rPr>
      </w:pPr>
      <w:r w:rsidRPr="00A20E49">
        <w:rPr>
          <w:rFonts w:eastAsia="DejaVu Sans"/>
          <w:kern w:val="2"/>
          <w:lang w:val="es-ES" w:eastAsia="zh-CN" w:bidi="hi-IN"/>
        </w:rPr>
        <w:t xml:space="preserve">Investigación: </w:t>
      </w:r>
      <w:r w:rsidRPr="00A20E49">
        <w:rPr>
          <w:rFonts w:eastAsia="DejaVu Sans"/>
          <w:i/>
          <w:kern w:val="2"/>
          <w:lang w:val="es-ES" w:eastAsia="zh-CN" w:bidi="hi-IN"/>
        </w:rPr>
        <w:t>Yilian Constanten Pompa, Yasmina Rodriguez Hernández, Ayrelis Eloina Perovani Arguellez.</w:t>
      </w:r>
    </w:p>
    <w:p w14:paraId="5DDCCEA5" w14:textId="77777777" w:rsidR="00A20E49" w:rsidRPr="00A20E49" w:rsidRDefault="00A20E49" w:rsidP="00A20E49">
      <w:pPr>
        <w:suppressAutoHyphens/>
        <w:spacing w:line="360" w:lineRule="auto"/>
        <w:jc w:val="both"/>
        <w:rPr>
          <w:rFonts w:eastAsia="DejaVu Sans"/>
          <w:i/>
          <w:kern w:val="2"/>
          <w:lang w:val="es-ES" w:eastAsia="zh-CN" w:bidi="hi-IN"/>
        </w:rPr>
      </w:pPr>
      <w:r w:rsidRPr="00A20E49">
        <w:rPr>
          <w:rFonts w:eastAsia="DejaVu Sans"/>
          <w:kern w:val="2"/>
          <w:lang w:val="es-ES" w:eastAsia="zh-CN" w:bidi="hi-IN"/>
        </w:rPr>
        <w:t xml:space="preserve">Metodología: </w:t>
      </w:r>
      <w:r w:rsidRPr="00A20E49">
        <w:rPr>
          <w:rFonts w:eastAsia="DejaVu Sans"/>
          <w:i/>
          <w:kern w:val="2"/>
          <w:lang w:val="es-ES" w:eastAsia="zh-CN" w:bidi="hi-IN"/>
        </w:rPr>
        <w:t>Yilian Constanten Pompa, Yasmina Rodriguez Hernández, Ayrelis  Eloina Perovani Arguellez.</w:t>
      </w:r>
    </w:p>
    <w:p w14:paraId="7AF0868D" w14:textId="77777777" w:rsidR="00A20E49" w:rsidRPr="00A20E49" w:rsidRDefault="00A20E49" w:rsidP="00A20E49">
      <w:pPr>
        <w:suppressAutoHyphens/>
        <w:spacing w:line="360" w:lineRule="auto"/>
        <w:jc w:val="both"/>
        <w:rPr>
          <w:rFonts w:eastAsia="DejaVu Sans"/>
          <w:i/>
          <w:kern w:val="2"/>
          <w:lang w:val="es-ES" w:eastAsia="zh-CN" w:bidi="hi-IN"/>
        </w:rPr>
      </w:pPr>
      <w:r w:rsidRPr="00A20E49">
        <w:rPr>
          <w:rFonts w:eastAsia="DejaVu Sans"/>
          <w:kern w:val="2"/>
          <w:lang w:val="es-ES" w:eastAsia="zh-CN" w:bidi="hi-IN"/>
        </w:rPr>
        <w:t xml:space="preserve">Administración del proyecto: </w:t>
      </w:r>
      <w:r w:rsidRPr="00A20E49">
        <w:rPr>
          <w:rFonts w:eastAsia="DejaVu Sans"/>
          <w:i/>
          <w:kern w:val="2"/>
          <w:lang w:val="es-ES" w:eastAsia="zh-CN" w:bidi="hi-IN"/>
        </w:rPr>
        <w:t>Yilian Constanten Pompa.</w:t>
      </w:r>
    </w:p>
    <w:p w14:paraId="7866BDAA"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S" w:eastAsia="zh-CN" w:bidi="hi-IN"/>
        </w:rPr>
        <w:t xml:space="preserve">Recursos: </w:t>
      </w:r>
      <w:r w:rsidRPr="00A20E49">
        <w:rPr>
          <w:rFonts w:eastAsia="DejaVu Sans"/>
          <w:i/>
          <w:iCs/>
          <w:kern w:val="2"/>
          <w:lang w:val="es-ES" w:eastAsia="zh-CN" w:bidi="hi-IN"/>
        </w:rPr>
        <w:t>Yilian Constanten Pompa, Yasmina Rodriguez Hernández, Ayrelis Eloina Perovani Arguellez.</w:t>
      </w:r>
    </w:p>
    <w:p w14:paraId="18871913" w14:textId="77777777" w:rsidR="00A20E49" w:rsidRPr="00A20E49" w:rsidRDefault="00A20E49" w:rsidP="00A20E49">
      <w:pPr>
        <w:suppressAutoHyphens/>
        <w:spacing w:line="360" w:lineRule="auto"/>
        <w:jc w:val="both"/>
        <w:rPr>
          <w:rFonts w:eastAsia="DejaVu Sans"/>
          <w:i/>
          <w:kern w:val="2"/>
          <w:lang w:val="es-ES" w:eastAsia="zh-CN" w:bidi="hi-IN"/>
        </w:rPr>
      </w:pPr>
      <w:r w:rsidRPr="00A20E49">
        <w:rPr>
          <w:rFonts w:eastAsia="DejaVu Sans"/>
          <w:kern w:val="2"/>
          <w:lang w:val="es-ES" w:eastAsia="zh-CN" w:bidi="hi-IN"/>
        </w:rPr>
        <w:t xml:space="preserve">Supervisión: </w:t>
      </w:r>
      <w:r w:rsidRPr="00A20E49">
        <w:rPr>
          <w:rFonts w:eastAsia="DejaVu Sans"/>
          <w:i/>
          <w:kern w:val="2"/>
          <w:lang w:val="es-ES" w:eastAsia="zh-CN" w:bidi="hi-IN"/>
        </w:rPr>
        <w:t>Yilian Constanten Pompa, Maritania Vizcaíno César.</w:t>
      </w:r>
    </w:p>
    <w:p w14:paraId="11D99A30" w14:textId="77777777" w:rsidR="00A20E49" w:rsidRPr="00A20E49" w:rsidRDefault="00A20E49" w:rsidP="00A20E49">
      <w:pPr>
        <w:suppressAutoHyphens/>
        <w:spacing w:line="360" w:lineRule="auto"/>
        <w:jc w:val="both"/>
        <w:rPr>
          <w:rFonts w:eastAsia="DejaVu Sans"/>
          <w:i/>
          <w:kern w:val="2"/>
          <w:lang w:val="es-ES" w:eastAsia="zh-CN" w:bidi="hi-IN"/>
        </w:rPr>
      </w:pPr>
      <w:r w:rsidRPr="00A20E49">
        <w:rPr>
          <w:rFonts w:eastAsia="DejaVu Sans"/>
          <w:kern w:val="2"/>
          <w:lang w:val="es-ES" w:eastAsia="zh-CN" w:bidi="hi-IN"/>
        </w:rPr>
        <w:t xml:space="preserve">Validación: </w:t>
      </w:r>
      <w:r w:rsidRPr="00A20E49">
        <w:rPr>
          <w:rFonts w:eastAsia="DejaVu Sans"/>
          <w:i/>
          <w:kern w:val="2"/>
          <w:lang w:val="es-ES" w:eastAsia="zh-CN" w:bidi="hi-IN"/>
        </w:rPr>
        <w:t>Yilian Constanten Pompa, Yasmina Rodriguez Hernández, Yanneris Parada Barroso.</w:t>
      </w:r>
    </w:p>
    <w:p w14:paraId="63FCE453" w14:textId="77777777" w:rsidR="00A20E49" w:rsidRPr="00A20E49" w:rsidRDefault="00A20E49" w:rsidP="00A20E49">
      <w:pPr>
        <w:suppressAutoHyphens/>
        <w:spacing w:line="360" w:lineRule="auto"/>
        <w:jc w:val="both"/>
        <w:rPr>
          <w:rFonts w:eastAsia="DejaVu Sans"/>
          <w:i/>
          <w:kern w:val="2"/>
          <w:lang w:val="es-ES" w:eastAsia="zh-CN" w:bidi="hi-IN"/>
        </w:rPr>
      </w:pPr>
      <w:r w:rsidRPr="00A20E49">
        <w:rPr>
          <w:rFonts w:eastAsia="DejaVu Sans"/>
          <w:kern w:val="2"/>
          <w:lang w:val="es-ES" w:eastAsia="zh-CN" w:bidi="hi-IN"/>
        </w:rPr>
        <w:t xml:space="preserve">Visualización: </w:t>
      </w:r>
      <w:r w:rsidRPr="00A20E49">
        <w:rPr>
          <w:rFonts w:eastAsia="DejaVu Sans"/>
          <w:i/>
          <w:kern w:val="2"/>
          <w:lang w:val="es-ES" w:eastAsia="zh-CN" w:bidi="hi-IN"/>
        </w:rPr>
        <w:t>Yilian Constanten Pompa, Yasmina Rodriguez Hernández.</w:t>
      </w:r>
    </w:p>
    <w:p w14:paraId="77D02987" w14:textId="77777777" w:rsidR="00A20E49" w:rsidRPr="00A20E49" w:rsidRDefault="00A20E49" w:rsidP="00A20E49">
      <w:pPr>
        <w:suppressAutoHyphens/>
        <w:spacing w:line="360" w:lineRule="auto"/>
        <w:jc w:val="both"/>
        <w:rPr>
          <w:rFonts w:eastAsia="DejaVu Sans"/>
          <w:i/>
          <w:kern w:val="2"/>
          <w:lang w:val="es-ES" w:eastAsia="zh-CN" w:bidi="hi-IN"/>
        </w:rPr>
      </w:pPr>
      <w:r w:rsidRPr="00A20E49">
        <w:rPr>
          <w:rFonts w:eastAsia="DejaVu Sans"/>
          <w:kern w:val="2"/>
          <w:lang w:val="es-ES" w:eastAsia="zh-CN" w:bidi="hi-IN"/>
        </w:rPr>
        <w:t xml:space="preserve">Redacción – borrador original: </w:t>
      </w:r>
      <w:r w:rsidRPr="00A20E49">
        <w:rPr>
          <w:rFonts w:eastAsia="DejaVu Sans"/>
          <w:i/>
          <w:kern w:val="2"/>
          <w:lang w:val="es-ES" w:eastAsia="zh-CN" w:bidi="hi-IN"/>
        </w:rPr>
        <w:t>Yilian Constanten Pompa, Yasmina Rodriguez Hernández.</w:t>
      </w:r>
    </w:p>
    <w:p w14:paraId="07D61708" w14:textId="77777777" w:rsidR="00A20E49" w:rsidRPr="00A20E49" w:rsidRDefault="00A20E49" w:rsidP="00A20E49">
      <w:pPr>
        <w:suppressAutoHyphens/>
        <w:spacing w:line="360" w:lineRule="auto"/>
        <w:jc w:val="both"/>
        <w:rPr>
          <w:rFonts w:eastAsia="DejaVu Sans"/>
          <w:kern w:val="2"/>
          <w:lang w:val="es-ES" w:eastAsia="zh-CN" w:bidi="hi-IN"/>
        </w:rPr>
      </w:pPr>
      <w:r w:rsidRPr="00A20E49">
        <w:rPr>
          <w:rFonts w:eastAsia="DejaVu Sans"/>
          <w:kern w:val="2"/>
          <w:lang w:val="es-ES" w:eastAsia="zh-CN" w:bidi="hi-IN"/>
        </w:rPr>
        <w:t xml:space="preserve">Redacción – revisión y edición: </w:t>
      </w:r>
      <w:r w:rsidRPr="00A20E49">
        <w:rPr>
          <w:rFonts w:eastAsia="DejaVu Sans"/>
          <w:i/>
          <w:kern w:val="2"/>
          <w:lang w:val="es-ES" w:eastAsia="zh-CN" w:bidi="hi-IN"/>
        </w:rPr>
        <w:t>Yilian Constanten Pompa, Yasmina Rodriguez Hernández, Maritania Vizcaíno César.</w:t>
      </w:r>
    </w:p>
    <w:p w14:paraId="2F069B7C" w14:textId="77777777" w:rsidR="00675476" w:rsidRPr="00A20E49" w:rsidRDefault="00675476" w:rsidP="00EA1FEF">
      <w:pPr>
        <w:pStyle w:val="PDFRevista"/>
        <w:rPr>
          <w:lang w:val="es-ES"/>
        </w:rPr>
      </w:pPr>
    </w:p>
    <w:sectPr w:rsidR="00675476" w:rsidRPr="00A20E49" w:rsidSect="00FD3DF8">
      <w:headerReference w:type="default" r:id="rId48"/>
      <w:footerReference w:type="even" r:id="rId49"/>
      <w:footerReference w:type="default" r:id="rId5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6C9C3" w14:textId="77777777" w:rsidR="0084298E" w:rsidRDefault="0084298E">
      <w:r>
        <w:separator/>
      </w:r>
    </w:p>
  </w:endnote>
  <w:endnote w:type="continuationSeparator" w:id="0">
    <w:p w14:paraId="10F90D05" w14:textId="77777777" w:rsidR="0084298E" w:rsidRDefault="0084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Liberation Sans">
    <w:panose1 w:val="020B0604020202020204"/>
    <w:charset w:val="00"/>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Liberation Mono">
    <w:panose1 w:val="02070409020205020404"/>
    <w:charset w:val="00"/>
    <w:family w:val="modern"/>
    <w:pitch w:val="fixed"/>
    <w:sig w:usb0="E0000AFF" w:usb1="400078FF" w:usb2="00000001"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B72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04644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9B43"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614E6F0E" wp14:editId="19075404">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16970"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15A16EE" w14:textId="77777777" w:rsidR="00675476" w:rsidRPr="00AE044C" w:rsidRDefault="0084298E" w:rsidP="00391509">
    <w:pPr>
      <w:pStyle w:val="Piedepgina"/>
      <w:ind w:right="360"/>
      <w:rPr>
        <w:sz w:val="22"/>
        <w:szCs w:val="22"/>
      </w:rPr>
    </w:pPr>
    <w:hyperlink r:id="rId1" w:history="1">
      <w:r w:rsidR="00391509" w:rsidRPr="00AE044C">
        <w:rPr>
          <w:rStyle w:val="Hipervnculo"/>
          <w:sz w:val="22"/>
          <w:szCs w:val="22"/>
        </w:rPr>
        <w:t>http://scielo.sld.cu</w:t>
      </w:r>
    </w:hyperlink>
  </w:p>
  <w:p w14:paraId="282E8E24" w14:textId="77777777" w:rsidR="00391509" w:rsidRPr="00AE044C" w:rsidRDefault="0084298E"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1D0FC14A"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492ECE75" wp14:editId="23B33067">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C9D1E" w14:textId="77777777" w:rsidR="0084298E" w:rsidRDefault="0084298E">
      <w:r>
        <w:separator/>
      </w:r>
    </w:p>
  </w:footnote>
  <w:footnote w:type="continuationSeparator" w:id="0">
    <w:p w14:paraId="7B8CD7B0" w14:textId="77777777" w:rsidR="0084298E" w:rsidRDefault="0084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A3E0" w14:textId="73C561E5" w:rsidR="00CC376A" w:rsidRPr="00AE044C" w:rsidRDefault="00A20E49"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676AE710" wp14:editId="0B2F506B">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e024010133</w:t>
    </w:r>
  </w:p>
  <w:p w14:paraId="376F86B7"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312CD929" wp14:editId="2093CDE4">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D6109"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87838"/>
    <w:multiLevelType w:val="hybridMultilevel"/>
    <w:tmpl w:val="A5A666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C4669C"/>
    <w:multiLevelType w:val="multilevel"/>
    <w:tmpl w:val="728A904C"/>
    <w:lvl w:ilvl="0">
      <w:start w:val="1"/>
      <w:numFmt w:val="decimal"/>
      <w:lvlText w:val="%1."/>
      <w:lvlJc w:val="left"/>
      <w:pPr>
        <w:ind w:left="720" w:hanging="360"/>
      </w:pPr>
      <w:rPr>
        <w:rFonts w:ascii="Times New Roman"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F74BDB"/>
    <w:multiLevelType w:val="multilevel"/>
    <w:tmpl w:val="CB4238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F1B61CB"/>
    <w:multiLevelType w:val="multilevel"/>
    <w:tmpl w:val="EF6EFC1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49"/>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84298E"/>
    <w:rsid w:val="00915D3C"/>
    <w:rsid w:val="00960D6A"/>
    <w:rsid w:val="009A0560"/>
    <w:rsid w:val="009B0917"/>
    <w:rsid w:val="009F0F96"/>
    <w:rsid w:val="00A20E49"/>
    <w:rsid w:val="00A23C0C"/>
    <w:rsid w:val="00A477DE"/>
    <w:rsid w:val="00A66186"/>
    <w:rsid w:val="00A71E65"/>
    <w:rsid w:val="00AE044C"/>
    <w:rsid w:val="00B31971"/>
    <w:rsid w:val="00B4380A"/>
    <w:rsid w:val="00B60DD6"/>
    <w:rsid w:val="00B66ECB"/>
    <w:rsid w:val="00C139AE"/>
    <w:rsid w:val="00C7523A"/>
    <w:rsid w:val="00CC1B6E"/>
    <w:rsid w:val="00CC376A"/>
    <w:rsid w:val="00CC48A1"/>
    <w:rsid w:val="00CD5CD4"/>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A4E98F"/>
  <w15:docId w15:val="{6DA9459A-E17A-4E65-808D-754BED07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link w:val="Ttulo1Car"/>
    <w:uiPriority w:val="9"/>
    <w:qFormat/>
    <w:rsid w:val="00A20E49"/>
    <w:pPr>
      <w:spacing w:before="100" w:beforeAutospacing="1" w:after="100" w:afterAutospacing="1"/>
      <w:outlineLvl w:val="0"/>
    </w:pPr>
    <w:rPr>
      <w:b/>
      <w:bCs/>
      <w:kern w:val="36"/>
      <w:sz w:val="48"/>
      <w:szCs w:val="48"/>
      <w:lang w:val="es-ES" w:eastAsia="es-ES"/>
    </w:rPr>
  </w:style>
  <w:style w:type="paragraph" w:styleId="Ttulo2">
    <w:name w:val="heading 2"/>
    <w:basedOn w:val="Normal"/>
    <w:next w:val="Normal"/>
    <w:link w:val="Ttulo2Car"/>
    <w:uiPriority w:val="9"/>
    <w:semiHidden/>
    <w:unhideWhenUsed/>
    <w:qFormat/>
    <w:rsid w:val="00A20E49"/>
    <w:pPr>
      <w:keepNext/>
      <w:keepLines/>
      <w:spacing w:before="40"/>
      <w:outlineLvl w:val="1"/>
    </w:pPr>
    <w:rPr>
      <w:rFonts w:ascii="Cambria" w:hAnsi="Cambria" w:cs="Mangal"/>
      <w:color w:val="365F91"/>
      <w:kern w:val="2"/>
      <w:sz w:val="26"/>
      <w:szCs w:val="23"/>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character" w:customStyle="1" w:styleId="Ttulo1Car">
    <w:name w:val="Título 1 Car"/>
    <w:basedOn w:val="Fuentedeprrafopredeter"/>
    <w:link w:val="Ttulo1"/>
    <w:uiPriority w:val="9"/>
    <w:rsid w:val="00A20E49"/>
    <w:rPr>
      <w:b/>
      <w:bCs/>
      <w:kern w:val="36"/>
      <w:sz w:val="48"/>
      <w:szCs w:val="48"/>
    </w:rPr>
  </w:style>
  <w:style w:type="paragraph" w:customStyle="1" w:styleId="Ttulo21">
    <w:name w:val="Título 21"/>
    <w:basedOn w:val="Normal"/>
    <w:next w:val="Normal"/>
    <w:unhideWhenUsed/>
    <w:qFormat/>
    <w:rsid w:val="00A20E49"/>
    <w:pPr>
      <w:keepNext/>
      <w:keepLines/>
      <w:suppressAutoHyphens/>
      <w:spacing w:before="40"/>
      <w:outlineLvl w:val="1"/>
    </w:pPr>
    <w:rPr>
      <w:rFonts w:ascii="Cambria" w:hAnsi="Cambria" w:cs="Mangal"/>
      <w:color w:val="365F91"/>
      <w:kern w:val="2"/>
      <w:sz w:val="26"/>
      <w:szCs w:val="23"/>
      <w:lang w:val="es-ES" w:eastAsia="zh-CN" w:bidi="hi-IN"/>
    </w:rPr>
  </w:style>
  <w:style w:type="numbering" w:customStyle="1" w:styleId="Sinlista1">
    <w:name w:val="Sin lista1"/>
    <w:next w:val="Sinlista"/>
    <w:uiPriority w:val="99"/>
    <w:semiHidden/>
    <w:unhideWhenUsed/>
    <w:rsid w:val="00A20E49"/>
  </w:style>
  <w:style w:type="character" w:customStyle="1" w:styleId="rynqvb">
    <w:name w:val="rynqvb"/>
    <w:basedOn w:val="Fuentedeprrafopredeter"/>
    <w:qFormat/>
    <w:rsid w:val="00A20E49"/>
  </w:style>
  <w:style w:type="character" w:customStyle="1" w:styleId="InternetLink">
    <w:name w:val="Internet Link"/>
    <w:rsid w:val="00A20E49"/>
    <w:rPr>
      <w:color w:val="0000FF"/>
      <w:u w:val="single"/>
      <w:lang w:val="es-ES"/>
    </w:rPr>
  </w:style>
  <w:style w:type="character" w:customStyle="1" w:styleId="ListLabel18">
    <w:name w:val="ListLabel 18"/>
    <w:qFormat/>
    <w:rsid w:val="00A20E49"/>
    <w:rPr>
      <w:rFonts w:ascii="Times New Roman" w:hAnsi="Times New Roman" w:cs="Times New Roman"/>
    </w:rPr>
  </w:style>
  <w:style w:type="character" w:styleId="Textoennegrita">
    <w:name w:val="Strong"/>
    <w:qFormat/>
    <w:rsid w:val="00A20E49"/>
    <w:rPr>
      <w:b/>
      <w:bCs/>
    </w:rPr>
  </w:style>
  <w:style w:type="character" w:customStyle="1" w:styleId="TextoindependienteCar">
    <w:name w:val="Texto independiente Car"/>
    <w:basedOn w:val="Fuentedeprrafopredeter"/>
    <w:link w:val="Textoindependiente"/>
    <w:uiPriority w:val="99"/>
    <w:semiHidden/>
    <w:qFormat/>
    <w:rsid w:val="00A20E49"/>
    <w:rPr>
      <w:rFonts w:ascii="Liberation Serif" w:eastAsia="DejaVu Sans" w:hAnsi="Liberation Serif" w:cs="Mangal"/>
      <w:kern w:val="2"/>
      <w:sz w:val="24"/>
      <w:szCs w:val="21"/>
      <w:lang w:eastAsia="zh-CN" w:bidi="hi-IN"/>
    </w:rPr>
  </w:style>
  <w:style w:type="character" w:customStyle="1" w:styleId="TextonotaalfinalCar">
    <w:name w:val="Texto nota al final Car"/>
    <w:basedOn w:val="Fuentedeprrafopredeter"/>
    <w:link w:val="Textonotaalfinal"/>
    <w:uiPriority w:val="99"/>
    <w:qFormat/>
    <w:rsid w:val="00A20E49"/>
    <w:rPr>
      <w:rFonts w:ascii="Liberation Serif" w:eastAsia="DejaVu Sans" w:hAnsi="Liberation Serif" w:cs="Mangal"/>
      <w:kern w:val="2"/>
      <w:szCs w:val="18"/>
      <w:lang w:eastAsia="zh-CN" w:bidi="hi-IN"/>
    </w:rPr>
  </w:style>
  <w:style w:type="character" w:customStyle="1" w:styleId="EndnoteCharacters">
    <w:name w:val="Endnote Characters"/>
    <w:basedOn w:val="Fuentedeprrafopredeter"/>
    <w:uiPriority w:val="99"/>
    <w:semiHidden/>
    <w:unhideWhenUsed/>
    <w:qFormat/>
    <w:rsid w:val="00A20E49"/>
    <w:rPr>
      <w:vertAlign w:val="superscript"/>
    </w:rPr>
  </w:style>
  <w:style w:type="character" w:customStyle="1" w:styleId="EndnoteAnchor">
    <w:name w:val="Endnote Anchor"/>
    <w:rsid w:val="00A20E49"/>
    <w:rPr>
      <w:vertAlign w:val="superscript"/>
    </w:rPr>
  </w:style>
  <w:style w:type="character" w:customStyle="1" w:styleId="ListLabel19">
    <w:name w:val="ListLabel 19"/>
    <w:qFormat/>
    <w:rsid w:val="00A20E49"/>
    <w:rPr>
      <w:rFonts w:cs="Symbol"/>
      <w:sz w:val="24"/>
    </w:rPr>
  </w:style>
  <w:style w:type="character" w:customStyle="1" w:styleId="ListLabel20">
    <w:name w:val="ListLabel 20"/>
    <w:qFormat/>
    <w:rsid w:val="00A20E49"/>
    <w:rPr>
      <w:rFonts w:cs="Courier New"/>
    </w:rPr>
  </w:style>
  <w:style w:type="character" w:customStyle="1" w:styleId="ListLabel21">
    <w:name w:val="ListLabel 21"/>
    <w:qFormat/>
    <w:rsid w:val="00A20E49"/>
    <w:rPr>
      <w:rFonts w:cs="Wingdings"/>
    </w:rPr>
  </w:style>
  <w:style w:type="character" w:customStyle="1" w:styleId="ListLabel22">
    <w:name w:val="ListLabel 22"/>
    <w:qFormat/>
    <w:rsid w:val="00A20E49"/>
    <w:rPr>
      <w:rFonts w:cs="Symbol"/>
    </w:rPr>
  </w:style>
  <w:style w:type="character" w:customStyle="1" w:styleId="ListLabel23">
    <w:name w:val="ListLabel 23"/>
    <w:qFormat/>
    <w:rsid w:val="00A20E49"/>
    <w:rPr>
      <w:rFonts w:cs="Courier New"/>
    </w:rPr>
  </w:style>
  <w:style w:type="character" w:customStyle="1" w:styleId="ListLabel24">
    <w:name w:val="ListLabel 24"/>
    <w:qFormat/>
    <w:rsid w:val="00A20E49"/>
    <w:rPr>
      <w:rFonts w:cs="Wingdings"/>
    </w:rPr>
  </w:style>
  <w:style w:type="character" w:customStyle="1" w:styleId="ListLabel25">
    <w:name w:val="ListLabel 25"/>
    <w:qFormat/>
    <w:rsid w:val="00A20E49"/>
    <w:rPr>
      <w:rFonts w:cs="Symbol"/>
    </w:rPr>
  </w:style>
  <w:style w:type="character" w:customStyle="1" w:styleId="ListLabel26">
    <w:name w:val="ListLabel 26"/>
    <w:qFormat/>
    <w:rsid w:val="00A20E49"/>
    <w:rPr>
      <w:rFonts w:cs="Courier New"/>
    </w:rPr>
  </w:style>
  <w:style w:type="character" w:customStyle="1" w:styleId="ListLabel27">
    <w:name w:val="ListLabel 27"/>
    <w:qFormat/>
    <w:rsid w:val="00A20E49"/>
    <w:rPr>
      <w:rFonts w:cs="Wingdings"/>
    </w:rPr>
  </w:style>
  <w:style w:type="character" w:customStyle="1" w:styleId="ListLabel28">
    <w:name w:val="ListLabel 28"/>
    <w:qFormat/>
    <w:rsid w:val="00A20E49"/>
    <w:rPr>
      <w:rFonts w:ascii="Times New Roman" w:hAnsi="Times New Roman" w:cs="Times New Roman"/>
      <w:lang w:val="en-US"/>
    </w:rPr>
  </w:style>
  <w:style w:type="character" w:customStyle="1" w:styleId="ListLabel29">
    <w:name w:val="ListLabel 29"/>
    <w:qFormat/>
    <w:rsid w:val="00A20E49"/>
    <w:rPr>
      <w:rFonts w:ascii="Times New Roman" w:hAnsi="Times New Roman" w:cs="Times New Roman"/>
    </w:rPr>
  </w:style>
  <w:style w:type="character" w:customStyle="1" w:styleId="ListLabel30">
    <w:name w:val="ListLabel 30"/>
    <w:qFormat/>
    <w:rsid w:val="00A20E49"/>
  </w:style>
  <w:style w:type="character" w:customStyle="1" w:styleId="ListLabel31">
    <w:name w:val="ListLabel 31"/>
    <w:qFormat/>
    <w:rsid w:val="00A20E49"/>
    <w:rPr>
      <w:rFonts w:ascii="Times New Roman" w:hAnsi="Times New Roman" w:cs="Times New Roman"/>
      <w:lang w:val="en-US"/>
    </w:rPr>
  </w:style>
  <w:style w:type="character" w:customStyle="1" w:styleId="ListLabel32">
    <w:name w:val="ListLabel 32"/>
    <w:qFormat/>
    <w:rsid w:val="00A20E49"/>
  </w:style>
  <w:style w:type="character" w:customStyle="1" w:styleId="FootnoteAnchor">
    <w:name w:val="Footnote Anchor"/>
    <w:rsid w:val="00A20E49"/>
    <w:rPr>
      <w:vertAlign w:val="superscript"/>
    </w:rPr>
  </w:style>
  <w:style w:type="character" w:customStyle="1" w:styleId="FootnoteCharacters">
    <w:name w:val="Footnote Characters"/>
    <w:qFormat/>
    <w:rsid w:val="00A20E49"/>
  </w:style>
  <w:style w:type="paragraph" w:customStyle="1" w:styleId="Heading">
    <w:name w:val="Heading"/>
    <w:basedOn w:val="Normal"/>
    <w:next w:val="Textoindependiente"/>
    <w:qFormat/>
    <w:rsid w:val="00A20E49"/>
    <w:pPr>
      <w:keepNext/>
      <w:suppressAutoHyphens/>
      <w:spacing w:before="240" w:after="120"/>
    </w:pPr>
    <w:rPr>
      <w:rFonts w:ascii="Liberation Sans" w:eastAsia="DejaVu Sans" w:hAnsi="Liberation Sans" w:cs="FreeSans"/>
      <w:kern w:val="2"/>
      <w:sz w:val="28"/>
      <w:szCs w:val="28"/>
      <w:lang w:val="es-ES" w:eastAsia="zh-CN" w:bidi="hi-IN"/>
    </w:rPr>
  </w:style>
  <w:style w:type="paragraph" w:styleId="Textoindependiente">
    <w:name w:val="Body Text"/>
    <w:basedOn w:val="Normal"/>
    <w:link w:val="TextoindependienteCar"/>
    <w:uiPriority w:val="99"/>
    <w:semiHidden/>
    <w:unhideWhenUsed/>
    <w:rsid w:val="00A20E49"/>
    <w:pPr>
      <w:suppressAutoHyphens/>
      <w:spacing w:after="120"/>
    </w:pPr>
    <w:rPr>
      <w:rFonts w:ascii="Liberation Serif" w:eastAsia="DejaVu Sans" w:hAnsi="Liberation Serif" w:cs="Mangal"/>
      <w:kern w:val="2"/>
      <w:szCs w:val="21"/>
      <w:lang w:val="es-ES" w:eastAsia="zh-CN" w:bidi="hi-IN"/>
    </w:rPr>
  </w:style>
  <w:style w:type="character" w:customStyle="1" w:styleId="TextoindependienteCar1">
    <w:name w:val="Texto independiente Car1"/>
    <w:basedOn w:val="Fuentedeprrafopredeter"/>
    <w:semiHidden/>
    <w:rsid w:val="00A20E49"/>
    <w:rPr>
      <w:sz w:val="24"/>
      <w:szCs w:val="24"/>
      <w:lang w:val="es-ES_tradnl" w:eastAsia="es-ES_tradnl"/>
    </w:rPr>
  </w:style>
  <w:style w:type="paragraph" w:styleId="Lista">
    <w:name w:val="List"/>
    <w:basedOn w:val="Textoindependiente"/>
    <w:rsid w:val="00A20E49"/>
    <w:rPr>
      <w:rFonts w:cs="FreeSans"/>
    </w:rPr>
  </w:style>
  <w:style w:type="paragraph" w:styleId="Descripcin">
    <w:name w:val="caption"/>
    <w:basedOn w:val="Normal"/>
    <w:qFormat/>
    <w:rsid w:val="00A20E49"/>
    <w:pPr>
      <w:suppressLineNumbers/>
      <w:suppressAutoHyphens/>
      <w:spacing w:before="120" w:after="120"/>
    </w:pPr>
    <w:rPr>
      <w:rFonts w:ascii="Liberation Serif" w:eastAsia="DejaVu Sans" w:hAnsi="Liberation Serif" w:cs="FreeSans"/>
      <w:i/>
      <w:iCs/>
      <w:kern w:val="2"/>
      <w:lang w:val="es-ES" w:eastAsia="zh-CN" w:bidi="hi-IN"/>
    </w:rPr>
  </w:style>
  <w:style w:type="paragraph" w:customStyle="1" w:styleId="Index">
    <w:name w:val="Index"/>
    <w:basedOn w:val="Normal"/>
    <w:qFormat/>
    <w:rsid w:val="00A20E49"/>
    <w:pPr>
      <w:suppressLineNumbers/>
      <w:suppressAutoHyphens/>
    </w:pPr>
    <w:rPr>
      <w:rFonts w:ascii="Liberation Serif" w:eastAsia="DejaVu Sans" w:hAnsi="Liberation Serif" w:cs="FreeSans"/>
      <w:kern w:val="2"/>
      <w:lang w:val="es-ES" w:eastAsia="zh-CN" w:bidi="hi-IN"/>
    </w:rPr>
  </w:style>
  <w:style w:type="paragraph" w:customStyle="1" w:styleId="PreformattedText">
    <w:name w:val="Preformatted Text"/>
    <w:basedOn w:val="Normal"/>
    <w:qFormat/>
    <w:rsid w:val="00A20E49"/>
    <w:pPr>
      <w:suppressAutoHyphens/>
    </w:pPr>
    <w:rPr>
      <w:rFonts w:ascii="Liberation Mono" w:eastAsia="Liberation Mono" w:hAnsi="Liberation Mono" w:cs="Liberation Mono"/>
      <w:kern w:val="2"/>
      <w:sz w:val="20"/>
      <w:szCs w:val="20"/>
      <w:lang w:val="es-ES" w:eastAsia="zh-CN" w:bidi="hi-IN"/>
    </w:rPr>
  </w:style>
  <w:style w:type="paragraph" w:customStyle="1" w:styleId="Prrafodelista1">
    <w:name w:val="Párrafo de lista1"/>
    <w:basedOn w:val="Normal"/>
    <w:qFormat/>
    <w:rsid w:val="00A20E49"/>
    <w:pPr>
      <w:suppressAutoHyphens/>
      <w:spacing w:after="200"/>
      <w:ind w:left="720"/>
      <w:contextualSpacing/>
    </w:pPr>
    <w:rPr>
      <w:rFonts w:ascii="Liberation Serif" w:eastAsia="DejaVu Sans" w:hAnsi="Liberation Serif" w:cs="FreeSans"/>
      <w:kern w:val="2"/>
      <w:lang w:val="es-ES" w:eastAsia="zh-CN" w:bidi="hi-IN"/>
    </w:rPr>
  </w:style>
  <w:style w:type="paragraph" w:customStyle="1" w:styleId="Ttulodecubierta">
    <w:name w:val="Título de cubierta"/>
    <w:basedOn w:val="Normal"/>
    <w:next w:val="Normal"/>
    <w:qFormat/>
    <w:rsid w:val="00A20E49"/>
    <w:pPr>
      <w:keepNext/>
      <w:keepLines/>
      <w:tabs>
        <w:tab w:val="right" w:pos="10560"/>
      </w:tabs>
      <w:suppressAutoHyphens/>
      <w:spacing w:before="780" w:after="420"/>
      <w:ind w:left="1920" w:right="1920"/>
      <w:jc w:val="center"/>
    </w:pPr>
    <w:rPr>
      <w:rFonts w:ascii="Arial" w:eastAsia="MS Mincho" w:hAnsi="Arial" w:cs="Arial"/>
      <w:caps/>
      <w:spacing w:val="5"/>
      <w:kern w:val="2"/>
      <w:lang w:val="es-ES" w:eastAsia="zh-CN" w:bidi="hi-IN"/>
    </w:rPr>
  </w:style>
  <w:style w:type="paragraph" w:styleId="Textonotaalfinal">
    <w:name w:val="endnote text"/>
    <w:basedOn w:val="Normal"/>
    <w:link w:val="TextonotaalfinalCar"/>
    <w:uiPriority w:val="99"/>
    <w:unhideWhenUsed/>
    <w:rsid w:val="00A20E49"/>
    <w:pPr>
      <w:suppressAutoHyphens/>
    </w:pPr>
    <w:rPr>
      <w:rFonts w:ascii="Liberation Serif" w:eastAsia="DejaVu Sans" w:hAnsi="Liberation Serif" w:cs="Mangal"/>
      <w:kern w:val="2"/>
      <w:sz w:val="20"/>
      <w:szCs w:val="18"/>
      <w:lang w:val="es-ES" w:eastAsia="zh-CN" w:bidi="hi-IN"/>
    </w:rPr>
  </w:style>
  <w:style w:type="character" w:customStyle="1" w:styleId="TextonotaalfinalCar1">
    <w:name w:val="Texto nota al final Car1"/>
    <w:basedOn w:val="Fuentedeprrafopredeter"/>
    <w:semiHidden/>
    <w:rsid w:val="00A20E49"/>
    <w:rPr>
      <w:lang w:val="es-ES_tradnl" w:eastAsia="es-ES_tradnl"/>
    </w:rPr>
  </w:style>
  <w:style w:type="character" w:styleId="Refdenotaalfinal">
    <w:name w:val="endnote reference"/>
    <w:basedOn w:val="Fuentedeprrafopredeter"/>
    <w:uiPriority w:val="99"/>
    <w:semiHidden/>
    <w:unhideWhenUsed/>
    <w:rsid w:val="00A20E49"/>
    <w:rPr>
      <w:vertAlign w:val="superscript"/>
    </w:rPr>
  </w:style>
  <w:style w:type="character" w:styleId="Refdecomentario">
    <w:name w:val="annotation reference"/>
    <w:basedOn w:val="Fuentedeprrafopredeter"/>
    <w:uiPriority w:val="99"/>
    <w:semiHidden/>
    <w:unhideWhenUsed/>
    <w:rsid w:val="00A20E49"/>
    <w:rPr>
      <w:sz w:val="16"/>
      <w:szCs w:val="16"/>
    </w:rPr>
  </w:style>
  <w:style w:type="paragraph" w:styleId="Textocomentario">
    <w:name w:val="annotation text"/>
    <w:basedOn w:val="Normal"/>
    <w:link w:val="TextocomentarioCar"/>
    <w:uiPriority w:val="99"/>
    <w:unhideWhenUsed/>
    <w:qFormat/>
    <w:rsid w:val="00A20E49"/>
    <w:pPr>
      <w:suppressAutoHyphens/>
    </w:pPr>
    <w:rPr>
      <w:rFonts w:ascii="Liberation Serif" w:eastAsia="DejaVu Sans" w:hAnsi="Liberation Serif" w:cs="Mangal"/>
      <w:kern w:val="2"/>
      <w:sz w:val="20"/>
      <w:szCs w:val="18"/>
      <w:lang w:val="es-ES" w:eastAsia="zh-CN" w:bidi="hi-IN"/>
    </w:rPr>
  </w:style>
  <w:style w:type="character" w:customStyle="1" w:styleId="TextocomentarioCar">
    <w:name w:val="Texto comentario Car"/>
    <w:basedOn w:val="Fuentedeprrafopredeter"/>
    <w:link w:val="Textocomentario"/>
    <w:uiPriority w:val="99"/>
    <w:qFormat/>
    <w:rsid w:val="00A20E49"/>
    <w:rPr>
      <w:rFonts w:ascii="Liberation Serif" w:eastAsia="DejaVu Sans" w:hAnsi="Liberation Serif" w:cs="Mangal"/>
      <w:kern w:val="2"/>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A20E49"/>
    <w:rPr>
      <w:b/>
      <w:bCs/>
    </w:rPr>
  </w:style>
  <w:style w:type="character" w:customStyle="1" w:styleId="AsuntodelcomentarioCar">
    <w:name w:val="Asunto del comentario Car"/>
    <w:basedOn w:val="TextocomentarioCar"/>
    <w:link w:val="Asuntodelcomentario"/>
    <w:uiPriority w:val="99"/>
    <w:semiHidden/>
    <w:rsid w:val="00A20E49"/>
    <w:rPr>
      <w:rFonts w:ascii="Liberation Serif" w:eastAsia="DejaVu Sans" w:hAnsi="Liberation Serif" w:cs="Mangal"/>
      <w:b/>
      <w:bCs/>
      <w:kern w:val="2"/>
      <w:szCs w:val="18"/>
      <w:lang w:eastAsia="zh-CN" w:bidi="hi-IN"/>
    </w:rPr>
  </w:style>
  <w:style w:type="character" w:customStyle="1" w:styleId="Ttulo2Car">
    <w:name w:val="Título 2 Car"/>
    <w:basedOn w:val="Fuentedeprrafopredeter"/>
    <w:link w:val="Ttulo2"/>
    <w:uiPriority w:val="9"/>
    <w:semiHidden/>
    <w:rsid w:val="00A20E49"/>
    <w:rPr>
      <w:rFonts w:ascii="Cambria" w:eastAsia="Times New Roman" w:hAnsi="Cambria" w:cs="Mangal"/>
      <w:color w:val="365F91"/>
      <w:kern w:val="2"/>
      <w:sz w:val="26"/>
      <w:szCs w:val="23"/>
      <w:lang w:eastAsia="zh-CN" w:bidi="hi-IN"/>
    </w:rPr>
  </w:style>
  <w:style w:type="character" w:styleId="nfasis">
    <w:name w:val="Emphasis"/>
    <w:basedOn w:val="Fuentedeprrafopredeter"/>
    <w:uiPriority w:val="20"/>
    <w:qFormat/>
    <w:rsid w:val="00A20E49"/>
    <w:rPr>
      <w:i/>
      <w:iCs/>
    </w:rPr>
  </w:style>
  <w:style w:type="paragraph" w:styleId="Revisin">
    <w:name w:val="Revision"/>
    <w:hidden/>
    <w:uiPriority w:val="99"/>
    <w:semiHidden/>
    <w:rsid w:val="00A20E49"/>
    <w:rPr>
      <w:rFonts w:ascii="Liberation Serif" w:eastAsia="DejaVu Sans" w:hAnsi="Liberation Serif" w:cs="Mangal"/>
      <w:kern w:val="2"/>
      <w:sz w:val="24"/>
      <w:szCs w:val="21"/>
      <w:lang w:eastAsia="zh-CN" w:bidi="hi-IN"/>
    </w:rPr>
  </w:style>
  <w:style w:type="paragraph" w:customStyle="1" w:styleId="Textonotaalfinal1">
    <w:name w:val="Texto nota al final1"/>
    <w:basedOn w:val="Normal"/>
    <w:uiPriority w:val="99"/>
    <w:unhideWhenUsed/>
    <w:rsid w:val="00A20E49"/>
    <w:pPr>
      <w:suppressAutoHyphens/>
    </w:pPr>
    <w:rPr>
      <w:rFonts w:ascii="Liberation Serif" w:eastAsia="DejaVu Sans" w:hAnsi="Liberation Serif" w:cs="Mangal"/>
      <w:kern w:val="2"/>
      <w:sz w:val="20"/>
      <w:szCs w:val="18"/>
      <w:lang w:val="es-ES" w:eastAsia="zh-CN" w:bidi="hi-IN"/>
    </w:rPr>
  </w:style>
  <w:style w:type="character" w:customStyle="1" w:styleId="Mencinsinresolver1">
    <w:name w:val="Mención sin resolver1"/>
    <w:basedOn w:val="Fuentedeprrafopredeter"/>
    <w:uiPriority w:val="99"/>
    <w:semiHidden/>
    <w:unhideWhenUsed/>
    <w:rsid w:val="00A20E49"/>
    <w:rPr>
      <w:color w:val="605E5C"/>
      <w:shd w:val="clear" w:color="auto" w:fill="E1DFDD"/>
    </w:rPr>
  </w:style>
  <w:style w:type="paragraph" w:styleId="Prrafodelista">
    <w:name w:val="List Paragraph"/>
    <w:basedOn w:val="Normal"/>
    <w:uiPriority w:val="34"/>
    <w:qFormat/>
    <w:rsid w:val="00A20E49"/>
    <w:pPr>
      <w:suppressAutoHyphens/>
      <w:ind w:left="720"/>
      <w:contextualSpacing/>
    </w:pPr>
    <w:rPr>
      <w:rFonts w:ascii="Liberation Serif" w:eastAsia="DejaVu Sans" w:hAnsi="Liberation Serif" w:cs="Mangal"/>
      <w:kern w:val="2"/>
      <w:szCs w:val="21"/>
      <w:lang w:val="es-ES" w:eastAsia="zh-CN" w:bidi="hi-IN"/>
    </w:rPr>
  </w:style>
  <w:style w:type="character" w:customStyle="1" w:styleId="Mencinsinresolver2">
    <w:name w:val="Mención sin resolver2"/>
    <w:basedOn w:val="Fuentedeprrafopredeter"/>
    <w:uiPriority w:val="99"/>
    <w:semiHidden/>
    <w:unhideWhenUsed/>
    <w:rsid w:val="00A20E49"/>
    <w:rPr>
      <w:color w:val="605E5C"/>
      <w:shd w:val="clear" w:color="auto" w:fill="E1DFDD"/>
    </w:rPr>
  </w:style>
  <w:style w:type="character" w:customStyle="1" w:styleId="Ttulo2Car1">
    <w:name w:val="Título 2 Car1"/>
    <w:basedOn w:val="Fuentedeprrafopredeter"/>
    <w:link w:val="Ttulo2"/>
    <w:semiHidden/>
    <w:rsid w:val="00A20E49"/>
    <w:rPr>
      <w:rFonts w:asciiTheme="majorHAnsi" w:eastAsiaTheme="majorEastAsia" w:hAnsiTheme="majorHAnsi" w:cstheme="majorBidi"/>
      <w:color w:val="365F91" w:themeColor="accent1" w:themeShade="BF"/>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y" TargetMode="External"/><Relationship Id="rId18" Type="http://schemas.openxmlformats.org/officeDocument/2006/relationships/hyperlink" Target="https://www.scirp.org/journal/paperinformation.aspx?paperid=93631" TargetMode="External"/><Relationship Id="rId26" Type="http://schemas.openxmlformats.org/officeDocument/2006/relationships/hyperlink" Target="https://www.wma.net/es/policies-post/declaracion-de-helsinki-de-la-amm-principios-eticos-para-las-investigaciones-medicas-en-seres-humanos/" TargetMode="External"/><Relationship Id="rId39" Type="http://schemas.openxmlformats.org/officeDocument/2006/relationships/hyperlink" Target="https://dialnet.unirioja.es/servlet/articulo?codigo=8386006" TargetMode="External"/><Relationship Id="rId21" Type="http://schemas.openxmlformats.org/officeDocument/2006/relationships/hyperlink" Target="https://www.elsevier.es/es-revista-atencion-primaria-27-articulo-fiabilidad-retinografia-deteccion-retinopatia-hipertensiva-S0212656719302227" TargetMode="External"/><Relationship Id="rId34" Type="http://schemas.openxmlformats.org/officeDocument/2006/relationships/hyperlink" Target="http://servicio.bc.uc.edu.ve/fcs/cysv19n1/art02.pdf" TargetMode="External"/><Relationship Id="rId42" Type="http://schemas.openxmlformats.org/officeDocument/2006/relationships/hyperlink" Target="http://scielo.sld.cu/scielo.php?script=sci_arttext&amp;pid=S1029-30432017000100002&amp;lng=en" TargetMode="External"/><Relationship Id="rId47" Type="http://schemas.openxmlformats.org/officeDocument/2006/relationships/hyperlink" Target="https://journals.plos.org/plosone/article/file?id=10.1371/journal.pone.0230111&amp;type=printable" TargetMode="External"/><Relationship Id="rId50" Type="http://schemas.openxmlformats.org/officeDocument/2006/relationships/footer" Target="footer2.xml"/><Relationship Id="rId7" Type="http://schemas.openxmlformats.org/officeDocument/2006/relationships/hyperlink" Target="https://orcid.org/0000-0001-7167-158X" TargetMode="Externa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hyperlink" Target="https://revistaamc.sld.cu/index.php/amc/article/view/8971" TargetMode="External"/><Relationship Id="rId11" Type="http://schemas.openxmlformats.org/officeDocument/2006/relationships/hyperlink" Target="https://orcid.org/0000-0002-9217-3157" TargetMode="External"/><Relationship Id="rId24" Type="http://schemas.openxmlformats.org/officeDocument/2006/relationships/hyperlink" Target="https://revistas.uclave.org/index.php/bmp/article/view/3977/2566" TargetMode="External"/><Relationship Id="rId32" Type="http://schemas.openxmlformats.org/officeDocument/2006/relationships/hyperlink" Target="https://linkinghub.elsevier.com/retrieve/pii/S1933-1711(14)00515-4" TargetMode="External"/><Relationship Id="rId37" Type="http://schemas.openxmlformats.org/officeDocument/2006/relationships/hyperlink" Target="http://scielo.sld.cu/scielo.php?script=sci_arttext&amp;pid=S0034-75232000000400002" TargetMode="External"/><Relationship Id="rId40" Type="http://schemas.openxmlformats.org/officeDocument/2006/relationships/hyperlink" Target="https://pubmed.ncbi.nlm.nih.gov/34796068/" TargetMode="External"/><Relationship Id="rId45" Type="http://schemas.openxmlformats.org/officeDocument/2006/relationships/hyperlink" Target="https://dialnet.unirioja.es/servlet/tesis?codigo=72982"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www.sciencedirect.com/science/article/pii/S2352340920301761" TargetMode="External"/><Relationship Id="rId28" Type="http://schemas.openxmlformats.org/officeDocument/2006/relationships/hyperlink" Target="https://pubmed.ncbi.nlm.nih.gov/6361299/" TargetMode="External"/><Relationship Id="rId36" Type="http://schemas.openxmlformats.org/officeDocument/2006/relationships/hyperlink" Target="https://revzoilomarinello.sld.cu/index.php/zmv/article/view/979" TargetMode="External"/><Relationship Id="rId49" Type="http://schemas.openxmlformats.org/officeDocument/2006/relationships/footer" Target="footer1.xml"/><Relationship Id="rId10" Type="http://schemas.openxmlformats.org/officeDocument/2006/relationships/hyperlink" Target="https://orcid.org/0000-0002-9086-2709" TargetMode="External"/><Relationship Id="rId19" Type="http://schemas.openxmlformats.org/officeDocument/2006/relationships/hyperlink" Target="https://www.tandfonline.com/doi/epdf/10.2147/DMSO.S168430?needAccess=true" TargetMode="External"/><Relationship Id="rId31" Type="http://schemas.openxmlformats.org/officeDocument/2006/relationships/hyperlink" Target="https://www.nature.com/articles/s41598-021-84067-2" TargetMode="External"/><Relationship Id="rId44" Type="http://schemas.openxmlformats.org/officeDocument/2006/relationships/hyperlink" Target="https://iovs.arvojournals.org/article.aspx?articleid=273448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1-5216-198X" TargetMode="External"/><Relationship Id="rId14" Type="http://schemas.openxmlformats.org/officeDocument/2006/relationships/hyperlink" Target="mailto:yili800304@gmail.com" TargetMode="External"/><Relationship Id="rId22" Type="http://schemas.openxmlformats.org/officeDocument/2006/relationships/hyperlink" Target="https://www.ncbi.nlm.nih.gov/pmc/articles/PMC9097923/pdf/rpsp-46-e54.pdf" TargetMode="External"/><Relationship Id="rId27" Type="http://schemas.openxmlformats.org/officeDocument/2006/relationships/hyperlink" Target="https://www.ncbi.nlm.nih.gov/pmc/articles/PMC8667593/pdf/nihms-1704539.pdf" TargetMode="External"/><Relationship Id="rId30" Type="http://schemas.openxmlformats.org/officeDocument/2006/relationships/hyperlink" Target="http://scielo.sld.cu/pdf/mdc/v27n1/1029-3043-mdc-27-01-e3875.pdf" TargetMode="External"/><Relationship Id="rId35" Type="http://schemas.openxmlformats.org/officeDocument/2006/relationships/hyperlink" Target="https://revestusalud.sld.cu/index.php/estusalud/article/view/191/126" TargetMode="External"/><Relationship Id="rId43" Type="http://schemas.openxmlformats.org/officeDocument/2006/relationships/hyperlink" Target="https://www.elsevier.es/es-revista-hipertension-riesgo-vascular-67-articulo-aplicacion-practica-retinografia-hipertensos-S1889183707716811" TargetMode="External"/><Relationship Id="rId48" Type="http://schemas.openxmlformats.org/officeDocument/2006/relationships/header" Target="header1.xml"/><Relationship Id="rId8" Type="http://schemas.openxmlformats.org/officeDocument/2006/relationships/hyperlink" Target="https://orcid.org/0000-0001-7691-5184"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yiliancp@infomed.sld.cu" TargetMode="External"/><Relationship Id="rId17" Type="http://schemas.openxmlformats.org/officeDocument/2006/relationships/hyperlink" Target="https://www.archivosdemedicina.com/medicina-de-familia/siacutendrome-metaboacutelico-en-adultos-revisioacuten-narrativa-de-la-literatura.pdf" TargetMode="External"/><Relationship Id="rId25" Type="http://schemas.openxmlformats.org/officeDocument/2006/relationships/hyperlink" Target="https://www.medicaljournal.com.co/index.php/mj/article/view/15/136" TargetMode="External"/><Relationship Id="rId33" Type="http://schemas.openxmlformats.org/officeDocument/2006/relationships/hyperlink" Target="https://dspace.uazuay.edu.ec/bitstream/datos/10262/1/15891.pdf" TargetMode="External"/><Relationship Id="rId38" Type="http://schemas.openxmlformats.org/officeDocument/2006/relationships/hyperlink" Target="http://www.scielo.org.ar/scielo.php?script=sci_arttext&amp;pid=S0025-76802023000100036" TargetMode="External"/><Relationship Id="rId46" Type="http://schemas.openxmlformats.org/officeDocument/2006/relationships/hyperlink" Target="http://scielo.sld.cu/pdf/mdc/v27n1/1029-3043-mdc-27-01-e3875.pdf" TargetMode="External"/><Relationship Id="rId20" Type="http://schemas.openxmlformats.org/officeDocument/2006/relationships/hyperlink" Target="http://scielo.sld.cu/scielo.php?script=sci_arttext&amp;pid=S0864-03001999000300002&amp;lng=es" TargetMode="External"/><Relationship Id="rId41" Type="http://schemas.openxmlformats.org/officeDocument/2006/relationships/hyperlink" Target="https://fortuneonline.org/articles/prevalence-and-determinants-of-arterial-hypertension-among-patients-with-ocular-diseases-in-south-east-nigeria.pdf"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15</Pages>
  <Words>5004</Words>
  <Characters>27526</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32466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6</cp:revision>
  <cp:lastPrinted>2024-02-15T21:18:00Z</cp:lastPrinted>
  <dcterms:created xsi:type="dcterms:W3CDTF">2024-02-15T21:13:00Z</dcterms:created>
  <dcterms:modified xsi:type="dcterms:W3CDTF">2024-02-15T21:19:00Z</dcterms:modified>
</cp:coreProperties>
</file>