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6275D" w14:textId="77777777" w:rsidR="00576361" w:rsidRPr="00576361" w:rsidRDefault="00576361" w:rsidP="00576361">
      <w:pPr>
        <w:spacing w:line="360" w:lineRule="auto"/>
        <w:ind w:hanging="1"/>
        <w:jc w:val="right"/>
        <w:rPr>
          <w:bCs/>
          <w:sz w:val="20"/>
          <w:szCs w:val="20"/>
          <w:lang w:val="es-PE" w:eastAsia="es-PE"/>
        </w:rPr>
      </w:pPr>
      <w:r w:rsidRPr="00576361">
        <w:rPr>
          <w:bCs/>
          <w:sz w:val="20"/>
          <w:szCs w:val="20"/>
          <w:lang w:val="es-PE" w:eastAsia="es-PE"/>
        </w:rPr>
        <w:t>Artículo de investigación</w:t>
      </w:r>
    </w:p>
    <w:p w14:paraId="21910A81" w14:textId="77777777" w:rsidR="00576361" w:rsidRPr="00576361" w:rsidRDefault="00576361" w:rsidP="00576361">
      <w:pPr>
        <w:spacing w:line="360" w:lineRule="auto"/>
        <w:ind w:hanging="1"/>
        <w:jc w:val="right"/>
        <w:rPr>
          <w:bCs/>
          <w:lang w:val="es-PE" w:eastAsia="es-PE"/>
        </w:rPr>
      </w:pPr>
    </w:p>
    <w:p w14:paraId="544CCA1C" w14:textId="77777777" w:rsidR="00576361" w:rsidRPr="00576361" w:rsidRDefault="00576361" w:rsidP="00576361">
      <w:pPr>
        <w:spacing w:line="360" w:lineRule="auto"/>
        <w:ind w:hanging="1"/>
        <w:jc w:val="center"/>
        <w:rPr>
          <w:b/>
          <w:sz w:val="28"/>
          <w:szCs w:val="28"/>
          <w:lang w:val="es-PE" w:eastAsia="es-PE"/>
        </w:rPr>
      </w:pPr>
      <w:r w:rsidRPr="00576361">
        <w:rPr>
          <w:b/>
          <w:sz w:val="28"/>
          <w:szCs w:val="28"/>
          <w:lang w:val="es-PE" w:eastAsia="es-PE"/>
        </w:rPr>
        <w:t xml:space="preserve">Prevalencia de síndrome de </w:t>
      </w:r>
      <w:r w:rsidRPr="00576361">
        <w:rPr>
          <w:b/>
          <w:i/>
          <w:iCs/>
          <w:sz w:val="28"/>
          <w:szCs w:val="28"/>
          <w:lang w:val="es-PE" w:eastAsia="es-PE"/>
        </w:rPr>
        <w:t>burnout</w:t>
      </w:r>
      <w:r w:rsidRPr="00576361">
        <w:rPr>
          <w:b/>
          <w:sz w:val="28"/>
          <w:szCs w:val="28"/>
          <w:lang w:val="es-PE" w:eastAsia="es-PE"/>
        </w:rPr>
        <w:t xml:space="preserve"> en postulantes al examen de residencia médica</w:t>
      </w:r>
    </w:p>
    <w:p w14:paraId="20F26672" w14:textId="77777777" w:rsidR="00576361" w:rsidRPr="00576361" w:rsidRDefault="00576361" w:rsidP="00576361">
      <w:pPr>
        <w:spacing w:line="360" w:lineRule="auto"/>
        <w:ind w:hanging="2"/>
        <w:jc w:val="center"/>
        <w:rPr>
          <w:sz w:val="28"/>
          <w:szCs w:val="28"/>
          <w:lang w:val="en-US" w:eastAsia="es-PE"/>
        </w:rPr>
      </w:pPr>
      <w:r w:rsidRPr="00576361">
        <w:rPr>
          <w:sz w:val="28"/>
          <w:szCs w:val="28"/>
          <w:lang w:val="en-US" w:eastAsia="es-PE"/>
        </w:rPr>
        <w:t>Prevalence of Burnout syndrome among Medical Residency applicants</w:t>
      </w:r>
    </w:p>
    <w:p w14:paraId="0E50E7D4" w14:textId="77777777" w:rsidR="00576361" w:rsidRPr="00576361" w:rsidRDefault="00576361" w:rsidP="00576361">
      <w:pPr>
        <w:spacing w:line="360" w:lineRule="auto"/>
        <w:ind w:hanging="2"/>
        <w:rPr>
          <w:highlight w:val="yellow"/>
          <w:lang w:val="en-US" w:eastAsia="es-PE"/>
        </w:rPr>
      </w:pPr>
    </w:p>
    <w:p w14:paraId="50DA5D46" w14:textId="77777777" w:rsidR="00576361" w:rsidRPr="00576361" w:rsidRDefault="00576361" w:rsidP="00576361">
      <w:pPr>
        <w:spacing w:line="360" w:lineRule="auto"/>
        <w:ind w:hanging="1"/>
        <w:rPr>
          <w:color w:val="0000FF"/>
          <w:u w:val="single"/>
          <w:lang w:val="es-PE" w:eastAsia="es-PE"/>
        </w:rPr>
      </w:pPr>
      <w:r w:rsidRPr="00576361">
        <w:rPr>
          <w:rFonts w:eastAsia="Arial Narrow"/>
          <w:lang w:val="es-PE" w:eastAsia="es-PE"/>
        </w:rPr>
        <w:t>Carlos Saavedra</w:t>
      </w:r>
      <w:r w:rsidRPr="00576361">
        <w:rPr>
          <w:rFonts w:eastAsia="Arial Narrow"/>
          <w:vertAlign w:val="superscript"/>
          <w:lang w:val="es-PE" w:eastAsia="es-PE"/>
        </w:rPr>
        <w:t>1</w:t>
      </w:r>
      <w:r w:rsidRPr="00576361">
        <w:rPr>
          <w:rFonts w:eastAsia="Arial Narrow"/>
          <w:lang w:val="es-PE" w:eastAsia="es-PE"/>
        </w:rPr>
        <w:t xml:space="preserve">* </w:t>
      </w:r>
      <w:hyperlink r:id="rId6">
        <w:r w:rsidRPr="00576361">
          <w:rPr>
            <w:color w:val="0000FF"/>
            <w:highlight w:val="white"/>
            <w:u w:val="single"/>
            <w:lang w:val="es-PE" w:eastAsia="es-PE"/>
          </w:rPr>
          <w:t>https://orcid.org/0000-0002-1468-6395</w:t>
        </w:r>
      </w:hyperlink>
    </w:p>
    <w:p w14:paraId="6439152D" w14:textId="77777777" w:rsidR="00576361" w:rsidRPr="00576361" w:rsidRDefault="00576361" w:rsidP="00576361">
      <w:pPr>
        <w:spacing w:line="360" w:lineRule="auto"/>
        <w:ind w:hanging="1"/>
        <w:rPr>
          <w:rFonts w:eastAsia="Arial Narrow"/>
          <w:vertAlign w:val="superscript"/>
          <w:lang w:val="es-PE" w:eastAsia="es-PE"/>
        </w:rPr>
      </w:pPr>
      <w:r w:rsidRPr="00576361">
        <w:rPr>
          <w:rFonts w:eastAsia="Arial Narrow"/>
          <w:lang w:val="es-PE" w:eastAsia="es-PE"/>
        </w:rPr>
        <w:t>Kevin Flores-Lovon</w:t>
      </w:r>
      <w:r w:rsidRPr="00576361">
        <w:rPr>
          <w:rFonts w:eastAsia="Arial Narrow"/>
          <w:vertAlign w:val="superscript"/>
          <w:lang w:val="es-PE" w:eastAsia="es-PE"/>
        </w:rPr>
        <w:t xml:space="preserve">2 </w:t>
      </w:r>
      <w:hyperlink r:id="rId7" w:history="1">
        <w:r w:rsidRPr="00576361">
          <w:rPr>
            <w:color w:val="0000FF"/>
            <w:u w:val="single"/>
            <w:lang w:val="es-PE" w:eastAsia="es-PE"/>
          </w:rPr>
          <w:t>https://orcid.org/0000-0001-6942-8118</w:t>
        </w:r>
      </w:hyperlink>
    </w:p>
    <w:p w14:paraId="7CEE5BE0" w14:textId="77777777" w:rsidR="00576361" w:rsidRPr="00576361" w:rsidRDefault="00576361" w:rsidP="00576361">
      <w:pPr>
        <w:spacing w:line="360" w:lineRule="auto"/>
        <w:ind w:hanging="1"/>
        <w:rPr>
          <w:rFonts w:eastAsia="Arial Narrow"/>
          <w:lang w:val="es-PE" w:eastAsia="es-PE"/>
        </w:rPr>
      </w:pPr>
      <w:r w:rsidRPr="00576361">
        <w:rPr>
          <w:rFonts w:eastAsia="Arial Narrow"/>
          <w:lang w:val="es-PE" w:eastAsia="es-PE"/>
        </w:rPr>
        <w:t>Dayana Ticona</w:t>
      </w:r>
      <w:r w:rsidRPr="00576361">
        <w:rPr>
          <w:rFonts w:eastAsia="Arial Narrow"/>
          <w:vertAlign w:val="superscript"/>
          <w:lang w:val="es-PE" w:eastAsia="es-PE"/>
        </w:rPr>
        <w:t>2</w:t>
      </w:r>
      <w:r w:rsidRPr="00576361">
        <w:rPr>
          <w:rFonts w:eastAsia="Arial Narrow"/>
          <w:lang w:val="es-PE" w:eastAsia="es-PE"/>
        </w:rPr>
        <w:t xml:space="preserve"> </w:t>
      </w:r>
      <w:hyperlink r:id="rId8" w:history="1">
        <w:r w:rsidRPr="00576361">
          <w:rPr>
            <w:color w:val="0000FF"/>
            <w:u w:val="single"/>
            <w:lang w:val="es-PE" w:eastAsia="es-PE"/>
          </w:rPr>
          <w:t>https://orcid.org/0000-0002-1815-8741</w:t>
        </w:r>
      </w:hyperlink>
    </w:p>
    <w:p w14:paraId="5F479C3B" w14:textId="77777777" w:rsidR="00576361" w:rsidRPr="00576361" w:rsidRDefault="00576361" w:rsidP="00576361">
      <w:pPr>
        <w:spacing w:line="360" w:lineRule="auto"/>
        <w:ind w:hanging="1"/>
        <w:rPr>
          <w:u w:val="single"/>
          <w:lang w:val="es-PE" w:eastAsia="es-PE"/>
        </w:rPr>
      </w:pPr>
      <w:proofErr w:type="spellStart"/>
      <w:r w:rsidRPr="00576361">
        <w:rPr>
          <w:rFonts w:eastAsia="Arial Narrow"/>
          <w:lang w:val="es-PE" w:eastAsia="es-PE"/>
        </w:rPr>
        <w:t>Ericson</w:t>
      </w:r>
      <w:proofErr w:type="spellEnd"/>
      <w:r w:rsidRPr="00576361">
        <w:rPr>
          <w:rFonts w:eastAsia="Arial Narrow"/>
          <w:lang w:val="es-PE" w:eastAsia="es-PE"/>
        </w:rPr>
        <w:t xml:space="preserve"> L. Gutiérrez</w:t>
      </w:r>
      <w:r w:rsidRPr="00576361">
        <w:rPr>
          <w:rFonts w:eastAsia="Arial Narrow"/>
          <w:vertAlign w:val="superscript"/>
          <w:lang w:val="es-PE" w:eastAsia="es-PE"/>
        </w:rPr>
        <w:t>3</w:t>
      </w:r>
      <w:r w:rsidRPr="00576361">
        <w:rPr>
          <w:rFonts w:eastAsia="Arial Narrow"/>
          <w:lang w:val="es-PE" w:eastAsia="es-PE"/>
        </w:rPr>
        <w:t xml:space="preserve"> </w:t>
      </w:r>
      <w:hyperlink r:id="rId9" w:history="1">
        <w:r w:rsidRPr="00576361">
          <w:rPr>
            <w:color w:val="0000FF"/>
            <w:u w:val="single"/>
            <w:lang w:val="es-PE" w:eastAsia="es-PE"/>
          </w:rPr>
          <w:t>https://orcid.org/0000-0003-4725-6284</w:t>
        </w:r>
      </w:hyperlink>
    </w:p>
    <w:p w14:paraId="59416703" w14:textId="77777777" w:rsidR="00576361" w:rsidRPr="00576361" w:rsidRDefault="00576361" w:rsidP="00576361">
      <w:pPr>
        <w:spacing w:line="360" w:lineRule="auto"/>
        <w:rPr>
          <w:rFonts w:eastAsia="Arial Narrow"/>
          <w:vertAlign w:val="superscript"/>
          <w:lang w:val="pt-BR" w:eastAsia="es-PE"/>
        </w:rPr>
      </w:pPr>
    </w:p>
    <w:p w14:paraId="3D19C74A" w14:textId="77777777" w:rsidR="00576361" w:rsidRPr="00576361" w:rsidRDefault="00576361" w:rsidP="00576361">
      <w:pPr>
        <w:spacing w:line="360" w:lineRule="auto"/>
        <w:ind w:hanging="1"/>
        <w:rPr>
          <w:lang w:val="es-PE" w:eastAsia="es-PE"/>
        </w:rPr>
      </w:pPr>
      <w:r w:rsidRPr="00576361">
        <w:rPr>
          <w:rFonts w:eastAsia="Arial Narrow"/>
          <w:vertAlign w:val="superscript"/>
          <w:lang w:val="pt-BR" w:eastAsia="es-PE"/>
        </w:rPr>
        <w:t>1</w:t>
      </w:r>
      <w:r w:rsidRPr="00576361">
        <w:rPr>
          <w:lang w:val="es-PE" w:eastAsia="es-PE"/>
        </w:rPr>
        <w:t>Universidad Nacional Mayor de San Marcos, Facultad de Medicina Humana. Lima, Perú.</w:t>
      </w:r>
    </w:p>
    <w:p w14:paraId="20FF3CA0" w14:textId="77777777" w:rsidR="00576361" w:rsidRPr="00576361" w:rsidRDefault="00576361" w:rsidP="00576361">
      <w:pPr>
        <w:spacing w:line="360" w:lineRule="auto"/>
        <w:ind w:hanging="1"/>
        <w:rPr>
          <w:rFonts w:eastAsia="Arial Narrow"/>
          <w:lang w:val="es-PE" w:eastAsia="es-PE"/>
        </w:rPr>
      </w:pPr>
      <w:r w:rsidRPr="00576361">
        <w:rPr>
          <w:rFonts w:eastAsia="Arial Narrow"/>
          <w:vertAlign w:val="superscript"/>
          <w:lang w:val="es-PE" w:eastAsia="es-PE"/>
        </w:rPr>
        <w:t>2</w:t>
      </w:r>
      <w:r w:rsidRPr="00576361">
        <w:rPr>
          <w:rFonts w:eastAsia="Arial Narrow"/>
          <w:lang w:val="es-PE" w:eastAsia="es-PE"/>
        </w:rPr>
        <w:t>Universidad Nacional de San Agustín de Arequipa. Arequipa, Perú.</w:t>
      </w:r>
    </w:p>
    <w:p w14:paraId="7AC57853" w14:textId="77777777" w:rsidR="00576361" w:rsidRPr="00576361" w:rsidRDefault="00576361" w:rsidP="00576361">
      <w:pPr>
        <w:spacing w:line="360" w:lineRule="auto"/>
        <w:ind w:hanging="1"/>
        <w:rPr>
          <w:rFonts w:eastAsia="Arial Narrow"/>
          <w:lang w:val="es-PE" w:eastAsia="es-PE"/>
        </w:rPr>
      </w:pPr>
      <w:r w:rsidRPr="00576361">
        <w:rPr>
          <w:rFonts w:eastAsia="Arial Narrow"/>
          <w:vertAlign w:val="superscript"/>
          <w:lang w:val="es-PE" w:eastAsia="es-PE"/>
        </w:rPr>
        <w:t>3</w:t>
      </w:r>
      <w:r w:rsidRPr="00576361">
        <w:rPr>
          <w:rFonts w:eastAsia="Arial Narrow"/>
          <w:lang w:val="es-PE" w:eastAsia="es-PE"/>
        </w:rPr>
        <w:t>Universidad San Ignacio de Loyola, Unidad de Investigación para la Generación y Síntesis de Evidencias en Salud. Lima, Perú.</w:t>
      </w:r>
    </w:p>
    <w:p w14:paraId="04A5FCD2" w14:textId="77777777" w:rsidR="00576361" w:rsidRPr="00576361" w:rsidRDefault="00576361" w:rsidP="00576361">
      <w:pPr>
        <w:spacing w:line="360" w:lineRule="auto"/>
        <w:ind w:hanging="1"/>
        <w:rPr>
          <w:lang w:val="es-PE" w:eastAsia="es-PE"/>
        </w:rPr>
      </w:pPr>
      <w:r w:rsidRPr="00576361">
        <w:rPr>
          <w:lang w:val="es-PE" w:eastAsia="es-PE"/>
        </w:rPr>
        <w:t xml:space="preserve">*Autor para la correspondencia. Correo electrónico: </w:t>
      </w:r>
      <w:hyperlink r:id="rId10" w:history="1">
        <w:r w:rsidRPr="00576361">
          <w:rPr>
            <w:color w:val="0000FF"/>
            <w:u w:val="single"/>
            <w:lang w:val="es-PE" w:eastAsia="es-PE"/>
          </w:rPr>
          <w:t>saavedraleveau@yahoo.com</w:t>
        </w:r>
      </w:hyperlink>
      <w:r w:rsidRPr="00576361">
        <w:rPr>
          <w:lang w:val="es-PE" w:eastAsia="es-PE"/>
        </w:rPr>
        <w:t xml:space="preserve"> </w:t>
      </w:r>
    </w:p>
    <w:p w14:paraId="6EE0B0B8" w14:textId="77777777" w:rsidR="00576361" w:rsidRPr="00576361" w:rsidRDefault="00576361" w:rsidP="00576361">
      <w:pPr>
        <w:spacing w:line="360" w:lineRule="auto"/>
        <w:ind w:hanging="2"/>
        <w:rPr>
          <w:lang w:val="es-PE" w:eastAsia="es-PE"/>
        </w:rPr>
      </w:pPr>
    </w:p>
    <w:p w14:paraId="3CE87808" w14:textId="77777777" w:rsidR="00576361" w:rsidRPr="00576361" w:rsidRDefault="00576361" w:rsidP="00576361">
      <w:pPr>
        <w:spacing w:line="360" w:lineRule="auto"/>
        <w:ind w:hanging="2"/>
        <w:rPr>
          <w:lang w:val="es-PE" w:eastAsia="es-PE"/>
        </w:rPr>
      </w:pPr>
      <w:r w:rsidRPr="00576361">
        <w:rPr>
          <w:b/>
          <w:lang w:val="es-PE" w:eastAsia="es-PE"/>
        </w:rPr>
        <w:t>RESUMEN</w:t>
      </w:r>
    </w:p>
    <w:p w14:paraId="3D51A80B" w14:textId="77777777" w:rsidR="00576361" w:rsidRPr="00576361" w:rsidRDefault="00576361" w:rsidP="00576361">
      <w:pPr>
        <w:spacing w:line="360" w:lineRule="auto"/>
        <w:ind w:hanging="2"/>
        <w:jc w:val="both"/>
        <w:rPr>
          <w:lang w:val="es-PE" w:eastAsia="es-PE"/>
        </w:rPr>
      </w:pPr>
      <w:r w:rsidRPr="00576361">
        <w:rPr>
          <w:b/>
          <w:lang w:val="es-PE" w:eastAsia="es-PE"/>
        </w:rPr>
        <w:t>Introducción</w:t>
      </w:r>
      <w:r w:rsidRPr="00576361">
        <w:rPr>
          <w:b/>
          <w:color w:val="000000"/>
          <w:lang w:val="es-PE" w:eastAsia="es-PE"/>
        </w:rPr>
        <w:t xml:space="preserve">: </w:t>
      </w:r>
      <w:r w:rsidRPr="00576361">
        <w:rPr>
          <w:color w:val="000000"/>
          <w:lang w:val="es-PE" w:eastAsia="es-PE"/>
        </w:rPr>
        <w:t xml:space="preserve">Los médicos que se preparan para rendir el examen de residencia médica, están </w:t>
      </w:r>
      <w:r w:rsidRPr="00576361">
        <w:rPr>
          <w:lang w:val="es-PE" w:eastAsia="es-PE"/>
        </w:rPr>
        <w:t xml:space="preserve">expuestos a estrés laboral, debido a que adicionalmente tienen que trabajar para poder solventar sus estudios. </w:t>
      </w:r>
    </w:p>
    <w:p w14:paraId="00A87F5F" w14:textId="77777777" w:rsidR="00576361" w:rsidRPr="00576361" w:rsidRDefault="00576361" w:rsidP="00576361">
      <w:pPr>
        <w:spacing w:line="360" w:lineRule="auto"/>
        <w:ind w:hanging="2"/>
        <w:jc w:val="both"/>
        <w:rPr>
          <w:color w:val="000000"/>
          <w:lang w:val="es-PE" w:eastAsia="es-PE"/>
        </w:rPr>
      </w:pPr>
      <w:r w:rsidRPr="00576361">
        <w:rPr>
          <w:b/>
          <w:color w:val="000000"/>
          <w:lang w:val="es-PE" w:eastAsia="es-PE"/>
        </w:rPr>
        <w:t>Objetivos:</w:t>
      </w:r>
      <w:r w:rsidRPr="00576361">
        <w:rPr>
          <w:color w:val="000000"/>
          <w:lang w:val="es-PE" w:eastAsia="es-PE"/>
        </w:rPr>
        <w:t xml:space="preserve"> Determinar la prevalencia del </w:t>
      </w:r>
      <w:r w:rsidRPr="00576361">
        <w:rPr>
          <w:lang w:val="es-PE" w:eastAsia="es-PE"/>
        </w:rPr>
        <w:t>s</w:t>
      </w:r>
      <w:r w:rsidRPr="00576361">
        <w:rPr>
          <w:color w:val="000000"/>
          <w:lang w:val="es-PE" w:eastAsia="es-PE"/>
        </w:rPr>
        <w:t xml:space="preserve">índrome de </w:t>
      </w:r>
      <w:r w:rsidRPr="00576361">
        <w:rPr>
          <w:i/>
          <w:iCs/>
          <w:color w:val="000000"/>
          <w:lang w:val="es-PE" w:eastAsia="es-PE"/>
        </w:rPr>
        <w:t>burnout</w:t>
      </w:r>
      <w:r w:rsidRPr="00576361">
        <w:rPr>
          <w:color w:val="000000"/>
          <w:lang w:val="es-PE" w:eastAsia="es-PE"/>
        </w:rPr>
        <w:t xml:space="preserve"> en </w:t>
      </w:r>
      <w:r w:rsidRPr="00576361">
        <w:rPr>
          <w:lang w:val="es-PE" w:eastAsia="es-PE"/>
        </w:rPr>
        <w:t>m</w:t>
      </w:r>
      <w:r w:rsidRPr="00576361">
        <w:rPr>
          <w:color w:val="000000"/>
          <w:lang w:val="es-PE" w:eastAsia="es-PE"/>
        </w:rPr>
        <w:t xml:space="preserve">édicos generales que se preparan para el examen de </w:t>
      </w:r>
      <w:r w:rsidRPr="00576361">
        <w:rPr>
          <w:lang w:val="es-PE" w:eastAsia="es-PE"/>
        </w:rPr>
        <w:t>residencia médica</w:t>
      </w:r>
      <w:r w:rsidRPr="00576361">
        <w:rPr>
          <w:color w:val="000000"/>
          <w:lang w:val="es-PE" w:eastAsia="es-PE"/>
        </w:rPr>
        <w:t xml:space="preserve">. </w:t>
      </w:r>
    </w:p>
    <w:p w14:paraId="5B2B1D07" w14:textId="77777777" w:rsidR="00576361" w:rsidRPr="00576361" w:rsidRDefault="00576361" w:rsidP="00576361">
      <w:pPr>
        <w:spacing w:line="360" w:lineRule="auto"/>
        <w:ind w:hanging="2"/>
        <w:jc w:val="both"/>
        <w:rPr>
          <w:color w:val="000000"/>
          <w:lang w:val="es-PE" w:eastAsia="es-PE"/>
        </w:rPr>
      </w:pPr>
      <w:r w:rsidRPr="00576361">
        <w:rPr>
          <w:b/>
          <w:lang w:val="es-PE" w:eastAsia="es-PE"/>
        </w:rPr>
        <w:t>Métodos</w:t>
      </w:r>
      <w:r w:rsidRPr="00576361">
        <w:rPr>
          <w:b/>
          <w:color w:val="000000"/>
          <w:lang w:val="es-PE" w:eastAsia="es-PE"/>
        </w:rPr>
        <w:t>:</w:t>
      </w:r>
      <w:r w:rsidRPr="00576361">
        <w:rPr>
          <w:color w:val="000000"/>
          <w:lang w:val="es-PE" w:eastAsia="es-PE"/>
        </w:rPr>
        <w:t xml:space="preserve"> Se realizó un estudio descriptivo y transversal, </w:t>
      </w:r>
      <w:r w:rsidRPr="00576361">
        <w:rPr>
          <w:lang w:val="es-PE" w:eastAsia="es-PE"/>
        </w:rPr>
        <w:t xml:space="preserve">se aplicó el cuestionario </w:t>
      </w:r>
      <w:r w:rsidRPr="00576361">
        <w:rPr>
          <w:i/>
          <w:iCs/>
          <w:lang w:val="es-PE" w:eastAsia="es-PE"/>
        </w:rPr>
        <w:t xml:space="preserve">Maslach Burnout </w:t>
      </w:r>
      <w:proofErr w:type="spellStart"/>
      <w:r w:rsidRPr="00576361">
        <w:rPr>
          <w:i/>
          <w:iCs/>
          <w:lang w:val="es-PE" w:eastAsia="es-PE"/>
        </w:rPr>
        <w:t>Inventory</w:t>
      </w:r>
      <w:proofErr w:type="spellEnd"/>
      <w:r w:rsidRPr="00576361">
        <w:rPr>
          <w:lang w:val="es-PE" w:eastAsia="es-PE"/>
        </w:rPr>
        <w:t xml:space="preserve"> (MBI) </w:t>
      </w:r>
      <w:r w:rsidRPr="00576361">
        <w:rPr>
          <w:color w:val="000000"/>
          <w:lang w:val="es-PE" w:eastAsia="es-PE"/>
        </w:rPr>
        <w:t xml:space="preserve">a </w:t>
      </w:r>
      <w:r w:rsidRPr="00576361">
        <w:rPr>
          <w:lang w:val="es-PE" w:eastAsia="es-PE"/>
        </w:rPr>
        <w:t>m</w:t>
      </w:r>
      <w:r w:rsidRPr="00576361">
        <w:rPr>
          <w:color w:val="000000"/>
          <w:lang w:val="es-PE" w:eastAsia="es-PE"/>
        </w:rPr>
        <w:t xml:space="preserve">édicos </w:t>
      </w:r>
      <w:r w:rsidRPr="00576361">
        <w:rPr>
          <w:lang w:val="es-PE" w:eastAsia="es-PE"/>
        </w:rPr>
        <w:t>g</w:t>
      </w:r>
      <w:r w:rsidRPr="00576361">
        <w:rPr>
          <w:color w:val="000000"/>
          <w:lang w:val="es-PE" w:eastAsia="es-PE"/>
        </w:rPr>
        <w:t xml:space="preserve">enerales que trabajaban y que se preparaban para rendir el examen de residencia médica, que voluntariamente aceptaron participar en el estudio. Se realizó estadística </w:t>
      </w:r>
      <w:proofErr w:type="spellStart"/>
      <w:r w:rsidRPr="00576361">
        <w:rPr>
          <w:color w:val="000000"/>
          <w:lang w:val="es-PE" w:eastAsia="es-PE"/>
        </w:rPr>
        <w:t>univariada</w:t>
      </w:r>
      <w:proofErr w:type="spellEnd"/>
      <w:r w:rsidRPr="00576361">
        <w:rPr>
          <w:color w:val="000000"/>
          <w:lang w:val="es-PE" w:eastAsia="es-PE"/>
        </w:rPr>
        <w:t xml:space="preserve"> y </w:t>
      </w:r>
      <w:proofErr w:type="spellStart"/>
      <w:r w:rsidRPr="00576361">
        <w:rPr>
          <w:color w:val="000000"/>
          <w:lang w:val="es-PE" w:eastAsia="es-PE"/>
        </w:rPr>
        <w:t>bivariada</w:t>
      </w:r>
      <w:proofErr w:type="spellEnd"/>
      <w:r w:rsidRPr="00576361">
        <w:rPr>
          <w:color w:val="000000"/>
          <w:lang w:val="es-PE" w:eastAsia="es-PE"/>
        </w:rPr>
        <w:t>; los cálculos fueron realizados con un nivel de confianza del 95 %.</w:t>
      </w:r>
    </w:p>
    <w:p w14:paraId="20057441" w14:textId="77777777" w:rsidR="00576361" w:rsidRPr="00576361" w:rsidRDefault="00576361" w:rsidP="00576361">
      <w:pPr>
        <w:spacing w:line="360" w:lineRule="auto"/>
        <w:ind w:hanging="2"/>
        <w:jc w:val="both"/>
        <w:rPr>
          <w:color w:val="000000"/>
          <w:lang w:val="es-PE" w:eastAsia="es-PE"/>
        </w:rPr>
      </w:pPr>
      <w:r w:rsidRPr="00576361">
        <w:rPr>
          <w:b/>
          <w:color w:val="000000"/>
          <w:lang w:val="es-PE" w:eastAsia="es-PE"/>
        </w:rPr>
        <w:t>Resultados:</w:t>
      </w:r>
      <w:r w:rsidRPr="00576361">
        <w:rPr>
          <w:color w:val="000000"/>
          <w:lang w:val="es-PE" w:eastAsia="es-PE"/>
        </w:rPr>
        <w:t xml:space="preserve"> Se incluyó a un total de 306 médicos. El 56,9 % fueron de sexo femenino y el promedio de edad fue de 28,5 ± 4,3 años. El 2,3 % (7) de los médicos presentaron </w:t>
      </w:r>
      <w:r w:rsidRPr="00576361">
        <w:rPr>
          <w:lang w:val="es-PE" w:eastAsia="es-PE"/>
        </w:rPr>
        <w:t>s</w:t>
      </w:r>
      <w:r w:rsidRPr="00576361">
        <w:rPr>
          <w:color w:val="000000"/>
          <w:lang w:val="es-PE" w:eastAsia="es-PE"/>
        </w:rPr>
        <w:t xml:space="preserve">índrome de </w:t>
      </w:r>
      <w:r w:rsidRPr="00576361">
        <w:rPr>
          <w:i/>
          <w:iCs/>
          <w:color w:val="000000"/>
          <w:lang w:val="es-PE" w:eastAsia="es-PE"/>
        </w:rPr>
        <w:t>burnout</w:t>
      </w:r>
      <w:r w:rsidRPr="00576361">
        <w:rPr>
          <w:color w:val="000000"/>
          <w:lang w:val="es-PE" w:eastAsia="es-PE"/>
        </w:rPr>
        <w:t>; las subescalas de despersonalización (42,2 %) y agotamiento emocional (32</w:t>
      </w:r>
      <w:r w:rsidRPr="00576361">
        <w:rPr>
          <w:lang w:val="es-PE" w:eastAsia="es-PE"/>
        </w:rPr>
        <w:t xml:space="preserve"> </w:t>
      </w:r>
      <w:r w:rsidRPr="00576361">
        <w:rPr>
          <w:color w:val="000000"/>
          <w:lang w:val="es-PE" w:eastAsia="es-PE"/>
        </w:rPr>
        <w:t xml:space="preserve">%) tuvieron mayores porcentajes de índices altos. </w:t>
      </w:r>
    </w:p>
    <w:p w14:paraId="0C49B756" w14:textId="77777777" w:rsidR="00576361" w:rsidRPr="00576361" w:rsidRDefault="00576361" w:rsidP="00576361">
      <w:pPr>
        <w:spacing w:line="360" w:lineRule="auto"/>
        <w:ind w:hanging="2"/>
        <w:jc w:val="both"/>
        <w:rPr>
          <w:color w:val="000000"/>
          <w:lang w:val="es-PE" w:eastAsia="es-PE"/>
        </w:rPr>
      </w:pPr>
      <w:r w:rsidRPr="00576361">
        <w:rPr>
          <w:b/>
          <w:color w:val="000000"/>
          <w:lang w:val="es-PE" w:eastAsia="es-PE"/>
        </w:rPr>
        <w:lastRenderedPageBreak/>
        <w:t>Conclusiones:</w:t>
      </w:r>
      <w:r w:rsidRPr="00576361">
        <w:rPr>
          <w:color w:val="000000"/>
          <w:lang w:val="es-PE" w:eastAsia="es-PE"/>
        </w:rPr>
        <w:t xml:space="preserve"> La prevalencia de </w:t>
      </w:r>
      <w:r w:rsidRPr="00576361">
        <w:rPr>
          <w:lang w:val="es-PE" w:eastAsia="es-PE"/>
        </w:rPr>
        <w:t>s</w:t>
      </w:r>
      <w:r w:rsidRPr="00576361">
        <w:rPr>
          <w:color w:val="000000"/>
          <w:lang w:val="es-PE" w:eastAsia="es-PE"/>
        </w:rPr>
        <w:t xml:space="preserve">índrome de </w:t>
      </w:r>
      <w:r w:rsidRPr="00576361">
        <w:rPr>
          <w:i/>
          <w:iCs/>
          <w:color w:val="000000"/>
          <w:lang w:val="es-PE" w:eastAsia="es-PE"/>
        </w:rPr>
        <w:t>burnout</w:t>
      </w:r>
      <w:r w:rsidRPr="00576361">
        <w:rPr>
          <w:color w:val="000000"/>
          <w:lang w:val="es-PE" w:eastAsia="es-PE"/>
        </w:rPr>
        <w:t xml:space="preserve"> fue baja en los médicos generales que se preparan para el examen de residencia médica. Las subescalas con mayores índices fueron despersonalización y agotamiento emocional.</w:t>
      </w:r>
    </w:p>
    <w:p w14:paraId="030B09EE" w14:textId="77777777" w:rsidR="00576361" w:rsidRPr="00576361" w:rsidRDefault="00576361" w:rsidP="00576361">
      <w:pPr>
        <w:spacing w:line="360" w:lineRule="auto"/>
        <w:ind w:hanging="2"/>
        <w:jc w:val="both"/>
        <w:rPr>
          <w:color w:val="000000"/>
          <w:lang w:val="es-PE" w:eastAsia="es-PE"/>
        </w:rPr>
      </w:pPr>
      <w:r w:rsidRPr="00576361">
        <w:rPr>
          <w:b/>
          <w:color w:val="000000"/>
          <w:lang w:val="es-PE" w:eastAsia="es-PE"/>
        </w:rPr>
        <w:t>Palabras clave:</w:t>
      </w:r>
      <w:r w:rsidRPr="00576361">
        <w:rPr>
          <w:color w:val="000000"/>
          <w:lang w:val="es-PE" w:eastAsia="es-PE"/>
        </w:rPr>
        <w:t xml:space="preserve"> trastornos de ansiedad</w:t>
      </w:r>
      <w:r w:rsidRPr="00576361">
        <w:rPr>
          <w:lang w:val="es-PE" w:eastAsia="es-PE"/>
        </w:rPr>
        <w:t>; a</w:t>
      </w:r>
      <w:r w:rsidRPr="00576361">
        <w:rPr>
          <w:color w:val="000000"/>
          <w:lang w:val="es-PE" w:eastAsia="es-PE"/>
        </w:rPr>
        <w:t>gotamiento profesional</w:t>
      </w:r>
      <w:r w:rsidRPr="00576361">
        <w:rPr>
          <w:lang w:val="es-PE" w:eastAsia="es-PE"/>
        </w:rPr>
        <w:t>; médicos generales.</w:t>
      </w:r>
    </w:p>
    <w:p w14:paraId="59889EF7" w14:textId="77777777" w:rsidR="00576361" w:rsidRPr="00576361" w:rsidRDefault="00576361" w:rsidP="00576361">
      <w:pPr>
        <w:spacing w:line="360" w:lineRule="auto"/>
        <w:ind w:hanging="2"/>
        <w:jc w:val="both"/>
        <w:rPr>
          <w:b/>
          <w:color w:val="000000"/>
          <w:lang w:val="es-PE" w:eastAsia="es-PE"/>
        </w:rPr>
      </w:pPr>
    </w:p>
    <w:p w14:paraId="694749B7" w14:textId="77777777" w:rsidR="00576361" w:rsidRPr="00576361" w:rsidRDefault="00576361" w:rsidP="00576361">
      <w:pPr>
        <w:spacing w:line="360" w:lineRule="auto"/>
        <w:ind w:hanging="2"/>
        <w:jc w:val="both"/>
        <w:rPr>
          <w:b/>
          <w:lang w:val="en-US" w:eastAsia="es-PE"/>
        </w:rPr>
      </w:pPr>
      <w:r w:rsidRPr="00576361">
        <w:rPr>
          <w:b/>
          <w:color w:val="000000"/>
          <w:lang w:val="en-US" w:eastAsia="es-PE"/>
        </w:rPr>
        <w:t>ABSTRACT</w:t>
      </w:r>
    </w:p>
    <w:p w14:paraId="6EE3D61B" w14:textId="77777777" w:rsidR="00576361" w:rsidRPr="00576361" w:rsidRDefault="00576361" w:rsidP="00576361">
      <w:pPr>
        <w:spacing w:line="360" w:lineRule="auto"/>
        <w:ind w:hanging="2"/>
        <w:jc w:val="both"/>
        <w:rPr>
          <w:color w:val="000000"/>
          <w:lang w:val="en-US" w:eastAsia="es-PE"/>
        </w:rPr>
      </w:pPr>
      <w:r w:rsidRPr="00576361">
        <w:rPr>
          <w:b/>
          <w:color w:val="000000"/>
          <w:lang w:val="en-US" w:eastAsia="es-PE"/>
        </w:rPr>
        <w:t xml:space="preserve">Introduction: </w:t>
      </w:r>
      <w:r w:rsidRPr="00576361">
        <w:rPr>
          <w:color w:val="000000"/>
          <w:lang w:val="en-US" w:eastAsia="es-PE"/>
        </w:rPr>
        <w:t xml:space="preserve">Doctors who are preparing to take the medical residency exam are exposed to work stress, because they have to work to pay their studies. </w:t>
      </w:r>
    </w:p>
    <w:p w14:paraId="3599C7D7" w14:textId="77777777" w:rsidR="00576361" w:rsidRPr="00576361" w:rsidRDefault="00576361" w:rsidP="00576361">
      <w:pPr>
        <w:spacing w:line="360" w:lineRule="auto"/>
        <w:ind w:hanging="2"/>
        <w:jc w:val="both"/>
        <w:rPr>
          <w:lang w:val="en-US" w:eastAsia="es-PE"/>
        </w:rPr>
      </w:pPr>
      <w:r w:rsidRPr="00576361">
        <w:rPr>
          <w:b/>
          <w:color w:val="000000"/>
          <w:lang w:val="en-US" w:eastAsia="es-PE"/>
        </w:rPr>
        <w:t>Objectives:</w:t>
      </w:r>
      <w:r w:rsidRPr="00576361">
        <w:rPr>
          <w:color w:val="000000"/>
          <w:lang w:val="en-US" w:eastAsia="es-PE"/>
        </w:rPr>
        <w:t xml:space="preserve"> </w:t>
      </w:r>
      <w:r w:rsidRPr="00576361">
        <w:rPr>
          <w:lang w:val="en-US" w:eastAsia="es-PE"/>
        </w:rPr>
        <w:t>To determine the prevalence of Burnout syndrome in general practitioners preparing for the residency exam.</w:t>
      </w:r>
    </w:p>
    <w:p w14:paraId="67944AA9" w14:textId="77777777" w:rsidR="00576361" w:rsidRPr="00576361" w:rsidRDefault="00576361" w:rsidP="00576361">
      <w:pPr>
        <w:spacing w:line="360" w:lineRule="auto"/>
        <w:ind w:hanging="2"/>
        <w:jc w:val="both"/>
        <w:rPr>
          <w:lang w:val="en-US" w:eastAsia="es-PE"/>
        </w:rPr>
      </w:pPr>
      <w:r w:rsidRPr="00576361">
        <w:rPr>
          <w:b/>
          <w:color w:val="000000"/>
          <w:lang w:val="en-US" w:eastAsia="es-PE"/>
        </w:rPr>
        <w:t>Methods:</w:t>
      </w:r>
      <w:r w:rsidRPr="00576361">
        <w:rPr>
          <w:color w:val="000000"/>
          <w:lang w:val="en-US" w:eastAsia="es-PE"/>
        </w:rPr>
        <w:t xml:space="preserve"> </w:t>
      </w:r>
      <w:r w:rsidRPr="00576361">
        <w:rPr>
          <w:lang w:val="en-US" w:eastAsia="es-PE"/>
        </w:rPr>
        <w:t xml:space="preserve">A descriptive and cross-sectional study was carried out, the </w:t>
      </w:r>
      <w:r w:rsidRPr="00576361">
        <w:rPr>
          <w:i/>
          <w:iCs/>
          <w:lang w:val="en-US" w:eastAsia="es-PE"/>
        </w:rPr>
        <w:t>Maslach Burnout Inventory</w:t>
      </w:r>
      <w:r w:rsidRPr="00576361">
        <w:rPr>
          <w:lang w:val="en-US" w:eastAsia="es-PE"/>
        </w:rPr>
        <w:t xml:space="preserve"> (MBI) was applied in general practitioners who worked and were preparing to take the medical residency exam were included, who voluntarily agreed to participate in the study. Univariate and bivariate statistics were performed, the calculations were performed with a confidence level of 95 %. </w:t>
      </w:r>
    </w:p>
    <w:p w14:paraId="3F012124" w14:textId="77777777" w:rsidR="00576361" w:rsidRPr="00576361" w:rsidRDefault="00576361" w:rsidP="00576361">
      <w:pPr>
        <w:spacing w:line="360" w:lineRule="auto"/>
        <w:ind w:hanging="2"/>
        <w:jc w:val="both"/>
        <w:rPr>
          <w:lang w:val="en-US" w:eastAsia="es-PE"/>
        </w:rPr>
      </w:pPr>
      <w:r w:rsidRPr="00576361">
        <w:rPr>
          <w:b/>
          <w:lang w:val="en-US" w:eastAsia="es-PE"/>
        </w:rPr>
        <w:t>Results</w:t>
      </w:r>
      <w:r w:rsidRPr="00576361">
        <w:rPr>
          <w:b/>
          <w:color w:val="000000"/>
          <w:lang w:val="en-US" w:eastAsia="es-PE"/>
        </w:rPr>
        <w:t>:</w:t>
      </w:r>
      <w:r w:rsidRPr="00576361">
        <w:rPr>
          <w:color w:val="000000"/>
          <w:lang w:val="en-US" w:eastAsia="es-PE"/>
        </w:rPr>
        <w:t xml:space="preserve"> </w:t>
      </w:r>
      <w:r w:rsidRPr="00576361">
        <w:rPr>
          <w:lang w:val="en-US" w:eastAsia="es-PE"/>
        </w:rPr>
        <w:t xml:space="preserve">A total of 306 general practitioners were included. 56,9 % were female and the average age was 28,5 ± 4,3 years. 2,3 % (7) of the doctors had Burnout syndrome, the subscales of depersonalization (42,2 %) and emotional exhaustion (32 %) had higher percentages of high indexes. </w:t>
      </w:r>
    </w:p>
    <w:p w14:paraId="29614390" w14:textId="77777777" w:rsidR="00576361" w:rsidRPr="00576361" w:rsidRDefault="00576361" w:rsidP="00576361">
      <w:pPr>
        <w:spacing w:line="360" w:lineRule="auto"/>
        <w:ind w:hanging="2"/>
        <w:jc w:val="both"/>
        <w:rPr>
          <w:color w:val="000000"/>
          <w:lang w:val="en-US" w:eastAsia="es-PE"/>
        </w:rPr>
      </w:pPr>
      <w:r w:rsidRPr="00576361">
        <w:rPr>
          <w:b/>
          <w:color w:val="000000"/>
          <w:lang w:val="en-US" w:eastAsia="es-PE"/>
        </w:rPr>
        <w:t>Conclusions:</w:t>
      </w:r>
      <w:r w:rsidRPr="00576361">
        <w:rPr>
          <w:color w:val="000000"/>
          <w:lang w:val="en-US" w:eastAsia="es-PE"/>
        </w:rPr>
        <w:t xml:space="preserve"> </w:t>
      </w:r>
      <w:r w:rsidRPr="00576361">
        <w:rPr>
          <w:lang w:val="en-US" w:eastAsia="es-PE"/>
        </w:rPr>
        <w:t>The prevalence of Burnout syndrome was low in general practitioners preparing for the medical residency examination. The subscales with the highest indices were depersonalization and emotional exhaustion.</w:t>
      </w:r>
    </w:p>
    <w:p w14:paraId="1369AADB" w14:textId="77777777" w:rsidR="00576361" w:rsidRPr="00576361" w:rsidRDefault="00576361" w:rsidP="00576361">
      <w:pPr>
        <w:spacing w:line="360" w:lineRule="auto"/>
        <w:ind w:hanging="2"/>
        <w:jc w:val="both"/>
        <w:rPr>
          <w:lang w:val="en-US" w:eastAsia="es-PE"/>
        </w:rPr>
      </w:pPr>
      <w:r w:rsidRPr="00576361">
        <w:rPr>
          <w:b/>
          <w:color w:val="000000"/>
          <w:lang w:val="en-US" w:eastAsia="es-PE"/>
        </w:rPr>
        <w:t>Keywords</w:t>
      </w:r>
      <w:r w:rsidRPr="00576361">
        <w:rPr>
          <w:color w:val="000000"/>
          <w:lang w:val="en-US" w:eastAsia="es-PE"/>
        </w:rPr>
        <w:t xml:space="preserve">: anxiety disorders; </w:t>
      </w:r>
      <w:r w:rsidRPr="00576361">
        <w:rPr>
          <w:lang w:val="en-US" w:eastAsia="es-PE"/>
        </w:rPr>
        <w:t>b</w:t>
      </w:r>
      <w:r w:rsidRPr="00576361">
        <w:rPr>
          <w:color w:val="000000"/>
          <w:lang w:val="en-US" w:eastAsia="es-PE"/>
        </w:rPr>
        <w:t>urnout</w:t>
      </w:r>
      <w:r w:rsidRPr="00576361">
        <w:rPr>
          <w:lang w:val="en-US" w:eastAsia="es-PE"/>
        </w:rPr>
        <w:t>; general practitioners.</w:t>
      </w:r>
    </w:p>
    <w:p w14:paraId="57CC483B" w14:textId="77777777" w:rsidR="00576361" w:rsidRPr="00576361" w:rsidRDefault="00576361" w:rsidP="00576361">
      <w:pPr>
        <w:spacing w:line="360" w:lineRule="auto"/>
        <w:ind w:hanging="2"/>
        <w:jc w:val="both"/>
        <w:rPr>
          <w:lang w:val="en-US" w:eastAsia="es-PE"/>
        </w:rPr>
      </w:pPr>
    </w:p>
    <w:p w14:paraId="52FBF3DF" w14:textId="77777777" w:rsidR="00576361" w:rsidRPr="00576361" w:rsidRDefault="00576361" w:rsidP="00576361">
      <w:pPr>
        <w:spacing w:line="360" w:lineRule="auto"/>
        <w:ind w:hanging="2"/>
        <w:jc w:val="both"/>
        <w:rPr>
          <w:lang w:val="en-US" w:eastAsia="es-PE"/>
        </w:rPr>
      </w:pPr>
    </w:p>
    <w:p w14:paraId="26C79631" w14:textId="77777777" w:rsidR="00576361" w:rsidRPr="00576361" w:rsidRDefault="00576361" w:rsidP="00576361">
      <w:pPr>
        <w:spacing w:line="360" w:lineRule="auto"/>
        <w:ind w:hanging="2"/>
        <w:jc w:val="both"/>
        <w:rPr>
          <w:lang w:val="es-PE" w:eastAsia="es-PE"/>
        </w:rPr>
      </w:pPr>
      <w:r w:rsidRPr="00576361">
        <w:rPr>
          <w:lang w:val="es-PE" w:eastAsia="es-PE"/>
        </w:rPr>
        <w:t>Recibido: 16/10/2020</w:t>
      </w:r>
    </w:p>
    <w:p w14:paraId="51D9AA05" w14:textId="77777777" w:rsidR="00576361" w:rsidRPr="00576361" w:rsidRDefault="00576361" w:rsidP="00576361">
      <w:pPr>
        <w:spacing w:line="360" w:lineRule="auto"/>
        <w:ind w:hanging="2"/>
        <w:jc w:val="both"/>
        <w:rPr>
          <w:lang w:val="es-PE" w:eastAsia="es-PE"/>
        </w:rPr>
      </w:pPr>
      <w:r w:rsidRPr="00576361">
        <w:rPr>
          <w:lang w:val="es-PE" w:eastAsia="es-PE"/>
        </w:rPr>
        <w:t>Aprobado: 19/03/2021</w:t>
      </w:r>
    </w:p>
    <w:p w14:paraId="265C61F4" w14:textId="77777777" w:rsidR="00576361" w:rsidRPr="00576361" w:rsidRDefault="00576361" w:rsidP="00576361">
      <w:pPr>
        <w:spacing w:line="360" w:lineRule="auto"/>
        <w:ind w:hanging="2"/>
        <w:jc w:val="both"/>
        <w:rPr>
          <w:lang w:val="es-PE" w:eastAsia="es-PE"/>
        </w:rPr>
      </w:pPr>
    </w:p>
    <w:p w14:paraId="412682D7" w14:textId="77777777" w:rsidR="00576361" w:rsidRPr="00576361" w:rsidRDefault="00576361" w:rsidP="00576361">
      <w:pPr>
        <w:spacing w:line="360" w:lineRule="auto"/>
        <w:ind w:hanging="2"/>
        <w:jc w:val="both"/>
        <w:rPr>
          <w:b/>
          <w:lang w:val="es-PE" w:eastAsia="es-PE"/>
        </w:rPr>
      </w:pPr>
    </w:p>
    <w:p w14:paraId="48D061EE" w14:textId="77777777" w:rsidR="00BC25D5" w:rsidRDefault="00BC25D5">
      <w:pPr>
        <w:rPr>
          <w:b/>
          <w:sz w:val="32"/>
          <w:szCs w:val="32"/>
          <w:lang w:val="es-PE" w:eastAsia="es-PE"/>
        </w:rPr>
      </w:pPr>
      <w:r>
        <w:rPr>
          <w:b/>
          <w:sz w:val="32"/>
          <w:szCs w:val="32"/>
          <w:lang w:val="es-PE" w:eastAsia="es-PE"/>
        </w:rPr>
        <w:br w:type="page"/>
      </w:r>
    </w:p>
    <w:p w14:paraId="7D764A98" w14:textId="1E6FF9D7" w:rsidR="00576361" w:rsidRPr="00576361" w:rsidRDefault="00576361" w:rsidP="00576361">
      <w:pPr>
        <w:spacing w:line="360" w:lineRule="auto"/>
        <w:ind w:hanging="2"/>
        <w:jc w:val="center"/>
        <w:rPr>
          <w:sz w:val="32"/>
          <w:szCs w:val="32"/>
          <w:lang w:val="es-PE" w:eastAsia="es-PE"/>
        </w:rPr>
      </w:pPr>
      <w:r w:rsidRPr="00576361">
        <w:rPr>
          <w:b/>
          <w:sz w:val="32"/>
          <w:szCs w:val="32"/>
          <w:lang w:val="es-PE" w:eastAsia="es-PE"/>
        </w:rPr>
        <w:lastRenderedPageBreak/>
        <w:t>INTRODUCCIÓN</w:t>
      </w:r>
    </w:p>
    <w:p w14:paraId="3E1896EA" w14:textId="77777777" w:rsidR="00576361" w:rsidRPr="00576361" w:rsidRDefault="00576361" w:rsidP="00576361">
      <w:pPr>
        <w:spacing w:line="360" w:lineRule="auto"/>
        <w:ind w:hanging="2"/>
        <w:jc w:val="both"/>
        <w:rPr>
          <w:lang w:val="es-PE" w:eastAsia="es-PE"/>
        </w:rPr>
      </w:pPr>
      <w:r w:rsidRPr="00576361">
        <w:rPr>
          <w:lang w:val="es-PE" w:eastAsia="es-PE"/>
        </w:rPr>
        <w:t xml:space="preserve">El síndrome de </w:t>
      </w:r>
      <w:r w:rsidRPr="00576361">
        <w:rPr>
          <w:i/>
          <w:iCs/>
          <w:lang w:val="es-PE" w:eastAsia="es-PE"/>
        </w:rPr>
        <w:t>burnout</w:t>
      </w:r>
      <w:r w:rsidRPr="00576361">
        <w:rPr>
          <w:lang w:val="es-PE" w:eastAsia="es-PE"/>
        </w:rPr>
        <w:t xml:space="preserve"> (SB), también conocido como síndrome de estar quemado por el </w:t>
      </w:r>
      <w:proofErr w:type="gramStart"/>
      <w:r w:rsidRPr="00576361">
        <w:rPr>
          <w:lang w:val="es-PE" w:eastAsia="es-PE"/>
        </w:rPr>
        <w:t>trabajo,</w:t>
      </w:r>
      <w:r w:rsidRPr="00576361">
        <w:rPr>
          <w:vertAlign w:val="superscript"/>
          <w:lang w:val="es-PE" w:eastAsia="es-PE"/>
        </w:rPr>
        <w:t>(</w:t>
      </w:r>
      <w:proofErr w:type="gramEnd"/>
      <w:r w:rsidRPr="00576361">
        <w:rPr>
          <w:vertAlign w:val="superscript"/>
          <w:lang w:val="es-PE" w:eastAsia="es-PE"/>
        </w:rPr>
        <w:t xml:space="preserve">1) </w:t>
      </w:r>
      <w:r w:rsidRPr="00576361">
        <w:rPr>
          <w:lang w:val="es-PE" w:eastAsia="es-PE"/>
        </w:rPr>
        <w:t>es un padecimiento caracterizado por un detrimento en la salud física y mental en individuos sin antecedentes de trastornos psicológicos o psiquiátricos, sumado al cansancio emocional, despersonalización y un bajo desempeño profesional. Ocurre principalmente en aquellos cuyo trabajo está muy relacionado al trato con otras personas.</w:t>
      </w:r>
      <w:r w:rsidRPr="00576361">
        <w:rPr>
          <w:vertAlign w:val="superscript"/>
          <w:lang w:val="es-PE" w:eastAsia="es-PE"/>
        </w:rPr>
        <w:t xml:space="preserve">(2) </w:t>
      </w:r>
      <w:r w:rsidRPr="00576361">
        <w:rPr>
          <w:lang w:val="es-PE" w:eastAsia="es-PE"/>
        </w:rPr>
        <w:t>El SB se ha convertido en un importante impedimento para el mantenimiento de un ambiente de trabajo saludable, sobre todo entre los profesionales sanitarios, así como las personas de otras profesiones altamente estresantes, como bomberos, fuerzas del orden, funcionarios y educadores.</w:t>
      </w:r>
      <w:r w:rsidRPr="00576361">
        <w:rPr>
          <w:vertAlign w:val="superscript"/>
          <w:lang w:val="es-PE" w:eastAsia="es-PE"/>
        </w:rPr>
        <w:t xml:space="preserve">(3) </w:t>
      </w:r>
      <w:r w:rsidRPr="00576361">
        <w:rPr>
          <w:lang w:val="es-PE" w:eastAsia="es-PE"/>
        </w:rPr>
        <w:t>La OMS decidió incluir al SB en la undécima edición de la clasificación estadística internacional de enfermedades y problemas relacionados con la salud, dentro de enfermedades profesionales (CIE-11).</w:t>
      </w:r>
      <w:r w:rsidRPr="00576361">
        <w:rPr>
          <w:vertAlign w:val="superscript"/>
          <w:lang w:val="es-PE" w:eastAsia="es-PE"/>
        </w:rPr>
        <w:t>(4)</w:t>
      </w:r>
    </w:p>
    <w:p w14:paraId="506265D9" w14:textId="77777777" w:rsidR="00576361" w:rsidRPr="00576361" w:rsidRDefault="00576361" w:rsidP="00576361">
      <w:pPr>
        <w:spacing w:line="360" w:lineRule="auto"/>
        <w:ind w:hanging="2"/>
        <w:jc w:val="both"/>
        <w:rPr>
          <w:lang w:val="es-PE" w:eastAsia="es-PE"/>
        </w:rPr>
      </w:pPr>
      <w:r w:rsidRPr="00576361">
        <w:rPr>
          <w:lang w:val="es-PE" w:eastAsia="es-PE"/>
        </w:rPr>
        <w:t>En Latinoamérica, se evidencia que la frecuencia de casos reportados de SB oscila entre 2,1 % y 76 % en el personal médico, sobre todo en las áreas de unidad de cuidados intensivos, oncología, urgencias, cirugía, medicina interna y anestesiología.</w:t>
      </w:r>
      <w:r w:rsidRPr="00576361">
        <w:rPr>
          <w:vertAlign w:val="superscript"/>
          <w:lang w:val="es-PE" w:eastAsia="es-PE"/>
        </w:rPr>
        <w:t>(5)</w:t>
      </w:r>
      <w:r w:rsidRPr="00576361">
        <w:rPr>
          <w:lang w:val="es-PE" w:eastAsia="es-PE"/>
        </w:rPr>
        <w:t xml:space="preserve"> Estudios recientes en Perú muestran una prevalencia mayor de SB en médicos (8,2 %) que en enfermeras (2,4 %).</w:t>
      </w:r>
      <w:r w:rsidRPr="00576361">
        <w:rPr>
          <w:vertAlign w:val="superscript"/>
          <w:lang w:val="es-PE" w:eastAsia="es-PE"/>
        </w:rPr>
        <w:t>(6)</w:t>
      </w:r>
      <w:r w:rsidRPr="00576361">
        <w:rPr>
          <w:lang w:val="es-PE" w:eastAsia="es-PE"/>
        </w:rPr>
        <w:t xml:space="preserve"> Actualmente, en la profesión médica peruana, existe el concepto que el médico general egresado, debe realizar estudios de especialización, mediante la residencia médica; esta requiere de un examen general de medicina para obtener una plaza de acuerdo al orden de mérito. </w:t>
      </w:r>
    </w:p>
    <w:p w14:paraId="69EA23AD" w14:textId="77777777" w:rsidR="00576361" w:rsidRPr="00576361" w:rsidRDefault="00576361" w:rsidP="00576361">
      <w:pPr>
        <w:spacing w:line="360" w:lineRule="auto"/>
        <w:ind w:hanging="2"/>
        <w:jc w:val="both"/>
        <w:rPr>
          <w:lang w:val="es-PE" w:eastAsia="es-PE"/>
        </w:rPr>
      </w:pPr>
      <w:r w:rsidRPr="00576361">
        <w:rPr>
          <w:lang w:val="es-PE" w:eastAsia="es-PE"/>
        </w:rPr>
        <w:t>Los médicos generales jóvenes que se preparan para rendir el examen de residencia médica, son un grupo que está expuesto a estrés laboral, debido a que adicionalmente tienen que trabajar para poder solventar sus estudios. En médicos jóvenes, se reportó que dos de cada tres empleos tuvieron una baja compensación económica, uno de cada cinco fue calificado como empleos con mucha carga laboral, y dos de cada tres fueron calificados como empleos con un clima laboral inadecuado; estas características pueden afectar emocionalmente al postulante.</w:t>
      </w:r>
      <w:r w:rsidRPr="00576361">
        <w:rPr>
          <w:vertAlign w:val="superscript"/>
          <w:lang w:val="es-PE" w:eastAsia="es-PE"/>
        </w:rPr>
        <w:t>(7)</w:t>
      </w:r>
      <w:r w:rsidRPr="00576361">
        <w:rPr>
          <w:lang w:val="es-PE" w:eastAsia="es-PE"/>
        </w:rPr>
        <w:t xml:space="preserve"> En función a lo anteriormente descrito, el presente estudio de investigación tiene como objetivo determinar la prevalencia de SB en médicos generales que se preparan para rendir el examen de residencia médica en Perú.</w:t>
      </w:r>
    </w:p>
    <w:p w14:paraId="566788A0" w14:textId="77777777" w:rsidR="00576361" w:rsidRPr="00576361" w:rsidRDefault="00576361" w:rsidP="00576361">
      <w:pPr>
        <w:spacing w:line="360" w:lineRule="auto"/>
        <w:ind w:hanging="2"/>
        <w:jc w:val="both"/>
        <w:rPr>
          <w:lang w:val="es-PE" w:eastAsia="es-PE"/>
        </w:rPr>
      </w:pPr>
    </w:p>
    <w:p w14:paraId="5CF147BA" w14:textId="77777777" w:rsidR="00576361" w:rsidRPr="00576361" w:rsidRDefault="00576361" w:rsidP="00576361">
      <w:pPr>
        <w:tabs>
          <w:tab w:val="left" w:pos="5400"/>
        </w:tabs>
        <w:spacing w:line="360" w:lineRule="auto"/>
        <w:ind w:hanging="2"/>
        <w:jc w:val="center"/>
        <w:rPr>
          <w:b/>
          <w:lang w:val="es-PE" w:eastAsia="es-PE"/>
        </w:rPr>
      </w:pPr>
    </w:p>
    <w:p w14:paraId="11DCD4E6" w14:textId="77777777" w:rsidR="00BC25D5" w:rsidRDefault="00BC25D5">
      <w:pPr>
        <w:rPr>
          <w:b/>
          <w:sz w:val="32"/>
          <w:szCs w:val="32"/>
          <w:lang w:val="es-PE" w:eastAsia="es-PE"/>
        </w:rPr>
      </w:pPr>
      <w:r>
        <w:rPr>
          <w:b/>
          <w:sz w:val="32"/>
          <w:szCs w:val="32"/>
          <w:lang w:val="es-PE" w:eastAsia="es-PE"/>
        </w:rPr>
        <w:br w:type="page"/>
      </w:r>
    </w:p>
    <w:p w14:paraId="2F599019" w14:textId="7D49C378" w:rsidR="00576361" w:rsidRPr="00576361" w:rsidRDefault="00576361" w:rsidP="00576361">
      <w:pPr>
        <w:tabs>
          <w:tab w:val="left" w:pos="5400"/>
        </w:tabs>
        <w:spacing w:line="360" w:lineRule="auto"/>
        <w:ind w:hanging="2"/>
        <w:jc w:val="center"/>
        <w:rPr>
          <w:sz w:val="32"/>
          <w:szCs w:val="32"/>
          <w:lang w:val="es-PE" w:eastAsia="es-PE"/>
        </w:rPr>
      </w:pPr>
      <w:r w:rsidRPr="00576361">
        <w:rPr>
          <w:b/>
          <w:sz w:val="32"/>
          <w:szCs w:val="32"/>
          <w:lang w:val="es-PE" w:eastAsia="es-PE"/>
        </w:rPr>
        <w:lastRenderedPageBreak/>
        <w:t>MÉTODOS</w:t>
      </w:r>
    </w:p>
    <w:p w14:paraId="19F9EDA5" w14:textId="77777777" w:rsidR="00576361" w:rsidRPr="00576361" w:rsidRDefault="00576361" w:rsidP="00576361">
      <w:pPr>
        <w:spacing w:line="360" w:lineRule="auto"/>
        <w:ind w:hanging="2"/>
        <w:jc w:val="both"/>
        <w:rPr>
          <w:lang w:val="es-PE" w:eastAsia="es-PE"/>
        </w:rPr>
      </w:pPr>
      <w:r w:rsidRPr="00576361">
        <w:rPr>
          <w:lang w:val="es-PE" w:eastAsia="es-PE"/>
        </w:rPr>
        <w:t>El presente fue un estudio transversal, realizado en una academia de preparación para rendir el examen de residencia médica de Lima, Perú durante julio del 2016.</w:t>
      </w:r>
    </w:p>
    <w:p w14:paraId="241E8F43" w14:textId="77777777" w:rsidR="00576361" w:rsidRPr="00576361" w:rsidRDefault="00576361" w:rsidP="00576361">
      <w:pPr>
        <w:spacing w:line="360" w:lineRule="auto"/>
        <w:ind w:hanging="2"/>
        <w:jc w:val="both"/>
        <w:rPr>
          <w:lang w:val="es-PE" w:eastAsia="es-PE"/>
        </w:rPr>
      </w:pPr>
      <w:r w:rsidRPr="00576361">
        <w:rPr>
          <w:lang w:val="es-PE" w:eastAsia="es-PE"/>
        </w:rPr>
        <w:t>Los criterios de inclusión fueron: médicos generales que se encuentren trabajando y preparándose para rendir el examen de residencia médica; al momento de la entrevista, se excluyó a quienes no aceptaron participar en el estudio. No se realizó muestreo por ser una población pequeña y accesible; se incluyó a 306 médicos.</w:t>
      </w:r>
    </w:p>
    <w:p w14:paraId="436AB948" w14:textId="77777777" w:rsidR="00576361" w:rsidRPr="00576361" w:rsidRDefault="00576361" w:rsidP="00576361">
      <w:pPr>
        <w:spacing w:line="360" w:lineRule="auto"/>
        <w:ind w:hanging="2"/>
        <w:jc w:val="both"/>
        <w:rPr>
          <w:lang w:val="es-PE" w:eastAsia="es-PE"/>
        </w:rPr>
      </w:pPr>
      <w:r w:rsidRPr="00576361">
        <w:rPr>
          <w:lang w:val="es-PE" w:eastAsia="es-PE"/>
        </w:rPr>
        <w:t xml:space="preserve">Se obtuvieron variables sociodemográficas y se aplicó el cuestionario </w:t>
      </w:r>
      <w:r w:rsidRPr="00576361">
        <w:rPr>
          <w:i/>
          <w:iCs/>
          <w:lang w:val="es-PE" w:eastAsia="es-PE"/>
        </w:rPr>
        <w:t xml:space="preserve">Maslach Burnout </w:t>
      </w:r>
      <w:proofErr w:type="spellStart"/>
      <w:r w:rsidRPr="00576361">
        <w:rPr>
          <w:i/>
          <w:iCs/>
          <w:lang w:val="es-PE" w:eastAsia="es-PE"/>
        </w:rPr>
        <w:t>Inventory</w:t>
      </w:r>
      <w:proofErr w:type="spellEnd"/>
      <w:r w:rsidRPr="00576361">
        <w:rPr>
          <w:lang w:val="es-PE" w:eastAsia="es-PE"/>
        </w:rPr>
        <w:t xml:space="preserve"> (MBI), que consta de 22 ítems o afirmaciones, con 7 opciones de respuesta según frecuencia (escala Likert de 0 a 6), este instrumento evalúa tres dimensiones que conforman el SB. Las dimensiones son: A) cansancio emocional; B) despersonalización y C) falta de realización personal.</w:t>
      </w:r>
    </w:p>
    <w:p w14:paraId="7052E4FB" w14:textId="77777777" w:rsidR="00576361" w:rsidRPr="00576361" w:rsidRDefault="00576361" w:rsidP="00576361">
      <w:pPr>
        <w:spacing w:line="360" w:lineRule="auto"/>
        <w:ind w:hanging="2"/>
        <w:jc w:val="both"/>
        <w:rPr>
          <w:lang w:val="es-PE" w:eastAsia="es-PE"/>
        </w:rPr>
      </w:pPr>
      <w:r w:rsidRPr="00576361">
        <w:rPr>
          <w:lang w:val="es-PE" w:eastAsia="es-PE"/>
        </w:rPr>
        <w:t>En esta investigación se definieron como médicos con SB a aquellos que obtenían niveles altos en la dimensión de despersonalización (DP) (puntaje mayor o igual a 10), en la dimensión de agotamiento emocional (AE) (puntaje mayor o igual a 27) y puntajes bajos en la dimensión de realización personal (RP) (puntaje menor o igual a 33). Este instrumento ha sido utilizado ampliamente en población peruana.</w:t>
      </w:r>
    </w:p>
    <w:p w14:paraId="37276B9E" w14:textId="77777777" w:rsidR="00576361" w:rsidRPr="00576361" w:rsidRDefault="00576361" w:rsidP="00576361">
      <w:pPr>
        <w:spacing w:line="360" w:lineRule="auto"/>
        <w:ind w:hanging="2"/>
        <w:jc w:val="both"/>
        <w:rPr>
          <w:lang w:val="es-PE" w:eastAsia="es-PE"/>
        </w:rPr>
      </w:pPr>
      <w:r w:rsidRPr="00576361">
        <w:rPr>
          <w:lang w:val="es-PE" w:eastAsia="es-PE"/>
        </w:rPr>
        <w:t>Previo al llenado del cuestionario, a los participantes se les explicó el propósito del estudio. El tiempo estimado en que los médicos se demoraron en responder el cuestionario fue de aproximadamente 15 minutos.</w:t>
      </w:r>
    </w:p>
    <w:p w14:paraId="7E585EBE" w14:textId="77777777" w:rsidR="00576361" w:rsidRPr="00576361" w:rsidRDefault="00576361" w:rsidP="00576361">
      <w:pPr>
        <w:spacing w:line="360" w:lineRule="auto"/>
        <w:ind w:hanging="2"/>
        <w:jc w:val="both"/>
        <w:rPr>
          <w:lang w:val="es-PE" w:eastAsia="es-PE"/>
        </w:rPr>
      </w:pPr>
      <w:r w:rsidRPr="00576361">
        <w:rPr>
          <w:lang w:val="es-PE" w:eastAsia="es-PE"/>
        </w:rPr>
        <w:t xml:space="preserve">Para el procesamiento y análisis se creó una base de datos en el programa SPSS v22.0. La estadística descriptiva se desarrolló a través del cálculo de frecuencias, porcentajes, medidas de tendencia central y de dispersión. Las variables sociodemográficas fueron sexo, edad, estado civil, lugar de trabajo y tiempo de trabajo. La edad se dividió en </w:t>
      </w:r>
      <w:proofErr w:type="spellStart"/>
      <w:r w:rsidRPr="00576361">
        <w:rPr>
          <w:lang w:val="es-PE" w:eastAsia="es-PE"/>
        </w:rPr>
        <w:t>terciles</w:t>
      </w:r>
      <w:proofErr w:type="spellEnd"/>
      <w:r w:rsidRPr="00576361">
        <w:rPr>
          <w:lang w:val="es-PE" w:eastAsia="es-PE"/>
        </w:rPr>
        <w:t>, estado civil en soltero y casado, el lugar de trabajo se consideró si el médico laboraba en establecimientos del Ministerio de Salud (MINSA), Seguro Social de Salud (EsSalud), establecimientos privados o de las fuerzas armadas. El tiempo de trabajo fue dividido en hasta un año, de un año a dos años y más de dos años.</w:t>
      </w:r>
    </w:p>
    <w:p w14:paraId="1F3790C4" w14:textId="77777777" w:rsidR="00576361" w:rsidRPr="00576361" w:rsidRDefault="00576361" w:rsidP="00576361">
      <w:pPr>
        <w:spacing w:line="360" w:lineRule="auto"/>
        <w:ind w:hanging="2"/>
        <w:jc w:val="both"/>
        <w:rPr>
          <w:lang w:val="es-PE" w:eastAsia="es-PE"/>
        </w:rPr>
      </w:pPr>
      <w:r w:rsidRPr="00576361">
        <w:rPr>
          <w:lang w:val="es-PE" w:eastAsia="es-PE"/>
        </w:rPr>
        <w:t xml:space="preserve">Para establecer la asociación de las variables sociodemográficas y los componentes del SB se utilizó la prueba estadística de </w:t>
      </w:r>
      <w:r w:rsidRPr="00576361">
        <w:rPr>
          <w:i/>
          <w:iCs/>
          <w:lang w:val="es-PE" w:eastAsia="es-PE"/>
        </w:rPr>
        <w:t xml:space="preserve">ji </w:t>
      </w:r>
      <w:r w:rsidRPr="00576361">
        <w:rPr>
          <w:lang w:val="es-PE" w:eastAsia="es-PE"/>
        </w:rPr>
        <w:t>cuadrado de Pearson, o el test exacto de Fisher, de ser el caso. Los cálculos fueron realizados con un nivel de confianza del 95 %.</w:t>
      </w:r>
    </w:p>
    <w:p w14:paraId="31B97EDA" w14:textId="77777777" w:rsidR="00576361" w:rsidRPr="00576361" w:rsidRDefault="00576361" w:rsidP="00576361">
      <w:pPr>
        <w:spacing w:line="360" w:lineRule="auto"/>
        <w:ind w:hanging="2"/>
        <w:jc w:val="both"/>
        <w:rPr>
          <w:lang w:val="es-PE" w:eastAsia="es-PE"/>
        </w:rPr>
      </w:pPr>
      <w:r w:rsidRPr="00576361">
        <w:rPr>
          <w:lang w:val="es-PE" w:eastAsia="es-PE"/>
        </w:rPr>
        <w:lastRenderedPageBreak/>
        <w:t>La participación en el estudio fue anónima y voluntaria con previo consentimiento verbal. El protocolo de este estudio fue aprobado por la sección posgrado de la facultad de Medicina de la Universidad Nacional Mayor de San Marcos con el dictamen respectivo. Se contó con aprobación de la institución de preparación para la ejecución del estudio.</w:t>
      </w:r>
    </w:p>
    <w:p w14:paraId="34444E42" w14:textId="77777777" w:rsidR="00576361" w:rsidRPr="00576361" w:rsidRDefault="00576361" w:rsidP="00576361">
      <w:pPr>
        <w:spacing w:line="360" w:lineRule="auto"/>
        <w:jc w:val="both"/>
        <w:rPr>
          <w:color w:val="FF0000"/>
          <w:sz w:val="18"/>
          <w:szCs w:val="18"/>
          <w:lang w:val="es-PE" w:eastAsia="es-PE"/>
        </w:rPr>
      </w:pPr>
    </w:p>
    <w:p w14:paraId="3B7B0462" w14:textId="77777777" w:rsidR="00576361" w:rsidRPr="00576361" w:rsidRDefault="00576361" w:rsidP="00576361">
      <w:pPr>
        <w:spacing w:line="360" w:lineRule="auto"/>
        <w:ind w:hanging="2"/>
        <w:jc w:val="both"/>
        <w:rPr>
          <w:b/>
          <w:sz w:val="18"/>
          <w:szCs w:val="18"/>
          <w:lang w:val="es-PE" w:eastAsia="es-PE"/>
        </w:rPr>
      </w:pPr>
    </w:p>
    <w:p w14:paraId="7963E53C" w14:textId="77777777" w:rsidR="00576361" w:rsidRPr="00576361" w:rsidRDefault="00576361" w:rsidP="00576361">
      <w:pPr>
        <w:spacing w:line="360" w:lineRule="auto"/>
        <w:ind w:hanging="2"/>
        <w:jc w:val="center"/>
        <w:rPr>
          <w:sz w:val="32"/>
          <w:szCs w:val="32"/>
          <w:lang w:val="es-PE" w:eastAsia="es-PE"/>
        </w:rPr>
      </w:pPr>
      <w:r w:rsidRPr="00576361">
        <w:rPr>
          <w:b/>
          <w:sz w:val="32"/>
          <w:szCs w:val="32"/>
          <w:lang w:val="es-PE" w:eastAsia="es-PE"/>
        </w:rPr>
        <w:t>RESULTADOS</w:t>
      </w:r>
    </w:p>
    <w:p w14:paraId="085E3380" w14:textId="77777777" w:rsidR="00576361" w:rsidRPr="00576361" w:rsidRDefault="00576361" w:rsidP="00576361">
      <w:pPr>
        <w:spacing w:line="360" w:lineRule="auto"/>
        <w:ind w:hanging="2"/>
        <w:jc w:val="both"/>
        <w:rPr>
          <w:lang w:val="es-PE" w:eastAsia="es-PE"/>
        </w:rPr>
      </w:pPr>
      <w:r w:rsidRPr="00576361">
        <w:rPr>
          <w:bCs/>
          <w:lang w:val="es-PE" w:eastAsia="es-PE"/>
        </w:rPr>
        <w:t xml:space="preserve">Características sociodemográficas: </w:t>
      </w:r>
      <w:r w:rsidRPr="00576361">
        <w:rPr>
          <w:lang w:val="es-PE" w:eastAsia="es-PE"/>
        </w:rPr>
        <w:t xml:space="preserve">el 56,9 % fueron de sexo femenino, el promedio de edad fue de 28,5 ± 4,3 (desviación estándar) años y el grupo de edad de 29 - 51 años representó el 37,3 % de médicos. El 90,2 % de los médicos eran solteros. Los médicos trabajan principalmente en la práctica privada (50,3 %). La mayoría de estos tienen menos de un año de experiencia laboral (45,4 %) (tabla 1). </w:t>
      </w:r>
    </w:p>
    <w:p w14:paraId="20EA5CFD" w14:textId="77777777" w:rsidR="00576361" w:rsidRPr="00576361" w:rsidRDefault="00576361" w:rsidP="00576361">
      <w:pPr>
        <w:spacing w:line="360" w:lineRule="auto"/>
        <w:ind w:hanging="2"/>
        <w:jc w:val="both"/>
        <w:rPr>
          <w:sz w:val="16"/>
          <w:szCs w:val="16"/>
          <w:lang w:val="es-PE" w:eastAsia="es-PE"/>
        </w:rPr>
      </w:pPr>
    </w:p>
    <w:p w14:paraId="59FE252F" w14:textId="77777777" w:rsidR="00576361" w:rsidRPr="00576361" w:rsidRDefault="00576361" w:rsidP="00576361">
      <w:pPr>
        <w:spacing w:line="360" w:lineRule="auto"/>
        <w:ind w:hanging="2"/>
        <w:jc w:val="center"/>
        <w:rPr>
          <w:bCs/>
          <w:sz w:val="22"/>
          <w:szCs w:val="22"/>
          <w:lang w:val="es-PE" w:eastAsia="es-PE"/>
        </w:rPr>
      </w:pPr>
      <w:r w:rsidRPr="00576361">
        <w:rPr>
          <w:b/>
          <w:sz w:val="22"/>
          <w:szCs w:val="22"/>
          <w:lang w:val="es-PE" w:eastAsia="es-PE"/>
        </w:rPr>
        <w:t>Tabla 1 -</w:t>
      </w:r>
      <w:r w:rsidRPr="00576361">
        <w:rPr>
          <w:bCs/>
          <w:sz w:val="22"/>
          <w:szCs w:val="22"/>
          <w:lang w:val="es-PE" w:eastAsia="es-PE"/>
        </w:rPr>
        <w:t xml:space="preserve"> Aspectos generales de los médicos</w:t>
      </w:r>
    </w:p>
    <w:p w14:paraId="05E55CA9" w14:textId="1C1BB235" w:rsidR="00576361" w:rsidRPr="00576361" w:rsidRDefault="00576361" w:rsidP="00576361">
      <w:pPr>
        <w:spacing w:line="360" w:lineRule="auto"/>
        <w:ind w:hanging="2"/>
        <w:jc w:val="center"/>
        <w:rPr>
          <w:lang w:val="es-PE" w:eastAsia="es-PE"/>
        </w:rPr>
      </w:pPr>
      <w:r w:rsidRPr="00576361">
        <w:rPr>
          <w:noProof/>
          <w:lang w:val="es-PE" w:eastAsia="es-PE"/>
        </w:rPr>
        <w:drawing>
          <wp:inline distT="0" distB="0" distL="0" distR="0" wp14:anchorId="7EF1BA30" wp14:editId="30BDFC60">
            <wp:extent cx="2066400" cy="44424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400" cy="4442400"/>
                    </a:xfrm>
                    <a:prstGeom prst="rect">
                      <a:avLst/>
                    </a:prstGeom>
                    <a:noFill/>
                    <a:ln>
                      <a:noFill/>
                    </a:ln>
                  </pic:spPr>
                </pic:pic>
              </a:graphicData>
            </a:graphic>
          </wp:inline>
        </w:drawing>
      </w:r>
    </w:p>
    <w:p w14:paraId="4B20780A" w14:textId="77777777" w:rsidR="00576361" w:rsidRPr="00576361" w:rsidRDefault="00576361" w:rsidP="00576361">
      <w:pPr>
        <w:spacing w:line="360" w:lineRule="auto"/>
        <w:ind w:hanging="2"/>
        <w:jc w:val="center"/>
        <w:rPr>
          <w:lang w:val="es-PE" w:eastAsia="es-PE"/>
        </w:rPr>
      </w:pPr>
    </w:p>
    <w:p w14:paraId="37A9FDC3" w14:textId="77777777" w:rsidR="00576361" w:rsidRPr="00576361" w:rsidRDefault="00576361" w:rsidP="00576361">
      <w:pPr>
        <w:spacing w:line="360" w:lineRule="auto"/>
        <w:ind w:hanging="2"/>
        <w:jc w:val="both"/>
        <w:rPr>
          <w:lang w:val="es-PE" w:eastAsia="es-PE"/>
        </w:rPr>
      </w:pPr>
      <w:r w:rsidRPr="00576361">
        <w:rPr>
          <w:bCs/>
          <w:lang w:val="es-PE" w:eastAsia="es-PE"/>
        </w:rPr>
        <w:t>Sub escalas de SB:</w:t>
      </w:r>
      <w:r w:rsidRPr="00576361">
        <w:rPr>
          <w:b/>
          <w:lang w:val="es-PE" w:eastAsia="es-PE"/>
        </w:rPr>
        <w:t xml:space="preserve"> </w:t>
      </w:r>
      <w:r w:rsidRPr="00576361">
        <w:rPr>
          <w:lang w:val="es-PE" w:eastAsia="es-PE"/>
        </w:rPr>
        <w:t xml:space="preserve">en cuanto a las subescalas que componen el </w:t>
      </w:r>
      <w:r w:rsidRPr="00576361">
        <w:rPr>
          <w:i/>
          <w:lang w:val="es-PE" w:eastAsia="es-PE"/>
        </w:rPr>
        <w:t>burnout</w:t>
      </w:r>
      <w:r w:rsidRPr="00576361">
        <w:rPr>
          <w:lang w:val="es-PE" w:eastAsia="es-PE"/>
        </w:rPr>
        <w:t>, se aprecia que el promedio del puntaje para agotamiento personal fue de 22,9 ± 10,7, el de realización personal fue de 42,3 ± 8,1 y el de despersonalización fue de 9,3 ± 5,7. Al categorizar las variables de las subescalas del SB, se puede apreciar que el 32 % de médicos presentó un agotamiento personal alto, el 11,1 % tuvo un alto nivel de baja realización personal y el 42,2 % un alto nivel de despersonalización (tabla 2). El 2,3 % (7) de los médicos presentó SB, es decir, tuvieron puntajes altos en las tres subescalas que componen el síndrome.</w:t>
      </w:r>
    </w:p>
    <w:p w14:paraId="0F78EB6C" w14:textId="77777777" w:rsidR="00576361" w:rsidRPr="00576361" w:rsidRDefault="00576361" w:rsidP="00576361">
      <w:pPr>
        <w:spacing w:line="360" w:lineRule="auto"/>
        <w:ind w:hanging="2"/>
        <w:jc w:val="both"/>
        <w:rPr>
          <w:lang w:val="es-PE" w:eastAsia="es-PE"/>
        </w:rPr>
      </w:pPr>
    </w:p>
    <w:p w14:paraId="2CEC4FF3" w14:textId="77777777" w:rsidR="00576361" w:rsidRPr="00576361" w:rsidRDefault="00576361" w:rsidP="00576361">
      <w:pPr>
        <w:spacing w:line="360" w:lineRule="auto"/>
        <w:ind w:hanging="2"/>
        <w:jc w:val="center"/>
        <w:rPr>
          <w:bCs/>
          <w:sz w:val="22"/>
          <w:szCs w:val="22"/>
          <w:lang w:val="es-PE" w:eastAsia="es-PE"/>
        </w:rPr>
      </w:pPr>
      <w:r w:rsidRPr="00576361">
        <w:rPr>
          <w:rFonts w:eastAsia="Arial"/>
          <w:b/>
          <w:sz w:val="22"/>
          <w:szCs w:val="22"/>
          <w:lang w:val="es-PE" w:eastAsia="es-PE"/>
        </w:rPr>
        <w:t>T</w:t>
      </w:r>
      <w:r w:rsidRPr="00576361">
        <w:rPr>
          <w:b/>
          <w:sz w:val="22"/>
          <w:szCs w:val="22"/>
          <w:lang w:val="es-PE" w:eastAsia="es-PE"/>
        </w:rPr>
        <w:t>abla 2 -</w:t>
      </w:r>
      <w:r w:rsidRPr="00576361">
        <w:rPr>
          <w:bCs/>
          <w:sz w:val="22"/>
          <w:szCs w:val="22"/>
          <w:lang w:val="es-PE" w:eastAsia="es-PE"/>
        </w:rPr>
        <w:t xml:space="preserve"> Sub escalas del síndrome de </w:t>
      </w:r>
      <w:r w:rsidRPr="00576361">
        <w:rPr>
          <w:bCs/>
          <w:i/>
          <w:iCs/>
          <w:sz w:val="22"/>
          <w:szCs w:val="22"/>
          <w:lang w:val="es-PE" w:eastAsia="es-PE"/>
        </w:rPr>
        <w:t>burnout</w:t>
      </w:r>
    </w:p>
    <w:p w14:paraId="00C3DC39" w14:textId="6ECB108D" w:rsidR="00576361" w:rsidRPr="00576361" w:rsidRDefault="00576361" w:rsidP="00576361">
      <w:pPr>
        <w:spacing w:line="360" w:lineRule="auto"/>
        <w:ind w:hanging="2"/>
        <w:jc w:val="center"/>
        <w:rPr>
          <w:lang w:val="es-PE" w:eastAsia="es-PE"/>
        </w:rPr>
      </w:pPr>
      <w:r w:rsidRPr="00576361">
        <w:rPr>
          <w:noProof/>
          <w:lang w:val="es-PE" w:eastAsia="es-PE"/>
        </w:rPr>
        <w:drawing>
          <wp:inline distT="0" distB="0" distL="0" distR="0" wp14:anchorId="61C947C9" wp14:editId="28108E78">
            <wp:extent cx="2070000" cy="2880000"/>
            <wp:effectExtent l="0" t="0" r="6985"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000" cy="2880000"/>
                    </a:xfrm>
                    <a:prstGeom prst="rect">
                      <a:avLst/>
                    </a:prstGeom>
                    <a:noFill/>
                    <a:ln>
                      <a:noFill/>
                    </a:ln>
                  </pic:spPr>
                </pic:pic>
              </a:graphicData>
            </a:graphic>
          </wp:inline>
        </w:drawing>
      </w:r>
    </w:p>
    <w:p w14:paraId="74E419FF" w14:textId="77777777" w:rsidR="00576361" w:rsidRPr="00576361" w:rsidRDefault="00576361" w:rsidP="00576361">
      <w:pPr>
        <w:spacing w:line="360" w:lineRule="auto"/>
        <w:ind w:hanging="2"/>
        <w:jc w:val="center"/>
        <w:rPr>
          <w:lang w:val="es-PE" w:eastAsia="es-PE"/>
        </w:rPr>
      </w:pPr>
    </w:p>
    <w:p w14:paraId="6DC63AAE" w14:textId="77777777" w:rsidR="00576361" w:rsidRPr="00576361" w:rsidRDefault="00576361" w:rsidP="00576361">
      <w:pPr>
        <w:spacing w:line="360" w:lineRule="auto"/>
        <w:ind w:hanging="2"/>
        <w:jc w:val="both"/>
        <w:rPr>
          <w:lang w:val="es-PE" w:eastAsia="es-PE"/>
        </w:rPr>
      </w:pPr>
      <w:r w:rsidRPr="00576361">
        <w:rPr>
          <w:lang w:val="es-PE" w:eastAsia="es-PE"/>
        </w:rPr>
        <w:t>Factores asociados a componentes del SB: el análisis bivariado evidenció que ser menor de 28 años (p = 0,045) y tener menos de un año y medio de experiencia de trabajo (p = 0,002) estuvo asociado con agotamiento emocional. Adicionalmente, ser menor de 28 años (p = 0,017), tener menos de un año y medio de experiencia de trabajo (p = 0,001) y trabajar en el sector público, estuvo asociado con la despersonalización (p = 0,043) (tabla 3).</w:t>
      </w:r>
    </w:p>
    <w:p w14:paraId="68C611EE" w14:textId="77777777" w:rsidR="00576361" w:rsidRPr="00576361" w:rsidRDefault="00576361" w:rsidP="00576361">
      <w:pPr>
        <w:spacing w:line="360" w:lineRule="auto"/>
        <w:ind w:hanging="2"/>
        <w:jc w:val="both"/>
        <w:rPr>
          <w:lang w:val="es-PE" w:eastAsia="es-PE"/>
        </w:rPr>
      </w:pPr>
    </w:p>
    <w:p w14:paraId="35C11FDB" w14:textId="77777777" w:rsidR="00BC25D5" w:rsidRDefault="00BC25D5">
      <w:pPr>
        <w:rPr>
          <w:b/>
          <w:sz w:val="22"/>
          <w:szCs w:val="22"/>
          <w:lang w:val="es-PE" w:eastAsia="es-PE"/>
        </w:rPr>
      </w:pPr>
      <w:r>
        <w:rPr>
          <w:b/>
          <w:sz w:val="22"/>
          <w:szCs w:val="22"/>
          <w:lang w:val="es-PE" w:eastAsia="es-PE"/>
        </w:rPr>
        <w:br w:type="page"/>
      </w:r>
    </w:p>
    <w:p w14:paraId="11AAC6E2" w14:textId="5FE02A3C" w:rsidR="00576361" w:rsidRPr="00576361" w:rsidRDefault="00576361" w:rsidP="00576361">
      <w:pPr>
        <w:spacing w:line="360" w:lineRule="auto"/>
        <w:ind w:hanging="2"/>
        <w:jc w:val="center"/>
        <w:rPr>
          <w:bCs/>
          <w:i/>
          <w:sz w:val="22"/>
          <w:szCs w:val="22"/>
          <w:lang w:val="es-PE" w:eastAsia="es-PE"/>
        </w:rPr>
      </w:pPr>
      <w:r w:rsidRPr="00576361">
        <w:rPr>
          <w:b/>
          <w:sz w:val="22"/>
          <w:szCs w:val="22"/>
          <w:lang w:val="es-PE" w:eastAsia="es-PE"/>
        </w:rPr>
        <w:lastRenderedPageBreak/>
        <w:t xml:space="preserve">Tabla 3 - </w:t>
      </w:r>
      <w:r w:rsidRPr="00576361">
        <w:rPr>
          <w:bCs/>
          <w:sz w:val="22"/>
          <w:szCs w:val="22"/>
          <w:lang w:val="es-PE" w:eastAsia="es-PE"/>
        </w:rPr>
        <w:t xml:space="preserve">Variables sociodemográficas de los médicos generales en relación a las subescalas del síndrome de </w:t>
      </w:r>
      <w:r w:rsidRPr="00576361">
        <w:rPr>
          <w:bCs/>
          <w:i/>
          <w:sz w:val="22"/>
          <w:szCs w:val="22"/>
          <w:lang w:val="es-PE" w:eastAsia="es-PE"/>
        </w:rPr>
        <w:t>burnout</w:t>
      </w:r>
    </w:p>
    <w:p w14:paraId="5F9C8366" w14:textId="34B01046" w:rsidR="00576361" w:rsidRPr="00576361" w:rsidRDefault="009140CA" w:rsidP="00576361">
      <w:pPr>
        <w:spacing w:line="360" w:lineRule="auto"/>
        <w:ind w:hanging="2"/>
        <w:jc w:val="center"/>
        <w:rPr>
          <w:lang w:val="es-PE" w:eastAsia="es-PE"/>
        </w:rPr>
      </w:pPr>
      <w:r>
        <w:rPr>
          <w:noProof/>
          <w:lang w:val="es-PE" w:eastAsia="es-PE"/>
        </w:rPr>
        <w:drawing>
          <wp:inline distT="0" distB="0" distL="0" distR="0" wp14:anchorId="616D2A7D" wp14:editId="02934C91">
            <wp:extent cx="6267600" cy="2170800"/>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tretch>
                      <a:fillRect/>
                    </a:stretch>
                  </pic:blipFill>
                  <pic:spPr>
                    <a:xfrm>
                      <a:off x="0" y="0"/>
                      <a:ext cx="6267600" cy="2170800"/>
                    </a:xfrm>
                    <a:prstGeom prst="rect">
                      <a:avLst/>
                    </a:prstGeom>
                  </pic:spPr>
                </pic:pic>
              </a:graphicData>
            </a:graphic>
          </wp:inline>
        </w:drawing>
      </w:r>
    </w:p>
    <w:p w14:paraId="1269BBD8" w14:textId="77777777" w:rsidR="00576361" w:rsidRPr="00576361" w:rsidRDefault="00576361" w:rsidP="00576361">
      <w:pPr>
        <w:spacing w:line="360" w:lineRule="auto"/>
        <w:ind w:hanging="2"/>
        <w:jc w:val="center"/>
        <w:rPr>
          <w:lang w:val="es-PE" w:eastAsia="es-PE"/>
        </w:rPr>
      </w:pPr>
    </w:p>
    <w:p w14:paraId="7D58147F" w14:textId="77777777" w:rsidR="00576361" w:rsidRPr="00576361" w:rsidRDefault="00576361" w:rsidP="00576361">
      <w:pPr>
        <w:spacing w:line="360" w:lineRule="auto"/>
        <w:ind w:hanging="2"/>
        <w:jc w:val="center"/>
        <w:rPr>
          <w:b/>
          <w:sz w:val="32"/>
          <w:szCs w:val="32"/>
          <w:lang w:val="es-PE" w:eastAsia="es-PE"/>
        </w:rPr>
      </w:pPr>
    </w:p>
    <w:p w14:paraId="371753D5" w14:textId="77777777" w:rsidR="00576361" w:rsidRPr="00576361" w:rsidRDefault="00576361" w:rsidP="00576361">
      <w:pPr>
        <w:spacing w:line="360" w:lineRule="auto"/>
        <w:ind w:hanging="2"/>
        <w:jc w:val="center"/>
        <w:rPr>
          <w:b/>
          <w:sz w:val="32"/>
          <w:szCs w:val="32"/>
          <w:lang w:val="es-PE" w:eastAsia="es-PE"/>
        </w:rPr>
      </w:pPr>
      <w:r w:rsidRPr="00576361">
        <w:rPr>
          <w:b/>
          <w:sz w:val="32"/>
          <w:szCs w:val="32"/>
          <w:lang w:val="es-PE" w:eastAsia="es-PE"/>
        </w:rPr>
        <w:t>DISCUSIÓN</w:t>
      </w:r>
    </w:p>
    <w:p w14:paraId="14F7EA6C" w14:textId="77777777" w:rsidR="00576361" w:rsidRPr="00576361" w:rsidRDefault="00576361" w:rsidP="00576361">
      <w:pPr>
        <w:spacing w:line="360" w:lineRule="auto"/>
        <w:ind w:hanging="2"/>
        <w:jc w:val="both"/>
        <w:rPr>
          <w:lang w:val="es-PE" w:eastAsia="es-PE"/>
        </w:rPr>
      </w:pPr>
      <w:r w:rsidRPr="00576361">
        <w:rPr>
          <w:lang w:val="es-PE" w:eastAsia="es-PE"/>
        </w:rPr>
        <w:t xml:space="preserve">En el Perú no se encontraron antecedentes de estudios realizados en médicos que se preparan para rendir el examen de residencia médica. El 2,3 % presentó índices altos en las 3 subescalas de SB, lo cual es inferior a estudios realizados por </w:t>
      </w:r>
      <w:proofErr w:type="spellStart"/>
      <w:r w:rsidRPr="00576361">
        <w:rPr>
          <w:i/>
          <w:lang w:val="es-PE" w:eastAsia="es-PE"/>
        </w:rPr>
        <w:t>Maticorena</w:t>
      </w:r>
      <w:proofErr w:type="spellEnd"/>
      <w:r w:rsidRPr="00576361">
        <w:rPr>
          <w:i/>
          <w:lang w:val="es-PE" w:eastAsia="es-PE"/>
        </w:rPr>
        <w:t xml:space="preserve"> - Quevedo </w:t>
      </w:r>
      <w:r w:rsidRPr="00576361">
        <w:rPr>
          <w:iCs/>
          <w:lang w:val="es-PE" w:eastAsia="es-PE"/>
        </w:rPr>
        <w:t xml:space="preserve">y </w:t>
      </w:r>
      <w:proofErr w:type="gramStart"/>
      <w:r w:rsidRPr="00576361">
        <w:rPr>
          <w:iCs/>
          <w:lang w:val="es-PE" w:eastAsia="es-PE"/>
        </w:rPr>
        <w:t>otros</w:t>
      </w:r>
      <w:r w:rsidRPr="00576361">
        <w:rPr>
          <w:vertAlign w:val="superscript"/>
          <w:lang w:val="es-PE" w:eastAsia="es-PE"/>
        </w:rPr>
        <w:t>(</w:t>
      </w:r>
      <w:proofErr w:type="gramEnd"/>
      <w:r w:rsidRPr="00576361">
        <w:rPr>
          <w:vertAlign w:val="superscript"/>
          <w:lang w:val="es-PE" w:eastAsia="es-PE"/>
        </w:rPr>
        <w:t>8)</w:t>
      </w:r>
      <w:r w:rsidRPr="00576361">
        <w:rPr>
          <w:lang w:val="es-PE" w:eastAsia="es-PE"/>
        </w:rPr>
        <w:t xml:space="preserve"> y </w:t>
      </w:r>
      <w:proofErr w:type="spellStart"/>
      <w:r w:rsidRPr="00576361">
        <w:rPr>
          <w:i/>
          <w:lang w:val="es-PE" w:eastAsia="es-PE"/>
        </w:rPr>
        <w:t>Solis</w:t>
      </w:r>
      <w:proofErr w:type="spellEnd"/>
      <w:r w:rsidRPr="00576361">
        <w:rPr>
          <w:i/>
          <w:lang w:val="es-PE" w:eastAsia="es-PE"/>
        </w:rPr>
        <w:t xml:space="preserve"> - Condor </w:t>
      </w:r>
      <w:r w:rsidRPr="00576361">
        <w:rPr>
          <w:iCs/>
          <w:lang w:val="es-PE" w:eastAsia="es-PE"/>
        </w:rPr>
        <w:t>y otros</w:t>
      </w:r>
      <w:r w:rsidRPr="00576361">
        <w:rPr>
          <w:vertAlign w:val="superscript"/>
          <w:lang w:val="es-PE" w:eastAsia="es-PE"/>
        </w:rPr>
        <w:t>(6)</w:t>
      </w:r>
      <w:r w:rsidRPr="00576361">
        <w:rPr>
          <w:lang w:val="es-PE" w:eastAsia="es-PE"/>
        </w:rPr>
        <w:t xml:space="preserve"> en médicos. </w:t>
      </w:r>
      <w:r w:rsidRPr="00576361">
        <w:rPr>
          <w:i/>
          <w:lang w:val="es-PE" w:eastAsia="es-PE"/>
        </w:rPr>
        <w:t xml:space="preserve">Beas </w:t>
      </w:r>
      <w:r w:rsidRPr="00576361">
        <w:rPr>
          <w:iCs/>
          <w:lang w:val="es-PE" w:eastAsia="es-PE"/>
        </w:rPr>
        <w:t xml:space="preserve">y </w:t>
      </w:r>
      <w:proofErr w:type="gramStart"/>
      <w:r w:rsidRPr="00576361">
        <w:rPr>
          <w:iCs/>
          <w:lang w:val="es-PE" w:eastAsia="es-PE"/>
        </w:rPr>
        <w:t>otros</w:t>
      </w:r>
      <w:r w:rsidRPr="00576361">
        <w:rPr>
          <w:vertAlign w:val="superscript"/>
          <w:lang w:val="es-PE" w:eastAsia="es-PE"/>
        </w:rPr>
        <w:t>(</w:t>
      </w:r>
      <w:proofErr w:type="gramEnd"/>
      <w:r w:rsidRPr="00576361">
        <w:rPr>
          <w:vertAlign w:val="superscript"/>
          <w:lang w:val="es-PE" w:eastAsia="es-PE"/>
        </w:rPr>
        <w:t>9)</w:t>
      </w:r>
      <w:r w:rsidRPr="00576361">
        <w:rPr>
          <w:lang w:val="es-PE" w:eastAsia="es-PE"/>
        </w:rPr>
        <w:t xml:space="preserve"> realizaron un estudio en enfermeras y médicos, en el cual encontraron un porcentaje similar a lo reportado en el presente estudio. </w:t>
      </w:r>
      <w:r w:rsidRPr="00576361">
        <w:rPr>
          <w:i/>
          <w:lang w:val="es-PE" w:eastAsia="es-PE"/>
        </w:rPr>
        <w:t>Jara-</w:t>
      </w:r>
      <w:proofErr w:type="gramStart"/>
      <w:r w:rsidRPr="00576361">
        <w:rPr>
          <w:i/>
          <w:lang w:val="es-PE" w:eastAsia="es-PE"/>
        </w:rPr>
        <w:t>Diaz</w:t>
      </w:r>
      <w:r w:rsidRPr="00576361">
        <w:rPr>
          <w:vertAlign w:val="superscript"/>
          <w:lang w:val="es-PE" w:eastAsia="es-PE"/>
        </w:rPr>
        <w:t>(</w:t>
      </w:r>
      <w:proofErr w:type="gramEnd"/>
      <w:r w:rsidRPr="00576361">
        <w:rPr>
          <w:vertAlign w:val="superscript"/>
          <w:lang w:val="es-PE" w:eastAsia="es-PE"/>
        </w:rPr>
        <w:t>10)</w:t>
      </w:r>
      <w:r w:rsidRPr="00576361">
        <w:rPr>
          <w:lang w:val="es-PE" w:eastAsia="es-PE"/>
        </w:rPr>
        <w:t xml:space="preserve"> realizó un estudio en médicos residentes, en el cual reportó que un 24,2 % presentan SB, lo que se debe a que están sujetos a mayores horas laborales por día.</w:t>
      </w:r>
      <w:r w:rsidRPr="00576361">
        <w:rPr>
          <w:vertAlign w:val="superscript"/>
          <w:lang w:val="es-PE" w:eastAsia="es-PE"/>
        </w:rPr>
        <w:t>(10)</w:t>
      </w:r>
      <w:r w:rsidRPr="00576361">
        <w:rPr>
          <w:lang w:val="es-PE" w:eastAsia="es-PE"/>
        </w:rPr>
        <w:t xml:space="preserve"> Al comparar los resultados con estudiantes de medicina peruanos, se aprecia que el SB es mucho mayor en internos de medicina. Esto se debe a que los internos de medicina, tienen una alta exigencia académica, así como una alta carga laboral y, sumado a su inexperiencia, los hace más </w:t>
      </w:r>
      <w:proofErr w:type="gramStart"/>
      <w:r w:rsidRPr="00576361">
        <w:rPr>
          <w:lang w:val="es-PE" w:eastAsia="es-PE"/>
        </w:rPr>
        <w:t>susceptibles.</w:t>
      </w:r>
      <w:r w:rsidRPr="00576361">
        <w:rPr>
          <w:vertAlign w:val="superscript"/>
          <w:lang w:val="es-PE" w:eastAsia="es-PE"/>
        </w:rPr>
        <w:t>(</w:t>
      </w:r>
      <w:proofErr w:type="gramEnd"/>
      <w:r w:rsidRPr="00576361">
        <w:rPr>
          <w:vertAlign w:val="superscript"/>
          <w:lang w:val="es-PE" w:eastAsia="es-PE"/>
        </w:rPr>
        <w:t>11)</w:t>
      </w:r>
      <w:r w:rsidRPr="00576361">
        <w:rPr>
          <w:lang w:val="es-PE" w:eastAsia="es-PE"/>
        </w:rPr>
        <w:t xml:space="preserve"> </w:t>
      </w:r>
      <w:proofErr w:type="spellStart"/>
      <w:r w:rsidRPr="00576361">
        <w:rPr>
          <w:i/>
          <w:lang w:val="es-PE" w:eastAsia="es-PE"/>
        </w:rPr>
        <w:t>Mejia</w:t>
      </w:r>
      <w:proofErr w:type="spellEnd"/>
      <w:r w:rsidRPr="00576361">
        <w:rPr>
          <w:i/>
          <w:lang w:val="es-PE" w:eastAsia="es-PE"/>
        </w:rPr>
        <w:t xml:space="preserve"> </w:t>
      </w:r>
      <w:r w:rsidRPr="00576361">
        <w:rPr>
          <w:iCs/>
          <w:lang w:val="es-PE" w:eastAsia="es-PE"/>
        </w:rPr>
        <w:t>y otros</w:t>
      </w:r>
      <w:r w:rsidRPr="00576361">
        <w:rPr>
          <w:vertAlign w:val="superscript"/>
          <w:lang w:val="es-PE" w:eastAsia="es-PE"/>
        </w:rPr>
        <w:t>(12)</w:t>
      </w:r>
      <w:r w:rsidRPr="00576361">
        <w:rPr>
          <w:lang w:val="es-PE" w:eastAsia="es-PE"/>
        </w:rPr>
        <w:t xml:space="preserve"> realizaron un estudio en estudiantes de medicina en el cual encontraron una prevalencia que fue superior a lo reportado en este estudio y estuvo asociada a cursar los dos últimos años previos al internado médico.</w:t>
      </w:r>
    </w:p>
    <w:p w14:paraId="05E8F520" w14:textId="77777777" w:rsidR="00576361" w:rsidRPr="00576361" w:rsidRDefault="00576361" w:rsidP="00576361">
      <w:pPr>
        <w:spacing w:line="360" w:lineRule="auto"/>
        <w:ind w:hanging="2"/>
        <w:jc w:val="both"/>
        <w:rPr>
          <w:lang w:val="es-PE" w:eastAsia="es-PE"/>
        </w:rPr>
      </w:pPr>
      <w:r w:rsidRPr="00576361">
        <w:rPr>
          <w:lang w:val="es-PE" w:eastAsia="es-PE"/>
        </w:rPr>
        <w:t xml:space="preserve">Se muestra que el 32 % de los médicos presentó agotamiento personal alto, resultado superior a lo encontrado por </w:t>
      </w:r>
      <w:proofErr w:type="spellStart"/>
      <w:r w:rsidRPr="00576361">
        <w:rPr>
          <w:i/>
          <w:lang w:val="es-PE" w:eastAsia="es-PE"/>
        </w:rPr>
        <w:t>Solis</w:t>
      </w:r>
      <w:proofErr w:type="spellEnd"/>
      <w:r w:rsidRPr="00576361">
        <w:rPr>
          <w:i/>
          <w:lang w:val="es-PE" w:eastAsia="es-PE"/>
        </w:rPr>
        <w:t>-Condor</w:t>
      </w:r>
      <w:r w:rsidRPr="00576361">
        <w:rPr>
          <w:iCs/>
          <w:lang w:val="es-PE" w:eastAsia="es-PE"/>
        </w:rPr>
        <w:t xml:space="preserve"> y </w:t>
      </w:r>
      <w:proofErr w:type="gramStart"/>
      <w:r w:rsidRPr="00576361">
        <w:rPr>
          <w:iCs/>
          <w:lang w:val="es-PE" w:eastAsia="es-PE"/>
        </w:rPr>
        <w:t>otros</w:t>
      </w:r>
      <w:r w:rsidRPr="00576361">
        <w:rPr>
          <w:vertAlign w:val="superscript"/>
          <w:lang w:val="es-PE" w:eastAsia="es-PE"/>
        </w:rPr>
        <w:t>(</w:t>
      </w:r>
      <w:proofErr w:type="gramEnd"/>
      <w:r w:rsidRPr="00576361">
        <w:rPr>
          <w:vertAlign w:val="superscript"/>
          <w:lang w:val="es-PE" w:eastAsia="es-PE"/>
        </w:rPr>
        <w:t xml:space="preserve">6) </w:t>
      </w:r>
      <w:r w:rsidRPr="00576361">
        <w:rPr>
          <w:lang w:val="es-PE" w:eastAsia="es-PE"/>
        </w:rPr>
        <w:t xml:space="preserve">y </w:t>
      </w:r>
      <w:r w:rsidRPr="00576361">
        <w:rPr>
          <w:i/>
          <w:lang w:val="es-PE" w:eastAsia="es-PE"/>
        </w:rPr>
        <w:t xml:space="preserve">Beas </w:t>
      </w:r>
      <w:r w:rsidRPr="00576361">
        <w:rPr>
          <w:iCs/>
          <w:lang w:val="es-PE" w:eastAsia="es-PE"/>
        </w:rPr>
        <w:t>y otros</w:t>
      </w:r>
      <w:r w:rsidRPr="00576361">
        <w:rPr>
          <w:vertAlign w:val="superscript"/>
          <w:lang w:val="es-PE" w:eastAsia="es-PE"/>
        </w:rPr>
        <w:t>(9)</w:t>
      </w:r>
      <w:r w:rsidRPr="00576361">
        <w:rPr>
          <w:lang w:val="es-PE" w:eastAsia="es-PE"/>
        </w:rPr>
        <w:t xml:space="preserve">, quienes realizaron estudios en médicos y enfermeras respectivamente. </w:t>
      </w:r>
      <w:r w:rsidRPr="00576361">
        <w:rPr>
          <w:i/>
          <w:lang w:val="es-PE" w:eastAsia="es-PE"/>
        </w:rPr>
        <w:t>Jara-</w:t>
      </w:r>
      <w:proofErr w:type="gramStart"/>
      <w:r w:rsidRPr="00576361">
        <w:rPr>
          <w:i/>
          <w:lang w:val="es-PE" w:eastAsia="es-PE"/>
        </w:rPr>
        <w:t>Diaz</w:t>
      </w:r>
      <w:r w:rsidRPr="00576361">
        <w:rPr>
          <w:vertAlign w:val="superscript"/>
          <w:lang w:val="es-PE" w:eastAsia="es-PE"/>
        </w:rPr>
        <w:t>(</w:t>
      </w:r>
      <w:proofErr w:type="gramEnd"/>
      <w:r w:rsidRPr="00576361">
        <w:rPr>
          <w:vertAlign w:val="superscript"/>
          <w:lang w:val="es-PE" w:eastAsia="es-PE"/>
        </w:rPr>
        <w:t>10)</w:t>
      </w:r>
      <w:r w:rsidRPr="00576361">
        <w:rPr>
          <w:lang w:val="es-PE" w:eastAsia="es-PE"/>
        </w:rPr>
        <w:t xml:space="preserve"> mostró que los médicos residentes tienen un mayor </w:t>
      </w:r>
      <w:r w:rsidRPr="00576361">
        <w:rPr>
          <w:lang w:val="es-PE" w:eastAsia="es-PE"/>
        </w:rPr>
        <w:lastRenderedPageBreak/>
        <w:t xml:space="preserve">agotamiento, lo cual se produce debido a la alta carga laboral a la que están expuestos. El 11,1 % tuvo baja realización personal, lo que es inferior a lo encontrado por </w:t>
      </w:r>
      <w:proofErr w:type="spellStart"/>
      <w:r w:rsidRPr="00576361">
        <w:rPr>
          <w:i/>
          <w:lang w:val="es-PE" w:eastAsia="es-PE"/>
        </w:rPr>
        <w:t>Solis</w:t>
      </w:r>
      <w:proofErr w:type="spellEnd"/>
      <w:r w:rsidRPr="00576361">
        <w:rPr>
          <w:i/>
          <w:lang w:val="es-PE" w:eastAsia="es-PE"/>
        </w:rPr>
        <w:t>-Condor</w:t>
      </w:r>
      <w:r w:rsidRPr="00576361">
        <w:rPr>
          <w:iCs/>
          <w:lang w:val="es-PE" w:eastAsia="es-PE"/>
        </w:rPr>
        <w:t xml:space="preserve"> y </w:t>
      </w:r>
      <w:proofErr w:type="gramStart"/>
      <w:r w:rsidRPr="00576361">
        <w:rPr>
          <w:iCs/>
          <w:lang w:val="es-PE" w:eastAsia="es-PE"/>
        </w:rPr>
        <w:t>otros</w:t>
      </w:r>
      <w:r w:rsidRPr="00576361">
        <w:rPr>
          <w:i/>
          <w:lang w:val="es-PE" w:eastAsia="es-PE"/>
        </w:rPr>
        <w:t>,</w:t>
      </w:r>
      <w:r w:rsidRPr="00576361">
        <w:rPr>
          <w:vertAlign w:val="superscript"/>
          <w:lang w:val="es-PE" w:eastAsia="es-PE"/>
        </w:rPr>
        <w:t>(</w:t>
      </w:r>
      <w:proofErr w:type="gramEnd"/>
      <w:r w:rsidRPr="00576361">
        <w:rPr>
          <w:vertAlign w:val="superscript"/>
          <w:lang w:val="es-PE" w:eastAsia="es-PE"/>
        </w:rPr>
        <w:t>6)</w:t>
      </w:r>
      <w:r w:rsidRPr="00576361">
        <w:rPr>
          <w:lang w:val="es-PE" w:eastAsia="es-PE"/>
        </w:rPr>
        <w:t xml:space="preserve"> </w:t>
      </w:r>
      <w:r w:rsidRPr="00576361">
        <w:rPr>
          <w:i/>
          <w:lang w:val="es-PE" w:eastAsia="es-PE"/>
        </w:rPr>
        <w:t xml:space="preserve">Beas </w:t>
      </w:r>
      <w:r w:rsidRPr="00576361">
        <w:rPr>
          <w:iCs/>
          <w:lang w:val="es-PE" w:eastAsia="es-PE"/>
        </w:rPr>
        <w:t>y otros</w:t>
      </w:r>
      <w:r w:rsidRPr="00576361">
        <w:rPr>
          <w:i/>
          <w:lang w:val="es-PE" w:eastAsia="es-PE"/>
        </w:rPr>
        <w:t>,</w:t>
      </w:r>
      <w:r w:rsidRPr="00576361">
        <w:rPr>
          <w:vertAlign w:val="superscript"/>
          <w:lang w:val="es-PE" w:eastAsia="es-PE"/>
        </w:rPr>
        <w:t>(9)</w:t>
      </w:r>
      <w:r w:rsidRPr="00576361">
        <w:rPr>
          <w:lang w:val="es-PE" w:eastAsia="es-PE"/>
        </w:rPr>
        <w:t xml:space="preserve"> </w:t>
      </w:r>
      <w:r w:rsidRPr="00576361">
        <w:rPr>
          <w:i/>
          <w:lang w:val="es-PE" w:eastAsia="es-PE"/>
        </w:rPr>
        <w:t>Jara-Diaz</w:t>
      </w:r>
      <w:r w:rsidRPr="00576361">
        <w:rPr>
          <w:vertAlign w:val="superscript"/>
          <w:lang w:val="es-PE" w:eastAsia="es-PE"/>
        </w:rPr>
        <w:t>(10)</w:t>
      </w:r>
      <w:r w:rsidRPr="00576361">
        <w:rPr>
          <w:lang w:val="es-PE" w:eastAsia="es-PE"/>
        </w:rPr>
        <w:t xml:space="preserve"> y </w:t>
      </w:r>
      <w:proofErr w:type="spellStart"/>
      <w:r w:rsidRPr="00576361">
        <w:rPr>
          <w:i/>
          <w:lang w:val="es-PE" w:eastAsia="es-PE"/>
        </w:rPr>
        <w:t>Nakandakari</w:t>
      </w:r>
      <w:proofErr w:type="spellEnd"/>
      <w:r w:rsidRPr="00576361">
        <w:rPr>
          <w:i/>
          <w:lang w:val="es-PE" w:eastAsia="es-PE"/>
        </w:rPr>
        <w:t xml:space="preserve"> </w:t>
      </w:r>
      <w:r w:rsidRPr="00576361">
        <w:rPr>
          <w:iCs/>
          <w:lang w:val="es-PE" w:eastAsia="es-PE"/>
        </w:rPr>
        <w:t>y otros</w:t>
      </w:r>
      <w:r w:rsidRPr="00576361">
        <w:rPr>
          <w:vertAlign w:val="superscript"/>
          <w:lang w:val="es-PE" w:eastAsia="es-PE"/>
        </w:rPr>
        <w:t>(13)</w:t>
      </w:r>
      <w:r w:rsidRPr="00576361">
        <w:rPr>
          <w:lang w:val="es-PE" w:eastAsia="es-PE"/>
        </w:rPr>
        <w:t xml:space="preserve">. El 42,2 % de los médicos tuvo un alto nivel de despersonalización, similar a lo encontrado por </w:t>
      </w:r>
      <w:proofErr w:type="spellStart"/>
      <w:r w:rsidRPr="00576361">
        <w:rPr>
          <w:i/>
          <w:lang w:val="es-PE" w:eastAsia="es-PE"/>
        </w:rPr>
        <w:t>Nakandakari</w:t>
      </w:r>
      <w:proofErr w:type="spellEnd"/>
      <w:r w:rsidRPr="00576361">
        <w:rPr>
          <w:iCs/>
          <w:lang w:val="es-PE" w:eastAsia="es-PE"/>
        </w:rPr>
        <w:t xml:space="preserve"> y </w:t>
      </w:r>
      <w:proofErr w:type="gramStart"/>
      <w:r w:rsidRPr="00576361">
        <w:rPr>
          <w:iCs/>
          <w:lang w:val="es-PE" w:eastAsia="es-PE"/>
        </w:rPr>
        <w:t>otros</w:t>
      </w:r>
      <w:r w:rsidRPr="00576361">
        <w:rPr>
          <w:vertAlign w:val="superscript"/>
          <w:lang w:val="es-PE" w:eastAsia="es-PE"/>
        </w:rPr>
        <w:t>(</w:t>
      </w:r>
      <w:proofErr w:type="gramEnd"/>
      <w:r w:rsidRPr="00576361">
        <w:rPr>
          <w:vertAlign w:val="superscript"/>
          <w:lang w:val="es-PE" w:eastAsia="es-PE"/>
        </w:rPr>
        <w:t>13)</w:t>
      </w:r>
      <w:r w:rsidRPr="00576361">
        <w:rPr>
          <w:lang w:val="es-PE" w:eastAsia="es-PE"/>
        </w:rPr>
        <w:t xml:space="preserve"> (45,6 %), sin embargo, </w:t>
      </w:r>
      <w:proofErr w:type="spellStart"/>
      <w:r w:rsidRPr="00576361">
        <w:rPr>
          <w:i/>
          <w:lang w:val="es-PE" w:eastAsia="es-PE"/>
        </w:rPr>
        <w:t>Solis</w:t>
      </w:r>
      <w:proofErr w:type="spellEnd"/>
      <w:r w:rsidRPr="00576361">
        <w:rPr>
          <w:i/>
          <w:lang w:val="es-PE" w:eastAsia="es-PE"/>
        </w:rPr>
        <w:t>-Condor</w:t>
      </w:r>
      <w:r w:rsidRPr="00576361">
        <w:rPr>
          <w:iCs/>
          <w:lang w:val="es-PE" w:eastAsia="es-PE"/>
        </w:rPr>
        <w:t xml:space="preserve"> y otros</w:t>
      </w:r>
      <w:r w:rsidRPr="00576361">
        <w:rPr>
          <w:vertAlign w:val="superscript"/>
          <w:lang w:val="es-PE" w:eastAsia="es-PE"/>
        </w:rPr>
        <w:t>(6)</w:t>
      </w:r>
      <w:r w:rsidRPr="00576361">
        <w:rPr>
          <w:lang w:val="es-PE" w:eastAsia="es-PE"/>
        </w:rPr>
        <w:t xml:space="preserve"> y </w:t>
      </w:r>
      <w:r w:rsidRPr="00576361">
        <w:rPr>
          <w:i/>
          <w:lang w:val="es-PE" w:eastAsia="es-PE"/>
        </w:rPr>
        <w:t>Beas</w:t>
      </w:r>
      <w:r w:rsidRPr="00576361">
        <w:rPr>
          <w:iCs/>
          <w:lang w:val="es-PE" w:eastAsia="es-PE"/>
        </w:rPr>
        <w:t xml:space="preserve"> y otros</w:t>
      </w:r>
      <w:r w:rsidRPr="00576361">
        <w:rPr>
          <w:i/>
          <w:lang w:val="es-PE" w:eastAsia="es-PE"/>
        </w:rPr>
        <w:t>,</w:t>
      </w:r>
      <w:r w:rsidRPr="00576361">
        <w:rPr>
          <w:vertAlign w:val="superscript"/>
          <w:lang w:val="es-PE" w:eastAsia="es-PE"/>
        </w:rPr>
        <w:t>(9)</w:t>
      </w:r>
      <w:r w:rsidRPr="00576361">
        <w:rPr>
          <w:lang w:val="es-PE" w:eastAsia="es-PE"/>
        </w:rPr>
        <w:t xml:space="preserve"> reportaron un porcentaje inferior.</w:t>
      </w:r>
    </w:p>
    <w:p w14:paraId="55106F77" w14:textId="77777777" w:rsidR="00576361" w:rsidRPr="00576361" w:rsidRDefault="00576361" w:rsidP="00576361">
      <w:pPr>
        <w:spacing w:line="360" w:lineRule="auto"/>
        <w:ind w:hanging="2"/>
        <w:jc w:val="both"/>
        <w:rPr>
          <w:color w:val="202020"/>
          <w:lang w:val="es-PE" w:eastAsia="es-PE"/>
        </w:rPr>
      </w:pPr>
      <w:r w:rsidRPr="00576361">
        <w:rPr>
          <w:lang w:val="es-PE" w:eastAsia="es-PE"/>
        </w:rPr>
        <w:t xml:space="preserve">Se apreció que el tener una menor edad y menos experiencia de trabajo, se asocian a las subescalas de agotamiento emocional y despersonalización. Estos resultados son similares a los encontrados por </w:t>
      </w:r>
      <w:r w:rsidRPr="00576361">
        <w:rPr>
          <w:i/>
          <w:lang w:val="es-PE" w:eastAsia="es-PE"/>
        </w:rPr>
        <w:t xml:space="preserve">Vinueza </w:t>
      </w:r>
      <w:r w:rsidRPr="00576361">
        <w:rPr>
          <w:iCs/>
          <w:lang w:val="es-PE" w:eastAsia="es-PE"/>
        </w:rPr>
        <w:t xml:space="preserve">y </w:t>
      </w:r>
      <w:proofErr w:type="gramStart"/>
      <w:r w:rsidRPr="00576361">
        <w:rPr>
          <w:iCs/>
          <w:lang w:val="es-PE" w:eastAsia="es-PE"/>
        </w:rPr>
        <w:t>otros</w:t>
      </w:r>
      <w:r w:rsidRPr="00576361">
        <w:rPr>
          <w:vertAlign w:val="superscript"/>
          <w:lang w:val="es-PE" w:eastAsia="es-PE"/>
        </w:rPr>
        <w:t>(</w:t>
      </w:r>
      <w:proofErr w:type="gramEnd"/>
      <w:r w:rsidRPr="00576361">
        <w:rPr>
          <w:vertAlign w:val="superscript"/>
          <w:lang w:val="es-PE" w:eastAsia="es-PE"/>
        </w:rPr>
        <w:t xml:space="preserve">14) </w:t>
      </w:r>
      <w:r w:rsidRPr="00576361">
        <w:rPr>
          <w:lang w:val="es-PE" w:eastAsia="es-PE"/>
        </w:rPr>
        <w:t>en Ecuador. Ellos proponen que este resultado se debe a que el médico con mayor edad y experiencia laboral cuenta con mayor experticia para sobrellevar una mayor demanda laboral. Por el contrario, los médicos más jóvenes, tendrían menores habilidades resolutivas, lo que conlleva a una mayor frustración laboral.</w:t>
      </w:r>
    </w:p>
    <w:p w14:paraId="729113D3" w14:textId="77777777" w:rsidR="00576361" w:rsidRPr="00576361" w:rsidRDefault="00576361" w:rsidP="00576361">
      <w:pPr>
        <w:spacing w:line="360" w:lineRule="auto"/>
        <w:ind w:hanging="2"/>
        <w:jc w:val="both"/>
        <w:rPr>
          <w:vertAlign w:val="superscript"/>
          <w:lang w:val="es-PE" w:eastAsia="es-PE"/>
        </w:rPr>
      </w:pPr>
      <w:r w:rsidRPr="00576361">
        <w:rPr>
          <w:lang w:val="es-PE" w:eastAsia="es-PE"/>
        </w:rPr>
        <w:t>A nivel internacional no se encontraron estudios que evalúen el SB en alumnos que se preparen para el examen de residencia médica. Sin embargo, existe evidencia que demuestra que los alumnos que se preparan para rendir el examen nacional para residencias médicas de los Estados Unidos, están sometidos a un alto grado de estrés y puede influir, aunque de manera leve, de forma negativa en sus puntajes.</w:t>
      </w:r>
      <w:r w:rsidRPr="00576361">
        <w:rPr>
          <w:vertAlign w:val="superscript"/>
          <w:lang w:val="es-PE" w:eastAsia="es-PE"/>
        </w:rPr>
        <w:t>(15)</w:t>
      </w:r>
      <w:r w:rsidRPr="00576361">
        <w:rPr>
          <w:i/>
          <w:lang w:val="es-PE" w:eastAsia="es-PE"/>
        </w:rPr>
        <w:t xml:space="preserve"> </w:t>
      </w:r>
      <w:proofErr w:type="spellStart"/>
      <w:r w:rsidRPr="00576361">
        <w:rPr>
          <w:i/>
          <w:lang w:val="es-PE" w:eastAsia="es-PE"/>
        </w:rPr>
        <w:t>Shereffler</w:t>
      </w:r>
      <w:proofErr w:type="spellEnd"/>
      <w:r w:rsidRPr="00576361">
        <w:rPr>
          <w:i/>
          <w:lang w:val="es-PE" w:eastAsia="es-PE"/>
        </w:rPr>
        <w:t xml:space="preserve"> </w:t>
      </w:r>
      <w:r w:rsidRPr="00576361">
        <w:rPr>
          <w:iCs/>
          <w:lang w:val="es-PE" w:eastAsia="es-PE"/>
        </w:rPr>
        <w:t>y otros</w:t>
      </w:r>
      <w:r w:rsidRPr="00576361">
        <w:rPr>
          <w:vertAlign w:val="superscript"/>
          <w:lang w:val="es-PE" w:eastAsia="es-PE"/>
        </w:rPr>
        <w:t>(16)</w:t>
      </w:r>
      <w:r w:rsidRPr="00576361">
        <w:rPr>
          <w:lang w:val="es-PE" w:eastAsia="es-PE"/>
        </w:rPr>
        <w:t xml:space="preserve"> demostraron que un gran porcentaje de estudiantes de medicina presentaron dificultad para concentrarse, fatiga, y apatía para el estudio, mientras se preparaban para rendir el primer paso (STEP 1) para la admisión al programa de residencia medica de los Estados Unidos. De manera similar, estudiantes de medicina de Turquía, invierten gran cantidad de su tiempo para prepararse para el examen de residencia médica y también muestran grados de estrés y </w:t>
      </w:r>
      <w:proofErr w:type="gramStart"/>
      <w:r w:rsidRPr="00576361">
        <w:rPr>
          <w:lang w:val="es-PE" w:eastAsia="es-PE"/>
        </w:rPr>
        <w:t>ansiedad.</w:t>
      </w:r>
      <w:r w:rsidRPr="00576361">
        <w:rPr>
          <w:vertAlign w:val="superscript"/>
          <w:lang w:val="es-PE" w:eastAsia="es-PE"/>
        </w:rPr>
        <w:t>(</w:t>
      </w:r>
      <w:proofErr w:type="gramEnd"/>
      <w:r w:rsidRPr="00576361">
        <w:rPr>
          <w:vertAlign w:val="superscript"/>
          <w:lang w:val="es-PE" w:eastAsia="es-PE"/>
        </w:rPr>
        <w:t>17)</w:t>
      </w:r>
    </w:p>
    <w:p w14:paraId="42B27F90" w14:textId="77777777" w:rsidR="00576361" w:rsidRPr="00576361" w:rsidRDefault="00576361" w:rsidP="00576361">
      <w:pPr>
        <w:spacing w:line="360" w:lineRule="auto"/>
        <w:jc w:val="both"/>
        <w:rPr>
          <w:lang w:val="es-PE" w:eastAsia="es-PE"/>
        </w:rPr>
      </w:pPr>
      <w:r w:rsidRPr="00576361">
        <w:rPr>
          <w:lang w:val="es-PE" w:eastAsia="es-PE"/>
        </w:rPr>
        <w:t>De acuerdo a lo presentado, la prevalencia de SB es menor en comparación a internos de medicina y residentes, pero similar a lo encontrado en médicos egresados. Si bien el grupo poblacional estudiado cumple funciones de estudiantes, ellos podrían dosificar su carga laboral, trabajando menos horas. Estas características podrían explicar la menor prevalencia de SB en la población estudiada.</w:t>
      </w:r>
    </w:p>
    <w:p w14:paraId="54D47F2B" w14:textId="77777777" w:rsidR="00576361" w:rsidRPr="00576361" w:rsidRDefault="00576361" w:rsidP="00576361">
      <w:pPr>
        <w:spacing w:line="360" w:lineRule="auto"/>
        <w:ind w:hanging="2"/>
        <w:jc w:val="both"/>
        <w:rPr>
          <w:highlight w:val="green"/>
          <w:lang w:val="es-PE" w:eastAsia="es-PE"/>
        </w:rPr>
      </w:pPr>
      <w:r w:rsidRPr="00576361">
        <w:rPr>
          <w:lang w:val="es-PE" w:eastAsia="es-PE"/>
        </w:rPr>
        <w:t>Entre las limitaciones del presente estudio se encuentra principalmente, que solo fue realizado en una academia de preparación y no abarca a otros médicos que se preparan por cuenta propia. Sin embargo, ante la escasa información sobre el estrés académico y laboral que afrontan estos profesionales, se considera que estos resultados son importantes para caracterizar a esta población.</w:t>
      </w:r>
    </w:p>
    <w:p w14:paraId="771F75E0" w14:textId="77777777" w:rsidR="00576361" w:rsidRPr="00576361" w:rsidRDefault="00576361" w:rsidP="00576361">
      <w:pPr>
        <w:spacing w:line="360" w:lineRule="auto"/>
        <w:ind w:hanging="2"/>
        <w:jc w:val="both"/>
        <w:rPr>
          <w:lang w:val="es-PE" w:eastAsia="es-PE"/>
        </w:rPr>
      </w:pPr>
      <w:r w:rsidRPr="00576361">
        <w:rPr>
          <w:lang w:val="es-PE" w:eastAsia="es-PE"/>
        </w:rPr>
        <w:lastRenderedPageBreak/>
        <w:t>L</w:t>
      </w:r>
      <w:r w:rsidRPr="00576361">
        <w:rPr>
          <w:color w:val="000000"/>
          <w:lang w:val="es-PE" w:eastAsia="es-PE"/>
        </w:rPr>
        <w:t xml:space="preserve">a prevalencia de </w:t>
      </w:r>
      <w:r w:rsidRPr="00576361">
        <w:rPr>
          <w:lang w:val="es-PE" w:eastAsia="es-PE"/>
        </w:rPr>
        <w:t>SB</w:t>
      </w:r>
      <w:r w:rsidRPr="00576361">
        <w:rPr>
          <w:color w:val="000000"/>
          <w:lang w:val="es-PE" w:eastAsia="es-PE"/>
        </w:rPr>
        <w:t xml:space="preserve"> fue baja en los médicos generales que se preparan para el examen de residencia médica. Las subescalas con mayores índices fueron despersonalización y agotamiento emocional.</w:t>
      </w:r>
    </w:p>
    <w:p w14:paraId="0DD8F2C2" w14:textId="77777777" w:rsidR="007612F2" w:rsidRDefault="007612F2" w:rsidP="00576361">
      <w:pPr>
        <w:keepNext/>
        <w:pBdr>
          <w:top w:val="nil"/>
          <w:left w:val="nil"/>
          <w:bottom w:val="nil"/>
          <w:right w:val="nil"/>
          <w:between w:val="nil"/>
        </w:pBdr>
        <w:spacing w:line="360" w:lineRule="auto"/>
        <w:ind w:hanging="2"/>
        <w:jc w:val="center"/>
        <w:rPr>
          <w:b/>
          <w:color w:val="000000"/>
          <w:sz w:val="32"/>
          <w:szCs w:val="32"/>
          <w:lang w:val="es-PE" w:eastAsia="es-PE"/>
        </w:rPr>
      </w:pPr>
    </w:p>
    <w:p w14:paraId="3338D50D" w14:textId="77777777" w:rsidR="007612F2" w:rsidRDefault="007612F2" w:rsidP="00576361">
      <w:pPr>
        <w:keepNext/>
        <w:pBdr>
          <w:top w:val="nil"/>
          <w:left w:val="nil"/>
          <w:bottom w:val="nil"/>
          <w:right w:val="nil"/>
          <w:between w:val="nil"/>
        </w:pBdr>
        <w:spacing w:line="360" w:lineRule="auto"/>
        <w:ind w:hanging="2"/>
        <w:jc w:val="center"/>
        <w:rPr>
          <w:b/>
          <w:color w:val="000000"/>
          <w:sz w:val="32"/>
          <w:szCs w:val="32"/>
          <w:lang w:val="es-PE" w:eastAsia="es-PE"/>
        </w:rPr>
      </w:pPr>
    </w:p>
    <w:p w14:paraId="11DE77DA" w14:textId="72FB715C" w:rsidR="00576361" w:rsidRPr="00576361" w:rsidRDefault="00576361" w:rsidP="00576361">
      <w:pPr>
        <w:keepNext/>
        <w:pBdr>
          <w:top w:val="nil"/>
          <w:left w:val="nil"/>
          <w:bottom w:val="nil"/>
          <w:right w:val="nil"/>
          <w:between w:val="nil"/>
        </w:pBdr>
        <w:spacing w:line="360" w:lineRule="auto"/>
        <w:ind w:hanging="2"/>
        <w:jc w:val="center"/>
        <w:rPr>
          <w:sz w:val="32"/>
          <w:szCs w:val="32"/>
          <w:lang w:val="es-PE" w:eastAsia="es-PE"/>
        </w:rPr>
      </w:pPr>
      <w:r w:rsidRPr="00576361">
        <w:rPr>
          <w:b/>
          <w:color w:val="000000"/>
          <w:sz w:val="32"/>
          <w:szCs w:val="32"/>
          <w:lang w:val="es-PE" w:eastAsia="es-PE"/>
        </w:rPr>
        <w:t xml:space="preserve">REFERENCIAS </w:t>
      </w:r>
      <w:r w:rsidRPr="00576361">
        <w:rPr>
          <w:b/>
          <w:sz w:val="32"/>
          <w:szCs w:val="32"/>
          <w:lang w:val="es-PE" w:eastAsia="es-PE"/>
        </w:rPr>
        <w:t>BIBLIOGRÁFICAS</w:t>
      </w:r>
    </w:p>
    <w:p w14:paraId="1EA8AA75"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1. Bonet R, Garrote A. Síndrome de desgaste profesional: “quemados” en el trabajo. Farmacia Profesional. 2016 [acceso: 21/09/2020]; 30(3):15-8. Disponible en: </w:t>
      </w:r>
      <w:hyperlink r:id="rId14" w:history="1">
        <w:r w:rsidRPr="00576361">
          <w:rPr>
            <w:rFonts w:eastAsia="Calibri"/>
            <w:color w:val="0000FF"/>
            <w:u w:val="single"/>
            <w:lang w:val="es-PE" w:eastAsia="es-PE"/>
          </w:rPr>
          <w:t>https://www.elsevier.es/es-revista-farmacia-profesional-3-articulo-sindrome-desgaste-profesional-quemados-el-X021393241654669X</w:t>
        </w:r>
      </w:hyperlink>
      <w:r w:rsidRPr="00576361">
        <w:rPr>
          <w:rFonts w:eastAsia="Calibri"/>
          <w:lang w:val="es-PE" w:eastAsia="es-PE"/>
        </w:rPr>
        <w:t xml:space="preserve">  </w:t>
      </w:r>
    </w:p>
    <w:p w14:paraId="47A01030" w14:textId="77777777" w:rsidR="00576361" w:rsidRPr="00576361" w:rsidRDefault="00576361" w:rsidP="00576361">
      <w:pPr>
        <w:spacing w:line="360" w:lineRule="auto"/>
        <w:ind w:right="280"/>
        <w:rPr>
          <w:rFonts w:eastAsia="Calibri"/>
          <w:lang w:val="en-US" w:eastAsia="es-PE"/>
        </w:rPr>
      </w:pPr>
      <w:r w:rsidRPr="00576361">
        <w:rPr>
          <w:rFonts w:eastAsia="Calibri"/>
          <w:lang w:val="en-US" w:eastAsia="es-PE"/>
        </w:rPr>
        <w:t>2. American Thoracic Society. What is Burnout Syndrome (BOS)? Am J Respir Crit Care Med. 2016 [</w:t>
      </w:r>
      <w:proofErr w:type="spellStart"/>
      <w:r w:rsidRPr="00576361">
        <w:rPr>
          <w:rFonts w:eastAsia="Calibri"/>
          <w:lang w:val="en-US" w:eastAsia="es-PE"/>
        </w:rPr>
        <w:t>acceso</w:t>
      </w:r>
      <w:proofErr w:type="spellEnd"/>
      <w:r w:rsidRPr="00576361">
        <w:rPr>
          <w:rFonts w:eastAsia="Calibri"/>
          <w:lang w:val="en-US" w:eastAsia="es-PE"/>
        </w:rPr>
        <w:t xml:space="preserve">: 21/09/2020]; 194(1):1-2. Disponible </w:t>
      </w:r>
      <w:proofErr w:type="spellStart"/>
      <w:r w:rsidRPr="00576361">
        <w:rPr>
          <w:rFonts w:eastAsia="Calibri"/>
          <w:lang w:val="en-US" w:eastAsia="es-PE"/>
        </w:rPr>
        <w:t>en</w:t>
      </w:r>
      <w:proofErr w:type="spellEnd"/>
      <w:r w:rsidRPr="00576361">
        <w:rPr>
          <w:rFonts w:eastAsia="Calibri"/>
          <w:lang w:val="en-US" w:eastAsia="es-PE"/>
        </w:rPr>
        <w:t xml:space="preserve">: </w:t>
      </w:r>
      <w:hyperlink r:id="rId15" w:history="1">
        <w:r w:rsidRPr="00576361">
          <w:rPr>
            <w:rFonts w:eastAsia="Calibri"/>
            <w:color w:val="0000FF"/>
            <w:u w:val="single"/>
            <w:lang w:val="en-US" w:eastAsia="es-PE"/>
          </w:rPr>
          <w:t>https://www.atsjournals.org/doi/abs/10.1164/rccm.1941P1</w:t>
        </w:r>
      </w:hyperlink>
      <w:r w:rsidRPr="00576361">
        <w:rPr>
          <w:rFonts w:eastAsia="Calibri"/>
          <w:lang w:val="en-US" w:eastAsia="es-PE"/>
        </w:rPr>
        <w:t xml:space="preserve"> </w:t>
      </w:r>
    </w:p>
    <w:p w14:paraId="6299D86D" w14:textId="77777777" w:rsidR="00576361" w:rsidRPr="00576361" w:rsidRDefault="00576361" w:rsidP="00576361">
      <w:pPr>
        <w:spacing w:line="360" w:lineRule="auto"/>
        <w:ind w:right="280"/>
        <w:rPr>
          <w:rFonts w:eastAsia="Calibri"/>
          <w:lang w:val="es-PE" w:eastAsia="es-PE"/>
        </w:rPr>
      </w:pPr>
      <w:r w:rsidRPr="00576361">
        <w:rPr>
          <w:rFonts w:eastAsia="Calibri"/>
          <w:lang w:val="en-US" w:eastAsia="es-PE"/>
        </w:rPr>
        <w:t xml:space="preserve">3. Moss M, Good VS, </w:t>
      </w:r>
      <w:proofErr w:type="spellStart"/>
      <w:r w:rsidRPr="00576361">
        <w:rPr>
          <w:rFonts w:eastAsia="Calibri"/>
          <w:lang w:val="en-US" w:eastAsia="es-PE"/>
        </w:rPr>
        <w:t>Gozal</w:t>
      </w:r>
      <w:proofErr w:type="spellEnd"/>
      <w:r w:rsidRPr="00576361">
        <w:rPr>
          <w:rFonts w:eastAsia="Calibri"/>
          <w:lang w:val="en-US" w:eastAsia="es-PE"/>
        </w:rPr>
        <w:t xml:space="preserve"> D, </w:t>
      </w:r>
      <w:proofErr w:type="spellStart"/>
      <w:r w:rsidRPr="00576361">
        <w:rPr>
          <w:rFonts w:eastAsia="Calibri"/>
          <w:lang w:val="en-US" w:eastAsia="es-PE"/>
        </w:rPr>
        <w:t>Kleinpell</w:t>
      </w:r>
      <w:proofErr w:type="spellEnd"/>
      <w:r w:rsidRPr="00576361">
        <w:rPr>
          <w:rFonts w:eastAsia="Calibri"/>
          <w:lang w:val="en-US" w:eastAsia="es-PE"/>
        </w:rPr>
        <w:t xml:space="preserve"> R, Sessler CN. An Official Critical Care Societies Collaborative Statement: Burnout Syndrome in Critical Care Health Care Professionals: A Call for Action. </w:t>
      </w:r>
      <w:r w:rsidRPr="00576361">
        <w:rPr>
          <w:rFonts w:eastAsia="Calibri"/>
          <w:lang w:val="es-PE" w:eastAsia="es-PE"/>
        </w:rPr>
        <w:t xml:space="preserve">Am J </w:t>
      </w:r>
      <w:proofErr w:type="spellStart"/>
      <w:r w:rsidRPr="00576361">
        <w:rPr>
          <w:rFonts w:eastAsia="Calibri"/>
          <w:lang w:val="es-PE" w:eastAsia="es-PE"/>
        </w:rPr>
        <w:t>Crit</w:t>
      </w:r>
      <w:proofErr w:type="spellEnd"/>
      <w:r w:rsidRPr="00576361">
        <w:rPr>
          <w:rFonts w:eastAsia="Calibri"/>
          <w:lang w:val="es-PE" w:eastAsia="es-PE"/>
        </w:rPr>
        <w:t xml:space="preserve"> </w:t>
      </w:r>
      <w:proofErr w:type="spellStart"/>
      <w:r w:rsidRPr="00576361">
        <w:rPr>
          <w:rFonts w:eastAsia="Calibri"/>
          <w:lang w:val="es-PE" w:eastAsia="es-PE"/>
        </w:rPr>
        <w:t>Care</w:t>
      </w:r>
      <w:proofErr w:type="spellEnd"/>
      <w:r w:rsidRPr="00576361">
        <w:rPr>
          <w:rFonts w:eastAsia="Calibri"/>
          <w:lang w:val="es-PE" w:eastAsia="es-PE"/>
        </w:rPr>
        <w:t xml:space="preserve">. 2016 [acceso: 21/09/2020]; 25(4):368-76. Disponible en: </w:t>
      </w:r>
      <w:hyperlink r:id="rId16" w:history="1">
        <w:r w:rsidRPr="00576361">
          <w:rPr>
            <w:rFonts w:eastAsia="Calibri"/>
            <w:color w:val="0000FF"/>
            <w:u w:val="single"/>
            <w:lang w:val="es-PE" w:eastAsia="es-PE"/>
          </w:rPr>
          <w:t>https://journals.lww.com/ccmjournal/Abstract/2016/07000/An_Official_Critical_Care_Societies_Collaborative.19.aspx</w:t>
        </w:r>
      </w:hyperlink>
      <w:r w:rsidRPr="00576361">
        <w:rPr>
          <w:rFonts w:eastAsia="Calibri"/>
          <w:lang w:val="es-PE" w:eastAsia="es-PE"/>
        </w:rPr>
        <w:t xml:space="preserve"> </w:t>
      </w:r>
    </w:p>
    <w:p w14:paraId="4310C961"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4. Organización Mundial de la Salud. La clasificación CIE-11 de trastornos mentales y del comportamiento: descripciones clínicas y pautas de diagnóstico. Ginebra: OMS; 2018. [acceso: 21/09/2020]. Disponible en: </w:t>
      </w:r>
      <w:hyperlink r:id="rId17" w:history="1">
        <w:r w:rsidRPr="00576361">
          <w:rPr>
            <w:rFonts w:eastAsia="Calibri"/>
            <w:color w:val="0000FF"/>
            <w:u w:val="single"/>
            <w:lang w:val="es-PE" w:eastAsia="es-PE"/>
          </w:rPr>
          <w:t>https://icd.who.int/es</w:t>
        </w:r>
      </w:hyperlink>
      <w:r w:rsidRPr="00576361">
        <w:rPr>
          <w:rFonts w:eastAsia="Calibri"/>
          <w:lang w:val="es-PE" w:eastAsia="es-PE"/>
        </w:rPr>
        <w:t xml:space="preserve"> </w:t>
      </w:r>
    </w:p>
    <w:p w14:paraId="760A6AC6"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5. Loya-Murguía KM, Valdez-Ramírez J, Bacardí-Gascón M, Jiménez-Cruz A. El síndrome de agotamiento en el sector salud de Latinoamérica: revisión sistemática. JONNPR. 2018 [acceso: 21/09/2020]; 3(1):40-8. Disponible en: </w:t>
      </w:r>
      <w:hyperlink r:id="rId18" w:history="1">
        <w:r w:rsidRPr="00576361">
          <w:rPr>
            <w:rFonts w:eastAsia="Calibri"/>
            <w:color w:val="0000FF"/>
            <w:u w:val="single"/>
            <w:lang w:val="es-PE" w:eastAsia="es-PE"/>
          </w:rPr>
          <w:t>https://revistas.proeditio.com/jonnpr/article/view/2060</w:t>
        </w:r>
      </w:hyperlink>
      <w:r w:rsidRPr="00576361">
        <w:rPr>
          <w:rFonts w:eastAsia="Calibri"/>
          <w:lang w:val="es-PE" w:eastAsia="es-PE"/>
        </w:rPr>
        <w:t xml:space="preserve"> </w:t>
      </w:r>
    </w:p>
    <w:p w14:paraId="08AF1449"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6. Solís-Cóndor </w:t>
      </w:r>
      <w:proofErr w:type="spellStart"/>
      <w:r w:rsidRPr="00576361">
        <w:rPr>
          <w:rFonts w:eastAsia="Calibri"/>
          <w:lang w:val="es-PE" w:eastAsia="es-PE"/>
        </w:rPr>
        <w:t>Risof</w:t>
      </w:r>
      <w:proofErr w:type="spellEnd"/>
      <w:r w:rsidRPr="00576361">
        <w:rPr>
          <w:rFonts w:eastAsia="Calibri"/>
          <w:lang w:val="es-PE" w:eastAsia="es-PE"/>
        </w:rPr>
        <w:t xml:space="preserve">, </w:t>
      </w:r>
      <w:proofErr w:type="spellStart"/>
      <w:r w:rsidRPr="00576361">
        <w:rPr>
          <w:rFonts w:eastAsia="Calibri"/>
          <w:lang w:val="es-PE" w:eastAsia="es-PE"/>
        </w:rPr>
        <w:t>Tantalean</w:t>
      </w:r>
      <w:proofErr w:type="spellEnd"/>
      <w:r w:rsidRPr="00576361">
        <w:rPr>
          <w:rFonts w:eastAsia="Calibri"/>
          <w:lang w:val="es-PE" w:eastAsia="es-PE"/>
        </w:rPr>
        <w:t xml:space="preserve">-del Águila Martín, Burgos-Aliaga Rosa, Chambi-Torres Javier. Agotamiento profesional: prevalencia y factores asociados en médicos y enfermeras en siete regiones del Perú. </w:t>
      </w:r>
      <w:proofErr w:type="spellStart"/>
      <w:r w:rsidRPr="00576361">
        <w:rPr>
          <w:rFonts w:eastAsia="Calibri"/>
          <w:lang w:val="es-PE" w:eastAsia="es-PE"/>
        </w:rPr>
        <w:t>An</w:t>
      </w:r>
      <w:proofErr w:type="spellEnd"/>
      <w:r w:rsidRPr="00576361">
        <w:rPr>
          <w:rFonts w:eastAsia="Calibri"/>
          <w:lang w:val="es-PE" w:eastAsia="es-PE"/>
        </w:rPr>
        <w:t xml:space="preserve"> </w:t>
      </w:r>
      <w:proofErr w:type="spellStart"/>
      <w:r w:rsidRPr="00576361">
        <w:rPr>
          <w:rFonts w:eastAsia="Calibri"/>
          <w:lang w:val="es-PE" w:eastAsia="es-PE"/>
        </w:rPr>
        <w:t>Fac</w:t>
      </w:r>
      <w:proofErr w:type="spellEnd"/>
      <w:r w:rsidRPr="00576361">
        <w:rPr>
          <w:rFonts w:eastAsia="Calibri"/>
          <w:lang w:val="es-PE" w:eastAsia="es-PE"/>
        </w:rPr>
        <w:t xml:space="preserve"> </w:t>
      </w:r>
      <w:proofErr w:type="spellStart"/>
      <w:r w:rsidRPr="00576361">
        <w:rPr>
          <w:rFonts w:eastAsia="Calibri"/>
          <w:lang w:val="es-PE" w:eastAsia="es-PE"/>
        </w:rPr>
        <w:t>med</w:t>
      </w:r>
      <w:proofErr w:type="spellEnd"/>
      <w:r w:rsidRPr="00576361">
        <w:rPr>
          <w:rFonts w:eastAsia="Calibri"/>
          <w:lang w:val="es-PE" w:eastAsia="es-PE"/>
        </w:rPr>
        <w:t xml:space="preserve">.  2017 [acceso: 21/09/2020]; 78(3):270-6. Disponible en: </w:t>
      </w:r>
      <w:hyperlink r:id="rId19" w:history="1">
        <w:r w:rsidRPr="00576361">
          <w:rPr>
            <w:rFonts w:eastAsia="Calibri"/>
            <w:color w:val="0000FF"/>
            <w:u w:val="single"/>
            <w:lang w:val="es-PE" w:eastAsia="es-PE"/>
          </w:rPr>
          <w:t>https://revistasinvestigacion.unmsm.edu.pe/index.php/anales/article/view/13757</w:t>
        </w:r>
      </w:hyperlink>
      <w:r w:rsidRPr="00576361">
        <w:rPr>
          <w:rFonts w:eastAsia="Calibri"/>
          <w:lang w:val="es-PE" w:eastAsia="es-PE"/>
        </w:rPr>
        <w:t xml:space="preserve"> </w:t>
      </w:r>
    </w:p>
    <w:p w14:paraId="3FA9ECCB"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lastRenderedPageBreak/>
        <w:t xml:space="preserve">7. Taype-Rondan A, </w:t>
      </w:r>
      <w:proofErr w:type="spellStart"/>
      <w:r w:rsidRPr="00576361">
        <w:rPr>
          <w:rFonts w:eastAsia="Calibri"/>
          <w:lang w:val="es-PE" w:eastAsia="es-PE"/>
        </w:rPr>
        <w:t>Alarcon</w:t>
      </w:r>
      <w:proofErr w:type="spellEnd"/>
      <w:r w:rsidRPr="00576361">
        <w:rPr>
          <w:rFonts w:eastAsia="Calibri"/>
          <w:lang w:val="es-PE" w:eastAsia="es-PE"/>
        </w:rPr>
        <w:t xml:space="preserve">-Ruiz CA, Zafra-Tanaka JH, Rojas-Vilar FJ. Factores asociados al ingreso económico, carga laboral y clima laboral en un grupo de médicos generales jóvenes en Perú. Acta </w:t>
      </w:r>
      <w:proofErr w:type="spellStart"/>
      <w:r w:rsidRPr="00576361">
        <w:rPr>
          <w:rFonts w:eastAsia="Calibri"/>
          <w:lang w:val="es-PE" w:eastAsia="es-PE"/>
        </w:rPr>
        <w:t>méd</w:t>
      </w:r>
      <w:proofErr w:type="spellEnd"/>
      <w:r w:rsidRPr="00576361">
        <w:rPr>
          <w:rFonts w:eastAsia="Calibri"/>
          <w:lang w:val="es-PE" w:eastAsia="es-PE"/>
        </w:rPr>
        <w:t xml:space="preserve"> </w:t>
      </w:r>
      <w:proofErr w:type="spellStart"/>
      <w:r w:rsidRPr="00576361">
        <w:rPr>
          <w:rFonts w:eastAsia="Calibri"/>
          <w:lang w:val="es-PE" w:eastAsia="es-PE"/>
        </w:rPr>
        <w:t>Peru</w:t>
      </w:r>
      <w:proofErr w:type="spellEnd"/>
      <w:r w:rsidRPr="00576361">
        <w:rPr>
          <w:rFonts w:eastAsia="Calibri"/>
          <w:lang w:val="es-PE" w:eastAsia="es-PE"/>
        </w:rPr>
        <w:t xml:space="preserve">. 2018 [acceso: 21/09/2020]; 35(1):6-13. Disponible en: </w:t>
      </w:r>
      <w:hyperlink r:id="rId20" w:history="1">
        <w:r w:rsidRPr="00576361">
          <w:rPr>
            <w:rFonts w:eastAsia="Calibri"/>
            <w:color w:val="0000FF"/>
            <w:u w:val="single"/>
            <w:lang w:val="es-PE" w:eastAsia="es-PE"/>
          </w:rPr>
          <w:t>https://amp.cmp.org.pe/index.php/AMP/article/view/401</w:t>
        </w:r>
      </w:hyperlink>
      <w:r w:rsidRPr="00576361">
        <w:rPr>
          <w:rFonts w:eastAsia="Calibri"/>
          <w:lang w:val="es-PE" w:eastAsia="es-PE"/>
        </w:rPr>
        <w:t xml:space="preserve"> </w:t>
      </w:r>
    </w:p>
    <w:p w14:paraId="74EDEB07"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8. </w:t>
      </w:r>
      <w:proofErr w:type="spellStart"/>
      <w:r w:rsidRPr="00576361">
        <w:rPr>
          <w:rFonts w:eastAsia="Calibri"/>
          <w:lang w:val="es-PE" w:eastAsia="es-PE"/>
        </w:rPr>
        <w:t>Maticorena</w:t>
      </w:r>
      <w:proofErr w:type="spellEnd"/>
      <w:r w:rsidRPr="00576361">
        <w:rPr>
          <w:rFonts w:eastAsia="Calibri"/>
          <w:lang w:val="es-PE" w:eastAsia="es-PE"/>
        </w:rPr>
        <w:t xml:space="preserve">-Quevedo J, Beas R, Anduaga-Beramendi A, Mayta-Tristán P. Prevalencia del síndrome de burnout en médicos y enfermeras del Perú, ENSUSALUD 2014. </w:t>
      </w:r>
      <w:proofErr w:type="spellStart"/>
      <w:r w:rsidRPr="00576361">
        <w:rPr>
          <w:rFonts w:eastAsia="Calibri"/>
          <w:lang w:val="es-PE" w:eastAsia="es-PE"/>
        </w:rPr>
        <w:t>Rev</w:t>
      </w:r>
      <w:proofErr w:type="spellEnd"/>
      <w:r w:rsidRPr="00576361">
        <w:rPr>
          <w:rFonts w:eastAsia="Calibri"/>
          <w:lang w:val="es-PE" w:eastAsia="es-PE"/>
        </w:rPr>
        <w:t xml:space="preserve"> </w:t>
      </w:r>
      <w:proofErr w:type="spellStart"/>
      <w:r w:rsidRPr="00576361">
        <w:rPr>
          <w:rFonts w:eastAsia="Calibri"/>
          <w:lang w:val="es-PE" w:eastAsia="es-PE"/>
        </w:rPr>
        <w:t>Peru</w:t>
      </w:r>
      <w:proofErr w:type="spellEnd"/>
      <w:r w:rsidRPr="00576361">
        <w:rPr>
          <w:rFonts w:eastAsia="Calibri"/>
          <w:lang w:val="es-PE" w:eastAsia="es-PE"/>
        </w:rPr>
        <w:t xml:space="preserve"> </w:t>
      </w:r>
      <w:proofErr w:type="spellStart"/>
      <w:r w:rsidRPr="00576361">
        <w:rPr>
          <w:rFonts w:eastAsia="Calibri"/>
          <w:lang w:val="es-PE" w:eastAsia="es-PE"/>
        </w:rPr>
        <w:t>Med</w:t>
      </w:r>
      <w:proofErr w:type="spellEnd"/>
      <w:r w:rsidRPr="00576361">
        <w:rPr>
          <w:rFonts w:eastAsia="Calibri"/>
          <w:lang w:val="es-PE" w:eastAsia="es-PE"/>
        </w:rPr>
        <w:t xml:space="preserve"> Exp Salud Publica. 2016 [acceso: 21/09/2020]; 33(2):241-7. Disponible en: </w:t>
      </w:r>
      <w:hyperlink r:id="rId21" w:history="1">
        <w:r w:rsidRPr="00576361">
          <w:rPr>
            <w:rFonts w:eastAsia="Calibri"/>
            <w:color w:val="0000FF"/>
            <w:u w:val="single"/>
            <w:lang w:val="es-PE" w:eastAsia="es-PE"/>
          </w:rPr>
          <w:t>https://rpmesp.ins.gob.pe/index.php/rpmesp/article/view/2170</w:t>
        </w:r>
      </w:hyperlink>
      <w:r w:rsidRPr="00576361">
        <w:rPr>
          <w:rFonts w:eastAsia="Calibri"/>
          <w:lang w:val="es-PE" w:eastAsia="es-PE"/>
        </w:rPr>
        <w:t xml:space="preserve"> </w:t>
      </w:r>
    </w:p>
    <w:p w14:paraId="665E7017"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9. Beas R, Anduaga-Beramendi A, </w:t>
      </w:r>
      <w:proofErr w:type="spellStart"/>
      <w:r w:rsidRPr="00576361">
        <w:rPr>
          <w:rFonts w:eastAsia="Calibri"/>
          <w:lang w:val="es-PE" w:eastAsia="es-PE"/>
        </w:rPr>
        <w:t>Maticorena</w:t>
      </w:r>
      <w:proofErr w:type="spellEnd"/>
      <w:r w:rsidRPr="00576361">
        <w:rPr>
          <w:rFonts w:eastAsia="Calibri"/>
          <w:lang w:val="es-PE" w:eastAsia="es-PE"/>
        </w:rPr>
        <w:t xml:space="preserve">-Quevedo J, Mayta-Tristán P. Factores asociados con el síndrome de Burnout en médicos y enfermeras, Perú 2014. </w:t>
      </w:r>
      <w:proofErr w:type="spellStart"/>
      <w:r w:rsidRPr="00576361">
        <w:rPr>
          <w:rFonts w:eastAsia="Calibri"/>
          <w:lang w:val="es-PE" w:eastAsia="es-PE"/>
        </w:rPr>
        <w:t>Rev</w:t>
      </w:r>
      <w:proofErr w:type="spellEnd"/>
      <w:r w:rsidRPr="00576361">
        <w:rPr>
          <w:rFonts w:eastAsia="Calibri"/>
          <w:lang w:val="es-PE" w:eastAsia="es-PE"/>
        </w:rPr>
        <w:t xml:space="preserve"> </w:t>
      </w:r>
      <w:proofErr w:type="spellStart"/>
      <w:r w:rsidRPr="00576361">
        <w:rPr>
          <w:rFonts w:eastAsia="Calibri"/>
          <w:lang w:val="es-PE" w:eastAsia="es-PE"/>
        </w:rPr>
        <w:t>Fac</w:t>
      </w:r>
      <w:proofErr w:type="spellEnd"/>
      <w:r w:rsidRPr="00576361">
        <w:rPr>
          <w:rFonts w:eastAsia="Calibri"/>
          <w:lang w:val="es-PE" w:eastAsia="es-PE"/>
        </w:rPr>
        <w:t xml:space="preserve"> Cien </w:t>
      </w:r>
      <w:proofErr w:type="spellStart"/>
      <w:r w:rsidRPr="00576361">
        <w:rPr>
          <w:rFonts w:eastAsia="Calibri"/>
          <w:lang w:val="es-PE" w:eastAsia="es-PE"/>
        </w:rPr>
        <w:t>Med</w:t>
      </w:r>
      <w:proofErr w:type="spellEnd"/>
      <w:r w:rsidRPr="00576361">
        <w:rPr>
          <w:rFonts w:eastAsia="Calibri"/>
          <w:lang w:val="es-PE" w:eastAsia="es-PE"/>
        </w:rPr>
        <w:t xml:space="preserve"> </w:t>
      </w:r>
      <w:proofErr w:type="spellStart"/>
      <w:r w:rsidRPr="00576361">
        <w:rPr>
          <w:rFonts w:eastAsia="Calibri"/>
          <w:lang w:val="es-PE" w:eastAsia="es-PE"/>
        </w:rPr>
        <w:t>Univ</w:t>
      </w:r>
      <w:proofErr w:type="spellEnd"/>
      <w:r w:rsidRPr="00576361">
        <w:rPr>
          <w:rFonts w:eastAsia="Calibri"/>
          <w:lang w:val="es-PE" w:eastAsia="es-PE"/>
        </w:rPr>
        <w:t xml:space="preserve"> </w:t>
      </w:r>
      <w:proofErr w:type="spellStart"/>
      <w:r w:rsidRPr="00576361">
        <w:rPr>
          <w:rFonts w:eastAsia="Calibri"/>
          <w:lang w:val="es-PE" w:eastAsia="es-PE"/>
        </w:rPr>
        <w:t>Nac</w:t>
      </w:r>
      <w:proofErr w:type="spellEnd"/>
      <w:r w:rsidRPr="00576361">
        <w:rPr>
          <w:rFonts w:eastAsia="Calibri"/>
          <w:lang w:val="es-PE" w:eastAsia="es-PE"/>
        </w:rPr>
        <w:t xml:space="preserve"> </w:t>
      </w:r>
      <w:proofErr w:type="spellStart"/>
      <w:r w:rsidRPr="00576361">
        <w:rPr>
          <w:rFonts w:eastAsia="Calibri"/>
          <w:lang w:val="es-PE" w:eastAsia="es-PE"/>
        </w:rPr>
        <w:t>Cordoba</w:t>
      </w:r>
      <w:proofErr w:type="spellEnd"/>
      <w:r w:rsidRPr="00576361">
        <w:rPr>
          <w:rFonts w:eastAsia="Calibri"/>
          <w:lang w:val="es-PE" w:eastAsia="es-PE"/>
        </w:rPr>
        <w:t xml:space="preserve">. 2017 [acceso: 21/09/2020]; 74(4):331-7. Disponible en: </w:t>
      </w:r>
      <w:hyperlink r:id="rId22" w:history="1">
        <w:r w:rsidRPr="00576361">
          <w:rPr>
            <w:rFonts w:eastAsia="Calibri"/>
            <w:color w:val="0000FF"/>
            <w:u w:val="single"/>
            <w:lang w:val="es-PE" w:eastAsia="es-PE"/>
          </w:rPr>
          <w:t>https://revistas.unc.edu.ar/index.php/med/article/view/16344</w:t>
        </w:r>
      </w:hyperlink>
      <w:r w:rsidRPr="00576361">
        <w:rPr>
          <w:rFonts w:eastAsia="Calibri"/>
          <w:lang w:val="es-PE" w:eastAsia="es-PE"/>
        </w:rPr>
        <w:t xml:space="preserve"> </w:t>
      </w:r>
    </w:p>
    <w:p w14:paraId="4FFF08A2"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10. Jara EA. Prevalencia del síndrome de Burnout en residentes de medicina del Hospital Nacional Arzobispo Loayza en el año 2015 Lima, Perú. [Para optar el Título Profesional de Médico Cirujano]. Lima: Universidad Nacional Mayor de San Marcos; 2016. [acceso: 21/09/2020] Disponible en: </w:t>
      </w:r>
      <w:hyperlink r:id="rId23" w:history="1">
        <w:r w:rsidRPr="00576361">
          <w:rPr>
            <w:rFonts w:eastAsia="Calibri"/>
            <w:color w:val="0000FF"/>
            <w:u w:val="single"/>
            <w:lang w:val="es-PE" w:eastAsia="es-PE"/>
          </w:rPr>
          <w:t>https://cybertesis.unmsm.edu.pe/handle/20.500.12672/4634</w:t>
        </w:r>
      </w:hyperlink>
      <w:r w:rsidRPr="00576361">
        <w:rPr>
          <w:rFonts w:eastAsia="Calibri"/>
          <w:lang w:val="es-PE" w:eastAsia="es-PE"/>
        </w:rPr>
        <w:t xml:space="preserve"> </w:t>
      </w:r>
    </w:p>
    <w:p w14:paraId="05FB065F"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11. Luna-Porta L, Mayor-Vega A, Taype-</w:t>
      </w:r>
      <w:proofErr w:type="spellStart"/>
      <w:r w:rsidRPr="00576361">
        <w:rPr>
          <w:rFonts w:eastAsia="Calibri"/>
          <w:lang w:val="es-PE" w:eastAsia="es-PE"/>
        </w:rPr>
        <w:t>Rondán</w:t>
      </w:r>
      <w:proofErr w:type="spellEnd"/>
      <w:r w:rsidRPr="00576361">
        <w:rPr>
          <w:rFonts w:eastAsia="Calibri"/>
          <w:lang w:val="es-PE" w:eastAsia="es-PE"/>
        </w:rPr>
        <w:t xml:space="preserve"> A. Síndrome de burnout en estudiantes de pregrado de Medicina Humana: un problema escasamente estudiado en el Perú. </w:t>
      </w:r>
      <w:proofErr w:type="spellStart"/>
      <w:r w:rsidRPr="00576361">
        <w:rPr>
          <w:rFonts w:eastAsia="Calibri"/>
          <w:lang w:val="es-PE" w:eastAsia="es-PE"/>
        </w:rPr>
        <w:t>An</w:t>
      </w:r>
      <w:proofErr w:type="spellEnd"/>
      <w:r w:rsidRPr="00576361">
        <w:rPr>
          <w:rFonts w:eastAsia="Calibri"/>
          <w:lang w:val="es-PE" w:eastAsia="es-PE"/>
        </w:rPr>
        <w:t xml:space="preserve"> </w:t>
      </w:r>
      <w:proofErr w:type="spellStart"/>
      <w:r w:rsidRPr="00576361">
        <w:rPr>
          <w:rFonts w:eastAsia="Calibri"/>
          <w:lang w:val="es-PE" w:eastAsia="es-PE"/>
        </w:rPr>
        <w:t>Fac</w:t>
      </w:r>
      <w:proofErr w:type="spellEnd"/>
      <w:r w:rsidRPr="00576361">
        <w:rPr>
          <w:rFonts w:eastAsia="Calibri"/>
          <w:lang w:val="es-PE" w:eastAsia="es-PE"/>
        </w:rPr>
        <w:t xml:space="preserve"> </w:t>
      </w:r>
      <w:proofErr w:type="spellStart"/>
      <w:r w:rsidRPr="00576361">
        <w:rPr>
          <w:rFonts w:eastAsia="Calibri"/>
          <w:lang w:val="es-PE" w:eastAsia="es-PE"/>
        </w:rPr>
        <w:t>med</w:t>
      </w:r>
      <w:proofErr w:type="spellEnd"/>
      <w:r w:rsidRPr="00576361">
        <w:rPr>
          <w:rFonts w:eastAsia="Calibri"/>
          <w:lang w:val="es-PE" w:eastAsia="es-PE"/>
        </w:rPr>
        <w:t xml:space="preserve">.  2015 [acceso: 21/09/2020]; 76(1):83-4. Disponible en: </w:t>
      </w:r>
      <w:hyperlink r:id="rId24" w:history="1">
        <w:r w:rsidRPr="00576361">
          <w:rPr>
            <w:rFonts w:eastAsia="Calibri"/>
            <w:color w:val="0000FF"/>
            <w:u w:val="single"/>
            <w:lang w:val="es-PE" w:eastAsia="es-PE"/>
          </w:rPr>
          <w:t>https://revistasinvestigacion.unmsm.edu.pe/index.php/anales/article/view/11082</w:t>
        </w:r>
      </w:hyperlink>
      <w:r w:rsidRPr="00576361">
        <w:rPr>
          <w:rFonts w:eastAsia="Calibri"/>
          <w:lang w:val="es-PE" w:eastAsia="es-PE"/>
        </w:rPr>
        <w:t xml:space="preserve"> </w:t>
      </w:r>
    </w:p>
    <w:p w14:paraId="0A3023FC"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12. </w:t>
      </w:r>
      <w:proofErr w:type="spellStart"/>
      <w:r w:rsidRPr="00576361">
        <w:rPr>
          <w:rFonts w:eastAsia="Calibri"/>
          <w:lang w:val="es-PE" w:eastAsia="es-PE"/>
        </w:rPr>
        <w:t>Mejia</w:t>
      </w:r>
      <w:proofErr w:type="spellEnd"/>
      <w:r w:rsidRPr="00576361">
        <w:rPr>
          <w:rFonts w:eastAsia="Calibri"/>
          <w:lang w:val="es-PE" w:eastAsia="es-PE"/>
        </w:rPr>
        <w:t xml:space="preserve"> CR, Valladares-Garrido MJ, Talledo-</w:t>
      </w:r>
      <w:proofErr w:type="spellStart"/>
      <w:r w:rsidRPr="00576361">
        <w:rPr>
          <w:rFonts w:eastAsia="Calibri"/>
          <w:lang w:val="es-PE" w:eastAsia="es-PE"/>
        </w:rPr>
        <w:t>Ulfe</w:t>
      </w:r>
      <w:proofErr w:type="spellEnd"/>
      <w:r w:rsidRPr="00576361">
        <w:rPr>
          <w:rFonts w:eastAsia="Calibri"/>
          <w:lang w:val="es-PE" w:eastAsia="es-PE"/>
        </w:rPr>
        <w:t xml:space="preserve"> L, Sánchez-Arteaga K, Rojas C, </w:t>
      </w:r>
      <w:proofErr w:type="spellStart"/>
      <w:r w:rsidRPr="00576361">
        <w:rPr>
          <w:rFonts w:eastAsia="Calibri"/>
          <w:lang w:val="es-PE" w:eastAsia="es-PE"/>
        </w:rPr>
        <w:t>Arimuya</w:t>
      </w:r>
      <w:proofErr w:type="spellEnd"/>
      <w:r w:rsidRPr="00576361">
        <w:rPr>
          <w:rFonts w:eastAsia="Calibri"/>
          <w:lang w:val="es-PE" w:eastAsia="es-PE"/>
        </w:rPr>
        <w:t xml:space="preserve"> JJ et al. Síndrome de Burnout y factores asociados en estudiantes de medicina: Estudio multicéntrico en siete facultades de medicina peruanas. </w:t>
      </w:r>
      <w:proofErr w:type="spellStart"/>
      <w:r w:rsidRPr="00576361">
        <w:rPr>
          <w:rFonts w:eastAsia="Calibri"/>
          <w:lang w:val="es-PE" w:eastAsia="es-PE"/>
        </w:rPr>
        <w:t>Rev</w:t>
      </w:r>
      <w:proofErr w:type="spellEnd"/>
      <w:r w:rsidRPr="00576361">
        <w:rPr>
          <w:rFonts w:eastAsia="Calibri"/>
          <w:lang w:val="es-PE" w:eastAsia="es-PE"/>
        </w:rPr>
        <w:t xml:space="preserve"> </w:t>
      </w:r>
      <w:proofErr w:type="spellStart"/>
      <w:r w:rsidRPr="00576361">
        <w:rPr>
          <w:rFonts w:eastAsia="Calibri"/>
          <w:lang w:val="es-PE" w:eastAsia="es-PE"/>
        </w:rPr>
        <w:t>chil</w:t>
      </w:r>
      <w:proofErr w:type="spellEnd"/>
      <w:r w:rsidRPr="00576361">
        <w:rPr>
          <w:rFonts w:eastAsia="Calibri"/>
          <w:lang w:val="es-PE" w:eastAsia="es-PE"/>
        </w:rPr>
        <w:t xml:space="preserve"> neuro-</w:t>
      </w:r>
      <w:proofErr w:type="spellStart"/>
      <w:r w:rsidRPr="00576361">
        <w:rPr>
          <w:rFonts w:eastAsia="Calibri"/>
          <w:lang w:val="es-PE" w:eastAsia="es-PE"/>
        </w:rPr>
        <w:t>psiquiatr</w:t>
      </w:r>
      <w:proofErr w:type="spellEnd"/>
      <w:r w:rsidRPr="00576361">
        <w:rPr>
          <w:rFonts w:eastAsia="Calibri"/>
          <w:lang w:val="es-PE" w:eastAsia="es-PE"/>
        </w:rPr>
        <w:t xml:space="preserve">.  2016 [acceso: 21/09/2020]; 54(3):207-14. Disponible en: </w:t>
      </w:r>
      <w:hyperlink r:id="rId25" w:history="1">
        <w:r w:rsidRPr="00576361">
          <w:rPr>
            <w:rFonts w:eastAsia="Calibri"/>
            <w:color w:val="0000FF"/>
            <w:u w:val="single"/>
            <w:lang w:val="es-PE" w:eastAsia="es-PE"/>
          </w:rPr>
          <w:t>https://scielo.conicyt.cl/scielo.php?script=sci_arttext&amp;pid=S0717-92272016000300005&amp;lng=en&amp;nrm=iso&amp;tlng=en</w:t>
        </w:r>
      </w:hyperlink>
      <w:r w:rsidRPr="00576361">
        <w:rPr>
          <w:rFonts w:eastAsia="Calibri"/>
          <w:lang w:val="es-PE" w:eastAsia="es-PE"/>
        </w:rPr>
        <w:t xml:space="preserve"> </w:t>
      </w:r>
    </w:p>
    <w:p w14:paraId="73E13A3C"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13. </w:t>
      </w:r>
      <w:proofErr w:type="spellStart"/>
      <w:r w:rsidRPr="00576361">
        <w:rPr>
          <w:rFonts w:eastAsia="Calibri"/>
          <w:lang w:val="es-PE" w:eastAsia="es-PE"/>
        </w:rPr>
        <w:t>Nakandakari</w:t>
      </w:r>
      <w:proofErr w:type="spellEnd"/>
      <w:r w:rsidRPr="00576361">
        <w:rPr>
          <w:rFonts w:eastAsia="Calibri"/>
          <w:lang w:val="es-PE" w:eastAsia="es-PE"/>
        </w:rPr>
        <w:t xml:space="preserve"> MD, De la Rosa DN, </w:t>
      </w:r>
      <w:proofErr w:type="spellStart"/>
      <w:r w:rsidRPr="00576361">
        <w:rPr>
          <w:rFonts w:eastAsia="Calibri"/>
          <w:lang w:val="es-PE" w:eastAsia="es-PE"/>
        </w:rPr>
        <w:t>Failoc</w:t>
      </w:r>
      <w:proofErr w:type="spellEnd"/>
      <w:r w:rsidRPr="00576361">
        <w:rPr>
          <w:rFonts w:eastAsia="Calibri"/>
          <w:lang w:val="es-PE" w:eastAsia="es-PE"/>
        </w:rPr>
        <w:t xml:space="preserve">-Rojas VE, </w:t>
      </w:r>
      <w:proofErr w:type="spellStart"/>
      <w:r w:rsidRPr="00576361">
        <w:rPr>
          <w:rFonts w:eastAsia="Calibri"/>
          <w:lang w:val="es-PE" w:eastAsia="es-PE"/>
        </w:rPr>
        <w:t>Huahuachampi</w:t>
      </w:r>
      <w:proofErr w:type="spellEnd"/>
      <w:r w:rsidRPr="00576361">
        <w:rPr>
          <w:rFonts w:eastAsia="Calibri"/>
          <w:lang w:val="es-PE" w:eastAsia="es-PE"/>
        </w:rPr>
        <w:t xml:space="preserve"> KB, Nieto WC, Gutiérrez AI, et al. Síndrome de burnout en estudiantes de medicina pertenecientes a sociedades científicas peruanas: Un estudio multicéntrico. </w:t>
      </w:r>
      <w:proofErr w:type="spellStart"/>
      <w:r w:rsidRPr="00576361">
        <w:rPr>
          <w:rFonts w:eastAsia="Calibri"/>
          <w:lang w:val="es-PE" w:eastAsia="es-PE"/>
        </w:rPr>
        <w:t>Rev</w:t>
      </w:r>
      <w:proofErr w:type="spellEnd"/>
      <w:r w:rsidRPr="00576361">
        <w:rPr>
          <w:rFonts w:eastAsia="Calibri"/>
          <w:lang w:val="es-PE" w:eastAsia="es-PE"/>
        </w:rPr>
        <w:t xml:space="preserve"> </w:t>
      </w:r>
      <w:proofErr w:type="spellStart"/>
      <w:r w:rsidRPr="00576361">
        <w:rPr>
          <w:rFonts w:eastAsia="Calibri"/>
          <w:lang w:val="es-PE" w:eastAsia="es-PE"/>
        </w:rPr>
        <w:t>Neuropsiquiatr</w:t>
      </w:r>
      <w:proofErr w:type="spellEnd"/>
      <w:r w:rsidRPr="00576361">
        <w:rPr>
          <w:rFonts w:eastAsia="Calibri"/>
          <w:lang w:val="es-PE" w:eastAsia="es-PE"/>
        </w:rPr>
        <w:t xml:space="preserve">. 2015 [acceso: 21/09/2020]; 78(4):203-10. Disponible en: </w:t>
      </w:r>
      <w:hyperlink r:id="rId26" w:history="1">
        <w:r w:rsidRPr="00576361">
          <w:rPr>
            <w:rFonts w:eastAsia="Calibri"/>
            <w:color w:val="0000FF"/>
            <w:u w:val="single"/>
            <w:lang w:val="es-PE" w:eastAsia="es-PE"/>
          </w:rPr>
          <w:t>https://revistas.upch.edu.pe/index.php/RNP/article/view/2656</w:t>
        </w:r>
      </w:hyperlink>
      <w:r w:rsidRPr="00576361">
        <w:rPr>
          <w:rFonts w:eastAsia="Calibri"/>
          <w:lang w:val="es-PE" w:eastAsia="es-PE"/>
        </w:rPr>
        <w:t xml:space="preserve"> </w:t>
      </w:r>
    </w:p>
    <w:p w14:paraId="2283F8C6"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lastRenderedPageBreak/>
        <w:t xml:space="preserve">14. Vinueza A, Aldaz N, Mera C, Pino D, Tapia E, Vinueza M. Síndrome de Burnout en médicos/as y enfermeros/as ecuatorianos durante la pandemia de COVID-19.  </w:t>
      </w:r>
      <w:proofErr w:type="spellStart"/>
      <w:r w:rsidRPr="00576361">
        <w:rPr>
          <w:rFonts w:eastAsia="Calibri"/>
          <w:lang w:val="es-PE" w:eastAsia="es-PE"/>
        </w:rPr>
        <w:t>Rev</w:t>
      </w:r>
      <w:proofErr w:type="spellEnd"/>
      <w:r w:rsidRPr="00576361">
        <w:rPr>
          <w:rFonts w:eastAsia="Calibri"/>
          <w:lang w:val="es-PE" w:eastAsia="es-PE"/>
        </w:rPr>
        <w:t xml:space="preserve"> </w:t>
      </w:r>
      <w:proofErr w:type="spellStart"/>
      <w:r w:rsidRPr="00576361">
        <w:rPr>
          <w:rFonts w:eastAsia="Calibri"/>
          <w:lang w:val="es-PE" w:eastAsia="es-PE"/>
        </w:rPr>
        <w:t>Asoc</w:t>
      </w:r>
      <w:proofErr w:type="spellEnd"/>
      <w:r w:rsidRPr="00576361">
        <w:rPr>
          <w:rFonts w:eastAsia="Calibri"/>
          <w:lang w:val="es-PE" w:eastAsia="es-PE"/>
        </w:rPr>
        <w:t xml:space="preserve"> </w:t>
      </w:r>
      <w:proofErr w:type="spellStart"/>
      <w:r w:rsidRPr="00576361">
        <w:rPr>
          <w:rFonts w:eastAsia="Calibri"/>
          <w:lang w:val="es-PE" w:eastAsia="es-PE"/>
        </w:rPr>
        <w:t>Esp</w:t>
      </w:r>
      <w:proofErr w:type="spellEnd"/>
      <w:r w:rsidRPr="00576361">
        <w:rPr>
          <w:rFonts w:eastAsia="Calibri"/>
          <w:lang w:val="es-PE" w:eastAsia="es-PE"/>
        </w:rPr>
        <w:t xml:space="preserve"> </w:t>
      </w:r>
      <w:proofErr w:type="spellStart"/>
      <w:r w:rsidRPr="00576361">
        <w:rPr>
          <w:rFonts w:eastAsia="Calibri"/>
          <w:lang w:val="es-PE" w:eastAsia="es-PE"/>
        </w:rPr>
        <w:t>Med</w:t>
      </w:r>
      <w:proofErr w:type="spellEnd"/>
      <w:r w:rsidRPr="00576361">
        <w:rPr>
          <w:rFonts w:eastAsia="Calibri"/>
          <w:lang w:val="es-PE" w:eastAsia="es-PE"/>
        </w:rPr>
        <w:t xml:space="preserve"> </w:t>
      </w:r>
      <w:proofErr w:type="spellStart"/>
      <w:r w:rsidRPr="00576361">
        <w:rPr>
          <w:rFonts w:eastAsia="Calibri"/>
          <w:lang w:val="es-PE" w:eastAsia="es-PE"/>
        </w:rPr>
        <w:t>Trab</w:t>
      </w:r>
      <w:proofErr w:type="spellEnd"/>
      <w:r w:rsidRPr="00576361">
        <w:rPr>
          <w:rFonts w:eastAsia="Calibri"/>
          <w:lang w:val="es-PE" w:eastAsia="es-PE"/>
        </w:rPr>
        <w:t>. 2020 [acceso: 08/03/2020</w:t>
      </w:r>
      <w:proofErr w:type="gramStart"/>
      <w:r w:rsidRPr="00576361">
        <w:rPr>
          <w:rFonts w:eastAsia="Calibri"/>
          <w:lang w:val="es-PE" w:eastAsia="es-PE"/>
        </w:rPr>
        <w:t>];  29</w:t>
      </w:r>
      <w:proofErr w:type="gramEnd"/>
      <w:r w:rsidRPr="00576361">
        <w:rPr>
          <w:rFonts w:eastAsia="Calibri"/>
          <w:lang w:val="es-PE" w:eastAsia="es-PE"/>
        </w:rPr>
        <w:t xml:space="preserve">(4): 257-392. </w:t>
      </w:r>
    </w:p>
    <w:p w14:paraId="3BEB89D7" w14:textId="77777777" w:rsidR="00576361" w:rsidRPr="00576361" w:rsidRDefault="00576361" w:rsidP="00576361">
      <w:pPr>
        <w:spacing w:line="360" w:lineRule="auto"/>
        <w:ind w:right="280"/>
        <w:rPr>
          <w:rFonts w:eastAsia="Calibri"/>
          <w:lang w:val="es-PE" w:eastAsia="es-PE"/>
        </w:rPr>
      </w:pPr>
      <w:r w:rsidRPr="00576361">
        <w:rPr>
          <w:rFonts w:eastAsia="Calibri"/>
          <w:lang w:val="es-PE" w:eastAsia="es-PE"/>
        </w:rPr>
        <w:t xml:space="preserve">Disponible en: </w:t>
      </w:r>
      <w:hyperlink r:id="rId27" w:history="1">
        <w:r w:rsidRPr="00576361">
          <w:rPr>
            <w:rFonts w:eastAsia="Calibri"/>
            <w:color w:val="0000FF"/>
            <w:u w:val="single"/>
            <w:lang w:val="es-PE" w:eastAsia="es-PE"/>
          </w:rPr>
          <w:t>http://scielo.isciii.es/pdf/medtra/v29n4/1132-6255-medtra-29-04-330.pdf</w:t>
        </w:r>
      </w:hyperlink>
    </w:p>
    <w:p w14:paraId="5613C2A3" w14:textId="77777777" w:rsidR="00576361" w:rsidRPr="00576361" w:rsidRDefault="00576361" w:rsidP="00576361">
      <w:pPr>
        <w:spacing w:line="360" w:lineRule="auto"/>
        <w:ind w:right="280"/>
        <w:rPr>
          <w:rFonts w:eastAsia="Calibri"/>
          <w:lang w:val="en-US" w:eastAsia="es-PE"/>
        </w:rPr>
      </w:pPr>
      <w:r w:rsidRPr="00576361">
        <w:rPr>
          <w:rFonts w:eastAsia="Calibri"/>
          <w:lang w:val="en-US" w:eastAsia="es-PE"/>
        </w:rPr>
        <w:t xml:space="preserve">15. Green M, </w:t>
      </w:r>
      <w:proofErr w:type="spellStart"/>
      <w:r w:rsidRPr="00576361">
        <w:rPr>
          <w:rFonts w:eastAsia="Calibri"/>
          <w:lang w:val="en-US" w:eastAsia="es-PE"/>
        </w:rPr>
        <w:t>Angoff</w:t>
      </w:r>
      <w:proofErr w:type="spellEnd"/>
      <w:r w:rsidRPr="00576361">
        <w:rPr>
          <w:rFonts w:eastAsia="Calibri"/>
          <w:lang w:val="en-US" w:eastAsia="es-PE"/>
        </w:rPr>
        <w:t xml:space="preserve"> N, </w:t>
      </w:r>
      <w:proofErr w:type="spellStart"/>
      <w:r w:rsidRPr="00576361">
        <w:rPr>
          <w:rFonts w:eastAsia="Calibri"/>
          <w:lang w:val="en-US" w:eastAsia="es-PE"/>
        </w:rPr>
        <w:t>Encandela</w:t>
      </w:r>
      <w:proofErr w:type="spellEnd"/>
      <w:r w:rsidRPr="00576361">
        <w:rPr>
          <w:rFonts w:eastAsia="Calibri"/>
          <w:lang w:val="en-US" w:eastAsia="es-PE"/>
        </w:rPr>
        <w:t xml:space="preserve"> J. Test anxiety and United States Medical Licensing Examination scores. Clin Teach. 2016 [</w:t>
      </w:r>
      <w:proofErr w:type="spellStart"/>
      <w:r w:rsidRPr="00576361">
        <w:rPr>
          <w:rFonts w:eastAsia="Calibri"/>
          <w:lang w:val="en-US" w:eastAsia="es-PE"/>
        </w:rPr>
        <w:t>acceso</w:t>
      </w:r>
      <w:proofErr w:type="spellEnd"/>
      <w:r w:rsidRPr="00576361">
        <w:rPr>
          <w:rFonts w:eastAsia="Calibri"/>
          <w:lang w:val="en-US" w:eastAsia="es-PE"/>
        </w:rPr>
        <w:t xml:space="preserve">: 21/09/2020]; 13(2):142-6. Disponible </w:t>
      </w:r>
      <w:proofErr w:type="spellStart"/>
      <w:r w:rsidRPr="00576361">
        <w:rPr>
          <w:rFonts w:eastAsia="Calibri"/>
          <w:lang w:val="en-US" w:eastAsia="es-PE"/>
        </w:rPr>
        <w:t>en</w:t>
      </w:r>
      <w:proofErr w:type="spellEnd"/>
      <w:r w:rsidRPr="00576361">
        <w:rPr>
          <w:rFonts w:eastAsia="Calibri"/>
          <w:lang w:val="en-US" w:eastAsia="es-PE"/>
        </w:rPr>
        <w:t xml:space="preserve">: </w:t>
      </w:r>
      <w:hyperlink r:id="rId28" w:history="1">
        <w:r w:rsidRPr="00576361">
          <w:rPr>
            <w:rFonts w:eastAsia="Calibri"/>
            <w:color w:val="0000FF"/>
            <w:u w:val="single"/>
            <w:lang w:val="en-US" w:eastAsia="es-PE"/>
          </w:rPr>
          <w:t>https://onlinelibrary.wiley.com/doi/10.1111/tct.12386</w:t>
        </w:r>
      </w:hyperlink>
      <w:r w:rsidRPr="00576361">
        <w:rPr>
          <w:rFonts w:eastAsia="Calibri"/>
          <w:lang w:val="en-US" w:eastAsia="es-PE"/>
        </w:rPr>
        <w:t xml:space="preserve"> </w:t>
      </w:r>
    </w:p>
    <w:p w14:paraId="4F1ED6A2" w14:textId="77777777" w:rsidR="00576361" w:rsidRPr="00576361" w:rsidRDefault="00576361" w:rsidP="00576361">
      <w:pPr>
        <w:spacing w:line="360" w:lineRule="auto"/>
        <w:ind w:right="280"/>
        <w:rPr>
          <w:rFonts w:eastAsia="Calibri"/>
          <w:lang w:val="en-US" w:eastAsia="es-PE"/>
        </w:rPr>
      </w:pPr>
      <w:r w:rsidRPr="00576361">
        <w:rPr>
          <w:rFonts w:eastAsia="Calibri"/>
          <w:lang w:val="en-US" w:eastAsia="es-PE"/>
        </w:rPr>
        <w:t xml:space="preserve">16. </w:t>
      </w:r>
      <w:proofErr w:type="spellStart"/>
      <w:r w:rsidRPr="00576361">
        <w:rPr>
          <w:rFonts w:eastAsia="Calibri"/>
          <w:lang w:val="en-US" w:eastAsia="es-PE"/>
        </w:rPr>
        <w:t>Shreffler</w:t>
      </w:r>
      <w:proofErr w:type="spellEnd"/>
      <w:r w:rsidRPr="00576361">
        <w:rPr>
          <w:rFonts w:eastAsia="Calibri"/>
          <w:lang w:val="en-US" w:eastAsia="es-PE"/>
        </w:rPr>
        <w:t xml:space="preserve"> J, </w:t>
      </w:r>
      <w:proofErr w:type="spellStart"/>
      <w:r w:rsidRPr="00576361">
        <w:rPr>
          <w:rFonts w:eastAsia="Calibri"/>
          <w:lang w:val="en-US" w:eastAsia="es-PE"/>
        </w:rPr>
        <w:t>Huecker</w:t>
      </w:r>
      <w:proofErr w:type="spellEnd"/>
      <w:r w:rsidRPr="00576361">
        <w:rPr>
          <w:rFonts w:eastAsia="Calibri"/>
          <w:lang w:val="en-US" w:eastAsia="es-PE"/>
        </w:rPr>
        <w:t xml:space="preserve"> M, Martin L, </w:t>
      </w:r>
      <w:proofErr w:type="spellStart"/>
      <w:r w:rsidRPr="00576361">
        <w:rPr>
          <w:rFonts w:eastAsia="Calibri"/>
          <w:lang w:val="en-US" w:eastAsia="es-PE"/>
        </w:rPr>
        <w:t>Sawning</w:t>
      </w:r>
      <w:proofErr w:type="spellEnd"/>
      <w:r w:rsidRPr="00576361">
        <w:rPr>
          <w:rFonts w:eastAsia="Calibri"/>
          <w:lang w:val="en-US" w:eastAsia="es-PE"/>
        </w:rPr>
        <w:t xml:space="preserve"> S, </w:t>
      </w:r>
      <w:proofErr w:type="spellStart"/>
      <w:r w:rsidRPr="00576361">
        <w:rPr>
          <w:rFonts w:eastAsia="Calibri"/>
          <w:lang w:val="en-US" w:eastAsia="es-PE"/>
        </w:rPr>
        <w:t>Thé</w:t>
      </w:r>
      <w:proofErr w:type="spellEnd"/>
      <w:r w:rsidRPr="00576361">
        <w:rPr>
          <w:rFonts w:eastAsia="Calibri"/>
          <w:lang w:val="en-US" w:eastAsia="es-PE"/>
        </w:rPr>
        <w:t xml:space="preserve"> S, Shaw M, et al. Strategies to Combat Burnout During Intense Studying: Utilization of Medical Student Feedback to Alleviate Burnout in Preparation for a High Stakes Examination. Health Professions Education. 2020 [</w:t>
      </w:r>
      <w:proofErr w:type="spellStart"/>
      <w:r w:rsidRPr="00576361">
        <w:rPr>
          <w:rFonts w:eastAsia="Calibri"/>
          <w:lang w:val="en-US" w:eastAsia="es-PE"/>
        </w:rPr>
        <w:t>acceso</w:t>
      </w:r>
      <w:proofErr w:type="spellEnd"/>
      <w:r w:rsidRPr="00576361">
        <w:rPr>
          <w:rFonts w:eastAsia="Calibri"/>
          <w:lang w:val="en-US" w:eastAsia="es-PE"/>
        </w:rPr>
        <w:t xml:space="preserve">: 21/09/2020]; 6(3):334-42. Disponible </w:t>
      </w:r>
      <w:proofErr w:type="spellStart"/>
      <w:r w:rsidRPr="00576361">
        <w:rPr>
          <w:rFonts w:eastAsia="Calibri"/>
          <w:lang w:val="en-US" w:eastAsia="es-PE"/>
        </w:rPr>
        <w:t>en</w:t>
      </w:r>
      <w:proofErr w:type="spellEnd"/>
      <w:r w:rsidRPr="00576361">
        <w:rPr>
          <w:rFonts w:eastAsia="Calibri"/>
          <w:lang w:val="en-US" w:eastAsia="es-PE"/>
        </w:rPr>
        <w:t xml:space="preserve">: </w:t>
      </w:r>
      <w:hyperlink r:id="rId29" w:anchor="cebib0010" w:history="1">
        <w:r w:rsidRPr="00576361">
          <w:rPr>
            <w:rFonts w:eastAsia="Calibri"/>
            <w:color w:val="0000FF"/>
            <w:u w:val="single"/>
            <w:lang w:val="en-US" w:eastAsia="es-PE"/>
          </w:rPr>
          <w:t>https://www.sciencedirect.com/science/article/pii/S2452301120300456?via%3Dihub#cebib0010</w:t>
        </w:r>
      </w:hyperlink>
      <w:r w:rsidRPr="00576361">
        <w:rPr>
          <w:rFonts w:eastAsia="Calibri"/>
          <w:lang w:val="en-US" w:eastAsia="es-PE"/>
        </w:rPr>
        <w:t xml:space="preserve"> </w:t>
      </w:r>
    </w:p>
    <w:p w14:paraId="6D1CE282" w14:textId="77777777" w:rsidR="00576361" w:rsidRPr="00576361" w:rsidRDefault="00576361" w:rsidP="00576361">
      <w:pPr>
        <w:spacing w:line="360" w:lineRule="auto"/>
        <w:ind w:right="280"/>
        <w:rPr>
          <w:rFonts w:eastAsia="Calibri"/>
          <w:lang w:val="en-US" w:eastAsia="es-PE"/>
        </w:rPr>
      </w:pPr>
      <w:r w:rsidRPr="00576361">
        <w:rPr>
          <w:rFonts w:eastAsia="Calibri"/>
          <w:lang w:val="en-US" w:eastAsia="es-PE"/>
        </w:rPr>
        <w:t xml:space="preserve">17. </w:t>
      </w:r>
      <w:proofErr w:type="spellStart"/>
      <w:r w:rsidRPr="00576361">
        <w:rPr>
          <w:rFonts w:eastAsia="Calibri"/>
          <w:lang w:val="en-US" w:eastAsia="es-PE"/>
        </w:rPr>
        <w:t>Turan</w:t>
      </w:r>
      <w:proofErr w:type="spellEnd"/>
      <w:r w:rsidRPr="00576361">
        <w:rPr>
          <w:rFonts w:eastAsia="Calibri"/>
          <w:lang w:val="en-US" w:eastAsia="es-PE"/>
        </w:rPr>
        <w:t xml:space="preserve"> S, </w:t>
      </w:r>
      <w:proofErr w:type="spellStart"/>
      <w:r w:rsidRPr="00576361">
        <w:rPr>
          <w:rFonts w:eastAsia="Calibri"/>
          <w:lang w:val="en-US" w:eastAsia="es-PE"/>
        </w:rPr>
        <w:t>Üner</w:t>
      </w:r>
      <w:proofErr w:type="spellEnd"/>
      <w:r w:rsidRPr="00576361">
        <w:rPr>
          <w:rFonts w:eastAsia="Calibri"/>
          <w:lang w:val="en-US" w:eastAsia="es-PE"/>
        </w:rPr>
        <w:t xml:space="preserve"> S. Preparation for a postgraduate specialty examination by medical students in Turkey: processes and sources of anxiety. Teaching and Learning in Medicine. 2015 [</w:t>
      </w:r>
      <w:proofErr w:type="spellStart"/>
      <w:r w:rsidRPr="00576361">
        <w:rPr>
          <w:rFonts w:eastAsia="Calibri"/>
          <w:lang w:val="en-US" w:eastAsia="es-PE"/>
        </w:rPr>
        <w:t>acceso</w:t>
      </w:r>
      <w:proofErr w:type="spellEnd"/>
      <w:r w:rsidRPr="00576361">
        <w:rPr>
          <w:rFonts w:eastAsia="Calibri"/>
          <w:lang w:val="en-US" w:eastAsia="es-PE"/>
        </w:rPr>
        <w:t xml:space="preserve">: 21/09/2020], 27(1):27-36. Disponible </w:t>
      </w:r>
      <w:proofErr w:type="spellStart"/>
      <w:r w:rsidRPr="00576361">
        <w:rPr>
          <w:rFonts w:eastAsia="Calibri"/>
          <w:lang w:val="en-US" w:eastAsia="es-PE"/>
        </w:rPr>
        <w:t>en</w:t>
      </w:r>
      <w:proofErr w:type="spellEnd"/>
      <w:r w:rsidRPr="00576361">
        <w:rPr>
          <w:rFonts w:eastAsia="Calibri"/>
          <w:lang w:val="en-US" w:eastAsia="es-PE"/>
        </w:rPr>
        <w:t xml:space="preserve">: </w:t>
      </w:r>
      <w:hyperlink r:id="rId30" w:history="1">
        <w:r w:rsidRPr="00576361">
          <w:rPr>
            <w:rFonts w:eastAsia="Calibri"/>
            <w:color w:val="0000FF"/>
            <w:u w:val="single"/>
            <w:lang w:val="en-US" w:eastAsia="es-PE"/>
          </w:rPr>
          <w:t>https://www.tandfonline.com/doi/abs/10.1080/10401334.2014.979186</w:t>
        </w:r>
      </w:hyperlink>
      <w:r w:rsidRPr="00576361">
        <w:rPr>
          <w:rFonts w:eastAsia="Calibri"/>
          <w:lang w:val="en-US" w:eastAsia="es-PE"/>
        </w:rPr>
        <w:t xml:space="preserve"> </w:t>
      </w:r>
    </w:p>
    <w:p w14:paraId="082A9761" w14:textId="77777777" w:rsidR="00576361" w:rsidRPr="00576361" w:rsidRDefault="00576361" w:rsidP="00576361">
      <w:pPr>
        <w:spacing w:line="360" w:lineRule="auto"/>
        <w:ind w:hanging="2"/>
        <w:rPr>
          <w:rFonts w:ascii="Arial" w:eastAsia="Arial" w:hAnsi="Arial" w:cs="Arial"/>
          <w:lang w:val="en-US" w:eastAsia="es-PE"/>
        </w:rPr>
      </w:pPr>
    </w:p>
    <w:p w14:paraId="64FE2B58" w14:textId="77777777" w:rsidR="00576361" w:rsidRPr="00576361" w:rsidRDefault="00576361" w:rsidP="00576361">
      <w:pPr>
        <w:spacing w:line="360" w:lineRule="auto"/>
        <w:ind w:hanging="2"/>
        <w:rPr>
          <w:rFonts w:ascii="Arial" w:eastAsia="Arial" w:hAnsi="Arial" w:cs="Arial"/>
          <w:lang w:val="en-US" w:eastAsia="es-PE"/>
        </w:rPr>
      </w:pPr>
    </w:p>
    <w:p w14:paraId="05D1B746" w14:textId="77777777" w:rsidR="00576361" w:rsidRPr="00576361" w:rsidRDefault="00576361" w:rsidP="00576361">
      <w:pPr>
        <w:spacing w:line="360" w:lineRule="auto"/>
        <w:ind w:hanging="1"/>
        <w:jc w:val="center"/>
        <w:rPr>
          <w:b/>
          <w:lang w:val="es-PE" w:eastAsia="es-PE"/>
        </w:rPr>
      </w:pPr>
      <w:r w:rsidRPr="00576361">
        <w:rPr>
          <w:b/>
          <w:lang w:val="es-PE" w:eastAsia="es-PE"/>
        </w:rPr>
        <w:t>Conflictos de intereses</w:t>
      </w:r>
    </w:p>
    <w:p w14:paraId="5970A5E9" w14:textId="77777777" w:rsidR="00576361" w:rsidRPr="00576361" w:rsidRDefault="00576361" w:rsidP="00576361">
      <w:pPr>
        <w:spacing w:line="360" w:lineRule="auto"/>
        <w:ind w:hanging="1"/>
        <w:rPr>
          <w:lang w:val="es-PE" w:eastAsia="es-PE"/>
        </w:rPr>
      </w:pPr>
      <w:r w:rsidRPr="00576361">
        <w:rPr>
          <w:lang w:val="es-PE" w:eastAsia="es-PE"/>
        </w:rPr>
        <w:t xml:space="preserve">Los autores declaran no tener conflictos de intereses en relación al presente artículo. </w:t>
      </w:r>
    </w:p>
    <w:p w14:paraId="5199BF4C" w14:textId="77777777" w:rsidR="00576361" w:rsidRPr="00576361" w:rsidRDefault="00576361" w:rsidP="00576361">
      <w:pPr>
        <w:spacing w:line="360" w:lineRule="auto"/>
        <w:ind w:hanging="1"/>
        <w:rPr>
          <w:b/>
          <w:lang w:val="es-PE" w:eastAsia="es-PE"/>
        </w:rPr>
      </w:pPr>
    </w:p>
    <w:p w14:paraId="124CB6C8" w14:textId="77777777" w:rsidR="00576361" w:rsidRPr="00576361" w:rsidRDefault="00576361" w:rsidP="00576361">
      <w:pPr>
        <w:spacing w:line="360" w:lineRule="auto"/>
        <w:ind w:hanging="1"/>
        <w:jc w:val="center"/>
        <w:rPr>
          <w:b/>
          <w:lang w:val="es-PE" w:eastAsia="es-PE"/>
        </w:rPr>
      </w:pPr>
      <w:r w:rsidRPr="00576361">
        <w:rPr>
          <w:b/>
          <w:lang w:val="es-PE" w:eastAsia="es-PE"/>
        </w:rPr>
        <w:t>Contribuciones de los autores</w:t>
      </w:r>
    </w:p>
    <w:p w14:paraId="240CC6E9" w14:textId="77777777" w:rsidR="00576361" w:rsidRPr="00576361" w:rsidRDefault="00576361" w:rsidP="00576361">
      <w:pPr>
        <w:spacing w:line="360" w:lineRule="auto"/>
        <w:ind w:hanging="1"/>
        <w:rPr>
          <w:lang w:val="es-PE" w:eastAsia="es-PE"/>
        </w:rPr>
      </w:pPr>
      <w:r w:rsidRPr="00576361">
        <w:rPr>
          <w:i/>
          <w:lang w:val="es-PE" w:eastAsia="es-PE"/>
        </w:rPr>
        <w:t>Carlos Saavedra:</w:t>
      </w:r>
      <w:r w:rsidRPr="00576361">
        <w:rPr>
          <w:lang w:val="es-PE" w:eastAsia="es-PE"/>
        </w:rPr>
        <w:t xml:space="preserve"> diseñó y redactó la primera versión del trabajo, organizó la base de datos con las variables seleccionadas.</w:t>
      </w:r>
    </w:p>
    <w:p w14:paraId="1937B196" w14:textId="77777777" w:rsidR="00576361" w:rsidRPr="00576361" w:rsidRDefault="00576361" w:rsidP="00576361">
      <w:pPr>
        <w:spacing w:line="360" w:lineRule="auto"/>
        <w:ind w:hanging="1"/>
        <w:rPr>
          <w:lang w:val="es-PE" w:eastAsia="es-PE"/>
        </w:rPr>
      </w:pPr>
      <w:r w:rsidRPr="00576361">
        <w:rPr>
          <w:i/>
          <w:lang w:val="es-PE" w:eastAsia="es-PE"/>
        </w:rPr>
        <w:t>Kevin Flores:</w:t>
      </w:r>
      <w:r w:rsidRPr="00576361">
        <w:rPr>
          <w:lang w:val="es-PE" w:eastAsia="es-PE"/>
        </w:rPr>
        <w:t xml:space="preserve"> revisó y recopiló la bibliografía actualizada, participó en la redacción del trabajo. </w:t>
      </w:r>
    </w:p>
    <w:p w14:paraId="08A49246" w14:textId="77777777" w:rsidR="00576361" w:rsidRPr="00576361" w:rsidRDefault="00576361" w:rsidP="00576361">
      <w:pPr>
        <w:spacing w:line="360" w:lineRule="auto"/>
        <w:ind w:hanging="1"/>
        <w:rPr>
          <w:lang w:val="es-PE" w:eastAsia="es-PE"/>
        </w:rPr>
      </w:pPr>
      <w:r w:rsidRPr="00576361">
        <w:rPr>
          <w:i/>
          <w:lang w:val="es-PE" w:eastAsia="es-PE"/>
        </w:rPr>
        <w:t>Dayana Ticona:</w:t>
      </w:r>
      <w:r w:rsidRPr="00576361">
        <w:rPr>
          <w:lang w:val="es-PE" w:eastAsia="es-PE"/>
        </w:rPr>
        <w:t xml:space="preserve"> contribuyó a la revisión y redacción del trabajo. </w:t>
      </w:r>
    </w:p>
    <w:p w14:paraId="2C8C458C" w14:textId="77777777" w:rsidR="00576361" w:rsidRPr="00576361" w:rsidRDefault="00576361" w:rsidP="00576361">
      <w:pPr>
        <w:spacing w:line="360" w:lineRule="auto"/>
        <w:ind w:hanging="1"/>
        <w:rPr>
          <w:lang w:val="es-PE" w:eastAsia="es-PE"/>
        </w:rPr>
      </w:pPr>
      <w:proofErr w:type="spellStart"/>
      <w:r w:rsidRPr="00576361">
        <w:rPr>
          <w:i/>
          <w:lang w:val="es-PE" w:eastAsia="es-PE"/>
        </w:rPr>
        <w:t>Ericson</w:t>
      </w:r>
      <w:proofErr w:type="spellEnd"/>
      <w:r w:rsidRPr="00576361">
        <w:rPr>
          <w:i/>
          <w:lang w:val="es-PE" w:eastAsia="es-PE"/>
        </w:rPr>
        <w:t xml:space="preserve"> </w:t>
      </w:r>
      <w:proofErr w:type="spellStart"/>
      <w:r w:rsidRPr="00576361">
        <w:rPr>
          <w:i/>
          <w:lang w:val="es-PE" w:eastAsia="es-PE"/>
        </w:rPr>
        <w:t>Gutierrez</w:t>
      </w:r>
      <w:proofErr w:type="spellEnd"/>
      <w:r w:rsidRPr="00576361">
        <w:rPr>
          <w:i/>
          <w:lang w:val="es-PE" w:eastAsia="es-PE"/>
        </w:rPr>
        <w:t>:</w:t>
      </w:r>
      <w:r w:rsidRPr="00576361">
        <w:rPr>
          <w:lang w:val="es-PE" w:eastAsia="es-PE"/>
        </w:rPr>
        <w:t xml:space="preserve"> contribución sustancial a la concepción, diseño y redacción del trabajo. </w:t>
      </w:r>
    </w:p>
    <w:p w14:paraId="1C54D597" w14:textId="77777777" w:rsidR="00576361" w:rsidRPr="00576361" w:rsidRDefault="00576361" w:rsidP="00576361">
      <w:pPr>
        <w:spacing w:line="360" w:lineRule="auto"/>
        <w:ind w:hanging="1"/>
        <w:rPr>
          <w:rFonts w:ascii="Arial" w:eastAsia="Arial" w:hAnsi="Arial" w:cs="Arial"/>
          <w:lang w:val="es-PE" w:eastAsia="es-PE"/>
        </w:rPr>
      </w:pPr>
      <w:r w:rsidRPr="00576361">
        <w:rPr>
          <w:lang w:val="es-PE" w:eastAsia="es-PE"/>
        </w:rPr>
        <w:t>Todos los autores, individualmente, se hacen responsables del artículo presentado.</w:t>
      </w:r>
    </w:p>
    <w:p w14:paraId="66BAA419" w14:textId="77777777" w:rsidR="00675476" w:rsidRPr="00576361" w:rsidRDefault="00675476" w:rsidP="00391509">
      <w:pPr>
        <w:rPr>
          <w:lang w:val="es-PE"/>
        </w:rPr>
      </w:pPr>
    </w:p>
    <w:sectPr w:rsidR="00675476" w:rsidRPr="00576361" w:rsidSect="00486BFA">
      <w:headerReference w:type="default" r:id="rId31"/>
      <w:footerReference w:type="even" r:id="rId32"/>
      <w:footerReference w:type="default" r:id="rId33"/>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5C1BC" w14:textId="77777777" w:rsidR="003653FA" w:rsidRDefault="003653FA">
      <w:r>
        <w:separator/>
      </w:r>
    </w:p>
  </w:endnote>
  <w:endnote w:type="continuationSeparator" w:id="0">
    <w:p w14:paraId="1897B39E" w14:textId="77777777" w:rsidR="003653FA" w:rsidRDefault="0036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205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23883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7FFFC" w14:textId="47284750" w:rsidR="000F3690" w:rsidRPr="00AE044C" w:rsidRDefault="00576361"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2B04A810" wp14:editId="52EF7354">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11529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6F0464F3" w14:textId="77777777" w:rsidR="00675476" w:rsidRPr="00AE044C" w:rsidRDefault="003653FA" w:rsidP="00391509">
    <w:pPr>
      <w:pStyle w:val="Piedepgina"/>
      <w:ind w:right="360"/>
      <w:rPr>
        <w:sz w:val="22"/>
        <w:szCs w:val="22"/>
      </w:rPr>
    </w:pPr>
    <w:hyperlink r:id="rId1" w:history="1">
      <w:r w:rsidR="00391509" w:rsidRPr="00AE044C">
        <w:rPr>
          <w:rStyle w:val="Hipervnculo"/>
          <w:sz w:val="22"/>
          <w:szCs w:val="22"/>
        </w:rPr>
        <w:t>http://scielo.sld.cu</w:t>
      </w:r>
    </w:hyperlink>
  </w:p>
  <w:p w14:paraId="16A1A89A" w14:textId="77777777" w:rsidR="00391509" w:rsidRPr="00AE044C" w:rsidRDefault="003653F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2CDEC31" w14:textId="0707670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576361" w:rsidRPr="00576361">
      <w:rPr>
        <w:rFonts w:ascii="Verdana" w:hAnsi="Verdana"/>
        <w:noProof/>
        <w:sz w:val="18"/>
        <w:szCs w:val="18"/>
        <w:lang w:val="en-US" w:eastAsia="en-US"/>
      </w:rPr>
      <w:drawing>
        <wp:inline distT="0" distB="0" distL="0" distR="0" wp14:anchorId="6CB0451A" wp14:editId="1638404C">
          <wp:extent cx="638175" cy="15240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85953" w14:textId="77777777" w:rsidR="003653FA" w:rsidRDefault="003653FA">
      <w:r>
        <w:separator/>
      </w:r>
    </w:p>
  </w:footnote>
  <w:footnote w:type="continuationSeparator" w:id="0">
    <w:p w14:paraId="042C769F" w14:textId="77777777" w:rsidR="003653FA" w:rsidRDefault="0036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1504B" w14:textId="59459487" w:rsidR="00CC376A" w:rsidRPr="00AE044C" w:rsidRDefault="00576361"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6BAF693" wp14:editId="41D31125">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2</w:t>
    </w:r>
    <w:r w:rsidR="00493701" w:rsidRPr="00AE044C">
      <w:rPr>
        <w:sz w:val="22"/>
        <w:szCs w:val="22"/>
      </w:rPr>
      <w:t>)</w:t>
    </w:r>
    <w:r w:rsidR="00391509" w:rsidRPr="00AE044C">
      <w:rPr>
        <w:sz w:val="22"/>
        <w:szCs w:val="22"/>
      </w:rPr>
      <w:t>:</w:t>
    </w:r>
    <w:r>
      <w:rPr>
        <w:sz w:val="22"/>
        <w:szCs w:val="22"/>
      </w:rPr>
      <w:t xml:space="preserve"> e02101021</w:t>
    </w:r>
  </w:p>
  <w:p w14:paraId="15723C38" w14:textId="1ABA871B" w:rsidR="00A477DE" w:rsidRDefault="00576361">
    <w:r>
      <w:rPr>
        <w:noProof/>
      </w:rPr>
      <mc:AlternateContent>
        <mc:Choice Requires="wps">
          <w:drawing>
            <wp:anchor distT="0" distB="0" distL="114300" distR="114300" simplePos="0" relativeHeight="251657216" behindDoc="0" locked="0" layoutInCell="1" allowOverlap="1" wp14:anchorId="3D922791" wp14:editId="0B280E55">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1B3D8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1"/>
    <w:rsid w:val="000F3690"/>
    <w:rsid w:val="001221D1"/>
    <w:rsid w:val="00180CE9"/>
    <w:rsid w:val="00230DD5"/>
    <w:rsid w:val="003653FA"/>
    <w:rsid w:val="00380D64"/>
    <w:rsid w:val="00391509"/>
    <w:rsid w:val="003E03D5"/>
    <w:rsid w:val="00475778"/>
    <w:rsid w:val="00486BFA"/>
    <w:rsid w:val="00493701"/>
    <w:rsid w:val="004E2065"/>
    <w:rsid w:val="005508A2"/>
    <w:rsid w:val="00566F71"/>
    <w:rsid w:val="00576361"/>
    <w:rsid w:val="005918BD"/>
    <w:rsid w:val="006173A6"/>
    <w:rsid w:val="00675476"/>
    <w:rsid w:val="007612F2"/>
    <w:rsid w:val="007C430F"/>
    <w:rsid w:val="007D614D"/>
    <w:rsid w:val="009140CA"/>
    <w:rsid w:val="00960D6A"/>
    <w:rsid w:val="009A0560"/>
    <w:rsid w:val="009B0917"/>
    <w:rsid w:val="00A23C0C"/>
    <w:rsid w:val="00A477DE"/>
    <w:rsid w:val="00A71E65"/>
    <w:rsid w:val="00AE044C"/>
    <w:rsid w:val="00B31971"/>
    <w:rsid w:val="00B4380A"/>
    <w:rsid w:val="00B66C38"/>
    <w:rsid w:val="00B66ECB"/>
    <w:rsid w:val="00BC25D5"/>
    <w:rsid w:val="00C7523A"/>
    <w:rsid w:val="00CC1B6E"/>
    <w:rsid w:val="00CC376A"/>
    <w:rsid w:val="00CC48A1"/>
    <w:rsid w:val="00CF50E0"/>
    <w:rsid w:val="00D35CA4"/>
    <w:rsid w:val="00D859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209B6"/>
  <w15:docId w15:val="{3641E273-568D-4ED9-ABA2-53147D3D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15-8741" TargetMode="External"/><Relationship Id="rId13" Type="http://schemas.openxmlformats.org/officeDocument/2006/relationships/image" Target="media/image3.gif"/><Relationship Id="rId18" Type="http://schemas.openxmlformats.org/officeDocument/2006/relationships/hyperlink" Target="https://revistas.proeditio.com/jonnpr/article/view/2060" TargetMode="External"/><Relationship Id="rId26" Type="http://schemas.openxmlformats.org/officeDocument/2006/relationships/hyperlink" Target="https://revistas.upch.edu.pe/index.php/RNP/article/view/2656" TargetMode="External"/><Relationship Id="rId3" Type="http://schemas.openxmlformats.org/officeDocument/2006/relationships/webSettings" Target="webSettings.xml"/><Relationship Id="rId21" Type="http://schemas.openxmlformats.org/officeDocument/2006/relationships/hyperlink" Target="https://rpmesp.ins.gob.pe/index.php/rpmesp/article/view/2170" TargetMode="External"/><Relationship Id="rId34" Type="http://schemas.openxmlformats.org/officeDocument/2006/relationships/fontTable" Target="fontTable.xml"/><Relationship Id="rId7" Type="http://schemas.openxmlformats.org/officeDocument/2006/relationships/hyperlink" Target="https://orcid.org/0000-0001-6942-8118" TargetMode="External"/><Relationship Id="rId12" Type="http://schemas.openxmlformats.org/officeDocument/2006/relationships/image" Target="media/image2.gif"/><Relationship Id="rId17" Type="http://schemas.openxmlformats.org/officeDocument/2006/relationships/hyperlink" Target="https://icd.who.int/es" TargetMode="External"/><Relationship Id="rId25" Type="http://schemas.openxmlformats.org/officeDocument/2006/relationships/hyperlink" Target="https://scielo.conicyt.cl/scielo.php?script=sci_arttext&amp;pid=S0717-92272016000300005&amp;lng=en&amp;nrm=iso&amp;tlng=en"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journals.lww.com/ccmjournal/Abstract/2016/07000/An_Official_Critical_Care_Societies_Collaborative.19.aspx" TargetMode="External"/><Relationship Id="rId20" Type="http://schemas.openxmlformats.org/officeDocument/2006/relationships/hyperlink" Target="https://amp.cmp.org.pe/index.php/AMP/article/view/401" TargetMode="External"/><Relationship Id="rId29" Type="http://schemas.openxmlformats.org/officeDocument/2006/relationships/hyperlink" Target="https://www.sciencedirect.com/science/article/pii/S2452301120300456?via%3Dihub" TargetMode="External"/><Relationship Id="rId1" Type="http://schemas.openxmlformats.org/officeDocument/2006/relationships/styles" Target="styles.xml"/><Relationship Id="rId6" Type="http://schemas.openxmlformats.org/officeDocument/2006/relationships/hyperlink" Target="https://orcid.org/0000-0002-1468-6395" TargetMode="External"/><Relationship Id="rId11" Type="http://schemas.openxmlformats.org/officeDocument/2006/relationships/image" Target="media/image1.gif"/><Relationship Id="rId24" Type="http://schemas.openxmlformats.org/officeDocument/2006/relationships/hyperlink" Target="https://revistasinvestigacion.unmsm.edu.pe/index.php/anales/article/view/11082"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atsjournals.org/doi/abs/10.1164/rccm.1941P1" TargetMode="External"/><Relationship Id="rId23" Type="http://schemas.openxmlformats.org/officeDocument/2006/relationships/hyperlink" Target="https://cybertesis.unmsm.edu.pe/handle/20.500.12672/4634" TargetMode="External"/><Relationship Id="rId28" Type="http://schemas.openxmlformats.org/officeDocument/2006/relationships/hyperlink" Target="https://onlinelibrary.wiley.com/doi/10.1111/tct.12386" TargetMode="External"/><Relationship Id="rId10" Type="http://schemas.openxmlformats.org/officeDocument/2006/relationships/hyperlink" Target="mailto:saavedraleveau@yahoo.com" TargetMode="External"/><Relationship Id="rId19" Type="http://schemas.openxmlformats.org/officeDocument/2006/relationships/hyperlink" Target="https://revistasinvestigacion.unmsm.edu.pe/index.php/anales/article/view/13757"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orcid.org/0000-0003-4725-6284" TargetMode="External"/><Relationship Id="rId14" Type="http://schemas.openxmlformats.org/officeDocument/2006/relationships/hyperlink" Target="https://www.elsevier.es/es-revista-farmacia-profesional-3-articulo-sindrome-desgaste-profesional-quemados-el-X021393241654669X" TargetMode="External"/><Relationship Id="rId22" Type="http://schemas.openxmlformats.org/officeDocument/2006/relationships/hyperlink" Target="https://revistas.unc.edu.ar/index.php/med/article/view/16344" TargetMode="External"/><Relationship Id="rId27" Type="http://schemas.openxmlformats.org/officeDocument/2006/relationships/hyperlink" Target="http://scielo.isciii.es/pdf/medtra/v29n4/1132-6255-medtra-29-04-330.pdf" TargetMode="External"/><Relationship Id="rId30" Type="http://schemas.openxmlformats.org/officeDocument/2006/relationships/hyperlink" Target="https://www.tandfonline.com/doi/abs/10.1080/10401334.2014.979186"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9</TotalTime>
  <Pages>11</Pages>
  <Words>3428</Words>
  <Characters>18857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22241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2021-04-17T16:51:00Z</cp:lastPrinted>
  <dcterms:created xsi:type="dcterms:W3CDTF">2021-04-17T16:46:00Z</dcterms:created>
  <dcterms:modified xsi:type="dcterms:W3CDTF">2021-04-17T16:58:00Z</dcterms:modified>
</cp:coreProperties>
</file>