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824E" w14:textId="77777777" w:rsidR="001E51F7" w:rsidRPr="00B71E0A" w:rsidRDefault="001E51F7" w:rsidP="001E51F7">
      <w:pPr>
        <w:spacing w:after="0" w:line="360" w:lineRule="auto"/>
        <w:ind w:firstLine="708"/>
        <w:jc w:val="right"/>
        <w:rPr>
          <w:rFonts w:ascii="Times New Roman" w:hAnsi="Times New Roman"/>
          <w:bCs/>
          <w:sz w:val="20"/>
          <w:szCs w:val="20"/>
        </w:rPr>
      </w:pPr>
      <w:r w:rsidRPr="00B71E0A">
        <w:rPr>
          <w:rFonts w:ascii="Times New Roman" w:hAnsi="Times New Roman"/>
          <w:bCs/>
          <w:sz w:val="20"/>
          <w:szCs w:val="20"/>
        </w:rPr>
        <w:t>Presentación de caso</w:t>
      </w:r>
    </w:p>
    <w:p w14:paraId="7F47A29B" w14:textId="77777777" w:rsidR="001E51F7" w:rsidRPr="006E3974" w:rsidRDefault="001E51F7" w:rsidP="001E51F7">
      <w:pPr>
        <w:spacing w:after="0" w:line="360" w:lineRule="auto"/>
        <w:jc w:val="both"/>
        <w:rPr>
          <w:rFonts w:ascii="Times New Roman" w:hAnsi="Times New Roman"/>
          <w:b/>
          <w:sz w:val="24"/>
          <w:szCs w:val="24"/>
        </w:rPr>
      </w:pPr>
    </w:p>
    <w:p w14:paraId="7A35FDF4" w14:textId="77777777" w:rsidR="001E51F7" w:rsidRPr="006E418F" w:rsidRDefault="001E51F7" w:rsidP="001E51F7">
      <w:pPr>
        <w:spacing w:after="0" w:line="360" w:lineRule="auto"/>
        <w:jc w:val="center"/>
        <w:rPr>
          <w:rFonts w:ascii="Times New Roman" w:hAnsi="Times New Roman"/>
          <w:b/>
          <w:sz w:val="28"/>
          <w:szCs w:val="28"/>
        </w:rPr>
      </w:pPr>
      <w:r w:rsidRPr="006E418F">
        <w:rPr>
          <w:rFonts w:ascii="Times New Roman" w:hAnsi="Times New Roman"/>
          <w:b/>
          <w:sz w:val="28"/>
          <w:szCs w:val="28"/>
        </w:rPr>
        <w:t>Demencia frontotemporal desde una mirada neuropsicológica</w:t>
      </w:r>
    </w:p>
    <w:p w14:paraId="045C7E58" w14:textId="77777777" w:rsidR="001E51F7" w:rsidRPr="006E418F" w:rsidRDefault="001E51F7" w:rsidP="001E51F7">
      <w:pPr>
        <w:spacing w:after="0" w:line="360" w:lineRule="auto"/>
        <w:jc w:val="center"/>
        <w:rPr>
          <w:rFonts w:ascii="Times New Roman" w:hAnsi="Times New Roman"/>
          <w:sz w:val="28"/>
          <w:szCs w:val="28"/>
          <w:lang w:val="en-US"/>
        </w:rPr>
      </w:pPr>
      <w:r w:rsidRPr="006E418F">
        <w:rPr>
          <w:rFonts w:ascii="Times New Roman" w:hAnsi="Times New Roman"/>
          <w:sz w:val="28"/>
          <w:szCs w:val="28"/>
          <w:lang w:val="en-US"/>
        </w:rPr>
        <w:t>Frontotemporal dementia from a neuropsychological point of view</w:t>
      </w:r>
    </w:p>
    <w:p w14:paraId="6B679D74" w14:textId="77777777" w:rsidR="001E51F7" w:rsidRDefault="001E51F7" w:rsidP="001E51F7">
      <w:pPr>
        <w:spacing w:after="0" w:line="360" w:lineRule="auto"/>
        <w:jc w:val="both"/>
        <w:rPr>
          <w:rFonts w:ascii="Times New Roman" w:hAnsi="Times New Roman"/>
          <w:bCs/>
          <w:sz w:val="24"/>
          <w:szCs w:val="24"/>
          <w:lang w:val="en-US"/>
        </w:rPr>
      </w:pPr>
    </w:p>
    <w:p w14:paraId="011060C8" w14:textId="1529BCEB" w:rsidR="001E51F7" w:rsidRPr="0093794F" w:rsidRDefault="001E51F7" w:rsidP="001E51F7">
      <w:pPr>
        <w:spacing w:after="0" w:line="360" w:lineRule="auto"/>
        <w:jc w:val="both"/>
        <w:rPr>
          <w:rFonts w:ascii="Times New Roman" w:hAnsi="Times New Roman"/>
          <w:bCs/>
          <w:sz w:val="24"/>
          <w:szCs w:val="24"/>
        </w:rPr>
      </w:pPr>
      <w:r w:rsidRPr="0093794F">
        <w:rPr>
          <w:rFonts w:ascii="Times New Roman" w:hAnsi="Times New Roman"/>
          <w:bCs/>
          <w:sz w:val="24"/>
          <w:szCs w:val="24"/>
        </w:rPr>
        <w:t xml:space="preserve">Betsy </w:t>
      </w:r>
      <w:r w:rsidR="00A064DF" w:rsidRPr="0093794F">
        <w:rPr>
          <w:rFonts w:ascii="Times New Roman" w:hAnsi="Times New Roman"/>
          <w:bCs/>
          <w:sz w:val="24"/>
          <w:szCs w:val="24"/>
        </w:rPr>
        <w:t>Álvarez</w:t>
      </w:r>
      <w:r w:rsidRPr="0093794F">
        <w:rPr>
          <w:rFonts w:ascii="Times New Roman" w:hAnsi="Times New Roman"/>
          <w:bCs/>
          <w:sz w:val="24"/>
          <w:szCs w:val="24"/>
        </w:rPr>
        <w:t xml:space="preserve"> </w:t>
      </w:r>
      <w:r w:rsidRPr="006A3878">
        <w:rPr>
          <w:rFonts w:ascii="Times New Roman" w:hAnsi="Times New Roman"/>
          <w:bCs/>
          <w:sz w:val="24"/>
          <w:szCs w:val="24"/>
        </w:rPr>
        <w:t>Vázquez</w:t>
      </w:r>
      <w:r w:rsidRPr="006A3878">
        <w:rPr>
          <w:rFonts w:ascii="Times New Roman" w:hAnsi="Times New Roman"/>
          <w:bCs/>
          <w:sz w:val="24"/>
          <w:szCs w:val="24"/>
          <w:vertAlign w:val="superscript"/>
        </w:rPr>
        <w:t>1</w:t>
      </w:r>
      <w:r w:rsidRPr="0093794F">
        <w:rPr>
          <w:rFonts w:ascii="Times New Roman" w:hAnsi="Times New Roman"/>
          <w:bCs/>
          <w:sz w:val="24"/>
          <w:szCs w:val="24"/>
        </w:rPr>
        <w:t xml:space="preserve">* </w:t>
      </w:r>
      <w:hyperlink r:id="rId6" w:history="1">
        <w:r w:rsidRPr="0093794F">
          <w:rPr>
            <w:rStyle w:val="Hipervnculo"/>
            <w:rFonts w:ascii="Times New Roman" w:hAnsi="Times New Roman"/>
            <w:bCs/>
            <w:sz w:val="24"/>
            <w:szCs w:val="24"/>
          </w:rPr>
          <w:t>https://orcid.org/0000-0002-8738-2018</w:t>
        </w:r>
      </w:hyperlink>
      <w:r w:rsidRPr="0093794F">
        <w:rPr>
          <w:rFonts w:ascii="Times New Roman" w:hAnsi="Times New Roman"/>
          <w:bCs/>
          <w:sz w:val="24"/>
          <w:szCs w:val="24"/>
        </w:rPr>
        <w:t xml:space="preserve"> </w:t>
      </w:r>
    </w:p>
    <w:p w14:paraId="6C5D9306" w14:textId="77777777" w:rsidR="001E51F7" w:rsidRPr="0093794F" w:rsidRDefault="001E51F7" w:rsidP="001E51F7">
      <w:pPr>
        <w:spacing w:after="0" w:line="360" w:lineRule="auto"/>
        <w:jc w:val="both"/>
        <w:rPr>
          <w:rFonts w:ascii="Times New Roman" w:hAnsi="Times New Roman"/>
          <w:bCs/>
          <w:sz w:val="24"/>
          <w:szCs w:val="24"/>
        </w:rPr>
      </w:pPr>
      <w:r w:rsidRPr="0093794F">
        <w:rPr>
          <w:rFonts w:ascii="Times New Roman" w:hAnsi="Times New Roman"/>
          <w:bCs/>
          <w:sz w:val="24"/>
          <w:szCs w:val="24"/>
        </w:rPr>
        <w:t>Pascual de Jesús López Escudero</w:t>
      </w:r>
      <w:r w:rsidRPr="0093794F">
        <w:rPr>
          <w:rFonts w:ascii="Times New Roman" w:hAnsi="Times New Roman"/>
          <w:bCs/>
          <w:sz w:val="24"/>
          <w:szCs w:val="24"/>
          <w:vertAlign w:val="superscript"/>
        </w:rPr>
        <w:t xml:space="preserve">1 </w:t>
      </w:r>
      <w:hyperlink r:id="rId7" w:history="1">
        <w:r w:rsidRPr="0093794F">
          <w:rPr>
            <w:rStyle w:val="Hipervnculo"/>
            <w:rFonts w:ascii="Times New Roman" w:hAnsi="Times New Roman"/>
            <w:bCs/>
            <w:sz w:val="24"/>
            <w:szCs w:val="24"/>
          </w:rPr>
          <w:t>https://orcid.org/0000-0002-1054-4859</w:t>
        </w:r>
      </w:hyperlink>
      <w:r w:rsidRPr="0093794F">
        <w:rPr>
          <w:rFonts w:ascii="Times New Roman" w:hAnsi="Times New Roman"/>
          <w:bCs/>
          <w:sz w:val="24"/>
          <w:szCs w:val="24"/>
        </w:rPr>
        <w:t xml:space="preserve"> </w:t>
      </w:r>
    </w:p>
    <w:p w14:paraId="5CDE3A20" w14:textId="77777777" w:rsidR="001E51F7" w:rsidRPr="0093794F" w:rsidRDefault="001E51F7" w:rsidP="001E51F7">
      <w:pPr>
        <w:spacing w:after="0" w:line="360" w:lineRule="auto"/>
        <w:jc w:val="both"/>
        <w:rPr>
          <w:rFonts w:ascii="Times New Roman" w:hAnsi="Times New Roman"/>
          <w:bCs/>
          <w:sz w:val="24"/>
          <w:szCs w:val="24"/>
        </w:rPr>
      </w:pPr>
      <w:r w:rsidRPr="0093794F">
        <w:rPr>
          <w:rFonts w:ascii="Times New Roman" w:hAnsi="Times New Roman"/>
          <w:bCs/>
          <w:sz w:val="24"/>
          <w:szCs w:val="24"/>
        </w:rPr>
        <w:t>Juan González Gacel</w:t>
      </w:r>
      <w:r w:rsidRPr="0093794F">
        <w:rPr>
          <w:rFonts w:ascii="Times New Roman" w:hAnsi="Times New Roman"/>
          <w:bCs/>
          <w:sz w:val="24"/>
          <w:szCs w:val="24"/>
          <w:vertAlign w:val="superscript"/>
        </w:rPr>
        <w:t>1</w:t>
      </w:r>
      <w:r w:rsidRPr="0093794F">
        <w:rPr>
          <w:rFonts w:ascii="Times New Roman" w:hAnsi="Times New Roman"/>
          <w:bCs/>
          <w:sz w:val="24"/>
          <w:szCs w:val="24"/>
        </w:rPr>
        <w:t xml:space="preserve"> </w:t>
      </w:r>
      <w:hyperlink r:id="rId8" w:history="1">
        <w:r w:rsidRPr="0093794F">
          <w:rPr>
            <w:rStyle w:val="Hipervnculo"/>
            <w:rFonts w:ascii="Times New Roman" w:hAnsi="Times New Roman"/>
            <w:bCs/>
            <w:sz w:val="24"/>
            <w:szCs w:val="24"/>
          </w:rPr>
          <w:t>https://orcid.org/0000-0001-9654-9177</w:t>
        </w:r>
      </w:hyperlink>
      <w:r w:rsidRPr="0093794F">
        <w:rPr>
          <w:rFonts w:ascii="Times New Roman" w:hAnsi="Times New Roman"/>
          <w:bCs/>
          <w:sz w:val="24"/>
          <w:szCs w:val="24"/>
        </w:rPr>
        <w:t xml:space="preserve"> </w:t>
      </w:r>
    </w:p>
    <w:p w14:paraId="5468C70C" w14:textId="77777777" w:rsidR="001E51F7" w:rsidRPr="0093794F" w:rsidRDefault="001E51F7" w:rsidP="001E51F7">
      <w:pPr>
        <w:spacing w:after="0" w:line="360" w:lineRule="auto"/>
        <w:jc w:val="both"/>
        <w:rPr>
          <w:rFonts w:ascii="Times New Roman" w:hAnsi="Times New Roman"/>
          <w:bCs/>
          <w:sz w:val="24"/>
          <w:szCs w:val="24"/>
        </w:rPr>
      </w:pPr>
    </w:p>
    <w:p w14:paraId="52A90700" w14:textId="0F8FEE17" w:rsidR="001E51F7" w:rsidRPr="0093794F" w:rsidRDefault="001E51F7" w:rsidP="001E51F7">
      <w:pPr>
        <w:spacing w:after="0" w:line="360" w:lineRule="auto"/>
        <w:jc w:val="both"/>
        <w:rPr>
          <w:rFonts w:ascii="Times New Roman" w:hAnsi="Times New Roman"/>
          <w:bCs/>
          <w:sz w:val="24"/>
          <w:szCs w:val="24"/>
        </w:rPr>
      </w:pPr>
      <w:r w:rsidRPr="0093794F">
        <w:rPr>
          <w:rFonts w:ascii="Times New Roman" w:hAnsi="Times New Roman"/>
          <w:bCs/>
          <w:sz w:val="24"/>
          <w:szCs w:val="24"/>
          <w:vertAlign w:val="superscript"/>
        </w:rPr>
        <w:t>1</w:t>
      </w:r>
      <w:r w:rsidRPr="0093794F">
        <w:rPr>
          <w:rFonts w:ascii="Times New Roman" w:hAnsi="Times New Roman"/>
          <w:bCs/>
          <w:sz w:val="24"/>
          <w:szCs w:val="24"/>
        </w:rPr>
        <w:t xml:space="preserve">Hospital </w:t>
      </w:r>
      <w:r w:rsidR="00E4181B">
        <w:rPr>
          <w:rFonts w:ascii="Times New Roman" w:hAnsi="Times New Roman"/>
          <w:bCs/>
          <w:sz w:val="24"/>
          <w:szCs w:val="24"/>
        </w:rPr>
        <w:t>“</w:t>
      </w:r>
      <w:r w:rsidRPr="0093794F">
        <w:rPr>
          <w:rFonts w:ascii="Times New Roman" w:hAnsi="Times New Roman"/>
          <w:bCs/>
          <w:sz w:val="24"/>
          <w:szCs w:val="24"/>
        </w:rPr>
        <w:t xml:space="preserve">Celia </w:t>
      </w:r>
      <w:r w:rsidRPr="006A3878">
        <w:rPr>
          <w:rFonts w:ascii="Times New Roman" w:hAnsi="Times New Roman"/>
          <w:bCs/>
          <w:sz w:val="24"/>
          <w:szCs w:val="24"/>
        </w:rPr>
        <w:t>Sánchez</w:t>
      </w:r>
      <w:r w:rsidRPr="0093794F">
        <w:rPr>
          <w:rFonts w:ascii="Times New Roman" w:hAnsi="Times New Roman"/>
          <w:bCs/>
          <w:sz w:val="24"/>
          <w:szCs w:val="24"/>
        </w:rPr>
        <w:t xml:space="preserve"> </w:t>
      </w:r>
      <w:proofErr w:type="spellStart"/>
      <w:r w:rsidRPr="0093794F">
        <w:rPr>
          <w:rFonts w:ascii="Times New Roman" w:hAnsi="Times New Roman"/>
          <w:bCs/>
          <w:sz w:val="24"/>
          <w:szCs w:val="24"/>
        </w:rPr>
        <w:t>Manduley</w:t>
      </w:r>
      <w:proofErr w:type="spellEnd"/>
      <w:r w:rsidR="00E4181B">
        <w:rPr>
          <w:rFonts w:ascii="Times New Roman" w:hAnsi="Times New Roman"/>
          <w:bCs/>
          <w:sz w:val="24"/>
          <w:szCs w:val="24"/>
        </w:rPr>
        <w:t>”</w:t>
      </w:r>
      <w:r w:rsidRPr="0093794F">
        <w:rPr>
          <w:rFonts w:ascii="Times New Roman" w:hAnsi="Times New Roman"/>
          <w:bCs/>
          <w:sz w:val="24"/>
          <w:szCs w:val="24"/>
        </w:rPr>
        <w:t>. Manzanillo, Granma, Cuba.</w:t>
      </w:r>
    </w:p>
    <w:p w14:paraId="397E7D91" w14:textId="77777777" w:rsidR="001E51F7" w:rsidRDefault="001E51F7" w:rsidP="001E51F7">
      <w:pPr>
        <w:spacing w:after="0" w:line="360" w:lineRule="auto"/>
        <w:jc w:val="both"/>
        <w:rPr>
          <w:rFonts w:ascii="Times New Roman" w:hAnsi="Times New Roman"/>
          <w:bCs/>
          <w:sz w:val="24"/>
          <w:szCs w:val="24"/>
        </w:rPr>
      </w:pPr>
    </w:p>
    <w:p w14:paraId="44A3F31A" w14:textId="77777777" w:rsidR="001E51F7" w:rsidRPr="0093794F" w:rsidRDefault="001E51F7" w:rsidP="001E51F7">
      <w:pPr>
        <w:spacing w:after="0" w:line="360" w:lineRule="auto"/>
        <w:jc w:val="both"/>
        <w:rPr>
          <w:rFonts w:ascii="Times New Roman" w:hAnsi="Times New Roman"/>
          <w:bCs/>
          <w:sz w:val="24"/>
          <w:szCs w:val="24"/>
        </w:rPr>
      </w:pPr>
      <w:r w:rsidRPr="0093794F">
        <w:rPr>
          <w:rFonts w:ascii="Times New Roman" w:hAnsi="Times New Roman"/>
          <w:bCs/>
          <w:sz w:val="24"/>
          <w:szCs w:val="24"/>
        </w:rPr>
        <w:t xml:space="preserve">*Autor para la correspondencia. Correo electrónico: </w:t>
      </w:r>
      <w:hyperlink r:id="rId9" w:history="1">
        <w:r w:rsidRPr="0093794F">
          <w:rPr>
            <w:rStyle w:val="Hipervnculo"/>
            <w:rFonts w:ascii="Times New Roman" w:hAnsi="Times New Roman"/>
            <w:bCs/>
            <w:sz w:val="24"/>
            <w:szCs w:val="24"/>
          </w:rPr>
          <w:t>balvarezv@infomed.sld.cu</w:t>
        </w:r>
      </w:hyperlink>
      <w:r w:rsidRPr="0093794F">
        <w:rPr>
          <w:rFonts w:ascii="Times New Roman" w:hAnsi="Times New Roman"/>
          <w:bCs/>
          <w:sz w:val="24"/>
          <w:szCs w:val="24"/>
        </w:rPr>
        <w:t xml:space="preserve"> </w:t>
      </w:r>
    </w:p>
    <w:p w14:paraId="60B1F499" w14:textId="77777777" w:rsidR="001E51F7" w:rsidRPr="0093794F" w:rsidRDefault="001E51F7" w:rsidP="001E51F7">
      <w:pPr>
        <w:spacing w:after="0" w:line="360" w:lineRule="auto"/>
        <w:jc w:val="both"/>
        <w:rPr>
          <w:rFonts w:ascii="Times New Roman" w:hAnsi="Times New Roman"/>
          <w:b/>
          <w:sz w:val="24"/>
          <w:szCs w:val="24"/>
        </w:rPr>
      </w:pPr>
    </w:p>
    <w:p w14:paraId="26018EB7" w14:textId="77777777" w:rsidR="001E51F7" w:rsidRPr="006E3974" w:rsidRDefault="001E51F7" w:rsidP="001E51F7">
      <w:pPr>
        <w:spacing w:after="0" w:line="360" w:lineRule="auto"/>
        <w:jc w:val="both"/>
        <w:rPr>
          <w:rFonts w:ascii="Times New Roman" w:hAnsi="Times New Roman"/>
          <w:b/>
          <w:sz w:val="24"/>
          <w:szCs w:val="24"/>
        </w:rPr>
      </w:pPr>
      <w:r w:rsidRPr="006E3974">
        <w:rPr>
          <w:rFonts w:ascii="Times New Roman" w:hAnsi="Times New Roman"/>
          <w:b/>
          <w:sz w:val="24"/>
          <w:szCs w:val="24"/>
        </w:rPr>
        <w:t>RESUMEN</w:t>
      </w:r>
    </w:p>
    <w:p w14:paraId="24CCC2FF"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b/>
          <w:sz w:val="24"/>
          <w:szCs w:val="24"/>
        </w:rPr>
        <w:t>Introducción</w:t>
      </w:r>
      <w:r w:rsidRPr="006E3974">
        <w:rPr>
          <w:rFonts w:ascii="Times New Roman" w:hAnsi="Times New Roman"/>
          <w:sz w:val="24"/>
          <w:szCs w:val="24"/>
        </w:rPr>
        <w:t>: La riqueza de las manifestaciones neuropsicológicas de la demencia frontotemporal</w:t>
      </w:r>
      <w:r>
        <w:rPr>
          <w:rFonts w:ascii="Times New Roman" w:hAnsi="Times New Roman"/>
          <w:sz w:val="24"/>
          <w:szCs w:val="24"/>
        </w:rPr>
        <w:t>,</w:t>
      </w:r>
      <w:r w:rsidRPr="006E3974">
        <w:rPr>
          <w:rFonts w:ascii="Times New Roman" w:hAnsi="Times New Roman"/>
          <w:sz w:val="24"/>
          <w:szCs w:val="24"/>
        </w:rPr>
        <w:t xml:space="preserve"> ha permitido la identificación de diferentes variantes de la enfermedad, sin embargo, existen pacientes en los que se entrelazan las características clínicas de más de una variante, lo que ha llevado a cuestionar lo relativo de las clasificaciones vigentes.</w:t>
      </w:r>
    </w:p>
    <w:p w14:paraId="5E61732C" w14:textId="77777777" w:rsidR="001E51F7" w:rsidRPr="006E3974" w:rsidRDefault="001E51F7" w:rsidP="001E51F7">
      <w:pPr>
        <w:spacing w:after="0" w:line="360" w:lineRule="auto"/>
        <w:jc w:val="both"/>
        <w:rPr>
          <w:rFonts w:ascii="Times New Roman" w:hAnsi="Times New Roman"/>
          <w:b/>
          <w:sz w:val="24"/>
          <w:szCs w:val="24"/>
        </w:rPr>
      </w:pPr>
      <w:r w:rsidRPr="006E3974">
        <w:rPr>
          <w:rFonts w:ascii="Times New Roman" w:hAnsi="Times New Roman"/>
          <w:b/>
          <w:sz w:val="24"/>
          <w:szCs w:val="24"/>
        </w:rPr>
        <w:t xml:space="preserve">Objetivo: </w:t>
      </w:r>
      <w:r w:rsidRPr="006E3974">
        <w:rPr>
          <w:rFonts w:ascii="Times New Roman" w:hAnsi="Times New Roman"/>
          <w:sz w:val="24"/>
          <w:szCs w:val="24"/>
        </w:rPr>
        <w:t>Caracterizar el funcionamiento cognitivo de un paciente donde concomitan alteraciones conductuales y del lenguaje, típicas de la demencia frontotemporal.</w:t>
      </w:r>
    </w:p>
    <w:p w14:paraId="5B8C4436" w14:textId="1CB6270E"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b/>
          <w:sz w:val="24"/>
          <w:szCs w:val="24"/>
        </w:rPr>
        <w:t>Caso clínico</w:t>
      </w:r>
      <w:r w:rsidRPr="006E3974">
        <w:rPr>
          <w:rFonts w:ascii="Times New Roman" w:hAnsi="Times New Roman"/>
          <w:sz w:val="24"/>
          <w:szCs w:val="24"/>
        </w:rPr>
        <w:t xml:space="preserve">: </w:t>
      </w:r>
      <w:r w:rsidR="00A370DC">
        <w:rPr>
          <w:rFonts w:ascii="Times New Roman" w:hAnsi="Times New Roman"/>
          <w:sz w:val="24"/>
          <w:szCs w:val="24"/>
        </w:rPr>
        <w:t>Mujer</w:t>
      </w:r>
      <w:r w:rsidRPr="006E3974">
        <w:rPr>
          <w:rFonts w:ascii="Times New Roman" w:hAnsi="Times New Roman"/>
          <w:sz w:val="24"/>
          <w:szCs w:val="24"/>
        </w:rPr>
        <w:t xml:space="preserve"> diestra, de 50 años de edad, con cambios conductuales marcados, a los cuales, de forma progresiva, se sumaron alteraciones del lenguaje, en un periodo de evolución de aproximadamente un año y seis meses. Por imágenes de tomografía axial computarizada, se confirma atrofia cortical a predominio frontal. Se emplearon para la evaluación la batería neuropsicológica breve NEUROPSI, la escala </w:t>
      </w:r>
      <w:proofErr w:type="spellStart"/>
      <w:r w:rsidRPr="006E3974">
        <w:rPr>
          <w:rFonts w:ascii="Times New Roman" w:hAnsi="Times New Roman"/>
          <w:sz w:val="24"/>
          <w:szCs w:val="24"/>
        </w:rPr>
        <w:t>Hasegawa</w:t>
      </w:r>
      <w:proofErr w:type="spellEnd"/>
      <w:r w:rsidRPr="006E3974">
        <w:rPr>
          <w:rFonts w:ascii="Times New Roman" w:hAnsi="Times New Roman"/>
          <w:sz w:val="24"/>
          <w:szCs w:val="24"/>
        </w:rPr>
        <w:t xml:space="preserve"> y la batería de evaluación frontal de </w:t>
      </w:r>
      <w:proofErr w:type="spellStart"/>
      <w:r w:rsidRPr="006E3974">
        <w:rPr>
          <w:rFonts w:ascii="Times New Roman" w:hAnsi="Times New Roman"/>
          <w:sz w:val="24"/>
          <w:szCs w:val="24"/>
        </w:rPr>
        <w:t>Litvan</w:t>
      </w:r>
      <w:proofErr w:type="spellEnd"/>
      <w:r w:rsidRPr="006E3974">
        <w:rPr>
          <w:rFonts w:ascii="Times New Roman" w:hAnsi="Times New Roman"/>
          <w:sz w:val="24"/>
          <w:szCs w:val="24"/>
        </w:rPr>
        <w:t xml:space="preserve">; se constata predominio de alteraciones en el lenguaje impresivo y expresivo, las funciones ejecutivas y en la memoria verbal.  </w:t>
      </w:r>
    </w:p>
    <w:p w14:paraId="2F21B4AB" w14:textId="77777777" w:rsidR="001E51F7" w:rsidRPr="006E3974" w:rsidRDefault="001E51F7" w:rsidP="001E51F7">
      <w:pPr>
        <w:tabs>
          <w:tab w:val="left" w:pos="1549"/>
        </w:tabs>
        <w:spacing w:after="0" w:line="360" w:lineRule="auto"/>
        <w:ind w:right="-285"/>
        <w:jc w:val="both"/>
        <w:rPr>
          <w:rFonts w:ascii="Times New Roman" w:hAnsi="Times New Roman"/>
          <w:sz w:val="24"/>
          <w:szCs w:val="24"/>
        </w:rPr>
      </w:pPr>
      <w:r w:rsidRPr="006E3974">
        <w:rPr>
          <w:rFonts w:ascii="Times New Roman" w:hAnsi="Times New Roman"/>
          <w:b/>
          <w:sz w:val="24"/>
          <w:szCs w:val="24"/>
        </w:rPr>
        <w:t>Conclusiones</w:t>
      </w:r>
      <w:r w:rsidRPr="006E3974">
        <w:rPr>
          <w:rFonts w:ascii="Times New Roman" w:hAnsi="Times New Roman"/>
          <w:sz w:val="24"/>
          <w:szCs w:val="24"/>
        </w:rPr>
        <w:t>: Las alteraciones detectadas, confirman la coexistencia de manifestaciones de la variante conductual (con tendencia a la desinhibición) y la variante semántica de la demencia frontotemporal.</w:t>
      </w:r>
    </w:p>
    <w:p w14:paraId="3B1CD0EC" w14:textId="77777777" w:rsidR="001E51F7" w:rsidRPr="006E3974" w:rsidRDefault="001E51F7" w:rsidP="001E51F7">
      <w:pPr>
        <w:spacing w:after="0" w:line="360" w:lineRule="auto"/>
        <w:jc w:val="both"/>
        <w:rPr>
          <w:rFonts w:ascii="Times New Roman" w:hAnsi="Times New Roman"/>
          <w:b/>
          <w:sz w:val="24"/>
          <w:szCs w:val="24"/>
        </w:rPr>
      </w:pPr>
      <w:r w:rsidRPr="006E3974">
        <w:rPr>
          <w:rFonts w:ascii="Times New Roman" w:hAnsi="Times New Roman"/>
          <w:b/>
          <w:sz w:val="24"/>
          <w:szCs w:val="24"/>
        </w:rPr>
        <w:t>Palabras clave</w:t>
      </w:r>
      <w:r w:rsidRPr="006E3974">
        <w:rPr>
          <w:rFonts w:ascii="Times New Roman" w:hAnsi="Times New Roman"/>
          <w:sz w:val="24"/>
          <w:szCs w:val="24"/>
        </w:rPr>
        <w:t>: demencia; demencia frontotemporal; evaluación neuropsicológica.</w:t>
      </w:r>
    </w:p>
    <w:p w14:paraId="5B87CE8A" w14:textId="77777777" w:rsidR="001E51F7" w:rsidRPr="006E3974" w:rsidRDefault="001E51F7" w:rsidP="001E51F7">
      <w:pPr>
        <w:spacing w:after="0" w:line="360" w:lineRule="auto"/>
        <w:jc w:val="both"/>
        <w:rPr>
          <w:rFonts w:ascii="Times New Roman" w:hAnsi="Times New Roman"/>
          <w:b/>
          <w:sz w:val="24"/>
          <w:szCs w:val="24"/>
          <w:lang w:val="en-US"/>
        </w:rPr>
      </w:pPr>
      <w:r w:rsidRPr="006E3974">
        <w:rPr>
          <w:rFonts w:ascii="Times New Roman" w:hAnsi="Times New Roman"/>
          <w:b/>
          <w:sz w:val="24"/>
          <w:szCs w:val="24"/>
          <w:lang w:val="en-US"/>
        </w:rPr>
        <w:lastRenderedPageBreak/>
        <w:t>ABSTRACT</w:t>
      </w:r>
    </w:p>
    <w:p w14:paraId="040B780D" w14:textId="4709C5EF" w:rsidR="001E51F7" w:rsidRPr="006E3974" w:rsidRDefault="001E51F7" w:rsidP="001E51F7">
      <w:pPr>
        <w:spacing w:after="0" w:line="360" w:lineRule="auto"/>
        <w:jc w:val="both"/>
        <w:rPr>
          <w:rFonts w:ascii="Times New Roman" w:hAnsi="Times New Roman"/>
          <w:sz w:val="24"/>
          <w:szCs w:val="24"/>
          <w:lang w:val="en-US"/>
        </w:rPr>
      </w:pPr>
      <w:r w:rsidRPr="006E3974">
        <w:rPr>
          <w:rFonts w:ascii="Times New Roman" w:hAnsi="Times New Roman"/>
          <w:b/>
          <w:sz w:val="24"/>
          <w:szCs w:val="24"/>
          <w:lang w:val="en-US"/>
        </w:rPr>
        <w:t>Introduction:</w:t>
      </w:r>
      <w:r w:rsidRPr="006E3974">
        <w:rPr>
          <w:rFonts w:ascii="Times New Roman" w:hAnsi="Times New Roman"/>
          <w:sz w:val="24"/>
          <w:szCs w:val="24"/>
          <w:lang w:val="en-US"/>
        </w:rPr>
        <w:t xml:space="preserve"> The richness of the neuropsychological manifestations of frontotemporal dementia has allowed the identification of different variants of the disease. However, there are patients in whom the clinical characteristics of more than one variant are intertwined</w:t>
      </w:r>
      <w:r w:rsidR="006A61B8">
        <w:rPr>
          <w:rFonts w:ascii="Times New Roman" w:hAnsi="Times New Roman"/>
          <w:sz w:val="24"/>
          <w:szCs w:val="24"/>
          <w:lang w:val="en-US"/>
        </w:rPr>
        <w:t xml:space="preserve">, </w:t>
      </w:r>
      <w:r w:rsidR="006A61B8" w:rsidRPr="006A61B8">
        <w:rPr>
          <w:rFonts w:ascii="Times New Roman" w:hAnsi="Times New Roman"/>
          <w:sz w:val="24"/>
          <w:szCs w:val="24"/>
          <w:lang w:val="en-US"/>
        </w:rPr>
        <w:t>which has led to question the current classifications.</w:t>
      </w:r>
    </w:p>
    <w:p w14:paraId="47093E20" w14:textId="77777777" w:rsidR="001E51F7" w:rsidRPr="006E3974" w:rsidRDefault="001E51F7" w:rsidP="001E51F7">
      <w:pPr>
        <w:spacing w:after="0" w:line="360" w:lineRule="auto"/>
        <w:jc w:val="both"/>
        <w:rPr>
          <w:rFonts w:ascii="Times New Roman" w:hAnsi="Times New Roman"/>
          <w:color w:val="000000"/>
          <w:sz w:val="24"/>
          <w:szCs w:val="24"/>
          <w:lang w:val="en-US"/>
        </w:rPr>
      </w:pPr>
      <w:r w:rsidRPr="006E3974">
        <w:rPr>
          <w:rFonts w:ascii="Times New Roman" w:hAnsi="Times New Roman"/>
          <w:b/>
          <w:color w:val="000000"/>
          <w:sz w:val="24"/>
          <w:szCs w:val="24"/>
          <w:lang w:val="en-US"/>
        </w:rPr>
        <w:t>Objective:</w:t>
      </w:r>
      <w:r w:rsidRPr="006E3974">
        <w:rPr>
          <w:rFonts w:ascii="Times New Roman" w:hAnsi="Times New Roman"/>
          <w:color w:val="000000"/>
          <w:sz w:val="24"/>
          <w:szCs w:val="24"/>
          <w:lang w:val="en-US"/>
        </w:rPr>
        <w:t xml:space="preserve"> To characterize the cognitive functioning of a patient with concomitant behavioral and language disorders, typical of frontotemporal dementia.</w:t>
      </w:r>
    </w:p>
    <w:p w14:paraId="48A11C54" w14:textId="619B2ACF" w:rsidR="001E51F7" w:rsidRPr="006E3974" w:rsidRDefault="001E51F7" w:rsidP="001E51F7">
      <w:pPr>
        <w:spacing w:after="0" w:line="360" w:lineRule="auto"/>
        <w:jc w:val="both"/>
        <w:rPr>
          <w:rFonts w:ascii="Times New Roman" w:hAnsi="Times New Roman"/>
          <w:sz w:val="24"/>
          <w:szCs w:val="24"/>
          <w:lang w:val="en-US"/>
        </w:rPr>
      </w:pPr>
      <w:r w:rsidRPr="006E3974">
        <w:rPr>
          <w:rFonts w:ascii="Times New Roman" w:hAnsi="Times New Roman"/>
          <w:b/>
          <w:sz w:val="24"/>
          <w:szCs w:val="24"/>
          <w:lang w:val="en-US"/>
        </w:rPr>
        <w:t>Case presentation:</w:t>
      </w:r>
      <w:r w:rsidRPr="006E3974">
        <w:rPr>
          <w:rFonts w:ascii="Times New Roman" w:hAnsi="Times New Roman"/>
          <w:sz w:val="24"/>
          <w:szCs w:val="24"/>
          <w:lang w:val="en-US"/>
        </w:rPr>
        <w:t xml:space="preserve"> </w:t>
      </w:r>
      <w:r w:rsidR="00A370DC">
        <w:rPr>
          <w:rFonts w:ascii="Times New Roman" w:hAnsi="Times New Roman"/>
          <w:sz w:val="24"/>
          <w:szCs w:val="24"/>
          <w:lang w:val="en-US"/>
        </w:rPr>
        <w:t>R</w:t>
      </w:r>
      <w:r w:rsidRPr="006E3974">
        <w:rPr>
          <w:rFonts w:ascii="Times New Roman" w:hAnsi="Times New Roman"/>
          <w:sz w:val="24"/>
          <w:szCs w:val="24"/>
          <w:lang w:val="en-US"/>
        </w:rPr>
        <w:t>ight-handed female, 50 years old</w:t>
      </w:r>
      <w:r w:rsidR="00F663B0">
        <w:rPr>
          <w:rFonts w:ascii="Times New Roman" w:hAnsi="Times New Roman"/>
          <w:sz w:val="24"/>
          <w:szCs w:val="24"/>
          <w:lang w:val="en-US"/>
        </w:rPr>
        <w:t>,</w:t>
      </w:r>
      <w:r w:rsidRPr="006E3974">
        <w:rPr>
          <w:rFonts w:ascii="Times New Roman" w:hAnsi="Times New Roman"/>
          <w:sz w:val="24"/>
          <w:szCs w:val="24"/>
          <w:lang w:val="en-US"/>
        </w:rPr>
        <w:t xml:space="preserve"> </w:t>
      </w:r>
      <w:r w:rsidR="00F663B0">
        <w:rPr>
          <w:rFonts w:ascii="Times New Roman" w:hAnsi="Times New Roman"/>
          <w:sz w:val="24"/>
          <w:szCs w:val="24"/>
          <w:lang w:val="en-US"/>
        </w:rPr>
        <w:t>a</w:t>
      </w:r>
      <w:r w:rsidRPr="006E3974">
        <w:rPr>
          <w:rFonts w:ascii="Times New Roman" w:hAnsi="Times New Roman"/>
          <w:sz w:val="24"/>
          <w:szCs w:val="24"/>
          <w:lang w:val="en-US"/>
        </w:rPr>
        <w:t xml:space="preserve">ffected by marked behavioral changes, to which language alterations were progressively added in a period of evolution of approximately one year and six months. Images of Computerized Axial Tomography that confirm cortical atrophy </w:t>
      </w:r>
      <w:r w:rsidR="00F663B0">
        <w:rPr>
          <w:rFonts w:ascii="Times New Roman" w:hAnsi="Times New Roman"/>
          <w:sz w:val="24"/>
          <w:szCs w:val="24"/>
          <w:lang w:val="en-US"/>
        </w:rPr>
        <w:t>mainly</w:t>
      </w:r>
      <w:r w:rsidRPr="006E3974">
        <w:rPr>
          <w:rFonts w:ascii="Times New Roman" w:hAnsi="Times New Roman"/>
          <w:sz w:val="24"/>
          <w:szCs w:val="24"/>
          <w:lang w:val="en-US"/>
        </w:rPr>
        <w:t xml:space="preserve"> frontal. The Neuropsychological Battery abbreviated NEUROPSI, the Hasegawa </w:t>
      </w:r>
      <w:r w:rsidR="00F663B0">
        <w:rPr>
          <w:rFonts w:ascii="Times New Roman" w:hAnsi="Times New Roman"/>
          <w:sz w:val="24"/>
          <w:szCs w:val="24"/>
          <w:lang w:val="en-US"/>
        </w:rPr>
        <w:t>S</w:t>
      </w:r>
      <w:r w:rsidRPr="006E3974">
        <w:rPr>
          <w:rFonts w:ascii="Times New Roman" w:hAnsi="Times New Roman"/>
          <w:sz w:val="24"/>
          <w:szCs w:val="24"/>
          <w:lang w:val="en-US"/>
        </w:rPr>
        <w:t xml:space="preserve">cale and the </w:t>
      </w:r>
      <w:proofErr w:type="spellStart"/>
      <w:r w:rsidRPr="006E3974">
        <w:rPr>
          <w:rFonts w:ascii="Times New Roman" w:hAnsi="Times New Roman"/>
          <w:sz w:val="24"/>
          <w:szCs w:val="24"/>
          <w:lang w:val="en-US"/>
        </w:rPr>
        <w:t>Litvan</w:t>
      </w:r>
      <w:proofErr w:type="spellEnd"/>
      <w:r w:rsidRPr="006E3974">
        <w:rPr>
          <w:rFonts w:ascii="Times New Roman" w:hAnsi="Times New Roman"/>
          <w:sz w:val="24"/>
          <w:szCs w:val="24"/>
          <w:lang w:val="en-US"/>
        </w:rPr>
        <w:t xml:space="preserve"> Frontal Evaluation Battery were used for the evaluation, with a predominance of alterations in printed and expressive language, executive functions and verbal memory. </w:t>
      </w:r>
    </w:p>
    <w:p w14:paraId="67C8A006" w14:textId="0B08587B" w:rsidR="001E51F7" w:rsidRPr="006E3974" w:rsidRDefault="001E51F7" w:rsidP="001E51F7">
      <w:pPr>
        <w:spacing w:after="0" w:line="360" w:lineRule="auto"/>
        <w:jc w:val="both"/>
        <w:rPr>
          <w:rFonts w:ascii="Times New Roman" w:hAnsi="Times New Roman"/>
          <w:sz w:val="24"/>
          <w:szCs w:val="24"/>
          <w:lang w:val="en-US"/>
        </w:rPr>
      </w:pPr>
      <w:r w:rsidRPr="006E3974">
        <w:rPr>
          <w:rFonts w:ascii="Times New Roman" w:hAnsi="Times New Roman"/>
          <w:b/>
          <w:sz w:val="24"/>
          <w:szCs w:val="24"/>
          <w:lang w:val="en-US"/>
        </w:rPr>
        <w:t xml:space="preserve">Conclusions: </w:t>
      </w:r>
      <w:r w:rsidR="00BB18E1" w:rsidRPr="00BB18E1">
        <w:rPr>
          <w:rFonts w:ascii="Times New Roman" w:hAnsi="Times New Roman"/>
          <w:sz w:val="24"/>
          <w:szCs w:val="24"/>
          <w:lang w:val="en-US"/>
        </w:rPr>
        <w:t>The alterations detected confirm the coexistence of manifestations of the behavioral variant (with a tendency to disinhibition) and the semantic variant of frontotemporal dementia.</w:t>
      </w:r>
    </w:p>
    <w:p w14:paraId="16AFFA65" w14:textId="77777777" w:rsidR="001E51F7" w:rsidRDefault="001E51F7" w:rsidP="001E51F7">
      <w:pPr>
        <w:spacing w:after="0" w:line="360" w:lineRule="auto"/>
        <w:jc w:val="both"/>
        <w:rPr>
          <w:rFonts w:ascii="Times New Roman" w:hAnsi="Times New Roman"/>
          <w:sz w:val="24"/>
          <w:szCs w:val="24"/>
          <w:lang w:val="en-US"/>
        </w:rPr>
      </w:pPr>
      <w:r w:rsidRPr="006E3974">
        <w:rPr>
          <w:rFonts w:ascii="Times New Roman" w:hAnsi="Times New Roman"/>
          <w:b/>
          <w:sz w:val="24"/>
          <w:szCs w:val="24"/>
          <w:lang w:val="en-US"/>
        </w:rPr>
        <w:t>Keywords:</w:t>
      </w:r>
      <w:r w:rsidRPr="006E3974">
        <w:rPr>
          <w:rFonts w:ascii="Times New Roman" w:hAnsi="Times New Roman"/>
          <w:sz w:val="24"/>
          <w:szCs w:val="24"/>
          <w:lang w:val="en-US"/>
        </w:rPr>
        <w:t xml:space="preserve"> dementia; frontotemporal dementia; neuropsychological evaluation.</w:t>
      </w:r>
    </w:p>
    <w:p w14:paraId="7825C3F6" w14:textId="77777777" w:rsidR="001E51F7" w:rsidRDefault="001E51F7" w:rsidP="001E51F7">
      <w:pPr>
        <w:spacing w:after="0" w:line="360" w:lineRule="auto"/>
        <w:jc w:val="both"/>
        <w:rPr>
          <w:rFonts w:ascii="Times New Roman" w:hAnsi="Times New Roman"/>
          <w:sz w:val="24"/>
          <w:szCs w:val="24"/>
          <w:lang w:val="en-US"/>
        </w:rPr>
      </w:pPr>
    </w:p>
    <w:p w14:paraId="5BDBBB50" w14:textId="77777777" w:rsidR="001E51F7" w:rsidRDefault="001E51F7" w:rsidP="001E51F7">
      <w:pPr>
        <w:spacing w:after="0" w:line="360" w:lineRule="auto"/>
        <w:jc w:val="both"/>
        <w:rPr>
          <w:rFonts w:ascii="Times New Roman" w:hAnsi="Times New Roman"/>
          <w:sz w:val="24"/>
          <w:szCs w:val="24"/>
          <w:lang w:val="en-US"/>
        </w:rPr>
      </w:pPr>
    </w:p>
    <w:p w14:paraId="17ADCB26" w14:textId="77777777" w:rsidR="001E51F7" w:rsidRPr="0093794F" w:rsidRDefault="001E51F7" w:rsidP="001E51F7">
      <w:pPr>
        <w:spacing w:after="0" w:line="360" w:lineRule="auto"/>
        <w:jc w:val="both"/>
        <w:rPr>
          <w:rFonts w:ascii="Times New Roman" w:hAnsi="Times New Roman"/>
          <w:sz w:val="24"/>
          <w:szCs w:val="24"/>
        </w:rPr>
      </w:pPr>
      <w:r w:rsidRPr="0093794F">
        <w:rPr>
          <w:rFonts w:ascii="Times New Roman" w:hAnsi="Times New Roman"/>
          <w:sz w:val="24"/>
          <w:szCs w:val="24"/>
        </w:rPr>
        <w:t>Recibido: 02/11/2020</w:t>
      </w:r>
    </w:p>
    <w:p w14:paraId="0157378B" w14:textId="77777777" w:rsidR="001E51F7" w:rsidRPr="0093794F" w:rsidRDefault="001E51F7" w:rsidP="001E51F7">
      <w:pPr>
        <w:spacing w:after="0" w:line="360" w:lineRule="auto"/>
        <w:jc w:val="both"/>
        <w:rPr>
          <w:rFonts w:ascii="Times New Roman" w:hAnsi="Times New Roman"/>
          <w:sz w:val="24"/>
          <w:szCs w:val="24"/>
        </w:rPr>
      </w:pPr>
      <w:r w:rsidRPr="0093794F">
        <w:rPr>
          <w:rFonts w:ascii="Times New Roman" w:hAnsi="Times New Roman"/>
          <w:sz w:val="24"/>
          <w:szCs w:val="24"/>
        </w:rPr>
        <w:t>Aprobado:</w:t>
      </w:r>
      <w:r>
        <w:rPr>
          <w:rFonts w:ascii="Times New Roman" w:hAnsi="Times New Roman"/>
          <w:sz w:val="24"/>
          <w:szCs w:val="24"/>
        </w:rPr>
        <w:t xml:space="preserve"> 25/03/2021</w:t>
      </w:r>
    </w:p>
    <w:p w14:paraId="09FA6E98" w14:textId="77777777" w:rsidR="001E51F7" w:rsidRPr="0093794F" w:rsidRDefault="001E51F7" w:rsidP="001E51F7">
      <w:pPr>
        <w:spacing w:after="0" w:line="360" w:lineRule="auto"/>
        <w:jc w:val="both"/>
        <w:rPr>
          <w:rFonts w:ascii="Times New Roman" w:hAnsi="Times New Roman"/>
          <w:b/>
          <w:sz w:val="24"/>
          <w:szCs w:val="24"/>
        </w:rPr>
      </w:pPr>
    </w:p>
    <w:p w14:paraId="67717F4E" w14:textId="77777777" w:rsidR="001E51F7" w:rsidRPr="0093794F" w:rsidRDefault="001E51F7" w:rsidP="001E51F7">
      <w:pPr>
        <w:pStyle w:val="Ttulo1"/>
      </w:pPr>
    </w:p>
    <w:p w14:paraId="082DC09F" w14:textId="77777777" w:rsidR="001E51F7" w:rsidRPr="00222AE8" w:rsidRDefault="001E51F7" w:rsidP="001E51F7">
      <w:pPr>
        <w:pStyle w:val="Ttulo1"/>
        <w:rPr>
          <w:sz w:val="32"/>
          <w:szCs w:val="32"/>
        </w:rPr>
      </w:pPr>
      <w:r w:rsidRPr="00222AE8">
        <w:rPr>
          <w:sz w:val="32"/>
          <w:szCs w:val="32"/>
        </w:rPr>
        <w:t>INTRODUCCIÓN</w:t>
      </w:r>
    </w:p>
    <w:p w14:paraId="5E43577F"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La demencia frontotemporal (DFT) representa en la práctica clínica una enfermedad   poco común, a pesar de constituir la segunda causa de demencia en personas menores de 65 años.</w:t>
      </w:r>
      <w:r w:rsidRPr="006E3974">
        <w:rPr>
          <w:rFonts w:ascii="Times New Roman" w:hAnsi="Times New Roman"/>
          <w:sz w:val="24"/>
          <w:szCs w:val="24"/>
          <w:vertAlign w:val="superscript"/>
        </w:rPr>
        <w:t>(1)</w:t>
      </w:r>
    </w:p>
    <w:p w14:paraId="588084C4"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El polimorfismo de su expresión sintomatológica, desde el punto de vista conductual y cognitivo, hace que de modo frecuente sea diagnosticada erróneamente como un problema psiquiátrico</w:t>
      </w:r>
      <w:r w:rsidRPr="006E3974">
        <w:rPr>
          <w:rFonts w:ascii="Times New Roman" w:hAnsi="Times New Roman"/>
          <w:sz w:val="24"/>
          <w:szCs w:val="24"/>
          <w:vertAlign w:val="superscript"/>
        </w:rPr>
        <w:t>(2,3)</w:t>
      </w:r>
      <w:r w:rsidRPr="006E3974">
        <w:rPr>
          <w:rFonts w:ascii="Times New Roman" w:hAnsi="Times New Roman"/>
          <w:sz w:val="24"/>
          <w:szCs w:val="24"/>
        </w:rPr>
        <w:t xml:space="preserve"> u otra enfermedad neurológica.</w:t>
      </w:r>
      <w:r w:rsidRPr="006E3974">
        <w:rPr>
          <w:rFonts w:ascii="Times New Roman" w:hAnsi="Times New Roman"/>
          <w:sz w:val="24"/>
          <w:szCs w:val="24"/>
          <w:vertAlign w:val="superscript"/>
        </w:rPr>
        <w:t>(3)</w:t>
      </w:r>
    </w:p>
    <w:p w14:paraId="5572470B"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lastRenderedPageBreak/>
        <w:t xml:space="preserve">La sintomatología para su definición es compleja e incluye alteraciones del lenguaje, disfunción ejecutiva, trastornos de la atención y de la memoria (afectación tardía), con relativa conservación de las praxias, gnosias, habilidades visuoespaciales y orientación </w:t>
      </w:r>
      <w:proofErr w:type="spellStart"/>
      <w:r w:rsidRPr="006E3974">
        <w:rPr>
          <w:rFonts w:ascii="Times New Roman" w:hAnsi="Times New Roman"/>
          <w:sz w:val="24"/>
          <w:szCs w:val="24"/>
        </w:rPr>
        <w:t>temporoespacial</w:t>
      </w:r>
      <w:proofErr w:type="spellEnd"/>
      <w:r w:rsidRPr="006E3974">
        <w:rPr>
          <w:rFonts w:ascii="Times New Roman" w:hAnsi="Times New Roman"/>
          <w:sz w:val="24"/>
          <w:szCs w:val="24"/>
        </w:rPr>
        <w:t>.</w:t>
      </w:r>
      <w:r w:rsidRPr="006E3974">
        <w:rPr>
          <w:rFonts w:ascii="Times New Roman" w:hAnsi="Times New Roman"/>
          <w:sz w:val="24"/>
          <w:szCs w:val="24"/>
          <w:vertAlign w:val="superscript"/>
        </w:rPr>
        <w:t>(4)</w:t>
      </w:r>
    </w:p>
    <w:p w14:paraId="1C1C43CB"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 xml:space="preserve">La DFT comprende dos síndromes claramente definidos según síntomas clínicos y el patrón regional de atrofia cerebral. El primero, caracterizado por el predominio de síntomas conductuales, denominado demencia frontotemporal, variante conductual y el segundo, caracterizado por el predominio del compromiso del lenguaje, conocido como afasia progresiva primaria, que incluye la afasia progresiva no fluente, la demencia semántica y afasia </w:t>
      </w:r>
      <w:proofErr w:type="spellStart"/>
      <w:r w:rsidRPr="006E3974">
        <w:rPr>
          <w:rFonts w:ascii="Times New Roman" w:hAnsi="Times New Roman"/>
          <w:sz w:val="24"/>
          <w:szCs w:val="24"/>
        </w:rPr>
        <w:t>logopénica</w:t>
      </w:r>
      <w:proofErr w:type="spellEnd"/>
      <w:r w:rsidRPr="006E3974">
        <w:rPr>
          <w:rFonts w:ascii="Times New Roman" w:hAnsi="Times New Roman"/>
          <w:sz w:val="24"/>
          <w:szCs w:val="24"/>
        </w:rPr>
        <w:t>.</w:t>
      </w:r>
      <w:r w:rsidRPr="006E3974">
        <w:rPr>
          <w:rFonts w:ascii="Times New Roman" w:hAnsi="Times New Roman"/>
          <w:sz w:val="24"/>
          <w:szCs w:val="24"/>
          <w:vertAlign w:val="superscript"/>
        </w:rPr>
        <w:t>(3)</w:t>
      </w:r>
    </w:p>
    <w:p w14:paraId="03619193"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El “Manual diagnóstico y estadístico de los trastornos mentales” en su quinta edición (DSM</w:t>
      </w:r>
      <w:r w:rsidRPr="006E3974">
        <w:rPr>
          <w:rFonts w:ascii="Times New Roman" w:hAnsi="Times New Roman"/>
          <w:sz w:val="24"/>
          <w:szCs w:val="24"/>
        </w:rPr>
        <w:softHyphen/>
        <w:t>5)</w:t>
      </w:r>
      <w:r>
        <w:rPr>
          <w:rFonts w:ascii="Times New Roman" w:hAnsi="Times New Roman"/>
          <w:sz w:val="24"/>
          <w:szCs w:val="24"/>
        </w:rPr>
        <w:t>,</w:t>
      </w:r>
      <w:r w:rsidRPr="006E3974">
        <w:rPr>
          <w:rFonts w:ascii="Times New Roman" w:hAnsi="Times New Roman"/>
          <w:sz w:val="24"/>
          <w:szCs w:val="24"/>
        </w:rPr>
        <w:t xml:space="preserve"> incluye el trastorno neurocognitivo (TNC) frontotemporal, mayor o leve, que comprende una serie de variantes sindrómicas: la variante de comportamiento y tres variantes de lenguaje (semántica, agramatical/ no fluente y </w:t>
      </w:r>
      <w:proofErr w:type="spellStart"/>
      <w:r w:rsidRPr="006E3974">
        <w:rPr>
          <w:rFonts w:ascii="Times New Roman" w:hAnsi="Times New Roman"/>
          <w:sz w:val="24"/>
          <w:szCs w:val="24"/>
        </w:rPr>
        <w:t>logopénica</w:t>
      </w:r>
      <w:proofErr w:type="spellEnd"/>
      <w:r w:rsidRPr="006E3974">
        <w:rPr>
          <w:rFonts w:ascii="Times New Roman" w:hAnsi="Times New Roman"/>
          <w:sz w:val="24"/>
          <w:szCs w:val="24"/>
        </w:rPr>
        <w:t>).</w:t>
      </w:r>
      <w:r w:rsidRPr="006E3974">
        <w:rPr>
          <w:rFonts w:ascii="Times New Roman" w:hAnsi="Times New Roman"/>
          <w:sz w:val="24"/>
          <w:szCs w:val="24"/>
          <w:vertAlign w:val="superscript"/>
        </w:rPr>
        <w:t>(5)</w:t>
      </w:r>
    </w:p>
    <w:p w14:paraId="511A6B2D"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 xml:space="preserve">La DFT también puede estar asociada a otros cuadros clínicos, como la parálisis supranuclear progresiva, la degeneración </w:t>
      </w:r>
      <w:proofErr w:type="spellStart"/>
      <w:r w:rsidRPr="006E3974">
        <w:rPr>
          <w:rFonts w:ascii="Times New Roman" w:hAnsi="Times New Roman"/>
          <w:sz w:val="24"/>
          <w:szCs w:val="24"/>
        </w:rPr>
        <w:t>corticobasal</w:t>
      </w:r>
      <w:proofErr w:type="spellEnd"/>
      <w:r w:rsidRPr="006E3974">
        <w:rPr>
          <w:rFonts w:ascii="Times New Roman" w:hAnsi="Times New Roman"/>
          <w:sz w:val="24"/>
          <w:szCs w:val="24"/>
          <w:vertAlign w:val="superscript"/>
        </w:rPr>
        <w:t xml:space="preserve">(1) </w:t>
      </w:r>
      <w:r w:rsidRPr="006E3974">
        <w:rPr>
          <w:rFonts w:ascii="Times New Roman" w:hAnsi="Times New Roman"/>
          <w:sz w:val="24"/>
          <w:szCs w:val="24"/>
        </w:rPr>
        <w:t>y la esclerosis lateral amiotrófica.</w:t>
      </w:r>
      <w:r w:rsidRPr="006E3974">
        <w:rPr>
          <w:rFonts w:ascii="Times New Roman" w:hAnsi="Times New Roman"/>
          <w:sz w:val="24"/>
          <w:szCs w:val="24"/>
          <w:vertAlign w:val="superscript"/>
        </w:rPr>
        <w:t>(6,7)</w:t>
      </w:r>
    </w:p>
    <w:p w14:paraId="7D8E6EB7"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Las formas de presentarse la enfermedad pueden ser muy disímiles desde el punto de vista neurocognitivo, y en muchos pacientes se entrelazan las características clínicas de más de una de las variantes definidas, lo que lleva al cuestionamiento de las clasificaciones vigentes.</w:t>
      </w:r>
    </w:p>
    <w:p w14:paraId="5C3A6CB9"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 xml:space="preserve">Es importante el estudio de casos complejos o mixtos, que permiten a la comunidad científica valorar la posible relación de diferentes formas clínicas de la DFT: trastornos conductuales (tendencia a la </w:t>
      </w:r>
      <w:r w:rsidRPr="006E3974">
        <w:rPr>
          <w:rStyle w:val="elsevierstylesection"/>
          <w:rFonts w:ascii="Times New Roman" w:hAnsi="Times New Roman"/>
          <w:sz w:val="24"/>
          <w:szCs w:val="24"/>
        </w:rPr>
        <w:t>desinhibición</w:t>
      </w:r>
      <w:r w:rsidRPr="006E3974">
        <w:rPr>
          <w:rFonts w:ascii="Times New Roman" w:hAnsi="Times New Roman"/>
          <w:sz w:val="24"/>
          <w:szCs w:val="24"/>
        </w:rPr>
        <w:t xml:space="preserve"> o inhibición) y tipos de afasia, en la búsqueda de posibles </w:t>
      </w:r>
      <w:r w:rsidRPr="006E3974">
        <w:rPr>
          <w:rStyle w:val="elsevierstylesection"/>
          <w:rFonts w:ascii="Times New Roman" w:hAnsi="Times New Roman"/>
          <w:sz w:val="24"/>
          <w:szCs w:val="24"/>
        </w:rPr>
        <w:t>correlatos neuronales de las funciones cerebrales superiores</w:t>
      </w:r>
      <w:r w:rsidRPr="006E3974">
        <w:rPr>
          <w:rFonts w:ascii="Times New Roman" w:hAnsi="Times New Roman"/>
          <w:color w:val="002060"/>
          <w:sz w:val="24"/>
          <w:szCs w:val="24"/>
        </w:rPr>
        <w:t xml:space="preserve"> </w:t>
      </w:r>
      <w:r w:rsidRPr="006E3974">
        <w:rPr>
          <w:rFonts w:ascii="Times New Roman" w:hAnsi="Times New Roman"/>
          <w:sz w:val="24"/>
          <w:szCs w:val="24"/>
        </w:rPr>
        <w:t xml:space="preserve">y de algunos factores pronósticos y terapéuticos. </w:t>
      </w:r>
    </w:p>
    <w:p w14:paraId="4869D3FE"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El presente trabajo se propone caracterizar el funcionamiento cognitivo de un paciente en quien concomitan alteraciones conductuales y del lenguaje, típicas de la DFT.</w:t>
      </w:r>
    </w:p>
    <w:p w14:paraId="1EF68880" w14:textId="77777777" w:rsidR="001E51F7" w:rsidRPr="006E3974" w:rsidRDefault="001E51F7" w:rsidP="001E51F7">
      <w:pPr>
        <w:spacing w:after="0" w:line="360" w:lineRule="auto"/>
        <w:jc w:val="both"/>
        <w:rPr>
          <w:rFonts w:ascii="Times New Roman" w:hAnsi="Times New Roman"/>
          <w:b/>
          <w:sz w:val="24"/>
          <w:szCs w:val="24"/>
        </w:rPr>
      </w:pPr>
    </w:p>
    <w:p w14:paraId="72DF4614" w14:textId="77777777" w:rsidR="001E51F7" w:rsidRPr="006E3974" w:rsidRDefault="001E51F7" w:rsidP="001E51F7">
      <w:pPr>
        <w:pStyle w:val="Ttulo1"/>
      </w:pPr>
    </w:p>
    <w:p w14:paraId="7A905437" w14:textId="77777777" w:rsidR="001E51F7" w:rsidRPr="00A064DF" w:rsidRDefault="001E51F7" w:rsidP="001E51F7">
      <w:pPr>
        <w:pStyle w:val="Ttulo1"/>
        <w:rPr>
          <w:sz w:val="32"/>
          <w:szCs w:val="32"/>
        </w:rPr>
      </w:pPr>
      <w:r w:rsidRPr="00A064DF">
        <w:rPr>
          <w:sz w:val="32"/>
          <w:szCs w:val="32"/>
        </w:rPr>
        <w:t>CASO CLÍNICO</w:t>
      </w:r>
    </w:p>
    <w:p w14:paraId="0DFBB200"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 xml:space="preserve">Paciente del sexo femenino, derecha, de 50 años de edad, blanca, universitaria. Acude a consulta de neuropsicología, acompañada de un directivo de su centro laboral, quien alega que desde hace aproximadamente un año y seis meses, observa en la paciente conductas inapropiadas en su trabajo, </w:t>
      </w:r>
      <w:r w:rsidRPr="006E3974">
        <w:rPr>
          <w:rFonts w:ascii="Times New Roman" w:hAnsi="Times New Roman"/>
          <w:sz w:val="24"/>
          <w:szCs w:val="24"/>
        </w:rPr>
        <w:lastRenderedPageBreak/>
        <w:t xml:space="preserve">con empleo frecuente de palabras obscenas y conductas impulsivas, que llegan en ocasiones a la agresividad. Esta situación muestra un empeoramiento progresivo.  </w:t>
      </w:r>
    </w:p>
    <w:p w14:paraId="0BE872C2"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 xml:space="preserve">Paciente </w:t>
      </w:r>
      <w:proofErr w:type="spellStart"/>
      <w:r w:rsidRPr="006E3974">
        <w:rPr>
          <w:rFonts w:ascii="Times New Roman" w:hAnsi="Times New Roman"/>
          <w:sz w:val="24"/>
          <w:szCs w:val="24"/>
        </w:rPr>
        <w:t>vigil</w:t>
      </w:r>
      <w:proofErr w:type="spellEnd"/>
      <w:r w:rsidRPr="006E3974">
        <w:rPr>
          <w:rFonts w:ascii="Times New Roman" w:hAnsi="Times New Roman"/>
          <w:sz w:val="24"/>
          <w:szCs w:val="24"/>
        </w:rPr>
        <w:t>, con expresiones faciales que denotan retraimiento y manifestaciones de agresividad (desde el punto de vista verbal).</w:t>
      </w:r>
    </w:p>
    <w:p w14:paraId="6F873E43"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Como antecedentes patológicos personales refiere hipertensión arterial controlada y migraña. Sin antecedentes patológicos familiares que incluyan enfermedades neurológicas o psiquiátricas. Hábitos tóxicos: consumo de café.</w:t>
      </w:r>
    </w:p>
    <w:p w14:paraId="326C7C9D"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En la tomografía axial computarizada se observan signos de atrofia de localización frontal, sin desplazamiento de estructuras de la línea media, sistema ventricular y fosa posterior normal. Electroencefalograma normal.</w:t>
      </w:r>
    </w:p>
    <w:p w14:paraId="06F558A6"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 xml:space="preserve">Para la evaluación neuropsicológica se empleó la batería neuropsicológica breve NEUROPSI, la escala </w:t>
      </w:r>
      <w:proofErr w:type="spellStart"/>
      <w:r w:rsidRPr="006E3974">
        <w:rPr>
          <w:rFonts w:ascii="Times New Roman" w:hAnsi="Times New Roman"/>
          <w:sz w:val="24"/>
          <w:szCs w:val="24"/>
        </w:rPr>
        <w:t>Hasegawa</w:t>
      </w:r>
      <w:proofErr w:type="spellEnd"/>
      <w:r w:rsidRPr="006E3974">
        <w:rPr>
          <w:rFonts w:ascii="Times New Roman" w:hAnsi="Times New Roman"/>
          <w:sz w:val="24"/>
          <w:szCs w:val="24"/>
        </w:rPr>
        <w:t xml:space="preserve"> y la batería de evaluación frontal de </w:t>
      </w:r>
      <w:proofErr w:type="spellStart"/>
      <w:r w:rsidRPr="006E3974">
        <w:rPr>
          <w:rFonts w:ascii="Times New Roman" w:hAnsi="Times New Roman"/>
          <w:sz w:val="24"/>
          <w:szCs w:val="24"/>
        </w:rPr>
        <w:t>Litvan</w:t>
      </w:r>
      <w:proofErr w:type="spellEnd"/>
      <w:r w:rsidRPr="006E3974">
        <w:rPr>
          <w:rFonts w:ascii="Times New Roman" w:hAnsi="Times New Roman"/>
          <w:sz w:val="24"/>
          <w:szCs w:val="24"/>
        </w:rPr>
        <w:t>. Se constata un deterioro cognitivo grave, según rendimiento cognitivo global en la escala neuropsicológica NEUROPSI, con una puntuación total de 57 puntos.</w:t>
      </w:r>
    </w:p>
    <w:p w14:paraId="0D5681F8"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La paciente se muestra orientada adecuadamente en tiempo y persona, pero solo   parcialmente en espacio.</w:t>
      </w:r>
    </w:p>
    <w:p w14:paraId="4AC4BA45"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Están alteradas la memoria verbal para las funciones de fijación, la evocación espontánea y por claves (Fig. 1). Al reconocimiento, aunque mejora aparentemente el rendimiento a 5 unidades, se observan intrusiones.</w:t>
      </w:r>
    </w:p>
    <w:p w14:paraId="782AC53A" w14:textId="77777777" w:rsidR="001E51F7" w:rsidRPr="006E3974" w:rsidRDefault="001E51F7" w:rsidP="001E51F7">
      <w:pPr>
        <w:spacing w:after="0" w:line="360" w:lineRule="auto"/>
        <w:jc w:val="both"/>
        <w:rPr>
          <w:rFonts w:ascii="Times New Roman" w:hAnsi="Times New Roman"/>
          <w:b/>
          <w:sz w:val="24"/>
          <w:szCs w:val="24"/>
        </w:rPr>
      </w:pPr>
    </w:p>
    <w:p w14:paraId="1BDD2BF2" w14:textId="2DB03A76" w:rsidR="001E51F7" w:rsidRPr="006E3974" w:rsidRDefault="00F903C3" w:rsidP="001E51F7">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5CBF90AA" wp14:editId="3F70CD75">
            <wp:extent cx="4333875" cy="21050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4333875" cy="2105025"/>
                    </a:xfrm>
                    <a:prstGeom prst="rect">
                      <a:avLst/>
                    </a:prstGeom>
                  </pic:spPr>
                </pic:pic>
              </a:graphicData>
            </a:graphic>
          </wp:inline>
        </w:drawing>
      </w:r>
    </w:p>
    <w:p w14:paraId="0EEBAFB8" w14:textId="2D7A339D" w:rsidR="001E51F7" w:rsidRPr="006E3974" w:rsidRDefault="001E51F7" w:rsidP="001E51F7">
      <w:pPr>
        <w:spacing w:after="0" w:line="360" w:lineRule="auto"/>
        <w:jc w:val="center"/>
        <w:rPr>
          <w:rFonts w:ascii="Times New Roman" w:hAnsi="Times New Roman"/>
          <w:bCs/>
          <w:sz w:val="24"/>
          <w:szCs w:val="24"/>
        </w:rPr>
      </w:pPr>
      <w:r w:rsidRPr="006E3974">
        <w:rPr>
          <w:rFonts w:ascii="Times New Roman" w:hAnsi="Times New Roman"/>
          <w:b/>
          <w:sz w:val="24"/>
          <w:szCs w:val="24"/>
        </w:rPr>
        <w:t>Fig. 1 -</w:t>
      </w:r>
      <w:r w:rsidRPr="006E3974">
        <w:rPr>
          <w:rFonts w:ascii="Times New Roman" w:hAnsi="Times New Roman"/>
          <w:bCs/>
          <w:sz w:val="24"/>
          <w:szCs w:val="24"/>
        </w:rPr>
        <w:t xml:space="preserve"> Rendimiento de la paciente </w:t>
      </w:r>
      <w:r w:rsidR="00683D98">
        <w:rPr>
          <w:rFonts w:ascii="Times New Roman" w:hAnsi="Times New Roman"/>
          <w:bCs/>
          <w:sz w:val="24"/>
          <w:szCs w:val="24"/>
        </w:rPr>
        <w:t>en e</w:t>
      </w:r>
      <w:r w:rsidRPr="006E3974">
        <w:rPr>
          <w:rFonts w:ascii="Times New Roman" w:hAnsi="Times New Roman"/>
          <w:bCs/>
          <w:sz w:val="24"/>
          <w:szCs w:val="24"/>
        </w:rPr>
        <w:t xml:space="preserve">l </w:t>
      </w:r>
      <w:r w:rsidR="00F903C3">
        <w:rPr>
          <w:rFonts w:ascii="Times New Roman" w:hAnsi="Times New Roman"/>
          <w:bCs/>
          <w:sz w:val="24"/>
          <w:szCs w:val="24"/>
        </w:rPr>
        <w:t>a</w:t>
      </w:r>
      <w:r w:rsidRPr="006E3974">
        <w:rPr>
          <w:rFonts w:ascii="Times New Roman" w:hAnsi="Times New Roman"/>
          <w:bCs/>
          <w:sz w:val="24"/>
          <w:szCs w:val="24"/>
        </w:rPr>
        <w:t>prendizaje de 6 palabras.</w:t>
      </w:r>
    </w:p>
    <w:p w14:paraId="02C0E04B" w14:textId="77777777" w:rsidR="001E51F7" w:rsidRPr="006E3974" w:rsidRDefault="001E51F7" w:rsidP="001E51F7">
      <w:pPr>
        <w:spacing w:after="0" w:line="360" w:lineRule="auto"/>
        <w:jc w:val="both"/>
        <w:rPr>
          <w:rFonts w:ascii="Times New Roman" w:hAnsi="Times New Roman"/>
          <w:sz w:val="24"/>
          <w:szCs w:val="24"/>
        </w:rPr>
      </w:pPr>
    </w:p>
    <w:p w14:paraId="3C69446F"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 xml:space="preserve">Rendimiento bajo al reproducir la figura semicompleja, pasados 30 minutos (Fig. 2C), y  su  resistencia a realizar la tarea, hace que se tome como no válida la evaluación de la memoria visuoespacial, para la funciones de evocación. Las habilidades </w:t>
      </w:r>
      <w:proofErr w:type="spellStart"/>
      <w:r w:rsidRPr="006E3974">
        <w:rPr>
          <w:rFonts w:ascii="Times New Roman" w:hAnsi="Times New Roman"/>
          <w:sz w:val="24"/>
          <w:szCs w:val="24"/>
        </w:rPr>
        <w:t>visuoconstructivas</w:t>
      </w:r>
      <w:proofErr w:type="spellEnd"/>
      <w:r w:rsidRPr="006E3974">
        <w:rPr>
          <w:rFonts w:ascii="Times New Roman" w:hAnsi="Times New Roman"/>
          <w:sz w:val="24"/>
          <w:szCs w:val="24"/>
        </w:rPr>
        <w:t xml:space="preserve"> se observan conservadas frente a la copia de la figura (Fig. 2B).</w:t>
      </w:r>
    </w:p>
    <w:p w14:paraId="2D733018" w14:textId="77777777" w:rsidR="001E51F7" w:rsidRPr="006E3974" w:rsidRDefault="001E51F7" w:rsidP="001E51F7">
      <w:pPr>
        <w:spacing w:after="0" w:line="360" w:lineRule="auto"/>
        <w:jc w:val="both"/>
        <w:rPr>
          <w:rFonts w:ascii="Times New Roman" w:hAnsi="Times New Roman"/>
          <w:sz w:val="24"/>
          <w:szCs w:val="24"/>
        </w:rPr>
      </w:pPr>
    </w:p>
    <w:p w14:paraId="3708C410" w14:textId="27B0EAA1" w:rsidR="001E51F7" w:rsidRPr="006E3974" w:rsidRDefault="0078041B" w:rsidP="001E51F7">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4925E7B9" wp14:editId="40F9EEE5">
            <wp:extent cx="4800600" cy="1143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1">
                      <a:extLst>
                        <a:ext uri="{28A0092B-C50C-407E-A947-70E740481C1C}">
                          <a14:useLocalDpi xmlns:a14="http://schemas.microsoft.com/office/drawing/2010/main" val="0"/>
                        </a:ext>
                      </a:extLst>
                    </a:blip>
                    <a:stretch>
                      <a:fillRect/>
                    </a:stretch>
                  </pic:blipFill>
                  <pic:spPr>
                    <a:xfrm>
                      <a:off x="0" y="0"/>
                      <a:ext cx="4800600" cy="1143000"/>
                    </a:xfrm>
                    <a:prstGeom prst="rect">
                      <a:avLst/>
                    </a:prstGeom>
                  </pic:spPr>
                </pic:pic>
              </a:graphicData>
            </a:graphic>
          </wp:inline>
        </w:drawing>
      </w:r>
    </w:p>
    <w:p w14:paraId="66566E41" w14:textId="77777777" w:rsidR="001E51F7" w:rsidRPr="006E3974" w:rsidRDefault="001E51F7" w:rsidP="001E51F7">
      <w:pPr>
        <w:spacing w:after="0" w:line="360" w:lineRule="auto"/>
        <w:jc w:val="center"/>
        <w:rPr>
          <w:rFonts w:ascii="Times New Roman" w:hAnsi="Times New Roman"/>
          <w:bCs/>
          <w:sz w:val="24"/>
          <w:szCs w:val="24"/>
        </w:rPr>
      </w:pPr>
      <w:r w:rsidRPr="006E3974">
        <w:rPr>
          <w:rFonts w:ascii="Times New Roman" w:hAnsi="Times New Roman"/>
          <w:b/>
          <w:sz w:val="24"/>
          <w:szCs w:val="24"/>
        </w:rPr>
        <w:t xml:space="preserve">Fig. 2 – </w:t>
      </w:r>
      <w:r w:rsidRPr="006E3974">
        <w:rPr>
          <w:rFonts w:ascii="Times New Roman" w:hAnsi="Times New Roman"/>
          <w:bCs/>
          <w:sz w:val="24"/>
          <w:szCs w:val="24"/>
        </w:rPr>
        <w:t>A: modelo de la figura semicompleja (</w:t>
      </w:r>
      <w:proofErr w:type="spellStart"/>
      <w:r w:rsidRPr="006E3974">
        <w:rPr>
          <w:rFonts w:ascii="Times New Roman" w:hAnsi="Times New Roman"/>
          <w:bCs/>
          <w:sz w:val="24"/>
          <w:szCs w:val="24"/>
        </w:rPr>
        <w:t>Neuropsi</w:t>
      </w:r>
      <w:proofErr w:type="spellEnd"/>
      <w:r w:rsidRPr="006E3974">
        <w:rPr>
          <w:rFonts w:ascii="Times New Roman" w:hAnsi="Times New Roman"/>
          <w:bCs/>
          <w:sz w:val="24"/>
          <w:szCs w:val="24"/>
        </w:rPr>
        <w:t>); B: copia de la figura por la paciente y C: reproducción después de treinta minutos.</w:t>
      </w:r>
    </w:p>
    <w:p w14:paraId="1CD0A8A7" w14:textId="77777777" w:rsidR="001E51F7" w:rsidRPr="006E3974" w:rsidRDefault="001E51F7" w:rsidP="001E51F7">
      <w:pPr>
        <w:spacing w:after="0" w:line="360" w:lineRule="auto"/>
        <w:jc w:val="both"/>
        <w:rPr>
          <w:rFonts w:ascii="Times New Roman" w:hAnsi="Times New Roman"/>
          <w:b/>
          <w:sz w:val="24"/>
          <w:szCs w:val="24"/>
        </w:rPr>
      </w:pPr>
    </w:p>
    <w:p w14:paraId="0BE2DDDF"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Se detectan alteraciones en el lenguaje impresivo y expresivo. Está alterada la comprensión de órdenes complejas (2 puntos de 6). Tiene anomia marcada, con empleo frecuente de parafasias verbales de tipo semánticas, generalizadoras y circunloquios (2 puntos de 8). Presenta dificultades para entender algunos conceptos (“zurdo”, “secador”) y el lenguaje repetitivo se ve alterado solo para frases complejas.</w:t>
      </w:r>
    </w:p>
    <w:p w14:paraId="19666744"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En las funciones ejecutivas, se detecta deterioro de la evocación categorial fonológica (0 puntos). Capacidad de abstracción alterada (0 puntos de 6), dificultades para realizar secuencias motoras con la mano izquierda. Está alterada la ejecución en tareas de reacciones opuestas y movimientos alternos con ambas manos. Obtiene puntuación de 0 en tareas de “</w:t>
      </w:r>
      <w:proofErr w:type="spellStart"/>
      <w:r w:rsidRPr="006E3974">
        <w:rPr>
          <w:rFonts w:ascii="Times New Roman" w:hAnsi="Times New Roman"/>
          <w:sz w:val="24"/>
          <w:szCs w:val="24"/>
        </w:rPr>
        <w:t>go</w:t>
      </w:r>
      <w:proofErr w:type="spellEnd"/>
      <w:r w:rsidRPr="006E3974">
        <w:rPr>
          <w:rFonts w:ascii="Times New Roman" w:hAnsi="Times New Roman"/>
          <w:sz w:val="24"/>
          <w:szCs w:val="24"/>
        </w:rPr>
        <w:t xml:space="preserve"> no </w:t>
      </w:r>
      <w:proofErr w:type="spellStart"/>
      <w:r w:rsidRPr="006E3974">
        <w:rPr>
          <w:rFonts w:ascii="Times New Roman" w:hAnsi="Times New Roman"/>
          <w:sz w:val="24"/>
          <w:szCs w:val="24"/>
        </w:rPr>
        <w:t>go</w:t>
      </w:r>
      <w:proofErr w:type="spellEnd"/>
      <w:r w:rsidRPr="006E3974">
        <w:rPr>
          <w:rFonts w:ascii="Times New Roman" w:hAnsi="Times New Roman"/>
          <w:sz w:val="24"/>
          <w:szCs w:val="24"/>
        </w:rPr>
        <w:t xml:space="preserve">” (batería frontal de </w:t>
      </w:r>
      <w:proofErr w:type="spellStart"/>
      <w:r w:rsidRPr="006E3974">
        <w:rPr>
          <w:rFonts w:ascii="Times New Roman" w:hAnsi="Times New Roman"/>
          <w:sz w:val="24"/>
          <w:szCs w:val="24"/>
        </w:rPr>
        <w:t>Litvan</w:t>
      </w:r>
      <w:proofErr w:type="spellEnd"/>
      <w:r w:rsidRPr="006E3974">
        <w:rPr>
          <w:rFonts w:ascii="Times New Roman" w:hAnsi="Times New Roman"/>
          <w:sz w:val="24"/>
          <w:szCs w:val="24"/>
        </w:rPr>
        <w:t>).</w:t>
      </w:r>
    </w:p>
    <w:p w14:paraId="08945879"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En la prueba para descartar demencia (</w:t>
      </w:r>
      <w:proofErr w:type="spellStart"/>
      <w:r w:rsidRPr="006E3974">
        <w:rPr>
          <w:rFonts w:ascii="Times New Roman" w:hAnsi="Times New Roman"/>
          <w:sz w:val="24"/>
          <w:szCs w:val="24"/>
        </w:rPr>
        <w:t>Hasegawa</w:t>
      </w:r>
      <w:proofErr w:type="spellEnd"/>
      <w:r w:rsidRPr="006E3974">
        <w:rPr>
          <w:rFonts w:ascii="Times New Roman" w:hAnsi="Times New Roman"/>
          <w:sz w:val="24"/>
          <w:szCs w:val="24"/>
        </w:rPr>
        <w:t>) rinde en los límites de una demencia incipiente (puntuación total: 17 puntos).</w:t>
      </w:r>
    </w:p>
    <w:p w14:paraId="3E12D959" w14:textId="77777777" w:rsidR="001E51F7" w:rsidRPr="006E3974" w:rsidRDefault="001E51F7" w:rsidP="001E51F7">
      <w:pPr>
        <w:spacing w:after="0" w:line="360" w:lineRule="auto"/>
        <w:jc w:val="both"/>
        <w:rPr>
          <w:rFonts w:ascii="Times New Roman" w:hAnsi="Times New Roman"/>
          <w:b/>
          <w:sz w:val="24"/>
          <w:szCs w:val="24"/>
        </w:rPr>
      </w:pPr>
    </w:p>
    <w:p w14:paraId="7428F86E" w14:textId="77777777" w:rsidR="001E51F7" w:rsidRPr="006E3974" w:rsidRDefault="001E51F7" w:rsidP="001E51F7">
      <w:pPr>
        <w:spacing w:after="0" w:line="360" w:lineRule="auto"/>
        <w:jc w:val="both"/>
        <w:rPr>
          <w:rStyle w:val="Textoennegrita"/>
          <w:rFonts w:ascii="Times New Roman" w:hAnsi="Times New Roman"/>
          <w:sz w:val="24"/>
          <w:szCs w:val="24"/>
        </w:rPr>
      </w:pPr>
    </w:p>
    <w:p w14:paraId="71CC1728" w14:textId="77777777" w:rsidR="00945A60" w:rsidRDefault="00945A60">
      <w:pPr>
        <w:spacing w:after="0" w:line="240" w:lineRule="auto"/>
        <w:rPr>
          <w:rStyle w:val="Textoennegrita"/>
          <w:rFonts w:ascii="Times New Roman" w:hAnsi="Times New Roman"/>
          <w:sz w:val="32"/>
          <w:szCs w:val="32"/>
        </w:rPr>
      </w:pPr>
      <w:r>
        <w:rPr>
          <w:rStyle w:val="Textoennegrita"/>
          <w:rFonts w:ascii="Times New Roman" w:hAnsi="Times New Roman"/>
          <w:sz w:val="32"/>
          <w:szCs w:val="32"/>
        </w:rPr>
        <w:br w:type="page"/>
      </w:r>
    </w:p>
    <w:p w14:paraId="62CF90A4" w14:textId="27C2A8A2" w:rsidR="001E51F7" w:rsidRPr="00222AE8" w:rsidRDefault="001E51F7" w:rsidP="001E51F7">
      <w:pPr>
        <w:spacing w:after="0" w:line="360" w:lineRule="auto"/>
        <w:jc w:val="center"/>
        <w:rPr>
          <w:rFonts w:ascii="Times New Roman" w:hAnsi="Times New Roman"/>
          <w:sz w:val="32"/>
          <w:szCs w:val="32"/>
        </w:rPr>
      </w:pPr>
      <w:r w:rsidRPr="00222AE8">
        <w:rPr>
          <w:rStyle w:val="Textoennegrita"/>
          <w:rFonts w:ascii="Times New Roman" w:hAnsi="Times New Roman"/>
          <w:sz w:val="32"/>
          <w:szCs w:val="32"/>
        </w:rPr>
        <w:lastRenderedPageBreak/>
        <w:t>COMENTARIOS</w:t>
      </w:r>
    </w:p>
    <w:p w14:paraId="4FECC702"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En el caso de estudio se ilustra la preponderancia de los trastornos conductuales en las primeras etapas de la enfermedad, con tendencia a la impulsividad, agresividad, falta de tacto y de empatía.  Sin embargo, los trastornos del lenguaje en un tiempo menor de dos años, comienzan también a ocupar un lugar determinante en el cuadro clínico.</w:t>
      </w:r>
    </w:p>
    <w:p w14:paraId="499B72FD"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Predominan alteraciones conductuales, con tendencia a la desinhibición. En el DSM-5 se reconoce que los individuos con la variante comportamental del TNC frontotemporal mayor, presentan diferentes grados de apatía o desinhibición.</w:t>
      </w:r>
      <w:r w:rsidRPr="006E3974">
        <w:rPr>
          <w:rFonts w:ascii="Times New Roman" w:hAnsi="Times New Roman"/>
          <w:sz w:val="24"/>
          <w:szCs w:val="24"/>
          <w:vertAlign w:val="superscript"/>
        </w:rPr>
        <w:t>(5)</w:t>
      </w:r>
    </w:p>
    <w:p w14:paraId="6B9736E3"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Una investigación realizada en Colombia, reconoce la apat</w:t>
      </w:r>
      <w:r>
        <w:rPr>
          <w:rFonts w:ascii="Times New Roman" w:hAnsi="Times New Roman"/>
          <w:sz w:val="24"/>
          <w:szCs w:val="24"/>
        </w:rPr>
        <w:t>ía, irritabilidad y agresividad</w:t>
      </w:r>
      <w:r w:rsidRPr="006E3974">
        <w:rPr>
          <w:rFonts w:ascii="Times New Roman" w:hAnsi="Times New Roman"/>
          <w:sz w:val="24"/>
          <w:szCs w:val="24"/>
        </w:rPr>
        <w:t xml:space="preserve"> como las alteraciones conductuales más comunes en sujetos con TNC frontotemporal, variante conductual.</w:t>
      </w:r>
      <w:r w:rsidRPr="006E3974">
        <w:rPr>
          <w:rFonts w:ascii="Times New Roman" w:hAnsi="Times New Roman"/>
          <w:sz w:val="24"/>
          <w:szCs w:val="24"/>
          <w:vertAlign w:val="superscript"/>
        </w:rPr>
        <w:t>(8)</w:t>
      </w:r>
    </w:p>
    <w:p w14:paraId="2321A0A5"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El bajo rendimiento</w:t>
      </w:r>
      <w:r>
        <w:rPr>
          <w:rFonts w:ascii="Times New Roman" w:hAnsi="Times New Roman"/>
          <w:sz w:val="24"/>
          <w:szCs w:val="24"/>
        </w:rPr>
        <w:t xml:space="preserve"> detectado en la memoria verbal</w:t>
      </w:r>
      <w:r w:rsidRPr="006E3974">
        <w:rPr>
          <w:rFonts w:ascii="Times New Roman" w:hAnsi="Times New Roman"/>
          <w:sz w:val="24"/>
          <w:szCs w:val="24"/>
        </w:rPr>
        <w:t xml:space="preserve"> para las funciones de  fijación, evocación espontánea y evocación por claves, son datos que no difieren de los resultados descritos en estudios comparativos de la DFT, enfermedad de Alzheimer y demencia vascular, que incluyen la memoria reciente verbal entre las funcion</w:t>
      </w:r>
      <w:r>
        <w:rPr>
          <w:rFonts w:ascii="Times New Roman" w:hAnsi="Times New Roman"/>
          <w:sz w:val="24"/>
          <w:szCs w:val="24"/>
        </w:rPr>
        <w:t xml:space="preserve">es cognitivas más deterioradas </w:t>
      </w:r>
      <w:r w:rsidRPr="006E3974">
        <w:rPr>
          <w:rFonts w:ascii="Times New Roman" w:hAnsi="Times New Roman"/>
          <w:sz w:val="24"/>
          <w:szCs w:val="24"/>
        </w:rPr>
        <w:t>en los tres grupos.</w:t>
      </w:r>
      <w:r w:rsidRPr="006E3974">
        <w:rPr>
          <w:rFonts w:ascii="Times New Roman" w:hAnsi="Times New Roman"/>
          <w:sz w:val="24"/>
          <w:szCs w:val="24"/>
          <w:vertAlign w:val="superscript"/>
        </w:rPr>
        <w:t xml:space="preserve">(9) </w:t>
      </w:r>
      <w:r w:rsidRPr="006E3974">
        <w:rPr>
          <w:rFonts w:ascii="Times New Roman" w:hAnsi="Times New Roman"/>
          <w:sz w:val="24"/>
          <w:szCs w:val="24"/>
        </w:rPr>
        <w:t>Sin embargo, el incremento del recuerdo al reconocimiento y la conservación de la orientación en tiempo y persona, sugieren una relativa conservación de las funciones de codificación y almacenamiento. Otras fuentes consultadas señalan que de forma típica</w:t>
      </w:r>
      <w:r>
        <w:rPr>
          <w:rFonts w:ascii="Times New Roman" w:hAnsi="Times New Roman"/>
          <w:sz w:val="24"/>
          <w:szCs w:val="24"/>
        </w:rPr>
        <w:t>,</w:t>
      </w:r>
      <w:r w:rsidRPr="006E3974">
        <w:rPr>
          <w:rFonts w:ascii="Times New Roman" w:hAnsi="Times New Roman"/>
          <w:sz w:val="24"/>
          <w:szCs w:val="24"/>
        </w:rPr>
        <w:t xml:space="preserve"> se produce una preservación de la memoria hasta etapas algo más avanzadas de la enfermedad.</w:t>
      </w:r>
      <w:r w:rsidRPr="006E3974">
        <w:rPr>
          <w:rFonts w:ascii="Times New Roman" w:hAnsi="Times New Roman"/>
          <w:sz w:val="24"/>
          <w:szCs w:val="24"/>
          <w:vertAlign w:val="superscript"/>
        </w:rPr>
        <w:t>(3,4)</w:t>
      </w:r>
    </w:p>
    <w:p w14:paraId="5C1CAF49"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 xml:space="preserve">Las habilidades </w:t>
      </w:r>
      <w:proofErr w:type="spellStart"/>
      <w:r w:rsidRPr="006E3974">
        <w:rPr>
          <w:rFonts w:ascii="Times New Roman" w:hAnsi="Times New Roman"/>
          <w:sz w:val="24"/>
          <w:szCs w:val="24"/>
        </w:rPr>
        <w:t>visuoconstructivas</w:t>
      </w:r>
      <w:proofErr w:type="spellEnd"/>
      <w:r w:rsidRPr="006E3974">
        <w:rPr>
          <w:rFonts w:ascii="Times New Roman" w:hAnsi="Times New Roman"/>
          <w:sz w:val="24"/>
          <w:szCs w:val="24"/>
        </w:rPr>
        <w:t xml:space="preserve"> se observan conservadas frente a la copia de la figura semicompleja (Fig. 2B), lo que concuerda con lo expuesto en otras publicaciones, en las que se reconoce su relativa conservación en la DFT.</w:t>
      </w:r>
      <w:r w:rsidRPr="006E3974">
        <w:rPr>
          <w:rFonts w:ascii="Times New Roman" w:hAnsi="Times New Roman"/>
          <w:sz w:val="24"/>
          <w:szCs w:val="24"/>
          <w:vertAlign w:val="superscript"/>
        </w:rPr>
        <w:t>(1,4)</w:t>
      </w:r>
    </w:p>
    <w:p w14:paraId="537D5916"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 xml:space="preserve">Se aprecian alteradas, la denominación y la fluidez verbal semántica. </w:t>
      </w:r>
      <w:r w:rsidRPr="006E3974">
        <w:rPr>
          <w:rFonts w:ascii="Times New Roman" w:hAnsi="Times New Roman"/>
          <w:i/>
          <w:sz w:val="24"/>
          <w:szCs w:val="24"/>
        </w:rPr>
        <w:t>Miranda</w:t>
      </w:r>
      <w:r w:rsidRPr="006E3974">
        <w:rPr>
          <w:rFonts w:ascii="Times New Roman" w:hAnsi="Times New Roman"/>
          <w:sz w:val="24"/>
          <w:szCs w:val="24"/>
        </w:rPr>
        <w:t xml:space="preserve"> y </w:t>
      </w:r>
      <w:r w:rsidRPr="006E3974">
        <w:rPr>
          <w:rFonts w:ascii="Times New Roman" w:hAnsi="Times New Roman"/>
          <w:iCs/>
          <w:sz w:val="24"/>
          <w:szCs w:val="24"/>
        </w:rPr>
        <w:t>otros</w:t>
      </w:r>
      <w:r w:rsidRPr="006E3974">
        <w:rPr>
          <w:rFonts w:ascii="Times New Roman" w:hAnsi="Times New Roman"/>
          <w:iCs/>
          <w:sz w:val="24"/>
          <w:szCs w:val="24"/>
          <w:vertAlign w:val="superscript"/>
        </w:rPr>
        <w:t>(10)</w:t>
      </w:r>
      <w:r w:rsidRPr="006E3974">
        <w:rPr>
          <w:rFonts w:ascii="Times New Roman" w:hAnsi="Times New Roman"/>
          <w:i/>
          <w:sz w:val="24"/>
          <w:szCs w:val="24"/>
        </w:rPr>
        <w:t xml:space="preserve"> </w:t>
      </w:r>
      <w:r w:rsidRPr="006E3974">
        <w:rPr>
          <w:rFonts w:ascii="Times New Roman" w:hAnsi="Times New Roman"/>
          <w:sz w:val="24"/>
          <w:szCs w:val="24"/>
        </w:rPr>
        <w:t>informan en su investigación, dificultades en la nominación por confrontación visual y en fluidez verbal semántica, aunque mayores en la enfermedad de Alzheimer, que las encontradas en la demencia frontotemporal.</w:t>
      </w:r>
    </w:p>
    <w:p w14:paraId="0ACF8B78"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En la demencia semántica se ha reconocido</w:t>
      </w:r>
      <w:r>
        <w:rPr>
          <w:rFonts w:ascii="Times New Roman" w:hAnsi="Times New Roman"/>
          <w:sz w:val="24"/>
          <w:szCs w:val="24"/>
        </w:rPr>
        <w:t>,</w:t>
      </w:r>
      <w:r w:rsidRPr="006E3974">
        <w:rPr>
          <w:rFonts w:ascii="Times New Roman" w:hAnsi="Times New Roman"/>
          <w:sz w:val="24"/>
          <w:szCs w:val="24"/>
        </w:rPr>
        <w:t xml:space="preserve"> particularmente, la presencia de anomia. Los pacientes pueden tener un discurso fluente, estructurado desde el punto de vista sintáctico y fonológico, tienen problemas para darle significado a las palabras y no emplean parafasias fonémicas.</w:t>
      </w:r>
      <w:r w:rsidRPr="006E3974">
        <w:rPr>
          <w:rFonts w:ascii="Times New Roman" w:hAnsi="Times New Roman"/>
          <w:sz w:val="24"/>
          <w:szCs w:val="24"/>
          <w:vertAlign w:val="superscript"/>
        </w:rPr>
        <w:t>(1)</w:t>
      </w:r>
      <w:r w:rsidRPr="006E3974">
        <w:rPr>
          <w:rFonts w:ascii="Times New Roman" w:hAnsi="Times New Roman"/>
          <w:sz w:val="24"/>
          <w:szCs w:val="24"/>
        </w:rPr>
        <w:t xml:space="preserve"> Este cuadro guarda gran similitud con el patrón de comportamiento del lenguaje descrito en el caso estudiado.</w:t>
      </w:r>
    </w:p>
    <w:p w14:paraId="57263257" w14:textId="77777777" w:rsidR="001E51F7" w:rsidRPr="006E3974"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lastRenderedPageBreak/>
        <w:t>Se detecta en las funciones ejecutivas, deterioro de la evocación categorial fonológica, déficit en el razonamiento abstracto, en el control inhibitorio y la flexibilidad mental, resultados que coinciden con algunos datos expuestos en el DSM-5. Incluye entre las alteraciones del trastorno neurocognitivo frontotemporal, los déficits en la función ejecutiva, con bajo rendimiento en las pruebas de flexibilidad mental, razonamiento abstracto e inhibición de respuestas.</w:t>
      </w:r>
      <w:r w:rsidRPr="006E3974">
        <w:rPr>
          <w:rFonts w:ascii="Times New Roman" w:hAnsi="Times New Roman"/>
          <w:sz w:val="24"/>
          <w:szCs w:val="24"/>
          <w:vertAlign w:val="superscript"/>
        </w:rPr>
        <w:t xml:space="preserve">(5) </w:t>
      </w:r>
      <w:r w:rsidRPr="006E3974">
        <w:rPr>
          <w:rFonts w:ascii="Times New Roman" w:hAnsi="Times New Roman"/>
          <w:sz w:val="24"/>
          <w:szCs w:val="24"/>
        </w:rPr>
        <w:t>En el caso referenciado,</w:t>
      </w:r>
      <w:r w:rsidRPr="006E3974">
        <w:rPr>
          <w:rFonts w:ascii="Times New Roman" w:hAnsi="Times New Roman"/>
          <w:sz w:val="24"/>
          <w:szCs w:val="24"/>
          <w:vertAlign w:val="superscript"/>
        </w:rPr>
        <w:t>(6)</w:t>
      </w:r>
      <w:r w:rsidRPr="006E3974">
        <w:rPr>
          <w:rFonts w:ascii="Times New Roman" w:hAnsi="Times New Roman"/>
          <w:sz w:val="24"/>
          <w:szCs w:val="24"/>
        </w:rPr>
        <w:t xml:space="preserve"> con  el diagnóstico de  esclerosis lateral amiotrófica y DFT, también se señalan dificultades en la conceptualización, flexibilidad mental y control inhibitorio.</w:t>
      </w:r>
    </w:p>
    <w:p w14:paraId="6F6612D6" w14:textId="77777777" w:rsidR="001E51F7" w:rsidRDefault="001E51F7" w:rsidP="001E51F7">
      <w:pPr>
        <w:spacing w:after="0" w:line="360" w:lineRule="auto"/>
        <w:jc w:val="both"/>
        <w:rPr>
          <w:rFonts w:ascii="Times New Roman" w:hAnsi="Times New Roman"/>
          <w:sz w:val="24"/>
          <w:szCs w:val="24"/>
        </w:rPr>
      </w:pPr>
      <w:r w:rsidRPr="006E3974">
        <w:rPr>
          <w:rFonts w:ascii="Times New Roman" w:hAnsi="Times New Roman"/>
          <w:sz w:val="24"/>
          <w:szCs w:val="24"/>
        </w:rPr>
        <w:t>La coexistencia de la variante conductual y semántica de la DFT en el caso presentado, apoya lo referido en la literatura científica; conforme esta demencia progresa, sus diferentes subtipos pueden empalmarse.</w:t>
      </w:r>
      <w:r w:rsidRPr="006E3974">
        <w:rPr>
          <w:rFonts w:ascii="Times New Roman" w:hAnsi="Times New Roman"/>
          <w:sz w:val="24"/>
          <w:szCs w:val="24"/>
          <w:vertAlign w:val="superscript"/>
        </w:rPr>
        <w:t xml:space="preserve">(5) </w:t>
      </w:r>
      <w:r w:rsidRPr="006E3974">
        <w:rPr>
          <w:rFonts w:ascii="Times New Roman" w:hAnsi="Times New Roman"/>
          <w:sz w:val="24"/>
          <w:szCs w:val="24"/>
        </w:rPr>
        <w:t>Sin embargo, las clasificaciones vigentes de la enfermedad, se basan específicamente en su sintomatología inicial, pero no precisan particularidades evolutivas, lo cual descubre una entidad aún controvertida.</w:t>
      </w:r>
    </w:p>
    <w:p w14:paraId="39ED96C6" w14:textId="77777777" w:rsidR="001E51F7" w:rsidRPr="006E3974" w:rsidRDefault="001E51F7" w:rsidP="001E51F7">
      <w:pPr>
        <w:spacing w:after="0" w:line="360" w:lineRule="auto"/>
        <w:jc w:val="both"/>
        <w:rPr>
          <w:rFonts w:ascii="Times New Roman" w:hAnsi="Times New Roman"/>
          <w:b/>
          <w:sz w:val="24"/>
          <w:szCs w:val="24"/>
        </w:rPr>
      </w:pPr>
    </w:p>
    <w:p w14:paraId="150A2ABE" w14:textId="77777777" w:rsidR="00945A60" w:rsidRDefault="00945A60" w:rsidP="001E51F7">
      <w:pPr>
        <w:spacing w:after="0" w:line="360" w:lineRule="auto"/>
        <w:jc w:val="center"/>
        <w:rPr>
          <w:rFonts w:ascii="Times New Roman" w:hAnsi="Times New Roman"/>
          <w:b/>
          <w:sz w:val="32"/>
          <w:szCs w:val="32"/>
        </w:rPr>
      </w:pPr>
    </w:p>
    <w:p w14:paraId="6ABE0DA8" w14:textId="7B69630F" w:rsidR="001E51F7" w:rsidRDefault="001E51F7" w:rsidP="001E51F7">
      <w:pPr>
        <w:spacing w:after="0" w:line="360" w:lineRule="auto"/>
        <w:jc w:val="center"/>
        <w:rPr>
          <w:rFonts w:ascii="Times New Roman" w:hAnsi="Times New Roman"/>
          <w:b/>
          <w:sz w:val="32"/>
          <w:szCs w:val="32"/>
        </w:rPr>
      </w:pPr>
      <w:r w:rsidRPr="00222AE8">
        <w:rPr>
          <w:rFonts w:ascii="Times New Roman" w:hAnsi="Times New Roman"/>
          <w:b/>
          <w:sz w:val="32"/>
          <w:szCs w:val="32"/>
        </w:rPr>
        <w:t>REFERENCIAS BIBLIOGRÁFICAS</w:t>
      </w:r>
    </w:p>
    <w:p w14:paraId="181EDD2C" w14:textId="77777777" w:rsidR="001E51F7" w:rsidRPr="001E51F7" w:rsidRDefault="001E51F7" w:rsidP="001E51F7">
      <w:pPr>
        <w:spacing w:after="0" w:line="360" w:lineRule="auto"/>
        <w:rPr>
          <w:rFonts w:ascii="Times New Roman" w:hAnsi="Times New Roman"/>
          <w:b/>
          <w:sz w:val="32"/>
          <w:szCs w:val="32"/>
        </w:rPr>
      </w:pPr>
      <w:r w:rsidRPr="006E3974">
        <w:rPr>
          <w:rFonts w:ascii="Times New Roman" w:hAnsi="Times New Roman"/>
          <w:sz w:val="24"/>
          <w:szCs w:val="24"/>
        </w:rPr>
        <w:t xml:space="preserve">1. Rodríguez LI, Oliva B, </w:t>
      </w:r>
      <w:proofErr w:type="spellStart"/>
      <w:r w:rsidRPr="006E3974">
        <w:rPr>
          <w:rFonts w:ascii="Times New Roman" w:hAnsi="Times New Roman"/>
          <w:sz w:val="24"/>
          <w:szCs w:val="24"/>
        </w:rPr>
        <w:t>Cueli</w:t>
      </w:r>
      <w:proofErr w:type="spellEnd"/>
      <w:r w:rsidRPr="006E3974">
        <w:rPr>
          <w:rFonts w:ascii="Times New Roman" w:hAnsi="Times New Roman"/>
          <w:sz w:val="24"/>
          <w:szCs w:val="24"/>
        </w:rPr>
        <w:t xml:space="preserve"> BS, Carrizales RJ, Chi-Ahumada E, Jiménez CM. Demencia frontotemporal: revisión y nuestro punto de vista. </w:t>
      </w:r>
      <w:proofErr w:type="spellStart"/>
      <w:r w:rsidRPr="006E3974">
        <w:rPr>
          <w:rFonts w:ascii="Times New Roman" w:hAnsi="Times New Roman"/>
          <w:sz w:val="24"/>
          <w:szCs w:val="24"/>
        </w:rPr>
        <w:t>Rev</w:t>
      </w:r>
      <w:proofErr w:type="spellEnd"/>
      <w:r w:rsidRPr="006E3974">
        <w:rPr>
          <w:rFonts w:ascii="Times New Roman" w:hAnsi="Times New Roman"/>
          <w:sz w:val="24"/>
          <w:szCs w:val="24"/>
        </w:rPr>
        <w:t xml:space="preserve"> Mex </w:t>
      </w:r>
      <w:proofErr w:type="spellStart"/>
      <w:r w:rsidRPr="006E3974">
        <w:rPr>
          <w:rFonts w:ascii="Times New Roman" w:hAnsi="Times New Roman"/>
          <w:sz w:val="24"/>
          <w:szCs w:val="24"/>
        </w:rPr>
        <w:t>Neuroci</w:t>
      </w:r>
      <w:proofErr w:type="spellEnd"/>
      <w:r w:rsidRPr="006E3974">
        <w:rPr>
          <w:rFonts w:ascii="Times New Roman" w:hAnsi="Times New Roman"/>
          <w:sz w:val="24"/>
          <w:szCs w:val="24"/>
        </w:rPr>
        <w:t>. 2018 [acceso: 10/11/2019];19(6):20-31. Disponible en:</w:t>
      </w:r>
    </w:p>
    <w:p w14:paraId="73178D1D" w14:textId="77777777" w:rsidR="001E51F7" w:rsidRPr="006E3974" w:rsidRDefault="0072418F" w:rsidP="001E51F7">
      <w:pPr>
        <w:pStyle w:val="Prrafodelista"/>
        <w:spacing w:after="0" w:line="360" w:lineRule="auto"/>
        <w:ind w:left="0"/>
        <w:rPr>
          <w:rFonts w:ascii="Times New Roman" w:hAnsi="Times New Roman"/>
          <w:sz w:val="24"/>
          <w:szCs w:val="24"/>
        </w:rPr>
      </w:pPr>
      <w:hyperlink r:id="rId12" w:history="1">
        <w:r w:rsidR="001E51F7" w:rsidRPr="006E3974">
          <w:rPr>
            <w:rStyle w:val="Hipervnculo"/>
            <w:rFonts w:ascii="Times New Roman" w:hAnsi="Times New Roman"/>
            <w:sz w:val="24"/>
            <w:szCs w:val="24"/>
          </w:rPr>
          <w:t>https://www.medigraphic.com/pdfs/revmexneu/rmn-2018/rmn186d.pdf</w:t>
        </w:r>
      </w:hyperlink>
      <w:r w:rsidR="001E51F7" w:rsidRPr="006E3974">
        <w:rPr>
          <w:rFonts w:ascii="Times New Roman" w:hAnsi="Times New Roman"/>
          <w:sz w:val="24"/>
          <w:szCs w:val="24"/>
        </w:rPr>
        <w:t xml:space="preserve"> </w:t>
      </w:r>
    </w:p>
    <w:p w14:paraId="698D9136" w14:textId="77777777" w:rsidR="001E51F7" w:rsidRPr="006E3974" w:rsidRDefault="001E51F7" w:rsidP="001E51F7">
      <w:pPr>
        <w:pStyle w:val="Prrafodelista"/>
        <w:spacing w:after="0" w:line="360" w:lineRule="auto"/>
        <w:ind w:left="0"/>
        <w:rPr>
          <w:rFonts w:ascii="Times New Roman" w:hAnsi="Times New Roman"/>
          <w:sz w:val="24"/>
          <w:szCs w:val="24"/>
        </w:rPr>
      </w:pPr>
      <w:r w:rsidRPr="006E3974">
        <w:rPr>
          <w:rFonts w:ascii="Times New Roman" w:hAnsi="Times New Roman"/>
          <w:sz w:val="24"/>
          <w:szCs w:val="24"/>
        </w:rPr>
        <w:t xml:space="preserve">2. </w:t>
      </w:r>
      <w:proofErr w:type="spellStart"/>
      <w:r w:rsidRPr="006E3974">
        <w:rPr>
          <w:rFonts w:ascii="Times New Roman" w:hAnsi="Times New Roman"/>
          <w:sz w:val="24"/>
          <w:szCs w:val="24"/>
        </w:rPr>
        <w:t>Llibre</w:t>
      </w:r>
      <w:proofErr w:type="spellEnd"/>
      <w:r w:rsidRPr="006E3974">
        <w:rPr>
          <w:rFonts w:ascii="Times New Roman" w:hAnsi="Times New Roman"/>
          <w:sz w:val="24"/>
          <w:szCs w:val="24"/>
        </w:rPr>
        <w:t xml:space="preserve"> RJ. Atención a personas con demencias y enfermedad de Alzheimer. La Habana: Editorial Ciencias Médicas; 2013.</w:t>
      </w:r>
    </w:p>
    <w:p w14:paraId="7708B23C" w14:textId="77777777" w:rsidR="001E51F7" w:rsidRPr="006E3974" w:rsidRDefault="001E51F7" w:rsidP="001E51F7">
      <w:pPr>
        <w:pStyle w:val="Prrafodelista"/>
        <w:spacing w:after="0" w:line="360" w:lineRule="auto"/>
        <w:ind w:left="0"/>
        <w:rPr>
          <w:rFonts w:ascii="Times New Roman" w:hAnsi="Times New Roman"/>
          <w:sz w:val="24"/>
          <w:szCs w:val="24"/>
        </w:rPr>
      </w:pPr>
      <w:r w:rsidRPr="006E3974">
        <w:rPr>
          <w:rFonts w:ascii="Times New Roman" w:hAnsi="Times New Roman"/>
          <w:sz w:val="24"/>
          <w:szCs w:val="24"/>
        </w:rPr>
        <w:t xml:space="preserve">3. Custodio N, Montesinos R, Alarcón J O. Evolución histórica del concepto y criterios actuales para el diagnóstico de demencia. </w:t>
      </w:r>
      <w:proofErr w:type="spellStart"/>
      <w:r w:rsidRPr="006E3974">
        <w:rPr>
          <w:rFonts w:ascii="Times New Roman" w:hAnsi="Times New Roman"/>
          <w:sz w:val="24"/>
          <w:szCs w:val="24"/>
        </w:rPr>
        <w:t>Rev</w:t>
      </w:r>
      <w:proofErr w:type="spellEnd"/>
      <w:r w:rsidRPr="006E3974">
        <w:rPr>
          <w:rFonts w:ascii="Times New Roman" w:hAnsi="Times New Roman"/>
          <w:sz w:val="24"/>
          <w:szCs w:val="24"/>
        </w:rPr>
        <w:t xml:space="preserve"> </w:t>
      </w:r>
      <w:proofErr w:type="spellStart"/>
      <w:r w:rsidRPr="006E3974">
        <w:rPr>
          <w:rFonts w:ascii="Times New Roman" w:hAnsi="Times New Roman"/>
          <w:sz w:val="24"/>
          <w:szCs w:val="24"/>
        </w:rPr>
        <w:t>Neuropsiquiatr</w:t>
      </w:r>
      <w:proofErr w:type="spellEnd"/>
      <w:r w:rsidRPr="006E3974">
        <w:rPr>
          <w:rFonts w:ascii="Times New Roman" w:hAnsi="Times New Roman"/>
          <w:sz w:val="24"/>
          <w:szCs w:val="24"/>
        </w:rPr>
        <w:t xml:space="preserve">. 2018[acceso: 10/11/2019];81(4):235-50. Disponible en: </w:t>
      </w:r>
      <w:hyperlink r:id="rId13" w:history="1">
        <w:r w:rsidRPr="006E3974">
          <w:rPr>
            <w:rStyle w:val="Hipervnculo"/>
            <w:rFonts w:ascii="Times New Roman" w:hAnsi="Times New Roman"/>
            <w:sz w:val="24"/>
            <w:szCs w:val="24"/>
          </w:rPr>
          <w:t>http://www.scielo.org.pe/pdf/rnp/v81n4/a04v81n4.pdf</w:t>
        </w:r>
      </w:hyperlink>
      <w:r w:rsidRPr="006E3974">
        <w:rPr>
          <w:rFonts w:ascii="Times New Roman" w:hAnsi="Times New Roman"/>
          <w:sz w:val="24"/>
          <w:szCs w:val="24"/>
        </w:rPr>
        <w:t xml:space="preserve"> </w:t>
      </w:r>
    </w:p>
    <w:p w14:paraId="23AA9E09" w14:textId="77777777" w:rsidR="001E51F7" w:rsidRPr="006E3974" w:rsidRDefault="001E51F7" w:rsidP="001E51F7">
      <w:pPr>
        <w:pStyle w:val="Prrafodelista"/>
        <w:spacing w:after="0" w:line="360" w:lineRule="auto"/>
        <w:ind w:left="0"/>
        <w:rPr>
          <w:rFonts w:ascii="Times New Roman" w:hAnsi="Times New Roman"/>
          <w:sz w:val="24"/>
          <w:szCs w:val="24"/>
        </w:rPr>
      </w:pPr>
      <w:r w:rsidRPr="006E3974">
        <w:rPr>
          <w:rFonts w:ascii="Times New Roman" w:hAnsi="Times New Roman"/>
          <w:sz w:val="24"/>
          <w:szCs w:val="24"/>
        </w:rPr>
        <w:t>4. Acosta D, Brusco LI, Fuentes P. La enfermedad de Alzheimer, diagnóstico y tratamiento: una perspectiva latinoamericana. 3a ed. México: Médica Panamericana; 2011.</w:t>
      </w:r>
    </w:p>
    <w:p w14:paraId="637D8B05" w14:textId="77777777" w:rsidR="001E51F7" w:rsidRPr="006E3974" w:rsidRDefault="001E51F7" w:rsidP="001E51F7">
      <w:pPr>
        <w:pStyle w:val="Prrafodelista"/>
        <w:spacing w:after="0" w:line="360" w:lineRule="auto"/>
        <w:ind w:left="0"/>
        <w:rPr>
          <w:rFonts w:ascii="Times New Roman" w:hAnsi="Times New Roman"/>
          <w:sz w:val="24"/>
          <w:szCs w:val="24"/>
        </w:rPr>
      </w:pPr>
      <w:r w:rsidRPr="006E3974">
        <w:rPr>
          <w:rFonts w:ascii="Times New Roman" w:hAnsi="Times New Roman"/>
          <w:sz w:val="24"/>
          <w:szCs w:val="24"/>
        </w:rPr>
        <w:t>5. Asociación Americana de Psiquiatría. Manual diagnóstico y estadístico de los trastornos mentales (DSM-5). 5a Ed. Arlington: VA, Asociación Americana de Psiquiatría; 2014.</w:t>
      </w:r>
    </w:p>
    <w:p w14:paraId="624B3128" w14:textId="77777777" w:rsidR="001E51F7" w:rsidRPr="006E3974" w:rsidRDefault="001E51F7" w:rsidP="001E51F7">
      <w:pPr>
        <w:pStyle w:val="Prrafodelista"/>
        <w:spacing w:after="0" w:line="360" w:lineRule="auto"/>
        <w:ind w:left="0"/>
        <w:rPr>
          <w:rFonts w:ascii="Times New Roman" w:hAnsi="Times New Roman"/>
          <w:sz w:val="24"/>
          <w:szCs w:val="24"/>
        </w:rPr>
      </w:pPr>
      <w:r w:rsidRPr="006E3974">
        <w:rPr>
          <w:rFonts w:ascii="Times New Roman" w:hAnsi="Times New Roman"/>
          <w:sz w:val="24"/>
          <w:szCs w:val="24"/>
        </w:rPr>
        <w:lastRenderedPageBreak/>
        <w:t xml:space="preserve">6. </w:t>
      </w:r>
      <w:proofErr w:type="spellStart"/>
      <w:r w:rsidRPr="006E3974">
        <w:rPr>
          <w:rFonts w:ascii="Times New Roman" w:hAnsi="Times New Roman"/>
          <w:sz w:val="24"/>
          <w:szCs w:val="24"/>
        </w:rPr>
        <w:t>Pavez</w:t>
      </w:r>
      <w:proofErr w:type="spellEnd"/>
      <w:r w:rsidRPr="006E3974">
        <w:rPr>
          <w:rFonts w:ascii="Times New Roman" w:hAnsi="Times New Roman"/>
          <w:sz w:val="24"/>
          <w:szCs w:val="24"/>
        </w:rPr>
        <w:t xml:space="preserve"> RA, </w:t>
      </w:r>
      <w:proofErr w:type="spellStart"/>
      <w:r w:rsidRPr="006E3974">
        <w:rPr>
          <w:rFonts w:ascii="Times New Roman" w:hAnsi="Times New Roman"/>
          <w:sz w:val="24"/>
          <w:szCs w:val="24"/>
        </w:rPr>
        <w:t>Saá</w:t>
      </w:r>
      <w:proofErr w:type="spellEnd"/>
      <w:r w:rsidRPr="006E3974">
        <w:rPr>
          <w:rFonts w:ascii="Times New Roman" w:hAnsi="Times New Roman"/>
          <w:sz w:val="24"/>
          <w:szCs w:val="24"/>
        </w:rPr>
        <w:t xml:space="preserve"> BN. Demencia frontotemporal y esclerosis lateral amiotrófica: presentación de un caso clínico. Rev. </w:t>
      </w:r>
      <w:proofErr w:type="spellStart"/>
      <w:r w:rsidRPr="006E3974">
        <w:rPr>
          <w:rFonts w:ascii="Times New Roman" w:hAnsi="Times New Roman"/>
          <w:sz w:val="24"/>
          <w:szCs w:val="24"/>
        </w:rPr>
        <w:t>chil</w:t>
      </w:r>
      <w:proofErr w:type="spellEnd"/>
      <w:r w:rsidRPr="006E3974">
        <w:rPr>
          <w:rFonts w:ascii="Times New Roman" w:hAnsi="Times New Roman"/>
          <w:sz w:val="24"/>
          <w:szCs w:val="24"/>
        </w:rPr>
        <w:t>. neuro-</w:t>
      </w:r>
      <w:proofErr w:type="spellStart"/>
      <w:r w:rsidRPr="006E3974">
        <w:rPr>
          <w:rFonts w:ascii="Times New Roman" w:hAnsi="Times New Roman"/>
          <w:sz w:val="24"/>
          <w:szCs w:val="24"/>
        </w:rPr>
        <w:t>psiquiatr</w:t>
      </w:r>
      <w:proofErr w:type="spellEnd"/>
      <w:r w:rsidRPr="006E3974">
        <w:rPr>
          <w:rFonts w:ascii="Times New Roman" w:hAnsi="Times New Roman"/>
          <w:sz w:val="24"/>
          <w:szCs w:val="24"/>
        </w:rPr>
        <w:t xml:space="preserve">. 2015 [acceso: 24/9/2020]; 53(4):286-93. Disponible en: </w:t>
      </w:r>
      <w:hyperlink r:id="rId14" w:history="1">
        <w:r w:rsidRPr="006E3974">
          <w:rPr>
            <w:rStyle w:val="Hipervnculo"/>
            <w:rFonts w:ascii="Times New Roman" w:hAnsi="Times New Roman"/>
            <w:sz w:val="24"/>
            <w:szCs w:val="24"/>
          </w:rPr>
          <w:t>https://scielo.conicyt.cl/scielo.php?pid=S0717-9227201500</w:t>
        </w:r>
      </w:hyperlink>
      <w:r w:rsidRPr="006E3974">
        <w:rPr>
          <w:rFonts w:ascii="Times New Roman" w:hAnsi="Times New Roman"/>
          <w:sz w:val="24"/>
          <w:szCs w:val="24"/>
        </w:rPr>
        <w:t xml:space="preserve"> </w:t>
      </w:r>
    </w:p>
    <w:p w14:paraId="79A9AC69" w14:textId="77777777" w:rsidR="001E51F7" w:rsidRPr="006E3974" w:rsidRDefault="001E51F7" w:rsidP="001E51F7">
      <w:pPr>
        <w:pStyle w:val="Prrafodelista"/>
        <w:spacing w:after="0" w:line="360" w:lineRule="auto"/>
        <w:ind w:left="0"/>
        <w:rPr>
          <w:rFonts w:ascii="Times New Roman" w:hAnsi="Times New Roman"/>
          <w:sz w:val="24"/>
          <w:szCs w:val="24"/>
        </w:rPr>
      </w:pPr>
      <w:r w:rsidRPr="006E3974">
        <w:rPr>
          <w:rFonts w:ascii="Times New Roman" w:hAnsi="Times New Roman"/>
          <w:sz w:val="24"/>
          <w:szCs w:val="24"/>
        </w:rPr>
        <w:t xml:space="preserve">7. Vicente AP, Moreno CM, San Millán TB, </w:t>
      </w:r>
      <w:proofErr w:type="spellStart"/>
      <w:r w:rsidRPr="006E3974">
        <w:rPr>
          <w:rFonts w:ascii="Times New Roman" w:hAnsi="Times New Roman"/>
          <w:sz w:val="24"/>
          <w:szCs w:val="24"/>
        </w:rPr>
        <w:t>Outomuro</w:t>
      </w:r>
      <w:proofErr w:type="spellEnd"/>
      <w:r w:rsidRPr="006E3974">
        <w:rPr>
          <w:rFonts w:ascii="Times New Roman" w:hAnsi="Times New Roman"/>
          <w:sz w:val="24"/>
          <w:szCs w:val="24"/>
        </w:rPr>
        <w:t xml:space="preserve"> PJ.   Variante conductual de la demencia frontotemporal como forma de presentación de la degeneración </w:t>
      </w:r>
      <w:proofErr w:type="spellStart"/>
      <w:r w:rsidRPr="006E3974">
        <w:rPr>
          <w:rFonts w:ascii="Times New Roman" w:hAnsi="Times New Roman"/>
          <w:sz w:val="24"/>
          <w:szCs w:val="24"/>
        </w:rPr>
        <w:t>corticobasal</w:t>
      </w:r>
      <w:proofErr w:type="spellEnd"/>
      <w:r w:rsidRPr="006E3974">
        <w:rPr>
          <w:rFonts w:ascii="Times New Roman" w:hAnsi="Times New Roman"/>
          <w:sz w:val="24"/>
          <w:szCs w:val="24"/>
        </w:rPr>
        <w:t xml:space="preserve">. </w:t>
      </w:r>
      <w:proofErr w:type="spellStart"/>
      <w:r w:rsidRPr="006E3974">
        <w:rPr>
          <w:rFonts w:ascii="Times New Roman" w:hAnsi="Times New Roman"/>
          <w:sz w:val="24"/>
          <w:szCs w:val="24"/>
        </w:rPr>
        <w:t>Rev</w:t>
      </w:r>
      <w:proofErr w:type="spellEnd"/>
      <w:r w:rsidRPr="006E3974">
        <w:rPr>
          <w:rFonts w:ascii="Times New Roman" w:hAnsi="Times New Roman"/>
          <w:sz w:val="24"/>
          <w:szCs w:val="24"/>
        </w:rPr>
        <w:t xml:space="preserve"> Neurol. 2018[acceso: 24/9/2019]; 67:436-40. Disponible en:</w:t>
      </w:r>
    </w:p>
    <w:p w14:paraId="7D483306" w14:textId="77777777" w:rsidR="001E51F7" w:rsidRPr="006E3974" w:rsidRDefault="0072418F" w:rsidP="001E51F7">
      <w:pPr>
        <w:pStyle w:val="Prrafodelista"/>
        <w:spacing w:after="0" w:line="360" w:lineRule="auto"/>
        <w:ind w:left="0"/>
        <w:rPr>
          <w:rFonts w:ascii="Times New Roman" w:hAnsi="Times New Roman"/>
          <w:sz w:val="24"/>
          <w:szCs w:val="24"/>
        </w:rPr>
      </w:pPr>
      <w:hyperlink r:id="rId15" w:history="1">
        <w:r w:rsidR="001E51F7" w:rsidRPr="006E3974">
          <w:rPr>
            <w:rStyle w:val="Hipervnculo"/>
            <w:rFonts w:ascii="Times New Roman" w:hAnsi="Times New Roman"/>
            <w:sz w:val="24"/>
            <w:szCs w:val="24"/>
          </w:rPr>
          <w:t>https://www.neurologia.com/articulo/2018196</w:t>
        </w:r>
      </w:hyperlink>
      <w:r w:rsidR="001E51F7" w:rsidRPr="006E3974">
        <w:rPr>
          <w:rFonts w:ascii="Times New Roman" w:hAnsi="Times New Roman"/>
          <w:sz w:val="24"/>
          <w:szCs w:val="24"/>
        </w:rPr>
        <w:t xml:space="preserve"> </w:t>
      </w:r>
    </w:p>
    <w:p w14:paraId="55DA692F" w14:textId="77777777" w:rsidR="001E51F7" w:rsidRPr="006E3974" w:rsidRDefault="001E51F7" w:rsidP="001E51F7">
      <w:pPr>
        <w:pStyle w:val="Prrafodelista"/>
        <w:spacing w:after="0" w:line="360" w:lineRule="auto"/>
        <w:ind w:left="0"/>
        <w:rPr>
          <w:rFonts w:ascii="Times New Roman" w:hAnsi="Times New Roman"/>
          <w:sz w:val="24"/>
          <w:szCs w:val="24"/>
        </w:rPr>
      </w:pPr>
      <w:r w:rsidRPr="006E3974">
        <w:rPr>
          <w:rFonts w:ascii="Times New Roman" w:hAnsi="Times New Roman"/>
          <w:sz w:val="24"/>
          <w:szCs w:val="24"/>
        </w:rPr>
        <w:t xml:space="preserve">8. </w:t>
      </w:r>
      <w:proofErr w:type="spellStart"/>
      <w:r w:rsidRPr="006E3974">
        <w:rPr>
          <w:rFonts w:ascii="Times New Roman" w:hAnsi="Times New Roman"/>
          <w:sz w:val="24"/>
          <w:szCs w:val="24"/>
        </w:rPr>
        <w:t>Chimbí</w:t>
      </w:r>
      <w:proofErr w:type="spellEnd"/>
      <w:r w:rsidRPr="006E3974">
        <w:rPr>
          <w:rFonts w:ascii="Times New Roman" w:hAnsi="Times New Roman"/>
          <w:sz w:val="24"/>
          <w:szCs w:val="24"/>
        </w:rPr>
        <w:t xml:space="preserve"> AC, Santacruz EJ, Samper TR, Santamaría GH. Alteraciones del comportamiento de pacientes con diagnóstico de trastorno </w:t>
      </w:r>
      <w:proofErr w:type="spellStart"/>
      <w:r w:rsidRPr="006E3974">
        <w:rPr>
          <w:rFonts w:ascii="Times New Roman" w:hAnsi="Times New Roman"/>
          <w:sz w:val="24"/>
          <w:szCs w:val="24"/>
        </w:rPr>
        <w:t>neurocognoscitivo</w:t>
      </w:r>
      <w:proofErr w:type="spellEnd"/>
      <w:r w:rsidRPr="006E3974">
        <w:rPr>
          <w:rFonts w:ascii="Times New Roman" w:hAnsi="Times New Roman"/>
          <w:sz w:val="24"/>
          <w:szCs w:val="24"/>
        </w:rPr>
        <w:t xml:space="preserve"> en Bogotá (Colombia). Rev. </w:t>
      </w:r>
      <w:proofErr w:type="spellStart"/>
      <w:r w:rsidRPr="006E3974">
        <w:rPr>
          <w:rFonts w:ascii="Times New Roman" w:hAnsi="Times New Roman"/>
          <w:sz w:val="24"/>
          <w:szCs w:val="24"/>
        </w:rPr>
        <w:t>colomb</w:t>
      </w:r>
      <w:proofErr w:type="spellEnd"/>
      <w:r w:rsidRPr="006E3974">
        <w:rPr>
          <w:rFonts w:ascii="Times New Roman" w:hAnsi="Times New Roman"/>
          <w:sz w:val="24"/>
          <w:szCs w:val="24"/>
        </w:rPr>
        <w:t xml:space="preserve">.  </w:t>
      </w:r>
      <w:proofErr w:type="spellStart"/>
      <w:r w:rsidRPr="006E3974">
        <w:rPr>
          <w:rFonts w:ascii="Times New Roman" w:hAnsi="Times New Roman"/>
          <w:sz w:val="24"/>
          <w:szCs w:val="24"/>
        </w:rPr>
        <w:t>Psiquiatr</w:t>
      </w:r>
      <w:proofErr w:type="spellEnd"/>
      <w:r w:rsidRPr="006E3974">
        <w:rPr>
          <w:rFonts w:ascii="Times New Roman" w:hAnsi="Times New Roman"/>
          <w:sz w:val="24"/>
          <w:szCs w:val="24"/>
        </w:rPr>
        <w:t>. 2018</w:t>
      </w:r>
      <w:r>
        <w:rPr>
          <w:rFonts w:ascii="Times New Roman" w:hAnsi="Times New Roman"/>
          <w:sz w:val="24"/>
          <w:szCs w:val="24"/>
        </w:rPr>
        <w:t xml:space="preserve"> [acceso:20/9/2020];49(3): 136-</w:t>
      </w:r>
      <w:r w:rsidRPr="006E3974">
        <w:rPr>
          <w:rFonts w:ascii="Times New Roman" w:hAnsi="Times New Roman"/>
          <w:sz w:val="24"/>
          <w:szCs w:val="24"/>
        </w:rPr>
        <w:t xml:space="preserve">41.  Disponible en: </w:t>
      </w:r>
    </w:p>
    <w:p w14:paraId="37022197" w14:textId="77777777" w:rsidR="001E51F7" w:rsidRPr="006E3974" w:rsidRDefault="0072418F" w:rsidP="001E51F7">
      <w:pPr>
        <w:pStyle w:val="Prrafodelista"/>
        <w:spacing w:after="0" w:line="360" w:lineRule="auto"/>
        <w:ind w:left="0"/>
        <w:rPr>
          <w:rFonts w:ascii="Times New Roman" w:hAnsi="Times New Roman"/>
          <w:sz w:val="24"/>
          <w:szCs w:val="24"/>
        </w:rPr>
      </w:pPr>
      <w:hyperlink r:id="rId16" w:history="1">
        <w:r w:rsidR="001E51F7" w:rsidRPr="006E3974">
          <w:rPr>
            <w:rStyle w:val="Hipervnculo"/>
            <w:rFonts w:ascii="Times New Roman" w:hAnsi="Times New Roman"/>
            <w:sz w:val="24"/>
            <w:szCs w:val="24"/>
          </w:rPr>
          <w:t>https://www.sciencedirect.com/science/article/pii/S0034745018301021</w:t>
        </w:r>
      </w:hyperlink>
      <w:r w:rsidR="001E51F7" w:rsidRPr="006E3974">
        <w:rPr>
          <w:rFonts w:ascii="Times New Roman" w:hAnsi="Times New Roman"/>
          <w:sz w:val="24"/>
          <w:szCs w:val="24"/>
        </w:rPr>
        <w:t xml:space="preserve"> </w:t>
      </w:r>
    </w:p>
    <w:p w14:paraId="67CF7ED0" w14:textId="77777777" w:rsidR="001E51F7" w:rsidRPr="006E3974" w:rsidRDefault="001E51F7" w:rsidP="001E51F7">
      <w:pPr>
        <w:pStyle w:val="Prrafodelista"/>
        <w:spacing w:after="0" w:line="360" w:lineRule="auto"/>
        <w:ind w:left="0"/>
        <w:rPr>
          <w:rFonts w:ascii="Times New Roman" w:hAnsi="Times New Roman"/>
          <w:sz w:val="24"/>
          <w:szCs w:val="24"/>
        </w:rPr>
      </w:pPr>
      <w:r w:rsidRPr="006E3974">
        <w:rPr>
          <w:rFonts w:ascii="Times New Roman" w:hAnsi="Times New Roman"/>
          <w:sz w:val="24"/>
          <w:szCs w:val="24"/>
        </w:rPr>
        <w:t xml:space="preserve">9. Castillo RA, De Luna CJ, López GR, Pliego FF, Sánchez RU, Gallegos EG. Perfil neuropsicológico del trastorno neurocognitivo mayor debido a enfermedad de Alzheimer, vascular y trastorno frontotemporal en población mexicana. </w:t>
      </w:r>
      <w:proofErr w:type="spellStart"/>
      <w:r w:rsidRPr="006E3974">
        <w:rPr>
          <w:rFonts w:ascii="Times New Roman" w:hAnsi="Times New Roman"/>
          <w:sz w:val="24"/>
          <w:szCs w:val="24"/>
        </w:rPr>
        <w:t>Rev</w:t>
      </w:r>
      <w:proofErr w:type="spellEnd"/>
      <w:r w:rsidRPr="006E3974">
        <w:rPr>
          <w:rFonts w:ascii="Times New Roman" w:hAnsi="Times New Roman"/>
          <w:sz w:val="24"/>
          <w:szCs w:val="24"/>
        </w:rPr>
        <w:t xml:space="preserve"> Mex </w:t>
      </w:r>
      <w:proofErr w:type="spellStart"/>
      <w:r w:rsidRPr="006E3974">
        <w:rPr>
          <w:rFonts w:ascii="Times New Roman" w:hAnsi="Times New Roman"/>
          <w:sz w:val="24"/>
          <w:szCs w:val="24"/>
        </w:rPr>
        <w:t>Neuroci</w:t>
      </w:r>
      <w:proofErr w:type="spellEnd"/>
      <w:r w:rsidRPr="006E3974">
        <w:rPr>
          <w:rFonts w:ascii="Times New Roman" w:hAnsi="Times New Roman"/>
          <w:sz w:val="24"/>
          <w:szCs w:val="24"/>
        </w:rPr>
        <w:t xml:space="preserve">. 2014[acceso: 24/9/2020];15(5):259-66. Disponible en:     </w:t>
      </w:r>
      <w:hyperlink r:id="rId17" w:history="1">
        <w:r w:rsidRPr="006E3974">
          <w:rPr>
            <w:rStyle w:val="Hipervnculo"/>
            <w:rFonts w:ascii="Times New Roman" w:hAnsi="Times New Roman"/>
            <w:sz w:val="24"/>
            <w:szCs w:val="24"/>
          </w:rPr>
          <w:t>https://www.medigraphic.com/pdfs/revmexneu/rmn-2014/rmn145c.pdf</w:t>
        </w:r>
      </w:hyperlink>
      <w:r w:rsidRPr="006E3974">
        <w:rPr>
          <w:rFonts w:ascii="Times New Roman" w:hAnsi="Times New Roman"/>
          <w:sz w:val="24"/>
          <w:szCs w:val="24"/>
        </w:rPr>
        <w:t xml:space="preserve"> </w:t>
      </w:r>
    </w:p>
    <w:p w14:paraId="1E40CD0D" w14:textId="0249BD2F" w:rsidR="001E51F7" w:rsidRPr="006E3974" w:rsidRDefault="001E51F7" w:rsidP="001E51F7">
      <w:pPr>
        <w:pStyle w:val="Prrafodelista"/>
        <w:spacing w:after="0" w:line="360" w:lineRule="auto"/>
        <w:ind w:left="0"/>
        <w:rPr>
          <w:rFonts w:ascii="Times New Roman" w:hAnsi="Times New Roman"/>
          <w:sz w:val="24"/>
          <w:szCs w:val="24"/>
        </w:rPr>
      </w:pPr>
      <w:r w:rsidRPr="006E3974">
        <w:rPr>
          <w:rFonts w:ascii="Times New Roman" w:hAnsi="Times New Roman"/>
          <w:sz w:val="24"/>
          <w:szCs w:val="24"/>
        </w:rPr>
        <w:t xml:space="preserve">10. Miranda A, </w:t>
      </w:r>
      <w:proofErr w:type="spellStart"/>
      <w:r w:rsidRPr="006E3974">
        <w:rPr>
          <w:rFonts w:ascii="Times New Roman" w:hAnsi="Times New Roman"/>
          <w:sz w:val="24"/>
          <w:szCs w:val="24"/>
        </w:rPr>
        <w:t>Pruvost</w:t>
      </w:r>
      <w:proofErr w:type="spellEnd"/>
      <w:r w:rsidRPr="006E3974">
        <w:rPr>
          <w:rFonts w:ascii="Times New Roman" w:hAnsi="Times New Roman"/>
          <w:sz w:val="24"/>
          <w:szCs w:val="24"/>
        </w:rPr>
        <w:t xml:space="preserve"> M, González PF, </w:t>
      </w:r>
      <w:proofErr w:type="spellStart"/>
      <w:r w:rsidRPr="006E3974">
        <w:rPr>
          <w:rFonts w:ascii="Times New Roman" w:hAnsi="Times New Roman"/>
          <w:sz w:val="24"/>
          <w:szCs w:val="24"/>
        </w:rPr>
        <w:t>Rimoldi</w:t>
      </w:r>
      <w:proofErr w:type="spellEnd"/>
      <w:r w:rsidRPr="006E3974">
        <w:rPr>
          <w:rFonts w:ascii="Times New Roman" w:hAnsi="Times New Roman"/>
          <w:sz w:val="24"/>
          <w:szCs w:val="24"/>
        </w:rPr>
        <w:t xml:space="preserve"> MF, Viale M, Cáceres M. Perfiles neuropsicológicos: Enfermedad de Alzheimer y Parkinson, Deterioro cognitivo leve, Trastorno depresivo mayor y Envejecimiento. Cuadernos de Neuropsicología. </w:t>
      </w:r>
      <w:proofErr w:type="spellStart"/>
      <w:r w:rsidRPr="006E3974">
        <w:rPr>
          <w:rFonts w:ascii="Times New Roman" w:hAnsi="Times New Roman"/>
          <w:sz w:val="24"/>
          <w:szCs w:val="24"/>
        </w:rPr>
        <w:t>Panamerican</w:t>
      </w:r>
      <w:proofErr w:type="spellEnd"/>
      <w:r w:rsidRPr="006E3974">
        <w:rPr>
          <w:rFonts w:ascii="Times New Roman" w:hAnsi="Times New Roman"/>
          <w:sz w:val="24"/>
          <w:szCs w:val="24"/>
        </w:rPr>
        <w:t xml:space="preserve"> </w:t>
      </w:r>
      <w:proofErr w:type="spellStart"/>
      <w:r w:rsidRPr="006E3974">
        <w:rPr>
          <w:rFonts w:ascii="Times New Roman" w:hAnsi="Times New Roman"/>
          <w:sz w:val="24"/>
          <w:szCs w:val="24"/>
        </w:rPr>
        <w:t>Journal</w:t>
      </w:r>
      <w:proofErr w:type="spellEnd"/>
      <w:r w:rsidRPr="006E3974">
        <w:rPr>
          <w:rFonts w:ascii="Times New Roman" w:hAnsi="Times New Roman"/>
          <w:sz w:val="24"/>
          <w:szCs w:val="24"/>
        </w:rPr>
        <w:t xml:space="preserve"> </w:t>
      </w:r>
      <w:proofErr w:type="spellStart"/>
      <w:r w:rsidRPr="006E3974">
        <w:rPr>
          <w:rFonts w:ascii="Times New Roman" w:hAnsi="Times New Roman"/>
          <w:sz w:val="24"/>
          <w:szCs w:val="24"/>
        </w:rPr>
        <w:t>of</w:t>
      </w:r>
      <w:proofErr w:type="spellEnd"/>
      <w:r w:rsidRPr="006E3974">
        <w:rPr>
          <w:rFonts w:ascii="Times New Roman" w:hAnsi="Times New Roman"/>
          <w:sz w:val="24"/>
          <w:szCs w:val="24"/>
        </w:rPr>
        <w:t xml:space="preserve"> </w:t>
      </w:r>
      <w:proofErr w:type="spellStart"/>
      <w:r w:rsidR="00B648A7">
        <w:rPr>
          <w:rFonts w:ascii="Times New Roman" w:hAnsi="Times New Roman"/>
          <w:sz w:val="24"/>
          <w:szCs w:val="24"/>
        </w:rPr>
        <w:t>N</w:t>
      </w:r>
      <w:r w:rsidRPr="006E3974">
        <w:rPr>
          <w:rFonts w:ascii="Times New Roman" w:hAnsi="Times New Roman"/>
          <w:sz w:val="24"/>
          <w:szCs w:val="24"/>
        </w:rPr>
        <w:t>europshychology</w:t>
      </w:r>
      <w:proofErr w:type="spellEnd"/>
      <w:r w:rsidRPr="006E3974">
        <w:rPr>
          <w:rFonts w:ascii="Times New Roman" w:hAnsi="Times New Roman"/>
          <w:sz w:val="24"/>
          <w:szCs w:val="24"/>
        </w:rPr>
        <w:t xml:space="preserve">. 2015 [acceso: 20/1/2020]; 9(2):10-77. Disponible en: </w:t>
      </w:r>
      <w:hyperlink r:id="rId18" w:history="1">
        <w:r w:rsidRPr="006E3974">
          <w:rPr>
            <w:rStyle w:val="Hipervnculo"/>
            <w:rFonts w:ascii="Times New Roman" w:hAnsi="Times New Roman"/>
            <w:sz w:val="24"/>
            <w:szCs w:val="24"/>
          </w:rPr>
          <w:t>https://dialnet.unirioja.es/servlet/articulo?codigo=6036062</w:t>
        </w:r>
      </w:hyperlink>
      <w:r w:rsidRPr="006E3974">
        <w:rPr>
          <w:rFonts w:ascii="Times New Roman" w:hAnsi="Times New Roman"/>
          <w:sz w:val="24"/>
          <w:szCs w:val="24"/>
        </w:rPr>
        <w:t xml:space="preserve"> </w:t>
      </w:r>
    </w:p>
    <w:p w14:paraId="37073D3F" w14:textId="77777777" w:rsidR="001E51F7" w:rsidRPr="006E3974" w:rsidRDefault="001E51F7" w:rsidP="001E51F7">
      <w:pPr>
        <w:pStyle w:val="Prrafodelista"/>
        <w:spacing w:after="0" w:line="360" w:lineRule="auto"/>
        <w:ind w:left="0"/>
        <w:rPr>
          <w:rFonts w:ascii="Times New Roman" w:hAnsi="Times New Roman"/>
          <w:sz w:val="24"/>
          <w:szCs w:val="24"/>
        </w:rPr>
      </w:pPr>
    </w:p>
    <w:p w14:paraId="2BC56557" w14:textId="77777777" w:rsidR="001E51F7" w:rsidRPr="006E3974" w:rsidRDefault="001E51F7" w:rsidP="001E51F7">
      <w:pPr>
        <w:pStyle w:val="Prrafodelista"/>
        <w:spacing w:after="0" w:line="360" w:lineRule="auto"/>
        <w:ind w:left="0"/>
        <w:jc w:val="both"/>
        <w:rPr>
          <w:rFonts w:ascii="Times New Roman" w:hAnsi="Times New Roman"/>
          <w:b/>
          <w:sz w:val="24"/>
          <w:szCs w:val="24"/>
        </w:rPr>
      </w:pPr>
    </w:p>
    <w:p w14:paraId="4ECD9112" w14:textId="77777777" w:rsidR="001E51F7" w:rsidRPr="006E3974" w:rsidRDefault="001E51F7" w:rsidP="001E51F7">
      <w:pPr>
        <w:pStyle w:val="Prrafodelista"/>
        <w:spacing w:after="0" w:line="360" w:lineRule="auto"/>
        <w:ind w:left="0"/>
        <w:jc w:val="center"/>
        <w:rPr>
          <w:rFonts w:ascii="Times New Roman" w:hAnsi="Times New Roman"/>
          <w:sz w:val="24"/>
          <w:szCs w:val="24"/>
        </w:rPr>
      </w:pPr>
      <w:r w:rsidRPr="006E3974">
        <w:rPr>
          <w:rFonts w:ascii="Times New Roman" w:hAnsi="Times New Roman"/>
          <w:b/>
          <w:sz w:val="24"/>
          <w:szCs w:val="24"/>
        </w:rPr>
        <w:t>Conflictos de inter</w:t>
      </w:r>
      <w:r>
        <w:rPr>
          <w:rFonts w:ascii="Times New Roman" w:hAnsi="Times New Roman"/>
          <w:b/>
          <w:sz w:val="24"/>
          <w:szCs w:val="24"/>
        </w:rPr>
        <w:t>e</w:t>
      </w:r>
      <w:r w:rsidRPr="006E3974">
        <w:rPr>
          <w:rFonts w:ascii="Times New Roman" w:hAnsi="Times New Roman"/>
          <w:b/>
          <w:sz w:val="24"/>
          <w:szCs w:val="24"/>
        </w:rPr>
        <w:t>s</w:t>
      </w:r>
      <w:r>
        <w:rPr>
          <w:rFonts w:ascii="Times New Roman" w:hAnsi="Times New Roman"/>
          <w:b/>
          <w:sz w:val="24"/>
          <w:szCs w:val="24"/>
        </w:rPr>
        <w:t>es</w:t>
      </w:r>
    </w:p>
    <w:p w14:paraId="1483A74E" w14:textId="61EB763C" w:rsidR="00675476" w:rsidRPr="00B648A7" w:rsidRDefault="001E51F7" w:rsidP="00B648A7">
      <w:pPr>
        <w:pStyle w:val="Prrafodelista"/>
        <w:spacing w:after="0" w:line="360" w:lineRule="auto"/>
        <w:ind w:left="0"/>
        <w:jc w:val="both"/>
        <w:rPr>
          <w:rFonts w:ascii="Times New Roman" w:hAnsi="Times New Roman"/>
          <w:bCs/>
          <w:sz w:val="24"/>
          <w:szCs w:val="24"/>
        </w:rPr>
      </w:pPr>
      <w:r w:rsidRPr="006E3974">
        <w:rPr>
          <w:rStyle w:val="elsevierstylesection"/>
          <w:rFonts w:ascii="Times New Roman" w:hAnsi="Times New Roman"/>
          <w:sz w:val="24"/>
          <w:szCs w:val="24"/>
        </w:rPr>
        <w:t>Los autores declar</w:t>
      </w:r>
      <w:r>
        <w:rPr>
          <w:rStyle w:val="elsevierstylesection"/>
          <w:rFonts w:ascii="Times New Roman" w:hAnsi="Times New Roman"/>
          <w:sz w:val="24"/>
          <w:szCs w:val="24"/>
        </w:rPr>
        <w:t>an no tener conflictos de intereses</w:t>
      </w:r>
      <w:r w:rsidRPr="006E3974">
        <w:rPr>
          <w:rStyle w:val="elsevierstylesection"/>
          <w:rFonts w:ascii="Times New Roman" w:hAnsi="Times New Roman"/>
          <w:sz w:val="24"/>
          <w:szCs w:val="24"/>
        </w:rPr>
        <w:t xml:space="preserve"> en relación a este artículo</w:t>
      </w:r>
      <w:r>
        <w:rPr>
          <w:rStyle w:val="elsevierstylesection"/>
          <w:rFonts w:ascii="Times New Roman" w:hAnsi="Times New Roman"/>
          <w:sz w:val="24"/>
          <w:szCs w:val="24"/>
        </w:rPr>
        <w:t>,</w:t>
      </w:r>
      <w:r w:rsidRPr="006E3974">
        <w:rPr>
          <w:rStyle w:val="elsevierstylesection"/>
          <w:rFonts w:ascii="Times New Roman" w:hAnsi="Times New Roman"/>
          <w:sz w:val="24"/>
          <w:szCs w:val="24"/>
        </w:rPr>
        <w:t xml:space="preserve"> ni fuentes de </w:t>
      </w:r>
      <w:r w:rsidRPr="006E3974">
        <w:rPr>
          <w:rStyle w:val="elsevierstylesection"/>
          <w:rFonts w:ascii="Times New Roman" w:hAnsi="Times New Roman"/>
          <w:bCs/>
          <w:sz w:val="24"/>
          <w:szCs w:val="24"/>
        </w:rPr>
        <w:t>financiamiento.</w:t>
      </w:r>
    </w:p>
    <w:sectPr w:rsidR="00675476" w:rsidRPr="00B648A7" w:rsidSect="000F3690">
      <w:headerReference w:type="default" r:id="rId19"/>
      <w:footerReference w:type="even" r:id="rId20"/>
      <w:footerReference w:type="default" r:id="rId21"/>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2EBB7" w14:textId="77777777" w:rsidR="0072418F" w:rsidRDefault="0072418F">
      <w:r>
        <w:separator/>
      </w:r>
    </w:p>
  </w:endnote>
  <w:endnote w:type="continuationSeparator" w:id="0">
    <w:p w14:paraId="16CDF377" w14:textId="77777777" w:rsidR="0072418F" w:rsidRDefault="0072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562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C0367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49AC"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6465E10B" wp14:editId="33774FB8">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49756"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34AFA3E" w14:textId="77777777" w:rsidR="00675476" w:rsidRPr="00AE044C" w:rsidRDefault="0072418F" w:rsidP="00391509">
    <w:pPr>
      <w:pStyle w:val="Piedepgina"/>
      <w:ind w:right="360"/>
      <w:rPr>
        <w:sz w:val="22"/>
        <w:szCs w:val="22"/>
      </w:rPr>
    </w:pPr>
    <w:hyperlink r:id="rId1" w:history="1">
      <w:r w:rsidR="00391509" w:rsidRPr="00AE044C">
        <w:rPr>
          <w:rStyle w:val="Hipervnculo"/>
          <w:sz w:val="22"/>
          <w:szCs w:val="22"/>
        </w:rPr>
        <w:t>http://scielo.sld.cu</w:t>
      </w:r>
    </w:hyperlink>
  </w:p>
  <w:p w14:paraId="5E6EDD2F" w14:textId="77777777" w:rsidR="00391509" w:rsidRPr="00AE044C" w:rsidRDefault="0072418F"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E284AE9"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033A0ED4" wp14:editId="65578B58">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F60B" w14:textId="77777777" w:rsidR="0072418F" w:rsidRDefault="0072418F">
      <w:r>
        <w:separator/>
      </w:r>
    </w:p>
  </w:footnote>
  <w:footnote w:type="continuationSeparator" w:id="0">
    <w:p w14:paraId="37074FA6" w14:textId="77777777" w:rsidR="0072418F" w:rsidRDefault="0072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1C7D" w14:textId="3ADA93D6"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0768" behindDoc="0" locked="0" layoutInCell="1" allowOverlap="1" wp14:anchorId="5D102FA4" wp14:editId="5100849D">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547B5E">
      <w:rPr>
        <w:sz w:val="22"/>
        <w:szCs w:val="22"/>
      </w:rPr>
      <w:t>2021</w:t>
    </w:r>
    <w:r w:rsidR="003E03D5">
      <w:rPr>
        <w:sz w:val="22"/>
        <w:szCs w:val="22"/>
      </w:rPr>
      <w:t>;</w:t>
    </w:r>
    <w:r w:rsidR="00547B5E">
      <w:rPr>
        <w:sz w:val="22"/>
        <w:szCs w:val="22"/>
      </w:rPr>
      <w:t>50</w:t>
    </w:r>
    <w:r w:rsidR="00493701" w:rsidRPr="00AE044C">
      <w:rPr>
        <w:sz w:val="22"/>
        <w:szCs w:val="22"/>
      </w:rPr>
      <w:t>(</w:t>
    </w:r>
    <w:r w:rsidR="00547B5E">
      <w:rPr>
        <w:sz w:val="22"/>
        <w:szCs w:val="22"/>
      </w:rPr>
      <w:t>3</w:t>
    </w:r>
    <w:r w:rsidR="00493701" w:rsidRPr="00AE044C">
      <w:rPr>
        <w:sz w:val="22"/>
        <w:szCs w:val="22"/>
      </w:rPr>
      <w:t>)</w:t>
    </w:r>
    <w:r w:rsidR="00391509" w:rsidRPr="00AE044C">
      <w:rPr>
        <w:sz w:val="22"/>
        <w:szCs w:val="22"/>
      </w:rPr>
      <w:t>:</w:t>
    </w:r>
    <w:r w:rsidR="00547B5E">
      <w:rPr>
        <w:sz w:val="22"/>
        <w:szCs w:val="22"/>
      </w:rPr>
      <w:t xml:space="preserve"> e02101036</w:t>
    </w:r>
  </w:p>
  <w:p w14:paraId="6209AB4B"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1BEC534E" wp14:editId="544489C3">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8C09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1F7"/>
    <w:rsid w:val="000F3690"/>
    <w:rsid w:val="001221D1"/>
    <w:rsid w:val="00180CE9"/>
    <w:rsid w:val="001E51F7"/>
    <w:rsid w:val="00230DD5"/>
    <w:rsid w:val="00380D64"/>
    <w:rsid w:val="00391509"/>
    <w:rsid w:val="003E03D5"/>
    <w:rsid w:val="00493701"/>
    <w:rsid w:val="004E2065"/>
    <w:rsid w:val="00547B5E"/>
    <w:rsid w:val="005508A2"/>
    <w:rsid w:val="00566F71"/>
    <w:rsid w:val="00675476"/>
    <w:rsid w:val="00683D98"/>
    <w:rsid w:val="006A61B8"/>
    <w:rsid w:val="0072418F"/>
    <w:rsid w:val="0078041B"/>
    <w:rsid w:val="007C430F"/>
    <w:rsid w:val="007D614D"/>
    <w:rsid w:val="009034D9"/>
    <w:rsid w:val="00945A60"/>
    <w:rsid w:val="00960D6A"/>
    <w:rsid w:val="009A0560"/>
    <w:rsid w:val="009B0917"/>
    <w:rsid w:val="00A064DF"/>
    <w:rsid w:val="00A23C0C"/>
    <w:rsid w:val="00A370DC"/>
    <w:rsid w:val="00A477DE"/>
    <w:rsid w:val="00A71E65"/>
    <w:rsid w:val="00AE044C"/>
    <w:rsid w:val="00B31971"/>
    <w:rsid w:val="00B4380A"/>
    <w:rsid w:val="00B648A7"/>
    <w:rsid w:val="00B66ECB"/>
    <w:rsid w:val="00BB18E1"/>
    <w:rsid w:val="00C7523A"/>
    <w:rsid w:val="00CC1B6E"/>
    <w:rsid w:val="00CC376A"/>
    <w:rsid w:val="00CC48A1"/>
    <w:rsid w:val="00D85951"/>
    <w:rsid w:val="00E4181B"/>
    <w:rsid w:val="00E62606"/>
    <w:rsid w:val="00F663B0"/>
    <w:rsid w:val="00F903C3"/>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B2B66"/>
  <w15:docId w15:val="{4BA5E3BA-46CC-47B6-AA78-61189506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1F7"/>
    <w:pPr>
      <w:spacing w:after="200" w:line="276" w:lineRule="auto"/>
    </w:pPr>
    <w:rPr>
      <w:rFonts w:ascii="Calibri" w:eastAsia="Calibri" w:hAnsi="Calibri"/>
      <w:sz w:val="22"/>
      <w:szCs w:val="22"/>
      <w:lang w:eastAsia="en-US"/>
    </w:rPr>
  </w:style>
  <w:style w:type="paragraph" w:styleId="Ttulo1">
    <w:name w:val="heading 1"/>
    <w:basedOn w:val="Normal"/>
    <w:next w:val="Normal"/>
    <w:link w:val="Ttulo1Car"/>
    <w:uiPriority w:val="9"/>
    <w:qFormat/>
    <w:rsid w:val="001E51F7"/>
    <w:pPr>
      <w:keepNext/>
      <w:spacing w:after="0" w:line="360" w:lineRule="auto"/>
      <w:jc w:val="center"/>
      <w:outlineLvl w:val="0"/>
    </w:pPr>
    <w:rPr>
      <w:rFonts w:ascii="Times New Roman" w:hAnsi="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1E51F7"/>
    <w:rPr>
      <w:rFonts w:eastAsia="Calibri"/>
      <w:b/>
      <w:sz w:val="24"/>
      <w:szCs w:val="24"/>
      <w:lang w:eastAsia="en-US"/>
    </w:rPr>
  </w:style>
  <w:style w:type="paragraph" w:styleId="Prrafodelista">
    <w:name w:val="List Paragraph"/>
    <w:basedOn w:val="Normal"/>
    <w:uiPriority w:val="34"/>
    <w:qFormat/>
    <w:rsid w:val="001E51F7"/>
    <w:pPr>
      <w:ind w:left="720"/>
      <w:contextualSpacing/>
    </w:pPr>
  </w:style>
  <w:style w:type="character" w:styleId="Textoennegrita">
    <w:name w:val="Strong"/>
    <w:uiPriority w:val="22"/>
    <w:qFormat/>
    <w:rsid w:val="001E51F7"/>
    <w:rPr>
      <w:b/>
      <w:bCs/>
    </w:rPr>
  </w:style>
  <w:style w:type="character" w:customStyle="1" w:styleId="elsevierstylesection">
    <w:name w:val="elsevierstylesection"/>
    <w:basedOn w:val="Fuentedeprrafopredeter"/>
    <w:rsid w:val="001E5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654-9177" TargetMode="External"/><Relationship Id="rId13" Type="http://schemas.openxmlformats.org/officeDocument/2006/relationships/hyperlink" Target="http://www.scielo.org.pe/pdf/rnp/v81n4/a04v81n4.pdf" TargetMode="External"/><Relationship Id="rId18" Type="http://schemas.openxmlformats.org/officeDocument/2006/relationships/hyperlink" Target="https://dialnet.unirioja.es/servlet/articulo?codigo=6036062"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orcid.org/0000-0002-1054-4859" TargetMode="External"/><Relationship Id="rId12" Type="http://schemas.openxmlformats.org/officeDocument/2006/relationships/hyperlink" Target="https://www.medigraphic.com/pdfs/revmexneu/rmn-2018/rmn186d.pdf" TargetMode="External"/><Relationship Id="rId17" Type="http://schemas.openxmlformats.org/officeDocument/2006/relationships/hyperlink" Target="https://www.medigraphic.com/pdfs/revmexneu/rmn-2014/rmn145c.pdf" TargetMode="External"/><Relationship Id="rId2" Type="http://schemas.openxmlformats.org/officeDocument/2006/relationships/settings" Target="settings.xml"/><Relationship Id="rId16" Type="http://schemas.openxmlformats.org/officeDocument/2006/relationships/hyperlink" Target="https://www.sciencedirect.com/science/article/pii/S0034745018301021"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orcid.org/0000-0002-8738-2018" TargetMode="External"/><Relationship Id="rId11" Type="http://schemas.openxmlformats.org/officeDocument/2006/relationships/image" Target="media/image2.jpg"/><Relationship Id="rId5" Type="http://schemas.openxmlformats.org/officeDocument/2006/relationships/endnotes" Target="endnotes.xml"/><Relationship Id="rId15" Type="http://schemas.openxmlformats.org/officeDocument/2006/relationships/hyperlink" Target="https://www.neurologia.com/articulo/2018196"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balvarezv@infomed.sld.cu" TargetMode="External"/><Relationship Id="rId14" Type="http://schemas.openxmlformats.org/officeDocument/2006/relationships/hyperlink" Target="https://scielo.conicyt.cl/scielo.php?pid=S0717-922720150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145</TotalTime>
  <Pages>8</Pages>
  <Words>2450</Words>
  <Characters>13477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15896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12</cp:revision>
  <cp:lastPrinted>2021-06-30T20:01:00Z</cp:lastPrinted>
  <dcterms:created xsi:type="dcterms:W3CDTF">2021-05-03T16:13:00Z</dcterms:created>
  <dcterms:modified xsi:type="dcterms:W3CDTF">2021-06-30T20:03:00Z</dcterms:modified>
</cp:coreProperties>
</file>