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BC" w:rsidRPr="0010133B" w:rsidRDefault="00E63BBC" w:rsidP="00E63BBC">
      <w:pPr>
        <w:pStyle w:val="Ttulo1"/>
        <w:rPr>
          <w:b w:val="0"/>
          <w:bCs w:val="0"/>
          <w:sz w:val="20"/>
          <w:szCs w:val="20"/>
        </w:rPr>
      </w:pPr>
      <w:r w:rsidRPr="0010133B">
        <w:rPr>
          <w:b w:val="0"/>
          <w:bCs w:val="0"/>
          <w:sz w:val="20"/>
          <w:szCs w:val="20"/>
        </w:rPr>
        <w:t>Presentación de caso</w:t>
      </w:r>
    </w:p>
    <w:p w:rsidR="00E63BBC" w:rsidRPr="0010133B" w:rsidRDefault="00E63BBC" w:rsidP="00E63BB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3BBC" w:rsidRPr="0010133B" w:rsidRDefault="00E63BBC" w:rsidP="00E63B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33B">
        <w:rPr>
          <w:rFonts w:ascii="Times New Roman" w:hAnsi="Times New Roman"/>
          <w:b/>
          <w:sz w:val="28"/>
          <w:szCs w:val="28"/>
        </w:rPr>
        <w:t xml:space="preserve">Intoxicación por </w:t>
      </w:r>
      <w:r>
        <w:rPr>
          <w:rFonts w:ascii="Times New Roman" w:hAnsi="Times New Roman"/>
          <w:b/>
          <w:sz w:val="28"/>
          <w:szCs w:val="28"/>
        </w:rPr>
        <w:t>a</w:t>
      </w:r>
      <w:r w:rsidRPr="0010133B">
        <w:rPr>
          <w:rFonts w:ascii="Times New Roman" w:hAnsi="Times New Roman"/>
          <w:b/>
          <w:sz w:val="28"/>
          <w:szCs w:val="28"/>
        </w:rPr>
        <w:t>delfa, un caso poco frecuente</w:t>
      </w:r>
    </w:p>
    <w:p w:rsidR="00E63BBC" w:rsidRPr="0010133B" w:rsidRDefault="00E63BBC" w:rsidP="00E63BB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0133B">
        <w:rPr>
          <w:rFonts w:ascii="Times New Roman" w:hAnsi="Times New Roman"/>
          <w:sz w:val="28"/>
          <w:szCs w:val="28"/>
          <w:lang w:val="en-US"/>
        </w:rPr>
        <w:t>Oleander poisoning, a rare case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63BBC" w:rsidRP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63BBC">
        <w:rPr>
          <w:rFonts w:ascii="Times New Roman" w:hAnsi="Times New Roman"/>
          <w:sz w:val="24"/>
          <w:szCs w:val="24"/>
          <w:lang w:val="en-US"/>
        </w:rPr>
        <w:t>Yunior</w:t>
      </w:r>
      <w:proofErr w:type="spellEnd"/>
      <w:r w:rsidRPr="00E63BBC">
        <w:rPr>
          <w:rFonts w:ascii="Times New Roman" w:hAnsi="Times New Roman"/>
          <w:sz w:val="24"/>
          <w:szCs w:val="24"/>
          <w:lang w:val="en-US"/>
        </w:rPr>
        <w:t xml:space="preserve"> González Freyre</w:t>
      </w:r>
      <w:r w:rsidRPr="00E63BBC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 </w:t>
      </w:r>
      <w:hyperlink r:id="rId7" w:history="1">
        <w:r w:rsidRPr="00E63BBC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https://orcid.org/0000-0002-3301-2599</w:t>
        </w:r>
      </w:hyperlink>
    </w:p>
    <w:p w:rsidR="00E63BBC" w:rsidRPr="00E74235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4235">
        <w:rPr>
          <w:rFonts w:ascii="Times New Roman" w:hAnsi="Times New Roman"/>
          <w:sz w:val="24"/>
          <w:szCs w:val="24"/>
        </w:rPr>
        <w:t xml:space="preserve">Luis Alberto </w:t>
      </w:r>
      <w:proofErr w:type="spellStart"/>
      <w:r w:rsidRPr="00E74235">
        <w:rPr>
          <w:rFonts w:ascii="Times New Roman" w:hAnsi="Times New Roman"/>
          <w:sz w:val="24"/>
          <w:szCs w:val="24"/>
        </w:rPr>
        <w:t>Bestard</w:t>
      </w:r>
      <w:proofErr w:type="spellEnd"/>
      <w:r w:rsidRPr="00E74235">
        <w:rPr>
          <w:rFonts w:ascii="Times New Roman" w:hAnsi="Times New Roman"/>
          <w:sz w:val="24"/>
          <w:szCs w:val="24"/>
        </w:rPr>
        <w:t xml:space="preserve"> Pavón</w:t>
      </w:r>
      <w:r w:rsidRPr="00E74235">
        <w:rPr>
          <w:rFonts w:ascii="Times New Roman" w:hAnsi="Times New Roman"/>
          <w:sz w:val="24"/>
          <w:szCs w:val="24"/>
          <w:vertAlign w:val="superscript"/>
        </w:rPr>
        <w:t>2</w:t>
      </w:r>
      <w:r w:rsidRPr="00E7423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5F2886">
          <w:rPr>
            <w:rStyle w:val="Hipervnculo"/>
            <w:rFonts w:ascii="Times New Roman" w:hAnsi="Times New Roman"/>
            <w:sz w:val="24"/>
            <w:szCs w:val="24"/>
          </w:rPr>
          <w:t>https://orcid.org/0000-0003-4269-8956</w:t>
        </w:r>
      </w:hyperlink>
    </w:p>
    <w:p w:rsidR="00E63BBC" w:rsidRPr="00E74235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4235">
        <w:rPr>
          <w:rFonts w:ascii="Times New Roman" w:hAnsi="Times New Roman"/>
          <w:sz w:val="24"/>
          <w:szCs w:val="24"/>
        </w:rPr>
        <w:t>Laura Barrero Viera</w:t>
      </w:r>
      <w:r w:rsidRPr="00E74235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hyperlink r:id="rId9" w:history="1">
        <w:r w:rsidRPr="005F2886">
          <w:rPr>
            <w:rStyle w:val="Hipervnculo"/>
            <w:rFonts w:ascii="Times New Roman" w:hAnsi="Times New Roman"/>
            <w:sz w:val="24"/>
            <w:szCs w:val="24"/>
          </w:rPr>
          <w:t>https://orcid.org/0000-0002-1435-0031</w:t>
        </w:r>
      </w:hyperlink>
    </w:p>
    <w:p w:rsidR="00E63BBC" w:rsidRPr="00E74235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235">
        <w:rPr>
          <w:rFonts w:ascii="Times New Roman" w:hAnsi="Times New Roman"/>
          <w:sz w:val="24"/>
          <w:szCs w:val="24"/>
        </w:rPr>
        <w:t>Yamilet</w:t>
      </w:r>
      <w:proofErr w:type="spellEnd"/>
      <w:r w:rsidRPr="00E74235">
        <w:rPr>
          <w:rFonts w:ascii="Times New Roman" w:hAnsi="Times New Roman"/>
          <w:sz w:val="24"/>
          <w:szCs w:val="24"/>
        </w:rPr>
        <w:t xml:space="preserve"> García González</w:t>
      </w:r>
      <w:r w:rsidRPr="005F2886">
        <w:rPr>
          <w:rFonts w:ascii="Times New Roman" w:hAnsi="Times New Roman"/>
          <w:sz w:val="24"/>
          <w:szCs w:val="24"/>
          <w:vertAlign w:val="superscript"/>
        </w:rPr>
        <w:t>1</w:t>
      </w:r>
      <w:r w:rsidRPr="00E7423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774963" w:rsidRPr="00AE11FD">
          <w:rPr>
            <w:rStyle w:val="Hipervnculo"/>
            <w:rFonts w:ascii="Times New Roman" w:hAnsi="Times New Roman"/>
            <w:sz w:val="24"/>
            <w:szCs w:val="24"/>
          </w:rPr>
          <w:t>https://orcid.org/0000-0001-5730-2585</w:t>
        </w:r>
      </w:hyperlink>
      <w:r w:rsidR="00774963">
        <w:rPr>
          <w:rFonts w:ascii="Times New Roman" w:hAnsi="Times New Roman"/>
          <w:sz w:val="24"/>
          <w:szCs w:val="24"/>
        </w:rPr>
        <w:t xml:space="preserve"> </w:t>
      </w:r>
    </w:p>
    <w:p w:rsidR="00E63BBC" w:rsidRPr="005F2886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2886">
        <w:rPr>
          <w:rFonts w:ascii="Times New Roman" w:hAnsi="Times New Roman"/>
          <w:sz w:val="24"/>
          <w:szCs w:val="24"/>
        </w:rPr>
        <w:t>Arianna</w:t>
      </w:r>
      <w:proofErr w:type="spellEnd"/>
      <w:r w:rsidRPr="005F2886">
        <w:rPr>
          <w:rFonts w:ascii="Times New Roman" w:hAnsi="Times New Roman"/>
          <w:sz w:val="24"/>
          <w:szCs w:val="24"/>
        </w:rPr>
        <w:t xml:space="preserve"> Londres Lobaina</w:t>
      </w:r>
      <w:r w:rsidRPr="005F2886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hyperlink r:id="rId11" w:history="1">
        <w:r w:rsidRPr="005F2886">
          <w:rPr>
            <w:rStyle w:val="Hipervnculo"/>
            <w:rFonts w:ascii="Times New Roman" w:hAnsi="Times New Roman"/>
            <w:sz w:val="24"/>
            <w:szCs w:val="24"/>
          </w:rPr>
          <w:t>https://orcid.org/0000-0001-7758-7987</w:t>
        </w:r>
      </w:hyperlink>
    </w:p>
    <w:p w:rsidR="00E63BBC" w:rsidRPr="00E74235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235">
        <w:rPr>
          <w:rFonts w:ascii="Times New Roman" w:hAnsi="Times New Roman"/>
          <w:sz w:val="24"/>
          <w:szCs w:val="24"/>
        </w:rPr>
        <w:t>Aliana</w:t>
      </w:r>
      <w:proofErr w:type="spellEnd"/>
      <w:r w:rsidRPr="00E74235">
        <w:rPr>
          <w:rFonts w:ascii="Times New Roman" w:hAnsi="Times New Roman"/>
          <w:sz w:val="24"/>
          <w:szCs w:val="24"/>
        </w:rPr>
        <w:t xml:space="preserve"> Iglesias Carrazana</w:t>
      </w:r>
      <w:r w:rsidRPr="00E74235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hyperlink r:id="rId12" w:history="1">
        <w:r w:rsidR="00774963" w:rsidRPr="00AE11FD">
          <w:rPr>
            <w:rStyle w:val="Hipervnculo"/>
            <w:rFonts w:ascii="Times New Roman" w:hAnsi="Times New Roman"/>
            <w:sz w:val="24"/>
            <w:szCs w:val="24"/>
          </w:rPr>
          <w:t>https://orcid.org/0000-0001-5272-8712</w:t>
        </w:r>
      </w:hyperlink>
      <w:r w:rsidR="00774963">
        <w:rPr>
          <w:rFonts w:ascii="Times New Roman" w:hAnsi="Times New Roman"/>
          <w:sz w:val="24"/>
          <w:szCs w:val="24"/>
        </w:rPr>
        <w:t xml:space="preserve">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  <w:vertAlign w:val="superscript"/>
        </w:rPr>
        <w:t>1</w:t>
      </w:r>
      <w:r w:rsidRPr="0010133B">
        <w:rPr>
          <w:rFonts w:ascii="Times New Roman" w:hAnsi="Times New Roman"/>
          <w:sz w:val="24"/>
          <w:szCs w:val="24"/>
        </w:rPr>
        <w:t>Centro Nacional de Toxicología. La Habana, Cuba</w:t>
      </w:r>
      <w:r>
        <w:rPr>
          <w:rFonts w:ascii="Times New Roman" w:hAnsi="Times New Roman"/>
          <w:sz w:val="24"/>
          <w:szCs w:val="24"/>
        </w:rPr>
        <w:t>.</w:t>
      </w: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10133B">
        <w:rPr>
          <w:rFonts w:ascii="Times New Roman" w:hAnsi="Times New Roman"/>
          <w:sz w:val="24"/>
          <w:szCs w:val="24"/>
        </w:rPr>
        <w:t xml:space="preserve">Hospital Militar Central </w:t>
      </w:r>
      <w:r>
        <w:rPr>
          <w:rFonts w:ascii="Times New Roman" w:hAnsi="Times New Roman"/>
          <w:sz w:val="24"/>
          <w:szCs w:val="24"/>
        </w:rPr>
        <w:t>“</w:t>
      </w:r>
      <w:r w:rsidRPr="0010133B">
        <w:rPr>
          <w:rFonts w:ascii="Times New Roman" w:hAnsi="Times New Roman"/>
          <w:sz w:val="24"/>
          <w:szCs w:val="24"/>
        </w:rPr>
        <w:t xml:space="preserve">Dr. Carlos J. </w:t>
      </w:r>
      <w:proofErr w:type="spellStart"/>
      <w:r w:rsidRPr="0010133B">
        <w:rPr>
          <w:rFonts w:ascii="Times New Roman" w:hAnsi="Times New Roman"/>
          <w:sz w:val="24"/>
          <w:szCs w:val="24"/>
        </w:rPr>
        <w:t>Finlay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10133B">
        <w:rPr>
          <w:rFonts w:ascii="Times New Roman" w:hAnsi="Times New Roman"/>
          <w:sz w:val="24"/>
          <w:szCs w:val="24"/>
        </w:rPr>
        <w:t>. La Habana, Cuba</w:t>
      </w:r>
      <w:r>
        <w:rPr>
          <w:rFonts w:ascii="Times New Roman" w:hAnsi="Times New Roman"/>
          <w:sz w:val="24"/>
          <w:szCs w:val="24"/>
        </w:rPr>
        <w:t>.</w:t>
      </w:r>
    </w:p>
    <w:p w:rsidR="00E63BBC" w:rsidRPr="00731787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Hospital General Provincial “Carlos Manuel de C</w:t>
      </w:r>
      <w:r w:rsidR="00774963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spedes”. Granma, Cuba.</w:t>
      </w: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*Autor para la correspondencia. Correo electrónico: </w:t>
      </w:r>
      <w:hyperlink r:id="rId13" w:history="1">
        <w:r w:rsidRPr="00444392">
          <w:rPr>
            <w:rStyle w:val="Hipervnculo"/>
            <w:rFonts w:ascii="Times New Roman" w:hAnsi="Times New Roman"/>
            <w:sz w:val="24"/>
            <w:szCs w:val="24"/>
          </w:rPr>
          <w:t>labestard@infomed.sld.cu</w:t>
        </w:r>
      </w:hyperlink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0133B">
        <w:rPr>
          <w:rFonts w:ascii="Times New Roman" w:hAnsi="Times New Roman"/>
          <w:b/>
          <w:sz w:val="24"/>
          <w:szCs w:val="24"/>
        </w:rPr>
        <w:t>RESUMEN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b/>
          <w:sz w:val="24"/>
          <w:szCs w:val="24"/>
        </w:rPr>
        <w:t>Introducción:</w:t>
      </w:r>
      <w:r w:rsidRPr="0010133B">
        <w:rPr>
          <w:rFonts w:ascii="Times New Roman" w:hAnsi="Times New Roman"/>
          <w:sz w:val="24"/>
          <w:szCs w:val="24"/>
        </w:rPr>
        <w:t xml:space="preserve"> Las intoxicaciones por plantas son infrecuentes, de complicada orientación diagnóstica, que en general, se dificulta la identificación de la planta, su potencial tóxico y el tratamiento específico. Entre ellas la adelfa, capaz de producir cuadros de intoxicación grave, como un caso consultado a la guardia del Centro Nacional de Toxicología. 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b/>
          <w:sz w:val="24"/>
          <w:szCs w:val="24"/>
        </w:rPr>
        <w:t>Objetivos:</w:t>
      </w:r>
      <w:r w:rsidRPr="0010133B">
        <w:rPr>
          <w:rFonts w:ascii="Times New Roman" w:hAnsi="Times New Roman"/>
          <w:sz w:val="24"/>
          <w:szCs w:val="24"/>
        </w:rPr>
        <w:t xml:space="preserve"> Presentar un caso clínico de intoxicación grave por adelfa.  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b/>
          <w:sz w:val="24"/>
          <w:szCs w:val="24"/>
        </w:rPr>
        <w:t>Caso clínico: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10133B">
        <w:rPr>
          <w:rFonts w:ascii="Times New Roman" w:hAnsi="Times New Roman"/>
          <w:sz w:val="24"/>
          <w:szCs w:val="24"/>
        </w:rPr>
        <w:t xml:space="preserve">aciente adulto, con intranquilidad, vómitos, dolores abdominales, tensión arterial 150/90 </w:t>
      </w:r>
      <w:proofErr w:type="spellStart"/>
      <w:r w:rsidRPr="0010133B">
        <w:rPr>
          <w:rFonts w:ascii="Times New Roman" w:hAnsi="Times New Roman"/>
          <w:sz w:val="24"/>
          <w:szCs w:val="24"/>
        </w:rPr>
        <w:t>mmHg</w:t>
      </w:r>
      <w:proofErr w:type="spellEnd"/>
      <w:r w:rsidRPr="0010133B">
        <w:rPr>
          <w:rFonts w:ascii="Times New Roman" w:hAnsi="Times New Roman"/>
          <w:sz w:val="24"/>
          <w:szCs w:val="24"/>
        </w:rPr>
        <w:t>, frecuencia cardiaca y respiratoria normales, refirió que había consumido vía oral y rectal una poción elaborada con una planta, como tratamiento antiparasitario. El médico de guardia decid</w:t>
      </w:r>
      <w:r>
        <w:rPr>
          <w:rFonts w:ascii="Times New Roman" w:hAnsi="Times New Roman"/>
          <w:sz w:val="24"/>
          <w:szCs w:val="24"/>
        </w:rPr>
        <w:t>ió</w:t>
      </w:r>
      <w:r w:rsidRPr="0010133B">
        <w:rPr>
          <w:rFonts w:ascii="Times New Roman" w:hAnsi="Times New Roman"/>
          <w:sz w:val="24"/>
          <w:szCs w:val="24"/>
        </w:rPr>
        <w:t xml:space="preserve"> comunicarse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con el Centro Nacional de Toxicología. Se identificó la planta como adelfa. A </w:t>
      </w:r>
      <w:r w:rsidRPr="0010133B">
        <w:rPr>
          <w:rFonts w:ascii="Times New Roman" w:hAnsi="Times New Roman"/>
          <w:sz w:val="24"/>
          <w:szCs w:val="24"/>
        </w:rPr>
        <w:lastRenderedPageBreak/>
        <w:t xml:space="preserve">pesar de la aplicación de reposición de volumen, lavado gástrico y la administración de carbón activado; presentó bloqueo </w:t>
      </w:r>
      <w:proofErr w:type="spellStart"/>
      <w:r w:rsidRPr="0010133B">
        <w:rPr>
          <w:rFonts w:ascii="Times New Roman" w:hAnsi="Times New Roman"/>
          <w:sz w:val="24"/>
          <w:szCs w:val="24"/>
        </w:rPr>
        <w:t>auriculoventricular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, extrasístoles aisladas </w:t>
      </w:r>
      <w:r>
        <w:rPr>
          <w:rFonts w:ascii="Times New Roman" w:hAnsi="Times New Roman"/>
          <w:sz w:val="24"/>
          <w:szCs w:val="24"/>
        </w:rPr>
        <w:t>y bradicardia. S</w:t>
      </w:r>
      <w:r w:rsidRPr="0010133B">
        <w:rPr>
          <w:rFonts w:ascii="Times New Roman" w:hAnsi="Times New Roman"/>
          <w:sz w:val="24"/>
          <w:szCs w:val="24"/>
        </w:rPr>
        <w:t xml:space="preserve">e suministró atropina endovenosa, </w:t>
      </w:r>
      <w:r>
        <w:rPr>
          <w:rFonts w:ascii="Times New Roman" w:hAnsi="Times New Roman"/>
          <w:sz w:val="24"/>
          <w:szCs w:val="24"/>
        </w:rPr>
        <w:t xml:space="preserve">luego se </w:t>
      </w:r>
      <w:r w:rsidRPr="0010133B">
        <w:rPr>
          <w:rFonts w:ascii="Times New Roman" w:hAnsi="Times New Roman"/>
          <w:sz w:val="24"/>
          <w:szCs w:val="24"/>
        </w:rPr>
        <w:t>traslad</w:t>
      </w:r>
      <w:r>
        <w:rPr>
          <w:rFonts w:ascii="Times New Roman" w:hAnsi="Times New Roman"/>
          <w:sz w:val="24"/>
          <w:szCs w:val="24"/>
        </w:rPr>
        <w:t xml:space="preserve">ó </w:t>
      </w:r>
      <w:r w:rsidRPr="0010133B">
        <w:rPr>
          <w:rFonts w:ascii="Times New Roman" w:hAnsi="Times New Roman"/>
          <w:sz w:val="24"/>
          <w:szCs w:val="24"/>
        </w:rPr>
        <w:t>hacia la unidad de cuidados intensivos</w:t>
      </w:r>
      <w:r>
        <w:rPr>
          <w:rFonts w:ascii="Times New Roman" w:hAnsi="Times New Roman"/>
          <w:sz w:val="24"/>
          <w:szCs w:val="24"/>
        </w:rPr>
        <w:t xml:space="preserve"> y posteriormente egresó</w:t>
      </w:r>
      <w:r w:rsidRPr="0010133B">
        <w:rPr>
          <w:rFonts w:ascii="Times New Roman" w:hAnsi="Times New Roman"/>
          <w:sz w:val="24"/>
          <w:szCs w:val="24"/>
        </w:rPr>
        <w:t xml:space="preserve">.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0133B">
        <w:rPr>
          <w:rFonts w:ascii="Times New Roman" w:hAnsi="Times New Roman"/>
          <w:b/>
          <w:sz w:val="24"/>
          <w:szCs w:val="24"/>
        </w:rPr>
        <w:t>Conclusiones:</w:t>
      </w:r>
      <w:r w:rsidRPr="0010133B">
        <w:rPr>
          <w:rFonts w:ascii="Times New Roman" w:hAnsi="Times New Roman"/>
          <w:sz w:val="24"/>
          <w:szCs w:val="24"/>
        </w:rPr>
        <w:t xml:space="preserve"> El caso presentó una intoxicación aguda grave por adelfa, con un correcto diagnóstico y tratamiento, </w:t>
      </w:r>
      <w:r>
        <w:rPr>
          <w:rFonts w:ascii="Times New Roman" w:hAnsi="Times New Roman"/>
          <w:sz w:val="24"/>
          <w:szCs w:val="24"/>
        </w:rPr>
        <w:t>q</w:t>
      </w:r>
      <w:r w:rsidRPr="0010133B">
        <w:rPr>
          <w:rFonts w:ascii="Times New Roman" w:hAnsi="Times New Roman"/>
          <w:sz w:val="24"/>
          <w:szCs w:val="24"/>
        </w:rPr>
        <w:t>ue requirió de la labor conjunta de los médicos del cuerpo de guardia del hospital, la terapia intensiva y del Centro Nacional de Toxicología.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b/>
          <w:sz w:val="24"/>
          <w:szCs w:val="24"/>
        </w:rPr>
        <w:t>Palabras clave: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10133B">
        <w:rPr>
          <w:rFonts w:ascii="Times New Roman" w:hAnsi="Times New Roman"/>
          <w:sz w:val="24"/>
          <w:szCs w:val="24"/>
        </w:rPr>
        <w:t xml:space="preserve">lantas tóxicas; intoxicación por </w:t>
      </w:r>
      <w:r>
        <w:rPr>
          <w:rFonts w:ascii="Times New Roman" w:hAnsi="Times New Roman"/>
          <w:sz w:val="24"/>
          <w:szCs w:val="24"/>
        </w:rPr>
        <w:t>a</w:t>
      </w:r>
      <w:r w:rsidRPr="0010133B">
        <w:rPr>
          <w:rFonts w:ascii="Times New Roman" w:hAnsi="Times New Roman"/>
          <w:sz w:val="24"/>
          <w:szCs w:val="24"/>
        </w:rPr>
        <w:t>delfa; glucósidos cardiacos.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133B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b/>
          <w:sz w:val="24"/>
          <w:szCs w:val="24"/>
          <w:lang w:val="en-US"/>
        </w:rPr>
        <w:t>Introduction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: Poisoning by plants is infrequent, with a complicated diagnostic orientation, which in general makes it difficult to identify the plant, its toxic potential and specific treatment. Among them the oleander, capable of producing serious intoxication, as a case consulted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 the National Toxicology Center.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b/>
          <w:sz w:val="24"/>
          <w:szCs w:val="24"/>
          <w:lang w:val="en-US"/>
        </w:rPr>
        <w:t>Objectives</w:t>
      </w:r>
      <w:r w:rsidRPr="0010133B">
        <w:rPr>
          <w:rFonts w:ascii="Times New Roman" w:hAnsi="Times New Roman"/>
          <w:sz w:val="24"/>
          <w:szCs w:val="24"/>
          <w:lang w:val="en-US"/>
        </w:rPr>
        <w:t>: To present a clinical case of severe oleander poisoning.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b/>
          <w:sz w:val="24"/>
          <w:szCs w:val="24"/>
          <w:lang w:val="en-US"/>
        </w:rPr>
        <w:t>Clinical case</w:t>
      </w:r>
      <w:r w:rsidRPr="0010133B">
        <w:rPr>
          <w:rFonts w:ascii="Times New Roman" w:hAnsi="Times New Roman"/>
          <w:sz w:val="24"/>
          <w:szCs w:val="24"/>
          <w:lang w:val="en-US"/>
        </w:rPr>
        <w:t>: Adult patient</w:t>
      </w:r>
      <w:r w:rsidR="007749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with restlessness, vomiting, abdominal pain, blood pressure 150/90 mmHg, normal heart and respiratory rates, and reported that he had consumed orally and rectally a potion made with a plant, as an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antiparasitic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treatment. The doctor who assisted him decided to communicate with the National </w:t>
      </w:r>
      <w:r>
        <w:rPr>
          <w:rFonts w:ascii="Times New Roman" w:hAnsi="Times New Roman"/>
          <w:sz w:val="24"/>
          <w:szCs w:val="24"/>
          <w:lang w:val="en-US"/>
        </w:rPr>
        <w:t>Toxicology Center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. The plant was identified as oleander. Despite the application of volume replacement, gastric lavage and the administration of activated charcoal; </w:t>
      </w:r>
      <w:r>
        <w:rPr>
          <w:rFonts w:ascii="Times New Roman" w:hAnsi="Times New Roman"/>
          <w:sz w:val="24"/>
          <w:szCs w:val="24"/>
          <w:lang w:val="en-US"/>
        </w:rPr>
        <w:t>the patient presented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atrioventricular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block, isolated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extrasystoles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and bradycardia, intravenous atropine was administered, and subsequent transfer to the intensive care unit, </w:t>
      </w:r>
      <w:r>
        <w:rPr>
          <w:rFonts w:ascii="Times New Roman" w:hAnsi="Times New Roman"/>
          <w:sz w:val="24"/>
          <w:szCs w:val="24"/>
          <w:lang w:val="en-US"/>
        </w:rPr>
        <w:t>and later he was discharged</w:t>
      </w:r>
      <w:r w:rsidRPr="0010133B">
        <w:rPr>
          <w:rFonts w:ascii="Times New Roman" w:hAnsi="Times New Roman"/>
          <w:sz w:val="24"/>
          <w:szCs w:val="24"/>
          <w:lang w:val="en-US"/>
        </w:rPr>
        <w:t>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b/>
          <w:sz w:val="24"/>
          <w:szCs w:val="24"/>
          <w:lang w:val="en-US"/>
        </w:rPr>
        <w:t>Conclusions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: The case presented a severe acute oleander poisoning, </w:t>
      </w:r>
      <w:r>
        <w:rPr>
          <w:rFonts w:ascii="Times New Roman" w:hAnsi="Times New Roman"/>
          <w:sz w:val="24"/>
          <w:szCs w:val="24"/>
          <w:lang w:val="en-US"/>
        </w:rPr>
        <w:t>there was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 correct diagnosis and treatment, which required the joint work of the doctors from</w:t>
      </w:r>
      <w:r>
        <w:rPr>
          <w:rFonts w:ascii="Times New Roman" w:hAnsi="Times New Roman"/>
          <w:sz w:val="24"/>
          <w:szCs w:val="24"/>
          <w:lang w:val="en-US"/>
        </w:rPr>
        <w:t xml:space="preserve"> hospital emergency</w:t>
      </w:r>
      <w:r w:rsidRPr="0010133B">
        <w:rPr>
          <w:rFonts w:ascii="Times New Roman" w:hAnsi="Times New Roman"/>
          <w:sz w:val="24"/>
          <w:szCs w:val="24"/>
          <w:lang w:val="en-US"/>
        </w:rPr>
        <w:t>, the intensive care unit and the National Toxicology Center.</w:t>
      </w: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F2886">
        <w:rPr>
          <w:rFonts w:ascii="Times New Roman" w:hAnsi="Times New Roman"/>
          <w:b/>
          <w:bCs/>
          <w:sz w:val="24"/>
          <w:szCs w:val="24"/>
          <w:lang w:val="en-US"/>
        </w:rPr>
        <w:t>Keywords: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10133B">
        <w:rPr>
          <w:rFonts w:ascii="Times New Roman" w:hAnsi="Times New Roman"/>
          <w:sz w:val="24"/>
          <w:szCs w:val="24"/>
          <w:lang w:val="en-US"/>
        </w:rPr>
        <w:t>oxic plants; oleander poisoning; cardiac glycosides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63BBC" w:rsidRPr="002B1066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1066">
        <w:rPr>
          <w:rFonts w:ascii="Times New Roman" w:hAnsi="Times New Roman"/>
          <w:sz w:val="24"/>
          <w:szCs w:val="24"/>
        </w:rPr>
        <w:lastRenderedPageBreak/>
        <w:t>Recibido: 11/11/2020</w:t>
      </w:r>
    </w:p>
    <w:p w:rsidR="00E63BBC" w:rsidRPr="002B1066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1066">
        <w:rPr>
          <w:rFonts w:ascii="Times New Roman" w:hAnsi="Times New Roman"/>
          <w:sz w:val="24"/>
          <w:szCs w:val="24"/>
        </w:rPr>
        <w:t>Aprobado:</w:t>
      </w:r>
      <w:r w:rsidR="00774963">
        <w:rPr>
          <w:rFonts w:ascii="Times New Roman" w:hAnsi="Times New Roman"/>
          <w:sz w:val="24"/>
          <w:szCs w:val="24"/>
        </w:rPr>
        <w:t xml:space="preserve"> </w:t>
      </w:r>
      <w:r w:rsidRPr="002B1066">
        <w:rPr>
          <w:rFonts w:ascii="Times New Roman" w:hAnsi="Times New Roman"/>
          <w:sz w:val="24"/>
          <w:szCs w:val="24"/>
        </w:rPr>
        <w:t>19/02/2021</w:t>
      </w:r>
    </w:p>
    <w:p w:rsidR="00E63BBC" w:rsidRPr="002B1066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BBC" w:rsidRPr="005F2886" w:rsidRDefault="00E63BBC" w:rsidP="00E63BB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886">
        <w:rPr>
          <w:rFonts w:ascii="Times New Roman" w:hAnsi="Times New Roman"/>
          <w:b/>
          <w:sz w:val="32"/>
          <w:szCs w:val="32"/>
        </w:rPr>
        <w:t>INTRODUCCIÓN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En las estadísticas de las intoxicaciones, son infrecuentes las provocadas por sustancias vegetales</w:t>
      </w:r>
      <w:r>
        <w:rPr>
          <w:rFonts w:ascii="Times New Roman" w:hAnsi="Times New Roman"/>
          <w:sz w:val="24"/>
          <w:szCs w:val="24"/>
        </w:rPr>
        <w:t>;</w:t>
      </w:r>
      <w:r w:rsidRPr="0010133B">
        <w:rPr>
          <w:rFonts w:ascii="Times New Roman" w:hAnsi="Times New Roman"/>
          <w:sz w:val="24"/>
          <w:szCs w:val="24"/>
        </w:rPr>
        <w:t xml:space="preserve"> representan entre 1 a 2 % de todas las intoxicaciones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10133B">
        <w:rPr>
          <w:rFonts w:ascii="Times New Roman" w:hAnsi="Times New Roman"/>
          <w:sz w:val="24"/>
          <w:szCs w:val="24"/>
        </w:rPr>
        <w:t>oseen una orientación diagnóstica complicada, usualmente las personas no refieren el antecedente de exposición  o consumo de la planta, o el estado clínico impide informa</w:t>
      </w:r>
      <w:r w:rsidR="00774963">
        <w:rPr>
          <w:rFonts w:ascii="Times New Roman" w:hAnsi="Times New Roman"/>
          <w:sz w:val="24"/>
          <w:szCs w:val="24"/>
        </w:rPr>
        <w:t>r</w:t>
      </w:r>
      <w:r w:rsidRPr="0010133B"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y la desconocen los familiares. Se añade la poca información toxicológica sobre muchas especies vegetales y el </w:t>
      </w:r>
      <w:r>
        <w:rPr>
          <w:rFonts w:ascii="Times New Roman" w:hAnsi="Times New Roman"/>
          <w:sz w:val="24"/>
          <w:szCs w:val="24"/>
        </w:rPr>
        <w:t xml:space="preserve">escaso </w:t>
      </w:r>
      <w:r w:rsidRPr="0010133B">
        <w:rPr>
          <w:rFonts w:ascii="Times New Roman" w:hAnsi="Times New Roman"/>
          <w:sz w:val="24"/>
          <w:szCs w:val="24"/>
        </w:rPr>
        <w:t>conocimiento botánico, que dificulta la identificación de la planta, su potencial tóxico y del tratamiento específico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1)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Entre las plantas ornamentales, está la adelfa (</w:t>
      </w:r>
      <w:proofErr w:type="spellStart"/>
      <w:r w:rsidRPr="0010133B">
        <w:rPr>
          <w:rFonts w:ascii="Times New Roman" w:hAnsi="Times New Roman"/>
          <w:i/>
          <w:sz w:val="24"/>
          <w:szCs w:val="24"/>
        </w:rPr>
        <w:t>Nerium</w:t>
      </w:r>
      <w:proofErr w:type="spellEnd"/>
      <w:r w:rsidR="007749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i/>
          <w:sz w:val="24"/>
          <w:szCs w:val="24"/>
        </w:rPr>
        <w:t>oleander</w:t>
      </w:r>
      <w:proofErr w:type="spellEnd"/>
      <w:r w:rsidRPr="0010133B">
        <w:rPr>
          <w:rFonts w:ascii="Times New Roman" w:hAnsi="Times New Roman"/>
          <w:sz w:val="24"/>
          <w:szCs w:val="24"/>
        </w:rPr>
        <w:t>) (Fig. 1), arbusto de coloridas flores, follaje siempre verde y requerimientos mínimos de mantenimiento, que garantiza su amplia distribución en gran parte del mundo y en Cuba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2,3,4)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63BBC" w:rsidRDefault="006327EA" w:rsidP="00E63B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4314825" cy="26955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01_105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BBC" w:rsidRPr="005F2886" w:rsidRDefault="00E63BBC" w:rsidP="00E63BBC">
      <w:pPr>
        <w:spacing w:after="0" w:line="360" w:lineRule="auto"/>
        <w:jc w:val="center"/>
        <w:rPr>
          <w:rFonts w:ascii="Times New Roman" w:hAnsi="Times New Roman"/>
        </w:rPr>
      </w:pPr>
      <w:r w:rsidRPr="005F2886">
        <w:rPr>
          <w:rFonts w:ascii="Times New Roman" w:hAnsi="Times New Roman"/>
          <w:b/>
          <w:bCs/>
        </w:rPr>
        <w:t>Fig. 1 -</w:t>
      </w:r>
      <w:r w:rsidRPr="005F2886">
        <w:rPr>
          <w:rFonts w:ascii="Times New Roman" w:hAnsi="Times New Roman"/>
        </w:rPr>
        <w:t>Arbusto de adelfa florecido.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lastRenderedPageBreak/>
        <w:t>La adelfa es una planta venenosa,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presenta sustancias denominadas glucósidos </w:t>
      </w:r>
      <w:proofErr w:type="spellStart"/>
      <w:r w:rsidRPr="0010133B">
        <w:rPr>
          <w:rFonts w:ascii="Times New Roman" w:hAnsi="Times New Roman"/>
          <w:sz w:val="24"/>
          <w:szCs w:val="24"/>
        </w:rPr>
        <w:t>cardiogénicos</w:t>
      </w:r>
      <w:proofErr w:type="spellEnd"/>
      <w:r w:rsidRPr="0010133B">
        <w:rPr>
          <w:rFonts w:ascii="Times New Roman" w:hAnsi="Times New Roman"/>
          <w:sz w:val="24"/>
          <w:szCs w:val="24"/>
        </w:rPr>
        <w:t>, capaces de producir intoxicaciones de gravedad variable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3,4)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Una serie de 6</w:t>
      </w:r>
      <w:r>
        <w:rPr>
          <w:rFonts w:ascii="Times New Roman" w:hAnsi="Times New Roman"/>
          <w:sz w:val="24"/>
          <w:szCs w:val="24"/>
        </w:rPr>
        <w:t> </w:t>
      </w:r>
      <w:r w:rsidRPr="0010133B">
        <w:rPr>
          <w:rFonts w:ascii="Times New Roman" w:hAnsi="Times New Roman"/>
          <w:sz w:val="24"/>
          <w:szCs w:val="24"/>
        </w:rPr>
        <w:t>500 consultas, en nueve años, en el Centro de Toxicología y Biomedicina de Cuba, registra 24 intoxicaciones por sustancia vegetales, de ellas tres por adelfa.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(1)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La base de datos del Centro Nacional de Toxicología (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entre 2015 y 2020, registra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 </w:t>
      </w:r>
      <w:r w:rsidRPr="0010133B">
        <w:rPr>
          <w:rFonts w:ascii="Times New Roman" w:hAnsi="Times New Roman"/>
          <w:sz w:val="24"/>
          <w:szCs w:val="24"/>
        </w:rPr>
        <w:t>424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consultas, de ellas 79 por plantas, con adelfa </w:t>
      </w:r>
      <w:r>
        <w:rPr>
          <w:rFonts w:ascii="Times New Roman" w:hAnsi="Times New Roman"/>
          <w:sz w:val="24"/>
          <w:szCs w:val="24"/>
        </w:rPr>
        <w:t>5</w:t>
      </w:r>
      <w:r w:rsidRPr="0010133B">
        <w:rPr>
          <w:rFonts w:ascii="Times New Roman" w:hAnsi="Times New Roman"/>
          <w:sz w:val="24"/>
          <w:szCs w:val="24"/>
        </w:rPr>
        <w:t>, con cuadros clínicos llamativos.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El objetivo de</w:t>
      </w:r>
      <w:r>
        <w:rPr>
          <w:rFonts w:ascii="Times New Roman" w:hAnsi="Times New Roman"/>
          <w:sz w:val="24"/>
          <w:szCs w:val="24"/>
        </w:rPr>
        <w:t xml:space="preserve"> este</w:t>
      </w:r>
      <w:r w:rsidRPr="0010133B">
        <w:rPr>
          <w:rFonts w:ascii="Times New Roman" w:hAnsi="Times New Roman"/>
          <w:sz w:val="24"/>
          <w:szCs w:val="24"/>
        </w:rPr>
        <w:t xml:space="preserve"> trabajo es presentar un caso de intoxicación aguda grave por esta planta,</w:t>
      </w:r>
      <w:r>
        <w:rPr>
          <w:rFonts w:ascii="Times New Roman" w:hAnsi="Times New Roman"/>
          <w:sz w:val="24"/>
          <w:szCs w:val="24"/>
        </w:rPr>
        <w:t xml:space="preserve"> que se</w:t>
      </w:r>
      <w:r w:rsidRPr="0010133B">
        <w:rPr>
          <w:rFonts w:ascii="Times New Roman" w:hAnsi="Times New Roman"/>
          <w:sz w:val="24"/>
          <w:szCs w:val="24"/>
        </w:rPr>
        <w:t xml:space="preserve"> report</w:t>
      </w:r>
      <w:r>
        <w:rPr>
          <w:rFonts w:ascii="Times New Roman" w:hAnsi="Times New Roman"/>
          <w:sz w:val="24"/>
          <w:szCs w:val="24"/>
        </w:rPr>
        <w:t>a muy raramente en el mundo</w:t>
      </w:r>
      <w:r w:rsidRPr="0010133B">
        <w:rPr>
          <w:rFonts w:ascii="Times New Roman" w:hAnsi="Times New Roman"/>
          <w:sz w:val="24"/>
          <w:szCs w:val="24"/>
        </w:rPr>
        <w:t>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BBC" w:rsidRPr="005F2886" w:rsidRDefault="00E63BBC" w:rsidP="00E63BB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886">
        <w:rPr>
          <w:rFonts w:ascii="Times New Roman" w:hAnsi="Times New Roman"/>
          <w:b/>
          <w:sz w:val="32"/>
          <w:szCs w:val="32"/>
        </w:rPr>
        <w:t>CASO CLÍNICO</w:t>
      </w: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doctora de guardia en el</w:t>
      </w:r>
      <w:r w:rsidRPr="0010133B">
        <w:rPr>
          <w:rFonts w:ascii="Times New Roman" w:hAnsi="Times New Roman"/>
          <w:sz w:val="24"/>
          <w:szCs w:val="24"/>
        </w:rPr>
        <w:t xml:space="preserve"> Hospital </w:t>
      </w:r>
      <w:r>
        <w:rPr>
          <w:rFonts w:ascii="Times New Roman" w:hAnsi="Times New Roman"/>
          <w:sz w:val="24"/>
          <w:szCs w:val="24"/>
        </w:rPr>
        <w:t xml:space="preserve">General Provincial </w:t>
      </w:r>
      <w:r w:rsidRPr="0010133B">
        <w:rPr>
          <w:rFonts w:ascii="Times New Roman" w:hAnsi="Times New Roman"/>
          <w:sz w:val="24"/>
          <w:szCs w:val="24"/>
        </w:rPr>
        <w:t>“Carlos Manuel de C</w:t>
      </w:r>
      <w:r w:rsidR="00B0332E">
        <w:rPr>
          <w:rFonts w:ascii="Times New Roman" w:hAnsi="Times New Roman"/>
          <w:sz w:val="24"/>
          <w:szCs w:val="24"/>
        </w:rPr>
        <w:t>é</w:t>
      </w:r>
      <w:r w:rsidRPr="0010133B">
        <w:rPr>
          <w:rFonts w:ascii="Times New Roman" w:hAnsi="Times New Roman"/>
          <w:sz w:val="24"/>
          <w:szCs w:val="24"/>
        </w:rPr>
        <w:t>spedes”, de la provincia Granma,</w:t>
      </w:r>
      <w:r>
        <w:rPr>
          <w:rFonts w:ascii="Times New Roman" w:hAnsi="Times New Roman"/>
          <w:sz w:val="24"/>
          <w:szCs w:val="24"/>
        </w:rPr>
        <w:t xml:space="preserve"> Cuba, </w:t>
      </w:r>
      <w:r w:rsidRPr="0010133B">
        <w:rPr>
          <w:rFonts w:ascii="Times New Roman" w:hAnsi="Times New Roman"/>
          <w:sz w:val="24"/>
          <w:szCs w:val="24"/>
        </w:rPr>
        <w:t>solicitó ayuda</w:t>
      </w:r>
      <w:r>
        <w:rPr>
          <w:rFonts w:ascii="Times New Roman" w:hAnsi="Times New Roman"/>
          <w:sz w:val="24"/>
          <w:szCs w:val="24"/>
        </w:rPr>
        <w:t xml:space="preserve"> mediante el servicio </w:t>
      </w:r>
      <w:r w:rsidRPr="0010133B">
        <w:rPr>
          <w:rFonts w:ascii="Times New Roman" w:hAnsi="Times New Roman"/>
          <w:sz w:val="24"/>
          <w:szCs w:val="24"/>
        </w:rPr>
        <w:t>telefónic</w:t>
      </w:r>
      <w:r>
        <w:rPr>
          <w:rFonts w:ascii="Times New Roman" w:hAnsi="Times New Roman"/>
          <w:sz w:val="24"/>
          <w:szCs w:val="24"/>
        </w:rPr>
        <w:t>o de</w:t>
      </w:r>
      <w:r w:rsidRPr="0010133B">
        <w:rPr>
          <w:rFonts w:ascii="Times New Roman" w:hAnsi="Times New Roman"/>
          <w:sz w:val="24"/>
          <w:szCs w:val="24"/>
        </w:rPr>
        <w:t xml:space="preserve">l 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>, debido a un paciente masculino, de 41 años de edad, con antecedentes de salud</w:t>
      </w:r>
      <w:r>
        <w:rPr>
          <w:rFonts w:ascii="Times New Roman" w:hAnsi="Times New Roman"/>
          <w:sz w:val="24"/>
          <w:szCs w:val="24"/>
        </w:rPr>
        <w:t xml:space="preserve">, a quien recibió </w:t>
      </w:r>
      <w:r w:rsidRPr="0010133B">
        <w:rPr>
          <w:rFonts w:ascii="Times New Roman" w:hAnsi="Times New Roman"/>
          <w:sz w:val="24"/>
          <w:szCs w:val="24"/>
        </w:rPr>
        <w:t xml:space="preserve">intranquilo, pálido, </w:t>
      </w:r>
      <w:r>
        <w:rPr>
          <w:rFonts w:ascii="Times New Roman" w:hAnsi="Times New Roman"/>
          <w:sz w:val="24"/>
          <w:szCs w:val="24"/>
        </w:rPr>
        <w:t xml:space="preserve">que </w:t>
      </w:r>
      <w:r w:rsidRPr="0010133B">
        <w:rPr>
          <w:rFonts w:ascii="Times New Roman" w:hAnsi="Times New Roman"/>
          <w:sz w:val="24"/>
          <w:szCs w:val="24"/>
        </w:rPr>
        <w:t>había presentado tres vómitos abundantes, con restos de alimentos</w:t>
      </w:r>
      <w:r>
        <w:rPr>
          <w:rFonts w:ascii="Times New Roman" w:hAnsi="Times New Roman"/>
          <w:sz w:val="24"/>
          <w:szCs w:val="24"/>
        </w:rPr>
        <w:t xml:space="preserve"> y</w:t>
      </w:r>
      <w:r w:rsidRPr="0010133B">
        <w:rPr>
          <w:rFonts w:ascii="Times New Roman" w:hAnsi="Times New Roman"/>
          <w:sz w:val="24"/>
          <w:szCs w:val="24"/>
        </w:rPr>
        <w:t xml:space="preserve"> dolores abdominales difusos tipo cólico, de moderada intensidad</w:t>
      </w:r>
      <w:r>
        <w:rPr>
          <w:rFonts w:ascii="Times New Roman" w:hAnsi="Times New Roman"/>
          <w:sz w:val="24"/>
          <w:szCs w:val="24"/>
        </w:rPr>
        <w:t>. La</w:t>
      </w:r>
      <w:r w:rsidRPr="0010133B">
        <w:rPr>
          <w:rFonts w:ascii="Times New Roman" w:hAnsi="Times New Roman"/>
          <w:sz w:val="24"/>
          <w:szCs w:val="24"/>
        </w:rPr>
        <w:t xml:space="preserve"> tensión arterial</w:t>
      </w:r>
      <w:r>
        <w:rPr>
          <w:rFonts w:ascii="Times New Roman" w:hAnsi="Times New Roman"/>
          <w:sz w:val="24"/>
          <w:szCs w:val="24"/>
        </w:rPr>
        <w:t xml:space="preserve"> fue</w:t>
      </w:r>
      <w:r w:rsidRPr="0010133B">
        <w:rPr>
          <w:rFonts w:ascii="Times New Roman" w:hAnsi="Times New Roman"/>
          <w:sz w:val="24"/>
          <w:szCs w:val="24"/>
        </w:rPr>
        <w:t xml:space="preserve"> 150/90 </w:t>
      </w:r>
      <w:proofErr w:type="spellStart"/>
      <w:r w:rsidRPr="0010133B">
        <w:rPr>
          <w:rFonts w:ascii="Times New Roman" w:hAnsi="Times New Roman"/>
          <w:sz w:val="24"/>
          <w:szCs w:val="24"/>
        </w:rPr>
        <w:t>mmHg</w:t>
      </w:r>
      <w:proofErr w:type="spellEnd"/>
      <w:r w:rsidRPr="0010133B">
        <w:rPr>
          <w:rFonts w:ascii="Times New Roman" w:hAnsi="Times New Roman"/>
          <w:sz w:val="24"/>
          <w:szCs w:val="24"/>
        </w:rPr>
        <w:t>, frecuencia cardiaca 80 latidos por minuto, frecuencia respiratoria 21 respiraciones por minuto,</w:t>
      </w:r>
      <w:r>
        <w:rPr>
          <w:rFonts w:ascii="Times New Roman" w:hAnsi="Times New Roman"/>
          <w:sz w:val="24"/>
          <w:szCs w:val="24"/>
        </w:rPr>
        <w:t xml:space="preserve"> y las </w:t>
      </w:r>
      <w:r w:rsidRPr="0010133B">
        <w:rPr>
          <w:rFonts w:ascii="Times New Roman" w:hAnsi="Times New Roman"/>
          <w:sz w:val="24"/>
          <w:szCs w:val="24"/>
        </w:rPr>
        <w:t>pupilas</w:t>
      </w:r>
      <w:r>
        <w:rPr>
          <w:rFonts w:ascii="Times New Roman" w:hAnsi="Times New Roman"/>
          <w:sz w:val="24"/>
          <w:szCs w:val="24"/>
        </w:rPr>
        <w:t xml:space="preserve"> estaban</w:t>
      </w:r>
      <w:r w:rsidRPr="00101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isocóricas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y reactivas.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0133B">
        <w:rPr>
          <w:rFonts w:ascii="Times New Roman" w:hAnsi="Times New Roman"/>
          <w:sz w:val="24"/>
          <w:szCs w:val="24"/>
        </w:rPr>
        <w:t>l paciente había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ingerido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alrededor de 200 mililitros de una poción elaborada con tallos y hojas de una planta,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y había recibido similar cantidad por vía rectal como enema</w:t>
      </w:r>
      <w:r>
        <w:rPr>
          <w:rFonts w:ascii="Times New Roman" w:hAnsi="Times New Roman"/>
          <w:sz w:val="24"/>
          <w:szCs w:val="24"/>
        </w:rPr>
        <w:t>. Fue como</w:t>
      </w:r>
      <w:r w:rsidRPr="0010133B">
        <w:rPr>
          <w:rFonts w:ascii="Times New Roman" w:hAnsi="Times New Roman"/>
          <w:sz w:val="24"/>
          <w:szCs w:val="24"/>
        </w:rPr>
        <w:t xml:space="preserve"> tratamiento antiparasitario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133B">
        <w:rPr>
          <w:rFonts w:ascii="Times New Roman" w:hAnsi="Times New Roman"/>
          <w:sz w:val="24"/>
          <w:szCs w:val="24"/>
        </w:rPr>
        <w:t xml:space="preserve">aproximadamente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10133B">
        <w:rPr>
          <w:rFonts w:ascii="Times New Roman" w:hAnsi="Times New Roman"/>
          <w:sz w:val="24"/>
          <w:szCs w:val="24"/>
        </w:rPr>
        <w:t xml:space="preserve">horas antes de arribar </w:t>
      </w:r>
      <w:r>
        <w:rPr>
          <w:rFonts w:ascii="Times New Roman" w:hAnsi="Times New Roman"/>
          <w:sz w:val="24"/>
          <w:szCs w:val="24"/>
        </w:rPr>
        <w:t>al hospital.</w:t>
      </w: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10133B">
        <w:rPr>
          <w:rFonts w:ascii="Times New Roman" w:hAnsi="Times New Roman"/>
          <w:sz w:val="24"/>
          <w:szCs w:val="24"/>
        </w:rPr>
        <w:t xml:space="preserve">primera consulta, la guardia del 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orientó tratamiento sintomático y de apoyo a las funciones vitales, monitorización cardiovascular y reponer volumen</w:t>
      </w:r>
      <w:r>
        <w:rPr>
          <w:rFonts w:ascii="Times New Roman" w:hAnsi="Times New Roman"/>
          <w:sz w:val="24"/>
          <w:szCs w:val="24"/>
        </w:rPr>
        <w:t>,</w:t>
      </w:r>
      <w:r w:rsidRPr="0010133B">
        <w:rPr>
          <w:rFonts w:ascii="Times New Roman" w:hAnsi="Times New Roman"/>
          <w:sz w:val="24"/>
          <w:szCs w:val="24"/>
        </w:rPr>
        <w:t xml:space="preserve"> con adecuado control hidroelectrolítico. Se orientó descontaminar la puerta de entrada con lavado gástrico y administrar carbón activado; 50 gramos por vía oral.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 xml:space="preserve">Para identificar la planta utilizada, se solicitó su descripción fenotípica.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Dos horas después, se informó que al realizar el lavado gástrico,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se encontraron restos del producto</w:t>
      </w:r>
      <w:r>
        <w:rPr>
          <w:rFonts w:ascii="Times New Roman" w:hAnsi="Times New Roman"/>
          <w:sz w:val="24"/>
          <w:szCs w:val="24"/>
        </w:rPr>
        <w:t xml:space="preserve"> ingerido</w:t>
      </w:r>
      <w:r w:rsidRPr="001013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Por</w:t>
      </w:r>
      <w:r w:rsidRPr="0010133B">
        <w:rPr>
          <w:rFonts w:ascii="Times New Roman" w:hAnsi="Times New Roman"/>
          <w:sz w:val="24"/>
          <w:szCs w:val="24"/>
        </w:rPr>
        <w:t xml:space="preserve"> las características fenotípicas de la planta</w:t>
      </w:r>
      <w:r>
        <w:rPr>
          <w:rFonts w:ascii="Times New Roman" w:hAnsi="Times New Roman"/>
          <w:sz w:val="24"/>
          <w:szCs w:val="24"/>
        </w:rPr>
        <w:t xml:space="preserve"> llevada </w:t>
      </w:r>
      <w:r w:rsidRPr="0010133B">
        <w:rPr>
          <w:rFonts w:ascii="Times New Roman" w:hAnsi="Times New Roman"/>
          <w:sz w:val="24"/>
          <w:szCs w:val="24"/>
        </w:rPr>
        <w:t>por los familiares y descritas por l</w:t>
      </w:r>
      <w:r>
        <w:rPr>
          <w:rFonts w:ascii="Times New Roman" w:hAnsi="Times New Roman"/>
          <w:sz w:val="24"/>
          <w:szCs w:val="24"/>
        </w:rPr>
        <w:t xml:space="preserve">a doctora </w:t>
      </w:r>
      <w:r w:rsidRPr="0010133B">
        <w:rPr>
          <w:rFonts w:ascii="Times New Roman" w:hAnsi="Times New Roman"/>
          <w:sz w:val="24"/>
          <w:szCs w:val="24"/>
        </w:rPr>
        <w:t>de guardia, correspondían a la identificada por el propio paciente: adelfa.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lastRenderedPageBreak/>
        <w:t xml:space="preserve">En la tercera consulta al 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>, cuatro horas después,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el paciente presentaba bradicardia de 49 latidos por minuto.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El electrocardiograma evidenciaba un bloqueo </w:t>
      </w:r>
      <w:proofErr w:type="spellStart"/>
      <w:r w:rsidRPr="0010133B">
        <w:rPr>
          <w:rFonts w:ascii="Times New Roman" w:hAnsi="Times New Roman"/>
          <w:sz w:val="24"/>
          <w:szCs w:val="24"/>
        </w:rPr>
        <w:t>auriculoventricular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de primer grado</w:t>
      </w:r>
      <w:r>
        <w:rPr>
          <w:rFonts w:ascii="Times New Roman" w:hAnsi="Times New Roman"/>
          <w:sz w:val="24"/>
          <w:szCs w:val="24"/>
        </w:rPr>
        <w:t>,</w:t>
      </w:r>
      <w:r w:rsidRPr="0010133B">
        <w:rPr>
          <w:rFonts w:ascii="Times New Roman" w:hAnsi="Times New Roman"/>
          <w:sz w:val="24"/>
          <w:szCs w:val="24"/>
        </w:rPr>
        <w:t xml:space="preserve"> con extrasístoles aisladas.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Se orienta aplicar 2 miligramos </w:t>
      </w:r>
      <w:proofErr w:type="spellStart"/>
      <w:r>
        <w:rPr>
          <w:rFonts w:ascii="Times New Roman" w:hAnsi="Times New Roman"/>
          <w:sz w:val="24"/>
          <w:szCs w:val="24"/>
        </w:rPr>
        <w:t>i.v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10133B">
        <w:rPr>
          <w:rFonts w:ascii="Times New Roman" w:hAnsi="Times New Roman"/>
          <w:sz w:val="24"/>
          <w:szCs w:val="24"/>
        </w:rPr>
        <w:t>de atropina, y como dosis de mantenimiento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10133B">
        <w:rPr>
          <w:rFonts w:ascii="Times New Roman" w:hAnsi="Times New Roman"/>
          <w:sz w:val="24"/>
          <w:szCs w:val="24"/>
        </w:rPr>
        <w:t>1</w:t>
      </w:r>
      <w:proofErr w:type="gramEnd"/>
      <w:r w:rsidRPr="0010133B">
        <w:rPr>
          <w:rFonts w:ascii="Times New Roman" w:hAnsi="Times New Roman"/>
          <w:sz w:val="24"/>
          <w:szCs w:val="24"/>
        </w:rPr>
        <w:t xml:space="preserve"> ámpula (de 0,5 mg) cada 6 horas.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Siete horas después, el paciente presentaba una frecuencia cardíaca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de 61 latidos por minuto, con extrasístoles aisladas.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Se orientó su traslado hacia la unidad de cuidados intensivos</w:t>
      </w:r>
      <w:r>
        <w:rPr>
          <w:rFonts w:ascii="Times New Roman" w:hAnsi="Times New Roman"/>
          <w:sz w:val="24"/>
          <w:szCs w:val="24"/>
        </w:rPr>
        <w:t>. E</w:t>
      </w:r>
      <w:r w:rsidRPr="0010133B">
        <w:rPr>
          <w:rFonts w:ascii="Times New Roman" w:hAnsi="Times New Roman"/>
          <w:sz w:val="24"/>
          <w:szCs w:val="24"/>
        </w:rPr>
        <w:t>volucionó satisfactoriamente, con tratamiento sintomático</w:t>
      </w:r>
      <w:r>
        <w:rPr>
          <w:rFonts w:ascii="Times New Roman" w:hAnsi="Times New Roman"/>
          <w:sz w:val="24"/>
          <w:szCs w:val="24"/>
        </w:rPr>
        <w:t>. A</w:t>
      </w:r>
      <w:r w:rsidRPr="0010133B">
        <w:rPr>
          <w:rFonts w:ascii="Times New Roman" w:hAnsi="Times New Roman"/>
          <w:sz w:val="24"/>
          <w:szCs w:val="24"/>
        </w:rPr>
        <w:t>l cuarto día se traslad</w:t>
      </w:r>
      <w:r>
        <w:rPr>
          <w:rFonts w:ascii="Times New Roman" w:hAnsi="Times New Roman"/>
          <w:sz w:val="24"/>
          <w:szCs w:val="24"/>
        </w:rPr>
        <w:t xml:space="preserve">ó </w:t>
      </w:r>
      <w:r w:rsidRPr="0010133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la sala de medicina interna</w:t>
      </w:r>
      <w:r>
        <w:rPr>
          <w:rFonts w:ascii="Times New Roman" w:hAnsi="Times New Roman"/>
          <w:sz w:val="24"/>
          <w:szCs w:val="24"/>
        </w:rPr>
        <w:t xml:space="preserve"> y f</w:t>
      </w:r>
      <w:r w:rsidRPr="0010133B">
        <w:rPr>
          <w:rFonts w:ascii="Times New Roman" w:hAnsi="Times New Roman"/>
          <w:sz w:val="24"/>
          <w:szCs w:val="24"/>
        </w:rPr>
        <w:t>ue egresado al octavo día de estadía hospitalaria.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Default="00E63BBC" w:rsidP="00E63BB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BBC" w:rsidRPr="005F2886" w:rsidRDefault="00E63BBC" w:rsidP="00E63BBC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F2886">
        <w:rPr>
          <w:rFonts w:ascii="Times New Roman" w:hAnsi="Times New Roman"/>
          <w:b/>
          <w:bCs/>
          <w:sz w:val="32"/>
          <w:szCs w:val="32"/>
        </w:rPr>
        <w:t>COMENTARIOS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La intranquilidad asociada a manifestaciones gastrointestinales, cardiovasculares 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el dato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de haber utilizado una preparación elaborada con adelfa, dan lugar a que la posibilidad diagnóstica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de intoxicación exógena por esta planta, fuera la realizada por los médicos del cuerpo de guardia del hospital,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quienes solicitaron ayuda al 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>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 xml:space="preserve">La historia de la enfermedad actual y los antecedentes patológicos personales negativos, descartan como causa del cuadro clínico, las enfermedades crónicas, sus descompensaciones o efectos de sus tratamientos. Tampoco hubo antecedentes psiquiátricos, de etilismo, drogadicción e intentos suicidas.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 xml:space="preserve">Los bloqueos </w:t>
      </w:r>
      <w:proofErr w:type="spellStart"/>
      <w:r w:rsidRPr="0010133B">
        <w:rPr>
          <w:rFonts w:ascii="Times New Roman" w:hAnsi="Times New Roman"/>
          <w:sz w:val="24"/>
          <w:szCs w:val="24"/>
        </w:rPr>
        <w:t>auriculoventriculares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se observan en el uso de medicamentos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como </w:t>
      </w:r>
      <w:proofErr w:type="spellStart"/>
      <w:r w:rsidRPr="0010133B">
        <w:rPr>
          <w:rFonts w:ascii="Times New Roman" w:hAnsi="Times New Roman"/>
          <w:sz w:val="24"/>
          <w:szCs w:val="24"/>
        </w:rPr>
        <w:t>anticálcicos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(</w:t>
      </w:r>
      <w:proofErr w:type="spellStart"/>
      <w:r w:rsidRPr="0010133B">
        <w:rPr>
          <w:rFonts w:ascii="Times New Roman" w:hAnsi="Times New Roman"/>
          <w:sz w:val="24"/>
          <w:szCs w:val="24"/>
        </w:rPr>
        <w:t>verapamilo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0133B">
        <w:rPr>
          <w:rFonts w:ascii="Times New Roman" w:hAnsi="Times New Roman"/>
          <w:sz w:val="24"/>
          <w:szCs w:val="24"/>
        </w:rPr>
        <w:t>betabloqueadores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133B">
        <w:rPr>
          <w:rFonts w:ascii="Times New Roman" w:hAnsi="Times New Roman"/>
          <w:sz w:val="24"/>
          <w:szCs w:val="24"/>
        </w:rPr>
        <w:t>atenolol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), inhibidores de la </w:t>
      </w:r>
      <w:proofErr w:type="spellStart"/>
      <w:r w:rsidRPr="0010133B">
        <w:rPr>
          <w:rFonts w:ascii="Times New Roman" w:hAnsi="Times New Roman"/>
          <w:sz w:val="24"/>
          <w:szCs w:val="24"/>
        </w:rPr>
        <w:t>colinesterasa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(organofosforados), </w:t>
      </w:r>
      <w:proofErr w:type="spellStart"/>
      <w:r w:rsidRPr="0010133B">
        <w:rPr>
          <w:rFonts w:ascii="Times New Roman" w:hAnsi="Times New Roman"/>
          <w:sz w:val="24"/>
          <w:szCs w:val="24"/>
        </w:rPr>
        <w:t>antiarrítmicos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133B">
        <w:rPr>
          <w:rFonts w:ascii="Times New Roman" w:hAnsi="Times New Roman"/>
          <w:sz w:val="24"/>
          <w:szCs w:val="24"/>
        </w:rPr>
        <w:t>amiodarona</w:t>
      </w:r>
      <w:proofErr w:type="spellEnd"/>
      <w:r w:rsidRPr="0010133B">
        <w:rPr>
          <w:rFonts w:ascii="Times New Roman" w:hAnsi="Times New Roman"/>
          <w:sz w:val="24"/>
          <w:szCs w:val="24"/>
        </w:rPr>
        <w:t>), tónicos cardiacos (</w:t>
      </w:r>
      <w:proofErr w:type="spellStart"/>
      <w:r w:rsidRPr="0010133B">
        <w:rPr>
          <w:rFonts w:ascii="Times New Roman" w:hAnsi="Times New Roman"/>
          <w:sz w:val="24"/>
          <w:szCs w:val="24"/>
        </w:rPr>
        <w:t>digoxina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10133B">
        <w:rPr>
          <w:rFonts w:ascii="Times New Roman" w:hAnsi="Times New Roman"/>
          <w:sz w:val="24"/>
          <w:szCs w:val="24"/>
        </w:rPr>
        <w:t>digitóxina</w:t>
      </w:r>
      <w:proofErr w:type="spellEnd"/>
      <w:r w:rsidRPr="0010133B">
        <w:rPr>
          <w:rFonts w:ascii="Times New Roman" w:hAnsi="Times New Roman"/>
          <w:sz w:val="24"/>
          <w:szCs w:val="24"/>
        </w:rPr>
        <w:t>) 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psicofármacos, que no consumía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el paciente. También fue descartad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0133B">
        <w:rPr>
          <w:rFonts w:ascii="Times New Roman" w:hAnsi="Times New Roman"/>
          <w:sz w:val="24"/>
          <w:szCs w:val="24"/>
        </w:rPr>
        <w:t xml:space="preserve">la enfermedad del nodo </w:t>
      </w:r>
      <w:proofErr w:type="spellStart"/>
      <w:r w:rsidRPr="0010133B">
        <w:rPr>
          <w:rFonts w:ascii="Times New Roman" w:hAnsi="Times New Roman"/>
          <w:sz w:val="24"/>
          <w:szCs w:val="24"/>
        </w:rPr>
        <w:t>auriculoventricular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degenerativa, la familiar, congénitas (enfermedad de </w:t>
      </w:r>
      <w:proofErr w:type="spellStart"/>
      <w:r w:rsidRPr="0010133B">
        <w:rPr>
          <w:rFonts w:ascii="Times New Roman" w:hAnsi="Times New Roman"/>
          <w:sz w:val="24"/>
          <w:szCs w:val="24"/>
        </w:rPr>
        <w:t>Ebstein</w:t>
      </w:r>
      <w:proofErr w:type="spellEnd"/>
      <w:r w:rsidRPr="0010133B">
        <w:rPr>
          <w:rFonts w:ascii="Times New Roman" w:hAnsi="Times New Roman"/>
          <w:sz w:val="24"/>
          <w:szCs w:val="24"/>
        </w:rPr>
        <w:t>), isquémica (infarto), inflamatoria (miocarditis, carditis reumática) 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traumática (cirugía cardiovascular).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Los datos epidemiológicos como situación social, profesión y condiciones del hallazgo, apoyaron el uso inadecuado del producto vegetal, unido a los datos toxicológicos, los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restos obtenidos en el lavado gástrico, así como la identificación de la planta.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Los exámenes realizados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10133B">
        <w:rPr>
          <w:rFonts w:ascii="Times New Roman" w:hAnsi="Times New Roman"/>
          <w:sz w:val="24"/>
          <w:szCs w:val="24"/>
        </w:rPr>
        <w:t>hemoquímica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y parcial de orina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fueron negativos. 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lastRenderedPageBreak/>
        <w:t>La cuantificación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en sangre de </w:t>
      </w:r>
      <w:proofErr w:type="spellStart"/>
      <w:r w:rsidRPr="0010133B">
        <w:rPr>
          <w:rFonts w:ascii="Times New Roman" w:hAnsi="Times New Roman"/>
          <w:sz w:val="24"/>
          <w:szCs w:val="24"/>
        </w:rPr>
        <w:t>oleandrina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, (glucósidos </w:t>
      </w:r>
      <w:proofErr w:type="spellStart"/>
      <w:r w:rsidRPr="0010133B">
        <w:rPr>
          <w:rFonts w:ascii="Times New Roman" w:hAnsi="Times New Roman"/>
          <w:sz w:val="24"/>
          <w:szCs w:val="24"/>
        </w:rPr>
        <w:t>cardiogénicos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presente en la planta) no se realizó, pues no está disponible en laboratorios convencionales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1,9)</w:t>
      </w:r>
    </w:p>
    <w:p w:rsidR="00E63BBC" w:rsidRPr="0010133B" w:rsidRDefault="00E63BBC" w:rsidP="00E63BBC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Las vías de administración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(oral y rectal), el tiempo de exposición y farmacología del producto, coinciden con lo descrito y con la experiencia anterior delos especialistas del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>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0133B">
        <w:rPr>
          <w:rFonts w:ascii="Times New Roman" w:hAnsi="Times New Roman"/>
          <w:sz w:val="24"/>
          <w:szCs w:val="24"/>
        </w:rPr>
        <w:t xml:space="preserve">Los glucósidos </w:t>
      </w:r>
      <w:proofErr w:type="spellStart"/>
      <w:r w:rsidRPr="0010133B">
        <w:rPr>
          <w:rFonts w:ascii="Times New Roman" w:hAnsi="Times New Roman"/>
          <w:sz w:val="24"/>
          <w:szCs w:val="24"/>
        </w:rPr>
        <w:t>cardiotóxicos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presentes en la planta son: </w:t>
      </w:r>
      <w:proofErr w:type="spellStart"/>
      <w:r w:rsidRPr="0010133B">
        <w:rPr>
          <w:rFonts w:ascii="Times New Roman" w:hAnsi="Times New Roman"/>
          <w:sz w:val="24"/>
          <w:szCs w:val="24"/>
        </w:rPr>
        <w:t>oleandrina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133B">
        <w:rPr>
          <w:rFonts w:ascii="Times New Roman" w:hAnsi="Times New Roman"/>
          <w:sz w:val="24"/>
          <w:szCs w:val="24"/>
        </w:rPr>
        <w:t>nerina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133B">
        <w:rPr>
          <w:rFonts w:ascii="Times New Roman" w:hAnsi="Times New Roman"/>
          <w:sz w:val="24"/>
          <w:szCs w:val="24"/>
        </w:rPr>
        <w:t>folinerina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133B">
        <w:rPr>
          <w:rFonts w:ascii="Times New Roman" w:hAnsi="Times New Roman"/>
          <w:sz w:val="24"/>
          <w:szCs w:val="24"/>
        </w:rPr>
        <w:t>digitoxina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10133B">
        <w:rPr>
          <w:rFonts w:ascii="Times New Roman" w:hAnsi="Times New Roman"/>
          <w:sz w:val="24"/>
          <w:szCs w:val="24"/>
        </w:rPr>
        <w:t>digoxina</w:t>
      </w:r>
      <w:proofErr w:type="spellEnd"/>
      <w:r w:rsidRPr="001013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Son absorbidos en el tracto digestivo, un 90% de lo ingerido llega a sangre y a los tejidos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4,5)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En el corazón, provocan trastornos electrolíticos,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que afectan la conductibilidad eléctrica y generan todo tipo de alteraciones del ritmo, en este caso, bloqueo </w:t>
      </w:r>
      <w:proofErr w:type="spellStart"/>
      <w:r w:rsidRPr="0010133B">
        <w:rPr>
          <w:rFonts w:ascii="Times New Roman" w:hAnsi="Times New Roman"/>
          <w:sz w:val="24"/>
          <w:szCs w:val="24"/>
        </w:rPr>
        <w:t>auriculoventricular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de primer grado. En otros casos se ha observado: taquicardia, bradicardia, fibrilación y otras arritmias.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Pueden llevar a la muerte por falla cardíaca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en 12 a 24 horas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6,7,8)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No se observaron en este caso, síntomas respiratorios,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urinarios, midriasis, vértigo, alteraciones visuales cromáticas o convulsiones, como se reporta en la </w:t>
      </w:r>
      <w:proofErr w:type="gramStart"/>
      <w:r w:rsidRPr="0010133B">
        <w:rPr>
          <w:rFonts w:ascii="Times New Roman" w:hAnsi="Times New Roman"/>
          <w:sz w:val="24"/>
          <w:szCs w:val="24"/>
        </w:rPr>
        <w:t>literatura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1,2,3,4,8)</w:t>
      </w:r>
      <w:r w:rsidRPr="0010133B">
        <w:rPr>
          <w:rFonts w:ascii="Times New Roman" w:hAnsi="Times New Roman"/>
          <w:sz w:val="24"/>
          <w:szCs w:val="24"/>
        </w:rPr>
        <w:t xml:space="preserve"> y en las fichas técnicas de consultas del 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>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Las manifestaciones gastrointestinales constatadas, coinciden con lo descrito y aparecen algunas horas después de la ingestión (entre 4 y 12 horas) y pudieran presentarse diarreas sanguinolentas.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0133B">
        <w:rPr>
          <w:rFonts w:ascii="Times New Roman" w:hAnsi="Times New Roman"/>
          <w:sz w:val="24"/>
          <w:szCs w:val="24"/>
        </w:rPr>
        <w:t xml:space="preserve">El tratamiento de estos pacientes es sintomático y de apoyo a las funciones vitales, como se </w:t>
      </w:r>
      <w:r>
        <w:rPr>
          <w:rFonts w:ascii="Times New Roman" w:hAnsi="Times New Roman"/>
          <w:sz w:val="24"/>
          <w:szCs w:val="24"/>
        </w:rPr>
        <w:t>realizó</w:t>
      </w:r>
      <w:r w:rsidRPr="0010133B">
        <w:rPr>
          <w:rFonts w:ascii="Times New Roman" w:hAnsi="Times New Roman"/>
          <w:sz w:val="24"/>
          <w:szCs w:val="24"/>
        </w:rPr>
        <w:t xml:space="preserve">, pero </w:t>
      </w:r>
      <w:r>
        <w:rPr>
          <w:rFonts w:ascii="Times New Roman" w:hAnsi="Times New Roman"/>
          <w:sz w:val="24"/>
          <w:szCs w:val="24"/>
        </w:rPr>
        <w:t>se indica</w:t>
      </w:r>
      <w:r w:rsidRPr="0010133B">
        <w:rPr>
          <w:rFonts w:ascii="Times New Roman" w:hAnsi="Times New Roman"/>
          <w:sz w:val="24"/>
          <w:szCs w:val="24"/>
        </w:rPr>
        <w:t>:</w:t>
      </w:r>
      <w:r w:rsidRPr="0010133B">
        <w:rPr>
          <w:rFonts w:ascii="Times New Roman" w:hAnsi="Times New Roman"/>
          <w:sz w:val="24"/>
          <w:szCs w:val="24"/>
          <w:vertAlign w:val="superscript"/>
        </w:rPr>
        <w:t>(2,3,8,10,11)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63BBC" w:rsidRPr="0010133B" w:rsidRDefault="00E63BBC" w:rsidP="00E63BB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 xml:space="preserve">Si bradicardia: atropina (como fue en este caso) o </w:t>
      </w:r>
      <w:proofErr w:type="spellStart"/>
      <w:r w:rsidRPr="0010133B">
        <w:rPr>
          <w:rFonts w:ascii="Times New Roman" w:hAnsi="Times New Roman"/>
          <w:sz w:val="24"/>
          <w:szCs w:val="24"/>
        </w:rPr>
        <w:t>isoproterenol</w:t>
      </w:r>
      <w:proofErr w:type="spellEnd"/>
      <w:r w:rsidRPr="001013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Si fuera extrema: marcapaso.</w:t>
      </w:r>
    </w:p>
    <w:p w:rsidR="00E63BBC" w:rsidRPr="0010133B" w:rsidRDefault="00E63BBC" w:rsidP="00E63BB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Si fibrilación ventricular: cardioversión.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0133B">
        <w:rPr>
          <w:rFonts w:ascii="Times New Roman" w:hAnsi="Times New Roman"/>
          <w:sz w:val="24"/>
          <w:szCs w:val="24"/>
        </w:rPr>
        <w:t xml:space="preserve">La eliminación del tóxico absorbido por los métodos de depuración renal y </w:t>
      </w:r>
      <w:proofErr w:type="spellStart"/>
      <w:r w:rsidRPr="0010133B">
        <w:rPr>
          <w:rFonts w:ascii="Times New Roman" w:hAnsi="Times New Roman"/>
          <w:sz w:val="24"/>
          <w:szCs w:val="24"/>
        </w:rPr>
        <w:t>extrarrenal</w:t>
      </w:r>
      <w:proofErr w:type="spellEnd"/>
      <w:r w:rsidRPr="0010133B">
        <w:rPr>
          <w:rFonts w:ascii="Times New Roman" w:hAnsi="Times New Roman"/>
          <w:sz w:val="24"/>
          <w:szCs w:val="24"/>
        </w:rPr>
        <w:t>, no proceden en este tipo de intoxicación.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No se utilizó antídoto como el anticuerpo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antidigital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133B">
        <w:rPr>
          <w:rFonts w:ascii="Times New Roman" w:hAnsi="Times New Roman"/>
          <w:sz w:val="24"/>
          <w:szCs w:val="24"/>
        </w:rPr>
        <w:t>AcAD</w:t>
      </w:r>
      <w:proofErr w:type="spellEnd"/>
      <w:r w:rsidRPr="001013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h</w:t>
      </w:r>
      <w:r w:rsidRPr="0010133B">
        <w:rPr>
          <w:rFonts w:ascii="Times New Roman" w:hAnsi="Times New Roman"/>
          <w:sz w:val="24"/>
          <w:szCs w:val="24"/>
        </w:rPr>
        <w:t>acerlo es controvertido,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pues en la ingesta de plantas con glucósidos, es prácticamente imposible calcular la dosis necesaria de anticuerpos y no existen suficientes evidencias científicas de su eficiencia.</w:t>
      </w:r>
      <w:r>
        <w:rPr>
          <w:rFonts w:ascii="Times New Roman" w:hAnsi="Times New Roman"/>
          <w:sz w:val="24"/>
          <w:szCs w:val="24"/>
        </w:rPr>
        <w:t xml:space="preserve"> Está i</w:t>
      </w:r>
      <w:r w:rsidRPr="0010133B">
        <w:rPr>
          <w:rFonts w:ascii="Times New Roman" w:hAnsi="Times New Roman"/>
          <w:sz w:val="24"/>
          <w:szCs w:val="24"/>
        </w:rPr>
        <w:t>ndicado solo para situa</w:t>
      </w:r>
      <w:r>
        <w:rPr>
          <w:rFonts w:ascii="Times New Roman" w:hAnsi="Times New Roman"/>
          <w:sz w:val="24"/>
          <w:szCs w:val="24"/>
        </w:rPr>
        <w:t xml:space="preserve">ciones de </w:t>
      </w:r>
      <w:proofErr w:type="spellStart"/>
      <w:r>
        <w:rPr>
          <w:rFonts w:ascii="Times New Roman" w:hAnsi="Times New Roman"/>
          <w:sz w:val="24"/>
          <w:szCs w:val="24"/>
        </w:rPr>
        <w:t>cardiotoxicidad</w:t>
      </w:r>
      <w:proofErr w:type="spellEnd"/>
      <w:r>
        <w:rPr>
          <w:rFonts w:ascii="Times New Roman" w:hAnsi="Times New Roman"/>
          <w:sz w:val="24"/>
          <w:szCs w:val="24"/>
        </w:rPr>
        <w:t xml:space="preserve"> grave;</w:t>
      </w:r>
      <w:r w:rsidRPr="0010133B">
        <w:rPr>
          <w:rFonts w:ascii="Times New Roman" w:hAnsi="Times New Roman"/>
          <w:sz w:val="24"/>
          <w:szCs w:val="24"/>
        </w:rPr>
        <w:t xml:space="preserve"> se recomienda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la administración empírica inicial de 5 a 10 viales (200 a 400 mg) de </w:t>
      </w:r>
      <w:proofErr w:type="spellStart"/>
      <w:r w:rsidRPr="0010133B">
        <w:rPr>
          <w:rFonts w:ascii="Times New Roman" w:hAnsi="Times New Roman"/>
          <w:sz w:val="24"/>
          <w:szCs w:val="24"/>
        </w:rPr>
        <w:t>AcAD</w:t>
      </w:r>
      <w:proofErr w:type="spellEnd"/>
      <w:r w:rsidRPr="0010133B">
        <w:rPr>
          <w:rFonts w:ascii="Times New Roman" w:hAnsi="Times New Roman"/>
          <w:sz w:val="24"/>
          <w:szCs w:val="24"/>
        </w:rPr>
        <w:t>, diluidos,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>por vía endovenosa</w:t>
      </w:r>
      <w:proofErr w:type="gramStart"/>
      <w:r w:rsidRPr="0010133B"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0133B">
        <w:rPr>
          <w:rFonts w:ascii="Times New Roman" w:hAnsi="Times New Roman"/>
          <w:sz w:val="24"/>
          <w:szCs w:val="24"/>
          <w:vertAlign w:val="superscript"/>
        </w:rPr>
        <w:t>12,11)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lastRenderedPageBreak/>
        <w:t>Ante un cuadro clínico que orienta hacia una intoxicación exógena, como en este caso, por sustancias vegetales</w:t>
      </w:r>
      <w:r>
        <w:rPr>
          <w:rFonts w:ascii="Times New Roman" w:hAnsi="Times New Roman"/>
          <w:sz w:val="24"/>
          <w:szCs w:val="24"/>
        </w:rPr>
        <w:t xml:space="preserve">, como la </w:t>
      </w:r>
      <w:r w:rsidRPr="0010133B">
        <w:rPr>
          <w:rFonts w:ascii="Times New Roman" w:hAnsi="Times New Roman"/>
          <w:sz w:val="24"/>
          <w:szCs w:val="24"/>
        </w:rPr>
        <w:t xml:space="preserve">adelfa, </w:t>
      </w:r>
      <w:r>
        <w:rPr>
          <w:rFonts w:ascii="Times New Roman" w:hAnsi="Times New Roman"/>
          <w:sz w:val="24"/>
          <w:szCs w:val="24"/>
        </w:rPr>
        <w:t xml:space="preserve">de reporte infrecuente; </w:t>
      </w:r>
      <w:r w:rsidRPr="0010133B">
        <w:rPr>
          <w:rFonts w:ascii="Times New Roman" w:hAnsi="Times New Roman"/>
          <w:sz w:val="24"/>
          <w:szCs w:val="24"/>
        </w:rPr>
        <w:t xml:space="preserve">se debe solicitar de inmediato asesoría de los centros especializados en estos temas, como en este caso el </w:t>
      </w:r>
      <w:proofErr w:type="spellStart"/>
      <w:r w:rsidRPr="0010133B">
        <w:rPr>
          <w:rFonts w:ascii="Times New Roman" w:hAnsi="Times New Roman"/>
          <w:sz w:val="24"/>
          <w:szCs w:val="24"/>
        </w:rPr>
        <w:t>Cenatox</w:t>
      </w:r>
      <w:proofErr w:type="spellEnd"/>
      <w:r w:rsidRPr="0010133B">
        <w:rPr>
          <w:rFonts w:ascii="Times New Roman" w:hAnsi="Times New Roman"/>
          <w:sz w:val="24"/>
          <w:szCs w:val="24"/>
        </w:rPr>
        <w:t>, para una labor conjunta en el cor</w:t>
      </w:r>
      <w:r>
        <w:rPr>
          <w:rFonts w:ascii="Times New Roman" w:hAnsi="Times New Roman"/>
          <w:sz w:val="24"/>
          <w:szCs w:val="24"/>
        </w:rPr>
        <w:t>r</w:t>
      </w:r>
      <w:r w:rsidRPr="0010133B">
        <w:rPr>
          <w:rFonts w:ascii="Times New Roman" w:hAnsi="Times New Roman"/>
          <w:sz w:val="24"/>
          <w:szCs w:val="24"/>
        </w:rPr>
        <w:t>ecto diagnó</w:t>
      </w:r>
      <w:r>
        <w:rPr>
          <w:rFonts w:ascii="Times New Roman" w:hAnsi="Times New Roman"/>
          <w:sz w:val="24"/>
          <w:szCs w:val="24"/>
        </w:rPr>
        <w:t>st</w:t>
      </w:r>
      <w:r w:rsidRPr="0010133B">
        <w:rPr>
          <w:rFonts w:ascii="Times New Roman" w:hAnsi="Times New Roman"/>
          <w:sz w:val="24"/>
          <w:szCs w:val="24"/>
        </w:rPr>
        <w:t>ico y tratamiento.</w:t>
      </w:r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BBC" w:rsidRPr="00146AC3" w:rsidRDefault="00E63BBC" w:rsidP="00E63BBC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63BBC" w:rsidRPr="00146AC3" w:rsidRDefault="00E63BBC" w:rsidP="00E63BB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6AC3">
        <w:rPr>
          <w:rFonts w:ascii="Times New Roman" w:hAnsi="Times New Roman"/>
          <w:b/>
          <w:sz w:val="32"/>
          <w:szCs w:val="32"/>
        </w:rPr>
        <w:t>REFERENCIAS BIBLIOGRÁFICAS</w:t>
      </w:r>
    </w:p>
    <w:p w:rsidR="00E63BBC" w:rsidRDefault="00E63BBC" w:rsidP="00E63B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133B">
        <w:rPr>
          <w:rFonts w:ascii="Times New Roman" w:hAnsi="Times New Roman"/>
          <w:sz w:val="24"/>
          <w:szCs w:val="24"/>
        </w:rPr>
        <w:t xml:space="preserve">Macías </w:t>
      </w:r>
      <w:proofErr w:type="spellStart"/>
      <w:r w:rsidRPr="0010133B">
        <w:rPr>
          <w:rFonts w:ascii="Times New Roman" w:hAnsi="Times New Roman"/>
          <w:sz w:val="24"/>
          <w:szCs w:val="24"/>
        </w:rPr>
        <w:t>Peacok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B, Suárez Crespo M F, Berenguer Rivas C, Pérez Jackson L. Intoxi</w:t>
      </w:r>
      <w:r w:rsidR="00CD3EA5">
        <w:rPr>
          <w:rFonts w:ascii="Times New Roman" w:hAnsi="Times New Roman"/>
          <w:sz w:val="24"/>
          <w:szCs w:val="24"/>
        </w:rPr>
        <w:t>c</w:t>
      </w:r>
      <w:r w:rsidRPr="0010133B">
        <w:rPr>
          <w:rFonts w:ascii="Times New Roman" w:hAnsi="Times New Roman"/>
          <w:sz w:val="24"/>
          <w:szCs w:val="24"/>
        </w:rPr>
        <w:t xml:space="preserve">aciones por plantas tóxicas atendidas desde un servicio de información toxicológica. </w:t>
      </w:r>
      <w:proofErr w:type="spellStart"/>
      <w:r w:rsidRPr="0010133B">
        <w:rPr>
          <w:rFonts w:ascii="Times New Roman" w:hAnsi="Times New Roman"/>
          <w:sz w:val="24"/>
          <w:szCs w:val="24"/>
        </w:rPr>
        <w:t>Rev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Cubana </w:t>
      </w:r>
      <w:proofErr w:type="spellStart"/>
      <w:r w:rsidRPr="0010133B">
        <w:rPr>
          <w:rFonts w:ascii="Times New Roman" w:hAnsi="Times New Roman"/>
          <w:sz w:val="24"/>
          <w:szCs w:val="24"/>
        </w:rPr>
        <w:t>Plant</w:t>
      </w:r>
      <w:proofErr w:type="spellEnd"/>
      <w:r w:rsidR="00B0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Med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. 2009[acceso: 16/10/20]; 14(2): 1-8.  Disponible en: </w:t>
      </w:r>
      <w:hyperlink r:id="rId15" w:history="1">
        <w:r w:rsidRPr="00444392">
          <w:rPr>
            <w:rStyle w:val="Hipervnculo"/>
            <w:rFonts w:ascii="Times New Roman" w:hAnsi="Times New Roman"/>
            <w:sz w:val="24"/>
            <w:szCs w:val="24"/>
          </w:rPr>
          <w:t>http://scielo.sld.cu/pdf/pla/v14n2/pla06209.pdf</w:t>
        </w:r>
      </w:hyperlink>
    </w:p>
    <w:p w:rsidR="00E63BBC" w:rsidRDefault="00E63BBC" w:rsidP="00E63BBC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2.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Escobar Román R, Leiva </w:t>
      </w:r>
      <w:proofErr w:type="spellStart"/>
      <w:r w:rsidRPr="0010133B">
        <w:rPr>
          <w:rFonts w:ascii="Times New Roman" w:hAnsi="Times New Roman"/>
          <w:sz w:val="24"/>
          <w:szCs w:val="24"/>
        </w:rPr>
        <w:t>Acebey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L. Toxicidad de las principales plantas ornamentales de Cuba. </w:t>
      </w:r>
      <w:proofErr w:type="spellStart"/>
      <w:r w:rsidRPr="0010133B">
        <w:rPr>
          <w:rFonts w:ascii="Times New Roman" w:hAnsi="Times New Roman"/>
          <w:sz w:val="24"/>
          <w:szCs w:val="24"/>
        </w:rPr>
        <w:t>Medicentro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. 2010[acceso: 14/10/20]; 14(2):68-74. Disponible en:  </w:t>
      </w:r>
      <w:hyperlink r:id="rId16" w:history="1">
        <w:r w:rsidRPr="005F2886">
          <w:rPr>
            <w:rStyle w:val="Hipervnculo"/>
            <w:rFonts w:ascii="Times New Roman" w:hAnsi="Times New Roman"/>
            <w:sz w:val="24"/>
            <w:szCs w:val="24"/>
          </w:rPr>
          <w:t>http://medicentro.sld.cu/index.php/medicentro/article/viewFile/110/139</w:t>
        </w:r>
      </w:hyperlink>
    </w:p>
    <w:p w:rsidR="00E63BBC" w:rsidRPr="00146AC3" w:rsidRDefault="00E63BBC" w:rsidP="00E63BBC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  <w:lang w:val="en-US"/>
        </w:rPr>
        <w:t>3.</w:t>
      </w:r>
      <w:r w:rsidR="00B033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Farooqui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Tyagi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, T.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Nerium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oleander: It’s Application </w:t>
      </w:r>
      <w:proofErr w:type="gramStart"/>
      <w:r w:rsidRPr="0010133B">
        <w:rPr>
          <w:rFonts w:ascii="Times New Roman" w:hAnsi="Times New Roman"/>
          <w:sz w:val="24"/>
          <w:szCs w:val="24"/>
          <w:lang w:val="en-US"/>
        </w:rPr>
        <w:t>In Basic And</w:t>
      </w:r>
      <w:proofErr w:type="gramEnd"/>
      <w:r w:rsidRPr="0010133B">
        <w:rPr>
          <w:rFonts w:ascii="Times New Roman" w:hAnsi="Times New Roman"/>
          <w:sz w:val="24"/>
          <w:szCs w:val="24"/>
          <w:lang w:val="en-US"/>
        </w:rPr>
        <w:t xml:space="preserve"> Applied Science: A Review.</w:t>
      </w:r>
      <w:r w:rsidR="00CD3EA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Int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J Pharm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Pharm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Sci. 2018[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acceso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: 16/10/20]; 10(3):1-4. </w:t>
      </w:r>
      <w:r w:rsidRPr="005F2886">
        <w:rPr>
          <w:rFonts w:ascii="Times New Roman" w:hAnsi="Times New Roman"/>
          <w:sz w:val="24"/>
          <w:szCs w:val="24"/>
        </w:rPr>
        <w:t xml:space="preserve">Disponible en: </w:t>
      </w:r>
      <w:hyperlink r:id="rId17" w:history="1">
        <w:r w:rsidRPr="00146AC3">
          <w:rPr>
            <w:rStyle w:val="Hipervnculo"/>
            <w:rFonts w:ascii="Times New Roman" w:hAnsi="Times New Roman"/>
            <w:sz w:val="24"/>
            <w:szCs w:val="24"/>
          </w:rPr>
          <w:t>https://innovareacademics.in/journals/index.php/ijpps/article/view/22505/14026</w:t>
        </w:r>
      </w:hyperlink>
    </w:p>
    <w:p w:rsidR="00E63BBC" w:rsidRDefault="00E63BBC" w:rsidP="00E63BBC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sz w:val="24"/>
          <w:szCs w:val="24"/>
          <w:lang w:val="en-US"/>
        </w:rPr>
        <w:t>4.</w:t>
      </w:r>
      <w:r w:rsidR="00B033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Tayoub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Sulaiman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H,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Alorfi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M. Analysis of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Oleandrin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in Oleander Extract (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Nerium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oleander) by HPLC. Journal of Natural Products. 2014[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acceso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: 16/10/20]; 7:73-8.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Disponible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en: </w:t>
      </w:r>
      <w:hyperlink r:id="rId18" w:history="1">
        <w:r w:rsidRPr="00444392">
          <w:rPr>
            <w:rStyle w:val="Hipervnculo"/>
            <w:rFonts w:ascii="Times New Roman" w:hAnsi="Times New Roman"/>
            <w:sz w:val="24"/>
            <w:szCs w:val="24"/>
            <w:lang w:val="en-US"/>
          </w:rPr>
          <w:t>http://journalofnaturalproducts.com/Volume7/10_Res_paper-9.pdf</w:t>
        </w:r>
      </w:hyperlink>
    </w:p>
    <w:p w:rsidR="00E63BBC" w:rsidRPr="00E63BBC" w:rsidRDefault="00E63BBC" w:rsidP="00B0332E">
      <w:pPr>
        <w:tabs>
          <w:tab w:val="left" w:pos="284"/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sz w:val="24"/>
          <w:szCs w:val="24"/>
        </w:rPr>
        <w:t>5.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Martínez Castro B, Ferrando </w:t>
      </w:r>
      <w:proofErr w:type="spellStart"/>
      <w:r w:rsidRPr="0010133B">
        <w:rPr>
          <w:rFonts w:ascii="Times New Roman" w:hAnsi="Times New Roman"/>
          <w:sz w:val="24"/>
          <w:szCs w:val="24"/>
        </w:rPr>
        <w:t>Piqueres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10133B">
        <w:rPr>
          <w:rFonts w:ascii="Times New Roman" w:hAnsi="Times New Roman"/>
          <w:sz w:val="24"/>
          <w:szCs w:val="24"/>
        </w:rPr>
        <w:t>Milara</w:t>
      </w:r>
      <w:proofErr w:type="spellEnd"/>
      <w:r w:rsidR="00CD3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Pay</w:t>
      </w:r>
      <w:r w:rsidR="00CD3EA5">
        <w:rPr>
          <w:rFonts w:ascii="Times New Roman" w:hAnsi="Times New Roman"/>
          <w:sz w:val="24"/>
          <w:szCs w:val="24"/>
        </w:rPr>
        <w:t>á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J, Soler </w:t>
      </w:r>
      <w:proofErr w:type="spellStart"/>
      <w:r w:rsidRPr="0010133B">
        <w:rPr>
          <w:rFonts w:ascii="Times New Roman" w:hAnsi="Times New Roman"/>
          <w:sz w:val="24"/>
          <w:szCs w:val="24"/>
        </w:rPr>
        <w:t>Company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E.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Intoxicación por </w:t>
      </w:r>
      <w:proofErr w:type="spellStart"/>
      <w:r w:rsidRPr="0010133B">
        <w:rPr>
          <w:rFonts w:ascii="Times New Roman" w:hAnsi="Times New Roman"/>
          <w:sz w:val="24"/>
          <w:szCs w:val="24"/>
        </w:rPr>
        <w:t>Nerium</w:t>
      </w:r>
      <w:proofErr w:type="spellEnd"/>
      <w:r w:rsidR="00CD3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oleander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(baladre): dos casos clínicos. Cartas al director. Farm. </w:t>
      </w:r>
      <w:proofErr w:type="spellStart"/>
      <w:r w:rsidRPr="0010133B">
        <w:rPr>
          <w:rFonts w:ascii="Times New Roman" w:hAnsi="Times New Roman"/>
          <w:sz w:val="24"/>
          <w:szCs w:val="24"/>
        </w:rPr>
        <w:t>Hosp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. 2007[acceso: 14/10/20]; 31(2):128-36. </w:t>
      </w:r>
      <w:proofErr w:type="spellStart"/>
      <w:r w:rsidRPr="00E63BBC">
        <w:rPr>
          <w:rFonts w:ascii="Times New Roman" w:hAnsi="Times New Roman"/>
          <w:sz w:val="24"/>
          <w:szCs w:val="24"/>
          <w:lang w:val="en-US"/>
        </w:rPr>
        <w:t>Disponible</w:t>
      </w:r>
      <w:proofErr w:type="spellEnd"/>
      <w:r w:rsidRPr="00E63BBC">
        <w:rPr>
          <w:rFonts w:ascii="Times New Roman" w:hAnsi="Times New Roman"/>
          <w:sz w:val="24"/>
          <w:szCs w:val="24"/>
          <w:lang w:val="en-US"/>
        </w:rPr>
        <w:t xml:space="preserve"> en: </w:t>
      </w:r>
      <w:hyperlink r:id="rId19" w:history="1">
        <w:r w:rsidRPr="00E63BBC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https://www.sefh.es/fh/7_q14.pdf</w:t>
        </w:r>
      </w:hyperlink>
    </w:p>
    <w:p w:rsidR="00E63BBC" w:rsidRPr="0063397D" w:rsidRDefault="00E63BBC" w:rsidP="00E63BB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sz w:val="24"/>
          <w:szCs w:val="24"/>
          <w:lang w:val="en-US"/>
        </w:rPr>
        <w:t>6.</w:t>
      </w:r>
      <w:r w:rsidR="00B0332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Prasad A,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Krishnaveni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K,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Neha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KA,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Neethu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TD,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Shanmugasundaram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R,</w:t>
      </w:r>
      <w:r w:rsidR="00B033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Sambathkumar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R. A review on management of common oleander and yellow oleander poisoning. World journal of pharmacy and pharmaceutical sciences. </w:t>
      </w:r>
      <w:r w:rsidRPr="002B1066">
        <w:rPr>
          <w:rFonts w:ascii="Times New Roman" w:hAnsi="Times New Roman"/>
          <w:sz w:val="24"/>
          <w:szCs w:val="24"/>
          <w:lang w:val="en-US"/>
        </w:rPr>
        <w:t>2016[</w:t>
      </w:r>
      <w:proofErr w:type="spellStart"/>
      <w:r w:rsidRPr="002B1066">
        <w:rPr>
          <w:rFonts w:ascii="Times New Roman" w:hAnsi="Times New Roman"/>
          <w:sz w:val="24"/>
          <w:szCs w:val="24"/>
          <w:lang w:val="en-US"/>
        </w:rPr>
        <w:t>acceso</w:t>
      </w:r>
      <w:proofErr w:type="spellEnd"/>
      <w:r w:rsidRPr="002B1066">
        <w:rPr>
          <w:rFonts w:ascii="Times New Roman" w:hAnsi="Times New Roman"/>
          <w:sz w:val="24"/>
          <w:szCs w:val="24"/>
          <w:lang w:val="en-US"/>
        </w:rPr>
        <w:t>: 13/10/20]</w:t>
      </w:r>
      <w:proofErr w:type="gramStart"/>
      <w:r w:rsidRPr="005F2886">
        <w:rPr>
          <w:rFonts w:ascii="Times New Roman" w:hAnsi="Times New Roman"/>
          <w:sz w:val="24"/>
          <w:szCs w:val="24"/>
          <w:lang w:val="en-US"/>
        </w:rPr>
        <w:t>;  5</w:t>
      </w:r>
      <w:proofErr w:type="gramEnd"/>
      <w:r w:rsidRPr="005F2886">
        <w:rPr>
          <w:rFonts w:ascii="Times New Roman" w:hAnsi="Times New Roman"/>
          <w:sz w:val="24"/>
          <w:szCs w:val="24"/>
          <w:lang w:val="en-US"/>
        </w:rPr>
        <w:t xml:space="preserve">(12):493-503. </w:t>
      </w:r>
      <w:proofErr w:type="spellStart"/>
      <w:r w:rsidRPr="0063397D">
        <w:rPr>
          <w:rFonts w:ascii="Times New Roman" w:hAnsi="Times New Roman"/>
          <w:sz w:val="24"/>
          <w:szCs w:val="24"/>
          <w:lang w:val="en-US"/>
        </w:rPr>
        <w:t>Disponible</w:t>
      </w:r>
      <w:proofErr w:type="spellEnd"/>
      <w:r w:rsidRPr="0063397D">
        <w:rPr>
          <w:rFonts w:ascii="Times New Roman" w:hAnsi="Times New Roman"/>
          <w:sz w:val="24"/>
          <w:szCs w:val="24"/>
          <w:lang w:val="en-US"/>
        </w:rPr>
        <w:t xml:space="preserve"> en: </w:t>
      </w:r>
      <w:hyperlink r:id="rId20" w:history="1">
        <w:r w:rsidRPr="0063397D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https://www.researchgate.net/publication/311774385_A_REVIEW_ON_MANAGEMENT_OF_COMMON_OLEANDER_AND_YELLOW_OLEANDER_POISONING/download</w:t>
        </w:r>
      </w:hyperlink>
    </w:p>
    <w:p w:rsidR="00E63BBC" w:rsidRDefault="00E63BBC" w:rsidP="00E63BBC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lastRenderedPageBreak/>
        <w:t>7.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Mintegi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S. Manual de intoxicaciones en pediatría. 3ra ed. Madrid: </w:t>
      </w:r>
      <w:proofErr w:type="spellStart"/>
      <w:r w:rsidRPr="0010133B">
        <w:rPr>
          <w:rFonts w:ascii="Times New Roman" w:hAnsi="Times New Roman"/>
          <w:sz w:val="24"/>
          <w:szCs w:val="24"/>
        </w:rPr>
        <w:t>Ergon</w:t>
      </w:r>
      <w:proofErr w:type="spellEnd"/>
      <w:r w:rsidRPr="0010133B">
        <w:rPr>
          <w:rFonts w:ascii="Times New Roman" w:hAnsi="Times New Roman"/>
          <w:sz w:val="24"/>
          <w:szCs w:val="24"/>
        </w:rPr>
        <w:t>; 2012</w:t>
      </w:r>
      <w:r>
        <w:rPr>
          <w:rFonts w:ascii="Times New Roman" w:hAnsi="Times New Roman"/>
          <w:sz w:val="24"/>
          <w:szCs w:val="24"/>
        </w:rPr>
        <w:t>.</w:t>
      </w:r>
      <w:r w:rsidRPr="0010133B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10133B">
        <w:rPr>
          <w:rFonts w:ascii="Times New Roman" w:hAnsi="Times New Roman"/>
          <w:sz w:val="24"/>
          <w:szCs w:val="24"/>
        </w:rPr>
        <w:t>acceso</w:t>
      </w:r>
      <w:proofErr w:type="gramEnd"/>
      <w:r w:rsidRPr="0010133B">
        <w:rPr>
          <w:rFonts w:ascii="Times New Roman" w:hAnsi="Times New Roman"/>
          <w:sz w:val="24"/>
          <w:szCs w:val="24"/>
        </w:rPr>
        <w:t xml:space="preserve">: 13/10/20]. Disponible en: </w:t>
      </w:r>
      <w:hyperlink r:id="rId21" w:history="1">
        <w:r w:rsidRPr="00444392">
          <w:rPr>
            <w:rStyle w:val="Hipervnculo"/>
            <w:rFonts w:ascii="Times New Roman" w:hAnsi="Times New Roman"/>
            <w:sz w:val="24"/>
            <w:szCs w:val="24"/>
          </w:rPr>
          <w:t>https://seup.org/pdf_public/gt/intox_manual3_enr.pdf</w:t>
        </w:r>
      </w:hyperlink>
    </w:p>
    <w:p w:rsidR="00E63BBC" w:rsidRDefault="00E63BBC" w:rsidP="00E63BBC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8.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34C5">
        <w:rPr>
          <w:rFonts w:ascii="Times New Roman" w:hAnsi="Times New Roman"/>
          <w:sz w:val="24"/>
          <w:szCs w:val="24"/>
        </w:rPr>
        <w:t>Alzate</w:t>
      </w:r>
      <w:proofErr w:type="spellEnd"/>
      <w:r w:rsidRPr="00FE34C5">
        <w:rPr>
          <w:rFonts w:ascii="Times New Roman" w:hAnsi="Times New Roman"/>
          <w:sz w:val="24"/>
          <w:szCs w:val="24"/>
        </w:rPr>
        <w:t xml:space="preserve"> García F de J, Marín Cárdenas JA, García Orjuela </w:t>
      </w:r>
      <w:bookmarkStart w:id="0" w:name="_GoBack"/>
      <w:bookmarkEnd w:id="0"/>
      <w:r w:rsidRPr="00FE34C5">
        <w:rPr>
          <w:rFonts w:ascii="Times New Roman" w:hAnsi="Times New Roman"/>
          <w:sz w:val="24"/>
          <w:szCs w:val="24"/>
        </w:rPr>
        <w:t xml:space="preserve">MG. Paciente Intoxicado por Glucósidos Cardíacos. </w:t>
      </w:r>
      <w:r w:rsidR="00B0332E">
        <w:rPr>
          <w:rFonts w:ascii="Times New Roman" w:hAnsi="Times New Roman"/>
          <w:sz w:val="24"/>
          <w:szCs w:val="24"/>
        </w:rPr>
        <w:t xml:space="preserve">Bogotá: </w:t>
      </w:r>
      <w:proofErr w:type="spellStart"/>
      <w:r w:rsidRPr="00FE34C5">
        <w:rPr>
          <w:rFonts w:ascii="Times New Roman" w:hAnsi="Times New Roman"/>
          <w:sz w:val="24"/>
          <w:szCs w:val="24"/>
        </w:rPr>
        <w:t>Encolombia</w:t>
      </w:r>
      <w:proofErr w:type="spellEnd"/>
      <w:r w:rsidR="00B0332E">
        <w:rPr>
          <w:rFonts w:ascii="Times New Roman" w:hAnsi="Times New Roman"/>
          <w:sz w:val="24"/>
          <w:szCs w:val="24"/>
        </w:rPr>
        <w:t>;</w:t>
      </w:r>
      <w:r w:rsidRPr="00FE34C5">
        <w:rPr>
          <w:rFonts w:ascii="Times New Roman" w:hAnsi="Times New Roman"/>
          <w:sz w:val="24"/>
          <w:szCs w:val="24"/>
        </w:rPr>
        <w:t xml:space="preserve"> 2020 [</w:t>
      </w:r>
      <w:r>
        <w:rPr>
          <w:rFonts w:ascii="Times New Roman" w:hAnsi="Times New Roman"/>
          <w:sz w:val="24"/>
          <w:szCs w:val="24"/>
        </w:rPr>
        <w:t>acceso:</w:t>
      </w:r>
      <w:r w:rsidRPr="00FE34C5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>/10/</w:t>
      </w:r>
      <w:r w:rsidRPr="00FE34C5">
        <w:rPr>
          <w:rFonts w:ascii="Times New Roman" w:hAnsi="Times New Roman"/>
          <w:sz w:val="24"/>
          <w:szCs w:val="24"/>
        </w:rPr>
        <w:t xml:space="preserve">2020]. Disponible en: </w:t>
      </w:r>
      <w:hyperlink r:id="rId22" w:history="1">
        <w:r w:rsidRPr="00444392">
          <w:rPr>
            <w:rStyle w:val="Hipervnculo"/>
            <w:rFonts w:ascii="Times New Roman" w:hAnsi="Times New Roman"/>
            <w:sz w:val="24"/>
            <w:szCs w:val="24"/>
          </w:rPr>
          <w:t>https://encolombia.com/medicina/guiasmed/emergencias%20toxicologicas/intoxicado-glucosidos-cardiacos/</w:t>
        </w:r>
      </w:hyperlink>
    </w:p>
    <w:p w:rsidR="00E63BBC" w:rsidRDefault="00E63BBC" w:rsidP="00B0332E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9.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Marín Casino M, Martínez Roig A, Diagnóstico de intoxicación por </w:t>
      </w:r>
      <w:proofErr w:type="spellStart"/>
      <w:r w:rsidRPr="0010133B">
        <w:rPr>
          <w:rFonts w:ascii="Times New Roman" w:hAnsi="Times New Roman"/>
          <w:sz w:val="24"/>
          <w:szCs w:val="24"/>
        </w:rPr>
        <w:t>Nerium</w:t>
      </w:r>
      <w:proofErr w:type="spellEnd"/>
      <w:r w:rsidR="00B0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Oleander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¿Un único método analítico es suficiente? </w:t>
      </w:r>
      <w:proofErr w:type="spellStart"/>
      <w:r w:rsidRPr="0010133B">
        <w:rPr>
          <w:rFonts w:ascii="Times New Roman" w:hAnsi="Times New Roman"/>
          <w:sz w:val="24"/>
          <w:szCs w:val="24"/>
        </w:rPr>
        <w:t>Farm</w:t>
      </w:r>
      <w:proofErr w:type="spellEnd"/>
      <w:r w:rsidR="00B0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Hosp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. 2007[acceso: 14/10/20];  31(4): 251-9. Disponible en: </w:t>
      </w:r>
      <w:hyperlink r:id="rId23" w:history="1">
        <w:r w:rsidRPr="005F2886">
          <w:rPr>
            <w:rStyle w:val="Hipervnculo"/>
            <w:rFonts w:ascii="Times New Roman" w:hAnsi="Times New Roman"/>
            <w:sz w:val="24"/>
            <w:szCs w:val="24"/>
          </w:rPr>
          <w:t>https://dialnet.unirioja.es/servlet/articulo?codigo=2388662</w:t>
        </w:r>
      </w:hyperlink>
    </w:p>
    <w:p w:rsidR="00E63BBC" w:rsidRDefault="00E63BBC" w:rsidP="00B0332E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10.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Nogué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10133B">
        <w:rPr>
          <w:rFonts w:ascii="Times New Roman" w:hAnsi="Times New Roman"/>
          <w:sz w:val="24"/>
          <w:szCs w:val="24"/>
        </w:rPr>
        <w:t>Cino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10133B">
        <w:rPr>
          <w:rFonts w:ascii="Times New Roman" w:hAnsi="Times New Roman"/>
          <w:sz w:val="24"/>
          <w:szCs w:val="24"/>
        </w:rPr>
        <w:t>Civeira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10133B">
        <w:rPr>
          <w:rFonts w:ascii="Times New Roman" w:hAnsi="Times New Roman"/>
          <w:sz w:val="24"/>
          <w:szCs w:val="24"/>
        </w:rPr>
        <w:t>Puiguriguer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J, Burillo-</w:t>
      </w:r>
      <w:proofErr w:type="spellStart"/>
      <w:r w:rsidRPr="0010133B">
        <w:rPr>
          <w:rFonts w:ascii="Times New Roman" w:hAnsi="Times New Roman"/>
          <w:sz w:val="24"/>
          <w:szCs w:val="24"/>
        </w:rPr>
        <w:t>Putze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G, Dueñas A, et al.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Tratamiento de la intoxicación </w:t>
      </w:r>
      <w:proofErr w:type="spellStart"/>
      <w:r w:rsidRPr="0010133B">
        <w:rPr>
          <w:rFonts w:ascii="Times New Roman" w:hAnsi="Times New Roman"/>
          <w:sz w:val="24"/>
          <w:szCs w:val="24"/>
        </w:rPr>
        <w:t>digitálica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. Bases para el uso de los anticuerpos </w:t>
      </w:r>
      <w:proofErr w:type="spellStart"/>
      <w:r w:rsidRPr="0010133B">
        <w:rPr>
          <w:rFonts w:ascii="Times New Roman" w:hAnsi="Times New Roman"/>
          <w:sz w:val="24"/>
          <w:szCs w:val="24"/>
        </w:rPr>
        <w:t>antidigital</w:t>
      </w:r>
      <w:proofErr w:type="spellEnd"/>
      <w:r w:rsidRPr="0010133B">
        <w:rPr>
          <w:rFonts w:ascii="Times New Roman" w:hAnsi="Times New Roman"/>
          <w:sz w:val="24"/>
          <w:szCs w:val="24"/>
        </w:rPr>
        <w:t>. Emergencias. 2012[acceso: 14/10/20];</w:t>
      </w:r>
      <w:r>
        <w:rPr>
          <w:rFonts w:ascii="Times New Roman" w:hAnsi="Times New Roman"/>
          <w:sz w:val="24"/>
          <w:szCs w:val="24"/>
        </w:rPr>
        <w:t xml:space="preserve"> 24: 462-</w:t>
      </w:r>
      <w:r w:rsidRPr="0010133B">
        <w:rPr>
          <w:rFonts w:ascii="Times New Roman" w:hAnsi="Times New Roman"/>
          <w:sz w:val="24"/>
          <w:szCs w:val="24"/>
        </w:rPr>
        <w:t xml:space="preserve">75. Disponible en: </w:t>
      </w:r>
      <w:hyperlink r:id="rId24" w:history="1">
        <w:r w:rsidRPr="005F2886">
          <w:rPr>
            <w:rStyle w:val="Hipervnculo"/>
            <w:rFonts w:ascii="Times New Roman" w:hAnsi="Times New Roman"/>
            <w:sz w:val="24"/>
            <w:szCs w:val="24"/>
          </w:rPr>
          <w:t>http://www.socmue.cat/docs/gr_treball/Digital_intoxicacion_EMERGENCIAS_2012.pdf</w:t>
        </w:r>
      </w:hyperlink>
    </w:p>
    <w:p w:rsidR="00E63BBC" w:rsidRDefault="00E63BBC" w:rsidP="00B0332E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11.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r w:rsidRPr="0010133B">
        <w:rPr>
          <w:rFonts w:ascii="Times New Roman" w:hAnsi="Times New Roman"/>
          <w:sz w:val="24"/>
          <w:szCs w:val="24"/>
        </w:rPr>
        <w:t xml:space="preserve">Morán Chorro I, </w:t>
      </w:r>
      <w:proofErr w:type="spellStart"/>
      <w:r w:rsidRPr="0010133B">
        <w:rPr>
          <w:rFonts w:ascii="Times New Roman" w:hAnsi="Times New Roman"/>
          <w:sz w:val="24"/>
          <w:szCs w:val="24"/>
        </w:rPr>
        <w:t>Baldirá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Martínez de Irujo J, Marruecos-</w:t>
      </w:r>
      <w:proofErr w:type="spellStart"/>
      <w:r w:rsidRPr="0010133B">
        <w:rPr>
          <w:rFonts w:ascii="Times New Roman" w:hAnsi="Times New Roman"/>
          <w:sz w:val="24"/>
          <w:szCs w:val="24"/>
        </w:rPr>
        <w:t>Sant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Pr="0010133B">
        <w:rPr>
          <w:rFonts w:ascii="Times New Roman" w:hAnsi="Times New Roman"/>
          <w:sz w:val="24"/>
          <w:szCs w:val="24"/>
        </w:rPr>
        <w:t>Nogué</w:t>
      </w:r>
      <w:proofErr w:type="spellEnd"/>
      <w:r w:rsidR="005D62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33B">
        <w:rPr>
          <w:rFonts w:ascii="Times New Roman" w:hAnsi="Times New Roman"/>
          <w:sz w:val="24"/>
          <w:szCs w:val="24"/>
        </w:rPr>
        <w:t>Xarau</w:t>
      </w:r>
      <w:proofErr w:type="spellEnd"/>
      <w:r w:rsidRPr="0010133B">
        <w:rPr>
          <w:rFonts w:ascii="Times New Roman" w:hAnsi="Times New Roman"/>
          <w:sz w:val="24"/>
          <w:szCs w:val="24"/>
        </w:rPr>
        <w:t xml:space="preserve"> S. Toxicología clínica. Madrid: Difusión Jurídica y Temas de Actualidad; 2011[acceso: 14/10/20];</w:t>
      </w:r>
      <w:r>
        <w:rPr>
          <w:rFonts w:ascii="Times New Roman" w:hAnsi="Times New Roman"/>
          <w:sz w:val="24"/>
          <w:szCs w:val="24"/>
        </w:rPr>
        <w:t xml:space="preserve"> 347-</w:t>
      </w:r>
      <w:r w:rsidRPr="0010133B">
        <w:rPr>
          <w:rFonts w:ascii="Times New Roman" w:hAnsi="Times New Roman"/>
          <w:sz w:val="24"/>
          <w:szCs w:val="24"/>
        </w:rPr>
        <w:t>53. Disponible en:</w:t>
      </w:r>
      <w:r w:rsidR="00B0332E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444392">
          <w:rPr>
            <w:rStyle w:val="Hipervnculo"/>
            <w:rFonts w:ascii="Times New Roman" w:hAnsi="Times New Roman"/>
            <w:sz w:val="24"/>
            <w:szCs w:val="24"/>
          </w:rPr>
          <w:t>http://www.fetoc.es/asistencia/Toxicologia_clinica_libro.pdf</w:t>
        </w:r>
      </w:hyperlink>
    </w:p>
    <w:p w:rsidR="00E63BBC" w:rsidRDefault="00E63BBC" w:rsidP="00E63BB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0133B">
        <w:rPr>
          <w:rFonts w:ascii="Times New Roman" w:hAnsi="Times New Roman"/>
          <w:sz w:val="24"/>
          <w:szCs w:val="24"/>
          <w:lang w:val="en-US"/>
        </w:rPr>
        <w:t>12.</w:t>
      </w:r>
      <w:r w:rsidR="00B0332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Roberts DM, Buckley N. Antidotes for acute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cardenolide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(cardiac glycoside) poisoning. Cochrane Database of Systematic Reviews. 2006[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acceso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>: 14/10/20]</w:t>
      </w:r>
      <w:r w:rsidR="00CD3EA5">
        <w:rPr>
          <w:rFonts w:ascii="Times New Roman" w:hAnsi="Times New Roman"/>
          <w:sz w:val="24"/>
          <w:szCs w:val="24"/>
          <w:lang w:val="en-US"/>
        </w:rPr>
        <w:t>;</w:t>
      </w:r>
      <w:r w:rsidRPr="0010133B">
        <w:rPr>
          <w:rFonts w:ascii="Times New Roman" w:hAnsi="Times New Roman"/>
          <w:sz w:val="24"/>
          <w:szCs w:val="24"/>
          <w:lang w:val="en-US"/>
        </w:rPr>
        <w:t xml:space="preserve"> 4: CD005490. </w:t>
      </w:r>
      <w:proofErr w:type="spellStart"/>
      <w:r w:rsidRPr="0010133B">
        <w:rPr>
          <w:rFonts w:ascii="Times New Roman" w:hAnsi="Times New Roman"/>
          <w:sz w:val="24"/>
          <w:szCs w:val="24"/>
          <w:lang w:val="en-US"/>
        </w:rPr>
        <w:t>Disponible</w:t>
      </w:r>
      <w:proofErr w:type="spellEnd"/>
      <w:r w:rsidRPr="0010133B">
        <w:rPr>
          <w:rFonts w:ascii="Times New Roman" w:hAnsi="Times New Roman"/>
          <w:sz w:val="24"/>
          <w:szCs w:val="24"/>
          <w:lang w:val="en-US"/>
        </w:rPr>
        <w:t xml:space="preserve"> en: </w:t>
      </w:r>
      <w:hyperlink r:id="rId26" w:history="1">
        <w:r w:rsidRPr="00444392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https://doi.org/10.1002/14651858.CD005490.pub2</w:t>
        </w:r>
      </w:hyperlink>
    </w:p>
    <w:p w:rsidR="00E63BBC" w:rsidRPr="0010133B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63BBC" w:rsidRPr="005F2886" w:rsidRDefault="00E63BBC" w:rsidP="00E63B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63BBC" w:rsidRPr="005F2886" w:rsidRDefault="00E63BBC" w:rsidP="00E63BB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2886">
        <w:rPr>
          <w:rFonts w:ascii="Times New Roman" w:hAnsi="Times New Roman"/>
          <w:b/>
          <w:bCs/>
          <w:sz w:val="24"/>
          <w:szCs w:val="24"/>
        </w:rPr>
        <w:t>Conflictos de interés</w:t>
      </w:r>
    </w:p>
    <w:p w:rsidR="00675476" w:rsidRPr="00CE77B5" w:rsidRDefault="00E63BBC" w:rsidP="00CE77B5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133B">
        <w:rPr>
          <w:rFonts w:ascii="Times New Roman" w:hAnsi="Times New Roman"/>
          <w:sz w:val="24"/>
          <w:szCs w:val="24"/>
        </w:rPr>
        <w:t>Los autores declaran que no existen conflictos de interés en relación con el trabajo.</w:t>
      </w:r>
    </w:p>
    <w:sectPr w:rsidR="00675476" w:rsidRPr="00CE77B5" w:rsidSect="000F3690">
      <w:headerReference w:type="default" r:id="rId27"/>
      <w:footerReference w:type="even" r:id="rId28"/>
      <w:footerReference w:type="default" r:id="rId29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D2" w:rsidRDefault="005D53D2">
      <w:r>
        <w:separator/>
      </w:r>
    </w:p>
  </w:endnote>
  <w:endnote w:type="continuationSeparator" w:id="0">
    <w:p w:rsidR="005D53D2" w:rsidRDefault="005D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690" w:rsidRPr="00AE044C" w:rsidRDefault="000F3690" w:rsidP="00391509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A813B" wp14:editId="465C98C3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6CD5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" strokecolor="blue" strokeweight="2.25pt"/>
          </w:pict>
        </mc:Fallback>
      </mc:AlternateContent>
    </w:r>
  </w:p>
  <w:p w:rsidR="00675476" w:rsidRPr="00E63BBC" w:rsidRDefault="005D53D2" w:rsidP="00E63BBC">
    <w:pPr>
      <w:pStyle w:val="Piedepgina"/>
      <w:spacing w:after="0"/>
      <w:ind w:right="357"/>
      <w:rPr>
        <w:rFonts w:ascii="Times New Roman" w:hAnsi="Times New Roman"/>
      </w:rPr>
    </w:pPr>
    <w:hyperlink r:id="rId1" w:history="1">
      <w:r w:rsidR="00391509" w:rsidRPr="00E63BBC">
        <w:rPr>
          <w:rStyle w:val="Hipervnculo"/>
          <w:rFonts w:ascii="Times New Roman" w:hAnsi="Times New Roman"/>
        </w:rPr>
        <w:t>http://scielo.sld.cu</w:t>
      </w:r>
    </w:hyperlink>
  </w:p>
  <w:p w:rsidR="00391509" w:rsidRPr="00E63BBC" w:rsidRDefault="005D53D2" w:rsidP="00E63BBC">
    <w:pPr>
      <w:pStyle w:val="Piedepgina"/>
      <w:tabs>
        <w:tab w:val="clear" w:pos="4252"/>
        <w:tab w:val="left" w:pos="8504"/>
      </w:tabs>
      <w:spacing w:after="0"/>
      <w:ind w:right="357"/>
      <w:rPr>
        <w:rFonts w:ascii="Times New Roman" w:hAnsi="Times New Roman"/>
      </w:rPr>
    </w:pPr>
    <w:hyperlink r:id="rId2" w:history="1">
      <w:r w:rsidR="00391509" w:rsidRPr="00E63BBC">
        <w:rPr>
          <w:rStyle w:val="Hipervnculo"/>
          <w:rFonts w:ascii="Times New Roman" w:hAnsi="Times New Roman"/>
        </w:rPr>
        <w:t>http://www.revmedmilitar.sld.cu</w:t>
      </w:r>
    </w:hyperlink>
    <w:r w:rsidR="00391509" w:rsidRPr="00E63BBC">
      <w:rPr>
        <w:rFonts w:ascii="Times New Roman" w:hAnsi="Times New Roman"/>
      </w:rPr>
      <w:t xml:space="preserve"> </w:t>
    </w:r>
    <w:r w:rsidR="00AE044C" w:rsidRPr="00E63BBC">
      <w:rPr>
        <w:rFonts w:ascii="Times New Roman" w:hAnsi="Times New Roman"/>
      </w:rPr>
      <w:tab/>
    </w:r>
  </w:p>
  <w:p w:rsidR="00180CE9" w:rsidRPr="00E63BBC" w:rsidRDefault="00180CE9" w:rsidP="00E63BBC">
    <w:pPr>
      <w:pStyle w:val="Piedepgina"/>
      <w:spacing w:after="0"/>
      <w:ind w:right="357"/>
      <w:jc w:val="center"/>
      <w:rPr>
        <w:rFonts w:ascii="Times New Roman" w:hAnsi="Times New Roman"/>
        <w:sz w:val="18"/>
        <w:szCs w:val="18"/>
      </w:rPr>
    </w:pPr>
    <w:r w:rsidRPr="00E63BBC">
      <w:rPr>
        <w:rFonts w:ascii="Times New Roman" w:hAnsi="Times New Roman"/>
      </w:rPr>
      <w:t xml:space="preserve">Bajo licencia </w:t>
    </w:r>
    <w:proofErr w:type="spellStart"/>
    <w:r w:rsidRPr="00E63BBC">
      <w:rPr>
        <w:rFonts w:ascii="Times New Roman" w:hAnsi="Times New Roman"/>
      </w:rPr>
      <w:t>Creative</w:t>
    </w:r>
    <w:proofErr w:type="spellEnd"/>
    <w:r w:rsidRPr="00E63BBC">
      <w:rPr>
        <w:rFonts w:ascii="Times New Roman" w:hAnsi="Times New Roman"/>
      </w:rPr>
      <w:t xml:space="preserve"> </w:t>
    </w:r>
    <w:proofErr w:type="spellStart"/>
    <w:r w:rsidRPr="00E63BBC">
      <w:rPr>
        <w:rFonts w:ascii="Times New Roman" w:hAnsi="Times New Roman"/>
      </w:rPr>
      <w:t>Commons</w:t>
    </w:r>
    <w:proofErr w:type="spellEnd"/>
    <w:r w:rsidRPr="00E63BBC">
      <w:rPr>
        <w:rFonts w:ascii="Times New Roman" w:hAnsi="Times New Roman"/>
        <w:sz w:val="18"/>
        <w:szCs w:val="18"/>
      </w:rPr>
      <w:t xml:space="preserve"> </w:t>
    </w:r>
    <w:r w:rsidRPr="00E63BBC">
      <w:rPr>
        <w:rFonts w:ascii="Times New Roman" w:hAnsi="Times New Roman"/>
        <w:noProof/>
        <w:sz w:val="18"/>
        <w:szCs w:val="18"/>
        <w:lang w:eastAsia="es-ES"/>
      </w:rPr>
      <w:drawing>
        <wp:inline distT="0" distB="0" distL="0" distR="0" wp14:anchorId="147E4CE2" wp14:editId="4C583824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D2" w:rsidRDefault="005D53D2">
      <w:r>
        <w:separator/>
      </w:r>
    </w:p>
  </w:footnote>
  <w:footnote w:type="continuationSeparator" w:id="0">
    <w:p w:rsidR="005D53D2" w:rsidRDefault="005D5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6A" w:rsidRPr="00E63BBC" w:rsidRDefault="00B31971" w:rsidP="00180CE9">
    <w:pPr>
      <w:pStyle w:val="Encabezado"/>
      <w:tabs>
        <w:tab w:val="left" w:pos="420"/>
      </w:tabs>
      <w:jc w:val="center"/>
      <w:rPr>
        <w:rFonts w:ascii="Times New Roman" w:hAnsi="Times New Roman"/>
      </w:rPr>
    </w:pPr>
    <w:r w:rsidRPr="00E63BBC">
      <w:rPr>
        <w:rFonts w:ascii="Times New Roman" w:hAnsi="Times New Roman"/>
        <w:b/>
        <w:noProof/>
        <w:color w:val="00FFFF"/>
        <w:lang w:eastAsia="es-ES"/>
      </w:rPr>
      <w:drawing>
        <wp:anchor distT="0" distB="0" distL="114300" distR="114300" simplePos="0" relativeHeight="251675648" behindDoc="0" locked="0" layoutInCell="1" allowOverlap="1" wp14:anchorId="29349516" wp14:editId="614840C3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E63BBC">
      <w:rPr>
        <w:rFonts w:ascii="Times New Roman" w:hAnsi="Times New Roman"/>
      </w:rPr>
      <w:t xml:space="preserve">Revista </w:t>
    </w:r>
    <w:r w:rsidR="00380D64" w:rsidRPr="00E63BBC">
      <w:rPr>
        <w:rFonts w:ascii="Times New Roman" w:hAnsi="Times New Roman"/>
      </w:rPr>
      <w:t>Cubana de Medicina Militar.</w:t>
    </w:r>
    <w:r w:rsidR="00D85951" w:rsidRPr="00E63BBC">
      <w:rPr>
        <w:rFonts w:ascii="Times New Roman" w:hAnsi="Times New Roman"/>
      </w:rPr>
      <w:t xml:space="preserve"> </w:t>
    </w:r>
    <w:r w:rsidR="00065FC3">
      <w:rPr>
        <w:rFonts w:ascii="Times New Roman" w:hAnsi="Times New Roman"/>
      </w:rPr>
      <w:t>2021</w:t>
    </w:r>
    <w:proofErr w:type="gramStart"/>
    <w:r w:rsidR="003E03D5" w:rsidRPr="00E63BBC">
      <w:rPr>
        <w:rFonts w:ascii="Times New Roman" w:hAnsi="Times New Roman"/>
      </w:rPr>
      <w:t>;</w:t>
    </w:r>
    <w:r w:rsidR="00065FC3">
      <w:rPr>
        <w:rFonts w:ascii="Times New Roman" w:hAnsi="Times New Roman"/>
      </w:rPr>
      <w:t>50</w:t>
    </w:r>
    <w:proofErr w:type="gramEnd"/>
    <w:r w:rsidR="00493701" w:rsidRPr="00E63BBC">
      <w:rPr>
        <w:rFonts w:ascii="Times New Roman" w:hAnsi="Times New Roman"/>
      </w:rPr>
      <w:t>(</w:t>
    </w:r>
    <w:r w:rsidR="00065FC3">
      <w:rPr>
        <w:rFonts w:ascii="Times New Roman" w:hAnsi="Times New Roman"/>
      </w:rPr>
      <w:t>2</w:t>
    </w:r>
    <w:r w:rsidR="00493701" w:rsidRPr="00E63BBC">
      <w:rPr>
        <w:rFonts w:ascii="Times New Roman" w:hAnsi="Times New Roman"/>
      </w:rPr>
      <w:t>)</w:t>
    </w:r>
    <w:r w:rsidR="00391509" w:rsidRPr="00E63BBC">
      <w:rPr>
        <w:rFonts w:ascii="Times New Roman" w:hAnsi="Times New Roman"/>
      </w:rPr>
      <w:t>:</w:t>
    </w:r>
    <w:r w:rsidR="00065FC3">
      <w:rPr>
        <w:rFonts w:ascii="Times New Roman" w:hAnsi="Times New Roman"/>
      </w:rPr>
      <w:t xml:space="preserve"> e02101052</w:t>
    </w:r>
  </w:p>
  <w:p w:rsidR="00A477DE" w:rsidRDefault="000F3690">
    <w:r w:rsidRPr="00CC376A">
      <w:rPr>
        <w:rFonts w:ascii="Verdana" w:hAnsi="Verdana"/>
        <w:noProof/>
        <w:color w:val="00FFFF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82E9F8" wp14:editId="0656A557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B56DF3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75558"/>
    <w:multiLevelType w:val="hybridMultilevel"/>
    <w:tmpl w:val="9A5412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BC"/>
    <w:rsid w:val="00065FC3"/>
    <w:rsid w:val="000F3690"/>
    <w:rsid w:val="001221D1"/>
    <w:rsid w:val="00180CE9"/>
    <w:rsid w:val="00230DD5"/>
    <w:rsid w:val="00380D64"/>
    <w:rsid w:val="00391509"/>
    <w:rsid w:val="003E03D5"/>
    <w:rsid w:val="00493701"/>
    <w:rsid w:val="004E2065"/>
    <w:rsid w:val="005508A2"/>
    <w:rsid w:val="00566F71"/>
    <w:rsid w:val="005D53D2"/>
    <w:rsid w:val="005D629C"/>
    <w:rsid w:val="006327EA"/>
    <w:rsid w:val="00675476"/>
    <w:rsid w:val="00774963"/>
    <w:rsid w:val="007C430F"/>
    <w:rsid w:val="007D614D"/>
    <w:rsid w:val="00960D6A"/>
    <w:rsid w:val="009A0560"/>
    <w:rsid w:val="009B0917"/>
    <w:rsid w:val="00A23C0C"/>
    <w:rsid w:val="00A477DE"/>
    <w:rsid w:val="00A71E65"/>
    <w:rsid w:val="00AE044C"/>
    <w:rsid w:val="00B0332E"/>
    <w:rsid w:val="00B31971"/>
    <w:rsid w:val="00B4380A"/>
    <w:rsid w:val="00B66ECB"/>
    <w:rsid w:val="00C7523A"/>
    <w:rsid w:val="00CC1B6E"/>
    <w:rsid w:val="00CC376A"/>
    <w:rsid w:val="00CC48A1"/>
    <w:rsid w:val="00CD3EA5"/>
    <w:rsid w:val="00CE77B5"/>
    <w:rsid w:val="00D85951"/>
    <w:rsid w:val="00E62606"/>
    <w:rsid w:val="00E63BBC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D281FF-163C-4779-85E9-96FB3848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B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BBC"/>
    <w:pPr>
      <w:keepNext/>
      <w:spacing w:after="0" w:line="36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63BBC"/>
    <w:rPr>
      <w:rFonts w:eastAsia="Calibri"/>
      <w:b/>
      <w:bCs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6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269-8956" TargetMode="External"/><Relationship Id="rId13" Type="http://schemas.openxmlformats.org/officeDocument/2006/relationships/hyperlink" Target="mailto:labestard@infomed.sld.cu" TargetMode="External"/><Relationship Id="rId18" Type="http://schemas.openxmlformats.org/officeDocument/2006/relationships/hyperlink" Target="http://journalofnaturalproducts.com/Volume7/10_Res_paper-9.pdf" TargetMode="External"/><Relationship Id="rId26" Type="http://schemas.openxmlformats.org/officeDocument/2006/relationships/hyperlink" Target="https://doi.org/10.1002/14651858.CD005490.pub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up.org/pdf_public/gt/intox_manual3_enr.pdf" TargetMode="External"/><Relationship Id="rId7" Type="http://schemas.openxmlformats.org/officeDocument/2006/relationships/hyperlink" Target="https://orcid.org/0000-0002-3301-2599" TargetMode="External"/><Relationship Id="rId12" Type="http://schemas.openxmlformats.org/officeDocument/2006/relationships/hyperlink" Target="https://orcid.org/0000-0001-5272-8712" TargetMode="External"/><Relationship Id="rId17" Type="http://schemas.openxmlformats.org/officeDocument/2006/relationships/hyperlink" Target="https://innovareacademics.in/journals/index.php/ijpps/article/view/22505/14026" TargetMode="External"/><Relationship Id="rId25" Type="http://schemas.openxmlformats.org/officeDocument/2006/relationships/hyperlink" Target="http://www.fetoc.es/asistencia/Toxicologia_clinica_libro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centro.sld.cu/index.php/medicentro/article/viewFile/110/139" TargetMode="External"/><Relationship Id="rId20" Type="http://schemas.openxmlformats.org/officeDocument/2006/relationships/hyperlink" Target="https://www.researchgate.net/publication/311774385_A_REVIEW_ON_MANAGEMENT_OF_COMMON_OLEANDER_AND_YELLOW_OLEANDER_POISONING/download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7758-7987" TargetMode="External"/><Relationship Id="rId24" Type="http://schemas.openxmlformats.org/officeDocument/2006/relationships/hyperlink" Target="http://www.socmue.cat/docs/gr_treball/Digital_intoxicacion_EMERGENCIAS_201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ielo.sld.cu/pdf/pla/v14n2/pla06209.pdf" TargetMode="External"/><Relationship Id="rId23" Type="http://schemas.openxmlformats.org/officeDocument/2006/relationships/hyperlink" Target="https://dialnet.unirioja.es/servlet/articulo?codigo=238866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orcid.org/0000-0001-5730-2585" TargetMode="External"/><Relationship Id="rId19" Type="http://schemas.openxmlformats.org/officeDocument/2006/relationships/hyperlink" Target="https://www.sefh.es/fh/7_q14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1435-0031" TargetMode="External"/><Relationship Id="rId14" Type="http://schemas.openxmlformats.org/officeDocument/2006/relationships/image" Target="media/image1.jpg"/><Relationship Id="rId22" Type="http://schemas.openxmlformats.org/officeDocument/2006/relationships/hyperlink" Target="https://encolombia.com/medicina/guiasmed/emergencias%20toxicologicas/intoxicado-glucosidos-cardiacos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27</TotalTime>
  <Pages>8</Pages>
  <Words>2498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16208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Usuario de Windows</cp:lastModifiedBy>
  <cp:revision>7</cp:revision>
  <cp:lastPrinted>2010-09-13T21:29:00Z</cp:lastPrinted>
  <dcterms:created xsi:type="dcterms:W3CDTF">2021-05-03T20:27:00Z</dcterms:created>
  <dcterms:modified xsi:type="dcterms:W3CDTF">2021-05-21T13:34:00Z</dcterms:modified>
</cp:coreProperties>
</file>