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F7E5F" w14:textId="77777777" w:rsidR="00250CA9" w:rsidRPr="00250CA9" w:rsidRDefault="00250CA9" w:rsidP="00250CA9">
      <w:pPr>
        <w:spacing w:line="360" w:lineRule="auto"/>
        <w:jc w:val="right"/>
        <w:rPr>
          <w:bCs/>
          <w:sz w:val="20"/>
          <w:szCs w:val="20"/>
          <w:lang w:val="es-PE" w:eastAsia="es-PE"/>
        </w:rPr>
      </w:pPr>
      <w:r w:rsidRPr="00250CA9">
        <w:rPr>
          <w:bCs/>
          <w:sz w:val="20"/>
          <w:szCs w:val="20"/>
          <w:lang w:val="es-PE" w:eastAsia="es-PE"/>
        </w:rPr>
        <w:t>Artículo de investigación</w:t>
      </w:r>
    </w:p>
    <w:p w14:paraId="299FC3B3" w14:textId="77777777" w:rsidR="00250CA9" w:rsidRPr="00250CA9" w:rsidRDefault="00250CA9" w:rsidP="00250CA9">
      <w:pPr>
        <w:spacing w:line="360" w:lineRule="auto"/>
        <w:jc w:val="right"/>
        <w:rPr>
          <w:b/>
          <w:lang w:val="es-PE" w:eastAsia="es-PE"/>
        </w:rPr>
      </w:pPr>
    </w:p>
    <w:p w14:paraId="712384EA" w14:textId="77777777" w:rsidR="00250CA9" w:rsidRPr="00250CA9" w:rsidRDefault="00250CA9" w:rsidP="00250CA9">
      <w:pPr>
        <w:spacing w:line="360" w:lineRule="auto"/>
        <w:jc w:val="center"/>
        <w:rPr>
          <w:b/>
          <w:sz w:val="28"/>
          <w:szCs w:val="28"/>
          <w:lang w:val="es-PE" w:eastAsia="es-PE"/>
        </w:rPr>
      </w:pPr>
      <w:r w:rsidRPr="00250CA9">
        <w:rPr>
          <w:b/>
          <w:sz w:val="28"/>
          <w:szCs w:val="28"/>
          <w:lang w:val="es-PE" w:eastAsia="es-PE"/>
        </w:rPr>
        <w:t>Percepción de los universitarios sobre las repercusiones académicas originadas por la pandemia de COVID-19</w:t>
      </w:r>
    </w:p>
    <w:p w14:paraId="7AAEEB82" w14:textId="77777777" w:rsidR="00250CA9" w:rsidRPr="00250CA9" w:rsidRDefault="00250CA9" w:rsidP="00250CA9">
      <w:pPr>
        <w:spacing w:line="360" w:lineRule="auto"/>
        <w:jc w:val="center"/>
        <w:rPr>
          <w:bCs/>
          <w:lang w:val="en-US" w:eastAsia="es-PE"/>
        </w:rPr>
      </w:pPr>
      <w:r w:rsidRPr="00250CA9">
        <w:rPr>
          <w:bCs/>
          <w:sz w:val="28"/>
          <w:szCs w:val="28"/>
          <w:lang w:val="en-US" w:eastAsia="es-PE"/>
        </w:rPr>
        <w:t>University Students' Perceptions of the Academic Impact of the COVID-19 Pandemic</w:t>
      </w:r>
    </w:p>
    <w:p w14:paraId="238DC6A6" w14:textId="77777777" w:rsidR="00250CA9" w:rsidRPr="00250CA9" w:rsidRDefault="00250CA9" w:rsidP="00250CA9">
      <w:pPr>
        <w:spacing w:line="360" w:lineRule="auto"/>
        <w:rPr>
          <w:b/>
          <w:lang w:val="en-US" w:eastAsia="es-PE"/>
        </w:rPr>
      </w:pPr>
    </w:p>
    <w:p w14:paraId="110AA1DA" w14:textId="77777777" w:rsidR="00250CA9" w:rsidRPr="00250CA9" w:rsidRDefault="00250CA9" w:rsidP="00250CA9">
      <w:pPr>
        <w:spacing w:line="360" w:lineRule="auto"/>
        <w:rPr>
          <w:bCs/>
          <w:lang w:val="es-CU" w:eastAsia="es-PE"/>
        </w:rPr>
      </w:pPr>
      <w:r w:rsidRPr="00250CA9">
        <w:rPr>
          <w:bCs/>
          <w:lang w:val="es-CU" w:eastAsia="es-PE"/>
        </w:rPr>
        <w:t xml:space="preserve">Luis Miguel </w:t>
      </w:r>
      <w:proofErr w:type="spellStart"/>
      <w:r w:rsidRPr="00250CA9">
        <w:rPr>
          <w:bCs/>
          <w:lang w:val="es-CU" w:eastAsia="es-PE"/>
        </w:rPr>
        <w:t>Cangalaya-Sevillano</w:t>
      </w:r>
      <w:r w:rsidRPr="00250CA9">
        <w:rPr>
          <w:bCs/>
          <w:vertAlign w:val="superscript"/>
          <w:lang w:val="es-CU" w:eastAsia="es-PE"/>
        </w:rPr>
        <w:t>1</w:t>
      </w:r>
      <w:proofErr w:type="spellEnd"/>
      <w:r w:rsidRPr="00250CA9">
        <w:rPr>
          <w:bCs/>
          <w:lang w:val="es-CU" w:eastAsia="es-PE"/>
        </w:rPr>
        <w:t xml:space="preserve"> </w:t>
      </w:r>
      <w:hyperlink r:id="rId7" w:history="1">
        <w:r w:rsidRPr="00250CA9">
          <w:rPr>
            <w:bCs/>
            <w:color w:val="0563C1"/>
            <w:lang w:val="es-CU" w:eastAsia="es-PE"/>
          </w:rPr>
          <w:t>https://orcid.org/0000-0003-4309-0598</w:t>
        </w:r>
      </w:hyperlink>
      <w:r w:rsidRPr="00250CA9">
        <w:rPr>
          <w:bCs/>
          <w:lang w:val="es-CU" w:eastAsia="es-PE"/>
        </w:rPr>
        <w:t xml:space="preserve"> </w:t>
      </w:r>
    </w:p>
    <w:p w14:paraId="5FEFEFFA" w14:textId="77777777" w:rsidR="00250CA9" w:rsidRPr="00250CA9" w:rsidRDefault="00250CA9" w:rsidP="00250CA9">
      <w:pPr>
        <w:spacing w:line="360" w:lineRule="auto"/>
        <w:rPr>
          <w:bCs/>
          <w:lang w:val="es-CU" w:eastAsia="es-PE"/>
        </w:rPr>
      </w:pPr>
      <w:r w:rsidRPr="00250CA9">
        <w:rPr>
          <w:bCs/>
          <w:lang w:val="es-CU" w:eastAsia="es-PE"/>
        </w:rPr>
        <w:t>Julio Postigo-</w:t>
      </w:r>
      <w:proofErr w:type="spellStart"/>
      <w:r w:rsidRPr="00250CA9">
        <w:rPr>
          <w:bCs/>
          <w:lang w:val="es-CU" w:eastAsia="es-PE"/>
        </w:rPr>
        <w:t>Zumarán</w:t>
      </w:r>
      <w:r w:rsidRPr="00250CA9">
        <w:rPr>
          <w:bCs/>
          <w:vertAlign w:val="superscript"/>
          <w:lang w:val="es-CU" w:eastAsia="es-PE"/>
        </w:rPr>
        <w:t>2</w:t>
      </w:r>
      <w:proofErr w:type="spellEnd"/>
      <w:r w:rsidRPr="00250CA9">
        <w:rPr>
          <w:bCs/>
          <w:lang w:val="es-CU" w:eastAsia="es-PE"/>
        </w:rPr>
        <w:t xml:space="preserve"> </w:t>
      </w:r>
      <w:hyperlink r:id="rId8" w:history="1">
        <w:r w:rsidRPr="00250CA9">
          <w:rPr>
            <w:bCs/>
            <w:color w:val="0563C1"/>
            <w:lang w:val="es-CU" w:eastAsia="es-PE"/>
          </w:rPr>
          <w:t>https://orcid.org/0000-0002-7954-0127</w:t>
        </w:r>
      </w:hyperlink>
      <w:r w:rsidRPr="00250CA9">
        <w:rPr>
          <w:bCs/>
          <w:lang w:val="es-CU" w:eastAsia="es-PE"/>
        </w:rPr>
        <w:t xml:space="preserve"> </w:t>
      </w:r>
    </w:p>
    <w:p w14:paraId="12D6241D" w14:textId="77777777" w:rsidR="00250CA9" w:rsidRPr="00250CA9" w:rsidRDefault="00250CA9" w:rsidP="00250CA9">
      <w:pPr>
        <w:spacing w:line="360" w:lineRule="auto"/>
        <w:rPr>
          <w:bCs/>
          <w:lang w:val="es-CU" w:eastAsia="es-PE"/>
        </w:rPr>
      </w:pPr>
      <w:r w:rsidRPr="00250CA9">
        <w:rPr>
          <w:bCs/>
          <w:lang w:val="es-CU" w:eastAsia="es-PE"/>
        </w:rPr>
        <w:t>Dennis Arias-</w:t>
      </w:r>
      <w:proofErr w:type="spellStart"/>
      <w:r w:rsidRPr="00250CA9">
        <w:rPr>
          <w:bCs/>
          <w:lang w:val="es-CU" w:eastAsia="es-PE"/>
        </w:rPr>
        <w:t>Chávez</w:t>
      </w:r>
      <w:r w:rsidRPr="00250CA9">
        <w:rPr>
          <w:bCs/>
          <w:vertAlign w:val="superscript"/>
          <w:lang w:val="es-CU" w:eastAsia="es-PE"/>
        </w:rPr>
        <w:t>3</w:t>
      </w:r>
      <w:proofErr w:type="spellEnd"/>
      <w:r w:rsidRPr="00250CA9">
        <w:rPr>
          <w:bCs/>
          <w:lang w:val="es-CU" w:eastAsia="es-PE"/>
        </w:rPr>
        <w:t xml:space="preserve"> </w:t>
      </w:r>
      <w:hyperlink r:id="rId9" w:history="1">
        <w:r w:rsidRPr="00250CA9">
          <w:rPr>
            <w:bCs/>
            <w:color w:val="0563C1"/>
            <w:lang w:val="es-CU" w:eastAsia="es-PE"/>
          </w:rPr>
          <w:t>https://orcid.org/0000-0003-1500-8366</w:t>
        </w:r>
      </w:hyperlink>
      <w:r w:rsidRPr="00250CA9">
        <w:rPr>
          <w:bCs/>
          <w:lang w:val="es-CU" w:eastAsia="es-PE"/>
        </w:rPr>
        <w:t xml:space="preserve">  </w:t>
      </w:r>
    </w:p>
    <w:p w14:paraId="3C341B4A" w14:textId="77777777" w:rsidR="00250CA9" w:rsidRPr="00250CA9" w:rsidRDefault="00250CA9" w:rsidP="00250CA9">
      <w:pPr>
        <w:spacing w:line="360" w:lineRule="auto"/>
        <w:rPr>
          <w:bCs/>
          <w:lang w:val="es-CU" w:eastAsia="es-PE"/>
        </w:rPr>
      </w:pPr>
      <w:r w:rsidRPr="00250CA9">
        <w:rPr>
          <w:bCs/>
          <w:lang w:val="es-CU" w:eastAsia="es-PE"/>
        </w:rPr>
        <w:t>Mario Gustavo Berrios-</w:t>
      </w:r>
      <w:proofErr w:type="spellStart"/>
      <w:r w:rsidRPr="00250CA9">
        <w:rPr>
          <w:bCs/>
          <w:lang w:val="es-CU" w:eastAsia="es-PE"/>
        </w:rPr>
        <w:t>Espezúa</w:t>
      </w:r>
      <w:r w:rsidRPr="00250CA9">
        <w:rPr>
          <w:bCs/>
          <w:vertAlign w:val="superscript"/>
          <w:lang w:val="es-CU" w:eastAsia="es-PE"/>
        </w:rPr>
        <w:t>4</w:t>
      </w:r>
      <w:proofErr w:type="spellEnd"/>
      <w:r w:rsidRPr="00250CA9">
        <w:rPr>
          <w:bCs/>
          <w:lang w:val="es-CU" w:eastAsia="es-PE"/>
        </w:rPr>
        <w:t xml:space="preserve"> </w:t>
      </w:r>
      <w:hyperlink r:id="rId10" w:history="1">
        <w:r w:rsidRPr="00250CA9">
          <w:rPr>
            <w:bCs/>
            <w:color w:val="0563C1"/>
            <w:lang w:val="es-CU" w:eastAsia="es-PE"/>
          </w:rPr>
          <w:t>https://orcid.org/0000-0001-7327-3868</w:t>
        </w:r>
      </w:hyperlink>
      <w:r w:rsidRPr="00250CA9">
        <w:rPr>
          <w:bCs/>
          <w:lang w:val="es-CU" w:eastAsia="es-PE"/>
        </w:rPr>
        <w:t xml:space="preserve"> </w:t>
      </w:r>
    </w:p>
    <w:p w14:paraId="3607CCE9" w14:textId="77777777" w:rsidR="00250CA9" w:rsidRPr="00250CA9" w:rsidRDefault="00250CA9" w:rsidP="00250CA9">
      <w:pPr>
        <w:spacing w:line="360" w:lineRule="auto"/>
        <w:rPr>
          <w:bCs/>
          <w:lang w:val="es-CU" w:eastAsia="es-PE"/>
        </w:rPr>
      </w:pPr>
      <w:r w:rsidRPr="00250CA9">
        <w:rPr>
          <w:bCs/>
          <w:lang w:val="es-CU" w:eastAsia="es-PE"/>
        </w:rPr>
        <w:t>Jaime Espinosa-</w:t>
      </w:r>
      <w:proofErr w:type="spellStart"/>
      <w:r w:rsidRPr="00250CA9">
        <w:rPr>
          <w:bCs/>
          <w:lang w:val="es-CU" w:eastAsia="es-PE"/>
        </w:rPr>
        <w:t>Izquierdo</w:t>
      </w:r>
      <w:r w:rsidRPr="00250CA9">
        <w:rPr>
          <w:bCs/>
          <w:vertAlign w:val="superscript"/>
          <w:lang w:val="es-CU" w:eastAsia="es-PE"/>
        </w:rPr>
        <w:t>5</w:t>
      </w:r>
      <w:proofErr w:type="spellEnd"/>
      <w:r w:rsidRPr="00250CA9">
        <w:rPr>
          <w:bCs/>
          <w:lang w:val="es-CU" w:eastAsia="es-PE"/>
        </w:rPr>
        <w:t xml:space="preserve">* </w:t>
      </w:r>
      <w:hyperlink r:id="rId11" w:history="1">
        <w:r w:rsidRPr="00250CA9">
          <w:rPr>
            <w:bCs/>
            <w:color w:val="0563C1"/>
            <w:lang w:val="es-CU" w:eastAsia="es-PE"/>
          </w:rPr>
          <w:t>https://orcid.org/0000-0001-6842-8626</w:t>
        </w:r>
      </w:hyperlink>
      <w:r w:rsidRPr="00250CA9">
        <w:rPr>
          <w:bCs/>
          <w:lang w:val="es-CU" w:eastAsia="es-PE"/>
        </w:rPr>
        <w:t xml:space="preserve"> </w:t>
      </w:r>
    </w:p>
    <w:p w14:paraId="644CD71E" w14:textId="77777777" w:rsidR="00250CA9" w:rsidRPr="00250CA9" w:rsidRDefault="00250CA9" w:rsidP="00250CA9">
      <w:pPr>
        <w:spacing w:line="360" w:lineRule="auto"/>
        <w:rPr>
          <w:bCs/>
          <w:lang w:val="es-CU" w:eastAsia="es-PE"/>
        </w:rPr>
      </w:pPr>
    </w:p>
    <w:p w14:paraId="72E576E2" w14:textId="77777777" w:rsidR="00250CA9" w:rsidRPr="00250CA9" w:rsidRDefault="00250CA9" w:rsidP="00250CA9">
      <w:pPr>
        <w:spacing w:line="360" w:lineRule="auto"/>
        <w:rPr>
          <w:bCs/>
          <w:lang w:val="es-CU" w:eastAsia="es-PE"/>
        </w:rPr>
      </w:pPr>
      <w:proofErr w:type="spellStart"/>
      <w:r w:rsidRPr="00250CA9">
        <w:rPr>
          <w:bCs/>
          <w:vertAlign w:val="superscript"/>
          <w:lang w:val="es-CU" w:eastAsia="es-PE"/>
        </w:rPr>
        <w:t>1</w:t>
      </w:r>
      <w:r w:rsidRPr="00250CA9">
        <w:rPr>
          <w:bCs/>
          <w:lang w:val="es-CU" w:eastAsia="es-PE"/>
        </w:rPr>
        <w:t>Universidad</w:t>
      </w:r>
      <w:proofErr w:type="spellEnd"/>
      <w:r w:rsidRPr="00250CA9">
        <w:rPr>
          <w:bCs/>
          <w:lang w:val="es-CU" w:eastAsia="es-PE"/>
        </w:rPr>
        <w:t xml:space="preserve"> Peruana de Ciencias Aplicadas. Lima, Perú.</w:t>
      </w:r>
    </w:p>
    <w:p w14:paraId="680EA5E6" w14:textId="77777777" w:rsidR="00250CA9" w:rsidRPr="00250CA9" w:rsidRDefault="00250CA9" w:rsidP="00250CA9">
      <w:pPr>
        <w:spacing w:line="360" w:lineRule="auto"/>
        <w:rPr>
          <w:bCs/>
          <w:lang w:val="es-CU" w:eastAsia="es-PE"/>
        </w:rPr>
      </w:pPr>
      <w:proofErr w:type="spellStart"/>
      <w:r w:rsidRPr="00250CA9">
        <w:rPr>
          <w:bCs/>
          <w:vertAlign w:val="superscript"/>
          <w:lang w:val="es-CU" w:eastAsia="es-PE"/>
        </w:rPr>
        <w:t>2</w:t>
      </w:r>
      <w:r w:rsidRPr="00250CA9">
        <w:rPr>
          <w:bCs/>
          <w:lang w:val="es-CU" w:eastAsia="es-PE"/>
        </w:rPr>
        <w:t>Universidad</w:t>
      </w:r>
      <w:proofErr w:type="spellEnd"/>
      <w:r w:rsidRPr="00250CA9">
        <w:rPr>
          <w:bCs/>
          <w:lang w:val="es-CU" w:eastAsia="es-PE"/>
        </w:rPr>
        <w:t xml:space="preserve"> Tecnológica del Perú. Lima, Perú.</w:t>
      </w:r>
    </w:p>
    <w:p w14:paraId="14FF54AE" w14:textId="77777777" w:rsidR="00250CA9" w:rsidRPr="00250CA9" w:rsidRDefault="00250CA9" w:rsidP="00250CA9">
      <w:pPr>
        <w:spacing w:line="360" w:lineRule="auto"/>
        <w:rPr>
          <w:bCs/>
          <w:lang w:val="es-CU" w:eastAsia="es-PE"/>
        </w:rPr>
      </w:pPr>
      <w:proofErr w:type="spellStart"/>
      <w:r w:rsidRPr="00250CA9">
        <w:rPr>
          <w:bCs/>
          <w:vertAlign w:val="superscript"/>
          <w:lang w:val="es-CU" w:eastAsia="es-PE"/>
        </w:rPr>
        <w:t>3</w:t>
      </w:r>
      <w:r w:rsidRPr="00250CA9">
        <w:rPr>
          <w:bCs/>
          <w:lang w:val="es-CU" w:eastAsia="es-PE"/>
        </w:rPr>
        <w:t>Universidad</w:t>
      </w:r>
      <w:proofErr w:type="spellEnd"/>
      <w:r w:rsidRPr="00250CA9">
        <w:rPr>
          <w:bCs/>
          <w:lang w:val="es-CU" w:eastAsia="es-PE"/>
        </w:rPr>
        <w:t xml:space="preserve"> Continental. Huancayo, Perú.</w:t>
      </w:r>
    </w:p>
    <w:p w14:paraId="22604ECF" w14:textId="77777777" w:rsidR="00250CA9" w:rsidRPr="00250CA9" w:rsidRDefault="00250CA9" w:rsidP="00250CA9">
      <w:pPr>
        <w:spacing w:line="360" w:lineRule="auto"/>
        <w:rPr>
          <w:bCs/>
          <w:lang w:val="es-CU" w:eastAsia="es-PE"/>
        </w:rPr>
      </w:pPr>
      <w:proofErr w:type="spellStart"/>
      <w:r w:rsidRPr="00250CA9">
        <w:rPr>
          <w:bCs/>
          <w:vertAlign w:val="superscript"/>
          <w:lang w:val="es-CU" w:eastAsia="es-PE"/>
        </w:rPr>
        <w:t>4</w:t>
      </w:r>
      <w:r w:rsidRPr="00250CA9">
        <w:rPr>
          <w:bCs/>
          <w:lang w:val="es-CU" w:eastAsia="es-PE"/>
        </w:rPr>
        <w:t>Universidad</w:t>
      </w:r>
      <w:proofErr w:type="spellEnd"/>
      <w:r w:rsidRPr="00250CA9">
        <w:rPr>
          <w:bCs/>
          <w:lang w:val="es-CU" w:eastAsia="es-PE"/>
        </w:rPr>
        <w:t xml:space="preserve"> Nacional de San Agustín de Arequipa. Arequipa, Perú.</w:t>
      </w:r>
    </w:p>
    <w:p w14:paraId="63BC2C7F" w14:textId="77777777" w:rsidR="00250CA9" w:rsidRPr="00250CA9" w:rsidRDefault="00250CA9" w:rsidP="00250CA9">
      <w:pPr>
        <w:spacing w:line="360" w:lineRule="auto"/>
        <w:rPr>
          <w:bCs/>
          <w:lang w:val="es-CU" w:eastAsia="es-PE"/>
        </w:rPr>
      </w:pPr>
      <w:proofErr w:type="spellStart"/>
      <w:r w:rsidRPr="00250CA9">
        <w:rPr>
          <w:bCs/>
          <w:vertAlign w:val="superscript"/>
          <w:lang w:val="es-CU" w:eastAsia="es-PE"/>
        </w:rPr>
        <w:t>5</w:t>
      </w:r>
      <w:r w:rsidRPr="00250CA9">
        <w:rPr>
          <w:bCs/>
          <w:lang w:val="es-CU" w:eastAsia="es-PE"/>
        </w:rPr>
        <w:t>Universidad</w:t>
      </w:r>
      <w:proofErr w:type="spellEnd"/>
      <w:r w:rsidRPr="00250CA9">
        <w:rPr>
          <w:bCs/>
          <w:lang w:val="es-CU" w:eastAsia="es-PE"/>
        </w:rPr>
        <w:t xml:space="preserve"> de Guayaquil. Guayaquil, Ecuador.</w:t>
      </w:r>
    </w:p>
    <w:p w14:paraId="4503E10C" w14:textId="77777777" w:rsidR="00250CA9" w:rsidRPr="00250CA9" w:rsidRDefault="00250CA9" w:rsidP="00250CA9">
      <w:pPr>
        <w:spacing w:line="360" w:lineRule="auto"/>
        <w:rPr>
          <w:bCs/>
          <w:lang w:val="es-CU" w:eastAsia="es-PE"/>
        </w:rPr>
      </w:pPr>
    </w:p>
    <w:p w14:paraId="40DD6C31" w14:textId="77777777" w:rsidR="00250CA9" w:rsidRPr="00250CA9" w:rsidRDefault="00250CA9" w:rsidP="00250CA9">
      <w:pPr>
        <w:spacing w:line="360" w:lineRule="auto"/>
        <w:rPr>
          <w:bCs/>
          <w:lang w:val="es-CU" w:eastAsia="es-PE"/>
        </w:rPr>
      </w:pPr>
      <w:r w:rsidRPr="00250CA9">
        <w:rPr>
          <w:bCs/>
          <w:lang w:val="es-CU" w:eastAsia="es-PE"/>
        </w:rPr>
        <w:t xml:space="preserve">*Autor para la correspondencia. Correo electrónico: </w:t>
      </w:r>
      <w:hyperlink r:id="rId12" w:history="1">
        <w:r w:rsidRPr="00250CA9">
          <w:rPr>
            <w:bCs/>
            <w:color w:val="0563C1"/>
            <w:lang w:val="es-CU" w:eastAsia="es-PE"/>
          </w:rPr>
          <w:t>ravellom.docencia@gmail.com</w:t>
        </w:r>
      </w:hyperlink>
      <w:r w:rsidRPr="00250CA9">
        <w:rPr>
          <w:bCs/>
          <w:lang w:val="es-CU" w:eastAsia="es-PE"/>
        </w:rPr>
        <w:t xml:space="preserve"> </w:t>
      </w:r>
    </w:p>
    <w:p w14:paraId="098C5DAF" w14:textId="77777777" w:rsidR="00250CA9" w:rsidRPr="00250CA9" w:rsidRDefault="00250CA9" w:rsidP="00250CA9">
      <w:pPr>
        <w:spacing w:line="360" w:lineRule="auto"/>
        <w:rPr>
          <w:bCs/>
          <w:lang w:val="es-CU" w:eastAsia="es-PE"/>
        </w:rPr>
      </w:pPr>
    </w:p>
    <w:p w14:paraId="68F2B9CB" w14:textId="77777777" w:rsidR="00250CA9" w:rsidRPr="00250CA9" w:rsidRDefault="00250CA9" w:rsidP="00250CA9">
      <w:pPr>
        <w:spacing w:line="360" w:lineRule="auto"/>
        <w:rPr>
          <w:b/>
          <w:lang w:val="es-PE" w:eastAsia="es-PE"/>
        </w:rPr>
      </w:pPr>
      <w:r w:rsidRPr="00250CA9">
        <w:rPr>
          <w:b/>
          <w:lang w:val="es-PE" w:eastAsia="es-PE"/>
        </w:rPr>
        <w:t>RESUMEN</w:t>
      </w:r>
    </w:p>
    <w:p w14:paraId="42CE9BEE" w14:textId="77777777" w:rsidR="00250CA9" w:rsidRPr="00250CA9" w:rsidRDefault="00250CA9" w:rsidP="00250CA9">
      <w:pPr>
        <w:spacing w:line="360" w:lineRule="auto"/>
        <w:jc w:val="both"/>
        <w:rPr>
          <w:b/>
          <w:lang w:val="es-PE" w:eastAsia="es-PE"/>
        </w:rPr>
      </w:pPr>
      <w:bookmarkStart w:id="0" w:name="_30j0zll" w:colFirst="0" w:colLast="0"/>
      <w:bookmarkEnd w:id="0"/>
      <w:r w:rsidRPr="00250CA9">
        <w:rPr>
          <w:b/>
          <w:lang w:val="es-PE" w:eastAsia="es-PE"/>
        </w:rPr>
        <w:t xml:space="preserve">Introducción: </w:t>
      </w:r>
      <w:r w:rsidRPr="00250CA9">
        <w:rPr>
          <w:lang w:val="es-PE" w:eastAsia="es-PE"/>
        </w:rPr>
        <w:t>Durante la pandemia de la COVID-19, la educación superior ha enfrentado la transición a la educación no presencial, con importante repercusión tanto en el rendimiento académico como en otros aspectos de la vida de los estudiantes.</w:t>
      </w:r>
    </w:p>
    <w:p w14:paraId="0B40C49E" w14:textId="77777777" w:rsidR="00250CA9" w:rsidRPr="00250CA9" w:rsidRDefault="00250CA9" w:rsidP="00250CA9">
      <w:pPr>
        <w:spacing w:line="360" w:lineRule="auto"/>
        <w:jc w:val="both"/>
        <w:rPr>
          <w:lang w:val="es-PE" w:eastAsia="es-PE"/>
        </w:rPr>
      </w:pPr>
      <w:r w:rsidRPr="00250CA9">
        <w:rPr>
          <w:b/>
          <w:lang w:val="es-PE" w:eastAsia="es-PE"/>
        </w:rPr>
        <w:t>Objetivo:</w:t>
      </w:r>
      <w:r w:rsidRPr="00250CA9">
        <w:rPr>
          <w:lang w:val="es-PE" w:eastAsia="es-PE"/>
        </w:rPr>
        <w:t xml:space="preserve"> Aportar validez a la escala ACAD-COVID-19 y evaluar la percepción de los universitarios limeños acerca de las repercusiones académicas originadas por la pandemia de la COVID-19.</w:t>
      </w:r>
    </w:p>
    <w:p w14:paraId="4EC39BFE" w14:textId="77777777" w:rsidR="00250CA9" w:rsidRPr="00250CA9" w:rsidRDefault="00250CA9" w:rsidP="00250CA9">
      <w:pPr>
        <w:spacing w:line="360" w:lineRule="auto"/>
        <w:jc w:val="both"/>
        <w:rPr>
          <w:lang w:val="es-PE" w:eastAsia="es-PE"/>
        </w:rPr>
      </w:pPr>
      <w:r w:rsidRPr="00250CA9">
        <w:rPr>
          <w:b/>
          <w:lang w:val="es-PE" w:eastAsia="es-PE"/>
        </w:rPr>
        <w:t>Métodos:</w:t>
      </w:r>
      <w:r w:rsidRPr="00250CA9">
        <w:rPr>
          <w:lang w:val="es-PE" w:eastAsia="es-PE"/>
        </w:rPr>
        <w:t xml:space="preserve"> El estudio fue de diseño descriptivo y transversal, durante el año 2021. Se obtuvo una muestra conformada por 608 estudiantes del primer año académico de diferentes carreras, de 5 universidades de </w:t>
      </w:r>
      <w:r w:rsidRPr="00250CA9">
        <w:rPr>
          <w:lang w:val="es-PE" w:eastAsia="es-PE"/>
        </w:rPr>
        <w:lastRenderedPageBreak/>
        <w:t>Lima. Se aplicó la escala ACAD-COVID-19 de 8 ítems y alternativas en escala Likert. Se realizaron análisis descriptivos y factoriales, utilizando SPSS versión 26.0.</w:t>
      </w:r>
    </w:p>
    <w:p w14:paraId="41443AC3" w14:textId="77777777" w:rsidR="00250CA9" w:rsidRPr="00250CA9" w:rsidRDefault="00250CA9" w:rsidP="00250CA9">
      <w:pPr>
        <w:spacing w:line="360" w:lineRule="auto"/>
        <w:jc w:val="both"/>
        <w:rPr>
          <w:lang w:val="es-PE" w:eastAsia="es-PE"/>
        </w:rPr>
      </w:pPr>
      <w:r w:rsidRPr="00250CA9">
        <w:rPr>
          <w:b/>
          <w:lang w:val="es-PE" w:eastAsia="es-PE"/>
        </w:rPr>
        <w:t>Resultados:</w:t>
      </w:r>
      <w:r w:rsidRPr="00250CA9">
        <w:rPr>
          <w:lang w:val="es-PE" w:eastAsia="es-PE"/>
        </w:rPr>
        <w:t xml:space="preserve"> Se evidenció que el instrumento es confiable. Se determinaron 3 factores, que pueden asociarse a las dimensiones académica, económica y el temor propio hacia enfermedad o muerte generada por la COVID-19. El 61,3 % de los estudiantes limeños manifiestan indiferencia respecto a la percepción sobre el impacto académico generado por el coronavirus, con un promedio general de los ítems de 3,21. La mayor media fue de la pregunta 5 (3,47).</w:t>
      </w:r>
    </w:p>
    <w:p w14:paraId="718F1C5C" w14:textId="77777777" w:rsidR="00250CA9" w:rsidRPr="00250CA9" w:rsidRDefault="00250CA9" w:rsidP="00250CA9">
      <w:pPr>
        <w:spacing w:line="360" w:lineRule="auto"/>
        <w:jc w:val="both"/>
        <w:rPr>
          <w:lang w:val="es-PE" w:eastAsia="es-PE"/>
        </w:rPr>
      </w:pPr>
      <w:r w:rsidRPr="00250CA9">
        <w:rPr>
          <w:b/>
          <w:lang w:val="es-PE" w:eastAsia="es-PE"/>
        </w:rPr>
        <w:t xml:space="preserve">Conclusiones: </w:t>
      </w:r>
      <w:r w:rsidRPr="00250CA9">
        <w:rPr>
          <w:lang w:val="es-PE" w:eastAsia="es-PE"/>
        </w:rPr>
        <w:t xml:space="preserve">Se aportó validez a la escala ACAD-COVID-19 con su aplicación a la población universitaria limeña en un período de cuarentena durante el 2021. Los estudiantes, en general, manifestaron indiferencia en su percepción sobre el impacto académico generado por el coronavirus, aunque dentro de las repercusiones percibidas, predomina el miedo a enfermar al volver a las clases presenciales. </w:t>
      </w:r>
    </w:p>
    <w:p w14:paraId="1A3FE73E" w14:textId="77777777" w:rsidR="00250CA9" w:rsidRPr="00250CA9" w:rsidRDefault="00250CA9" w:rsidP="00250CA9">
      <w:pPr>
        <w:spacing w:line="360" w:lineRule="auto"/>
        <w:jc w:val="both"/>
        <w:rPr>
          <w:lang w:val="es-PE" w:eastAsia="es-PE"/>
        </w:rPr>
      </w:pPr>
      <w:r w:rsidRPr="00250CA9">
        <w:rPr>
          <w:b/>
          <w:lang w:val="es-PE" w:eastAsia="es-PE"/>
        </w:rPr>
        <w:t>Palabras clave:</w:t>
      </w:r>
      <w:r w:rsidRPr="00250CA9">
        <w:rPr>
          <w:lang w:val="es-PE" w:eastAsia="es-PE"/>
        </w:rPr>
        <w:t xml:space="preserve"> COVID-19; educación a distancia; pandemias; universidades.</w:t>
      </w:r>
    </w:p>
    <w:p w14:paraId="2096E5B4" w14:textId="77777777" w:rsidR="00250CA9" w:rsidRPr="00250CA9" w:rsidRDefault="00250CA9" w:rsidP="00250CA9">
      <w:pPr>
        <w:spacing w:line="360" w:lineRule="auto"/>
        <w:jc w:val="both"/>
        <w:rPr>
          <w:i/>
          <w:lang w:val="es-PE" w:eastAsia="es-PE"/>
        </w:rPr>
      </w:pPr>
    </w:p>
    <w:p w14:paraId="57F6FC5C" w14:textId="77777777" w:rsidR="00250CA9" w:rsidRPr="00250CA9" w:rsidRDefault="00250CA9" w:rsidP="00250CA9">
      <w:pPr>
        <w:spacing w:line="360" w:lineRule="auto"/>
        <w:rPr>
          <w:b/>
          <w:lang w:val="en-US" w:eastAsia="es-PE"/>
        </w:rPr>
      </w:pPr>
      <w:r w:rsidRPr="00250CA9">
        <w:rPr>
          <w:b/>
          <w:lang w:val="en-US" w:eastAsia="es-PE"/>
        </w:rPr>
        <w:t>ABSTRACT</w:t>
      </w:r>
    </w:p>
    <w:p w14:paraId="393C4AAF" w14:textId="77777777" w:rsidR="00250CA9" w:rsidRPr="00250CA9" w:rsidRDefault="00250CA9" w:rsidP="00250CA9">
      <w:pPr>
        <w:spacing w:line="360" w:lineRule="auto"/>
        <w:jc w:val="both"/>
        <w:rPr>
          <w:bCs/>
          <w:lang w:val="en-US" w:eastAsia="es-PE"/>
        </w:rPr>
      </w:pPr>
      <w:r w:rsidRPr="00250CA9">
        <w:rPr>
          <w:b/>
          <w:lang w:val="en-US" w:eastAsia="es-PE"/>
        </w:rPr>
        <w:t xml:space="preserve">Introduction: </w:t>
      </w:r>
      <w:r w:rsidRPr="00250CA9">
        <w:rPr>
          <w:bCs/>
          <w:lang w:val="en-US" w:eastAsia="es-PE"/>
        </w:rPr>
        <w:t>During the COVID-19 pandemic, higher education has faced the transition to distance learning, with important repercussions on academic performance as well as on other aspects of students' lives.</w:t>
      </w:r>
    </w:p>
    <w:p w14:paraId="5909FFAD" w14:textId="77777777" w:rsidR="00250CA9" w:rsidRPr="00250CA9" w:rsidRDefault="00250CA9" w:rsidP="00250CA9">
      <w:pPr>
        <w:spacing w:line="360" w:lineRule="auto"/>
        <w:jc w:val="both"/>
        <w:rPr>
          <w:b/>
          <w:lang w:val="en-US" w:eastAsia="es-PE"/>
        </w:rPr>
      </w:pPr>
      <w:r w:rsidRPr="00250CA9">
        <w:rPr>
          <w:b/>
          <w:lang w:val="en-US" w:eastAsia="es-PE"/>
        </w:rPr>
        <w:t xml:space="preserve">Objective: </w:t>
      </w:r>
      <w:r w:rsidRPr="00250CA9">
        <w:rPr>
          <w:bCs/>
          <w:lang w:val="en-US" w:eastAsia="es-PE"/>
        </w:rPr>
        <w:t>To provide validity to the ACAD-COVID-19 scale and to evaluate the perception of university students in Lima about the academic repercussions caused by the COVID-19 pandemic.</w:t>
      </w:r>
    </w:p>
    <w:p w14:paraId="6FA28376" w14:textId="77777777" w:rsidR="00250CA9" w:rsidRPr="00250CA9" w:rsidRDefault="00250CA9" w:rsidP="00250CA9">
      <w:pPr>
        <w:spacing w:line="360" w:lineRule="auto"/>
        <w:jc w:val="both"/>
        <w:rPr>
          <w:bCs/>
          <w:lang w:val="en-US" w:eastAsia="es-PE"/>
        </w:rPr>
      </w:pPr>
      <w:r w:rsidRPr="00250CA9">
        <w:rPr>
          <w:b/>
          <w:lang w:val="en-US" w:eastAsia="es-PE"/>
        </w:rPr>
        <w:t xml:space="preserve">Methods: </w:t>
      </w:r>
      <w:r w:rsidRPr="00250CA9">
        <w:rPr>
          <w:bCs/>
          <w:lang w:val="en-US" w:eastAsia="es-PE"/>
        </w:rPr>
        <w:t>The study was of descriptive and cross-sectional design, during the year 2021. A sample of 608 students in their first academic year of different careers from 5 universities in Lima was obtained. The ACAD-COVID-19 scale of 8 items and Likert scale alternatives was applied. Descriptive and factorial analyses were performed using SPSS version 26.0.</w:t>
      </w:r>
    </w:p>
    <w:p w14:paraId="489A2A1F" w14:textId="77777777" w:rsidR="00250CA9" w:rsidRPr="00250CA9" w:rsidRDefault="00250CA9" w:rsidP="00250CA9">
      <w:pPr>
        <w:spacing w:line="360" w:lineRule="auto"/>
        <w:jc w:val="both"/>
        <w:rPr>
          <w:bCs/>
          <w:lang w:val="en-US" w:eastAsia="es-PE"/>
        </w:rPr>
      </w:pPr>
      <w:r w:rsidRPr="00250CA9">
        <w:rPr>
          <w:b/>
          <w:lang w:val="en-US" w:eastAsia="es-PE"/>
        </w:rPr>
        <w:t xml:space="preserve">Results: </w:t>
      </w:r>
      <w:r w:rsidRPr="00250CA9">
        <w:rPr>
          <w:bCs/>
          <w:lang w:val="en-US" w:eastAsia="es-PE"/>
        </w:rPr>
        <w:t xml:space="preserve">The instrument was found to be reliable. Three factors were determined, which can be associated with the academic, economic and fear of illness or death generated by the COVID-19. 61.3% of the students from Lima expressed indifference with respect to the perception of the academic impact </w:t>
      </w:r>
      <w:r w:rsidRPr="00250CA9">
        <w:rPr>
          <w:bCs/>
          <w:lang w:val="en-US" w:eastAsia="es-PE"/>
        </w:rPr>
        <w:lastRenderedPageBreak/>
        <w:t>generated by the coronavirus, with an overall average of 3.21 for the items. The highest mean was for question 5 (3.47).</w:t>
      </w:r>
    </w:p>
    <w:p w14:paraId="5D4EC299" w14:textId="77777777" w:rsidR="00250CA9" w:rsidRPr="00250CA9" w:rsidRDefault="00250CA9" w:rsidP="00250CA9">
      <w:pPr>
        <w:spacing w:line="360" w:lineRule="auto"/>
        <w:jc w:val="both"/>
        <w:rPr>
          <w:lang w:val="en-US" w:eastAsia="es-PE"/>
        </w:rPr>
      </w:pPr>
      <w:r w:rsidRPr="00250CA9">
        <w:rPr>
          <w:b/>
          <w:lang w:val="en-US" w:eastAsia="es-PE"/>
        </w:rPr>
        <w:t xml:space="preserve">Conclusions: </w:t>
      </w:r>
      <w:r w:rsidRPr="00250CA9">
        <w:rPr>
          <w:bCs/>
          <w:lang w:val="en-US" w:eastAsia="es-PE"/>
        </w:rPr>
        <w:t>Validity was provided to the ACAD-COVID-19 scale with its application to the Lima university population in a quarantine period during 2021. Students, in general, expressed indifference in their perception of the academic impact generated by the coronavirus, although among the perceived repercussions, the fear of getting sick when returning to classes was predominant.</w:t>
      </w:r>
    </w:p>
    <w:p w14:paraId="318C5188" w14:textId="77777777" w:rsidR="00250CA9" w:rsidRPr="00250CA9" w:rsidRDefault="00250CA9" w:rsidP="00250CA9">
      <w:pPr>
        <w:spacing w:line="360" w:lineRule="auto"/>
        <w:jc w:val="both"/>
        <w:rPr>
          <w:rFonts w:eastAsia="Calibri"/>
          <w:lang w:val="en-US" w:eastAsia="es-PE"/>
        </w:rPr>
      </w:pPr>
      <w:r w:rsidRPr="00250CA9">
        <w:rPr>
          <w:b/>
          <w:lang w:val="en-US" w:eastAsia="es-PE"/>
        </w:rPr>
        <w:t>Keywords:</w:t>
      </w:r>
      <w:r w:rsidRPr="00250CA9">
        <w:rPr>
          <w:lang w:val="en-US" w:eastAsia="es-PE"/>
        </w:rPr>
        <w:t xml:space="preserve"> COVID-19; distance education; pandemics; </w:t>
      </w:r>
      <w:hyperlink r:id="rId13" w:history="1">
        <w:r w:rsidRPr="00250CA9">
          <w:rPr>
            <w:lang w:val="en-US" w:eastAsia="es-PE"/>
          </w:rPr>
          <w:t>universities</w:t>
        </w:r>
      </w:hyperlink>
      <w:r w:rsidRPr="00250CA9">
        <w:rPr>
          <w:rFonts w:eastAsia="Calibri"/>
          <w:lang w:val="en-US" w:eastAsia="es-PE"/>
        </w:rPr>
        <w:t>.</w:t>
      </w:r>
    </w:p>
    <w:p w14:paraId="6F20A219" w14:textId="77777777" w:rsidR="00250CA9" w:rsidRPr="00250CA9" w:rsidRDefault="00250CA9" w:rsidP="00250CA9">
      <w:pPr>
        <w:spacing w:line="360" w:lineRule="auto"/>
        <w:jc w:val="both"/>
        <w:rPr>
          <w:rFonts w:eastAsia="Calibri"/>
          <w:lang w:val="en-US" w:eastAsia="es-PE"/>
        </w:rPr>
      </w:pPr>
    </w:p>
    <w:p w14:paraId="51F7952A" w14:textId="77777777" w:rsidR="00250CA9" w:rsidRPr="00250CA9" w:rsidRDefault="00250CA9" w:rsidP="00250CA9">
      <w:pPr>
        <w:spacing w:line="360" w:lineRule="auto"/>
        <w:jc w:val="both"/>
        <w:rPr>
          <w:rFonts w:eastAsia="Calibri"/>
          <w:lang w:val="en-US" w:eastAsia="es-PE"/>
        </w:rPr>
      </w:pPr>
    </w:p>
    <w:p w14:paraId="22223E4E" w14:textId="77777777" w:rsidR="00250CA9" w:rsidRPr="00250CA9" w:rsidRDefault="00250CA9" w:rsidP="00250CA9">
      <w:pPr>
        <w:spacing w:line="360" w:lineRule="auto"/>
        <w:jc w:val="both"/>
        <w:rPr>
          <w:rFonts w:eastAsia="Calibri"/>
          <w:lang w:val="es-CU" w:eastAsia="es-PE"/>
        </w:rPr>
      </w:pPr>
      <w:r w:rsidRPr="00250CA9">
        <w:rPr>
          <w:rFonts w:eastAsia="Calibri"/>
          <w:lang w:val="es-CU" w:eastAsia="es-PE"/>
        </w:rPr>
        <w:t>Recibido: 03/07/2023</w:t>
      </w:r>
    </w:p>
    <w:p w14:paraId="16BD0C35" w14:textId="77777777" w:rsidR="00250CA9" w:rsidRPr="00250CA9" w:rsidRDefault="00250CA9" w:rsidP="00250CA9">
      <w:pPr>
        <w:spacing w:line="360" w:lineRule="auto"/>
        <w:jc w:val="both"/>
        <w:rPr>
          <w:rFonts w:eastAsia="Calibri"/>
          <w:lang w:val="es-CU" w:eastAsia="es-PE"/>
        </w:rPr>
      </w:pPr>
      <w:r w:rsidRPr="00250CA9">
        <w:rPr>
          <w:rFonts w:eastAsia="Calibri"/>
          <w:lang w:val="es-CU" w:eastAsia="es-PE"/>
        </w:rPr>
        <w:t>Aprobado: 11/10/2023</w:t>
      </w:r>
    </w:p>
    <w:p w14:paraId="6D8A06DF" w14:textId="77777777" w:rsidR="00250CA9" w:rsidRPr="00250CA9" w:rsidRDefault="00250CA9" w:rsidP="00250CA9">
      <w:pPr>
        <w:spacing w:line="360" w:lineRule="auto"/>
        <w:jc w:val="both"/>
        <w:rPr>
          <w:lang w:val="es-CU" w:eastAsia="es-PE"/>
        </w:rPr>
      </w:pPr>
    </w:p>
    <w:p w14:paraId="63368D00" w14:textId="77777777" w:rsidR="00250CA9" w:rsidRPr="00250CA9" w:rsidRDefault="00250CA9" w:rsidP="00250CA9">
      <w:pPr>
        <w:tabs>
          <w:tab w:val="left" w:pos="3383"/>
        </w:tabs>
        <w:spacing w:line="360" w:lineRule="auto"/>
        <w:jc w:val="center"/>
        <w:rPr>
          <w:b/>
          <w:lang w:val="es-PE" w:eastAsia="es-PE"/>
        </w:rPr>
      </w:pPr>
    </w:p>
    <w:p w14:paraId="3ECC19BC" w14:textId="77777777" w:rsidR="00250CA9" w:rsidRPr="00250CA9" w:rsidRDefault="00250CA9" w:rsidP="00250CA9">
      <w:pPr>
        <w:tabs>
          <w:tab w:val="left" w:pos="3383"/>
        </w:tabs>
        <w:spacing w:line="360" w:lineRule="auto"/>
        <w:jc w:val="center"/>
        <w:rPr>
          <w:b/>
          <w:sz w:val="32"/>
          <w:szCs w:val="32"/>
          <w:lang w:val="es-PE" w:eastAsia="es-PE"/>
        </w:rPr>
      </w:pPr>
      <w:r w:rsidRPr="00250CA9">
        <w:rPr>
          <w:b/>
          <w:sz w:val="32"/>
          <w:szCs w:val="32"/>
          <w:lang w:val="es-PE" w:eastAsia="es-PE"/>
        </w:rPr>
        <w:t>INTRODUCCIÓN</w:t>
      </w:r>
    </w:p>
    <w:p w14:paraId="370407E1" w14:textId="77777777" w:rsidR="00250CA9" w:rsidRPr="00250CA9" w:rsidRDefault="00250CA9" w:rsidP="00250CA9">
      <w:pPr>
        <w:spacing w:line="360" w:lineRule="auto"/>
        <w:jc w:val="both"/>
        <w:rPr>
          <w:lang w:val="es-PE" w:eastAsia="es-PE"/>
        </w:rPr>
      </w:pPr>
      <w:r w:rsidRPr="00250CA9">
        <w:rPr>
          <w:lang w:val="es-PE" w:eastAsia="es-PE"/>
        </w:rPr>
        <w:t>La pandemia generada por la COVID-19 ha cambiado el mundo en los últimos años. Las medidas implementadas para mitigar su impacto han hecho que diversos sectores de la sociedad cambien de forma radical su dinámica. La economía no es la única que se ha visto contraída por la pandemia, pues otros sectores como la educación también han tenido que modificar sus mecanismos para adecuarse a los nuevos tiempos. Tanto profesores como estudiantes tuvieron que adaptarse a las limitaciones impuestas por la educación no presencial o a distancia, un espacio de socialización y aprendizaje diferentes.</w:t>
      </w:r>
    </w:p>
    <w:p w14:paraId="30AF20A0" w14:textId="77777777" w:rsidR="00250CA9" w:rsidRPr="00250CA9" w:rsidRDefault="00250CA9" w:rsidP="00250CA9">
      <w:pPr>
        <w:spacing w:line="360" w:lineRule="auto"/>
        <w:jc w:val="both"/>
        <w:rPr>
          <w:lang w:val="es-PE" w:eastAsia="es-PE"/>
        </w:rPr>
      </w:pPr>
      <w:r w:rsidRPr="00250CA9">
        <w:rPr>
          <w:lang w:val="es-PE" w:eastAsia="es-PE"/>
        </w:rPr>
        <w:t>Si bien muchas especialidades supieron adaptarse a la virtualidad, en otras, cuyos contenidos técnicos obligan la presencialidad del educando, no se ha podido resolver el problema de esta nueva forma de educación. Esto, en un corto plazo, podría afectar el desarrollo de capacidades profesionales en los estudiantes dado que la educación superior es esencial para el desarrollo de competencias y la evolución de los conocimientos.</w:t>
      </w:r>
      <w:r w:rsidRPr="00250CA9">
        <w:rPr>
          <w:vertAlign w:val="superscript"/>
          <w:lang w:val="es-PE" w:eastAsia="es-PE"/>
        </w:rPr>
        <w:t>(1,2)</w:t>
      </w:r>
      <w:r w:rsidRPr="00250CA9">
        <w:rPr>
          <w:lang w:val="es-PE" w:eastAsia="es-PE"/>
        </w:rPr>
        <w:t xml:space="preserve"> Además, en esta nueva situación, el ámbito educativo enfrenta una serie de desafíos, como la construcción y aplicación de tecnologías, la carencia de instrumentos de medición de los saberes, las deficiencias en la preparación de los docentes, la brecha digital, el acceso limitado a las </w:t>
      </w:r>
      <w:r w:rsidRPr="00250CA9">
        <w:rPr>
          <w:lang w:val="es-PE" w:eastAsia="es-PE"/>
        </w:rPr>
        <w:lastRenderedPageBreak/>
        <w:t>nuevas tecnologías, el efecto psicológico del confinamiento y su incidencia en la capacidad de aprendizaje.</w:t>
      </w:r>
      <w:r w:rsidRPr="00250CA9">
        <w:rPr>
          <w:vertAlign w:val="superscript"/>
          <w:lang w:val="es-PE" w:eastAsia="es-PE"/>
        </w:rPr>
        <w:t>(3,4,5)</w:t>
      </w:r>
    </w:p>
    <w:p w14:paraId="49836474" w14:textId="77777777" w:rsidR="00250CA9" w:rsidRPr="00250CA9" w:rsidRDefault="00250CA9" w:rsidP="00250CA9">
      <w:pPr>
        <w:spacing w:line="360" w:lineRule="auto"/>
        <w:jc w:val="both"/>
        <w:rPr>
          <w:lang w:val="es-PE" w:eastAsia="es-PE"/>
        </w:rPr>
      </w:pPr>
      <w:r w:rsidRPr="00250CA9">
        <w:rPr>
          <w:i/>
          <w:lang w:val="es-PE" w:eastAsia="es-PE"/>
        </w:rPr>
        <w:t>Browning</w:t>
      </w:r>
      <w:r w:rsidRPr="00250CA9">
        <w:rPr>
          <w:lang w:val="es-PE" w:eastAsia="es-PE"/>
        </w:rPr>
        <w:t xml:space="preserve"> y </w:t>
      </w:r>
      <w:proofErr w:type="gramStart"/>
      <w:r w:rsidRPr="00250CA9">
        <w:rPr>
          <w:lang w:val="es-PE" w:eastAsia="es-PE"/>
        </w:rPr>
        <w:t>otros</w:t>
      </w:r>
      <w:r w:rsidRPr="00250CA9">
        <w:rPr>
          <w:vertAlign w:val="superscript"/>
          <w:lang w:val="es-PE" w:eastAsia="es-PE"/>
        </w:rPr>
        <w:t>(</w:t>
      </w:r>
      <w:proofErr w:type="gramEnd"/>
      <w:r w:rsidRPr="00250CA9">
        <w:rPr>
          <w:vertAlign w:val="superscript"/>
          <w:lang w:val="es-PE" w:eastAsia="es-PE"/>
        </w:rPr>
        <w:t>6)</w:t>
      </w:r>
      <w:r w:rsidRPr="00250CA9">
        <w:rPr>
          <w:lang w:val="es-PE" w:eastAsia="es-PE"/>
        </w:rPr>
        <w:t xml:space="preserve"> concluyen que los esfuerzos inadecuados para reconocer y abordar la salud mental de los universitarios, especialmente durante una pandemia, podrían generar impactos negativos en su educación y en su salud. Ello demuestra la necesidad de contar con instrumentos válidos y confiables que permitan medir y evaluar las repercusiones académicas de la pandemia en los estudiantes universitarios. La literatura aporta una serie de instrumentos diseñados hasta el momento, entre ellas la escala ACAD-COVID-19, para medir las repercusiones académicas de la pandemia según percepciones de los estudiantes;</w:t>
      </w:r>
      <w:r w:rsidRPr="00250CA9">
        <w:rPr>
          <w:vertAlign w:val="superscript"/>
          <w:lang w:val="es-PE" w:eastAsia="es-PE"/>
        </w:rPr>
        <w:t xml:space="preserve">(7,8) </w:t>
      </w:r>
      <w:r w:rsidRPr="00250CA9">
        <w:rPr>
          <w:lang w:val="es-PE" w:eastAsia="es-PE"/>
        </w:rPr>
        <w:t xml:space="preserve">la escala </w:t>
      </w:r>
      <w:proofErr w:type="spellStart"/>
      <w:r w:rsidRPr="00250CA9">
        <w:rPr>
          <w:lang w:val="es-PE" w:eastAsia="es-PE"/>
        </w:rPr>
        <w:t>EUMAV-Cov19</w:t>
      </w:r>
      <w:proofErr w:type="spellEnd"/>
      <w:r w:rsidRPr="00250CA9">
        <w:rPr>
          <w:lang w:val="es-PE" w:eastAsia="es-PE"/>
        </w:rPr>
        <w:t>, para evaluar el uso de medios académicos virtuales durante la pandemia de la COVID-19 en el contexto universitario;</w:t>
      </w:r>
      <w:r w:rsidRPr="00250CA9">
        <w:rPr>
          <w:vertAlign w:val="superscript"/>
          <w:lang w:val="es-PE" w:eastAsia="es-PE"/>
        </w:rPr>
        <w:t xml:space="preserve">(9) </w:t>
      </w:r>
      <w:r w:rsidRPr="00250CA9">
        <w:rPr>
          <w:lang w:val="es-PE" w:eastAsia="es-PE"/>
        </w:rPr>
        <w:t xml:space="preserve">y la </w:t>
      </w:r>
      <w:proofErr w:type="spellStart"/>
      <w:r w:rsidRPr="00250CA9">
        <w:rPr>
          <w:lang w:val="es-PE" w:eastAsia="es-PE"/>
        </w:rPr>
        <w:t>EAC</w:t>
      </w:r>
      <w:proofErr w:type="spellEnd"/>
      <w:r w:rsidRPr="00250CA9">
        <w:rPr>
          <w:lang w:val="es-PE" w:eastAsia="es-PE"/>
        </w:rPr>
        <w:noBreakHyphen/>
        <w:t xml:space="preserve">19, que mide el nivel de afectación durante de la pandemia en la vida de los jóvenes </w:t>
      </w:r>
      <w:proofErr w:type="gramStart"/>
      <w:r w:rsidRPr="00250CA9">
        <w:rPr>
          <w:lang w:val="es-PE" w:eastAsia="es-PE"/>
        </w:rPr>
        <w:t>universitarios.</w:t>
      </w:r>
      <w:r w:rsidRPr="00250CA9">
        <w:rPr>
          <w:vertAlign w:val="superscript"/>
          <w:lang w:val="es-PE" w:eastAsia="es-PE"/>
        </w:rPr>
        <w:t>(</w:t>
      </w:r>
      <w:proofErr w:type="gramEnd"/>
      <w:r w:rsidRPr="00250CA9">
        <w:rPr>
          <w:vertAlign w:val="superscript"/>
          <w:lang w:val="es-PE" w:eastAsia="es-PE"/>
        </w:rPr>
        <w:t>10)</w:t>
      </w:r>
    </w:p>
    <w:p w14:paraId="50B1972C" w14:textId="77777777" w:rsidR="00250CA9" w:rsidRPr="00250CA9" w:rsidRDefault="00250CA9" w:rsidP="00250CA9">
      <w:pPr>
        <w:spacing w:line="360" w:lineRule="auto"/>
        <w:jc w:val="both"/>
        <w:rPr>
          <w:lang w:val="es-PE" w:eastAsia="es-PE"/>
        </w:rPr>
      </w:pPr>
      <w:r w:rsidRPr="00250CA9">
        <w:rPr>
          <w:lang w:val="es-PE" w:eastAsia="es-PE"/>
        </w:rPr>
        <w:t xml:space="preserve">Los estudios mencionados y </w:t>
      </w:r>
      <w:proofErr w:type="gramStart"/>
      <w:r w:rsidRPr="00250CA9">
        <w:rPr>
          <w:lang w:val="es-PE" w:eastAsia="es-PE"/>
        </w:rPr>
        <w:t>otros,</w:t>
      </w:r>
      <w:r w:rsidRPr="00250CA9">
        <w:rPr>
          <w:vertAlign w:val="superscript"/>
          <w:lang w:val="es-PE" w:eastAsia="es-PE"/>
        </w:rPr>
        <w:t>(</w:t>
      </w:r>
      <w:proofErr w:type="gramEnd"/>
      <w:r w:rsidRPr="00250CA9">
        <w:rPr>
          <w:vertAlign w:val="superscript"/>
          <w:lang w:val="es-PE" w:eastAsia="es-PE"/>
        </w:rPr>
        <w:t>11,12,13)</w:t>
      </w:r>
      <w:r w:rsidRPr="00250CA9">
        <w:rPr>
          <w:lang w:val="es-PE" w:eastAsia="es-PE"/>
        </w:rPr>
        <w:t xml:space="preserve">  realizados en el mundo, han dado a conocer las percepciones del aprendizaje presencial y virtual de estudiantes universitarios y las dificultades en el rendimiento académico y la vida diaria con el aprendizaje en línea. Por ejemplo, se encontró que en 7 estados de EE. UU. se observaron problemas de salud mental en universitarios durante la pandemia, lo cual no solo afectaría a la salud sino también al rendimiento </w:t>
      </w:r>
      <w:proofErr w:type="gramStart"/>
      <w:r w:rsidRPr="00250CA9">
        <w:rPr>
          <w:lang w:val="es-PE" w:eastAsia="es-PE"/>
        </w:rPr>
        <w:t>académico,</w:t>
      </w:r>
      <w:r w:rsidRPr="00250CA9">
        <w:rPr>
          <w:vertAlign w:val="superscript"/>
          <w:lang w:val="es-PE" w:eastAsia="es-PE"/>
        </w:rPr>
        <w:t>(</w:t>
      </w:r>
      <w:proofErr w:type="gramEnd"/>
      <w:r w:rsidRPr="00250CA9">
        <w:rPr>
          <w:vertAlign w:val="superscript"/>
          <w:lang w:val="es-PE" w:eastAsia="es-PE"/>
        </w:rPr>
        <w:t>6)</w:t>
      </w:r>
      <w:r w:rsidRPr="00250CA9">
        <w:rPr>
          <w:lang w:val="es-PE" w:eastAsia="es-PE"/>
        </w:rPr>
        <w:t xml:space="preserve"> con lo que coinciden </w:t>
      </w:r>
      <w:proofErr w:type="spellStart"/>
      <w:r w:rsidRPr="00250CA9">
        <w:rPr>
          <w:i/>
          <w:lang w:val="es-PE" w:eastAsia="es-PE"/>
        </w:rPr>
        <w:t>Giuntella</w:t>
      </w:r>
      <w:proofErr w:type="spellEnd"/>
      <w:r w:rsidRPr="00250CA9">
        <w:rPr>
          <w:lang w:val="es-PE" w:eastAsia="es-PE"/>
        </w:rPr>
        <w:t xml:space="preserve"> y otros,</w:t>
      </w:r>
      <w:r w:rsidRPr="00250CA9">
        <w:rPr>
          <w:vertAlign w:val="superscript"/>
          <w:lang w:val="es-PE" w:eastAsia="es-PE"/>
        </w:rPr>
        <w:t>(14)</w:t>
      </w:r>
      <w:r w:rsidRPr="00250CA9">
        <w:rPr>
          <w:lang w:val="es-PE" w:eastAsia="es-PE"/>
        </w:rPr>
        <w:t xml:space="preserve"> que hallaron que los cambios en el contexto y hábitos de estudio hicieron 3 veces más deficiente el rendimiento académico. Asimismo, la ansiedad por los retrasos académicos y el miedo a la enfermedad también han sido importantes factores psicológicos </w:t>
      </w:r>
      <w:proofErr w:type="gramStart"/>
      <w:r w:rsidRPr="00250CA9">
        <w:rPr>
          <w:lang w:val="es-PE" w:eastAsia="es-PE"/>
        </w:rPr>
        <w:t>incluyentes.</w:t>
      </w:r>
      <w:r w:rsidRPr="00250CA9">
        <w:rPr>
          <w:vertAlign w:val="superscript"/>
          <w:lang w:val="es-PE" w:eastAsia="es-PE"/>
        </w:rPr>
        <w:t>(</w:t>
      </w:r>
      <w:proofErr w:type="gramEnd"/>
      <w:r w:rsidRPr="00250CA9">
        <w:rPr>
          <w:vertAlign w:val="superscript"/>
          <w:lang w:val="es-PE" w:eastAsia="es-PE"/>
        </w:rPr>
        <w:t>15,16,17,18)</w:t>
      </w:r>
    </w:p>
    <w:p w14:paraId="48015571" w14:textId="77777777" w:rsidR="00250CA9" w:rsidRPr="00250CA9" w:rsidRDefault="00250CA9" w:rsidP="00250CA9">
      <w:pPr>
        <w:spacing w:line="360" w:lineRule="auto"/>
        <w:jc w:val="both"/>
        <w:rPr>
          <w:lang w:val="es-PE" w:eastAsia="es-PE"/>
        </w:rPr>
      </w:pPr>
      <w:bookmarkStart w:id="1" w:name="_1fob9te" w:colFirst="0" w:colLast="0"/>
      <w:bookmarkEnd w:id="1"/>
      <w:r w:rsidRPr="00250CA9">
        <w:rPr>
          <w:lang w:val="es-PE" w:eastAsia="es-PE"/>
        </w:rPr>
        <w:t xml:space="preserve">Pese a que el problema resulta relevante, son pocos los </w:t>
      </w:r>
      <w:proofErr w:type="gramStart"/>
      <w:r w:rsidRPr="00250CA9">
        <w:rPr>
          <w:lang w:val="es-PE" w:eastAsia="es-PE"/>
        </w:rPr>
        <w:t>estudios</w:t>
      </w:r>
      <w:r w:rsidRPr="00250CA9">
        <w:rPr>
          <w:vertAlign w:val="superscript"/>
          <w:lang w:val="es-PE" w:eastAsia="es-PE"/>
        </w:rPr>
        <w:t>(</w:t>
      </w:r>
      <w:proofErr w:type="gramEnd"/>
      <w:r w:rsidRPr="00250CA9">
        <w:rPr>
          <w:vertAlign w:val="superscript"/>
          <w:lang w:val="es-PE" w:eastAsia="es-PE"/>
        </w:rPr>
        <w:t>7,9,19,20)</w:t>
      </w:r>
      <w:r w:rsidRPr="00250CA9">
        <w:rPr>
          <w:lang w:val="es-PE" w:eastAsia="es-PE"/>
        </w:rPr>
        <w:t xml:space="preserve"> que se han realizado en Perú, y por ende en la ciudad de Lima; los resultados pueden diferir del resto por las particularidades geográficas y sociales. Además, dentro de este contexto, poco se ha tenido en consideración respecto a las singularidades de las diferentes carreras universitarias. </w:t>
      </w:r>
    </w:p>
    <w:p w14:paraId="76379D73" w14:textId="77777777" w:rsidR="00250CA9" w:rsidRPr="00250CA9" w:rsidRDefault="00250CA9" w:rsidP="00250CA9">
      <w:pPr>
        <w:spacing w:line="360" w:lineRule="auto"/>
        <w:jc w:val="both"/>
        <w:rPr>
          <w:lang w:val="es-PE" w:eastAsia="es-PE"/>
        </w:rPr>
      </w:pPr>
      <w:r w:rsidRPr="00250CA9">
        <w:rPr>
          <w:lang w:val="es-PE" w:eastAsia="es-PE"/>
        </w:rPr>
        <w:t>El objetivo de este estudio es aportar validez a la escala ACAD-COVID-19 y evaluar la percepción de los universitarios limeños acerca de las repercusiones académicas originadas por la pandemia de la COVID-19.</w:t>
      </w:r>
    </w:p>
    <w:p w14:paraId="4EA036F8" w14:textId="77777777" w:rsidR="00250CA9" w:rsidRPr="00250CA9" w:rsidRDefault="00250CA9" w:rsidP="00250CA9">
      <w:pPr>
        <w:spacing w:line="360" w:lineRule="auto"/>
        <w:jc w:val="center"/>
        <w:rPr>
          <w:b/>
          <w:lang w:val="es-PE" w:eastAsia="es-PE"/>
        </w:rPr>
      </w:pPr>
    </w:p>
    <w:p w14:paraId="73699B09" w14:textId="77777777" w:rsidR="00250CA9" w:rsidRPr="00250CA9" w:rsidRDefault="00250CA9" w:rsidP="00250CA9">
      <w:pPr>
        <w:spacing w:line="360" w:lineRule="auto"/>
        <w:jc w:val="center"/>
        <w:rPr>
          <w:b/>
          <w:lang w:val="es-PE" w:eastAsia="es-PE"/>
        </w:rPr>
      </w:pPr>
    </w:p>
    <w:p w14:paraId="356DAB65" w14:textId="77777777" w:rsidR="00250CA9" w:rsidRPr="00250CA9" w:rsidRDefault="00250CA9" w:rsidP="00250CA9">
      <w:pPr>
        <w:spacing w:line="360" w:lineRule="auto"/>
        <w:jc w:val="center"/>
        <w:rPr>
          <w:b/>
          <w:sz w:val="32"/>
          <w:szCs w:val="32"/>
          <w:lang w:val="es-PE" w:eastAsia="es-PE"/>
        </w:rPr>
      </w:pPr>
      <w:r w:rsidRPr="00250CA9">
        <w:rPr>
          <w:b/>
          <w:sz w:val="32"/>
          <w:szCs w:val="32"/>
          <w:lang w:val="es-PE" w:eastAsia="es-PE"/>
        </w:rPr>
        <w:lastRenderedPageBreak/>
        <w:t>MÉTODOS</w:t>
      </w:r>
    </w:p>
    <w:p w14:paraId="4B5516BC" w14:textId="77777777" w:rsidR="00250CA9" w:rsidRPr="00250CA9" w:rsidRDefault="00250CA9" w:rsidP="00250CA9">
      <w:pPr>
        <w:spacing w:line="360" w:lineRule="auto"/>
        <w:jc w:val="center"/>
        <w:rPr>
          <w:b/>
          <w:bCs/>
          <w:sz w:val="28"/>
          <w:szCs w:val="28"/>
          <w:lang w:val="es-PE" w:eastAsia="es-PE"/>
        </w:rPr>
      </w:pPr>
      <w:bookmarkStart w:id="2" w:name="_3znysh7" w:colFirst="0" w:colLast="0"/>
      <w:bookmarkEnd w:id="2"/>
      <w:r w:rsidRPr="00250CA9">
        <w:rPr>
          <w:b/>
          <w:bCs/>
          <w:sz w:val="28"/>
          <w:szCs w:val="28"/>
          <w:lang w:val="es-PE" w:eastAsia="es-PE"/>
        </w:rPr>
        <w:t>Diseño</w:t>
      </w:r>
    </w:p>
    <w:p w14:paraId="1A560A5C" w14:textId="77777777" w:rsidR="00250CA9" w:rsidRPr="00250CA9" w:rsidRDefault="00250CA9" w:rsidP="00250CA9">
      <w:pPr>
        <w:spacing w:line="360" w:lineRule="auto"/>
        <w:jc w:val="both"/>
        <w:rPr>
          <w:lang w:val="es-PE" w:eastAsia="es-PE"/>
        </w:rPr>
      </w:pPr>
      <w:r w:rsidRPr="00250CA9">
        <w:rPr>
          <w:lang w:val="es-PE" w:eastAsia="es-PE"/>
        </w:rPr>
        <w:t xml:space="preserve">Se llevó cabo un estudio de diseño observacional, descriptivo y transversal, durante el año 2021, cuando no se estaban desarrollando las clases presenciales, en la ciudad de Lima, Perú. </w:t>
      </w:r>
    </w:p>
    <w:p w14:paraId="71D819A6" w14:textId="77777777" w:rsidR="00250CA9" w:rsidRPr="00250CA9" w:rsidRDefault="00250CA9" w:rsidP="00250CA9">
      <w:pPr>
        <w:spacing w:line="360" w:lineRule="auto"/>
        <w:jc w:val="center"/>
        <w:rPr>
          <w:b/>
          <w:bCs/>
          <w:sz w:val="28"/>
          <w:szCs w:val="28"/>
          <w:lang w:val="es-PE" w:eastAsia="es-PE"/>
        </w:rPr>
      </w:pPr>
      <w:r w:rsidRPr="00250CA9">
        <w:rPr>
          <w:b/>
          <w:bCs/>
          <w:sz w:val="28"/>
          <w:szCs w:val="28"/>
          <w:lang w:val="es-PE" w:eastAsia="es-PE"/>
        </w:rPr>
        <w:t>Sujetos</w:t>
      </w:r>
    </w:p>
    <w:p w14:paraId="0A5CF848" w14:textId="77777777" w:rsidR="00250CA9" w:rsidRPr="00250CA9" w:rsidRDefault="00250CA9" w:rsidP="00250CA9">
      <w:pPr>
        <w:spacing w:line="360" w:lineRule="auto"/>
        <w:jc w:val="both"/>
        <w:rPr>
          <w:lang w:val="es-PE" w:eastAsia="es-PE"/>
        </w:rPr>
      </w:pPr>
      <w:r w:rsidRPr="00250CA9">
        <w:rPr>
          <w:lang w:val="es-PE" w:eastAsia="es-PE"/>
        </w:rPr>
        <w:t>La población estuvo compuesta por 6400 estudiantes, de los cuales se extrajo una muestra de 608, siguiendo un muestreo no probabilístico. Se incluyeron los sujetos con edades entre los 16 y los 20 años, cursantes del primer año académico de cualquier carrera, de 5 universidades de Lima Metropolitana: 2 públicas y 3 privadas, que desearan participar en la investigación. Se tomó como criterio de exclusión que los sujetos no completaran de manera adecuada el formulario.</w:t>
      </w:r>
    </w:p>
    <w:p w14:paraId="2BADA91D" w14:textId="77777777" w:rsidR="00250CA9" w:rsidRPr="00250CA9" w:rsidRDefault="00250CA9" w:rsidP="00250CA9">
      <w:pPr>
        <w:spacing w:line="360" w:lineRule="auto"/>
        <w:jc w:val="center"/>
        <w:rPr>
          <w:b/>
          <w:sz w:val="28"/>
          <w:szCs w:val="28"/>
          <w:lang w:val="es-PE" w:eastAsia="es-PE"/>
        </w:rPr>
      </w:pPr>
      <w:r w:rsidRPr="00250CA9">
        <w:rPr>
          <w:b/>
          <w:sz w:val="28"/>
          <w:szCs w:val="28"/>
          <w:lang w:val="es-PE" w:eastAsia="es-PE"/>
        </w:rPr>
        <w:t>Variables</w:t>
      </w:r>
    </w:p>
    <w:p w14:paraId="403D97E6" w14:textId="77777777" w:rsidR="00250CA9" w:rsidRPr="00250CA9" w:rsidRDefault="00250CA9" w:rsidP="00250CA9">
      <w:pPr>
        <w:spacing w:line="360" w:lineRule="auto"/>
        <w:jc w:val="both"/>
        <w:rPr>
          <w:lang w:val="es-PE" w:eastAsia="es-PE"/>
        </w:rPr>
      </w:pPr>
      <w:r w:rsidRPr="00250CA9">
        <w:rPr>
          <w:lang w:val="es-PE" w:eastAsia="es-PE"/>
        </w:rPr>
        <w:t>La variable medida en la investigación fue la percepción de los estudiantes universitarios sobre las repercusiones académicas de la pandemia de la COVID-19, la cual abarca la opinión y el sentir de estos con respecto a la afectación de sus resultados académicos, el pago de sus estudios y su salud. Otras variables utilizadas fueron la edad y el sexo de los participantes en el estudio.</w:t>
      </w:r>
    </w:p>
    <w:p w14:paraId="15F92EA5" w14:textId="77777777" w:rsidR="00250CA9" w:rsidRPr="00250CA9" w:rsidRDefault="00250CA9" w:rsidP="00250CA9">
      <w:pPr>
        <w:spacing w:line="360" w:lineRule="auto"/>
        <w:jc w:val="center"/>
        <w:rPr>
          <w:b/>
          <w:sz w:val="28"/>
          <w:szCs w:val="28"/>
          <w:lang w:val="es-PE" w:eastAsia="es-PE"/>
        </w:rPr>
      </w:pPr>
      <w:r w:rsidRPr="00250CA9">
        <w:rPr>
          <w:b/>
          <w:sz w:val="28"/>
          <w:szCs w:val="28"/>
          <w:lang w:val="es-PE" w:eastAsia="es-PE"/>
        </w:rPr>
        <w:t>Instrumento</w:t>
      </w:r>
    </w:p>
    <w:p w14:paraId="137F2C7D" w14:textId="77777777" w:rsidR="00250CA9" w:rsidRPr="00250CA9" w:rsidRDefault="00250CA9" w:rsidP="00250CA9">
      <w:pPr>
        <w:spacing w:line="360" w:lineRule="auto"/>
        <w:jc w:val="both"/>
        <w:rPr>
          <w:vertAlign w:val="superscript"/>
          <w:lang w:val="es-PE" w:eastAsia="es-PE"/>
        </w:rPr>
      </w:pPr>
      <w:bookmarkStart w:id="3" w:name="_2et92p0" w:colFirst="0" w:colLast="0"/>
      <w:bookmarkEnd w:id="3"/>
      <w:r w:rsidRPr="00250CA9">
        <w:rPr>
          <w:lang w:val="es-PE" w:eastAsia="es-PE"/>
        </w:rPr>
        <w:t xml:space="preserve">El instrumento aplicado fue la escala ACAD-COVID-19, de 8 ítems y alternativas en escala Likert. Esta fue validada en un estudio anterior en Perú, en el que se midió la percepción de los estudiantes sobre el impacto académico generado por el coronavirus, como parte de un contexto en el cual las medidas implementadas por el gobierno podían causar impacto sobre su futuro </w:t>
      </w:r>
      <w:proofErr w:type="gramStart"/>
      <w:r w:rsidRPr="00250CA9">
        <w:rPr>
          <w:lang w:val="es-PE" w:eastAsia="es-PE"/>
        </w:rPr>
        <w:t>profesional.</w:t>
      </w:r>
      <w:r w:rsidRPr="00250CA9">
        <w:rPr>
          <w:vertAlign w:val="superscript"/>
          <w:lang w:val="es-PE" w:eastAsia="es-PE"/>
        </w:rPr>
        <w:t>(</w:t>
      </w:r>
      <w:proofErr w:type="gramEnd"/>
      <w:r w:rsidRPr="00250CA9">
        <w:rPr>
          <w:vertAlign w:val="superscript"/>
          <w:lang w:val="es-PE" w:eastAsia="es-PE"/>
        </w:rPr>
        <w:t>7,8)</w:t>
      </w:r>
      <w:r w:rsidRPr="00250CA9">
        <w:rPr>
          <w:lang w:val="es-PE" w:eastAsia="es-PE"/>
        </w:rPr>
        <w:t xml:space="preserve"> </w:t>
      </w:r>
    </w:p>
    <w:p w14:paraId="10DA61E6" w14:textId="77777777" w:rsidR="00250CA9" w:rsidRPr="00250CA9" w:rsidRDefault="00250CA9" w:rsidP="00250CA9">
      <w:pPr>
        <w:spacing w:line="360" w:lineRule="auto"/>
        <w:jc w:val="center"/>
        <w:rPr>
          <w:b/>
          <w:sz w:val="28"/>
          <w:szCs w:val="28"/>
          <w:lang w:val="es-PE" w:eastAsia="es-PE"/>
        </w:rPr>
      </w:pPr>
      <w:r w:rsidRPr="00250CA9">
        <w:rPr>
          <w:b/>
          <w:sz w:val="28"/>
          <w:szCs w:val="28"/>
          <w:lang w:val="es-PE" w:eastAsia="es-PE"/>
        </w:rPr>
        <w:t>Recolección de datos</w:t>
      </w:r>
    </w:p>
    <w:p w14:paraId="24EA67A8" w14:textId="77777777" w:rsidR="00250CA9" w:rsidRPr="00250CA9" w:rsidRDefault="00250CA9" w:rsidP="00250CA9">
      <w:pPr>
        <w:spacing w:line="360" w:lineRule="auto"/>
        <w:jc w:val="both"/>
        <w:rPr>
          <w:lang w:val="es-PE" w:eastAsia="es-PE"/>
        </w:rPr>
      </w:pPr>
      <w:r w:rsidRPr="00250CA9">
        <w:rPr>
          <w:lang w:val="es-PE" w:eastAsia="es-PE"/>
        </w:rPr>
        <w:t xml:space="preserve">El instrumento se ingresó a un formulario digital creado en </w:t>
      </w:r>
      <w:r w:rsidRPr="00250CA9">
        <w:rPr>
          <w:i/>
          <w:lang w:val="es-PE" w:eastAsia="es-PE"/>
        </w:rPr>
        <w:t xml:space="preserve">Google </w:t>
      </w:r>
      <w:proofErr w:type="spellStart"/>
      <w:r w:rsidRPr="00250CA9">
        <w:rPr>
          <w:i/>
          <w:lang w:val="es-PE" w:eastAsia="es-PE"/>
        </w:rPr>
        <w:t>Forms</w:t>
      </w:r>
      <w:proofErr w:type="spellEnd"/>
      <w:r w:rsidRPr="00250CA9">
        <w:rPr>
          <w:lang w:val="es-PE" w:eastAsia="es-PE"/>
        </w:rPr>
        <w:t>. Luego, se realizó la comunicación con los docentes de las 5 universidades seleccionadas, a quienes se les capacitó en jornadas individuales para aplicar el cuestionario a sus estudiantes. Así, durante una sesión de clase, cada docente destinó un tiempo específico para llevarlo a cabo. El tiempo de aplicación pactado para cada encuesta fue de 10 minutos.</w:t>
      </w:r>
    </w:p>
    <w:p w14:paraId="1D1D9246" w14:textId="77777777" w:rsidR="00D839EA" w:rsidRDefault="00D839EA">
      <w:pPr>
        <w:rPr>
          <w:b/>
          <w:sz w:val="28"/>
          <w:szCs w:val="28"/>
          <w:lang w:val="es-PE" w:eastAsia="es-PE"/>
        </w:rPr>
      </w:pPr>
      <w:r>
        <w:rPr>
          <w:b/>
          <w:sz w:val="28"/>
          <w:szCs w:val="28"/>
          <w:lang w:val="es-PE" w:eastAsia="es-PE"/>
        </w:rPr>
        <w:br w:type="page"/>
      </w:r>
    </w:p>
    <w:p w14:paraId="4F976D39" w14:textId="1EE04757" w:rsidR="00250CA9" w:rsidRPr="00250CA9" w:rsidRDefault="00250CA9" w:rsidP="00250CA9">
      <w:pPr>
        <w:spacing w:line="360" w:lineRule="auto"/>
        <w:jc w:val="center"/>
        <w:rPr>
          <w:b/>
          <w:sz w:val="28"/>
          <w:szCs w:val="28"/>
          <w:lang w:val="es-PE" w:eastAsia="es-PE"/>
        </w:rPr>
      </w:pPr>
      <w:r w:rsidRPr="00250CA9">
        <w:rPr>
          <w:b/>
          <w:sz w:val="28"/>
          <w:szCs w:val="28"/>
          <w:lang w:val="es-PE" w:eastAsia="es-PE"/>
        </w:rPr>
        <w:lastRenderedPageBreak/>
        <w:t>Procesamiento estadístico</w:t>
      </w:r>
    </w:p>
    <w:p w14:paraId="7F4611B3" w14:textId="77777777" w:rsidR="00250CA9" w:rsidRPr="00250CA9" w:rsidRDefault="00250CA9" w:rsidP="00250CA9">
      <w:pPr>
        <w:spacing w:line="360" w:lineRule="auto"/>
        <w:jc w:val="both"/>
        <w:rPr>
          <w:lang w:val="es-PE" w:eastAsia="es-PE"/>
        </w:rPr>
      </w:pPr>
      <w:r w:rsidRPr="00250CA9">
        <w:rPr>
          <w:lang w:val="es-PE" w:eastAsia="es-PE"/>
        </w:rPr>
        <w:t xml:space="preserve">Primero, para determinar las repercusiones académicas originadas por la pandemia de la COVID-19 en universitarios limeños, se analizaron los estadísticos descriptivos de los ítems de la escala ACAD-COVID-19, media aritmética y desviación estándar. </w:t>
      </w:r>
    </w:p>
    <w:p w14:paraId="3E21F2BE" w14:textId="77777777" w:rsidR="00250CA9" w:rsidRPr="00250CA9" w:rsidRDefault="00250CA9" w:rsidP="00250CA9">
      <w:pPr>
        <w:spacing w:line="360" w:lineRule="auto"/>
        <w:jc w:val="both"/>
        <w:rPr>
          <w:lang w:val="es-PE" w:eastAsia="es-PE"/>
        </w:rPr>
      </w:pPr>
      <w:r w:rsidRPr="00250CA9">
        <w:rPr>
          <w:lang w:val="es-PE" w:eastAsia="es-PE"/>
        </w:rPr>
        <w:t>Luego, para validar la escala, se realizó un análisis factorial exploratorio (AFE). Se calculó la confiabilidad a través del coeficiente Omega. Se utilizaron la prueba de Bartlett y el coeficiente Kaiser-Meyer-</w:t>
      </w:r>
      <w:proofErr w:type="spellStart"/>
      <w:r w:rsidRPr="00250CA9">
        <w:rPr>
          <w:lang w:val="es-PE" w:eastAsia="es-PE"/>
        </w:rPr>
        <w:t>Olkin</w:t>
      </w:r>
      <w:proofErr w:type="spellEnd"/>
      <w:r w:rsidRPr="00250CA9">
        <w:rPr>
          <w:lang w:val="es-PE" w:eastAsia="es-PE"/>
        </w:rPr>
        <w:t xml:space="preserve"> (</w:t>
      </w:r>
      <w:proofErr w:type="spellStart"/>
      <w:r w:rsidRPr="00250CA9">
        <w:rPr>
          <w:lang w:val="es-PE" w:eastAsia="es-PE"/>
        </w:rPr>
        <w:t>KMO</w:t>
      </w:r>
      <w:proofErr w:type="spellEnd"/>
      <w:r w:rsidRPr="00250CA9">
        <w:rPr>
          <w:lang w:val="es-PE" w:eastAsia="es-PE"/>
        </w:rPr>
        <w:t xml:space="preserve">), para evaluar la idoneidad de los datos para la aplicación del análisis factorial. Los procesos estadísticos fueron abordados por el software estadístico SPSS versión 26.0. </w:t>
      </w:r>
    </w:p>
    <w:p w14:paraId="376A4076" w14:textId="77777777" w:rsidR="00250CA9" w:rsidRPr="00250CA9" w:rsidRDefault="00250CA9" w:rsidP="00250CA9">
      <w:pPr>
        <w:spacing w:line="360" w:lineRule="auto"/>
        <w:jc w:val="center"/>
        <w:rPr>
          <w:b/>
          <w:sz w:val="28"/>
          <w:szCs w:val="28"/>
          <w:lang w:val="es-PE" w:eastAsia="es-PE"/>
        </w:rPr>
      </w:pPr>
      <w:r w:rsidRPr="00250CA9">
        <w:rPr>
          <w:b/>
          <w:sz w:val="28"/>
          <w:szCs w:val="28"/>
          <w:lang w:val="es-PE" w:eastAsia="es-PE"/>
        </w:rPr>
        <w:t>Ética</w:t>
      </w:r>
    </w:p>
    <w:p w14:paraId="0237B5C1" w14:textId="77777777" w:rsidR="00250CA9" w:rsidRPr="00250CA9" w:rsidRDefault="00250CA9" w:rsidP="00250CA9">
      <w:pPr>
        <w:spacing w:line="360" w:lineRule="auto"/>
        <w:jc w:val="both"/>
        <w:rPr>
          <w:b/>
          <w:lang w:val="es-PE" w:eastAsia="es-PE"/>
        </w:rPr>
      </w:pPr>
      <w:r w:rsidRPr="00250CA9">
        <w:rPr>
          <w:lang w:val="es-PE" w:eastAsia="es-PE"/>
        </w:rPr>
        <w:t>El formulario digital contó con un consentimiento informado, en el que se aclaró que los datos recogidos por el instrumento eran de carácter confidencial y su uso sería con fines estrictamente académicos. Los estudiantes, si estaban de acuerdo, marcaban dentro del formulario la opción “aceptar” y luego procedían a responder a las preguntas. No hubo coacción de ninguna forma y se solicitó que las respuestas fueran sinceras.</w:t>
      </w:r>
    </w:p>
    <w:p w14:paraId="2E445A26" w14:textId="77777777" w:rsidR="00250CA9" w:rsidRPr="00250CA9" w:rsidRDefault="00250CA9" w:rsidP="00250CA9">
      <w:pPr>
        <w:spacing w:line="360" w:lineRule="auto"/>
        <w:jc w:val="center"/>
        <w:rPr>
          <w:b/>
          <w:lang w:val="es-PE" w:eastAsia="es-PE"/>
        </w:rPr>
      </w:pPr>
    </w:p>
    <w:p w14:paraId="0F431DA8" w14:textId="77777777" w:rsidR="00250CA9" w:rsidRPr="00250CA9" w:rsidRDefault="00250CA9" w:rsidP="00250CA9">
      <w:pPr>
        <w:spacing w:line="360" w:lineRule="auto"/>
        <w:jc w:val="center"/>
        <w:rPr>
          <w:b/>
          <w:lang w:val="es-PE" w:eastAsia="es-PE"/>
        </w:rPr>
      </w:pPr>
    </w:p>
    <w:p w14:paraId="1CD562D7" w14:textId="77777777" w:rsidR="00250CA9" w:rsidRPr="00250CA9" w:rsidRDefault="00250CA9" w:rsidP="00250CA9">
      <w:pPr>
        <w:spacing w:line="360" w:lineRule="auto"/>
        <w:jc w:val="center"/>
        <w:rPr>
          <w:b/>
          <w:sz w:val="32"/>
          <w:szCs w:val="32"/>
          <w:lang w:val="es-PE" w:eastAsia="es-PE"/>
        </w:rPr>
      </w:pPr>
      <w:r w:rsidRPr="00250CA9">
        <w:rPr>
          <w:b/>
          <w:sz w:val="32"/>
          <w:szCs w:val="32"/>
          <w:lang w:val="es-PE" w:eastAsia="es-PE"/>
        </w:rPr>
        <w:t>RESULTADOS</w:t>
      </w:r>
    </w:p>
    <w:p w14:paraId="413D9D69" w14:textId="77777777" w:rsidR="00250CA9" w:rsidRPr="00250CA9" w:rsidRDefault="00250CA9" w:rsidP="00250CA9">
      <w:pPr>
        <w:spacing w:line="360" w:lineRule="auto"/>
        <w:jc w:val="both"/>
        <w:rPr>
          <w:lang w:val="es-PE" w:eastAsia="es-PE"/>
        </w:rPr>
      </w:pPr>
      <w:r w:rsidRPr="00250CA9">
        <w:rPr>
          <w:lang w:val="es-PE" w:eastAsia="es-PE"/>
        </w:rPr>
        <w:t>Entre los 608 sujetos estudiados, 56,7 % pertenecían al sexo femenino y 43,3 % al sexo masculino. La media de edad fue de 17,69 con desviación estándar de 0,842.</w:t>
      </w:r>
    </w:p>
    <w:p w14:paraId="73CC8DAC" w14:textId="77777777" w:rsidR="00250CA9" w:rsidRPr="00250CA9" w:rsidRDefault="00250CA9" w:rsidP="00250CA9">
      <w:pPr>
        <w:spacing w:line="360" w:lineRule="auto"/>
        <w:jc w:val="center"/>
        <w:rPr>
          <w:b/>
          <w:sz w:val="28"/>
          <w:szCs w:val="28"/>
          <w:lang w:val="es-PE" w:eastAsia="es-PE"/>
        </w:rPr>
      </w:pPr>
      <w:bookmarkStart w:id="4" w:name="_tyjcwt" w:colFirst="0" w:colLast="0"/>
      <w:bookmarkEnd w:id="4"/>
      <w:r w:rsidRPr="00250CA9">
        <w:rPr>
          <w:b/>
          <w:sz w:val="28"/>
          <w:szCs w:val="28"/>
          <w:lang w:val="es-PE" w:eastAsia="es-PE"/>
        </w:rPr>
        <w:t>Análisis psicométrico de la escala ACAD-COVID-19</w:t>
      </w:r>
    </w:p>
    <w:p w14:paraId="0963F919" w14:textId="77777777" w:rsidR="00250CA9" w:rsidRPr="00250CA9" w:rsidRDefault="00250CA9" w:rsidP="00250CA9">
      <w:pPr>
        <w:spacing w:line="360" w:lineRule="auto"/>
        <w:jc w:val="both"/>
        <w:rPr>
          <w:lang w:val="es-PE" w:eastAsia="es-PE"/>
        </w:rPr>
      </w:pPr>
      <w:r w:rsidRPr="00250CA9">
        <w:rPr>
          <w:lang w:val="es-PE" w:eastAsia="es-PE"/>
        </w:rPr>
        <w:t xml:space="preserve">Con el análisis psicométrico de la escala ACAD-COVID-19 (tabla 1) se obtuvo que los 8 ítems tienen índices de homogeneidad que van de 0,321 (ítem 5) a 0,548 (ítem 2), los cuales son significativos, ya que superan los valores mínimos establecidos por el criterio </w:t>
      </w:r>
      <w:proofErr w:type="gramStart"/>
      <w:r w:rsidRPr="00250CA9">
        <w:rPr>
          <w:i/>
          <w:lang w:val="es-PE" w:eastAsia="es-PE"/>
        </w:rPr>
        <w:t>Kline</w:t>
      </w:r>
      <w:r w:rsidRPr="00250CA9">
        <w:rPr>
          <w:lang w:val="es-PE" w:eastAsia="es-PE"/>
        </w:rPr>
        <w:t>,</w:t>
      </w:r>
      <w:r w:rsidRPr="00250CA9">
        <w:rPr>
          <w:vertAlign w:val="superscript"/>
          <w:lang w:val="es-PE" w:eastAsia="es-PE"/>
        </w:rPr>
        <w:t>(</w:t>
      </w:r>
      <w:proofErr w:type="gramEnd"/>
      <w:r w:rsidRPr="00250CA9">
        <w:rPr>
          <w:vertAlign w:val="superscript"/>
          <w:lang w:val="es-PE" w:eastAsia="es-PE"/>
        </w:rPr>
        <w:t>21)</w:t>
      </w:r>
      <w:r w:rsidRPr="00250CA9">
        <w:rPr>
          <w:lang w:val="es-PE" w:eastAsia="es-PE"/>
        </w:rPr>
        <w:t xml:space="preserve"> de 0,20. Este resultado da pie a afirmar que los ítems del instrumento en la población estudiada tienen índices de homogeneidad correctos. Asimismo, el coeficiente de confiabilidad se obtuvo en base a las cargas factoriales o suma ponderada de las variables estandarizadas, y se calculó un coeficiente de Omega de 0,718. Al estar por </w:t>
      </w:r>
      <w:r w:rsidRPr="00250CA9">
        <w:rPr>
          <w:lang w:val="es-PE" w:eastAsia="es-PE"/>
        </w:rPr>
        <w:lastRenderedPageBreak/>
        <w:t>encima de 0,</w:t>
      </w:r>
      <w:proofErr w:type="gramStart"/>
      <w:r w:rsidRPr="00250CA9">
        <w:rPr>
          <w:lang w:val="es-PE" w:eastAsia="es-PE"/>
        </w:rPr>
        <w:t>65,</w:t>
      </w:r>
      <w:r w:rsidRPr="00250CA9">
        <w:rPr>
          <w:vertAlign w:val="superscript"/>
          <w:lang w:val="es-PE" w:eastAsia="es-PE"/>
        </w:rPr>
        <w:t>(</w:t>
      </w:r>
      <w:proofErr w:type="gramEnd"/>
      <w:r w:rsidRPr="00250CA9">
        <w:rPr>
          <w:vertAlign w:val="superscript"/>
          <w:lang w:val="es-PE" w:eastAsia="es-PE"/>
        </w:rPr>
        <w:t>22)</w:t>
      </w:r>
      <w:r w:rsidRPr="00250CA9">
        <w:rPr>
          <w:lang w:val="es-PE" w:eastAsia="es-PE"/>
        </w:rPr>
        <w:t xml:space="preserve"> se considera aceptable. Por lo tanto, puede concluirse que la escala ACAD-COVID-19 aplicada a jóvenes universitarios cuenta con una confiabilidad aceptable. </w:t>
      </w:r>
    </w:p>
    <w:p w14:paraId="5B57E010" w14:textId="77777777" w:rsidR="00250CA9" w:rsidRPr="00250CA9" w:rsidRDefault="00250CA9" w:rsidP="00250CA9">
      <w:pPr>
        <w:spacing w:line="360" w:lineRule="auto"/>
        <w:jc w:val="both"/>
        <w:rPr>
          <w:lang w:val="es-PE" w:eastAsia="es-PE"/>
        </w:rPr>
      </w:pPr>
    </w:p>
    <w:p w14:paraId="553BB78D" w14:textId="77777777" w:rsidR="00250CA9" w:rsidRPr="00250CA9" w:rsidRDefault="00250CA9" w:rsidP="00250CA9">
      <w:pPr>
        <w:spacing w:line="360" w:lineRule="auto"/>
        <w:jc w:val="center"/>
        <w:rPr>
          <w:color w:val="000000"/>
          <w:sz w:val="22"/>
          <w:szCs w:val="22"/>
          <w:lang w:val="es-PE" w:eastAsia="es-PE"/>
        </w:rPr>
      </w:pPr>
      <w:r w:rsidRPr="00250CA9">
        <w:rPr>
          <w:b/>
          <w:sz w:val="22"/>
          <w:szCs w:val="22"/>
          <w:lang w:val="es-PE" w:eastAsia="es-PE"/>
        </w:rPr>
        <w:t xml:space="preserve">Tabla 1 - </w:t>
      </w:r>
      <w:r w:rsidRPr="00250CA9">
        <w:rPr>
          <w:sz w:val="22"/>
          <w:szCs w:val="22"/>
          <w:lang w:val="es-PE" w:eastAsia="es-PE"/>
        </w:rPr>
        <w:t>Resultados generales por ítem y confiabilidad</w:t>
      </w:r>
      <w:r w:rsidRPr="00250CA9">
        <w:rPr>
          <w:color w:val="000000"/>
          <w:sz w:val="22"/>
          <w:szCs w:val="22"/>
          <w:lang w:val="es-PE" w:eastAsia="es-PE"/>
        </w:rPr>
        <w:t xml:space="preserve"> de la escala ACAD-COVID-19 en los universitarios limeños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4"/>
        <w:gridCol w:w="997"/>
        <w:gridCol w:w="1128"/>
        <w:gridCol w:w="992"/>
      </w:tblGrid>
      <w:tr w:rsidR="00250CA9" w:rsidRPr="00250CA9" w14:paraId="30BCC5C4" w14:textId="77777777" w:rsidTr="005600B0">
        <w:trPr>
          <w:trHeight w:val="556"/>
          <w:jc w:val="center"/>
        </w:trPr>
        <w:tc>
          <w:tcPr>
            <w:tcW w:w="6234" w:type="dxa"/>
            <w:shd w:val="clear" w:color="auto" w:fill="FFFFFF"/>
            <w:vAlign w:val="center"/>
          </w:tcPr>
          <w:p w14:paraId="6EFD9215" w14:textId="77777777" w:rsidR="00250CA9" w:rsidRPr="00250CA9" w:rsidRDefault="00250CA9" w:rsidP="00250CA9">
            <w:pPr>
              <w:spacing w:line="360" w:lineRule="auto"/>
              <w:jc w:val="center"/>
              <w:rPr>
                <w:b/>
                <w:bCs/>
                <w:sz w:val="18"/>
                <w:szCs w:val="18"/>
                <w:lang w:val="es-PE" w:eastAsia="es-PE"/>
              </w:rPr>
            </w:pPr>
            <w:r w:rsidRPr="00250CA9">
              <w:rPr>
                <w:b/>
                <w:bCs/>
                <w:sz w:val="18"/>
                <w:szCs w:val="18"/>
                <w:lang w:val="es-PE" w:eastAsia="es-PE"/>
              </w:rPr>
              <w:t>Ítem</w:t>
            </w:r>
          </w:p>
        </w:tc>
        <w:tc>
          <w:tcPr>
            <w:tcW w:w="997" w:type="dxa"/>
            <w:shd w:val="clear" w:color="auto" w:fill="FFFFFF"/>
            <w:vAlign w:val="center"/>
          </w:tcPr>
          <w:p w14:paraId="10DA251F" w14:textId="77777777" w:rsidR="00250CA9" w:rsidRPr="00250CA9" w:rsidRDefault="00250CA9" w:rsidP="00250CA9">
            <w:pPr>
              <w:spacing w:line="360" w:lineRule="auto"/>
              <w:ind w:right="60"/>
              <w:jc w:val="center"/>
              <w:rPr>
                <w:b/>
                <w:bCs/>
                <w:color w:val="000000"/>
                <w:sz w:val="18"/>
                <w:szCs w:val="18"/>
                <w:lang w:val="es-PE" w:eastAsia="es-PE"/>
              </w:rPr>
            </w:pPr>
            <w:r w:rsidRPr="00250CA9">
              <w:rPr>
                <w:b/>
                <w:bCs/>
                <w:color w:val="000000"/>
                <w:sz w:val="18"/>
                <w:szCs w:val="18"/>
                <w:lang w:val="es-PE" w:eastAsia="es-PE"/>
              </w:rPr>
              <w:t>Media</w:t>
            </w:r>
          </w:p>
        </w:tc>
        <w:tc>
          <w:tcPr>
            <w:tcW w:w="1128" w:type="dxa"/>
            <w:shd w:val="clear" w:color="auto" w:fill="FFFFFF"/>
            <w:vAlign w:val="center"/>
          </w:tcPr>
          <w:p w14:paraId="1BCEC28C" w14:textId="77777777" w:rsidR="00250CA9" w:rsidRPr="00250CA9" w:rsidRDefault="00250CA9" w:rsidP="00250CA9">
            <w:pPr>
              <w:spacing w:line="360" w:lineRule="auto"/>
              <w:ind w:right="60"/>
              <w:jc w:val="center"/>
              <w:rPr>
                <w:b/>
                <w:bCs/>
                <w:color w:val="000000"/>
                <w:sz w:val="18"/>
                <w:szCs w:val="18"/>
                <w:lang w:val="es-PE" w:eastAsia="es-PE"/>
              </w:rPr>
            </w:pPr>
            <w:proofErr w:type="spellStart"/>
            <w:r w:rsidRPr="00250CA9">
              <w:rPr>
                <w:b/>
                <w:bCs/>
                <w:color w:val="000000"/>
                <w:sz w:val="18"/>
                <w:szCs w:val="18"/>
                <w:lang w:val="es-PE" w:eastAsia="es-PE"/>
              </w:rPr>
              <w:t>Desv</w:t>
            </w:r>
            <w:proofErr w:type="spellEnd"/>
            <w:r w:rsidRPr="00250CA9">
              <w:rPr>
                <w:b/>
                <w:bCs/>
                <w:color w:val="000000"/>
                <w:sz w:val="18"/>
                <w:szCs w:val="18"/>
                <w:lang w:val="es-PE" w:eastAsia="es-PE"/>
              </w:rPr>
              <w:t xml:space="preserve"> Estándar</w:t>
            </w:r>
          </w:p>
        </w:tc>
        <w:tc>
          <w:tcPr>
            <w:tcW w:w="992" w:type="dxa"/>
            <w:shd w:val="clear" w:color="auto" w:fill="FFFFFF"/>
            <w:vAlign w:val="center"/>
          </w:tcPr>
          <w:p w14:paraId="660A35BF" w14:textId="77777777" w:rsidR="00250CA9" w:rsidRPr="00250CA9" w:rsidRDefault="00250CA9" w:rsidP="00250CA9">
            <w:pPr>
              <w:spacing w:line="360" w:lineRule="auto"/>
              <w:ind w:right="60"/>
              <w:jc w:val="center"/>
              <w:rPr>
                <w:b/>
                <w:bCs/>
                <w:color w:val="000000"/>
                <w:sz w:val="18"/>
                <w:szCs w:val="18"/>
                <w:lang w:val="es-PE" w:eastAsia="es-PE"/>
              </w:rPr>
            </w:pPr>
            <w:proofErr w:type="spellStart"/>
            <w:r w:rsidRPr="00250CA9">
              <w:rPr>
                <w:b/>
                <w:bCs/>
                <w:color w:val="000000"/>
                <w:sz w:val="18"/>
                <w:szCs w:val="18"/>
                <w:lang w:val="es-PE" w:eastAsia="es-PE"/>
              </w:rPr>
              <w:t>ritc</w:t>
            </w:r>
            <w:proofErr w:type="spellEnd"/>
          </w:p>
        </w:tc>
      </w:tr>
      <w:tr w:rsidR="00250CA9" w:rsidRPr="00250CA9" w14:paraId="6FC7345D" w14:textId="77777777" w:rsidTr="005600B0">
        <w:trPr>
          <w:trHeight w:val="506"/>
          <w:jc w:val="center"/>
        </w:trPr>
        <w:tc>
          <w:tcPr>
            <w:tcW w:w="6234" w:type="dxa"/>
            <w:shd w:val="clear" w:color="auto" w:fill="FFFFFF"/>
            <w:vAlign w:val="center"/>
          </w:tcPr>
          <w:p w14:paraId="54FBC0D3" w14:textId="77777777" w:rsidR="00250CA9" w:rsidRPr="00250CA9" w:rsidRDefault="00250CA9" w:rsidP="00250CA9">
            <w:pPr>
              <w:numPr>
                <w:ilvl w:val="0"/>
                <w:numId w:val="6"/>
              </w:numPr>
              <w:spacing w:after="160" w:line="360" w:lineRule="auto"/>
              <w:ind w:right="60"/>
              <w:contextualSpacing/>
              <w:rPr>
                <w:sz w:val="18"/>
                <w:szCs w:val="18"/>
                <w:lang w:val="es-PE" w:eastAsia="es-PE"/>
              </w:rPr>
            </w:pPr>
            <w:r w:rsidRPr="00250CA9">
              <w:rPr>
                <w:sz w:val="18"/>
                <w:szCs w:val="18"/>
                <w:lang w:val="es-PE" w:eastAsia="es-PE"/>
              </w:rPr>
              <w:t>Tengo miedo/preocupación de no adaptarme al posible acelerado ritmo académico</w:t>
            </w:r>
          </w:p>
        </w:tc>
        <w:tc>
          <w:tcPr>
            <w:tcW w:w="997" w:type="dxa"/>
            <w:shd w:val="clear" w:color="auto" w:fill="FFFFFF"/>
            <w:vAlign w:val="center"/>
          </w:tcPr>
          <w:p w14:paraId="59214993"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3,196</w:t>
            </w:r>
          </w:p>
        </w:tc>
        <w:tc>
          <w:tcPr>
            <w:tcW w:w="1128" w:type="dxa"/>
            <w:shd w:val="clear" w:color="auto" w:fill="FFFFFF"/>
            <w:vAlign w:val="center"/>
          </w:tcPr>
          <w:p w14:paraId="6D106DF5"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1,023</w:t>
            </w:r>
          </w:p>
        </w:tc>
        <w:tc>
          <w:tcPr>
            <w:tcW w:w="992" w:type="dxa"/>
            <w:shd w:val="clear" w:color="auto" w:fill="FFFFFF"/>
            <w:vAlign w:val="center"/>
          </w:tcPr>
          <w:p w14:paraId="2A573CE0"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0,472</w:t>
            </w:r>
          </w:p>
        </w:tc>
      </w:tr>
      <w:tr w:rsidR="00250CA9" w:rsidRPr="00250CA9" w14:paraId="648A887A" w14:textId="77777777" w:rsidTr="005600B0">
        <w:trPr>
          <w:trHeight w:val="444"/>
          <w:jc w:val="center"/>
        </w:trPr>
        <w:tc>
          <w:tcPr>
            <w:tcW w:w="6234" w:type="dxa"/>
            <w:shd w:val="clear" w:color="auto" w:fill="FFFFFF"/>
            <w:vAlign w:val="center"/>
          </w:tcPr>
          <w:p w14:paraId="4830CF91" w14:textId="77777777" w:rsidR="00250CA9" w:rsidRPr="00250CA9" w:rsidRDefault="00250CA9" w:rsidP="00250CA9">
            <w:pPr>
              <w:numPr>
                <w:ilvl w:val="0"/>
                <w:numId w:val="6"/>
              </w:numPr>
              <w:spacing w:after="160" w:line="360" w:lineRule="auto"/>
              <w:ind w:right="60"/>
              <w:contextualSpacing/>
              <w:rPr>
                <w:sz w:val="18"/>
                <w:szCs w:val="18"/>
                <w:lang w:val="es-PE" w:eastAsia="es-PE"/>
              </w:rPr>
            </w:pPr>
            <w:r w:rsidRPr="00250CA9">
              <w:rPr>
                <w:sz w:val="18"/>
                <w:szCs w:val="18"/>
                <w:lang w:val="es-PE" w:eastAsia="es-PE"/>
              </w:rPr>
              <w:t>Tengo miedo/preocupación de bajar mi promedio ponderado tras el retorno a clases</w:t>
            </w:r>
          </w:p>
        </w:tc>
        <w:tc>
          <w:tcPr>
            <w:tcW w:w="997" w:type="dxa"/>
            <w:shd w:val="clear" w:color="auto" w:fill="FFFFFF"/>
            <w:vAlign w:val="center"/>
          </w:tcPr>
          <w:p w14:paraId="1397CA37"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2,939</w:t>
            </w:r>
          </w:p>
        </w:tc>
        <w:tc>
          <w:tcPr>
            <w:tcW w:w="1128" w:type="dxa"/>
            <w:shd w:val="clear" w:color="auto" w:fill="FFFFFF"/>
            <w:vAlign w:val="center"/>
          </w:tcPr>
          <w:p w14:paraId="41355FF8"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0,879</w:t>
            </w:r>
          </w:p>
        </w:tc>
        <w:tc>
          <w:tcPr>
            <w:tcW w:w="992" w:type="dxa"/>
            <w:shd w:val="clear" w:color="auto" w:fill="FFFFFF"/>
            <w:vAlign w:val="center"/>
          </w:tcPr>
          <w:p w14:paraId="37AF8B94"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0,548</w:t>
            </w:r>
          </w:p>
        </w:tc>
      </w:tr>
      <w:tr w:rsidR="00250CA9" w:rsidRPr="00250CA9" w14:paraId="16CAEF2A" w14:textId="77777777" w:rsidTr="005600B0">
        <w:trPr>
          <w:trHeight w:val="98"/>
          <w:jc w:val="center"/>
        </w:trPr>
        <w:tc>
          <w:tcPr>
            <w:tcW w:w="6234" w:type="dxa"/>
            <w:shd w:val="clear" w:color="auto" w:fill="FFFFFF"/>
            <w:vAlign w:val="center"/>
          </w:tcPr>
          <w:p w14:paraId="31A296C0" w14:textId="77777777" w:rsidR="00250CA9" w:rsidRPr="00250CA9" w:rsidRDefault="00250CA9" w:rsidP="00250CA9">
            <w:pPr>
              <w:numPr>
                <w:ilvl w:val="0"/>
                <w:numId w:val="6"/>
              </w:numPr>
              <w:spacing w:after="160" w:line="360" w:lineRule="auto"/>
              <w:ind w:right="60"/>
              <w:contextualSpacing/>
              <w:rPr>
                <w:sz w:val="18"/>
                <w:szCs w:val="18"/>
                <w:lang w:val="es-PE" w:eastAsia="es-PE"/>
              </w:rPr>
            </w:pPr>
            <w:r w:rsidRPr="00250CA9">
              <w:rPr>
                <w:sz w:val="18"/>
                <w:szCs w:val="18"/>
                <w:lang w:val="es-PE" w:eastAsia="es-PE"/>
              </w:rPr>
              <w:t>Tengo miedo/preocupación de perder el ciclo</w:t>
            </w:r>
          </w:p>
        </w:tc>
        <w:tc>
          <w:tcPr>
            <w:tcW w:w="997" w:type="dxa"/>
            <w:shd w:val="clear" w:color="auto" w:fill="FFFFFF"/>
            <w:vAlign w:val="center"/>
          </w:tcPr>
          <w:p w14:paraId="457E02D7"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3,069</w:t>
            </w:r>
          </w:p>
        </w:tc>
        <w:tc>
          <w:tcPr>
            <w:tcW w:w="1128" w:type="dxa"/>
            <w:shd w:val="clear" w:color="auto" w:fill="FFFFFF"/>
            <w:vAlign w:val="center"/>
          </w:tcPr>
          <w:p w14:paraId="0E3FC9B3"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0,827</w:t>
            </w:r>
          </w:p>
        </w:tc>
        <w:tc>
          <w:tcPr>
            <w:tcW w:w="992" w:type="dxa"/>
            <w:shd w:val="clear" w:color="auto" w:fill="FFFFFF"/>
            <w:vAlign w:val="center"/>
          </w:tcPr>
          <w:p w14:paraId="40299877"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0,537</w:t>
            </w:r>
          </w:p>
        </w:tc>
      </w:tr>
      <w:tr w:rsidR="00250CA9" w:rsidRPr="00250CA9" w14:paraId="27B7CB03" w14:textId="77777777" w:rsidTr="005600B0">
        <w:trPr>
          <w:trHeight w:val="201"/>
          <w:jc w:val="center"/>
        </w:trPr>
        <w:tc>
          <w:tcPr>
            <w:tcW w:w="6234" w:type="dxa"/>
            <w:shd w:val="clear" w:color="auto" w:fill="FFFFFF"/>
            <w:vAlign w:val="center"/>
          </w:tcPr>
          <w:p w14:paraId="0245E13F" w14:textId="77777777" w:rsidR="00250CA9" w:rsidRPr="00250CA9" w:rsidRDefault="00250CA9" w:rsidP="00250CA9">
            <w:pPr>
              <w:numPr>
                <w:ilvl w:val="0"/>
                <w:numId w:val="6"/>
              </w:numPr>
              <w:spacing w:after="160" w:line="360" w:lineRule="auto"/>
              <w:ind w:right="60"/>
              <w:contextualSpacing/>
              <w:rPr>
                <w:sz w:val="18"/>
                <w:szCs w:val="18"/>
                <w:lang w:val="es-PE" w:eastAsia="es-PE"/>
              </w:rPr>
            </w:pPr>
            <w:r w:rsidRPr="00250CA9">
              <w:rPr>
                <w:sz w:val="18"/>
                <w:szCs w:val="18"/>
                <w:lang w:val="es-PE" w:eastAsia="es-PE"/>
              </w:rPr>
              <w:t>Tengo miedo/preocupación por perder el año académico</w:t>
            </w:r>
          </w:p>
        </w:tc>
        <w:tc>
          <w:tcPr>
            <w:tcW w:w="997" w:type="dxa"/>
            <w:shd w:val="clear" w:color="auto" w:fill="FFFFFF"/>
            <w:vAlign w:val="center"/>
          </w:tcPr>
          <w:p w14:paraId="4DDEF033"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3,079</w:t>
            </w:r>
          </w:p>
        </w:tc>
        <w:tc>
          <w:tcPr>
            <w:tcW w:w="1128" w:type="dxa"/>
            <w:shd w:val="clear" w:color="auto" w:fill="FFFFFF"/>
            <w:vAlign w:val="center"/>
          </w:tcPr>
          <w:p w14:paraId="7CB1A4D9"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0,863</w:t>
            </w:r>
          </w:p>
        </w:tc>
        <w:tc>
          <w:tcPr>
            <w:tcW w:w="992" w:type="dxa"/>
            <w:shd w:val="clear" w:color="auto" w:fill="FFFFFF"/>
            <w:vAlign w:val="center"/>
          </w:tcPr>
          <w:p w14:paraId="460E253F"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0,485</w:t>
            </w:r>
          </w:p>
        </w:tc>
      </w:tr>
      <w:tr w:rsidR="00250CA9" w:rsidRPr="00250CA9" w14:paraId="143AA91E" w14:textId="77777777" w:rsidTr="005600B0">
        <w:trPr>
          <w:trHeight w:val="305"/>
          <w:jc w:val="center"/>
        </w:trPr>
        <w:tc>
          <w:tcPr>
            <w:tcW w:w="6234" w:type="dxa"/>
            <w:shd w:val="clear" w:color="auto" w:fill="FFFFFF"/>
            <w:vAlign w:val="center"/>
          </w:tcPr>
          <w:p w14:paraId="50F405DC" w14:textId="77777777" w:rsidR="00250CA9" w:rsidRPr="00250CA9" w:rsidRDefault="00250CA9" w:rsidP="00250CA9">
            <w:pPr>
              <w:numPr>
                <w:ilvl w:val="0"/>
                <w:numId w:val="6"/>
              </w:numPr>
              <w:spacing w:after="160" w:line="360" w:lineRule="auto"/>
              <w:ind w:right="60"/>
              <w:contextualSpacing/>
              <w:rPr>
                <w:sz w:val="18"/>
                <w:szCs w:val="18"/>
                <w:lang w:val="es-PE" w:eastAsia="es-PE"/>
              </w:rPr>
            </w:pPr>
            <w:r w:rsidRPr="00250CA9">
              <w:rPr>
                <w:sz w:val="18"/>
                <w:szCs w:val="18"/>
                <w:lang w:val="es-PE" w:eastAsia="es-PE"/>
              </w:rPr>
              <w:t>Tengo miedo/preocupación de exponerme al COVID-19 tras retornar a clases</w:t>
            </w:r>
          </w:p>
        </w:tc>
        <w:tc>
          <w:tcPr>
            <w:tcW w:w="997" w:type="dxa"/>
            <w:shd w:val="clear" w:color="auto" w:fill="FFFFFF"/>
            <w:vAlign w:val="center"/>
          </w:tcPr>
          <w:p w14:paraId="3C91A59C"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3,474</w:t>
            </w:r>
          </w:p>
        </w:tc>
        <w:tc>
          <w:tcPr>
            <w:tcW w:w="1128" w:type="dxa"/>
            <w:shd w:val="clear" w:color="auto" w:fill="FFFFFF"/>
            <w:vAlign w:val="center"/>
          </w:tcPr>
          <w:p w14:paraId="3A8B1F99"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0,95</w:t>
            </w:r>
          </w:p>
        </w:tc>
        <w:tc>
          <w:tcPr>
            <w:tcW w:w="992" w:type="dxa"/>
            <w:shd w:val="clear" w:color="auto" w:fill="FFFFFF"/>
            <w:vAlign w:val="center"/>
          </w:tcPr>
          <w:p w14:paraId="064806D4"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0,321</w:t>
            </w:r>
          </w:p>
        </w:tc>
      </w:tr>
      <w:tr w:rsidR="00250CA9" w:rsidRPr="00250CA9" w14:paraId="378BC561" w14:textId="77777777" w:rsidTr="005600B0">
        <w:trPr>
          <w:trHeight w:val="102"/>
          <w:jc w:val="center"/>
        </w:trPr>
        <w:tc>
          <w:tcPr>
            <w:tcW w:w="6234" w:type="dxa"/>
            <w:shd w:val="clear" w:color="auto" w:fill="FFFFFF"/>
            <w:vAlign w:val="center"/>
          </w:tcPr>
          <w:p w14:paraId="29769CEC" w14:textId="77777777" w:rsidR="00250CA9" w:rsidRPr="00250CA9" w:rsidRDefault="00250CA9" w:rsidP="00250CA9">
            <w:pPr>
              <w:numPr>
                <w:ilvl w:val="0"/>
                <w:numId w:val="6"/>
              </w:numPr>
              <w:spacing w:after="160" w:line="360" w:lineRule="auto"/>
              <w:ind w:right="60"/>
              <w:contextualSpacing/>
              <w:rPr>
                <w:sz w:val="18"/>
                <w:szCs w:val="18"/>
                <w:lang w:val="es-PE" w:eastAsia="es-PE"/>
              </w:rPr>
            </w:pPr>
            <w:r w:rsidRPr="00250CA9">
              <w:rPr>
                <w:sz w:val="18"/>
                <w:szCs w:val="18"/>
                <w:lang w:val="es-PE" w:eastAsia="es-PE"/>
              </w:rPr>
              <w:t>Tengo miedo/preocupación de morir por el COVID-19</w:t>
            </w:r>
          </w:p>
        </w:tc>
        <w:tc>
          <w:tcPr>
            <w:tcW w:w="997" w:type="dxa"/>
            <w:shd w:val="clear" w:color="auto" w:fill="FFFFFF"/>
            <w:vAlign w:val="center"/>
          </w:tcPr>
          <w:p w14:paraId="466EC5FA"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3,428</w:t>
            </w:r>
          </w:p>
        </w:tc>
        <w:tc>
          <w:tcPr>
            <w:tcW w:w="1128" w:type="dxa"/>
            <w:shd w:val="clear" w:color="auto" w:fill="FFFFFF"/>
            <w:vAlign w:val="center"/>
          </w:tcPr>
          <w:p w14:paraId="22ADE329"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0,883</w:t>
            </w:r>
          </w:p>
        </w:tc>
        <w:tc>
          <w:tcPr>
            <w:tcW w:w="992" w:type="dxa"/>
            <w:shd w:val="clear" w:color="auto" w:fill="FFFFFF"/>
            <w:vAlign w:val="center"/>
          </w:tcPr>
          <w:p w14:paraId="03F05F7C"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0,342</w:t>
            </w:r>
          </w:p>
        </w:tc>
      </w:tr>
      <w:tr w:rsidR="00250CA9" w:rsidRPr="00250CA9" w14:paraId="1D9059BC" w14:textId="77777777" w:rsidTr="005600B0">
        <w:trPr>
          <w:trHeight w:val="348"/>
          <w:jc w:val="center"/>
        </w:trPr>
        <w:tc>
          <w:tcPr>
            <w:tcW w:w="6234" w:type="dxa"/>
            <w:shd w:val="clear" w:color="auto" w:fill="FFFFFF"/>
            <w:vAlign w:val="center"/>
          </w:tcPr>
          <w:p w14:paraId="081FEFF6" w14:textId="77777777" w:rsidR="00250CA9" w:rsidRPr="00250CA9" w:rsidRDefault="00250CA9" w:rsidP="00250CA9">
            <w:pPr>
              <w:numPr>
                <w:ilvl w:val="0"/>
                <w:numId w:val="6"/>
              </w:numPr>
              <w:spacing w:after="160" w:line="360" w:lineRule="auto"/>
              <w:ind w:right="60"/>
              <w:contextualSpacing/>
              <w:rPr>
                <w:sz w:val="18"/>
                <w:szCs w:val="18"/>
                <w:lang w:val="es-PE" w:eastAsia="es-PE"/>
              </w:rPr>
            </w:pPr>
            <w:r w:rsidRPr="00250CA9">
              <w:rPr>
                <w:sz w:val="18"/>
                <w:szCs w:val="18"/>
                <w:lang w:val="es-PE" w:eastAsia="es-PE"/>
              </w:rPr>
              <w:t>Tengo preocupación por enfrentarme a una desestabilidad económica familiar y no poder pagar mi ciclo académico</w:t>
            </w:r>
          </w:p>
        </w:tc>
        <w:tc>
          <w:tcPr>
            <w:tcW w:w="997" w:type="dxa"/>
            <w:shd w:val="clear" w:color="auto" w:fill="FFFFFF"/>
            <w:vAlign w:val="center"/>
          </w:tcPr>
          <w:p w14:paraId="4C455C0D"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3,217</w:t>
            </w:r>
          </w:p>
        </w:tc>
        <w:tc>
          <w:tcPr>
            <w:tcW w:w="1128" w:type="dxa"/>
            <w:shd w:val="clear" w:color="auto" w:fill="FFFFFF"/>
            <w:vAlign w:val="center"/>
          </w:tcPr>
          <w:p w14:paraId="1BE93498"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0,896</w:t>
            </w:r>
          </w:p>
        </w:tc>
        <w:tc>
          <w:tcPr>
            <w:tcW w:w="992" w:type="dxa"/>
            <w:shd w:val="clear" w:color="auto" w:fill="FFFFFF"/>
            <w:vAlign w:val="center"/>
          </w:tcPr>
          <w:p w14:paraId="5C9364D6"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0,328</w:t>
            </w:r>
          </w:p>
        </w:tc>
      </w:tr>
      <w:tr w:rsidR="00250CA9" w:rsidRPr="00250CA9" w14:paraId="6A47744B" w14:textId="77777777" w:rsidTr="005600B0">
        <w:trPr>
          <w:trHeight w:val="371"/>
          <w:jc w:val="center"/>
        </w:trPr>
        <w:tc>
          <w:tcPr>
            <w:tcW w:w="6234" w:type="dxa"/>
            <w:tcBorders>
              <w:bottom w:val="single" w:sz="4" w:space="0" w:color="auto"/>
            </w:tcBorders>
            <w:shd w:val="clear" w:color="auto" w:fill="FFFFFF"/>
            <w:vAlign w:val="center"/>
          </w:tcPr>
          <w:p w14:paraId="45CF3BAA" w14:textId="77777777" w:rsidR="00250CA9" w:rsidRPr="00250CA9" w:rsidRDefault="00250CA9" w:rsidP="00250CA9">
            <w:pPr>
              <w:numPr>
                <w:ilvl w:val="0"/>
                <w:numId w:val="6"/>
              </w:numPr>
              <w:spacing w:after="160" w:line="360" w:lineRule="auto"/>
              <w:ind w:right="60"/>
              <w:contextualSpacing/>
              <w:rPr>
                <w:sz w:val="18"/>
                <w:szCs w:val="18"/>
                <w:lang w:val="es-PE" w:eastAsia="es-PE"/>
              </w:rPr>
            </w:pPr>
            <w:r w:rsidRPr="00250CA9">
              <w:rPr>
                <w:sz w:val="18"/>
                <w:szCs w:val="18"/>
                <w:lang w:val="es-PE" w:eastAsia="es-PE"/>
              </w:rPr>
              <w:t>Tengo preocupación de cómo terminará el año académico</w:t>
            </w:r>
          </w:p>
        </w:tc>
        <w:tc>
          <w:tcPr>
            <w:tcW w:w="997" w:type="dxa"/>
            <w:tcBorders>
              <w:bottom w:val="single" w:sz="4" w:space="0" w:color="auto"/>
            </w:tcBorders>
            <w:shd w:val="clear" w:color="auto" w:fill="FFFFFF"/>
            <w:vAlign w:val="center"/>
          </w:tcPr>
          <w:p w14:paraId="3A30D5B4"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3,235</w:t>
            </w:r>
          </w:p>
        </w:tc>
        <w:tc>
          <w:tcPr>
            <w:tcW w:w="1128" w:type="dxa"/>
            <w:shd w:val="clear" w:color="auto" w:fill="FFFFFF"/>
            <w:vAlign w:val="center"/>
          </w:tcPr>
          <w:p w14:paraId="7E833846"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0,793</w:t>
            </w:r>
          </w:p>
        </w:tc>
        <w:tc>
          <w:tcPr>
            <w:tcW w:w="992" w:type="dxa"/>
            <w:shd w:val="clear" w:color="auto" w:fill="FFFFFF"/>
            <w:vAlign w:val="center"/>
          </w:tcPr>
          <w:p w14:paraId="0B12C620"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0,489</w:t>
            </w:r>
          </w:p>
        </w:tc>
      </w:tr>
      <w:tr w:rsidR="00250CA9" w:rsidRPr="00250CA9" w14:paraId="1DA02518" w14:textId="77777777" w:rsidTr="005600B0">
        <w:trPr>
          <w:trHeight w:val="56"/>
          <w:jc w:val="center"/>
        </w:trPr>
        <w:tc>
          <w:tcPr>
            <w:tcW w:w="6234" w:type="dxa"/>
            <w:tcBorders>
              <w:bottom w:val="single" w:sz="4" w:space="0" w:color="auto"/>
            </w:tcBorders>
            <w:shd w:val="clear" w:color="auto" w:fill="FFFFFF"/>
            <w:vAlign w:val="center"/>
          </w:tcPr>
          <w:p w14:paraId="524543B3" w14:textId="77777777" w:rsidR="00250CA9" w:rsidRPr="00250CA9" w:rsidRDefault="00250CA9" w:rsidP="00250CA9">
            <w:pPr>
              <w:spacing w:line="360" w:lineRule="auto"/>
              <w:ind w:right="60"/>
              <w:rPr>
                <w:sz w:val="18"/>
                <w:szCs w:val="18"/>
                <w:lang w:val="es-PE" w:eastAsia="es-PE"/>
              </w:rPr>
            </w:pPr>
            <w:r w:rsidRPr="00250CA9">
              <w:rPr>
                <w:sz w:val="18"/>
                <w:szCs w:val="18"/>
                <w:lang w:val="es-PE" w:eastAsia="es-PE"/>
              </w:rPr>
              <w:t>N válido (por lista)</w:t>
            </w:r>
          </w:p>
        </w:tc>
        <w:tc>
          <w:tcPr>
            <w:tcW w:w="997" w:type="dxa"/>
            <w:tcBorders>
              <w:bottom w:val="single" w:sz="4" w:space="0" w:color="auto"/>
            </w:tcBorders>
            <w:shd w:val="clear" w:color="auto" w:fill="FFFFFF"/>
            <w:vAlign w:val="center"/>
          </w:tcPr>
          <w:p w14:paraId="46431DCB"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608</w:t>
            </w:r>
          </w:p>
        </w:tc>
        <w:tc>
          <w:tcPr>
            <w:tcW w:w="1128" w:type="dxa"/>
            <w:shd w:val="clear" w:color="auto" w:fill="FFFFFF"/>
            <w:vAlign w:val="center"/>
          </w:tcPr>
          <w:p w14:paraId="17DAC094"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w:t>
            </w:r>
          </w:p>
        </w:tc>
        <w:tc>
          <w:tcPr>
            <w:tcW w:w="992" w:type="dxa"/>
            <w:shd w:val="clear" w:color="auto" w:fill="FFFFFF"/>
            <w:vAlign w:val="center"/>
          </w:tcPr>
          <w:p w14:paraId="3E1A9A59" w14:textId="77777777" w:rsidR="00250CA9" w:rsidRPr="00250CA9" w:rsidRDefault="00250CA9" w:rsidP="00250CA9">
            <w:pPr>
              <w:spacing w:line="360" w:lineRule="auto"/>
              <w:ind w:right="60"/>
              <w:jc w:val="center"/>
              <w:rPr>
                <w:sz w:val="18"/>
                <w:szCs w:val="18"/>
                <w:lang w:val="es-PE" w:eastAsia="es-PE"/>
              </w:rPr>
            </w:pPr>
            <w:r w:rsidRPr="00250CA9">
              <w:rPr>
                <w:sz w:val="18"/>
                <w:szCs w:val="18"/>
                <w:lang w:val="es-PE" w:eastAsia="es-PE"/>
              </w:rPr>
              <w:t>-</w:t>
            </w:r>
          </w:p>
        </w:tc>
      </w:tr>
    </w:tbl>
    <w:p w14:paraId="23BBDE9D" w14:textId="77777777" w:rsidR="00250CA9" w:rsidRPr="00250CA9" w:rsidRDefault="00250CA9" w:rsidP="00250CA9">
      <w:pPr>
        <w:spacing w:line="360" w:lineRule="auto"/>
        <w:jc w:val="center"/>
        <w:rPr>
          <w:sz w:val="16"/>
          <w:szCs w:val="16"/>
          <w:lang w:val="es-PE" w:eastAsia="es-PE"/>
        </w:rPr>
      </w:pPr>
      <w:proofErr w:type="spellStart"/>
      <w:r w:rsidRPr="00250CA9">
        <w:rPr>
          <w:sz w:val="16"/>
          <w:szCs w:val="16"/>
          <w:lang w:val="es-PE" w:eastAsia="es-PE"/>
        </w:rPr>
        <w:t>ritc</w:t>
      </w:r>
      <w:proofErr w:type="spellEnd"/>
      <w:r w:rsidRPr="00250CA9">
        <w:rPr>
          <w:sz w:val="16"/>
          <w:szCs w:val="16"/>
          <w:lang w:val="es-PE" w:eastAsia="es-PE"/>
        </w:rPr>
        <w:t>: Correlaciones ítem-test corregido.</w:t>
      </w:r>
    </w:p>
    <w:p w14:paraId="7957FF27" w14:textId="77777777" w:rsidR="00250CA9" w:rsidRPr="00250CA9" w:rsidRDefault="00250CA9" w:rsidP="00250CA9">
      <w:pPr>
        <w:spacing w:line="360" w:lineRule="auto"/>
        <w:jc w:val="both"/>
        <w:rPr>
          <w:lang w:val="es-PE" w:eastAsia="es-PE"/>
        </w:rPr>
      </w:pPr>
    </w:p>
    <w:p w14:paraId="3FE47E5E" w14:textId="77777777" w:rsidR="00250CA9" w:rsidRPr="00250CA9" w:rsidRDefault="00250CA9" w:rsidP="00250CA9">
      <w:pPr>
        <w:spacing w:line="360" w:lineRule="auto"/>
        <w:jc w:val="both"/>
        <w:rPr>
          <w:lang w:val="es-PE" w:eastAsia="es-PE"/>
        </w:rPr>
      </w:pPr>
      <w:r w:rsidRPr="00250CA9">
        <w:rPr>
          <w:lang w:val="es-PE" w:eastAsia="es-PE"/>
        </w:rPr>
        <w:t>La validez de constructo de la escala ACAD-COVID-19 se obtuvo a través del análisis factorial exploratorio (tabla 2; Fig. 1). El índice de Kaiser-Meyer-</w:t>
      </w:r>
      <w:proofErr w:type="spellStart"/>
      <w:r w:rsidRPr="00250CA9">
        <w:rPr>
          <w:lang w:val="es-PE" w:eastAsia="es-PE"/>
        </w:rPr>
        <w:t>Olkin</w:t>
      </w:r>
      <w:proofErr w:type="spellEnd"/>
      <w:r w:rsidRPr="00250CA9">
        <w:rPr>
          <w:lang w:val="es-PE" w:eastAsia="es-PE"/>
        </w:rPr>
        <w:t xml:space="preserve"> fue de 0,711, lo que demuestra que el instrumento cuenta con potencial explicativo. Asimismo, la prueba de esfericidad de Bartlett es significativa al ser el </w:t>
      </w:r>
      <w:r w:rsidRPr="00250CA9">
        <w:rPr>
          <w:i/>
          <w:iCs/>
          <w:lang w:val="es-PE" w:eastAsia="es-PE"/>
        </w:rPr>
        <w:t>ji</w:t>
      </w:r>
      <w:r w:rsidRPr="00250CA9">
        <w:rPr>
          <w:lang w:val="es-PE" w:eastAsia="es-PE"/>
        </w:rPr>
        <w:t xml:space="preserve"> cuadrado de 1254,312 y el p= 0,00, por tanto, inferior a p&lt; 0,05, lo cual demuestra que es pertinente realizar un análisis factorial con los datos resultantes. </w:t>
      </w:r>
    </w:p>
    <w:p w14:paraId="3BD0B816" w14:textId="77777777" w:rsidR="00250CA9" w:rsidRPr="00250CA9" w:rsidRDefault="00250CA9" w:rsidP="00250CA9">
      <w:pPr>
        <w:spacing w:line="360" w:lineRule="auto"/>
        <w:jc w:val="both"/>
        <w:rPr>
          <w:lang w:val="es-PE" w:eastAsia="es-PE"/>
        </w:rPr>
      </w:pPr>
      <w:r w:rsidRPr="00250CA9">
        <w:rPr>
          <w:lang w:val="es-PE" w:eastAsia="es-PE"/>
        </w:rPr>
        <w:t xml:space="preserve">Los 3 primeros factores explican la mayor parte de la variabilidad total en los datos, específicamente el 66,29 % de esta. En cuanto a la sedimentación factorial, se observa que los valores propios de los 3 primeros factores son, en todos los casos, mayores que 1 (2,90; 1,292 y 1,060), que pueden asociarse a las dimensiones académica, económica y el temor propio hacia enfermedad o muerte generada por la </w:t>
      </w:r>
      <w:r w:rsidRPr="00250CA9">
        <w:rPr>
          <w:lang w:val="es-PE" w:eastAsia="es-PE"/>
        </w:rPr>
        <w:lastRenderedPageBreak/>
        <w:t>COVID-19. Los factores restantes son inferiores a la unidad y representan una proporción muy pequeña de la variabilidad, por lo cual no son importantes.</w:t>
      </w:r>
    </w:p>
    <w:p w14:paraId="3428ED07" w14:textId="77777777" w:rsidR="00250CA9" w:rsidRPr="00250CA9" w:rsidRDefault="00250CA9" w:rsidP="00250CA9">
      <w:pPr>
        <w:spacing w:line="360" w:lineRule="auto"/>
        <w:jc w:val="center"/>
        <w:rPr>
          <w:b/>
          <w:sz w:val="22"/>
          <w:szCs w:val="22"/>
          <w:lang w:val="es-PE" w:eastAsia="es-PE"/>
        </w:rPr>
      </w:pPr>
    </w:p>
    <w:p w14:paraId="2119E935" w14:textId="77777777" w:rsidR="00250CA9" w:rsidRPr="00250CA9" w:rsidRDefault="00250CA9" w:rsidP="00250CA9">
      <w:pPr>
        <w:spacing w:line="360" w:lineRule="auto"/>
        <w:jc w:val="center"/>
        <w:rPr>
          <w:sz w:val="22"/>
          <w:szCs w:val="22"/>
          <w:lang w:val="es-PE" w:eastAsia="es-PE"/>
        </w:rPr>
      </w:pPr>
      <w:r w:rsidRPr="00250CA9">
        <w:rPr>
          <w:b/>
          <w:sz w:val="22"/>
          <w:szCs w:val="22"/>
          <w:lang w:val="es-PE" w:eastAsia="es-PE"/>
        </w:rPr>
        <w:t xml:space="preserve">Tabla 2 - </w:t>
      </w:r>
      <w:r w:rsidRPr="00250CA9">
        <w:rPr>
          <w:sz w:val="22"/>
          <w:szCs w:val="22"/>
          <w:lang w:val="es-PE" w:eastAsia="es-PE"/>
        </w:rPr>
        <w:t>Validez de constructo de la escala ACAD-COVID-19</w:t>
      </w:r>
    </w:p>
    <w:p w14:paraId="42C7E8A5" w14:textId="152C9338" w:rsidR="00250CA9" w:rsidRDefault="00A0627B" w:rsidP="00A0627B">
      <w:pPr>
        <w:spacing w:line="360" w:lineRule="auto"/>
        <w:jc w:val="center"/>
        <w:rPr>
          <w:b/>
          <w:lang w:val="es-PE" w:eastAsia="es-PE"/>
        </w:rPr>
      </w:pPr>
      <w:r w:rsidRPr="00582441">
        <w:rPr>
          <w:b/>
          <w:noProof/>
          <w:lang w:val="es-ES" w:eastAsia="es-ES"/>
        </w:rPr>
        <w:drawing>
          <wp:inline distT="0" distB="0" distL="0" distR="0" wp14:anchorId="6A189419" wp14:editId="4BF66B3B">
            <wp:extent cx="5400040" cy="2384951"/>
            <wp:effectExtent l="0" t="0" r="0" b="0"/>
            <wp:docPr id="3" name="Imagen 3" descr="G:\28.10.23\10709\t02_107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8.10.23\10709\t02_10709.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384951"/>
                    </a:xfrm>
                    <a:prstGeom prst="rect">
                      <a:avLst/>
                    </a:prstGeom>
                    <a:noFill/>
                    <a:ln>
                      <a:noFill/>
                    </a:ln>
                  </pic:spPr>
                </pic:pic>
              </a:graphicData>
            </a:graphic>
          </wp:inline>
        </w:drawing>
      </w:r>
    </w:p>
    <w:p w14:paraId="7E2033D4" w14:textId="77777777" w:rsidR="00A0627B" w:rsidRPr="00250CA9" w:rsidRDefault="00A0627B" w:rsidP="00A0627B">
      <w:pPr>
        <w:spacing w:line="360" w:lineRule="auto"/>
        <w:jc w:val="center"/>
        <w:rPr>
          <w:b/>
          <w:lang w:val="es-PE" w:eastAsia="es-PE"/>
        </w:rPr>
      </w:pPr>
    </w:p>
    <w:p w14:paraId="0A34D710" w14:textId="76B16B08" w:rsidR="00250CA9" w:rsidRPr="00250CA9" w:rsidRDefault="007201F5" w:rsidP="00250CA9">
      <w:pPr>
        <w:spacing w:line="360" w:lineRule="auto"/>
        <w:jc w:val="center"/>
        <w:rPr>
          <w:lang w:val="es-PE" w:eastAsia="es-PE"/>
        </w:rPr>
      </w:pPr>
      <w:r>
        <w:rPr>
          <w:noProof/>
          <w:lang w:val="es-PE" w:eastAsia="es-PE"/>
        </w:rPr>
        <w:drawing>
          <wp:inline distT="0" distB="0" distL="0" distR="0" wp14:anchorId="0F640620" wp14:editId="5B401661">
            <wp:extent cx="4367175" cy="2547519"/>
            <wp:effectExtent l="0" t="0" r="0" b="5715"/>
            <wp:docPr id="212282403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824036" name="Imagen 2122824036"/>
                    <pic:cNvPicPr/>
                  </pic:nvPicPr>
                  <pic:blipFill>
                    <a:blip r:embed="rId15">
                      <a:extLst>
                        <a:ext uri="{28A0092B-C50C-407E-A947-70E740481C1C}">
                          <a14:useLocalDpi xmlns:a14="http://schemas.microsoft.com/office/drawing/2010/main" val="0"/>
                        </a:ext>
                      </a:extLst>
                    </a:blip>
                    <a:stretch>
                      <a:fillRect/>
                    </a:stretch>
                  </pic:blipFill>
                  <pic:spPr>
                    <a:xfrm>
                      <a:off x="0" y="0"/>
                      <a:ext cx="4377880" cy="2553763"/>
                    </a:xfrm>
                    <a:prstGeom prst="rect">
                      <a:avLst/>
                    </a:prstGeom>
                  </pic:spPr>
                </pic:pic>
              </a:graphicData>
            </a:graphic>
          </wp:inline>
        </w:drawing>
      </w:r>
    </w:p>
    <w:p w14:paraId="282B417A" w14:textId="77777777" w:rsidR="00250CA9" w:rsidRPr="00250CA9" w:rsidRDefault="00250CA9" w:rsidP="00250CA9">
      <w:pPr>
        <w:spacing w:line="360" w:lineRule="auto"/>
        <w:jc w:val="center"/>
        <w:rPr>
          <w:lang w:val="es-PE" w:eastAsia="es-PE"/>
        </w:rPr>
      </w:pPr>
      <w:r w:rsidRPr="00250CA9">
        <w:rPr>
          <w:b/>
          <w:sz w:val="22"/>
          <w:szCs w:val="22"/>
          <w:lang w:val="es-PE" w:eastAsia="es-PE"/>
        </w:rPr>
        <w:t xml:space="preserve">Fig. 1 - </w:t>
      </w:r>
      <w:r w:rsidRPr="00250CA9">
        <w:rPr>
          <w:sz w:val="22"/>
          <w:szCs w:val="22"/>
          <w:lang w:val="es-PE" w:eastAsia="es-PE"/>
        </w:rPr>
        <w:t>Gráfico de sedimentación.</w:t>
      </w:r>
    </w:p>
    <w:p w14:paraId="1E7BB5CC" w14:textId="77777777" w:rsidR="00250CA9" w:rsidRPr="00250CA9" w:rsidRDefault="00250CA9" w:rsidP="00250CA9">
      <w:pPr>
        <w:spacing w:line="360" w:lineRule="auto"/>
        <w:jc w:val="both"/>
        <w:rPr>
          <w:lang w:val="es-PE" w:eastAsia="es-PE"/>
        </w:rPr>
      </w:pPr>
    </w:p>
    <w:p w14:paraId="0AFA09BC" w14:textId="77777777" w:rsidR="00250CA9" w:rsidRPr="00250CA9" w:rsidRDefault="00250CA9" w:rsidP="00250CA9">
      <w:pPr>
        <w:spacing w:line="360" w:lineRule="auto"/>
        <w:jc w:val="both"/>
        <w:rPr>
          <w:lang w:val="es-PE" w:eastAsia="es-PE"/>
        </w:rPr>
      </w:pPr>
      <w:r w:rsidRPr="00250CA9">
        <w:rPr>
          <w:lang w:val="es-PE" w:eastAsia="es-PE"/>
        </w:rPr>
        <w:t xml:space="preserve">El análisis psicométrico arrojó resultados positivos para la muestra estudiada en todos los ítems de la escala ACAD-COVID-19, para evaluar la percepción de los estudiantes sobre el impacto académico </w:t>
      </w:r>
      <w:r w:rsidRPr="00250CA9">
        <w:rPr>
          <w:lang w:val="es-PE" w:eastAsia="es-PE"/>
        </w:rPr>
        <w:lastRenderedPageBreak/>
        <w:t>generado por el coronavirus. Por todo lo mencionado, se validó dicha escala tridimensional, que mide la percepción de los estudiantes universitarios acerca de las posibles repercusiones académicas que tengan durante y después de la pandemia de la COVID-19.</w:t>
      </w:r>
    </w:p>
    <w:p w14:paraId="355434BC" w14:textId="77777777" w:rsidR="00250CA9" w:rsidRPr="00250CA9" w:rsidRDefault="00250CA9" w:rsidP="00250CA9">
      <w:pPr>
        <w:spacing w:line="360" w:lineRule="auto"/>
        <w:jc w:val="center"/>
        <w:rPr>
          <w:b/>
          <w:sz w:val="28"/>
          <w:szCs w:val="28"/>
          <w:lang w:val="es-PE" w:eastAsia="es-PE"/>
        </w:rPr>
      </w:pPr>
      <w:r w:rsidRPr="00250CA9">
        <w:rPr>
          <w:b/>
          <w:sz w:val="28"/>
          <w:szCs w:val="28"/>
          <w:lang w:val="es-PE" w:eastAsia="es-PE"/>
        </w:rPr>
        <w:t>Análisis descriptivo</w:t>
      </w:r>
    </w:p>
    <w:p w14:paraId="7A77D60D" w14:textId="77777777" w:rsidR="00250CA9" w:rsidRPr="00250CA9" w:rsidRDefault="00250CA9" w:rsidP="00250CA9">
      <w:pPr>
        <w:spacing w:line="360" w:lineRule="auto"/>
        <w:jc w:val="both"/>
        <w:rPr>
          <w:lang w:val="es-PE" w:eastAsia="es-PE"/>
        </w:rPr>
      </w:pPr>
      <w:r w:rsidRPr="00250CA9">
        <w:rPr>
          <w:lang w:val="es-PE" w:eastAsia="es-PE"/>
        </w:rPr>
        <w:t>De los 8 ítems considerados (tabla 1), los jóvenes universitarios manifiestan una tendencia al nivel 3 en todas las preguntas; es decir, se ubican en el nivel “indiferente” en su percepción sobre el impacto académico generado por la COVID-19. El promedio general de los ítems fue de 3,21, la mayor media fue de la pregunta 5 (3,47) y la menor de la pregunta 2 (2,94). Además, se encontraron altos valores de desviación estándar.</w:t>
      </w:r>
    </w:p>
    <w:p w14:paraId="625BB50B" w14:textId="77777777" w:rsidR="00250CA9" w:rsidRPr="00250CA9" w:rsidRDefault="00250CA9" w:rsidP="00250CA9">
      <w:pPr>
        <w:spacing w:line="360" w:lineRule="auto"/>
        <w:jc w:val="both"/>
        <w:rPr>
          <w:lang w:val="es-PE" w:eastAsia="es-PE"/>
        </w:rPr>
      </w:pPr>
      <w:r w:rsidRPr="00250CA9">
        <w:rPr>
          <w:lang w:val="es-PE" w:eastAsia="es-PE"/>
        </w:rPr>
        <w:t xml:space="preserve">En la presente investigación la mayoría fueron estudiantes de ingeniería de sistemas, psicología y educación que presentaron medias de 3,24, 3,14 y 3,27, respectivamente. </w:t>
      </w:r>
    </w:p>
    <w:p w14:paraId="733D5ECE" w14:textId="77777777" w:rsidR="00250CA9" w:rsidRPr="00250CA9" w:rsidRDefault="00250CA9" w:rsidP="00250CA9">
      <w:pPr>
        <w:spacing w:line="360" w:lineRule="auto"/>
        <w:jc w:val="both"/>
        <w:rPr>
          <w:lang w:val="es-PE" w:eastAsia="es-PE"/>
        </w:rPr>
      </w:pPr>
      <w:r w:rsidRPr="00250CA9">
        <w:rPr>
          <w:lang w:val="es-PE" w:eastAsia="es-PE"/>
        </w:rPr>
        <w:t>Por último, la figura 2 presenta los resultados generales de la percepción. En esta se evidencia un 61,3 % en indiferencia, el 30,3 % está de acuerdo, el 5,9 % está en desacuerdo, el 2,1 % muy de acuerdo y el 0,3 % están muy en desacuerdo con su percepción sobre el impacto académico generado por el coronavirus.</w:t>
      </w:r>
    </w:p>
    <w:p w14:paraId="146AEFB0" w14:textId="77777777" w:rsidR="00250CA9" w:rsidRPr="00250CA9" w:rsidRDefault="00250CA9" w:rsidP="00250CA9">
      <w:pPr>
        <w:spacing w:line="360" w:lineRule="auto"/>
        <w:jc w:val="both"/>
        <w:rPr>
          <w:lang w:val="es-PE" w:eastAsia="es-PE"/>
        </w:rPr>
      </w:pPr>
    </w:p>
    <w:p w14:paraId="6579E74F" w14:textId="07897A5C" w:rsidR="00250CA9" w:rsidRPr="00250CA9" w:rsidRDefault="007201F5" w:rsidP="00250CA9">
      <w:pPr>
        <w:spacing w:line="360" w:lineRule="auto"/>
        <w:jc w:val="center"/>
        <w:rPr>
          <w:lang w:val="es-PE" w:eastAsia="es-PE"/>
        </w:rPr>
      </w:pPr>
      <w:r>
        <w:rPr>
          <w:noProof/>
          <w:lang w:val="es-PE" w:eastAsia="es-PE"/>
        </w:rPr>
        <w:drawing>
          <wp:inline distT="0" distB="0" distL="0" distR="0" wp14:anchorId="4027DD6F" wp14:editId="6C954CAC">
            <wp:extent cx="4154348" cy="2098677"/>
            <wp:effectExtent l="0" t="0" r="0" b="0"/>
            <wp:docPr id="4169808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80836" name="Imagen 416980836"/>
                    <pic:cNvPicPr/>
                  </pic:nvPicPr>
                  <pic:blipFill>
                    <a:blip r:embed="rId16">
                      <a:extLst>
                        <a:ext uri="{28A0092B-C50C-407E-A947-70E740481C1C}">
                          <a14:useLocalDpi xmlns:a14="http://schemas.microsoft.com/office/drawing/2010/main" val="0"/>
                        </a:ext>
                      </a:extLst>
                    </a:blip>
                    <a:stretch>
                      <a:fillRect/>
                    </a:stretch>
                  </pic:blipFill>
                  <pic:spPr>
                    <a:xfrm>
                      <a:off x="0" y="0"/>
                      <a:ext cx="4160993" cy="2102034"/>
                    </a:xfrm>
                    <a:prstGeom prst="rect">
                      <a:avLst/>
                    </a:prstGeom>
                  </pic:spPr>
                </pic:pic>
              </a:graphicData>
            </a:graphic>
          </wp:inline>
        </w:drawing>
      </w:r>
    </w:p>
    <w:p w14:paraId="10ABC0A2" w14:textId="77777777" w:rsidR="00250CA9" w:rsidRPr="00250CA9" w:rsidRDefault="00250CA9" w:rsidP="00250CA9">
      <w:pPr>
        <w:spacing w:line="360" w:lineRule="auto"/>
        <w:jc w:val="center"/>
        <w:rPr>
          <w:b/>
          <w:lang w:val="es-PE" w:eastAsia="es-PE"/>
        </w:rPr>
      </w:pPr>
      <w:r w:rsidRPr="00250CA9">
        <w:rPr>
          <w:b/>
          <w:sz w:val="22"/>
          <w:szCs w:val="22"/>
          <w:lang w:val="es-PE" w:eastAsia="es-PE"/>
        </w:rPr>
        <w:t xml:space="preserve">Fig. 2 - </w:t>
      </w:r>
      <w:r w:rsidRPr="00250CA9">
        <w:rPr>
          <w:sz w:val="22"/>
          <w:szCs w:val="22"/>
          <w:lang w:val="es-PE" w:eastAsia="es-PE"/>
        </w:rPr>
        <w:t>Resultados generales de la variable.</w:t>
      </w:r>
    </w:p>
    <w:p w14:paraId="2809AECA" w14:textId="77777777" w:rsidR="00250CA9" w:rsidRPr="00250CA9" w:rsidRDefault="00250CA9" w:rsidP="00250CA9">
      <w:pPr>
        <w:spacing w:line="360" w:lineRule="auto"/>
        <w:jc w:val="both"/>
        <w:rPr>
          <w:b/>
          <w:lang w:val="es-PE" w:eastAsia="es-PE"/>
        </w:rPr>
      </w:pPr>
    </w:p>
    <w:p w14:paraId="16834E1B" w14:textId="77777777" w:rsidR="00250CA9" w:rsidRPr="00250CA9" w:rsidRDefault="00250CA9" w:rsidP="00250CA9">
      <w:pPr>
        <w:spacing w:line="360" w:lineRule="auto"/>
        <w:jc w:val="both"/>
        <w:rPr>
          <w:b/>
          <w:lang w:val="es-PE" w:eastAsia="es-PE"/>
        </w:rPr>
      </w:pPr>
    </w:p>
    <w:p w14:paraId="465829AA" w14:textId="77777777" w:rsidR="00250CA9" w:rsidRPr="00250CA9" w:rsidRDefault="00250CA9" w:rsidP="00250CA9">
      <w:pPr>
        <w:spacing w:line="360" w:lineRule="auto"/>
        <w:jc w:val="center"/>
        <w:rPr>
          <w:b/>
          <w:sz w:val="32"/>
          <w:szCs w:val="32"/>
          <w:lang w:val="es-PE" w:eastAsia="es-PE"/>
        </w:rPr>
      </w:pPr>
      <w:r w:rsidRPr="00250CA9">
        <w:rPr>
          <w:b/>
          <w:sz w:val="32"/>
          <w:szCs w:val="32"/>
          <w:lang w:val="es-PE" w:eastAsia="es-PE"/>
        </w:rPr>
        <w:t>DISCUSIÓN</w:t>
      </w:r>
    </w:p>
    <w:p w14:paraId="3F434004" w14:textId="1A37CA23" w:rsidR="00250CA9" w:rsidRPr="00250CA9" w:rsidRDefault="00250CA9" w:rsidP="00250CA9">
      <w:pPr>
        <w:spacing w:line="360" w:lineRule="auto"/>
        <w:jc w:val="both"/>
        <w:rPr>
          <w:i/>
          <w:lang w:val="es-PE" w:eastAsia="es-PE"/>
        </w:rPr>
      </w:pPr>
      <w:r w:rsidRPr="00250CA9">
        <w:rPr>
          <w:lang w:val="es-PE" w:eastAsia="es-PE"/>
        </w:rPr>
        <w:lastRenderedPageBreak/>
        <w:t xml:space="preserve">La presente investigación evalúa la percepción sobre la repercusión académica de la pandemia de la COVID-19 en estudiantes peruanos de diferentes carreras de 5 universidades de Lima mediante la aplicación del instrumento ACAD-COVID-19. Se ha señalado que existen pocos estudios similares con los cuales contrastar los resultados de esta investigación. No obstante, resaltan los estudios de </w:t>
      </w:r>
      <w:proofErr w:type="spellStart"/>
      <w:r w:rsidRPr="00250CA9">
        <w:rPr>
          <w:i/>
          <w:lang w:val="es-PE" w:eastAsia="es-PE"/>
        </w:rPr>
        <w:t>Gherheș</w:t>
      </w:r>
      <w:proofErr w:type="spellEnd"/>
      <w:r w:rsidRPr="00250CA9">
        <w:rPr>
          <w:lang w:val="es-PE" w:eastAsia="es-PE"/>
        </w:rPr>
        <w:t xml:space="preserve"> y </w:t>
      </w:r>
      <w:proofErr w:type="gramStart"/>
      <w:r w:rsidRPr="00250CA9">
        <w:rPr>
          <w:lang w:val="es-PE" w:eastAsia="es-PE"/>
        </w:rPr>
        <w:t>otros,</w:t>
      </w:r>
      <w:r w:rsidRPr="00250CA9">
        <w:rPr>
          <w:vertAlign w:val="superscript"/>
          <w:lang w:val="es-PE" w:eastAsia="es-PE"/>
        </w:rPr>
        <w:t>(</w:t>
      </w:r>
      <w:proofErr w:type="gramEnd"/>
      <w:r w:rsidRPr="00250CA9">
        <w:rPr>
          <w:vertAlign w:val="superscript"/>
          <w:lang w:val="es-PE" w:eastAsia="es-PE"/>
        </w:rPr>
        <w:t>11)</w:t>
      </w:r>
      <w:r w:rsidRPr="00250CA9">
        <w:rPr>
          <w:lang w:val="es-PE" w:eastAsia="es-PE"/>
        </w:rPr>
        <w:t xml:space="preserve"> quienes evaluaron las percepciones sobre la enseñanza presencial, la modalidad </w:t>
      </w:r>
      <w:r w:rsidRPr="00250CA9">
        <w:rPr>
          <w:i/>
          <w:lang w:val="es-PE" w:eastAsia="es-PE"/>
        </w:rPr>
        <w:t>e-learning</w:t>
      </w:r>
      <w:r w:rsidRPr="00250CA9">
        <w:rPr>
          <w:lang w:val="es-PE" w:eastAsia="es-PE"/>
        </w:rPr>
        <w:t xml:space="preserve"> y su deseo de volver o no a la forma tradicional de educación en 604 estudiantes universitarios en Rumania, con una edad media, según los resultados registrados, de 20,6 años, y una distribución por género de 60</w:t>
      </w:r>
      <w:r w:rsidR="002D16F6">
        <w:rPr>
          <w:lang w:val="es-PE" w:eastAsia="es-PE"/>
        </w:rPr>
        <w:t> </w:t>
      </w:r>
      <w:r w:rsidRPr="00250CA9">
        <w:rPr>
          <w:lang w:val="es-PE" w:eastAsia="es-PE"/>
        </w:rPr>
        <w:t xml:space="preserve">% hombres y 40 % mujeres, de manera similar a la presente investigación. A su vez, </w:t>
      </w:r>
      <w:proofErr w:type="gramStart"/>
      <w:r w:rsidRPr="00250CA9">
        <w:rPr>
          <w:i/>
          <w:lang w:val="es-PE" w:eastAsia="es-PE"/>
        </w:rPr>
        <w:t>Kang</w:t>
      </w:r>
      <w:r w:rsidRPr="00250CA9">
        <w:rPr>
          <w:vertAlign w:val="superscript"/>
          <w:lang w:val="es-PE" w:eastAsia="es-PE"/>
        </w:rPr>
        <w:t>(</w:t>
      </w:r>
      <w:proofErr w:type="gramEnd"/>
      <w:r w:rsidRPr="00250CA9">
        <w:rPr>
          <w:vertAlign w:val="superscript"/>
          <w:lang w:val="es-PE" w:eastAsia="es-PE"/>
        </w:rPr>
        <w:t xml:space="preserve">12) </w:t>
      </w:r>
      <w:r w:rsidRPr="00250CA9">
        <w:rPr>
          <w:lang w:val="es-PE" w:eastAsia="es-PE"/>
        </w:rPr>
        <w:t xml:space="preserve">trabajó con 331 estudiantes de pregrado, a quienes evaluó sus percepciones sobre los efectos de los tipos de cursos en línea. Mientras, </w:t>
      </w:r>
      <w:r w:rsidRPr="00250CA9">
        <w:rPr>
          <w:i/>
          <w:lang w:val="es-PE" w:eastAsia="es-PE"/>
        </w:rPr>
        <w:t xml:space="preserve">Mali </w:t>
      </w:r>
      <w:r w:rsidRPr="00250CA9">
        <w:rPr>
          <w:iCs/>
          <w:lang w:val="es-PE" w:eastAsia="es-PE"/>
        </w:rPr>
        <w:t xml:space="preserve">y </w:t>
      </w:r>
      <w:proofErr w:type="gramStart"/>
      <w:r w:rsidRPr="00250CA9">
        <w:rPr>
          <w:iCs/>
          <w:lang w:val="es-PE" w:eastAsia="es-PE"/>
        </w:rPr>
        <w:t>otros</w:t>
      </w:r>
      <w:r w:rsidRPr="00250CA9">
        <w:rPr>
          <w:vertAlign w:val="superscript"/>
          <w:lang w:val="es-PE" w:eastAsia="es-PE"/>
        </w:rPr>
        <w:t>(</w:t>
      </w:r>
      <w:proofErr w:type="gramEnd"/>
      <w:r w:rsidRPr="00250CA9">
        <w:rPr>
          <w:vertAlign w:val="superscript"/>
          <w:lang w:val="es-PE" w:eastAsia="es-PE"/>
        </w:rPr>
        <w:t>13)</w:t>
      </w:r>
      <w:r w:rsidRPr="00250CA9">
        <w:rPr>
          <w:lang w:val="es-PE" w:eastAsia="es-PE"/>
        </w:rPr>
        <w:t xml:space="preserve"> realizaron su investigación con 182 estudiantes, en los que se analizaron sus percepciones sobre el aprendizaje presencial y combinado durante la pandemia de la COVID-19. Por lo tanto, al analizar los antecedentes, la presente investigación cuenta con una muestra mayor y más representativa, al incluir 608 sujetos y considerar a 5 universidades de la capital del Perú.</w:t>
      </w:r>
    </w:p>
    <w:p w14:paraId="11FBAA74" w14:textId="77777777" w:rsidR="00250CA9" w:rsidRPr="00250CA9" w:rsidRDefault="00250CA9" w:rsidP="00250CA9">
      <w:pPr>
        <w:spacing w:line="360" w:lineRule="auto"/>
        <w:jc w:val="both"/>
        <w:rPr>
          <w:lang w:val="es-PE" w:eastAsia="es-PE"/>
        </w:rPr>
      </w:pPr>
      <w:r w:rsidRPr="00250CA9">
        <w:rPr>
          <w:lang w:val="es-PE" w:eastAsia="es-PE"/>
        </w:rPr>
        <w:t>Respecto al análisis de la Escala ACAD-COVID-</w:t>
      </w:r>
      <w:proofErr w:type="gramStart"/>
      <w:r w:rsidRPr="00250CA9">
        <w:rPr>
          <w:lang w:val="es-PE" w:eastAsia="es-PE"/>
        </w:rPr>
        <w:t>19,</w:t>
      </w:r>
      <w:r w:rsidRPr="00250CA9">
        <w:rPr>
          <w:vertAlign w:val="superscript"/>
          <w:lang w:val="es-PE" w:eastAsia="es-PE"/>
        </w:rPr>
        <w:t>(</w:t>
      </w:r>
      <w:proofErr w:type="gramEnd"/>
      <w:r w:rsidRPr="00250CA9">
        <w:rPr>
          <w:vertAlign w:val="superscript"/>
          <w:lang w:val="es-PE" w:eastAsia="es-PE"/>
        </w:rPr>
        <w:t>7)</w:t>
      </w:r>
      <w:r w:rsidRPr="00250CA9">
        <w:rPr>
          <w:lang w:val="es-PE" w:eastAsia="es-PE"/>
        </w:rPr>
        <w:t xml:space="preserve"> se concluye que es válida y fiable para medir la percepción sobre el impacto académico de la pandemia en jóvenes universitarios, además de ser breve y tridimensional. En la validación original de </w:t>
      </w:r>
      <w:r w:rsidRPr="00250CA9">
        <w:rPr>
          <w:i/>
          <w:lang w:val="es-PE" w:eastAsia="es-PE"/>
        </w:rPr>
        <w:t>Mejía</w:t>
      </w:r>
      <w:r w:rsidRPr="00250CA9">
        <w:rPr>
          <w:lang w:val="es-PE" w:eastAsia="es-PE"/>
        </w:rPr>
        <w:t xml:space="preserve"> y </w:t>
      </w:r>
      <w:proofErr w:type="gramStart"/>
      <w:r w:rsidRPr="00250CA9">
        <w:rPr>
          <w:lang w:val="es-PE" w:eastAsia="es-PE"/>
        </w:rPr>
        <w:t>otros,</w:t>
      </w:r>
      <w:r w:rsidRPr="00250CA9">
        <w:rPr>
          <w:vertAlign w:val="superscript"/>
          <w:lang w:val="es-PE" w:eastAsia="es-PE"/>
        </w:rPr>
        <w:t>(</w:t>
      </w:r>
      <w:proofErr w:type="gramEnd"/>
      <w:r w:rsidRPr="00250CA9">
        <w:rPr>
          <w:vertAlign w:val="superscript"/>
          <w:lang w:val="es-PE" w:eastAsia="es-PE"/>
        </w:rPr>
        <w:t>7)</w:t>
      </w:r>
      <w:r w:rsidRPr="00250CA9">
        <w:rPr>
          <w:lang w:val="es-PE" w:eastAsia="es-PE"/>
        </w:rPr>
        <w:t xml:space="preserve"> se utilizó el </w:t>
      </w:r>
      <w:proofErr w:type="spellStart"/>
      <w:r w:rsidRPr="00250CA9">
        <w:rPr>
          <w:lang w:val="es-PE" w:eastAsia="es-PE"/>
        </w:rPr>
        <w:t>alpha</w:t>
      </w:r>
      <w:proofErr w:type="spellEnd"/>
      <w:r w:rsidRPr="00250CA9">
        <w:rPr>
          <w:lang w:val="es-PE" w:eastAsia="es-PE"/>
        </w:rPr>
        <w:t xml:space="preserve"> de Cronbach y se obtuvo un valor de 0,899, a diferencia del estudio en cuestión, en el cual </w:t>
      </w:r>
      <w:bookmarkStart w:id="5" w:name="_Hlk146826534"/>
      <w:r w:rsidRPr="00250CA9">
        <w:rPr>
          <w:lang w:val="es-PE" w:eastAsia="es-PE"/>
        </w:rPr>
        <w:t xml:space="preserve">se utilizó el coeficiente de confiabilidad Omega, que resultó de 0,718. Cabe resaltar que para el tipo de escala con alternativas Likert, el coeficiente de confiabilidad Omega es mucho más preciso, según </w:t>
      </w:r>
      <w:proofErr w:type="gramStart"/>
      <w:r w:rsidRPr="00250CA9">
        <w:rPr>
          <w:rFonts w:eastAsia="Calibri"/>
          <w:lang w:val="es-CU" w:eastAsia="es-PE"/>
        </w:rPr>
        <w:t>McDonald</w:t>
      </w:r>
      <w:r w:rsidRPr="00250CA9">
        <w:rPr>
          <w:lang w:val="es-PE" w:eastAsia="es-PE"/>
        </w:rPr>
        <w:t>.</w:t>
      </w:r>
      <w:bookmarkEnd w:id="5"/>
      <w:r w:rsidRPr="00250CA9">
        <w:rPr>
          <w:vertAlign w:val="superscript"/>
          <w:lang w:val="es-PE" w:eastAsia="es-PE"/>
        </w:rPr>
        <w:t>(</w:t>
      </w:r>
      <w:proofErr w:type="gramEnd"/>
      <w:r w:rsidRPr="00250CA9">
        <w:rPr>
          <w:vertAlign w:val="superscript"/>
          <w:lang w:val="es-PE" w:eastAsia="es-PE"/>
        </w:rPr>
        <w:t>23)</w:t>
      </w:r>
      <w:r w:rsidRPr="00250CA9">
        <w:rPr>
          <w:lang w:val="es-PE" w:eastAsia="es-PE"/>
        </w:rPr>
        <w:t xml:space="preserve"> </w:t>
      </w:r>
    </w:p>
    <w:p w14:paraId="7EC6E52D" w14:textId="458D23E9" w:rsidR="00250CA9" w:rsidRPr="00250CA9" w:rsidRDefault="00250CA9" w:rsidP="00250CA9">
      <w:pPr>
        <w:spacing w:line="360" w:lineRule="auto"/>
        <w:jc w:val="both"/>
        <w:rPr>
          <w:lang w:val="es-PE" w:eastAsia="es-PE"/>
        </w:rPr>
      </w:pPr>
      <w:r w:rsidRPr="00250CA9">
        <w:rPr>
          <w:lang w:val="es-PE" w:eastAsia="es-PE"/>
        </w:rPr>
        <w:t>Del mismo modo, la validez de constructo de la Escala ACAD-COVID-19 fue obtenida a través del análisis factorial exploratorio. El índice de Kaiser-Meyer-</w:t>
      </w:r>
      <w:proofErr w:type="spellStart"/>
      <w:r w:rsidRPr="00250CA9">
        <w:rPr>
          <w:lang w:val="es-PE" w:eastAsia="es-PE"/>
        </w:rPr>
        <w:t>Olkin</w:t>
      </w:r>
      <w:proofErr w:type="spellEnd"/>
      <w:r w:rsidRPr="00250CA9">
        <w:rPr>
          <w:lang w:val="es-PE" w:eastAsia="es-PE"/>
        </w:rPr>
        <w:t xml:space="preserve"> fue de 0,711, en tanto que la prueba de esfericidad de Bartlett es significativa al ser el </w:t>
      </w:r>
      <w:r w:rsidRPr="00250CA9">
        <w:rPr>
          <w:i/>
          <w:iCs/>
          <w:lang w:val="es-PE" w:eastAsia="es-PE"/>
        </w:rPr>
        <w:t>ji</w:t>
      </w:r>
      <w:r w:rsidRPr="00250CA9">
        <w:rPr>
          <w:lang w:val="es-PE" w:eastAsia="es-PE"/>
        </w:rPr>
        <w:t xml:space="preserve"> cuadrado de 1254,312. Por su parte, </w:t>
      </w:r>
      <w:r w:rsidRPr="00250CA9">
        <w:rPr>
          <w:i/>
          <w:lang w:val="es-PE" w:eastAsia="es-PE"/>
        </w:rPr>
        <w:t>Mejía</w:t>
      </w:r>
      <w:r w:rsidRPr="00250CA9">
        <w:rPr>
          <w:lang w:val="es-PE" w:eastAsia="es-PE"/>
        </w:rPr>
        <w:t xml:space="preserve"> y </w:t>
      </w:r>
      <w:proofErr w:type="gramStart"/>
      <w:r w:rsidRPr="00250CA9">
        <w:rPr>
          <w:lang w:val="es-PE" w:eastAsia="es-PE"/>
        </w:rPr>
        <w:t>otros,</w:t>
      </w:r>
      <w:r w:rsidRPr="00250CA9">
        <w:rPr>
          <w:vertAlign w:val="superscript"/>
          <w:lang w:val="es-PE" w:eastAsia="es-PE"/>
        </w:rPr>
        <w:t>(</w:t>
      </w:r>
      <w:proofErr w:type="gramEnd"/>
      <w:r w:rsidRPr="00250CA9">
        <w:rPr>
          <w:vertAlign w:val="superscript"/>
          <w:lang w:val="es-PE" w:eastAsia="es-PE"/>
        </w:rPr>
        <w:t>7)</w:t>
      </w:r>
      <w:r w:rsidRPr="00250CA9">
        <w:rPr>
          <w:lang w:val="es-PE" w:eastAsia="es-PE"/>
        </w:rPr>
        <w:t xml:space="preserve"> evidenciaron la pertinencia del AFE mediante el índice </w:t>
      </w:r>
      <w:proofErr w:type="spellStart"/>
      <w:r w:rsidRPr="00250CA9">
        <w:rPr>
          <w:lang w:val="es-PE" w:eastAsia="es-PE"/>
        </w:rPr>
        <w:t>KMO</w:t>
      </w:r>
      <w:proofErr w:type="spellEnd"/>
      <w:r w:rsidRPr="00250CA9">
        <w:rPr>
          <w:lang w:val="es-PE" w:eastAsia="es-PE"/>
        </w:rPr>
        <w:t xml:space="preserve"> (0,85) y la prueba de Bartlett (12577,0; </w:t>
      </w:r>
      <w:proofErr w:type="spellStart"/>
      <w:r w:rsidRPr="00250CA9">
        <w:rPr>
          <w:lang w:val="es-PE" w:eastAsia="es-PE"/>
        </w:rPr>
        <w:t>gl</w:t>
      </w:r>
      <w:proofErr w:type="spellEnd"/>
      <w:r w:rsidRPr="00250CA9">
        <w:rPr>
          <w:lang w:val="es-PE" w:eastAsia="es-PE"/>
        </w:rPr>
        <w:t>=</w:t>
      </w:r>
      <w:r w:rsidR="00A92CB9">
        <w:rPr>
          <w:lang w:val="es-PE" w:eastAsia="es-PE"/>
        </w:rPr>
        <w:t> </w:t>
      </w:r>
      <w:r w:rsidRPr="00250CA9">
        <w:rPr>
          <w:lang w:val="es-PE" w:eastAsia="es-PE"/>
        </w:rPr>
        <w:t>28; </w:t>
      </w:r>
      <w:r w:rsidRPr="00250CA9">
        <w:rPr>
          <w:i/>
          <w:lang w:val="es-PE" w:eastAsia="es-PE"/>
        </w:rPr>
        <w:t>p=</w:t>
      </w:r>
      <w:r w:rsidRPr="00250CA9">
        <w:rPr>
          <w:lang w:val="es-PE" w:eastAsia="es-PE"/>
        </w:rPr>
        <w:t xml:space="preserve"> 0,001), los cuales son aceptables, significativos y similares a la investigación en cuestión. La diferencia mayor se da en que la investigación de </w:t>
      </w:r>
      <w:r w:rsidRPr="00250CA9">
        <w:rPr>
          <w:i/>
          <w:lang w:val="es-PE" w:eastAsia="es-PE"/>
        </w:rPr>
        <w:t>Mejía</w:t>
      </w:r>
      <w:r w:rsidRPr="00250CA9">
        <w:rPr>
          <w:lang w:val="es-PE" w:eastAsia="es-PE"/>
        </w:rPr>
        <w:t xml:space="preserve"> y </w:t>
      </w:r>
      <w:proofErr w:type="gramStart"/>
      <w:r w:rsidRPr="00250CA9">
        <w:rPr>
          <w:lang w:val="es-PE" w:eastAsia="es-PE"/>
        </w:rPr>
        <w:t>otros</w:t>
      </w:r>
      <w:r w:rsidRPr="00250CA9">
        <w:rPr>
          <w:vertAlign w:val="superscript"/>
          <w:lang w:val="es-PE" w:eastAsia="es-PE"/>
        </w:rPr>
        <w:t>(</w:t>
      </w:r>
      <w:proofErr w:type="gramEnd"/>
      <w:r w:rsidRPr="00250CA9">
        <w:rPr>
          <w:vertAlign w:val="superscript"/>
          <w:lang w:val="es-PE" w:eastAsia="es-PE"/>
        </w:rPr>
        <w:t xml:space="preserve">7) </w:t>
      </w:r>
      <w:r w:rsidRPr="00250CA9">
        <w:rPr>
          <w:lang w:val="es-PE" w:eastAsia="es-PE"/>
        </w:rPr>
        <w:t xml:space="preserve">genera un único factor que explica el 59,1 % de la varianza, mientras que el presente estudio descubre 3 dimensiones: académica, económica y el temor propio hacia enfermedad o muerte generada por la COVID-19, explicando el 66,29 % de la varianza total de los datos. Cabe resaltar que dicho autor aclara, en la conclusión final de su estudio, que </w:t>
      </w:r>
      <w:r w:rsidRPr="00250CA9">
        <w:rPr>
          <w:lang w:val="es-PE" w:eastAsia="es-PE"/>
        </w:rPr>
        <w:lastRenderedPageBreak/>
        <w:t xml:space="preserve">estas preguntas indagan acerca de la percepción académica, económica y, además, en la posibilidad de que la enfermedad conlleve a la </w:t>
      </w:r>
      <w:proofErr w:type="gramStart"/>
      <w:r w:rsidRPr="00250CA9">
        <w:rPr>
          <w:lang w:val="es-PE" w:eastAsia="es-PE"/>
        </w:rPr>
        <w:t>muerte.</w:t>
      </w:r>
      <w:r w:rsidRPr="00250CA9">
        <w:rPr>
          <w:vertAlign w:val="superscript"/>
          <w:lang w:val="es-PE" w:eastAsia="es-PE"/>
        </w:rPr>
        <w:t>(</w:t>
      </w:r>
      <w:proofErr w:type="gramEnd"/>
      <w:r w:rsidRPr="00250CA9">
        <w:rPr>
          <w:vertAlign w:val="superscript"/>
          <w:lang w:val="es-PE" w:eastAsia="es-PE"/>
        </w:rPr>
        <w:t>24)</w:t>
      </w:r>
    </w:p>
    <w:p w14:paraId="2F52E2AA" w14:textId="77777777" w:rsidR="00250CA9" w:rsidRPr="00250CA9" w:rsidRDefault="00250CA9" w:rsidP="00250CA9">
      <w:pPr>
        <w:spacing w:line="360" w:lineRule="auto"/>
        <w:jc w:val="both"/>
        <w:rPr>
          <w:lang w:val="es-PE" w:eastAsia="es-PE"/>
        </w:rPr>
      </w:pPr>
      <w:r w:rsidRPr="00250CA9">
        <w:rPr>
          <w:lang w:val="es-PE" w:eastAsia="es-PE"/>
        </w:rPr>
        <w:t xml:space="preserve">En cuanto a los resultados descriptivos de este estudio se muestra que existe, en general, una percepción indiferente respecto a las repercusiones académicas, el cual es un resultado bastante similar al de </w:t>
      </w:r>
      <w:r w:rsidRPr="00250CA9">
        <w:rPr>
          <w:i/>
          <w:lang w:val="es-PE" w:eastAsia="es-PE"/>
        </w:rPr>
        <w:t>Gonçalves</w:t>
      </w:r>
      <w:r w:rsidRPr="00250CA9">
        <w:rPr>
          <w:lang w:val="es-PE" w:eastAsia="es-PE"/>
        </w:rPr>
        <w:t xml:space="preserve"> y </w:t>
      </w:r>
      <w:proofErr w:type="gramStart"/>
      <w:r w:rsidRPr="00250CA9">
        <w:rPr>
          <w:lang w:val="es-PE" w:eastAsia="es-PE"/>
        </w:rPr>
        <w:t>otros,</w:t>
      </w:r>
      <w:r w:rsidRPr="00250CA9">
        <w:rPr>
          <w:vertAlign w:val="superscript"/>
          <w:lang w:val="es-PE" w:eastAsia="es-PE"/>
        </w:rPr>
        <w:t>(</w:t>
      </w:r>
      <w:proofErr w:type="gramEnd"/>
      <w:r w:rsidRPr="00250CA9">
        <w:rPr>
          <w:vertAlign w:val="superscript"/>
          <w:lang w:val="es-PE" w:eastAsia="es-PE"/>
        </w:rPr>
        <w:t>16)</w:t>
      </w:r>
      <w:r w:rsidRPr="00250CA9">
        <w:rPr>
          <w:lang w:val="es-PE" w:eastAsia="es-PE"/>
        </w:rPr>
        <w:t xml:space="preserve"> que trabajaron con miedo y ansiedad originadas por la COVID-19 en los estudiantes universitarios, y obtuvieron en miedo una media de 3,54 sobre 7 y en ansiedad 2 de 4, valores que bordean con la indiferencia de las escalas utilizadas. </w:t>
      </w:r>
    </w:p>
    <w:p w14:paraId="19CE5C37" w14:textId="77777777" w:rsidR="00250CA9" w:rsidRPr="00250CA9" w:rsidRDefault="00250CA9" w:rsidP="00250CA9">
      <w:pPr>
        <w:spacing w:line="360" w:lineRule="auto"/>
        <w:jc w:val="both"/>
        <w:rPr>
          <w:lang w:val="es-PE" w:eastAsia="es-PE"/>
        </w:rPr>
      </w:pPr>
      <w:r w:rsidRPr="00250CA9">
        <w:rPr>
          <w:lang w:val="es-PE" w:eastAsia="es-PE"/>
        </w:rPr>
        <w:t xml:space="preserve">Otro trabajo a considerar es el de </w:t>
      </w:r>
      <w:proofErr w:type="spellStart"/>
      <w:r w:rsidRPr="00250CA9">
        <w:rPr>
          <w:i/>
          <w:lang w:val="es-PE" w:eastAsia="es-PE"/>
        </w:rPr>
        <w:t>Giusti</w:t>
      </w:r>
      <w:proofErr w:type="spellEnd"/>
      <w:r w:rsidRPr="00250CA9">
        <w:rPr>
          <w:lang w:val="es-PE" w:eastAsia="es-PE"/>
        </w:rPr>
        <w:t xml:space="preserve"> y </w:t>
      </w:r>
      <w:proofErr w:type="gramStart"/>
      <w:r w:rsidRPr="00250CA9">
        <w:rPr>
          <w:lang w:val="es-PE" w:eastAsia="es-PE"/>
        </w:rPr>
        <w:t>otros,</w:t>
      </w:r>
      <w:r w:rsidRPr="00250CA9">
        <w:rPr>
          <w:vertAlign w:val="superscript"/>
          <w:lang w:val="es-PE" w:eastAsia="es-PE"/>
        </w:rPr>
        <w:t>(</w:t>
      </w:r>
      <w:proofErr w:type="gramEnd"/>
      <w:r w:rsidRPr="00250CA9">
        <w:rPr>
          <w:vertAlign w:val="superscript"/>
          <w:lang w:val="es-PE" w:eastAsia="es-PE"/>
        </w:rPr>
        <w:t>17)</w:t>
      </w:r>
      <w:r w:rsidRPr="00250CA9">
        <w:rPr>
          <w:lang w:val="es-PE" w:eastAsia="es-PE"/>
        </w:rPr>
        <w:t xml:space="preserve"> sus hallazgos confirmaron que la ausencia de interacción cara a cara entre estudiantes y profesores y la falta de socialización tradicional en el aula se encuentran entre los temas de mayor impacto futuro en la educación superior, lo cual no parece coincidir con la percepción de los estudiantes en este estudio. </w:t>
      </w:r>
    </w:p>
    <w:p w14:paraId="1CB47643" w14:textId="77777777" w:rsidR="00250CA9" w:rsidRPr="00250CA9" w:rsidRDefault="00250CA9" w:rsidP="00250CA9">
      <w:pPr>
        <w:spacing w:line="360" w:lineRule="auto"/>
        <w:jc w:val="both"/>
        <w:rPr>
          <w:lang w:val="es-PE" w:eastAsia="es-PE"/>
        </w:rPr>
      </w:pPr>
      <w:r w:rsidRPr="00250CA9">
        <w:rPr>
          <w:lang w:val="es-PE" w:eastAsia="es-PE"/>
        </w:rPr>
        <w:t xml:space="preserve">Entre las percepciones de los estudiantes, aunque con poca diferencia, predominó el miedo o preocupación de exponerse a la COVID-19 tras retornar a clases (ítem 5), seguido del miedo a morir por la COVID-19 (ítem 6), mientras que resultó menos significativo su preocupación por bajar el promedio tras el retorno a clases (ítem 2). </w:t>
      </w:r>
      <w:r w:rsidRPr="00250CA9">
        <w:rPr>
          <w:i/>
          <w:lang w:val="es-PE" w:eastAsia="es-PE"/>
        </w:rPr>
        <w:t>Mejía</w:t>
      </w:r>
      <w:r w:rsidRPr="00250CA9">
        <w:rPr>
          <w:lang w:val="es-PE" w:eastAsia="es-PE"/>
        </w:rPr>
        <w:t xml:space="preserve"> y </w:t>
      </w:r>
      <w:proofErr w:type="gramStart"/>
      <w:r w:rsidRPr="00250CA9">
        <w:rPr>
          <w:lang w:val="es-PE" w:eastAsia="es-PE"/>
        </w:rPr>
        <w:t>otros,</w:t>
      </w:r>
      <w:r w:rsidRPr="00250CA9">
        <w:rPr>
          <w:vertAlign w:val="superscript"/>
          <w:lang w:val="es-PE" w:eastAsia="es-PE"/>
        </w:rPr>
        <w:t>(</w:t>
      </w:r>
      <w:proofErr w:type="gramEnd"/>
      <w:r w:rsidRPr="00250CA9">
        <w:rPr>
          <w:vertAlign w:val="superscript"/>
          <w:lang w:val="es-PE" w:eastAsia="es-PE"/>
        </w:rPr>
        <w:t>7)</w:t>
      </w:r>
      <w:r w:rsidRPr="00250CA9">
        <w:rPr>
          <w:lang w:val="es-PE" w:eastAsia="es-PE"/>
        </w:rPr>
        <w:t xml:space="preserve"> en su presentación del análisis descriptivo de los ítems de la escala ACAD-COVID-19, concluyeron que el ítem 8, respecto a la preocupación de cómo terminará el año académico (M= 3,80), presentó la mayor media y la más baja el ítem 6 (M= 3,03), lo cual no se corresponde con el presente estudio. Además, en la investigación del mencionado autor, 3 de las preguntas tuvieron una media cercana a 3, en tanto que 5 de los ítems tuvieron una media que tendió a 4 en ligera medida. Esto se evidencia en el promedio, el cual fue de 3,53, lo cual se diferencia de este estudio, en el que todos los ítems tienden a 3. </w:t>
      </w:r>
    </w:p>
    <w:p w14:paraId="5229985E" w14:textId="77777777" w:rsidR="00250CA9" w:rsidRPr="00250CA9" w:rsidRDefault="00250CA9" w:rsidP="00250CA9">
      <w:pPr>
        <w:spacing w:line="360" w:lineRule="auto"/>
        <w:jc w:val="both"/>
        <w:rPr>
          <w:lang w:val="es-PE" w:eastAsia="es-PE"/>
        </w:rPr>
      </w:pPr>
      <w:r w:rsidRPr="00250CA9">
        <w:rPr>
          <w:lang w:val="es-PE" w:eastAsia="es-PE"/>
        </w:rPr>
        <w:t xml:space="preserve">Cabe resaltar que en la investigación de </w:t>
      </w:r>
      <w:r w:rsidRPr="00250CA9">
        <w:rPr>
          <w:i/>
          <w:lang w:val="es-PE" w:eastAsia="es-PE"/>
        </w:rPr>
        <w:t>Mejía</w:t>
      </w:r>
      <w:r w:rsidRPr="00250CA9">
        <w:rPr>
          <w:lang w:val="es-PE" w:eastAsia="es-PE"/>
        </w:rPr>
        <w:t xml:space="preserve"> y </w:t>
      </w:r>
      <w:proofErr w:type="gramStart"/>
      <w:r w:rsidRPr="00250CA9">
        <w:rPr>
          <w:lang w:val="es-PE" w:eastAsia="es-PE"/>
        </w:rPr>
        <w:t>otros,</w:t>
      </w:r>
      <w:r w:rsidRPr="00250CA9">
        <w:rPr>
          <w:vertAlign w:val="superscript"/>
          <w:lang w:val="es-PE" w:eastAsia="es-PE"/>
        </w:rPr>
        <w:t>(</w:t>
      </w:r>
      <w:proofErr w:type="gramEnd"/>
      <w:r w:rsidRPr="00250CA9">
        <w:rPr>
          <w:vertAlign w:val="superscript"/>
          <w:lang w:val="es-PE" w:eastAsia="es-PE"/>
        </w:rPr>
        <w:t>7)</w:t>
      </w:r>
      <w:r w:rsidRPr="00250CA9">
        <w:rPr>
          <w:lang w:val="es-PE" w:eastAsia="es-PE"/>
        </w:rPr>
        <w:t xml:space="preserve"> la mayoría de los estudiantes que respondieron la escala estudiaban medicina, por lo que se trata de una carrera que requiere un gran componente presencial y de jóvenes con mayor conocimiento de las características de la enfermedad, lo que pudiera explicar que estén más preocupados por cómo terminará el año académico que por morir a causa del virus. En cambio, los universitarios de ingeniería de sistemas, psicología y educación probablemente presenten mayor incertidumbre respecto a contagiarse y morir por la COVID-19, lo que justificaría la diferencia entre estos estudios. </w:t>
      </w:r>
    </w:p>
    <w:p w14:paraId="20C7388D" w14:textId="77777777" w:rsidR="00250CA9" w:rsidRPr="00250CA9" w:rsidRDefault="00250CA9" w:rsidP="00250CA9">
      <w:pPr>
        <w:spacing w:line="360" w:lineRule="auto"/>
        <w:jc w:val="both"/>
        <w:rPr>
          <w:lang w:val="es-PE" w:eastAsia="es-PE"/>
        </w:rPr>
      </w:pPr>
      <w:proofErr w:type="spellStart"/>
      <w:r w:rsidRPr="00250CA9">
        <w:rPr>
          <w:i/>
          <w:lang w:val="es-PE" w:eastAsia="es-PE"/>
        </w:rPr>
        <w:lastRenderedPageBreak/>
        <w:t>Dhar</w:t>
      </w:r>
      <w:proofErr w:type="spellEnd"/>
      <w:r w:rsidRPr="00250CA9">
        <w:rPr>
          <w:lang w:val="es-PE" w:eastAsia="es-PE"/>
        </w:rPr>
        <w:t xml:space="preserve"> y </w:t>
      </w:r>
      <w:proofErr w:type="gramStart"/>
      <w:r w:rsidRPr="00250CA9">
        <w:rPr>
          <w:lang w:val="es-PE" w:eastAsia="es-PE"/>
        </w:rPr>
        <w:t>otros</w:t>
      </w:r>
      <w:r w:rsidRPr="00250CA9">
        <w:rPr>
          <w:vertAlign w:val="superscript"/>
          <w:lang w:val="es-PE" w:eastAsia="es-PE"/>
        </w:rPr>
        <w:t>(</w:t>
      </w:r>
      <w:proofErr w:type="gramEnd"/>
      <w:r w:rsidRPr="00250CA9">
        <w:rPr>
          <w:vertAlign w:val="superscript"/>
          <w:lang w:val="es-PE" w:eastAsia="es-PE"/>
        </w:rPr>
        <w:t>15)</w:t>
      </w:r>
      <w:r w:rsidRPr="00250CA9">
        <w:rPr>
          <w:rFonts w:eastAsia="Calibri"/>
          <w:lang w:val="es-PE" w:eastAsia="es-PE"/>
        </w:rPr>
        <w:t xml:space="preserve"> </w:t>
      </w:r>
      <w:r w:rsidRPr="00250CA9">
        <w:rPr>
          <w:lang w:val="es-PE" w:eastAsia="es-PE"/>
        </w:rPr>
        <w:t>descubrieron que los impactos relacionados con la epidemia entre los jóvenes universitarios de Bangladesh se debían a la preocupación por las influencias económicas durante y después de la COVID-19 (r= 0,342, p&lt; 0,001) y la preocupación por la influencia de la COVID-19 en la vida diaria (r= 0,340, p&lt; 0,001), aumentando el nivel de ansiedad. Asimismo, la preocupación por los retrasos académicos debido a la COVID-19 (r= 0,326, p&lt; 0,001) y la preocupación por el apoyo social durante la pandemia (r= 0,321, p&lt; 0,001) se han correlacionado moderada y positivamente con el nivel de ansiedad. Cabe resaltar que el estudio se realizó en junio del año 2020, cuando la pandemia se encontraba en pleno crecimiento incontrolado y aun no se tenían indicios de su conclusión. Esta investigación coincide en parte con la presente, a pesar de desarrollarse en espacios geográficos bastante distintos y en años diferentes.</w:t>
      </w:r>
    </w:p>
    <w:p w14:paraId="15D12A01" w14:textId="77777777" w:rsidR="00250CA9" w:rsidRPr="00250CA9" w:rsidRDefault="00250CA9" w:rsidP="00250CA9">
      <w:pPr>
        <w:spacing w:line="360" w:lineRule="auto"/>
        <w:jc w:val="both"/>
        <w:rPr>
          <w:lang w:val="es-PE" w:eastAsia="es-PE"/>
        </w:rPr>
      </w:pPr>
      <w:r w:rsidRPr="00250CA9">
        <w:rPr>
          <w:lang w:val="es-PE" w:eastAsia="es-PE"/>
        </w:rPr>
        <w:t xml:space="preserve">En consonancia con estos hallazgos, </w:t>
      </w:r>
      <w:proofErr w:type="spellStart"/>
      <w:r w:rsidRPr="00250CA9">
        <w:rPr>
          <w:i/>
          <w:iCs/>
          <w:lang w:val="es-PE" w:eastAsia="es-PE"/>
        </w:rPr>
        <w:t>Giuntella</w:t>
      </w:r>
      <w:proofErr w:type="spellEnd"/>
      <w:r w:rsidRPr="00250CA9">
        <w:rPr>
          <w:lang w:val="es-PE" w:eastAsia="es-PE"/>
        </w:rPr>
        <w:t xml:space="preserve"> y </w:t>
      </w:r>
      <w:proofErr w:type="gramStart"/>
      <w:r w:rsidRPr="00250CA9">
        <w:rPr>
          <w:lang w:val="es-PE" w:eastAsia="es-PE"/>
        </w:rPr>
        <w:t>otros</w:t>
      </w:r>
      <w:r w:rsidRPr="00250CA9">
        <w:rPr>
          <w:vertAlign w:val="superscript"/>
          <w:lang w:val="es-PE" w:eastAsia="es-PE"/>
        </w:rPr>
        <w:t>(</w:t>
      </w:r>
      <w:proofErr w:type="gramEnd"/>
      <w:r w:rsidRPr="00250CA9">
        <w:rPr>
          <w:vertAlign w:val="superscript"/>
          <w:lang w:val="es-PE" w:eastAsia="es-PE"/>
        </w:rPr>
        <w:t>14)</w:t>
      </w:r>
      <w:r w:rsidRPr="00250CA9">
        <w:rPr>
          <w:lang w:val="es-PE" w:eastAsia="es-PE"/>
        </w:rPr>
        <w:t xml:space="preserve"> destacan que las personas capaces de preservar su estilo de vida durante la pandemia son también aquellas que demuestran una mayor capacidad para mantener su bienestar mental frente a trastornos significativos. Previamente a la irrupción de la pandemia, estas personas ya exhibían una mayor resiliencia al estrés y una menor propensión a experimentar ansiedad. Esto sugiere que, además de intensificar los esfuerzos destinados a mejorar la comprensión de la enfermedad y las medidas de protección contra ella, sería de suma importancia promover la resiliencia entre los </w:t>
      </w:r>
      <w:proofErr w:type="gramStart"/>
      <w:r w:rsidRPr="00250CA9">
        <w:rPr>
          <w:lang w:val="es-PE" w:eastAsia="es-PE"/>
        </w:rPr>
        <w:t>estudiantes,</w:t>
      </w:r>
      <w:r w:rsidRPr="00250CA9">
        <w:rPr>
          <w:vertAlign w:val="superscript"/>
          <w:lang w:val="es-PE" w:eastAsia="es-PE"/>
        </w:rPr>
        <w:t>(</w:t>
      </w:r>
      <w:proofErr w:type="gramEnd"/>
      <w:r w:rsidRPr="00250CA9">
        <w:rPr>
          <w:vertAlign w:val="superscript"/>
          <w:lang w:val="es-PE" w:eastAsia="es-PE"/>
        </w:rPr>
        <w:t>25)</w:t>
      </w:r>
      <w:r w:rsidRPr="00250CA9">
        <w:rPr>
          <w:lang w:val="es-PE" w:eastAsia="es-PE"/>
        </w:rPr>
        <w:t xml:space="preserve"> ya que esta habilidad podría actuar como un amortiguador crucial en tiempos de crisis, permitiendo a las personas enfrentar situaciones desafiantes con mayor fortaleza psicológica y, en última instancia, preservar su salud mental. En este contexto, resulta fundamental considerar las lecciones valiosas compartidas por </w:t>
      </w:r>
      <w:proofErr w:type="gramStart"/>
      <w:r w:rsidRPr="00250CA9">
        <w:rPr>
          <w:i/>
          <w:iCs/>
          <w:lang w:val="es-PE" w:eastAsia="es-PE"/>
        </w:rPr>
        <w:t>Liu</w:t>
      </w:r>
      <w:r w:rsidRPr="00250CA9">
        <w:rPr>
          <w:vertAlign w:val="superscript"/>
          <w:lang w:val="es-PE" w:eastAsia="es-PE"/>
        </w:rPr>
        <w:t>(</w:t>
      </w:r>
      <w:proofErr w:type="gramEnd"/>
      <w:r w:rsidRPr="00250CA9">
        <w:rPr>
          <w:vertAlign w:val="superscript"/>
          <w:lang w:val="es-PE" w:eastAsia="es-PE"/>
        </w:rPr>
        <w:t>25)</w:t>
      </w:r>
      <w:r w:rsidRPr="00250CA9">
        <w:rPr>
          <w:lang w:val="es-PE" w:eastAsia="es-PE"/>
        </w:rPr>
        <w:t xml:space="preserve"> en su relato sobre cómo afrontó su ansiedad relacionada con el coronavirus.</w:t>
      </w:r>
    </w:p>
    <w:p w14:paraId="1445255C" w14:textId="77777777" w:rsidR="00250CA9" w:rsidRPr="00250CA9" w:rsidRDefault="00250CA9" w:rsidP="00250CA9">
      <w:pPr>
        <w:spacing w:line="360" w:lineRule="auto"/>
        <w:jc w:val="both"/>
        <w:rPr>
          <w:lang w:val="es-PE" w:eastAsia="es-PE"/>
        </w:rPr>
      </w:pPr>
      <w:r w:rsidRPr="00250CA9">
        <w:rPr>
          <w:lang w:val="es-PE" w:eastAsia="es-PE"/>
        </w:rPr>
        <w:t xml:space="preserve">El estudio tuvo la limitación de haberse realizado solo en estudiantes universitarios de la ciudad peruana de Lima, lo que debería tomarse con cautela si se pretende extrapolar los resultados a otras poblaciones. Teniendo esto en cuenta, sería interesante realizar un estudio a nivel nacional para comparar las idiosincrasias de los estudiantes de Lima y de diversas ciudades del Perú. </w:t>
      </w:r>
    </w:p>
    <w:p w14:paraId="3BB6E85A" w14:textId="77777777" w:rsidR="00250CA9" w:rsidRPr="00250CA9" w:rsidRDefault="00250CA9" w:rsidP="00250CA9">
      <w:pPr>
        <w:spacing w:line="360" w:lineRule="auto"/>
        <w:jc w:val="both"/>
        <w:rPr>
          <w:lang w:val="es-PE" w:eastAsia="es-PE"/>
        </w:rPr>
      </w:pPr>
      <w:r w:rsidRPr="00250CA9">
        <w:rPr>
          <w:lang w:val="es-PE" w:eastAsia="es-PE"/>
        </w:rPr>
        <w:t xml:space="preserve">La presente investigación aportó validez a la escala ACAD-COVID-19 con su aplicación a la población universitaria limeña en un período de cuarentena durante el 2021. Los estudiantes, en general, manifestaron indiferencia en su percepción sobre el impacto académico generado por el coronavirus, </w:t>
      </w:r>
      <w:r w:rsidRPr="00250CA9">
        <w:rPr>
          <w:lang w:val="es-PE" w:eastAsia="es-PE"/>
        </w:rPr>
        <w:lastRenderedPageBreak/>
        <w:t xml:space="preserve">aunque dentro de las repercusiones percibidas, predomina el miedo a enfermar al volver a las clases presenciales. </w:t>
      </w:r>
    </w:p>
    <w:p w14:paraId="72FCABCB" w14:textId="77777777" w:rsidR="00250CA9" w:rsidRPr="00250CA9" w:rsidRDefault="00250CA9" w:rsidP="00250CA9">
      <w:pPr>
        <w:spacing w:line="360" w:lineRule="auto"/>
        <w:jc w:val="both"/>
        <w:rPr>
          <w:lang w:val="es-PE" w:eastAsia="es-PE"/>
        </w:rPr>
      </w:pPr>
    </w:p>
    <w:p w14:paraId="6257888D" w14:textId="77777777" w:rsidR="00250CA9" w:rsidRPr="00250CA9" w:rsidRDefault="00250CA9" w:rsidP="00250CA9">
      <w:pPr>
        <w:spacing w:line="360" w:lineRule="auto"/>
        <w:jc w:val="center"/>
        <w:rPr>
          <w:b/>
          <w:lang w:val="es-PE" w:eastAsia="es-PE"/>
        </w:rPr>
      </w:pPr>
    </w:p>
    <w:p w14:paraId="531E6229" w14:textId="77777777" w:rsidR="00250CA9" w:rsidRPr="00250CA9" w:rsidRDefault="00250CA9" w:rsidP="00250CA9">
      <w:pPr>
        <w:spacing w:line="360" w:lineRule="auto"/>
        <w:jc w:val="center"/>
        <w:rPr>
          <w:rFonts w:eastAsia="Calibri"/>
          <w:b/>
          <w:bCs/>
          <w:sz w:val="32"/>
          <w:szCs w:val="32"/>
          <w:lang w:val="en-US" w:eastAsia="es-PE"/>
        </w:rPr>
      </w:pPr>
      <w:r w:rsidRPr="00250CA9">
        <w:rPr>
          <w:rFonts w:eastAsia="Calibri"/>
          <w:b/>
          <w:bCs/>
          <w:sz w:val="32"/>
          <w:szCs w:val="32"/>
          <w:lang w:val="es-CU" w:eastAsia="es-PE"/>
        </w:rPr>
        <w:t xml:space="preserve"> </w:t>
      </w:r>
      <w:proofErr w:type="spellStart"/>
      <w:r w:rsidRPr="00250CA9">
        <w:rPr>
          <w:rFonts w:eastAsia="Calibri"/>
          <w:b/>
          <w:bCs/>
          <w:sz w:val="32"/>
          <w:szCs w:val="32"/>
          <w:lang w:val="en-US" w:eastAsia="es-PE"/>
        </w:rPr>
        <w:t>REFERENCIAS</w:t>
      </w:r>
      <w:proofErr w:type="spellEnd"/>
      <w:r w:rsidRPr="00250CA9">
        <w:rPr>
          <w:rFonts w:eastAsia="Calibri"/>
          <w:b/>
          <w:bCs/>
          <w:sz w:val="32"/>
          <w:szCs w:val="32"/>
          <w:lang w:val="en-US" w:eastAsia="es-PE"/>
        </w:rPr>
        <w:t xml:space="preserve"> </w:t>
      </w:r>
      <w:proofErr w:type="spellStart"/>
      <w:r w:rsidRPr="00250CA9">
        <w:rPr>
          <w:rFonts w:eastAsia="Calibri"/>
          <w:b/>
          <w:bCs/>
          <w:sz w:val="32"/>
          <w:szCs w:val="32"/>
          <w:lang w:val="en-US" w:eastAsia="es-PE"/>
        </w:rPr>
        <w:t>BIBLIOGRÁFICAS</w:t>
      </w:r>
      <w:proofErr w:type="spellEnd"/>
    </w:p>
    <w:p w14:paraId="4FA8B009" w14:textId="77777777" w:rsidR="00250CA9" w:rsidRPr="00250CA9" w:rsidRDefault="00250CA9" w:rsidP="00250CA9">
      <w:pPr>
        <w:spacing w:line="360" w:lineRule="auto"/>
        <w:rPr>
          <w:rFonts w:eastAsia="Calibri"/>
          <w:lang w:val="es-CU" w:eastAsia="es-PE"/>
        </w:rPr>
      </w:pPr>
      <w:r w:rsidRPr="00250CA9">
        <w:rPr>
          <w:rFonts w:eastAsia="Calibri"/>
          <w:lang w:val="en-US" w:eastAsia="es-PE"/>
        </w:rPr>
        <w:t>1. García-</w:t>
      </w:r>
      <w:proofErr w:type="spellStart"/>
      <w:r w:rsidRPr="00250CA9">
        <w:rPr>
          <w:rFonts w:eastAsia="Calibri"/>
          <w:lang w:val="en-US" w:eastAsia="es-PE"/>
        </w:rPr>
        <w:t>Peñalvo</w:t>
      </w:r>
      <w:proofErr w:type="spellEnd"/>
      <w:r w:rsidRPr="00250CA9">
        <w:rPr>
          <w:rFonts w:eastAsia="Calibri"/>
          <w:lang w:val="en-US" w:eastAsia="es-PE"/>
        </w:rPr>
        <w:t xml:space="preserve"> FJ, Corell A, Abella-García V, Grande-de-Prado M. Online Assessment in Higher Education in the Time of COVID-19. </w:t>
      </w:r>
      <w:proofErr w:type="spellStart"/>
      <w:r w:rsidRPr="00250CA9">
        <w:rPr>
          <w:rFonts w:eastAsia="Calibri"/>
          <w:lang w:val="es-CU" w:eastAsia="es-PE"/>
        </w:rPr>
        <w:t>Educ</w:t>
      </w:r>
      <w:proofErr w:type="spellEnd"/>
      <w:r w:rsidRPr="00250CA9">
        <w:rPr>
          <w:rFonts w:eastAsia="Calibri"/>
          <w:lang w:val="es-CU" w:eastAsia="es-PE"/>
        </w:rPr>
        <w:t xml:space="preserve"> </w:t>
      </w:r>
      <w:proofErr w:type="spellStart"/>
      <w:r w:rsidRPr="00250CA9">
        <w:rPr>
          <w:rFonts w:eastAsia="Calibri"/>
          <w:lang w:val="es-CU" w:eastAsia="es-PE"/>
        </w:rPr>
        <w:t>Knowl</w:t>
      </w:r>
      <w:proofErr w:type="spellEnd"/>
      <w:r w:rsidRPr="00250CA9">
        <w:rPr>
          <w:rFonts w:eastAsia="Calibri"/>
          <w:lang w:val="es-CU" w:eastAsia="es-PE"/>
        </w:rPr>
        <w:t xml:space="preserve"> Soc. 2020 [acceso: 04/04/2022]; 21:1-26. Disponible en: </w:t>
      </w:r>
      <w:hyperlink r:id="rId17" w:history="1">
        <w:r w:rsidRPr="00250CA9">
          <w:rPr>
            <w:rFonts w:eastAsia="Calibri"/>
            <w:color w:val="0563C1"/>
            <w:lang w:val="es-CU" w:eastAsia="es-PE"/>
          </w:rPr>
          <w:t>https://doi.org/10.14201/eks.23013</w:t>
        </w:r>
      </w:hyperlink>
      <w:r w:rsidRPr="00250CA9">
        <w:rPr>
          <w:rFonts w:eastAsia="Calibri"/>
          <w:lang w:val="es-CU" w:eastAsia="es-PE"/>
        </w:rPr>
        <w:t xml:space="preserve"> </w:t>
      </w:r>
    </w:p>
    <w:p w14:paraId="15762DC0" w14:textId="77777777" w:rsidR="00250CA9" w:rsidRPr="00250CA9" w:rsidRDefault="00250CA9" w:rsidP="00250CA9">
      <w:pPr>
        <w:spacing w:line="360" w:lineRule="auto"/>
        <w:rPr>
          <w:rFonts w:eastAsia="Calibri"/>
          <w:lang w:val="es-CU" w:eastAsia="es-PE"/>
        </w:rPr>
      </w:pPr>
      <w:r w:rsidRPr="00250CA9">
        <w:rPr>
          <w:rFonts w:eastAsia="Calibri"/>
          <w:lang w:val="es-CU" w:eastAsia="es-PE"/>
        </w:rPr>
        <w:t xml:space="preserve">2. Infante-Moro A, Infante-Moro </w:t>
      </w:r>
      <w:proofErr w:type="spellStart"/>
      <w:r w:rsidRPr="00250CA9">
        <w:rPr>
          <w:rFonts w:eastAsia="Calibri"/>
          <w:lang w:val="es-CU" w:eastAsia="es-PE"/>
        </w:rPr>
        <w:t>JC</w:t>
      </w:r>
      <w:proofErr w:type="spellEnd"/>
      <w:r w:rsidRPr="00250CA9">
        <w:rPr>
          <w:rFonts w:eastAsia="Calibri"/>
          <w:lang w:val="es-CU" w:eastAsia="es-PE"/>
        </w:rPr>
        <w:t xml:space="preserve">, Martínez López </w:t>
      </w:r>
      <w:proofErr w:type="spellStart"/>
      <w:r w:rsidRPr="00250CA9">
        <w:rPr>
          <w:rFonts w:eastAsia="Calibri"/>
          <w:lang w:val="es-CU" w:eastAsia="es-PE"/>
        </w:rPr>
        <w:t>FJ</w:t>
      </w:r>
      <w:proofErr w:type="spellEnd"/>
      <w:r w:rsidRPr="00250CA9">
        <w:rPr>
          <w:rFonts w:eastAsia="Calibri"/>
          <w:lang w:val="es-CU" w:eastAsia="es-PE"/>
        </w:rPr>
        <w:t xml:space="preserve">, García Ordaz M.  Las competencias digitales en las grandes empresas del sector empresarial español. </w:t>
      </w:r>
      <w:proofErr w:type="spellStart"/>
      <w:r w:rsidRPr="00250CA9">
        <w:rPr>
          <w:rFonts w:eastAsia="Calibri"/>
          <w:lang w:val="es-CU" w:eastAsia="es-PE"/>
        </w:rPr>
        <w:t>Tec</w:t>
      </w:r>
      <w:proofErr w:type="spellEnd"/>
      <w:r w:rsidRPr="00250CA9">
        <w:rPr>
          <w:rFonts w:eastAsia="Calibri"/>
          <w:lang w:val="es-CU" w:eastAsia="es-PE"/>
        </w:rPr>
        <w:t xml:space="preserve"> empresarial. 2016 [acceso: 04/04/2022]; 10(2):41-9. Disponible en: </w:t>
      </w:r>
      <w:hyperlink r:id="rId18" w:history="1">
        <w:r w:rsidRPr="00250CA9">
          <w:rPr>
            <w:rFonts w:eastAsia="Calibri"/>
            <w:color w:val="0563C1"/>
            <w:lang w:val="es-CU" w:eastAsia="es-PE"/>
          </w:rPr>
          <w:t>https://www.scielo.sa.cr/scielo.php?pid=S1659-33592016000200041&amp;script=sci_abstract&amp;tlng=es</w:t>
        </w:r>
      </w:hyperlink>
      <w:r w:rsidRPr="00250CA9">
        <w:rPr>
          <w:rFonts w:eastAsia="Calibri"/>
          <w:lang w:val="es-CU" w:eastAsia="es-PE"/>
        </w:rPr>
        <w:t xml:space="preserve">  </w:t>
      </w:r>
    </w:p>
    <w:p w14:paraId="71C5E87A" w14:textId="77777777" w:rsidR="00250CA9" w:rsidRPr="00250CA9" w:rsidRDefault="00250CA9" w:rsidP="00250CA9">
      <w:pPr>
        <w:spacing w:line="360" w:lineRule="auto"/>
        <w:rPr>
          <w:rFonts w:eastAsia="Calibri"/>
          <w:lang w:val="es-CU" w:eastAsia="es-PE"/>
        </w:rPr>
      </w:pPr>
      <w:r w:rsidRPr="00250CA9">
        <w:rPr>
          <w:rFonts w:eastAsia="Calibri"/>
          <w:lang w:val="es-CU" w:eastAsia="es-PE"/>
        </w:rPr>
        <w:t xml:space="preserve">3. Cabero-Almenara J, Barroso-Osuna J, Rodríguez-Gallego M, Palacios-Rodríguez A. La Competencia Digital Docente. El caso de las universidades andaluzas. Aula Abierta. 2020 [acceso: 04/04/2022]; 49(4):363-72. Disponible en: </w:t>
      </w:r>
      <w:hyperlink r:id="rId19" w:history="1">
        <w:r w:rsidRPr="00250CA9">
          <w:rPr>
            <w:rFonts w:eastAsia="Calibri"/>
            <w:color w:val="0563C1"/>
            <w:lang w:val="es-CU" w:eastAsia="es-PE"/>
          </w:rPr>
          <w:t>https://doi.org/10.17811/rifie.49.4.2020.363-372</w:t>
        </w:r>
      </w:hyperlink>
      <w:r w:rsidRPr="00250CA9">
        <w:rPr>
          <w:rFonts w:eastAsia="Calibri"/>
          <w:lang w:val="es-CU" w:eastAsia="es-PE"/>
        </w:rPr>
        <w:t xml:space="preserve">  </w:t>
      </w:r>
    </w:p>
    <w:p w14:paraId="50748655" w14:textId="77777777" w:rsidR="00250CA9" w:rsidRPr="00250CA9" w:rsidRDefault="00250CA9" w:rsidP="00250CA9">
      <w:pPr>
        <w:spacing w:line="360" w:lineRule="auto"/>
        <w:rPr>
          <w:rFonts w:eastAsia="Calibri"/>
          <w:lang w:val="es-CU" w:eastAsia="es-PE"/>
        </w:rPr>
      </w:pPr>
      <w:r w:rsidRPr="00250CA9">
        <w:rPr>
          <w:rFonts w:eastAsia="Calibri"/>
          <w:lang w:val="es-CU" w:eastAsia="es-PE"/>
        </w:rPr>
        <w:t xml:space="preserve">4. Cabero-Almenara J, Martínez A.  Las TIC y la formación inicial de los docentes. Modelos y competencias digitales. Profesorado. Revista de </w:t>
      </w:r>
      <w:proofErr w:type="spellStart"/>
      <w:r w:rsidRPr="00250CA9">
        <w:rPr>
          <w:rFonts w:eastAsia="Calibri"/>
          <w:lang w:val="es-CU" w:eastAsia="es-PE"/>
        </w:rPr>
        <w:t>Curiculum</w:t>
      </w:r>
      <w:proofErr w:type="spellEnd"/>
      <w:r w:rsidRPr="00250CA9">
        <w:rPr>
          <w:rFonts w:eastAsia="Calibri"/>
          <w:lang w:val="es-CU" w:eastAsia="es-PE"/>
        </w:rPr>
        <w:t xml:space="preserve"> y Formación del Profesorado. 2019 [acceso: 04/04/2022]; 23(3):247-68. Disponible en: </w:t>
      </w:r>
      <w:hyperlink r:id="rId20" w:history="1">
        <w:r w:rsidRPr="00250CA9">
          <w:rPr>
            <w:rFonts w:eastAsia="Calibri"/>
            <w:color w:val="0563C1"/>
            <w:lang w:val="es-CU" w:eastAsia="es-PE"/>
          </w:rPr>
          <w:t>https://doi.org/10.30827/profesorado.v23i3.9421</w:t>
        </w:r>
      </w:hyperlink>
      <w:r w:rsidRPr="00250CA9">
        <w:rPr>
          <w:rFonts w:eastAsia="Calibri"/>
          <w:lang w:val="es-CU" w:eastAsia="es-PE"/>
        </w:rPr>
        <w:t xml:space="preserve"> </w:t>
      </w:r>
    </w:p>
    <w:p w14:paraId="21524804" w14:textId="77777777" w:rsidR="00250CA9" w:rsidRPr="00250CA9" w:rsidRDefault="00250CA9" w:rsidP="00250CA9">
      <w:pPr>
        <w:spacing w:line="360" w:lineRule="auto"/>
        <w:rPr>
          <w:rFonts w:eastAsia="Calibri"/>
          <w:lang w:val="es-CU" w:eastAsia="es-PE"/>
        </w:rPr>
      </w:pPr>
      <w:r w:rsidRPr="00250CA9">
        <w:rPr>
          <w:rFonts w:eastAsia="Calibri"/>
          <w:lang w:val="es-CU" w:eastAsia="es-PE"/>
        </w:rPr>
        <w:t xml:space="preserve">5. </w:t>
      </w:r>
      <w:proofErr w:type="spellStart"/>
      <w:r w:rsidRPr="00250CA9">
        <w:rPr>
          <w:rFonts w:eastAsia="Calibri"/>
          <w:lang w:val="es-CU" w:eastAsia="es-PE"/>
        </w:rPr>
        <w:t>Vicentini</w:t>
      </w:r>
      <w:proofErr w:type="spellEnd"/>
      <w:r w:rsidRPr="00250CA9">
        <w:rPr>
          <w:rFonts w:eastAsia="Calibri"/>
          <w:lang w:val="es-CU" w:eastAsia="es-PE"/>
        </w:rPr>
        <w:t xml:space="preserve"> IC. La educación superior en tiempos de </w:t>
      </w:r>
      <w:proofErr w:type="spellStart"/>
      <w:r w:rsidRPr="00250CA9">
        <w:rPr>
          <w:rFonts w:eastAsia="Calibri"/>
          <w:lang w:val="es-CU" w:eastAsia="es-PE"/>
        </w:rPr>
        <w:t>Covid-19</w:t>
      </w:r>
      <w:proofErr w:type="spellEnd"/>
      <w:r w:rsidRPr="00250CA9">
        <w:rPr>
          <w:rFonts w:eastAsia="Calibri"/>
          <w:lang w:val="es-CU" w:eastAsia="es-PE"/>
        </w:rPr>
        <w:t xml:space="preserve">: Aportes de la Segunda Reunión del Diálogo Virtual con Rectores de Universidades Líderes de América Latina. BID. 2020 [acceso: 04/04/2022]. Disponible en: </w:t>
      </w:r>
      <w:hyperlink r:id="rId21" w:history="1">
        <w:r w:rsidRPr="00250CA9">
          <w:rPr>
            <w:rFonts w:eastAsia="Calibri"/>
            <w:color w:val="0563C1"/>
            <w:lang w:val="es-CU" w:eastAsia="es-PE"/>
          </w:rPr>
          <w:t>http://dx.doi.org/10.18235/0002481</w:t>
        </w:r>
      </w:hyperlink>
      <w:r w:rsidRPr="00250CA9">
        <w:rPr>
          <w:rFonts w:eastAsia="Calibri"/>
          <w:lang w:val="es-CU" w:eastAsia="es-PE"/>
        </w:rPr>
        <w:t xml:space="preserve">  </w:t>
      </w:r>
    </w:p>
    <w:p w14:paraId="6CA192D3" w14:textId="77777777" w:rsidR="00250CA9" w:rsidRPr="00250CA9" w:rsidRDefault="00250CA9" w:rsidP="00250CA9">
      <w:pPr>
        <w:spacing w:line="360" w:lineRule="auto"/>
        <w:rPr>
          <w:rFonts w:eastAsia="Calibri"/>
          <w:lang w:val="es-CU" w:eastAsia="es-PE"/>
        </w:rPr>
      </w:pPr>
      <w:r w:rsidRPr="00250CA9">
        <w:rPr>
          <w:rFonts w:eastAsia="Calibri"/>
          <w:lang w:val="es-CU" w:eastAsia="es-PE"/>
        </w:rPr>
        <w:t xml:space="preserve">6. Browning M, Larson L, </w:t>
      </w:r>
      <w:proofErr w:type="spellStart"/>
      <w:r w:rsidRPr="00250CA9">
        <w:rPr>
          <w:rFonts w:eastAsia="Calibri"/>
          <w:lang w:val="es-CU" w:eastAsia="es-PE"/>
        </w:rPr>
        <w:t>Sharaievska</w:t>
      </w:r>
      <w:proofErr w:type="spellEnd"/>
      <w:r w:rsidRPr="00250CA9">
        <w:rPr>
          <w:rFonts w:eastAsia="Calibri"/>
          <w:lang w:val="es-CU" w:eastAsia="es-PE"/>
        </w:rPr>
        <w:t xml:space="preserve"> I, </w:t>
      </w:r>
      <w:proofErr w:type="spellStart"/>
      <w:r w:rsidRPr="00250CA9">
        <w:rPr>
          <w:rFonts w:eastAsia="Calibri"/>
          <w:lang w:val="es-CU" w:eastAsia="es-PE"/>
        </w:rPr>
        <w:t>Rigolon</w:t>
      </w:r>
      <w:proofErr w:type="spellEnd"/>
      <w:r w:rsidRPr="00250CA9">
        <w:rPr>
          <w:rFonts w:eastAsia="Calibri"/>
          <w:lang w:val="es-CU" w:eastAsia="es-PE"/>
        </w:rPr>
        <w:t xml:space="preserve"> A, </w:t>
      </w:r>
      <w:proofErr w:type="spellStart"/>
      <w:r w:rsidRPr="00250CA9">
        <w:rPr>
          <w:rFonts w:eastAsia="Calibri"/>
          <w:lang w:val="es-CU" w:eastAsia="es-PE"/>
        </w:rPr>
        <w:t>McAnirlin</w:t>
      </w:r>
      <w:proofErr w:type="spellEnd"/>
      <w:r w:rsidRPr="00250CA9">
        <w:rPr>
          <w:rFonts w:eastAsia="Calibri"/>
          <w:lang w:val="es-CU" w:eastAsia="es-PE"/>
        </w:rPr>
        <w:t xml:space="preserve"> O, </w:t>
      </w:r>
      <w:proofErr w:type="spellStart"/>
      <w:r w:rsidRPr="00250CA9">
        <w:rPr>
          <w:rFonts w:eastAsia="Calibri"/>
          <w:lang w:val="es-CU" w:eastAsia="es-PE"/>
        </w:rPr>
        <w:t>Mullenbach</w:t>
      </w:r>
      <w:proofErr w:type="spellEnd"/>
      <w:r w:rsidRPr="00250CA9">
        <w:rPr>
          <w:rFonts w:eastAsia="Calibri"/>
          <w:lang w:val="es-CU" w:eastAsia="es-PE"/>
        </w:rPr>
        <w:t xml:space="preserve"> L, et al. </w:t>
      </w:r>
      <w:r w:rsidRPr="00250CA9">
        <w:rPr>
          <w:rFonts w:eastAsia="Calibri"/>
          <w:lang w:val="en-US" w:eastAsia="es-PE"/>
        </w:rPr>
        <w:t xml:space="preserve">Psychological impacts from COVID-19 among university students: Risk factors across seven states in the United States. </w:t>
      </w:r>
      <w:proofErr w:type="spellStart"/>
      <w:r w:rsidRPr="00250CA9">
        <w:rPr>
          <w:rFonts w:eastAsia="Calibri"/>
          <w:lang w:val="es-CU" w:eastAsia="es-PE"/>
        </w:rPr>
        <w:t>PLOS</w:t>
      </w:r>
      <w:proofErr w:type="spellEnd"/>
      <w:r w:rsidRPr="00250CA9">
        <w:rPr>
          <w:rFonts w:eastAsia="Calibri"/>
          <w:lang w:val="es-CU" w:eastAsia="es-PE"/>
        </w:rPr>
        <w:t xml:space="preserve"> </w:t>
      </w:r>
      <w:proofErr w:type="spellStart"/>
      <w:r w:rsidRPr="00250CA9">
        <w:rPr>
          <w:rFonts w:eastAsia="Calibri"/>
          <w:lang w:val="es-CU" w:eastAsia="es-PE"/>
        </w:rPr>
        <w:t>ONE</w:t>
      </w:r>
      <w:proofErr w:type="spellEnd"/>
      <w:r w:rsidRPr="00250CA9">
        <w:rPr>
          <w:rFonts w:eastAsia="Calibri"/>
          <w:lang w:val="es-CU" w:eastAsia="es-PE"/>
        </w:rPr>
        <w:t>. 2021 [acceso: 20/04/2022]; 16(1</w:t>
      </w:r>
      <w:proofErr w:type="gramStart"/>
      <w:r w:rsidRPr="00250CA9">
        <w:rPr>
          <w:rFonts w:eastAsia="Calibri"/>
          <w:lang w:val="es-CU" w:eastAsia="es-PE"/>
        </w:rPr>
        <w:t>):</w:t>
      </w:r>
      <w:proofErr w:type="spellStart"/>
      <w:r w:rsidRPr="00250CA9">
        <w:rPr>
          <w:rFonts w:eastAsia="Calibri"/>
          <w:lang w:val="es-CU" w:eastAsia="es-PE"/>
        </w:rPr>
        <w:t>e</w:t>
      </w:r>
      <w:proofErr w:type="gramEnd"/>
      <w:r w:rsidRPr="00250CA9">
        <w:rPr>
          <w:rFonts w:eastAsia="Calibri"/>
          <w:lang w:val="es-CU" w:eastAsia="es-PE"/>
        </w:rPr>
        <w:t>0245327</w:t>
      </w:r>
      <w:proofErr w:type="spellEnd"/>
      <w:r w:rsidRPr="00250CA9">
        <w:rPr>
          <w:rFonts w:eastAsia="Calibri"/>
          <w:lang w:val="es-CU" w:eastAsia="es-PE"/>
        </w:rPr>
        <w:t xml:space="preserve">. Disponible en: </w:t>
      </w:r>
      <w:hyperlink r:id="rId22" w:history="1">
        <w:r w:rsidRPr="00250CA9">
          <w:rPr>
            <w:rFonts w:eastAsia="Calibri"/>
            <w:color w:val="0563C1"/>
            <w:lang w:val="es-CU" w:eastAsia="es-PE"/>
          </w:rPr>
          <w:t>https://doi.org/10.1371/journal.pone.0245327</w:t>
        </w:r>
      </w:hyperlink>
      <w:r w:rsidRPr="00250CA9">
        <w:rPr>
          <w:rFonts w:eastAsia="Calibri"/>
          <w:lang w:val="es-CU" w:eastAsia="es-PE"/>
        </w:rPr>
        <w:t xml:space="preserve"> </w:t>
      </w:r>
    </w:p>
    <w:p w14:paraId="0D8A8C89" w14:textId="77777777" w:rsidR="00250CA9" w:rsidRPr="00250CA9" w:rsidRDefault="00250CA9" w:rsidP="00250CA9">
      <w:pPr>
        <w:spacing w:line="360" w:lineRule="auto"/>
        <w:rPr>
          <w:rFonts w:eastAsia="Calibri"/>
          <w:lang w:val="es-CU" w:eastAsia="es-PE"/>
        </w:rPr>
      </w:pPr>
      <w:r w:rsidRPr="00250CA9">
        <w:rPr>
          <w:rFonts w:eastAsia="Calibri"/>
          <w:lang w:val="es-CU" w:eastAsia="es-PE"/>
        </w:rPr>
        <w:t xml:space="preserve">7. </w:t>
      </w:r>
      <w:proofErr w:type="spellStart"/>
      <w:r w:rsidRPr="00250CA9">
        <w:rPr>
          <w:rFonts w:eastAsia="Calibri"/>
          <w:lang w:val="es-CU" w:eastAsia="es-PE"/>
        </w:rPr>
        <w:t>Mejia</w:t>
      </w:r>
      <w:proofErr w:type="spellEnd"/>
      <w:r w:rsidRPr="00250CA9">
        <w:rPr>
          <w:rFonts w:eastAsia="Calibri"/>
          <w:lang w:val="es-CU" w:eastAsia="es-PE"/>
        </w:rPr>
        <w:t xml:space="preserve"> C, </w:t>
      </w:r>
      <w:proofErr w:type="spellStart"/>
      <w:r w:rsidRPr="00250CA9">
        <w:rPr>
          <w:rFonts w:eastAsia="Calibri"/>
          <w:lang w:val="es-CU" w:eastAsia="es-PE"/>
        </w:rPr>
        <w:t>Rodriguez-Alarcon</w:t>
      </w:r>
      <w:proofErr w:type="spellEnd"/>
      <w:r w:rsidRPr="00250CA9">
        <w:rPr>
          <w:rFonts w:eastAsia="Calibri"/>
          <w:lang w:val="es-CU" w:eastAsia="es-PE"/>
        </w:rPr>
        <w:t xml:space="preserve"> J, </w:t>
      </w:r>
      <w:proofErr w:type="spellStart"/>
      <w:r w:rsidRPr="00250CA9">
        <w:rPr>
          <w:rFonts w:eastAsia="Calibri"/>
          <w:lang w:val="es-CU" w:eastAsia="es-PE"/>
        </w:rPr>
        <w:t>Charri</w:t>
      </w:r>
      <w:proofErr w:type="spellEnd"/>
      <w:r w:rsidRPr="00250CA9">
        <w:rPr>
          <w:rFonts w:eastAsia="Calibri"/>
          <w:lang w:val="es-CU" w:eastAsia="es-PE"/>
        </w:rPr>
        <w:t xml:space="preserve"> J, Liendo-Venegas D, Morocho-</w:t>
      </w:r>
      <w:proofErr w:type="spellStart"/>
      <w:r w:rsidRPr="00250CA9">
        <w:rPr>
          <w:rFonts w:eastAsia="Calibri"/>
          <w:lang w:val="es-CU" w:eastAsia="es-PE"/>
        </w:rPr>
        <w:t>Alburqueque</w:t>
      </w:r>
      <w:proofErr w:type="spellEnd"/>
      <w:r w:rsidRPr="00250CA9">
        <w:rPr>
          <w:rFonts w:eastAsia="Calibri"/>
          <w:lang w:val="es-CU" w:eastAsia="es-PE"/>
        </w:rPr>
        <w:t xml:space="preserve"> N, Benites-Ibarra C, et al. Repercusión académica de la COVID-19 en universitarios peruanos. </w:t>
      </w:r>
      <w:proofErr w:type="spellStart"/>
      <w:r w:rsidRPr="00250CA9">
        <w:rPr>
          <w:rFonts w:eastAsia="Calibri"/>
          <w:lang w:val="es-CU" w:eastAsia="es-PE"/>
        </w:rPr>
        <w:t>Rev</w:t>
      </w:r>
      <w:proofErr w:type="spellEnd"/>
      <w:r w:rsidRPr="00250CA9">
        <w:rPr>
          <w:rFonts w:eastAsia="Calibri"/>
          <w:lang w:val="es-CU" w:eastAsia="es-PE"/>
        </w:rPr>
        <w:t xml:space="preserve"> Cuba </w:t>
      </w:r>
      <w:proofErr w:type="spellStart"/>
      <w:r w:rsidRPr="00250CA9">
        <w:rPr>
          <w:rFonts w:eastAsia="Calibri"/>
          <w:lang w:val="es-CU" w:eastAsia="es-PE"/>
        </w:rPr>
        <w:t>Investig</w:t>
      </w:r>
      <w:proofErr w:type="spellEnd"/>
      <w:r w:rsidRPr="00250CA9">
        <w:rPr>
          <w:rFonts w:eastAsia="Calibri"/>
          <w:lang w:val="es-CU" w:eastAsia="es-PE"/>
        </w:rPr>
        <w:t xml:space="preserve"> </w:t>
      </w:r>
      <w:proofErr w:type="spellStart"/>
      <w:r w:rsidRPr="00250CA9">
        <w:rPr>
          <w:rFonts w:eastAsia="Calibri"/>
          <w:lang w:val="es-CU" w:eastAsia="es-PE"/>
        </w:rPr>
        <w:lastRenderedPageBreak/>
        <w:t>Bioméd</w:t>
      </w:r>
      <w:proofErr w:type="spellEnd"/>
      <w:r w:rsidRPr="00250CA9">
        <w:rPr>
          <w:rFonts w:eastAsia="Calibri"/>
          <w:lang w:val="es-CU" w:eastAsia="es-PE"/>
        </w:rPr>
        <w:t xml:space="preserve">. 2021 [acceso: 04/04/2022]; 40(1):1-6. Disponible en: </w:t>
      </w:r>
      <w:hyperlink r:id="rId23" w:history="1">
        <w:r w:rsidRPr="00250CA9">
          <w:rPr>
            <w:rFonts w:eastAsia="Calibri"/>
            <w:color w:val="0563C1"/>
            <w:lang w:val="es-CU" w:eastAsia="es-PE"/>
          </w:rPr>
          <w:t>http://www.revibiomedica.sld.cu/index.php/ibi/article/view/814</w:t>
        </w:r>
      </w:hyperlink>
      <w:r w:rsidRPr="00250CA9">
        <w:rPr>
          <w:rFonts w:eastAsia="Calibri"/>
          <w:lang w:val="es-CU" w:eastAsia="es-PE"/>
        </w:rPr>
        <w:t xml:space="preserve">  </w:t>
      </w:r>
    </w:p>
    <w:p w14:paraId="173E1C31" w14:textId="77777777" w:rsidR="00250CA9" w:rsidRPr="00250CA9" w:rsidRDefault="00250CA9" w:rsidP="00250CA9">
      <w:pPr>
        <w:spacing w:line="360" w:lineRule="auto"/>
        <w:rPr>
          <w:rFonts w:eastAsia="Calibri"/>
          <w:lang w:val="es-CU" w:eastAsia="es-PE"/>
        </w:rPr>
      </w:pPr>
      <w:r w:rsidRPr="00250CA9">
        <w:rPr>
          <w:rFonts w:eastAsia="Calibri"/>
          <w:lang w:val="es-CU" w:eastAsia="es-PE"/>
        </w:rPr>
        <w:t xml:space="preserve">8. Rodríguez-Alarcón </w:t>
      </w:r>
      <w:proofErr w:type="spellStart"/>
      <w:r w:rsidRPr="00250CA9">
        <w:rPr>
          <w:rFonts w:eastAsia="Calibri"/>
          <w:lang w:val="es-CU" w:eastAsia="es-PE"/>
        </w:rPr>
        <w:t>JF</w:t>
      </w:r>
      <w:proofErr w:type="spellEnd"/>
      <w:r w:rsidRPr="00250CA9">
        <w:rPr>
          <w:rFonts w:eastAsia="Calibri"/>
          <w:lang w:val="es-CU" w:eastAsia="es-PE"/>
        </w:rPr>
        <w:t xml:space="preserve">, Vinelli-Arzubiaga D, Aveiro-Róbalo T, </w:t>
      </w:r>
      <w:proofErr w:type="spellStart"/>
      <w:r w:rsidRPr="00250CA9">
        <w:rPr>
          <w:rFonts w:eastAsia="Calibri"/>
          <w:lang w:val="es-CU" w:eastAsia="es-PE"/>
        </w:rPr>
        <w:t>Garlisi</w:t>
      </w:r>
      <w:proofErr w:type="spellEnd"/>
      <w:r w:rsidRPr="00250CA9">
        <w:rPr>
          <w:rFonts w:eastAsia="Calibri"/>
          <w:lang w:val="es-CU" w:eastAsia="es-PE"/>
        </w:rPr>
        <w:t xml:space="preserve">-Torales </w:t>
      </w:r>
      <w:proofErr w:type="spellStart"/>
      <w:r w:rsidRPr="00250CA9">
        <w:rPr>
          <w:rFonts w:eastAsia="Calibri"/>
          <w:lang w:val="es-CU" w:eastAsia="es-PE"/>
        </w:rPr>
        <w:t>LD</w:t>
      </w:r>
      <w:proofErr w:type="spellEnd"/>
      <w:r w:rsidRPr="00250CA9">
        <w:rPr>
          <w:rFonts w:eastAsia="Calibri"/>
          <w:lang w:val="es-CU" w:eastAsia="es-PE"/>
        </w:rPr>
        <w:t xml:space="preserve">, Hernández Delgado JE, Marticorena-Flores </w:t>
      </w:r>
      <w:proofErr w:type="spellStart"/>
      <w:r w:rsidRPr="00250CA9">
        <w:rPr>
          <w:rFonts w:eastAsia="Calibri"/>
          <w:lang w:val="es-CU" w:eastAsia="es-PE"/>
        </w:rPr>
        <w:t>RK</w:t>
      </w:r>
      <w:proofErr w:type="spellEnd"/>
      <w:r w:rsidRPr="00250CA9">
        <w:rPr>
          <w:rFonts w:eastAsia="Calibri"/>
          <w:lang w:val="es-CU" w:eastAsia="es-PE"/>
        </w:rPr>
        <w:t xml:space="preserve">, et al. Repercusiones académicas de la educación virtual en los estudiantes de Latinoamérica: validación de una escala. Educación Médica. 2022 [acceso: 20/04/2023]; 23(3):100741. Disponible en: </w:t>
      </w:r>
      <w:hyperlink r:id="rId24" w:history="1">
        <w:r w:rsidRPr="00250CA9">
          <w:rPr>
            <w:rFonts w:eastAsia="Calibri"/>
            <w:color w:val="0563C1"/>
            <w:lang w:val="es-CU" w:eastAsia="es-PE"/>
          </w:rPr>
          <w:t>https://doi.org/10.1016/j.edumed.2022.100741</w:t>
        </w:r>
      </w:hyperlink>
      <w:r w:rsidRPr="00250CA9">
        <w:rPr>
          <w:rFonts w:eastAsia="Calibri"/>
          <w:lang w:val="es-CU" w:eastAsia="es-PE"/>
        </w:rPr>
        <w:t xml:space="preserve"> </w:t>
      </w:r>
    </w:p>
    <w:p w14:paraId="44CC5506" w14:textId="77777777" w:rsidR="00250CA9" w:rsidRPr="00250CA9" w:rsidRDefault="00250CA9" w:rsidP="00250CA9">
      <w:pPr>
        <w:spacing w:line="360" w:lineRule="auto"/>
        <w:rPr>
          <w:rFonts w:eastAsia="Calibri"/>
          <w:lang w:val="es-CU" w:eastAsia="es-PE"/>
        </w:rPr>
      </w:pPr>
      <w:r w:rsidRPr="00250CA9">
        <w:rPr>
          <w:rFonts w:eastAsia="Calibri"/>
          <w:lang w:val="es-CU" w:eastAsia="es-PE"/>
        </w:rPr>
        <w:t xml:space="preserve">9. Mamani O, Landa M, Carranza R, Elguera A, </w:t>
      </w:r>
      <w:proofErr w:type="spellStart"/>
      <w:r w:rsidRPr="00250CA9">
        <w:rPr>
          <w:rFonts w:eastAsia="Calibri"/>
          <w:lang w:val="es-CU" w:eastAsia="es-PE"/>
        </w:rPr>
        <w:t>Mejia</w:t>
      </w:r>
      <w:proofErr w:type="spellEnd"/>
      <w:r w:rsidRPr="00250CA9">
        <w:rPr>
          <w:rFonts w:eastAsia="Calibri"/>
          <w:lang w:val="es-CU" w:eastAsia="es-PE"/>
        </w:rPr>
        <w:t xml:space="preserve"> C. Diseño y validación de una escala de uso de medios académicos virtuales durante la pandemia COVID-19. Propósitos y Representaciones. 2021 [acceso: 20/04/2023]; 9(2):1390. Disponible en: </w:t>
      </w:r>
      <w:hyperlink r:id="rId25" w:history="1">
        <w:r w:rsidRPr="00250CA9">
          <w:rPr>
            <w:rFonts w:eastAsia="Calibri"/>
            <w:color w:val="0563C1"/>
            <w:lang w:val="es-CU" w:eastAsia="es-PE"/>
          </w:rPr>
          <w:t>http://dx.doi.org/10.20511/pyr2021.v9n2.1390</w:t>
        </w:r>
      </w:hyperlink>
      <w:r w:rsidRPr="00250CA9">
        <w:rPr>
          <w:rFonts w:eastAsia="Calibri"/>
          <w:lang w:val="es-CU" w:eastAsia="es-PE"/>
        </w:rPr>
        <w:t xml:space="preserve">  </w:t>
      </w:r>
    </w:p>
    <w:p w14:paraId="6DE69D1F" w14:textId="77777777" w:rsidR="00250CA9" w:rsidRPr="00250CA9" w:rsidRDefault="00250CA9" w:rsidP="00250CA9">
      <w:pPr>
        <w:spacing w:line="360" w:lineRule="auto"/>
        <w:rPr>
          <w:rFonts w:eastAsia="Calibri"/>
          <w:lang w:val="es-CU" w:eastAsia="es-PE"/>
        </w:rPr>
      </w:pPr>
      <w:r w:rsidRPr="00250CA9">
        <w:rPr>
          <w:rFonts w:eastAsia="Calibri"/>
          <w:lang w:val="es-CU" w:eastAsia="es-PE"/>
        </w:rPr>
        <w:t>10. Martínez-Líbano J. Construcción y validación de la Escala de Afectación del COVID-19 (</w:t>
      </w:r>
      <w:proofErr w:type="spellStart"/>
      <w:r w:rsidRPr="00250CA9">
        <w:rPr>
          <w:rFonts w:eastAsia="Calibri"/>
          <w:lang w:val="es-CU" w:eastAsia="es-PE"/>
        </w:rPr>
        <w:t>EAC</w:t>
      </w:r>
      <w:proofErr w:type="spellEnd"/>
      <w:r w:rsidRPr="00250CA9">
        <w:rPr>
          <w:rFonts w:eastAsia="Calibri"/>
          <w:lang w:val="es-CU" w:eastAsia="es-PE"/>
        </w:rPr>
        <w:t xml:space="preserve">-19) en estudiantes universitarios. Revista Educación Las Américas. 2023 [acceso: 20/04/2023]; 12(1):1-19. Disponible en: </w:t>
      </w:r>
      <w:hyperlink r:id="rId26" w:history="1">
        <w:r w:rsidRPr="00250CA9">
          <w:rPr>
            <w:rFonts w:eastAsia="Calibri"/>
            <w:color w:val="0563C1"/>
            <w:lang w:val="es-CU" w:eastAsia="es-PE"/>
          </w:rPr>
          <w:t>https://doi.org/10.35811/rea.v12i1.188</w:t>
        </w:r>
      </w:hyperlink>
      <w:r w:rsidRPr="00250CA9">
        <w:rPr>
          <w:rFonts w:eastAsia="Calibri"/>
          <w:lang w:val="es-CU" w:eastAsia="es-PE"/>
        </w:rPr>
        <w:t xml:space="preserve">  </w:t>
      </w:r>
    </w:p>
    <w:p w14:paraId="43269537" w14:textId="77777777" w:rsidR="00250CA9" w:rsidRPr="00250CA9" w:rsidRDefault="00250CA9" w:rsidP="00250CA9">
      <w:pPr>
        <w:spacing w:line="360" w:lineRule="auto"/>
        <w:rPr>
          <w:rFonts w:eastAsia="Calibri"/>
          <w:lang w:val="en-US" w:eastAsia="es-PE"/>
        </w:rPr>
      </w:pPr>
      <w:r w:rsidRPr="00250CA9">
        <w:rPr>
          <w:rFonts w:eastAsia="Calibri"/>
          <w:lang w:val="en-US" w:eastAsia="es-PE"/>
        </w:rPr>
        <w:t xml:space="preserve">11. </w:t>
      </w:r>
      <w:proofErr w:type="spellStart"/>
      <w:r w:rsidRPr="00250CA9">
        <w:rPr>
          <w:rFonts w:eastAsia="Calibri"/>
          <w:lang w:val="en-US" w:eastAsia="es-PE"/>
        </w:rPr>
        <w:t>Gherheș</w:t>
      </w:r>
      <w:proofErr w:type="spellEnd"/>
      <w:r w:rsidRPr="00250CA9">
        <w:rPr>
          <w:rFonts w:eastAsia="Calibri"/>
          <w:lang w:val="en-US" w:eastAsia="es-PE"/>
        </w:rPr>
        <w:t xml:space="preserve"> V, Stoian C, </w:t>
      </w:r>
      <w:proofErr w:type="spellStart"/>
      <w:r w:rsidRPr="00250CA9">
        <w:rPr>
          <w:rFonts w:eastAsia="Calibri"/>
          <w:lang w:val="en-US" w:eastAsia="es-PE"/>
        </w:rPr>
        <w:t>Fărcașiu</w:t>
      </w:r>
      <w:proofErr w:type="spellEnd"/>
      <w:r w:rsidRPr="00250CA9">
        <w:rPr>
          <w:rFonts w:eastAsia="Calibri"/>
          <w:lang w:val="en-US" w:eastAsia="es-PE"/>
        </w:rPr>
        <w:t xml:space="preserve"> M, </w:t>
      </w:r>
      <w:proofErr w:type="spellStart"/>
      <w:r w:rsidRPr="00250CA9">
        <w:rPr>
          <w:rFonts w:eastAsia="Calibri"/>
          <w:lang w:val="en-US" w:eastAsia="es-PE"/>
        </w:rPr>
        <w:t>Stanici</w:t>
      </w:r>
      <w:proofErr w:type="spellEnd"/>
      <w:r w:rsidRPr="00250CA9">
        <w:rPr>
          <w:rFonts w:eastAsia="Calibri"/>
          <w:lang w:val="en-US" w:eastAsia="es-PE"/>
        </w:rPr>
        <w:t xml:space="preserve"> M. E-learning vs. Face-to-face learning: Analyzing students’ preferences and behaviors. Sustainability. 2021 [</w:t>
      </w:r>
      <w:proofErr w:type="spellStart"/>
      <w:r w:rsidRPr="00250CA9">
        <w:rPr>
          <w:rFonts w:eastAsia="Calibri"/>
          <w:lang w:val="en-US" w:eastAsia="es-PE"/>
        </w:rPr>
        <w:t>acceso</w:t>
      </w:r>
      <w:proofErr w:type="spellEnd"/>
      <w:r w:rsidRPr="00250CA9">
        <w:rPr>
          <w:rFonts w:eastAsia="Calibri"/>
          <w:lang w:val="en-US" w:eastAsia="es-PE"/>
        </w:rPr>
        <w:t xml:space="preserve">: 04/04/2022]; 13(8):4381. Disponible </w:t>
      </w:r>
      <w:proofErr w:type="spellStart"/>
      <w:r w:rsidRPr="00250CA9">
        <w:rPr>
          <w:rFonts w:eastAsia="Calibri"/>
          <w:lang w:val="en-US" w:eastAsia="es-PE"/>
        </w:rPr>
        <w:t>en</w:t>
      </w:r>
      <w:proofErr w:type="spellEnd"/>
      <w:r w:rsidRPr="00250CA9">
        <w:rPr>
          <w:rFonts w:eastAsia="Calibri"/>
          <w:lang w:val="en-US" w:eastAsia="es-PE"/>
        </w:rPr>
        <w:t xml:space="preserve">: </w:t>
      </w:r>
      <w:hyperlink r:id="rId27" w:history="1">
        <w:r w:rsidRPr="00250CA9">
          <w:rPr>
            <w:rFonts w:ascii="Calibri" w:eastAsia="Calibri" w:hAnsi="Calibri" w:cs="Calibri"/>
            <w:color w:val="0563C1"/>
            <w:sz w:val="22"/>
            <w:szCs w:val="22"/>
            <w:lang w:val="en-US" w:eastAsia="es-PE"/>
          </w:rPr>
          <w:t>https://doi.org/10.3390/su13084381</w:t>
        </w:r>
      </w:hyperlink>
      <w:r w:rsidRPr="00250CA9">
        <w:rPr>
          <w:rFonts w:eastAsia="Calibri"/>
          <w:lang w:val="en-US" w:eastAsia="es-PE"/>
        </w:rPr>
        <w:t xml:space="preserve"> </w:t>
      </w:r>
    </w:p>
    <w:p w14:paraId="3A3728A3" w14:textId="77777777" w:rsidR="00250CA9" w:rsidRPr="00250CA9" w:rsidRDefault="00250CA9" w:rsidP="00250CA9">
      <w:pPr>
        <w:spacing w:line="360" w:lineRule="auto"/>
        <w:rPr>
          <w:rFonts w:eastAsia="Calibri"/>
          <w:lang w:val="en-US" w:eastAsia="es-PE"/>
        </w:rPr>
      </w:pPr>
      <w:r w:rsidRPr="00250CA9">
        <w:rPr>
          <w:rFonts w:eastAsia="Calibri"/>
          <w:lang w:val="en-US" w:eastAsia="es-PE"/>
        </w:rPr>
        <w:t>12. Kang H. University students’ perceptions of the effects of online lecture types and its media types. English Teaching (South Korea). 2021 [</w:t>
      </w:r>
      <w:proofErr w:type="spellStart"/>
      <w:r w:rsidRPr="00250CA9">
        <w:rPr>
          <w:rFonts w:eastAsia="Calibri"/>
          <w:lang w:val="en-US" w:eastAsia="es-PE"/>
        </w:rPr>
        <w:t>acceso</w:t>
      </w:r>
      <w:proofErr w:type="spellEnd"/>
      <w:r w:rsidRPr="00250CA9">
        <w:rPr>
          <w:rFonts w:eastAsia="Calibri"/>
          <w:lang w:val="en-US" w:eastAsia="es-PE"/>
        </w:rPr>
        <w:t xml:space="preserve">: 04/04/2022]; 76(1):59-86. Disponible </w:t>
      </w:r>
      <w:proofErr w:type="spellStart"/>
      <w:r w:rsidRPr="00250CA9">
        <w:rPr>
          <w:rFonts w:eastAsia="Calibri"/>
          <w:lang w:val="en-US" w:eastAsia="es-PE"/>
        </w:rPr>
        <w:t>en</w:t>
      </w:r>
      <w:proofErr w:type="spellEnd"/>
      <w:r w:rsidRPr="00250CA9">
        <w:rPr>
          <w:rFonts w:eastAsia="Calibri"/>
          <w:lang w:val="en-US" w:eastAsia="es-PE"/>
        </w:rPr>
        <w:t xml:space="preserve">: </w:t>
      </w:r>
      <w:hyperlink r:id="rId28" w:history="1">
        <w:r w:rsidRPr="00250CA9">
          <w:rPr>
            <w:rFonts w:ascii="Calibri" w:eastAsia="Calibri" w:hAnsi="Calibri" w:cs="Calibri"/>
            <w:color w:val="0563C1"/>
            <w:sz w:val="22"/>
            <w:szCs w:val="22"/>
            <w:lang w:val="en-US" w:eastAsia="es-PE"/>
          </w:rPr>
          <w:t>https://doi.org/10.15858/engtea.76.s1.202109.59</w:t>
        </w:r>
      </w:hyperlink>
      <w:r w:rsidRPr="00250CA9">
        <w:rPr>
          <w:rFonts w:eastAsia="Calibri"/>
          <w:lang w:val="en-US" w:eastAsia="es-PE"/>
        </w:rPr>
        <w:t xml:space="preserve">  </w:t>
      </w:r>
    </w:p>
    <w:p w14:paraId="711EBDE5" w14:textId="77777777" w:rsidR="00250CA9" w:rsidRPr="00250CA9" w:rsidRDefault="00250CA9" w:rsidP="00250CA9">
      <w:pPr>
        <w:spacing w:line="360" w:lineRule="auto"/>
        <w:rPr>
          <w:rFonts w:eastAsia="Calibri"/>
          <w:lang w:val="en-US" w:eastAsia="es-PE"/>
        </w:rPr>
      </w:pPr>
      <w:r w:rsidRPr="00250CA9">
        <w:rPr>
          <w:rFonts w:eastAsia="Calibri"/>
          <w:lang w:val="en-US" w:eastAsia="es-PE"/>
        </w:rPr>
        <w:t>13. Mali D, Lim H. How do students perceive face-to-face/blended learning as a result of the Covid-19 pandemic? International Journal of Management Education. 2021 [</w:t>
      </w:r>
      <w:proofErr w:type="spellStart"/>
      <w:r w:rsidRPr="00250CA9">
        <w:rPr>
          <w:rFonts w:eastAsia="Calibri"/>
          <w:lang w:val="en-US" w:eastAsia="es-PE"/>
        </w:rPr>
        <w:t>acceso</w:t>
      </w:r>
      <w:proofErr w:type="spellEnd"/>
      <w:r w:rsidRPr="00250CA9">
        <w:rPr>
          <w:rFonts w:eastAsia="Calibri"/>
          <w:lang w:val="en-US" w:eastAsia="es-PE"/>
        </w:rPr>
        <w:t xml:space="preserve">: 04/04/2022]; 19(3):100552. Disponible </w:t>
      </w:r>
      <w:proofErr w:type="spellStart"/>
      <w:r w:rsidRPr="00250CA9">
        <w:rPr>
          <w:rFonts w:eastAsia="Calibri"/>
          <w:lang w:val="en-US" w:eastAsia="es-PE"/>
        </w:rPr>
        <w:t>en</w:t>
      </w:r>
      <w:proofErr w:type="spellEnd"/>
      <w:r w:rsidRPr="00250CA9">
        <w:rPr>
          <w:rFonts w:eastAsia="Calibri"/>
          <w:lang w:val="en-US" w:eastAsia="es-PE"/>
        </w:rPr>
        <w:t xml:space="preserve">: </w:t>
      </w:r>
      <w:hyperlink r:id="rId29" w:history="1">
        <w:r w:rsidRPr="00250CA9">
          <w:rPr>
            <w:rFonts w:ascii="Calibri" w:eastAsia="Calibri" w:hAnsi="Calibri" w:cs="Calibri"/>
            <w:color w:val="0563C1"/>
            <w:sz w:val="22"/>
            <w:szCs w:val="22"/>
            <w:lang w:val="en-US" w:eastAsia="es-PE"/>
          </w:rPr>
          <w:t>https://doi.org/10.1016/j.ijme.2021.100552</w:t>
        </w:r>
      </w:hyperlink>
      <w:r w:rsidRPr="00250CA9">
        <w:rPr>
          <w:rFonts w:eastAsia="Calibri"/>
          <w:lang w:val="en-US" w:eastAsia="es-PE"/>
        </w:rPr>
        <w:t xml:space="preserve">  </w:t>
      </w:r>
    </w:p>
    <w:p w14:paraId="4367DB60" w14:textId="77777777" w:rsidR="00250CA9" w:rsidRPr="00250CA9" w:rsidRDefault="00250CA9" w:rsidP="00250CA9">
      <w:pPr>
        <w:spacing w:line="360" w:lineRule="auto"/>
        <w:rPr>
          <w:rFonts w:eastAsia="Calibri"/>
          <w:lang w:val="en-US" w:eastAsia="es-PE"/>
        </w:rPr>
      </w:pPr>
      <w:r w:rsidRPr="00250CA9">
        <w:rPr>
          <w:rFonts w:eastAsia="Calibri"/>
          <w:lang w:val="en-US" w:eastAsia="es-PE"/>
        </w:rPr>
        <w:t xml:space="preserve">14. </w:t>
      </w:r>
      <w:proofErr w:type="spellStart"/>
      <w:r w:rsidRPr="00250CA9">
        <w:rPr>
          <w:rFonts w:eastAsia="Calibri"/>
          <w:lang w:val="en-US" w:eastAsia="es-PE"/>
        </w:rPr>
        <w:t>Giuntella</w:t>
      </w:r>
      <w:proofErr w:type="spellEnd"/>
      <w:r w:rsidRPr="00250CA9">
        <w:rPr>
          <w:rFonts w:eastAsia="Calibri"/>
          <w:lang w:val="en-US" w:eastAsia="es-PE"/>
        </w:rPr>
        <w:t xml:space="preserve"> O, Hyde K, Saccardo S, Sadoff S. Lifestyle and mental health disruptions during COVID-19. Proceedings of the National Academy of Sciences. 2021 [</w:t>
      </w:r>
      <w:proofErr w:type="spellStart"/>
      <w:r w:rsidRPr="00250CA9">
        <w:rPr>
          <w:rFonts w:eastAsia="Calibri"/>
          <w:lang w:val="en-US" w:eastAsia="es-PE"/>
        </w:rPr>
        <w:t>acceso</w:t>
      </w:r>
      <w:proofErr w:type="spellEnd"/>
      <w:r w:rsidRPr="00250CA9">
        <w:rPr>
          <w:rFonts w:eastAsia="Calibri"/>
          <w:lang w:val="en-US" w:eastAsia="es-PE"/>
        </w:rPr>
        <w:t>: 20/04/2022]; 118(9</w:t>
      </w:r>
      <w:proofErr w:type="gramStart"/>
      <w:r w:rsidRPr="00250CA9">
        <w:rPr>
          <w:rFonts w:eastAsia="Calibri"/>
          <w:lang w:val="en-US" w:eastAsia="es-PE"/>
        </w:rPr>
        <w:t>):</w:t>
      </w:r>
      <w:proofErr w:type="spellStart"/>
      <w:r w:rsidRPr="00250CA9">
        <w:rPr>
          <w:rFonts w:eastAsia="Calibri"/>
          <w:lang w:val="en-US" w:eastAsia="es-PE"/>
        </w:rPr>
        <w:t>e</w:t>
      </w:r>
      <w:proofErr w:type="gramEnd"/>
      <w:r w:rsidRPr="00250CA9">
        <w:rPr>
          <w:rFonts w:eastAsia="Calibri"/>
          <w:lang w:val="en-US" w:eastAsia="es-PE"/>
        </w:rPr>
        <w:t>2016632118</w:t>
      </w:r>
      <w:proofErr w:type="spellEnd"/>
      <w:r w:rsidRPr="00250CA9">
        <w:rPr>
          <w:rFonts w:eastAsia="Calibri"/>
          <w:lang w:val="en-US" w:eastAsia="es-PE"/>
        </w:rPr>
        <w:t xml:space="preserve">. Disponible </w:t>
      </w:r>
      <w:proofErr w:type="spellStart"/>
      <w:r w:rsidRPr="00250CA9">
        <w:rPr>
          <w:rFonts w:eastAsia="Calibri"/>
          <w:lang w:val="en-US" w:eastAsia="es-PE"/>
        </w:rPr>
        <w:t>en</w:t>
      </w:r>
      <w:proofErr w:type="spellEnd"/>
      <w:r w:rsidRPr="00250CA9">
        <w:rPr>
          <w:rFonts w:eastAsia="Calibri"/>
          <w:lang w:val="en-US" w:eastAsia="es-PE"/>
        </w:rPr>
        <w:t xml:space="preserve">: </w:t>
      </w:r>
      <w:hyperlink r:id="rId30" w:history="1">
        <w:r w:rsidRPr="00250CA9">
          <w:rPr>
            <w:rFonts w:ascii="Calibri" w:eastAsia="Calibri" w:hAnsi="Calibri" w:cs="Calibri"/>
            <w:color w:val="0563C1"/>
            <w:sz w:val="22"/>
            <w:szCs w:val="22"/>
            <w:lang w:val="en-US" w:eastAsia="es-PE"/>
          </w:rPr>
          <w:t>https://doi.org/10.1073/pnas.2016632118</w:t>
        </w:r>
      </w:hyperlink>
      <w:r w:rsidRPr="00250CA9">
        <w:rPr>
          <w:rFonts w:eastAsia="Calibri"/>
          <w:lang w:val="en-US" w:eastAsia="es-PE"/>
        </w:rPr>
        <w:t xml:space="preserve"> </w:t>
      </w:r>
    </w:p>
    <w:p w14:paraId="0257BBFC" w14:textId="77777777" w:rsidR="00250CA9" w:rsidRPr="00250CA9" w:rsidRDefault="00250CA9" w:rsidP="00250CA9">
      <w:pPr>
        <w:spacing w:line="360" w:lineRule="auto"/>
        <w:rPr>
          <w:rFonts w:eastAsia="Calibri"/>
          <w:lang w:val="es-CU" w:eastAsia="es-PE"/>
        </w:rPr>
      </w:pPr>
      <w:r w:rsidRPr="00250CA9">
        <w:rPr>
          <w:rFonts w:eastAsia="Calibri"/>
          <w:lang w:val="en-US" w:eastAsia="es-PE"/>
        </w:rPr>
        <w:t xml:space="preserve">15. Dhar B, </w:t>
      </w:r>
      <w:proofErr w:type="spellStart"/>
      <w:r w:rsidRPr="00250CA9">
        <w:rPr>
          <w:rFonts w:eastAsia="Calibri"/>
          <w:lang w:val="en-US" w:eastAsia="es-PE"/>
        </w:rPr>
        <w:t>Ayittey</w:t>
      </w:r>
      <w:proofErr w:type="spellEnd"/>
      <w:r w:rsidRPr="00250CA9">
        <w:rPr>
          <w:rFonts w:eastAsia="Calibri"/>
          <w:lang w:val="en-US" w:eastAsia="es-PE"/>
        </w:rPr>
        <w:t xml:space="preserve"> F, Sarkar S. Impact of COVID-19 on Psychology among the University Students. </w:t>
      </w:r>
      <w:r w:rsidRPr="00250CA9">
        <w:rPr>
          <w:rFonts w:eastAsia="Calibri"/>
          <w:lang w:val="es-CU" w:eastAsia="es-PE"/>
        </w:rPr>
        <w:t xml:space="preserve">Global </w:t>
      </w:r>
      <w:proofErr w:type="spellStart"/>
      <w:r w:rsidRPr="00250CA9">
        <w:rPr>
          <w:rFonts w:eastAsia="Calibri"/>
          <w:lang w:val="es-CU" w:eastAsia="es-PE"/>
        </w:rPr>
        <w:t>Challenges</w:t>
      </w:r>
      <w:proofErr w:type="spellEnd"/>
      <w:r w:rsidRPr="00250CA9">
        <w:rPr>
          <w:rFonts w:eastAsia="Calibri"/>
          <w:lang w:val="es-CU" w:eastAsia="es-PE"/>
        </w:rPr>
        <w:t xml:space="preserve">. 2020 [acceso: 20/04/2022]; 4(11):2000038. Disponible en: </w:t>
      </w:r>
      <w:hyperlink r:id="rId31" w:history="1">
        <w:r w:rsidRPr="00250CA9">
          <w:rPr>
            <w:rFonts w:eastAsia="Calibri"/>
            <w:color w:val="0563C1"/>
            <w:lang w:val="es-CU" w:eastAsia="es-PE"/>
          </w:rPr>
          <w:t>https://doi.org/10.1002/gch2.202000038</w:t>
        </w:r>
      </w:hyperlink>
      <w:r w:rsidRPr="00250CA9">
        <w:rPr>
          <w:rFonts w:eastAsia="Calibri"/>
          <w:lang w:val="es-CU" w:eastAsia="es-PE"/>
        </w:rPr>
        <w:t xml:space="preserve">   </w:t>
      </w:r>
    </w:p>
    <w:p w14:paraId="7AD3584F" w14:textId="77777777" w:rsidR="00250CA9" w:rsidRPr="00250CA9" w:rsidRDefault="00250CA9" w:rsidP="00250CA9">
      <w:pPr>
        <w:spacing w:line="360" w:lineRule="auto"/>
        <w:rPr>
          <w:rFonts w:eastAsia="Calibri"/>
          <w:lang w:val="es-CU" w:eastAsia="es-PE"/>
        </w:rPr>
      </w:pPr>
      <w:r w:rsidRPr="00250CA9">
        <w:rPr>
          <w:rFonts w:eastAsia="Calibri"/>
          <w:lang w:val="es-CU" w:eastAsia="es-PE"/>
        </w:rPr>
        <w:lastRenderedPageBreak/>
        <w:t xml:space="preserve">16. Gonçalves M, Freires L, Vilar R, Gouveia V. Miedo al COVID y ansiedad: Mediación de la resiliencia en estudiantes universitarios. </w:t>
      </w:r>
      <w:r w:rsidRPr="00250CA9">
        <w:rPr>
          <w:rFonts w:eastAsia="Calibri"/>
          <w:lang w:val="es-CU" w:eastAsia="es-PE"/>
        </w:rPr>
        <w:tab/>
      </w:r>
      <w:proofErr w:type="spellStart"/>
      <w:r w:rsidRPr="00250CA9">
        <w:rPr>
          <w:rFonts w:eastAsia="Calibri"/>
          <w:lang w:val="es-CU" w:eastAsia="es-PE"/>
        </w:rPr>
        <w:t>Psicol</w:t>
      </w:r>
      <w:proofErr w:type="spellEnd"/>
      <w:r w:rsidRPr="00250CA9">
        <w:rPr>
          <w:rFonts w:eastAsia="Calibri"/>
          <w:lang w:val="es-CU" w:eastAsia="es-PE"/>
        </w:rPr>
        <w:t xml:space="preserve"> (Univ. Presbiteriana Mackenzie). 2021 [acceso: 20/04/2022]; 23(1):1-16. Disponible en: </w:t>
      </w:r>
      <w:hyperlink r:id="rId32" w:history="1">
        <w:r w:rsidRPr="00250CA9">
          <w:rPr>
            <w:rFonts w:eastAsia="Calibri"/>
            <w:color w:val="0563C1"/>
            <w:lang w:val="es-CU" w:eastAsia="es-PE"/>
          </w:rPr>
          <w:t>https://doi.org/10.5935/1980-6906/ePTPC1913996</w:t>
        </w:r>
      </w:hyperlink>
      <w:r w:rsidRPr="00250CA9">
        <w:rPr>
          <w:rFonts w:eastAsia="Calibri"/>
          <w:lang w:val="es-CU" w:eastAsia="es-PE"/>
        </w:rPr>
        <w:t xml:space="preserve"> </w:t>
      </w:r>
    </w:p>
    <w:p w14:paraId="18EFBD86" w14:textId="77777777" w:rsidR="00250CA9" w:rsidRPr="00250CA9" w:rsidRDefault="00250CA9" w:rsidP="00250CA9">
      <w:pPr>
        <w:spacing w:line="360" w:lineRule="auto"/>
        <w:rPr>
          <w:rFonts w:eastAsia="Calibri"/>
          <w:lang w:val="en-US" w:eastAsia="es-PE"/>
        </w:rPr>
      </w:pPr>
      <w:r w:rsidRPr="00250CA9">
        <w:rPr>
          <w:rFonts w:eastAsia="Calibri"/>
          <w:lang w:val="es-CU" w:eastAsia="es-PE"/>
        </w:rPr>
        <w:t xml:space="preserve">17. </w:t>
      </w:r>
      <w:proofErr w:type="spellStart"/>
      <w:r w:rsidRPr="00250CA9">
        <w:rPr>
          <w:rFonts w:eastAsia="Calibri"/>
          <w:lang w:val="es-CU" w:eastAsia="es-PE"/>
        </w:rPr>
        <w:t>Giusti</w:t>
      </w:r>
      <w:proofErr w:type="spellEnd"/>
      <w:r w:rsidRPr="00250CA9">
        <w:rPr>
          <w:rFonts w:eastAsia="Calibri"/>
          <w:lang w:val="es-CU" w:eastAsia="es-PE"/>
        </w:rPr>
        <w:t xml:space="preserve"> L, </w:t>
      </w:r>
      <w:proofErr w:type="spellStart"/>
      <w:r w:rsidRPr="00250CA9">
        <w:rPr>
          <w:rFonts w:eastAsia="Calibri"/>
          <w:lang w:val="es-CU" w:eastAsia="es-PE"/>
        </w:rPr>
        <w:t>Mammarella</w:t>
      </w:r>
      <w:proofErr w:type="spellEnd"/>
      <w:r w:rsidRPr="00250CA9">
        <w:rPr>
          <w:rFonts w:eastAsia="Calibri"/>
          <w:lang w:val="es-CU" w:eastAsia="es-PE"/>
        </w:rPr>
        <w:t xml:space="preserve"> S, </w:t>
      </w:r>
      <w:proofErr w:type="spellStart"/>
      <w:r w:rsidRPr="00250CA9">
        <w:rPr>
          <w:rFonts w:eastAsia="Calibri"/>
          <w:lang w:val="es-CU" w:eastAsia="es-PE"/>
        </w:rPr>
        <w:t>Salza</w:t>
      </w:r>
      <w:proofErr w:type="spellEnd"/>
      <w:r w:rsidRPr="00250CA9">
        <w:rPr>
          <w:rFonts w:eastAsia="Calibri"/>
          <w:lang w:val="es-CU" w:eastAsia="es-PE"/>
        </w:rPr>
        <w:t xml:space="preserve"> A, Del Vecchio S, </w:t>
      </w:r>
      <w:proofErr w:type="spellStart"/>
      <w:r w:rsidRPr="00250CA9">
        <w:rPr>
          <w:rFonts w:eastAsia="Calibri"/>
          <w:lang w:val="es-CU" w:eastAsia="es-PE"/>
        </w:rPr>
        <w:t>Ussorio</w:t>
      </w:r>
      <w:proofErr w:type="spellEnd"/>
      <w:r w:rsidRPr="00250CA9">
        <w:rPr>
          <w:rFonts w:eastAsia="Calibri"/>
          <w:lang w:val="es-CU" w:eastAsia="es-PE"/>
        </w:rPr>
        <w:t xml:space="preserve"> D, </w:t>
      </w:r>
      <w:proofErr w:type="spellStart"/>
      <w:r w:rsidRPr="00250CA9">
        <w:rPr>
          <w:rFonts w:eastAsia="Calibri"/>
          <w:lang w:val="es-CU" w:eastAsia="es-PE"/>
        </w:rPr>
        <w:t>Casacchia</w:t>
      </w:r>
      <w:proofErr w:type="spellEnd"/>
      <w:r w:rsidRPr="00250CA9">
        <w:rPr>
          <w:rFonts w:eastAsia="Calibri"/>
          <w:lang w:val="es-CU" w:eastAsia="es-PE"/>
        </w:rPr>
        <w:t xml:space="preserve"> M, et al. </w:t>
      </w:r>
      <w:r w:rsidRPr="00250CA9">
        <w:rPr>
          <w:rFonts w:eastAsia="Calibri"/>
          <w:lang w:val="en-US" w:eastAsia="es-PE"/>
        </w:rPr>
        <w:t xml:space="preserve">Predictors of academic performance during the </w:t>
      </w:r>
      <w:proofErr w:type="spellStart"/>
      <w:r w:rsidRPr="00250CA9">
        <w:rPr>
          <w:rFonts w:eastAsia="Calibri"/>
          <w:lang w:val="en-US" w:eastAsia="es-PE"/>
        </w:rPr>
        <w:t>covid-19</w:t>
      </w:r>
      <w:proofErr w:type="spellEnd"/>
      <w:r w:rsidRPr="00250CA9">
        <w:rPr>
          <w:rFonts w:eastAsia="Calibri"/>
          <w:lang w:val="en-US" w:eastAsia="es-PE"/>
        </w:rPr>
        <w:t xml:space="preserve"> outbreak: Impact of distance education on mental health, social cognition and memory abilities in an Italian university student sample. BMC Psychology. 2021 [</w:t>
      </w:r>
      <w:proofErr w:type="spellStart"/>
      <w:r w:rsidRPr="00250CA9">
        <w:rPr>
          <w:rFonts w:eastAsia="Calibri"/>
          <w:lang w:val="en-US" w:eastAsia="es-PE"/>
        </w:rPr>
        <w:t>acceso</w:t>
      </w:r>
      <w:proofErr w:type="spellEnd"/>
      <w:r w:rsidRPr="00250CA9">
        <w:rPr>
          <w:rFonts w:eastAsia="Calibri"/>
          <w:lang w:val="en-US" w:eastAsia="es-PE"/>
        </w:rPr>
        <w:t xml:space="preserve">: 20/04/2022]; 9(1):1-17. Disponible </w:t>
      </w:r>
      <w:proofErr w:type="spellStart"/>
      <w:r w:rsidRPr="00250CA9">
        <w:rPr>
          <w:rFonts w:eastAsia="Calibri"/>
          <w:lang w:val="en-US" w:eastAsia="es-PE"/>
        </w:rPr>
        <w:t>en</w:t>
      </w:r>
      <w:proofErr w:type="spellEnd"/>
      <w:r w:rsidRPr="00250CA9">
        <w:rPr>
          <w:rFonts w:eastAsia="Calibri"/>
          <w:lang w:val="en-US" w:eastAsia="es-PE"/>
        </w:rPr>
        <w:t xml:space="preserve">: </w:t>
      </w:r>
      <w:hyperlink r:id="rId33" w:history="1">
        <w:r w:rsidRPr="00250CA9">
          <w:rPr>
            <w:rFonts w:ascii="Calibri" w:eastAsia="Calibri" w:hAnsi="Calibri" w:cs="Calibri"/>
            <w:color w:val="0563C1"/>
            <w:sz w:val="22"/>
            <w:szCs w:val="22"/>
            <w:lang w:val="en-US" w:eastAsia="es-PE"/>
          </w:rPr>
          <w:t>https://doi.org/10.1186/s40359-021-00649-9</w:t>
        </w:r>
      </w:hyperlink>
      <w:r w:rsidRPr="00250CA9">
        <w:rPr>
          <w:rFonts w:eastAsia="Calibri"/>
          <w:lang w:val="en-US" w:eastAsia="es-PE"/>
        </w:rPr>
        <w:t xml:space="preserve">    </w:t>
      </w:r>
    </w:p>
    <w:p w14:paraId="40467A99" w14:textId="77777777" w:rsidR="00250CA9" w:rsidRPr="00250CA9" w:rsidRDefault="00250CA9" w:rsidP="00250CA9">
      <w:pPr>
        <w:spacing w:line="360" w:lineRule="auto"/>
        <w:rPr>
          <w:rFonts w:eastAsia="Calibri"/>
          <w:lang w:val="es-CU" w:eastAsia="es-PE"/>
        </w:rPr>
      </w:pPr>
      <w:r w:rsidRPr="00250CA9">
        <w:rPr>
          <w:rFonts w:eastAsia="Calibri"/>
          <w:lang w:val="en-US" w:eastAsia="es-PE"/>
        </w:rPr>
        <w:t xml:space="preserve">18. </w:t>
      </w:r>
      <w:proofErr w:type="spellStart"/>
      <w:r w:rsidRPr="00250CA9">
        <w:rPr>
          <w:rFonts w:eastAsia="Calibri"/>
          <w:lang w:val="en-US" w:eastAsia="es-PE"/>
        </w:rPr>
        <w:t>Svlurga</w:t>
      </w:r>
      <w:proofErr w:type="spellEnd"/>
      <w:r w:rsidRPr="00250CA9">
        <w:rPr>
          <w:rFonts w:eastAsia="Calibri"/>
          <w:lang w:val="en-US" w:eastAsia="es-PE"/>
        </w:rPr>
        <w:t xml:space="preserve"> S. With students back on campus, many faculty members are worried about covid—And pushing back. </w:t>
      </w:r>
      <w:proofErr w:type="spellStart"/>
      <w:r w:rsidRPr="00250CA9">
        <w:rPr>
          <w:rFonts w:eastAsia="Calibri"/>
          <w:lang w:val="es-CU" w:eastAsia="es-PE"/>
        </w:rPr>
        <w:t>The</w:t>
      </w:r>
      <w:proofErr w:type="spellEnd"/>
      <w:r w:rsidRPr="00250CA9">
        <w:rPr>
          <w:rFonts w:eastAsia="Calibri"/>
          <w:lang w:val="es-CU" w:eastAsia="es-PE"/>
        </w:rPr>
        <w:t xml:space="preserve"> Washington Post. 2021 [acceso: 04/04/2022]. Disponible en: </w:t>
      </w:r>
      <w:hyperlink r:id="rId34" w:history="1">
        <w:r w:rsidRPr="00250CA9">
          <w:rPr>
            <w:rFonts w:eastAsia="Calibri"/>
            <w:color w:val="0563C1"/>
            <w:lang w:val="es-CU" w:eastAsia="es-PE"/>
          </w:rPr>
          <w:t>https://www.washingtonpost.com/education/2021/09/22/professors-covid-masks-college-protest/</w:t>
        </w:r>
      </w:hyperlink>
      <w:r w:rsidRPr="00250CA9">
        <w:rPr>
          <w:rFonts w:eastAsia="Calibri"/>
          <w:lang w:val="es-CU" w:eastAsia="es-PE"/>
        </w:rPr>
        <w:t xml:space="preserve"> </w:t>
      </w:r>
    </w:p>
    <w:p w14:paraId="6ADA0CE8" w14:textId="77777777" w:rsidR="00250CA9" w:rsidRPr="00250CA9" w:rsidRDefault="00250CA9" w:rsidP="00250CA9">
      <w:pPr>
        <w:spacing w:line="360" w:lineRule="auto"/>
        <w:rPr>
          <w:rFonts w:eastAsia="Calibri"/>
          <w:lang w:val="es-CU" w:eastAsia="es-PE"/>
        </w:rPr>
      </w:pPr>
      <w:r w:rsidRPr="00250CA9">
        <w:rPr>
          <w:rFonts w:eastAsia="Calibri"/>
          <w:lang w:val="es-CU" w:eastAsia="es-PE"/>
        </w:rPr>
        <w:t xml:space="preserve">19. </w:t>
      </w:r>
      <w:proofErr w:type="spellStart"/>
      <w:r w:rsidRPr="00250CA9">
        <w:rPr>
          <w:rFonts w:eastAsia="Calibri"/>
          <w:lang w:val="es-CU" w:eastAsia="es-PE"/>
        </w:rPr>
        <w:t>Lovón</w:t>
      </w:r>
      <w:proofErr w:type="spellEnd"/>
      <w:r w:rsidRPr="00250CA9">
        <w:rPr>
          <w:rFonts w:eastAsia="Calibri"/>
          <w:lang w:val="es-CU" w:eastAsia="es-PE"/>
        </w:rPr>
        <w:t xml:space="preserve"> M, Cisneros S. Repercusiones de las clases virtuales en los estudiantes universitarios en el contexto de la cuarentena por COVID-19: El caso de la </w:t>
      </w:r>
      <w:proofErr w:type="spellStart"/>
      <w:r w:rsidRPr="00250CA9">
        <w:rPr>
          <w:rFonts w:eastAsia="Calibri"/>
          <w:lang w:val="es-CU" w:eastAsia="es-PE"/>
        </w:rPr>
        <w:t>PUCP</w:t>
      </w:r>
      <w:proofErr w:type="spellEnd"/>
      <w:r w:rsidRPr="00250CA9">
        <w:rPr>
          <w:rFonts w:eastAsia="Calibri"/>
          <w:lang w:val="es-CU" w:eastAsia="es-PE"/>
        </w:rPr>
        <w:t xml:space="preserve">. </w:t>
      </w:r>
      <w:proofErr w:type="spellStart"/>
      <w:r w:rsidRPr="00250CA9">
        <w:rPr>
          <w:rFonts w:eastAsia="Calibri"/>
          <w:lang w:val="es-CU" w:eastAsia="es-PE"/>
        </w:rPr>
        <w:t>Propós</w:t>
      </w:r>
      <w:proofErr w:type="spellEnd"/>
      <w:r w:rsidRPr="00250CA9">
        <w:rPr>
          <w:rFonts w:eastAsia="Calibri"/>
          <w:lang w:val="es-CU" w:eastAsia="es-PE"/>
        </w:rPr>
        <w:t xml:space="preserve"> </w:t>
      </w:r>
      <w:proofErr w:type="spellStart"/>
      <w:r w:rsidRPr="00250CA9">
        <w:rPr>
          <w:rFonts w:eastAsia="Calibri"/>
          <w:lang w:val="es-CU" w:eastAsia="es-PE"/>
        </w:rPr>
        <w:t>represent</w:t>
      </w:r>
      <w:proofErr w:type="spellEnd"/>
      <w:r w:rsidRPr="00250CA9">
        <w:rPr>
          <w:rFonts w:eastAsia="Calibri"/>
          <w:lang w:val="es-CU" w:eastAsia="es-PE"/>
        </w:rPr>
        <w:t>. 2020 [acceso: 20/04/2022]; 8(</w:t>
      </w:r>
      <w:proofErr w:type="spellStart"/>
      <w:r w:rsidRPr="00250CA9">
        <w:rPr>
          <w:rFonts w:eastAsia="Calibri"/>
          <w:lang w:val="es-CU" w:eastAsia="es-PE"/>
        </w:rPr>
        <w:t>SPE3</w:t>
      </w:r>
      <w:proofErr w:type="spellEnd"/>
      <w:proofErr w:type="gramStart"/>
      <w:r w:rsidRPr="00250CA9">
        <w:rPr>
          <w:rFonts w:eastAsia="Calibri"/>
          <w:lang w:val="es-CU" w:eastAsia="es-PE"/>
        </w:rPr>
        <w:t>):</w:t>
      </w:r>
      <w:proofErr w:type="spellStart"/>
      <w:r w:rsidRPr="00250CA9">
        <w:rPr>
          <w:rFonts w:eastAsia="Calibri"/>
          <w:lang w:val="es-CU" w:eastAsia="es-PE"/>
        </w:rPr>
        <w:t>e</w:t>
      </w:r>
      <w:proofErr w:type="gramEnd"/>
      <w:r w:rsidRPr="00250CA9">
        <w:rPr>
          <w:rFonts w:eastAsia="Calibri"/>
          <w:lang w:val="es-CU" w:eastAsia="es-PE"/>
        </w:rPr>
        <w:t>588</w:t>
      </w:r>
      <w:proofErr w:type="spellEnd"/>
      <w:r w:rsidRPr="00250CA9">
        <w:rPr>
          <w:rFonts w:eastAsia="Calibri"/>
          <w:lang w:val="es-CU" w:eastAsia="es-PE"/>
        </w:rPr>
        <w:t xml:space="preserve">. Disponible en: </w:t>
      </w:r>
      <w:hyperlink r:id="rId35" w:history="1">
        <w:r w:rsidRPr="00250CA9">
          <w:rPr>
            <w:rFonts w:eastAsia="Calibri"/>
            <w:color w:val="0563C1"/>
            <w:lang w:val="es-CU" w:eastAsia="es-PE"/>
          </w:rPr>
          <w:t>http://dx.doi.org/10.20511/pyr2020.v8nSPE3.588</w:t>
        </w:r>
      </w:hyperlink>
      <w:r w:rsidRPr="00250CA9">
        <w:rPr>
          <w:rFonts w:eastAsia="Calibri"/>
          <w:lang w:val="es-CU" w:eastAsia="es-PE"/>
        </w:rPr>
        <w:t xml:space="preserve"> </w:t>
      </w:r>
    </w:p>
    <w:p w14:paraId="4A2E0B81" w14:textId="77777777" w:rsidR="00250CA9" w:rsidRPr="00250CA9" w:rsidRDefault="00250CA9" w:rsidP="00250CA9">
      <w:pPr>
        <w:spacing w:line="360" w:lineRule="auto"/>
        <w:rPr>
          <w:rFonts w:eastAsia="Calibri"/>
          <w:lang w:val="es-CU" w:eastAsia="es-PE"/>
        </w:rPr>
      </w:pPr>
      <w:r w:rsidRPr="00250CA9">
        <w:rPr>
          <w:rFonts w:eastAsia="Calibri"/>
          <w:lang w:val="es-CU" w:eastAsia="es-PE"/>
        </w:rPr>
        <w:t xml:space="preserve">20. Dávila Morán RC, Zuta Arriola N, Espinoza Camus FC, Chávez-Díaz M. Educación remota y estrés académico en estudiantes universitarios peruanos en tiempos de pandemia del </w:t>
      </w:r>
      <w:proofErr w:type="spellStart"/>
      <w:r w:rsidRPr="00250CA9">
        <w:rPr>
          <w:rFonts w:eastAsia="Calibri"/>
          <w:lang w:val="es-CU" w:eastAsia="es-PE"/>
        </w:rPr>
        <w:t>covid-19</w:t>
      </w:r>
      <w:proofErr w:type="spellEnd"/>
      <w:r w:rsidRPr="00250CA9">
        <w:rPr>
          <w:rFonts w:eastAsia="Calibri"/>
          <w:lang w:val="es-CU" w:eastAsia="es-PE"/>
        </w:rPr>
        <w:t xml:space="preserve">. Revista Universidad y Sociedad. 2022 [acceso: 20/04/2023]; 14(3):775-83. Disponible en: </w:t>
      </w:r>
      <w:hyperlink r:id="rId36" w:history="1">
        <w:r w:rsidRPr="00250CA9">
          <w:rPr>
            <w:rFonts w:eastAsia="Calibri"/>
            <w:color w:val="0563C1"/>
            <w:lang w:val="es-CU" w:eastAsia="es-PE"/>
          </w:rPr>
          <w:t>https://rus.ucf.edu.cu/index.php/rus/article/view/2926</w:t>
        </w:r>
      </w:hyperlink>
      <w:r w:rsidRPr="00250CA9">
        <w:rPr>
          <w:rFonts w:eastAsia="Calibri"/>
          <w:lang w:val="es-CU" w:eastAsia="es-PE"/>
        </w:rPr>
        <w:t xml:space="preserve">  </w:t>
      </w:r>
    </w:p>
    <w:p w14:paraId="637C2B01" w14:textId="77777777" w:rsidR="00250CA9" w:rsidRPr="00250CA9" w:rsidRDefault="00250CA9" w:rsidP="00250CA9">
      <w:pPr>
        <w:spacing w:line="360" w:lineRule="auto"/>
        <w:rPr>
          <w:rFonts w:eastAsia="Calibri"/>
          <w:lang w:val="es-CU" w:eastAsia="es-PE"/>
        </w:rPr>
      </w:pPr>
      <w:r w:rsidRPr="00250CA9">
        <w:rPr>
          <w:rFonts w:eastAsia="Calibri"/>
          <w:lang w:val="en-US" w:eastAsia="es-PE"/>
        </w:rPr>
        <w:t xml:space="preserve">21. Kline P. The Handbook of Psychological Testing. </w:t>
      </w:r>
      <w:r w:rsidRPr="00250CA9">
        <w:rPr>
          <w:rFonts w:eastAsia="Calibri"/>
          <w:lang w:val="es-CU" w:eastAsia="es-PE"/>
        </w:rPr>
        <w:t xml:space="preserve">Routledge. 2000 [acceso: 04/04/2022]. Disponible en: </w:t>
      </w:r>
      <w:hyperlink r:id="rId37" w:history="1">
        <w:r w:rsidRPr="00250CA9">
          <w:rPr>
            <w:rFonts w:eastAsia="Calibri"/>
            <w:color w:val="0563C1"/>
            <w:lang w:val="es-CU" w:eastAsia="es-PE"/>
          </w:rPr>
          <w:t>https://www.routledge.com/Handbook-of-Psychological-Testing/Kline/p/book/9780415211581</w:t>
        </w:r>
      </w:hyperlink>
      <w:r w:rsidRPr="00250CA9">
        <w:rPr>
          <w:rFonts w:eastAsia="Calibri"/>
          <w:lang w:val="es-CU" w:eastAsia="es-PE"/>
        </w:rPr>
        <w:t xml:space="preserve"> </w:t>
      </w:r>
    </w:p>
    <w:p w14:paraId="2D8AA8B8" w14:textId="77777777" w:rsidR="00250CA9" w:rsidRPr="00250CA9" w:rsidRDefault="00250CA9" w:rsidP="00250CA9">
      <w:pPr>
        <w:spacing w:line="360" w:lineRule="auto"/>
        <w:rPr>
          <w:rFonts w:eastAsia="Calibri"/>
          <w:lang w:val="es-CU" w:eastAsia="es-PE"/>
        </w:rPr>
      </w:pPr>
      <w:r w:rsidRPr="00250CA9">
        <w:rPr>
          <w:rFonts w:eastAsia="Calibri"/>
          <w:lang w:val="es-CU" w:eastAsia="es-PE"/>
        </w:rPr>
        <w:t xml:space="preserve">22. Ventura-León J, Caycho-Rodríguez T. El coeficiente Omega: Un método alternativo para la estimación de la confiabilidad. </w:t>
      </w:r>
      <w:proofErr w:type="spellStart"/>
      <w:r w:rsidRPr="00250CA9">
        <w:rPr>
          <w:rFonts w:eastAsia="Calibri"/>
          <w:lang w:val="es-CU" w:eastAsia="es-PE"/>
        </w:rPr>
        <w:t>Rev</w:t>
      </w:r>
      <w:proofErr w:type="spellEnd"/>
      <w:r w:rsidRPr="00250CA9">
        <w:rPr>
          <w:rFonts w:eastAsia="Calibri"/>
          <w:lang w:val="es-CU" w:eastAsia="es-PE"/>
        </w:rPr>
        <w:t xml:space="preserve"> </w:t>
      </w:r>
      <w:proofErr w:type="spellStart"/>
      <w:r w:rsidRPr="00250CA9">
        <w:rPr>
          <w:rFonts w:eastAsia="Calibri"/>
          <w:lang w:val="es-CU" w:eastAsia="es-PE"/>
        </w:rPr>
        <w:t>latinoam</w:t>
      </w:r>
      <w:proofErr w:type="spellEnd"/>
      <w:r w:rsidRPr="00250CA9">
        <w:rPr>
          <w:rFonts w:eastAsia="Calibri"/>
          <w:lang w:val="es-CU" w:eastAsia="es-PE"/>
        </w:rPr>
        <w:t xml:space="preserve"> </w:t>
      </w:r>
      <w:proofErr w:type="spellStart"/>
      <w:r w:rsidRPr="00250CA9">
        <w:rPr>
          <w:rFonts w:eastAsia="Calibri"/>
          <w:lang w:val="es-CU" w:eastAsia="es-PE"/>
        </w:rPr>
        <w:t>cienc</w:t>
      </w:r>
      <w:proofErr w:type="spellEnd"/>
      <w:r w:rsidRPr="00250CA9">
        <w:rPr>
          <w:rFonts w:eastAsia="Calibri"/>
          <w:lang w:val="es-CU" w:eastAsia="es-PE"/>
        </w:rPr>
        <w:t xml:space="preserve"> </w:t>
      </w:r>
      <w:proofErr w:type="spellStart"/>
      <w:r w:rsidRPr="00250CA9">
        <w:rPr>
          <w:rFonts w:eastAsia="Calibri"/>
          <w:lang w:val="es-CU" w:eastAsia="es-PE"/>
        </w:rPr>
        <w:t>soc</w:t>
      </w:r>
      <w:proofErr w:type="spellEnd"/>
      <w:r w:rsidRPr="00250CA9">
        <w:rPr>
          <w:rFonts w:eastAsia="Calibri"/>
          <w:lang w:val="es-CU" w:eastAsia="es-PE"/>
        </w:rPr>
        <w:t xml:space="preserve"> niñez </w:t>
      </w:r>
      <w:proofErr w:type="spellStart"/>
      <w:r w:rsidRPr="00250CA9">
        <w:rPr>
          <w:rFonts w:eastAsia="Calibri"/>
          <w:lang w:val="es-CU" w:eastAsia="es-PE"/>
        </w:rPr>
        <w:t>juv</w:t>
      </w:r>
      <w:proofErr w:type="spellEnd"/>
      <w:r w:rsidRPr="00250CA9">
        <w:rPr>
          <w:rFonts w:eastAsia="Calibri"/>
          <w:lang w:val="es-CU" w:eastAsia="es-PE"/>
        </w:rPr>
        <w:t xml:space="preserve">. 2017 [acceso: 04/04/2022]; 15(1):625-7. Disponible en: </w:t>
      </w:r>
      <w:hyperlink r:id="rId38" w:history="1">
        <w:r w:rsidRPr="00250CA9">
          <w:rPr>
            <w:rFonts w:eastAsia="Calibri"/>
            <w:color w:val="0563C1"/>
            <w:lang w:val="es-CU" w:eastAsia="es-PE"/>
          </w:rPr>
          <w:t>https://www.redalyc.org/pdf/773/77349627039.pdf</w:t>
        </w:r>
      </w:hyperlink>
      <w:r w:rsidRPr="00250CA9">
        <w:rPr>
          <w:rFonts w:eastAsia="Calibri"/>
          <w:lang w:val="es-CU" w:eastAsia="es-PE"/>
        </w:rPr>
        <w:t xml:space="preserve"> </w:t>
      </w:r>
    </w:p>
    <w:p w14:paraId="3B776F24" w14:textId="77777777" w:rsidR="00250CA9" w:rsidRPr="00250CA9" w:rsidRDefault="00250CA9" w:rsidP="00250CA9">
      <w:pPr>
        <w:spacing w:line="360" w:lineRule="auto"/>
        <w:rPr>
          <w:rFonts w:eastAsia="Calibri"/>
          <w:lang w:val="es-CU" w:eastAsia="es-PE"/>
        </w:rPr>
      </w:pPr>
      <w:r w:rsidRPr="00250CA9">
        <w:rPr>
          <w:rFonts w:eastAsia="Calibri"/>
          <w:lang w:val="en-US" w:eastAsia="es-PE"/>
        </w:rPr>
        <w:t>23. McDonald R. Test theory: A unified treatment. Lawrence Erlbaum Associates Publishers. 1999 [</w:t>
      </w:r>
      <w:proofErr w:type="spellStart"/>
      <w:r w:rsidRPr="00250CA9">
        <w:rPr>
          <w:rFonts w:eastAsia="Calibri"/>
          <w:lang w:val="en-US" w:eastAsia="es-PE"/>
        </w:rPr>
        <w:t>acceso</w:t>
      </w:r>
      <w:proofErr w:type="spellEnd"/>
      <w:r w:rsidRPr="00250CA9">
        <w:rPr>
          <w:rFonts w:eastAsia="Calibri"/>
          <w:lang w:val="en-US" w:eastAsia="es-PE"/>
        </w:rPr>
        <w:t xml:space="preserve">: 20/04/2022]. </w:t>
      </w:r>
      <w:r w:rsidRPr="00250CA9">
        <w:rPr>
          <w:rFonts w:eastAsia="Calibri"/>
          <w:lang w:val="es-CU" w:eastAsia="es-PE"/>
        </w:rPr>
        <w:t xml:space="preserve">Disponible en: </w:t>
      </w:r>
      <w:hyperlink r:id="rId39" w:history="1">
        <w:r w:rsidRPr="00250CA9">
          <w:rPr>
            <w:rFonts w:eastAsia="Calibri"/>
            <w:color w:val="0563C1"/>
            <w:lang w:val="es-CU" w:eastAsia="es-PE"/>
          </w:rPr>
          <w:t>https://doi.org/10.4324/9781410601087</w:t>
        </w:r>
      </w:hyperlink>
      <w:r w:rsidRPr="00250CA9">
        <w:rPr>
          <w:rFonts w:eastAsia="Calibri"/>
          <w:lang w:val="es-CU" w:eastAsia="es-PE"/>
        </w:rPr>
        <w:t xml:space="preserve">   </w:t>
      </w:r>
    </w:p>
    <w:p w14:paraId="6FEF78D0" w14:textId="77777777" w:rsidR="00250CA9" w:rsidRPr="00250CA9" w:rsidRDefault="00250CA9" w:rsidP="00250CA9">
      <w:pPr>
        <w:spacing w:line="360" w:lineRule="auto"/>
        <w:rPr>
          <w:rFonts w:eastAsia="Calibri"/>
          <w:lang w:val="es-CU" w:eastAsia="es-PE"/>
        </w:rPr>
      </w:pPr>
      <w:r w:rsidRPr="00250CA9">
        <w:rPr>
          <w:rFonts w:eastAsia="Calibri"/>
          <w:lang w:val="es-CU" w:eastAsia="es-PE"/>
        </w:rPr>
        <w:t xml:space="preserve">24. </w:t>
      </w:r>
      <w:proofErr w:type="spellStart"/>
      <w:r w:rsidRPr="00250CA9">
        <w:rPr>
          <w:rFonts w:eastAsia="Calibri"/>
          <w:lang w:val="es-CU" w:eastAsia="es-PE"/>
        </w:rPr>
        <w:t>Mejia</w:t>
      </w:r>
      <w:proofErr w:type="spellEnd"/>
      <w:r w:rsidRPr="00250CA9">
        <w:rPr>
          <w:rFonts w:eastAsia="Calibri"/>
          <w:lang w:val="es-CU" w:eastAsia="es-PE"/>
        </w:rPr>
        <w:t xml:space="preserve"> CR, </w:t>
      </w:r>
      <w:proofErr w:type="spellStart"/>
      <w:r w:rsidRPr="00250CA9">
        <w:rPr>
          <w:rFonts w:eastAsia="Calibri"/>
          <w:lang w:val="es-CU" w:eastAsia="es-PE"/>
        </w:rPr>
        <w:t>Rodriguez-Alarcon</w:t>
      </w:r>
      <w:proofErr w:type="spellEnd"/>
      <w:r w:rsidRPr="00250CA9">
        <w:rPr>
          <w:rFonts w:eastAsia="Calibri"/>
          <w:lang w:val="es-CU" w:eastAsia="es-PE"/>
        </w:rPr>
        <w:t xml:space="preserve"> </w:t>
      </w:r>
      <w:proofErr w:type="spellStart"/>
      <w:r w:rsidRPr="00250CA9">
        <w:rPr>
          <w:rFonts w:eastAsia="Calibri"/>
          <w:lang w:val="es-CU" w:eastAsia="es-PE"/>
        </w:rPr>
        <w:t>JF</w:t>
      </w:r>
      <w:proofErr w:type="spellEnd"/>
      <w:r w:rsidRPr="00250CA9">
        <w:rPr>
          <w:rFonts w:eastAsia="Calibri"/>
          <w:lang w:val="es-CU" w:eastAsia="es-PE"/>
        </w:rPr>
        <w:t xml:space="preserve">, Carbajal M, </w:t>
      </w:r>
      <w:proofErr w:type="spellStart"/>
      <w:r w:rsidRPr="00250CA9">
        <w:rPr>
          <w:rFonts w:eastAsia="Calibri"/>
          <w:lang w:val="es-CU" w:eastAsia="es-PE"/>
        </w:rPr>
        <w:t>Perez</w:t>
      </w:r>
      <w:proofErr w:type="spellEnd"/>
      <w:r w:rsidRPr="00250CA9">
        <w:rPr>
          <w:rFonts w:eastAsia="Calibri"/>
          <w:lang w:val="es-CU" w:eastAsia="es-PE"/>
        </w:rPr>
        <w:t xml:space="preserve"> Espinoza P, Porras-Carhuamaca LA, Sifuentes-Rosales J, et al. Fatalismo ante la posibilidad de contagio por el coronavirus: Generación y </w:t>
      </w:r>
      <w:r w:rsidRPr="00250CA9">
        <w:rPr>
          <w:rFonts w:eastAsia="Calibri"/>
          <w:lang w:val="es-CU" w:eastAsia="es-PE"/>
        </w:rPr>
        <w:lastRenderedPageBreak/>
        <w:t xml:space="preserve">validación de un instrumento (F-COVID-19). </w:t>
      </w:r>
      <w:proofErr w:type="spellStart"/>
      <w:r w:rsidRPr="00250CA9">
        <w:rPr>
          <w:rFonts w:eastAsia="Calibri"/>
          <w:lang w:val="es-CU" w:eastAsia="es-PE"/>
        </w:rPr>
        <w:t>Kasmera</w:t>
      </w:r>
      <w:proofErr w:type="spellEnd"/>
      <w:r w:rsidRPr="00250CA9">
        <w:rPr>
          <w:rFonts w:eastAsia="Calibri"/>
          <w:lang w:val="es-CU" w:eastAsia="es-PE"/>
        </w:rPr>
        <w:t>. 2020 [acceso: 10/04/2022]; 47(2</w:t>
      </w:r>
      <w:proofErr w:type="gramStart"/>
      <w:r w:rsidRPr="00250CA9">
        <w:rPr>
          <w:rFonts w:eastAsia="Calibri"/>
          <w:lang w:val="es-CU" w:eastAsia="es-PE"/>
        </w:rPr>
        <w:t>):</w:t>
      </w:r>
      <w:proofErr w:type="spellStart"/>
      <w:r w:rsidRPr="00250CA9">
        <w:rPr>
          <w:rFonts w:eastAsia="Calibri"/>
          <w:lang w:val="es-CU" w:eastAsia="es-PE"/>
        </w:rPr>
        <w:t>e</w:t>
      </w:r>
      <w:proofErr w:type="gramEnd"/>
      <w:r w:rsidRPr="00250CA9">
        <w:rPr>
          <w:rFonts w:eastAsia="Calibri"/>
          <w:lang w:val="es-CU" w:eastAsia="es-PE"/>
        </w:rPr>
        <w:t>48118032020</w:t>
      </w:r>
      <w:proofErr w:type="spellEnd"/>
      <w:r w:rsidRPr="00250CA9">
        <w:rPr>
          <w:rFonts w:eastAsia="Calibri"/>
          <w:lang w:val="es-CU" w:eastAsia="es-PE"/>
        </w:rPr>
        <w:t xml:space="preserve">. Disponible en: </w:t>
      </w:r>
      <w:hyperlink r:id="rId40" w:anchor=".X8bSrmhKjIU" w:history="1">
        <w:r w:rsidRPr="00250CA9">
          <w:rPr>
            <w:rFonts w:eastAsia="Calibri"/>
            <w:color w:val="0563C1"/>
            <w:lang w:val="es-CU" w:eastAsia="es-PE"/>
          </w:rPr>
          <w:t>https://zenodo.org/record/3732353#.X8bSrmhKjIU</w:t>
        </w:r>
      </w:hyperlink>
      <w:r w:rsidRPr="00250CA9">
        <w:rPr>
          <w:rFonts w:eastAsia="Calibri"/>
          <w:lang w:val="es-CU" w:eastAsia="es-PE"/>
        </w:rPr>
        <w:t xml:space="preserve"> </w:t>
      </w:r>
    </w:p>
    <w:p w14:paraId="50FAC15E" w14:textId="77777777" w:rsidR="00250CA9" w:rsidRPr="00250CA9" w:rsidRDefault="00250CA9" w:rsidP="00250CA9">
      <w:pPr>
        <w:spacing w:line="360" w:lineRule="auto"/>
        <w:rPr>
          <w:rFonts w:eastAsia="Calibri"/>
          <w:lang w:val="es-CU" w:eastAsia="es-PE"/>
        </w:rPr>
      </w:pPr>
      <w:r w:rsidRPr="00250CA9">
        <w:rPr>
          <w:rFonts w:eastAsia="Calibri"/>
          <w:lang w:val="en-US" w:eastAsia="es-PE"/>
        </w:rPr>
        <w:t xml:space="preserve">25. Liu K. How I faced my coronavirus anxiety. </w:t>
      </w:r>
      <w:proofErr w:type="spellStart"/>
      <w:r w:rsidRPr="00250CA9">
        <w:rPr>
          <w:rFonts w:eastAsia="Calibri"/>
          <w:lang w:val="es-CU" w:eastAsia="es-PE"/>
        </w:rPr>
        <w:t>Science</w:t>
      </w:r>
      <w:proofErr w:type="spellEnd"/>
      <w:r w:rsidRPr="00250CA9">
        <w:rPr>
          <w:rFonts w:eastAsia="Calibri"/>
          <w:lang w:val="es-CU" w:eastAsia="es-PE"/>
        </w:rPr>
        <w:t xml:space="preserve">. 2020; 367(6484):1398. </w:t>
      </w:r>
      <w:proofErr w:type="spellStart"/>
      <w:r w:rsidRPr="00250CA9">
        <w:rPr>
          <w:rFonts w:eastAsia="Calibri"/>
          <w:lang w:val="es-CU" w:eastAsia="es-PE"/>
        </w:rPr>
        <w:t>DOI</w:t>
      </w:r>
      <w:proofErr w:type="spellEnd"/>
      <w:r w:rsidRPr="00250CA9">
        <w:rPr>
          <w:rFonts w:eastAsia="Calibri"/>
          <w:lang w:val="es-CU" w:eastAsia="es-PE"/>
        </w:rPr>
        <w:t>: 10.1126/</w:t>
      </w:r>
      <w:proofErr w:type="spellStart"/>
      <w:r w:rsidRPr="00250CA9">
        <w:rPr>
          <w:rFonts w:eastAsia="Calibri"/>
          <w:lang w:val="es-CU" w:eastAsia="es-PE"/>
        </w:rPr>
        <w:t>science.367.6484.139</w:t>
      </w:r>
      <w:proofErr w:type="spellEnd"/>
    </w:p>
    <w:p w14:paraId="3ED90C17" w14:textId="77777777" w:rsidR="00250CA9" w:rsidRPr="00250CA9" w:rsidRDefault="00250CA9" w:rsidP="00250CA9">
      <w:pPr>
        <w:spacing w:line="360" w:lineRule="auto"/>
        <w:jc w:val="both"/>
        <w:rPr>
          <w:rFonts w:eastAsia="Calibri"/>
          <w:lang w:val="es-CU" w:eastAsia="es-PE"/>
        </w:rPr>
      </w:pPr>
    </w:p>
    <w:p w14:paraId="27B19923" w14:textId="77777777" w:rsidR="00250CA9" w:rsidRPr="00250CA9" w:rsidRDefault="00250CA9" w:rsidP="00250CA9">
      <w:pPr>
        <w:spacing w:line="360" w:lineRule="auto"/>
        <w:jc w:val="both"/>
        <w:rPr>
          <w:rFonts w:eastAsia="Calibri"/>
          <w:lang w:val="es-CU" w:eastAsia="es-PE"/>
        </w:rPr>
      </w:pPr>
    </w:p>
    <w:p w14:paraId="634C91D4" w14:textId="77777777" w:rsidR="00250CA9" w:rsidRPr="00250CA9" w:rsidRDefault="00250CA9" w:rsidP="00250CA9">
      <w:pPr>
        <w:pBdr>
          <w:top w:val="nil"/>
          <w:left w:val="nil"/>
          <w:bottom w:val="nil"/>
          <w:right w:val="nil"/>
          <w:between w:val="nil"/>
        </w:pBdr>
        <w:spacing w:line="360" w:lineRule="auto"/>
        <w:jc w:val="center"/>
        <w:rPr>
          <w:b/>
          <w:lang w:val="es-PE" w:eastAsia="es-PE"/>
        </w:rPr>
      </w:pPr>
      <w:r w:rsidRPr="00250CA9">
        <w:rPr>
          <w:b/>
          <w:lang w:val="es-PE" w:eastAsia="es-PE"/>
        </w:rPr>
        <w:t>Conflictos de interés</w:t>
      </w:r>
    </w:p>
    <w:p w14:paraId="0B83621D" w14:textId="77777777" w:rsidR="00250CA9" w:rsidRPr="00250CA9" w:rsidRDefault="00250CA9" w:rsidP="00250CA9">
      <w:pPr>
        <w:pBdr>
          <w:top w:val="nil"/>
          <w:left w:val="nil"/>
          <w:bottom w:val="nil"/>
          <w:right w:val="nil"/>
          <w:between w:val="nil"/>
        </w:pBdr>
        <w:spacing w:line="360" w:lineRule="auto"/>
        <w:rPr>
          <w:lang w:val="es-PE" w:eastAsia="es-PE"/>
        </w:rPr>
      </w:pPr>
      <w:r w:rsidRPr="00250CA9">
        <w:rPr>
          <w:lang w:val="es-PE" w:eastAsia="es-PE"/>
        </w:rPr>
        <w:t>Los autores declaran que no existieron conflictos de interés.</w:t>
      </w:r>
      <w:r w:rsidRPr="00250CA9">
        <w:rPr>
          <w:b/>
          <w:lang w:val="es-PE" w:eastAsia="es-PE"/>
        </w:rPr>
        <w:t xml:space="preserve"> </w:t>
      </w:r>
      <w:r w:rsidRPr="00250CA9">
        <w:rPr>
          <w:lang w:val="es-PE" w:eastAsia="es-PE"/>
        </w:rPr>
        <w:t xml:space="preserve">Los autores declaran que no recibieron financiación para la realización de esta investigación. </w:t>
      </w:r>
    </w:p>
    <w:p w14:paraId="4A579BD2" w14:textId="77777777" w:rsidR="00250CA9" w:rsidRPr="00250CA9" w:rsidRDefault="00250CA9" w:rsidP="00250CA9">
      <w:pPr>
        <w:pBdr>
          <w:top w:val="nil"/>
          <w:left w:val="nil"/>
          <w:bottom w:val="nil"/>
          <w:right w:val="nil"/>
          <w:between w:val="nil"/>
        </w:pBdr>
        <w:spacing w:line="360" w:lineRule="auto"/>
        <w:rPr>
          <w:lang w:val="es-PE" w:eastAsia="es-PE"/>
        </w:rPr>
      </w:pPr>
    </w:p>
    <w:p w14:paraId="1E01A45A" w14:textId="77777777" w:rsidR="00250CA9" w:rsidRPr="00250CA9" w:rsidRDefault="00250CA9" w:rsidP="00250CA9">
      <w:pPr>
        <w:pBdr>
          <w:top w:val="nil"/>
          <w:left w:val="nil"/>
          <w:bottom w:val="nil"/>
          <w:right w:val="nil"/>
          <w:between w:val="nil"/>
        </w:pBdr>
        <w:spacing w:line="360" w:lineRule="auto"/>
        <w:jc w:val="center"/>
        <w:rPr>
          <w:b/>
          <w:bCs/>
          <w:lang w:val="es-PE" w:eastAsia="es-PE"/>
        </w:rPr>
      </w:pPr>
      <w:r w:rsidRPr="00250CA9">
        <w:rPr>
          <w:b/>
          <w:bCs/>
          <w:lang w:val="es-PE" w:eastAsia="es-PE"/>
        </w:rPr>
        <w:t>Contribuciones de los autores</w:t>
      </w:r>
    </w:p>
    <w:p w14:paraId="400ADB19" w14:textId="77777777" w:rsidR="00250CA9" w:rsidRPr="00250CA9" w:rsidRDefault="00250CA9" w:rsidP="00250CA9">
      <w:pPr>
        <w:pBdr>
          <w:top w:val="nil"/>
          <w:left w:val="nil"/>
          <w:bottom w:val="nil"/>
          <w:right w:val="nil"/>
          <w:between w:val="nil"/>
        </w:pBdr>
        <w:spacing w:line="360" w:lineRule="auto"/>
        <w:rPr>
          <w:lang w:val="es-PE" w:eastAsia="es-PE"/>
        </w:rPr>
      </w:pPr>
      <w:r w:rsidRPr="00250CA9">
        <w:rPr>
          <w:lang w:val="es-PE" w:eastAsia="es-PE"/>
        </w:rPr>
        <w:t xml:space="preserve">Conceptualización: </w:t>
      </w:r>
      <w:r w:rsidRPr="00250CA9">
        <w:rPr>
          <w:i/>
          <w:iCs/>
          <w:lang w:val="es-PE" w:eastAsia="es-PE"/>
        </w:rPr>
        <w:t xml:space="preserve">Luis Miguel </w:t>
      </w:r>
      <w:proofErr w:type="spellStart"/>
      <w:r w:rsidRPr="00250CA9">
        <w:rPr>
          <w:i/>
          <w:iCs/>
          <w:lang w:val="es-PE" w:eastAsia="es-PE"/>
        </w:rPr>
        <w:t>Cangalaya</w:t>
      </w:r>
      <w:proofErr w:type="spellEnd"/>
      <w:r w:rsidRPr="00250CA9">
        <w:rPr>
          <w:i/>
          <w:iCs/>
          <w:lang w:val="es-PE" w:eastAsia="es-PE"/>
        </w:rPr>
        <w:t>-Sevillano, Julio E Postigo-</w:t>
      </w:r>
      <w:proofErr w:type="spellStart"/>
      <w:r w:rsidRPr="00250CA9">
        <w:rPr>
          <w:i/>
          <w:iCs/>
          <w:lang w:val="es-PE" w:eastAsia="es-PE"/>
        </w:rPr>
        <w:t>Zumarán</w:t>
      </w:r>
      <w:proofErr w:type="spellEnd"/>
      <w:r w:rsidRPr="00250CA9">
        <w:rPr>
          <w:i/>
          <w:iCs/>
          <w:lang w:val="es-PE" w:eastAsia="es-PE"/>
        </w:rPr>
        <w:t>.</w:t>
      </w:r>
    </w:p>
    <w:p w14:paraId="7B843614" w14:textId="77777777" w:rsidR="00250CA9" w:rsidRPr="00250CA9" w:rsidRDefault="00250CA9" w:rsidP="00250CA9">
      <w:pPr>
        <w:pBdr>
          <w:top w:val="nil"/>
          <w:left w:val="nil"/>
          <w:bottom w:val="nil"/>
          <w:right w:val="nil"/>
          <w:between w:val="nil"/>
        </w:pBdr>
        <w:spacing w:line="360" w:lineRule="auto"/>
        <w:rPr>
          <w:lang w:val="es-PE" w:eastAsia="es-PE"/>
        </w:rPr>
      </w:pPr>
      <w:r w:rsidRPr="00250CA9">
        <w:rPr>
          <w:lang w:val="es-PE" w:eastAsia="es-PE"/>
        </w:rPr>
        <w:t xml:space="preserve">Curación de datos: </w:t>
      </w:r>
      <w:r w:rsidRPr="00250CA9">
        <w:rPr>
          <w:i/>
          <w:iCs/>
          <w:lang w:val="es-PE" w:eastAsia="es-PE"/>
        </w:rPr>
        <w:t xml:space="preserve">Luis Miguel </w:t>
      </w:r>
      <w:proofErr w:type="spellStart"/>
      <w:r w:rsidRPr="00250CA9">
        <w:rPr>
          <w:i/>
          <w:iCs/>
          <w:lang w:val="es-PE" w:eastAsia="es-PE"/>
        </w:rPr>
        <w:t>Cangalaya</w:t>
      </w:r>
      <w:proofErr w:type="spellEnd"/>
      <w:r w:rsidRPr="00250CA9">
        <w:rPr>
          <w:i/>
          <w:iCs/>
          <w:lang w:val="es-PE" w:eastAsia="es-PE"/>
        </w:rPr>
        <w:t>-Sevillano, Julio E Postigo-</w:t>
      </w:r>
      <w:proofErr w:type="spellStart"/>
      <w:r w:rsidRPr="00250CA9">
        <w:rPr>
          <w:i/>
          <w:iCs/>
          <w:lang w:val="es-PE" w:eastAsia="es-PE"/>
        </w:rPr>
        <w:t>Zumarán</w:t>
      </w:r>
      <w:proofErr w:type="spellEnd"/>
      <w:r w:rsidRPr="00250CA9">
        <w:rPr>
          <w:i/>
          <w:iCs/>
          <w:lang w:val="es-PE" w:eastAsia="es-PE"/>
        </w:rPr>
        <w:t>.</w:t>
      </w:r>
    </w:p>
    <w:p w14:paraId="1A1BA1F7" w14:textId="77777777" w:rsidR="00250CA9" w:rsidRPr="00250CA9" w:rsidRDefault="00250CA9" w:rsidP="00250CA9">
      <w:pPr>
        <w:pBdr>
          <w:top w:val="nil"/>
          <w:left w:val="nil"/>
          <w:bottom w:val="nil"/>
          <w:right w:val="nil"/>
          <w:between w:val="nil"/>
        </w:pBdr>
        <w:spacing w:line="360" w:lineRule="auto"/>
        <w:rPr>
          <w:lang w:val="es-PE" w:eastAsia="es-PE"/>
        </w:rPr>
      </w:pPr>
      <w:r w:rsidRPr="00250CA9">
        <w:rPr>
          <w:lang w:val="es-PE" w:eastAsia="es-PE"/>
        </w:rPr>
        <w:t xml:space="preserve">Análisis formal: </w:t>
      </w:r>
      <w:r w:rsidRPr="00250CA9">
        <w:rPr>
          <w:i/>
          <w:iCs/>
          <w:lang w:val="es-PE" w:eastAsia="es-PE"/>
        </w:rPr>
        <w:t xml:space="preserve">Luis Miguel </w:t>
      </w:r>
      <w:proofErr w:type="spellStart"/>
      <w:r w:rsidRPr="00250CA9">
        <w:rPr>
          <w:i/>
          <w:iCs/>
          <w:lang w:val="es-PE" w:eastAsia="es-PE"/>
        </w:rPr>
        <w:t>Cangalaya</w:t>
      </w:r>
      <w:proofErr w:type="spellEnd"/>
      <w:r w:rsidRPr="00250CA9">
        <w:rPr>
          <w:i/>
          <w:iCs/>
          <w:lang w:val="es-PE" w:eastAsia="es-PE"/>
        </w:rPr>
        <w:t>-Sevillano, Julio E Postigo-</w:t>
      </w:r>
      <w:proofErr w:type="spellStart"/>
      <w:r w:rsidRPr="00250CA9">
        <w:rPr>
          <w:i/>
          <w:iCs/>
          <w:lang w:val="es-PE" w:eastAsia="es-PE"/>
        </w:rPr>
        <w:t>Zumarán</w:t>
      </w:r>
      <w:proofErr w:type="spellEnd"/>
      <w:r w:rsidRPr="00250CA9">
        <w:rPr>
          <w:i/>
          <w:iCs/>
          <w:lang w:val="es-PE" w:eastAsia="es-PE"/>
        </w:rPr>
        <w:t>.</w:t>
      </w:r>
    </w:p>
    <w:p w14:paraId="31214E95" w14:textId="77777777" w:rsidR="00250CA9" w:rsidRPr="00250CA9" w:rsidRDefault="00250CA9" w:rsidP="00250CA9">
      <w:pPr>
        <w:pBdr>
          <w:top w:val="nil"/>
          <w:left w:val="nil"/>
          <w:bottom w:val="nil"/>
          <w:right w:val="nil"/>
          <w:between w:val="nil"/>
        </w:pBdr>
        <w:spacing w:line="360" w:lineRule="auto"/>
        <w:rPr>
          <w:lang w:val="es-PE" w:eastAsia="es-PE"/>
        </w:rPr>
      </w:pPr>
      <w:r w:rsidRPr="00250CA9">
        <w:rPr>
          <w:lang w:val="es-PE" w:eastAsia="es-PE"/>
        </w:rPr>
        <w:t xml:space="preserve">Investigación: </w:t>
      </w:r>
      <w:r w:rsidRPr="00250CA9">
        <w:rPr>
          <w:i/>
          <w:iCs/>
          <w:lang w:val="es-PE" w:eastAsia="es-PE"/>
        </w:rPr>
        <w:t xml:space="preserve">Luis Miguel </w:t>
      </w:r>
      <w:proofErr w:type="spellStart"/>
      <w:r w:rsidRPr="00250CA9">
        <w:rPr>
          <w:i/>
          <w:iCs/>
          <w:lang w:val="es-PE" w:eastAsia="es-PE"/>
        </w:rPr>
        <w:t>Cangalaya</w:t>
      </w:r>
      <w:proofErr w:type="spellEnd"/>
      <w:r w:rsidRPr="00250CA9">
        <w:rPr>
          <w:i/>
          <w:iCs/>
          <w:lang w:val="es-PE" w:eastAsia="es-PE"/>
        </w:rPr>
        <w:t>-Sevillano, Julio E Postigo-</w:t>
      </w:r>
      <w:proofErr w:type="spellStart"/>
      <w:r w:rsidRPr="00250CA9">
        <w:rPr>
          <w:i/>
          <w:iCs/>
          <w:lang w:val="es-PE" w:eastAsia="es-PE"/>
        </w:rPr>
        <w:t>Zumarán</w:t>
      </w:r>
      <w:proofErr w:type="spellEnd"/>
      <w:r w:rsidRPr="00250CA9">
        <w:rPr>
          <w:i/>
          <w:iCs/>
          <w:lang w:val="es-PE" w:eastAsia="es-PE"/>
        </w:rPr>
        <w:t>, Dennis Arias-Chávez.</w:t>
      </w:r>
    </w:p>
    <w:p w14:paraId="65D07967" w14:textId="77777777" w:rsidR="00250CA9" w:rsidRPr="00250CA9" w:rsidRDefault="00250CA9" w:rsidP="00250CA9">
      <w:pPr>
        <w:pBdr>
          <w:top w:val="nil"/>
          <w:left w:val="nil"/>
          <w:bottom w:val="nil"/>
          <w:right w:val="nil"/>
          <w:between w:val="nil"/>
        </w:pBdr>
        <w:spacing w:line="360" w:lineRule="auto"/>
        <w:rPr>
          <w:lang w:val="es-PE" w:eastAsia="es-PE"/>
        </w:rPr>
      </w:pPr>
      <w:r w:rsidRPr="00250CA9">
        <w:rPr>
          <w:lang w:val="es-PE" w:eastAsia="es-PE"/>
        </w:rPr>
        <w:t xml:space="preserve">Metodología: </w:t>
      </w:r>
      <w:r w:rsidRPr="00250CA9">
        <w:rPr>
          <w:i/>
          <w:iCs/>
          <w:lang w:val="es-PE" w:eastAsia="es-PE"/>
        </w:rPr>
        <w:t>Dennis Arias-Chávez, Jaime Espinosa-Izquierdo.</w:t>
      </w:r>
    </w:p>
    <w:p w14:paraId="09CE4501" w14:textId="77777777" w:rsidR="00250CA9" w:rsidRPr="00250CA9" w:rsidRDefault="00250CA9" w:rsidP="00250CA9">
      <w:pPr>
        <w:pBdr>
          <w:top w:val="nil"/>
          <w:left w:val="nil"/>
          <w:bottom w:val="nil"/>
          <w:right w:val="nil"/>
          <w:between w:val="nil"/>
        </w:pBdr>
        <w:spacing w:line="360" w:lineRule="auto"/>
        <w:rPr>
          <w:lang w:val="es-PE" w:eastAsia="es-PE"/>
        </w:rPr>
      </w:pPr>
      <w:r w:rsidRPr="00250CA9">
        <w:rPr>
          <w:lang w:val="es-PE" w:eastAsia="es-PE"/>
        </w:rPr>
        <w:t xml:space="preserve">Recursos: </w:t>
      </w:r>
      <w:r w:rsidRPr="00250CA9">
        <w:rPr>
          <w:i/>
          <w:iCs/>
          <w:lang w:val="es-PE" w:eastAsia="es-PE"/>
        </w:rPr>
        <w:t>Mario Gustavo Berrios-</w:t>
      </w:r>
      <w:proofErr w:type="spellStart"/>
      <w:r w:rsidRPr="00250CA9">
        <w:rPr>
          <w:i/>
          <w:iCs/>
          <w:lang w:val="es-PE" w:eastAsia="es-PE"/>
        </w:rPr>
        <w:t>Espezúa</w:t>
      </w:r>
      <w:proofErr w:type="spellEnd"/>
      <w:r w:rsidRPr="00250CA9">
        <w:rPr>
          <w:i/>
          <w:iCs/>
          <w:lang w:val="es-PE" w:eastAsia="es-PE"/>
        </w:rPr>
        <w:t>.</w:t>
      </w:r>
    </w:p>
    <w:p w14:paraId="4939F002" w14:textId="77777777" w:rsidR="00250CA9" w:rsidRPr="00250CA9" w:rsidRDefault="00250CA9" w:rsidP="00250CA9">
      <w:pPr>
        <w:pBdr>
          <w:top w:val="nil"/>
          <w:left w:val="nil"/>
          <w:bottom w:val="nil"/>
          <w:right w:val="nil"/>
          <w:between w:val="nil"/>
        </w:pBdr>
        <w:spacing w:line="360" w:lineRule="auto"/>
        <w:rPr>
          <w:lang w:val="es-PE" w:eastAsia="es-PE"/>
        </w:rPr>
      </w:pPr>
      <w:r w:rsidRPr="00250CA9">
        <w:rPr>
          <w:lang w:val="es-PE" w:eastAsia="es-PE"/>
        </w:rPr>
        <w:t xml:space="preserve">Software: </w:t>
      </w:r>
      <w:r w:rsidRPr="00250CA9">
        <w:rPr>
          <w:i/>
          <w:iCs/>
          <w:lang w:val="es-PE" w:eastAsia="es-PE"/>
        </w:rPr>
        <w:t>Mario Gustavo Berrios-</w:t>
      </w:r>
      <w:proofErr w:type="spellStart"/>
      <w:r w:rsidRPr="00250CA9">
        <w:rPr>
          <w:i/>
          <w:iCs/>
          <w:lang w:val="es-PE" w:eastAsia="es-PE"/>
        </w:rPr>
        <w:t>Espezúa</w:t>
      </w:r>
      <w:proofErr w:type="spellEnd"/>
      <w:r w:rsidRPr="00250CA9">
        <w:rPr>
          <w:i/>
          <w:iCs/>
          <w:lang w:val="es-PE" w:eastAsia="es-PE"/>
        </w:rPr>
        <w:t>.</w:t>
      </w:r>
    </w:p>
    <w:p w14:paraId="4EB962DA" w14:textId="77777777" w:rsidR="00250CA9" w:rsidRPr="00250CA9" w:rsidRDefault="00250CA9" w:rsidP="00250CA9">
      <w:pPr>
        <w:pBdr>
          <w:top w:val="nil"/>
          <w:left w:val="nil"/>
          <w:bottom w:val="nil"/>
          <w:right w:val="nil"/>
          <w:between w:val="nil"/>
        </w:pBdr>
        <w:spacing w:line="360" w:lineRule="auto"/>
        <w:rPr>
          <w:lang w:val="es-PE" w:eastAsia="es-PE"/>
        </w:rPr>
      </w:pPr>
      <w:r w:rsidRPr="00250CA9">
        <w:rPr>
          <w:lang w:val="es-PE" w:eastAsia="es-PE"/>
        </w:rPr>
        <w:t xml:space="preserve">Supervisión: </w:t>
      </w:r>
      <w:r w:rsidRPr="00250CA9">
        <w:rPr>
          <w:i/>
          <w:iCs/>
          <w:lang w:val="es-PE" w:eastAsia="es-PE"/>
        </w:rPr>
        <w:t>Jaime Espinosa-Izquierdo.</w:t>
      </w:r>
    </w:p>
    <w:p w14:paraId="39123524" w14:textId="77777777" w:rsidR="00250CA9" w:rsidRPr="00250CA9" w:rsidRDefault="00250CA9" w:rsidP="00250CA9">
      <w:pPr>
        <w:pBdr>
          <w:top w:val="nil"/>
          <w:left w:val="nil"/>
          <w:bottom w:val="nil"/>
          <w:right w:val="nil"/>
          <w:between w:val="nil"/>
        </w:pBdr>
        <w:spacing w:line="360" w:lineRule="auto"/>
        <w:rPr>
          <w:lang w:val="es-PE" w:eastAsia="es-PE"/>
        </w:rPr>
      </w:pPr>
      <w:r w:rsidRPr="00250CA9">
        <w:rPr>
          <w:lang w:val="es-PE" w:eastAsia="es-PE"/>
        </w:rPr>
        <w:t xml:space="preserve">Validación: </w:t>
      </w:r>
      <w:r w:rsidRPr="00250CA9">
        <w:rPr>
          <w:i/>
          <w:iCs/>
          <w:lang w:val="es-PE" w:eastAsia="es-PE"/>
        </w:rPr>
        <w:t>Jaime Espinosa-Izquierdo.</w:t>
      </w:r>
    </w:p>
    <w:p w14:paraId="0A8D67CB" w14:textId="77777777" w:rsidR="00250CA9" w:rsidRPr="00250CA9" w:rsidRDefault="00250CA9" w:rsidP="00250CA9">
      <w:pPr>
        <w:pBdr>
          <w:top w:val="nil"/>
          <w:left w:val="nil"/>
          <w:bottom w:val="nil"/>
          <w:right w:val="nil"/>
          <w:between w:val="nil"/>
        </w:pBdr>
        <w:spacing w:line="360" w:lineRule="auto"/>
        <w:rPr>
          <w:lang w:val="es-PE" w:eastAsia="es-PE"/>
        </w:rPr>
      </w:pPr>
      <w:r w:rsidRPr="00250CA9">
        <w:rPr>
          <w:lang w:val="es-PE" w:eastAsia="es-PE"/>
        </w:rPr>
        <w:t xml:space="preserve">Visualización: </w:t>
      </w:r>
      <w:r w:rsidRPr="00250CA9">
        <w:rPr>
          <w:i/>
          <w:iCs/>
          <w:lang w:val="es-PE" w:eastAsia="es-PE"/>
        </w:rPr>
        <w:t>Mario Gustavo Berrios-</w:t>
      </w:r>
      <w:proofErr w:type="spellStart"/>
      <w:r w:rsidRPr="00250CA9">
        <w:rPr>
          <w:i/>
          <w:iCs/>
          <w:lang w:val="es-PE" w:eastAsia="es-PE"/>
        </w:rPr>
        <w:t>Espezúa</w:t>
      </w:r>
      <w:proofErr w:type="spellEnd"/>
      <w:r w:rsidRPr="00250CA9">
        <w:rPr>
          <w:i/>
          <w:iCs/>
          <w:lang w:val="es-PE" w:eastAsia="es-PE"/>
        </w:rPr>
        <w:t>.</w:t>
      </w:r>
    </w:p>
    <w:p w14:paraId="6DD395AF" w14:textId="77777777" w:rsidR="00250CA9" w:rsidRPr="00250CA9" w:rsidRDefault="00250CA9" w:rsidP="00250CA9">
      <w:pPr>
        <w:pBdr>
          <w:top w:val="nil"/>
          <w:left w:val="nil"/>
          <w:bottom w:val="nil"/>
          <w:right w:val="nil"/>
          <w:between w:val="nil"/>
        </w:pBdr>
        <w:spacing w:line="360" w:lineRule="auto"/>
        <w:rPr>
          <w:lang w:val="es-PE" w:eastAsia="es-PE"/>
        </w:rPr>
      </w:pPr>
      <w:r w:rsidRPr="00250CA9">
        <w:rPr>
          <w:lang w:val="es-PE" w:eastAsia="es-PE"/>
        </w:rPr>
        <w:t xml:space="preserve">Redacción – borrador original: </w:t>
      </w:r>
      <w:r w:rsidRPr="00250CA9">
        <w:rPr>
          <w:i/>
          <w:iCs/>
          <w:lang w:val="es-PE" w:eastAsia="es-PE"/>
        </w:rPr>
        <w:t xml:space="preserve">Luis Miguel </w:t>
      </w:r>
      <w:proofErr w:type="spellStart"/>
      <w:r w:rsidRPr="00250CA9">
        <w:rPr>
          <w:i/>
          <w:iCs/>
          <w:lang w:val="es-PE" w:eastAsia="es-PE"/>
        </w:rPr>
        <w:t>Cangalaya</w:t>
      </w:r>
      <w:proofErr w:type="spellEnd"/>
      <w:r w:rsidRPr="00250CA9">
        <w:rPr>
          <w:i/>
          <w:iCs/>
          <w:lang w:val="es-PE" w:eastAsia="es-PE"/>
        </w:rPr>
        <w:t>-Sevillano, Julio E Postigo-</w:t>
      </w:r>
      <w:proofErr w:type="spellStart"/>
      <w:r w:rsidRPr="00250CA9">
        <w:rPr>
          <w:i/>
          <w:iCs/>
          <w:lang w:val="es-PE" w:eastAsia="es-PE"/>
        </w:rPr>
        <w:t>Zumarán</w:t>
      </w:r>
      <w:proofErr w:type="spellEnd"/>
      <w:r w:rsidRPr="00250CA9">
        <w:rPr>
          <w:i/>
          <w:iCs/>
          <w:lang w:val="es-PE" w:eastAsia="es-PE"/>
        </w:rPr>
        <w:t>, Dennis Arias-Chávez.</w:t>
      </w:r>
    </w:p>
    <w:p w14:paraId="69224A97" w14:textId="77777777" w:rsidR="00250CA9" w:rsidRPr="00250CA9" w:rsidRDefault="00250CA9" w:rsidP="00250CA9">
      <w:pPr>
        <w:pBdr>
          <w:top w:val="nil"/>
          <w:left w:val="nil"/>
          <w:bottom w:val="nil"/>
          <w:right w:val="nil"/>
          <w:between w:val="nil"/>
        </w:pBdr>
        <w:spacing w:line="360" w:lineRule="auto"/>
        <w:rPr>
          <w:lang w:val="es-PE" w:eastAsia="es-PE"/>
        </w:rPr>
      </w:pPr>
      <w:r w:rsidRPr="00250CA9">
        <w:rPr>
          <w:lang w:val="es-PE" w:eastAsia="es-PE"/>
        </w:rPr>
        <w:t xml:space="preserve">Redacción – revisión y edición: </w:t>
      </w:r>
      <w:r w:rsidRPr="00250CA9">
        <w:rPr>
          <w:i/>
          <w:iCs/>
          <w:lang w:val="es-PE" w:eastAsia="es-PE"/>
        </w:rPr>
        <w:t>Mario Gustavo Berrios-</w:t>
      </w:r>
      <w:proofErr w:type="spellStart"/>
      <w:r w:rsidRPr="00250CA9">
        <w:rPr>
          <w:i/>
          <w:iCs/>
          <w:lang w:val="es-PE" w:eastAsia="es-PE"/>
        </w:rPr>
        <w:t>Espezúa</w:t>
      </w:r>
      <w:proofErr w:type="spellEnd"/>
      <w:r w:rsidRPr="00250CA9">
        <w:rPr>
          <w:i/>
          <w:iCs/>
          <w:lang w:val="es-PE" w:eastAsia="es-PE"/>
        </w:rPr>
        <w:t>, Jaime Espinosa-Izquierdo.</w:t>
      </w:r>
    </w:p>
    <w:p w14:paraId="760A23F1" w14:textId="77777777" w:rsidR="00675476" w:rsidRPr="00250CA9" w:rsidRDefault="00675476" w:rsidP="00EA1FEF">
      <w:pPr>
        <w:pStyle w:val="PDFRevista"/>
        <w:rPr>
          <w:lang w:val="es-PE"/>
        </w:rPr>
      </w:pPr>
    </w:p>
    <w:sectPr w:rsidR="00675476" w:rsidRPr="00250CA9" w:rsidSect="00FD3DF8">
      <w:headerReference w:type="default" r:id="rId41"/>
      <w:footerReference w:type="even" r:id="rId42"/>
      <w:footerReference w:type="default" r:id="rId4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A469C" w14:textId="77777777" w:rsidR="001B6994" w:rsidRDefault="001B6994">
      <w:r>
        <w:separator/>
      </w:r>
    </w:p>
  </w:endnote>
  <w:endnote w:type="continuationSeparator" w:id="0">
    <w:p w14:paraId="657DF8AC" w14:textId="77777777" w:rsidR="001B6994" w:rsidRDefault="001B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834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944D6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DDB3" w14:textId="381EF855" w:rsidR="000F3690" w:rsidRPr="00AE044C" w:rsidRDefault="00250CA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8A2435B" wp14:editId="4BAFF38B">
              <wp:simplePos x="0" y="0"/>
              <wp:positionH relativeFrom="column">
                <wp:posOffset>3810</wp:posOffset>
              </wp:positionH>
              <wp:positionV relativeFrom="paragraph">
                <wp:posOffset>50165</wp:posOffset>
              </wp:positionV>
              <wp:extent cx="6286500" cy="19050"/>
              <wp:effectExtent l="19050" t="19050" r="0" b="0"/>
              <wp:wrapNone/>
              <wp:docPr id="24599052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2B08F9"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1CF4E13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96FBB03"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4E66545B" w14:textId="162BD735"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250CA9" w:rsidRPr="00250CA9">
      <w:rPr>
        <w:rFonts w:ascii="Verdana" w:hAnsi="Verdana"/>
        <w:noProof/>
        <w:sz w:val="18"/>
        <w:szCs w:val="18"/>
        <w:lang w:val="en-US" w:eastAsia="en-US"/>
      </w:rPr>
      <w:drawing>
        <wp:inline distT="0" distB="0" distL="0" distR="0" wp14:anchorId="33FEF791" wp14:editId="7B917469">
          <wp:extent cx="643890" cy="146050"/>
          <wp:effectExtent l="0" t="0" r="0" b="0"/>
          <wp:docPr id="26887934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8009B" w14:textId="77777777" w:rsidR="001B6994" w:rsidRDefault="001B6994">
      <w:r>
        <w:separator/>
      </w:r>
    </w:p>
  </w:footnote>
  <w:footnote w:type="continuationSeparator" w:id="0">
    <w:p w14:paraId="0B63CDB0" w14:textId="77777777" w:rsidR="001B6994" w:rsidRDefault="001B6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2B30" w14:textId="0C98C590" w:rsidR="00CC376A" w:rsidRPr="00AE044C" w:rsidRDefault="00250CA9"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023010709</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6B9CE33D" wp14:editId="30B78C94">
          <wp:simplePos x="0" y="0"/>
          <wp:positionH relativeFrom="column">
            <wp:posOffset>2540</wp:posOffset>
          </wp:positionH>
          <wp:positionV relativeFrom="paragraph">
            <wp:posOffset>-598805</wp:posOffset>
          </wp:positionV>
          <wp:extent cx="6333490" cy="593725"/>
          <wp:effectExtent l="0" t="0" r="0" b="0"/>
          <wp:wrapNone/>
          <wp:docPr id="136956267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698F14" w14:textId="749EB1E0" w:rsidR="00A477DE" w:rsidRDefault="00250CA9">
    <w:r>
      <w:rPr>
        <w:noProof/>
      </w:rPr>
      <mc:AlternateContent>
        <mc:Choice Requires="wps">
          <w:drawing>
            <wp:anchor distT="0" distB="0" distL="114300" distR="114300" simplePos="0" relativeHeight="251654144" behindDoc="0" locked="0" layoutInCell="1" allowOverlap="1" wp14:anchorId="7CC6907F" wp14:editId="5531DAAB">
              <wp:simplePos x="0" y="0"/>
              <wp:positionH relativeFrom="column">
                <wp:posOffset>635</wp:posOffset>
              </wp:positionH>
              <wp:positionV relativeFrom="paragraph">
                <wp:posOffset>42545</wp:posOffset>
              </wp:positionV>
              <wp:extent cx="6307455" cy="28575"/>
              <wp:effectExtent l="19050" t="19050" r="17145" b="9525"/>
              <wp:wrapNone/>
              <wp:docPr id="1324267799"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85D08B"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579"/>
    <w:multiLevelType w:val="hybridMultilevel"/>
    <w:tmpl w:val="3880D326"/>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 w15:restartNumberingAfterBreak="0">
    <w:nsid w:val="1227130B"/>
    <w:multiLevelType w:val="hybridMultilevel"/>
    <w:tmpl w:val="6E6A3F1C"/>
    <w:lvl w:ilvl="0" w:tplc="D952D0E4">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7C6FD7"/>
    <w:multiLevelType w:val="hybridMultilevel"/>
    <w:tmpl w:val="13BC6F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A65594"/>
    <w:multiLevelType w:val="hybridMultilevel"/>
    <w:tmpl w:val="B66A71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39D5776"/>
    <w:multiLevelType w:val="hybridMultilevel"/>
    <w:tmpl w:val="3880D326"/>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5" w15:restartNumberingAfterBreak="0">
    <w:nsid w:val="41825CCB"/>
    <w:multiLevelType w:val="hybridMultilevel"/>
    <w:tmpl w:val="015C8CF4"/>
    <w:lvl w:ilvl="0" w:tplc="11A678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6"/>
  </w:num>
  <w:num w:numId="2" w16cid:durableId="1345668564">
    <w:abstractNumId w:val="3"/>
  </w:num>
  <w:num w:numId="3" w16cid:durableId="474877418">
    <w:abstractNumId w:val="1"/>
  </w:num>
  <w:num w:numId="4" w16cid:durableId="1973553986">
    <w:abstractNumId w:val="2"/>
  </w:num>
  <w:num w:numId="5" w16cid:durableId="625962936">
    <w:abstractNumId w:val="5"/>
  </w:num>
  <w:num w:numId="6" w16cid:durableId="1089933485">
    <w:abstractNumId w:val="4"/>
  </w:num>
  <w:num w:numId="7" w16cid:durableId="1856378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A9"/>
    <w:rsid w:val="00057F45"/>
    <w:rsid w:val="000D3958"/>
    <w:rsid w:val="000F3690"/>
    <w:rsid w:val="001221D1"/>
    <w:rsid w:val="00165CB5"/>
    <w:rsid w:val="00180CE9"/>
    <w:rsid w:val="001B6994"/>
    <w:rsid w:val="00230DD5"/>
    <w:rsid w:val="00250AE9"/>
    <w:rsid w:val="00250CA9"/>
    <w:rsid w:val="002D16F6"/>
    <w:rsid w:val="00380D64"/>
    <w:rsid w:val="00384F66"/>
    <w:rsid w:val="00391509"/>
    <w:rsid w:val="003E03D5"/>
    <w:rsid w:val="00486BFA"/>
    <w:rsid w:val="00493701"/>
    <w:rsid w:val="004E2065"/>
    <w:rsid w:val="005508A2"/>
    <w:rsid w:val="0055115D"/>
    <w:rsid w:val="005600B0"/>
    <w:rsid w:val="00566F71"/>
    <w:rsid w:val="005839B4"/>
    <w:rsid w:val="005918BD"/>
    <w:rsid w:val="006173A6"/>
    <w:rsid w:val="00675476"/>
    <w:rsid w:val="007201F5"/>
    <w:rsid w:val="007C430F"/>
    <w:rsid w:val="007D2D0C"/>
    <w:rsid w:val="007D614D"/>
    <w:rsid w:val="00915D3C"/>
    <w:rsid w:val="00960D6A"/>
    <w:rsid w:val="009A0560"/>
    <w:rsid w:val="009B0917"/>
    <w:rsid w:val="009F0F96"/>
    <w:rsid w:val="00A0627B"/>
    <w:rsid w:val="00A23C0C"/>
    <w:rsid w:val="00A24089"/>
    <w:rsid w:val="00A477DE"/>
    <w:rsid w:val="00A66186"/>
    <w:rsid w:val="00A71E65"/>
    <w:rsid w:val="00A92CB9"/>
    <w:rsid w:val="00AE044C"/>
    <w:rsid w:val="00B04E1B"/>
    <w:rsid w:val="00B31971"/>
    <w:rsid w:val="00B4380A"/>
    <w:rsid w:val="00B66ECB"/>
    <w:rsid w:val="00C7523A"/>
    <w:rsid w:val="00CC1B6E"/>
    <w:rsid w:val="00CC376A"/>
    <w:rsid w:val="00CC48A1"/>
    <w:rsid w:val="00CF50E0"/>
    <w:rsid w:val="00D839EA"/>
    <w:rsid w:val="00D85951"/>
    <w:rsid w:val="00DB18F8"/>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09E6A"/>
  <w15:docId w15:val="{0EE8191F-3BAC-4B3B-B782-917CF22F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250CA9"/>
  </w:style>
  <w:style w:type="character" w:customStyle="1" w:styleId="highlight">
    <w:name w:val="highlight"/>
    <w:basedOn w:val="Fuentedeprrafopredeter"/>
    <w:rsid w:val="00250CA9"/>
  </w:style>
  <w:style w:type="paragraph" w:styleId="Prrafodelista">
    <w:name w:val="List Paragraph"/>
    <w:basedOn w:val="Normal"/>
    <w:uiPriority w:val="34"/>
    <w:qFormat/>
    <w:rsid w:val="00250CA9"/>
    <w:pPr>
      <w:spacing w:after="160" w:line="259" w:lineRule="auto"/>
      <w:ind w:left="720"/>
      <w:contextualSpacing/>
    </w:pPr>
    <w:rPr>
      <w:rFonts w:ascii="Calibri" w:eastAsia="Calibri" w:hAnsi="Calibri" w:cs="Calibri"/>
      <w:sz w:val="22"/>
      <w:szCs w:val="22"/>
      <w:lang w:val="es-PE" w:eastAsia="es-PE"/>
    </w:rPr>
  </w:style>
  <w:style w:type="character" w:styleId="Refdecomentario">
    <w:name w:val="annotation reference"/>
    <w:uiPriority w:val="99"/>
    <w:semiHidden/>
    <w:unhideWhenUsed/>
    <w:rsid w:val="00250CA9"/>
    <w:rPr>
      <w:sz w:val="16"/>
      <w:szCs w:val="16"/>
    </w:rPr>
  </w:style>
  <w:style w:type="paragraph" w:styleId="Textocomentario">
    <w:name w:val="annotation text"/>
    <w:basedOn w:val="Normal"/>
    <w:link w:val="TextocomentarioCar"/>
    <w:uiPriority w:val="99"/>
    <w:unhideWhenUsed/>
    <w:qFormat/>
    <w:rsid w:val="00250CA9"/>
    <w:pPr>
      <w:spacing w:after="160"/>
    </w:pPr>
    <w:rPr>
      <w:rFonts w:ascii="Calibri" w:eastAsia="Calibri" w:hAnsi="Calibri" w:cs="Calibri"/>
      <w:sz w:val="20"/>
      <w:szCs w:val="20"/>
      <w:lang w:val="es-PE" w:eastAsia="es-PE"/>
    </w:rPr>
  </w:style>
  <w:style w:type="character" w:customStyle="1" w:styleId="TextocomentarioCar">
    <w:name w:val="Texto comentario Car"/>
    <w:basedOn w:val="Fuentedeprrafopredeter"/>
    <w:link w:val="Textocomentario"/>
    <w:uiPriority w:val="99"/>
    <w:qFormat/>
    <w:rsid w:val="00250CA9"/>
    <w:rPr>
      <w:rFonts w:ascii="Calibri" w:eastAsia="Calibri" w:hAnsi="Calibri" w:cs="Calibri"/>
      <w:lang w:val="es-PE" w:eastAsia="es-PE"/>
    </w:rPr>
  </w:style>
  <w:style w:type="paragraph" w:styleId="Asuntodelcomentario">
    <w:name w:val="annotation subject"/>
    <w:basedOn w:val="Textocomentario"/>
    <w:next w:val="Textocomentario"/>
    <w:link w:val="AsuntodelcomentarioCar"/>
    <w:uiPriority w:val="99"/>
    <w:semiHidden/>
    <w:unhideWhenUsed/>
    <w:rsid w:val="00250CA9"/>
    <w:rPr>
      <w:b/>
      <w:bCs/>
    </w:rPr>
  </w:style>
  <w:style w:type="character" w:customStyle="1" w:styleId="AsuntodelcomentarioCar">
    <w:name w:val="Asunto del comentario Car"/>
    <w:basedOn w:val="TextocomentarioCar"/>
    <w:link w:val="Asuntodelcomentario"/>
    <w:uiPriority w:val="99"/>
    <w:semiHidden/>
    <w:rsid w:val="00250CA9"/>
    <w:rPr>
      <w:rFonts w:ascii="Calibri" w:eastAsia="Calibri" w:hAnsi="Calibri" w:cs="Calibri"/>
      <w:b/>
      <w:bCs/>
      <w:lang w:val="es-PE" w:eastAsia="es-PE"/>
    </w:rPr>
  </w:style>
  <w:style w:type="character" w:customStyle="1" w:styleId="Mencinsinresolver1">
    <w:name w:val="Mención sin resolver1"/>
    <w:uiPriority w:val="99"/>
    <w:semiHidden/>
    <w:unhideWhenUsed/>
    <w:rsid w:val="00250CA9"/>
    <w:rPr>
      <w:color w:val="605E5C"/>
      <w:shd w:val="clear" w:color="auto" w:fill="E1DFDD"/>
    </w:rPr>
  </w:style>
  <w:style w:type="paragraph" w:styleId="Textoindependiente">
    <w:name w:val="Body Text"/>
    <w:basedOn w:val="Normal"/>
    <w:link w:val="TextoindependienteCar"/>
    <w:uiPriority w:val="99"/>
    <w:unhideWhenUsed/>
    <w:rsid w:val="00250CA9"/>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250CA9"/>
    <w:rPr>
      <w:rFonts w:ascii="Arial" w:hAnsi="Arial" w:cs="Arial"/>
      <w:sz w:val="12"/>
      <w:szCs w:val="12"/>
      <w:lang w:val="es-ES" w:eastAsia="es-ES"/>
    </w:rPr>
  </w:style>
  <w:style w:type="character" w:styleId="nfasis">
    <w:name w:val="Emphasis"/>
    <w:uiPriority w:val="20"/>
    <w:qFormat/>
    <w:rsid w:val="00250CA9"/>
    <w:rPr>
      <w:i/>
      <w:iCs/>
    </w:rPr>
  </w:style>
  <w:style w:type="paragraph" w:styleId="Lista">
    <w:name w:val="List"/>
    <w:basedOn w:val="Normal"/>
    <w:uiPriority w:val="99"/>
    <w:unhideWhenUsed/>
    <w:rsid w:val="00250CA9"/>
    <w:pPr>
      <w:ind w:left="283" w:hanging="283"/>
      <w:contextualSpacing/>
    </w:pPr>
    <w:rPr>
      <w:rFonts w:ascii="Arial" w:hAnsi="Arial" w:cs="Arial"/>
      <w:sz w:val="12"/>
      <w:szCs w:val="12"/>
      <w:lang w:val="es-ES" w:eastAsia="es-ES"/>
    </w:rPr>
  </w:style>
  <w:style w:type="character" w:customStyle="1" w:styleId="Mencinsinresolver2">
    <w:name w:val="Mención sin resolver2"/>
    <w:uiPriority w:val="99"/>
    <w:semiHidden/>
    <w:unhideWhenUsed/>
    <w:rsid w:val="00250CA9"/>
    <w:rPr>
      <w:color w:val="605E5C"/>
      <w:shd w:val="clear" w:color="auto" w:fill="E1DFDD"/>
    </w:rPr>
  </w:style>
  <w:style w:type="paragraph" w:styleId="Revisin">
    <w:name w:val="Revision"/>
    <w:hidden/>
    <w:uiPriority w:val="99"/>
    <w:semiHidden/>
    <w:rsid w:val="00250CA9"/>
    <w:rPr>
      <w:rFonts w:ascii="Calibri" w:eastAsia="Calibri" w:hAnsi="Calibri" w:cs="Calibri"/>
      <w:sz w:val="22"/>
      <w:szCs w:val="22"/>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954-0127" TargetMode="External"/><Relationship Id="rId13" Type="http://schemas.openxmlformats.org/officeDocument/2006/relationships/hyperlink" Target="https://www.ncbi.nlm.nih.gov/mesh/68014495" TargetMode="External"/><Relationship Id="rId18" Type="http://schemas.openxmlformats.org/officeDocument/2006/relationships/hyperlink" Target="https://www.scielo.sa.cr/scielo.php?pid=S1659-33592016000200041&amp;script=sci_abstract&amp;tlng=es" TargetMode="External"/><Relationship Id="rId26" Type="http://schemas.openxmlformats.org/officeDocument/2006/relationships/hyperlink" Target="https://doi.org/10.35811/rea.v12i1.188" TargetMode="External"/><Relationship Id="rId39" Type="http://schemas.openxmlformats.org/officeDocument/2006/relationships/hyperlink" Target="https://doi.org/10.4324/9781410601087" TargetMode="External"/><Relationship Id="rId3" Type="http://schemas.openxmlformats.org/officeDocument/2006/relationships/settings" Target="settings.xml"/><Relationship Id="rId21" Type="http://schemas.openxmlformats.org/officeDocument/2006/relationships/hyperlink" Target="http://dx.doi.org/10.18235/0002481" TargetMode="External"/><Relationship Id="rId34" Type="http://schemas.openxmlformats.org/officeDocument/2006/relationships/hyperlink" Target="https://www.washingtonpost.com/education/2021/09/22/professors-covid-masks-college-protest/" TargetMode="External"/><Relationship Id="rId42" Type="http://schemas.openxmlformats.org/officeDocument/2006/relationships/footer" Target="footer1.xml"/><Relationship Id="rId7" Type="http://schemas.openxmlformats.org/officeDocument/2006/relationships/hyperlink" Target="https://orcid.org/0000-0003-4309-0598" TargetMode="External"/><Relationship Id="rId12" Type="http://schemas.openxmlformats.org/officeDocument/2006/relationships/hyperlink" Target="mailto:ravellom.docencia@gmail.com" TargetMode="External"/><Relationship Id="rId17" Type="http://schemas.openxmlformats.org/officeDocument/2006/relationships/hyperlink" Target="https://doi.org/10.14201/eks.23013" TargetMode="External"/><Relationship Id="rId25" Type="http://schemas.openxmlformats.org/officeDocument/2006/relationships/hyperlink" Target="http://dx.doi.org/10.20511/pyr2021.v9n2.1390" TargetMode="External"/><Relationship Id="rId33" Type="http://schemas.openxmlformats.org/officeDocument/2006/relationships/hyperlink" Target="https://doi.org/10.1186/s40359-021-00649-9" TargetMode="External"/><Relationship Id="rId38" Type="http://schemas.openxmlformats.org/officeDocument/2006/relationships/hyperlink" Target="https://www.redalyc.org/pdf/773/77349627039.pdf" TargetMode="Externa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yperlink" Target="https://doi.org/10.30827/profesorado.v23i3.9421" TargetMode="External"/><Relationship Id="rId29" Type="http://schemas.openxmlformats.org/officeDocument/2006/relationships/hyperlink" Target="https://doi.org/10.1016/j.ijme.2021.100552"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6842-8626" TargetMode="External"/><Relationship Id="rId24" Type="http://schemas.openxmlformats.org/officeDocument/2006/relationships/hyperlink" Target="https://doi.org/10.1016/j.edumed.2022.100741" TargetMode="External"/><Relationship Id="rId32" Type="http://schemas.openxmlformats.org/officeDocument/2006/relationships/hyperlink" Target="https://doi.org/10.5935/1980-6906/ePTPC1913996" TargetMode="External"/><Relationship Id="rId37" Type="http://schemas.openxmlformats.org/officeDocument/2006/relationships/hyperlink" Target="https://www.routledge.com/Handbook-of-Psychological-Testing/Kline/p/book/9780415211581" TargetMode="External"/><Relationship Id="rId40" Type="http://schemas.openxmlformats.org/officeDocument/2006/relationships/hyperlink" Target="https://zenodo.org/record/3732353"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hyperlink" Target="http://www.revibiomedica.sld.cu/index.php/ibi/article/view/814" TargetMode="External"/><Relationship Id="rId28" Type="http://schemas.openxmlformats.org/officeDocument/2006/relationships/hyperlink" Target="https://doi.org/10.15858/engtea.76.s1.202109.59" TargetMode="External"/><Relationship Id="rId36" Type="http://schemas.openxmlformats.org/officeDocument/2006/relationships/hyperlink" Target="https://rus.ucf.edu.cu/index.php/rus/article/view/2926" TargetMode="External"/><Relationship Id="rId10" Type="http://schemas.openxmlformats.org/officeDocument/2006/relationships/hyperlink" Target="https://orcid.org/0000-0001-7327-3868" TargetMode="External"/><Relationship Id="rId19" Type="http://schemas.openxmlformats.org/officeDocument/2006/relationships/hyperlink" Target="https://doi.org/10.17811/rifie.49.4.2020.363-372" TargetMode="External"/><Relationship Id="rId31" Type="http://schemas.openxmlformats.org/officeDocument/2006/relationships/hyperlink" Target="https://doi.org/10.1002/gch2.202000038"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3-1500-8366" TargetMode="External"/><Relationship Id="rId14" Type="http://schemas.openxmlformats.org/officeDocument/2006/relationships/image" Target="media/image1.png"/><Relationship Id="rId22" Type="http://schemas.openxmlformats.org/officeDocument/2006/relationships/hyperlink" Target="https://doi.org/10.1371/journal.pone.0245327" TargetMode="External"/><Relationship Id="rId27" Type="http://schemas.openxmlformats.org/officeDocument/2006/relationships/hyperlink" Target="https://doi.org/10.3390/su13084381" TargetMode="External"/><Relationship Id="rId30" Type="http://schemas.openxmlformats.org/officeDocument/2006/relationships/hyperlink" Target="https://doi.org/10.1073/pnas.2016632118" TargetMode="External"/><Relationship Id="rId35" Type="http://schemas.openxmlformats.org/officeDocument/2006/relationships/hyperlink" Target="http://dx.doi.org/10.20511/pyr2020.v8nSPE3.588"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12</TotalTime>
  <Pages>16</Pages>
  <Words>5003</Words>
  <Characters>28523</Characters>
  <Application>Microsoft Office Word</Application>
  <DocSecurity>0</DocSecurity>
  <Lines>237</Lines>
  <Paragraphs>66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33460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14</cp:revision>
  <cp:lastPrinted>2023-11-09T00:05:00Z</cp:lastPrinted>
  <dcterms:created xsi:type="dcterms:W3CDTF">2023-11-08T23:58:00Z</dcterms:created>
  <dcterms:modified xsi:type="dcterms:W3CDTF">2023-11-09T00:10:00Z</dcterms:modified>
</cp:coreProperties>
</file>