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3ED6" w14:textId="77777777" w:rsidR="00002D94" w:rsidRPr="00390862" w:rsidRDefault="00002D94" w:rsidP="00002D94">
      <w:pPr>
        <w:spacing w:after="0" w:line="360" w:lineRule="auto"/>
        <w:jc w:val="right"/>
        <w:rPr>
          <w:rFonts w:ascii="Times New Roman" w:hAnsi="Times New Roman"/>
          <w:bCs/>
          <w:sz w:val="20"/>
          <w:szCs w:val="20"/>
          <w:lang w:val="es-ES_tradnl"/>
        </w:rPr>
      </w:pPr>
      <w:r w:rsidRPr="00390862">
        <w:rPr>
          <w:rFonts w:ascii="Times New Roman" w:hAnsi="Times New Roman"/>
          <w:bCs/>
          <w:sz w:val="20"/>
          <w:szCs w:val="20"/>
          <w:lang w:val="es-ES_tradnl"/>
        </w:rPr>
        <w:t>Artículo de investigación</w:t>
      </w:r>
    </w:p>
    <w:p w14:paraId="350CA522" w14:textId="77777777" w:rsidR="00002D94" w:rsidRPr="00390862" w:rsidRDefault="00002D94" w:rsidP="00002D94">
      <w:pPr>
        <w:spacing w:after="0" w:line="360" w:lineRule="auto"/>
        <w:jc w:val="center"/>
        <w:rPr>
          <w:rFonts w:ascii="Times New Roman" w:hAnsi="Times New Roman"/>
          <w:b/>
          <w:sz w:val="24"/>
          <w:szCs w:val="24"/>
          <w:lang w:val="es-ES_tradnl"/>
        </w:rPr>
      </w:pPr>
    </w:p>
    <w:p w14:paraId="4127D9E6" w14:textId="77777777" w:rsidR="00002D94" w:rsidRPr="00390862" w:rsidRDefault="00002D94" w:rsidP="00002D94">
      <w:pPr>
        <w:spacing w:after="0" w:line="360" w:lineRule="auto"/>
        <w:jc w:val="center"/>
        <w:rPr>
          <w:rFonts w:ascii="Times New Roman" w:hAnsi="Times New Roman"/>
          <w:b/>
          <w:sz w:val="28"/>
          <w:szCs w:val="28"/>
          <w:lang w:val="es-ES_tradnl"/>
        </w:rPr>
      </w:pPr>
      <w:r w:rsidRPr="00390862">
        <w:rPr>
          <w:rFonts w:ascii="Times New Roman" w:hAnsi="Times New Roman"/>
          <w:b/>
          <w:sz w:val="28"/>
          <w:szCs w:val="28"/>
          <w:lang w:val="es-ES_tradnl"/>
        </w:rPr>
        <w:t>Evolución del paciente quirúrgico grave con ventilación mecánica en cuidados intensivos, según valor de creatininuria</w:t>
      </w:r>
    </w:p>
    <w:p w14:paraId="30DF3083" w14:textId="77777777" w:rsidR="00002D94" w:rsidRPr="00390862" w:rsidRDefault="00002D94" w:rsidP="00002D94">
      <w:pPr>
        <w:spacing w:after="0" w:line="360" w:lineRule="auto"/>
        <w:jc w:val="center"/>
        <w:rPr>
          <w:rFonts w:ascii="Times New Roman" w:hAnsi="Times New Roman"/>
          <w:sz w:val="24"/>
          <w:szCs w:val="24"/>
          <w:lang w:val="es-ES_tradnl"/>
        </w:rPr>
      </w:pPr>
      <w:proofErr w:type="spellStart"/>
      <w:r w:rsidRPr="00390862">
        <w:rPr>
          <w:rFonts w:ascii="Times New Roman" w:hAnsi="Times New Roman"/>
          <w:sz w:val="28"/>
          <w:szCs w:val="28"/>
          <w:lang w:val="es-ES_tradnl"/>
        </w:rPr>
        <w:t>Evolution</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of</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critically</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ill</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surgical</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patient</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with</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mechanical</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ventilation</w:t>
      </w:r>
      <w:proofErr w:type="spellEnd"/>
      <w:r w:rsidRPr="00390862">
        <w:rPr>
          <w:rFonts w:ascii="Times New Roman" w:hAnsi="Times New Roman"/>
          <w:sz w:val="28"/>
          <w:szCs w:val="28"/>
          <w:lang w:val="es-ES_tradnl"/>
        </w:rPr>
        <w:t xml:space="preserve"> in </w:t>
      </w:r>
      <w:proofErr w:type="spellStart"/>
      <w:r w:rsidRPr="00390862">
        <w:rPr>
          <w:rFonts w:ascii="Times New Roman" w:hAnsi="Times New Roman"/>
          <w:sz w:val="28"/>
          <w:szCs w:val="28"/>
          <w:lang w:val="es-ES_tradnl"/>
        </w:rPr>
        <w:t>intensive</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care</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according</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the</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urine</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creatinine</w:t>
      </w:r>
      <w:proofErr w:type="spellEnd"/>
      <w:r w:rsidRPr="00390862">
        <w:rPr>
          <w:rFonts w:ascii="Times New Roman" w:hAnsi="Times New Roman"/>
          <w:sz w:val="28"/>
          <w:szCs w:val="28"/>
          <w:lang w:val="es-ES_tradnl"/>
        </w:rPr>
        <w:t xml:space="preserve"> </w:t>
      </w:r>
      <w:proofErr w:type="spellStart"/>
      <w:r w:rsidRPr="00390862">
        <w:rPr>
          <w:rFonts w:ascii="Times New Roman" w:hAnsi="Times New Roman"/>
          <w:sz w:val="28"/>
          <w:szCs w:val="28"/>
          <w:lang w:val="es-ES_tradnl"/>
        </w:rPr>
        <w:t>value</w:t>
      </w:r>
      <w:proofErr w:type="spellEnd"/>
    </w:p>
    <w:p w14:paraId="7D54D0E7" w14:textId="77777777" w:rsidR="00002D94" w:rsidRPr="00390862" w:rsidRDefault="00002D94" w:rsidP="00002D94">
      <w:pPr>
        <w:tabs>
          <w:tab w:val="left" w:pos="265"/>
        </w:tabs>
        <w:spacing w:after="0" w:line="360" w:lineRule="auto"/>
        <w:rPr>
          <w:rFonts w:ascii="Times New Roman" w:hAnsi="Times New Roman"/>
          <w:b/>
          <w:sz w:val="24"/>
          <w:szCs w:val="24"/>
          <w:lang w:val="es-ES_tradnl"/>
        </w:rPr>
      </w:pPr>
    </w:p>
    <w:p w14:paraId="39DF1A6A"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Wilfredo Hernández Pedroso</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hyperlink r:id="rId7" w:history="1">
        <w:r w:rsidRPr="00390862">
          <w:rPr>
            <w:rStyle w:val="Hipervnculo"/>
            <w:rFonts w:ascii="Times New Roman" w:hAnsi="Times New Roman"/>
            <w:bCs/>
            <w:sz w:val="24"/>
            <w:szCs w:val="24"/>
            <w:lang w:val="es-ES_tradnl"/>
          </w:rPr>
          <w:t>https://orcid.org/0000-0002-0545-2116</w:t>
        </w:r>
      </w:hyperlink>
      <w:r w:rsidRPr="00390862">
        <w:rPr>
          <w:rFonts w:ascii="Times New Roman" w:hAnsi="Times New Roman"/>
          <w:bCs/>
          <w:sz w:val="24"/>
          <w:szCs w:val="24"/>
          <w:lang w:val="es-ES_tradnl"/>
        </w:rPr>
        <w:t xml:space="preserve"> </w:t>
      </w:r>
    </w:p>
    <w:p w14:paraId="3F052EF2"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proofErr w:type="spellStart"/>
      <w:r w:rsidRPr="00390862">
        <w:rPr>
          <w:rFonts w:ascii="Times New Roman" w:hAnsi="Times New Roman"/>
          <w:bCs/>
          <w:sz w:val="24"/>
          <w:szCs w:val="24"/>
          <w:lang w:val="es-ES_tradnl"/>
        </w:rPr>
        <w:t>Deyli</w:t>
      </w:r>
      <w:proofErr w:type="spellEnd"/>
      <w:r w:rsidRPr="00390862">
        <w:rPr>
          <w:rFonts w:ascii="Times New Roman" w:hAnsi="Times New Roman"/>
          <w:bCs/>
          <w:sz w:val="24"/>
          <w:szCs w:val="24"/>
          <w:lang w:val="es-ES_tradnl"/>
        </w:rPr>
        <w:t xml:space="preserve"> Chacón Montano</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hyperlink r:id="rId8" w:history="1">
        <w:r w:rsidRPr="00390862">
          <w:rPr>
            <w:rStyle w:val="Hipervnculo"/>
            <w:rFonts w:ascii="Times New Roman" w:hAnsi="Times New Roman"/>
            <w:bCs/>
            <w:sz w:val="24"/>
            <w:szCs w:val="24"/>
            <w:lang w:val="es-ES_tradnl"/>
          </w:rPr>
          <w:t>https://orcid.org/0000-0002-9208-0874</w:t>
        </w:r>
      </w:hyperlink>
      <w:r w:rsidRPr="00390862">
        <w:rPr>
          <w:rFonts w:ascii="Times New Roman" w:hAnsi="Times New Roman"/>
          <w:bCs/>
          <w:sz w:val="24"/>
          <w:szCs w:val="24"/>
          <w:lang w:val="es-ES_tradnl"/>
        </w:rPr>
        <w:t xml:space="preserve"> </w:t>
      </w:r>
    </w:p>
    <w:p w14:paraId="44E6DCF8"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Leticia del Rosario Cruz</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hyperlink r:id="rId9" w:history="1">
        <w:r w:rsidRPr="00390862">
          <w:rPr>
            <w:rStyle w:val="Hipervnculo"/>
            <w:rFonts w:ascii="Times New Roman" w:hAnsi="Times New Roman"/>
            <w:bCs/>
            <w:sz w:val="24"/>
            <w:szCs w:val="24"/>
            <w:lang w:val="es-ES_tradnl"/>
          </w:rPr>
          <w:t>https://orcid.org/0000-0002-7863-4586</w:t>
        </w:r>
      </w:hyperlink>
      <w:r w:rsidRPr="00390862">
        <w:rPr>
          <w:rFonts w:ascii="Times New Roman" w:hAnsi="Times New Roman"/>
          <w:bCs/>
          <w:sz w:val="24"/>
          <w:szCs w:val="24"/>
          <w:lang w:val="es-ES_tradnl"/>
        </w:rPr>
        <w:t xml:space="preserve"> </w:t>
      </w:r>
    </w:p>
    <w:p w14:paraId="67B7F4E0" w14:textId="77777777" w:rsidR="00002D94" w:rsidRPr="00390862" w:rsidRDefault="00002D94" w:rsidP="00002D94">
      <w:pPr>
        <w:tabs>
          <w:tab w:val="left" w:pos="265"/>
        </w:tabs>
        <w:spacing w:after="0" w:line="360" w:lineRule="auto"/>
        <w:rPr>
          <w:rStyle w:val="Hipervnculo"/>
          <w:rFonts w:ascii="Times New Roman" w:hAnsi="Times New Roman"/>
          <w:bCs/>
          <w:sz w:val="24"/>
          <w:szCs w:val="24"/>
          <w:lang w:val="es-ES_tradnl"/>
        </w:rPr>
      </w:pPr>
      <w:r w:rsidRPr="00390862">
        <w:rPr>
          <w:rFonts w:ascii="Times New Roman" w:hAnsi="Times New Roman"/>
          <w:bCs/>
          <w:sz w:val="24"/>
          <w:szCs w:val="24"/>
          <w:lang w:val="es-ES_tradnl"/>
        </w:rPr>
        <w:t>Rafael Venegas Rodríguez</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r w:rsidRPr="00390862">
        <w:rPr>
          <w:rStyle w:val="Hipervnculo"/>
          <w:rFonts w:ascii="Times New Roman" w:hAnsi="Times New Roman"/>
          <w:bCs/>
          <w:sz w:val="24"/>
          <w:szCs w:val="24"/>
          <w:lang w:val="es-ES_tradnl"/>
        </w:rPr>
        <w:t xml:space="preserve">https://orcid.org/0000-0001-5956-6672 </w:t>
      </w:r>
    </w:p>
    <w:p w14:paraId="173A2CF7"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Raúl Santana Sánchez</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hyperlink r:id="rId10" w:history="1">
        <w:r w:rsidRPr="00390862">
          <w:rPr>
            <w:rStyle w:val="Hipervnculo"/>
            <w:rFonts w:ascii="Times New Roman" w:hAnsi="Times New Roman"/>
            <w:bCs/>
            <w:sz w:val="24"/>
            <w:szCs w:val="24"/>
            <w:lang w:val="es-ES_tradnl"/>
          </w:rPr>
          <w:t>https://orcid.org/0000-0002-8863-4088</w:t>
        </w:r>
      </w:hyperlink>
      <w:r w:rsidRPr="00390862">
        <w:rPr>
          <w:rFonts w:ascii="Times New Roman" w:hAnsi="Times New Roman"/>
          <w:bCs/>
          <w:sz w:val="24"/>
          <w:szCs w:val="24"/>
          <w:lang w:val="es-ES_tradnl"/>
        </w:rPr>
        <w:t xml:space="preserve"> </w:t>
      </w:r>
    </w:p>
    <w:p w14:paraId="2DDBAF50"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Ricardo González Mesana</w:t>
      </w: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 xml:space="preserve"> </w:t>
      </w:r>
      <w:hyperlink r:id="rId11" w:history="1">
        <w:r w:rsidRPr="00390862">
          <w:rPr>
            <w:rStyle w:val="Hipervnculo"/>
            <w:rFonts w:ascii="Times New Roman" w:hAnsi="Times New Roman"/>
            <w:bCs/>
            <w:sz w:val="24"/>
            <w:szCs w:val="24"/>
            <w:lang w:val="es-ES_tradnl"/>
          </w:rPr>
          <w:t>https://orcid.org/0000-0002-4892-0346</w:t>
        </w:r>
      </w:hyperlink>
      <w:r w:rsidRPr="00390862">
        <w:rPr>
          <w:rFonts w:ascii="Times New Roman" w:hAnsi="Times New Roman"/>
          <w:bCs/>
          <w:sz w:val="24"/>
          <w:szCs w:val="24"/>
          <w:lang w:val="es-ES_tradnl"/>
        </w:rPr>
        <w:t xml:space="preserve"> </w:t>
      </w:r>
    </w:p>
    <w:p w14:paraId="5FE150A6"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p>
    <w:p w14:paraId="61DFE02C"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vertAlign w:val="superscript"/>
          <w:lang w:val="es-ES_tradnl"/>
        </w:rPr>
        <w:t>1</w:t>
      </w:r>
      <w:r w:rsidRPr="00390862">
        <w:rPr>
          <w:rFonts w:ascii="Times New Roman" w:hAnsi="Times New Roman"/>
          <w:bCs/>
          <w:sz w:val="24"/>
          <w:szCs w:val="24"/>
          <w:lang w:val="es-ES_tradnl"/>
        </w:rPr>
        <w:t>Hospital Militar Central “Dr. Luis Díaz Soto”. La Habana, Cuba.</w:t>
      </w:r>
    </w:p>
    <w:p w14:paraId="64A7D917"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p>
    <w:p w14:paraId="164030C8"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*Autor para la correspondencia. Correo electrónico: </w:t>
      </w:r>
      <w:hyperlink r:id="rId12" w:history="1">
        <w:r w:rsidRPr="00390862">
          <w:rPr>
            <w:rStyle w:val="Hipervnculo"/>
            <w:rFonts w:ascii="Times New Roman" w:hAnsi="Times New Roman"/>
            <w:bCs/>
            <w:sz w:val="24"/>
            <w:szCs w:val="24"/>
            <w:lang w:val="es-ES_tradnl"/>
          </w:rPr>
          <w:t>whernandezp@infomed.sld.cu</w:t>
        </w:r>
      </w:hyperlink>
      <w:r w:rsidRPr="00390862">
        <w:rPr>
          <w:rFonts w:ascii="Times New Roman" w:hAnsi="Times New Roman"/>
          <w:bCs/>
          <w:sz w:val="24"/>
          <w:szCs w:val="24"/>
          <w:lang w:val="es-ES_tradnl"/>
        </w:rPr>
        <w:t xml:space="preserve">; </w:t>
      </w:r>
      <w:hyperlink r:id="rId13" w:history="1">
        <w:r w:rsidRPr="00390862">
          <w:rPr>
            <w:rStyle w:val="Hipervnculo"/>
            <w:rFonts w:ascii="Times New Roman" w:hAnsi="Times New Roman"/>
            <w:bCs/>
            <w:sz w:val="24"/>
            <w:szCs w:val="24"/>
            <w:lang w:val="es-ES_tradnl"/>
          </w:rPr>
          <w:t>wilfredohp@nauta.cu</w:t>
        </w:r>
      </w:hyperlink>
      <w:r w:rsidRPr="00390862">
        <w:rPr>
          <w:rFonts w:ascii="Times New Roman" w:hAnsi="Times New Roman"/>
          <w:bCs/>
          <w:sz w:val="24"/>
          <w:szCs w:val="24"/>
          <w:lang w:val="es-ES_tradnl"/>
        </w:rPr>
        <w:t xml:space="preserve">  </w:t>
      </w:r>
    </w:p>
    <w:p w14:paraId="379C31F0" w14:textId="77777777" w:rsidR="00002D94" w:rsidRPr="00390862" w:rsidRDefault="00002D94" w:rsidP="00002D94">
      <w:pPr>
        <w:tabs>
          <w:tab w:val="left" w:pos="265"/>
        </w:tabs>
        <w:spacing w:after="0" w:line="360" w:lineRule="auto"/>
        <w:rPr>
          <w:rFonts w:ascii="Times New Roman" w:hAnsi="Times New Roman"/>
          <w:bCs/>
          <w:sz w:val="24"/>
          <w:szCs w:val="24"/>
          <w:lang w:val="es-ES_tradnl"/>
        </w:rPr>
      </w:pPr>
    </w:p>
    <w:p w14:paraId="7E349063" w14:textId="77777777" w:rsidR="00002D94" w:rsidRPr="00390862" w:rsidRDefault="00002D94" w:rsidP="00002D94">
      <w:pPr>
        <w:tabs>
          <w:tab w:val="left" w:pos="265"/>
        </w:tabs>
        <w:spacing w:after="0" w:line="360" w:lineRule="auto"/>
        <w:rPr>
          <w:rFonts w:ascii="Times New Roman" w:hAnsi="Times New Roman"/>
          <w:b/>
          <w:sz w:val="24"/>
          <w:szCs w:val="24"/>
          <w:lang w:val="es-ES_tradnl"/>
        </w:rPr>
      </w:pPr>
      <w:r w:rsidRPr="00390862">
        <w:rPr>
          <w:rFonts w:ascii="Times New Roman" w:hAnsi="Times New Roman"/>
          <w:b/>
          <w:sz w:val="24"/>
          <w:szCs w:val="24"/>
          <w:lang w:val="es-ES_tradnl"/>
        </w:rPr>
        <w:t>RESUMEN</w:t>
      </w:r>
    </w:p>
    <w:p w14:paraId="41941BC1"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bCs/>
          <w:sz w:val="24"/>
          <w:szCs w:val="24"/>
          <w:lang w:val="es-ES_tradnl"/>
        </w:rPr>
        <w:t xml:space="preserve">Introducción: </w:t>
      </w:r>
      <w:r w:rsidRPr="00390862">
        <w:rPr>
          <w:rFonts w:ascii="Times New Roman" w:hAnsi="Times New Roman"/>
          <w:bCs/>
          <w:sz w:val="24"/>
          <w:szCs w:val="24"/>
          <w:lang w:val="es-ES_tradnl"/>
        </w:rPr>
        <w:t>E</w:t>
      </w:r>
      <w:r w:rsidRPr="00390862">
        <w:rPr>
          <w:rFonts w:ascii="Times New Roman" w:hAnsi="Times New Roman"/>
          <w:sz w:val="24"/>
          <w:szCs w:val="24"/>
          <w:lang w:val="es-ES_tradnl"/>
        </w:rPr>
        <w:t>l estado nutricional al ingreso influye en la evolución del paciente quirúrgico grave. La creatininuria, indicador de este estado, podría mostrar su posible asociación con la evolución de estos pacientes.</w:t>
      </w:r>
    </w:p>
    <w:p w14:paraId="69F98344"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bCs/>
          <w:sz w:val="24"/>
          <w:szCs w:val="24"/>
          <w:lang w:val="es-ES_tradnl"/>
        </w:rPr>
        <w:t xml:space="preserve">Objetivos: </w:t>
      </w:r>
      <w:r w:rsidRPr="00390862">
        <w:rPr>
          <w:rFonts w:ascii="Times New Roman" w:hAnsi="Times New Roman"/>
          <w:bCs/>
          <w:sz w:val="24"/>
          <w:szCs w:val="24"/>
          <w:lang w:val="es-ES_tradnl"/>
        </w:rPr>
        <w:t>Iden</w:t>
      </w:r>
      <w:r w:rsidRPr="00390862">
        <w:rPr>
          <w:rFonts w:ascii="Times New Roman" w:hAnsi="Times New Roman"/>
          <w:sz w:val="24"/>
          <w:szCs w:val="24"/>
          <w:lang w:val="es-ES_tradnl"/>
        </w:rPr>
        <w:t>tificar la evolución de los pacientes quirúrgicos graves, con ventilación mecánica invasiva y su posible asociación con la creatininuria al ingreso.</w:t>
      </w:r>
    </w:p>
    <w:p w14:paraId="242DC4D6"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sz w:val="24"/>
          <w:szCs w:val="24"/>
          <w:lang w:val="es-ES_tradnl"/>
        </w:rPr>
        <w:t xml:space="preserve">Métodos: </w:t>
      </w:r>
      <w:r w:rsidRPr="00390862">
        <w:rPr>
          <w:rFonts w:ascii="Times New Roman" w:hAnsi="Times New Roman"/>
          <w:sz w:val="24"/>
          <w:szCs w:val="24"/>
          <w:lang w:val="es-ES_tradnl"/>
        </w:rPr>
        <w:t>Se realizó</w:t>
      </w:r>
      <w:r w:rsidRPr="00390862">
        <w:rPr>
          <w:rFonts w:ascii="Times New Roman" w:hAnsi="Times New Roman"/>
          <w:bCs/>
          <w:sz w:val="24"/>
          <w:szCs w:val="24"/>
          <w:lang w:val="es-ES_tradnl"/>
        </w:rPr>
        <w:t xml:space="preserve"> un estudio </w:t>
      </w:r>
      <w:r w:rsidRPr="00390862">
        <w:rPr>
          <w:rFonts w:ascii="Times New Roman" w:hAnsi="Times New Roman"/>
          <w:sz w:val="24"/>
          <w:szCs w:val="24"/>
          <w:lang w:val="es-ES_tradnl"/>
        </w:rPr>
        <w:t xml:space="preserve">observacional descriptivo y longitudinal, en 85 pacientes quirúrgicos con ventilación mecánica invasiva, ingresados en la sala de cuidados intensivos, desde enero del </w:t>
      </w:r>
      <w:smartTag w:uri="urn:schemas-microsoft-com:office:smarttags" w:element="metricconverter">
        <w:smartTagPr>
          <w:attr w:name="ProductID" w:val="2000 a"/>
        </w:smartTagPr>
        <w:r w:rsidRPr="00390862">
          <w:rPr>
            <w:rFonts w:ascii="Times New Roman" w:hAnsi="Times New Roman"/>
            <w:sz w:val="24"/>
            <w:szCs w:val="24"/>
            <w:lang w:val="es-ES_tradnl"/>
          </w:rPr>
          <w:t>2000 a</w:t>
        </w:r>
      </w:smartTag>
      <w:r w:rsidRPr="00390862">
        <w:rPr>
          <w:rFonts w:ascii="Times New Roman" w:hAnsi="Times New Roman"/>
          <w:sz w:val="24"/>
          <w:szCs w:val="24"/>
          <w:lang w:val="es-ES_tradnl"/>
        </w:rPr>
        <w:t xml:space="preserve"> agosto del 2007. Se evaluó el índice </w:t>
      </w:r>
      <w:r w:rsidRPr="00390862">
        <w:rPr>
          <w:rFonts w:ascii="Times New Roman" w:hAnsi="Times New Roman"/>
          <w:iCs/>
          <w:sz w:val="24"/>
          <w:szCs w:val="24"/>
          <w:lang w:val="es-ES_tradnl"/>
        </w:rPr>
        <w:t xml:space="preserve">APACHE II </w:t>
      </w:r>
      <w:r w:rsidRPr="00390862">
        <w:rPr>
          <w:rFonts w:ascii="Times New Roman" w:hAnsi="Times New Roman"/>
          <w:sz w:val="24"/>
          <w:szCs w:val="24"/>
          <w:lang w:val="es-ES_tradnl"/>
        </w:rPr>
        <w:t xml:space="preserve">al ingreso y la creatininuria en la orina de 24 horas </w:t>
      </w:r>
      <w:r w:rsidRPr="00390862">
        <w:rPr>
          <w:rFonts w:ascii="Times New Roman" w:hAnsi="Times New Roman"/>
          <w:sz w:val="24"/>
          <w:szCs w:val="24"/>
          <w:lang w:val="es-ES_tradnl"/>
        </w:rPr>
        <w:lastRenderedPageBreak/>
        <w:t xml:space="preserve">durante 3 días seguidos, con un equipo microprocesador Hitachi 902. El valor medio se contrastó con la mortalidad, morbilidad, estadía en cuidados intensivos y tiempo de ventilación mecánica. Las variables cuantitativas se expresaron como media, con desviación estándar y las cualitativas, como frecuencias absolutas o porcentajes. La comparación de medias se realizó con la t de Student. La asociación entre variables cualitativas se evaluó con </w:t>
      </w:r>
      <w:r w:rsidRPr="00390862">
        <w:rPr>
          <w:rFonts w:ascii="Times New Roman" w:hAnsi="Times New Roman"/>
          <w:i/>
          <w:iCs/>
          <w:sz w:val="24"/>
          <w:szCs w:val="24"/>
          <w:lang w:val="es-ES_tradnl"/>
        </w:rPr>
        <w:t>ji</w:t>
      </w:r>
      <w:r w:rsidRPr="00390862">
        <w:rPr>
          <w:rFonts w:ascii="Times New Roman" w:hAnsi="Times New Roman"/>
          <w:sz w:val="24"/>
          <w:szCs w:val="24"/>
          <w:lang w:val="es-ES_tradnl"/>
        </w:rPr>
        <w:t xml:space="preserve"> cuadrado.</w:t>
      </w:r>
    </w:p>
    <w:p w14:paraId="0AE50642"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sz w:val="24"/>
          <w:szCs w:val="24"/>
          <w:lang w:val="es-ES_tradnl"/>
        </w:rPr>
        <w:t xml:space="preserve">Resultados: </w:t>
      </w:r>
      <w:r w:rsidRPr="00390862">
        <w:rPr>
          <w:rFonts w:ascii="Times New Roman" w:hAnsi="Times New Roman"/>
          <w:bCs/>
          <w:sz w:val="24"/>
          <w:szCs w:val="24"/>
          <w:lang w:val="es-ES_tradnl"/>
        </w:rPr>
        <w:t xml:space="preserve">La </w:t>
      </w:r>
      <w:r w:rsidRPr="00390862">
        <w:rPr>
          <w:rFonts w:ascii="Times New Roman" w:eastAsia="Times New Roman" w:hAnsi="Times New Roman"/>
          <w:sz w:val="24"/>
          <w:szCs w:val="24"/>
          <w:lang w:val="es-ES_tradnl" w:eastAsia="es-ES_tradnl"/>
        </w:rPr>
        <w:t xml:space="preserve">edad media fue de 52,3 ± 15,8 años; el 54,1 % correspondió al sexo masculino y </w:t>
      </w:r>
      <w:r w:rsidRPr="00390862">
        <w:rPr>
          <w:rFonts w:ascii="Times New Roman" w:hAnsi="Times New Roman"/>
          <w:sz w:val="24"/>
          <w:szCs w:val="24"/>
          <w:lang w:val="es-ES_tradnl"/>
        </w:rPr>
        <w:t>el índice de APACHE II</w:t>
      </w:r>
      <w:r w:rsidRPr="00390862">
        <w:rPr>
          <w:rFonts w:ascii="Times New Roman" w:eastAsia="Times New Roman" w:hAnsi="Times New Roman"/>
          <w:sz w:val="24"/>
          <w:szCs w:val="24"/>
          <w:lang w:val="es-ES_tradnl" w:eastAsia="es-ES_tradnl"/>
        </w:rPr>
        <w:t xml:space="preserve"> fue 20,4 </w:t>
      </w:r>
      <w:r w:rsidRPr="00390862">
        <w:rPr>
          <w:rFonts w:ascii="Times New Roman" w:hAnsi="Times New Roman"/>
          <w:sz w:val="24"/>
          <w:szCs w:val="24"/>
          <w:lang w:val="es-ES_tradnl"/>
        </w:rPr>
        <w:t>± 6 puntos.</w:t>
      </w:r>
      <w:r w:rsidRPr="00390862">
        <w:rPr>
          <w:rFonts w:ascii="Times New Roman" w:eastAsia="Times New Roman" w:hAnsi="Times New Roman"/>
          <w:sz w:val="24"/>
          <w:szCs w:val="24"/>
          <w:lang w:val="es-ES_tradnl" w:eastAsia="es-ES_tradnl"/>
        </w:rPr>
        <w:t xml:space="preserve"> El diagnóstico más frecuente fue la peritonitis secundaria (49,4 %). </w:t>
      </w:r>
      <w:r w:rsidRPr="00390862">
        <w:rPr>
          <w:rFonts w:ascii="Times New Roman" w:hAnsi="Times New Roman"/>
          <w:sz w:val="24"/>
          <w:szCs w:val="24"/>
          <w:lang w:val="es-ES_tradnl"/>
        </w:rPr>
        <w:t>Los valores inferiores de creatininuria se asociaron a la mortalidad</w:t>
      </w:r>
      <w:r w:rsidRPr="00390862">
        <w:rPr>
          <w:rFonts w:ascii="Times New Roman" w:eastAsia="Times New Roman" w:hAnsi="Times New Roman"/>
          <w:sz w:val="24"/>
          <w:szCs w:val="24"/>
          <w:lang w:val="es-ES_tradnl" w:eastAsia="es-ES_tradnl"/>
        </w:rPr>
        <w:t xml:space="preserve">, </w:t>
      </w:r>
      <w:r w:rsidRPr="00390862">
        <w:rPr>
          <w:rFonts w:ascii="Times New Roman" w:hAnsi="Times New Roman"/>
          <w:sz w:val="24"/>
          <w:szCs w:val="24"/>
          <w:lang w:val="es-ES_tradnl"/>
        </w:rPr>
        <w:t xml:space="preserve">presencia de complicaciones, mayor estadía </w:t>
      </w:r>
      <w:r w:rsidRPr="00390862">
        <w:rPr>
          <w:rFonts w:ascii="Times New Roman" w:eastAsia="Times New Roman" w:hAnsi="Times New Roman"/>
          <w:sz w:val="24"/>
          <w:szCs w:val="24"/>
          <w:lang w:val="es-ES_tradnl" w:eastAsia="es-ES_tradnl"/>
        </w:rPr>
        <w:t xml:space="preserve">en cuidados intensivos </w:t>
      </w:r>
      <w:r w:rsidRPr="00390862">
        <w:rPr>
          <w:rFonts w:ascii="Times New Roman" w:hAnsi="Times New Roman"/>
          <w:sz w:val="24"/>
          <w:szCs w:val="24"/>
          <w:lang w:val="es-ES_tradnl"/>
        </w:rPr>
        <w:t>y del tiempo de ventilación mecánica.</w:t>
      </w:r>
    </w:p>
    <w:p w14:paraId="0F2DD484"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sz w:val="24"/>
          <w:szCs w:val="24"/>
          <w:lang w:val="es-ES_tradnl"/>
        </w:rPr>
        <w:t xml:space="preserve">Conclusiones: </w:t>
      </w:r>
      <w:r w:rsidRPr="00390862">
        <w:rPr>
          <w:rFonts w:ascii="Times New Roman" w:hAnsi="Times New Roman"/>
          <w:sz w:val="24"/>
          <w:szCs w:val="24"/>
          <w:lang w:val="es-ES_tradnl"/>
        </w:rPr>
        <w:t>La creatininuria al ingreso está asociada a la evolución de los pacientes quirúrgicos con ventilación mecánica invasiva.</w:t>
      </w:r>
    </w:p>
    <w:p w14:paraId="6C3E8AD1"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
          <w:sz w:val="24"/>
          <w:szCs w:val="24"/>
          <w:lang w:val="es-ES_tradnl"/>
        </w:rPr>
        <w:t xml:space="preserve">Palabras clave: </w:t>
      </w:r>
      <w:r w:rsidRPr="00390862">
        <w:rPr>
          <w:rFonts w:ascii="Times New Roman" w:hAnsi="Times New Roman"/>
          <w:sz w:val="24"/>
          <w:szCs w:val="24"/>
          <w:lang w:val="es-ES_tradnl"/>
        </w:rPr>
        <w:t>creatininuria; cuidados críticos; pacientes quirúrgicos graves; respiración artificial.</w:t>
      </w:r>
    </w:p>
    <w:p w14:paraId="36605CFA" w14:textId="77777777" w:rsidR="00002D94" w:rsidRPr="00390862" w:rsidRDefault="00002D94" w:rsidP="00002D94">
      <w:pPr>
        <w:spacing w:after="0" w:line="360" w:lineRule="auto"/>
        <w:jc w:val="both"/>
        <w:rPr>
          <w:rFonts w:ascii="Times New Roman" w:hAnsi="Times New Roman"/>
          <w:sz w:val="24"/>
          <w:szCs w:val="24"/>
          <w:lang w:val="es-ES_tradnl"/>
        </w:rPr>
      </w:pPr>
    </w:p>
    <w:p w14:paraId="29DBAFC6" w14:textId="77777777" w:rsidR="00002D94" w:rsidRPr="00390862" w:rsidRDefault="00002D94" w:rsidP="00002D94">
      <w:pPr>
        <w:spacing w:after="0" w:line="360" w:lineRule="auto"/>
        <w:jc w:val="both"/>
        <w:rPr>
          <w:rFonts w:ascii="Times New Roman" w:hAnsi="Times New Roman"/>
          <w:b/>
          <w:sz w:val="24"/>
          <w:szCs w:val="24"/>
          <w:lang w:val="es-ES_tradnl"/>
        </w:rPr>
      </w:pPr>
      <w:r w:rsidRPr="00390862">
        <w:rPr>
          <w:rFonts w:ascii="Times New Roman" w:hAnsi="Times New Roman"/>
          <w:b/>
          <w:sz w:val="24"/>
          <w:szCs w:val="24"/>
          <w:lang w:val="es-ES_tradnl"/>
        </w:rPr>
        <w:t>ABSTRACT</w:t>
      </w:r>
    </w:p>
    <w:p w14:paraId="6BF3074F" w14:textId="77777777" w:rsidR="00002D94" w:rsidRPr="00390862" w:rsidRDefault="00002D94" w:rsidP="00002D94">
      <w:pPr>
        <w:spacing w:after="0" w:line="360" w:lineRule="auto"/>
        <w:jc w:val="both"/>
        <w:rPr>
          <w:rFonts w:ascii="Times New Roman" w:hAnsi="Times New Roman"/>
          <w:bCs/>
          <w:sz w:val="24"/>
          <w:szCs w:val="24"/>
          <w:lang w:val="es-ES_tradnl"/>
        </w:rPr>
      </w:pPr>
      <w:proofErr w:type="spellStart"/>
      <w:r w:rsidRPr="00390862">
        <w:rPr>
          <w:rFonts w:ascii="Times New Roman" w:hAnsi="Times New Roman"/>
          <w:b/>
          <w:sz w:val="24"/>
          <w:szCs w:val="24"/>
          <w:lang w:val="es-ES_tradnl"/>
        </w:rPr>
        <w:t>Introduction</w:t>
      </w:r>
      <w:proofErr w:type="spellEnd"/>
      <w:r w:rsidRPr="00390862">
        <w:rPr>
          <w:rFonts w:ascii="Times New Roman" w:hAnsi="Times New Roman"/>
          <w:b/>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nutritional</w:t>
      </w:r>
      <w:proofErr w:type="spellEnd"/>
      <w:r w:rsidRPr="00390862">
        <w:rPr>
          <w:rFonts w:ascii="Times New Roman" w:hAnsi="Times New Roman"/>
          <w:bCs/>
          <w:sz w:val="24"/>
          <w:szCs w:val="24"/>
          <w:lang w:val="es-ES_tradnl"/>
        </w:rPr>
        <w:t xml:space="preserve"> status at </w:t>
      </w:r>
      <w:proofErr w:type="spellStart"/>
      <w:r w:rsidRPr="00390862">
        <w:rPr>
          <w:rFonts w:ascii="Times New Roman" w:hAnsi="Times New Roman"/>
          <w:bCs/>
          <w:sz w:val="24"/>
          <w:szCs w:val="24"/>
          <w:lang w:val="es-ES_tradnl"/>
        </w:rPr>
        <w:t>admission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influences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evolution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severely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surgical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indicator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this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state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could</w:t>
      </w:r>
      <w:proofErr w:type="spellEnd"/>
      <w:r w:rsidRPr="00390862">
        <w:rPr>
          <w:rFonts w:ascii="Times New Roman" w:hAnsi="Times New Roman"/>
          <w:bCs/>
          <w:sz w:val="24"/>
          <w:szCs w:val="24"/>
          <w:lang w:val="es-ES_tradnl"/>
        </w:rPr>
        <w:t xml:space="preserve"> show </w:t>
      </w:r>
      <w:proofErr w:type="spellStart"/>
      <w:r w:rsidRPr="00390862">
        <w:rPr>
          <w:rFonts w:ascii="Times New Roman" w:hAnsi="Times New Roman"/>
          <w:bCs/>
          <w:sz w:val="24"/>
          <w:szCs w:val="24"/>
          <w:lang w:val="es-ES_tradnl"/>
        </w:rPr>
        <w:t>its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possible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association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evolution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these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w:t>
      </w:r>
    </w:p>
    <w:p w14:paraId="656C4D5F" w14:textId="77777777" w:rsidR="00002D94" w:rsidRPr="00390862" w:rsidRDefault="00002D94" w:rsidP="00002D94">
      <w:pPr>
        <w:spacing w:after="0" w:line="360" w:lineRule="auto"/>
        <w:jc w:val="both"/>
        <w:rPr>
          <w:rFonts w:ascii="Times New Roman" w:hAnsi="Times New Roman"/>
          <w:bCs/>
          <w:sz w:val="24"/>
          <w:szCs w:val="24"/>
          <w:lang w:val="es-ES_tradnl"/>
        </w:rPr>
      </w:pPr>
      <w:proofErr w:type="spellStart"/>
      <w:r w:rsidRPr="00390862">
        <w:rPr>
          <w:rFonts w:ascii="Times New Roman" w:hAnsi="Times New Roman"/>
          <w:b/>
          <w:sz w:val="24"/>
          <w:szCs w:val="24"/>
          <w:lang w:val="es-ES_tradnl"/>
        </w:rPr>
        <w:t>Objectives</w:t>
      </w:r>
      <w:proofErr w:type="spellEnd"/>
      <w:r w:rsidRPr="00390862">
        <w:rPr>
          <w:rFonts w:ascii="Times New Roman" w:hAnsi="Times New Roman"/>
          <w:b/>
          <w:sz w:val="24"/>
          <w:szCs w:val="24"/>
          <w:lang w:val="es-ES_tradnl"/>
        </w:rPr>
        <w:t>:</w:t>
      </w:r>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To</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identify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evolution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critically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surgical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invasive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its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possible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association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admission</w:t>
      </w:r>
      <w:proofErr w:type="spellEnd"/>
      <w:r w:rsidRPr="00390862">
        <w:rPr>
          <w:rFonts w:ascii="Times New Roman" w:hAnsi="Times New Roman"/>
          <w:bCs/>
          <w:sz w:val="24"/>
          <w:szCs w:val="24"/>
          <w:lang w:val="es-ES_tradnl"/>
        </w:rPr>
        <w:t>.</w:t>
      </w:r>
    </w:p>
    <w:p w14:paraId="06E1101B" w14:textId="77777777" w:rsidR="00002D94" w:rsidRPr="00390862" w:rsidRDefault="00002D94" w:rsidP="00002D94">
      <w:pPr>
        <w:spacing w:after="0" w:line="360" w:lineRule="auto"/>
        <w:jc w:val="both"/>
        <w:rPr>
          <w:rFonts w:ascii="Times New Roman" w:hAnsi="Times New Roman"/>
          <w:bCs/>
          <w:sz w:val="24"/>
          <w:szCs w:val="24"/>
          <w:lang w:val="es-ES_tradnl"/>
        </w:rPr>
      </w:pPr>
      <w:proofErr w:type="spellStart"/>
      <w:r w:rsidRPr="00390862">
        <w:rPr>
          <w:rFonts w:ascii="Times New Roman" w:hAnsi="Times New Roman"/>
          <w:b/>
          <w:sz w:val="24"/>
          <w:szCs w:val="24"/>
          <w:lang w:val="es-ES_tradnl"/>
        </w:rPr>
        <w:t>Methods</w:t>
      </w:r>
      <w:proofErr w:type="spellEnd"/>
      <w:r w:rsidRPr="00390862">
        <w:rPr>
          <w:rFonts w:ascii="Times New Roman" w:hAnsi="Times New Roman"/>
          <w:b/>
          <w:sz w:val="24"/>
          <w:szCs w:val="24"/>
          <w:lang w:val="es-ES_tradnl"/>
        </w:rPr>
        <w:t>:</w:t>
      </w:r>
      <w:r w:rsidRPr="00390862">
        <w:rPr>
          <w:rFonts w:ascii="Times New Roman" w:hAnsi="Times New Roman"/>
          <w:bCs/>
          <w:sz w:val="24"/>
          <w:szCs w:val="24"/>
          <w:lang w:val="es-ES_tradnl"/>
        </w:rPr>
        <w:t xml:space="preserve"> A </w:t>
      </w:r>
      <w:proofErr w:type="spellStart"/>
      <w:r w:rsidRPr="00390862">
        <w:rPr>
          <w:rFonts w:ascii="Times New Roman" w:hAnsi="Times New Roman"/>
          <w:bCs/>
          <w:sz w:val="24"/>
          <w:szCs w:val="24"/>
          <w:lang w:val="es-ES_tradnl"/>
        </w:rPr>
        <w:t>descriptive</w:t>
      </w:r>
      <w:proofErr w:type="spellEnd"/>
      <w:r w:rsidRPr="00390862">
        <w:rPr>
          <w:rFonts w:ascii="Times New Roman" w:hAnsi="Times New Roman"/>
          <w:bCs/>
          <w:sz w:val="24"/>
          <w:szCs w:val="24"/>
          <w:lang w:val="es-ES_tradnl"/>
        </w:rPr>
        <w:t xml:space="preserve"> and longitudinal </w:t>
      </w:r>
      <w:proofErr w:type="spellStart"/>
      <w:r w:rsidRPr="00390862">
        <w:rPr>
          <w:rFonts w:ascii="Times New Roman" w:hAnsi="Times New Roman"/>
          <w:bCs/>
          <w:sz w:val="24"/>
          <w:szCs w:val="24"/>
          <w:lang w:val="es-ES_tradnl"/>
        </w:rPr>
        <w:t>observational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study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carried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out</w:t>
      </w:r>
      <w:proofErr w:type="spellEnd"/>
      <w:r w:rsidRPr="00390862">
        <w:rPr>
          <w:rFonts w:ascii="Times New Roman" w:hAnsi="Times New Roman"/>
          <w:bCs/>
          <w:sz w:val="24"/>
          <w:szCs w:val="24"/>
          <w:lang w:val="es-ES_tradnl"/>
        </w:rPr>
        <w:t xml:space="preserve"> in 85 </w:t>
      </w:r>
      <w:proofErr w:type="spellStart"/>
      <w:r w:rsidRPr="00390862">
        <w:rPr>
          <w:rFonts w:ascii="Times New Roman" w:hAnsi="Times New Roman"/>
          <w:bCs/>
          <w:sz w:val="24"/>
          <w:szCs w:val="24"/>
          <w:lang w:val="es-ES_tradnl"/>
        </w:rPr>
        <w:t>surgical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invasive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admitted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to</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Intensive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Unit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from</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January</w:t>
      </w:r>
      <w:proofErr w:type="spellEnd"/>
      <w:r w:rsidRPr="00390862">
        <w:rPr>
          <w:rFonts w:ascii="Times New Roman" w:hAnsi="Times New Roman"/>
          <w:bCs/>
          <w:sz w:val="24"/>
          <w:szCs w:val="24"/>
          <w:lang w:val="es-ES_tradnl"/>
        </w:rPr>
        <w:t xml:space="preserve"> 2000 </w:t>
      </w:r>
      <w:proofErr w:type="spellStart"/>
      <w:r w:rsidRPr="00390862">
        <w:rPr>
          <w:rFonts w:ascii="Times New Roman" w:hAnsi="Times New Roman"/>
          <w:bCs/>
          <w:sz w:val="24"/>
          <w:szCs w:val="24"/>
          <w:lang w:val="es-ES_tradnl"/>
        </w:rPr>
        <w:t>to</w:t>
      </w:r>
      <w:proofErr w:type="spellEnd"/>
      <w:r w:rsidRPr="00390862">
        <w:rPr>
          <w:rFonts w:ascii="Times New Roman" w:hAnsi="Times New Roman"/>
          <w:bCs/>
          <w:sz w:val="24"/>
          <w:szCs w:val="24"/>
          <w:lang w:val="es-ES_tradnl"/>
        </w:rPr>
        <w:t xml:space="preserve"> August 2007.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APACHE II </w:t>
      </w:r>
      <w:proofErr w:type="spellStart"/>
      <w:r w:rsidRPr="00390862">
        <w:rPr>
          <w:rFonts w:ascii="Times New Roman" w:hAnsi="Times New Roman"/>
          <w:bCs/>
          <w:sz w:val="24"/>
          <w:szCs w:val="24"/>
          <w:lang w:val="es-ES_tradnl"/>
        </w:rPr>
        <w:t>index</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admission</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24-hour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for</w:t>
      </w:r>
      <w:proofErr w:type="spellEnd"/>
      <w:r w:rsidRPr="00390862">
        <w:rPr>
          <w:rFonts w:ascii="Times New Roman" w:hAnsi="Times New Roman"/>
          <w:bCs/>
          <w:sz w:val="24"/>
          <w:szCs w:val="24"/>
          <w:lang w:val="es-ES_tradnl"/>
        </w:rPr>
        <w:t xml:space="preserve"> 3 </w:t>
      </w:r>
      <w:proofErr w:type="spellStart"/>
      <w:r w:rsidRPr="00390862">
        <w:rPr>
          <w:rFonts w:ascii="Times New Roman" w:hAnsi="Times New Roman"/>
          <w:bCs/>
          <w:sz w:val="24"/>
          <w:szCs w:val="24"/>
          <w:lang w:val="es-ES_tradnl"/>
        </w:rPr>
        <w:t>consecutive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days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a Hitachi 902 </w:t>
      </w:r>
      <w:proofErr w:type="spellStart"/>
      <w:r w:rsidRPr="00390862">
        <w:rPr>
          <w:rFonts w:ascii="Times New Roman" w:hAnsi="Times New Roman"/>
          <w:bCs/>
          <w:sz w:val="24"/>
          <w:szCs w:val="24"/>
          <w:lang w:val="es-ES_tradnl"/>
        </w:rPr>
        <w:t>microprocessor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equipment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mean </w:t>
      </w:r>
      <w:proofErr w:type="spellStart"/>
      <w:r w:rsidRPr="00390862">
        <w:rPr>
          <w:rFonts w:ascii="Times New Roman" w:hAnsi="Times New Roman"/>
          <w:bCs/>
          <w:sz w:val="24"/>
          <w:szCs w:val="24"/>
          <w:lang w:val="es-ES_tradnl"/>
        </w:rPr>
        <w:t>value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contrasted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mortality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morbidity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stay</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intensive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and time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Quantitative</w:t>
      </w:r>
      <w:proofErr w:type="spellEnd"/>
      <w:r w:rsidRPr="00390862">
        <w:rPr>
          <w:rFonts w:ascii="Times New Roman" w:hAnsi="Times New Roman"/>
          <w:bCs/>
          <w:sz w:val="24"/>
          <w:szCs w:val="24"/>
          <w:lang w:val="es-ES_tradnl"/>
        </w:rPr>
        <w:t xml:space="preserve"> variables </w:t>
      </w:r>
      <w:proofErr w:type="spellStart"/>
      <w:r w:rsidRPr="00390862">
        <w:rPr>
          <w:rFonts w:ascii="Times New Roman" w:hAnsi="Times New Roman"/>
          <w:bCs/>
          <w:sz w:val="24"/>
          <w:szCs w:val="24"/>
          <w:lang w:val="es-ES_tradnl"/>
        </w:rPr>
        <w:t>were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expressed</w:t>
      </w:r>
      <w:proofErr w:type="spellEnd"/>
      <w:r w:rsidRPr="00390862">
        <w:rPr>
          <w:rFonts w:ascii="Times New Roman" w:hAnsi="Times New Roman"/>
          <w:bCs/>
          <w:sz w:val="24"/>
          <w:szCs w:val="24"/>
          <w:lang w:val="es-ES_tradnl"/>
        </w:rPr>
        <w:t xml:space="preserve"> as mean,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standard </w:t>
      </w:r>
      <w:proofErr w:type="spellStart"/>
      <w:r w:rsidRPr="00390862">
        <w:rPr>
          <w:rFonts w:ascii="Times New Roman" w:hAnsi="Times New Roman"/>
          <w:bCs/>
          <w:sz w:val="24"/>
          <w:szCs w:val="24"/>
          <w:lang w:val="es-ES_tradnl"/>
        </w:rPr>
        <w:t>deviation</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qualitative</w:t>
      </w:r>
      <w:proofErr w:type="spellEnd"/>
      <w:r w:rsidRPr="00390862">
        <w:rPr>
          <w:rFonts w:ascii="Times New Roman" w:hAnsi="Times New Roman"/>
          <w:bCs/>
          <w:sz w:val="24"/>
          <w:szCs w:val="24"/>
          <w:lang w:val="es-ES_tradnl"/>
        </w:rPr>
        <w:t xml:space="preserve"> variables, as </w:t>
      </w:r>
      <w:proofErr w:type="spellStart"/>
      <w:r w:rsidRPr="00390862">
        <w:rPr>
          <w:rFonts w:ascii="Times New Roman" w:hAnsi="Times New Roman"/>
          <w:bCs/>
          <w:sz w:val="24"/>
          <w:szCs w:val="24"/>
          <w:lang w:val="es-ES_tradnl"/>
        </w:rPr>
        <w:t>absolute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frequencies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percentages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comparison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means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carried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out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Student's</w:t>
      </w:r>
      <w:proofErr w:type="spellEnd"/>
      <w:r w:rsidRPr="00390862">
        <w:rPr>
          <w:rFonts w:ascii="Times New Roman" w:hAnsi="Times New Roman"/>
          <w:bCs/>
          <w:sz w:val="24"/>
          <w:szCs w:val="24"/>
          <w:lang w:val="es-ES_tradnl"/>
        </w:rPr>
        <w:t xml:space="preserve"> t test.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association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between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qualitative</w:t>
      </w:r>
      <w:proofErr w:type="spellEnd"/>
      <w:r w:rsidRPr="00390862">
        <w:rPr>
          <w:rFonts w:ascii="Times New Roman" w:hAnsi="Times New Roman"/>
          <w:bCs/>
          <w:sz w:val="24"/>
          <w:szCs w:val="24"/>
          <w:lang w:val="es-ES_tradnl"/>
        </w:rPr>
        <w:t xml:space="preserve"> variables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evaluated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chi </w:t>
      </w:r>
      <w:proofErr w:type="spellStart"/>
      <w:r w:rsidRPr="00390862">
        <w:rPr>
          <w:rFonts w:ascii="Times New Roman" w:hAnsi="Times New Roman"/>
          <w:bCs/>
          <w:sz w:val="24"/>
          <w:szCs w:val="24"/>
          <w:lang w:val="es-ES_tradnl"/>
        </w:rPr>
        <w:t>square</w:t>
      </w:r>
      <w:proofErr w:type="spellEnd"/>
      <w:r w:rsidRPr="00390862">
        <w:rPr>
          <w:rFonts w:ascii="Times New Roman" w:hAnsi="Times New Roman"/>
          <w:bCs/>
          <w:sz w:val="24"/>
          <w:szCs w:val="24"/>
          <w:lang w:val="es-ES_tradnl"/>
        </w:rPr>
        <w:t>.</w:t>
      </w:r>
    </w:p>
    <w:p w14:paraId="03338014" w14:textId="77777777" w:rsidR="00002D94" w:rsidRPr="00390862" w:rsidRDefault="00002D94" w:rsidP="00002D94">
      <w:pPr>
        <w:spacing w:after="0" w:line="360" w:lineRule="auto"/>
        <w:jc w:val="both"/>
        <w:rPr>
          <w:rFonts w:ascii="Times New Roman" w:hAnsi="Times New Roman"/>
          <w:bCs/>
          <w:sz w:val="24"/>
          <w:szCs w:val="24"/>
          <w:lang w:val="es-ES_tradnl"/>
        </w:rPr>
      </w:pPr>
      <w:proofErr w:type="spellStart"/>
      <w:r w:rsidRPr="00390862">
        <w:rPr>
          <w:rFonts w:ascii="Times New Roman" w:hAnsi="Times New Roman"/>
          <w:b/>
          <w:sz w:val="24"/>
          <w:szCs w:val="24"/>
          <w:lang w:val="es-ES_tradnl"/>
        </w:rPr>
        <w:lastRenderedPageBreak/>
        <w:t>Results</w:t>
      </w:r>
      <w:proofErr w:type="spellEnd"/>
      <w:r w:rsidRPr="00390862">
        <w:rPr>
          <w:rFonts w:ascii="Times New Roman" w:hAnsi="Times New Roman"/>
          <w:b/>
          <w:sz w:val="24"/>
          <w:szCs w:val="24"/>
          <w:lang w:val="es-ES_tradnl"/>
        </w:rPr>
        <w:t>:</w:t>
      </w:r>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mean </w:t>
      </w:r>
      <w:proofErr w:type="spellStart"/>
      <w:r w:rsidRPr="00390862">
        <w:rPr>
          <w:rFonts w:ascii="Times New Roman" w:hAnsi="Times New Roman"/>
          <w:bCs/>
          <w:sz w:val="24"/>
          <w:szCs w:val="24"/>
          <w:lang w:val="es-ES_tradnl"/>
        </w:rPr>
        <w:t>age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52,3 ± 15,8 </w:t>
      </w:r>
      <w:proofErr w:type="spellStart"/>
      <w:r w:rsidRPr="00390862">
        <w:rPr>
          <w:rFonts w:ascii="Times New Roman" w:hAnsi="Times New Roman"/>
          <w:bCs/>
          <w:sz w:val="24"/>
          <w:szCs w:val="24"/>
          <w:lang w:val="es-ES_tradnl"/>
        </w:rPr>
        <w:t>years</w:t>
      </w:r>
      <w:proofErr w:type="spellEnd"/>
      <w:r w:rsidRPr="00390862">
        <w:rPr>
          <w:rFonts w:ascii="Times New Roman" w:hAnsi="Times New Roman"/>
          <w:bCs/>
          <w:sz w:val="24"/>
          <w:szCs w:val="24"/>
          <w:lang w:val="es-ES_tradnl"/>
        </w:rPr>
        <w:t xml:space="preserve">; 54,1 % corresponded </w:t>
      </w:r>
      <w:proofErr w:type="spellStart"/>
      <w:r w:rsidRPr="00390862">
        <w:rPr>
          <w:rFonts w:ascii="Times New Roman" w:hAnsi="Times New Roman"/>
          <w:bCs/>
          <w:sz w:val="24"/>
          <w:szCs w:val="24"/>
          <w:lang w:val="es-ES_tradnl"/>
        </w:rPr>
        <w:t>to</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male</w:t>
      </w:r>
      <w:proofErr w:type="spellEnd"/>
      <w:r w:rsidRPr="00390862">
        <w:rPr>
          <w:rFonts w:ascii="Times New Roman" w:hAnsi="Times New Roman"/>
          <w:bCs/>
          <w:sz w:val="24"/>
          <w:szCs w:val="24"/>
          <w:lang w:val="es-ES_tradnl"/>
        </w:rPr>
        <w:t xml:space="preserve"> sex and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APACHE II </w:t>
      </w:r>
      <w:proofErr w:type="spellStart"/>
      <w:r w:rsidRPr="00390862">
        <w:rPr>
          <w:rFonts w:ascii="Times New Roman" w:hAnsi="Times New Roman"/>
          <w:bCs/>
          <w:sz w:val="24"/>
          <w:szCs w:val="24"/>
          <w:lang w:val="es-ES_tradnl"/>
        </w:rPr>
        <w:t>index</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20,4 ± 6 </w:t>
      </w:r>
      <w:proofErr w:type="spellStart"/>
      <w:r w:rsidRPr="00390862">
        <w:rPr>
          <w:rFonts w:ascii="Times New Roman" w:hAnsi="Times New Roman"/>
          <w:bCs/>
          <w:sz w:val="24"/>
          <w:szCs w:val="24"/>
          <w:lang w:val="es-ES_tradnl"/>
        </w:rPr>
        <w:t>points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most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frequent</w:t>
      </w:r>
      <w:proofErr w:type="spellEnd"/>
      <w:r w:rsidRPr="00390862">
        <w:rPr>
          <w:rFonts w:ascii="Times New Roman" w:hAnsi="Times New Roman"/>
          <w:bCs/>
          <w:sz w:val="24"/>
          <w:szCs w:val="24"/>
          <w:lang w:val="es-ES_tradnl"/>
        </w:rPr>
        <w:t xml:space="preserve"> diagnosis </w:t>
      </w:r>
      <w:proofErr w:type="spellStart"/>
      <w:r w:rsidRPr="00390862">
        <w:rPr>
          <w:rFonts w:ascii="Times New Roman" w:hAnsi="Times New Roman"/>
          <w:bCs/>
          <w:sz w:val="24"/>
          <w:szCs w:val="24"/>
          <w:lang w:val="es-ES_tradnl"/>
        </w:rPr>
        <w:t>was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secondary</w:t>
      </w:r>
      <w:proofErr w:type="spellEnd"/>
      <w:r w:rsidRPr="00390862">
        <w:rPr>
          <w:rFonts w:ascii="Times New Roman" w:hAnsi="Times New Roman"/>
          <w:bCs/>
          <w:sz w:val="24"/>
          <w:szCs w:val="24"/>
          <w:lang w:val="es-ES_tradnl"/>
        </w:rPr>
        <w:t xml:space="preserve"> peritonitis (49,4 %). </w:t>
      </w:r>
      <w:proofErr w:type="spellStart"/>
      <w:r w:rsidRPr="00390862">
        <w:rPr>
          <w:rFonts w:ascii="Times New Roman" w:hAnsi="Times New Roman"/>
          <w:bCs/>
          <w:sz w:val="24"/>
          <w:szCs w:val="24"/>
          <w:lang w:val="es-ES_tradnl"/>
        </w:rPr>
        <w:t>Lower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values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were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associated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mortality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presence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complications</w:t>
      </w:r>
      <w:proofErr w:type="spellEnd"/>
      <w:r w:rsidRPr="00390862">
        <w:rPr>
          <w:rFonts w:ascii="Times New Roman" w:hAnsi="Times New Roman"/>
          <w:bCs/>
          <w:sz w:val="24"/>
          <w:szCs w:val="24"/>
          <w:lang w:val="es-ES_tradnl"/>
        </w:rPr>
        <w:t xml:space="preserve">, a </w:t>
      </w:r>
      <w:proofErr w:type="spellStart"/>
      <w:r w:rsidRPr="00390862">
        <w:rPr>
          <w:rFonts w:ascii="Times New Roman" w:hAnsi="Times New Roman"/>
          <w:bCs/>
          <w:sz w:val="24"/>
          <w:szCs w:val="24"/>
          <w:lang w:val="es-ES_tradnl"/>
        </w:rPr>
        <w:t>longer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stay</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intensive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time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w:t>
      </w:r>
    </w:p>
    <w:p w14:paraId="69C52F71" w14:textId="77777777" w:rsidR="00002D94" w:rsidRPr="00390862" w:rsidRDefault="00002D94" w:rsidP="00002D94">
      <w:pPr>
        <w:spacing w:after="0" w:line="360" w:lineRule="auto"/>
        <w:jc w:val="both"/>
        <w:rPr>
          <w:rFonts w:ascii="Times New Roman" w:hAnsi="Times New Roman"/>
          <w:bCs/>
          <w:sz w:val="24"/>
          <w:szCs w:val="24"/>
          <w:lang w:val="es-ES_tradnl"/>
        </w:rPr>
      </w:pPr>
      <w:proofErr w:type="spellStart"/>
      <w:r w:rsidRPr="00390862">
        <w:rPr>
          <w:rFonts w:ascii="Times New Roman" w:hAnsi="Times New Roman"/>
          <w:b/>
          <w:sz w:val="24"/>
          <w:szCs w:val="24"/>
          <w:lang w:val="es-ES_tradnl"/>
        </w:rPr>
        <w:t>Conclusions</w:t>
      </w:r>
      <w:proofErr w:type="spellEnd"/>
      <w:r w:rsidRPr="00390862">
        <w:rPr>
          <w:rFonts w:ascii="Times New Roman" w:hAnsi="Times New Roman"/>
          <w:b/>
          <w:sz w:val="24"/>
          <w:szCs w:val="24"/>
          <w:lang w:val="es-ES_tradnl"/>
        </w:rPr>
        <w:t>:</w:t>
      </w:r>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Urine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admission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associated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evolution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surgical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with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invasive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w:t>
      </w:r>
    </w:p>
    <w:p w14:paraId="4CB9FA63" w14:textId="77777777" w:rsidR="00002D94" w:rsidRPr="00390862" w:rsidRDefault="00002D94" w:rsidP="00002D94">
      <w:pPr>
        <w:spacing w:after="0" w:line="360" w:lineRule="auto"/>
        <w:jc w:val="both"/>
        <w:rPr>
          <w:rFonts w:ascii="Times New Roman" w:hAnsi="Times New Roman"/>
          <w:sz w:val="24"/>
          <w:szCs w:val="24"/>
          <w:lang w:val="es-ES_tradnl"/>
        </w:rPr>
      </w:pPr>
      <w:proofErr w:type="spellStart"/>
      <w:r w:rsidRPr="00390862">
        <w:rPr>
          <w:rFonts w:ascii="Times New Roman" w:hAnsi="Times New Roman"/>
          <w:b/>
          <w:sz w:val="24"/>
          <w:szCs w:val="24"/>
          <w:lang w:val="es-ES_tradnl"/>
        </w:rPr>
        <w:t>Keywords</w:t>
      </w:r>
      <w:proofErr w:type="spellEnd"/>
      <w:r w:rsidRPr="00390862">
        <w:rPr>
          <w:rFonts w:ascii="Times New Roman" w:hAnsi="Times New Roman"/>
          <w:b/>
          <w:sz w:val="24"/>
          <w:szCs w:val="24"/>
          <w:lang w:val="es-ES_tradnl"/>
        </w:rPr>
        <w:t xml:space="preserve">: </w:t>
      </w:r>
      <w:proofErr w:type="spellStart"/>
      <w:r w:rsidRPr="00390862">
        <w:rPr>
          <w:rFonts w:ascii="Times New Roman" w:hAnsi="Times New Roman"/>
          <w:bCs/>
          <w:sz w:val="24"/>
          <w:szCs w:val="24"/>
          <w:lang w:val="es-ES_tradnl"/>
        </w:rPr>
        <w:t>u</w:t>
      </w:r>
      <w:r w:rsidRPr="00390862">
        <w:rPr>
          <w:rFonts w:ascii="Times New Roman" w:hAnsi="Times New Roman"/>
          <w:sz w:val="24"/>
          <w:szCs w:val="24"/>
          <w:lang w:val="es-ES_tradnl"/>
        </w:rPr>
        <w:t>rine</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creatinine</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critical</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care</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critically</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ill</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surgical</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patients</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mechanical</w:t>
      </w:r>
      <w:proofErr w:type="spellEnd"/>
      <w:r w:rsidRPr="00390862">
        <w:rPr>
          <w:rFonts w:ascii="Times New Roman" w:hAnsi="Times New Roman"/>
          <w:sz w:val="24"/>
          <w:szCs w:val="24"/>
          <w:lang w:val="es-ES_tradnl"/>
        </w:rPr>
        <w:t xml:space="preserve"> </w:t>
      </w:r>
      <w:proofErr w:type="spellStart"/>
      <w:r w:rsidRPr="00390862">
        <w:rPr>
          <w:rFonts w:ascii="Times New Roman" w:hAnsi="Times New Roman"/>
          <w:sz w:val="24"/>
          <w:szCs w:val="24"/>
          <w:lang w:val="es-ES_tradnl"/>
        </w:rPr>
        <w:t>ventilation</w:t>
      </w:r>
      <w:proofErr w:type="spellEnd"/>
      <w:r w:rsidRPr="00390862">
        <w:rPr>
          <w:rFonts w:ascii="Times New Roman" w:hAnsi="Times New Roman"/>
          <w:sz w:val="24"/>
          <w:szCs w:val="24"/>
          <w:lang w:val="es-ES_tradnl"/>
        </w:rPr>
        <w:t>.</w:t>
      </w:r>
    </w:p>
    <w:p w14:paraId="15C78DDF" w14:textId="77777777" w:rsidR="00002D94" w:rsidRPr="00390862" w:rsidRDefault="00002D94" w:rsidP="00002D94">
      <w:pPr>
        <w:spacing w:after="0" w:line="360" w:lineRule="auto"/>
        <w:jc w:val="both"/>
        <w:rPr>
          <w:rFonts w:ascii="Times New Roman" w:hAnsi="Times New Roman"/>
          <w:sz w:val="24"/>
          <w:szCs w:val="24"/>
          <w:lang w:val="es-ES_tradnl"/>
        </w:rPr>
      </w:pPr>
    </w:p>
    <w:p w14:paraId="239A58B0" w14:textId="77777777" w:rsidR="00002D94" w:rsidRPr="00390862" w:rsidRDefault="00002D94" w:rsidP="00002D94">
      <w:pPr>
        <w:spacing w:after="0" w:line="360" w:lineRule="auto"/>
        <w:jc w:val="both"/>
        <w:rPr>
          <w:rFonts w:ascii="Times New Roman" w:hAnsi="Times New Roman"/>
          <w:sz w:val="24"/>
          <w:szCs w:val="24"/>
          <w:lang w:val="es-ES_tradnl"/>
        </w:rPr>
      </w:pPr>
    </w:p>
    <w:p w14:paraId="73492603"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Recibido: 01/12/2020</w:t>
      </w:r>
    </w:p>
    <w:p w14:paraId="58442545" w14:textId="77777777" w:rsidR="00002D94" w:rsidRPr="00390862" w:rsidRDefault="00002D94" w:rsidP="00002D94">
      <w:pPr>
        <w:spacing w:after="0" w:line="360" w:lineRule="auto"/>
        <w:jc w:val="both"/>
        <w:rPr>
          <w:rFonts w:ascii="Times New Roman" w:hAnsi="Times New Roman"/>
          <w:color w:val="FF0000"/>
          <w:sz w:val="24"/>
          <w:szCs w:val="24"/>
          <w:lang w:val="es-ES_tradnl"/>
        </w:rPr>
      </w:pPr>
      <w:r w:rsidRPr="00390862">
        <w:rPr>
          <w:rFonts w:ascii="Times New Roman" w:hAnsi="Times New Roman"/>
          <w:sz w:val="24"/>
          <w:szCs w:val="24"/>
          <w:lang w:val="es-ES_tradnl"/>
        </w:rPr>
        <w:t>Aprobado: 24/05/2021</w:t>
      </w:r>
    </w:p>
    <w:p w14:paraId="49569C5C" w14:textId="77777777" w:rsidR="00002D94" w:rsidRPr="00390862" w:rsidRDefault="00002D94" w:rsidP="00002D94">
      <w:pPr>
        <w:spacing w:after="0" w:line="360" w:lineRule="auto"/>
        <w:jc w:val="both"/>
        <w:rPr>
          <w:rFonts w:ascii="Times New Roman" w:hAnsi="Times New Roman"/>
          <w:sz w:val="24"/>
          <w:szCs w:val="24"/>
          <w:lang w:val="es-ES_tradnl"/>
        </w:rPr>
      </w:pPr>
    </w:p>
    <w:p w14:paraId="1AB95C87" w14:textId="77777777" w:rsidR="00002D94" w:rsidRPr="00390862" w:rsidRDefault="00002D94" w:rsidP="00002D94">
      <w:pPr>
        <w:spacing w:after="0" w:line="360" w:lineRule="auto"/>
        <w:jc w:val="both"/>
        <w:rPr>
          <w:rFonts w:ascii="Times New Roman" w:hAnsi="Times New Roman"/>
          <w:sz w:val="24"/>
          <w:szCs w:val="24"/>
          <w:lang w:val="es-ES_tradnl"/>
        </w:rPr>
      </w:pPr>
    </w:p>
    <w:p w14:paraId="541F581F" w14:textId="77777777" w:rsidR="00002D94" w:rsidRPr="00390862" w:rsidRDefault="00002D94" w:rsidP="00002D94">
      <w:pPr>
        <w:spacing w:after="0" w:line="360" w:lineRule="auto"/>
        <w:jc w:val="center"/>
        <w:rPr>
          <w:rFonts w:ascii="Times New Roman" w:hAnsi="Times New Roman"/>
          <w:b/>
          <w:sz w:val="32"/>
          <w:szCs w:val="32"/>
          <w:lang w:val="es-ES_tradnl"/>
        </w:rPr>
      </w:pPr>
      <w:r w:rsidRPr="00390862">
        <w:rPr>
          <w:rFonts w:ascii="Times New Roman" w:hAnsi="Times New Roman"/>
          <w:b/>
          <w:sz w:val="32"/>
          <w:szCs w:val="32"/>
          <w:lang w:val="es-ES_tradnl"/>
        </w:rPr>
        <w:t>INTRODUCCIÓN</w:t>
      </w:r>
    </w:p>
    <w:p w14:paraId="51847620"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La agresión orgánica en el hombre, desencadena reacciones que incluyen cambios fisiológicos, como parte de la respuesta adaptativa a la supervivencia del paciente grave.</w:t>
      </w:r>
      <w:r w:rsidRPr="00390862">
        <w:rPr>
          <w:rFonts w:ascii="Times New Roman" w:hAnsi="Times New Roman"/>
          <w:sz w:val="24"/>
          <w:szCs w:val="24"/>
          <w:vertAlign w:val="superscript"/>
          <w:lang w:val="es-ES_tradnl"/>
        </w:rPr>
        <w:t xml:space="preserve">(1) </w:t>
      </w:r>
      <w:r w:rsidRPr="00390862">
        <w:rPr>
          <w:rFonts w:ascii="Times New Roman" w:hAnsi="Times New Roman"/>
          <w:sz w:val="24"/>
          <w:szCs w:val="24"/>
          <w:lang w:val="es-ES_tradnl"/>
        </w:rPr>
        <w:t>Se aprecia activación de los sistemas inmunológico y neuroendocrino, con un aumento del gasto energético y de la oxidación de nutrientes.</w:t>
      </w:r>
      <w:r w:rsidRPr="00390862">
        <w:rPr>
          <w:rFonts w:ascii="Times New Roman" w:hAnsi="Times New Roman"/>
          <w:sz w:val="24"/>
          <w:szCs w:val="24"/>
          <w:vertAlign w:val="superscript"/>
          <w:lang w:val="es-ES_tradnl"/>
        </w:rPr>
        <w:t xml:space="preserve">(2) </w:t>
      </w:r>
      <w:r w:rsidRPr="00390862">
        <w:rPr>
          <w:rFonts w:ascii="Times New Roman" w:hAnsi="Times New Roman"/>
          <w:sz w:val="24"/>
          <w:szCs w:val="24"/>
          <w:lang w:val="es-ES_tradnl"/>
        </w:rPr>
        <w:t>El tejido muscular  suministra aminoácidos propios, como fuente de la gluconeogénesis en el hígado.</w:t>
      </w:r>
      <w:r w:rsidRPr="00390862">
        <w:rPr>
          <w:rFonts w:ascii="Times New Roman" w:hAnsi="Times New Roman"/>
          <w:sz w:val="24"/>
          <w:szCs w:val="24"/>
          <w:vertAlign w:val="superscript"/>
          <w:lang w:val="es-ES_tradnl"/>
        </w:rPr>
        <w:t>(3)</w:t>
      </w:r>
      <w:r w:rsidRPr="00390862">
        <w:rPr>
          <w:rFonts w:ascii="Times New Roman" w:hAnsi="Times New Roman"/>
          <w:sz w:val="24"/>
          <w:szCs w:val="24"/>
          <w:lang w:val="es-ES_tradnl"/>
        </w:rPr>
        <w:t xml:space="preserve"> En estas acciones, la masa muscular sufre una reducción importante con afectación de sus funciones. Este proceso, alto consumidor de energía en el tejido muscular esquelético, utilizará la energía química de la creatina fosfato, biomoléculas derivada de los aminoácidos glicina, metionina y </w:t>
      </w:r>
      <w:proofErr w:type="gramStart"/>
      <w:r w:rsidRPr="00390862">
        <w:rPr>
          <w:rFonts w:ascii="Times New Roman" w:hAnsi="Times New Roman"/>
          <w:sz w:val="24"/>
          <w:szCs w:val="24"/>
          <w:lang w:val="es-ES_tradnl"/>
        </w:rPr>
        <w:t>arginina.</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4)</w:t>
      </w:r>
    </w:p>
    <w:p w14:paraId="61B493CC" w14:textId="77777777" w:rsidR="00002D94" w:rsidRPr="00390862" w:rsidRDefault="00002D94" w:rsidP="00002D94">
      <w:pPr>
        <w:spacing w:after="0" w:line="360" w:lineRule="auto"/>
        <w:jc w:val="both"/>
        <w:rPr>
          <w:rFonts w:ascii="Times New Roman" w:hAnsi="Times New Roman"/>
          <w:sz w:val="24"/>
          <w:szCs w:val="24"/>
          <w:vertAlign w:val="superscript"/>
          <w:lang w:val="es-ES_tradnl"/>
        </w:rPr>
      </w:pPr>
      <w:r w:rsidRPr="00390862">
        <w:rPr>
          <w:rFonts w:ascii="Times New Roman" w:hAnsi="Times New Roman"/>
          <w:sz w:val="24"/>
          <w:szCs w:val="24"/>
          <w:lang w:val="es-ES_tradnl"/>
        </w:rPr>
        <w:t xml:space="preserve">El proceso de transferencia del ion fosfato, de la creatina fosfato, hacia la formación de trifosfato de adenosina, determina la formación irreversible de creatinina, eliminada por vía </w:t>
      </w:r>
      <w:proofErr w:type="gramStart"/>
      <w:r w:rsidRPr="00390862">
        <w:rPr>
          <w:rFonts w:ascii="Times New Roman" w:hAnsi="Times New Roman"/>
          <w:sz w:val="24"/>
          <w:szCs w:val="24"/>
          <w:lang w:val="es-ES_tradnl"/>
        </w:rPr>
        <w:t>renal.</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 xml:space="preserve">5) </w:t>
      </w:r>
      <w:r w:rsidRPr="00390862">
        <w:rPr>
          <w:rFonts w:ascii="Times New Roman" w:hAnsi="Times New Roman"/>
          <w:sz w:val="24"/>
          <w:szCs w:val="24"/>
          <w:lang w:val="es-ES_tradnl"/>
        </w:rPr>
        <w:t>La presencia de la creatina en el músculo esquelético, permite considerar a la creatininuria, un indicador del estado metabólico y estructural de la masa muscular esquelética (MME), componente importante de la masa celular.</w:t>
      </w:r>
      <w:r w:rsidRPr="00390862">
        <w:rPr>
          <w:rFonts w:ascii="Times New Roman" w:hAnsi="Times New Roman"/>
          <w:sz w:val="24"/>
          <w:szCs w:val="24"/>
          <w:vertAlign w:val="superscript"/>
          <w:lang w:val="es-ES_tradnl"/>
        </w:rPr>
        <w:t xml:space="preserve">(5) </w:t>
      </w:r>
      <w:r w:rsidRPr="00390862">
        <w:rPr>
          <w:rFonts w:ascii="Times New Roman" w:hAnsi="Times New Roman"/>
          <w:sz w:val="24"/>
          <w:szCs w:val="24"/>
          <w:lang w:val="es-ES_tradnl"/>
        </w:rPr>
        <w:t>Esta condición ha justificado su empleo en la evaluación nutricional.</w:t>
      </w:r>
      <w:r w:rsidRPr="00390862">
        <w:rPr>
          <w:rFonts w:ascii="Times New Roman" w:hAnsi="Times New Roman"/>
          <w:sz w:val="24"/>
          <w:szCs w:val="24"/>
          <w:vertAlign w:val="superscript"/>
          <w:lang w:val="es-ES_tradnl"/>
        </w:rPr>
        <w:t>(6)</w:t>
      </w:r>
    </w:p>
    <w:p w14:paraId="6796E1B5"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lastRenderedPageBreak/>
        <w:t xml:space="preserve">El aumento del agua corporal total o de la grasa corporal, reduce la utilidad del examen físico para determinar el estado de la </w:t>
      </w:r>
      <w:proofErr w:type="gramStart"/>
      <w:r w:rsidRPr="00390862">
        <w:rPr>
          <w:rFonts w:ascii="Times New Roman" w:hAnsi="Times New Roman"/>
          <w:sz w:val="24"/>
          <w:szCs w:val="24"/>
          <w:lang w:val="es-ES_tradnl"/>
        </w:rPr>
        <w:t>MME.</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 xml:space="preserve">7) </w:t>
      </w:r>
      <w:r w:rsidRPr="00390862">
        <w:rPr>
          <w:rFonts w:ascii="Times New Roman" w:hAnsi="Times New Roman"/>
          <w:sz w:val="24"/>
          <w:szCs w:val="24"/>
          <w:lang w:val="es-ES_tradnl"/>
        </w:rPr>
        <w:t xml:space="preserve">Hay métodos bioquímicos e imagenológicos para su evaluación, pero la disponibilidad tecnológica, el costo y la influencia de otros factores en los resultados, han limitado su aplicación. Las intervenciones quirúrgicas en pacientes con factores de riesgo, predisponen a complicaciones cardiopulmonares y se destaca la insuficiencia respiratoria </w:t>
      </w:r>
      <w:proofErr w:type="gramStart"/>
      <w:r w:rsidRPr="00390862">
        <w:rPr>
          <w:rFonts w:ascii="Times New Roman" w:hAnsi="Times New Roman"/>
          <w:sz w:val="24"/>
          <w:szCs w:val="24"/>
          <w:lang w:val="es-ES_tradnl"/>
        </w:rPr>
        <w:t>aguda.</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8)</w:t>
      </w:r>
      <w:r w:rsidRPr="00390862">
        <w:rPr>
          <w:rFonts w:ascii="Times New Roman" w:hAnsi="Times New Roman"/>
          <w:sz w:val="24"/>
          <w:szCs w:val="24"/>
          <w:lang w:val="es-ES_tradnl"/>
        </w:rPr>
        <w:t xml:space="preserve"> La ventilación mecánica es su principal tratamiento, pero en términos de morbilidad y mortalidad, tiene un costo elevado.</w:t>
      </w:r>
      <w:r w:rsidRPr="00390862">
        <w:rPr>
          <w:rFonts w:ascii="Times New Roman" w:hAnsi="Times New Roman"/>
          <w:sz w:val="24"/>
          <w:szCs w:val="24"/>
          <w:vertAlign w:val="superscript"/>
          <w:lang w:val="es-ES_tradnl"/>
        </w:rPr>
        <w:t>(9,10)</w:t>
      </w:r>
    </w:p>
    <w:p w14:paraId="225DCC79"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La exposición a la desnutrición energético nutrimental provoca en los pacientes graves una disminución de la MME, que se expresa en cifras bajas de creatininuria en 24 horas (mg/kg/día y mg/día), lo cual puede considerarse un representante de esta condición.</w:t>
      </w:r>
    </w:p>
    <w:p w14:paraId="037A1122"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 xml:space="preserve">La identificación de factores asociados a la evolución de pacientes graves, contribuye a realizar acciones que mejoren el pronóstico. Las características metabólicas, son un campo poco explorado, que justifican la investigación. </w:t>
      </w:r>
    </w:p>
    <w:p w14:paraId="7CEFEA4A"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El objetivo de este trabajo es identificar la evolución de los pacientes quirúrgicos graves, sometidos a ventilación mecánica invasiva (VMI) y su posible asociaci</w:t>
      </w:r>
      <w:r w:rsidRPr="00390862">
        <w:rPr>
          <w:rFonts w:ascii="Times New Roman" w:hAnsi="Times New Roman"/>
          <w:bCs/>
          <w:sz w:val="24"/>
          <w:szCs w:val="24"/>
          <w:lang w:val="es-ES_tradnl"/>
        </w:rPr>
        <w:t>ó</w:t>
      </w:r>
      <w:r w:rsidRPr="00390862">
        <w:rPr>
          <w:rFonts w:ascii="Times New Roman" w:hAnsi="Times New Roman"/>
          <w:sz w:val="24"/>
          <w:szCs w:val="24"/>
          <w:lang w:val="es-ES_tradnl"/>
        </w:rPr>
        <w:t>n con la creatininuria al ingreso.</w:t>
      </w:r>
    </w:p>
    <w:p w14:paraId="1AFC07C7" w14:textId="77777777" w:rsidR="00002D94" w:rsidRPr="00390862" w:rsidRDefault="00002D94" w:rsidP="00002D94">
      <w:pPr>
        <w:spacing w:after="0" w:line="360" w:lineRule="auto"/>
        <w:jc w:val="center"/>
        <w:rPr>
          <w:rFonts w:ascii="Times New Roman" w:hAnsi="Times New Roman"/>
          <w:b/>
          <w:sz w:val="28"/>
          <w:szCs w:val="28"/>
          <w:lang w:val="es-ES_tradnl"/>
        </w:rPr>
      </w:pPr>
    </w:p>
    <w:p w14:paraId="51C3308A" w14:textId="77777777" w:rsidR="00002D94" w:rsidRPr="00390862" w:rsidRDefault="00002D94" w:rsidP="00002D94">
      <w:pPr>
        <w:spacing w:after="0" w:line="360" w:lineRule="auto"/>
        <w:jc w:val="center"/>
        <w:rPr>
          <w:rFonts w:ascii="Times New Roman" w:hAnsi="Times New Roman"/>
          <w:b/>
          <w:sz w:val="28"/>
          <w:szCs w:val="28"/>
          <w:lang w:val="es-ES_tradnl"/>
        </w:rPr>
      </w:pPr>
    </w:p>
    <w:p w14:paraId="4829F067" w14:textId="77777777" w:rsidR="00002D94" w:rsidRPr="00390862" w:rsidRDefault="00002D94" w:rsidP="00002D94">
      <w:pPr>
        <w:spacing w:after="0" w:line="360" w:lineRule="auto"/>
        <w:jc w:val="center"/>
        <w:rPr>
          <w:rFonts w:ascii="Times New Roman" w:hAnsi="Times New Roman"/>
          <w:b/>
          <w:sz w:val="32"/>
          <w:szCs w:val="32"/>
          <w:lang w:val="es-ES_tradnl"/>
        </w:rPr>
      </w:pPr>
      <w:r w:rsidRPr="00390862">
        <w:rPr>
          <w:rFonts w:ascii="Times New Roman" w:hAnsi="Times New Roman"/>
          <w:b/>
          <w:sz w:val="32"/>
          <w:szCs w:val="32"/>
          <w:lang w:val="es-ES_tradnl"/>
        </w:rPr>
        <w:t>MÉTODOS</w:t>
      </w:r>
    </w:p>
    <w:p w14:paraId="0BF88A32" w14:textId="77777777" w:rsidR="00002D94" w:rsidRPr="00390862" w:rsidRDefault="00002D94" w:rsidP="00002D94">
      <w:pPr>
        <w:pStyle w:val="Prrafodelista"/>
        <w:spacing w:after="0" w:line="360" w:lineRule="auto"/>
        <w:ind w:left="0"/>
        <w:jc w:val="both"/>
        <w:rPr>
          <w:rFonts w:ascii="Times New Roman" w:hAnsi="Times New Roman" w:cs="Times New Roman"/>
          <w:sz w:val="24"/>
          <w:szCs w:val="24"/>
          <w:lang w:val="es-ES_tradnl"/>
        </w:rPr>
      </w:pPr>
      <w:r w:rsidRPr="00390862">
        <w:rPr>
          <w:rFonts w:ascii="Times New Roman" w:hAnsi="Times New Roman" w:cs="Times New Roman"/>
          <w:bCs/>
          <w:sz w:val="24"/>
          <w:szCs w:val="24"/>
          <w:lang w:val="es-ES_tradnl"/>
        </w:rPr>
        <w:t xml:space="preserve">Se realizó un estudio </w:t>
      </w:r>
      <w:r w:rsidRPr="00390862">
        <w:rPr>
          <w:rFonts w:ascii="Times New Roman" w:hAnsi="Times New Roman"/>
          <w:sz w:val="24"/>
          <w:szCs w:val="24"/>
          <w:lang w:val="es-ES_tradnl"/>
        </w:rPr>
        <w:t xml:space="preserve">observacional descriptivo </w:t>
      </w:r>
      <w:r w:rsidRPr="00390862">
        <w:rPr>
          <w:rFonts w:ascii="Times New Roman" w:hAnsi="Times New Roman" w:cs="Times New Roman"/>
          <w:sz w:val="24"/>
          <w:szCs w:val="24"/>
          <w:lang w:val="es-ES_tradnl"/>
        </w:rPr>
        <w:t>en una serie de pacientes quirúrgicos no traumatizados, sometidos a VMI, ingresados en la unidad de cuidados intensivos (UCI) del Hospital Militar Central “Dr. Luis Díaz Soto”, desde enero del 2000 a agosto del 2007, con edad superior a los 18 años, estadía en UCI mayor de 5 días y tiempo de VMI mayor de 72 horas.</w:t>
      </w:r>
    </w:p>
    <w:p w14:paraId="58DA4D6B" w14:textId="77777777" w:rsidR="00002D94" w:rsidRPr="00390862" w:rsidRDefault="00002D94" w:rsidP="00002D94">
      <w:pPr>
        <w:pStyle w:val="Prrafodelista"/>
        <w:spacing w:after="0" w:line="360" w:lineRule="auto"/>
        <w:ind w:left="0"/>
        <w:jc w:val="both"/>
        <w:rPr>
          <w:rFonts w:ascii="Times New Roman" w:hAnsi="Times New Roman" w:cs="Times New Roman"/>
          <w:sz w:val="24"/>
          <w:szCs w:val="24"/>
          <w:lang w:val="es-ES_tradnl"/>
        </w:rPr>
      </w:pPr>
      <w:r w:rsidRPr="00390862">
        <w:rPr>
          <w:rFonts w:ascii="Times New Roman" w:hAnsi="Times New Roman" w:cs="Times New Roman"/>
          <w:sz w:val="24"/>
          <w:szCs w:val="24"/>
          <w:lang w:val="es-ES_tradnl"/>
        </w:rPr>
        <w:t>Fueron excluidos los portadores de insuficiencia renal o hepática, pacientes puérperas y gestantes; imposibilidad de medir el peso corporal o de realizar los exámenes complementarios. Se excluyeron también los que requirieron reingreso en la UCI. Resultaron 85 pacientes.</w:t>
      </w:r>
    </w:p>
    <w:p w14:paraId="49D8F6FC"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lastRenderedPageBreak/>
        <w:t xml:space="preserve">Las variables estudiadas fueron: edad, sexo, diagnóstico al ingreso, índice de </w:t>
      </w:r>
      <w:proofErr w:type="spellStart"/>
      <w:r w:rsidRPr="00390862">
        <w:rPr>
          <w:rFonts w:ascii="Times New Roman" w:hAnsi="Times New Roman"/>
          <w:i/>
          <w:iCs/>
          <w:sz w:val="24"/>
          <w:szCs w:val="24"/>
          <w:lang w:val="es-ES_tradnl"/>
        </w:rPr>
        <w:t>Acute</w:t>
      </w:r>
      <w:proofErr w:type="spellEnd"/>
      <w:r w:rsidRPr="00390862">
        <w:rPr>
          <w:rFonts w:ascii="Times New Roman" w:hAnsi="Times New Roman"/>
          <w:i/>
          <w:iCs/>
          <w:sz w:val="24"/>
          <w:szCs w:val="24"/>
          <w:lang w:val="es-ES_tradnl"/>
        </w:rPr>
        <w:t xml:space="preserve"> </w:t>
      </w:r>
      <w:proofErr w:type="spellStart"/>
      <w:r w:rsidRPr="00390862">
        <w:rPr>
          <w:rFonts w:ascii="Times New Roman" w:hAnsi="Times New Roman"/>
          <w:i/>
          <w:iCs/>
          <w:sz w:val="24"/>
          <w:szCs w:val="24"/>
          <w:lang w:val="es-ES_tradnl"/>
        </w:rPr>
        <w:t>Physiology</w:t>
      </w:r>
      <w:proofErr w:type="spellEnd"/>
      <w:r w:rsidRPr="00390862">
        <w:rPr>
          <w:rFonts w:ascii="Times New Roman" w:hAnsi="Times New Roman"/>
          <w:i/>
          <w:iCs/>
          <w:sz w:val="24"/>
          <w:szCs w:val="24"/>
          <w:lang w:val="es-ES_tradnl"/>
        </w:rPr>
        <w:t xml:space="preserve"> and </w:t>
      </w:r>
      <w:proofErr w:type="spellStart"/>
      <w:r w:rsidRPr="00390862">
        <w:rPr>
          <w:rFonts w:ascii="Times New Roman" w:hAnsi="Times New Roman"/>
          <w:i/>
          <w:iCs/>
          <w:sz w:val="24"/>
          <w:szCs w:val="24"/>
          <w:lang w:val="es-ES_tradnl"/>
        </w:rPr>
        <w:t>Chronic</w:t>
      </w:r>
      <w:proofErr w:type="spellEnd"/>
      <w:r w:rsidRPr="00390862">
        <w:rPr>
          <w:rFonts w:ascii="Times New Roman" w:hAnsi="Times New Roman"/>
          <w:i/>
          <w:iCs/>
          <w:sz w:val="24"/>
          <w:szCs w:val="24"/>
          <w:lang w:val="es-ES_tradnl"/>
        </w:rPr>
        <w:t xml:space="preserve"> </w:t>
      </w:r>
      <w:proofErr w:type="spellStart"/>
      <w:r w:rsidRPr="00390862">
        <w:rPr>
          <w:rFonts w:ascii="Times New Roman" w:hAnsi="Times New Roman"/>
          <w:i/>
          <w:iCs/>
          <w:sz w:val="24"/>
          <w:szCs w:val="24"/>
          <w:lang w:val="es-ES_tradnl"/>
        </w:rPr>
        <w:t>Health</w:t>
      </w:r>
      <w:proofErr w:type="spellEnd"/>
      <w:r w:rsidRPr="00390862">
        <w:rPr>
          <w:rFonts w:ascii="Times New Roman" w:hAnsi="Times New Roman"/>
          <w:i/>
          <w:iCs/>
          <w:sz w:val="24"/>
          <w:szCs w:val="24"/>
          <w:lang w:val="es-ES_tradnl"/>
        </w:rPr>
        <w:t xml:space="preserve"> </w:t>
      </w:r>
      <w:proofErr w:type="spellStart"/>
      <w:r w:rsidRPr="00390862">
        <w:rPr>
          <w:rFonts w:ascii="Times New Roman" w:hAnsi="Times New Roman"/>
          <w:i/>
          <w:iCs/>
          <w:sz w:val="24"/>
          <w:szCs w:val="24"/>
          <w:lang w:val="es-ES_tradnl"/>
        </w:rPr>
        <w:t>Evaluation</w:t>
      </w:r>
      <w:proofErr w:type="spellEnd"/>
      <w:r w:rsidRPr="00390862">
        <w:rPr>
          <w:rFonts w:ascii="Times New Roman" w:hAnsi="Times New Roman"/>
          <w:sz w:val="24"/>
          <w:szCs w:val="24"/>
          <w:lang w:val="es-ES_tradnl"/>
        </w:rPr>
        <w:t xml:space="preserve"> II (APACHE II</w:t>
      </w:r>
      <w:proofErr w:type="gramStart"/>
      <w:r w:rsidRPr="00390862">
        <w:rPr>
          <w:rFonts w:ascii="Times New Roman" w:hAnsi="Times New Roman"/>
          <w:sz w:val="24"/>
          <w:szCs w:val="24"/>
          <w:lang w:val="es-ES_tradnl"/>
        </w:rPr>
        <w:t>),</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11)</w:t>
      </w:r>
      <w:r w:rsidRPr="00390862">
        <w:rPr>
          <w:rFonts w:ascii="Times New Roman" w:hAnsi="Times New Roman"/>
          <w:sz w:val="24"/>
          <w:szCs w:val="24"/>
          <w:lang w:val="es-ES_tradnl"/>
        </w:rPr>
        <w:t xml:space="preserve"> el índice de </w:t>
      </w:r>
      <w:proofErr w:type="spellStart"/>
      <w:r w:rsidRPr="00390862">
        <w:rPr>
          <w:rFonts w:ascii="Times New Roman" w:hAnsi="Times New Roman"/>
          <w:i/>
          <w:sz w:val="24"/>
          <w:szCs w:val="24"/>
          <w:lang w:val="es-ES_tradnl"/>
        </w:rPr>
        <w:t>Sequential</w:t>
      </w:r>
      <w:proofErr w:type="spellEnd"/>
      <w:r w:rsidRPr="00390862">
        <w:rPr>
          <w:rFonts w:ascii="Times New Roman" w:hAnsi="Times New Roman"/>
          <w:i/>
          <w:sz w:val="24"/>
          <w:szCs w:val="24"/>
          <w:lang w:val="es-ES_tradnl"/>
        </w:rPr>
        <w:t xml:space="preserve"> </w:t>
      </w:r>
      <w:proofErr w:type="spellStart"/>
      <w:r w:rsidRPr="00390862">
        <w:rPr>
          <w:rFonts w:ascii="Times New Roman" w:hAnsi="Times New Roman"/>
          <w:i/>
          <w:sz w:val="24"/>
          <w:szCs w:val="24"/>
          <w:lang w:val="es-ES_tradnl"/>
        </w:rPr>
        <w:t>Organ</w:t>
      </w:r>
      <w:proofErr w:type="spellEnd"/>
      <w:r w:rsidRPr="00390862">
        <w:rPr>
          <w:rFonts w:ascii="Times New Roman" w:hAnsi="Times New Roman"/>
          <w:i/>
          <w:sz w:val="24"/>
          <w:szCs w:val="24"/>
          <w:lang w:val="es-ES_tradnl"/>
        </w:rPr>
        <w:t xml:space="preserve"> </w:t>
      </w:r>
      <w:proofErr w:type="spellStart"/>
      <w:r w:rsidRPr="00390862">
        <w:rPr>
          <w:rFonts w:ascii="Times New Roman" w:hAnsi="Times New Roman"/>
          <w:i/>
          <w:sz w:val="24"/>
          <w:szCs w:val="24"/>
          <w:lang w:val="es-ES_tradnl"/>
        </w:rPr>
        <w:t>Failure</w:t>
      </w:r>
      <w:proofErr w:type="spellEnd"/>
      <w:r w:rsidRPr="00390862">
        <w:rPr>
          <w:rFonts w:ascii="Times New Roman" w:hAnsi="Times New Roman"/>
          <w:i/>
          <w:sz w:val="24"/>
          <w:szCs w:val="24"/>
          <w:lang w:val="es-ES_tradnl"/>
        </w:rPr>
        <w:t xml:space="preserve"> </w:t>
      </w:r>
      <w:proofErr w:type="spellStart"/>
      <w:r w:rsidRPr="00390862">
        <w:rPr>
          <w:rFonts w:ascii="Times New Roman" w:hAnsi="Times New Roman"/>
          <w:i/>
          <w:sz w:val="24"/>
          <w:szCs w:val="24"/>
          <w:lang w:val="es-ES_tradnl"/>
        </w:rPr>
        <w:t>Assessment</w:t>
      </w:r>
      <w:proofErr w:type="spellEnd"/>
      <w:r w:rsidRPr="00390862">
        <w:rPr>
          <w:rFonts w:ascii="Times New Roman" w:hAnsi="Times New Roman"/>
          <w:i/>
          <w:sz w:val="24"/>
          <w:szCs w:val="24"/>
          <w:lang w:val="es-ES_tradnl"/>
        </w:rPr>
        <w:t xml:space="preserve"> </w:t>
      </w:r>
      <w:r w:rsidRPr="00390862">
        <w:rPr>
          <w:rFonts w:ascii="Times New Roman" w:hAnsi="Times New Roman"/>
          <w:iCs/>
          <w:sz w:val="24"/>
          <w:szCs w:val="24"/>
          <w:lang w:val="es-ES_tradnl"/>
        </w:rPr>
        <w:t>(</w:t>
      </w:r>
      <w:r w:rsidRPr="00390862">
        <w:rPr>
          <w:rFonts w:ascii="Times New Roman" w:hAnsi="Times New Roman"/>
          <w:sz w:val="24"/>
          <w:szCs w:val="24"/>
          <w:lang w:val="es-ES_tradnl"/>
        </w:rPr>
        <w:t xml:space="preserve">SOFA), el estado al egreso, las complicaciones, estadía en la UCI, tiempo de VMI y la creatininuria. </w:t>
      </w:r>
    </w:p>
    <w:p w14:paraId="2387F7B7"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 xml:space="preserve">A todos los pacientes se les determinó la creatininuria en 24 horas (mg/kg/día y mg/día) durante al ingreso y por 3 días consecutivos. El valor promedio de las evaluaciones de creatininuria, fue contrastada con las variables mortalidad, complicaciones, estadía en la UCI y tiempo de VMI. </w:t>
      </w:r>
    </w:p>
    <w:p w14:paraId="3236FCFA" w14:textId="77777777" w:rsidR="00002D94" w:rsidRPr="00390862" w:rsidRDefault="00002D94" w:rsidP="00002D94">
      <w:pPr>
        <w:spacing w:after="0" w:line="360" w:lineRule="auto"/>
        <w:jc w:val="both"/>
        <w:rPr>
          <w:rFonts w:ascii="Times New Roman" w:hAnsi="Times New Roman"/>
          <w:bCs/>
          <w:sz w:val="24"/>
          <w:szCs w:val="24"/>
          <w:lang w:val="es-ES_tradnl"/>
        </w:rPr>
      </w:pPr>
      <w:r w:rsidRPr="00390862">
        <w:rPr>
          <w:rFonts w:ascii="Times New Roman" w:hAnsi="Times New Roman"/>
          <w:sz w:val="24"/>
          <w:szCs w:val="24"/>
          <w:lang w:val="es-ES_tradnl"/>
        </w:rPr>
        <w:t>Para el estudio de las complicaciones, se seleccionaron el síndrome de disfunción múltiple de órganos (SDMO</w:t>
      </w:r>
      <w:proofErr w:type="gramStart"/>
      <w:r w:rsidRPr="00390862">
        <w:rPr>
          <w:rFonts w:ascii="Times New Roman" w:hAnsi="Times New Roman"/>
          <w:sz w:val="24"/>
          <w:szCs w:val="24"/>
          <w:lang w:val="es-ES_tradnl"/>
        </w:rPr>
        <w:t>)</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12)</w:t>
      </w:r>
      <w:r w:rsidRPr="00390862">
        <w:rPr>
          <w:rFonts w:ascii="Times New Roman" w:hAnsi="Times New Roman"/>
          <w:sz w:val="24"/>
          <w:szCs w:val="24"/>
          <w:lang w:val="es-ES_tradnl"/>
        </w:rPr>
        <w:t xml:space="preserve"> y el </w:t>
      </w:r>
      <w:r w:rsidRPr="00390862">
        <w:rPr>
          <w:rFonts w:ascii="Times New Roman" w:hAnsi="Times New Roman"/>
          <w:i/>
          <w:iCs/>
          <w:sz w:val="24"/>
          <w:szCs w:val="24"/>
          <w:lang w:val="es-ES_tradnl"/>
        </w:rPr>
        <w:t>shock</w:t>
      </w:r>
      <w:r w:rsidRPr="00390862">
        <w:rPr>
          <w:rFonts w:ascii="Times New Roman" w:hAnsi="Times New Roman"/>
          <w:sz w:val="24"/>
          <w:szCs w:val="24"/>
          <w:lang w:val="es-ES_tradnl"/>
        </w:rPr>
        <w:t xml:space="preserve"> séptico.</w:t>
      </w:r>
      <w:r w:rsidRPr="00390862">
        <w:rPr>
          <w:rFonts w:ascii="Times New Roman" w:hAnsi="Times New Roman"/>
          <w:sz w:val="24"/>
          <w:szCs w:val="24"/>
          <w:vertAlign w:val="superscript"/>
          <w:lang w:val="es-ES_tradnl"/>
        </w:rPr>
        <w:t>(13)</w:t>
      </w:r>
      <w:r w:rsidRPr="00390862">
        <w:rPr>
          <w:rFonts w:ascii="Times New Roman" w:hAnsi="Times New Roman"/>
          <w:sz w:val="24"/>
          <w:szCs w:val="24"/>
          <w:lang w:val="es-ES_tradnl"/>
        </w:rPr>
        <w:t xml:space="preserve"> A todos los pacientes, al ingreso se les aplicó el índice de SOFA y el </w:t>
      </w:r>
      <w:r w:rsidRPr="00390862">
        <w:rPr>
          <w:rFonts w:ascii="Times New Roman" w:hAnsi="Times New Roman"/>
          <w:iCs/>
          <w:sz w:val="24"/>
          <w:szCs w:val="24"/>
          <w:lang w:val="es-ES_tradnl"/>
        </w:rPr>
        <w:t>APACHE II.</w:t>
      </w:r>
      <w:r w:rsidRPr="00390862">
        <w:rPr>
          <w:rFonts w:ascii="Times New Roman" w:hAnsi="Times New Roman"/>
          <w:iCs/>
          <w:sz w:val="24"/>
          <w:szCs w:val="24"/>
          <w:vertAlign w:val="superscript"/>
          <w:lang w:val="es-ES_tradnl"/>
        </w:rPr>
        <w:t>(11)</w:t>
      </w:r>
      <w:r w:rsidRPr="00390862">
        <w:rPr>
          <w:rFonts w:ascii="Times New Roman" w:hAnsi="Times New Roman"/>
          <w:b/>
          <w:iCs/>
          <w:sz w:val="24"/>
          <w:szCs w:val="24"/>
          <w:vertAlign w:val="superscript"/>
          <w:lang w:val="es-ES_tradnl"/>
        </w:rPr>
        <w:t xml:space="preserve"> </w:t>
      </w:r>
      <w:r w:rsidRPr="00390862">
        <w:rPr>
          <w:rFonts w:ascii="Times New Roman" w:hAnsi="Times New Roman"/>
          <w:sz w:val="24"/>
          <w:szCs w:val="24"/>
          <w:lang w:val="es-ES_tradnl"/>
        </w:rPr>
        <w:t xml:space="preserve">Se evaluó el peso corporal, con una pesa mecánica de balanza (DETECTO), modificada por la adición de un cesto o jaula y la ayuda de  una camilla esquelética. La evaluación de la creatininuria se realizó con un equipo microprocesador Hitachi 902 y se utilizó el 50 % de la diuresis eliminada cada 2 horas, la cual se preservó con la adición de formol al 40 % (0,5 mL por cada 250 mL de orina) en un recipiente único y de ahí, se obtuvo una muestra de toda la orina eliminada en 24 horas. La concentración de creatininuria expresada en mg/100 mL de orina, se multiplicó por 10 para conocer la concentración en mg/L y por la diuresis de 24 horas, en litros. Se obtuvo la creatininuria en 24 horas (mg/día), </w:t>
      </w:r>
      <w:proofErr w:type="gramStart"/>
      <w:r w:rsidRPr="00390862">
        <w:rPr>
          <w:rFonts w:ascii="Times New Roman" w:hAnsi="Times New Roman"/>
          <w:sz w:val="24"/>
          <w:szCs w:val="24"/>
          <w:lang w:val="es-ES_tradnl"/>
        </w:rPr>
        <w:t>que</w:t>
      </w:r>
      <w:proofErr w:type="gramEnd"/>
      <w:r w:rsidRPr="00390862">
        <w:rPr>
          <w:rFonts w:ascii="Times New Roman" w:hAnsi="Times New Roman"/>
          <w:sz w:val="24"/>
          <w:szCs w:val="24"/>
          <w:lang w:val="es-ES_tradnl"/>
        </w:rPr>
        <w:t xml:space="preserve"> al dividirse entre el peso corporal, se obtuvo el valor en mg/kg/día. </w:t>
      </w:r>
    </w:p>
    <w:p w14:paraId="0293BFF7" w14:textId="77777777" w:rsidR="00002D94" w:rsidRPr="00390862" w:rsidRDefault="00002D94" w:rsidP="00002D94">
      <w:pPr>
        <w:spacing w:after="0" w:line="360" w:lineRule="auto"/>
        <w:jc w:val="both"/>
        <w:rPr>
          <w:rFonts w:ascii="Times New Roman" w:hAnsi="Times New Roman"/>
          <w:color w:val="FF0000"/>
          <w:sz w:val="24"/>
          <w:szCs w:val="24"/>
          <w:lang w:val="es-ES_tradnl"/>
        </w:rPr>
      </w:pPr>
      <w:r w:rsidRPr="00390862">
        <w:rPr>
          <w:rFonts w:ascii="Times New Roman" w:hAnsi="Times New Roman"/>
          <w:sz w:val="24"/>
          <w:szCs w:val="24"/>
          <w:lang w:val="es-ES_tradnl"/>
        </w:rPr>
        <w:t xml:space="preserve">La VMI fue aplicada con un ventilador mixto, por un tubo endotraqueal. Si era necesario mantenerla por más de 7 días, se realizaba traqueostomía. La separación del ventilador se cumplió de acuerdo con el protocolo de la unidad. A todos los pacientes se les colocó sonda nasogástrica y sonda vesical. </w:t>
      </w:r>
    </w:p>
    <w:p w14:paraId="79382298"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La fuente de información fue la historia clínica. El procesamiento se realizó con Excel versión 11.8 y SPSS versión 11.5 para Windows. Las medidas de resumen para variables cualitativas, fueron la frecuencia absoluta y el porcentaje; para las cuantitativas se   utilizó la media y la desviación estándar (DS).</w:t>
      </w:r>
    </w:p>
    <w:p w14:paraId="79942671"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 xml:space="preserve">Para determinar la relación entre variables cuantitativas, se aplicó la comparación de medias para grupos independientes con t de Student (creatininuria versus complicaciones, estadía y tiempo de ventilación mecánica); la posible asociación entre variables cualitativas se investigó con el </w:t>
      </w:r>
      <w:proofErr w:type="gramStart"/>
      <w:r w:rsidRPr="00390862">
        <w:rPr>
          <w:rFonts w:ascii="Times New Roman" w:hAnsi="Times New Roman"/>
          <w:i/>
          <w:iCs/>
          <w:sz w:val="24"/>
          <w:szCs w:val="24"/>
          <w:lang w:val="es-ES_tradnl"/>
        </w:rPr>
        <w:t>ji</w:t>
      </w:r>
      <w:r w:rsidRPr="00390862">
        <w:rPr>
          <w:rFonts w:ascii="Times New Roman" w:hAnsi="Times New Roman"/>
          <w:sz w:val="24"/>
          <w:szCs w:val="24"/>
          <w:lang w:val="es-ES_tradnl"/>
        </w:rPr>
        <w:t xml:space="preserve"> cuadrado</w:t>
      </w:r>
      <w:proofErr w:type="gramEnd"/>
      <w:r w:rsidRPr="00390862">
        <w:rPr>
          <w:rFonts w:ascii="Times New Roman" w:hAnsi="Times New Roman"/>
          <w:sz w:val="24"/>
          <w:szCs w:val="24"/>
          <w:lang w:val="es-ES_tradnl"/>
        </w:rPr>
        <w:t xml:space="preserve"> (X</w:t>
      </w:r>
      <w:r w:rsidRPr="00390862">
        <w:rPr>
          <w:rFonts w:ascii="Times New Roman" w:hAnsi="Times New Roman"/>
          <w:sz w:val="24"/>
          <w:szCs w:val="24"/>
          <w:vertAlign w:val="superscript"/>
          <w:lang w:val="es-ES_tradnl"/>
        </w:rPr>
        <w:t>2</w:t>
      </w:r>
      <w:r w:rsidRPr="00390862">
        <w:rPr>
          <w:rFonts w:ascii="Times New Roman" w:hAnsi="Times New Roman"/>
          <w:sz w:val="24"/>
          <w:szCs w:val="24"/>
          <w:lang w:val="es-ES_tradnl"/>
        </w:rPr>
        <w:t>), con corrección de Yates o corrección por continuidad en tabla de 2x2. Si no era posible el uso del X</w:t>
      </w:r>
      <w:r w:rsidRPr="00390862">
        <w:rPr>
          <w:rFonts w:ascii="Times New Roman" w:hAnsi="Times New Roman"/>
          <w:sz w:val="24"/>
          <w:szCs w:val="24"/>
          <w:vertAlign w:val="superscript"/>
          <w:lang w:val="es-ES_tradnl"/>
        </w:rPr>
        <w:t>2</w:t>
      </w:r>
      <w:r w:rsidRPr="00390862">
        <w:rPr>
          <w:rFonts w:ascii="Times New Roman" w:hAnsi="Times New Roman"/>
          <w:sz w:val="24"/>
          <w:szCs w:val="24"/>
          <w:lang w:val="es-ES_tradnl"/>
        </w:rPr>
        <w:t xml:space="preserve"> (25 % o más de las celdas con valores esperados inferiores a 5 o una celda con valor esperado igual </w:t>
      </w:r>
      <w:r w:rsidRPr="00390862">
        <w:rPr>
          <w:rFonts w:ascii="Times New Roman" w:hAnsi="Times New Roman"/>
          <w:sz w:val="24"/>
          <w:szCs w:val="24"/>
          <w:lang w:val="es-ES_tradnl"/>
        </w:rPr>
        <w:lastRenderedPageBreak/>
        <w:t>o menor de 1), se aplicó el test de Fisher. En todos los casos se trabajó con un nivel de confianza del 95 % (p </w:t>
      </w:r>
      <w:r w:rsidRPr="00390862">
        <w:rPr>
          <w:rFonts w:ascii="Arial" w:hAnsi="Arial" w:cs="Arial"/>
          <w:sz w:val="24"/>
          <w:szCs w:val="24"/>
          <w:lang w:val="es-ES_tradnl"/>
        </w:rPr>
        <w:t>&lt; </w:t>
      </w:r>
      <w:r w:rsidRPr="00390862">
        <w:rPr>
          <w:rFonts w:ascii="Times New Roman" w:hAnsi="Times New Roman"/>
          <w:sz w:val="24"/>
          <w:szCs w:val="24"/>
          <w:lang w:val="es-ES_tradnl"/>
        </w:rPr>
        <w:t xml:space="preserve">0,05). Se realizó un análisis </w:t>
      </w:r>
      <w:proofErr w:type="spellStart"/>
      <w:r w:rsidRPr="00390862">
        <w:rPr>
          <w:rFonts w:ascii="Times New Roman" w:hAnsi="Times New Roman"/>
          <w:sz w:val="24"/>
          <w:szCs w:val="24"/>
          <w:lang w:val="es-ES_tradnl"/>
        </w:rPr>
        <w:t>univariado</w:t>
      </w:r>
      <w:proofErr w:type="spellEnd"/>
      <w:r w:rsidRPr="00390862">
        <w:rPr>
          <w:rFonts w:ascii="Times New Roman" w:hAnsi="Times New Roman"/>
          <w:sz w:val="24"/>
          <w:szCs w:val="24"/>
          <w:lang w:val="es-ES_tradnl"/>
        </w:rPr>
        <w:t xml:space="preserve"> con las variables cualitativas (sexo, estado al egreso, complicaciones) y cuantitativas (edad, estadía, índice pronóstico y tiempo de ventilación mecánica); estudio bivariado (diagnóstico versus mortalidad, creatininuria versus complicaciones, estadía, tiempo de ventilación mecánica). Se aplicó la regresión logística múltiple con respuesta dicotómica, para examinar la asociación de las variables con la mortalidad, independiente del efecto de las variables confusoras edad y el sexo.</w:t>
      </w:r>
    </w:p>
    <w:p w14:paraId="4393AC52"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En el aspecto bioético se declara que no hubo procedimientos de intervención, solo se describen los considerados para la atención requerida de los pacientes. Se mantiene la confidencialidad de los datos individuales obtenidos de las historias clínicas.</w:t>
      </w:r>
    </w:p>
    <w:p w14:paraId="13469597" w14:textId="77777777" w:rsidR="00002D94" w:rsidRPr="00390862" w:rsidRDefault="00002D94" w:rsidP="00002D94">
      <w:pPr>
        <w:pStyle w:val="Textocomentario"/>
        <w:spacing w:after="0" w:line="360" w:lineRule="auto"/>
        <w:jc w:val="both"/>
        <w:rPr>
          <w:rFonts w:ascii="Times New Roman" w:hAnsi="Times New Roman"/>
          <w:b/>
          <w:sz w:val="24"/>
          <w:szCs w:val="24"/>
          <w:lang w:val="es-ES_tradnl"/>
        </w:rPr>
      </w:pPr>
    </w:p>
    <w:p w14:paraId="15E5867E" w14:textId="77777777" w:rsidR="00002D94" w:rsidRPr="00390862" w:rsidRDefault="00002D94" w:rsidP="00002D94">
      <w:pPr>
        <w:pStyle w:val="Textocomentario"/>
        <w:spacing w:after="0" w:line="360" w:lineRule="auto"/>
        <w:jc w:val="both"/>
        <w:rPr>
          <w:rFonts w:ascii="Times New Roman" w:hAnsi="Times New Roman"/>
          <w:b/>
          <w:sz w:val="24"/>
          <w:szCs w:val="24"/>
          <w:lang w:val="es-ES_tradnl"/>
        </w:rPr>
      </w:pPr>
    </w:p>
    <w:p w14:paraId="216551F0" w14:textId="77777777" w:rsidR="00002D94" w:rsidRPr="00390862" w:rsidRDefault="00002D94" w:rsidP="00002D94">
      <w:pPr>
        <w:pStyle w:val="Textocomentario"/>
        <w:spacing w:after="0" w:line="360" w:lineRule="auto"/>
        <w:jc w:val="center"/>
        <w:rPr>
          <w:rFonts w:ascii="Times New Roman" w:hAnsi="Times New Roman"/>
          <w:sz w:val="32"/>
          <w:szCs w:val="32"/>
          <w:lang w:val="es-ES_tradnl"/>
        </w:rPr>
      </w:pPr>
      <w:r w:rsidRPr="00390862">
        <w:rPr>
          <w:rFonts w:ascii="Times New Roman" w:hAnsi="Times New Roman"/>
          <w:b/>
          <w:sz w:val="32"/>
          <w:szCs w:val="32"/>
          <w:lang w:val="es-ES_tradnl"/>
        </w:rPr>
        <w:t>RESULTADOS</w:t>
      </w:r>
    </w:p>
    <w:p w14:paraId="47052693" w14:textId="6B4FDCDA" w:rsidR="00002D94" w:rsidRDefault="00002D94" w:rsidP="00002D94">
      <w:pPr>
        <w:spacing w:after="0" w:line="360" w:lineRule="auto"/>
        <w:jc w:val="both"/>
        <w:rPr>
          <w:rFonts w:ascii="Times New Roman" w:eastAsia="Times New Roman" w:hAnsi="Times New Roman"/>
          <w:sz w:val="24"/>
          <w:szCs w:val="24"/>
          <w:lang w:val="es-ES_tradnl" w:eastAsia="es-ES_tradnl"/>
        </w:rPr>
      </w:pPr>
      <w:r w:rsidRPr="00390862">
        <w:rPr>
          <w:rFonts w:ascii="Times New Roman" w:eastAsia="Times New Roman" w:hAnsi="Times New Roman"/>
          <w:sz w:val="24"/>
          <w:szCs w:val="24"/>
          <w:lang w:val="es-ES_tradnl" w:eastAsia="es-ES_tradnl"/>
        </w:rPr>
        <w:t>De los 85 pacientes estudiados (tabla 1), el 54,1 % correspondió al sexo masculino. Hubo 45 fallecidos en la UCI (52,9 %)</w:t>
      </w:r>
      <w:r w:rsidR="00390862" w:rsidRPr="00390862">
        <w:rPr>
          <w:rFonts w:ascii="Times New Roman" w:eastAsia="Times New Roman" w:hAnsi="Times New Roman"/>
          <w:sz w:val="24"/>
          <w:szCs w:val="24"/>
          <w:lang w:val="es-ES_tradnl" w:eastAsia="es-ES_tradnl"/>
        </w:rPr>
        <w:t>.</w:t>
      </w:r>
      <w:r w:rsidRPr="00390862">
        <w:rPr>
          <w:rFonts w:ascii="Times New Roman" w:eastAsia="Times New Roman" w:hAnsi="Times New Roman"/>
          <w:sz w:val="24"/>
          <w:szCs w:val="24"/>
          <w:lang w:val="es-ES_tradnl" w:eastAsia="es-ES_tradnl"/>
        </w:rPr>
        <w:t xml:space="preserve"> </w:t>
      </w:r>
    </w:p>
    <w:p w14:paraId="1BF5E416" w14:textId="77777777" w:rsidR="00430151" w:rsidRPr="00390862" w:rsidRDefault="00430151" w:rsidP="00430151">
      <w:pPr>
        <w:spacing w:after="0" w:line="360" w:lineRule="auto"/>
        <w:jc w:val="both"/>
        <w:rPr>
          <w:rFonts w:ascii="Times New Roman" w:hAnsi="Times New Roman"/>
          <w:sz w:val="24"/>
          <w:szCs w:val="24"/>
          <w:lang w:val="es-ES_tradnl"/>
        </w:rPr>
      </w:pPr>
      <w:r w:rsidRPr="00390862">
        <w:rPr>
          <w:rFonts w:ascii="Times New Roman" w:eastAsia="Times New Roman" w:hAnsi="Times New Roman"/>
          <w:sz w:val="24"/>
          <w:szCs w:val="24"/>
          <w:lang w:val="es-ES_tradnl" w:eastAsia="es-ES_tradnl"/>
        </w:rPr>
        <w:t xml:space="preserve">La presencia del </w:t>
      </w:r>
      <w:r w:rsidRPr="00390862">
        <w:rPr>
          <w:rFonts w:ascii="Times New Roman" w:eastAsia="Times New Roman" w:hAnsi="Times New Roman"/>
          <w:i/>
          <w:sz w:val="24"/>
          <w:szCs w:val="24"/>
          <w:lang w:val="es-ES_tradnl" w:eastAsia="es-ES_tradnl"/>
        </w:rPr>
        <w:t>shock</w:t>
      </w:r>
      <w:r w:rsidRPr="00390862">
        <w:rPr>
          <w:rFonts w:ascii="Times New Roman" w:eastAsia="Times New Roman" w:hAnsi="Times New Roman"/>
          <w:sz w:val="24"/>
          <w:szCs w:val="24"/>
          <w:lang w:val="es-ES_tradnl" w:eastAsia="es-ES_tradnl"/>
        </w:rPr>
        <w:t xml:space="preserve"> séptico fue identificada en 42 pacientes (49,4 %) y el SDMO en 43 pacientes (50,6 %).  E</w:t>
      </w:r>
      <w:r w:rsidRPr="00390862">
        <w:rPr>
          <w:rFonts w:ascii="Times New Roman" w:hAnsi="Times New Roman"/>
          <w:sz w:val="24"/>
          <w:szCs w:val="24"/>
          <w:lang w:val="es-ES_tradnl"/>
        </w:rPr>
        <w:t>l índice de APACHE II</w:t>
      </w:r>
      <w:r w:rsidRPr="00390862">
        <w:rPr>
          <w:rFonts w:ascii="Times New Roman" w:eastAsia="Times New Roman" w:hAnsi="Times New Roman"/>
          <w:sz w:val="24"/>
          <w:szCs w:val="24"/>
          <w:lang w:val="es-ES_tradnl" w:eastAsia="es-ES_tradnl"/>
        </w:rPr>
        <w:t xml:space="preserve"> mostró un valor medio de 20,4 </w:t>
      </w:r>
      <w:r w:rsidRPr="00390862">
        <w:rPr>
          <w:rFonts w:ascii="Times New Roman" w:hAnsi="Times New Roman"/>
          <w:sz w:val="24"/>
          <w:szCs w:val="24"/>
          <w:lang w:val="es-ES_tradnl"/>
        </w:rPr>
        <w:t xml:space="preserve">± 6 puntos; la estadía en la UCI de 14,5 ± 7,7 días y en el hospital de 28,3 </w:t>
      </w:r>
      <w:r w:rsidRPr="00390862">
        <w:rPr>
          <w:rFonts w:ascii="Times New Roman" w:eastAsia="Times New Roman" w:hAnsi="Times New Roman"/>
          <w:sz w:val="24"/>
          <w:szCs w:val="24"/>
          <w:lang w:val="es-ES_tradnl" w:eastAsia="es-ES_tradnl"/>
        </w:rPr>
        <w:t xml:space="preserve">± 23. </w:t>
      </w:r>
      <w:r w:rsidRPr="00390862">
        <w:rPr>
          <w:rFonts w:ascii="Times New Roman" w:hAnsi="Times New Roman"/>
          <w:sz w:val="24"/>
          <w:szCs w:val="24"/>
          <w:lang w:val="es-ES_tradnl"/>
        </w:rPr>
        <w:t xml:space="preserve">Se observó un tiempo de VMI de 13,5 ± 7,8 días. La edad media fue 52,3 ± 15,8 años. </w:t>
      </w:r>
    </w:p>
    <w:p w14:paraId="71D88F14" w14:textId="5D9C376E" w:rsidR="00430151" w:rsidRDefault="00430151" w:rsidP="00430151">
      <w:pPr>
        <w:spacing w:after="0" w:line="360" w:lineRule="auto"/>
        <w:jc w:val="both"/>
        <w:rPr>
          <w:rFonts w:ascii="Times New Roman" w:eastAsia="Times New Roman" w:hAnsi="Times New Roman"/>
          <w:sz w:val="24"/>
          <w:szCs w:val="24"/>
          <w:lang w:val="es-ES_tradnl" w:eastAsia="es-ES_tradnl"/>
        </w:rPr>
      </w:pPr>
      <w:r w:rsidRPr="00390862">
        <w:rPr>
          <w:rFonts w:ascii="Times New Roman" w:eastAsia="Times New Roman" w:hAnsi="Times New Roman"/>
          <w:sz w:val="24"/>
          <w:szCs w:val="24"/>
          <w:lang w:val="es-ES_tradnl" w:eastAsia="es-ES_tradnl"/>
        </w:rPr>
        <w:t>Los diagnósticos al ingreso (tabla 2) más frecuentes fueron la peritonitis secundaria (49,4 %), las intervenciones por enfermedades oncológicas (18,9 %) y por enfermedades neuroquirúrgicos (16,5 %).</w:t>
      </w:r>
    </w:p>
    <w:p w14:paraId="2E43282B" w14:textId="77777777" w:rsidR="00430151" w:rsidRPr="00390862" w:rsidRDefault="00430151" w:rsidP="00430151">
      <w:pPr>
        <w:spacing w:after="0" w:line="360" w:lineRule="auto"/>
        <w:jc w:val="both"/>
        <w:rPr>
          <w:rFonts w:ascii="Times New Roman" w:eastAsia="Times New Roman" w:hAnsi="Times New Roman"/>
          <w:sz w:val="24"/>
          <w:szCs w:val="24"/>
          <w:lang w:val="es-ES_tradnl" w:eastAsia="es-ES_tradnl"/>
        </w:rPr>
      </w:pPr>
      <w:r w:rsidRPr="00390862">
        <w:rPr>
          <w:rFonts w:ascii="Times New Roman" w:eastAsia="Times New Roman" w:hAnsi="Times New Roman"/>
          <w:sz w:val="24"/>
          <w:szCs w:val="24"/>
          <w:lang w:val="es-ES_tradnl" w:eastAsia="es-ES_tradnl"/>
        </w:rPr>
        <w:t>La mayor mortalidad (29,4 %) correspondió a la peritonitis secundaria y la letalidad máxima (62,5 %) a las intervenciones por enfermedades oncológicas. No se evidenció significación estadística (</w:t>
      </w:r>
      <w:r w:rsidRPr="00390862">
        <w:rPr>
          <w:rFonts w:ascii="Times New Roman" w:hAnsi="Times New Roman"/>
          <w:sz w:val="24"/>
          <w:szCs w:val="24"/>
          <w:lang w:val="es-ES_tradnl"/>
        </w:rPr>
        <w:t>p = 0,13).</w:t>
      </w:r>
    </w:p>
    <w:p w14:paraId="6168D5A2" w14:textId="77777777" w:rsidR="00430151" w:rsidRPr="00390862" w:rsidRDefault="00430151" w:rsidP="00430151">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El an</w:t>
      </w:r>
      <w:r w:rsidRPr="00390862">
        <w:rPr>
          <w:rFonts w:ascii="Times New Roman" w:eastAsia="Times New Roman" w:hAnsi="Times New Roman"/>
          <w:sz w:val="24"/>
          <w:szCs w:val="24"/>
          <w:lang w:val="es-ES_tradnl" w:eastAsia="es-ES_tradnl"/>
        </w:rPr>
        <w:t>á</w:t>
      </w:r>
      <w:r w:rsidRPr="00390862">
        <w:rPr>
          <w:rFonts w:ascii="Times New Roman" w:hAnsi="Times New Roman"/>
          <w:sz w:val="24"/>
          <w:szCs w:val="24"/>
          <w:lang w:val="es-ES_tradnl"/>
        </w:rPr>
        <w:t xml:space="preserve">lisis multivariado de la mortalidad </w:t>
      </w:r>
      <w:r w:rsidRPr="00390862">
        <w:rPr>
          <w:rFonts w:ascii="Times New Roman" w:eastAsia="Times New Roman" w:hAnsi="Times New Roman"/>
          <w:sz w:val="24"/>
          <w:szCs w:val="24"/>
          <w:lang w:val="es-ES_tradnl" w:eastAsia="es-ES_tradnl"/>
        </w:rPr>
        <w:t>(tabla 3)</w:t>
      </w:r>
      <w:r w:rsidRPr="00390862">
        <w:rPr>
          <w:rFonts w:ascii="Times New Roman" w:hAnsi="Times New Roman"/>
          <w:sz w:val="24"/>
          <w:szCs w:val="24"/>
          <w:lang w:val="es-ES_tradnl"/>
        </w:rPr>
        <w:t xml:space="preserve"> mostró asociación con los valores bajos de creatininuria. </w:t>
      </w:r>
    </w:p>
    <w:p w14:paraId="4D075B37" w14:textId="77777777" w:rsidR="00430151" w:rsidRPr="00390862" w:rsidRDefault="00430151" w:rsidP="00430151">
      <w:pPr>
        <w:spacing w:after="0" w:line="360" w:lineRule="auto"/>
        <w:jc w:val="both"/>
        <w:rPr>
          <w:rFonts w:ascii="Times New Roman" w:eastAsia="Times New Roman" w:hAnsi="Times New Roman"/>
          <w:sz w:val="24"/>
          <w:szCs w:val="24"/>
          <w:lang w:val="es-ES_tradnl" w:eastAsia="es-ES_tradnl"/>
        </w:rPr>
      </w:pPr>
    </w:p>
    <w:p w14:paraId="2BA5ACB2" w14:textId="0DD883CB" w:rsidR="00430151" w:rsidRDefault="00430151">
      <w:pPr>
        <w:spacing w:after="0" w:line="240" w:lineRule="auto"/>
        <w:rPr>
          <w:rFonts w:ascii="Times New Roman" w:eastAsia="Times New Roman" w:hAnsi="Times New Roman"/>
          <w:sz w:val="24"/>
          <w:szCs w:val="24"/>
          <w:lang w:val="es-ES_tradnl" w:eastAsia="es-ES_tradnl"/>
        </w:rPr>
      </w:pPr>
      <w:r>
        <w:rPr>
          <w:rFonts w:ascii="Times New Roman" w:eastAsia="Times New Roman" w:hAnsi="Times New Roman"/>
          <w:sz w:val="24"/>
          <w:szCs w:val="24"/>
          <w:lang w:val="es-ES_tradnl" w:eastAsia="es-ES_tradnl"/>
        </w:rPr>
        <w:br w:type="page"/>
      </w:r>
    </w:p>
    <w:p w14:paraId="0DDEF399" w14:textId="0A7C46B7" w:rsidR="00002D94" w:rsidRPr="00390862" w:rsidRDefault="00002D94" w:rsidP="00002D94">
      <w:pPr>
        <w:spacing w:after="0" w:line="360" w:lineRule="auto"/>
        <w:jc w:val="center"/>
        <w:rPr>
          <w:rFonts w:ascii="Times New Roman" w:hAnsi="Times New Roman"/>
          <w:lang w:val="es-ES_tradnl"/>
        </w:rPr>
      </w:pPr>
      <w:r w:rsidRPr="00390862">
        <w:rPr>
          <w:rFonts w:ascii="Times New Roman" w:hAnsi="Times New Roman"/>
          <w:b/>
          <w:bCs/>
          <w:lang w:val="es-ES_tradnl"/>
        </w:rPr>
        <w:lastRenderedPageBreak/>
        <w:t>Tabla 1</w:t>
      </w:r>
      <w:r w:rsidR="00390862" w:rsidRPr="00390862">
        <w:rPr>
          <w:rFonts w:ascii="Times New Roman" w:hAnsi="Times New Roman"/>
          <w:b/>
          <w:bCs/>
          <w:lang w:val="es-ES_tradnl"/>
        </w:rPr>
        <w:t xml:space="preserve"> </w:t>
      </w:r>
      <w:r w:rsidRPr="00390862">
        <w:rPr>
          <w:rFonts w:ascii="Times New Roman" w:hAnsi="Times New Roman"/>
          <w:b/>
          <w:bCs/>
          <w:lang w:val="es-ES_tradnl"/>
        </w:rPr>
        <w:t xml:space="preserve">- </w:t>
      </w:r>
      <w:r w:rsidRPr="00390862">
        <w:rPr>
          <w:rFonts w:ascii="Times New Roman" w:hAnsi="Times New Roman"/>
          <w:lang w:val="es-ES_tradnl"/>
        </w:rPr>
        <w:t>Características de los pacientes según variables generales</w:t>
      </w:r>
    </w:p>
    <w:p w14:paraId="1D8238EA" w14:textId="5D48ABBD" w:rsidR="00002D94" w:rsidRPr="00390862" w:rsidRDefault="00390862" w:rsidP="00390862">
      <w:pPr>
        <w:spacing w:after="0" w:line="360" w:lineRule="auto"/>
        <w:jc w:val="center"/>
        <w:rPr>
          <w:rFonts w:ascii="Times New Roman" w:eastAsia="Times New Roman" w:hAnsi="Times New Roman"/>
          <w:sz w:val="24"/>
          <w:szCs w:val="24"/>
          <w:lang w:val="es-ES_tradnl" w:eastAsia="es-ES_tradnl"/>
        </w:rPr>
      </w:pPr>
      <w:r w:rsidRPr="00390862">
        <w:rPr>
          <w:rFonts w:ascii="Times New Roman" w:eastAsia="Times New Roman" w:hAnsi="Times New Roman"/>
          <w:noProof/>
          <w:sz w:val="24"/>
          <w:szCs w:val="24"/>
          <w:lang w:val="es-ES_tradnl" w:eastAsia="es-ES_tradnl"/>
        </w:rPr>
        <w:drawing>
          <wp:inline distT="0" distB="0" distL="0" distR="0" wp14:anchorId="47F16C9E" wp14:editId="3119280C">
            <wp:extent cx="3543300" cy="3486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543300" cy="3486150"/>
                    </a:xfrm>
                    <a:prstGeom prst="rect">
                      <a:avLst/>
                    </a:prstGeom>
                  </pic:spPr>
                </pic:pic>
              </a:graphicData>
            </a:graphic>
          </wp:inline>
        </w:drawing>
      </w:r>
    </w:p>
    <w:p w14:paraId="5FF1372F" w14:textId="77777777" w:rsidR="00390862" w:rsidRPr="00390862" w:rsidRDefault="00390862" w:rsidP="00390862">
      <w:pPr>
        <w:spacing w:after="0" w:line="360" w:lineRule="auto"/>
        <w:jc w:val="center"/>
        <w:rPr>
          <w:rFonts w:ascii="Times New Roman" w:eastAsia="Times New Roman" w:hAnsi="Times New Roman"/>
          <w:sz w:val="24"/>
          <w:szCs w:val="24"/>
          <w:lang w:val="es-ES_tradnl" w:eastAsia="es-ES_tradnl"/>
        </w:rPr>
      </w:pPr>
    </w:p>
    <w:p w14:paraId="2E080CF0" w14:textId="598A1B48" w:rsidR="00002D94" w:rsidRPr="00390862" w:rsidRDefault="00002D94" w:rsidP="00002D94">
      <w:pPr>
        <w:spacing w:after="0" w:line="360" w:lineRule="auto"/>
        <w:jc w:val="center"/>
        <w:rPr>
          <w:rFonts w:ascii="Times New Roman" w:hAnsi="Times New Roman"/>
          <w:lang w:val="es-ES_tradnl"/>
        </w:rPr>
      </w:pPr>
      <w:r w:rsidRPr="00390862">
        <w:rPr>
          <w:rFonts w:ascii="Times New Roman" w:hAnsi="Times New Roman"/>
          <w:b/>
          <w:lang w:val="es-ES_tradnl"/>
        </w:rPr>
        <w:t>Tabla 2 -</w:t>
      </w:r>
      <w:r w:rsidRPr="00390862">
        <w:rPr>
          <w:rFonts w:ascii="Times New Roman" w:hAnsi="Times New Roman"/>
          <w:lang w:val="es-ES_tradnl"/>
        </w:rPr>
        <w:t xml:space="preserve"> Pacientes según diagn</w:t>
      </w:r>
      <w:r w:rsidRPr="00390862">
        <w:rPr>
          <w:rFonts w:ascii="Times New Roman" w:eastAsia="Times New Roman" w:hAnsi="Times New Roman"/>
          <w:lang w:val="es-ES_tradnl" w:eastAsia="es-ES_tradnl"/>
        </w:rPr>
        <w:t>ó</w:t>
      </w:r>
      <w:r w:rsidRPr="00390862">
        <w:rPr>
          <w:rFonts w:ascii="Times New Roman" w:hAnsi="Times New Roman"/>
          <w:lang w:val="es-ES_tradnl"/>
        </w:rPr>
        <w:t>stico al ingreso y estado al egreso</w:t>
      </w:r>
    </w:p>
    <w:p w14:paraId="49ADD5B7" w14:textId="0F8AF311" w:rsidR="00390862" w:rsidRDefault="00390862" w:rsidP="00002D94">
      <w:pPr>
        <w:spacing w:after="0" w:line="360" w:lineRule="auto"/>
        <w:jc w:val="center"/>
        <w:rPr>
          <w:rFonts w:ascii="Times New Roman" w:hAnsi="Times New Roman"/>
          <w:bCs/>
          <w:sz w:val="16"/>
          <w:szCs w:val="16"/>
          <w:lang w:val="es-ES_tradnl"/>
        </w:rPr>
      </w:pPr>
      <w:r>
        <w:rPr>
          <w:rFonts w:ascii="Times New Roman" w:hAnsi="Times New Roman"/>
          <w:bCs/>
          <w:noProof/>
          <w:sz w:val="16"/>
          <w:szCs w:val="16"/>
          <w:lang w:val="es-ES_tradnl"/>
        </w:rPr>
        <w:drawing>
          <wp:inline distT="0" distB="0" distL="0" distR="0" wp14:anchorId="609B81DB" wp14:editId="36FA47E3">
            <wp:extent cx="4171950" cy="1647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4171950" cy="1647825"/>
                    </a:xfrm>
                    <a:prstGeom prst="rect">
                      <a:avLst/>
                    </a:prstGeom>
                  </pic:spPr>
                </pic:pic>
              </a:graphicData>
            </a:graphic>
          </wp:inline>
        </w:drawing>
      </w:r>
    </w:p>
    <w:p w14:paraId="2CA5ECBA" w14:textId="2CD02F28" w:rsidR="00002D94" w:rsidRPr="00390862" w:rsidRDefault="00002D94" w:rsidP="00002D94">
      <w:pPr>
        <w:spacing w:after="0" w:line="360" w:lineRule="auto"/>
        <w:jc w:val="center"/>
        <w:rPr>
          <w:rFonts w:ascii="Times New Roman" w:hAnsi="Times New Roman"/>
          <w:sz w:val="16"/>
          <w:szCs w:val="16"/>
          <w:lang w:val="es-ES_tradnl"/>
        </w:rPr>
      </w:pPr>
      <w:r w:rsidRPr="00390862">
        <w:rPr>
          <w:rFonts w:ascii="Times New Roman" w:hAnsi="Times New Roman"/>
          <w:bCs/>
          <w:sz w:val="16"/>
          <w:szCs w:val="16"/>
          <w:lang w:val="es-ES_tradnl"/>
        </w:rPr>
        <w:t xml:space="preserve">* Mortalidad. ** Letalidad. </w:t>
      </w:r>
      <w:r w:rsidRPr="00390862">
        <w:rPr>
          <w:rFonts w:ascii="Times New Roman" w:hAnsi="Times New Roman"/>
          <w:sz w:val="16"/>
          <w:szCs w:val="16"/>
          <w:lang w:val="es-ES_tradnl"/>
        </w:rPr>
        <w:t>X</w:t>
      </w:r>
      <w:r w:rsidRPr="00390862">
        <w:rPr>
          <w:rFonts w:ascii="Times New Roman" w:hAnsi="Times New Roman"/>
          <w:sz w:val="16"/>
          <w:szCs w:val="16"/>
          <w:vertAlign w:val="superscript"/>
          <w:lang w:val="es-ES_tradnl"/>
        </w:rPr>
        <w:t xml:space="preserve">2 </w:t>
      </w:r>
      <w:r w:rsidRPr="00390862">
        <w:rPr>
          <w:rFonts w:ascii="Times New Roman" w:hAnsi="Times New Roman"/>
          <w:sz w:val="16"/>
          <w:szCs w:val="16"/>
          <w:lang w:val="es-ES_tradnl"/>
        </w:rPr>
        <w:t>= 6,19; p = 0,13</w:t>
      </w:r>
    </w:p>
    <w:p w14:paraId="74776D3D" w14:textId="77777777" w:rsidR="00002D94" w:rsidRPr="00390862" w:rsidRDefault="00002D94" w:rsidP="00002D94">
      <w:pPr>
        <w:spacing w:after="0" w:line="360" w:lineRule="auto"/>
        <w:jc w:val="center"/>
        <w:rPr>
          <w:rFonts w:ascii="Times New Roman" w:hAnsi="Times New Roman"/>
          <w:sz w:val="16"/>
          <w:szCs w:val="16"/>
          <w:lang w:val="es-ES_tradnl"/>
        </w:rPr>
      </w:pPr>
    </w:p>
    <w:p w14:paraId="3A4C486C" w14:textId="77777777" w:rsidR="00002D94" w:rsidRPr="00390862" w:rsidRDefault="00002D94" w:rsidP="00002D94">
      <w:pPr>
        <w:spacing w:after="0" w:line="360" w:lineRule="auto"/>
        <w:jc w:val="both"/>
        <w:rPr>
          <w:rFonts w:ascii="Times New Roman" w:hAnsi="Times New Roman"/>
          <w:sz w:val="24"/>
          <w:szCs w:val="24"/>
          <w:lang w:val="es-ES_tradnl"/>
        </w:rPr>
      </w:pPr>
    </w:p>
    <w:p w14:paraId="32270EF6" w14:textId="77777777" w:rsidR="00430151" w:rsidRDefault="00430151">
      <w:pPr>
        <w:spacing w:after="0" w:line="240" w:lineRule="auto"/>
        <w:rPr>
          <w:rFonts w:ascii="Times New Roman" w:hAnsi="Times New Roman"/>
          <w:b/>
          <w:bCs/>
          <w:lang w:val="es-ES_tradnl"/>
        </w:rPr>
      </w:pPr>
      <w:r>
        <w:rPr>
          <w:rFonts w:ascii="Times New Roman" w:hAnsi="Times New Roman"/>
          <w:b/>
          <w:bCs/>
          <w:lang w:val="es-ES_tradnl"/>
        </w:rPr>
        <w:br w:type="page"/>
      </w:r>
    </w:p>
    <w:p w14:paraId="1B831F18" w14:textId="671BD77F" w:rsidR="00002D94" w:rsidRPr="00390862" w:rsidRDefault="00002D94" w:rsidP="00002D94">
      <w:pPr>
        <w:spacing w:after="0" w:line="360" w:lineRule="auto"/>
        <w:jc w:val="center"/>
        <w:rPr>
          <w:rFonts w:ascii="Times New Roman" w:hAnsi="Times New Roman"/>
          <w:lang w:val="es-ES_tradnl"/>
        </w:rPr>
      </w:pPr>
      <w:r w:rsidRPr="00390862">
        <w:rPr>
          <w:rFonts w:ascii="Times New Roman" w:hAnsi="Times New Roman"/>
          <w:b/>
          <w:bCs/>
          <w:lang w:val="es-ES_tradnl"/>
        </w:rPr>
        <w:lastRenderedPageBreak/>
        <w:t xml:space="preserve">Tabla 3 - </w:t>
      </w:r>
      <w:r w:rsidRPr="00390862">
        <w:rPr>
          <w:rFonts w:ascii="Times New Roman" w:hAnsi="Times New Roman"/>
          <w:lang w:val="es-ES_tradnl"/>
        </w:rPr>
        <w:t xml:space="preserve">Análisis multivariado de la mortalidad en la UCI </w:t>
      </w:r>
    </w:p>
    <w:p w14:paraId="3C4D739B" w14:textId="527325A8" w:rsidR="00390862" w:rsidRDefault="00390862" w:rsidP="00002D94">
      <w:pPr>
        <w:spacing w:after="0" w:line="360" w:lineRule="auto"/>
        <w:jc w:val="center"/>
        <w:rPr>
          <w:rFonts w:ascii="Times New Roman" w:hAnsi="Times New Roman"/>
          <w:bCs/>
          <w:sz w:val="16"/>
          <w:szCs w:val="16"/>
          <w:vertAlign w:val="superscript"/>
          <w:lang w:val="es-ES_tradnl"/>
        </w:rPr>
      </w:pPr>
      <w:r>
        <w:rPr>
          <w:rFonts w:ascii="Times New Roman" w:hAnsi="Times New Roman"/>
          <w:bCs/>
          <w:noProof/>
          <w:sz w:val="16"/>
          <w:szCs w:val="16"/>
          <w:vertAlign w:val="superscript"/>
          <w:lang w:val="es-ES_tradnl"/>
        </w:rPr>
        <w:drawing>
          <wp:inline distT="0" distB="0" distL="0" distR="0" wp14:anchorId="26787A6B" wp14:editId="6AA55E3E">
            <wp:extent cx="443865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4438650" cy="838200"/>
                    </a:xfrm>
                    <a:prstGeom prst="rect">
                      <a:avLst/>
                    </a:prstGeom>
                  </pic:spPr>
                </pic:pic>
              </a:graphicData>
            </a:graphic>
          </wp:inline>
        </w:drawing>
      </w:r>
    </w:p>
    <w:p w14:paraId="2AFF499D" w14:textId="540AC5A7" w:rsidR="00002D94" w:rsidRPr="00390862" w:rsidRDefault="00002D94" w:rsidP="00002D94">
      <w:pPr>
        <w:spacing w:after="0" w:line="360" w:lineRule="auto"/>
        <w:jc w:val="center"/>
        <w:rPr>
          <w:rFonts w:ascii="Times New Roman" w:hAnsi="Times New Roman"/>
          <w:sz w:val="16"/>
          <w:szCs w:val="16"/>
          <w:lang w:val="es-ES_tradnl"/>
        </w:rPr>
      </w:pPr>
      <w:proofErr w:type="gramStart"/>
      <w:r w:rsidRPr="00390862">
        <w:rPr>
          <w:rFonts w:ascii="Times New Roman" w:hAnsi="Times New Roman"/>
          <w:bCs/>
          <w:sz w:val="16"/>
          <w:szCs w:val="16"/>
          <w:vertAlign w:val="superscript"/>
          <w:lang w:val="es-ES_tradnl"/>
        </w:rPr>
        <w:t xml:space="preserve">a  </w:t>
      </w:r>
      <w:r w:rsidRPr="00390862">
        <w:rPr>
          <w:rFonts w:ascii="Times New Roman" w:hAnsi="Times New Roman"/>
          <w:sz w:val="16"/>
          <w:szCs w:val="16"/>
          <w:lang w:val="es-ES_tradnl"/>
        </w:rPr>
        <w:t>=</w:t>
      </w:r>
      <w:proofErr w:type="gramEnd"/>
      <w:r w:rsidRPr="00390862">
        <w:rPr>
          <w:rFonts w:ascii="Times New Roman" w:hAnsi="Times New Roman"/>
          <w:sz w:val="16"/>
          <w:szCs w:val="16"/>
          <w:lang w:val="es-ES_tradnl"/>
        </w:rPr>
        <w:t xml:space="preserve"> mg/kg/día</w:t>
      </w:r>
    </w:p>
    <w:p w14:paraId="1EB7E6C7" w14:textId="77777777" w:rsidR="00002D94" w:rsidRPr="00390862" w:rsidRDefault="00002D94" w:rsidP="00002D94">
      <w:pPr>
        <w:spacing w:after="0" w:line="360" w:lineRule="auto"/>
        <w:rPr>
          <w:rFonts w:ascii="Times New Roman" w:hAnsi="Times New Roman"/>
          <w:sz w:val="24"/>
          <w:szCs w:val="24"/>
          <w:lang w:val="es-ES_tradnl"/>
        </w:rPr>
      </w:pPr>
    </w:p>
    <w:p w14:paraId="101D1280" w14:textId="77777777" w:rsidR="00002D94" w:rsidRPr="00390862" w:rsidRDefault="00002D94" w:rsidP="00002D94">
      <w:pPr>
        <w:spacing w:after="0" w:line="360" w:lineRule="auto"/>
        <w:rPr>
          <w:rFonts w:ascii="Times New Roman" w:hAnsi="Times New Roman"/>
          <w:sz w:val="24"/>
          <w:szCs w:val="24"/>
          <w:lang w:val="es-ES_tradnl"/>
        </w:rPr>
      </w:pPr>
      <w:r w:rsidRPr="00390862">
        <w:rPr>
          <w:rFonts w:ascii="Times New Roman" w:hAnsi="Times New Roman"/>
          <w:sz w:val="24"/>
          <w:szCs w:val="24"/>
          <w:lang w:val="es-ES_tradnl"/>
        </w:rPr>
        <w:t xml:space="preserve">La mortalidad en la UCI evidenció asociación con el índice Apache II y la creatininuria, según el peso corporal (mg/kg/día) con el valor en mg/día. </w:t>
      </w:r>
    </w:p>
    <w:p w14:paraId="465B6070"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 xml:space="preserve">Los pacientes con </w:t>
      </w:r>
      <w:r w:rsidRPr="00390862">
        <w:rPr>
          <w:rFonts w:ascii="Times New Roman" w:hAnsi="Times New Roman"/>
          <w:i/>
          <w:sz w:val="24"/>
          <w:szCs w:val="24"/>
          <w:lang w:val="es-ES_tradnl"/>
        </w:rPr>
        <w:t>shock</w:t>
      </w:r>
      <w:r w:rsidRPr="00390862">
        <w:rPr>
          <w:rFonts w:ascii="Times New Roman" w:hAnsi="Times New Roman"/>
          <w:sz w:val="24"/>
          <w:szCs w:val="24"/>
          <w:lang w:val="es-ES_tradnl"/>
        </w:rPr>
        <w:t xml:space="preserve"> séptico y el SDMO </w:t>
      </w:r>
      <w:r w:rsidRPr="00390862">
        <w:rPr>
          <w:rFonts w:ascii="Times New Roman" w:eastAsia="Times New Roman" w:hAnsi="Times New Roman"/>
          <w:sz w:val="24"/>
          <w:szCs w:val="24"/>
          <w:lang w:val="es-ES_tradnl" w:eastAsia="es-ES_tradnl"/>
        </w:rPr>
        <w:t>(tabla 4) tuvieron</w:t>
      </w:r>
      <w:r w:rsidRPr="00390862">
        <w:rPr>
          <w:rFonts w:ascii="Times New Roman" w:hAnsi="Times New Roman"/>
          <w:sz w:val="24"/>
          <w:szCs w:val="24"/>
          <w:lang w:val="es-ES_tradnl"/>
        </w:rPr>
        <w:t xml:space="preserve"> las cifras inferiores de creatininuria.</w:t>
      </w:r>
    </w:p>
    <w:p w14:paraId="1A07A463" w14:textId="77777777" w:rsidR="00002D94" w:rsidRPr="00390862" w:rsidRDefault="00002D94" w:rsidP="00002D94">
      <w:pPr>
        <w:spacing w:after="0" w:line="360" w:lineRule="auto"/>
        <w:jc w:val="both"/>
        <w:rPr>
          <w:rFonts w:ascii="Times New Roman" w:hAnsi="Times New Roman"/>
          <w:sz w:val="24"/>
          <w:szCs w:val="24"/>
          <w:lang w:val="es-ES_tradnl"/>
        </w:rPr>
      </w:pPr>
    </w:p>
    <w:p w14:paraId="2D7E3301" w14:textId="77777777" w:rsidR="00002D94" w:rsidRPr="00390862" w:rsidRDefault="00002D94" w:rsidP="00002D94">
      <w:pPr>
        <w:spacing w:after="0" w:line="360" w:lineRule="auto"/>
        <w:jc w:val="center"/>
        <w:rPr>
          <w:rFonts w:ascii="Times New Roman" w:hAnsi="Times New Roman"/>
          <w:lang w:val="es-ES_tradnl"/>
        </w:rPr>
      </w:pPr>
      <w:r w:rsidRPr="00390862">
        <w:rPr>
          <w:rFonts w:ascii="Times New Roman" w:hAnsi="Times New Roman"/>
          <w:b/>
          <w:bCs/>
          <w:lang w:val="es-ES_tradnl"/>
        </w:rPr>
        <w:t>Tabla 4 -</w:t>
      </w:r>
      <w:r w:rsidRPr="00390862">
        <w:rPr>
          <w:rFonts w:ascii="Times New Roman" w:hAnsi="Times New Roman"/>
          <w:lang w:val="es-ES_tradnl"/>
        </w:rPr>
        <w:t xml:space="preserve"> </w:t>
      </w:r>
      <w:r w:rsidRPr="00390862">
        <w:rPr>
          <w:rFonts w:ascii="Times New Roman" w:hAnsi="Times New Roman"/>
          <w:i/>
          <w:lang w:val="es-ES_tradnl"/>
        </w:rPr>
        <w:t xml:space="preserve">Shock </w:t>
      </w:r>
      <w:r w:rsidRPr="00390862">
        <w:rPr>
          <w:rFonts w:ascii="Times New Roman" w:hAnsi="Times New Roman"/>
          <w:lang w:val="es-ES_tradnl"/>
        </w:rPr>
        <w:t>séptico y síndrome de disfunción múltiple de órganos según creatininuria.</w:t>
      </w:r>
    </w:p>
    <w:p w14:paraId="0317470B" w14:textId="31F12BDE" w:rsidR="00390862" w:rsidRDefault="00390862" w:rsidP="00002D94">
      <w:pPr>
        <w:spacing w:after="0" w:line="240" w:lineRule="auto"/>
        <w:jc w:val="center"/>
        <w:rPr>
          <w:rFonts w:ascii="Times New Roman" w:hAnsi="Times New Roman"/>
          <w:sz w:val="16"/>
          <w:szCs w:val="16"/>
          <w:vertAlign w:val="superscript"/>
          <w:lang w:val="es-ES_tradnl"/>
        </w:rPr>
      </w:pPr>
      <w:r>
        <w:rPr>
          <w:rFonts w:ascii="Times New Roman" w:hAnsi="Times New Roman"/>
          <w:noProof/>
          <w:sz w:val="16"/>
          <w:szCs w:val="16"/>
          <w:vertAlign w:val="superscript"/>
          <w:lang w:val="es-ES_tradnl"/>
        </w:rPr>
        <w:drawing>
          <wp:inline distT="0" distB="0" distL="0" distR="0" wp14:anchorId="0C2CA271" wp14:editId="3CD24A7D">
            <wp:extent cx="4686300" cy="1466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4686300" cy="1466850"/>
                    </a:xfrm>
                    <a:prstGeom prst="rect">
                      <a:avLst/>
                    </a:prstGeom>
                  </pic:spPr>
                </pic:pic>
              </a:graphicData>
            </a:graphic>
          </wp:inline>
        </w:drawing>
      </w:r>
    </w:p>
    <w:p w14:paraId="7CE9CF57" w14:textId="6DC03DFF" w:rsidR="00002D94" w:rsidRPr="00390862" w:rsidRDefault="00002D94" w:rsidP="00002D94">
      <w:pPr>
        <w:spacing w:after="0" w:line="240" w:lineRule="auto"/>
        <w:jc w:val="center"/>
        <w:rPr>
          <w:rFonts w:ascii="Times New Roman" w:hAnsi="Times New Roman"/>
          <w:sz w:val="16"/>
          <w:szCs w:val="16"/>
          <w:lang w:val="es-ES_tradnl"/>
        </w:rPr>
      </w:pPr>
      <w:r w:rsidRPr="00390862">
        <w:rPr>
          <w:rFonts w:ascii="Times New Roman" w:hAnsi="Times New Roman"/>
          <w:sz w:val="16"/>
          <w:szCs w:val="16"/>
          <w:vertAlign w:val="superscript"/>
          <w:lang w:val="es-ES_tradnl"/>
        </w:rPr>
        <w:t>a</w:t>
      </w:r>
      <w:r w:rsidRPr="00390862">
        <w:rPr>
          <w:rFonts w:ascii="Times New Roman" w:hAnsi="Times New Roman"/>
          <w:sz w:val="16"/>
          <w:szCs w:val="16"/>
          <w:lang w:val="es-ES_tradnl"/>
        </w:rPr>
        <w:t xml:space="preserve"> Síndrome de disfunción múltiple de órganos</w:t>
      </w:r>
    </w:p>
    <w:p w14:paraId="30C4444D" w14:textId="77777777" w:rsidR="00002D94" w:rsidRPr="00390862" w:rsidRDefault="00002D94" w:rsidP="00002D94">
      <w:pPr>
        <w:spacing w:after="0" w:line="240" w:lineRule="auto"/>
        <w:jc w:val="center"/>
        <w:rPr>
          <w:rFonts w:ascii="Times New Roman" w:hAnsi="Times New Roman"/>
          <w:sz w:val="16"/>
          <w:szCs w:val="16"/>
          <w:lang w:val="es-ES_tradnl"/>
        </w:rPr>
      </w:pPr>
      <w:r w:rsidRPr="00390862">
        <w:rPr>
          <w:rFonts w:ascii="Times New Roman" w:hAnsi="Times New Roman"/>
          <w:sz w:val="16"/>
          <w:szCs w:val="16"/>
          <w:lang w:val="es-ES_tradnl"/>
        </w:rPr>
        <w:t>t de Student * p &lt; 0,05; ** p &lt; 0,01</w:t>
      </w:r>
    </w:p>
    <w:p w14:paraId="747D1603" w14:textId="77777777" w:rsidR="00002D94" w:rsidRPr="00390862" w:rsidRDefault="00002D94" w:rsidP="00002D94">
      <w:pPr>
        <w:spacing w:after="0" w:line="360" w:lineRule="auto"/>
        <w:jc w:val="both"/>
        <w:rPr>
          <w:rFonts w:ascii="Times New Roman" w:hAnsi="Times New Roman"/>
          <w:sz w:val="24"/>
          <w:szCs w:val="24"/>
          <w:lang w:val="es-ES_tradnl"/>
        </w:rPr>
      </w:pPr>
    </w:p>
    <w:p w14:paraId="7DC25B56" w14:textId="77777777" w:rsidR="00002D94" w:rsidRPr="00390862" w:rsidRDefault="00002D94" w:rsidP="00002D94">
      <w:pPr>
        <w:spacing w:after="0" w:line="360" w:lineRule="auto"/>
        <w:jc w:val="both"/>
        <w:rPr>
          <w:rFonts w:ascii="Times New Roman" w:hAnsi="Times New Roman"/>
          <w:bCs/>
          <w:sz w:val="24"/>
          <w:szCs w:val="24"/>
          <w:lang w:val="es-ES_tradnl"/>
        </w:rPr>
      </w:pPr>
      <w:r w:rsidRPr="00390862">
        <w:rPr>
          <w:rFonts w:ascii="Times New Roman" w:hAnsi="Times New Roman"/>
          <w:sz w:val="24"/>
          <w:szCs w:val="24"/>
          <w:lang w:val="es-ES_tradnl"/>
        </w:rPr>
        <w:t xml:space="preserve">Los pacientes con </w:t>
      </w:r>
      <w:r w:rsidRPr="00390862">
        <w:rPr>
          <w:rFonts w:ascii="Times New Roman" w:hAnsi="Times New Roman"/>
          <w:i/>
          <w:iCs/>
          <w:sz w:val="24"/>
          <w:szCs w:val="24"/>
          <w:lang w:val="es-ES_tradnl"/>
        </w:rPr>
        <w:t>shock</w:t>
      </w:r>
      <w:r w:rsidRPr="00390862">
        <w:rPr>
          <w:rFonts w:ascii="Times New Roman" w:hAnsi="Times New Roman"/>
          <w:sz w:val="24"/>
          <w:szCs w:val="24"/>
          <w:lang w:val="es-ES_tradnl"/>
        </w:rPr>
        <w:t xml:space="preserve"> séptico mostraron valores de creatininuria de 12,6 ± 4,1 mg/kg/día (p = </w:t>
      </w:r>
      <w:r w:rsidRPr="00390862">
        <w:rPr>
          <w:rFonts w:ascii="Times New Roman" w:hAnsi="Times New Roman"/>
          <w:bCs/>
          <w:sz w:val="24"/>
          <w:szCs w:val="24"/>
          <w:lang w:val="es-ES_tradnl"/>
        </w:rPr>
        <w:t>0,008)</w:t>
      </w:r>
      <w:r w:rsidRPr="00390862">
        <w:rPr>
          <w:rFonts w:ascii="Times New Roman" w:hAnsi="Times New Roman"/>
          <w:sz w:val="24"/>
          <w:szCs w:val="24"/>
          <w:lang w:val="es-ES_tradnl"/>
        </w:rPr>
        <w:t xml:space="preserve"> y 862,2 ± 337 mg/día (p = </w:t>
      </w:r>
      <w:r w:rsidRPr="00390862">
        <w:rPr>
          <w:rFonts w:ascii="Times New Roman" w:hAnsi="Times New Roman"/>
          <w:bCs/>
          <w:sz w:val="24"/>
          <w:szCs w:val="24"/>
          <w:lang w:val="es-ES_tradnl"/>
        </w:rPr>
        <w:t>0,005</w:t>
      </w:r>
      <w:r w:rsidRPr="00390862">
        <w:rPr>
          <w:rFonts w:ascii="Times New Roman" w:hAnsi="Times New Roman"/>
          <w:sz w:val="24"/>
          <w:szCs w:val="24"/>
          <w:lang w:val="es-ES_tradnl"/>
        </w:rPr>
        <w:t>). En los pacientes con SDMO los valores fueron de 12,7 ± 4,0 mg/kg/día (p = </w:t>
      </w:r>
      <w:r w:rsidRPr="00390862">
        <w:rPr>
          <w:rFonts w:ascii="Times New Roman" w:hAnsi="Times New Roman"/>
          <w:bCs/>
          <w:sz w:val="24"/>
          <w:szCs w:val="24"/>
          <w:lang w:val="es-ES_tradnl"/>
        </w:rPr>
        <w:t>0,008)</w:t>
      </w:r>
      <w:r w:rsidRPr="00390862">
        <w:rPr>
          <w:rFonts w:ascii="Times New Roman" w:hAnsi="Times New Roman"/>
          <w:sz w:val="24"/>
          <w:szCs w:val="24"/>
          <w:lang w:val="es-ES_tradnl"/>
        </w:rPr>
        <w:t xml:space="preserve"> y 897 ± 361,7 mg/día (p = </w:t>
      </w:r>
      <w:r w:rsidRPr="00390862">
        <w:rPr>
          <w:rFonts w:ascii="Times New Roman" w:hAnsi="Times New Roman"/>
          <w:bCs/>
          <w:sz w:val="24"/>
          <w:szCs w:val="24"/>
          <w:lang w:val="es-ES_tradnl"/>
        </w:rPr>
        <w:t>0,043).</w:t>
      </w:r>
    </w:p>
    <w:p w14:paraId="2436E1F6"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Cs/>
          <w:sz w:val="24"/>
          <w:szCs w:val="24"/>
          <w:lang w:val="es-ES_tradnl"/>
        </w:rPr>
        <w:t xml:space="preserve">En la tabla 5 se aprecian los valores de creatininuria, </w:t>
      </w:r>
      <w:r w:rsidRPr="00390862">
        <w:rPr>
          <w:rFonts w:ascii="Times New Roman" w:hAnsi="Times New Roman"/>
          <w:sz w:val="24"/>
          <w:szCs w:val="24"/>
          <w:lang w:val="es-ES_tradnl"/>
        </w:rPr>
        <w:t>según estadía en la UCI y tiempo de VMI.</w:t>
      </w:r>
    </w:p>
    <w:p w14:paraId="68876D9C" w14:textId="77777777" w:rsidR="00002D94" w:rsidRPr="00390862" w:rsidRDefault="00002D94" w:rsidP="00002D94">
      <w:pPr>
        <w:spacing w:after="0" w:line="360" w:lineRule="auto"/>
        <w:jc w:val="center"/>
        <w:rPr>
          <w:rFonts w:ascii="Times New Roman" w:hAnsi="Times New Roman"/>
          <w:b/>
          <w:bCs/>
          <w:lang w:val="es-ES_tradnl"/>
        </w:rPr>
      </w:pPr>
    </w:p>
    <w:p w14:paraId="12CC6741" w14:textId="77777777" w:rsidR="00430151" w:rsidRDefault="00430151">
      <w:pPr>
        <w:spacing w:after="0" w:line="240" w:lineRule="auto"/>
        <w:rPr>
          <w:rFonts w:ascii="Times New Roman" w:hAnsi="Times New Roman"/>
          <w:b/>
          <w:bCs/>
          <w:lang w:val="es-ES_tradnl"/>
        </w:rPr>
      </w:pPr>
      <w:r>
        <w:rPr>
          <w:rFonts w:ascii="Times New Roman" w:hAnsi="Times New Roman"/>
          <w:b/>
          <w:bCs/>
          <w:lang w:val="es-ES_tradnl"/>
        </w:rPr>
        <w:br w:type="page"/>
      </w:r>
    </w:p>
    <w:p w14:paraId="2E84F24F" w14:textId="06700715" w:rsidR="00002D94" w:rsidRPr="00390862" w:rsidRDefault="00002D94" w:rsidP="00002D94">
      <w:pPr>
        <w:spacing w:after="0" w:line="360" w:lineRule="auto"/>
        <w:jc w:val="center"/>
        <w:rPr>
          <w:rFonts w:ascii="Times New Roman" w:hAnsi="Times New Roman"/>
          <w:lang w:val="es-ES_tradnl"/>
        </w:rPr>
      </w:pPr>
      <w:r w:rsidRPr="00390862">
        <w:rPr>
          <w:rFonts w:ascii="Times New Roman" w:hAnsi="Times New Roman"/>
          <w:b/>
          <w:bCs/>
          <w:lang w:val="es-ES_tradnl"/>
        </w:rPr>
        <w:lastRenderedPageBreak/>
        <w:t xml:space="preserve">Tabla 5 - </w:t>
      </w:r>
      <w:r w:rsidRPr="00390862">
        <w:rPr>
          <w:rFonts w:ascii="Times New Roman" w:hAnsi="Times New Roman"/>
          <w:lang w:val="es-ES_tradnl"/>
        </w:rPr>
        <w:t>Creatininuria según estadía en la UCI y tiempo de VMI</w:t>
      </w:r>
    </w:p>
    <w:p w14:paraId="7E5EC8B2" w14:textId="43193E17" w:rsidR="00390862" w:rsidRDefault="00390862" w:rsidP="00002D94">
      <w:pPr>
        <w:spacing w:after="0" w:line="36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3A6FCB3A" wp14:editId="0389084E">
            <wp:extent cx="4686300" cy="1447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4686300" cy="1447800"/>
                    </a:xfrm>
                    <a:prstGeom prst="rect">
                      <a:avLst/>
                    </a:prstGeom>
                  </pic:spPr>
                </pic:pic>
              </a:graphicData>
            </a:graphic>
          </wp:inline>
        </w:drawing>
      </w:r>
    </w:p>
    <w:p w14:paraId="28182303" w14:textId="787367B7" w:rsidR="00002D94" w:rsidRPr="00390862" w:rsidRDefault="00002D94" w:rsidP="00002D94">
      <w:pPr>
        <w:spacing w:after="0" w:line="360" w:lineRule="auto"/>
        <w:jc w:val="center"/>
        <w:rPr>
          <w:rFonts w:ascii="Times New Roman" w:hAnsi="Times New Roman"/>
          <w:sz w:val="16"/>
          <w:szCs w:val="16"/>
          <w:lang w:val="en-US"/>
        </w:rPr>
      </w:pPr>
      <w:r w:rsidRPr="00390862">
        <w:rPr>
          <w:rFonts w:ascii="Times New Roman" w:hAnsi="Times New Roman"/>
          <w:sz w:val="16"/>
          <w:szCs w:val="16"/>
          <w:lang w:val="en-US"/>
        </w:rPr>
        <w:t>t de Student * p &lt; 0,05; ** p &lt; 0,01</w:t>
      </w:r>
    </w:p>
    <w:p w14:paraId="4103DFE3" w14:textId="77777777" w:rsidR="00002D94" w:rsidRPr="00390862" w:rsidRDefault="00002D94" w:rsidP="00002D94">
      <w:pPr>
        <w:spacing w:after="0" w:line="360" w:lineRule="auto"/>
        <w:jc w:val="both"/>
        <w:rPr>
          <w:rFonts w:ascii="Times New Roman" w:hAnsi="Times New Roman"/>
          <w:sz w:val="24"/>
          <w:szCs w:val="24"/>
          <w:lang w:val="en-US"/>
        </w:rPr>
      </w:pPr>
    </w:p>
    <w:p w14:paraId="4CB0F157" w14:textId="77777777" w:rsidR="00002D94" w:rsidRPr="00390862" w:rsidRDefault="00002D94" w:rsidP="00002D94">
      <w:pPr>
        <w:spacing w:after="0" w:line="360" w:lineRule="auto"/>
        <w:jc w:val="both"/>
        <w:rPr>
          <w:rFonts w:ascii="Times New Roman" w:hAnsi="Times New Roman"/>
          <w:bCs/>
          <w:sz w:val="24"/>
          <w:szCs w:val="24"/>
          <w:lang w:val="es-ES_tradnl"/>
        </w:rPr>
      </w:pPr>
      <w:r w:rsidRPr="00390862">
        <w:rPr>
          <w:rFonts w:ascii="Times New Roman" w:hAnsi="Times New Roman"/>
          <w:sz w:val="24"/>
          <w:szCs w:val="24"/>
          <w:lang w:val="es-ES_tradnl"/>
        </w:rPr>
        <w:t>La estadía en la UCI (tabla 5) identificó asociación de los valores inferiores de la creatininuria con una estadía mayor de 10 días (898,6 ± 347,6 mg/día; p = 0,016; 12,7 mg/kg/día ± 3,7; p = </w:t>
      </w:r>
      <w:r w:rsidRPr="00390862">
        <w:rPr>
          <w:rFonts w:ascii="Times New Roman" w:hAnsi="Times New Roman"/>
          <w:bCs/>
          <w:sz w:val="24"/>
          <w:szCs w:val="24"/>
          <w:lang w:val="es-ES_tradnl"/>
        </w:rPr>
        <w:t xml:space="preserve">0,001**), </w:t>
      </w:r>
      <w:r w:rsidRPr="00390862">
        <w:rPr>
          <w:rFonts w:ascii="Times New Roman" w:hAnsi="Times New Roman"/>
          <w:sz w:val="24"/>
          <w:szCs w:val="24"/>
          <w:lang w:val="es-ES_tradnl"/>
        </w:rPr>
        <w:t>con significación estadística</w:t>
      </w:r>
      <w:r w:rsidRPr="00390862">
        <w:rPr>
          <w:rFonts w:ascii="Times New Roman" w:hAnsi="Times New Roman"/>
          <w:bCs/>
          <w:sz w:val="24"/>
          <w:szCs w:val="24"/>
          <w:lang w:val="es-ES_tradnl"/>
        </w:rPr>
        <w:t xml:space="preserve">. </w:t>
      </w:r>
    </w:p>
    <w:p w14:paraId="3B276355"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Se apreció también asociación del mayor tiempo de VMI, con los valores inferiores de la creatininuria (13,4 ± 4,25 mg/kg/día; p = 0,034), con significación estadística.</w:t>
      </w:r>
    </w:p>
    <w:p w14:paraId="711A8DB7" w14:textId="77777777" w:rsidR="00002D94" w:rsidRPr="00390862" w:rsidRDefault="00002D94" w:rsidP="00002D94">
      <w:pPr>
        <w:spacing w:after="0" w:line="360" w:lineRule="auto"/>
        <w:jc w:val="both"/>
        <w:rPr>
          <w:rFonts w:ascii="Times New Roman" w:hAnsi="Times New Roman"/>
          <w:b/>
          <w:sz w:val="24"/>
          <w:szCs w:val="24"/>
          <w:lang w:val="es-ES_tradnl"/>
        </w:rPr>
      </w:pPr>
    </w:p>
    <w:p w14:paraId="22BB9D85" w14:textId="77777777" w:rsidR="00002D94" w:rsidRPr="00390862" w:rsidRDefault="00002D94" w:rsidP="00002D94">
      <w:pPr>
        <w:spacing w:after="0" w:line="360" w:lineRule="auto"/>
        <w:rPr>
          <w:rFonts w:ascii="Times New Roman" w:hAnsi="Times New Roman"/>
          <w:b/>
          <w:sz w:val="24"/>
          <w:szCs w:val="24"/>
          <w:lang w:val="es-ES_tradnl"/>
        </w:rPr>
      </w:pPr>
    </w:p>
    <w:p w14:paraId="1296AA7F" w14:textId="77777777" w:rsidR="00002D94" w:rsidRPr="00390862" w:rsidRDefault="00002D94" w:rsidP="00002D94">
      <w:pPr>
        <w:spacing w:after="0" w:line="360" w:lineRule="auto"/>
        <w:jc w:val="center"/>
        <w:rPr>
          <w:rFonts w:ascii="Times New Roman" w:hAnsi="Times New Roman"/>
          <w:b/>
          <w:sz w:val="32"/>
          <w:szCs w:val="32"/>
          <w:lang w:val="es-ES_tradnl"/>
        </w:rPr>
      </w:pPr>
      <w:r w:rsidRPr="00390862">
        <w:rPr>
          <w:rFonts w:ascii="Times New Roman" w:hAnsi="Times New Roman"/>
          <w:b/>
          <w:sz w:val="32"/>
          <w:szCs w:val="32"/>
          <w:lang w:val="es-ES_tradnl"/>
        </w:rPr>
        <w:t>DISCUSIÓN</w:t>
      </w:r>
    </w:p>
    <w:p w14:paraId="39177FF0" w14:textId="77777777" w:rsidR="00002D94" w:rsidRPr="00390862" w:rsidRDefault="00002D94" w:rsidP="00002D94">
      <w:pPr>
        <w:spacing w:after="0" w:line="360" w:lineRule="auto"/>
        <w:jc w:val="both"/>
        <w:rPr>
          <w:rFonts w:ascii="Times New Roman" w:hAnsi="Times New Roman"/>
          <w:bCs/>
          <w:sz w:val="24"/>
          <w:szCs w:val="24"/>
          <w:lang w:val="es-ES_tradnl"/>
        </w:rPr>
      </w:pPr>
      <w:r w:rsidRPr="00390862">
        <w:rPr>
          <w:rFonts w:ascii="Times New Roman" w:hAnsi="Times New Roman"/>
          <w:sz w:val="24"/>
          <w:szCs w:val="24"/>
          <w:lang w:val="es-ES_tradnl"/>
        </w:rPr>
        <w:t xml:space="preserve">Las características de los pacientes según el sexo y la edad, coinciden con otras </w:t>
      </w:r>
      <w:proofErr w:type="gramStart"/>
      <w:r w:rsidRPr="00390862">
        <w:rPr>
          <w:rFonts w:ascii="Times New Roman" w:hAnsi="Times New Roman"/>
          <w:sz w:val="24"/>
          <w:szCs w:val="24"/>
          <w:lang w:val="es-ES_tradnl"/>
        </w:rPr>
        <w:t>investigaciones.</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2,</w:t>
      </w:r>
      <w:r w:rsidRPr="00390862">
        <w:rPr>
          <w:rFonts w:ascii="Times New Roman" w:hAnsi="Times New Roman"/>
          <w:bCs/>
          <w:sz w:val="24"/>
          <w:szCs w:val="24"/>
          <w:vertAlign w:val="superscript"/>
          <w:lang w:val="es-ES_tradnl"/>
        </w:rPr>
        <w:t xml:space="preserve">14) </w:t>
      </w:r>
      <w:r w:rsidRPr="00390862">
        <w:rPr>
          <w:rFonts w:ascii="Times New Roman" w:eastAsia="Times New Roman" w:hAnsi="Times New Roman"/>
          <w:sz w:val="24"/>
          <w:szCs w:val="24"/>
          <w:lang w:val="es-ES_tradnl" w:eastAsia="es-ES_tradnl"/>
        </w:rPr>
        <w:t xml:space="preserve">La mortalidad en la UCI, fue mayor que lo informado por </w:t>
      </w:r>
      <w:proofErr w:type="spellStart"/>
      <w:r w:rsidRPr="00390862">
        <w:rPr>
          <w:rFonts w:ascii="Times New Roman" w:eastAsia="Times New Roman" w:hAnsi="Times New Roman"/>
          <w:i/>
          <w:sz w:val="24"/>
          <w:szCs w:val="24"/>
          <w:lang w:val="es-ES_tradnl" w:eastAsia="es-ES_tradnl"/>
        </w:rPr>
        <w:t>Hoffer</w:t>
      </w:r>
      <w:proofErr w:type="spellEnd"/>
      <w:r w:rsidRPr="00390862">
        <w:rPr>
          <w:rFonts w:ascii="Times New Roman" w:eastAsia="Times New Roman" w:hAnsi="Times New Roman"/>
          <w:i/>
          <w:sz w:val="24"/>
          <w:szCs w:val="24"/>
          <w:lang w:val="es-ES_tradnl" w:eastAsia="es-ES_tradnl"/>
        </w:rPr>
        <w:t xml:space="preserve"> </w:t>
      </w:r>
      <w:r w:rsidRPr="00390862">
        <w:rPr>
          <w:rFonts w:ascii="Times New Roman" w:eastAsia="Times New Roman" w:hAnsi="Times New Roman"/>
          <w:iCs/>
          <w:sz w:val="24"/>
          <w:szCs w:val="24"/>
          <w:lang w:val="es-ES_tradnl" w:eastAsia="es-ES_tradnl"/>
        </w:rPr>
        <w:t>y otros</w:t>
      </w:r>
      <w:r w:rsidRPr="00390862">
        <w:rPr>
          <w:rFonts w:ascii="Times New Roman" w:eastAsia="Times New Roman" w:hAnsi="Times New Roman"/>
          <w:sz w:val="24"/>
          <w:szCs w:val="24"/>
          <w:lang w:val="es-ES_tradnl" w:eastAsia="es-ES_tradnl"/>
        </w:rPr>
        <w:t>,</w:t>
      </w:r>
      <w:r w:rsidRPr="00390862">
        <w:rPr>
          <w:rFonts w:ascii="Times New Roman" w:eastAsia="Times New Roman" w:hAnsi="Times New Roman"/>
          <w:sz w:val="24"/>
          <w:szCs w:val="24"/>
          <w:vertAlign w:val="superscript"/>
          <w:lang w:val="es-ES_tradnl" w:eastAsia="es-ES_tradnl"/>
        </w:rPr>
        <w:t>(15)</w:t>
      </w:r>
      <w:r w:rsidRPr="00390862">
        <w:rPr>
          <w:rFonts w:ascii="Times New Roman" w:eastAsia="Times New Roman" w:hAnsi="Times New Roman"/>
          <w:sz w:val="24"/>
          <w:szCs w:val="24"/>
          <w:lang w:val="es-ES_tradnl" w:eastAsia="es-ES_tradnl"/>
        </w:rPr>
        <w:t xml:space="preserve"> quienes reportan en los pacientes críticos, especialmente sépticos, una mortalidad hospitalaria del 25 al 50 %</w:t>
      </w:r>
      <w:r w:rsidRPr="00390862">
        <w:rPr>
          <w:rFonts w:ascii="Times New Roman" w:hAnsi="Times New Roman"/>
          <w:bCs/>
          <w:sz w:val="24"/>
          <w:szCs w:val="24"/>
          <w:lang w:val="es-ES_tradnl"/>
        </w:rPr>
        <w:t xml:space="preserve">. </w:t>
      </w:r>
      <w:r w:rsidRPr="00390862">
        <w:rPr>
          <w:rFonts w:ascii="Times New Roman" w:eastAsia="Times New Roman" w:hAnsi="Times New Roman"/>
          <w:sz w:val="24"/>
          <w:szCs w:val="24"/>
          <w:lang w:val="es-ES_tradnl" w:eastAsia="es-ES_tradnl"/>
        </w:rPr>
        <w:t xml:space="preserve">La exclusión de los pacientes con una estadía menor de 5 días y un tiempo de VMI menor de 3 días, pudo haber influido en </w:t>
      </w:r>
      <w:r w:rsidRPr="00390862">
        <w:rPr>
          <w:rFonts w:ascii="Times New Roman" w:hAnsi="Times New Roman"/>
          <w:sz w:val="24"/>
          <w:szCs w:val="24"/>
          <w:lang w:val="es-ES_tradnl"/>
        </w:rPr>
        <w:t>los resultados de la mortalidad</w:t>
      </w:r>
      <w:r w:rsidRPr="00390862">
        <w:rPr>
          <w:rStyle w:val="Textoennegrita"/>
          <w:rFonts w:ascii="Times New Roman" w:hAnsi="Times New Roman"/>
          <w:bCs/>
          <w:sz w:val="24"/>
          <w:szCs w:val="24"/>
          <w:lang w:val="es-ES_tradnl"/>
        </w:rPr>
        <w:t xml:space="preserve">. </w:t>
      </w:r>
      <w:r w:rsidRPr="00390862">
        <w:rPr>
          <w:rFonts w:ascii="Times New Roman" w:eastAsia="Times New Roman" w:hAnsi="Times New Roman"/>
          <w:sz w:val="24"/>
          <w:szCs w:val="24"/>
          <w:lang w:val="es-ES_tradnl" w:eastAsia="es-ES_tradnl"/>
        </w:rPr>
        <w:t>La</w:t>
      </w:r>
      <w:r w:rsidRPr="00390862">
        <w:rPr>
          <w:rFonts w:ascii="Times New Roman" w:hAnsi="Times New Roman"/>
          <w:sz w:val="24"/>
          <w:szCs w:val="24"/>
          <w:lang w:val="es-ES_tradnl"/>
        </w:rPr>
        <w:t xml:space="preserve"> evaluación del índice APACHE II,</w:t>
      </w:r>
      <w:r w:rsidRPr="00390862">
        <w:rPr>
          <w:rFonts w:ascii="Times New Roman" w:eastAsia="Times New Roman" w:hAnsi="Times New Roman"/>
          <w:sz w:val="24"/>
          <w:szCs w:val="24"/>
          <w:lang w:val="es-ES_tradnl" w:eastAsia="es-ES_tradnl"/>
        </w:rPr>
        <w:t xml:space="preserve"> tuvo un valor promedio elevado, lo cual mostró la gravedad y el riesgo alto en los pacientes investigados.</w:t>
      </w:r>
      <w:r w:rsidRPr="00390862">
        <w:rPr>
          <w:rStyle w:val="Textoennegrita"/>
          <w:rFonts w:ascii="Times New Roman" w:hAnsi="Times New Roman"/>
          <w:sz w:val="24"/>
          <w:szCs w:val="24"/>
          <w:lang w:val="es-ES_tradnl"/>
        </w:rPr>
        <w:t xml:space="preserve"> Se</w:t>
      </w:r>
      <w:r w:rsidRPr="00390862">
        <w:rPr>
          <w:rFonts w:ascii="Times New Roman" w:eastAsia="Times New Roman" w:hAnsi="Times New Roman"/>
          <w:sz w:val="24"/>
          <w:szCs w:val="24"/>
          <w:lang w:val="es-ES_tradnl" w:eastAsia="es-ES_tradnl"/>
        </w:rPr>
        <w:t xml:space="preserve"> apreció la asociación de los valores elevados con la mortalidad, reportados en otros </w:t>
      </w:r>
      <w:proofErr w:type="gramStart"/>
      <w:r w:rsidRPr="00390862">
        <w:rPr>
          <w:rFonts w:ascii="Times New Roman" w:eastAsia="Times New Roman" w:hAnsi="Times New Roman"/>
          <w:sz w:val="24"/>
          <w:szCs w:val="24"/>
          <w:lang w:val="es-ES_tradnl" w:eastAsia="es-ES_tradnl"/>
        </w:rPr>
        <w:t>estudios.</w:t>
      </w:r>
      <w:r w:rsidRPr="00390862">
        <w:rPr>
          <w:rFonts w:ascii="Times New Roman" w:eastAsia="Times New Roman" w:hAnsi="Times New Roman"/>
          <w:sz w:val="24"/>
          <w:szCs w:val="24"/>
          <w:vertAlign w:val="superscript"/>
          <w:lang w:val="es-ES_tradnl" w:eastAsia="es-ES_tradnl"/>
        </w:rPr>
        <w:t>(</w:t>
      </w:r>
      <w:proofErr w:type="gramEnd"/>
      <w:r w:rsidRPr="00390862">
        <w:rPr>
          <w:rFonts w:ascii="Times New Roman" w:eastAsia="Times New Roman" w:hAnsi="Times New Roman"/>
          <w:sz w:val="24"/>
          <w:szCs w:val="24"/>
          <w:vertAlign w:val="superscript"/>
          <w:lang w:val="es-ES_tradnl" w:eastAsia="es-ES_tradnl"/>
        </w:rPr>
        <w:t>16,17,18)</w:t>
      </w:r>
    </w:p>
    <w:p w14:paraId="5593DDB2" w14:textId="77777777" w:rsidR="00002D94" w:rsidRPr="00390862" w:rsidRDefault="00002D94" w:rsidP="00002D94">
      <w:pPr>
        <w:spacing w:after="0" w:line="360" w:lineRule="auto"/>
        <w:jc w:val="both"/>
        <w:rPr>
          <w:rFonts w:ascii="Times New Roman" w:eastAsia="Times New Roman" w:hAnsi="Times New Roman"/>
          <w:sz w:val="24"/>
          <w:szCs w:val="24"/>
          <w:lang w:val="es-ES_tradnl" w:eastAsia="es-ES_tradnl"/>
        </w:rPr>
      </w:pPr>
      <w:r w:rsidRPr="00390862">
        <w:rPr>
          <w:rFonts w:ascii="Times New Roman" w:eastAsia="Times New Roman" w:hAnsi="Times New Roman"/>
          <w:sz w:val="24"/>
          <w:szCs w:val="24"/>
          <w:lang w:val="es-ES_tradnl" w:eastAsia="es-ES_tradnl"/>
        </w:rPr>
        <w:t xml:space="preserve">El predominio de la peritonitis secundaria como diagnóstico al ingreso y causa de mortalidad, coincidió con otras </w:t>
      </w:r>
      <w:proofErr w:type="gramStart"/>
      <w:r w:rsidRPr="00390862">
        <w:rPr>
          <w:rFonts w:ascii="Times New Roman" w:eastAsia="Times New Roman" w:hAnsi="Times New Roman"/>
          <w:sz w:val="24"/>
          <w:szCs w:val="24"/>
          <w:lang w:val="es-ES_tradnl" w:eastAsia="es-ES_tradnl"/>
        </w:rPr>
        <w:t>investigaciones.</w:t>
      </w:r>
      <w:r w:rsidRPr="00390862">
        <w:rPr>
          <w:rFonts w:ascii="Times New Roman" w:eastAsia="Times New Roman" w:hAnsi="Times New Roman"/>
          <w:sz w:val="24"/>
          <w:szCs w:val="24"/>
          <w:vertAlign w:val="superscript"/>
          <w:lang w:val="es-ES_tradnl" w:eastAsia="es-ES_tradnl"/>
        </w:rPr>
        <w:t>(</w:t>
      </w:r>
      <w:proofErr w:type="gramEnd"/>
      <w:r w:rsidRPr="00390862">
        <w:rPr>
          <w:rFonts w:ascii="Times New Roman" w:eastAsia="Times New Roman" w:hAnsi="Times New Roman"/>
          <w:sz w:val="24"/>
          <w:szCs w:val="24"/>
          <w:vertAlign w:val="superscript"/>
          <w:lang w:val="es-ES_tradnl" w:eastAsia="es-ES_tradnl"/>
        </w:rPr>
        <w:t xml:space="preserve">19) </w:t>
      </w:r>
      <w:r w:rsidRPr="00390862">
        <w:rPr>
          <w:rFonts w:ascii="Times New Roman" w:eastAsia="Times New Roman" w:hAnsi="Times New Roman"/>
          <w:sz w:val="24"/>
          <w:szCs w:val="24"/>
          <w:lang w:val="es-ES_tradnl" w:eastAsia="es-ES_tradnl"/>
        </w:rPr>
        <w:t>Ocurre por alteraciones intestinales inflamatorias, mecánicas, vasculares o neoplásicas.</w:t>
      </w:r>
      <w:r w:rsidRPr="00390862">
        <w:rPr>
          <w:rFonts w:ascii="Times New Roman" w:eastAsia="Times New Roman" w:hAnsi="Times New Roman"/>
          <w:sz w:val="24"/>
          <w:szCs w:val="24"/>
          <w:vertAlign w:val="superscript"/>
          <w:lang w:val="es-ES_tradnl" w:eastAsia="es-ES_tradnl"/>
        </w:rPr>
        <w:t xml:space="preserve">(20)  </w:t>
      </w:r>
    </w:p>
    <w:p w14:paraId="24ACE8C2"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eastAsia="Times New Roman" w:hAnsi="Times New Roman"/>
          <w:sz w:val="24"/>
          <w:szCs w:val="24"/>
          <w:lang w:val="es-ES_tradnl" w:eastAsia="es-ES_tradnl"/>
        </w:rPr>
        <w:lastRenderedPageBreak/>
        <w:t xml:space="preserve">La asociación de los valores bajos de creatininuria con la mortalidad, se explica por el deterioro de la MME, que incluye a la musculatura respiratoria, con actividades vitales como la función ventilatoria y la higiene broncopulmonar. Esto facilita la insuficiencia respiratoria y la sepsis, factores condicionantes y causales de una evolución fatal. </w:t>
      </w:r>
      <w:hyperlink r:id="rId19" w:history="1">
        <w:proofErr w:type="spellStart"/>
        <w:r w:rsidRPr="00390862">
          <w:rPr>
            <w:rFonts w:ascii="Times New Roman" w:hAnsi="Times New Roman"/>
            <w:i/>
            <w:sz w:val="24"/>
            <w:szCs w:val="24"/>
            <w:lang w:val="es-ES_tradnl"/>
          </w:rPr>
          <w:t>Hoffer</w:t>
        </w:r>
        <w:proofErr w:type="spellEnd"/>
      </w:hyperlink>
      <w:r w:rsidRPr="00390862">
        <w:rPr>
          <w:rFonts w:ascii="Times New Roman" w:hAnsi="Times New Roman"/>
          <w:i/>
          <w:sz w:val="24"/>
          <w:szCs w:val="24"/>
          <w:lang w:val="es-ES_tradnl"/>
        </w:rPr>
        <w:t xml:space="preserve"> </w:t>
      </w:r>
      <w:r w:rsidRPr="00390862">
        <w:rPr>
          <w:rFonts w:ascii="Times New Roman" w:hAnsi="Times New Roman"/>
          <w:iCs/>
          <w:sz w:val="24"/>
          <w:szCs w:val="24"/>
          <w:lang w:val="es-ES_tradnl"/>
        </w:rPr>
        <w:t xml:space="preserve">y </w:t>
      </w:r>
      <w:proofErr w:type="gramStart"/>
      <w:r w:rsidRPr="00390862">
        <w:rPr>
          <w:rFonts w:ascii="Times New Roman" w:hAnsi="Times New Roman"/>
          <w:iCs/>
          <w:sz w:val="24"/>
          <w:szCs w:val="24"/>
          <w:lang w:val="es-ES_tradnl"/>
        </w:rPr>
        <w:t>otros</w:t>
      </w:r>
      <w:r w:rsidRPr="00390862">
        <w:rPr>
          <w:rFonts w:ascii="Times New Roman" w:hAnsi="Times New Roman"/>
          <w:iCs/>
          <w:sz w:val="24"/>
          <w:szCs w:val="24"/>
          <w:vertAlign w:val="superscript"/>
          <w:lang w:val="es-ES_tradnl"/>
        </w:rPr>
        <w:t>(</w:t>
      </w:r>
      <w:proofErr w:type="gramEnd"/>
      <w:r w:rsidRPr="00390862">
        <w:rPr>
          <w:rFonts w:ascii="Times New Roman" w:hAnsi="Times New Roman"/>
          <w:iCs/>
          <w:sz w:val="24"/>
          <w:szCs w:val="24"/>
          <w:vertAlign w:val="superscript"/>
          <w:lang w:val="es-ES_tradnl"/>
        </w:rPr>
        <w:t>15)</w:t>
      </w:r>
      <w:r w:rsidRPr="00390862">
        <w:rPr>
          <w:rFonts w:ascii="Times New Roman" w:hAnsi="Times New Roman"/>
          <w:i/>
          <w:sz w:val="24"/>
          <w:szCs w:val="24"/>
          <w:lang w:val="es-ES_tradnl"/>
        </w:rPr>
        <w:t xml:space="preserve"> </w:t>
      </w:r>
      <w:hyperlink r:id="rId20" w:history="1"/>
      <w:r w:rsidRPr="00390862">
        <w:rPr>
          <w:rFonts w:ascii="Times New Roman" w:hAnsi="Times New Roman"/>
          <w:sz w:val="24"/>
          <w:szCs w:val="24"/>
          <w:lang w:val="es-ES_tradnl"/>
        </w:rPr>
        <w:t>consideran que los pacientes con atrofia muscular previa (ancianos, inactivos o malnutridos), están en peores condiciones para presentar una respuesta metabólica adecuada a la enfermedad crítica y por lo tanto, estar</w:t>
      </w:r>
      <w:r w:rsidRPr="00390862">
        <w:rPr>
          <w:rFonts w:ascii="Times New Roman" w:eastAsia="Times New Roman" w:hAnsi="Times New Roman"/>
          <w:sz w:val="24"/>
          <w:szCs w:val="24"/>
          <w:lang w:val="es-ES_tradnl" w:eastAsia="es-ES_tradnl"/>
        </w:rPr>
        <w:t>á</w:t>
      </w:r>
      <w:r w:rsidRPr="00390862">
        <w:rPr>
          <w:rFonts w:ascii="Times New Roman" w:hAnsi="Times New Roman"/>
          <w:sz w:val="24"/>
          <w:szCs w:val="24"/>
          <w:lang w:val="es-ES_tradnl"/>
        </w:rPr>
        <w:t xml:space="preserve">n en un mayor riesgo de tener una evolución no satisfactoria. Por esta razón es beneficioso que la magnitud, duración y frecuencia del acto quirúrgico, sea lo mínimo necesario, en pacientes con pobre reserva nutricional, cardíaca y </w:t>
      </w:r>
      <w:proofErr w:type="gramStart"/>
      <w:r w:rsidRPr="00390862">
        <w:rPr>
          <w:rFonts w:ascii="Times New Roman" w:hAnsi="Times New Roman"/>
          <w:sz w:val="24"/>
          <w:szCs w:val="24"/>
          <w:lang w:val="es-ES_tradnl"/>
        </w:rPr>
        <w:t>respiratoria.</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21)</w:t>
      </w:r>
      <w:r w:rsidRPr="00390862">
        <w:rPr>
          <w:rFonts w:ascii="Times New Roman" w:eastAsia="Times New Roman" w:hAnsi="Times New Roman"/>
          <w:i/>
          <w:sz w:val="24"/>
          <w:szCs w:val="24"/>
          <w:lang w:val="es-ES_tradnl"/>
        </w:rPr>
        <w:t xml:space="preserve"> Pérez-Flores </w:t>
      </w:r>
      <w:r w:rsidRPr="00390862">
        <w:rPr>
          <w:rFonts w:ascii="Times New Roman" w:eastAsia="Times New Roman" w:hAnsi="Times New Roman"/>
          <w:iCs/>
          <w:sz w:val="24"/>
          <w:szCs w:val="24"/>
          <w:lang w:val="es-ES_tradnl"/>
        </w:rPr>
        <w:t xml:space="preserve">y </w:t>
      </w:r>
      <w:r w:rsidRPr="00390862">
        <w:rPr>
          <w:rFonts w:ascii="Times New Roman" w:eastAsia="Times New Roman" w:hAnsi="Times New Roman"/>
          <w:sz w:val="24"/>
          <w:szCs w:val="24"/>
          <w:lang w:val="es-ES_tradnl"/>
        </w:rPr>
        <w:t>otros</w:t>
      </w:r>
      <w:r w:rsidRPr="00390862">
        <w:rPr>
          <w:rFonts w:ascii="Times New Roman" w:eastAsia="Times New Roman" w:hAnsi="Times New Roman"/>
          <w:sz w:val="24"/>
          <w:szCs w:val="24"/>
          <w:vertAlign w:val="superscript"/>
          <w:lang w:val="es-ES_tradnl"/>
        </w:rPr>
        <w:t>(22)</w:t>
      </w:r>
      <w:r w:rsidRPr="00390862">
        <w:rPr>
          <w:rFonts w:ascii="Times New Roman" w:eastAsia="Times New Roman" w:hAnsi="Times New Roman"/>
          <w:sz w:val="24"/>
          <w:szCs w:val="24"/>
          <w:lang w:val="es-ES_tradnl"/>
        </w:rPr>
        <w:t xml:space="preserve"> observaron en pacientes desnutridos al ingreso, un incremento del riesgo de mortalidad de 2,64 veces, al compararlo con los bien nutridos.</w:t>
      </w:r>
    </w:p>
    <w:p w14:paraId="186A0DF4" w14:textId="77777777" w:rsidR="00002D94" w:rsidRPr="00390862" w:rsidRDefault="00002D94" w:rsidP="00002D94">
      <w:pPr>
        <w:spacing w:after="0" w:line="360" w:lineRule="auto"/>
        <w:jc w:val="both"/>
        <w:rPr>
          <w:rFonts w:ascii="Times New Roman" w:hAnsi="Times New Roman"/>
          <w:sz w:val="24"/>
          <w:szCs w:val="24"/>
          <w:vertAlign w:val="superscript"/>
          <w:lang w:val="es-ES_tradnl"/>
        </w:rPr>
      </w:pPr>
      <w:r w:rsidRPr="00390862">
        <w:rPr>
          <w:rFonts w:ascii="Times New Roman" w:hAnsi="Times New Roman"/>
          <w:sz w:val="24"/>
          <w:szCs w:val="24"/>
          <w:lang w:val="es-ES_tradnl"/>
        </w:rPr>
        <w:t xml:space="preserve">La creatininuria se utiliza como un parámetro nutricional; se evalúa en la relación porcentual, de la creatininuria medida y el valor esperado en hombres o mujeres normales de la misma talla, según la edad.  Este valor ideal debe ser ofrecido por estudios representativos de la población. </w:t>
      </w:r>
      <w:proofErr w:type="spellStart"/>
      <w:r w:rsidRPr="00390862">
        <w:rPr>
          <w:rFonts w:ascii="Times New Roman" w:hAnsi="Times New Roman"/>
          <w:i/>
          <w:sz w:val="24"/>
          <w:szCs w:val="24"/>
          <w:lang w:val="es-ES_tradnl"/>
        </w:rPr>
        <w:t>Badell</w:t>
      </w:r>
      <w:proofErr w:type="spellEnd"/>
      <w:r w:rsidRPr="00390862">
        <w:rPr>
          <w:rFonts w:ascii="Times New Roman" w:hAnsi="Times New Roman"/>
          <w:i/>
          <w:sz w:val="24"/>
          <w:szCs w:val="24"/>
          <w:lang w:val="es-ES_tradnl"/>
        </w:rPr>
        <w:t xml:space="preserve"> </w:t>
      </w:r>
      <w:r w:rsidRPr="00390862">
        <w:rPr>
          <w:rFonts w:ascii="Times New Roman" w:hAnsi="Times New Roman"/>
          <w:iCs/>
          <w:sz w:val="24"/>
          <w:szCs w:val="24"/>
          <w:lang w:val="es-ES_tradnl"/>
        </w:rPr>
        <w:t xml:space="preserve">y </w:t>
      </w:r>
      <w:proofErr w:type="gramStart"/>
      <w:r w:rsidRPr="00390862">
        <w:rPr>
          <w:rFonts w:ascii="Times New Roman" w:hAnsi="Times New Roman"/>
          <w:iCs/>
          <w:sz w:val="24"/>
          <w:szCs w:val="24"/>
          <w:lang w:val="es-ES_tradnl"/>
        </w:rPr>
        <w:t>otros</w:t>
      </w:r>
      <w:r w:rsidRPr="00390862">
        <w:rPr>
          <w:rFonts w:ascii="Times New Roman" w:hAnsi="Times New Roman"/>
          <w:iCs/>
          <w:sz w:val="24"/>
          <w:szCs w:val="24"/>
          <w:vertAlign w:val="superscript"/>
          <w:lang w:val="es-ES_tradnl"/>
        </w:rPr>
        <w:t>(</w:t>
      </w:r>
      <w:proofErr w:type="gramEnd"/>
      <w:r w:rsidRPr="00390862">
        <w:rPr>
          <w:rFonts w:ascii="Times New Roman" w:hAnsi="Times New Roman"/>
          <w:iCs/>
          <w:sz w:val="24"/>
          <w:szCs w:val="24"/>
          <w:vertAlign w:val="superscript"/>
          <w:lang w:val="es-ES_tradnl"/>
        </w:rPr>
        <w:t>23)</w:t>
      </w:r>
      <w:r w:rsidRPr="00390862">
        <w:rPr>
          <w:rFonts w:ascii="Times New Roman" w:hAnsi="Times New Roman"/>
          <w:i/>
          <w:sz w:val="24"/>
          <w:szCs w:val="24"/>
          <w:lang w:val="es-ES_tradnl"/>
        </w:rPr>
        <w:t xml:space="preserve"> </w:t>
      </w:r>
      <w:r w:rsidRPr="00390862">
        <w:rPr>
          <w:rFonts w:ascii="Times New Roman" w:hAnsi="Times New Roman"/>
          <w:sz w:val="24"/>
          <w:szCs w:val="24"/>
          <w:lang w:val="es-ES_tradnl"/>
        </w:rPr>
        <w:t>reportaron en individuos con función renal normal, independientemente del género, un descenso de la creatininuria con el avance de la edad.</w:t>
      </w:r>
    </w:p>
    <w:p w14:paraId="37A61B50" w14:textId="77777777" w:rsidR="00002D94" w:rsidRPr="00390862" w:rsidRDefault="00002D94" w:rsidP="00002D94">
      <w:pPr>
        <w:spacing w:after="0" w:line="360" w:lineRule="auto"/>
        <w:jc w:val="both"/>
        <w:rPr>
          <w:rFonts w:ascii="Times New Roman" w:hAnsi="Times New Roman"/>
          <w:sz w:val="24"/>
          <w:szCs w:val="24"/>
          <w:vertAlign w:val="superscript"/>
          <w:lang w:val="es-ES_tradnl"/>
        </w:rPr>
      </w:pPr>
      <w:r w:rsidRPr="00390862">
        <w:rPr>
          <w:rFonts w:ascii="Times New Roman" w:hAnsi="Times New Roman"/>
          <w:sz w:val="24"/>
          <w:szCs w:val="24"/>
          <w:lang w:val="es-ES_tradnl"/>
        </w:rPr>
        <w:t>Las complicaciones infecciosas en los pacientes quirúrgicos graves y dentro de ellas las respiratorias,</w:t>
      </w:r>
      <w:r w:rsidRPr="00390862">
        <w:rPr>
          <w:rFonts w:ascii="Times New Roman" w:hAnsi="Times New Roman"/>
          <w:sz w:val="24"/>
          <w:szCs w:val="24"/>
          <w:vertAlign w:val="superscript"/>
          <w:lang w:val="es-ES_tradnl"/>
        </w:rPr>
        <w:t>(24)</w:t>
      </w:r>
      <w:r w:rsidRPr="00390862">
        <w:rPr>
          <w:rFonts w:ascii="Times New Roman" w:hAnsi="Times New Roman"/>
          <w:sz w:val="24"/>
          <w:szCs w:val="24"/>
          <w:lang w:val="es-ES_tradnl"/>
        </w:rPr>
        <w:t xml:space="preserve"> justificaron el estudio del </w:t>
      </w:r>
      <w:r w:rsidRPr="00390862">
        <w:rPr>
          <w:rFonts w:ascii="Times New Roman" w:hAnsi="Times New Roman"/>
          <w:i/>
          <w:iCs/>
          <w:sz w:val="24"/>
          <w:szCs w:val="24"/>
          <w:lang w:val="es-ES_tradnl"/>
        </w:rPr>
        <w:t>shock</w:t>
      </w:r>
      <w:r w:rsidRPr="00390862">
        <w:rPr>
          <w:rFonts w:ascii="Times New Roman" w:hAnsi="Times New Roman"/>
          <w:sz w:val="24"/>
          <w:szCs w:val="24"/>
          <w:lang w:val="es-ES_tradnl"/>
        </w:rPr>
        <w:t xml:space="preserve"> séptico y del SDMO, por ser etapas extremas de la sepsis.</w:t>
      </w:r>
      <w:r w:rsidRPr="00390862">
        <w:rPr>
          <w:rFonts w:ascii="Times New Roman" w:hAnsi="Times New Roman"/>
          <w:sz w:val="24"/>
          <w:szCs w:val="24"/>
          <w:vertAlign w:val="superscript"/>
          <w:lang w:val="es-ES_tradnl"/>
        </w:rPr>
        <w:t xml:space="preserve">(25) </w:t>
      </w:r>
      <w:r w:rsidRPr="00390862">
        <w:rPr>
          <w:rFonts w:ascii="Times New Roman" w:hAnsi="Times New Roman"/>
          <w:sz w:val="24"/>
          <w:szCs w:val="24"/>
          <w:lang w:val="es-ES_tradnl"/>
        </w:rPr>
        <w:t xml:space="preserve">Se apreció la asociación del </w:t>
      </w:r>
      <w:r w:rsidRPr="00390862">
        <w:rPr>
          <w:rFonts w:ascii="Times New Roman" w:hAnsi="Times New Roman"/>
          <w:i/>
          <w:sz w:val="24"/>
          <w:szCs w:val="24"/>
          <w:lang w:val="es-ES_tradnl"/>
        </w:rPr>
        <w:t>shock</w:t>
      </w:r>
      <w:r w:rsidRPr="00390862">
        <w:rPr>
          <w:rFonts w:ascii="Times New Roman" w:hAnsi="Times New Roman"/>
          <w:sz w:val="24"/>
          <w:szCs w:val="24"/>
          <w:lang w:val="es-ES_tradnl"/>
        </w:rPr>
        <w:t xml:space="preserve"> séptico y del SDMO con las cifras bajas de creatininuria, expresión del estado de desnutrición y el deterioro</w:t>
      </w:r>
      <w:r w:rsidRPr="00390862">
        <w:rPr>
          <w:rFonts w:ascii="Times New Roman" w:hAnsi="Times New Roman"/>
          <w:sz w:val="24"/>
          <w:szCs w:val="24"/>
          <w:lang w:val="es-ES_tradnl" w:eastAsia="es-ES_tradnl"/>
        </w:rPr>
        <w:t xml:space="preserve"> de los mecanismos de defensa inmunológicos.</w:t>
      </w:r>
      <w:r w:rsidRPr="00390862">
        <w:rPr>
          <w:rFonts w:ascii="Times New Roman" w:hAnsi="Times New Roman"/>
          <w:sz w:val="24"/>
          <w:szCs w:val="24"/>
          <w:vertAlign w:val="superscript"/>
          <w:lang w:val="es-ES_tradnl" w:eastAsia="es-ES_tradnl"/>
        </w:rPr>
        <w:t xml:space="preserve">(25,26) </w:t>
      </w:r>
      <w:r w:rsidRPr="00390862">
        <w:rPr>
          <w:rFonts w:ascii="Times New Roman" w:hAnsi="Times New Roman"/>
          <w:sz w:val="24"/>
          <w:szCs w:val="24"/>
          <w:lang w:val="es-ES_tradnl"/>
        </w:rPr>
        <w:t xml:space="preserve">Se ha descrito en la desnutrición, alteración de los mecanismos de </w:t>
      </w:r>
      <w:proofErr w:type="spellStart"/>
      <w:r w:rsidRPr="00390862">
        <w:rPr>
          <w:rFonts w:ascii="Times New Roman" w:hAnsi="Times New Roman"/>
          <w:sz w:val="24"/>
          <w:szCs w:val="24"/>
          <w:lang w:val="es-ES_tradnl"/>
        </w:rPr>
        <w:t>inmuno</w:t>
      </w:r>
      <w:proofErr w:type="spellEnd"/>
      <w:r w:rsidRPr="00390862">
        <w:rPr>
          <w:rFonts w:ascii="Times New Roman" w:hAnsi="Times New Roman"/>
          <w:sz w:val="24"/>
          <w:szCs w:val="24"/>
          <w:lang w:val="es-ES_tradnl"/>
        </w:rPr>
        <w:t xml:space="preserve"> competencia celular y humoral.</w:t>
      </w:r>
      <w:r w:rsidRPr="00390862">
        <w:rPr>
          <w:rFonts w:ascii="Times New Roman" w:hAnsi="Times New Roman"/>
          <w:sz w:val="24"/>
          <w:szCs w:val="24"/>
          <w:vertAlign w:val="superscript"/>
          <w:lang w:val="es-ES_tradnl"/>
        </w:rPr>
        <w:t>(26)</w:t>
      </w:r>
    </w:p>
    <w:p w14:paraId="7A72A573" w14:textId="77777777" w:rsidR="00002D94" w:rsidRPr="00390862" w:rsidRDefault="00002D94" w:rsidP="00002D94">
      <w:pPr>
        <w:spacing w:after="0" w:line="360" w:lineRule="auto"/>
        <w:jc w:val="both"/>
        <w:rPr>
          <w:rFonts w:ascii="Times New Roman" w:hAnsi="Times New Roman"/>
          <w:sz w:val="24"/>
          <w:szCs w:val="24"/>
          <w:vertAlign w:val="superscript"/>
          <w:lang w:val="es-ES_tradnl"/>
        </w:rPr>
      </w:pPr>
      <w:r w:rsidRPr="00390862">
        <w:rPr>
          <w:rFonts w:ascii="Times New Roman" w:hAnsi="Times New Roman"/>
          <w:sz w:val="24"/>
          <w:szCs w:val="24"/>
          <w:lang w:val="es-ES_tradnl"/>
        </w:rPr>
        <w:t>El SDMO se caracteriza por la ausencia de mantenimiento de la homeostasis sin una intervención terapéutica; es secuencial e implica a órganos y sistemas.</w:t>
      </w:r>
      <w:r w:rsidRPr="00390862">
        <w:rPr>
          <w:rFonts w:ascii="Times New Roman" w:hAnsi="Times New Roman"/>
          <w:sz w:val="24"/>
          <w:szCs w:val="24"/>
          <w:vertAlign w:val="superscript"/>
          <w:lang w:val="es-ES_tradnl"/>
        </w:rPr>
        <w:t xml:space="preserve">(11) </w:t>
      </w:r>
      <w:r w:rsidRPr="00390862">
        <w:rPr>
          <w:rFonts w:ascii="Times New Roman" w:hAnsi="Times New Roman"/>
          <w:sz w:val="24"/>
          <w:szCs w:val="24"/>
          <w:lang w:val="es-ES_tradnl"/>
        </w:rPr>
        <w:t xml:space="preserve">El daño alveolar secundario a la </w:t>
      </w:r>
      <w:proofErr w:type="spellStart"/>
      <w:r w:rsidRPr="00390862">
        <w:rPr>
          <w:rFonts w:ascii="Times New Roman" w:hAnsi="Times New Roman"/>
          <w:sz w:val="24"/>
          <w:szCs w:val="24"/>
          <w:lang w:val="es-ES_tradnl"/>
        </w:rPr>
        <w:t>sobredistensión</w:t>
      </w:r>
      <w:proofErr w:type="spellEnd"/>
      <w:r w:rsidRPr="00390862">
        <w:rPr>
          <w:rFonts w:ascii="Times New Roman" w:hAnsi="Times New Roman"/>
          <w:sz w:val="24"/>
          <w:szCs w:val="24"/>
          <w:lang w:val="es-ES_tradnl"/>
        </w:rPr>
        <w:t xml:space="preserve"> alveolar, unido a la presencia de infecciones pulmonares, son factores vinculados a la VMI,  que favorecen  otras complicaciones.</w:t>
      </w:r>
      <w:r w:rsidRPr="00390862">
        <w:rPr>
          <w:rFonts w:ascii="Times New Roman" w:hAnsi="Times New Roman"/>
          <w:sz w:val="24"/>
          <w:szCs w:val="24"/>
          <w:vertAlign w:val="superscript"/>
          <w:lang w:val="es-ES_tradnl"/>
        </w:rPr>
        <w:t xml:space="preserve">(27) </w:t>
      </w:r>
      <w:proofErr w:type="spellStart"/>
      <w:r w:rsidRPr="00390862">
        <w:rPr>
          <w:rFonts w:ascii="Times New Roman" w:hAnsi="Times New Roman"/>
          <w:i/>
          <w:sz w:val="24"/>
          <w:szCs w:val="24"/>
          <w:lang w:val="es-ES_tradnl"/>
        </w:rPr>
        <w:t>Puthucheary</w:t>
      </w:r>
      <w:proofErr w:type="spellEnd"/>
      <w:r w:rsidRPr="00390862">
        <w:rPr>
          <w:rFonts w:ascii="Times New Roman" w:hAnsi="Times New Roman"/>
          <w:iCs/>
          <w:sz w:val="24"/>
          <w:szCs w:val="24"/>
          <w:lang w:val="es-ES_tradnl"/>
        </w:rPr>
        <w:t xml:space="preserve"> y otros</w:t>
      </w:r>
      <w:r w:rsidRPr="00390862">
        <w:rPr>
          <w:rFonts w:ascii="Times New Roman" w:hAnsi="Times New Roman"/>
          <w:sz w:val="24"/>
          <w:szCs w:val="24"/>
          <w:vertAlign w:val="superscript"/>
          <w:lang w:val="es-ES_tradnl"/>
        </w:rPr>
        <w:t>(28)</w:t>
      </w:r>
      <w:r w:rsidRPr="00390862">
        <w:rPr>
          <w:rFonts w:ascii="Times New Roman" w:hAnsi="Times New Roman"/>
          <w:iCs/>
          <w:sz w:val="24"/>
          <w:szCs w:val="24"/>
          <w:lang w:val="es-ES_tradnl"/>
        </w:rPr>
        <w:t xml:space="preserve"> </w:t>
      </w:r>
      <w:r w:rsidRPr="00390862">
        <w:rPr>
          <w:rFonts w:ascii="Times New Roman" w:hAnsi="Times New Roman"/>
          <w:sz w:val="24"/>
          <w:szCs w:val="24"/>
          <w:lang w:val="es-ES_tradnl"/>
        </w:rPr>
        <w:t>reportaron   en el paciente crítico, un temprano y rápido deterioro de la masa muscular, lo cual es más evidente e intenso, en los pacientes con fallo multiorgánico, que en aquellos con fallo orgánico simple.</w:t>
      </w:r>
    </w:p>
    <w:p w14:paraId="1B42215E" w14:textId="77777777" w:rsidR="00002D94" w:rsidRPr="00390862" w:rsidRDefault="00002D94" w:rsidP="00002D94">
      <w:pPr>
        <w:spacing w:after="0" w:line="360" w:lineRule="auto"/>
        <w:jc w:val="both"/>
        <w:rPr>
          <w:rFonts w:ascii="Times New Roman" w:hAnsi="Times New Roman"/>
          <w:sz w:val="24"/>
          <w:szCs w:val="24"/>
          <w:vertAlign w:val="superscript"/>
          <w:lang w:val="es-ES_tradnl"/>
        </w:rPr>
      </w:pPr>
      <w:r w:rsidRPr="00390862">
        <w:rPr>
          <w:rFonts w:ascii="Times New Roman" w:hAnsi="Times New Roman"/>
          <w:sz w:val="24"/>
          <w:szCs w:val="24"/>
          <w:lang w:val="es-ES_tradnl"/>
        </w:rPr>
        <w:lastRenderedPageBreak/>
        <w:t xml:space="preserve">El estado de la función respiratoria, la presencia de complicaciones, y el desarrollo del proceso de destete, van a determinar la prolongación del tiempo de VMI y de la </w:t>
      </w:r>
      <w:proofErr w:type="gramStart"/>
      <w:r w:rsidRPr="00390862">
        <w:rPr>
          <w:rFonts w:ascii="Times New Roman" w:hAnsi="Times New Roman"/>
          <w:sz w:val="24"/>
          <w:szCs w:val="24"/>
          <w:lang w:val="es-ES_tradnl"/>
        </w:rPr>
        <w:t>estadía.</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2)</w:t>
      </w:r>
      <w:r w:rsidRPr="00390862">
        <w:rPr>
          <w:rFonts w:ascii="Times New Roman" w:hAnsi="Times New Roman"/>
          <w:sz w:val="24"/>
          <w:szCs w:val="24"/>
          <w:lang w:val="es-ES_tradnl"/>
        </w:rPr>
        <w:t xml:space="preserve"> El tiempo invertido en el proceso de destete, representa el 40-50 % de la duración total de la ventilación mecánica. Los pacientes desnutridos, con VMI, pueden sufrir depresión del impulso ventilatorio y dificultad de destete, debido a la disminución de la MME, lo cual prolonga el tiempo de </w:t>
      </w:r>
      <w:proofErr w:type="gramStart"/>
      <w:r w:rsidRPr="00390862">
        <w:rPr>
          <w:rFonts w:ascii="Times New Roman" w:hAnsi="Times New Roman"/>
          <w:sz w:val="24"/>
          <w:szCs w:val="24"/>
          <w:lang w:val="es-ES_tradnl"/>
        </w:rPr>
        <w:t>VMI.</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 xml:space="preserve">29) </w:t>
      </w:r>
      <w:proofErr w:type="spellStart"/>
      <w:r w:rsidRPr="00390862">
        <w:rPr>
          <w:rFonts w:ascii="Times New Roman" w:hAnsi="Times New Roman"/>
          <w:i/>
          <w:sz w:val="24"/>
          <w:szCs w:val="24"/>
          <w:lang w:val="es-ES_tradnl"/>
        </w:rPr>
        <w:t>Datta</w:t>
      </w:r>
      <w:proofErr w:type="spellEnd"/>
      <w:r w:rsidRPr="00390862">
        <w:rPr>
          <w:rFonts w:ascii="Times New Roman" w:hAnsi="Times New Roman"/>
          <w:i/>
          <w:sz w:val="24"/>
          <w:szCs w:val="24"/>
          <w:lang w:val="es-ES_tradnl"/>
        </w:rPr>
        <w:t xml:space="preserve"> </w:t>
      </w:r>
      <w:r w:rsidRPr="00390862">
        <w:rPr>
          <w:rFonts w:ascii="Times New Roman" w:hAnsi="Times New Roman"/>
          <w:iCs/>
          <w:sz w:val="24"/>
          <w:szCs w:val="24"/>
          <w:lang w:val="es-ES_tradnl"/>
        </w:rPr>
        <w:t>y otros</w:t>
      </w:r>
      <w:r w:rsidRPr="00390862">
        <w:rPr>
          <w:rFonts w:ascii="Times New Roman" w:hAnsi="Times New Roman"/>
          <w:sz w:val="24"/>
          <w:szCs w:val="24"/>
          <w:vertAlign w:val="superscript"/>
          <w:lang w:val="es-ES_tradnl"/>
        </w:rPr>
        <w:t xml:space="preserve">(30) </w:t>
      </w:r>
      <w:r w:rsidRPr="00390862">
        <w:rPr>
          <w:rFonts w:ascii="Times New Roman" w:hAnsi="Times New Roman"/>
          <w:sz w:val="24"/>
          <w:szCs w:val="24"/>
          <w:lang w:val="es-ES_tradnl"/>
        </w:rPr>
        <w:t>reportaron que el índice creatinina-talla, fue el parámetro más predictivo del destete exitoso, en pacientes con VMI prolongada.</w:t>
      </w:r>
    </w:p>
    <w:p w14:paraId="5306DEE6"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 xml:space="preserve">Se señala como limitaciones de esta investigación, no haber discriminado la influencia del sexo y la edad en los resultados. Estos factores (sexo femenino y edad geriátrica) influyen en los valores de la creatininuria al presentar menor masa </w:t>
      </w:r>
      <w:proofErr w:type="gramStart"/>
      <w:r w:rsidRPr="00390862">
        <w:rPr>
          <w:rFonts w:ascii="Times New Roman" w:hAnsi="Times New Roman"/>
          <w:sz w:val="24"/>
          <w:szCs w:val="24"/>
          <w:lang w:val="es-ES_tradnl"/>
        </w:rPr>
        <w:t>muscular.</w:t>
      </w:r>
      <w:r w:rsidRPr="00390862">
        <w:rPr>
          <w:rFonts w:ascii="Times New Roman" w:hAnsi="Times New Roman"/>
          <w:sz w:val="24"/>
          <w:szCs w:val="24"/>
          <w:vertAlign w:val="superscript"/>
          <w:lang w:val="es-ES_tradnl"/>
        </w:rPr>
        <w:t>(</w:t>
      </w:r>
      <w:proofErr w:type="gramEnd"/>
      <w:r w:rsidRPr="00390862">
        <w:rPr>
          <w:rFonts w:ascii="Times New Roman" w:hAnsi="Times New Roman"/>
          <w:sz w:val="24"/>
          <w:szCs w:val="24"/>
          <w:vertAlign w:val="superscript"/>
          <w:lang w:val="es-ES_tradnl"/>
        </w:rPr>
        <w:t>23 )</w:t>
      </w:r>
      <w:r w:rsidRPr="00390862">
        <w:rPr>
          <w:rFonts w:ascii="Times New Roman" w:hAnsi="Times New Roman"/>
          <w:sz w:val="24"/>
          <w:szCs w:val="24"/>
          <w:lang w:val="es-ES_tradnl"/>
        </w:rPr>
        <w:t xml:space="preserve"> Por otra parte, no se dispone de valores de creatininuria  representativos de la población. A pesar de estas limitaciones puede ser aplicable en este medio y justifica profundizar su estudio.</w:t>
      </w:r>
    </w:p>
    <w:p w14:paraId="49A20FE5" w14:textId="77777777" w:rsidR="00002D94" w:rsidRPr="00390862" w:rsidRDefault="00002D94" w:rsidP="00002D94">
      <w:pPr>
        <w:spacing w:after="0" w:line="360" w:lineRule="auto"/>
        <w:jc w:val="both"/>
        <w:rPr>
          <w:rFonts w:ascii="Times New Roman" w:hAnsi="Times New Roman"/>
          <w:sz w:val="24"/>
          <w:szCs w:val="24"/>
          <w:lang w:val="es-ES_tradnl"/>
        </w:rPr>
      </w:pPr>
      <w:r w:rsidRPr="00390862">
        <w:rPr>
          <w:rFonts w:ascii="Times New Roman" w:hAnsi="Times New Roman"/>
          <w:bCs/>
          <w:sz w:val="24"/>
          <w:szCs w:val="24"/>
          <w:lang w:val="es-ES_tradnl"/>
        </w:rPr>
        <w:t>S</w:t>
      </w:r>
      <w:r w:rsidRPr="00390862">
        <w:rPr>
          <w:rFonts w:ascii="Times New Roman" w:hAnsi="Times New Roman"/>
          <w:sz w:val="24"/>
          <w:szCs w:val="24"/>
          <w:lang w:val="es-ES_tradnl"/>
        </w:rPr>
        <w:t>e evidenci</w:t>
      </w:r>
      <w:r w:rsidRPr="00390862">
        <w:rPr>
          <w:rFonts w:ascii="Times New Roman" w:hAnsi="Times New Roman"/>
          <w:bCs/>
          <w:sz w:val="24"/>
          <w:szCs w:val="24"/>
          <w:lang w:val="es-ES_tradnl"/>
        </w:rPr>
        <w:t>ó</w:t>
      </w:r>
      <w:r w:rsidRPr="00390862">
        <w:rPr>
          <w:rFonts w:ascii="Times New Roman" w:hAnsi="Times New Roman"/>
          <w:sz w:val="24"/>
          <w:szCs w:val="24"/>
          <w:lang w:val="es-ES_tradnl"/>
        </w:rPr>
        <w:t xml:space="preserve"> asociaci</w:t>
      </w:r>
      <w:r w:rsidRPr="00390862">
        <w:rPr>
          <w:rFonts w:ascii="Times New Roman" w:hAnsi="Times New Roman"/>
          <w:bCs/>
          <w:sz w:val="24"/>
          <w:szCs w:val="24"/>
          <w:lang w:val="es-ES_tradnl"/>
        </w:rPr>
        <w:t>ó</w:t>
      </w:r>
      <w:r w:rsidRPr="00390862">
        <w:rPr>
          <w:rFonts w:ascii="Times New Roman" w:hAnsi="Times New Roman"/>
          <w:sz w:val="24"/>
          <w:szCs w:val="24"/>
          <w:lang w:val="es-ES_tradnl"/>
        </w:rPr>
        <w:t>n de la creatininuria al ingreso con la evoluci</w:t>
      </w:r>
      <w:r w:rsidRPr="00390862">
        <w:rPr>
          <w:rFonts w:ascii="Times New Roman" w:hAnsi="Times New Roman"/>
          <w:bCs/>
          <w:sz w:val="24"/>
          <w:szCs w:val="24"/>
          <w:lang w:val="es-ES_tradnl"/>
        </w:rPr>
        <w:t>ó</w:t>
      </w:r>
      <w:r w:rsidRPr="00390862">
        <w:rPr>
          <w:rFonts w:ascii="Times New Roman" w:hAnsi="Times New Roman"/>
          <w:sz w:val="24"/>
          <w:szCs w:val="24"/>
          <w:lang w:val="es-ES_tradnl"/>
        </w:rPr>
        <w:t xml:space="preserve">n de los pacientes quirúrgicos graves con VMI. Se asociaron los valores bajos de creatininuria con la evolución, expresado en mayor mortalidad, presencia de complicaciones, estadía prolongada y mayor tiempo de VMI. </w:t>
      </w:r>
    </w:p>
    <w:p w14:paraId="6948A512" w14:textId="77777777" w:rsidR="00002D94" w:rsidRPr="00390862" w:rsidRDefault="00002D94" w:rsidP="00002D94">
      <w:pPr>
        <w:spacing w:after="0" w:line="360" w:lineRule="auto"/>
        <w:jc w:val="both"/>
        <w:rPr>
          <w:rFonts w:ascii="Times New Roman" w:hAnsi="Times New Roman"/>
          <w:b/>
          <w:sz w:val="24"/>
          <w:szCs w:val="24"/>
          <w:lang w:val="es-ES_tradnl"/>
        </w:rPr>
      </w:pPr>
    </w:p>
    <w:p w14:paraId="22F19E6C" w14:textId="77777777" w:rsidR="00002D94" w:rsidRPr="00390862" w:rsidRDefault="00002D94" w:rsidP="00002D94">
      <w:pPr>
        <w:spacing w:after="0" w:line="360" w:lineRule="auto"/>
        <w:jc w:val="center"/>
        <w:rPr>
          <w:rFonts w:ascii="Times New Roman" w:hAnsi="Times New Roman"/>
          <w:b/>
          <w:sz w:val="32"/>
          <w:szCs w:val="32"/>
          <w:lang w:val="es-ES_tradnl"/>
        </w:rPr>
      </w:pPr>
    </w:p>
    <w:p w14:paraId="2A576AE1" w14:textId="77777777" w:rsidR="00002D94" w:rsidRPr="00390862" w:rsidRDefault="00002D94" w:rsidP="00002D94">
      <w:pPr>
        <w:spacing w:after="0" w:line="360" w:lineRule="auto"/>
        <w:jc w:val="center"/>
        <w:rPr>
          <w:rFonts w:ascii="Times New Roman" w:hAnsi="Times New Roman"/>
          <w:b/>
          <w:sz w:val="32"/>
          <w:szCs w:val="32"/>
          <w:lang w:val="es-ES_tradnl"/>
        </w:rPr>
      </w:pPr>
      <w:r w:rsidRPr="00390862">
        <w:rPr>
          <w:rFonts w:ascii="Times New Roman" w:hAnsi="Times New Roman"/>
          <w:b/>
          <w:sz w:val="32"/>
          <w:szCs w:val="32"/>
          <w:lang w:val="es-ES_tradnl"/>
        </w:rPr>
        <w:t>REFERENCIAS BIBLIOGRÁFICAS</w:t>
      </w:r>
    </w:p>
    <w:p w14:paraId="76AC04D0"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 </w:t>
      </w:r>
      <w:proofErr w:type="spellStart"/>
      <w:r w:rsidRPr="00390862">
        <w:rPr>
          <w:rFonts w:ascii="Times New Roman" w:hAnsi="Times New Roman"/>
          <w:bCs/>
          <w:sz w:val="24"/>
          <w:szCs w:val="24"/>
          <w:lang w:val="es-ES_tradnl"/>
        </w:rPr>
        <w:t>Preiser</w:t>
      </w:r>
      <w:proofErr w:type="spellEnd"/>
      <w:r w:rsidRPr="00390862">
        <w:rPr>
          <w:rFonts w:ascii="Times New Roman" w:hAnsi="Times New Roman"/>
          <w:bCs/>
          <w:sz w:val="24"/>
          <w:szCs w:val="24"/>
          <w:lang w:val="es-ES_tradnl"/>
        </w:rPr>
        <w:t xml:space="preserve"> JC, van </w:t>
      </w:r>
      <w:proofErr w:type="spellStart"/>
      <w:r w:rsidRPr="00390862">
        <w:rPr>
          <w:rFonts w:ascii="Times New Roman" w:hAnsi="Times New Roman"/>
          <w:bCs/>
          <w:sz w:val="24"/>
          <w:szCs w:val="24"/>
          <w:lang w:val="es-ES_tradnl"/>
        </w:rPr>
        <w:t>Zanten</w:t>
      </w:r>
      <w:proofErr w:type="spellEnd"/>
      <w:r w:rsidRPr="00390862">
        <w:rPr>
          <w:rFonts w:ascii="Times New Roman" w:hAnsi="Times New Roman"/>
          <w:bCs/>
          <w:sz w:val="24"/>
          <w:szCs w:val="24"/>
          <w:lang w:val="es-ES_tradnl"/>
        </w:rPr>
        <w:t xml:space="preserve"> ARH, Berger MM, </w:t>
      </w:r>
      <w:proofErr w:type="spellStart"/>
      <w:r w:rsidRPr="00390862">
        <w:rPr>
          <w:rFonts w:ascii="Times New Roman" w:hAnsi="Times New Roman"/>
          <w:bCs/>
          <w:sz w:val="24"/>
          <w:szCs w:val="24"/>
          <w:lang w:val="es-ES_tradnl"/>
        </w:rPr>
        <w:t>Biolo</w:t>
      </w:r>
      <w:proofErr w:type="spellEnd"/>
      <w:r w:rsidRPr="00390862">
        <w:rPr>
          <w:rFonts w:ascii="Times New Roman" w:hAnsi="Times New Roman"/>
          <w:bCs/>
          <w:sz w:val="24"/>
          <w:szCs w:val="24"/>
          <w:lang w:val="es-ES_tradnl"/>
        </w:rPr>
        <w:t xml:space="preserve"> G, </w:t>
      </w:r>
      <w:proofErr w:type="spellStart"/>
      <w:r w:rsidRPr="00390862">
        <w:rPr>
          <w:rFonts w:ascii="Times New Roman" w:hAnsi="Times New Roman"/>
          <w:bCs/>
          <w:sz w:val="24"/>
          <w:szCs w:val="24"/>
          <w:lang w:val="es-ES_tradnl"/>
        </w:rPr>
        <w:t>Casaer</w:t>
      </w:r>
      <w:proofErr w:type="spellEnd"/>
      <w:r w:rsidRPr="00390862">
        <w:rPr>
          <w:rFonts w:ascii="Times New Roman" w:hAnsi="Times New Roman"/>
          <w:bCs/>
          <w:sz w:val="24"/>
          <w:szCs w:val="24"/>
          <w:lang w:val="es-ES_tradnl"/>
        </w:rPr>
        <w:t xml:space="preserve"> MP, Doig GS, et al. </w:t>
      </w:r>
      <w:proofErr w:type="spellStart"/>
      <w:r w:rsidRPr="00390862">
        <w:rPr>
          <w:rFonts w:ascii="Times New Roman" w:hAnsi="Times New Roman"/>
          <w:bCs/>
          <w:sz w:val="24"/>
          <w:szCs w:val="24"/>
          <w:lang w:val="es-ES_tradnl"/>
        </w:rPr>
        <w:t>Metabolic</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nutritional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support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critically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consensus</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controversies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Crit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2015 [acceso: 18/01/2016];19(1):35. Disponible en: </w:t>
      </w:r>
      <w:hyperlink r:id="rId21" w:history="1">
        <w:r w:rsidRPr="00390862">
          <w:rPr>
            <w:rStyle w:val="Hipervnculo"/>
            <w:rFonts w:ascii="Times New Roman" w:hAnsi="Times New Roman"/>
            <w:bCs/>
            <w:sz w:val="24"/>
            <w:szCs w:val="24"/>
            <w:lang w:val="es-ES_tradnl"/>
          </w:rPr>
          <w:t>http://www.ncbi.nlm.nih.gov/pubmed/25886997</w:t>
        </w:r>
      </w:hyperlink>
      <w:r w:rsidRPr="00390862">
        <w:rPr>
          <w:rFonts w:ascii="Times New Roman" w:hAnsi="Times New Roman"/>
          <w:bCs/>
          <w:sz w:val="24"/>
          <w:szCs w:val="24"/>
          <w:lang w:val="es-ES_tradnl"/>
        </w:rPr>
        <w:t xml:space="preserve"> </w:t>
      </w:r>
    </w:p>
    <w:p w14:paraId="40419FE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 Hernández Pedroso W, Pérez Alejo JL, Amador Armenteros A, Santana Sánchez R, Lemes Rodríguez A, Ramos Ravelo D. Evolución de los pacientes graves con ventilación mecánica invasiva según el catabolismo proteico. Rev. </w:t>
      </w:r>
      <w:proofErr w:type="spellStart"/>
      <w:r w:rsidRPr="00390862">
        <w:rPr>
          <w:rFonts w:ascii="Times New Roman" w:hAnsi="Times New Roman"/>
          <w:bCs/>
          <w:sz w:val="24"/>
          <w:szCs w:val="24"/>
          <w:lang w:val="es-ES_tradnl"/>
        </w:rPr>
        <w:t>Cub</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Mil. 2017 [acceso: 28/03/2019];46(2):148-62. Disponible en: </w:t>
      </w:r>
      <w:hyperlink r:id="rId22" w:history="1">
        <w:r w:rsidRPr="00390862">
          <w:rPr>
            <w:rStyle w:val="Hipervnculo"/>
            <w:rFonts w:ascii="Times New Roman" w:hAnsi="Times New Roman"/>
            <w:bCs/>
            <w:sz w:val="24"/>
            <w:szCs w:val="24"/>
            <w:lang w:val="es-ES_tradnl"/>
          </w:rPr>
          <w:t>http://www.revmedmilitar.sld.cu/index.php/mil/article/view/36/51</w:t>
        </w:r>
      </w:hyperlink>
      <w:r w:rsidRPr="00390862">
        <w:rPr>
          <w:rFonts w:ascii="Times New Roman" w:hAnsi="Times New Roman"/>
          <w:bCs/>
          <w:sz w:val="24"/>
          <w:szCs w:val="24"/>
          <w:lang w:val="es-ES_tradnl"/>
        </w:rPr>
        <w:t xml:space="preserve"> </w:t>
      </w:r>
    </w:p>
    <w:p w14:paraId="30A0B3B1"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lastRenderedPageBreak/>
        <w:t xml:space="preserve">3. Savino P, Patiño JF. Metabolismo y nutrición del paciente en estado crítico. </w:t>
      </w:r>
      <w:proofErr w:type="spellStart"/>
      <w:r w:rsidRPr="00390862">
        <w:rPr>
          <w:rFonts w:ascii="Times New Roman" w:hAnsi="Times New Roman"/>
          <w:bCs/>
          <w:sz w:val="24"/>
          <w:szCs w:val="24"/>
          <w:lang w:val="es-ES_tradnl"/>
        </w:rPr>
        <w:t>Rev</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Colomb</w:t>
      </w:r>
      <w:proofErr w:type="spellEnd"/>
      <w:r w:rsidRPr="00390862">
        <w:rPr>
          <w:rFonts w:ascii="Times New Roman" w:hAnsi="Times New Roman"/>
          <w:bCs/>
          <w:sz w:val="24"/>
          <w:szCs w:val="24"/>
          <w:lang w:val="es-ES_tradnl"/>
        </w:rPr>
        <w:t xml:space="preserve"> Cir. 2016 [acceso: 10/07/2017];1(2):108-27. Disponible en:  </w:t>
      </w:r>
      <w:hyperlink r:id="rId23" w:history="1">
        <w:r w:rsidRPr="00390862">
          <w:rPr>
            <w:rStyle w:val="Hipervnculo"/>
            <w:rFonts w:ascii="Times New Roman" w:hAnsi="Times New Roman"/>
            <w:bCs/>
            <w:sz w:val="24"/>
            <w:szCs w:val="24"/>
            <w:lang w:val="es-ES_tradnl"/>
          </w:rPr>
          <w:t>http://www.scielo.org.co/scielo.php?script=sci_arttext&amp;pid=S2011-75822016000200006</w:t>
        </w:r>
      </w:hyperlink>
      <w:r w:rsidRPr="00390862">
        <w:rPr>
          <w:rFonts w:ascii="Times New Roman" w:hAnsi="Times New Roman"/>
          <w:bCs/>
          <w:sz w:val="24"/>
          <w:szCs w:val="24"/>
          <w:lang w:val="es-ES_tradnl"/>
        </w:rPr>
        <w:t xml:space="preserve"> </w:t>
      </w:r>
    </w:p>
    <w:p w14:paraId="201A656B"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4. </w:t>
      </w:r>
      <w:proofErr w:type="spellStart"/>
      <w:r w:rsidRPr="00390862">
        <w:rPr>
          <w:rFonts w:ascii="Times New Roman" w:hAnsi="Times New Roman"/>
          <w:bCs/>
          <w:sz w:val="24"/>
          <w:szCs w:val="24"/>
          <w:lang w:val="es-ES_tradnl"/>
        </w:rPr>
        <w:t>Cardellá</w:t>
      </w:r>
      <w:proofErr w:type="spellEnd"/>
      <w:r w:rsidRPr="00390862">
        <w:rPr>
          <w:rFonts w:ascii="Times New Roman" w:hAnsi="Times New Roman"/>
          <w:bCs/>
          <w:sz w:val="24"/>
          <w:szCs w:val="24"/>
          <w:lang w:val="es-ES_tradnl"/>
        </w:rPr>
        <w:t xml:space="preserve"> Rosales L, Hernández Fernández R, </w:t>
      </w:r>
      <w:proofErr w:type="spellStart"/>
      <w:r w:rsidRPr="00390862">
        <w:rPr>
          <w:rFonts w:ascii="Times New Roman" w:hAnsi="Times New Roman"/>
          <w:bCs/>
          <w:sz w:val="24"/>
          <w:szCs w:val="24"/>
          <w:lang w:val="es-ES_tradnl"/>
        </w:rPr>
        <w:t>Upmann</w:t>
      </w:r>
      <w:proofErr w:type="spellEnd"/>
      <w:r w:rsidRPr="00390862">
        <w:rPr>
          <w:rFonts w:ascii="Times New Roman" w:hAnsi="Times New Roman"/>
          <w:bCs/>
          <w:sz w:val="24"/>
          <w:szCs w:val="24"/>
          <w:lang w:val="es-ES_tradnl"/>
        </w:rPr>
        <w:t xml:space="preserve"> Ponce de León C, </w:t>
      </w:r>
      <w:proofErr w:type="spellStart"/>
      <w:r w:rsidRPr="00390862">
        <w:rPr>
          <w:rFonts w:ascii="Times New Roman" w:hAnsi="Times New Roman"/>
          <w:bCs/>
          <w:sz w:val="24"/>
          <w:szCs w:val="24"/>
          <w:lang w:val="es-ES_tradnl"/>
        </w:rPr>
        <w:t>Vicedo</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Tomay</w:t>
      </w:r>
      <w:proofErr w:type="spellEnd"/>
      <w:r w:rsidRPr="00390862">
        <w:rPr>
          <w:rFonts w:ascii="Times New Roman" w:hAnsi="Times New Roman"/>
          <w:bCs/>
          <w:sz w:val="24"/>
          <w:szCs w:val="24"/>
          <w:lang w:val="es-ES_tradnl"/>
        </w:rPr>
        <w:t xml:space="preserve"> A, Pérez Díaz A, Sierra Figueredo S. et al. Metabolismo general de los aminoácidos. En Metabolismo intermediario y su regulación. Tomo III. Bioquímica Médica. La Habana. Editorial Ciencias Médicas; 1999.</w:t>
      </w:r>
    </w:p>
    <w:p w14:paraId="2FB184B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5. Hall JE, Guyton AC. Contracción del músculo esquelético. Energética de la contracción muscular. </w:t>
      </w:r>
      <w:proofErr w:type="spellStart"/>
      <w:r w:rsidRPr="00390862">
        <w:rPr>
          <w:rFonts w:ascii="Times New Roman" w:hAnsi="Times New Roman"/>
          <w:bCs/>
          <w:sz w:val="24"/>
          <w:szCs w:val="24"/>
          <w:lang w:val="es-ES_tradnl"/>
        </w:rPr>
        <w:t>Cap</w:t>
      </w:r>
      <w:proofErr w:type="spellEnd"/>
      <w:r w:rsidRPr="00390862">
        <w:rPr>
          <w:rFonts w:ascii="Times New Roman" w:hAnsi="Times New Roman"/>
          <w:bCs/>
          <w:sz w:val="24"/>
          <w:szCs w:val="24"/>
          <w:lang w:val="es-ES_tradnl"/>
        </w:rPr>
        <w:t xml:space="preserve"> 6. En: Tratado de la Fisiología Médica. 12ma ed. Barcelona: Editorial Elsevier; 2011. p 78-79. </w:t>
      </w:r>
    </w:p>
    <w:p w14:paraId="483D98A7"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6. </w:t>
      </w:r>
      <w:proofErr w:type="spellStart"/>
      <w:r w:rsidRPr="00390862">
        <w:rPr>
          <w:rFonts w:ascii="Times New Roman" w:hAnsi="Times New Roman"/>
          <w:bCs/>
          <w:sz w:val="24"/>
          <w:szCs w:val="24"/>
          <w:lang w:val="es-ES_tradnl"/>
        </w:rPr>
        <w:t>Earthman</w:t>
      </w:r>
      <w:proofErr w:type="spellEnd"/>
      <w:r w:rsidRPr="00390862">
        <w:rPr>
          <w:rFonts w:ascii="Times New Roman" w:hAnsi="Times New Roman"/>
          <w:bCs/>
          <w:sz w:val="24"/>
          <w:szCs w:val="24"/>
          <w:lang w:val="es-ES_tradnl"/>
        </w:rPr>
        <w:t xml:space="preserve"> CP. </w:t>
      </w:r>
      <w:proofErr w:type="spellStart"/>
      <w:r w:rsidRPr="00390862">
        <w:rPr>
          <w:rFonts w:ascii="Times New Roman" w:hAnsi="Times New Roman"/>
          <w:bCs/>
          <w:sz w:val="24"/>
          <w:szCs w:val="24"/>
          <w:lang w:val="es-ES_tradnl"/>
        </w:rPr>
        <w:t>Body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Composition</w:t>
      </w:r>
      <w:proofErr w:type="spellEnd"/>
      <w:r w:rsidRPr="00390862">
        <w:rPr>
          <w:rFonts w:ascii="Times New Roman" w:hAnsi="Times New Roman"/>
          <w:bCs/>
          <w:sz w:val="24"/>
          <w:szCs w:val="24"/>
          <w:lang w:val="es-ES_tradnl"/>
        </w:rPr>
        <w:t xml:space="preserve"> Tools </w:t>
      </w:r>
      <w:proofErr w:type="spellStart"/>
      <w:r w:rsidRPr="00390862">
        <w:rPr>
          <w:rFonts w:ascii="Times New Roman" w:hAnsi="Times New Roman"/>
          <w:bCs/>
          <w:sz w:val="24"/>
          <w:szCs w:val="24"/>
          <w:lang w:val="es-ES_tradnl"/>
        </w:rPr>
        <w:t>for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Assessment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Adult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Malnutrition</w:t>
      </w:r>
      <w:proofErr w:type="spellEnd"/>
      <w:r w:rsidRPr="00390862">
        <w:rPr>
          <w:rFonts w:ascii="Times New Roman" w:hAnsi="Times New Roman"/>
          <w:bCs/>
          <w:sz w:val="24"/>
          <w:szCs w:val="24"/>
          <w:lang w:val="es-ES_tradnl"/>
        </w:rPr>
        <w:t xml:space="preserve"> at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Bedside</w:t>
      </w:r>
      <w:proofErr w:type="spellEnd"/>
      <w:r w:rsidRPr="00390862">
        <w:rPr>
          <w:rFonts w:ascii="Times New Roman" w:hAnsi="Times New Roman"/>
          <w:bCs/>
          <w:sz w:val="24"/>
          <w:szCs w:val="24"/>
          <w:lang w:val="es-ES_tradnl"/>
        </w:rPr>
        <w:t xml:space="preserve"> A Tutorial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Research</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Considerations</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Clinical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Applications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Journal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Parenteral and Enteral </w:t>
      </w:r>
      <w:proofErr w:type="spellStart"/>
      <w:r w:rsidRPr="00390862">
        <w:rPr>
          <w:rFonts w:ascii="Times New Roman" w:hAnsi="Times New Roman"/>
          <w:bCs/>
          <w:sz w:val="24"/>
          <w:szCs w:val="24"/>
          <w:lang w:val="es-ES_tradnl"/>
        </w:rPr>
        <w:t>Nutrition</w:t>
      </w:r>
      <w:proofErr w:type="spellEnd"/>
      <w:r w:rsidRPr="00390862">
        <w:rPr>
          <w:rFonts w:ascii="Times New Roman" w:hAnsi="Times New Roman"/>
          <w:bCs/>
          <w:sz w:val="24"/>
          <w:szCs w:val="24"/>
          <w:lang w:val="es-ES_tradnl"/>
        </w:rPr>
        <w:t xml:space="preserve">. 2015 [acceso: 25/08/2016]; 39(7):787-822. Disponible en: </w:t>
      </w:r>
      <w:hyperlink r:id="rId24" w:history="1">
        <w:r w:rsidRPr="00390862">
          <w:rPr>
            <w:rStyle w:val="Hipervnculo"/>
            <w:rFonts w:ascii="Times New Roman" w:hAnsi="Times New Roman"/>
            <w:bCs/>
            <w:sz w:val="24"/>
            <w:szCs w:val="24"/>
            <w:lang w:val="es-ES_tradnl"/>
          </w:rPr>
          <w:t>http://journals.sagepub.com/doi/pdf/10.1177/0148607115595227</w:t>
        </w:r>
      </w:hyperlink>
      <w:r w:rsidRPr="00390862">
        <w:rPr>
          <w:rFonts w:ascii="Times New Roman" w:hAnsi="Times New Roman"/>
          <w:bCs/>
          <w:sz w:val="24"/>
          <w:szCs w:val="24"/>
          <w:lang w:val="es-ES_tradnl"/>
        </w:rPr>
        <w:t xml:space="preserve"> </w:t>
      </w:r>
    </w:p>
    <w:p w14:paraId="7E162AA3"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7. </w:t>
      </w:r>
      <w:proofErr w:type="spellStart"/>
      <w:r w:rsidRPr="00390862">
        <w:rPr>
          <w:rFonts w:ascii="Times New Roman" w:hAnsi="Times New Roman"/>
          <w:bCs/>
          <w:sz w:val="24"/>
          <w:szCs w:val="24"/>
          <w:lang w:val="es-ES_tradnl"/>
        </w:rPr>
        <w:t>Sapna</w:t>
      </w:r>
      <w:proofErr w:type="spellEnd"/>
      <w:r w:rsidRPr="00390862">
        <w:rPr>
          <w:rFonts w:ascii="Times New Roman" w:hAnsi="Times New Roman"/>
          <w:bCs/>
          <w:sz w:val="24"/>
          <w:szCs w:val="24"/>
          <w:lang w:val="es-ES_tradnl"/>
        </w:rPr>
        <w:t xml:space="preserve"> S, Patel </w:t>
      </w:r>
      <w:proofErr w:type="spellStart"/>
      <w:r w:rsidRPr="00390862">
        <w:rPr>
          <w:rFonts w:ascii="Times New Roman" w:hAnsi="Times New Roman"/>
          <w:bCs/>
          <w:sz w:val="24"/>
          <w:szCs w:val="24"/>
          <w:lang w:val="es-ES_tradnl"/>
        </w:rPr>
        <w:t>Miklos</w:t>
      </w:r>
      <w:proofErr w:type="spellEnd"/>
      <w:r w:rsidRPr="00390862">
        <w:rPr>
          <w:rFonts w:ascii="Times New Roman" w:hAnsi="Times New Roman"/>
          <w:bCs/>
          <w:sz w:val="24"/>
          <w:szCs w:val="24"/>
          <w:lang w:val="es-ES_tradnl"/>
        </w:rPr>
        <w:t xml:space="preserve"> Z, Molnar JA, </w:t>
      </w:r>
      <w:proofErr w:type="spellStart"/>
      <w:r w:rsidRPr="00390862">
        <w:rPr>
          <w:rFonts w:ascii="Times New Roman" w:hAnsi="Times New Roman"/>
          <w:bCs/>
          <w:sz w:val="24"/>
          <w:szCs w:val="24"/>
          <w:lang w:val="es-ES_tradnl"/>
        </w:rPr>
        <w:t>Tayek</w:t>
      </w:r>
      <w:proofErr w:type="spellEnd"/>
      <w:r w:rsidRPr="00390862">
        <w:rPr>
          <w:rFonts w:ascii="Times New Roman" w:hAnsi="Times New Roman"/>
          <w:bCs/>
          <w:sz w:val="24"/>
          <w:szCs w:val="24"/>
          <w:lang w:val="es-ES_tradnl"/>
        </w:rPr>
        <w:t xml:space="preserve"> Joachim H, </w:t>
      </w:r>
      <w:proofErr w:type="spellStart"/>
      <w:r w:rsidRPr="00390862">
        <w:rPr>
          <w:rFonts w:ascii="Times New Roman" w:hAnsi="Times New Roman"/>
          <w:bCs/>
          <w:sz w:val="24"/>
          <w:szCs w:val="24"/>
          <w:lang w:val="es-ES_tradnl"/>
        </w:rPr>
        <w:t>Ix</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Nazanin</w:t>
      </w:r>
      <w:proofErr w:type="spellEnd"/>
      <w:r w:rsidRPr="00390862">
        <w:rPr>
          <w:rFonts w:ascii="Times New Roman" w:hAnsi="Times New Roman"/>
          <w:bCs/>
          <w:sz w:val="24"/>
          <w:szCs w:val="24"/>
          <w:lang w:val="es-ES_tradnl"/>
        </w:rPr>
        <w:t xml:space="preserve"> N, Benner D, et al. </w:t>
      </w:r>
      <w:proofErr w:type="spellStart"/>
      <w:r w:rsidRPr="00390862">
        <w:rPr>
          <w:rFonts w:ascii="Times New Roman" w:hAnsi="Times New Roman"/>
          <w:bCs/>
          <w:sz w:val="24"/>
          <w:szCs w:val="24"/>
          <w:lang w:val="es-ES_tradnl"/>
        </w:rPr>
        <w:t>Serum</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as a </w:t>
      </w:r>
      <w:proofErr w:type="spellStart"/>
      <w:r w:rsidRPr="00390862">
        <w:rPr>
          <w:rFonts w:ascii="Times New Roman" w:hAnsi="Times New Roman"/>
          <w:bCs/>
          <w:sz w:val="24"/>
          <w:szCs w:val="24"/>
          <w:lang w:val="es-ES_tradnl"/>
        </w:rPr>
        <w:t>marker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muscle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mass</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chronic</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kidney</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disease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results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a </w:t>
      </w:r>
      <w:proofErr w:type="spellStart"/>
      <w:r w:rsidRPr="00390862">
        <w:rPr>
          <w:rFonts w:ascii="Times New Roman" w:hAnsi="Times New Roman"/>
          <w:bCs/>
          <w:sz w:val="24"/>
          <w:szCs w:val="24"/>
          <w:lang w:val="es-ES_tradnl"/>
        </w:rPr>
        <w:t>cross-sectional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study</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review</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literature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Journal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cachexia</w:t>
      </w:r>
      <w:proofErr w:type="spellEnd"/>
      <w:r w:rsidRPr="00390862">
        <w:rPr>
          <w:rFonts w:ascii="Times New Roman" w:hAnsi="Times New Roman"/>
          <w:bCs/>
          <w:sz w:val="24"/>
          <w:szCs w:val="24"/>
          <w:lang w:val="es-ES_tradnl"/>
        </w:rPr>
        <w:t xml:space="preserve">, sarcopenia y </w:t>
      </w:r>
      <w:proofErr w:type="spellStart"/>
      <w:r w:rsidRPr="00390862">
        <w:rPr>
          <w:rFonts w:ascii="Times New Roman" w:hAnsi="Times New Roman"/>
          <w:bCs/>
          <w:sz w:val="24"/>
          <w:szCs w:val="24"/>
          <w:lang w:val="es-ES_tradnl"/>
        </w:rPr>
        <w:t>muscles</w:t>
      </w:r>
      <w:proofErr w:type="spellEnd"/>
      <w:r w:rsidRPr="00390862">
        <w:rPr>
          <w:rFonts w:ascii="Times New Roman" w:hAnsi="Times New Roman"/>
          <w:bCs/>
          <w:sz w:val="24"/>
          <w:szCs w:val="24"/>
          <w:lang w:val="es-ES_tradnl"/>
        </w:rPr>
        <w:t xml:space="preserve">. 2013 [acceso: 25/07/2018]; 4(1):19–29. Disponible en: </w:t>
      </w:r>
      <w:hyperlink r:id="rId25" w:history="1">
        <w:r w:rsidRPr="00390862">
          <w:rPr>
            <w:rStyle w:val="Hipervnculo"/>
            <w:rFonts w:ascii="Times New Roman" w:hAnsi="Times New Roman"/>
            <w:bCs/>
            <w:sz w:val="24"/>
            <w:szCs w:val="24"/>
            <w:lang w:val="es-ES_tradnl"/>
          </w:rPr>
          <w:t>http://onlinelibrary.wiley.com/doi/10.1007/s13539-012-0079-1/full</w:t>
        </w:r>
      </w:hyperlink>
      <w:r w:rsidRPr="00390862">
        <w:rPr>
          <w:rFonts w:ascii="Times New Roman" w:hAnsi="Times New Roman"/>
          <w:bCs/>
          <w:sz w:val="24"/>
          <w:szCs w:val="24"/>
          <w:lang w:val="es-ES_tradnl"/>
        </w:rPr>
        <w:t xml:space="preserve"> </w:t>
      </w:r>
    </w:p>
    <w:p w14:paraId="336EA59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8. Lau WC, Eagle KA. Valoración médica del paciente quirúrgico. En: </w:t>
      </w:r>
      <w:proofErr w:type="spellStart"/>
      <w:r w:rsidRPr="00390862">
        <w:rPr>
          <w:rFonts w:ascii="Times New Roman" w:hAnsi="Times New Roman"/>
          <w:bCs/>
          <w:sz w:val="24"/>
          <w:szCs w:val="24"/>
          <w:lang w:val="es-ES_tradnl"/>
        </w:rPr>
        <w:t>Kasper</w:t>
      </w:r>
      <w:proofErr w:type="spellEnd"/>
      <w:r w:rsidRPr="00390862">
        <w:rPr>
          <w:rFonts w:ascii="Times New Roman" w:hAnsi="Times New Roman"/>
          <w:bCs/>
          <w:sz w:val="24"/>
          <w:szCs w:val="24"/>
          <w:lang w:val="es-ES_tradnl"/>
        </w:rPr>
        <w:t xml:space="preserve"> DL, </w:t>
      </w:r>
      <w:proofErr w:type="spellStart"/>
      <w:r w:rsidRPr="00390862">
        <w:rPr>
          <w:rFonts w:ascii="Times New Roman" w:hAnsi="Times New Roman"/>
          <w:bCs/>
          <w:sz w:val="24"/>
          <w:szCs w:val="24"/>
          <w:lang w:val="es-ES_tradnl"/>
        </w:rPr>
        <w:t>Fauci</w:t>
      </w:r>
      <w:proofErr w:type="spellEnd"/>
      <w:r w:rsidRPr="00390862">
        <w:rPr>
          <w:rFonts w:ascii="Times New Roman" w:hAnsi="Times New Roman"/>
          <w:bCs/>
          <w:sz w:val="24"/>
          <w:szCs w:val="24"/>
          <w:lang w:val="es-ES_tradnl"/>
        </w:rPr>
        <w:t xml:space="preserve"> AS, Hauser SL, Longo DL, Jameson JL, </w:t>
      </w:r>
      <w:proofErr w:type="spellStart"/>
      <w:r w:rsidRPr="00390862">
        <w:rPr>
          <w:rFonts w:ascii="Times New Roman" w:hAnsi="Times New Roman"/>
          <w:bCs/>
          <w:sz w:val="24"/>
          <w:szCs w:val="24"/>
          <w:lang w:val="es-ES_tradnl"/>
        </w:rPr>
        <w:t>Loscalzo</w:t>
      </w:r>
      <w:proofErr w:type="spellEnd"/>
      <w:r w:rsidRPr="00390862">
        <w:rPr>
          <w:rFonts w:ascii="Times New Roman" w:hAnsi="Times New Roman"/>
          <w:bCs/>
          <w:sz w:val="24"/>
          <w:szCs w:val="24"/>
          <w:lang w:val="es-ES_tradnl"/>
        </w:rPr>
        <w:t xml:space="preserve"> J. Harrison. Principios de Medicina Interna.19 ed. México DF: McGraw-Hill Interamericana; 2016. p 51-5. </w:t>
      </w:r>
    </w:p>
    <w:p w14:paraId="36D3DE7C"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9. Meyer AV, </w:t>
      </w:r>
      <w:proofErr w:type="spellStart"/>
      <w:r w:rsidRPr="00390862">
        <w:rPr>
          <w:rFonts w:ascii="Times New Roman" w:hAnsi="Times New Roman"/>
          <w:bCs/>
          <w:sz w:val="24"/>
          <w:szCs w:val="24"/>
          <w:lang w:val="es-ES_tradnl"/>
        </w:rPr>
        <w:t>Bardowell</w:t>
      </w:r>
      <w:proofErr w:type="spellEnd"/>
      <w:r w:rsidRPr="00390862">
        <w:rPr>
          <w:rFonts w:ascii="Times New Roman" w:hAnsi="Times New Roman"/>
          <w:bCs/>
          <w:sz w:val="24"/>
          <w:szCs w:val="24"/>
          <w:lang w:val="es-ES_tradnl"/>
        </w:rPr>
        <w:t xml:space="preserve"> RH. Aproximación a la atención perioperatoria. En: </w:t>
      </w:r>
      <w:proofErr w:type="spellStart"/>
      <w:r w:rsidRPr="00390862">
        <w:rPr>
          <w:rFonts w:ascii="Times New Roman" w:hAnsi="Times New Roman"/>
          <w:bCs/>
          <w:sz w:val="24"/>
          <w:szCs w:val="24"/>
          <w:lang w:val="es-ES_tradnl"/>
        </w:rPr>
        <w:t>Ciesielski</w:t>
      </w:r>
      <w:proofErr w:type="spellEnd"/>
      <w:r w:rsidRPr="00390862">
        <w:rPr>
          <w:rFonts w:ascii="Times New Roman" w:hAnsi="Times New Roman"/>
          <w:bCs/>
          <w:sz w:val="24"/>
          <w:szCs w:val="24"/>
          <w:lang w:val="es-ES_tradnl"/>
        </w:rPr>
        <w:t xml:space="preserve"> TM, De </w:t>
      </w:r>
      <w:proofErr w:type="spellStart"/>
      <w:r w:rsidRPr="00390862">
        <w:rPr>
          <w:rFonts w:ascii="Times New Roman" w:hAnsi="Times New Roman"/>
          <w:bCs/>
          <w:sz w:val="24"/>
          <w:szCs w:val="24"/>
          <w:lang w:val="es-ES_tradnl"/>
        </w:rPr>
        <w:t>Fer</w:t>
      </w:r>
      <w:proofErr w:type="spellEnd"/>
      <w:r w:rsidRPr="00390862">
        <w:rPr>
          <w:rFonts w:ascii="Times New Roman" w:hAnsi="Times New Roman"/>
          <w:bCs/>
          <w:sz w:val="24"/>
          <w:szCs w:val="24"/>
          <w:lang w:val="es-ES_tradnl"/>
        </w:rPr>
        <w:t xml:space="preserve"> TM. Manual Washington de medicina interna hospitalaria. 3ra ed. </w:t>
      </w:r>
      <w:proofErr w:type="spellStart"/>
      <w:r w:rsidRPr="00390862">
        <w:rPr>
          <w:rFonts w:ascii="Times New Roman" w:hAnsi="Times New Roman"/>
          <w:bCs/>
          <w:sz w:val="24"/>
          <w:szCs w:val="24"/>
          <w:lang w:val="es-ES_tradnl"/>
        </w:rPr>
        <w:t>Philadelphia</w:t>
      </w:r>
      <w:proofErr w:type="spellEnd"/>
      <w:r w:rsidRPr="00390862">
        <w:rPr>
          <w:rFonts w:ascii="Times New Roman" w:hAnsi="Times New Roman"/>
          <w:bCs/>
          <w:sz w:val="24"/>
          <w:szCs w:val="24"/>
          <w:lang w:val="es-ES_tradnl"/>
        </w:rPr>
        <w:t xml:space="preserve">: Wolters </w:t>
      </w:r>
      <w:proofErr w:type="spellStart"/>
      <w:r w:rsidRPr="00390862">
        <w:rPr>
          <w:rFonts w:ascii="Times New Roman" w:hAnsi="Times New Roman"/>
          <w:bCs/>
          <w:sz w:val="24"/>
          <w:szCs w:val="24"/>
          <w:lang w:val="es-ES_tradnl"/>
        </w:rPr>
        <w:t>Kluwer</w:t>
      </w:r>
      <w:proofErr w:type="spellEnd"/>
      <w:r w:rsidRPr="00390862">
        <w:rPr>
          <w:rFonts w:ascii="Times New Roman" w:hAnsi="Times New Roman"/>
          <w:bCs/>
          <w:sz w:val="24"/>
          <w:szCs w:val="24"/>
          <w:lang w:val="es-ES_tradnl"/>
        </w:rPr>
        <w:t>; 2018. p 40-4.</w:t>
      </w:r>
    </w:p>
    <w:p w14:paraId="790B1735"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10. Herrera Cartaya C, Acosta Coba M.  Insuficiencia respiratoria aguda. En: Caballero López A, Domínguez Perera MA, Pardo Núñez AB, </w:t>
      </w:r>
      <w:proofErr w:type="spellStart"/>
      <w:r w:rsidRPr="00390862">
        <w:rPr>
          <w:rFonts w:ascii="Times New Roman" w:hAnsi="Times New Roman"/>
          <w:bCs/>
          <w:sz w:val="24"/>
          <w:szCs w:val="24"/>
          <w:lang w:val="es-ES_tradnl"/>
        </w:rPr>
        <w:t>Abdo</w:t>
      </w:r>
      <w:proofErr w:type="spellEnd"/>
      <w:r w:rsidRPr="00390862">
        <w:rPr>
          <w:rFonts w:ascii="Times New Roman" w:hAnsi="Times New Roman"/>
          <w:bCs/>
          <w:sz w:val="24"/>
          <w:szCs w:val="24"/>
          <w:lang w:val="es-ES_tradnl"/>
        </w:rPr>
        <w:t xml:space="preserve"> Cuza AA, Ruiz Hernández JR, Rodríguez Monteagudo JL, et al. Terapia Intensiva. 4ta ed. La Habana: Editorial Ciencias Médicas; 2019. p 110- 31.</w:t>
      </w:r>
    </w:p>
    <w:p w14:paraId="39863621"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lastRenderedPageBreak/>
        <w:t xml:space="preserve">11. Peña Quijada AE, Chang Cruz A.  Sistema de valor pronóstico en Medicina Intensiva. Modelos predictivos de gravedad y mortalidad. APACHE. En: Caballero López A, Domínguez Perera MA, Pardo Núñez AB, </w:t>
      </w:r>
      <w:proofErr w:type="spellStart"/>
      <w:r w:rsidRPr="00390862">
        <w:rPr>
          <w:rFonts w:ascii="Times New Roman" w:hAnsi="Times New Roman"/>
          <w:bCs/>
          <w:sz w:val="24"/>
          <w:szCs w:val="24"/>
          <w:lang w:val="es-ES_tradnl"/>
        </w:rPr>
        <w:t>Abdo</w:t>
      </w:r>
      <w:proofErr w:type="spellEnd"/>
      <w:r w:rsidRPr="00390862">
        <w:rPr>
          <w:rFonts w:ascii="Times New Roman" w:hAnsi="Times New Roman"/>
          <w:bCs/>
          <w:sz w:val="24"/>
          <w:szCs w:val="24"/>
          <w:lang w:val="es-ES_tradnl"/>
        </w:rPr>
        <w:t xml:space="preserve"> Cuza AA, Ruiz Hernández JR, Rodríguez Monteagudo JL, et al. Terapia Intensiva. 4ta ed. La Habana: Editorial Ciencias Médicas; 2019. p 51-6.</w:t>
      </w:r>
    </w:p>
    <w:p w14:paraId="6CD75CC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12. García de Lorenzo A, Manzanares Castro W. Síndrome de respuesta inflamatoria sistémica y síndrome</w:t>
      </w:r>
      <w:r w:rsidRPr="00390862">
        <w:rPr>
          <w:rFonts w:ascii="Times New Roman" w:hAnsi="Times New Roman"/>
          <w:bCs/>
          <w:sz w:val="24"/>
          <w:szCs w:val="24"/>
          <w:lang w:val="es-ES_tradnl"/>
        </w:rPr>
        <w:tab/>
        <w:t xml:space="preserve">de </w:t>
      </w:r>
      <w:proofErr w:type="gramStart"/>
      <w:r w:rsidRPr="00390862">
        <w:rPr>
          <w:rFonts w:ascii="Times New Roman" w:hAnsi="Times New Roman"/>
          <w:bCs/>
          <w:sz w:val="24"/>
          <w:szCs w:val="24"/>
          <w:lang w:val="es-ES_tradnl"/>
        </w:rPr>
        <w:t>disfunción  multiorgánica</w:t>
      </w:r>
      <w:proofErr w:type="gramEnd"/>
      <w:r w:rsidRPr="00390862">
        <w:rPr>
          <w:rFonts w:ascii="Times New Roman" w:hAnsi="Times New Roman"/>
          <w:bCs/>
          <w:sz w:val="24"/>
          <w:szCs w:val="24"/>
          <w:lang w:val="es-ES_tradnl"/>
        </w:rPr>
        <w:t>. En: Montejo JC, García de Lorenzo A, Marco P, Ortiz C. Medicina Intensiva. 5ta ed. Barcelona: Editorial Elsevier; 2017. p 3.</w:t>
      </w:r>
    </w:p>
    <w:p w14:paraId="1D0F9231"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13. </w:t>
      </w:r>
      <w:proofErr w:type="spellStart"/>
      <w:r w:rsidRPr="00390862">
        <w:rPr>
          <w:rFonts w:ascii="Times New Roman" w:hAnsi="Times New Roman"/>
          <w:bCs/>
          <w:sz w:val="24"/>
          <w:szCs w:val="24"/>
          <w:lang w:val="es-ES_tradnl"/>
        </w:rPr>
        <w:t>Holthaus</w:t>
      </w:r>
      <w:proofErr w:type="spellEnd"/>
      <w:r w:rsidRPr="00390862">
        <w:rPr>
          <w:rFonts w:ascii="Times New Roman" w:hAnsi="Times New Roman"/>
          <w:bCs/>
          <w:sz w:val="24"/>
          <w:szCs w:val="24"/>
          <w:lang w:val="es-ES_tradnl"/>
        </w:rPr>
        <w:t xml:space="preserve"> C, </w:t>
      </w:r>
      <w:proofErr w:type="spellStart"/>
      <w:r w:rsidRPr="00390862">
        <w:rPr>
          <w:rFonts w:ascii="Times New Roman" w:hAnsi="Times New Roman"/>
          <w:bCs/>
          <w:sz w:val="24"/>
          <w:szCs w:val="24"/>
          <w:lang w:val="es-ES_tradnl"/>
        </w:rPr>
        <w:t>Liang</w:t>
      </w:r>
      <w:proofErr w:type="spellEnd"/>
      <w:r w:rsidRPr="00390862">
        <w:rPr>
          <w:rFonts w:ascii="Times New Roman" w:hAnsi="Times New Roman"/>
          <w:bCs/>
          <w:sz w:val="24"/>
          <w:szCs w:val="24"/>
          <w:lang w:val="es-ES_tradnl"/>
        </w:rPr>
        <w:t xml:space="preserve"> SY. Urgencias infecciosas: Sepsis. En: Levine MD, Scott Gilmore W. Manual Washington de Medicina de Urgencias. </w:t>
      </w:r>
      <w:proofErr w:type="spellStart"/>
      <w:r w:rsidRPr="00390862">
        <w:rPr>
          <w:rFonts w:ascii="Times New Roman" w:hAnsi="Times New Roman"/>
          <w:bCs/>
          <w:sz w:val="24"/>
          <w:szCs w:val="24"/>
          <w:lang w:val="es-ES_tradnl"/>
        </w:rPr>
        <w:t>Philadelphia</w:t>
      </w:r>
      <w:proofErr w:type="spellEnd"/>
      <w:r w:rsidRPr="00390862">
        <w:rPr>
          <w:rFonts w:ascii="Times New Roman" w:hAnsi="Times New Roman"/>
          <w:bCs/>
          <w:sz w:val="24"/>
          <w:szCs w:val="24"/>
          <w:lang w:val="es-ES_tradnl"/>
        </w:rPr>
        <w:t xml:space="preserve">: Editorial Wolters </w:t>
      </w:r>
      <w:proofErr w:type="spellStart"/>
      <w:r w:rsidRPr="00390862">
        <w:rPr>
          <w:rFonts w:ascii="Times New Roman" w:hAnsi="Times New Roman"/>
          <w:bCs/>
          <w:sz w:val="24"/>
          <w:szCs w:val="24"/>
          <w:lang w:val="es-ES_tradnl"/>
        </w:rPr>
        <w:t>Kluwer</w:t>
      </w:r>
      <w:proofErr w:type="spellEnd"/>
      <w:r w:rsidRPr="00390862">
        <w:rPr>
          <w:rFonts w:ascii="Times New Roman" w:hAnsi="Times New Roman"/>
          <w:bCs/>
          <w:sz w:val="24"/>
          <w:szCs w:val="24"/>
          <w:lang w:val="es-ES_tradnl"/>
        </w:rPr>
        <w:t>; 2018. p 309-10.</w:t>
      </w:r>
    </w:p>
    <w:p w14:paraId="79682F59"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14. Santana Cabrera L, Sánchez-Palacios M, Hernández Medina E, Lorenzo Torrent R, Martínez Cuéllar S, Villanueva Ortiz A. Pronóstico del paciente critico según la edad y el sexo.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Intensiva. 2009 [acceso: 09/06/2016/];33(4):161-5. Disponible en: </w:t>
      </w:r>
      <w:hyperlink r:id="rId26" w:history="1">
        <w:r w:rsidRPr="00390862">
          <w:rPr>
            <w:rStyle w:val="Hipervnculo"/>
            <w:rFonts w:ascii="Times New Roman" w:hAnsi="Times New Roman"/>
            <w:bCs/>
            <w:sz w:val="24"/>
            <w:szCs w:val="24"/>
            <w:lang w:val="es-ES_tradnl"/>
          </w:rPr>
          <w:t>http://www.sciencedirect.com/science/article/pii/S0210569109712112</w:t>
        </w:r>
      </w:hyperlink>
      <w:r w:rsidRPr="00390862">
        <w:rPr>
          <w:rFonts w:ascii="Times New Roman" w:hAnsi="Times New Roman"/>
          <w:bCs/>
          <w:sz w:val="24"/>
          <w:szCs w:val="24"/>
          <w:lang w:val="es-ES_tradnl"/>
        </w:rPr>
        <w:t xml:space="preserve">   </w:t>
      </w:r>
    </w:p>
    <w:p w14:paraId="2CED6976"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15. </w:t>
      </w:r>
      <w:proofErr w:type="spellStart"/>
      <w:r w:rsidRPr="00390862">
        <w:rPr>
          <w:rFonts w:ascii="Times New Roman" w:hAnsi="Times New Roman"/>
          <w:bCs/>
          <w:sz w:val="24"/>
          <w:szCs w:val="24"/>
          <w:lang w:val="es-ES_tradnl"/>
        </w:rPr>
        <w:t>Hoffer</w:t>
      </w:r>
      <w:proofErr w:type="spellEnd"/>
      <w:r w:rsidRPr="00390862">
        <w:rPr>
          <w:rFonts w:ascii="Times New Roman" w:hAnsi="Times New Roman"/>
          <w:bCs/>
          <w:sz w:val="24"/>
          <w:szCs w:val="24"/>
          <w:lang w:val="es-ES_tradnl"/>
        </w:rPr>
        <w:t xml:space="preserve"> JL, </w:t>
      </w:r>
      <w:proofErr w:type="spellStart"/>
      <w:r w:rsidRPr="00390862">
        <w:rPr>
          <w:rFonts w:ascii="Times New Roman" w:hAnsi="Times New Roman"/>
          <w:bCs/>
          <w:sz w:val="24"/>
          <w:szCs w:val="24"/>
          <w:lang w:val="es-ES_tradnl"/>
        </w:rPr>
        <w:t>Bistrian</w:t>
      </w:r>
      <w:proofErr w:type="spellEnd"/>
      <w:r w:rsidRPr="00390862">
        <w:rPr>
          <w:rFonts w:ascii="Times New Roman" w:hAnsi="Times New Roman"/>
          <w:bCs/>
          <w:sz w:val="24"/>
          <w:szCs w:val="24"/>
          <w:lang w:val="es-ES_tradnl"/>
        </w:rPr>
        <w:t xml:space="preserve"> BR. </w:t>
      </w:r>
      <w:proofErr w:type="spellStart"/>
      <w:r w:rsidRPr="00390862">
        <w:rPr>
          <w:rFonts w:ascii="Times New Roman" w:hAnsi="Times New Roman"/>
          <w:bCs/>
          <w:sz w:val="24"/>
          <w:szCs w:val="24"/>
          <w:lang w:val="es-ES_tradnl"/>
        </w:rPr>
        <w:t>Nutrition</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critical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illness</w:t>
      </w:r>
      <w:proofErr w:type="spellEnd"/>
      <w:r w:rsidRPr="00390862">
        <w:rPr>
          <w:rFonts w:ascii="Times New Roman" w:hAnsi="Times New Roman"/>
          <w:bCs/>
          <w:sz w:val="24"/>
          <w:szCs w:val="24"/>
          <w:lang w:val="es-ES_tradnl"/>
        </w:rPr>
        <w:t xml:space="preserve">: a </w:t>
      </w:r>
      <w:proofErr w:type="spellStart"/>
      <w:r w:rsidRPr="00390862">
        <w:rPr>
          <w:rFonts w:ascii="Times New Roman" w:hAnsi="Times New Roman"/>
          <w:bCs/>
          <w:sz w:val="24"/>
          <w:szCs w:val="24"/>
          <w:lang w:val="es-ES_tradnl"/>
        </w:rPr>
        <w:t>current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conundrum</w:t>
      </w:r>
      <w:proofErr w:type="spellEnd"/>
      <w:r w:rsidRPr="00390862">
        <w:rPr>
          <w:rFonts w:ascii="Times New Roman" w:hAnsi="Times New Roman"/>
          <w:bCs/>
          <w:sz w:val="24"/>
          <w:szCs w:val="24"/>
          <w:lang w:val="es-ES_tradnl"/>
        </w:rPr>
        <w:t xml:space="preserve">. F1000Res. 2016 [acceso19/06/2017/];5: 2531. Disponible en: </w:t>
      </w:r>
      <w:hyperlink r:id="rId27" w:history="1">
        <w:r w:rsidRPr="00390862">
          <w:rPr>
            <w:rStyle w:val="Hipervnculo"/>
            <w:rFonts w:ascii="Times New Roman" w:hAnsi="Times New Roman"/>
            <w:bCs/>
            <w:sz w:val="24"/>
            <w:szCs w:val="24"/>
            <w:lang w:val="es-ES_tradnl"/>
          </w:rPr>
          <w:t>https://www.ncbi.nlm.nih.gov/pmc/articles/PMC5070594/</w:t>
        </w:r>
      </w:hyperlink>
      <w:r w:rsidRPr="00390862">
        <w:rPr>
          <w:rFonts w:ascii="Times New Roman" w:hAnsi="Times New Roman"/>
          <w:bCs/>
          <w:sz w:val="24"/>
          <w:szCs w:val="24"/>
          <w:lang w:val="es-ES_tradnl"/>
        </w:rPr>
        <w:t xml:space="preserve"> </w:t>
      </w:r>
    </w:p>
    <w:p w14:paraId="2AF39EB9"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16. Kress JP, Hall JB. Valoración del paciente con enfermedad grave. En: </w:t>
      </w:r>
      <w:proofErr w:type="spellStart"/>
      <w:r w:rsidRPr="00390862">
        <w:rPr>
          <w:rFonts w:ascii="Times New Roman" w:hAnsi="Times New Roman"/>
          <w:bCs/>
          <w:sz w:val="24"/>
          <w:szCs w:val="24"/>
          <w:lang w:val="es-ES_tradnl"/>
        </w:rPr>
        <w:t>Kasper</w:t>
      </w:r>
      <w:proofErr w:type="spellEnd"/>
      <w:r w:rsidRPr="00390862">
        <w:rPr>
          <w:rFonts w:ascii="Times New Roman" w:hAnsi="Times New Roman"/>
          <w:bCs/>
          <w:sz w:val="24"/>
          <w:szCs w:val="24"/>
          <w:lang w:val="es-ES_tradnl"/>
        </w:rPr>
        <w:t xml:space="preserve"> DL, </w:t>
      </w:r>
      <w:proofErr w:type="spellStart"/>
      <w:r w:rsidRPr="00390862">
        <w:rPr>
          <w:rFonts w:ascii="Times New Roman" w:hAnsi="Times New Roman"/>
          <w:bCs/>
          <w:sz w:val="24"/>
          <w:szCs w:val="24"/>
          <w:lang w:val="es-ES_tradnl"/>
        </w:rPr>
        <w:t>Fauci</w:t>
      </w:r>
      <w:proofErr w:type="spellEnd"/>
      <w:r w:rsidRPr="00390862">
        <w:rPr>
          <w:rFonts w:ascii="Times New Roman" w:hAnsi="Times New Roman"/>
          <w:bCs/>
          <w:sz w:val="24"/>
          <w:szCs w:val="24"/>
          <w:lang w:val="es-ES_tradnl"/>
        </w:rPr>
        <w:t xml:space="preserve"> AS, Hauser SL, Longo DL, Jameson JL, </w:t>
      </w:r>
      <w:proofErr w:type="spellStart"/>
      <w:r w:rsidRPr="00390862">
        <w:rPr>
          <w:rFonts w:ascii="Times New Roman" w:hAnsi="Times New Roman"/>
          <w:bCs/>
          <w:sz w:val="24"/>
          <w:szCs w:val="24"/>
          <w:lang w:val="es-ES_tradnl"/>
        </w:rPr>
        <w:t>Loscalzo</w:t>
      </w:r>
      <w:proofErr w:type="spellEnd"/>
      <w:r w:rsidRPr="00390862">
        <w:rPr>
          <w:rFonts w:ascii="Times New Roman" w:hAnsi="Times New Roman"/>
          <w:bCs/>
          <w:sz w:val="24"/>
          <w:szCs w:val="24"/>
          <w:lang w:val="es-ES_tradnl"/>
        </w:rPr>
        <w:t xml:space="preserve"> J. Harrison. Principios de Medicina Interna. 19 ed. México DF: McGraw-Hill Interamericana editores; 2016. p 459-64.   </w:t>
      </w:r>
    </w:p>
    <w:p w14:paraId="5F1CE44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17. Pérez Cabrera D, Suárez Méndez BE, Valdés Suárez O. Valoración del APACHE II inicial como predictor de mortalidad en pacientes ventilados. Rev.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Emerg</w:t>
      </w:r>
      <w:proofErr w:type="spellEnd"/>
      <w:r w:rsidRPr="00390862">
        <w:rPr>
          <w:rFonts w:ascii="Times New Roman" w:hAnsi="Times New Roman"/>
          <w:bCs/>
          <w:sz w:val="24"/>
          <w:szCs w:val="24"/>
          <w:lang w:val="es-ES_tradnl"/>
        </w:rPr>
        <w:t xml:space="preserve">. 2017 [acceso: 14/04/2018/]; 16(2): 80-92. Disponible en: </w:t>
      </w:r>
      <w:hyperlink r:id="rId28" w:history="1">
        <w:r w:rsidRPr="00390862">
          <w:rPr>
            <w:rStyle w:val="Hipervnculo"/>
            <w:rFonts w:ascii="Times New Roman" w:hAnsi="Times New Roman"/>
            <w:bCs/>
            <w:sz w:val="24"/>
            <w:szCs w:val="24"/>
            <w:lang w:val="es-ES_tradnl"/>
          </w:rPr>
          <w:t>http://www.revmie.sld.cu/index.php/mie/article/view/253</w:t>
        </w:r>
      </w:hyperlink>
      <w:r w:rsidRPr="00390862">
        <w:rPr>
          <w:rFonts w:ascii="Times New Roman" w:hAnsi="Times New Roman"/>
          <w:bCs/>
          <w:sz w:val="24"/>
          <w:szCs w:val="24"/>
          <w:lang w:val="es-ES_tradnl"/>
        </w:rPr>
        <w:t xml:space="preserve"> </w:t>
      </w:r>
    </w:p>
    <w:p w14:paraId="726ED6DA"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18. Planas Oñate A, González Rivera AE, Sánchez Miranda JM. APACHE II como índice predictor de mortalidad en pacientes neuroquirúrgicos no traumáticos en UCI. Rev.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Emerg</w:t>
      </w:r>
      <w:proofErr w:type="spellEnd"/>
      <w:r w:rsidRPr="00390862">
        <w:rPr>
          <w:rFonts w:ascii="Times New Roman" w:hAnsi="Times New Roman"/>
          <w:bCs/>
          <w:sz w:val="24"/>
          <w:szCs w:val="24"/>
          <w:lang w:val="es-ES_tradnl"/>
        </w:rPr>
        <w:t xml:space="preserve">. 2016 [acceso: 29/05/2017/]; 15(4):30-41. Disponible en: </w:t>
      </w:r>
      <w:hyperlink r:id="rId29" w:history="1">
        <w:r w:rsidRPr="00390862">
          <w:rPr>
            <w:rStyle w:val="Hipervnculo"/>
            <w:rFonts w:ascii="Times New Roman" w:hAnsi="Times New Roman"/>
            <w:bCs/>
            <w:sz w:val="24"/>
            <w:szCs w:val="24"/>
            <w:lang w:val="es-ES_tradnl"/>
          </w:rPr>
          <w:t>http://www.mediagraphic.com/pdfs/revcubmedinteme/cie-2016/cie/64f.pdf</w:t>
        </w:r>
      </w:hyperlink>
      <w:r w:rsidRPr="00390862">
        <w:rPr>
          <w:rFonts w:ascii="Times New Roman" w:hAnsi="Times New Roman"/>
          <w:bCs/>
          <w:sz w:val="24"/>
          <w:szCs w:val="24"/>
          <w:lang w:val="es-ES_tradnl"/>
        </w:rPr>
        <w:t xml:space="preserve"> </w:t>
      </w:r>
    </w:p>
    <w:p w14:paraId="21355F96"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19. Chávez Vivas M, del Cristo Martínez A, Tascón AJ. Características epidemiológicas de pacientes con el diagnóstico de sepsis y choque séptico en un hospital de la ciudad de Cali, Colombia. Acta </w:t>
      </w:r>
      <w:r w:rsidRPr="00390862">
        <w:rPr>
          <w:rFonts w:ascii="Times New Roman" w:hAnsi="Times New Roman"/>
          <w:bCs/>
          <w:sz w:val="24"/>
          <w:szCs w:val="24"/>
          <w:lang w:val="es-ES_tradnl"/>
        </w:rPr>
        <w:lastRenderedPageBreak/>
        <w:t xml:space="preserve">Médica Costarricense. 2018[acceso 29/03/2019];60(4):150-6. Disponible en: </w:t>
      </w:r>
      <w:hyperlink r:id="rId30" w:history="1">
        <w:r w:rsidRPr="00390862">
          <w:rPr>
            <w:rStyle w:val="Hipervnculo"/>
            <w:rFonts w:ascii="Times New Roman" w:hAnsi="Times New Roman"/>
            <w:bCs/>
            <w:sz w:val="24"/>
            <w:szCs w:val="24"/>
            <w:lang w:val="es-ES_tradnl"/>
          </w:rPr>
          <w:t>https://www.scielo.sa.cr/pdf/amc/v60n4/0001-6002-amc-60-04-150.pdf</w:t>
        </w:r>
      </w:hyperlink>
      <w:r w:rsidRPr="00390862">
        <w:rPr>
          <w:rFonts w:ascii="Times New Roman" w:hAnsi="Times New Roman"/>
          <w:bCs/>
          <w:sz w:val="24"/>
          <w:szCs w:val="24"/>
          <w:lang w:val="es-ES_tradnl"/>
        </w:rPr>
        <w:t xml:space="preserve">  </w:t>
      </w:r>
    </w:p>
    <w:p w14:paraId="17A0B0AC"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20. Jiménez </w:t>
      </w:r>
      <w:proofErr w:type="spellStart"/>
      <w:r w:rsidRPr="00390862">
        <w:rPr>
          <w:rFonts w:ascii="Times New Roman" w:hAnsi="Times New Roman"/>
          <w:bCs/>
          <w:sz w:val="24"/>
          <w:szCs w:val="24"/>
          <w:lang w:val="es-ES_tradnl"/>
        </w:rPr>
        <w:t>Jiménez</w:t>
      </w:r>
      <w:proofErr w:type="spellEnd"/>
      <w:r w:rsidRPr="00390862">
        <w:rPr>
          <w:rFonts w:ascii="Times New Roman" w:hAnsi="Times New Roman"/>
          <w:bCs/>
          <w:sz w:val="24"/>
          <w:szCs w:val="24"/>
          <w:lang w:val="es-ES_tradnl"/>
        </w:rPr>
        <w:t xml:space="preserve"> FJ, Márquez </w:t>
      </w:r>
      <w:proofErr w:type="spellStart"/>
      <w:r w:rsidRPr="00390862">
        <w:rPr>
          <w:rFonts w:ascii="Times New Roman" w:hAnsi="Times New Roman"/>
          <w:bCs/>
          <w:sz w:val="24"/>
          <w:szCs w:val="24"/>
          <w:lang w:val="es-ES_tradnl"/>
        </w:rPr>
        <w:t>Vácaro</w:t>
      </w:r>
      <w:proofErr w:type="spellEnd"/>
      <w:r w:rsidRPr="00390862">
        <w:rPr>
          <w:rFonts w:ascii="Times New Roman" w:hAnsi="Times New Roman"/>
          <w:bCs/>
          <w:sz w:val="24"/>
          <w:szCs w:val="24"/>
          <w:lang w:val="es-ES_tradnl"/>
        </w:rPr>
        <w:t xml:space="preserve"> JA.  Peritonitis. En: Montejo JC, García de Lorenzo A, Marco P, Ortiz C. Manual de Medicina Intensiva. 5tª ed. Barcelona: Elsevier; 2017. p 287-91.</w:t>
      </w:r>
    </w:p>
    <w:p w14:paraId="0AA66C49"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21. </w:t>
      </w:r>
      <w:proofErr w:type="spellStart"/>
      <w:r w:rsidRPr="00390862">
        <w:rPr>
          <w:rFonts w:ascii="Times New Roman" w:hAnsi="Times New Roman"/>
          <w:bCs/>
          <w:sz w:val="24"/>
          <w:szCs w:val="24"/>
          <w:lang w:val="es-ES_tradnl"/>
        </w:rPr>
        <w:t>Alali</w:t>
      </w:r>
      <w:proofErr w:type="spellEnd"/>
      <w:r w:rsidRPr="00390862">
        <w:rPr>
          <w:rFonts w:ascii="Times New Roman" w:hAnsi="Times New Roman"/>
          <w:bCs/>
          <w:sz w:val="24"/>
          <w:szCs w:val="24"/>
          <w:lang w:val="es-ES_tradnl"/>
        </w:rPr>
        <w:t xml:space="preserve"> AS, Baker AJ, Ali J. </w:t>
      </w:r>
      <w:proofErr w:type="spellStart"/>
      <w:r w:rsidRPr="00390862">
        <w:rPr>
          <w:rFonts w:ascii="Times New Roman" w:hAnsi="Times New Roman"/>
          <w:bCs/>
          <w:sz w:val="24"/>
          <w:szCs w:val="24"/>
          <w:lang w:val="es-ES_tradnl"/>
        </w:rPr>
        <w:t>Special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Considerations</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the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Surgical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Patient</w:t>
      </w:r>
      <w:proofErr w:type="spellEnd"/>
      <w:r w:rsidRPr="00390862">
        <w:rPr>
          <w:rFonts w:ascii="Times New Roman" w:hAnsi="Times New Roman"/>
          <w:bCs/>
          <w:sz w:val="24"/>
          <w:szCs w:val="24"/>
          <w:lang w:val="es-ES_tradnl"/>
        </w:rPr>
        <w:t xml:space="preserve">. En:  Hall JB, Schmidt GA, Kress JP. </w:t>
      </w:r>
      <w:proofErr w:type="spellStart"/>
      <w:r w:rsidRPr="00390862">
        <w:rPr>
          <w:rFonts w:ascii="Times New Roman" w:hAnsi="Times New Roman"/>
          <w:bCs/>
          <w:sz w:val="24"/>
          <w:szCs w:val="24"/>
          <w:lang w:val="es-ES_tradnl"/>
        </w:rPr>
        <w:t>Principles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of</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Critical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4th ed. New York: Ed McGraw Hill </w:t>
      </w:r>
      <w:proofErr w:type="spellStart"/>
      <w:r w:rsidRPr="00390862">
        <w:rPr>
          <w:rFonts w:ascii="Times New Roman" w:hAnsi="Times New Roman"/>
          <w:bCs/>
          <w:sz w:val="24"/>
          <w:szCs w:val="24"/>
          <w:lang w:val="es-ES_tradnl"/>
        </w:rPr>
        <w:t>Education</w:t>
      </w:r>
      <w:proofErr w:type="spellEnd"/>
      <w:r w:rsidRPr="00390862">
        <w:rPr>
          <w:rFonts w:ascii="Times New Roman" w:hAnsi="Times New Roman"/>
          <w:bCs/>
          <w:sz w:val="24"/>
          <w:szCs w:val="24"/>
          <w:lang w:val="es-ES_tradnl"/>
        </w:rPr>
        <w:t>; 2015. p 1046-8.</w:t>
      </w:r>
    </w:p>
    <w:p w14:paraId="2D94F008"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22. Pérez-Flores JE, Chávez-Tostado </w:t>
      </w:r>
      <w:proofErr w:type="spellStart"/>
      <w:r w:rsidRPr="00390862">
        <w:rPr>
          <w:rFonts w:ascii="Times New Roman" w:hAnsi="Times New Roman"/>
          <w:bCs/>
          <w:sz w:val="24"/>
          <w:szCs w:val="24"/>
          <w:lang w:val="es-ES_tradnl"/>
        </w:rPr>
        <w:t>Yonué</w:t>
      </w:r>
      <w:proofErr w:type="spellEnd"/>
      <w:r w:rsidRPr="00390862">
        <w:rPr>
          <w:rFonts w:ascii="Times New Roman" w:hAnsi="Times New Roman"/>
          <w:bCs/>
          <w:sz w:val="24"/>
          <w:szCs w:val="24"/>
          <w:lang w:val="es-ES_tradnl"/>
        </w:rPr>
        <w:t xml:space="preserve"> M, Larios-del- Toro E, García-Rentería J, Rendón-Félix J, Salazar-Parra M, et al. Evaluación del estado nutricional al ingreso hospitalario y su asociación con la morbilidad y mortalidad en pacientes mexicanos. </w:t>
      </w:r>
      <w:proofErr w:type="spellStart"/>
      <w:r w:rsidRPr="00390862">
        <w:rPr>
          <w:rFonts w:ascii="Times New Roman" w:hAnsi="Times New Roman"/>
          <w:bCs/>
          <w:sz w:val="24"/>
          <w:szCs w:val="24"/>
          <w:lang w:val="es-ES_tradnl"/>
        </w:rPr>
        <w:t>Nutr</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Hosp</w:t>
      </w:r>
      <w:proofErr w:type="spellEnd"/>
      <w:r w:rsidRPr="00390862">
        <w:rPr>
          <w:rFonts w:ascii="Times New Roman" w:hAnsi="Times New Roman"/>
          <w:bCs/>
          <w:sz w:val="24"/>
          <w:szCs w:val="24"/>
          <w:lang w:val="es-ES_tradnl"/>
        </w:rPr>
        <w:t xml:space="preserve">. 2016 [acceso 23/05/2017]; 33(4):872-8. Disponible en: </w:t>
      </w:r>
      <w:hyperlink r:id="rId31" w:history="1">
        <w:r w:rsidRPr="00390862">
          <w:rPr>
            <w:rStyle w:val="Hipervnculo"/>
            <w:rFonts w:ascii="Times New Roman" w:hAnsi="Times New Roman"/>
            <w:bCs/>
            <w:sz w:val="24"/>
            <w:szCs w:val="24"/>
            <w:lang w:val="es-ES_tradnl"/>
          </w:rPr>
          <w:t>http://scielo.isciii.es/pdf/nh/v33n4/17_original16.pdf</w:t>
        </w:r>
      </w:hyperlink>
      <w:r w:rsidRPr="00390862">
        <w:rPr>
          <w:rFonts w:ascii="Times New Roman" w:hAnsi="Times New Roman"/>
          <w:bCs/>
          <w:sz w:val="24"/>
          <w:szCs w:val="24"/>
          <w:lang w:val="es-ES_tradnl"/>
        </w:rPr>
        <w:t xml:space="preserve"> </w:t>
      </w:r>
    </w:p>
    <w:p w14:paraId="45C92FA2"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23. </w:t>
      </w:r>
      <w:proofErr w:type="spellStart"/>
      <w:r w:rsidRPr="00390862">
        <w:rPr>
          <w:rFonts w:ascii="Times New Roman" w:hAnsi="Times New Roman"/>
          <w:bCs/>
          <w:sz w:val="24"/>
          <w:szCs w:val="24"/>
          <w:lang w:val="es-ES_tradnl"/>
        </w:rPr>
        <w:t>Badell</w:t>
      </w:r>
      <w:proofErr w:type="spellEnd"/>
      <w:r w:rsidRPr="00390862">
        <w:rPr>
          <w:rFonts w:ascii="Times New Roman" w:hAnsi="Times New Roman"/>
          <w:bCs/>
          <w:sz w:val="24"/>
          <w:szCs w:val="24"/>
          <w:lang w:val="es-ES_tradnl"/>
        </w:rPr>
        <w:t xml:space="preserve"> Moore A, Bacallao Méndez R. Sobre la excreción urinaria de creatinina en los estados de disfunción. Rev. </w:t>
      </w:r>
      <w:proofErr w:type="spellStart"/>
      <w:r w:rsidRPr="00390862">
        <w:rPr>
          <w:rFonts w:ascii="Times New Roman" w:hAnsi="Times New Roman"/>
          <w:bCs/>
          <w:sz w:val="24"/>
          <w:szCs w:val="24"/>
          <w:lang w:val="es-ES_tradnl"/>
        </w:rPr>
        <w:t>Cub</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Alimen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Nutr</w:t>
      </w:r>
      <w:proofErr w:type="spellEnd"/>
      <w:r w:rsidRPr="00390862">
        <w:rPr>
          <w:rFonts w:ascii="Times New Roman" w:hAnsi="Times New Roman"/>
          <w:bCs/>
          <w:sz w:val="24"/>
          <w:szCs w:val="24"/>
          <w:lang w:val="es-ES_tradnl"/>
        </w:rPr>
        <w:t xml:space="preserve">. 2015[acceso: 23/07/2017]; 25(1 </w:t>
      </w:r>
      <w:proofErr w:type="spellStart"/>
      <w:r w:rsidRPr="00390862">
        <w:rPr>
          <w:rFonts w:ascii="Times New Roman" w:hAnsi="Times New Roman"/>
          <w:bCs/>
          <w:sz w:val="24"/>
          <w:szCs w:val="24"/>
          <w:lang w:val="es-ES_tradnl"/>
        </w:rPr>
        <w:t>Supl</w:t>
      </w:r>
      <w:proofErr w:type="spellEnd"/>
      <w:r w:rsidRPr="00390862">
        <w:rPr>
          <w:rFonts w:ascii="Times New Roman" w:hAnsi="Times New Roman"/>
          <w:bCs/>
          <w:sz w:val="24"/>
          <w:szCs w:val="24"/>
          <w:lang w:val="es-ES_tradnl"/>
        </w:rPr>
        <w:t xml:space="preserve"> 1): S131-9. Disponible en: </w:t>
      </w:r>
      <w:hyperlink r:id="rId32" w:history="1">
        <w:r w:rsidRPr="00390862">
          <w:rPr>
            <w:rStyle w:val="Hipervnculo"/>
            <w:rFonts w:ascii="Times New Roman" w:hAnsi="Times New Roman"/>
            <w:bCs/>
            <w:sz w:val="24"/>
            <w:szCs w:val="24"/>
            <w:lang w:val="es-ES_tradnl"/>
          </w:rPr>
          <w:t>http://www.revalnutricion.sld.cu/index.php/rcan/article/view/107/106</w:t>
        </w:r>
      </w:hyperlink>
      <w:r w:rsidRPr="00390862">
        <w:rPr>
          <w:rFonts w:ascii="Times New Roman" w:hAnsi="Times New Roman"/>
          <w:bCs/>
          <w:sz w:val="24"/>
          <w:szCs w:val="24"/>
          <w:lang w:val="es-ES_tradnl"/>
        </w:rPr>
        <w:t xml:space="preserve"> </w:t>
      </w:r>
    </w:p>
    <w:p w14:paraId="523533B1"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24. Montero González T, Hurtado de Mendoza Amat JH. Experiencias en autopsias del servicio Anatomía Patológica del Hospital Militar Central "Dr. Luis Díaz Soto". Rev.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Mil. 2018[acceso: 08/06/2019]; 47(4):356-68. Disponible en: </w:t>
      </w:r>
      <w:hyperlink r:id="rId33" w:history="1">
        <w:r w:rsidRPr="00390862">
          <w:rPr>
            <w:rStyle w:val="Hipervnculo"/>
            <w:rFonts w:ascii="Times New Roman" w:hAnsi="Times New Roman"/>
            <w:bCs/>
            <w:sz w:val="24"/>
            <w:szCs w:val="24"/>
            <w:lang w:val="es-ES_tradnl"/>
          </w:rPr>
          <w:t>https://www.medigraphic.com/pdfs/revcubmedmil/cmm-2018/cmm184b.pdf</w:t>
        </w:r>
      </w:hyperlink>
      <w:r w:rsidRPr="00390862">
        <w:rPr>
          <w:rFonts w:ascii="Times New Roman" w:hAnsi="Times New Roman"/>
          <w:bCs/>
          <w:sz w:val="24"/>
          <w:szCs w:val="24"/>
          <w:lang w:val="es-ES_tradnl"/>
        </w:rPr>
        <w:t xml:space="preserve"> </w:t>
      </w:r>
    </w:p>
    <w:p w14:paraId="5E0CDEF9"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25. Páez Candelaria Y, Bacardí Zapata PA, Romero García LI, </w:t>
      </w:r>
      <w:proofErr w:type="spellStart"/>
      <w:r w:rsidRPr="00390862">
        <w:rPr>
          <w:rFonts w:ascii="Times New Roman" w:hAnsi="Times New Roman"/>
          <w:bCs/>
          <w:sz w:val="24"/>
          <w:szCs w:val="24"/>
          <w:lang w:val="es-ES_tradnl"/>
        </w:rPr>
        <w:t>Gondres</w:t>
      </w:r>
      <w:proofErr w:type="spellEnd"/>
      <w:r w:rsidRPr="00390862">
        <w:rPr>
          <w:rFonts w:ascii="Times New Roman" w:hAnsi="Times New Roman"/>
          <w:bCs/>
          <w:sz w:val="24"/>
          <w:szCs w:val="24"/>
          <w:lang w:val="es-ES_tradnl"/>
        </w:rPr>
        <w:t xml:space="preserve"> Legró KM, Jones Romero O, Legró </w:t>
      </w:r>
      <w:proofErr w:type="spellStart"/>
      <w:r w:rsidRPr="00390862">
        <w:rPr>
          <w:rFonts w:ascii="Times New Roman" w:hAnsi="Times New Roman"/>
          <w:bCs/>
          <w:sz w:val="24"/>
          <w:szCs w:val="24"/>
          <w:lang w:val="es-ES_tradnl"/>
        </w:rPr>
        <w:t>Bisset</w:t>
      </w:r>
      <w:proofErr w:type="spellEnd"/>
      <w:r w:rsidRPr="00390862">
        <w:rPr>
          <w:rFonts w:ascii="Times New Roman" w:hAnsi="Times New Roman"/>
          <w:bCs/>
          <w:sz w:val="24"/>
          <w:szCs w:val="24"/>
          <w:lang w:val="es-ES_tradnl"/>
        </w:rPr>
        <w:t xml:space="preserve"> G. Sepsis y nutrición artificial en pacientes graves desnutridos. Panorama Cuba y Salud. 2016 [acceso: 09/05/2019]; 11(2): p. 6-13. Disponible en: </w:t>
      </w:r>
      <w:hyperlink r:id="rId34" w:history="1">
        <w:r w:rsidRPr="00390862">
          <w:rPr>
            <w:rStyle w:val="Hipervnculo"/>
            <w:rFonts w:ascii="Times New Roman" w:hAnsi="Times New Roman"/>
            <w:bCs/>
            <w:sz w:val="24"/>
            <w:szCs w:val="24"/>
            <w:lang w:val="es-ES_tradnl"/>
          </w:rPr>
          <w:t>https://www.medigraphic.com/pdfs/cubaysalud/pcs-2016/pcs162b.pdf</w:t>
        </w:r>
      </w:hyperlink>
      <w:r w:rsidRPr="00390862">
        <w:rPr>
          <w:rFonts w:ascii="Times New Roman" w:hAnsi="Times New Roman"/>
          <w:bCs/>
          <w:sz w:val="24"/>
          <w:szCs w:val="24"/>
          <w:lang w:val="es-ES_tradnl"/>
        </w:rPr>
        <w:t xml:space="preserve"> </w:t>
      </w:r>
    </w:p>
    <w:p w14:paraId="2ED2CFD9"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26. van </w:t>
      </w:r>
      <w:proofErr w:type="spellStart"/>
      <w:r w:rsidRPr="00390862">
        <w:rPr>
          <w:rFonts w:ascii="Times New Roman" w:hAnsi="Times New Roman"/>
          <w:bCs/>
          <w:sz w:val="24"/>
          <w:szCs w:val="24"/>
          <w:lang w:val="es-ES_tradnl"/>
        </w:rPr>
        <w:t>Aanholt</w:t>
      </w:r>
      <w:proofErr w:type="spellEnd"/>
      <w:r w:rsidRPr="00390862">
        <w:rPr>
          <w:rFonts w:ascii="Times New Roman" w:hAnsi="Times New Roman"/>
          <w:bCs/>
          <w:sz w:val="24"/>
          <w:szCs w:val="24"/>
          <w:lang w:val="es-ES_tradnl"/>
        </w:rPr>
        <w:t xml:space="preserve"> D, Baptista G, Rodríguez Valente Y, Flores MD. Prevalencia y consecuencias de la desnutrición. En: Rodríguez Veintimilla D, Arenas Moya D, </w:t>
      </w:r>
      <w:proofErr w:type="spellStart"/>
      <w:r w:rsidRPr="00390862">
        <w:rPr>
          <w:rFonts w:ascii="Times New Roman" w:hAnsi="Times New Roman"/>
          <w:bCs/>
          <w:sz w:val="24"/>
          <w:szCs w:val="24"/>
          <w:lang w:val="es-ES_tradnl"/>
        </w:rPr>
        <w:t>Ferraresi</w:t>
      </w:r>
      <w:proofErr w:type="spellEnd"/>
      <w:r w:rsidRPr="00390862">
        <w:rPr>
          <w:rFonts w:ascii="Times New Roman" w:hAnsi="Times New Roman"/>
          <w:bCs/>
          <w:sz w:val="24"/>
          <w:szCs w:val="24"/>
          <w:lang w:val="es-ES_tradnl"/>
        </w:rPr>
        <w:t xml:space="preserve"> M, Matos A, López L, Menéndez AM, et al. Manual del participante. Curso Interdisciplinario de Nutrición Clínica (C.I.N.C.). 4ta ed. Bogotá: FELANPE; 2016. p1-10.</w:t>
      </w:r>
    </w:p>
    <w:p w14:paraId="687C860E"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lastRenderedPageBreak/>
        <w:t>27. Ferrer Monreal M. Ventilación mecánica. En: Álvarez-Sala Walther JL, Casan Clará P, Rodríguez de Castro F, Rodríguez Hermosa JL, Villena Garrido V, editores. Neumología Clínica. 2da ed. Barcelona: Editorial Elsevier; 2017.p 806-814.</w:t>
      </w:r>
    </w:p>
    <w:p w14:paraId="0C2FB935"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28. </w:t>
      </w:r>
      <w:proofErr w:type="spellStart"/>
      <w:r w:rsidRPr="00390862">
        <w:rPr>
          <w:rFonts w:ascii="Times New Roman" w:hAnsi="Times New Roman"/>
          <w:bCs/>
          <w:sz w:val="24"/>
          <w:szCs w:val="24"/>
          <w:lang w:val="es-ES_tradnl"/>
        </w:rPr>
        <w:t>Puthucheary</w:t>
      </w:r>
      <w:proofErr w:type="spellEnd"/>
      <w:r w:rsidRPr="00390862">
        <w:rPr>
          <w:rFonts w:ascii="Times New Roman" w:hAnsi="Times New Roman"/>
          <w:bCs/>
          <w:sz w:val="24"/>
          <w:szCs w:val="24"/>
          <w:lang w:val="es-ES_tradnl"/>
        </w:rPr>
        <w:t xml:space="preserve"> ZA, </w:t>
      </w:r>
      <w:proofErr w:type="spellStart"/>
      <w:r w:rsidRPr="00390862">
        <w:rPr>
          <w:rFonts w:ascii="Times New Roman" w:hAnsi="Times New Roman"/>
          <w:bCs/>
          <w:sz w:val="24"/>
          <w:szCs w:val="24"/>
          <w:lang w:val="es-ES_tradnl"/>
        </w:rPr>
        <w:t>Rawal</w:t>
      </w:r>
      <w:proofErr w:type="spellEnd"/>
      <w:r w:rsidRPr="00390862">
        <w:rPr>
          <w:rFonts w:ascii="Times New Roman" w:hAnsi="Times New Roman"/>
          <w:bCs/>
          <w:sz w:val="24"/>
          <w:szCs w:val="24"/>
          <w:lang w:val="es-ES_tradnl"/>
        </w:rPr>
        <w:t xml:space="preserve"> J, </w:t>
      </w:r>
      <w:proofErr w:type="spellStart"/>
      <w:r w:rsidRPr="00390862">
        <w:rPr>
          <w:rFonts w:ascii="Times New Roman" w:hAnsi="Times New Roman"/>
          <w:bCs/>
          <w:sz w:val="24"/>
          <w:szCs w:val="24"/>
          <w:lang w:val="es-ES_tradnl"/>
        </w:rPr>
        <w:t>McPhail</w:t>
      </w:r>
      <w:proofErr w:type="spellEnd"/>
      <w:r w:rsidRPr="00390862">
        <w:rPr>
          <w:rFonts w:ascii="Times New Roman" w:hAnsi="Times New Roman"/>
          <w:bCs/>
          <w:sz w:val="24"/>
          <w:szCs w:val="24"/>
          <w:lang w:val="es-ES_tradnl"/>
        </w:rPr>
        <w:t xml:space="preserve"> M, Connolly B, </w:t>
      </w:r>
      <w:proofErr w:type="spellStart"/>
      <w:r w:rsidRPr="00390862">
        <w:rPr>
          <w:rFonts w:ascii="Times New Roman" w:hAnsi="Times New Roman"/>
          <w:bCs/>
          <w:sz w:val="24"/>
          <w:szCs w:val="24"/>
          <w:lang w:val="es-ES_tradnl"/>
        </w:rPr>
        <w:t>Ratnayake</w:t>
      </w:r>
      <w:proofErr w:type="spellEnd"/>
      <w:r w:rsidRPr="00390862">
        <w:rPr>
          <w:rFonts w:ascii="Times New Roman" w:hAnsi="Times New Roman"/>
          <w:bCs/>
          <w:sz w:val="24"/>
          <w:szCs w:val="24"/>
          <w:lang w:val="es-ES_tradnl"/>
        </w:rPr>
        <w:t xml:space="preserve"> G, Chan P, et al. </w:t>
      </w:r>
      <w:proofErr w:type="spellStart"/>
      <w:r w:rsidRPr="00390862">
        <w:rPr>
          <w:rFonts w:ascii="Times New Roman" w:hAnsi="Times New Roman"/>
          <w:bCs/>
          <w:sz w:val="24"/>
          <w:szCs w:val="24"/>
          <w:lang w:val="es-ES_tradnl"/>
        </w:rPr>
        <w:t>Acute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skeletal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muscle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wasting</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critical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illness</w:t>
      </w:r>
      <w:proofErr w:type="spellEnd"/>
      <w:r w:rsidRPr="00390862">
        <w:rPr>
          <w:rFonts w:ascii="Times New Roman" w:hAnsi="Times New Roman"/>
          <w:bCs/>
          <w:sz w:val="24"/>
          <w:szCs w:val="24"/>
          <w:lang w:val="es-ES_tradnl"/>
        </w:rPr>
        <w:t xml:space="preserve">. JAMA. 2013[acceso27/11/2018]; 310(15):1591-600. Disponible en:  </w:t>
      </w:r>
      <w:hyperlink r:id="rId35" w:history="1">
        <w:r w:rsidRPr="00390862">
          <w:rPr>
            <w:rStyle w:val="Hipervnculo"/>
            <w:rFonts w:ascii="Times New Roman" w:hAnsi="Times New Roman"/>
            <w:bCs/>
            <w:sz w:val="24"/>
            <w:szCs w:val="24"/>
            <w:lang w:val="es-ES_tradnl"/>
          </w:rPr>
          <w:t>https://jamanetwork.com/journals/jama/fullarticle/1879857</w:t>
        </w:r>
      </w:hyperlink>
      <w:r w:rsidRPr="00390862">
        <w:rPr>
          <w:rFonts w:ascii="Times New Roman" w:hAnsi="Times New Roman"/>
          <w:bCs/>
          <w:sz w:val="24"/>
          <w:szCs w:val="24"/>
          <w:lang w:val="es-ES_tradnl"/>
        </w:rPr>
        <w:t xml:space="preserve"> </w:t>
      </w:r>
    </w:p>
    <w:p w14:paraId="1DE0CBDF"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29. Maestre Romero A, Ruiz de Azúa López Z. Retirada de la ventilación mecánica: destete. En: Montejo JC, García de Lorenzo A, Marco P, Ortiz C. Medicina Intensiva. 5ta ed. Barcelona: Editorial Elsevier; 2017. p: 21-3.</w:t>
      </w:r>
    </w:p>
    <w:p w14:paraId="53F9E488" w14:textId="77777777" w:rsidR="00002D94" w:rsidRPr="00390862" w:rsidRDefault="00002D94" w:rsidP="00002D94">
      <w:pPr>
        <w:spacing w:after="0" w:line="360" w:lineRule="auto"/>
        <w:rPr>
          <w:rFonts w:ascii="Times New Roman" w:hAnsi="Times New Roman"/>
          <w:bCs/>
          <w:sz w:val="24"/>
          <w:szCs w:val="24"/>
          <w:lang w:val="es-ES_tradnl"/>
        </w:rPr>
      </w:pPr>
      <w:r w:rsidRPr="00390862">
        <w:rPr>
          <w:rFonts w:ascii="Times New Roman" w:hAnsi="Times New Roman"/>
          <w:bCs/>
          <w:sz w:val="24"/>
          <w:szCs w:val="24"/>
          <w:lang w:val="es-ES_tradnl"/>
        </w:rPr>
        <w:t xml:space="preserve">30. </w:t>
      </w:r>
      <w:proofErr w:type="spellStart"/>
      <w:r w:rsidRPr="00390862">
        <w:rPr>
          <w:rFonts w:ascii="Times New Roman" w:hAnsi="Times New Roman"/>
          <w:bCs/>
          <w:sz w:val="24"/>
          <w:szCs w:val="24"/>
          <w:lang w:val="es-ES_tradnl"/>
        </w:rPr>
        <w:t>Datta</w:t>
      </w:r>
      <w:proofErr w:type="spellEnd"/>
      <w:r w:rsidRPr="00390862">
        <w:rPr>
          <w:rFonts w:ascii="Times New Roman" w:hAnsi="Times New Roman"/>
          <w:bCs/>
          <w:sz w:val="24"/>
          <w:szCs w:val="24"/>
          <w:lang w:val="es-ES_tradnl"/>
        </w:rPr>
        <w:t xml:space="preserve"> D, Foley R, Wu R, Grady J, </w:t>
      </w:r>
      <w:proofErr w:type="spellStart"/>
      <w:r w:rsidRPr="00390862">
        <w:rPr>
          <w:rFonts w:ascii="Times New Roman" w:hAnsi="Times New Roman"/>
          <w:bCs/>
          <w:sz w:val="24"/>
          <w:szCs w:val="24"/>
          <w:lang w:val="es-ES_tradnl"/>
        </w:rPr>
        <w:t>Scalise</w:t>
      </w:r>
      <w:proofErr w:type="spellEnd"/>
      <w:r w:rsidRPr="00390862">
        <w:rPr>
          <w:rFonts w:ascii="Times New Roman" w:hAnsi="Times New Roman"/>
          <w:bCs/>
          <w:sz w:val="24"/>
          <w:szCs w:val="24"/>
          <w:lang w:val="es-ES_tradnl"/>
        </w:rPr>
        <w:t xml:space="preserve"> P. Can </w:t>
      </w:r>
      <w:proofErr w:type="spellStart"/>
      <w:r w:rsidRPr="00390862">
        <w:rPr>
          <w:rFonts w:ascii="Times New Roman" w:hAnsi="Times New Roman"/>
          <w:bCs/>
          <w:sz w:val="24"/>
          <w:szCs w:val="24"/>
          <w:lang w:val="es-ES_tradnl"/>
        </w:rPr>
        <w:t>Creatinine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Height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Index</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predict</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weaning</w:t>
      </w:r>
      <w:proofErr w:type="spellEnd"/>
      <w:r w:rsidRPr="00390862">
        <w:rPr>
          <w:rFonts w:ascii="Times New Roman" w:hAnsi="Times New Roman"/>
          <w:bCs/>
          <w:sz w:val="24"/>
          <w:szCs w:val="24"/>
          <w:lang w:val="es-ES_tradnl"/>
        </w:rPr>
        <w:t xml:space="preserve"> and </w:t>
      </w:r>
      <w:proofErr w:type="spellStart"/>
      <w:r w:rsidRPr="00390862">
        <w:rPr>
          <w:rFonts w:ascii="Times New Roman" w:hAnsi="Times New Roman"/>
          <w:bCs/>
          <w:sz w:val="24"/>
          <w:szCs w:val="24"/>
          <w:lang w:val="es-ES_tradnl"/>
        </w:rPr>
        <w:t>survival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outcomes</w:t>
      </w:r>
      <w:proofErr w:type="spellEnd"/>
      <w:r w:rsidRPr="00390862">
        <w:rPr>
          <w:rFonts w:ascii="Times New Roman" w:hAnsi="Times New Roman"/>
          <w:bCs/>
          <w:sz w:val="24"/>
          <w:szCs w:val="24"/>
          <w:lang w:val="es-ES_tradnl"/>
        </w:rPr>
        <w:t xml:space="preserve"> in </w:t>
      </w:r>
      <w:proofErr w:type="spellStart"/>
      <w:r w:rsidRPr="00390862">
        <w:rPr>
          <w:rFonts w:ascii="Times New Roman" w:hAnsi="Times New Roman"/>
          <w:bCs/>
          <w:sz w:val="24"/>
          <w:szCs w:val="24"/>
          <w:lang w:val="es-ES_tradnl"/>
        </w:rPr>
        <w:t>patients</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on</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prolonged</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mechanical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ventilation</w:t>
      </w:r>
      <w:proofErr w:type="spellEnd"/>
      <w:r w:rsidRPr="00390862">
        <w:rPr>
          <w:rFonts w:ascii="Times New Roman" w:hAnsi="Times New Roman"/>
          <w:bCs/>
          <w:sz w:val="24"/>
          <w:szCs w:val="24"/>
          <w:lang w:val="es-ES_tradnl"/>
        </w:rPr>
        <w:t xml:space="preserve"> after </w:t>
      </w:r>
      <w:proofErr w:type="spellStart"/>
      <w:r w:rsidRPr="00390862">
        <w:rPr>
          <w:rFonts w:ascii="Times New Roman" w:hAnsi="Times New Roman"/>
          <w:bCs/>
          <w:sz w:val="24"/>
          <w:szCs w:val="24"/>
          <w:lang w:val="es-ES_tradnl"/>
        </w:rPr>
        <w:t>critical</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illness</w:t>
      </w:r>
      <w:proofErr w:type="spellEnd"/>
      <w:r w:rsidRPr="00390862">
        <w:rPr>
          <w:rFonts w:ascii="Times New Roman" w:hAnsi="Times New Roman"/>
          <w:bCs/>
          <w:sz w:val="24"/>
          <w:szCs w:val="24"/>
          <w:lang w:val="es-ES_tradnl"/>
        </w:rPr>
        <w:t xml:space="preserve">? J </w:t>
      </w:r>
      <w:proofErr w:type="spellStart"/>
      <w:r w:rsidRPr="00390862">
        <w:rPr>
          <w:rFonts w:ascii="Times New Roman" w:hAnsi="Times New Roman"/>
          <w:bCs/>
          <w:sz w:val="24"/>
          <w:szCs w:val="24"/>
          <w:lang w:val="es-ES_tradnl"/>
        </w:rPr>
        <w:t>Intensive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Care</w:t>
      </w:r>
      <w:proofErr w:type="spellEnd"/>
      <w:r w:rsidRPr="00390862">
        <w:rPr>
          <w:rFonts w:ascii="Times New Roman" w:hAnsi="Times New Roman"/>
          <w:bCs/>
          <w:sz w:val="24"/>
          <w:szCs w:val="24"/>
          <w:lang w:val="es-ES_tradnl"/>
        </w:rPr>
        <w:t xml:space="preserve"> </w:t>
      </w:r>
      <w:proofErr w:type="spellStart"/>
      <w:r w:rsidRPr="00390862">
        <w:rPr>
          <w:rFonts w:ascii="Times New Roman" w:hAnsi="Times New Roman"/>
          <w:bCs/>
          <w:sz w:val="24"/>
          <w:szCs w:val="24"/>
          <w:lang w:val="es-ES_tradnl"/>
        </w:rPr>
        <w:t>Med</w:t>
      </w:r>
      <w:proofErr w:type="spellEnd"/>
      <w:r w:rsidRPr="00390862">
        <w:rPr>
          <w:rFonts w:ascii="Times New Roman" w:hAnsi="Times New Roman"/>
          <w:bCs/>
          <w:sz w:val="24"/>
          <w:szCs w:val="24"/>
          <w:lang w:val="es-ES_tradnl"/>
        </w:rPr>
        <w:t xml:space="preserve">. 2018 [acceso 27/02/2019]; 33(2):104-10. Disponible en: </w:t>
      </w:r>
      <w:hyperlink r:id="rId36" w:history="1">
        <w:r w:rsidRPr="00390862">
          <w:rPr>
            <w:rStyle w:val="Hipervnculo"/>
            <w:rFonts w:ascii="Times New Roman" w:hAnsi="Times New Roman"/>
            <w:bCs/>
            <w:sz w:val="24"/>
            <w:szCs w:val="24"/>
            <w:lang w:val="es-ES_tradnl"/>
          </w:rPr>
          <w:t>http://journals.sagepub.com/doi/pdf/10.1177/0885066616648133</w:t>
        </w:r>
      </w:hyperlink>
      <w:r w:rsidRPr="00390862">
        <w:rPr>
          <w:rFonts w:ascii="Times New Roman" w:hAnsi="Times New Roman"/>
          <w:bCs/>
          <w:sz w:val="24"/>
          <w:szCs w:val="24"/>
          <w:lang w:val="es-ES_tradnl"/>
        </w:rPr>
        <w:t xml:space="preserve"> </w:t>
      </w:r>
    </w:p>
    <w:p w14:paraId="34C109ED" w14:textId="77777777" w:rsidR="00002D94" w:rsidRPr="00390862" w:rsidRDefault="00002D94" w:rsidP="00002D94">
      <w:pPr>
        <w:spacing w:after="0" w:line="360" w:lineRule="auto"/>
        <w:jc w:val="center"/>
        <w:rPr>
          <w:rFonts w:ascii="Times New Roman" w:hAnsi="Times New Roman"/>
          <w:b/>
          <w:sz w:val="24"/>
          <w:szCs w:val="24"/>
          <w:lang w:val="es-ES_tradnl"/>
        </w:rPr>
      </w:pPr>
    </w:p>
    <w:p w14:paraId="6CA69EBD" w14:textId="77777777" w:rsidR="00002D94" w:rsidRPr="00390862" w:rsidRDefault="00002D94" w:rsidP="00002D94">
      <w:pPr>
        <w:spacing w:after="0" w:line="360" w:lineRule="auto"/>
        <w:jc w:val="center"/>
        <w:rPr>
          <w:rFonts w:ascii="Times New Roman" w:hAnsi="Times New Roman"/>
          <w:b/>
          <w:sz w:val="24"/>
          <w:szCs w:val="24"/>
          <w:lang w:val="es-ES_tradnl"/>
        </w:rPr>
      </w:pPr>
    </w:p>
    <w:p w14:paraId="4F24AA1A" w14:textId="77777777" w:rsidR="00002D94" w:rsidRPr="00390862" w:rsidRDefault="00002D94" w:rsidP="00002D94">
      <w:pPr>
        <w:spacing w:after="0" w:line="360" w:lineRule="auto"/>
        <w:jc w:val="center"/>
        <w:rPr>
          <w:rFonts w:ascii="Times New Roman" w:hAnsi="Times New Roman"/>
          <w:b/>
          <w:sz w:val="24"/>
          <w:szCs w:val="24"/>
          <w:lang w:val="es-ES_tradnl"/>
        </w:rPr>
      </w:pPr>
      <w:r w:rsidRPr="00390862">
        <w:rPr>
          <w:rFonts w:ascii="Times New Roman" w:hAnsi="Times New Roman"/>
          <w:b/>
          <w:sz w:val="24"/>
          <w:szCs w:val="24"/>
          <w:lang w:val="es-ES_tradnl"/>
        </w:rPr>
        <w:t>Conflictos de interés</w:t>
      </w:r>
    </w:p>
    <w:p w14:paraId="4C9E8195"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Los   autores declaran no tener conflicto de interés en relación al presente artículo.</w:t>
      </w:r>
    </w:p>
    <w:p w14:paraId="77DE1EAC" w14:textId="77777777" w:rsidR="00002D94" w:rsidRPr="00390862" w:rsidRDefault="00002D94" w:rsidP="00002D94">
      <w:pPr>
        <w:autoSpaceDE w:val="0"/>
        <w:autoSpaceDN w:val="0"/>
        <w:adjustRightInd w:val="0"/>
        <w:spacing w:after="0" w:line="360" w:lineRule="auto"/>
        <w:jc w:val="both"/>
        <w:rPr>
          <w:rFonts w:ascii="Times New Roman" w:eastAsia="Times New Roman" w:hAnsi="Times New Roman"/>
          <w:b/>
          <w:sz w:val="24"/>
          <w:szCs w:val="24"/>
          <w:lang w:val="es-ES_tradnl" w:eastAsia="es-ES"/>
        </w:rPr>
      </w:pPr>
    </w:p>
    <w:p w14:paraId="1F4B9BC1" w14:textId="77777777" w:rsidR="00002D94" w:rsidRPr="00390862" w:rsidRDefault="00002D94" w:rsidP="00002D94">
      <w:pPr>
        <w:autoSpaceDE w:val="0"/>
        <w:autoSpaceDN w:val="0"/>
        <w:adjustRightInd w:val="0"/>
        <w:spacing w:after="0" w:line="360" w:lineRule="auto"/>
        <w:jc w:val="center"/>
        <w:rPr>
          <w:rFonts w:ascii="Times New Roman" w:eastAsia="Times New Roman" w:hAnsi="Times New Roman"/>
          <w:b/>
          <w:sz w:val="24"/>
          <w:szCs w:val="24"/>
          <w:lang w:val="es-ES_tradnl" w:eastAsia="es-ES"/>
        </w:rPr>
      </w:pPr>
      <w:r w:rsidRPr="00390862">
        <w:rPr>
          <w:rFonts w:ascii="Times New Roman" w:eastAsia="Times New Roman" w:hAnsi="Times New Roman"/>
          <w:b/>
          <w:sz w:val="24"/>
          <w:szCs w:val="24"/>
          <w:lang w:val="es-ES_tradnl" w:eastAsia="es-ES"/>
        </w:rPr>
        <w:t>Contribuciones de los autores</w:t>
      </w:r>
    </w:p>
    <w:p w14:paraId="32A30AEA" w14:textId="77777777" w:rsidR="00002D94" w:rsidRPr="00390862" w:rsidRDefault="00002D94" w:rsidP="00002D94">
      <w:pPr>
        <w:autoSpaceDE w:val="0"/>
        <w:autoSpaceDN w:val="0"/>
        <w:adjustRightInd w:val="0"/>
        <w:spacing w:after="0" w:line="360" w:lineRule="auto"/>
        <w:jc w:val="both"/>
        <w:rPr>
          <w:rFonts w:ascii="Times New Roman" w:eastAsia="Times New Roman" w:hAnsi="Times New Roman"/>
          <w:b/>
          <w:sz w:val="24"/>
          <w:szCs w:val="24"/>
          <w:lang w:val="es-ES_tradnl" w:eastAsia="es-ES"/>
        </w:rPr>
      </w:pPr>
      <w:r w:rsidRPr="00390862">
        <w:rPr>
          <w:rFonts w:ascii="Times New Roman" w:hAnsi="Times New Roman"/>
          <w:i/>
          <w:iCs/>
          <w:sz w:val="24"/>
          <w:szCs w:val="24"/>
          <w:lang w:val="es-ES_tradnl"/>
        </w:rPr>
        <w:t>Wilfredo Hernández Pedroso</w:t>
      </w:r>
      <w:r w:rsidRPr="00390862">
        <w:rPr>
          <w:rFonts w:ascii="Times New Roman" w:hAnsi="Times New Roman"/>
          <w:sz w:val="24"/>
          <w:szCs w:val="24"/>
          <w:lang w:val="es-ES_tradnl"/>
        </w:rPr>
        <w:t>: seleccionó el tema y organizó el desarrollo.</w:t>
      </w:r>
      <w:r w:rsidRPr="00390862">
        <w:rPr>
          <w:rFonts w:ascii="Times New Roman" w:eastAsia="Times New Roman" w:hAnsi="Times New Roman"/>
          <w:b/>
          <w:sz w:val="24"/>
          <w:szCs w:val="24"/>
          <w:lang w:val="es-ES_tradnl" w:eastAsia="es-ES"/>
        </w:rPr>
        <w:t xml:space="preserve"> </w:t>
      </w:r>
    </w:p>
    <w:p w14:paraId="33E677A5"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proofErr w:type="spellStart"/>
      <w:r w:rsidRPr="00390862">
        <w:rPr>
          <w:rFonts w:ascii="Times New Roman" w:hAnsi="Times New Roman"/>
          <w:bCs/>
          <w:i/>
          <w:sz w:val="24"/>
          <w:szCs w:val="24"/>
          <w:lang w:val="es-ES_tradnl"/>
        </w:rPr>
        <w:t>Deyli</w:t>
      </w:r>
      <w:proofErr w:type="spellEnd"/>
      <w:r w:rsidRPr="00390862">
        <w:rPr>
          <w:rFonts w:ascii="Times New Roman" w:hAnsi="Times New Roman"/>
          <w:bCs/>
          <w:i/>
          <w:sz w:val="24"/>
          <w:szCs w:val="24"/>
          <w:lang w:val="es-ES_tradnl"/>
        </w:rPr>
        <w:t xml:space="preserve"> Chacón Montano</w:t>
      </w:r>
      <w:r w:rsidRPr="00390862">
        <w:rPr>
          <w:rFonts w:ascii="Times New Roman" w:hAnsi="Times New Roman"/>
          <w:i/>
          <w:iCs/>
          <w:sz w:val="24"/>
          <w:szCs w:val="24"/>
          <w:lang w:val="es-ES_tradnl"/>
        </w:rPr>
        <w:t>:</w:t>
      </w:r>
      <w:r w:rsidRPr="00390862">
        <w:rPr>
          <w:rFonts w:ascii="Times New Roman" w:hAnsi="Times New Roman"/>
          <w:sz w:val="24"/>
          <w:szCs w:val="24"/>
          <w:vertAlign w:val="superscript"/>
          <w:lang w:val="es-ES_tradnl"/>
        </w:rPr>
        <w:t xml:space="preserve"> </w:t>
      </w:r>
      <w:r w:rsidRPr="00390862">
        <w:rPr>
          <w:rFonts w:ascii="Times New Roman" w:hAnsi="Times New Roman"/>
          <w:sz w:val="24"/>
          <w:szCs w:val="24"/>
          <w:lang w:val="es-ES_tradnl"/>
        </w:rPr>
        <w:t>responsable del estudio bioquímico.</w:t>
      </w:r>
    </w:p>
    <w:p w14:paraId="2B88B71B"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i/>
          <w:iCs/>
          <w:sz w:val="24"/>
          <w:szCs w:val="24"/>
          <w:lang w:val="es-ES_tradnl"/>
        </w:rPr>
        <w:t>Leticia del Rosario Cruz</w:t>
      </w:r>
      <w:r w:rsidRPr="00390862">
        <w:rPr>
          <w:rFonts w:ascii="Times New Roman" w:hAnsi="Times New Roman"/>
          <w:sz w:val="24"/>
          <w:szCs w:val="24"/>
          <w:lang w:val="es-ES_tradnl"/>
        </w:rPr>
        <w:t>: escritura de la introducción y los resultados.</w:t>
      </w:r>
    </w:p>
    <w:p w14:paraId="36E54932"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i/>
          <w:iCs/>
          <w:sz w:val="24"/>
          <w:szCs w:val="24"/>
          <w:lang w:val="es-ES_tradnl"/>
        </w:rPr>
        <w:t>Rafael Venegas Rodríguez:</w:t>
      </w:r>
      <w:r w:rsidRPr="00390862">
        <w:rPr>
          <w:rFonts w:ascii="Times New Roman" w:hAnsi="Times New Roman"/>
          <w:sz w:val="24"/>
          <w:szCs w:val="24"/>
          <w:lang w:val="es-ES_tradnl"/>
        </w:rPr>
        <w:t xml:space="preserve"> análisis estadístico, ordenamiento de los resultados y realización de las tablas.</w:t>
      </w:r>
    </w:p>
    <w:p w14:paraId="1535DA75"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i/>
          <w:iCs/>
          <w:sz w:val="24"/>
          <w:szCs w:val="24"/>
          <w:lang w:val="es-ES_tradnl"/>
        </w:rPr>
        <w:t>Raúl Santana Sánchez:</w:t>
      </w:r>
      <w:r w:rsidRPr="00390862">
        <w:rPr>
          <w:rFonts w:ascii="Times New Roman" w:hAnsi="Times New Roman"/>
          <w:sz w:val="24"/>
          <w:szCs w:val="24"/>
          <w:lang w:val="es-ES_tradnl"/>
        </w:rPr>
        <w:t xml:space="preserve"> búsqueda de la bibliografía y confección de los resúmenes.</w:t>
      </w:r>
    </w:p>
    <w:p w14:paraId="4E0A856F" w14:textId="77777777" w:rsidR="00002D94" w:rsidRPr="00390862" w:rsidRDefault="00002D94" w:rsidP="00002D94">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i/>
          <w:iCs/>
          <w:sz w:val="24"/>
          <w:szCs w:val="24"/>
          <w:lang w:val="es-ES_tradnl"/>
        </w:rPr>
        <w:t>Ricardo González Mesana:</w:t>
      </w:r>
      <w:r w:rsidRPr="00390862">
        <w:rPr>
          <w:rFonts w:ascii="Times New Roman" w:hAnsi="Times New Roman"/>
          <w:sz w:val="24"/>
          <w:szCs w:val="24"/>
          <w:lang w:val="es-ES_tradnl"/>
        </w:rPr>
        <w:t xml:space="preserve"> ordenamiento de la bibliografía según las normas y discusión de los resultados.</w:t>
      </w:r>
    </w:p>
    <w:p w14:paraId="1893ADBA" w14:textId="03F2A2F3" w:rsidR="00675476" w:rsidRPr="00604081" w:rsidRDefault="00002D94" w:rsidP="00604081">
      <w:pPr>
        <w:autoSpaceDE w:val="0"/>
        <w:autoSpaceDN w:val="0"/>
        <w:adjustRightInd w:val="0"/>
        <w:spacing w:after="0" w:line="360" w:lineRule="auto"/>
        <w:jc w:val="both"/>
        <w:rPr>
          <w:rFonts w:ascii="Times New Roman" w:hAnsi="Times New Roman"/>
          <w:sz w:val="24"/>
          <w:szCs w:val="24"/>
          <w:lang w:val="es-ES_tradnl"/>
        </w:rPr>
      </w:pPr>
      <w:r w:rsidRPr="00390862">
        <w:rPr>
          <w:rFonts w:ascii="Times New Roman" w:hAnsi="Times New Roman"/>
          <w:sz w:val="24"/>
          <w:szCs w:val="24"/>
          <w:lang w:val="es-ES_tradnl"/>
        </w:rPr>
        <w:t>Todos los autores se hacen individualmente responsables del contenido del artículo.</w:t>
      </w:r>
    </w:p>
    <w:sectPr w:rsidR="00675476" w:rsidRPr="00604081" w:rsidSect="000F3690">
      <w:headerReference w:type="default" r:id="rId37"/>
      <w:footerReference w:type="even" r:id="rId38"/>
      <w:footerReference w:type="default" r:id="rId3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AAAC" w14:textId="77777777" w:rsidR="00DD0141" w:rsidRDefault="00DD0141">
      <w:r>
        <w:separator/>
      </w:r>
    </w:p>
  </w:endnote>
  <w:endnote w:type="continuationSeparator" w:id="0">
    <w:p w14:paraId="64F15605" w14:textId="77777777" w:rsidR="00DD0141" w:rsidRDefault="00DD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9BB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A7AFB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EDC5"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37861313" wp14:editId="2D9698E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C73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E9F7D92" w14:textId="77777777" w:rsidR="00675476" w:rsidRPr="00002D94" w:rsidRDefault="00DD0141" w:rsidP="00002D94">
    <w:pPr>
      <w:pStyle w:val="Piedepgina"/>
      <w:spacing w:after="0"/>
      <w:ind w:right="357"/>
      <w:rPr>
        <w:rFonts w:ascii="Times New Roman" w:hAnsi="Times New Roman"/>
      </w:rPr>
    </w:pPr>
    <w:hyperlink r:id="rId1" w:history="1">
      <w:r w:rsidR="00391509" w:rsidRPr="00002D94">
        <w:rPr>
          <w:rStyle w:val="Hipervnculo"/>
          <w:rFonts w:ascii="Times New Roman" w:hAnsi="Times New Roman"/>
        </w:rPr>
        <w:t>http://scielo.sld.cu</w:t>
      </w:r>
    </w:hyperlink>
  </w:p>
  <w:p w14:paraId="47A15688" w14:textId="77777777" w:rsidR="00391509" w:rsidRPr="00002D94" w:rsidRDefault="00DD0141" w:rsidP="00002D94">
    <w:pPr>
      <w:pStyle w:val="Piedepgina"/>
      <w:tabs>
        <w:tab w:val="clear" w:pos="4252"/>
        <w:tab w:val="left" w:pos="8504"/>
      </w:tabs>
      <w:spacing w:after="0"/>
      <w:ind w:right="357"/>
      <w:rPr>
        <w:rFonts w:ascii="Times New Roman" w:hAnsi="Times New Roman"/>
      </w:rPr>
    </w:pPr>
    <w:hyperlink r:id="rId2" w:history="1">
      <w:r w:rsidR="00391509" w:rsidRPr="00002D94">
        <w:rPr>
          <w:rStyle w:val="Hipervnculo"/>
          <w:rFonts w:ascii="Times New Roman" w:hAnsi="Times New Roman"/>
        </w:rPr>
        <w:t>http://www.revmedmilitar.sld.cu</w:t>
      </w:r>
    </w:hyperlink>
    <w:r w:rsidR="00391509" w:rsidRPr="00002D94">
      <w:rPr>
        <w:rFonts w:ascii="Times New Roman" w:hAnsi="Times New Roman"/>
      </w:rPr>
      <w:t xml:space="preserve"> </w:t>
    </w:r>
    <w:r w:rsidR="00AE044C" w:rsidRPr="00002D94">
      <w:rPr>
        <w:rFonts w:ascii="Times New Roman" w:hAnsi="Times New Roman"/>
      </w:rPr>
      <w:tab/>
    </w:r>
  </w:p>
  <w:p w14:paraId="13816910" w14:textId="77777777" w:rsidR="00180CE9" w:rsidRPr="00002D94" w:rsidRDefault="00180CE9" w:rsidP="00002D94">
    <w:pPr>
      <w:pStyle w:val="Piedepgina"/>
      <w:spacing w:after="0"/>
      <w:ind w:right="357"/>
      <w:jc w:val="center"/>
      <w:rPr>
        <w:rFonts w:ascii="Times New Roman" w:hAnsi="Times New Roman"/>
        <w:sz w:val="18"/>
        <w:szCs w:val="18"/>
      </w:rPr>
    </w:pPr>
    <w:r w:rsidRPr="00002D94">
      <w:rPr>
        <w:rFonts w:ascii="Times New Roman" w:hAnsi="Times New Roman"/>
      </w:rPr>
      <w:t xml:space="preserve">Bajo licencia </w:t>
    </w:r>
    <w:proofErr w:type="spellStart"/>
    <w:r w:rsidRPr="00002D94">
      <w:rPr>
        <w:rFonts w:ascii="Times New Roman" w:hAnsi="Times New Roman"/>
      </w:rPr>
      <w:t>Creative</w:t>
    </w:r>
    <w:proofErr w:type="spellEnd"/>
    <w:r w:rsidRPr="00002D94">
      <w:rPr>
        <w:rFonts w:ascii="Times New Roman" w:hAnsi="Times New Roman"/>
      </w:rPr>
      <w:t xml:space="preserve"> </w:t>
    </w:r>
    <w:proofErr w:type="spellStart"/>
    <w:r w:rsidRPr="00002D94">
      <w:rPr>
        <w:rFonts w:ascii="Times New Roman" w:hAnsi="Times New Roman"/>
      </w:rPr>
      <w:t>Commons</w:t>
    </w:r>
    <w:proofErr w:type="spellEnd"/>
    <w:r w:rsidRPr="00002D94">
      <w:rPr>
        <w:rFonts w:ascii="Times New Roman" w:hAnsi="Times New Roman"/>
        <w:sz w:val="18"/>
        <w:szCs w:val="18"/>
      </w:rPr>
      <w:t xml:space="preserve"> </w:t>
    </w:r>
    <w:r w:rsidRPr="00002D94">
      <w:rPr>
        <w:rFonts w:ascii="Times New Roman" w:hAnsi="Times New Roman"/>
        <w:noProof/>
        <w:sz w:val="18"/>
        <w:szCs w:val="18"/>
        <w:lang w:eastAsia="es-ES"/>
      </w:rPr>
      <w:drawing>
        <wp:inline distT="0" distB="0" distL="0" distR="0" wp14:anchorId="0575411F" wp14:editId="7E4FFC4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2D4F" w14:textId="77777777" w:rsidR="00DD0141" w:rsidRDefault="00DD0141">
      <w:r>
        <w:separator/>
      </w:r>
    </w:p>
  </w:footnote>
  <w:footnote w:type="continuationSeparator" w:id="0">
    <w:p w14:paraId="5688222C" w14:textId="77777777" w:rsidR="00DD0141" w:rsidRDefault="00DD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5615" w14:textId="5F801FF6" w:rsidR="00CC376A" w:rsidRPr="00002D94" w:rsidRDefault="00B31971" w:rsidP="00180CE9">
    <w:pPr>
      <w:pStyle w:val="Encabezado"/>
      <w:tabs>
        <w:tab w:val="left" w:pos="420"/>
      </w:tabs>
      <w:jc w:val="center"/>
      <w:rPr>
        <w:rFonts w:ascii="Times New Roman" w:hAnsi="Times New Roman"/>
      </w:rPr>
    </w:pPr>
    <w:r w:rsidRPr="00002D94">
      <w:rPr>
        <w:rFonts w:ascii="Times New Roman" w:hAnsi="Times New Roman"/>
        <w:b/>
        <w:noProof/>
        <w:color w:val="00FFFF"/>
        <w:lang w:eastAsia="es-ES"/>
      </w:rPr>
      <w:drawing>
        <wp:anchor distT="0" distB="0" distL="114300" distR="114300" simplePos="0" relativeHeight="251691008" behindDoc="0" locked="0" layoutInCell="1" allowOverlap="1" wp14:anchorId="78F72608" wp14:editId="3C7AEC6E">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002D94">
      <w:rPr>
        <w:rFonts w:ascii="Times New Roman" w:hAnsi="Times New Roman"/>
      </w:rPr>
      <w:t xml:space="preserve">Revista </w:t>
    </w:r>
    <w:r w:rsidR="00380D64" w:rsidRPr="00002D94">
      <w:rPr>
        <w:rFonts w:ascii="Times New Roman" w:hAnsi="Times New Roman"/>
      </w:rPr>
      <w:t>Cubana de Medicina Militar.</w:t>
    </w:r>
    <w:r w:rsidR="00D85951" w:rsidRPr="00002D94">
      <w:rPr>
        <w:rFonts w:ascii="Times New Roman" w:hAnsi="Times New Roman"/>
      </w:rPr>
      <w:t xml:space="preserve"> </w:t>
    </w:r>
    <w:r w:rsidR="00390862">
      <w:rPr>
        <w:rFonts w:ascii="Times New Roman" w:hAnsi="Times New Roman"/>
      </w:rPr>
      <w:t>2021</w:t>
    </w:r>
    <w:r w:rsidR="003E03D5" w:rsidRPr="00002D94">
      <w:rPr>
        <w:rFonts w:ascii="Times New Roman" w:hAnsi="Times New Roman"/>
      </w:rPr>
      <w:t>;</w:t>
    </w:r>
    <w:r w:rsidR="00390862">
      <w:rPr>
        <w:rFonts w:ascii="Times New Roman" w:hAnsi="Times New Roman"/>
      </w:rPr>
      <w:t>50</w:t>
    </w:r>
    <w:r w:rsidR="00493701" w:rsidRPr="00002D94">
      <w:rPr>
        <w:rFonts w:ascii="Times New Roman" w:hAnsi="Times New Roman"/>
      </w:rPr>
      <w:t>(</w:t>
    </w:r>
    <w:r w:rsidR="00390862">
      <w:rPr>
        <w:rFonts w:ascii="Times New Roman" w:hAnsi="Times New Roman"/>
      </w:rPr>
      <w:t>3</w:t>
    </w:r>
    <w:r w:rsidR="00493701" w:rsidRPr="00002D94">
      <w:rPr>
        <w:rFonts w:ascii="Times New Roman" w:hAnsi="Times New Roman"/>
      </w:rPr>
      <w:t>)</w:t>
    </w:r>
    <w:r w:rsidR="00391509" w:rsidRPr="00002D94">
      <w:rPr>
        <w:rFonts w:ascii="Times New Roman" w:hAnsi="Times New Roman"/>
      </w:rPr>
      <w:t>:</w:t>
    </w:r>
    <w:r w:rsidR="00390862">
      <w:rPr>
        <w:rFonts w:ascii="Times New Roman" w:hAnsi="Times New Roman"/>
      </w:rPr>
      <w:t xml:space="preserve"> e02101074</w:t>
    </w:r>
  </w:p>
  <w:p w14:paraId="59FA45DC"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52CD049D" wp14:editId="1E36CDE9">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3DE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5F27"/>
    <w:multiLevelType w:val="hybridMultilevel"/>
    <w:tmpl w:val="41BAE1E0"/>
    <w:lvl w:ilvl="0" w:tplc="CCE04E88">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3FEC7A65"/>
    <w:multiLevelType w:val="hybridMultilevel"/>
    <w:tmpl w:val="654A1E20"/>
    <w:lvl w:ilvl="0" w:tplc="CF6E64E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643790"/>
    <w:multiLevelType w:val="hybridMultilevel"/>
    <w:tmpl w:val="399ED792"/>
    <w:lvl w:ilvl="0" w:tplc="A644EA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D94"/>
    <w:rsid w:val="00002D94"/>
    <w:rsid w:val="000F3690"/>
    <w:rsid w:val="001221D1"/>
    <w:rsid w:val="00180CE9"/>
    <w:rsid w:val="00230DD5"/>
    <w:rsid w:val="0031283D"/>
    <w:rsid w:val="00380D64"/>
    <w:rsid w:val="00390862"/>
    <w:rsid w:val="00391509"/>
    <w:rsid w:val="003E03D5"/>
    <w:rsid w:val="00415C80"/>
    <w:rsid w:val="00430151"/>
    <w:rsid w:val="00493701"/>
    <w:rsid w:val="004E2065"/>
    <w:rsid w:val="005508A2"/>
    <w:rsid w:val="00566F71"/>
    <w:rsid w:val="00604081"/>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D85951"/>
    <w:rsid w:val="00DD014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DFA03D6"/>
  <w15:docId w15:val="{C17CFD03-AC01-4D16-9565-422BAB54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D94"/>
    <w:pPr>
      <w:spacing w:after="160" w:line="259"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002D94"/>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002D94"/>
    <w:rPr>
      <w:rFonts w:ascii="Calibri Light" w:hAnsi="Calibri Light"/>
      <w:b/>
      <w:bCs/>
      <w:kern w:val="32"/>
      <w:sz w:val="32"/>
      <w:szCs w:val="32"/>
      <w:lang w:eastAsia="en-US"/>
    </w:rPr>
  </w:style>
  <w:style w:type="paragraph" w:styleId="Prrafodelista">
    <w:name w:val="List Paragraph"/>
    <w:basedOn w:val="Normal"/>
    <w:uiPriority w:val="34"/>
    <w:qFormat/>
    <w:rsid w:val="00002D94"/>
    <w:pPr>
      <w:spacing w:after="200" w:line="276" w:lineRule="auto"/>
      <w:ind w:left="720"/>
    </w:pPr>
    <w:rPr>
      <w:rFonts w:eastAsia="Times New Roman" w:cs="Calibri"/>
      <w:lang w:eastAsia="es-ES"/>
    </w:rPr>
  </w:style>
  <w:style w:type="paragraph" w:styleId="Textocomentario">
    <w:name w:val="annotation text"/>
    <w:basedOn w:val="Normal"/>
    <w:link w:val="TextocomentarioCar"/>
    <w:uiPriority w:val="99"/>
    <w:qFormat/>
    <w:rsid w:val="00002D94"/>
    <w:pPr>
      <w:spacing w:after="200" w:line="276" w:lineRule="auto"/>
    </w:pPr>
    <w:rPr>
      <w:sz w:val="20"/>
      <w:szCs w:val="20"/>
    </w:rPr>
  </w:style>
  <w:style w:type="character" w:customStyle="1" w:styleId="TextocomentarioCar">
    <w:name w:val="Texto comentario Car"/>
    <w:basedOn w:val="Fuentedeprrafopredeter"/>
    <w:link w:val="Textocomentario"/>
    <w:uiPriority w:val="99"/>
    <w:qFormat/>
    <w:rsid w:val="00002D94"/>
    <w:rPr>
      <w:rFonts w:ascii="Calibri" w:eastAsia="Calibri" w:hAnsi="Calibri"/>
      <w:lang w:eastAsia="en-US"/>
    </w:rPr>
  </w:style>
  <w:style w:type="character" w:styleId="Refdecomentario">
    <w:name w:val="annotation reference"/>
    <w:uiPriority w:val="99"/>
    <w:semiHidden/>
    <w:unhideWhenUsed/>
    <w:rsid w:val="00002D94"/>
    <w:rPr>
      <w:sz w:val="16"/>
      <w:szCs w:val="16"/>
    </w:rPr>
  </w:style>
  <w:style w:type="table" w:styleId="Tablaconcuadrcula">
    <w:name w:val="Table Grid"/>
    <w:basedOn w:val="Tablanormal"/>
    <w:uiPriority w:val="39"/>
    <w:rsid w:val="00002D9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02D94"/>
    <w:rPr>
      <w:rFonts w:cs="Times New Roman"/>
      <w:b/>
    </w:rPr>
  </w:style>
  <w:style w:type="character" w:customStyle="1" w:styleId="contribdegrees">
    <w:name w:val="contribdegrees"/>
    <w:rsid w:val="00002D94"/>
  </w:style>
  <w:style w:type="character" w:customStyle="1" w:styleId="cit">
    <w:name w:val="cit"/>
    <w:rsid w:val="00002D94"/>
  </w:style>
  <w:style w:type="character" w:customStyle="1" w:styleId="degreescomma">
    <w:name w:val="degreescomma"/>
    <w:rsid w:val="00002D94"/>
  </w:style>
  <w:style w:type="paragraph" w:styleId="Asuntodelcomentario">
    <w:name w:val="annotation subject"/>
    <w:basedOn w:val="Textocomentario"/>
    <w:next w:val="Textocomentario"/>
    <w:link w:val="AsuntodelcomentarioCar"/>
    <w:uiPriority w:val="99"/>
    <w:semiHidden/>
    <w:unhideWhenUsed/>
    <w:rsid w:val="00002D94"/>
    <w:pPr>
      <w:spacing w:after="160" w:line="240" w:lineRule="auto"/>
    </w:pPr>
    <w:rPr>
      <w:b/>
      <w:bCs/>
    </w:rPr>
  </w:style>
  <w:style w:type="character" w:customStyle="1" w:styleId="AsuntodelcomentarioCar">
    <w:name w:val="Asunto del comentario Car"/>
    <w:basedOn w:val="TextocomentarioCar"/>
    <w:link w:val="Asuntodelcomentario"/>
    <w:uiPriority w:val="99"/>
    <w:semiHidden/>
    <w:rsid w:val="00002D94"/>
    <w:rPr>
      <w:rFonts w:ascii="Calibri" w:eastAsia="Calibri" w:hAnsi="Calibri"/>
      <w:b/>
      <w:bCs/>
      <w:lang w:eastAsia="en-US"/>
    </w:rPr>
  </w:style>
  <w:style w:type="paragraph" w:styleId="Lista">
    <w:name w:val="List"/>
    <w:basedOn w:val="Normal"/>
    <w:uiPriority w:val="99"/>
    <w:unhideWhenUsed/>
    <w:rsid w:val="00002D94"/>
    <w:pPr>
      <w:spacing w:after="0" w:line="240" w:lineRule="auto"/>
      <w:ind w:left="283" w:hanging="283"/>
      <w:contextualSpacing/>
    </w:pPr>
    <w:rPr>
      <w:rFonts w:ascii="Arial" w:eastAsia="Times New Roman" w:hAnsi="Arial" w:cs="Arial"/>
      <w:sz w:val="12"/>
      <w:szCs w:val="12"/>
      <w:lang w:eastAsia="es-ES"/>
    </w:rPr>
  </w:style>
  <w:style w:type="character" w:customStyle="1" w:styleId="Mencinsinresolver1">
    <w:name w:val="Mención sin resolver1"/>
    <w:basedOn w:val="Fuentedeprrafopredeter"/>
    <w:uiPriority w:val="99"/>
    <w:semiHidden/>
    <w:unhideWhenUsed/>
    <w:rsid w:val="0000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08-0874" TargetMode="External"/><Relationship Id="rId13" Type="http://schemas.openxmlformats.org/officeDocument/2006/relationships/hyperlink" Target="mailto:wilfredohp@nauta.cu" TargetMode="External"/><Relationship Id="rId18" Type="http://schemas.openxmlformats.org/officeDocument/2006/relationships/image" Target="media/image5.gif"/><Relationship Id="rId26" Type="http://schemas.openxmlformats.org/officeDocument/2006/relationships/hyperlink" Target="http://www.sciencedirect.com/science/article/pii/S0210569109712112"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cbi.nlm.nih.gov/pubmed/25886997" TargetMode="External"/><Relationship Id="rId34" Type="http://schemas.openxmlformats.org/officeDocument/2006/relationships/hyperlink" Target="https://www.medigraphic.com/pdfs/cubaysalud/pcs-2016/pcs162b.pdf" TargetMode="External"/><Relationship Id="rId7" Type="http://schemas.openxmlformats.org/officeDocument/2006/relationships/hyperlink" Target="https://orcid.org/0000-0002-0545-2116" TargetMode="External"/><Relationship Id="rId12" Type="http://schemas.openxmlformats.org/officeDocument/2006/relationships/hyperlink" Target="mailto:whernandezp@infomed.sld.cu" TargetMode="External"/><Relationship Id="rId17" Type="http://schemas.openxmlformats.org/officeDocument/2006/relationships/image" Target="media/image4.gif"/><Relationship Id="rId25" Type="http://schemas.openxmlformats.org/officeDocument/2006/relationships/hyperlink" Target="http://onlinelibrary.wiley.com/doi/10.1007/s13539-012-0079-1/full" TargetMode="External"/><Relationship Id="rId33" Type="http://schemas.openxmlformats.org/officeDocument/2006/relationships/hyperlink" Target="https://www.medigraphic.com/pdfs/revcubmedmil/cmm-2018/cmm184b.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www.ncbi.nlm.nih.gov/pubmed/?term=Bistrian%20BR%5BAuthor%5D&amp;cauthor=true&amp;cauthor_uid=27803805" TargetMode="External"/><Relationship Id="rId29" Type="http://schemas.openxmlformats.org/officeDocument/2006/relationships/hyperlink" Target="http://www.mediagraphic.com/pdfs/revcubmedinteme/cie-2016/cie/64f.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892-0346" TargetMode="External"/><Relationship Id="rId24" Type="http://schemas.openxmlformats.org/officeDocument/2006/relationships/hyperlink" Target="http://journals.sagepub.com/doi/pdf/10.1177/0148607115595227" TargetMode="External"/><Relationship Id="rId32" Type="http://schemas.openxmlformats.org/officeDocument/2006/relationships/hyperlink" Target="http://www.revalnutricion.sld.cu/index.php/rcan/article/view/107/106"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scielo.org.co/scielo.php?script=sci_arttext&amp;pid=S2011-75822016000200006" TargetMode="External"/><Relationship Id="rId28" Type="http://schemas.openxmlformats.org/officeDocument/2006/relationships/hyperlink" Target="http://www.revmie.sld.cu/index.php/mie/article/view/253" TargetMode="External"/><Relationship Id="rId36" Type="http://schemas.openxmlformats.org/officeDocument/2006/relationships/hyperlink" Target="http://journals.sagepub.com/doi/pdf/10.1177/0885066616648133" TargetMode="External"/><Relationship Id="rId10" Type="http://schemas.openxmlformats.org/officeDocument/2006/relationships/hyperlink" Target="https://orcid.org/0000-0002-8863-4088" TargetMode="External"/><Relationship Id="rId19" Type="http://schemas.openxmlformats.org/officeDocument/2006/relationships/hyperlink" Target="https://www.ncbi.nlm.nih.gov/pubmed/?term=Hoffer%20LJ%5BAuthor%5D&amp;cauthor=true&amp;cauthor_uid=27803805" TargetMode="External"/><Relationship Id="rId31" Type="http://schemas.openxmlformats.org/officeDocument/2006/relationships/hyperlink" Target="http://scielo.isciii.es/pdf/nh/v33n4/17_original16.pdf" TargetMode="External"/><Relationship Id="rId4" Type="http://schemas.openxmlformats.org/officeDocument/2006/relationships/webSettings" Target="webSettings.xml"/><Relationship Id="rId9" Type="http://schemas.openxmlformats.org/officeDocument/2006/relationships/hyperlink" Target="https://orcid.org/0000-0002-7863-4586" TargetMode="External"/><Relationship Id="rId14" Type="http://schemas.openxmlformats.org/officeDocument/2006/relationships/image" Target="media/image1.gif"/><Relationship Id="rId22" Type="http://schemas.openxmlformats.org/officeDocument/2006/relationships/hyperlink" Target="http://www.revmedmilitar.sld.cu/index.php/mil/article/view/36/51" TargetMode="External"/><Relationship Id="rId27" Type="http://schemas.openxmlformats.org/officeDocument/2006/relationships/hyperlink" Target="https://www.ncbi.nlm.nih.gov/pmc/articles/PMC5070594/" TargetMode="External"/><Relationship Id="rId30" Type="http://schemas.openxmlformats.org/officeDocument/2006/relationships/hyperlink" Target="https://www.scielo.sa.cr/pdf/amc/v60n4/0001-6002-amc-60-04-150.pdf" TargetMode="External"/><Relationship Id="rId35" Type="http://schemas.openxmlformats.org/officeDocument/2006/relationships/hyperlink" Target="https://jamanetwork.com/journals/jama/fullarticle/187985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13</TotalTime>
  <Pages>15</Pages>
  <Words>4533</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29407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2021-06-29T23:07:00Z</cp:lastPrinted>
  <dcterms:created xsi:type="dcterms:W3CDTF">2021-06-14T19:09:00Z</dcterms:created>
  <dcterms:modified xsi:type="dcterms:W3CDTF">2021-06-29T23:08:00Z</dcterms:modified>
</cp:coreProperties>
</file>