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97DCD" w14:textId="77777777" w:rsidR="007F3341" w:rsidRPr="007F3341" w:rsidRDefault="007F3341" w:rsidP="007F3341">
      <w:pPr>
        <w:spacing w:line="360" w:lineRule="auto"/>
        <w:jc w:val="right"/>
        <w:rPr>
          <w:rFonts w:eastAsia="Calibri"/>
          <w:bCs/>
          <w:sz w:val="20"/>
          <w:szCs w:val="20"/>
          <w:lang w:val="es-PE" w:eastAsia="en-US"/>
        </w:rPr>
      </w:pPr>
      <w:r w:rsidRPr="007F3341">
        <w:rPr>
          <w:rFonts w:eastAsia="Calibri"/>
          <w:bCs/>
          <w:sz w:val="20"/>
          <w:szCs w:val="20"/>
          <w:lang w:val="es-PE" w:eastAsia="en-US"/>
        </w:rPr>
        <w:t>Carta al editor</w:t>
      </w:r>
    </w:p>
    <w:p w14:paraId="5A6C0E91" w14:textId="77777777" w:rsidR="007F3341" w:rsidRPr="007F3341" w:rsidRDefault="007F3341" w:rsidP="007F3341">
      <w:pPr>
        <w:spacing w:line="360" w:lineRule="auto"/>
        <w:jc w:val="both"/>
        <w:rPr>
          <w:rFonts w:eastAsia="Calibri"/>
          <w:b/>
          <w:lang w:val="es-PE" w:eastAsia="en-US"/>
        </w:rPr>
      </w:pPr>
    </w:p>
    <w:p w14:paraId="7E77BC7E" w14:textId="77777777" w:rsidR="007F3341" w:rsidRPr="007F3341" w:rsidRDefault="007F3341" w:rsidP="007F3341">
      <w:pPr>
        <w:spacing w:line="360" w:lineRule="auto"/>
        <w:jc w:val="center"/>
        <w:rPr>
          <w:rFonts w:eastAsia="Calibri"/>
          <w:b/>
          <w:sz w:val="28"/>
          <w:szCs w:val="28"/>
          <w:lang w:val="es-PE" w:eastAsia="en-US"/>
        </w:rPr>
      </w:pPr>
      <w:r w:rsidRPr="007F3341">
        <w:rPr>
          <w:rFonts w:eastAsia="Calibri"/>
          <w:b/>
          <w:sz w:val="28"/>
          <w:szCs w:val="28"/>
          <w:lang w:val="es-PE" w:eastAsia="en-US"/>
        </w:rPr>
        <w:t>Acreditación de los centros de simulación clínica en el Perú</w:t>
      </w:r>
    </w:p>
    <w:p w14:paraId="52873C96" w14:textId="77777777" w:rsidR="007F3341" w:rsidRPr="007F3341" w:rsidRDefault="007F3341" w:rsidP="007F3341">
      <w:pPr>
        <w:spacing w:line="360" w:lineRule="auto"/>
        <w:jc w:val="center"/>
        <w:rPr>
          <w:rFonts w:eastAsia="Calibri"/>
          <w:bCs/>
          <w:sz w:val="28"/>
          <w:szCs w:val="28"/>
          <w:lang w:val="en-US" w:eastAsia="en-US"/>
        </w:rPr>
      </w:pPr>
      <w:r w:rsidRPr="007F3341">
        <w:rPr>
          <w:rFonts w:eastAsia="Calibri"/>
          <w:bCs/>
          <w:sz w:val="28"/>
          <w:szCs w:val="28"/>
          <w:lang w:val="en-US" w:eastAsia="en-US"/>
        </w:rPr>
        <w:t>Accreditation of clinical simulation centers in Peru</w:t>
      </w:r>
    </w:p>
    <w:p w14:paraId="292C286D" w14:textId="77777777" w:rsidR="007F3341" w:rsidRPr="007F3341" w:rsidRDefault="007F3341" w:rsidP="007F3341">
      <w:pPr>
        <w:spacing w:line="360" w:lineRule="auto"/>
        <w:rPr>
          <w:rFonts w:eastAsia="Calibri"/>
          <w:b/>
          <w:bCs/>
          <w:lang w:val="en-US" w:eastAsia="en-US"/>
        </w:rPr>
      </w:pPr>
    </w:p>
    <w:p w14:paraId="1E17A096" w14:textId="77777777" w:rsidR="007F3341" w:rsidRPr="007F3341" w:rsidRDefault="007F3341" w:rsidP="007F3341">
      <w:pPr>
        <w:spacing w:line="360" w:lineRule="auto"/>
        <w:jc w:val="both"/>
        <w:rPr>
          <w:rFonts w:eastAsia="Calibri"/>
          <w:lang w:val="es-PE" w:eastAsia="en-US"/>
        </w:rPr>
      </w:pPr>
      <w:bookmarkStart w:id="0" w:name="_Hlk62380441"/>
      <w:r w:rsidRPr="007F3341">
        <w:rPr>
          <w:rFonts w:eastAsia="Calibri"/>
          <w:lang w:val="es-PE" w:eastAsia="en-US"/>
        </w:rPr>
        <w:t>Rosalí Aranzamendi Paredes</w:t>
      </w:r>
      <w:r w:rsidRPr="007F3341">
        <w:rPr>
          <w:rFonts w:eastAsia="Calibri"/>
          <w:vertAlign w:val="superscript"/>
          <w:lang w:val="es-PE" w:eastAsia="en-US"/>
        </w:rPr>
        <w:t>1</w:t>
      </w:r>
      <w:r w:rsidRPr="007F3341">
        <w:rPr>
          <w:rFonts w:eastAsia="Calibri"/>
          <w:lang w:val="es-PE" w:eastAsia="en-US"/>
        </w:rPr>
        <w:t xml:space="preserve">* </w:t>
      </w:r>
      <w:hyperlink r:id="rId6" w:history="1">
        <w:r w:rsidRPr="007F3341">
          <w:rPr>
            <w:rFonts w:eastAsia="Calibri"/>
            <w:color w:val="0563C1"/>
            <w:u w:val="single"/>
            <w:lang w:val="es-PE" w:eastAsia="en-US"/>
          </w:rPr>
          <w:t>https://orcid.org/0000-0002-8822-2104</w:t>
        </w:r>
      </w:hyperlink>
      <w:r w:rsidRPr="007F3341">
        <w:rPr>
          <w:rFonts w:eastAsia="Calibri"/>
          <w:lang w:val="es-PE" w:eastAsia="en-US"/>
        </w:rPr>
        <w:t xml:space="preserve"> </w:t>
      </w:r>
    </w:p>
    <w:p w14:paraId="0B785CCF" w14:textId="77777777" w:rsidR="007F3341" w:rsidRPr="007F3341" w:rsidRDefault="007F3341" w:rsidP="007F3341">
      <w:pPr>
        <w:spacing w:line="360" w:lineRule="auto"/>
        <w:jc w:val="both"/>
        <w:rPr>
          <w:rFonts w:eastAsia="Calibri"/>
          <w:lang w:val="es-PE" w:eastAsia="en-US"/>
        </w:rPr>
      </w:pPr>
      <w:r w:rsidRPr="007F3341">
        <w:rPr>
          <w:rFonts w:eastAsia="Calibri"/>
          <w:lang w:val="es-PE" w:eastAsia="en-US"/>
        </w:rPr>
        <w:t>Nestor Alejandro Luque Chipana</w:t>
      </w:r>
      <w:r w:rsidRPr="007F3341">
        <w:rPr>
          <w:rFonts w:eastAsia="Calibri"/>
          <w:vertAlign w:val="superscript"/>
          <w:lang w:val="es-PE" w:eastAsia="en-US"/>
        </w:rPr>
        <w:t>2</w:t>
      </w:r>
      <w:r w:rsidRPr="007F3341">
        <w:rPr>
          <w:rFonts w:eastAsia="Calibri"/>
          <w:lang w:val="es-PE" w:eastAsia="en-US"/>
        </w:rPr>
        <w:t xml:space="preserve"> </w:t>
      </w:r>
      <w:hyperlink r:id="rId7" w:history="1">
        <w:r w:rsidRPr="007F3341">
          <w:rPr>
            <w:rFonts w:eastAsia="Calibri"/>
            <w:color w:val="0563C1"/>
            <w:u w:val="single"/>
            <w:lang w:val="es-PE" w:eastAsia="en-US"/>
          </w:rPr>
          <w:t>https://orcid.org/0000-0002-6192-4392</w:t>
        </w:r>
      </w:hyperlink>
      <w:r w:rsidRPr="007F3341">
        <w:rPr>
          <w:rFonts w:eastAsia="Calibri"/>
          <w:lang w:val="es-PE" w:eastAsia="en-US"/>
        </w:rPr>
        <w:t xml:space="preserve"> </w:t>
      </w:r>
    </w:p>
    <w:p w14:paraId="238D1B29" w14:textId="77777777" w:rsidR="007F3341" w:rsidRPr="007F3341" w:rsidRDefault="007F3341" w:rsidP="007F3341">
      <w:pPr>
        <w:spacing w:line="360" w:lineRule="auto"/>
        <w:jc w:val="both"/>
        <w:rPr>
          <w:rFonts w:eastAsia="Calibri"/>
          <w:lang w:val="es-PE" w:eastAsia="en-US"/>
        </w:rPr>
      </w:pPr>
      <w:r w:rsidRPr="007F3341">
        <w:rPr>
          <w:rFonts w:eastAsia="Calibri"/>
          <w:lang w:val="es-PE" w:eastAsia="en-US"/>
        </w:rPr>
        <w:t>Claudia María del Cármen Taypicahuana Juarez</w:t>
      </w:r>
      <w:r w:rsidRPr="007F3341">
        <w:rPr>
          <w:rFonts w:eastAsia="Calibri"/>
          <w:vertAlign w:val="superscript"/>
          <w:lang w:val="es-PE" w:eastAsia="en-US"/>
        </w:rPr>
        <w:t>1</w:t>
      </w:r>
      <w:r w:rsidRPr="007F3341">
        <w:rPr>
          <w:rFonts w:eastAsia="Calibri"/>
          <w:lang w:val="es-PE" w:eastAsia="en-US"/>
        </w:rPr>
        <w:t xml:space="preserve"> </w:t>
      </w:r>
      <w:hyperlink r:id="rId8" w:history="1">
        <w:r w:rsidRPr="007F3341">
          <w:rPr>
            <w:rFonts w:eastAsia="Calibri"/>
            <w:color w:val="0563C1"/>
            <w:u w:val="single"/>
            <w:lang w:val="es-PE" w:eastAsia="en-US"/>
          </w:rPr>
          <w:t>https://orcid.org/0000-0002-6528-8135</w:t>
        </w:r>
      </w:hyperlink>
      <w:r w:rsidRPr="007F3341">
        <w:rPr>
          <w:rFonts w:eastAsia="Calibri"/>
          <w:lang w:val="es-PE" w:eastAsia="en-US"/>
        </w:rPr>
        <w:t xml:space="preserve"> </w:t>
      </w:r>
    </w:p>
    <w:p w14:paraId="7757C2F1" w14:textId="77777777" w:rsidR="007F3341" w:rsidRPr="007F3341" w:rsidRDefault="007F3341" w:rsidP="007F3341">
      <w:pPr>
        <w:spacing w:line="360" w:lineRule="auto"/>
        <w:jc w:val="both"/>
        <w:rPr>
          <w:rFonts w:eastAsia="Calibri"/>
          <w:lang w:val="es-PE" w:eastAsia="en-US"/>
        </w:rPr>
      </w:pPr>
      <w:r w:rsidRPr="007F3341">
        <w:rPr>
          <w:rFonts w:eastAsia="Calibri"/>
          <w:lang w:val="es-PE" w:eastAsia="en-US"/>
        </w:rPr>
        <w:t>Hernan Simon Barreda Tamayo</w:t>
      </w:r>
      <w:r w:rsidRPr="007F3341">
        <w:rPr>
          <w:rFonts w:eastAsia="Calibri"/>
          <w:vertAlign w:val="superscript"/>
          <w:lang w:val="es-PE" w:eastAsia="en-US"/>
        </w:rPr>
        <w:t>1</w:t>
      </w:r>
      <w:r w:rsidRPr="007F3341">
        <w:rPr>
          <w:rFonts w:eastAsia="Calibri"/>
          <w:lang w:val="es-PE" w:eastAsia="en-US"/>
        </w:rPr>
        <w:t xml:space="preserve"> </w:t>
      </w:r>
      <w:hyperlink r:id="rId9" w:history="1">
        <w:r w:rsidRPr="007F3341">
          <w:rPr>
            <w:rFonts w:eastAsia="Calibri"/>
            <w:color w:val="0563C1"/>
            <w:u w:val="single"/>
            <w:lang w:val="es-PE" w:eastAsia="en-US"/>
          </w:rPr>
          <w:t>https://orcid.org/0000-0002-5017-5971</w:t>
        </w:r>
      </w:hyperlink>
      <w:r w:rsidRPr="007F3341">
        <w:rPr>
          <w:rFonts w:eastAsia="Calibri"/>
          <w:lang w:val="es-PE" w:eastAsia="en-US"/>
        </w:rPr>
        <w:t xml:space="preserve"> </w:t>
      </w:r>
    </w:p>
    <w:p w14:paraId="7CDE8997" w14:textId="77777777" w:rsidR="007F3341" w:rsidRPr="007F3341" w:rsidRDefault="007F3341" w:rsidP="007F3341">
      <w:pPr>
        <w:spacing w:line="360" w:lineRule="auto"/>
        <w:jc w:val="both"/>
        <w:rPr>
          <w:rFonts w:eastAsia="Calibri"/>
          <w:lang w:val="es-PE" w:eastAsia="en-US"/>
        </w:rPr>
      </w:pPr>
    </w:p>
    <w:p w14:paraId="00515162" w14:textId="6CC0CAD0" w:rsidR="007F3341" w:rsidRPr="007F3341" w:rsidRDefault="007F3341" w:rsidP="007F3341">
      <w:pPr>
        <w:spacing w:line="360" w:lineRule="auto"/>
        <w:jc w:val="both"/>
        <w:rPr>
          <w:rFonts w:eastAsia="Calibri"/>
          <w:lang w:val="es-PE" w:eastAsia="en-US"/>
        </w:rPr>
      </w:pPr>
      <w:r w:rsidRPr="007F3341">
        <w:rPr>
          <w:rFonts w:eastAsia="Calibri"/>
          <w:vertAlign w:val="superscript"/>
          <w:lang w:val="es-PE" w:eastAsia="en-US"/>
        </w:rPr>
        <w:t>1</w:t>
      </w:r>
      <w:r w:rsidRPr="007F3341">
        <w:rPr>
          <w:rFonts w:eastAsia="Calibri"/>
          <w:lang w:val="es-PE" w:eastAsia="en-US"/>
        </w:rPr>
        <w:t>Universidad Nacional de San Agustín</w:t>
      </w:r>
      <w:r w:rsidR="00075485">
        <w:rPr>
          <w:rFonts w:eastAsia="Calibri"/>
          <w:lang w:val="es-PE" w:eastAsia="en-US"/>
        </w:rPr>
        <w:t xml:space="preserve"> de</w:t>
      </w:r>
      <w:r w:rsidRPr="007F3341">
        <w:rPr>
          <w:rFonts w:eastAsia="Calibri"/>
          <w:lang w:val="es-PE" w:eastAsia="en-US"/>
        </w:rPr>
        <w:t xml:space="preserve"> Arequipa</w:t>
      </w:r>
      <w:r w:rsidR="00075485">
        <w:rPr>
          <w:rFonts w:eastAsia="Calibri"/>
          <w:lang w:val="es-PE" w:eastAsia="en-US"/>
        </w:rPr>
        <w:t>.</w:t>
      </w:r>
      <w:r w:rsidRPr="007F3341">
        <w:rPr>
          <w:rFonts w:eastAsia="Calibri"/>
          <w:lang w:val="es-PE" w:eastAsia="en-US"/>
        </w:rPr>
        <w:t xml:space="preserve"> Perú.</w:t>
      </w:r>
    </w:p>
    <w:p w14:paraId="4AABC2E4" w14:textId="77777777" w:rsidR="007F3341" w:rsidRPr="007F3341" w:rsidRDefault="007F3341" w:rsidP="007F3341">
      <w:pPr>
        <w:spacing w:line="360" w:lineRule="auto"/>
        <w:jc w:val="both"/>
        <w:rPr>
          <w:rFonts w:eastAsia="Calibri"/>
          <w:lang w:val="es-PE" w:eastAsia="en-US"/>
        </w:rPr>
      </w:pPr>
      <w:r w:rsidRPr="007F3341">
        <w:rPr>
          <w:rFonts w:eastAsia="Calibri"/>
          <w:vertAlign w:val="superscript"/>
          <w:lang w:val="es-PE" w:eastAsia="en-US"/>
        </w:rPr>
        <w:t>2</w:t>
      </w:r>
      <w:r w:rsidRPr="007F3341">
        <w:rPr>
          <w:rFonts w:eastAsia="Calibri"/>
          <w:lang w:val="es-PE" w:eastAsia="en-US"/>
        </w:rPr>
        <w:t>Sociedad Peruana de Medicina Intensiva. Lima, Perú.</w:t>
      </w:r>
    </w:p>
    <w:p w14:paraId="3A6077B3" w14:textId="3E040AF0" w:rsidR="007F3341" w:rsidRPr="007F3341" w:rsidRDefault="007F3341" w:rsidP="007F3341">
      <w:pPr>
        <w:spacing w:line="360" w:lineRule="auto"/>
        <w:jc w:val="both"/>
        <w:rPr>
          <w:rFonts w:eastAsia="Calibri"/>
          <w:lang w:val="es-PE" w:eastAsia="en-US"/>
        </w:rPr>
      </w:pPr>
      <w:r w:rsidRPr="007F3341">
        <w:rPr>
          <w:rFonts w:eastAsia="Calibri"/>
          <w:lang w:val="es-PE" w:eastAsia="en-US"/>
        </w:rPr>
        <w:t>*Autor para la correspondencia</w:t>
      </w:r>
      <w:r w:rsidR="00257CC0">
        <w:rPr>
          <w:rFonts w:eastAsia="Calibri"/>
          <w:lang w:val="es-PE" w:eastAsia="en-US"/>
        </w:rPr>
        <w:t>. Correo electrónico</w:t>
      </w:r>
      <w:r w:rsidRPr="007F3341">
        <w:rPr>
          <w:rFonts w:eastAsia="Calibri"/>
          <w:lang w:val="es-PE" w:eastAsia="en-US"/>
        </w:rPr>
        <w:t xml:space="preserve">: </w:t>
      </w:r>
      <w:hyperlink r:id="rId10" w:history="1">
        <w:r w:rsidRPr="007F3341">
          <w:rPr>
            <w:rFonts w:eastAsia="Calibri"/>
            <w:color w:val="0563C1"/>
            <w:u w:val="single"/>
            <w:lang w:val="es-PE" w:eastAsia="en-US"/>
          </w:rPr>
          <w:t>raranzamendip@unsa.edu.pe</w:t>
        </w:r>
      </w:hyperlink>
      <w:r w:rsidRPr="007F3341">
        <w:rPr>
          <w:rFonts w:eastAsia="Calibri"/>
          <w:lang w:val="es-PE" w:eastAsia="en-US"/>
        </w:rPr>
        <w:t xml:space="preserve"> </w:t>
      </w:r>
    </w:p>
    <w:p w14:paraId="21DCF235" w14:textId="77777777" w:rsidR="007F3341" w:rsidRPr="007F3341" w:rsidRDefault="007F3341" w:rsidP="007F3341">
      <w:pPr>
        <w:spacing w:line="360" w:lineRule="auto"/>
        <w:jc w:val="both"/>
        <w:rPr>
          <w:rFonts w:eastAsia="Calibri"/>
          <w:lang w:val="es-PE" w:eastAsia="en-US"/>
        </w:rPr>
      </w:pPr>
    </w:p>
    <w:bookmarkEnd w:id="0"/>
    <w:p w14:paraId="3444AF79" w14:textId="77777777" w:rsidR="007F3341" w:rsidRPr="007F3341" w:rsidRDefault="007F3341" w:rsidP="007F3341">
      <w:pPr>
        <w:spacing w:line="360" w:lineRule="auto"/>
        <w:jc w:val="both"/>
        <w:rPr>
          <w:rFonts w:eastAsia="Calibri"/>
          <w:lang w:val="es-PE" w:eastAsia="en-US"/>
        </w:rPr>
      </w:pPr>
      <w:r w:rsidRPr="007F3341">
        <w:rPr>
          <w:rFonts w:eastAsia="Calibri"/>
          <w:lang w:val="es-PE" w:eastAsia="en-US"/>
        </w:rPr>
        <w:t>Señor Editor;</w:t>
      </w:r>
    </w:p>
    <w:p w14:paraId="4A0C9517" w14:textId="77777777" w:rsidR="007F3341" w:rsidRPr="007F3341" w:rsidRDefault="007F3341" w:rsidP="007F3341">
      <w:pPr>
        <w:spacing w:line="360" w:lineRule="auto"/>
        <w:jc w:val="both"/>
        <w:rPr>
          <w:rFonts w:eastAsia="Calibri"/>
          <w:lang w:val="es-PE" w:eastAsia="en-US"/>
        </w:rPr>
      </w:pPr>
      <w:r w:rsidRPr="007F3341">
        <w:rPr>
          <w:rFonts w:eastAsia="Calibri"/>
          <w:lang w:val="es-PE" w:eastAsia="en-US"/>
        </w:rPr>
        <w:t>Los programas de medicina de las universidades peruanas se adaptan progresivamente al uso de nuevas técnicas educativas en el proceso de enseñanza aprendizaje, como es la simulación; en especial para el logro de competencias centradas en el alumno. Se ha visto que cada institución ha ido logrando, según sus posibilidades usar la simulación para la adquisición de habilidades y destrezas, trabajo en equipo, perfeccionamiento de sus egresados, etc.</w:t>
      </w:r>
    </w:p>
    <w:p w14:paraId="5FC06EEB" w14:textId="77777777" w:rsidR="007F3341" w:rsidRPr="007F3341" w:rsidRDefault="007F3341" w:rsidP="007F3341">
      <w:pPr>
        <w:spacing w:line="360" w:lineRule="auto"/>
        <w:jc w:val="both"/>
        <w:rPr>
          <w:rFonts w:eastAsia="Calibri"/>
          <w:lang w:val="es-PE" w:eastAsia="en-US"/>
        </w:rPr>
      </w:pPr>
      <w:r w:rsidRPr="007F3341">
        <w:rPr>
          <w:rFonts w:eastAsia="Calibri"/>
          <w:lang w:val="es-PE" w:eastAsia="en-US"/>
        </w:rPr>
        <w:t>Frente a este desarrollo desigual de la simulación en los centros de simulación de los programas de medicina, se hace necesario trazar una hoja de ruta que facilite a los que recién empiezan, como a los que ya avanzaron, estandarizar los requerimientos de recursos materiales, administrativos y de gestión.</w:t>
      </w:r>
    </w:p>
    <w:p w14:paraId="746C05DC" w14:textId="77777777" w:rsidR="007F3341" w:rsidRPr="007F3341" w:rsidRDefault="007F3341" w:rsidP="007F3341">
      <w:pPr>
        <w:spacing w:line="360" w:lineRule="auto"/>
        <w:jc w:val="both"/>
        <w:rPr>
          <w:rFonts w:eastAsia="Calibri"/>
          <w:lang w:val="es-PE" w:eastAsia="en-US"/>
        </w:rPr>
      </w:pPr>
      <w:r w:rsidRPr="007F3341">
        <w:rPr>
          <w:rFonts w:eastAsia="Calibri"/>
          <w:lang w:val="es-PE" w:eastAsia="en-US"/>
        </w:rPr>
        <w:t xml:space="preserve">En el Perú las facultades de medicina conformaron </w:t>
      </w:r>
      <w:r w:rsidRPr="007F3341">
        <w:rPr>
          <w:rFonts w:eastAsia="Calibri"/>
          <w:lang w:val="es-ES" w:eastAsia="en-US"/>
        </w:rPr>
        <w:t>hace más de cincuenta años,</w:t>
      </w:r>
      <w:r w:rsidRPr="007F3341">
        <w:rPr>
          <w:rFonts w:eastAsia="Calibri"/>
          <w:lang w:val="es-PE" w:eastAsia="en-US"/>
        </w:rPr>
        <w:t xml:space="preserve"> la </w:t>
      </w:r>
      <w:r w:rsidRPr="007F3341">
        <w:rPr>
          <w:rFonts w:eastAsia="Calibri"/>
          <w:lang w:val="es-ES" w:eastAsia="en-US"/>
        </w:rPr>
        <w:t xml:space="preserve">Asociación Peruana de Facultades de Medicina (ASPEFAM) con la finalidad de unificar, reglamentar y mejorar las experiencias en la educación médica nacional. En las últimas décadas se crea el Sistema Nacional de Evaluación, Acreditación y Certificación de la Calidad Educativa (SINEACE) y con la ley Universitaria N°30220, se crea la Superintendencia Nacional de Educación Superior Universitaria (SUNEDU). Ambos </w:t>
      </w:r>
      <w:r w:rsidRPr="007F3341">
        <w:rPr>
          <w:rFonts w:eastAsia="Calibri"/>
          <w:lang w:val="es-PE" w:eastAsia="en-US"/>
        </w:rPr>
        <w:lastRenderedPageBreak/>
        <w:t>se complementan para asegurar la calidad y la acreditación de la educación superior universitaria, así como certificar las competencias profesionales de los egresados.</w:t>
      </w:r>
    </w:p>
    <w:p w14:paraId="6F29B69D" w14:textId="77777777" w:rsidR="007F3341" w:rsidRPr="007F3341" w:rsidRDefault="007F3341" w:rsidP="007F3341">
      <w:pPr>
        <w:spacing w:line="360" w:lineRule="auto"/>
        <w:jc w:val="both"/>
        <w:rPr>
          <w:rFonts w:eastAsia="Calibri"/>
          <w:lang w:val="es-PE" w:eastAsia="en-US"/>
        </w:rPr>
      </w:pPr>
      <w:r w:rsidRPr="007F3341">
        <w:rPr>
          <w:rFonts w:eastAsia="Calibri"/>
          <w:lang w:val="es-PE" w:eastAsia="en-US"/>
        </w:rPr>
        <w:t xml:space="preserve">SUNEDU </w:t>
      </w:r>
      <w:r w:rsidRPr="007F3341">
        <w:rPr>
          <w:rFonts w:eastAsia="Calibri"/>
          <w:lang w:val="es-ES" w:eastAsia="en-US"/>
        </w:rPr>
        <w:t xml:space="preserve">estableció las </w:t>
      </w:r>
      <w:r w:rsidRPr="007F3341">
        <w:rPr>
          <w:rFonts w:eastAsia="Calibri"/>
          <w:lang w:val="es-PE" w:eastAsia="en-US"/>
        </w:rPr>
        <w:t>Condiciones básicas de calidad</w:t>
      </w:r>
      <w:r w:rsidRPr="007F3341">
        <w:rPr>
          <w:rFonts w:eastAsia="Calibri"/>
          <w:lang w:val="es-ES" w:eastAsia="en-US"/>
        </w:rPr>
        <w:t xml:space="preserve"> (CBC), para el licenciamiento de las instituciones universitarias y desde el 2019, las CBC para el licenciamiento de los programas de medicina, entre las que se consideran los requisitos mínimos de infraestructura, equipamiento y seguridad de los centros de simulación.</w:t>
      </w:r>
      <w:r w:rsidRPr="007F3341">
        <w:rPr>
          <w:rFonts w:eastAsia="Calibri"/>
          <w:vertAlign w:val="superscript"/>
          <w:lang w:val="es-PE" w:eastAsia="en-US"/>
        </w:rPr>
        <w:fldChar w:fldCharType="begin" w:fldLock="1"/>
      </w:r>
      <w:r w:rsidRPr="007F3341">
        <w:rPr>
          <w:rFonts w:eastAsia="Calibri"/>
          <w:vertAlign w:val="superscript"/>
          <w:lang w:val="es-PE" w:eastAsia="en-US"/>
        </w:rPr>
        <w:instrText>ADDIN CSL_CITATION {"citationItems":[{"id":"ITEM-1","itemData":{"URL":"https://www.sunedu.gob.pe","author":[{"dropping-particle":"","family":"Superintendencia Nacional de Educación Superior Universitaria","given":"","non-dropping-particle":"","parse-names":false,"suffix":""}],"id":"ITEM-1","issued":{"date-parts":[["2019"]]},"publisher-place":"Lima: SUNEDU","title":"Modelo de licenciamiento del programa de pregrado de medicina","type":"webpage"},"uris":["http://www.mendeley.com/documents/?uuid=af9ef30e-6d1e-4179-8254-fca5cd19f533"]}],"mendeley":{"formattedCitation":"(1)","plainTextFormattedCitation":"(1)","previouslyFormattedCitation":"(1)"},"properties":{"noteIndex":0},"schema":"https://github.com/citation-style-language/schema/raw/master/csl-citation.json"}</w:instrText>
      </w:r>
      <w:r w:rsidRPr="007F3341">
        <w:rPr>
          <w:rFonts w:eastAsia="Calibri"/>
          <w:vertAlign w:val="superscript"/>
          <w:lang w:val="es-PE" w:eastAsia="en-US"/>
        </w:rPr>
        <w:fldChar w:fldCharType="separate"/>
      </w:r>
      <w:r w:rsidRPr="007F3341">
        <w:rPr>
          <w:rFonts w:eastAsia="Calibri"/>
          <w:noProof/>
          <w:vertAlign w:val="superscript"/>
          <w:lang w:val="es-PE" w:eastAsia="en-US"/>
        </w:rPr>
        <w:t>(1)</w:t>
      </w:r>
      <w:r w:rsidRPr="007F3341">
        <w:rPr>
          <w:rFonts w:eastAsia="Calibri"/>
          <w:vertAlign w:val="superscript"/>
          <w:lang w:val="es-PE" w:eastAsia="en-US"/>
        </w:rPr>
        <w:fldChar w:fldCharType="end"/>
      </w:r>
    </w:p>
    <w:p w14:paraId="2E4FA23E" w14:textId="77777777" w:rsidR="007F3341" w:rsidRPr="007F3341" w:rsidRDefault="007F3341" w:rsidP="007F3341">
      <w:pPr>
        <w:spacing w:line="360" w:lineRule="auto"/>
        <w:jc w:val="both"/>
        <w:rPr>
          <w:rFonts w:eastAsia="Calibri"/>
          <w:lang w:val="es-PE" w:eastAsia="en-US"/>
        </w:rPr>
      </w:pPr>
      <w:bookmarkStart w:id="1" w:name="_Hlk62117865"/>
      <w:r w:rsidRPr="007F3341">
        <w:rPr>
          <w:rFonts w:eastAsia="Calibri"/>
          <w:lang w:val="es-PE" w:eastAsia="en-US"/>
        </w:rPr>
        <w:t xml:space="preserve">Debido a los múltiples beneficios que ofrece el uso de la simulación clínica en diferentes campos a nivel mundial, se impulsa la modernización </w:t>
      </w:r>
      <w:r w:rsidRPr="007F3341">
        <w:rPr>
          <w:rFonts w:eastAsia="Calibri"/>
          <w:lang w:val="es-ES" w:eastAsia="en-US"/>
        </w:rPr>
        <w:t>de la enseñanza en ciencias de la salud.</w:t>
      </w:r>
      <w:r w:rsidRPr="007F3341">
        <w:rPr>
          <w:rFonts w:eastAsia="Calibri"/>
          <w:vertAlign w:val="superscript"/>
          <w:lang w:val="es-ES" w:eastAsia="en-US"/>
        </w:rPr>
        <w:fldChar w:fldCharType="begin" w:fldLock="1"/>
      </w:r>
      <w:r w:rsidRPr="007F3341">
        <w:rPr>
          <w:rFonts w:eastAsia="Calibri"/>
          <w:vertAlign w:val="superscript"/>
          <w:lang w:val="es-ES" w:eastAsia="en-US"/>
        </w:rPr>
        <w:instrText>ADDIN CSL_CITATION {"citationItems":[{"id":"ITEM-1","itemData":{"ISSN":"1561-3046","abstract":"La simulación en la educación médica ha presentado un desarrollo importante a nivel mundial. Se ha convertido en un medio de enseñanza-aprendizaje mediante el cual se favorece el desarrollo de competencias, especialmente la adquisición de habilidades clínicas, previo al contacto real con el paciente y fomenta la seguridad para este, mediante la adquisición de destrezas para disminuir la posibilidad de errores o complicaciones en la ejecución de procedimientos. Las aplicaciones de la simulación son múltiples y cuentan con un potencial ilimitado, la mayoría de las experiencias involucran el entrenamiento de habilidades y la adquisición del conocimiento. Este trabajo expone algunos de los fundamentos de la simulación médica como medio de enseñanza y ofrece un panorama conceptual respecto a la simulación y se describen las características del público al que va destinado el medio.","author":[{"dropping-particle":"","family":"Contreras Olive","given":"Yanetsi","non-dropping-particle":"","parse-names":false,"suffix":""},{"dropping-particle":"","family":"Reyes Fournier","given":"Marllany","non-dropping-particle":"","parse-names":false,"suffix":""},{"dropping-particle":"","family":"Nates Reyes","given":"Ana Beatriz","non-dropping-particle":"","parse-names":false,"suffix":""},{"dropping-particle":"","family":"Pérez Arbolay","given":"Marta Deysi","non-dropping-particle":"","parse-names":false,"suffix":""}],"container-title":"Revista Cubana de Medicina Militar","id":"ITEM-1","issue":"2","issued":{"date-parts":[["2018"]]},"page":"186-195","title":"Los simuladores como medios de enseñanza en la docencia médica","type":"article-journal","volume":"47"},"uris":["http://www.mendeley.com/documents/?uuid=a5553272-3856-42e2-95ce-d0b424e190b5"]}],"mendeley":{"formattedCitation":"(2)","plainTextFormattedCitation":"(2)","previouslyFormattedCitation":"(2)"},"properties":{"noteIndex":0},"schema":"https://github.com/citation-style-language/schema/raw/master/csl-citation.json"}</w:instrText>
      </w:r>
      <w:r w:rsidRPr="007F3341">
        <w:rPr>
          <w:rFonts w:eastAsia="Calibri"/>
          <w:vertAlign w:val="superscript"/>
          <w:lang w:val="es-ES" w:eastAsia="en-US"/>
        </w:rPr>
        <w:fldChar w:fldCharType="separate"/>
      </w:r>
      <w:r w:rsidRPr="007F3341">
        <w:rPr>
          <w:rFonts w:eastAsia="Calibri"/>
          <w:noProof/>
          <w:vertAlign w:val="superscript"/>
          <w:lang w:val="es-ES" w:eastAsia="en-US"/>
        </w:rPr>
        <w:t>(2)</w:t>
      </w:r>
      <w:r w:rsidRPr="007F3341">
        <w:rPr>
          <w:rFonts w:eastAsia="Calibri"/>
          <w:vertAlign w:val="superscript"/>
          <w:lang w:val="es-ES" w:eastAsia="en-US"/>
        </w:rPr>
        <w:fldChar w:fldCharType="end"/>
      </w:r>
      <w:r w:rsidRPr="007F3341">
        <w:rPr>
          <w:rFonts w:eastAsia="Calibri"/>
          <w:lang w:val="es-PE" w:eastAsia="en-US"/>
        </w:rPr>
        <w:t xml:space="preserve"> Las universidades públicas peruanas que aún no contaban con laboratorios o centros de simulación, se vieron en la necesidad de invertir en construir y/o adaptar espacios en sus campus, implementarlos y diseñar su funcionamiento</w:t>
      </w:r>
      <w:bookmarkEnd w:id="1"/>
      <w:r w:rsidRPr="007F3341">
        <w:rPr>
          <w:rFonts w:eastAsia="Calibri"/>
          <w:lang w:val="es-PE" w:eastAsia="en-US"/>
        </w:rPr>
        <w:t>. En estos, se debe establecer la importancia de la administración y gestión de los recursos (materiales y talento humano);</w:t>
      </w:r>
      <w:r w:rsidRPr="007F3341">
        <w:rPr>
          <w:rFonts w:eastAsia="Calibri"/>
          <w:vertAlign w:val="superscript"/>
          <w:lang w:val="es-PE" w:eastAsia="en-US"/>
        </w:rPr>
        <w:fldChar w:fldCharType="begin" w:fldLock="1"/>
      </w:r>
      <w:r w:rsidRPr="007F3341">
        <w:rPr>
          <w:rFonts w:eastAsia="Calibri"/>
          <w:vertAlign w:val="superscript"/>
          <w:lang w:val="es-PE" w:eastAsia="en-US"/>
        </w:rPr>
        <w:instrText>ADDIN CSL_CITATION {"citationItems":[{"id":"ITEM-1","itemData":{"ISBN":"9781451188790","author":[{"dropping-particle":"","family":"Deutsch","given":"Ellen S.","non-dropping-particle":"","parse-names":false,"suffix":""},{"dropping-particle":"","family":"Palaganas","given":"Janice C.","non-dropping-particle":"","parse-names":false,"suffix":""}],"chapter-number":"345","container-title":"Defining Excellence in Simulation Programs","edition":"1st ed","editor":[{"dropping-particle":"","family":"Palaganas","given":"Janice C.","non-dropping-particle":"","parse-names":false,"suffix":""},{"dropping-particle":"","family":"Maxworthy","given":"Juli C.","non-dropping-particle":"","parse-names":false,"suffix":""},{"dropping-particle":"","family":"Epps","given":"Chad A.","non-dropping-particle":"","parse-names":false,"suffix":""},{"dropping-particle":"","family":"Mancini","given":"Mary E.","non-dropping-particle":"","parse-names":false,"suffix":""}],"id":"ITEM-1","issued":{"date-parts":[["2015"]]},"page":"364-402","publisher":"Wolters Kluwer Health","publisher-place":"Philadelphia","title":"Management","type":"chapter"},"uris":["http://www.mendeley.com/documents/?uuid=73142d5e-e45d-49f8-9c45-378fc7bc861e"]}],"mendeley":{"formattedCitation":"(3)","plainTextFormattedCitation":"(3)","previouslyFormattedCitation":"(3)"},"properties":{"noteIndex":0},"schema":"https://github.com/citation-style-language/schema/raw/master/csl-citation.json"}</w:instrText>
      </w:r>
      <w:r w:rsidRPr="007F3341">
        <w:rPr>
          <w:rFonts w:eastAsia="Calibri"/>
          <w:vertAlign w:val="superscript"/>
          <w:lang w:val="es-PE" w:eastAsia="en-US"/>
        </w:rPr>
        <w:fldChar w:fldCharType="separate"/>
      </w:r>
      <w:r w:rsidRPr="007F3341">
        <w:rPr>
          <w:rFonts w:eastAsia="Calibri"/>
          <w:noProof/>
          <w:vertAlign w:val="superscript"/>
          <w:lang w:val="es-PE" w:eastAsia="en-US"/>
        </w:rPr>
        <w:t>(3)</w:t>
      </w:r>
      <w:r w:rsidRPr="007F3341">
        <w:rPr>
          <w:rFonts w:eastAsia="Calibri"/>
          <w:vertAlign w:val="superscript"/>
          <w:lang w:val="es-PE" w:eastAsia="en-US"/>
        </w:rPr>
        <w:fldChar w:fldCharType="end"/>
      </w:r>
      <w:r w:rsidRPr="007F3341">
        <w:rPr>
          <w:rFonts w:eastAsia="Calibri"/>
          <w:vertAlign w:val="superscript"/>
          <w:lang w:val="es-PE" w:eastAsia="en-US"/>
        </w:rPr>
        <w:t xml:space="preserve"> </w:t>
      </w:r>
      <w:r w:rsidRPr="007F3341">
        <w:rPr>
          <w:rFonts w:eastAsia="Calibri"/>
          <w:lang w:val="es-PE" w:eastAsia="en-US"/>
        </w:rPr>
        <w:t>dirigidos por personal capacitado con la finalidad que las experiencias de aprendizaje con simulación; se desarrollen en ambientes con características estándares para la adquisición de habilidades y destrezas; así como el logro y evaluación de competencias basadas en una buena planificación, diseño y ejecución. La simulación, no reemplaza la práctica hospitalaria,</w:t>
      </w:r>
      <w:r w:rsidRPr="007F3341">
        <w:rPr>
          <w:rFonts w:eastAsia="Calibri"/>
          <w:lang w:val="es-ES" w:eastAsia="en-US"/>
        </w:rPr>
        <w:t xml:space="preserve"> muy por el contrario, prepara a los participantes para esta</w:t>
      </w:r>
      <w:r w:rsidRPr="007F3341">
        <w:rPr>
          <w:rFonts w:eastAsia="Calibri"/>
          <w:lang w:val="es-PE" w:eastAsia="en-US"/>
        </w:rPr>
        <w:t>.</w:t>
      </w:r>
      <w:r w:rsidRPr="007F3341">
        <w:rPr>
          <w:rFonts w:eastAsia="Calibri"/>
          <w:vertAlign w:val="superscript"/>
          <w:lang w:val="es-PE" w:eastAsia="en-US"/>
        </w:rPr>
        <w:t>(4)</w:t>
      </w:r>
    </w:p>
    <w:p w14:paraId="400FEC15" w14:textId="77777777" w:rsidR="007F3341" w:rsidRPr="007F3341" w:rsidRDefault="007F3341" w:rsidP="007F3341">
      <w:pPr>
        <w:spacing w:line="360" w:lineRule="auto"/>
        <w:jc w:val="both"/>
        <w:rPr>
          <w:rFonts w:eastAsia="Calibri"/>
          <w:lang w:val="es-PE" w:eastAsia="en-US"/>
        </w:rPr>
      </w:pPr>
      <w:r w:rsidRPr="007F3341">
        <w:rPr>
          <w:rFonts w:eastAsia="Calibri"/>
          <w:lang w:val="es-PE" w:eastAsia="en-US"/>
        </w:rPr>
        <w:t>La Universidad Nacional de San Agustín de Arequipa (UNSA), logró el licenciamiento institucional por 10 años en el 2018. Progresivamente se adecua e implementa el centro de simulación, se plantea una gestión administrativa para su buen funcionamiento en el 2019 y a partir del 2020 se propone el inicio del proceso de capacitación a los docentes en simulación, quienes desarrollan escenarios de simulación guiados por personal capacitado. Este 2021, se propone la integración de los escenarios planificados en los departamentos académicos, con los docentes que previamente llevaron el curso de Introducción a la simulación para planificar escenarios de simulación (ISPE). Todo esto se hizo, considerando las nuevas directivas institucionales, con miras al logro del licenciamiento y acreditación del programa de medicina de la UNSA.</w:t>
      </w:r>
    </w:p>
    <w:p w14:paraId="3DE0A703" w14:textId="77777777" w:rsidR="007F3341" w:rsidRPr="007F3341" w:rsidRDefault="007F3341" w:rsidP="007F3341">
      <w:pPr>
        <w:spacing w:line="360" w:lineRule="auto"/>
        <w:jc w:val="both"/>
        <w:rPr>
          <w:rFonts w:eastAsia="Calibri"/>
          <w:lang w:val="es-PE" w:eastAsia="en-US"/>
        </w:rPr>
      </w:pPr>
      <w:r w:rsidRPr="007F3341">
        <w:rPr>
          <w:rFonts w:eastAsia="Calibri"/>
          <w:lang w:val="es-PE" w:eastAsia="en-US"/>
        </w:rPr>
        <w:t xml:space="preserve">En el 2017, </w:t>
      </w:r>
      <w:r w:rsidRPr="007F3341">
        <w:rPr>
          <w:rFonts w:eastAsia="Calibri"/>
          <w:lang w:val="es-ES" w:eastAsia="en-US"/>
        </w:rPr>
        <w:t>ASPEFAM conformó la</w:t>
      </w:r>
      <w:r w:rsidRPr="007F3341">
        <w:rPr>
          <w:rFonts w:eastAsia="Calibri"/>
          <w:lang w:val="es-PE" w:eastAsia="en-US"/>
        </w:rPr>
        <w:t xml:space="preserve"> red nacional de centros de simulación clínica, antes de que se oficialicen las CBC de los programas de medicina a nivel nacional. Entre las funciones de la red destaca la generación y aplicación de estándares de desarrollo conducentes a la certificación de los centros de simulación.</w:t>
      </w:r>
      <w:bookmarkStart w:id="2" w:name="_Hlk50841640"/>
      <w:r w:rsidRPr="007F3341">
        <w:rPr>
          <w:rFonts w:eastAsia="Calibri"/>
          <w:vertAlign w:val="superscript"/>
          <w:lang w:val="es-PE" w:eastAsia="en-US"/>
        </w:rPr>
        <w:fldChar w:fldCharType="begin" w:fldLock="1"/>
      </w:r>
      <w:r w:rsidRPr="007F3341">
        <w:rPr>
          <w:rFonts w:eastAsia="Calibri"/>
          <w:vertAlign w:val="superscript"/>
          <w:lang w:val="es-PE" w:eastAsia="en-US"/>
        </w:rPr>
        <w:instrText>ADDIN CSL_CITATION {"citationItems":[{"id":"ITEM-1","itemData":{"abstract":"5. Solicitar al CMP que la Colegiatura, por excepción, sea con la Resolución Rectoral expedida por la universidad, que contenga la relación de Titulados, así como la Constancia del ENAM con nota aprobatoria, con regularización posterior de documentos. 6. Comprometer la máxima participación de las facultades de medicina y ASPEFAM en las acciones que implemente CONAREME, con el fin de permitir que el Proceso de Admisión 2020 a residentado médico garantice el ingreso de los señores residentes el próximo 1 de julio. Lima, 7 de abril de 2020 La Asamblea General de ASPEFAM se encuentra en sesión permanente, y viene monitoreando el desarrollo de la pandemia y sus implicancias en las actividades académicas de las facultades de medicina, para adoptar los acuerdos que se consideren necesarios. 4. Solicitar al Ministerio de Salud que el plazo de inscripción al SERUMS culmine el próximo 25 de abril, con el fin de permitir la máxima inscripción de postulantes. Sin embargo, es necesario que se genere a la mayor brevedad el marco legal que permita acelerar y virtualizar los procesos de graduación, titulación y colegiación necesarios. ACUERDOS 1. Reafirmar el compromiso de las facultades de medicina de participar en los esfuerzos nacionales que se vienen desplegando para enfrentar la pandemia que hoy enfrenta el país. La Asamblea General de Decanos de Facultades de Medicina reunida en Sesión Virtual Extraordinaria el 6 de abril pasado, se dirige a la comunidad médica-académica para informar los siguientes acuerdo y compromisos: 2. Ningún retorno de internos de medicina ha sido autorizado por las facultades de medicina ni por el Ministerio de Salud. Este retorno, en el momento en que se considere pertinente, deberá ser progresivo, evaluando como primera prioridad la seguridad y salud de los señores estudiantes, para lo cual deberán contar con un seguro de salud y los equipos de protección personal que correspondan. Este acceso no deberá ser realizado a áreas con pacientes infectados con COVID-19. La progresión, será de acuerdo con cada escenario epidemiológico, considerándose el iniciar por servicios como pediatría y gineco-obstetricia, entre otros, y privilegiando establecimientos no hospitalarios. Se ratifica que el año académico de internado debe culminar el próximo 31 de diciembre. 3. Los alumnos del 6º año deberían culminar sus actividades académicas el próximo 31 de diciembre, para lo cual las universidades deberán implementar los mecanismos necesarios y disponibl…","author":[{"dropping-particle":"","family":"Asociación Peruana de Facultades de Medicina","given":"","non-dropping-particle":"","parse-names":false,"suffix":""}],"id":"ITEM-1","issued":{"date-parts":[["2020"]]},"publisher-place":"Lima: ASPEFAM","title":"Bases Constitutivas de la Red Nacional de Centros de Simulación Clínica","type":"legislation"},"uris":["http://www.mendeley.com/documents/?uuid=4130ab36-1c28-4c57-9360-0d67001dd4c5"]}],"mendeley":{"formattedCitation":"(4)","manualFormatting":"(5)","plainTextFormattedCitation":"(4)","previouslyFormattedCitation":"(4)"},"properties":{"noteIndex":0},"schema":"https://github.com/citation-style-language/schema/raw/master/csl-citation.json"}</w:instrText>
      </w:r>
      <w:r w:rsidRPr="007F3341">
        <w:rPr>
          <w:rFonts w:eastAsia="Calibri"/>
          <w:vertAlign w:val="superscript"/>
          <w:lang w:val="es-PE" w:eastAsia="en-US"/>
        </w:rPr>
        <w:fldChar w:fldCharType="separate"/>
      </w:r>
      <w:r w:rsidRPr="007F3341">
        <w:rPr>
          <w:rFonts w:eastAsia="Calibri"/>
          <w:noProof/>
          <w:vertAlign w:val="superscript"/>
          <w:lang w:val="es-PE" w:eastAsia="en-US"/>
        </w:rPr>
        <w:t>(5)</w:t>
      </w:r>
      <w:r w:rsidRPr="007F3341">
        <w:rPr>
          <w:rFonts w:eastAsia="Calibri"/>
          <w:vertAlign w:val="superscript"/>
          <w:lang w:val="es-PE" w:eastAsia="en-US"/>
        </w:rPr>
        <w:fldChar w:fldCharType="end"/>
      </w:r>
      <w:bookmarkEnd w:id="2"/>
      <w:r w:rsidRPr="007F3341">
        <w:rPr>
          <w:rFonts w:eastAsia="Calibri"/>
          <w:lang w:val="es-PE" w:eastAsia="en-US"/>
        </w:rPr>
        <w:t xml:space="preserve"> Es momento para que la red, reúna información, diseñe la hoja de ruta y considere como </w:t>
      </w:r>
      <w:r w:rsidRPr="007F3341">
        <w:rPr>
          <w:rFonts w:eastAsia="Calibri"/>
          <w:lang w:val="es-PE" w:eastAsia="en-US"/>
        </w:rPr>
        <w:lastRenderedPageBreak/>
        <w:t>primer punto la infraestructura y el equipamiento;</w:t>
      </w:r>
      <w:r w:rsidRPr="007F3341">
        <w:rPr>
          <w:rFonts w:eastAsia="Calibri"/>
          <w:vertAlign w:val="superscript"/>
          <w:lang w:val="es-PE" w:eastAsia="en-US"/>
        </w:rPr>
        <w:fldChar w:fldCharType="begin" w:fldLock="1"/>
      </w:r>
      <w:r w:rsidRPr="007F3341">
        <w:rPr>
          <w:rFonts w:eastAsia="Calibri"/>
          <w:vertAlign w:val="superscript"/>
          <w:lang w:val="es-PE" w:eastAsia="en-US"/>
        </w:rPr>
        <w:instrText>ADDIN CSL_CITATION {"citationItems":[{"id":"ITEM-1","itemData":{"URL":"https://www.sunedu.gob.pe","author":[{"dropping-particle":"","family":"Superintendencia Nacional de Educación Superior Universitaria","given":"","non-dropping-particle":"","parse-names":false,"suffix":""}],"id":"ITEM-1","issued":{"date-parts":[["2019"]]},"publisher-place":"Lima: SUNEDU","title":"Modelo de licenciamiento del programa de pregrado de medicina","type":"webpage"},"uris":["http://www.mendeley.com/documents/?uuid=af9ef30e-6d1e-4179-8254-fca5cd19f533"]}],"mendeley":{"formattedCitation":"(1)","plainTextFormattedCitation":"(1)","previouslyFormattedCitation":"(1)"},"properties":{"noteIndex":0},"schema":"https://github.com/citation-style-language/schema/raw/master/csl-citation.json"}</w:instrText>
      </w:r>
      <w:r w:rsidRPr="007F3341">
        <w:rPr>
          <w:rFonts w:eastAsia="Calibri"/>
          <w:vertAlign w:val="superscript"/>
          <w:lang w:val="es-PE" w:eastAsia="en-US"/>
        </w:rPr>
        <w:fldChar w:fldCharType="separate"/>
      </w:r>
      <w:r w:rsidRPr="007F3341">
        <w:rPr>
          <w:rFonts w:eastAsia="Calibri"/>
          <w:noProof/>
          <w:vertAlign w:val="superscript"/>
          <w:lang w:val="es-PE" w:eastAsia="en-US"/>
        </w:rPr>
        <w:t>(1)</w:t>
      </w:r>
      <w:r w:rsidRPr="007F3341">
        <w:rPr>
          <w:rFonts w:eastAsia="Calibri"/>
          <w:vertAlign w:val="superscript"/>
          <w:lang w:val="es-PE" w:eastAsia="en-US"/>
        </w:rPr>
        <w:fldChar w:fldCharType="end"/>
      </w:r>
      <w:r w:rsidRPr="007F3341">
        <w:rPr>
          <w:rFonts w:eastAsia="Calibri"/>
          <w:lang w:val="es-PE" w:eastAsia="en-US"/>
        </w:rPr>
        <w:t xml:space="preserve"> en paralelo, los planteamientos sobre la administración y gestión, finalmente el logro de la introducción de la simulación en la malla curricular de pregrado y posgrado, a partir de las experiencias nacionales e internacionales realizadas con éxito.</w:t>
      </w:r>
    </w:p>
    <w:p w14:paraId="6E73FF92" w14:textId="77777777" w:rsidR="007F3341" w:rsidRPr="007F3341" w:rsidRDefault="007F3341" w:rsidP="007F3341">
      <w:pPr>
        <w:spacing w:line="360" w:lineRule="auto"/>
        <w:jc w:val="both"/>
        <w:rPr>
          <w:rFonts w:eastAsia="Calibri"/>
          <w:lang w:val="es-PE" w:eastAsia="en-US"/>
        </w:rPr>
      </w:pPr>
      <w:r w:rsidRPr="007F3341">
        <w:rPr>
          <w:rFonts w:eastAsia="Calibri"/>
          <w:lang w:val="es-PE" w:eastAsia="en-US"/>
        </w:rPr>
        <w:t>La compilación y revisión de esta valiosa información, que conformaría la hoja de ruta, es pieza clave, pues podría plantearse como base en un primer intento de generar estándares, para que todos los centros de simulación logren una futura acreditación y certificación de los educadores y operadores en simulación, a nivel nacional, por las instancias evaluadoras previamente acreditadas por SINEACE.</w:t>
      </w:r>
    </w:p>
    <w:p w14:paraId="732069F0" w14:textId="77777777" w:rsidR="007F3341" w:rsidRPr="007F3341" w:rsidRDefault="007F3341" w:rsidP="007F3341">
      <w:pPr>
        <w:spacing w:line="360" w:lineRule="auto"/>
        <w:jc w:val="both"/>
        <w:rPr>
          <w:rFonts w:eastAsia="Calibri"/>
          <w:lang w:val="es-ES" w:eastAsia="en-US"/>
        </w:rPr>
      </w:pPr>
      <w:r w:rsidRPr="007F3341">
        <w:rPr>
          <w:rFonts w:eastAsia="Calibri"/>
          <w:lang w:val="es-ES" w:eastAsia="en-US"/>
        </w:rPr>
        <w:t>A</w:t>
      </w:r>
      <w:r w:rsidRPr="007F3341">
        <w:rPr>
          <w:lang w:val="es-ES" w:eastAsia="en-US"/>
        </w:rPr>
        <w:t>creditar en simulación significará f</w:t>
      </w:r>
      <w:r w:rsidRPr="007F3341">
        <w:rPr>
          <w:rFonts w:eastAsia="Calibri"/>
          <w:lang w:val="es-ES" w:eastAsia="en-US"/>
        </w:rPr>
        <w:t xml:space="preserve">ortalecer la calidad de las buenas prácticas en la formación con el empleo de la simulación, a favor de la seguridad del personal de salud y del paciente. Los centros de simulación </w:t>
      </w:r>
      <w:r w:rsidRPr="007F3341">
        <w:rPr>
          <w:lang w:val="es-ES" w:eastAsia="en-US"/>
        </w:rPr>
        <w:t xml:space="preserve">pueden adoptar, implementar o autoevaluarse también, con estándares de </w:t>
      </w:r>
      <w:r w:rsidRPr="007F3341">
        <w:rPr>
          <w:rFonts w:eastAsia="Calibri"/>
          <w:lang w:val="es-PE" w:eastAsia="en-US"/>
        </w:rPr>
        <w:t xml:space="preserve">alguna </w:t>
      </w:r>
      <w:r w:rsidRPr="007F3341">
        <w:rPr>
          <w:rFonts w:eastAsia="Calibri"/>
          <w:lang w:val="es-ES" w:eastAsia="en-US"/>
        </w:rPr>
        <w:t xml:space="preserve">organización que acredite programas de simulación e inclusive aplicar a la acreditación internacional por la </w:t>
      </w:r>
      <w:r w:rsidRPr="007F3341">
        <w:rPr>
          <w:rFonts w:eastAsia="Calibri"/>
          <w:i/>
          <w:iCs/>
          <w:lang w:val="es-ES" w:eastAsia="en-US"/>
        </w:rPr>
        <w:t>Society for Simulation in Healthcare</w:t>
      </w:r>
      <w:r w:rsidRPr="007F3341">
        <w:rPr>
          <w:rFonts w:eastAsia="Calibri"/>
          <w:lang w:val="es-ES" w:eastAsia="en-US"/>
        </w:rPr>
        <w:t xml:space="preserve"> (SSH), </w:t>
      </w:r>
      <w:r w:rsidRPr="007F3341">
        <w:rPr>
          <w:rFonts w:eastAsia="Calibri"/>
          <w:i/>
          <w:iCs/>
          <w:lang w:val="es-ES" w:eastAsia="en-US"/>
        </w:rPr>
        <w:t>Society in Europe for Simulation Applied to Medicine</w:t>
      </w:r>
      <w:r w:rsidRPr="007F3341">
        <w:rPr>
          <w:rFonts w:eastAsia="Calibri"/>
          <w:lang w:val="es-ES" w:eastAsia="en-US"/>
        </w:rPr>
        <w:t xml:space="preserve"> (SESAM)</w:t>
      </w:r>
      <w:r w:rsidRPr="007F3341">
        <w:rPr>
          <w:lang w:val="es-ES" w:eastAsia="en-US"/>
        </w:rPr>
        <w:t>, etc.;</w:t>
      </w:r>
      <w:r w:rsidRPr="007F3341">
        <w:rPr>
          <w:vertAlign w:val="superscript"/>
          <w:lang w:val="es-ES" w:eastAsia="en-US"/>
        </w:rPr>
        <w:fldChar w:fldCharType="begin" w:fldLock="1"/>
      </w:r>
      <w:r w:rsidRPr="007F3341">
        <w:rPr>
          <w:vertAlign w:val="superscript"/>
          <w:lang w:val="es-ES" w:eastAsia="en-US"/>
        </w:rPr>
        <w:instrText>ADDIN CSL_CITATION {"citationItems":[{"id":"ITEM-1","itemData":{"DOI":"10.1016/B978-0-12-815657-5.00075-9","ISBN":"9780128156575","author":[{"dropping-particle":"","family":"Posner","given":"Glenn","non-dropping-particle":"","parse-names":false,"suffix":""}],"container-title":"Clinical Simulation","edition":"2nd ed","editor":[{"dropping-particle":"","family":"Chiniara","given":"Gilles","non-dropping-particle":"","parse-names":false,"suffix":""}],"id":"ITEM-1","issued":{"date-parts":[["2019"]]},"page":"905-915","publisher":"Academic Press","publisher-place":"Canada","title":"Accrediting Simulation Programs","type":"chapter"},"uris":["http://www.mendeley.com/documents/?uuid=90eb1879-8ca2-4952-a7b5-5fc7f19f1eec"]}],"mendeley":{"formattedCitation":"(5)","manualFormatting":"(6)","plainTextFormattedCitation":"(5)","previouslyFormattedCitation":"(5)"},"properties":{"noteIndex":0},"schema":"https://github.com/citation-style-language/schema/raw/master/csl-citation.json"}</w:instrText>
      </w:r>
      <w:r w:rsidRPr="007F3341">
        <w:rPr>
          <w:vertAlign w:val="superscript"/>
          <w:lang w:val="es-ES" w:eastAsia="en-US"/>
        </w:rPr>
        <w:fldChar w:fldCharType="separate"/>
      </w:r>
      <w:r w:rsidRPr="007F3341">
        <w:rPr>
          <w:noProof/>
          <w:vertAlign w:val="superscript"/>
          <w:lang w:val="es-ES" w:eastAsia="en-US"/>
        </w:rPr>
        <w:t>(6)</w:t>
      </w:r>
      <w:r w:rsidRPr="007F3341">
        <w:rPr>
          <w:vertAlign w:val="superscript"/>
          <w:lang w:val="es-ES" w:eastAsia="en-US"/>
        </w:rPr>
        <w:fldChar w:fldCharType="end"/>
      </w:r>
      <w:r w:rsidRPr="007F3341">
        <w:rPr>
          <w:lang w:val="es-ES" w:eastAsia="en-US"/>
        </w:rPr>
        <w:t xml:space="preserve"> m</w:t>
      </w:r>
      <w:r w:rsidRPr="007F3341">
        <w:rPr>
          <w:rFonts w:eastAsia="Calibri"/>
          <w:lang w:val="es-ES" w:eastAsia="en-US"/>
        </w:rPr>
        <w:t>ientras se consolide la propuesta de estándares de acreditación en simulación de acuerdo a la realidad nacional.</w:t>
      </w:r>
    </w:p>
    <w:p w14:paraId="3D8D1D97" w14:textId="77777777" w:rsidR="007F3341" w:rsidRPr="007F3341" w:rsidRDefault="007F3341" w:rsidP="007F3341">
      <w:pPr>
        <w:spacing w:line="360" w:lineRule="auto"/>
        <w:jc w:val="both"/>
        <w:rPr>
          <w:rFonts w:eastAsia="Calibri"/>
          <w:lang w:val="es-PE" w:eastAsia="en-US"/>
        </w:rPr>
      </w:pPr>
      <w:r w:rsidRPr="007F3341">
        <w:rPr>
          <w:rFonts w:eastAsia="Calibri"/>
          <w:lang w:val="es-PE" w:eastAsia="en-US"/>
        </w:rPr>
        <w:t>Sugerimos a la red nacional de centros de simulación clínica de la ASPEFAM, recopile la información del licenciamiento de los programas de medicina y las experiencias de los laboratorios y/o centros de simulación, con años de trayectoria exitosa, para trazar la hoja de ruta, la cual servirá de guía y de forma simultánea, será el paso previo para establecer los estándares de una futura acreditación nacional.</w:t>
      </w:r>
    </w:p>
    <w:p w14:paraId="69B4F801" w14:textId="77777777" w:rsidR="007F3341" w:rsidRPr="007F3341" w:rsidRDefault="007F3341" w:rsidP="007F3341">
      <w:pPr>
        <w:spacing w:line="360" w:lineRule="auto"/>
        <w:jc w:val="both"/>
        <w:rPr>
          <w:rFonts w:eastAsia="Calibri"/>
          <w:lang w:val="es-PE" w:eastAsia="en-US"/>
        </w:rPr>
      </w:pPr>
    </w:p>
    <w:p w14:paraId="5E9B2982" w14:textId="77777777" w:rsidR="007F3341" w:rsidRPr="007F3341" w:rsidRDefault="007F3341" w:rsidP="007F3341">
      <w:pPr>
        <w:spacing w:line="360" w:lineRule="auto"/>
        <w:jc w:val="both"/>
        <w:rPr>
          <w:rFonts w:eastAsia="Calibri"/>
          <w:lang w:val="es-PE" w:eastAsia="en-US"/>
        </w:rPr>
      </w:pPr>
    </w:p>
    <w:p w14:paraId="019456B1" w14:textId="77777777" w:rsidR="007F3341" w:rsidRPr="007F3341" w:rsidRDefault="007F3341" w:rsidP="007F3341">
      <w:pPr>
        <w:spacing w:line="360" w:lineRule="auto"/>
        <w:jc w:val="center"/>
        <w:rPr>
          <w:rFonts w:eastAsia="Calibri"/>
          <w:b/>
          <w:sz w:val="32"/>
          <w:szCs w:val="32"/>
          <w:lang w:val="es-PE" w:eastAsia="en-US"/>
        </w:rPr>
      </w:pPr>
      <w:r w:rsidRPr="007F3341">
        <w:rPr>
          <w:rFonts w:eastAsia="Calibri"/>
          <w:b/>
          <w:sz w:val="32"/>
          <w:szCs w:val="32"/>
          <w:lang w:val="es-PE" w:eastAsia="en-US"/>
        </w:rPr>
        <w:t>REFERENCIAS BIBLIOGRÁFICAS</w:t>
      </w:r>
    </w:p>
    <w:p w14:paraId="32CE7E72" w14:textId="77777777" w:rsidR="007F3341" w:rsidRPr="007F3341" w:rsidRDefault="007F3341" w:rsidP="007F3341">
      <w:pPr>
        <w:spacing w:line="360" w:lineRule="auto"/>
        <w:rPr>
          <w:rFonts w:eastAsia="Calibri"/>
          <w:bCs/>
          <w:noProof/>
          <w:lang w:val="es-PE" w:eastAsia="en-US"/>
        </w:rPr>
      </w:pPr>
      <w:r w:rsidRPr="007F3341">
        <w:rPr>
          <w:rFonts w:eastAsia="Calibri"/>
          <w:bCs/>
          <w:lang w:val="es-PE" w:eastAsia="en-US"/>
        </w:rPr>
        <w:t xml:space="preserve">1. </w:t>
      </w:r>
      <w:r w:rsidRPr="007F3341">
        <w:rPr>
          <w:rFonts w:eastAsia="Calibri"/>
          <w:noProof/>
          <w:lang w:val="es-PE" w:eastAsia="en-US"/>
        </w:rPr>
        <w:t>Superintendencia Nacional de Educación Superior Universitaria</w:t>
      </w:r>
      <w:r w:rsidRPr="007F3341">
        <w:rPr>
          <w:rFonts w:eastAsia="Calibri"/>
          <w:bCs/>
          <w:noProof/>
          <w:lang w:val="es-PE" w:eastAsia="en-US"/>
        </w:rPr>
        <w:t>. Lima: SUNEDU; 2019 [</w:t>
      </w:r>
      <w:r w:rsidRPr="007F3341">
        <w:rPr>
          <w:rFonts w:eastAsia="Calibri"/>
          <w:bCs/>
          <w:shd w:val="clear" w:color="auto" w:fill="FFFFFF"/>
          <w:lang w:val="es-PE" w:eastAsia="en-US"/>
        </w:rPr>
        <w:t>acceso: 25/08/2019</w:t>
      </w:r>
      <w:r w:rsidRPr="007F3341">
        <w:rPr>
          <w:rFonts w:eastAsia="Calibri"/>
          <w:bCs/>
          <w:noProof/>
          <w:lang w:val="es-PE" w:eastAsia="en-US"/>
        </w:rPr>
        <w:t xml:space="preserve">]. Disponible en: </w:t>
      </w:r>
      <w:hyperlink r:id="rId11" w:history="1">
        <w:r w:rsidRPr="007F3341">
          <w:rPr>
            <w:rFonts w:eastAsia="Calibri"/>
            <w:bCs/>
            <w:noProof/>
            <w:color w:val="0563C1"/>
            <w:u w:val="single"/>
            <w:lang w:val="es-PE" w:eastAsia="en-US"/>
          </w:rPr>
          <w:t>https://www.sunedu.gob.pe/licenciamiento-programas-medicina-humana-normativa/</w:t>
        </w:r>
      </w:hyperlink>
      <w:r w:rsidRPr="007F3341">
        <w:rPr>
          <w:rFonts w:eastAsia="Calibri"/>
          <w:bCs/>
          <w:noProof/>
          <w:lang w:val="es-PE" w:eastAsia="en-US"/>
        </w:rPr>
        <w:t xml:space="preserve">  </w:t>
      </w:r>
    </w:p>
    <w:p w14:paraId="36D5B375" w14:textId="77777777" w:rsidR="007F3341" w:rsidRPr="007F3341" w:rsidRDefault="007F3341" w:rsidP="007F3341">
      <w:pPr>
        <w:spacing w:line="360" w:lineRule="auto"/>
        <w:rPr>
          <w:rFonts w:eastAsia="Calibri"/>
          <w:bCs/>
          <w:lang w:val="es-PE" w:eastAsia="en-US"/>
        </w:rPr>
      </w:pPr>
      <w:r w:rsidRPr="007F3341">
        <w:rPr>
          <w:rFonts w:eastAsia="Calibri"/>
          <w:bCs/>
          <w:lang w:val="es-PE" w:eastAsia="en-US"/>
        </w:rPr>
        <w:t xml:space="preserve">2. </w:t>
      </w:r>
      <w:r w:rsidRPr="007F3341">
        <w:rPr>
          <w:rFonts w:eastAsia="Calibri"/>
          <w:bCs/>
          <w:noProof/>
          <w:lang w:val="es-PE" w:eastAsia="en-US"/>
        </w:rPr>
        <w:t>Contreras Olive Y, Reyes Fournier M, Nates Reyes AB, Pérez Arbolay MD. Los simuladores como medios de enseñanza en la docencia médica. Rev Cuba Med Mil. 2018 [</w:t>
      </w:r>
      <w:r w:rsidRPr="007F3341">
        <w:rPr>
          <w:rFonts w:eastAsia="Calibri"/>
          <w:bCs/>
          <w:shd w:val="clear" w:color="auto" w:fill="FFFFFF"/>
          <w:lang w:val="es-PE" w:eastAsia="en-US"/>
        </w:rPr>
        <w:t>acceso: 10/08/2019</w:t>
      </w:r>
      <w:r w:rsidRPr="007F3341">
        <w:rPr>
          <w:rFonts w:eastAsia="Calibri"/>
          <w:bCs/>
          <w:noProof/>
          <w:lang w:val="es-PE" w:eastAsia="en-US"/>
        </w:rPr>
        <w:t xml:space="preserve">];47(2):186-95. Disponible en: </w:t>
      </w:r>
      <w:hyperlink r:id="rId12" w:history="1">
        <w:r w:rsidRPr="007F3341">
          <w:rPr>
            <w:rFonts w:eastAsia="Calibri"/>
            <w:bCs/>
            <w:noProof/>
            <w:color w:val="0563C1"/>
            <w:u w:val="single"/>
            <w:lang w:val="es-PE" w:eastAsia="en-US"/>
          </w:rPr>
          <w:t>http://www.revmedmilitar.sld.cu/index.php/mil/article/view/91/174</w:t>
        </w:r>
      </w:hyperlink>
      <w:r w:rsidRPr="007F3341">
        <w:rPr>
          <w:rFonts w:eastAsia="Calibri"/>
          <w:bCs/>
          <w:noProof/>
          <w:lang w:val="es-PE" w:eastAsia="en-US"/>
        </w:rPr>
        <w:t xml:space="preserve"> </w:t>
      </w:r>
    </w:p>
    <w:p w14:paraId="3F525EE4" w14:textId="2D1194AF" w:rsidR="007F3341" w:rsidRPr="007F3341" w:rsidRDefault="007F3341" w:rsidP="007F3341">
      <w:pPr>
        <w:spacing w:line="360" w:lineRule="auto"/>
        <w:rPr>
          <w:rFonts w:eastAsia="Calibri"/>
          <w:bCs/>
          <w:lang w:val="es-CU" w:eastAsia="en-US"/>
        </w:rPr>
      </w:pPr>
      <w:r w:rsidRPr="007F3341">
        <w:rPr>
          <w:rFonts w:eastAsia="Calibri"/>
          <w:bCs/>
          <w:lang w:val="en-US" w:eastAsia="en-US"/>
        </w:rPr>
        <w:lastRenderedPageBreak/>
        <w:t>3. Dongilli TA, Shekhter I, Gavilanes JS. Policies and procedures. En: Palaganas JC, Maxworthy JC, Epps CA, Mancini ME, editor</w:t>
      </w:r>
      <w:r w:rsidR="00E72974">
        <w:rPr>
          <w:rFonts w:eastAsia="Calibri"/>
          <w:bCs/>
          <w:lang w:val="en-US" w:eastAsia="en-US"/>
        </w:rPr>
        <w:t>es</w:t>
      </w:r>
      <w:r w:rsidRPr="007F3341">
        <w:rPr>
          <w:rFonts w:eastAsia="Calibri"/>
          <w:bCs/>
          <w:lang w:val="en-US" w:eastAsia="en-US"/>
        </w:rPr>
        <w:t xml:space="preserve">. Defining Excellence in Simulation Programs. </w:t>
      </w:r>
      <w:r w:rsidRPr="007F3341">
        <w:rPr>
          <w:rFonts w:eastAsia="Calibri"/>
          <w:bCs/>
          <w:lang w:val="es-CU" w:eastAsia="en-US"/>
        </w:rPr>
        <w:t>Philadelphia: Lippincott Williams &amp; Wilkins; 2014. p.354-63.</w:t>
      </w:r>
    </w:p>
    <w:p w14:paraId="560F28A5" w14:textId="77777777" w:rsidR="007F3341" w:rsidRPr="007F3341" w:rsidRDefault="007F3341" w:rsidP="007F3341">
      <w:pPr>
        <w:spacing w:line="360" w:lineRule="auto"/>
        <w:rPr>
          <w:rFonts w:eastAsia="Calibri"/>
          <w:bCs/>
          <w:noProof/>
          <w:lang w:val="es-PE" w:eastAsia="en-US"/>
        </w:rPr>
      </w:pPr>
      <w:r w:rsidRPr="007F3341">
        <w:rPr>
          <w:rFonts w:eastAsia="Calibri"/>
          <w:bCs/>
          <w:lang w:val="es-PE" w:eastAsia="en-US"/>
        </w:rPr>
        <w:t xml:space="preserve">4. </w:t>
      </w:r>
      <w:r w:rsidRPr="007F3341">
        <w:rPr>
          <w:rFonts w:eastAsia="Calibri"/>
          <w:lang w:val="es-PE" w:eastAsia="en-US"/>
        </w:rPr>
        <w:t>Asociación Peruana de Facultades de Medicina</w:t>
      </w:r>
      <w:r w:rsidRPr="007F3341">
        <w:rPr>
          <w:rFonts w:eastAsia="Calibri"/>
          <w:bCs/>
          <w:noProof/>
          <w:lang w:val="es-PE" w:eastAsia="en-US"/>
        </w:rPr>
        <w:t xml:space="preserve">. Simulación en educación médica manual teórico práctico. Lima: ASPEFAM; 2020 [acceso 15/01/2021]. Disponible en: </w:t>
      </w:r>
      <w:hyperlink r:id="rId13" w:history="1">
        <w:r w:rsidRPr="007F3341">
          <w:rPr>
            <w:rFonts w:eastAsia="Calibri"/>
            <w:bCs/>
            <w:noProof/>
            <w:color w:val="0563C1"/>
            <w:u w:val="single"/>
            <w:lang w:val="es-PE" w:eastAsia="en-US"/>
          </w:rPr>
          <w:t>https://www.aspefam.org.pe/series/serie3.pdf</w:t>
        </w:r>
      </w:hyperlink>
      <w:r w:rsidRPr="007F3341">
        <w:rPr>
          <w:rFonts w:eastAsia="Calibri"/>
          <w:bCs/>
          <w:noProof/>
          <w:lang w:val="es-PE" w:eastAsia="en-US"/>
        </w:rPr>
        <w:t xml:space="preserve"> </w:t>
      </w:r>
    </w:p>
    <w:p w14:paraId="1E971749" w14:textId="77777777" w:rsidR="007F3341" w:rsidRPr="007F3341" w:rsidRDefault="007F3341" w:rsidP="007F3341">
      <w:pPr>
        <w:spacing w:line="360" w:lineRule="auto"/>
        <w:rPr>
          <w:rFonts w:eastAsia="Calibri"/>
          <w:bCs/>
          <w:noProof/>
          <w:lang w:val="es-PE" w:eastAsia="en-US"/>
        </w:rPr>
      </w:pPr>
      <w:r w:rsidRPr="007F3341">
        <w:rPr>
          <w:rFonts w:eastAsia="Calibri"/>
          <w:bCs/>
          <w:noProof/>
          <w:lang w:val="es-PE" w:eastAsia="en-US"/>
        </w:rPr>
        <w:t>5. Asociación Peruana de Facultades de Medicina. Lima: ASPEFAM; 2017 [</w:t>
      </w:r>
      <w:r w:rsidRPr="007F3341">
        <w:rPr>
          <w:rFonts w:eastAsia="Calibri"/>
          <w:bCs/>
          <w:shd w:val="clear" w:color="auto" w:fill="FFFFFF"/>
          <w:lang w:val="es-PE" w:eastAsia="en-US"/>
        </w:rPr>
        <w:t>acceso: 16/09/2019</w:t>
      </w:r>
      <w:r w:rsidRPr="007F3341">
        <w:rPr>
          <w:rFonts w:eastAsia="Calibri"/>
          <w:bCs/>
          <w:noProof/>
          <w:lang w:val="es-PE" w:eastAsia="en-US"/>
        </w:rPr>
        <w:t xml:space="preserve">]. Disponible en: </w:t>
      </w:r>
      <w:hyperlink r:id="rId14" w:history="1">
        <w:r w:rsidRPr="007F3341">
          <w:rPr>
            <w:rFonts w:eastAsia="Calibri"/>
            <w:bCs/>
            <w:noProof/>
            <w:color w:val="0563C1"/>
            <w:u w:val="single"/>
            <w:lang w:val="es-PE" w:eastAsia="en-US"/>
          </w:rPr>
          <w:t>https://www.aspefam.org.pe/redncsc/doc/Bases.pdf</w:t>
        </w:r>
      </w:hyperlink>
      <w:r w:rsidRPr="007F3341">
        <w:rPr>
          <w:rFonts w:eastAsia="Calibri"/>
          <w:bCs/>
          <w:noProof/>
          <w:lang w:val="es-PE" w:eastAsia="en-US"/>
        </w:rPr>
        <w:t xml:space="preserve">  </w:t>
      </w:r>
    </w:p>
    <w:p w14:paraId="25652117" w14:textId="77777777" w:rsidR="007F3341" w:rsidRPr="007F3341" w:rsidRDefault="007F3341" w:rsidP="007F3341">
      <w:pPr>
        <w:spacing w:line="360" w:lineRule="auto"/>
        <w:rPr>
          <w:rFonts w:ascii="Calibri" w:eastAsia="Calibri" w:hAnsi="Calibri"/>
          <w:sz w:val="22"/>
          <w:szCs w:val="22"/>
          <w:lang w:val="en-US" w:eastAsia="en-US"/>
        </w:rPr>
      </w:pPr>
      <w:r w:rsidRPr="007F3341">
        <w:rPr>
          <w:rFonts w:eastAsia="Calibri"/>
          <w:bCs/>
          <w:lang w:val="en-US" w:eastAsia="en-US"/>
        </w:rPr>
        <w:t xml:space="preserve">6. </w:t>
      </w:r>
      <w:r w:rsidRPr="007F3341">
        <w:rPr>
          <w:rFonts w:eastAsia="Calibri"/>
          <w:bCs/>
          <w:noProof/>
          <w:lang w:val="en-US" w:eastAsia="en-US"/>
        </w:rPr>
        <w:t>Posner G. Accrediting Simulation Programs. En: Chiniara G, editor. Clinical Simulation. 2nd ed. Canada: Academic Press; 2019. p. 905-15.</w:t>
      </w:r>
    </w:p>
    <w:p w14:paraId="33B33377" w14:textId="77777777" w:rsidR="007F3341" w:rsidRPr="007F3341" w:rsidRDefault="007F3341" w:rsidP="007F3341">
      <w:pPr>
        <w:spacing w:line="360" w:lineRule="auto"/>
        <w:jc w:val="both"/>
        <w:rPr>
          <w:rFonts w:ascii="Calibri" w:eastAsia="Calibri" w:hAnsi="Calibri"/>
          <w:sz w:val="22"/>
          <w:szCs w:val="22"/>
          <w:lang w:val="en-US" w:eastAsia="en-US"/>
        </w:rPr>
      </w:pPr>
    </w:p>
    <w:p w14:paraId="7CCA3A56" w14:textId="77777777" w:rsidR="007F3341" w:rsidRPr="007F3341" w:rsidRDefault="007F3341" w:rsidP="007F3341">
      <w:pPr>
        <w:spacing w:line="360" w:lineRule="auto"/>
        <w:rPr>
          <w:rFonts w:eastAsia="Calibri"/>
          <w:b/>
          <w:lang w:val="en-US" w:eastAsia="en-US"/>
        </w:rPr>
      </w:pPr>
    </w:p>
    <w:p w14:paraId="752CFAD6" w14:textId="77777777" w:rsidR="007F3341" w:rsidRPr="007F3341" w:rsidRDefault="007F3341" w:rsidP="007F3341">
      <w:pPr>
        <w:spacing w:line="360" w:lineRule="auto"/>
        <w:jc w:val="center"/>
        <w:rPr>
          <w:rFonts w:eastAsia="Calibri"/>
          <w:b/>
          <w:lang w:val="es-PE" w:eastAsia="en-US"/>
        </w:rPr>
      </w:pPr>
      <w:r w:rsidRPr="007F3341">
        <w:rPr>
          <w:rFonts w:eastAsia="Calibri"/>
          <w:b/>
          <w:lang w:val="es-PE" w:eastAsia="en-US"/>
        </w:rPr>
        <w:t>Conflictos de interés</w:t>
      </w:r>
    </w:p>
    <w:p w14:paraId="599FDED9" w14:textId="77777777" w:rsidR="007F3341" w:rsidRPr="007F3341" w:rsidRDefault="007F3341" w:rsidP="007F3341">
      <w:pPr>
        <w:spacing w:line="360" w:lineRule="auto"/>
        <w:jc w:val="both"/>
        <w:rPr>
          <w:rFonts w:eastAsia="Calibri"/>
          <w:lang w:val="es-ES" w:eastAsia="en-US"/>
        </w:rPr>
      </w:pPr>
      <w:r w:rsidRPr="007F3341">
        <w:rPr>
          <w:rFonts w:eastAsia="Calibri"/>
          <w:lang w:val="es-ES" w:eastAsia="en-US"/>
        </w:rPr>
        <w:t>Los autores declaran no tener conflictos de interés.</w:t>
      </w:r>
    </w:p>
    <w:p w14:paraId="65351574" w14:textId="38E96BA8" w:rsidR="007F3341" w:rsidRPr="007F3341" w:rsidRDefault="007F3341" w:rsidP="007F3341">
      <w:pPr>
        <w:tabs>
          <w:tab w:val="left" w:pos="7155"/>
        </w:tabs>
        <w:spacing w:line="360" w:lineRule="auto"/>
        <w:jc w:val="both"/>
        <w:rPr>
          <w:rFonts w:eastAsia="Calibri"/>
          <w:lang w:val="es-PE" w:eastAsia="en-US"/>
        </w:rPr>
      </w:pPr>
      <w:r w:rsidRPr="007F3341">
        <w:rPr>
          <w:rFonts w:eastAsia="Calibri"/>
          <w:lang w:val="es-ES" w:eastAsia="en-US"/>
        </w:rPr>
        <w:t>Sobre el financiamiento, se reconoce</w:t>
      </w:r>
      <w:r w:rsidRPr="007F3341">
        <w:rPr>
          <w:rFonts w:eastAsia="Calibri"/>
          <w:lang w:val="es-PE" w:eastAsia="en-US"/>
        </w:rPr>
        <w:t xml:space="preserve"> a la Universidad Nacional de San Agustín de Arequipa - UNSA, por la subvención del proyecto de investigación “</w:t>
      </w:r>
      <w:r w:rsidRPr="007F3341">
        <w:rPr>
          <w:rFonts w:eastAsia="Calibri"/>
          <w:lang w:val="es-ES" w:eastAsia="en-US"/>
        </w:rPr>
        <w:t>Implementación de la gestión administrativa en el Centro de Simulación Clínica (CSIMↃ) con la finalidad del Licenciamiento SUNEDU 2019”</w:t>
      </w:r>
      <w:r w:rsidRPr="007F3341">
        <w:rPr>
          <w:rFonts w:eastAsia="Calibri"/>
          <w:lang w:val="es-PE" w:eastAsia="en-US"/>
        </w:rPr>
        <w:t xml:space="preserve"> según contrato de N°12-2019-UNSA.</w:t>
      </w:r>
    </w:p>
    <w:p w14:paraId="43028440" w14:textId="77777777" w:rsidR="00675476" w:rsidRPr="007F3341" w:rsidRDefault="00675476" w:rsidP="00391509">
      <w:pPr>
        <w:rPr>
          <w:lang w:val="es-PE"/>
        </w:rPr>
      </w:pPr>
    </w:p>
    <w:sectPr w:rsidR="00675476" w:rsidRPr="007F3341" w:rsidSect="00486BFA">
      <w:headerReference w:type="default" r:id="rId15"/>
      <w:footerReference w:type="even" r:id="rId16"/>
      <w:footerReference w:type="default" r:id="rId17"/>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88592" w14:textId="77777777" w:rsidR="00B70E6F" w:rsidRDefault="00B70E6F">
      <w:r>
        <w:separator/>
      </w:r>
    </w:p>
  </w:endnote>
  <w:endnote w:type="continuationSeparator" w:id="0">
    <w:p w14:paraId="15D27F0C" w14:textId="77777777" w:rsidR="00B70E6F" w:rsidRDefault="00B7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B5BC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ADE23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F31C3" w14:textId="4A71EBE3" w:rsidR="000F3690" w:rsidRPr="00AE044C" w:rsidRDefault="007F3341"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294533DA" wp14:editId="466FCF56">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81D70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5014BE8F" w14:textId="77777777" w:rsidR="00675476" w:rsidRPr="00AE044C" w:rsidRDefault="00B70E6F" w:rsidP="00391509">
    <w:pPr>
      <w:pStyle w:val="Piedepgina"/>
      <w:ind w:right="360"/>
      <w:rPr>
        <w:sz w:val="22"/>
        <w:szCs w:val="22"/>
      </w:rPr>
    </w:pPr>
    <w:hyperlink r:id="rId1" w:history="1">
      <w:r w:rsidR="00391509" w:rsidRPr="00AE044C">
        <w:rPr>
          <w:rStyle w:val="Hipervnculo"/>
          <w:sz w:val="22"/>
          <w:szCs w:val="22"/>
        </w:rPr>
        <w:t>http://scielo.sld.cu</w:t>
      </w:r>
    </w:hyperlink>
  </w:p>
  <w:p w14:paraId="46DF610B" w14:textId="77777777" w:rsidR="00391509" w:rsidRPr="00AE044C" w:rsidRDefault="00B70E6F"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29ACED2" w14:textId="50A1882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7F3341" w:rsidRPr="007F3341">
      <w:rPr>
        <w:rFonts w:ascii="Verdana" w:hAnsi="Verdana"/>
        <w:noProof/>
        <w:sz w:val="18"/>
        <w:szCs w:val="18"/>
        <w:lang w:val="en-US" w:eastAsia="en-US"/>
      </w:rPr>
      <w:drawing>
        <wp:inline distT="0" distB="0" distL="0" distR="0" wp14:anchorId="5EE2EFA3" wp14:editId="79B284E7">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32F55" w14:textId="77777777" w:rsidR="00B70E6F" w:rsidRDefault="00B70E6F">
      <w:r>
        <w:separator/>
      </w:r>
    </w:p>
  </w:footnote>
  <w:footnote w:type="continuationSeparator" w:id="0">
    <w:p w14:paraId="09A196E6" w14:textId="77777777" w:rsidR="00B70E6F" w:rsidRDefault="00B7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538FA" w14:textId="50E57D03" w:rsidR="00CC376A" w:rsidRPr="00AE044C" w:rsidRDefault="007F3341"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0AA76371" wp14:editId="6A8023AC">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r w:rsidR="00493701" w:rsidRPr="00AE044C">
      <w:rPr>
        <w:sz w:val="22"/>
        <w:szCs w:val="22"/>
      </w:rPr>
      <w:t>)</w:t>
    </w:r>
    <w:r w:rsidR="00391509" w:rsidRPr="00AE044C">
      <w:rPr>
        <w:sz w:val="22"/>
        <w:szCs w:val="22"/>
      </w:rPr>
      <w:t>:</w:t>
    </w:r>
    <w:r>
      <w:rPr>
        <w:sz w:val="22"/>
        <w:szCs w:val="22"/>
      </w:rPr>
      <w:t>e02101093</w:t>
    </w:r>
  </w:p>
  <w:p w14:paraId="57277A94" w14:textId="220E01C3" w:rsidR="00A477DE" w:rsidRDefault="007F3341">
    <w:r>
      <w:rPr>
        <w:noProof/>
      </w:rPr>
      <mc:AlternateContent>
        <mc:Choice Requires="wps">
          <w:drawing>
            <wp:anchor distT="0" distB="0" distL="114300" distR="114300" simplePos="0" relativeHeight="251657216" behindDoc="0" locked="0" layoutInCell="1" allowOverlap="1" wp14:anchorId="529E984A" wp14:editId="50E2A62E">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71457F"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41"/>
    <w:rsid w:val="00075485"/>
    <w:rsid w:val="000F3690"/>
    <w:rsid w:val="001221D1"/>
    <w:rsid w:val="00180CE9"/>
    <w:rsid w:val="00230DD5"/>
    <w:rsid w:val="00257CC0"/>
    <w:rsid w:val="00267D64"/>
    <w:rsid w:val="00380D64"/>
    <w:rsid w:val="00391509"/>
    <w:rsid w:val="003E03D5"/>
    <w:rsid w:val="00486BFA"/>
    <w:rsid w:val="00493701"/>
    <w:rsid w:val="004E2065"/>
    <w:rsid w:val="005508A2"/>
    <w:rsid w:val="00563628"/>
    <w:rsid w:val="00566F71"/>
    <w:rsid w:val="0057122A"/>
    <w:rsid w:val="005918BD"/>
    <w:rsid w:val="00675476"/>
    <w:rsid w:val="00792560"/>
    <w:rsid w:val="007C430F"/>
    <w:rsid w:val="007D614D"/>
    <w:rsid w:val="007F3341"/>
    <w:rsid w:val="00960D6A"/>
    <w:rsid w:val="009A0560"/>
    <w:rsid w:val="009B0917"/>
    <w:rsid w:val="00A23C0C"/>
    <w:rsid w:val="00A477DE"/>
    <w:rsid w:val="00A71E65"/>
    <w:rsid w:val="00AE044C"/>
    <w:rsid w:val="00B31971"/>
    <w:rsid w:val="00B4380A"/>
    <w:rsid w:val="00B66ECB"/>
    <w:rsid w:val="00B70E6F"/>
    <w:rsid w:val="00C405DB"/>
    <w:rsid w:val="00C7523A"/>
    <w:rsid w:val="00CC1B6E"/>
    <w:rsid w:val="00CC376A"/>
    <w:rsid w:val="00CC48A1"/>
    <w:rsid w:val="00CF50E0"/>
    <w:rsid w:val="00D85951"/>
    <w:rsid w:val="00E62606"/>
    <w:rsid w:val="00E72974"/>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3E061"/>
  <w15:docId w15:val="{941859F9-7742-4A68-BA13-8DBE8B93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528-8135" TargetMode="External"/><Relationship Id="rId13" Type="http://schemas.openxmlformats.org/officeDocument/2006/relationships/hyperlink" Target="https://www.aspefam.org.pe/series/serie3.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2-6192-4392" TargetMode="External"/><Relationship Id="rId12" Type="http://schemas.openxmlformats.org/officeDocument/2006/relationships/hyperlink" Target="http://www.revmedmilitar.sld.cu/index.php/mil/article/view/91/174"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orcid.org/0000-0002-8822-2104" TargetMode="External"/><Relationship Id="rId11" Type="http://schemas.openxmlformats.org/officeDocument/2006/relationships/hyperlink" Target="https://www.sunedu.gob.pe/licenciamiento-programas-medicina-humana-normativa/"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raranzamendip@unsa.edu.p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orcid.org/0000-0002-5017-5971" TargetMode="External"/><Relationship Id="rId14" Type="http://schemas.openxmlformats.org/officeDocument/2006/relationships/hyperlink" Target="https://www.aspefam.org.pe/redncsc/doc/Bases.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5</TotalTime>
  <Pages>4</Pages>
  <Words>2747</Words>
  <Characters>15114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17826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6</cp:revision>
  <cp:lastPrinted>2021-02-25T21:55:00Z</cp:lastPrinted>
  <dcterms:created xsi:type="dcterms:W3CDTF">2021-02-25T21:53:00Z</dcterms:created>
  <dcterms:modified xsi:type="dcterms:W3CDTF">2021-02-26T16:25:00Z</dcterms:modified>
</cp:coreProperties>
</file>