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FF173" w14:textId="77777777" w:rsidR="00427E69" w:rsidRPr="00BE28A5" w:rsidRDefault="00427E69" w:rsidP="00427E69">
      <w:pPr>
        <w:spacing w:after="0" w:line="360" w:lineRule="auto"/>
        <w:ind w:left="-142" w:right="-234"/>
        <w:jc w:val="right"/>
        <w:rPr>
          <w:rFonts w:ascii="Times New Roman" w:hAnsi="Times New Roman" w:cs="Times New Roman"/>
          <w:bCs/>
          <w:sz w:val="20"/>
          <w:szCs w:val="20"/>
        </w:rPr>
      </w:pPr>
      <w:r w:rsidRPr="00BE28A5">
        <w:rPr>
          <w:rFonts w:ascii="Times New Roman" w:hAnsi="Times New Roman" w:cs="Times New Roman"/>
          <w:bCs/>
          <w:sz w:val="20"/>
          <w:szCs w:val="20"/>
        </w:rPr>
        <w:t>Artículo de investigación</w:t>
      </w:r>
    </w:p>
    <w:p w14:paraId="5E6EB725" w14:textId="77777777" w:rsidR="00427E69" w:rsidRPr="00BE28A5" w:rsidRDefault="00427E69" w:rsidP="00427E69">
      <w:pPr>
        <w:spacing w:after="0" w:line="360" w:lineRule="auto"/>
        <w:ind w:left="-142" w:right="-234"/>
        <w:jc w:val="right"/>
        <w:rPr>
          <w:rFonts w:ascii="Times New Roman" w:hAnsi="Times New Roman" w:cs="Times New Roman"/>
          <w:bCs/>
          <w:sz w:val="24"/>
          <w:szCs w:val="24"/>
        </w:rPr>
      </w:pPr>
    </w:p>
    <w:p w14:paraId="5874F5A2" w14:textId="77777777" w:rsidR="00427E69" w:rsidRPr="00BE28A5" w:rsidRDefault="00427E69" w:rsidP="00427E69">
      <w:pPr>
        <w:spacing w:after="0" w:line="360" w:lineRule="auto"/>
        <w:ind w:left="-142" w:right="-234"/>
        <w:jc w:val="center"/>
        <w:rPr>
          <w:rFonts w:ascii="Times New Roman" w:hAnsi="Times New Roman" w:cs="Times New Roman"/>
          <w:b/>
          <w:sz w:val="28"/>
          <w:szCs w:val="28"/>
        </w:rPr>
      </w:pPr>
      <w:r w:rsidRPr="00BE28A5">
        <w:rPr>
          <w:rFonts w:ascii="Times New Roman" w:hAnsi="Times New Roman" w:cs="Times New Roman"/>
          <w:b/>
          <w:sz w:val="28"/>
          <w:szCs w:val="28"/>
        </w:rPr>
        <w:t>El costo del día-paciente durante la COVID-19</w:t>
      </w:r>
    </w:p>
    <w:p w14:paraId="1A0036F9" w14:textId="7B1DF5E8" w:rsidR="00427E69" w:rsidRPr="00BE28A5" w:rsidRDefault="00427E69" w:rsidP="00427E69">
      <w:pPr>
        <w:autoSpaceDE w:val="0"/>
        <w:autoSpaceDN w:val="0"/>
        <w:adjustRightInd w:val="0"/>
        <w:spacing w:after="0" w:line="360" w:lineRule="auto"/>
        <w:ind w:left="-142"/>
        <w:jc w:val="center"/>
        <w:rPr>
          <w:rFonts w:ascii="Times New Roman" w:hAnsi="Times New Roman" w:cs="Times New Roman"/>
          <w:color w:val="000000"/>
          <w:sz w:val="24"/>
          <w:szCs w:val="24"/>
          <w:lang w:val="en-US"/>
        </w:rPr>
      </w:pPr>
      <w:r w:rsidRPr="00BE28A5">
        <w:rPr>
          <w:rFonts w:ascii="Times New Roman" w:hAnsi="Times New Roman" w:cs="Times New Roman"/>
          <w:sz w:val="28"/>
          <w:szCs w:val="28"/>
          <w:lang w:val="en"/>
        </w:rPr>
        <w:t xml:space="preserve">The cost of the patient-day during </w:t>
      </w:r>
      <w:r w:rsidR="00923E16" w:rsidRPr="00BE28A5">
        <w:rPr>
          <w:rFonts w:ascii="Times New Roman" w:hAnsi="Times New Roman" w:cs="Times New Roman"/>
          <w:sz w:val="28"/>
          <w:szCs w:val="28"/>
          <w:lang w:val="en"/>
        </w:rPr>
        <w:t>COVID</w:t>
      </w:r>
      <w:r w:rsidRPr="00BE28A5">
        <w:rPr>
          <w:rFonts w:ascii="Times New Roman" w:hAnsi="Times New Roman" w:cs="Times New Roman"/>
          <w:sz w:val="28"/>
          <w:szCs w:val="28"/>
          <w:lang w:val="en"/>
        </w:rPr>
        <w:t>-19</w:t>
      </w:r>
    </w:p>
    <w:p w14:paraId="1549B03F" w14:textId="77777777" w:rsidR="00427E69" w:rsidRPr="00BE28A5" w:rsidRDefault="00427E69" w:rsidP="00427E69">
      <w:pPr>
        <w:autoSpaceDE w:val="0"/>
        <w:autoSpaceDN w:val="0"/>
        <w:adjustRightInd w:val="0"/>
        <w:spacing w:after="0" w:line="360" w:lineRule="auto"/>
        <w:ind w:left="-142"/>
        <w:rPr>
          <w:rFonts w:ascii="Times New Roman" w:hAnsi="Times New Roman" w:cs="Times New Roman"/>
          <w:color w:val="000000"/>
          <w:sz w:val="24"/>
          <w:szCs w:val="24"/>
          <w:lang w:val="en-US"/>
        </w:rPr>
      </w:pPr>
    </w:p>
    <w:p w14:paraId="46FB26CB" w14:textId="77777777" w:rsidR="00427E69" w:rsidRPr="00BE28A5" w:rsidRDefault="00427E69" w:rsidP="00427E69">
      <w:pPr>
        <w:autoSpaceDE w:val="0"/>
        <w:autoSpaceDN w:val="0"/>
        <w:adjustRightInd w:val="0"/>
        <w:spacing w:after="0" w:line="360" w:lineRule="auto"/>
        <w:ind w:left="-142"/>
        <w:rPr>
          <w:rFonts w:ascii="Times New Roman" w:hAnsi="Times New Roman" w:cs="Times New Roman"/>
          <w:color w:val="000000"/>
          <w:sz w:val="24"/>
          <w:szCs w:val="24"/>
        </w:rPr>
      </w:pPr>
      <w:r w:rsidRPr="00BE28A5">
        <w:rPr>
          <w:rFonts w:ascii="Times New Roman" w:hAnsi="Times New Roman" w:cs="Times New Roman"/>
          <w:color w:val="000000"/>
          <w:sz w:val="24"/>
          <w:szCs w:val="24"/>
        </w:rPr>
        <w:t>Ernesto Sánchez Hernández</w:t>
      </w:r>
      <w:r w:rsidRPr="00BE28A5">
        <w:rPr>
          <w:rFonts w:ascii="Times New Roman" w:hAnsi="Times New Roman" w:cs="Times New Roman"/>
          <w:color w:val="000000"/>
          <w:sz w:val="24"/>
          <w:szCs w:val="24"/>
          <w:vertAlign w:val="superscript"/>
        </w:rPr>
        <w:t>1</w:t>
      </w:r>
      <w:r w:rsidRPr="00BE28A5">
        <w:rPr>
          <w:rFonts w:ascii="Times New Roman" w:hAnsi="Times New Roman" w:cs="Times New Roman"/>
          <w:color w:val="000000"/>
          <w:sz w:val="24"/>
          <w:szCs w:val="24"/>
        </w:rPr>
        <w:t xml:space="preserve">* </w:t>
      </w:r>
      <w:hyperlink r:id="rId7" w:history="1">
        <w:r w:rsidRPr="00BE28A5">
          <w:rPr>
            <w:rStyle w:val="Hipervnculo"/>
            <w:rFonts w:ascii="Times New Roman" w:hAnsi="Times New Roman" w:cs="Times New Roman"/>
            <w:sz w:val="24"/>
            <w:szCs w:val="24"/>
          </w:rPr>
          <w:t>https://orcid.org/0000-0001-6898-9685</w:t>
        </w:r>
      </w:hyperlink>
      <w:r w:rsidRPr="00BE28A5">
        <w:rPr>
          <w:rFonts w:ascii="Times New Roman" w:hAnsi="Times New Roman" w:cs="Times New Roman"/>
          <w:color w:val="000000"/>
          <w:sz w:val="24"/>
          <w:szCs w:val="24"/>
        </w:rPr>
        <w:t xml:space="preserve"> </w:t>
      </w:r>
    </w:p>
    <w:p w14:paraId="2C0C25A5" w14:textId="77777777" w:rsidR="00427E69" w:rsidRPr="00BE28A5" w:rsidRDefault="00427E69" w:rsidP="00427E69">
      <w:pPr>
        <w:autoSpaceDE w:val="0"/>
        <w:autoSpaceDN w:val="0"/>
        <w:adjustRightInd w:val="0"/>
        <w:spacing w:after="0" w:line="360" w:lineRule="auto"/>
        <w:ind w:left="-142"/>
        <w:rPr>
          <w:rFonts w:ascii="Times New Roman" w:hAnsi="Times New Roman" w:cs="Times New Roman"/>
          <w:color w:val="000000"/>
          <w:sz w:val="24"/>
          <w:szCs w:val="24"/>
        </w:rPr>
      </w:pPr>
      <w:proofErr w:type="spellStart"/>
      <w:r w:rsidRPr="00BE28A5">
        <w:rPr>
          <w:rFonts w:ascii="Times New Roman" w:hAnsi="Times New Roman" w:cs="Times New Roman"/>
          <w:color w:val="000000"/>
          <w:sz w:val="24"/>
          <w:szCs w:val="24"/>
        </w:rPr>
        <w:t>Jacno</w:t>
      </w:r>
      <w:proofErr w:type="spellEnd"/>
      <w:r w:rsidRPr="00BE28A5">
        <w:rPr>
          <w:rFonts w:ascii="Times New Roman" w:hAnsi="Times New Roman" w:cs="Times New Roman"/>
          <w:color w:val="000000"/>
          <w:sz w:val="24"/>
          <w:szCs w:val="24"/>
        </w:rPr>
        <w:t xml:space="preserve"> Erik Ferrer Castro</w:t>
      </w:r>
      <w:r w:rsidRPr="00BE28A5">
        <w:rPr>
          <w:rFonts w:ascii="Times New Roman" w:hAnsi="Times New Roman" w:cs="Times New Roman"/>
          <w:color w:val="000000"/>
          <w:sz w:val="24"/>
          <w:szCs w:val="24"/>
          <w:vertAlign w:val="superscript"/>
        </w:rPr>
        <w:t>1</w:t>
      </w:r>
      <w:r w:rsidRPr="00BE28A5">
        <w:rPr>
          <w:rFonts w:ascii="Times New Roman" w:hAnsi="Times New Roman" w:cs="Times New Roman"/>
          <w:color w:val="000000"/>
          <w:sz w:val="24"/>
          <w:szCs w:val="24"/>
        </w:rPr>
        <w:t xml:space="preserve"> </w:t>
      </w:r>
      <w:hyperlink r:id="rId8" w:history="1">
        <w:r w:rsidRPr="00BE28A5">
          <w:rPr>
            <w:rStyle w:val="Hipervnculo"/>
            <w:rFonts w:ascii="Times New Roman" w:hAnsi="Times New Roman" w:cs="Times New Roman"/>
            <w:sz w:val="24"/>
            <w:szCs w:val="24"/>
          </w:rPr>
          <w:t>https://orcid.org/0000-0001-8605-4795</w:t>
        </w:r>
      </w:hyperlink>
      <w:r w:rsidRPr="00BE28A5">
        <w:rPr>
          <w:rFonts w:ascii="Times New Roman" w:hAnsi="Times New Roman" w:cs="Times New Roman"/>
          <w:color w:val="000000"/>
          <w:sz w:val="24"/>
          <w:szCs w:val="24"/>
        </w:rPr>
        <w:t xml:space="preserve"> </w:t>
      </w:r>
    </w:p>
    <w:p w14:paraId="690CF3FF" w14:textId="77777777" w:rsidR="00427E69" w:rsidRPr="00BE28A5" w:rsidRDefault="00427E69" w:rsidP="00427E69">
      <w:pPr>
        <w:autoSpaceDE w:val="0"/>
        <w:autoSpaceDN w:val="0"/>
        <w:adjustRightInd w:val="0"/>
        <w:spacing w:after="0" w:line="360" w:lineRule="auto"/>
        <w:ind w:left="-142"/>
        <w:rPr>
          <w:rFonts w:ascii="Times New Roman" w:hAnsi="Times New Roman" w:cs="Times New Roman"/>
          <w:color w:val="000000"/>
          <w:sz w:val="24"/>
          <w:szCs w:val="24"/>
        </w:rPr>
      </w:pPr>
    </w:p>
    <w:p w14:paraId="30F95B4C" w14:textId="77777777" w:rsidR="00427E69" w:rsidRPr="00BE28A5" w:rsidRDefault="00427E69" w:rsidP="00427E69">
      <w:pPr>
        <w:autoSpaceDE w:val="0"/>
        <w:autoSpaceDN w:val="0"/>
        <w:adjustRightInd w:val="0"/>
        <w:spacing w:after="0" w:line="360" w:lineRule="auto"/>
        <w:ind w:left="-142"/>
        <w:rPr>
          <w:rFonts w:ascii="Times New Roman" w:hAnsi="Times New Roman" w:cs="Times New Roman"/>
          <w:color w:val="000000"/>
          <w:sz w:val="24"/>
          <w:szCs w:val="24"/>
        </w:rPr>
      </w:pPr>
      <w:r w:rsidRPr="00BE28A5">
        <w:rPr>
          <w:rFonts w:ascii="Times New Roman" w:hAnsi="Times New Roman" w:cs="Times New Roman"/>
          <w:color w:val="000000"/>
          <w:sz w:val="24"/>
          <w:szCs w:val="24"/>
          <w:vertAlign w:val="superscript"/>
        </w:rPr>
        <w:t>1</w:t>
      </w:r>
      <w:r w:rsidRPr="00BE28A5">
        <w:rPr>
          <w:rFonts w:ascii="Times New Roman" w:hAnsi="Times New Roman" w:cs="Times New Roman"/>
          <w:color w:val="000000"/>
          <w:sz w:val="24"/>
          <w:szCs w:val="24"/>
        </w:rPr>
        <w:t xml:space="preserve">Hospital Militar “Dr. Joaquín Castillo </w:t>
      </w:r>
      <w:proofErr w:type="spellStart"/>
      <w:r w:rsidRPr="00BE28A5">
        <w:rPr>
          <w:rFonts w:ascii="Times New Roman" w:hAnsi="Times New Roman" w:cs="Times New Roman"/>
          <w:color w:val="000000"/>
          <w:sz w:val="24"/>
          <w:szCs w:val="24"/>
        </w:rPr>
        <w:t>Duany</w:t>
      </w:r>
      <w:proofErr w:type="spellEnd"/>
      <w:r w:rsidRPr="00BE28A5">
        <w:rPr>
          <w:rFonts w:ascii="Times New Roman" w:hAnsi="Times New Roman" w:cs="Times New Roman"/>
          <w:color w:val="000000"/>
          <w:sz w:val="24"/>
          <w:szCs w:val="24"/>
        </w:rPr>
        <w:t>”. Santiago de Cuba, Cuba.</w:t>
      </w:r>
    </w:p>
    <w:p w14:paraId="69304E65" w14:textId="77777777" w:rsidR="00427E69" w:rsidRPr="00BE28A5" w:rsidRDefault="00427E69" w:rsidP="00427E69">
      <w:pPr>
        <w:autoSpaceDE w:val="0"/>
        <w:autoSpaceDN w:val="0"/>
        <w:adjustRightInd w:val="0"/>
        <w:spacing w:after="0" w:line="360" w:lineRule="auto"/>
        <w:ind w:left="-142"/>
        <w:rPr>
          <w:rFonts w:ascii="Times New Roman" w:hAnsi="Times New Roman" w:cs="Times New Roman"/>
          <w:color w:val="000000"/>
          <w:sz w:val="24"/>
          <w:szCs w:val="24"/>
        </w:rPr>
      </w:pPr>
    </w:p>
    <w:p w14:paraId="7D3C6615" w14:textId="77777777" w:rsidR="00427E69" w:rsidRPr="00BE28A5" w:rsidRDefault="00427E69" w:rsidP="00427E69">
      <w:pPr>
        <w:autoSpaceDE w:val="0"/>
        <w:autoSpaceDN w:val="0"/>
        <w:adjustRightInd w:val="0"/>
        <w:spacing w:after="0" w:line="360" w:lineRule="auto"/>
        <w:ind w:left="-142"/>
        <w:rPr>
          <w:rFonts w:ascii="Times New Roman" w:hAnsi="Times New Roman" w:cs="Times New Roman"/>
          <w:sz w:val="24"/>
          <w:szCs w:val="24"/>
        </w:rPr>
      </w:pPr>
      <w:r w:rsidRPr="00BE28A5">
        <w:rPr>
          <w:rFonts w:ascii="Times New Roman" w:hAnsi="Times New Roman" w:cs="Times New Roman"/>
          <w:color w:val="000000"/>
          <w:sz w:val="24"/>
          <w:szCs w:val="24"/>
        </w:rPr>
        <w:t xml:space="preserve">*Autor para la correspondencia: </w:t>
      </w:r>
      <w:hyperlink r:id="rId9" w:history="1">
        <w:r w:rsidRPr="00BE28A5">
          <w:rPr>
            <w:rStyle w:val="Hipervnculo"/>
            <w:rFonts w:ascii="Times New Roman" w:hAnsi="Times New Roman" w:cs="Times New Roman"/>
            <w:sz w:val="24"/>
            <w:szCs w:val="24"/>
          </w:rPr>
          <w:t>ernesto.sanchez@infomed.sld.cu</w:t>
        </w:r>
      </w:hyperlink>
    </w:p>
    <w:p w14:paraId="11253B54" w14:textId="77777777" w:rsidR="00427E69" w:rsidRPr="00BE28A5" w:rsidRDefault="00427E69" w:rsidP="00427E69">
      <w:pPr>
        <w:autoSpaceDE w:val="0"/>
        <w:autoSpaceDN w:val="0"/>
        <w:adjustRightInd w:val="0"/>
        <w:spacing w:after="0" w:line="360" w:lineRule="auto"/>
        <w:ind w:left="-142"/>
        <w:rPr>
          <w:rFonts w:ascii="Times New Roman" w:hAnsi="Times New Roman" w:cs="Times New Roman"/>
          <w:color w:val="000000"/>
          <w:sz w:val="24"/>
          <w:szCs w:val="24"/>
        </w:rPr>
      </w:pPr>
    </w:p>
    <w:p w14:paraId="5C61B731" w14:textId="77777777" w:rsidR="00427E69" w:rsidRPr="00BE28A5" w:rsidRDefault="00427E69" w:rsidP="00427E69">
      <w:pPr>
        <w:spacing w:after="0" w:line="360" w:lineRule="auto"/>
        <w:ind w:left="-142" w:right="-232"/>
        <w:rPr>
          <w:rFonts w:ascii="Times New Roman" w:eastAsia="Times New Roman" w:hAnsi="Times New Roman" w:cs="Times New Roman"/>
          <w:color w:val="000000"/>
          <w:sz w:val="24"/>
          <w:szCs w:val="24"/>
          <w:lang w:eastAsia="es-ES"/>
        </w:rPr>
      </w:pPr>
      <w:r w:rsidRPr="00BE28A5">
        <w:rPr>
          <w:rFonts w:ascii="Times New Roman" w:eastAsia="Times New Roman" w:hAnsi="Times New Roman" w:cs="Times New Roman"/>
          <w:b/>
          <w:bCs/>
          <w:color w:val="000000"/>
          <w:sz w:val="24"/>
          <w:szCs w:val="24"/>
          <w:lang w:eastAsia="es-ES"/>
        </w:rPr>
        <w:t>RESUMEN</w:t>
      </w:r>
      <w:r w:rsidRPr="00BE28A5">
        <w:rPr>
          <w:rFonts w:ascii="Times New Roman" w:eastAsia="Times New Roman" w:hAnsi="Times New Roman" w:cs="Times New Roman"/>
          <w:color w:val="000000"/>
          <w:sz w:val="24"/>
          <w:szCs w:val="24"/>
          <w:lang w:eastAsia="es-ES"/>
        </w:rPr>
        <w:t xml:space="preserve"> </w:t>
      </w:r>
    </w:p>
    <w:p w14:paraId="2BBDBD0D" w14:textId="77777777" w:rsidR="00427E69" w:rsidRPr="00BE28A5" w:rsidRDefault="00427E69" w:rsidP="00427E69">
      <w:pPr>
        <w:spacing w:after="0" w:line="360" w:lineRule="auto"/>
        <w:ind w:left="-142" w:right="-232"/>
        <w:jc w:val="both"/>
        <w:rPr>
          <w:rFonts w:ascii="Times New Roman" w:hAnsi="Times New Roman" w:cs="Times New Roman"/>
          <w:sz w:val="24"/>
          <w:szCs w:val="24"/>
        </w:rPr>
      </w:pPr>
      <w:r w:rsidRPr="00BE28A5">
        <w:rPr>
          <w:rFonts w:ascii="Times New Roman" w:eastAsia="Times New Roman" w:hAnsi="Times New Roman" w:cs="Times New Roman"/>
          <w:b/>
          <w:bCs/>
          <w:color w:val="000000"/>
          <w:sz w:val="24"/>
          <w:szCs w:val="24"/>
          <w:lang w:eastAsia="es-ES"/>
        </w:rPr>
        <w:t>Introducción:</w:t>
      </w:r>
      <w:r w:rsidRPr="00BE28A5">
        <w:rPr>
          <w:rFonts w:ascii="Times New Roman" w:eastAsia="Times New Roman" w:hAnsi="Times New Roman" w:cs="Times New Roman"/>
          <w:color w:val="000000"/>
          <w:sz w:val="24"/>
          <w:szCs w:val="24"/>
          <w:lang w:eastAsia="es-ES"/>
        </w:rPr>
        <w:t xml:space="preserve"> </w:t>
      </w:r>
      <w:r w:rsidRPr="00BE28A5">
        <w:rPr>
          <w:rFonts w:ascii="Times New Roman" w:hAnsi="Times New Roman" w:cs="Times New Roman"/>
          <w:sz w:val="24"/>
          <w:szCs w:val="24"/>
        </w:rPr>
        <w:t>En 2020 se observó un crecimiento exponencial y acelerada expansión de la COVID-19.  Cuba contaba con 20 hospitales dispuestos para la atención médica, unas 5 000 camas de hospitalización y 477 camas de terapia intensiva.</w:t>
      </w:r>
    </w:p>
    <w:p w14:paraId="290A64EE" w14:textId="77777777" w:rsidR="00427E69" w:rsidRPr="00BE28A5" w:rsidRDefault="00427E69" w:rsidP="00427E69">
      <w:pPr>
        <w:spacing w:after="0" w:line="360" w:lineRule="auto"/>
        <w:ind w:left="-142" w:right="-234"/>
        <w:jc w:val="both"/>
        <w:rPr>
          <w:rFonts w:ascii="Times New Roman" w:hAnsi="Times New Roman" w:cs="Times New Roman"/>
          <w:sz w:val="24"/>
          <w:szCs w:val="24"/>
        </w:rPr>
      </w:pPr>
      <w:r w:rsidRPr="00BE28A5">
        <w:rPr>
          <w:rFonts w:ascii="Times New Roman" w:eastAsia="Times New Roman" w:hAnsi="Times New Roman" w:cs="Times New Roman"/>
          <w:b/>
          <w:bCs/>
          <w:color w:val="000000"/>
          <w:sz w:val="24"/>
          <w:szCs w:val="24"/>
          <w:lang w:eastAsia="es-ES"/>
        </w:rPr>
        <w:t>Objetivo:</w:t>
      </w:r>
      <w:r w:rsidRPr="00BE28A5">
        <w:rPr>
          <w:rFonts w:ascii="Times New Roman" w:eastAsia="Times New Roman" w:hAnsi="Times New Roman" w:cs="Times New Roman"/>
          <w:color w:val="000000"/>
          <w:sz w:val="24"/>
          <w:szCs w:val="24"/>
          <w:lang w:eastAsia="es-ES"/>
        </w:rPr>
        <w:t xml:space="preserve"> </w:t>
      </w:r>
      <w:r w:rsidRPr="00BE28A5">
        <w:rPr>
          <w:rFonts w:ascii="Times New Roman" w:hAnsi="Times New Roman" w:cs="Times New Roman"/>
          <w:sz w:val="24"/>
          <w:szCs w:val="24"/>
        </w:rPr>
        <w:t xml:space="preserve">Describir el costo de los principales servicios asistenciales y de aseguramiento logístico durante la respuesta a la COVID-19. </w:t>
      </w:r>
    </w:p>
    <w:p w14:paraId="0ECEC3B3" w14:textId="77777777" w:rsidR="00427E69" w:rsidRPr="00BE28A5" w:rsidRDefault="00427E69" w:rsidP="00427E69">
      <w:pPr>
        <w:spacing w:after="0" w:line="360" w:lineRule="auto"/>
        <w:ind w:left="-142" w:right="-234"/>
        <w:jc w:val="both"/>
        <w:rPr>
          <w:rFonts w:ascii="Times New Roman" w:hAnsi="Times New Roman" w:cs="Times New Roman"/>
          <w:sz w:val="24"/>
          <w:szCs w:val="24"/>
        </w:rPr>
      </w:pPr>
      <w:r w:rsidRPr="00BE28A5">
        <w:rPr>
          <w:rFonts w:ascii="Times New Roman" w:eastAsia="Times New Roman" w:hAnsi="Times New Roman" w:cs="Times New Roman"/>
          <w:b/>
          <w:bCs/>
          <w:color w:val="000000"/>
          <w:sz w:val="24"/>
          <w:szCs w:val="24"/>
          <w:lang w:eastAsia="es-ES"/>
        </w:rPr>
        <w:t>Métodos:</w:t>
      </w:r>
      <w:r w:rsidRPr="00BE28A5">
        <w:rPr>
          <w:rFonts w:ascii="Times New Roman" w:eastAsia="Times New Roman" w:hAnsi="Times New Roman" w:cs="Times New Roman"/>
          <w:color w:val="000000"/>
          <w:sz w:val="24"/>
          <w:szCs w:val="24"/>
          <w:lang w:eastAsia="es-ES"/>
        </w:rPr>
        <w:t xml:space="preserve"> </w:t>
      </w:r>
      <w:r w:rsidRPr="00BE28A5">
        <w:rPr>
          <w:rFonts w:ascii="Times New Roman" w:hAnsi="Times New Roman" w:cs="Times New Roman"/>
          <w:sz w:val="24"/>
          <w:szCs w:val="24"/>
        </w:rPr>
        <w:t xml:space="preserve">Se realizó un estudio descriptivo y prospectivo en 363 pacientes, entre el 12 de marzo y el </w:t>
      </w:r>
      <w:smartTag w:uri="urn:schemas-microsoft-com:office:smarttags" w:element="date">
        <w:smartTagPr>
          <w:attr w:name="Year" w:val="2020"/>
          <w:attr w:name="Day" w:val="30"/>
          <w:attr w:name="Month" w:val="5"/>
          <w:attr w:name="ls" w:val="trans"/>
        </w:smartTagPr>
        <w:r w:rsidRPr="00BE28A5">
          <w:rPr>
            <w:rFonts w:ascii="Times New Roman" w:hAnsi="Times New Roman" w:cs="Times New Roman"/>
            <w:sz w:val="24"/>
            <w:szCs w:val="24"/>
          </w:rPr>
          <w:t>30 mayo de 2020</w:t>
        </w:r>
      </w:smartTag>
      <w:r w:rsidRPr="00BE28A5">
        <w:rPr>
          <w:rFonts w:ascii="Times New Roman" w:hAnsi="Times New Roman" w:cs="Times New Roman"/>
          <w:sz w:val="24"/>
          <w:szCs w:val="24"/>
        </w:rPr>
        <w:t>. Las variables estudiadas fueron el día paciente, día cama, medicamentos, insumos médicos, alimentos, ropería, costo por salario y energía eléctrica consumida.  Para la obtención del costo total de un día paciente, se sumaron los costos fijos y variables, expresados en pesos cubanos CUP.</w:t>
      </w:r>
    </w:p>
    <w:p w14:paraId="2D365736" w14:textId="77777777" w:rsidR="00427E69" w:rsidRPr="00BE28A5" w:rsidRDefault="00427E69" w:rsidP="00427E69">
      <w:pPr>
        <w:tabs>
          <w:tab w:val="left" w:pos="8789"/>
        </w:tabs>
        <w:spacing w:after="0" w:line="360" w:lineRule="auto"/>
        <w:ind w:left="-142" w:right="-234"/>
        <w:jc w:val="both"/>
        <w:rPr>
          <w:rFonts w:ascii="Times New Roman" w:eastAsia="Times New Roman" w:hAnsi="Times New Roman" w:cs="Times New Roman"/>
          <w:b/>
          <w:bCs/>
          <w:color w:val="000000"/>
          <w:sz w:val="24"/>
          <w:szCs w:val="24"/>
          <w:lang w:eastAsia="es-ES"/>
        </w:rPr>
      </w:pPr>
      <w:r w:rsidRPr="00BE28A5">
        <w:rPr>
          <w:rFonts w:ascii="Times New Roman" w:eastAsia="Times New Roman" w:hAnsi="Times New Roman" w:cs="Times New Roman"/>
          <w:b/>
          <w:bCs/>
          <w:color w:val="000000"/>
          <w:sz w:val="24"/>
          <w:szCs w:val="24"/>
          <w:lang w:eastAsia="es-ES"/>
        </w:rPr>
        <w:t>Resultados:</w:t>
      </w:r>
      <w:r w:rsidRPr="00BE28A5">
        <w:rPr>
          <w:rFonts w:ascii="Times New Roman" w:eastAsia="Times New Roman" w:hAnsi="Times New Roman" w:cs="Times New Roman"/>
          <w:color w:val="000000"/>
          <w:sz w:val="24"/>
          <w:szCs w:val="24"/>
          <w:lang w:eastAsia="es-ES"/>
        </w:rPr>
        <w:t xml:space="preserve"> </w:t>
      </w:r>
      <w:r w:rsidRPr="00BE28A5">
        <w:rPr>
          <w:rFonts w:ascii="Times New Roman" w:hAnsi="Times New Roman" w:cs="Times New Roman"/>
          <w:sz w:val="24"/>
          <w:szCs w:val="24"/>
        </w:rPr>
        <w:t xml:space="preserve">En </w:t>
      </w:r>
      <w:r>
        <w:rPr>
          <w:rFonts w:ascii="Times New Roman" w:hAnsi="Times New Roman" w:cs="Times New Roman"/>
          <w:sz w:val="24"/>
          <w:szCs w:val="24"/>
        </w:rPr>
        <w:t xml:space="preserve">la </w:t>
      </w:r>
      <w:r w:rsidRPr="00BE28A5">
        <w:rPr>
          <w:rFonts w:ascii="Times New Roman" w:hAnsi="Times New Roman" w:cs="Times New Roman"/>
          <w:sz w:val="24"/>
          <w:szCs w:val="24"/>
        </w:rPr>
        <w:t>sala de pacientes sospechosos</w:t>
      </w:r>
      <w:r>
        <w:rPr>
          <w:rFonts w:ascii="Times New Roman" w:hAnsi="Times New Roman" w:cs="Times New Roman"/>
          <w:sz w:val="24"/>
          <w:szCs w:val="24"/>
        </w:rPr>
        <w:t>,</w:t>
      </w:r>
      <w:r w:rsidRPr="00BE28A5">
        <w:rPr>
          <w:rFonts w:ascii="Times New Roman" w:hAnsi="Times New Roman" w:cs="Times New Roman"/>
          <w:sz w:val="24"/>
          <w:szCs w:val="24"/>
        </w:rPr>
        <w:t xml:space="preserve"> se observó un número alto de días pacientes (14</w:t>
      </w:r>
      <w:r>
        <w:rPr>
          <w:rFonts w:ascii="Times New Roman" w:hAnsi="Times New Roman" w:cs="Times New Roman"/>
          <w:sz w:val="24"/>
          <w:szCs w:val="24"/>
        </w:rPr>
        <w:t> </w:t>
      </w:r>
      <w:r w:rsidRPr="00BE28A5">
        <w:rPr>
          <w:rFonts w:ascii="Times New Roman" w:hAnsi="Times New Roman" w:cs="Times New Roman"/>
          <w:sz w:val="24"/>
          <w:szCs w:val="24"/>
        </w:rPr>
        <w:t>578) y un número bajo de días camas (5 976). El costo promedio por salario fue mayor en enfermería (226,2 CUP). Los medicamentos generaron un elevado costo (35,6 %). En abril se registró el mayor consumo de electricidad (36,6 %) y un costo de 18 071,1 CUP. En relación al total de días paciente, se observó un aumento de los costos fijos (87,30 %) sobre los variables.</w:t>
      </w:r>
    </w:p>
    <w:p w14:paraId="18BC7A67"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color w:val="FF0000"/>
          <w:sz w:val="24"/>
          <w:szCs w:val="24"/>
        </w:rPr>
      </w:pPr>
      <w:r w:rsidRPr="00BE28A5">
        <w:rPr>
          <w:rFonts w:ascii="Times New Roman" w:eastAsia="Times New Roman" w:hAnsi="Times New Roman" w:cs="Times New Roman"/>
          <w:b/>
          <w:bCs/>
          <w:color w:val="000000"/>
          <w:sz w:val="24"/>
          <w:szCs w:val="24"/>
          <w:lang w:eastAsia="es-ES"/>
        </w:rPr>
        <w:lastRenderedPageBreak/>
        <w:t xml:space="preserve">Conclusiones: </w:t>
      </w:r>
      <w:r w:rsidRPr="00BE28A5">
        <w:rPr>
          <w:rFonts w:ascii="Times New Roman" w:hAnsi="Times New Roman" w:cs="Times New Roman"/>
          <w:sz w:val="24"/>
          <w:szCs w:val="24"/>
        </w:rPr>
        <w:t>El análisis del costo del día paciente durante la epidemia de la COVID-19 permitió detallar, por salas de hospitalización, cuánto varían los gastos entre servicios asistenciales y de aseguramiento logístico</w:t>
      </w:r>
      <w:r>
        <w:rPr>
          <w:rFonts w:ascii="Times New Roman" w:hAnsi="Times New Roman" w:cs="Times New Roman"/>
          <w:sz w:val="24"/>
          <w:szCs w:val="24"/>
        </w:rPr>
        <w:t>,</w:t>
      </w:r>
      <w:r w:rsidRPr="00BE28A5">
        <w:rPr>
          <w:rFonts w:ascii="Times New Roman" w:hAnsi="Times New Roman" w:cs="Times New Roman"/>
          <w:sz w:val="24"/>
          <w:szCs w:val="24"/>
        </w:rPr>
        <w:t xml:space="preserve"> así como las diferencias entre los costos fijos y variables.</w:t>
      </w:r>
    </w:p>
    <w:p w14:paraId="11B07559" w14:textId="77777777" w:rsidR="00427E69" w:rsidRPr="00BE28A5" w:rsidRDefault="00427E69" w:rsidP="00427E69">
      <w:pPr>
        <w:tabs>
          <w:tab w:val="left" w:pos="8789"/>
        </w:tabs>
        <w:spacing w:after="0" w:line="360" w:lineRule="auto"/>
        <w:ind w:left="-142" w:right="-234"/>
        <w:rPr>
          <w:rFonts w:ascii="Times New Roman" w:eastAsia="Times New Roman" w:hAnsi="Times New Roman" w:cs="Times New Roman"/>
          <w:sz w:val="24"/>
          <w:szCs w:val="24"/>
          <w:lang w:eastAsia="es-ES"/>
        </w:rPr>
      </w:pPr>
      <w:r w:rsidRPr="00BE28A5">
        <w:rPr>
          <w:rFonts w:ascii="Times New Roman" w:eastAsia="Times New Roman" w:hAnsi="Times New Roman" w:cs="Times New Roman"/>
          <w:b/>
          <w:color w:val="000000"/>
          <w:sz w:val="24"/>
          <w:szCs w:val="24"/>
          <w:lang w:eastAsia="es-ES"/>
        </w:rPr>
        <w:t>Palabras clave</w:t>
      </w:r>
      <w:r w:rsidRPr="00BE28A5">
        <w:rPr>
          <w:rFonts w:ascii="Times New Roman" w:eastAsia="Times New Roman" w:hAnsi="Times New Roman" w:cs="Times New Roman"/>
          <w:bCs/>
          <w:color w:val="000000"/>
          <w:sz w:val="24"/>
          <w:szCs w:val="24"/>
          <w:lang w:eastAsia="es-ES"/>
        </w:rPr>
        <w:t>:</w:t>
      </w:r>
      <w:r w:rsidRPr="00BE28A5">
        <w:rPr>
          <w:rFonts w:ascii="Times New Roman" w:eastAsia="Times New Roman" w:hAnsi="Times New Roman" w:cs="Times New Roman"/>
          <w:color w:val="000000"/>
          <w:sz w:val="24"/>
          <w:szCs w:val="24"/>
          <w:lang w:eastAsia="es-ES"/>
        </w:rPr>
        <w:t xml:space="preserve"> COVID-19; coronavirus; transmisión; economía. </w:t>
      </w:r>
    </w:p>
    <w:p w14:paraId="39928617" w14:textId="77777777" w:rsidR="00427E69" w:rsidRPr="00BE28A5" w:rsidRDefault="00427E69" w:rsidP="00427E69">
      <w:pPr>
        <w:spacing w:after="0" w:line="360" w:lineRule="auto"/>
        <w:ind w:left="-142" w:right="-234"/>
        <w:jc w:val="both"/>
        <w:rPr>
          <w:rFonts w:ascii="Times New Roman" w:hAnsi="Times New Roman" w:cs="Times New Roman"/>
          <w:b/>
          <w:sz w:val="24"/>
          <w:szCs w:val="24"/>
        </w:rPr>
      </w:pPr>
    </w:p>
    <w:p w14:paraId="452EE105" w14:textId="77777777" w:rsidR="00427E69" w:rsidRPr="00BE28A5" w:rsidRDefault="00427E69" w:rsidP="0042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right="-234"/>
        <w:jc w:val="both"/>
        <w:rPr>
          <w:rFonts w:ascii="Times New Roman" w:eastAsia="Times New Roman" w:hAnsi="Times New Roman" w:cs="Times New Roman"/>
          <w:b/>
          <w:sz w:val="24"/>
          <w:szCs w:val="24"/>
          <w:lang w:val="en" w:eastAsia="es-ES"/>
        </w:rPr>
      </w:pPr>
      <w:r w:rsidRPr="00BE28A5">
        <w:rPr>
          <w:rFonts w:ascii="Times New Roman" w:eastAsia="Times New Roman" w:hAnsi="Times New Roman" w:cs="Times New Roman"/>
          <w:b/>
          <w:sz w:val="24"/>
          <w:szCs w:val="24"/>
          <w:lang w:val="en" w:eastAsia="es-ES"/>
        </w:rPr>
        <w:t>ABSTRACT</w:t>
      </w:r>
    </w:p>
    <w:p w14:paraId="327B4D4A" w14:textId="77777777" w:rsidR="00427E69" w:rsidRPr="007649D3" w:rsidRDefault="00427E69" w:rsidP="0042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right="-234"/>
        <w:jc w:val="both"/>
        <w:rPr>
          <w:rFonts w:ascii="Times New Roman" w:eastAsia="Times New Roman" w:hAnsi="Times New Roman" w:cs="Times New Roman"/>
          <w:bCs/>
          <w:sz w:val="24"/>
          <w:szCs w:val="24"/>
          <w:lang w:val="en" w:eastAsia="es-ES"/>
        </w:rPr>
      </w:pPr>
      <w:r w:rsidRPr="007649D3">
        <w:rPr>
          <w:rFonts w:ascii="Times New Roman" w:eastAsia="Times New Roman" w:hAnsi="Times New Roman" w:cs="Times New Roman"/>
          <w:b/>
          <w:sz w:val="24"/>
          <w:szCs w:val="24"/>
          <w:lang w:val="en" w:eastAsia="es-ES"/>
        </w:rPr>
        <w:t>Introduction:</w:t>
      </w:r>
      <w:r w:rsidRPr="007649D3">
        <w:rPr>
          <w:rFonts w:ascii="Times New Roman" w:eastAsia="Times New Roman" w:hAnsi="Times New Roman" w:cs="Times New Roman"/>
          <w:bCs/>
          <w:sz w:val="24"/>
          <w:szCs w:val="24"/>
          <w:lang w:val="en" w:eastAsia="es-ES"/>
        </w:rPr>
        <w:t xml:space="preserve"> In 2020, an exponential growth and accelerated expansion of COVID-19 was observed. Cuba had 20 hospitals ready for medical care, some 5,000 hospital beds and 477 intensive therapy beds.</w:t>
      </w:r>
    </w:p>
    <w:p w14:paraId="3F50ECDF" w14:textId="77777777" w:rsidR="00427E69" w:rsidRPr="007649D3" w:rsidRDefault="00427E69" w:rsidP="0042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right="-234"/>
        <w:jc w:val="both"/>
        <w:rPr>
          <w:rFonts w:ascii="Times New Roman" w:eastAsia="Times New Roman" w:hAnsi="Times New Roman" w:cs="Times New Roman"/>
          <w:bCs/>
          <w:sz w:val="24"/>
          <w:szCs w:val="24"/>
          <w:lang w:val="en" w:eastAsia="es-ES"/>
        </w:rPr>
      </w:pPr>
      <w:r w:rsidRPr="007649D3">
        <w:rPr>
          <w:rFonts w:ascii="Times New Roman" w:eastAsia="Times New Roman" w:hAnsi="Times New Roman" w:cs="Times New Roman"/>
          <w:b/>
          <w:sz w:val="24"/>
          <w:szCs w:val="24"/>
          <w:lang w:val="en" w:eastAsia="es-ES"/>
        </w:rPr>
        <w:t>Objective:</w:t>
      </w:r>
      <w:r w:rsidRPr="007649D3">
        <w:rPr>
          <w:rFonts w:ascii="Times New Roman" w:eastAsia="Times New Roman" w:hAnsi="Times New Roman" w:cs="Times New Roman"/>
          <w:bCs/>
          <w:sz w:val="24"/>
          <w:szCs w:val="24"/>
          <w:lang w:val="en" w:eastAsia="es-ES"/>
        </w:rPr>
        <w:t xml:space="preserve"> Describe the cost of the main assistance and logistics assurance services during the response to COVID-19.</w:t>
      </w:r>
    </w:p>
    <w:p w14:paraId="1E9BEA73" w14:textId="77777777" w:rsidR="00427E69" w:rsidRPr="007649D3" w:rsidRDefault="00427E69" w:rsidP="0042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right="-234"/>
        <w:jc w:val="both"/>
        <w:rPr>
          <w:rFonts w:ascii="Times New Roman" w:eastAsia="Times New Roman" w:hAnsi="Times New Roman" w:cs="Times New Roman"/>
          <w:bCs/>
          <w:sz w:val="24"/>
          <w:szCs w:val="24"/>
          <w:lang w:val="en" w:eastAsia="es-ES"/>
        </w:rPr>
      </w:pPr>
      <w:r w:rsidRPr="007649D3">
        <w:rPr>
          <w:rFonts w:ascii="Times New Roman" w:eastAsia="Times New Roman" w:hAnsi="Times New Roman" w:cs="Times New Roman"/>
          <w:b/>
          <w:sz w:val="24"/>
          <w:szCs w:val="24"/>
          <w:lang w:val="en" w:eastAsia="es-ES"/>
        </w:rPr>
        <w:t>Methods:</w:t>
      </w:r>
      <w:r w:rsidRPr="007649D3">
        <w:rPr>
          <w:rFonts w:ascii="Times New Roman" w:eastAsia="Times New Roman" w:hAnsi="Times New Roman" w:cs="Times New Roman"/>
          <w:bCs/>
          <w:sz w:val="24"/>
          <w:szCs w:val="24"/>
          <w:lang w:val="en" w:eastAsia="es-ES"/>
        </w:rPr>
        <w:t xml:space="preserve"> A descriptive and prospective study was carried out in 363 patients, between March 12 and May 30, 2020. The variables studied were patient</w:t>
      </w:r>
      <w:r>
        <w:rPr>
          <w:rFonts w:ascii="Times New Roman" w:eastAsia="Times New Roman" w:hAnsi="Times New Roman" w:cs="Times New Roman"/>
          <w:bCs/>
          <w:sz w:val="24"/>
          <w:szCs w:val="24"/>
          <w:lang w:val="en" w:eastAsia="es-ES"/>
        </w:rPr>
        <w:t>-</w:t>
      </w:r>
      <w:r w:rsidRPr="007649D3">
        <w:rPr>
          <w:rFonts w:ascii="Times New Roman" w:eastAsia="Times New Roman" w:hAnsi="Times New Roman" w:cs="Times New Roman"/>
          <w:bCs/>
          <w:sz w:val="24"/>
          <w:szCs w:val="24"/>
          <w:lang w:val="en" w:eastAsia="es-ES"/>
        </w:rPr>
        <w:t>day, bed</w:t>
      </w:r>
      <w:r>
        <w:rPr>
          <w:rFonts w:ascii="Times New Roman" w:eastAsia="Times New Roman" w:hAnsi="Times New Roman" w:cs="Times New Roman"/>
          <w:bCs/>
          <w:sz w:val="24"/>
          <w:szCs w:val="24"/>
          <w:lang w:val="en" w:eastAsia="es-ES"/>
        </w:rPr>
        <w:t>-</w:t>
      </w:r>
      <w:r w:rsidRPr="007649D3">
        <w:rPr>
          <w:rFonts w:ascii="Times New Roman" w:eastAsia="Times New Roman" w:hAnsi="Times New Roman" w:cs="Times New Roman"/>
          <w:bCs/>
          <w:sz w:val="24"/>
          <w:szCs w:val="24"/>
          <w:lang w:val="en" w:eastAsia="es-ES"/>
        </w:rPr>
        <w:t>day, medications, medical supplies, food, clothing, cost per salary and energy power consumed. To obtain the total cost of a patient</w:t>
      </w:r>
      <w:r>
        <w:rPr>
          <w:rFonts w:ascii="Times New Roman" w:eastAsia="Times New Roman" w:hAnsi="Times New Roman" w:cs="Times New Roman"/>
          <w:bCs/>
          <w:sz w:val="24"/>
          <w:szCs w:val="24"/>
          <w:lang w:val="en" w:eastAsia="es-ES"/>
        </w:rPr>
        <w:t>-</w:t>
      </w:r>
      <w:r w:rsidRPr="007649D3">
        <w:rPr>
          <w:rFonts w:ascii="Times New Roman" w:eastAsia="Times New Roman" w:hAnsi="Times New Roman" w:cs="Times New Roman"/>
          <w:bCs/>
          <w:sz w:val="24"/>
          <w:szCs w:val="24"/>
          <w:lang w:val="en" w:eastAsia="es-ES"/>
        </w:rPr>
        <w:t>day, the fixed and variable costs were added, expressed in Cuban pesos CUP.</w:t>
      </w:r>
    </w:p>
    <w:p w14:paraId="5D61B640" w14:textId="77777777" w:rsidR="00975A29" w:rsidRDefault="00427E69" w:rsidP="0042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right="-234"/>
        <w:jc w:val="both"/>
        <w:rPr>
          <w:rFonts w:ascii="Times New Roman" w:eastAsia="Times New Roman" w:hAnsi="Times New Roman" w:cs="Times New Roman"/>
          <w:bCs/>
          <w:sz w:val="24"/>
          <w:szCs w:val="24"/>
          <w:lang w:val="en" w:eastAsia="es-ES"/>
        </w:rPr>
      </w:pPr>
      <w:r w:rsidRPr="007649D3">
        <w:rPr>
          <w:rFonts w:ascii="Times New Roman" w:eastAsia="Times New Roman" w:hAnsi="Times New Roman" w:cs="Times New Roman"/>
          <w:b/>
          <w:sz w:val="24"/>
          <w:szCs w:val="24"/>
          <w:lang w:val="en" w:eastAsia="es-ES"/>
        </w:rPr>
        <w:t>Results:</w:t>
      </w:r>
      <w:r w:rsidRPr="007649D3">
        <w:rPr>
          <w:rFonts w:ascii="Times New Roman" w:eastAsia="Times New Roman" w:hAnsi="Times New Roman" w:cs="Times New Roman"/>
          <w:bCs/>
          <w:sz w:val="24"/>
          <w:szCs w:val="24"/>
          <w:lang w:val="en" w:eastAsia="es-ES"/>
        </w:rPr>
        <w:t xml:space="preserve"> </w:t>
      </w:r>
      <w:r w:rsidRPr="009A2749">
        <w:rPr>
          <w:rFonts w:ascii="Times New Roman" w:eastAsia="Times New Roman" w:hAnsi="Times New Roman" w:cs="Times New Roman"/>
          <w:bCs/>
          <w:sz w:val="24"/>
          <w:szCs w:val="24"/>
          <w:lang w:val="en" w:eastAsia="es-ES"/>
        </w:rPr>
        <w:t xml:space="preserve">In the COVID-suspects patient ward, a high number of patient-day (14 578) and a low number of bed-day (5 976) were observed. The average cost per salary was higher in nursing (226,2 CUP). Medications generated at high cost (35,6 %). In April, the highest electricity consumption was recorded (36,6 %) and a cost of 18,071.1 CUP. In relation to the total number of patient-day, an increase in fixed costs (87,30 %) was observed over the variables. </w:t>
      </w:r>
    </w:p>
    <w:p w14:paraId="5E7E0389" w14:textId="19B8B0C2" w:rsidR="00427E69" w:rsidRPr="007649D3" w:rsidRDefault="00427E69" w:rsidP="0042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right="-234"/>
        <w:jc w:val="both"/>
        <w:rPr>
          <w:rFonts w:ascii="Times New Roman" w:eastAsia="Times New Roman" w:hAnsi="Times New Roman" w:cs="Times New Roman"/>
          <w:bCs/>
          <w:sz w:val="24"/>
          <w:szCs w:val="24"/>
          <w:lang w:val="en" w:eastAsia="es-ES"/>
        </w:rPr>
      </w:pPr>
      <w:r w:rsidRPr="007649D3">
        <w:rPr>
          <w:rFonts w:ascii="Times New Roman" w:eastAsia="Times New Roman" w:hAnsi="Times New Roman" w:cs="Times New Roman"/>
          <w:b/>
          <w:sz w:val="24"/>
          <w:szCs w:val="24"/>
          <w:lang w:val="en" w:eastAsia="es-ES"/>
        </w:rPr>
        <w:t>Conclusions:</w:t>
      </w:r>
      <w:r w:rsidRPr="007649D3">
        <w:rPr>
          <w:rFonts w:ascii="Times New Roman" w:eastAsia="Times New Roman" w:hAnsi="Times New Roman" w:cs="Times New Roman"/>
          <w:bCs/>
          <w:sz w:val="24"/>
          <w:szCs w:val="24"/>
          <w:lang w:val="en" w:eastAsia="es-ES"/>
        </w:rPr>
        <w:t xml:space="preserve"> The analysis of the cost of patient day</w:t>
      </w:r>
      <w:r>
        <w:rPr>
          <w:rFonts w:ascii="Times New Roman" w:eastAsia="Times New Roman" w:hAnsi="Times New Roman" w:cs="Times New Roman"/>
          <w:bCs/>
          <w:sz w:val="24"/>
          <w:szCs w:val="24"/>
          <w:lang w:val="en" w:eastAsia="es-ES"/>
        </w:rPr>
        <w:t>-</w:t>
      </w:r>
      <w:r w:rsidRPr="007649D3">
        <w:rPr>
          <w:rFonts w:ascii="Times New Roman" w:eastAsia="Times New Roman" w:hAnsi="Times New Roman" w:cs="Times New Roman"/>
          <w:bCs/>
          <w:sz w:val="24"/>
          <w:szCs w:val="24"/>
          <w:lang w:val="en" w:eastAsia="es-ES"/>
        </w:rPr>
        <w:t xml:space="preserve">during the COVID-19 </w:t>
      </w:r>
      <w:r>
        <w:rPr>
          <w:rFonts w:ascii="Times New Roman" w:eastAsia="Times New Roman" w:hAnsi="Times New Roman" w:cs="Times New Roman"/>
          <w:bCs/>
          <w:sz w:val="24"/>
          <w:szCs w:val="24"/>
          <w:lang w:val="en" w:eastAsia="es-ES"/>
        </w:rPr>
        <w:t>pand</w:t>
      </w:r>
      <w:r w:rsidRPr="007649D3">
        <w:rPr>
          <w:rFonts w:ascii="Times New Roman" w:eastAsia="Times New Roman" w:hAnsi="Times New Roman" w:cs="Times New Roman"/>
          <w:bCs/>
          <w:sz w:val="24"/>
          <w:szCs w:val="24"/>
          <w:lang w:val="en" w:eastAsia="es-ES"/>
        </w:rPr>
        <w:t xml:space="preserve">emic allowed to detail, by hospitalization </w:t>
      </w:r>
      <w:r>
        <w:rPr>
          <w:rFonts w:ascii="Times New Roman" w:eastAsia="Times New Roman" w:hAnsi="Times New Roman" w:cs="Times New Roman"/>
          <w:bCs/>
          <w:sz w:val="24"/>
          <w:szCs w:val="24"/>
          <w:lang w:val="en" w:eastAsia="es-ES"/>
        </w:rPr>
        <w:t>wards</w:t>
      </w:r>
      <w:r w:rsidRPr="007649D3">
        <w:rPr>
          <w:rFonts w:ascii="Times New Roman" w:eastAsia="Times New Roman" w:hAnsi="Times New Roman" w:cs="Times New Roman"/>
          <w:bCs/>
          <w:sz w:val="24"/>
          <w:szCs w:val="24"/>
          <w:lang w:val="en" w:eastAsia="es-ES"/>
        </w:rPr>
        <w:t>, how much the expenses vary between healthcare services and logistics assurance, as well as the differences between fixed and variable costs.</w:t>
      </w:r>
    </w:p>
    <w:p w14:paraId="235A7CBB" w14:textId="77777777" w:rsidR="00427E69" w:rsidRPr="00BE28A5" w:rsidRDefault="00427E69" w:rsidP="0042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right="-234"/>
        <w:jc w:val="both"/>
        <w:rPr>
          <w:rFonts w:ascii="Times New Roman" w:eastAsia="Times New Roman" w:hAnsi="Times New Roman" w:cs="Times New Roman"/>
          <w:sz w:val="24"/>
          <w:szCs w:val="24"/>
          <w:lang w:val="en" w:eastAsia="es-ES"/>
        </w:rPr>
      </w:pPr>
      <w:r w:rsidRPr="00BE28A5">
        <w:rPr>
          <w:rFonts w:ascii="Times New Roman" w:eastAsia="Times New Roman" w:hAnsi="Times New Roman" w:cs="Times New Roman"/>
          <w:b/>
          <w:sz w:val="24"/>
          <w:szCs w:val="24"/>
          <w:lang w:val="en" w:eastAsia="es-ES"/>
        </w:rPr>
        <w:t>Keywords:</w:t>
      </w:r>
      <w:r w:rsidRPr="00BE28A5">
        <w:rPr>
          <w:rFonts w:ascii="Times New Roman" w:eastAsia="Times New Roman" w:hAnsi="Times New Roman" w:cs="Times New Roman"/>
          <w:sz w:val="24"/>
          <w:szCs w:val="24"/>
          <w:lang w:val="en" w:eastAsia="es-ES"/>
        </w:rPr>
        <w:t xml:space="preserve"> COVID-19; coronavirus; transmission; economy.</w:t>
      </w:r>
    </w:p>
    <w:p w14:paraId="616FE33B" w14:textId="77777777" w:rsidR="00427E69" w:rsidRPr="00BE28A5" w:rsidRDefault="00427E69" w:rsidP="0042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right="-234"/>
        <w:jc w:val="both"/>
        <w:rPr>
          <w:rFonts w:ascii="Times New Roman" w:eastAsia="Times New Roman" w:hAnsi="Times New Roman" w:cs="Times New Roman"/>
          <w:sz w:val="24"/>
          <w:szCs w:val="24"/>
          <w:lang w:val="en-US" w:eastAsia="es-ES"/>
        </w:rPr>
      </w:pPr>
    </w:p>
    <w:p w14:paraId="1C6D2B59" w14:textId="77777777" w:rsidR="00427E69" w:rsidRPr="009A2749" w:rsidRDefault="00427E69" w:rsidP="00427E69">
      <w:pPr>
        <w:tabs>
          <w:tab w:val="left" w:pos="8789"/>
        </w:tabs>
        <w:spacing w:after="0" w:line="360" w:lineRule="auto"/>
        <w:ind w:left="-142" w:right="-234"/>
        <w:jc w:val="both"/>
        <w:rPr>
          <w:rStyle w:val="jlqj4b"/>
          <w:rFonts w:ascii="Times New Roman" w:hAnsi="Times New Roman" w:cs="Times New Roman"/>
          <w:sz w:val="24"/>
          <w:szCs w:val="24"/>
          <w:lang w:val="en-US"/>
        </w:rPr>
      </w:pPr>
    </w:p>
    <w:p w14:paraId="2324B1CD" w14:textId="77777777" w:rsidR="00427E69" w:rsidRPr="00BE28A5" w:rsidRDefault="00427E69" w:rsidP="00427E69">
      <w:pPr>
        <w:tabs>
          <w:tab w:val="left" w:pos="8789"/>
        </w:tabs>
        <w:spacing w:after="0" w:line="360" w:lineRule="auto"/>
        <w:ind w:left="-142" w:right="-234"/>
        <w:jc w:val="both"/>
        <w:rPr>
          <w:rStyle w:val="jlqj4b"/>
          <w:rFonts w:ascii="Times New Roman" w:hAnsi="Times New Roman" w:cs="Times New Roman"/>
          <w:sz w:val="24"/>
          <w:szCs w:val="24"/>
        </w:rPr>
      </w:pPr>
      <w:r w:rsidRPr="00BE28A5">
        <w:rPr>
          <w:rStyle w:val="jlqj4b"/>
          <w:rFonts w:ascii="Times New Roman" w:hAnsi="Times New Roman" w:cs="Times New Roman"/>
          <w:sz w:val="24"/>
          <w:szCs w:val="24"/>
        </w:rPr>
        <w:t>Recibido: 04/05/2021</w:t>
      </w:r>
    </w:p>
    <w:p w14:paraId="51C5CF5A" w14:textId="77777777" w:rsidR="00427E69" w:rsidRPr="00BE28A5" w:rsidRDefault="00427E69" w:rsidP="00427E69">
      <w:pPr>
        <w:tabs>
          <w:tab w:val="left" w:pos="8789"/>
        </w:tabs>
        <w:spacing w:after="0" w:line="360" w:lineRule="auto"/>
        <w:ind w:left="-142" w:right="-234"/>
        <w:jc w:val="both"/>
        <w:rPr>
          <w:rStyle w:val="jlqj4b"/>
          <w:rFonts w:ascii="Times New Roman" w:hAnsi="Times New Roman" w:cs="Times New Roman"/>
          <w:sz w:val="24"/>
          <w:szCs w:val="24"/>
        </w:rPr>
      </w:pPr>
      <w:r w:rsidRPr="00BE28A5">
        <w:rPr>
          <w:rStyle w:val="jlqj4b"/>
          <w:rFonts w:ascii="Times New Roman" w:hAnsi="Times New Roman" w:cs="Times New Roman"/>
          <w:sz w:val="24"/>
          <w:szCs w:val="24"/>
        </w:rPr>
        <w:t>Aprobado:</w:t>
      </w:r>
      <w:r>
        <w:rPr>
          <w:rStyle w:val="jlqj4b"/>
          <w:rFonts w:ascii="Times New Roman" w:hAnsi="Times New Roman" w:cs="Times New Roman"/>
          <w:sz w:val="24"/>
          <w:szCs w:val="24"/>
        </w:rPr>
        <w:t xml:space="preserve"> 23/10/2021</w:t>
      </w:r>
    </w:p>
    <w:p w14:paraId="2CB08D48"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b/>
          <w:sz w:val="24"/>
          <w:szCs w:val="24"/>
        </w:rPr>
      </w:pPr>
    </w:p>
    <w:p w14:paraId="0C28D7FB"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b/>
          <w:sz w:val="24"/>
          <w:szCs w:val="24"/>
        </w:rPr>
      </w:pPr>
    </w:p>
    <w:p w14:paraId="15F25CFA" w14:textId="77777777" w:rsidR="00427E69" w:rsidRPr="006E2F96" w:rsidRDefault="00427E69" w:rsidP="00427E69">
      <w:pPr>
        <w:tabs>
          <w:tab w:val="left" w:pos="8789"/>
        </w:tabs>
        <w:spacing w:after="0" w:line="360" w:lineRule="auto"/>
        <w:ind w:left="-142" w:right="-234"/>
        <w:jc w:val="center"/>
        <w:rPr>
          <w:rFonts w:ascii="Times New Roman" w:hAnsi="Times New Roman" w:cs="Times New Roman"/>
          <w:b/>
          <w:sz w:val="32"/>
          <w:szCs w:val="32"/>
        </w:rPr>
      </w:pPr>
      <w:r w:rsidRPr="006E2F96">
        <w:rPr>
          <w:rFonts w:ascii="Times New Roman" w:hAnsi="Times New Roman" w:cs="Times New Roman"/>
          <w:b/>
          <w:sz w:val="32"/>
          <w:szCs w:val="32"/>
        </w:rPr>
        <w:t>INTRODUCCIÓN</w:t>
      </w:r>
    </w:p>
    <w:p w14:paraId="0DE59D6B"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A inicios de 2020 se observó en países de todos los continentes, un crecimiento exponencial y acelerada expansión de la COVID-19.</w:t>
      </w:r>
      <w:r w:rsidRPr="00BE28A5">
        <w:rPr>
          <w:rFonts w:ascii="Times New Roman" w:hAnsi="Times New Roman" w:cs="Times New Roman"/>
          <w:sz w:val="24"/>
          <w:szCs w:val="24"/>
          <w:vertAlign w:val="superscript"/>
        </w:rPr>
        <w:t xml:space="preserve">(1) </w:t>
      </w:r>
      <w:r w:rsidRPr="00BE28A5">
        <w:rPr>
          <w:rFonts w:ascii="Times New Roman" w:hAnsi="Times New Roman" w:cs="Times New Roman"/>
          <w:sz w:val="24"/>
          <w:szCs w:val="24"/>
        </w:rPr>
        <w:t>En las reacciones de gobiernos y autoridades de salud, hubo mucha variabilidad y numerosas iniciativas profesionales surgieron, para ampliar las coberturas médicas. El escenario requirió reajustar las capacidades instaladas en los hospitales y los costos de sus servicios ante una ejecución no habitual.</w:t>
      </w:r>
    </w:p>
    <w:p w14:paraId="3CD4C6FF"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En instalaciones deportivas de Perú se adaptaron nuevos hospitales. Médicos e ingenieros, en Italia y España, diseñaron ventiladores mecánicos sencillos y a menor costo; ante la carencia de equipos para cerca de un 5 % de personas con insuficiencia respiratoria y criterios de admisión en terapia intensiva. En México se dispuso, en conjunto con el ejército, unas 3 000 camillas para pacientes graves, 9 100 pruebas diagnósticas y unos 306,2 millones de pesos para la compra de medicamentos.</w:t>
      </w:r>
      <w:r w:rsidRPr="00BE28A5">
        <w:rPr>
          <w:rFonts w:ascii="Times New Roman" w:hAnsi="Times New Roman" w:cs="Times New Roman"/>
          <w:sz w:val="24"/>
          <w:szCs w:val="24"/>
          <w:vertAlign w:val="superscript"/>
        </w:rPr>
        <w:t>(2,3,4)</w:t>
      </w:r>
    </w:p>
    <w:p w14:paraId="49E2F629"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vertAlign w:val="superscript"/>
        </w:rPr>
      </w:pPr>
      <w:r w:rsidRPr="00BE28A5">
        <w:rPr>
          <w:rFonts w:ascii="Times New Roman" w:hAnsi="Times New Roman" w:cs="Times New Roman"/>
          <w:sz w:val="24"/>
          <w:szCs w:val="24"/>
        </w:rPr>
        <w:t>Cuba respalda con el 25,7 % del presupuesto los gastos de salud y asistencia social.</w:t>
      </w:r>
      <w:r w:rsidRPr="00BE28A5">
        <w:rPr>
          <w:rFonts w:ascii="Times New Roman" w:hAnsi="Times New Roman" w:cs="Times New Roman"/>
          <w:sz w:val="24"/>
          <w:szCs w:val="24"/>
          <w:vertAlign w:val="superscript"/>
        </w:rPr>
        <w:t xml:space="preserve">(5) </w:t>
      </w:r>
      <w:r w:rsidRPr="00BE28A5">
        <w:rPr>
          <w:rFonts w:ascii="Times New Roman" w:hAnsi="Times New Roman" w:cs="Times New Roman"/>
          <w:sz w:val="24"/>
          <w:szCs w:val="24"/>
        </w:rPr>
        <w:t>Para el 20 de mayo, el país contaba con 20 hospitales dispuestos para la atención relacionada con la COVID-19, 54 centros para la atención de casos sospechosos, 248 de vigilancia de contactos y 40 para la atención a viajeros. Además, contaba con 5 000 camas de hospitalización y 477 camas de terapia intensiva.</w:t>
      </w:r>
      <w:r w:rsidRPr="00BE28A5">
        <w:rPr>
          <w:rFonts w:ascii="Times New Roman" w:hAnsi="Times New Roman" w:cs="Times New Roman"/>
          <w:sz w:val="24"/>
          <w:szCs w:val="24"/>
          <w:vertAlign w:val="superscript"/>
        </w:rPr>
        <w:t>(6)</w:t>
      </w:r>
    </w:p>
    <w:p w14:paraId="230A4E59" w14:textId="77777777" w:rsidR="00427E69" w:rsidRPr="00BE28A5" w:rsidRDefault="00427E69" w:rsidP="00427E69">
      <w:pPr>
        <w:tabs>
          <w:tab w:val="left" w:pos="851"/>
          <w:tab w:val="left" w:pos="8789"/>
        </w:tabs>
        <w:autoSpaceDE w:val="0"/>
        <w:autoSpaceDN w:val="0"/>
        <w:adjustRightInd w:val="0"/>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 xml:space="preserve">El Hospital Militar “Dr. Joaquín Castillo </w:t>
      </w:r>
      <w:proofErr w:type="spellStart"/>
      <w:r w:rsidRPr="00BE28A5">
        <w:rPr>
          <w:rFonts w:ascii="Times New Roman" w:hAnsi="Times New Roman" w:cs="Times New Roman"/>
          <w:sz w:val="24"/>
          <w:szCs w:val="24"/>
        </w:rPr>
        <w:t>Duany</w:t>
      </w:r>
      <w:proofErr w:type="spellEnd"/>
      <w:r w:rsidRPr="00BE28A5">
        <w:rPr>
          <w:rFonts w:ascii="Times New Roman" w:hAnsi="Times New Roman" w:cs="Times New Roman"/>
          <w:sz w:val="24"/>
          <w:szCs w:val="24"/>
        </w:rPr>
        <w:t>” fue la institución designada para la atención de pacientes confirmados con el SARS-CoV-2 en el sur del oriente de</w:t>
      </w:r>
      <w:r>
        <w:rPr>
          <w:rFonts w:ascii="Times New Roman" w:hAnsi="Times New Roman" w:cs="Times New Roman"/>
          <w:sz w:val="24"/>
          <w:szCs w:val="24"/>
        </w:rPr>
        <w:t xml:space="preserve"> Cuba</w:t>
      </w:r>
      <w:r w:rsidRPr="00BE28A5">
        <w:rPr>
          <w:rFonts w:ascii="Times New Roman" w:hAnsi="Times New Roman" w:cs="Times New Roman"/>
          <w:sz w:val="24"/>
          <w:szCs w:val="24"/>
        </w:rPr>
        <w:t>.</w:t>
      </w:r>
    </w:p>
    <w:p w14:paraId="5D6C82CC" w14:textId="77777777" w:rsidR="00427E69" w:rsidRPr="00BE28A5" w:rsidRDefault="00427E69" w:rsidP="00427E69">
      <w:pPr>
        <w:tabs>
          <w:tab w:val="left" w:pos="851"/>
          <w:tab w:val="left" w:pos="8789"/>
        </w:tabs>
        <w:autoSpaceDE w:val="0"/>
        <w:autoSpaceDN w:val="0"/>
        <w:adjustRightInd w:val="0"/>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El presente estudio se propone describir el costo de los principales servicios asistenciales y de aseguramiento logístico del día paciente durante la respuesta a la COVID-19.</w:t>
      </w:r>
    </w:p>
    <w:p w14:paraId="26E2BD7A"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b/>
          <w:sz w:val="24"/>
          <w:szCs w:val="24"/>
        </w:rPr>
      </w:pPr>
    </w:p>
    <w:p w14:paraId="638BC457" w14:textId="77777777" w:rsidR="00427E69" w:rsidRDefault="00427E69" w:rsidP="00427E69">
      <w:pPr>
        <w:tabs>
          <w:tab w:val="left" w:pos="8789"/>
        </w:tabs>
        <w:spacing w:after="0" w:line="360" w:lineRule="auto"/>
        <w:ind w:left="-142" w:right="-234"/>
        <w:jc w:val="both"/>
        <w:rPr>
          <w:rFonts w:ascii="Times New Roman" w:hAnsi="Times New Roman" w:cs="Times New Roman"/>
          <w:b/>
          <w:sz w:val="24"/>
          <w:szCs w:val="24"/>
        </w:rPr>
      </w:pPr>
    </w:p>
    <w:p w14:paraId="0AF50EDF" w14:textId="77777777" w:rsidR="008252E6" w:rsidRDefault="008252E6">
      <w:pPr>
        <w:spacing w:after="0" w:line="240" w:lineRule="auto"/>
        <w:rPr>
          <w:rFonts w:ascii="Times New Roman" w:hAnsi="Times New Roman" w:cs="Times New Roman"/>
          <w:b/>
          <w:sz w:val="32"/>
          <w:szCs w:val="32"/>
        </w:rPr>
      </w:pPr>
      <w:r>
        <w:rPr>
          <w:rFonts w:ascii="Times New Roman" w:hAnsi="Times New Roman" w:cs="Times New Roman"/>
          <w:b/>
          <w:sz w:val="32"/>
          <w:szCs w:val="32"/>
        </w:rPr>
        <w:br w:type="page"/>
      </w:r>
    </w:p>
    <w:p w14:paraId="03F82157" w14:textId="7E407C7F" w:rsidR="00427E69" w:rsidRPr="00FD6F1F" w:rsidRDefault="00427E69" w:rsidP="00427E69">
      <w:pPr>
        <w:tabs>
          <w:tab w:val="left" w:pos="8789"/>
        </w:tabs>
        <w:spacing w:after="0" w:line="360" w:lineRule="auto"/>
        <w:ind w:left="-142" w:right="-234"/>
        <w:jc w:val="center"/>
        <w:rPr>
          <w:rFonts w:ascii="Times New Roman" w:hAnsi="Times New Roman" w:cs="Times New Roman"/>
          <w:b/>
          <w:sz w:val="32"/>
          <w:szCs w:val="32"/>
        </w:rPr>
      </w:pPr>
      <w:r w:rsidRPr="00FD6F1F">
        <w:rPr>
          <w:rFonts w:ascii="Times New Roman" w:hAnsi="Times New Roman" w:cs="Times New Roman"/>
          <w:b/>
          <w:sz w:val="32"/>
          <w:szCs w:val="32"/>
        </w:rPr>
        <w:lastRenderedPageBreak/>
        <w:t>MÉTODOS</w:t>
      </w:r>
    </w:p>
    <w:p w14:paraId="6123B103"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 xml:space="preserve">Se realizó un estudio descriptivo, longitudinal y prospectivo para determinar los costos hospitalarios durante la respuesta a la COVID-19 en el Hospital Militar “Dr. Joaquín Castillo </w:t>
      </w:r>
      <w:proofErr w:type="spellStart"/>
      <w:r w:rsidRPr="00BE28A5">
        <w:rPr>
          <w:rFonts w:ascii="Times New Roman" w:hAnsi="Times New Roman" w:cs="Times New Roman"/>
          <w:sz w:val="24"/>
          <w:szCs w:val="24"/>
        </w:rPr>
        <w:t>Duany</w:t>
      </w:r>
      <w:proofErr w:type="spellEnd"/>
      <w:r w:rsidRPr="00BE28A5">
        <w:rPr>
          <w:rFonts w:ascii="Times New Roman" w:hAnsi="Times New Roman" w:cs="Times New Roman"/>
          <w:sz w:val="24"/>
          <w:szCs w:val="24"/>
        </w:rPr>
        <w:t>”, entre el 12 de marzo y el 30 mayo de 2020, período en el que estuvieron hospitalizados 363 pacientes.</w:t>
      </w:r>
    </w:p>
    <w:p w14:paraId="314AB8F3"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 xml:space="preserve">Las variables estudiadas fueron: </w:t>
      </w:r>
    </w:p>
    <w:p w14:paraId="1AA61B98"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p>
    <w:p w14:paraId="717D5D79"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t>Día</w:t>
      </w:r>
      <w:r>
        <w:rPr>
          <w:rFonts w:ascii="Times New Roman" w:hAnsi="Times New Roman" w:cs="Times New Roman"/>
          <w:sz w:val="24"/>
          <w:szCs w:val="24"/>
        </w:rPr>
        <w:t>s</w:t>
      </w:r>
      <w:r w:rsidRPr="00BE28A5">
        <w:rPr>
          <w:rFonts w:ascii="Times New Roman" w:hAnsi="Times New Roman" w:cs="Times New Roman"/>
          <w:sz w:val="24"/>
          <w:szCs w:val="24"/>
        </w:rPr>
        <w:t xml:space="preserve"> paciente: servicios recibidos por un paciente hospitalizado dentro de un período de 24 horas. Se consideró como día-paciente la suma total de todos los días pacientes de cada día de aquellos enfermos que permanecieron ingresados a las 12 de la noche, más un día paciente por cada persona ingresada y egresada en ese mismo día en el hospital. </w:t>
      </w:r>
    </w:p>
    <w:p w14:paraId="7177E131"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t>Día</w:t>
      </w:r>
      <w:r>
        <w:rPr>
          <w:rFonts w:ascii="Times New Roman" w:hAnsi="Times New Roman" w:cs="Times New Roman"/>
          <w:sz w:val="24"/>
          <w:szCs w:val="24"/>
        </w:rPr>
        <w:t>s</w:t>
      </w:r>
      <w:r w:rsidRPr="00BE28A5">
        <w:rPr>
          <w:rFonts w:ascii="Times New Roman" w:hAnsi="Times New Roman" w:cs="Times New Roman"/>
          <w:sz w:val="24"/>
          <w:szCs w:val="24"/>
        </w:rPr>
        <w:t xml:space="preserve"> cama: disponibilidad de una cama real durante 24 horas para uso de un paciente. La suma día a día del total de camas reales disponibles para ser ocupadas o no</w:t>
      </w:r>
      <w:r>
        <w:rPr>
          <w:rFonts w:ascii="Times New Roman" w:hAnsi="Times New Roman" w:cs="Times New Roman"/>
          <w:sz w:val="24"/>
          <w:szCs w:val="24"/>
        </w:rPr>
        <w:t>,</w:t>
      </w:r>
      <w:r w:rsidRPr="00BE28A5">
        <w:rPr>
          <w:rFonts w:ascii="Times New Roman" w:hAnsi="Times New Roman" w:cs="Times New Roman"/>
          <w:sz w:val="24"/>
          <w:szCs w:val="24"/>
        </w:rPr>
        <w:t xml:space="preserve"> se consideró como día-cama.</w:t>
      </w:r>
      <w:r w:rsidRPr="00BE28A5">
        <w:rPr>
          <w:rFonts w:ascii="Times New Roman" w:hAnsi="Times New Roman" w:cs="Times New Roman"/>
          <w:sz w:val="24"/>
          <w:szCs w:val="24"/>
          <w:vertAlign w:val="superscript"/>
        </w:rPr>
        <w:t xml:space="preserve">(7,8)    </w:t>
      </w:r>
    </w:p>
    <w:p w14:paraId="1F0706EB"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t>Gasto en medicamentos: suma de las cantidades de medicamentos utilizados</w:t>
      </w:r>
      <w:r>
        <w:rPr>
          <w:rFonts w:ascii="Times New Roman" w:hAnsi="Times New Roman" w:cs="Times New Roman"/>
          <w:sz w:val="24"/>
          <w:szCs w:val="24"/>
        </w:rPr>
        <w:t>,</w:t>
      </w:r>
      <w:r w:rsidRPr="00BE28A5">
        <w:rPr>
          <w:rFonts w:ascii="Times New Roman" w:hAnsi="Times New Roman" w:cs="Times New Roman"/>
          <w:sz w:val="24"/>
          <w:szCs w:val="24"/>
        </w:rPr>
        <w:t xml:space="preserve"> por sus correspondientes precios en pesos cubanos (CUP). </w:t>
      </w:r>
    </w:p>
    <w:p w14:paraId="6BA1316C"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t xml:space="preserve">Gasto en insumos médico: suma de todos los gastos en que incurrió la institución, con precios en </w:t>
      </w:r>
      <w:r>
        <w:rPr>
          <w:rFonts w:ascii="Times New Roman" w:hAnsi="Times New Roman" w:cs="Times New Roman"/>
          <w:sz w:val="24"/>
          <w:szCs w:val="24"/>
        </w:rPr>
        <w:t>CUP</w:t>
      </w:r>
      <w:r w:rsidRPr="00BE28A5">
        <w:rPr>
          <w:rFonts w:ascii="Times New Roman" w:hAnsi="Times New Roman" w:cs="Times New Roman"/>
          <w:sz w:val="24"/>
          <w:szCs w:val="24"/>
        </w:rPr>
        <w:t>, para la realización de procedimientos de atención y control a los pacientes</w:t>
      </w:r>
      <w:r>
        <w:rPr>
          <w:rFonts w:ascii="Times New Roman" w:hAnsi="Times New Roman" w:cs="Times New Roman"/>
          <w:sz w:val="24"/>
          <w:szCs w:val="24"/>
        </w:rPr>
        <w:t xml:space="preserve">: </w:t>
      </w:r>
      <w:r w:rsidRPr="00BE28A5">
        <w:rPr>
          <w:rFonts w:ascii="Times New Roman" w:hAnsi="Times New Roman" w:cs="Times New Roman"/>
          <w:sz w:val="24"/>
          <w:szCs w:val="24"/>
        </w:rPr>
        <w:t xml:space="preserve">agujas, catéteres, sondas, gasas, algodón, entre otros. </w:t>
      </w:r>
    </w:p>
    <w:p w14:paraId="21F1E416"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t>Gasto en alimentos: la suma de todos los gastos asociados al consumo de productos alimentarios en la institución</w:t>
      </w:r>
      <w:r>
        <w:rPr>
          <w:rFonts w:ascii="Times New Roman" w:hAnsi="Times New Roman" w:cs="Times New Roman"/>
          <w:sz w:val="24"/>
          <w:szCs w:val="24"/>
        </w:rPr>
        <w:t>,</w:t>
      </w:r>
      <w:r w:rsidRPr="00BE28A5">
        <w:rPr>
          <w:rFonts w:ascii="Times New Roman" w:hAnsi="Times New Roman" w:cs="Times New Roman"/>
          <w:sz w:val="24"/>
          <w:szCs w:val="24"/>
        </w:rPr>
        <w:t xml:space="preserve"> por pacientes y trabajador</w:t>
      </w:r>
      <w:r>
        <w:rPr>
          <w:rFonts w:ascii="Times New Roman" w:hAnsi="Times New Roman" w:cs="Times New Roman"/>
          <w:sz w:val="24"/>
          <w:szCs w:val="24"/>
        </w:rPr>
        <w:t>es</w:t>
      </w:r>
      <w:r w:rsidRPr="00BE28A5">
        <w:rPr>
          <w:rFonts w:ascii="Times New Roman" w:hAnsi="Times New Roman" w:cs="Times New Roman"/>
          <w:sz w:val="24"/>
          <w:szCs w:val="24"/>
        </w:rPr>
        <w:t xml:space="preserve">, </w:t>
      </w:r>
      <w:r>
        <w:rPr>
          <w:rFonts w:ascii="Times New Roman" w:hAnsi="Times New Roman" w:cs="Times New Roman"/>
          <w:sz w:val="24"/>
          <w:szCs w:val="24"/>
        </w:rPr>
        <w:t>en CUP</w:t>
      </w:r>
      <w:r w:rsidRPr="00BE28A5">
        <w:rPr>
          <w:rFonts w:ascii="Times New Roman" w:hAnsi="Times New Roman" w:cs="Times New Roman"/>
          <w:sz w:val="24"/>
          <w:szCs w:val="24"/>
        </w:rPr>
        <w:t xml:space="preserve">. </w:t>
      </w:r>
    </w:p>
    <w:p w14:paraId="57C7F08A"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t xml:space="preserve">Gasto en ropería: gastos en que se incurren los servicios de lavandería, en pesos </w:t>
      </w:r>
      <w:r>
        <w:rPr>
          <w:rFonts w:ascii="Times New Roman" w:hAnsi="Times New Roman" w:cs="Times New Roman"/>
          <w:sz w:val="24"/>
          <w:szCs w:val="24"/>
        </w:rPr>
        <w:t>CUP</w:t>
      </w:r>
      <w:r w:rsidRPr="00BE28A5">
        <w:rPr>
          <w:rFonts w:ascii="Times New Roman" w:hAnsi="Times New Roman" w:cs="Times New Roman"/>
          <w:sz w:val="24"/>
          <w:szCs w:val="24"/>
        </w:rPr>
        <w:t>.</w:t>
      </w:r>
    </w:p>
    <w:p w14:paraId="2C63C217"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t xml:space="preserve">Consumo de energía eléctrica (en kW): energía eléctrica </w:t>
      </w:r>
      <w:r>
        <w:rPr>
          <w:rFonts w:ascii="Times New Roman" w:hAnsi="Times New Roman" w:cs="Times New Roman"/>
          <w:sz w:val="24"/>
          <w:szCs w:val="24"/>
        </w:rPr>
        <w:t>consumida</w:t>
      </w:r>
      <w:r w:rsidRPr="00BE28A5">
        <w:rPr>
          <w:rFonts w:ascii="Times New Roman" w:hAnsi="Times New Roman" w:cs="Times New Roman"/>
          <w:sz w:val="24"/>
          <w:szCs w:val="24"/>
        </w:rPr>
        <w:t xml:space="preserve"> en un día</w:t>
      </w:r>
      <w:r>
        <w:rPr>
          <w:rFonts w:ascii="Times New Roman" w:hAnsi="Times New Roman" w:cs="Times New Roman"/>
          <w:sz w:val="24"/>
          <w:szCs w:val="24"/>
        </w:rPr>
        <w:t xml:space="preserve"> </w:t>
      </w:r>
      <w:r w:rsidRPr="00BE28A5">
        <w:rPr>
          <w:rFonts w:ascii="Times New Roman" w:hAnsi="Times New Roman" w:cs="Times New Roman"/>
          <w:sz w:val="24"/>
          <w:szCs w:val="24"/>
        </w:rPr>
        <w:t>paciente</w:t>
      </w:r>
      <w:r>
        <w:rPr>
          <w:rFonts w:ascii="Times New Roman" w:hAnsi="Times New Roman" w:cs="Times New Roman"/>
          <w:sz w:val="24"/>
          <w:szCs w:val="24"/>
        </w:rPr>
        <w:t>,</w:t>
      </w:r>
      <w:r w:rsidRPr="00BE28A5">
        <w:rPr>
          <w:rFonts w:ascii="Times New Roman" w:hAnsi="Times New Roman" w:cs="Times New Roman"/>
          <w:sz w:val="24"/>
          <w:szCs w:val="24"/>
        </w:rPr>
        <w:t xml:space="preserve"> </w:t>
      </w:r>
      <w:r>
        <w:rPr>
          <w:rFonts w:ascii="Times New Roman" w:hAnsi="Times New Roman" w:cs="Times New Roman"/>
          <w:sz w:val="24"/>
          <w:szCs w:val="24"/>
        </w:rPr>
        <w:t>en CUP</w:t>
      </w:r>
      <w:r w:rsidRPr="00BE28A5">
        <w:rPr>
          <w:rFonts w:ascii="Times New Roman" w:hAnsi="Times New Roman" w:cs="Times New Roman"/>
          <w:sz w:val="24"/>
          <w:szCs w:val="24"/>
        </w:rPr>
        <w:t xml:space="preserve">. </w:t>
      </w:r>
    </w:p>
    <w:p w14:paraId="0A19ABAC"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t>Salario promedio del personal (CUP): suma de los gastos asociados al salario, por cada categoría ocupacional, entre los días pacientes del período de estudio.</w:t>
      </w:r>
    </w:p>
    <w:p w14:paraId="15DBAB9F"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t>Costo fijo: a</w:t>
      </w:r>
      <w:r w:rsidRPr="00BE28A5">
        <w:rPr>
          <w:rFonts w:ascii="Times New Roman" w:eastAsia="Times New Roman" w:hAnsi="Times New Roman" w:cs="Times New Roman"/>
          <w:sz w:val="24"/>
          <w:szCs w:val="24"/>
          <w:lang w:eastAsia="es-ES"/>
        </w:rPr>
        <w:t>quel cuya cuantía no varía en relación con el nivel de actividad realizado</w:t>
      </w:r>
      <w:r>
        <w:rPr>
          <w:rFonts w:ascii="Times New Roman" w:eastAsia="Times New Roman" w:hAnsi="Times New Roman" w:cs="Times New Roman"/>
          <w:sz w:val="24"/>
          <w:szCs w:val="24"/>
          <w:lang w:eastAsia="es-ES"/>
        </w:rPr>
        <w:t>;</w:t>
      </w:r>
      <w:r w:rsidRPr="00BE28A5">
        <w:rPr>
          <w:rFonts w:ascii="Times New Roman" w:eastAsia="Times New Roman" w:hAnsi="Times New Roman" w:cs="Times New Roman"/>
          <w:sz w:val="24"/>
          <w:szCs w:val="24"/>
          <w:lang w:eastAsia="es-ES"/>
        </w:rPr>
        <w:t xml:space="preserve"> se consideró la suma monetaria en CUP de los gastos en salario. </w:t>
      </w:r>
    </w:p>
    <w:p w14:paraId="2753A6D7"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lastRenderedPageBreak/>
        <w:t xml:space="preserve">Costo variable: cuando el monto de los gastos </w:t>
      </w:r>
      <w:r w:rsidRPr="00BE28A5">
        <w:rPr>
          <w:rFonts w:ascii="Times New Roman" w:eastAsia="Times New Roman" w:hAnsi="Times New Roman" w:cs="Times New Roman"/>
          <w:sz w:val="24"/>
          <w:szCs w:val="24"/>
          <w:lang w:eastAsia="es-ES"/>
        </w:rPr>
        <w:t xml:space="preserve">incurridos en medicamentos, alimentos, servicio de lavandería y reparación, insumos médicos, electricidad, </w:t>
      </w:r>
      <w:r>
        <w:rPr>
          <w:rFonts w:ascii="Times New Roman" w:eastAsia="Times New Roman" w:hAnsi="Times New Roman" w:cs="Times New Roman"/>
          <w:sz w:val="24"/>
          <w:szCs w:val="24"/>
          <w:lang w:eastAsia="es-ES"/>
        </w:rPr>
        <w:t>entre</w:t>
      </w:r>
      <w:r w:rsidRPr="00BE28A5">
        <w:rPr>
          <w:rFonts w:ascii="Times New Roman" w:eastAsia="Times New Roman" w:hAnsi="Times New Roman" w:cs="Times New Roman"/>
          <w:sz w:val="24"/>
          <w:szCs w:val="24"/>
          <w:lang w:eastAsia="es-ES"/>
        </w:rPr>
        <w:t xml:space="preserve"> otr</w:t>
      </w:r>
      <w:r>
        <w:rPr>
          <w:rFonts w:ascii="Times New Roman" w:eastAsia="Times New Roman" w:hAnsi="Times New Roman" w:cs="Times New Roman"/>
          <w:sz w:val="24"/>
          <w:szCs w:val="24"/>
          <w:lang w:eastAsia="es-ES"/>
        </w:rPr>
        <w:t>o</w:t>
      </w:r>
      <w:r w:rsidRPr="00BE28A5">
        <w:rPr>
          <w:rFonts w:ascii="Times New Roman" w:eastAsia="Times New Roman" w:hAnsi="Times New Roman" w:cs="Times New Roman"/>
          <w:sz w:val="24"/>
          <w:szCs w:val="24"/>
          <w:lang w:eastAsia="es-ES"/>
        </w:rPr>
        <w:t xml:space="preserve">s, aumentan o disminuyen, en correspondencia con </w:t>
      </w:r>
      <w:r w:rsidRPr="00BE28A5">
        <w:rPr>
          <w:rFonts w:ascii="Times New Roman" w:hAnsi="Times New Roman" w:cs="Times New Roman"/>
          <w:sz w:val="24"/>
          <w:szCs w:val="24"/>
        </w:rPr>
        <w:t>el nivel de actividad.</w:t>
      </w:r>
      <w:r w:rsidRPr="00BE28A5">
        <w:rPr>
          <w:rFonts w:ascii="Times New Roman" w:hAnsi="Times New Roman" w:cs="Times New Roman"/>
          <w:sz w:val="24"/>
          <w:szCs w:val="24"/>
          <w:vertAlign w:val="superscript"/>
        </w:rPr>
        <w:t xml:space="preserve">(9,10) </w:t>
      </w:r>
    </w:p>
    <w:p w14:paraId="4F3442CC"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t>Costo total de un día paciente: suma</w:t>
      </w:r>
      <w:r>
        <w:rPr>
          <w:rFonts w:ascii="Times New Roman" w:hAnsi="Times New Roman" w:cs="Times New Roman"/>
          <w:sz w:val="24"/>
          <w:szCs w:val="24"/>
        </w:rPr>
        <w:t xml:space="preserve"> de</w:t>
      </w:r>
      <w:r w:rsidRPr="00BE28A5">
        <w:rPr>
          <w:rFonts w:ascii="Times New Roman" w:hAnsi="Times New Roman" w:cs="Times New Roman"/>
          <w:sz w:val="24"/>
          <w:szCs w:val="24"/>
        </w:rPr>
        <w:t xml:space="preserve"> los costos fijos y variables, expresados en CUP. </w:t>
      </w:r>
    </w:p>
    <w:p w14:paraId="22F36AE5"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t>Área de hospitalización: de pacientes sospechosos</w:t>
      </w:r>
      <w:r>
        <w:rPr>
          <w:rFonts w:ascii="Times New Roman" w:hAnsi="Times New Roman" w:cs="Times New Roman"/>
          <w:sz w:val="24"/>
          <w:szCs w:val="24"/>
        </w:rPr>
        <w:t>;</w:t>
      </w:r>
      <w:r w:rsidRPr="00BE28A5">
        <w:rPr>
          <w:rFonts w:ascii="Times New Roman" w:hAnsi="Times New Roman" w:cs="Times New Roman"/>
          <w:sz w:val="24"/>
          <w:szCs w:val="24"/>
        </w:rPr>
        <w:t xml:space="preserve"> de pacientes confirmados</w:t>
      </w:r>
      <w:r>
        <w:rPr>
          <w:rFonts w:ascii="Times New Roman" w:hAnsi="Times New Roman" w:cs="Times New Roman"/>
          <w:sz w:val="24"/>
          <w:szCs w:val="24"/>
        </w:rPr>
        <w:t>;</w:t>
      </w:r>
      <w:r w:rsidRPr="00BE28A5">
        <w:rPr>
          <w:rFonts w:ascii="Times New Roman" w:hAnsi="Times New Roman" w:cs="Times New Roman"/>
          <w:sz w:val="24"/>
          <w:szCs w:val="24"/>
        </w:rPr>
        <w:t xml:space="preserve"> de pacientes graves.</w:t>
      </w:r>
    </w:p>
    <w:p w14:paraId="6F58A469" w14:textId="77777777" w:rsidR="00427E69" w:rsidRPr="00BE28A5" w:rsidRDefault="00427E69" w:rsidP="00427E69">
      <w:pPr>
        <w:pStyle w:val="Prrafodelista"/>
        <w:numPr>
          <w:ilvl w:val="0"/>
          <w:numId w:val="4"/>
        </w:numPr>
        <w:tabs>
          <w:tab w:val="left" w:pos="8789"/>
        </w:tabs>
        <w:spacing w:after="0" w:line="360" w:lineRule="auto"/>
        <w:ind w:right="-234"/>
        <w:jc w:val="both"/>
        <w:rPr>
          <w:rFonts w:ascii="Times New Roman" w:hAnsi="Times New Roman" w:cs="Times New Roman"/>
          <w:sz w:val="24"/>
          <w:szCs w:val="24"/>
        </w:rPr>
      </w:pPr>
      <w:r w:rsidRPr="00BE28A5">
        <w:rPr>
          <w:rFonts w:ascii="Times New Roman" w:hAnsi="Times New Roman" w:cs="Times New Roman"/>
          <w:sz w:val="24"/>
          <w:szCs w:val="24"/>
        </w:rPr>
        <w:t>Categoría del personal: aseguramiento</w:t>
      </w:r>
      <w:r>
        <w:rPr>
          <w:rFonts w:ascii="Times New Roman" w:hAnsi="Times New Roman" w:cs="Times New Roman"/>
          <w:sz w:val="24"/>
          <w:szCs w:val="24"/>
        </w:rPr>
        <w:t>;</w:t>
      </w:r>
      <w:r w:rsidRPr="00BE28A5">
        <w:rPr>
          <w:rFonts w:ascii="Times New Roman" w:hAnsi="Times New Roman" w:cs="Times New Roman"/>
          <w:sz w:val="24"/>
          <w:szCs w:val="24"/>
        </w:rPr>
        <w:t xml:space="preserve"> tecn</w:t>
      </w:r>
      <w:r>
        <w:rPr>
          <w:rFonts w:ascii="Times New Roman" w:hAnsi="Times New Roman" w:cs="Times New Roman"/>
          <w:sz w:val="24"/>
          <w:szCs w:val="24"/>
        </w:rPr>
        <w:t>o</w:t>
      </w:r>
      <w:r w:rsidRPr="00BE28A5">
        <w:rPr>
          <w:rFonts w:ascii="Times New Roman" w:hAnsi="Times New Roman" w:cs="Times New Roman"/>
          <w:sz w:val="24"/>
          <w:szCs w:val="24"/>
        </w:rPr>
        <w:t>l</w:t>
      </w:r>
      <w:r>
        <w:rPr>
          <w:rFonts w:ascii="Times New Roman" w:hAnsi="Times New Roman" w:cs="Times New Roman"/>
          <w:sz w:val="24"/>
          <w:szCs w:val="24"/>
        </w:rPr>
        <w:t>ó</w:t>
      </w:r>
      <w:r w:rsidRPr="00BE28A5">
        <w:rPr>
          <w:rFonts w:ascii="Times New Roman" w:hAnsi="Times New Roman" w:cs="Times New Roman"/>
          <w:sz w:val="24"/>
          <w:szCs w:val="24"/>
        </w:rPr>
        <w:t>g</w:t>
      </w:r>
      <w:r>
        <w:rPr>
          <w:rFonts w:ascii="Times New Roman" w:hAnsi="Times New Roman" w:cs="Times New Roman"/>
          <w:sz w:val="24"/>
          <w:szCs w:val="24"/>
        </w:rPr>
        <w:t>ic</w:t>
      </w:r>
      <w:r w:rsidRPr="00BE28A5">
        <w:rPr>
          <w:rFonts w:ascii="Times New Roman" w:hAnsi="Times New Roman" w:cs="Times New Roman"/>
          <w:sz w:val="24"/>
          <w:szCs w:val="24"/>
        </w:rPr>
        <w:t>o</w:t>
      </w:r>
      <w:r>
        <w:rPr>
          <w:rFonts w:ascii="Times New Roman" w:hAnsi="Times New Roman" w:cs="Times New Roman"/>
          <w:sz w:val="24"/>
          <w:szCs w:val="24"/>
        </w:rPr>
        <w:t>;</w:t>
      </w:r>
      <w:r w:rsidRPr="00BE28A5">
        <w:rPr>
          <w:rFonts w:ascii="Times New Roman" w:hAnsi="Times New Roman" w:cs="Times New Roman"/>
          <w:sz w:val="24"/>
          <w:szCs w:val="24"/>
        </w:rPr>
        <w:t xml:space="preserve"> enfermero y médico.</w:t>
      </w:r>
    </w:p>
    <w:p w14:paraId="36A84C74" w14:textId="77777777" w:rsidR="00427E69" w:rsidRPr="00BE28A5" w:rsidRDefault="00427E69" w:rsidP="00427E69">
      <w:pPr>
        <w:spacing w:after="0" w:line="360" w:lineRule="auto"/>
        <w:ind w:left="-142" w:right="-234"/>
        <w:jc w:val="both"/>
        <w:rPr>
          <w:rFonts w:ascii="Times New Roman" w:hAnsi="Times New Roman" w:cs="Times New Roman"/>
          <w:sz w:val="24"/>
          <w:szCs w:val="24"/>
        </w:rPr>
      </w:pPr>
    </w:p>
    <w:p w14:paraId="7189BECD" w14:textId="77777777" w:rsidR="00427E69" w:rsidRPr="00BE28A5" w:rsidRDefault="00427E69" w:rsidP="00427E69">
      <w:pPr>
        <w:spacing w:after="0" w:line="360" w:lineRule="auto"/>
        <w:ind w:left="-142" w:right="-234"/>
        <w:jc w:val="both"/>
        <w:rPr>
          <w:rFonts w:ascii="Times New Roman" w:hAnsi="Times New Roman" w:cs="Times New Roman"/>
          <w:sz w:val="24"/>
          <w:szCs w:val="24"/>
        </w:rPr>
      </w:pPr>
      <w:r>
        <w:rPr>
          <w:rFonts w:ascii="Times New Roman" w:hAnsi="Times New Roman" w:cs="Times New Roman"/>
          <w:sz w:val="24"/>
          <w:szCs w:val="24"/>
        </w:rPr>
        <w:t>L</w:t>
      </w:r>
      <w:r w:rsidRPr="00BE28A5">
        <w:rPr>
          <w:rFonts w:ascii="Times New Roman" w:hAnsi="Times New Roman" w:cs="Times New Roman"/>
          <w:sz w:val="24"/>
          <w:szCs w:val="24"/>
        </w:rPr>
        <w:t>a información fue suministrada por los departamentos Registros Médicos, Economía y otras áreas administrativas. Como medidas resumen se utilizaron frecuencias absolutas y porcentajes. Se utilizó la media para describir la distribución de los costos del día paci</w:t>
      </w:r>
      <w:r w:rsidRPr="00BE28A5">
        <w:rPr>
          <w:rFonts w:ascii="Times New Roman" w:hAnsi="Times New Roman" w:cs="Times New Roman"/>
          <w:color w:val="000000"/>
          <w:sz w:val="24"/>
          <w:szCs w:val="24"/>
        </w:rPr>
        <w:t xml:space="preserve">ente. </w:t>
      </w:r>
      <w:r w:rsidRPr="00BE28A5">
        <w:rPr>
          <w:rFonts w:ascii="Times New Roman" w:hAnsi="Times New Roman" w:cs="Times New Roman"/>
          <w:sz w:val="24"/>
          <w:szCs w:val="24"/>
        </w:rPr>
        <w:t xml:space="preserve">Los resultados se presentan en tablas. </w:t>
      </w:r>
      <w:r>
        <w:rPr>
          <w:rFonts w:ascii="Times New Roman" w:hAnsi="Times New Roman" w:cs="Times New Roman"/>
          <w:color w:val="000000"/>
          <w:sz w:val="24"/>
          <w:szCs w:val="24"/>
        </w:rPr>
        <w:t>Solo se utilizan datos públicos</w:t>
      </w:r>
      <w:r w:rsidRPr="00BE28A5">
        <w:rPr>
          <w:rFonts w:ascii="Times New Roman" w:hAnsi="Times New Roman" w:cs="Times New Roman"/>
          <w:color w:val="000000"/>
          <w:sz w:val="24"/>
          <w:szCs w:val="24"/>
        </w:rPr>
        <w:t>.</w:t>
      </w:r>
    </w:p>
    <w:p w14:paraId="4C69B54F" w14:textId="77777777" w:rsidR="00427E69" w:rsidRPr="00BE28A5" w:rsidRDefault="00427E69" w:rsidP="00427E69">
      <w:pPr>
        <w:spacing w:after="0" w:line="360" w:lineRule="auto"/>
        <w:ind w:left="-142" w:right="-234"/>
        <w:jc w:val="both"/>
        <w:rPr>
          <w:rFonts w:ascii="Times New Roman" w:hAnsi="Times New Roman" w:cs="Times New Roman"/>
          <w:b/>
          <w:sz w:val="24"/>
          <w:szCs w:val="24"/>
        </w:rPr>
      </w:pPr>
    </w:p>
    <w:p w14:paraId="0E5D74D7" w14:textId="77777777" w:rsidR="00427E69" w:rsidRDefault="00427E69" w:rsidP="00427E69">
      <w:pPr>
        <w:spacing w:after="0" w:line="360" w:lineRule="auto"/>
        <w:ind w:left="-142" w:right="-234"/>
        <w:jc w:val="both"/>
        <w:rPr>
          <w:rFonts w:ascii="Times New Roman" w:hAnsi="Times New Roman" w:cs="Times New Roman"/>
          <w:b/>
          <w:sz w:val="24"/>
          <w:szCs w:val="24"/>
        </w:rPr>
      </w:pPr>
    </w:p>
    <w:p w14:paraId="3258071E" w14:textId="77777777" w:rsidR="00427E69" w:rsidRPr="004959AD" w:rsidRDefault="00427E69" w:rsidP="00427E69">
      <w:pPr>
        <w:spacing w:after="0" w:line="360" w:lineRule="auto"/>
        <w:ind w:left="-142" w:right="-234"/>
        <w:jc w:val="center"/>
        <w:rPr>
          <w:rFonts w:ascii="Times New Roman" w:hAnsi="Times New Roman" w:cs="Times New Roman"/>
          <w:b/>
          <w:sz w:val="32"/>
          <w:szCs w:val="32"/>
        </w:rPr>
      </w:pPr>
      <w:r w:rsidRPr="004959AD">
        <w:rPr>
          <w:rFonts w:ascii="Times New Roman" w:hAnsi="Times New Roman" w:cs="Times New Roman"/>
          <w:b/>
          <w:sz w:val="32"/>
          <w:szCs w:val="32"/>
        </w:rPr>
        <w:t>RESULTADOS</w:t>
      </w:r>
    </w:p>
    <w:p w14:paraId="7615C769" w14:textId="77777777" w:rsidR="00427E69" w:rsidRPr="00BE28A5" w:rsidRDefault="00427E69" w:rsidP="00427E69">
      <w:pPr>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En el área de atención a pacientes sospechosos, hubo 14</w:t>
      </w:r>
      <w:r>
        <w:rPr>
          <w:rFonts w:ascii="Times New Roman" w:hAnsi="Times New Roman" w:cs="Times New Roman"/>
          <w:sz w:val="24"/>
          <w:szCs w:val="24"/>
        </w:rPr>
        <w:t> </w:t>
      </w:r>
      <w:r w:rsidRPr="00BE28A5">
        <w:rPr>
          <w:rFonts w:ascii="Times New Roman" w:hAnsi="Times New Roman" w:cs="Times New Roman"/>
          <w:sz w:val="24"/>
          <w:szCs w:val="24"/>
        </w:rPr>
        <w:t>578 días pacientes y 5</w:t>
      </w:r>
      <w:r>
        <w:rPr>
          <w:rFonts w:ascii="Times New Roman" w:hAnsi="Times New Roman" w:cs="Times New Roman"/>
          <w:sz w:val="24"/>
          <w:szCs w:val="24"/>
        </w:rPr>
        <w:t> </w:t>
      </w:r>
      <w:r w:rsidRPr="00BE28A5">
        <w:rPr>
          <w:rFonts w:ascii="Times New Roman" w:hAnsi="Times New Roman" w:cs="Times New Roman"/>
          <w:sz w:val="24"/>
          <w:szCs w:val="24"/>
        </w:rPr>
        <w:t>976 días cama. Esta relación fue inversa en las salas para pacientes confirmados y graves, en las cuales predominó el día cama (Fig. 1).</w:t>
      </w:r>
    </w:p>
    <w:p w14:paraId="3C900C38" w14:textId="77777777" w:rsidR="00427E69" w:rsidRPr="00237197" w:rsidRDefault="00427E69" w:rsidP="00427E69">
      <w:pPr>
        <w:spacing w:after="0" w:line="360" w:lineRule="auto"/>
        <w:ind w:left="-142" w:right="-234"/>
        <w:jc w:val="both"/>
        <w:rPr>
          <w:rFonts w:ascii="Times New Roman" w:hAnsi="Times New Roman" w:cs="Times New Roman"/>
          <w:sz w:val="16"/>
          <w:szCs w:val="16"/>
        </w:rPr>
      </w:pPr>
    </w:p>
    <w:p w14:paraId="7D318A98" w14:textId="72F52603" w:rsidR="00427E69" w:rsidRPr="00BE28A5" w:rsidRDefault="00CB27A9" w:rsidP="00427E69">
      <w:pPr>
        <w:spacing w:after="0" w:line="360" w:lineRule="auto"/>
        <w:ind w:left="-142" w:right="-234"/>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1C033E1" wp14:editId="78B52554">
            <wp:extent cx="3181350" cy="20383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0">
                      <a:extLst>
                        <a:ext uri="{28A0092B-C50C-407E-A947-70E740481C1C}">
                          <a14:useLocalDpi xmlns:a14="http://schemas.microsoft.com/office/drawing/2010/main" val="0"/>
                        </a:ext>
                      </a:extLst>
                    </a:blip>
                    <a:stretch>
                      <a:fillRect/>
                    </a:stretch>
                  </pic:blipFill>
                  <pic:spPr>
                    <a:xfrm>
                      <a:off x="0" y="0"/>
                      <a:ext cx="3181350" cy="2038350"/>
                    </a:xfrm>
                    <a:prstGeom prst="rect">
                      <a:avLst/>
                    </a:prstGeom>
                  </pic:spPr>
                </pic:pic>
              </a:graphicData>
            </a:graphic>
          </wp:inline>
        </w:drawing>
      </w:r>
    </w:p>
    <w:p w14:paraId="709EE9A5" w14:textId="77777777" w:rsidR="00427E69" w:rsidRPr="00067771" w:rsidRDefault="00427E69" w:rsidP="00427E69">
      <w:pPr>
        <w:spacing w:after="0" w:line="360" w:lineRule="auto"/>
        <w:ind w:left="-142" w:right="-234"/>
        <w:jc w:val="center"/>
        <w:rPr>
          <w:rFonts w:ascii="Times New Roman" w:hAnsi="Times New Roman" w:cs="Times New Roman"/>
        </w:rPr>
      </w:pPr>
      <w:r w:rsidRPr="00067771">
        <w:rPr>
          <w:rFonts w:ascii="Times New Roman" w:hAnsi="Times New Roman" w:cs="Times New Roman"/>
          <w:b/>
        </w:rPr>
        <w:t>Fig. 1 -</w:t>
      </w:r>
      <w:r w:rsidRPr="00067771">
        <w:rPr>
          <w:rFonts w:ascii="Times New Roman" w:hAnsi="Times New Roman" w:cs="Times New Roman"/>
        </w:rPr>
        <w:t xml:space="preserve"> Distribución de días paciente y días cama por área de hospitalización.</w:t>
      </w:r>
    </w:p>
    <w:p w14:paraId="1B7645AC" w14:textId="77777777" w:rsidR="00427E69" w:rsidRPr="00BE28A5" w:rsidRDefault="00427E69" w:rsidP="00427E69">
      <w:pPr>
        <w:spacing w:after="0" w:line="360" w:lineRule="auto"/>
        <w:ind w:left="-142" w:right="-234"/>
        <w:jc w:val="both"/>
        <w:rPr>
          <w:rFonts w:ascii="Times New Roman" w:hAnsi="Times New Roman" w:cs="Times New Roman"/>
          <w:sz w:val="24"/>
          <w:szCs w:val="24"/>
        </w:rPr>
      </w:pPr>
    </w:p>
    <w:p w14:paraId="235B8C29" w14:textId="77777777" w:rsidR="00427E69" w:rsidRPr="00BE28A5" w:rsidRDefault="00427E69" w:rsidP="00427E69">
      <w:pPr>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En la figura 2 se ilustra que el mayor costo medio por concepto de salario, para un día paciente</w:t>
      </w:r>
      <w:r>
        <w:rPr>
          <w:rFonts w:ascii="Times New Roman" w:hAnsi="Times New Roman" w:cs="Times New Roman"/>
          <w:sz w:val="24"/>
          <w:szCs w:val="24"/>
        </w:rPr>
        <w:t>;</w:t>
      </w:r>
      <w:r w:rsidRPr="00BE28A5">
        <w:rPr>
          <w:rFonts w:ascii="Times New Roman" w:hAnsi="Times New Roman" w:cs="Times New Roman"/>
          <w:sz w:val="24"/>
          <w:szCs w:val="24"/>
        </w:rPr>
        <w:t xml:space="preserve"> estuvo entre el personal de enfermería (226,2 CUP)</w:t>
      </w:r>
      <w:r>
        <w:rPr>
          <w:rFonts w:ascii="Times New Roman" w:hAnsi="Times New Roman" w:cs="Times New Roman"/>
          <w:sz w:val="24"/>
          <w:szCs w:val="24"/>
        </w:rPr>
        <w:t>,</w:t>
      </w:r>
      <w:r w:rsidRPr="00BE28A5">
        <w:rPr>
          <w:rFonts w:ascii="Times New Roman" w:hAnsi="Times New Roman" w:cs="Times New Roman"/>
          <w:sz w:val="24"/>
          <w:szCs w:val="24"/>
        </w:rPr>
        <w:t xml:space="preserve"> seguido del costo del salario médico (213,1 CUP). Para el resto de las categorías el costo fue inferior.</w:t>
      </w:r>
    </w:p>
    <w:p w14:paraId="0A1CCEF9" w14:textId="77777777" w:rsidR="00427E69" w:rsidRPr="00BE28A5" w:rsidRDefault="00427E69" w:rsidP="00427E69">
      <w:pPr>
        <w:spacing w:after="0" w:line="360" w:lineRule="auto"/>
        <w:ind w:left="-142" w:right="-234"/>
        <w:jc w:val="both"/>
        <w:rPr>
          <w:rFonts w:ascii="Times New Roman" w:hAnsi="Times New Roman" w:cs="Times New Roman"/>
          <w:b/>
          <w:bCs/>
          <w:sz w:val="24"/>
          <w:szCs w:val="24"/>
        </w:rPr>
      </w:pPr>
    </w:p>
    <w:p w14:paraId="0E3CE447" w14:textId="141A4601" w:rsidR="00427E69" w:rsidRPr="00BE28A5" w:rsidRDefault="00243241" w:rsidP="00427E69">
      <w:pPr>
        <w:spacing w:after="0" w:line="360" w:lineRule="auto"/>
        <w:ind w:left="-142" w:right="-234"/>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EFC5267" wp14:editId="1477C764">
            <wp:extent cx="4838700" cy="126682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1">
                      <a:extLst>
                        <a:ext uri="{28A0092B-C50C-407E-A947-70E740481C1C}">
                          <a14:useLocalDpi xmlns:a14="http://schemas.microsoft.com/office/drawing/2010/main" val="0"/>
                        </a:ext>
                      </a:extLst>
                    </a:blip>
                    <a:stretch>
                      <a:fillRect/>
                    </a:stretch>
                  </pic:blipFill>
                  <pic:spPr>
                    <a:xfrm>
                      <a:off x="0" y="0"/>
                      <a:ext cx="4838700" cy="1266825"/>
                    </a:xfrm>
                    <a:prstGeom prst="rect">
                      <a:avLst/>
                    </a:prstGeom>
                  </pic:spPr>
                </pic:pic>
              </a:graphicData>
            </a:graphic>
          </wp:inline>
        </w:drawing>
      </w:r>
    </w:p>
    <w:p w14:paraId="510E25A6" w14:textId="77777777" w:rsidR="00427E69" w:rsidRPr="00B964FB" w:rsidRDefault="00427E69" w:rsidP="00427E69">
      <w:pPr>
        <w:spacing w:after="0" w:line="360" w:lineRule="auto"/>
        <w:ind w:left="-142" w:right="-234"/>
        <w:jc w:val="center"/>
        <w:rPr>
          <w:rFonts w:ascii="Times New Roman" w:hAnsi="Times New Roman" w:cs="Times New Roman"/>
        </w:rPr>
      </w:pPr>
      <w:r w:rsidRPr="00B964FB">
        <w:rPr>
          <w:rFonts w:ascii="Times New Roman" w:hAnsi="Times New Roman" w:cs="Times New Roman"/>
          <w:b/>
          <w:bCs/>
        </w:rPr>
        <w:t>Fig. 2 -</w:t>
      </w:r>
      <w:r w:rsidRPr="00B964FB">
        <w:rPr>
          <w:rFonts w:ascii="Times New Roman" w:hAnsi="Times New Roman" w:cs="Times New Roman"/>
        </w:rPr>
        <w:t xml:space="preserve"> Salario medio</w:t>
      </w:r>
      <w:r>
        <w:rPr>
          <w:rFonts w:ascii="Times New Roman" w:hAnsi="Times New Roman" w:cs="Times New Roman"/>
        </w:rPr>
        <w:t xml:space="preserve"> en CUP</w:t>
      </w:r>
      <w:r w:rsidRPr="00B964FB">
        <w:rPr>
          <w:rFonts w:ascii="Times New Roman" w:hAnsi="Times New Roman" w:cs="Times New Roman"/>
        </w:rPr>
        <w:t xml:space="preserve"> del personal actuante en el costo del día paciente.</w:t>
      </w:r>
    </w:p>
    <w:p w14:paraId="26C73171" w14:textId="77777777" w:rsidR="00427E69" w:rsidRPr="00BE28A5" w:rsidRDefault="00427E69" w:rsidP="00427E69">
      <w:pPr>
        <w:spacing w:after="0" w:line="360" w:lineRule="auto"/>
        <w:jc w:val="both"/>
        <w:rPr>
          <w:rFonts w:ascii="Times New Roman" w:hAnsi="Times New Roman" w:cs="Times New Roman"/>
          <w:sz w:val="24"/>
          <w:szCs w:val="24"/>
        </w:rPr>
      </w:pPr>
    </w:p>
    <w:p w14:paraId="42C07140" w14:textId="77777777" w:rsidR="00427E69" w:rsidRPr="00BE28A5" w:rsidRDefault="00427E69" w:rsidP="00427E69">
      <w:pPr>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 xml:space="preserve">La tabla 1 muestra la distribución de los costos por salas de hospitalización y el porcentaje que representan. </w:t>
      </w:r>
      <w:r>
        <w:rPr>
          <w:rFonts w:ascii="Times New Roman" w:hAnsi="Times New Roman" w:cs="Times New Roman"/>
          <w:sz w:val="24"/>
          <w:szCs w:val="24"/>
        </w:rPr>
        <w:t>Se</w:t>
      </w:r>
      <w:r w:rsidRPr="00BE28A5">
        <w:rPr>
          <w:rFonts w:ascii="Times New Roman" w:hAnsi="Times New Roman" w:cs="Times New Roman"/>
          <w:sz w:val="24"/>
          <w:szCs w:val="24"/>
        </w:rPr>
        <w:t xml:space="preserve"> observa que los medicamentos (35,6</w:t>
      </w:r>
      <w:r>
        <w:rPr>
          <w:rFonts w:ascii="Times New Roman" w:hAnsi="Times New Roman" w:cs="Times New Roman"/>
          <w:sz w:val="24"/>
          <w:szCs w:val="24"/>
        </w:rPr>
        <w:t> </w:t>
      </w:r>
      <w:r w:rsidRPr="00BE28A5">
        <w:rPr>
          <w:rFonts w:ascii="Times New Roman" w:hAnsi="Times New Roman" w:cs="Times New Roman"/>
          <w:sz w:val="24"/>
          <w:szCs w:val="24"/>
        </w:rPr>
        <w:t>%) y el mobiliario médico (23</w:t>
      </w:r>
      <w:r>
        <w:rPr>
          <w:rFonts w:ascii="Times New Roman" w:hAnsi="Times New Roman" w:cs="Times New Roman"/>
          <w:sz w:val="24"/>
          <w:szCs w:val="24"/>
        </w:rPr>
        <w:t> </w:t>
      </w:r>
      <w:r w:rsidRPr="00BE28A5">
        <w:rPr>
          <w:rFonts w:ascii="Times New Roman" w:hAnsi="Times New Roman" w:cs="Times New Roman"/>
          <w:sz w:val="24"/>
          <w:szCs w:val="24"/>
        </w:rPr>
        <w:t>%) fueron los recursos de mayor costo en un día paciente. En el servicio de atención al paciente grave, se registró el 85,5</w:t>
      </w:r>
      <w:r>
        <w:rPr>
          <w:rFonts w:ascii="Times New Roman" w:hAnsi="Times New Roman" w:cs="Times New Roman"/>
          <w:sz w:val="24"/>
          <w:szCs w:val="24"/>
        </w:rPr>
        <w:t> </w:t>
      </w:r>
      <w:r w:rsidRPr="00BE28A5">
        <w:rPr>
          <w:rFonts w:ascii="Times New Roman" w:hAnsi="Times New Roman" w:cs="Times New Roman"/>
          <w:sz w:val="24"/>
          <w:szCs w:val="24"/>
        </w:rPr>
        <w:t>% del costo total en un día paciente, con cifras algo superiores a los 500 CUP.</w:t>
      </w:r>
    </w:p>
    <w:p w14:paraId="6BC57CBD" w14:textId="77777777" w:rsidR="00427E69" w:rsidRPr="00814780" w:rsidRDefault="00427E69" w:rsidP="00427E69">
      <w:pPr>
        <w:spacing w:after="0" w:line="360" w:lineRule="auto"/>
        <w:ind w:left="-142" w:right="-234"/>
        <w:jc w:val="both"/>
        <w:rPr>
          <w:rFonts w:ascii="Times New Roman" w:hAnsi="Times New Roman" w:cs="Times New Roman"/>
          <w:sz w:val="16"/>
          <w:szCs w:val="16"/>
        </w:rPr>
      </w:pPr>
    </w:p>
    <w:p w14:paraId="124F4C5C" w14:textId="77777777" w:rsidR="00427E69" w:rsidRPr="004D6EA5" w:rsidRDefault="00427E69" w:rsidP="00427E69">
      <w:pPr>
        <w:spacing w:after="0" w:line="360" w:lineRule="auto"/>
        <w:ind w:left="-142" w:right="-234"/>
        <w:jc w:val="center"/>
        <w:rPr>
          <w:rFonts w:ascii="Times New Roman" w:hAnsi="Times New Roman" w:cs="Times New Roman"/>
        </w:rPr>
      </w:pPr>
      <w:r w:rsidRPr="004D6EA5">
        <w:rPr>
          <w:rFonts w:ascii="Times New Roman" w:hAnsi="Times New Roman" w:cs="Times New Roman"/>
          <w:b/>
        </w:rPr>
        <w:t>Tabla 1 –</w:t>
      </w:r>
      <w:r w:rsidRPr="004D6EA5">
        <w:rPr>
          <w:rFonts w:ascii="Times New Roman" w:hAnsi="Times New Roman" w:cs="Times New Roman"/>
        </w:rPr>
        <w:t xml:space="preserve"> Distribución de los costos por salas de hospitalización en un día paciente</w:t>
      </w:r>
    </w:p>
    <w:p w14:paraId="073115E7" w14:textId="77777777" w:rsidR="00427E69" w:rsidRPr="00BE28A5" w:rsidRDefault="00427E69" w:rsidP="00427E69">
      <w:pPr>
        <w:spacing w:after="0" w:line="360" w:lineRule="auto"/>
        <w:ind w:left="-142" w:right="-234"/>
        <w:jc w:val="center"/>
        <w:rPr>
          <w:rFonts w:ascii="Times New Roman" w:hAnsi="Times New Roman" w:cs="Times New Roman"/>
          <w:sz w:val="24"/>
          <w:szCs w:val="24"/>
        </w:rPr>
      </w:pPr>
      <w:r w:rsidRPr="004D6EA5">
        <w:rPr>
          <w:rFonts w:ascii="Times New Roman" w:hAnsi="Times New Roman" w:cs="Times New Roman"/>
        </w:rPr>
        <w:t>durante la COVID-19</w:t>
      </w:r>
    </w:p>
    <w:p w14:paraId="5C52CDB4" w14:textId="0E4C0E4D" w:rsidR="00DD63E3" w:rsidRDefault="00DD63E3" w:rsidP="00427E69">
      <w:pPr>
        <w:tabs>
          <w:tab w:val="left" w:pos="8789"/>
        </w:tabs>
        <w:spacing w:after="0" w:line="360" w:lineRule="auto"/>
        <w:ind w:left="-142" w:right="-234"/>
        <w:jc w:val="center"/>
        <w:rPr>
          <w:rFonts w:ascii="Times New Roman" w:hAnsi="Times New Roman" w:cs="Times New Roman"/>
          <w:b/>
          <w:sz w:val="16"/>
          <w:szCs w:val="16"/>
        </w:rPr>
      </w:pPr>
      <w:r>
        <w:rPr>
          <w:rFonts w:ascii="Times New Roman" w:hAnsi="Times New Roman" w:cs="Times New Roman"/>
          <w:b/>
          <w:noProof/>
          <w:sz w:val="16"/>
          <w:szCs w:val="16"/>
        </w:rPr>
        <w:drawing>
          <wp:inline distT="0" distB="0" distL="0" distR="0" wp14:anchorId="16CD5579" wp14:editId="36372A52">
            <wp:extent cx="5648325" cy="22764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2">
                      <a:extLst>
                        <a:ext uri="{28A0092B-C50C-407E-A947-70E740481C1C}">
                          <a14:useLocalDpi xmlns:a14="http://schemas.microsoft.com/office/drawing/2010/main" val="0"/>
                        </a:ext>
                      </a:extLst>
                    </a:blip>
                    <a:stretch>
                      <a:fillRect/>
                    </a:stretch>
                  </pic:blipFill>
                  <pic:spPr>
                    <a:xfrm>
                      <a:off x="0" y="0"/>
                      <a:ext cx="5648325" cy="2276475"/>
                    </a:xfrm>
                    <a:prstGeom prst="rect">
                      <a:avLst/>
                    </a:prstGeom>
                  </pic:spPr>
                </pic:pic>
              </a:graphicData>
            </a:graphic>
          </wp:inline>
        </w:drawing>
      </w:r>
    </w:p>
    <w:p w14:paraId="458F2B44" w14:textId="610372AA" w:rsidR="00427E69" w:rsidRPr="001556FC" w:rsidRDefault="00427E69" w:rsidP="00427E69">
      <w:pPr>
        <w:tabs>
          <w:tab w:val="left" w:pos="8789"/>
        </w:tabs>
        <w:spacing w:after="0" w:line="360" w:lineRule="auto"/>
        <w:ind w:left="-142" w:right="-234"/>
        <w:jc w:val="center"/>
        <w:rPr>
          <w:rFonts w:ascii="Times New Roman" w:hAnsi="Times New Roman" w:cs="Times New Roman"/>
          <w:sz w:val="16"/>
          <w:szCs w:val="16"/>
        </w:rPr>
      </w:pPr>
      <w:r w:rsidRPr="001556FC">
        <w:rPr>
          <w:rFonts w:ascii="Times New Roman" w:hAnsi="Times New Roman" w:cs="Times New Roman"/>
          <w:b/>
          <w:sz w:val="16"/>
          <w:szCs w:val="16"/>
        </w:rPr>
        <w:t>Nota:</w:t>
      </w:r>
      <w:r w:rsidRPr="001556FC">
        <w:rPr>
          <w:rFonts w:ascii="Times New Roman" w:hAnsi="Times New Roman" w:cs="Times New Roman"/>
          <w:sz w:val="16"/>
          <w:szCs w:val="16"/>
        </w:rPr>
        <w:t xml:space="preserve"> Los por cientos fueron </w:t>
      </w:r>
      <w:r>
        <w:rPr>
          <w:rFonts w:ascii="Times New Roman" w:hAnsi="Times New Roman" w:cs="Times New Roman"/>
          <w:sz w:val="16"/>
          <w:szCs w:val="16"/>
        </w:rPr>
        <w:t>calculados</w:t>
      </w:r>
      <w:r w:rsidRPr="001556FC">
        <w:rPr>
          <w:rFonts w:ascii="Times New Roman" w:hAnsi="Times New Roman" w:cs="Times New Roman"/>
          <w:sz w:val="16"/>
          <w:szCs w:val="16"/>
        </w:rPr>
        <w:t xml:space="preserve"> en función del total de cada fila.</w:t>
      </w:r>
    </w:p>
    <w:p w14:paraId="207BBB87"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p>
    <w:p w14:paraId="45D5EC21"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 xml:space="preserve">La tabla 2 presenta una comparación del consumo de electricidad por mes, el porcentaje que representa y los costos generados. Es apreciable que el mes de abril fue el de mayor consumo de </w:t>
      </w:r>
      <w:r>
        <w:rPr>
          <w:rFonts w:ascii="Times New Roman" w:hAnsi="Times New Roman" w:cs="Times New Roman"/>
          <w:sz w:val="24"/>
          <w:szCs w:val="24"/>
        </w:rPr>
        <w:t>k</w:t>
      </w:r>
      <w:r w:rsidRPr="00BE28A5">
        <w:rPr>
          <w:rFonts w:ascii="Times New Roman" w:hAnsi="Times New Roman" w:cs="Times New Roman"/>
          <w:sz w:val="24"/>
          <w:szCs w:val="24"/>
        </w:rPr>
        <w:t>W para un día paciente (36,6</w:t>
      </w:r>
      <w:r>
        <w:rPr>
          <w:rFonts w:ascii="Times New Roman" w:hAnsi="Times New Roman" w:cs="Times New Roman"/>
          <w:sz w:val="24"/>
          <w:szCs w:val="24"/>
        </w:rPr>
        <w:t> </w:t>
      </w:r>
      <w:r w:rsidRPr="00BE28A5">
        <w:rPr>
          <w:rFonts w:ascii="Times New Roman" w:hAnsi="Times New Roman" w:cs="Times New Roman"/>
          <w:sz w:val="24"/>
          <w:szCs w:val="24"/>
        </w:rPr>
        <w:t>%). Para el total de días paciente, los 95</w:t>
      </w:r>
      <w:r>
        <w:rPr>
          <w:rFonts w:ascii="Times New Roman" w:hAnsi="Times New Roman" w:cs="Times New Roman"/>
          <w:sz w:val="24"/>
          <w:szCs w:val="24"/>
        </w:rPr>
        <w:t> </w:t>
      </w:r>
      <w:r w:rsidRPr="00BE28A5">
        <w:rPr>
          <w:rFonts w:ascii="Times New Roman" w:hAnsi="Times New Roman" w:cs="Times New Roman"/>
          <w:sz w:val="24"/>
          <w:szCs w:val="24"/>
        </w:rPr>
        <w:t>111 kW consumidos en el propio mes, determinaron un costo de 18</w:t>
      </w:r>
      <w:r>
        <w:rPr>
          <w:rFonts w:ascii="Times New Roman" w:hAnsi="Times New Roman" w:cs="Times New Roman"/>
          <w:sz w:val="24"/>
          <w:szCs w:val="24"/>
        </w:rPr>
        <w:t> </w:t>
      </w:r>
      <w:r w:rsidRPr="00BE28A5">
        <w:rPr>
          <w:rFonts w:ascii="Times New Roman" w:hAnsi="Times New Roman" w:cs="Times New Roman"/>
          <w:sz w:val="24"/>
          <w:szCs w:val="24"/>
        </w:rPr>
        <w:t>071,1 CUP (40,7</w:t>
      </w:r>
      <w:r>
        <w:rPr>
          <w:rFonts w:ascii="Times New Roman" w:hAnsi="Times New Roman" w:cs="Times New Roman"/>
          <w:sz w:val="24"/>
          <w:szCs w:val="24"/>
        </w:rPr>
        <w:t> </w:t>
      </w:r>
      <w:r w:rsidRPr="00BE28A5">
        <w:rPr>
          <w:rFonts w:ascii="Times New Roman" w:hAnsi="Times New Roman" w:cs="Times New Roman"/>
          <w:sz w:val="24"/>
          <w:szCs w:val="24"/>
        </w:rPr>
        <w:t>%).</w:t>
      </w:r>
    </w:p>
    <w:p w14:paraId="3AD08FC5"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p>
    <w:p w14:paraId="6E2853FA" w14:textId="77777777" w:rsidR="00427E69" w:rsidRPr="00135F50" w:rsidRDefault="00427E69" w:rsidP="00427E69">
      <w:pPr>
        <w:tabs>
          <w:tab w:val="left" w:pos="8789"/>
        </w:tabs>
        <w:spacing w:after="0" w:line="360" w:lineRule="auto"/>
        <w:ind w:left="-142" w:right="-234"/>
        <w:jc w:val="center"/>
        <w:rPr>
          <w:rFonts w:ascii="Times New Roman" w:hAnsi="Times New Roman" w:cs="Times New Roman"/>
        </w:rPr>
      </w:pPr>
      <w:r w:rsidRPr="00135F50">
        <w:rPr>
          <w:rFonts w:ascii="Times New Roman" w:hAnsi="Times New Roman" w:cs="Times New Roman"/>
          <w:b/>
          <w:bCs/>
        </w:rPr>
        <w:t>Tabla 2 -</w:t>
      </w:r>
      <w:r w:rsidRPr="00135F50">
        <w:rPr>
          <w:rFonts w:ascii="Times New Roman" w:hAnsi="Times New Roman" w:cs="Times New Roman"/>
        </w:rPr>
        <w:t xml:space="preserve"> Consumo de energía eléctrica y su costo en relación al día paciente</w:t>
      </w:r>
    </w:p>
    <w:p w14:paraId="579ED2C7" w14:textId="0AA63EB7" w:rsidR="00385982" w:rsidRDefault="00385982" w:rsidP="00427E69">
      <w:pPr>
        <w:tabs>
          <w:tab w:val="left" w:pos="8789"/>
        </w:tabs>
        <w:spacing w:after="0" w:line="360" w:lineRule="auto"/>
        <w:ind w:left="-142" w:right="-234"/>
        <w:jc w:val="center"/>
        <w:rPr>
          <w:rFonts w:ascii="Times New Roman" w:hAnsi="Times New Roman" w:cs="Times New Roman"/>
          <w:b/>
          <w:sz w:val="16"/>
          <w:szCs w:val="16"/>
        </w:rPr>
      </w:pPr>
      <w:r>
        <w:rPr>
          <w:rFonts w:ascii="Times New Roman" w:hAnsi="Times New Roman" w:cs="Times New Roman"/>
          <w:b/>
          <w:noProof/>
          <w:sz w:val="16"/>
          <w:szCs w:val="16"/>
        </w:rPr>
        <w:drawing>
          <wp:inline distT="0" distB="0" distL="0" distR="0" wp14:anchorId="26C0AFB3" wp14:editId="1B9B9D59">
            <wp:extent cx="5048250" cy="16954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3">
                      <a:extLst>
                        <a:ext uri="{28A0092B-C50C-407E-A947-70E740481C1C}">
                          <a14:useLocalDpi xmlns:a14="http://schemas.microsoft.com/office/drawing/2010/main" val="0"/>
                        </a:ext>
                      </a:extLst>
                    </a:blip>
                    <a:stretch>
                      <a:fillRect/>
                    </a:stretch>
                  </pic:blipFill>
                  <pic:spPr>
                    <a:xfrm>
                      <a:off x="0" y="0"/>
                      <a:ext cx="5048250" cy="1695450"/>
                    </a:xfrm>
                    <a:prstGeom prst="rect">
                      <a:avLst/>
                    </a:prstGeom>
                  </pic:spPr>
                </pic:pic>
              </a:graphicData>
            </a:graphic>
          </wp:inline>
        </w:drawing>
      </w:r>
    </w:p>
    <w:p w14:paraId="4BA129A2" w14:textId="7331C6A6" w:rsidR="00427E69" w:rsidRPr="00135F50" w:rsidRDefault="00427E69" w:rsidP="00427E69">
      <w:pPr>
        <w:tabs>
          <w:tab w:val="left" w:pos="8789"/>
        </w:tabs>
        <w:spacing w:after="0" w:line="360" w:lineRule="auto"/>
        <w:ind w:left="-142" w:right="-234"/>
        <w:jc w:val="center"/>
        <w:rPr>
          <w:rFonts w:ascii="Times New Roman" w:hAnsi="Times New Roman" w:cs="Times New Roman"/>
          <w:sz w:val="16"/>
          <w:szCs w:val="16"/>
        </w:rPr>
      </w:pPr>
      <w:r w:rsidRPr="00135F50">
        <w:rPr>
          <w:rFonts w:ascii="Times New Roman" w:hAnsi="Times New Roman" w:cs="Times New Roman"/>
          <w:b/>
          <w:sz w:val="16"/>
          <w:szCs w:val="16"/>
        </w:rPr>
        <w:t>Nota:</w:t>
      </w:r>
      <w:r w:rsidRPr="00135F50">
        <w:rPr>
          <w:rFonts w:ascii="Times New Roman" w:hAnsi="Times New Roman" w:cs="Times New Roman"/>
          <w:sz w:val="16"/>
          <w:szCs w:val="16"/>
        </w:rPr>
        <w:t xml:space="preserve"> Los porcientos fueron </w:t>
      </w:r>
      <w:r>
        <w:rPr>
          <w:rFonts w:ascii="Times New Roman" w:hAnsi="Times New Roman" w:cs="Times New Roman"/>
          <w:sz w:val="16"/>
          <w:szCs w:val="16"/>
        </w:rPr>
        <w:t>calculados</w:t>
      </w:r>
      <w:r w:rsidRPr="00135F50">
        <w:rPr>
          <w:rFonts w:ascii="Times New Roman" w:hAnsi="Times New Roman" w:cs="Times New Roman"/>
          <w:sz w:val="16"/>
          <w:szCs w:val="16"/>
        </w:rPr>
        <w:t xml:space="preserve"> en función del total de cada columna.</w:t>
      </w:r>
    </w:p>
    <w:p w14:paraId="00C70552" w14:textId="77777777" w:rsidR="00427E69" w:rsidRPr="00BE28A5" w:rsidRDefault="00427E69" w:rsidP="00427E69">
      <w:pPr>
        <w:tabs>
          <w:tab w:val="left" w:pos="8789"/>
        </w:tabs>
        <w:spacing w:after="0" w:line="360" w:lineRule="auto"/>
        <w:ind w:left="-142" w:right="49"/>
        <w:jc w:val="both"/>
        <w:rPr>
          <w:rFonts w:ascii="Times New Roman" w:hAnsi="Times New Roman" w:cs="Times New Roman"/>
          <w:sz w:val="24"/>
          <w:szCs w:val="24"/>
        </w:rPr>
      </w:pPr>
    </w:p>
    <w:p w14:paraId="6E23C99E" w14:textId="77777777" w:rsidR="00427E69" w:rsidRPr="00BE28A5" w:rsidRDefault="00427E69" w:rsidP="00427E69">
      <w:pPr>
        <w:tabs>
          <w:tab w:val="left" w:pos="8789"/>
        </w:tabs>
        <w:spacing w:after="0" w:line="360" w:lineRule="auto"/>
        <w:ind w:left="-142" w:right="49"/>
        <w:jc w:val="both"/>
        <w:rPr>
          <w:rFonts w:ascii="Times New Roman" w:hAnsi="Times New Roman" w:cs="Times New Roman"/>
          <w:sz w:val="24"/>
          <w:szCs w:val="24"/>
        </w:rPr>
      </w:pPr>
      <w:r w:rsidRPr="00BE28A5">
        <w:rPr>
          <w:rFonts w:ascii="Times New Roman" w:hAnsi="Times New Roman" w:cs="Times New Roman"/>
          <w:sz w:val="24"/>
          <w:szCs w:val="24"/>
        </w:rPr>
        <w:t>En la figura 3 se observa en el análisis de un día paciente, el predominio de los costos variables (56,20</w:t>
      </w:r>
      <w:r>
        <w:rPr>
          <w:rFonts w:ascii="Times New Roman" w:hAnsi="Times New Roman" w:cs="Times New Roman"/>
          <w:sz w:val="24"/>
          <w:szCs w:val="24"/>
        </w:rPr>
        <w:t> </w:t>
      </w:r>
      <w:r w:rsidRPr="00BE28A5">
        <w:rPr>
          <w:rFonts w:ascii="Times New Roman" w:hAnsi="Times New Roman" w:cs="Times New Roman"/>
          <w:sz w:val="24"/>
          <w:szCs w:val="24"/>
        </w:rPr>
        <w:t>%), sin embargo, en relación al total de días paciente, la variabilidad se orienta hacia un alto nivel de los costos fijos (87,30 %).</w:t>
      </w:r>
    </w:p>
    <w:p w14:paraId="6DFAA064" w14:textId="77777777" w:rsidR="00427E69" w:rsidRPr="00BE28A5" w:rsidRDefault="00427E69" w:rsidP="00427E69">
      <w:pPr>
        <w:tabs>
          <w:tab w:val="left" w:pos="8789"/>
        </w:tabs>
        <w:spacing w:after="0" w:line="360" w:lineRule="auto"/>
        <w:ind w:left="-142" w:right="49"/>
        <w:jc w:val="both"/>
        <w:rPr>
          <w:rFonts w:ascii="Times New Roman" w:hAnsi="Times New Roman" w:cs="Times New Roman"/>
          <w:sz w:val="24"/>
          <w:szCs w:val="24"/>
        </w:rPr>
      </w:pPr>
    </w:p>
    <w:p w14:paraId="42E81A95" w14:textId="37E7BBC7" w:rsidR="00427E69" w:rsidRPr="00BE28A5" w:rsidRDefault="008B31AA" w:rsidP="008B31AA">
      <w:pPr>
        <w:spacing w:after="0" w:line="360" w:lineRule="auto"/>
        <w:jc w:val="center"/>
        <w:rPr>
          <w:rFonts w:ascii="Times New Roman" w:hAnsi="Times New Roman" w:cs="Times New Roman"/>
          <w:noProof/>
          <w:sz w:val="24"/>
          <w:szCs w:val="24"/>
          <w:lang w:eastAsia="es-ES"/>
        </w:rPr>
      </w:pPr>
      <w:r>
        <w:rPr>
          <w:rFonts w:ascii="Times New Roman" w:hAnsi="Times New Roman" w:cs="Times New Roman"/>
          <w:noProof/>
          <w:sz w:val="24"/>
          <w:szCs w:val="24"/>
          <w:lang w:eastAsia="es-ES"/>
        </w:rPr>
        <w:drawing>
          <wp:inline distT="0" distB="0" distL="0" distR="0" wp14:anchorId="501B84BA" wp14:editId="12CE26A4">
            <wp:extent cx="3038475" cy="13620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4">
                      <a:extLst>
                        <a:ext uri="{28A0092B-C50C-407E-A947-70E740481C1C}">
                          <a14:useLocalDpi xmlns:a14="http://schemas.microsoft.com/office/drawing/2010/main" val="0"/>
                        </a:ext>
                      </a:extLst>
                    </a:blip>
                    <a:stretch>
                      <a:fillRect/>
                    </a:stretch>
                  </pic:blipFill>
                  <pic:spPr>
                    <a:xfrm>
                      <a:off x="0" y="0"/>
                      <a:ext cx="3038475" cy="1362075"/>
                    </a:xfrm>
                    <a:prstGeom prst="rect">
                      <a:avLst/>
                    </a:prstGeom>
                  </pic:spPr>
                </pic:pic>
              </a:graphicData>
            </a:graphic>
          </wp:inline>
        </w:drawing>
      </w:r>
    </w:p>
    <w:p w14:paraId="5D50A284" w14:textId="77777777" w:rsidR="00427E69" w:rsidRPr="00CE6210" w:rsidRDefault="00427E69" w:rsidP="00427E69">
      <w:pPr>
        <w:tabs>
          <w:tab w:val="left" w:pos="8789"/>
        </w:tabs>
        <w:spacing w:after="0" w:line="360" w:lineRule="auto"/>
        <w:ind w:left="-142" w:right="49"/>
        <w:jc w:val="center"/>
        <w:rPr>
          <w:rFonts w:ascii="Times New Roman" w:hAnsi="Times New Roman" w:cs="Times New Roman"/>
        </w:rPr>
      </w:pPr>
      <w:r w:rsidRPr="00CE6210">
        <w:rPr>
          <w:rFonts w:ascii="Times New Roman" w:hAnsi="Times New Roman" w:cs="Times New Roman"/>
          <w:b/>
          <w:bCs/>
        </w:rPr>
        <w:t>Fig. 3 -</w:t>
      </w:r>
      <w:r w:rsidRPr="00CE6210">
        <w:rPr>
          <w:rFonts w:ascii="Times New Roman" w:hAnsi="Times New Roman" w:cs="Times New Roman"/>
        </w:rPr>
        <w:t xml:space="preserve"> Costos fijos y variables en el costo del día paciente durante la COVID-19.</w:t>
      </w:r>
    </w:p>
    <w:p w14:paraId="79777A5E" w14:textId="77777777" w:rsidR="00427E69" w:rsidRPr="00BE28A5" w:rsidRDefault="00427E69" w:rsidP="00427E69">
      <w:pPr>
        <w:spacing w:after="0" w:line="360" w:lineRule="auto"/>
        <w:jc w:val="both"/>
        <w:rPr>
          <w:rFonts w:ascii="Times New Roman" w:hAnsi="Times New Roman" w:cs="Times New Roman"/>
          <w:noProof/>
          <w:sz w:val="24"/>
          <w:szCs w:val="24"/>
          <w:lang w:eastAsia="es-ES"/>
        </w:rPr>
      </w:pPr>
    </w:p>
    <w:p w14:paraId="779E4EDF"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b/>
          <w:sz w:val="24"/>
          <w:szCs w:val="24"/>
        </w:rPr>
      </w:pPr>
    </w:p>
    <w:p w14:paraId="0F44C26B" w14:textId="77777777" w:rsidR="00427E69" w:rsidRPr="0044656C" w:rsidRDefault="00427E69" w:rsidP="00427E69">
      <w:pPr>
        <w:tabs>
          <w:tab w:val="left" w:pos="8789"/>
        </w:tabs>
        <w:spacing w:after="0" w:line="360" w:lineRule="auto"/>
        <w:ind w:left="-142" w:right="-234"/>
        <w:jc w:val="center"/>
        <w:rPr>
          <w:rFonts w:ascii="Times New Roman" w:hAnsi="Times New Roman" w:cs="Times New Roman"/>
          <w:b/>
          <w:sz w:val="32"/>
          <w:szCs w:val="32"/>
        </w:rPr>
      </w:pPr>
      <w:r w:rsidRPr="0044656C">
        <w:rPr>
          <w:rFonts w:ascii="Times New Roman" w:hAnsi="Times New Roman" w:cs="Times New Roman"/>
          <w:b/>
          <w:sz w:val="32"/>
          <w:szCs w:val="32"/>
        </w:rPr>
        <w:lastRenderedPageBreak/>
        <w:t>DISCUSIÓN</w:t>
      </w:r>
    </w:p>
    <w:p w14:paraId="5BE32AA8"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 xml:space="preserve">Es conocido que el día paciente depende del número total de días de hospitalización y el día cama refleja la capacidad instalada. Estas concepciones contribuyen a simplificar la medición de la atención médica y los servicios logísticos. Fue tendencia en el período de estudio, la baja ocupación hospitalaria durante la respuesta a la COVID-19, con predominio en las salas para pacientes confirmados y graves. </w:t>
      </w:r>
    </w:p>
    <w:p w14:paraId="34E85A2E"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vertAlign w:val="superscript"/>
        </w:rPr>
      </w:pPr>
      <w:r w:rsidRPr="00BE28A5">
        <w:rPr>
          <w:rFonts w:ascii="Times New Roman" w:hAnsi="Times New Roman" w:cs="Times New Roman"/>
          <w:sz w:val="24"/>
          <w:szCs w:val="24"/>
        </w:rPr>
        <w:t>En investigaciones consultadas</w:t>
      </w:r>
      <w:r>
        <w:rPr>
          <w:rFonts w:ascii="Times New Roman" w:hAnsi="Times New Roman" w:cs="Times New Roman"/>
          <w:sz w:val="24"/>
          <w:szCs w:val="24"/>
        </w:rPr>
        <w:t>,</w:t>
      </w:r>
      <w:r w:rsidRPr="00BE28A5">
        <w:rPr>
          <w:rFonts w:ascii="Times New Roman" w:hAnsi="Times New Roman" w:cs="Times New Roman"/>
          <w:sz w:val="24"/>
          <w:szCs w:val="24"/>
        </w:rPr>
        <w:t xml:space="preserve"> se citan estimaciones del número de personas susceptibles a partir de un caso confirmado.</w:t>
      </w:r>
      <w:r w:rsidRPr="00BE28A5">
        <w:rPr>
          <w:rFonts w:ascii="Times New Roman" w:hAnsi="Times New Roman" w:cs="Times New Roman"/>
          <w:sz w:val="24"/>
          <w:szCs w:val="24"/>
          <w:vertAlign w:val="superscript"/>
        </w:rPr>
        <w:t xml:space="preserve">(11,12) </w:t>
      </w:r>
      <w:r w:rsidRPr="00BE28A5">
        <w:rPr>
          <w:rFonts w:ascii="Times New Roman" w:hAnsi="Times New Roman" w:cs="Times New Roman"/>
          <w:sz w:val="24"/>
          <w:szCs w:val="24"/>
        </w:rPr>
        <w:t>Se interpreta que el número de pacientes positivos</w:t>
      </w:r>
      <w:r>
        <w:rPr>
          <w:rFonts w:ascii="Times New Roman" w:hAnsi="Times New Roman" w:cs="Times New Roman"/>
          <w:sz w:val="24"/>
          <w:szCs w:val="24"/>
        </w:rPr>
        <w:t>,</w:t>
      </w:r>
      <w:r w:rsidRPr="00BE28A5">
        <w:rPr>
          <w:rFonts w:ascii="Times New Roman" w:hAnsi="Times New Roman" w:cs="Times New Roman"/>
          <w:sz w:val="24"/>
          <w:szCs w:val="24"/>
        </w:rPr>
        <w:t xml:space="preserve"> siempre será menor a los sospechosos y ello pudiera explicar en la presente serie, las diferencias observadas en lo relativo a la ocupación hospitalaria. </w:t>
      </w:r>
    </w:p>
    <w:p w14:paraId="50D866CF"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i/>
          <w:sz w:val="24"/>
          <w:szCs w:val="24"/>
        </w:rPr>
        <w:t xml:space="preserve">Arroyave </w:t>
      </w:r>
      <w:r w:rsidRPr="00BE28A5">
        <w:rPr>
          <w:rFonts w:ascii="Times New Roman" w:hAnsi="Times New Roman" w:cs="Times New Roman"/>
          <w:iCs/>
          <w:sz w:val="24"/>
          <w:szCs w:val="24"/>
        </w:rPr>
        <w:t>y otros</w:t>
      </w:r>
      <w:r w:rsidRPr="00BE28A5">
        <w:rPr>
          <w:rFonts w:ascii="Times New Roman" w:hAnsi="Times New Roman" w:cs="Times New Roman"/>
          <w:sz w:val="24"/>
          <w:szCs w:val="24"/>
          <w:vertAlign w:val="superscript"/>
        </w:rPr>
        <w:t>(13)</w:t>
      </w:r>
      <w:r w:rsidRPr="00BE28A5">
        <w:rPr>
          <w:rFonts w:ascii="Times New Roman" w:hAnsi="Times New Roman" w:cs="Times New Roman"/>
          <w:sz w:val="24"/>
          <w:szCs w:val="24"/>
        </w:rPr>
        <w:t xml:space="preserve"> aseguran que el día paciente es un indicador de producción, productividad y uso de recursos</w:t>
      </w:r>
      <w:r>
        <w:rPr>
          <w:rFonts w:ascii="Times New Roman" w:hAnsi="Times New Roman" w:cs="Times New Roman"/>
          <w:sz w:val="24"/>
          <w:szCs w:val="24"/>
        </w:rPr>
        <w:t>;</w:t>
      </w:r>
      <w:r w:rsidRPr="00BE28A5">
        <w:rPr>
          <w:rFonts w:ascii="Times New Roman" w:hAnsi="Times New Roman" w:cs="Times New Roman"/>
          <w:sz w:val="24"/>
          <w:szCs w:val="24"/>
        </w:rPr>
        <w:t xml:space="preserve"> con el día cama existe una relación determinada por el costo del día paciente. Argumentan que a este corresponden las sumas pagadas por personal, medicamentos, otros insumos y servicios, que el hospital tiene instalados y están disponibles para atender las necesidades de los enfermos.</w:t>
      </w:r>
    </w:p>
    <w:p w14:paraId="18ECF3B6"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Las sumas monetarias pagadas por salario</w:t>
      </w:r>
      <w:r>
        <w:rPr>
          <w:rFonts w:ascii="Times New Roman" w:hAnsi="Times New Roman" w:cs="Times New Roman"/>
          <w:sz w:val="24"/>
          <w:szCs w:val="24"/>
        </w:rPr>
        <w:t>,</w:t>
      </w:r>
      <w:r w:rsidRPr="00BE28A5">
        <w:rPr>
          <w:rFonts w:ascii="Times New Roman" w:hAnsi="Times New Roman" w:cs="Times New Roman"/>
          <w:sz w:val="24"/>
          <w:szCs w:val="24"/>
        </w:rPr>
        <w:t xml:space="preserve"> presentan diferencias </w:t>
      </w:r>
      <w:r>
        <w:rPr>
          <w:rFonts w:ascii="Times New Roman" w:hAnsi="Times New Roman" w:cs="Times New Roman"/>
          <w:sz w:val="24"/>
          <w:szCs w:val="24"/>
        </w:rPr>
        <w:t>marcadas</w:t>
      </w:r>
      <w:r w:rsidRPr="00BE28A5">
        <w:rPr>
          <w:rFonts w:ascii="Times New Roman" w:hAnsi="Times New Roman" w:cs="Times New Roman"/>
          <w:sz w:val="24"/>
          <w:szCs w:val="24"/>
        </w:rPr>
        <w:t>. Los profesionales de la enfermería representaron el número más alto en el costo del día paciente (41,5</w:t>
      </w:r>
      <w:r>
        <w:rPr>
          <w:rFonts w:ascii="Times New Roman" w:hAnsi="Times New Roman" w:cs="Times New Roman"/>
          <w:sz w:val="24"/>
          <w:szCs w:val="24"/>
        </w:rPr>
        <w:t> </w:t>
      </w:r>
      <w:r w:rsidRPr="00BE28A5">
        <w:rPr>
          <w:rFonts w:ascii="Times New Roman" w:hAnsi="Times New Roman" w:cs="Times New Roman"/>
          <w:sz w:val="24"/>
          <w:szCs w:val="24"/>
        </w:rPr>
        <w:t>%)</w:t>
      </w:r>
      <w:r>
        <w:rPr>
          <w:rFonts w:ascii="Times New Roman" w:hAnsi="Times New Roman" w:cs="Times New Roman"/>
          <w:sz w:val="24"/>
          <w:szCs w:val="24"/>
        </w:rPr>
        <w:t>;</w:t>
      </w:r>
      <w:r w:rsidRPr="00BE28A5">
        <w:rPr>
          <w:rFonts w:ascii="Times New Roman" w:hAnsi="Times New Roman" w:cs="Times New Roman"/>
          <w:sz w:val="24"/>
          <w:szCs w:val="24"/>
        </w:rPr>
        <w:t xml:space="preserve"> </w:t>
      </w:r>
      <w:r>
        <w:rPr>
          <w:rFonts w:ascii="Times New Roman" w:hAnsi="Times New Roman" w:cs="Times New Roman"/>
          <w:sz w:val="24"/>
          <w:szCs w:val="24"/>
        </w:rPr>
        <w:t>a</w:t>
      </w:r>
      <w:r w:rsidRPr="00BE28A5">
        <w:rPr>
          <w:rFonts w:ascii="Times New Roman" w:hAnsi="Times New Roman" w:cs="Times New Roman"/>
          <w:sz w:val="24"/>
          <w:szCs w:val="24"/>
        </w:rPr>
        <w:t>l compararlo con los médicos actuantes, se observa que estos solo constituyeron dos tercios de</w:t>
      </w:r>
      <w:r>
        <w:rPr>
          <w:rFonts w:ascii="Times New Roman" w:hAnsi="Times New Roman" w:cs="Times New Roman"/>
          <w:sz w:val="24"/>
          <w:szCs w:val="24"/>
        </w:rPr>
        <w:t>l costo</w:t>
      </w:r>
      <w:r w:rsidRPr="00BE28A5">
        <w:rPr>
          <w:rFonts w:ascii="Times New Roman" w:hAnsi="Times New Roman" w:cs="Times New Roman"/>
          <w:sz w:val="24"/>
          <w:szCs w:val="24"/>
        </w:rPr>
        <w:t xml:space="preserve">. </w:t>
      </w:r>
    </w:p>
    <w:p w14:paraId="554E3ECB" w14:textId="77777777" w:rsidR="00427E69" w:rsidRPr="00BE28A5" w:rsidRDefault="00427E69" w:rsidP="00427E69">
      <w:pPr>
        <w:spacing w:after="0" w:line="360" w:lineRule="auto"/>
        <w:ind w:left="-142" w:right="-232"/>
        <w:jc w:val="both"/>
        <w:rPr>
          <w:rFonts w:ascii="Times New Roman" w:hAnsi="Times New Roman" w:cs="Times New Roman"/>
          <w:sz w:val="24"/>
          <w:szCs w:val="24"/>
          <w:vertAlign w:val="superscript"/>
        </w:rPr>
      </w:pPr>
      <w:r w:rsidRPr="00BE28A5">
        <w:rPr>
          <w:rFonts w:ascii="Times New Roman" w:hAnsi="Times New Roman" w:cs="Times New Roman"/>
          <w:sz w:val="24"/>
          <w:szCs w:val="24"/>
        </w:rPr>
        <w:t>En la variable salario se pue</w:t>
      </w:r>
      <w:r>
        <w:rPr>
          <w:rFonts w:ascii="Times New Roman" w:hAnsi="Times New Roman" w:cs="Times New Roman"/>
          <w:sz w:val="24"/>
          <w:szCs w:val="24"/>
        </w:rPr>
        <w:t>de</w:t>
      </w:r>
      <w:r w:rsidRPr="00BE28A5">
        <w:rPr>
          <w:rFonts w:ascii="Times New Roman" w:hAnsi="Times New Roman" w:cs="Times New Roman"/>
          <w:sz w:val="24"/>
          <w:szCs w:val="24"/>
        </w:rPr>
        <w:t xml:space="preserve"> reducir el costo si disminuye el número del personal sanitario. Sin embargo, con una menor proporción de sujetos actuantes, esta suposición pudiera aumentar la exposición en el área de riesgo, el error médico y otros factores no controlables</w:t>
      </w:r>
      <w:r>
        <w:rPr>
          <w:rFonts w:ascii="Times New Roman" w:hAnsi="Times New Roman" w:cs="Times New Roman"/>
          <w:sz w:val="24"/>
          <w:szCs w:val="24"/>
        </w:rPr>
        <w:t>,</w:t>
      </w:r>
      <w:r w:rsidRPr="00BE28A5">
        <w:rPr>
          <w:rFonts w:ascii="Times New Roman" w:hAnsi="Times New Roman" w:cs="Times New Roman"/>
          <w:sz w:val="24"/>
          <w:szCs w:val="24"/>
        </w:rPr>
        <w:t xml:space="preserve"> bajo las mismas condiciones observadas en la presente investigación. </w:t>
      </w:r>
      <w:r w:rsidRPr="00BE28A5">
        <w:rPr>
          <w:rFonts w:ascii="Times New Roman" w:hAnsi="Times New Roman" w:cs="Times New Roman"/>
          <w:i/>
          <w:sz w:val="24"/>
          <w:szCs w:val="24"/>
        </w:rPr>
        <w:t xml:space="preserve">Falcón </w:t>
      </w:r>
      <w:r w:rsidRPr="00BE28A5">
        <w:rPr>
          <w:rFonts w:ascii="Times New Roman" w:hAnsi="Times New Roman" w:cs="Times New Roman"/>
          <w:iCs/>
          <w:sz w:val="24"/>
          <w:szCs w:val="24"/>
        </w:rPr>
        <w:t>y otros</w:t>
      </w:r>
      <w:r w:rsidRPr="00BE28A5">
        <w:rPr>
          <w:rFonts w:ascii="Times New Roman" w:hAnsi="Times New Roman" w:cs="Times New Roman"/>
          <w:iCs/>
          <w:sz w:val="24"/>
          <w:szCs w:val="24"/>
          <w:vertAlign w:val="superscript"/>
        </w:rPr>
        <w:t>(14)</w:t>
      </w:r>
      <w:r w:rsidRPr="00BE28A5">
        <w:rPr>
          <w:rFonts w:ascii="Times New Roman" w:hAnsi="Times New Roman" w:cs="Times New Roman"/>
          <w:sz w:val="24"/>
          <w:szCs w:val="24"/>
          <w:vertAlign w:val="superscript"/>
        </w:rPr>
        <w:t xml:space="preserve"> </w:t>
      </w:r>
      <w:r w:rsidRPr="00BE28A5">
        <w:rPr>
          <w:rFonts w:ascii="Times New Roman" w:hAnsi="Times New Roman" w:cs="Times New Roman"/>
          <w:sz w:val="24"/>
          <w:szCs w:val="24"/>
        </w:rPr>
        <w:t>consideran que en la respuesta a la COVID-19, las condiciones salariales deben ser proporcionales al riesgo de la profesión médica.</w:t>
      </w:r>
      <w:r w:rsidRPr="00BE28A5">
        <w:rPr>
          <w:rFonts w:ascii="Times New Roman" w:hAnsi="Times New Roman" w:cs="Times New Roman"/>
          <w:sz w:val="24"/>
          <w:szCs w:val="24"/>
          <w:vertAlign w:val="superscript"/>
        </w:rPr>
        <w:t xml:space="preserve"> </w:t>
      </w:r>
      <w:r w:rsidRPr="00BE28A5">
        <w:rPr>
          <w:rFonts w:ascii="Times New Roman" w:hAnsi="Times New Roman" w:cs="Times New Roman"/>
          <w:sz w:val="24"/>
          <w:szCs w:val="24"/>
        </w:rPr>
        <w:t xml:space="preserve"> </w:t>
      </w:r>
      <w:proofErr w:type="spellStart"/>
      <w:r w:rsidRPr="00BE28A5">
        <w:rPr>
          <w:rFonts w:ascii="Times New Roman" w:hAnsi="Times New Roman" w:cs="Times New Roman"/>
          <w:i/>
          <w:sz w:val="24"/>
          <w:szCs w:val="24"/>
        </w:rPr>
        <w:t>Astrés</w:t>
      </w:r>
      <w:proofErr w:type="spellEnd"/>
      <w:r w:rsidRPr="00BE28A5">
        <w:rPr>
          <w:rFonts w:ascii="Times New Roman" w:hAnsi="Times New Roman" w:cs="Times New Roman"/>
          <w:i/>
          <w:sz w:val="24"/>
          <w:szCs w:val="24"/>
        </w:rPr>
        <w:t xml:space="preserve"> </w:t>
      </w:r>
      <w:r w:rsidRPr="00BE28A5">
        <w:rPr>
          <w:rFonts w:ascii="Times New Roman" w:hAnsi="Times New Roman" w:cs="Times New Roman"/>
          <w:iCs/>
          <w:sz w:val="24"/>
          <w:szCs w:val="24"/>
        </w:rPr>
        <w:t>y otros</w:t>
      </w:r>
      <w:r w:rsidRPr="00BE28A5">
        <w:rPr>
          <w:rFonts w:ascii="Times New Roman" w:hAnsi="Times New Roman" w:cs="Times New Roman"/>
          <w:iCs/>
          <w:sz w:val="24"/>
          <w:szCs w:val="24"/>
          <w:vertAlign w:val="superscript"/>
        </w:rPr>
        <w:t>(15)</w:t>
      </w:r>
      <w:r w:rsidRPr="00BE28A5">
        <w:rPr>
          <w:rFonts w:ascii="Times New Roman" w:hAnsi="Times New Roman" w:cs="Times New Roman"/>
          <w:i/>
          <w:sz w:val="24"/>
          <w:szCs w:val="24"/>
        </w:rPr>
        <w:t xml:space="preserve"> </w:t>
      </w:r>
      <w:r w:rsidRPr="00BE28A5">
        <w:rPr>
          <w:rFonts w:ascii="Times New Roman" w:hAnsi="Times New Roman" w:cs="Times New Roman"/>
          <w:sz w:val="24"/>
          <w:szCs w:val="24"/>
        </w:rPr>
        <w:t xml:space="preserve">citan un aumento en los informes referidos a enfermedades entre los profesionales de la salud, relacionados con carga de trabajo excesiva, bajos salarios, entre otros factores. </w:t>
      </w:r>
    </w:p>
    <w:p w14:paraId="35CBDBFF" w14:textId="77777777" w:rsidR="00427E69" w:rsidRPr="00BE28A5" w:rsidRDefault="00427E69" w:rsidP="00427E69">
      <w:pPr>
        <w:spacing w:after="0" w:line="360" w:lineRule="auto"/>
        <w:ind w:left="-142" w:right="-232"/>
        <w:jc w:val="both"/>
        <w:rPr>
          <w:rFonts w:ascii="Times New Roman" w:hAnsi="Times New Roman" w:cs="Times New Roman"/>
          <w:sz w:val="24"/>
          <w:szCs w:val="24"/>
        </w:rPr>
      </w:pPr>
      <w:r w:rsidRPr="00BE28A5">
        <w:rPr>
          <w:rFonts w:ascii="Times New Roman" w:hAnsi="Times New Roman" w:cs="Times New Roman"/>
          <w:sz w:val="24"/>
          <w:szCs w:val="24"/>
        </w:rPr>
        <w:t>Con independencia del bajo número de días paciente registrados en la sala de atención al paciente grave, los resultados son un indicador del alto costo de la atención médica en esta área. Aquí se generó el 85,5</w:t>
      </w:r>
      <w:r>
        <w:rPr>
          <w:rFonts w:ascii="Times New Roman" w:hAnsi="Times New Roman" w:cs="Times New Roman"/>
          <w:sz w:val="24"/>
          <w:szCs w:val="24"/>
        </w:rPr>
        <w:t> </w:t>
      </w:r>
      <w:r w:rsidRPr="00BE28A5">
        <w:rPr>
          <w:rFonts w:ascii="Times New Roman" w:hAnsi="Times New Roman" w:cs="Times New Roman"/>
          <w:sz w:val="24"/>
          <w:szCs w:val="24"/>
        </w:rPr>
        <w:t xml:space="preserve">% del costo total de un día paciente. El mayor costo de los servicios de reparación o </w:t>
      </w:r>
      <w:r w:rsidRPr="00BE28A5">
        <w:rPr>
          <w:rFonts w:ascii="Times New Roman" w:hAnsi="Times New Roman" w:cs="Times New Roman"/>
          <w:sz w:val="24"/>
          <w:szCs w:val="24"/>
        </w:rPr>
        <w:lastRenderedPageBreak/>
        <w:t>mantenimiento fue reportado en esa área. Similar tendencia se observó con el costo del instrumental médico y los medicamentos.</w:t>
      </w:r>
    </w:p>
    <w:p w14:paraId="68C38ED7" w14:textId="77777777" w:rsidR="00427E69" w:rsidRPr="00BE28A5" w:rsidRDefault="00427E69" w:rsidP="00427E69">
      <w:pPr>
        <w:spacing w:after="0" w:line="360" w:lineRule="auto"/>
        <w:ind w:left="-142" w:right="-232"/>
        <w:jc w:val="both"/>
        <w:rPr>
          <w:rFonts w:ascii="Times New Roman" w:hAnsi="Times New Roman" w:cs="Times New Roman"/>
          <w:sz w:val="24"/>
          <w:szCs w:val="24"/>
        </w:rPr>
      </w:pPr>
      <w:r w:rsidRPr="00BE28A5">
        <w:rPr>
          <w:rFonts w:ascii="Times New Roman" w:hAnsi="Times New Roman" w:cs="Times New Roman"/>
          <w:sz w:val="24"/>
          <w:szCs w:val="24"/>
        </w:rPr>
        <w:t>El nuevo virus SARS-CoV-2 confina a muchos pacientes graves</w:t>
      </w:r>
      <w:r>
        <w:rPr>
          <w:rFonts w:ascii="Times New Roman" w:hAnsi="Times New Roman" w:cs="Times New Roman"/>
          <w:sz w:val="24"/>
          <w:szCs w:val="24"/>
        </w:rPr>
        <w:t>,</w:t>
      </w:r>
      <w:r w:rsidRPr="00BE28A5">
        <w:rPr>
          <w:rFonts w:ascii="Times New Roman" w:hAnsi="Times New Roman" w:cs="Times New Roman"/>
          <w:sz w:val="24"/>
          <w:szCs w:val="24"/>
        </w:rPr>
        <w:t xml:space="preserve"> </w:t>
      </w:r>
      <w:r>
        <w:rPr>
          <w:rFonts w:ascii="Times New Roman" w:hAnsi="Times New Roman" w:cs="Times New Roman"/>
          <w:sz w:val="24"/>
          <w:szCs w:val="24"/>
        </w:rPr>
        <w:t>en</w:t>
      </w:r>
      <w:r w:rsidRPr="00BE28A5">
        <w:rPr>
          <w:rFonts w:ascii="Times New Roman" w:hAnsi="Times New Roman" w:cs="Times New Roman"/>
          <w:sz w:val="24"/>
          <w:szCs w:val="24"/>
        </w:rPr>
        <w:t xml:space="preserve"> las unidades de cuidados intensivos. En este contexto, es frecuente la incidencia de coagulopatía, coagulación intravascular diseminada e insuficiencia respiratoria.</w:t>
      </w:r>
      <w:r w:rsidRPr="00BE28A5">
        <w:rPr>
          <w:rFonts w:ascii="Times New Roman" w:hAnsi="Times New Roman" w:cs="Times New Roman"/>
          <w:sz w:val="24"/>
          <w:szCs w:val="24"/>
          <w:vertAlign w:val="superscript"/>
        </w:rPr>
        <w:t>(16,17)</w:t>
      </w:r>
      <w:r w:rsidRPr="00BE28A5">
        <w:rPr>
          <w:rFonts w:ascii="Times New Roman" w:hAnsi="Times New Roman" w:cs="Times New Roman"/>
          <w:sz w:val="24"/>
          <w:szCs w:val="24"/>
        </w:rPr>
        <w:t xml:space="preserve"> La realización de procedimientos invasivos y el uso de antimicrobianos de amplio espectro, suscitan riesgos que generan altos costos.</w:t>
      </w:r>
      <w:r w:rsidRPr="00BE28A5">
        <w:rPr>
          <w:rFonts w:ascii="Times New Roman" w:hAnsi="Times New Roman" w:cs="Times New Roman"/>
          <w:sz w:val="24"/>
          <w:szCs w:val="24"/>
          <w:vertAlign w:val="superscript"/>
        </w:rPr>
        <w:t>(18)</w:t>
      </w:r>
      <w:r w:rsidRPr="00BE28A5">
        <w:rPr>
          <w:rFonts w:ascii="Times New Roman" w:hAnsi="Times New Roman" w:cs="Times New Roman"/>
          <w:sz w:val="24"/>
          <w:szCs w:val="24"/>
        </w:rPr>
        <w:t xml:space="preserve"> </w:t>
      </w:r>
    </w:p>
    <w:p w14:paraId="314BB9B4" w14:textId="77777777" w:rsidR="00427E69" w:rsidRPr="00BE28A5" w:rsidRDefault="00427E69" w:rsidP="00427E69">
      <w:pPr>
        <w:spacing w:after="0" w:line="360" w:lineRule="auto"/>
        <w:ind w:left="-142" w:right="-232"/>
        <w:jc w:val="both"/>
        <w:rPr>
          <w:rFonts w:ascii="Times New Roman" w:hAnsi="Times New Roman" w:cs="Times New Roman"/>
          <w:sz w:val="24"/>
          <w:szCs w:val="24"/>
        </w:rPr>
      </w:pPr>
      <w:r w:rsidRPr="00BE28A5">
        <w:rPr>
          <w:rFonts w:ascii="Times New Roman" w:hAnsi="Times New Roman" w:cs="Times New Roman"/>
          <w:sz w:val="24"/>
          <w:szCs w:val="24"/>
        </w:rPr>
        <w:t xml:space="preserve">Este enfoque sistémico permite ampliar el conocimiento del costo y su probable relación con la calidad de los servicios de salud. Las sumas gastadas por cada objeto de costo son un reflejo de la disponibilidad de recursos para la respuesta y el impacto en un día paciente proyecta la calidad técnica médica del servicio hospitalario. </w:t>
      </w:r>
    </w:p>
    <w:p w14:paraId="412001F0"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El consumo de energía eléctrica observado en el costo del día paciente y sus razones es de sumo interés para la planeación, control y toma de decisiones. El consumo más elevado se generó en el mes de abril, en coincidencia con el mayor registro de la COVID-19 en el territorio. La media del costo para un día paciente fue de 42,4 CUP y el costo total ascendió a 44</w:t>
      </w:r>
      <w:r>
        <w:rPr>
          <w:rFonts w:ascii="Times New Roman" w:hAnsi="Times New Roman" w:cs="Times New Roman"/>
          <w:sz w:val="24"/>
          <w:szCs w:val="24"/>
        </w:rPr>
        <w:t> </w:t>
      </w:r>
      <w:r w:rsidRPr="00BE28A5">
        <w:rPr>
          <w:rFonts w:ascii="Times New Roman" w:hAnsi="Times New Roman" w:cs="Times New Roman"/>
          <w:sz w:val="24"/>
          <w:szCs w:val="24"/>
        </w:rPr>
        <w:t xml:space="preserve">402,57 CUP. </w:t>
      </w:r>
    </w:p>
    <w:p w14:paraId="03F71BF9"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t xml:space="preserve">La </w:t>
      </w:r>
      <w:r>
        <w:rPr>
          <w:rFonts w:ascii="Times New Roman" w:hAnsi="Times New Roman" w:cs="Times New Roman"/>
          <w:sz w:val="24"/>
          <w:szCs w:val="24"/>
        </w:rPr>
        <w:t>cifra</w:t>
      </w:r>
      <w:r w:rsidRPr="00BE28A5">
        <w:rPr>
          <w:rFonts w:ascii="Times New Roman" w:hAnsi="Times New Roman" w:cs="Times New Roman"/>
          <w:sz w:val="24"/>
          <w:szCs w:val="24"/>
        </w:rPr>
        <w:t xml:space="preserve"> representada induce a pensar que la energía eléctrica consumida durante la atención hospitalaria a los pacientes, tuvo alguna relación directa con otros costos, como la existencia de áreas para el descanso del personal en el interior de la propia instalación y factores subyacentes que fueron necesarios para restaurar la situación de salud. </w:t>
      </w:r>
      <w:r w:rsidRPr="00BE28A5">
        <w:rPr>
          <w:rFonts w:ascii="Times New Roman" w:eastAsia="Times New Roman" w:hAnsi="Times New Roman" w:cs="Times New Roman"/>
          <w:i/>
          <w:sz w:val="24"/>
          <w:szCs w:val="24"/>
          <w:lang w:eastAsia="es-ES"/>
        </w:rPr>
        <w:t>Rosenthal</w:t>
      </w:r>
      <w:r w:rsidRPr="00BE28A5">
        <w:rPr>
          <w:rFonts w:ascii="Times New Roman" w:eastAsia="Times New Roman" w:hAnsi="Times New Roman" w:cs="Times New Roman"/>
          <w:i/>
          <w:sz w:val="24"/>
          <w:szCs w:val="24"/>
          <w:vertAlign w:val="superscript"/>
          <w:lang w:eastAsia="es-ES"/>
        </w:rPr>
        <w:t>(19)</w:t>
      </w:r>
      <w:r w:rsidRPr="00BE28A5">
        <w:rPr>
          <w:rFonts w:ascii="Times New Roman" w:hAnsi="Times New Roman" w:cs="Times New Roman"/>
          <w:sz w:val="24"/>
          <w:szCs w:val="24"/>
        </w:rPr>
        <w:t xml:space="preserve"> describe como impacto económico negativo de la pandemia en Guatemala, la contracción en la oferta de energía eléctrica, un hecho que pudiera vulnerar el desarrollo de protocolos</w:t>
      </w:r>
      <w:r>
        <w:rPr>
          <w:rFonts w:ascii="Times New Roman" w:hAnsi="Times New Roman" w:cs="Times New Roman"/>
          <w:sz w:val="24"/>
          <w:szCs w:val="24"/>
        </w:rPr>
        <w:t xml:space="preserve"> </w:t>
      </w:r>
      <w:r w:rsidRPr="00BE28A5">
        <w:rPr>
          <w:rFonts w:ascii="Times New Roman" w:hAnsi="Times New Roman" w:cs="Times New Roman"/>
          <w:sz w:val="24"/>
          <w:szCs w:val="24"/>
        </w:rPr>
        <w:t>estandarizados de tratamiento.</w:t>
      </w:r>
    </w:p>
    <w:p w14:paraId="39F8D362"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vertAlign w:val="superscript"/>
        </w:rPr>
      </w:pPr>
      <w:r w:rsidRPr="00BE28A5">
        <w:rPr>
          <w:rFonts w:ascii="Times New Roman" w:hAnsi="Times New Roman" w:cs="Times New Roman"/>
          <w:sz w:val="24"/>
          <w:szCs w:val="24"/>
        </w:rPr>
        <w:t>En la presente investigación, se registró un alto nivel de costos fijos, al totalizar los días pacientes. Aunque est</w:t>
      </w:r>
      <w:r>
        <w:rPr>
          <w:rFonts w:ascii="Times New Roman" w:hAnsi="Times New Roman" w:cs="Times New Roman"/>
          <w:sz w:val="24"/>
          <w:szCs w:val="24"/>
        </w:rPr>
        <w:t>o</w:t>
      </w:r>
      <w:r w:rsidRPr="00BE28A5">
        <w:rPr>
          <w:rFonts w:ascii="Times New Roman" w:hAnsi="Times New Roman" w:cs="Times New Roman"/>
          <w:sz w:val="24"/>
          <w:szCs w:val="24"/>
        </w:rPr>
        <w:t xml:space="preserve"> pudiera estar influido por multiplicidad de causas, se estima como explicación más cercana el hecho del</w:t>
      </w:r>
      <w:r w:rsidRPr="00BE28A5">
        <w:rPr>
          <w:rFonts w:ascii="Times New Roman" w:hAnsi="Times New Roman" w:cs="Times New Roman"/>
          <w:color w:val="FF0000"/>
          <w:sz w:val="24"/>
          <w:szCs w:val="24"/>
        </w:rPr>
        <w:t xml:space="preserve"> </w:t>
      </w:r>
      <w:r w:rsidRPr="00BE28A5">
        <w:rPr>
          <w:rFonts w:ascii="Times New Roman" w:hAnsi="Times New Roman" w:cs="Times New Roman"/>
          <w:sz w:val="24"/>
          <w:szCs w:val="24"/>
        </w:rPr>
        <w:t>pago salarial al personal actuante</w:t>
      </w:r>
      <w:r>
        <w:rPr>
          <w:rFonts w:ascii="Times New Roman" w:hAnsi="Times New Roman" w:cs="Times New Roman"/>
          <w:sz w:val="24"/>
          <w:szCs w:val="24"/>
        </w:rPr>
        <w:t>,</w:t>
      </w:r>
      <w:r w:rsidRPr="00BE28A5">
        <w:rPr>
          <w:rFonts w:ascii="Times New Roman" w:hAnsi="Times New Roman" w:cs="Times New Roman"/>
          <w:sz w:val="24"/>
          <w:szCs w:val="24"/>
        </w:rPr>
        <w:t xml:space="preserve"> en condiciones de baja ocupación hospitalaria y el tiempo prolongado de prestación de servicios durante la pandemia. Al particularizar el análisis para un solo día paciente, se consideró lógico el predominio de los costos variables. Esta diferencia se produce porque predomina el consumo de medicamentos, insumos médicos, alimentos u otros objetos de costo. </w:t>
      </w:r>
      <w:r w:rsidRPr="00BE28A5">
        <w:rPr>
          <w:rFonts w:ascii="Times New Roman" w:hAnsi="Times New Roman" w:cs="Times New Roman"/>
          <w:i/>
          <w:sz w:val="24"/>
          <w:szCs w:val="24"/>
        </w:rPr>
        <w:t>T</w:t>
      </w:r>
      <w:r>
        <w:rPr>
          <w:rFonts w:ascii="Times New Roman" w:hAnsi="Times New Roman" w:cs="Times New Roman"/>
          <w:i/>
          <w:sz w:val="24"/>
          <w:szCs w:val="24"/>
        </w:rPr>
        <w:t>o</w:t>
      </w:r>
      <w:r w:rsidRPr="00BE28A5">
        <w:rPr>
          <w:rFonts w:ascii="Times New Roman" w:hAnsi="Times New Roman" w:cs="Times New Roman"/>
          <w:i/>
          <w:sz w:val="24"/>
          <w:szCs w:val="24"/>
        </w:rPr>
        <w:t xml:space="preserve">bón </w:t>
      </w:r>
      <w:r w:rsidRPr="00BE28A5">
        <w:rPr>
          <w:rFonts w:ascii="Times New Roman" w:hAnsi="Times New Roman" w:cs="Times New Roman"/>
          <w:iCs/>
          <w:sz w:val="24"/>
          <w:szCs w:val="24"/>
        </w:rPr>
        <w:t>y otros</w:t>
      </w:r>
      <w:r>
        <w:rPr>
          <w:rFonts w:ascii="Times New Roman" w:hAnsi="Times New Roman" w:cs="Times New Roman"/>
          <w:iCs/>
          <w:sz w:val="24"/>
          <w:szCs w:val="24"/>
          <w:vertAlign w:val="superscript"/>
        </w:rPr>
        <w:t>(20)</w:t>
      </w:r>
      <w:r w:rsidRPr="00BE28A5">
        <w:rPr>
          <w:rFonts w:ascii="Times New Roman" w:hAnsi="Times New Roman" w:cs="Times New Roman"/>
          <w:i/>
          <w:sz w:val="24"/>
          <w:szCs w:val="24"/>
        </w:rPr>
        <w:t xml:space="preserve"> </w:t>
      </w:r>
      <w:r w:rsidRPr="00BE28A5">
        <w:rPr>
          <w:rFonts w:ascii="Times New Roman" w:hAnsi="Times New Roman" w:cs="Times New Roman"/>
          <w:sz w:val="24"/>
          <w:szCs w:val="24"/>
        </w:rPr>
        <w:t xml:space="preserve">afirman que el estudio de estos costos es un buen instrumento </w:t>
      </w:r>
      <w:r>
        <w:rPr>
          <w:rFonts w:ascii="Times New Roman" w:hAnsi="Times New Roman" w:cs="Times New Roman"/>
          <w:sz w:val="24"/>
          <w:szCs w:val="24"/>
        </w:rPr>
        <w:t>en</w:t>
      </w:r>
      <w:r w:rsidRPr="00BE28A5">
        <w:rPr>
          <w:rFonts w:ascii="Times New Roman" w:hAnsi="Times New Roman" w:cs="Times New Roman"/>
          <w:sz w:val="24"/>
          <w:szCs w:val="24"/>
        </w:rPr>
        <w:t xml:space="preserve"> el análisis de variaciones o de capacidades ociosas, para la toma de decisiones.</w:t>
      </w:r>
      <w:r w:rsidRPr="00BE28A5">
        <w:rPr>
          <w:rFonts w:ascii="Times New Roman" w:hAnsi="Times New Roman" w:cs="Times New Roman"/>
          <w:sz w:val="24"/>
          <w:szCs w:val="24"/>
          <w:vertAlign w:val="superscript"/>
        </w:rPr>
        <w:t>(20)</w:t>
      </w:r>
    </w:p>
    <w:p w14:paraId="19D22BB9"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r w:rsidRPr="00BE28A5">
        <w:rPr>
          <w:rFonts w:ascii="Times New Roman" w:hAnsi="Times New Roman" w:cs="Times New Roman"/>
          <w:sz w:val="24"/>
          <w:szCs w:val="24"/>
        </w:rPr>
        <w:lastRenderedPageBreak/>
        <w:t>Se concluye que el análisis del costo del día paciente durante la epidemia de la COVID-19 permitió detallar, por salas de hospitalización, cuánto varían los gastos entre servicios asistenciales y de aseguramiento logístico</w:t>
      </w:r>
      <w:r>
        <w:rPr>
          <w:rFonts w:ascii="Times New Roman" w:hAnsi="Times New Roman" w:cs="Times New Roman"/>
          <w:sz w:val="24"/>
          <w:szCs w:val="24"/>
        </w:rPr>
        <w:t>,</w:t>
      </w:r>
      <w:r w:rsidRPr="00BE28A5">
        <w:rPr>
          <w:rFonts w:ascii="Times New Roman" w:hAnsi="Times New Roman" w:cs="Times New Roman"/>
          <w:sz w:val="24"/>
          <w:szCs w:val="24"/>
        </w:rPr>
        <w:t xml:space="preserve"> así como las diferencias entre los costos fijos y variables. Estos resultados evidencian la necesidad de prever con mayor precisión el impacto de escenarios epidemiológicos complejos en la estructuración del presupuesto hospitalario. Sirve de punto de referencia para una ejecución sostenible y adicionalmente</w:t>
      </w:r>
      <w:r>
        <w:rPr>
          <w:rFonts w:ascii="Times New Roman" w:hAnsi="Times New Roman" w:cs="Times New Roman"/>
          <w:sz w:val="24"/>
          <w:szCs w:val="24"/>
        </w:rPr>
        <w:t>,</w:t>
      </w:r>
      <w:r w:rsidRPr="00BE28A5">
        <w:rPr>
          <w:rFonts w:ascii="Times New Roman" w:hAnsi="Times New Roman" w:cs="Times New Roman"/>
          <w:sz w:val="24"/>
          <w:szCs w:val="24"/>
        </w:rPr>
        <w:t xml:space="preserve"> facilita valorar objetivamente </w:t>
      </w:r>
      <w:r>
        <w:rPr>
          <w:rFonts w:ascii="Times New Roman" w:hAnsi="Times New Roman" w:cs="Times New Roman"/>
          <w:sz w:val="24"/>
          <w:szCs w:val="24"/>
        </w:rPr>
        <w:t xml:space="preserve">los costos </w:t>
      </w:r>
      <w:r w:rsidRPr="00BE28A5">
        <w:rPr>
          <w:rFonts w:ascii="Times New Roman" w:hAnsi="Times New Roman" w:cs="Times New Roman"/>
          <w:sz w:val="24"/>
          <w:szCs w:val="24"/>
        </w:rPr>
        <w:t xml:space="preserve">de </w:t>
      </w:r>
      <w:r>
        <w:rPr>
          <w:rFonts w:ascii="Times New Roman" w:hAnsi="Times New Roman" w:cs="Times New Roman"/>
          <w:sz w:val="24"/>
          <w:szCs w:val="24"/>
        </w:rPr>
        <w:t>esta</w:t>
      </w:r>
      <w:r w:rsidRPr="00BE28A5">
        <w:rPr>
          <w:rFonts w:ascii="Times New Roman" w:hAnsi="Times New Roman" w:cs="Times New Roman"/>
          <w:sz w:val="24"/>
          <w:szCs w:val="24"/>
        </w:rPr>
        <w:t xml:space="preserve"> enfermedad </w:t>
      </w:r>
      <w:r>
        <w:rPr>
          <w:rFonts w:ascii="Times New Roman" w:hAnsi="Times New Roman" w:cs="Times New Roman"/>
          <w:sz w:val="24"/>
          <w:szCs w:val="24"/>
        </w:rPr>
        <w:t>para</w:t>
      </w:r>
      <w:r w:rsidRPr="00BE28A5">
        <w:rPr>
          <w:rFonts w:ascii="Times New Roman" w:hAnsi="Times New Roman" w:cs="Times New Roman"/>
          <w:sz w:val="24"/>
          <w:szCs w:val="24"/>
        </w:rPr>
        <w:t xml:space="preserve"> la institución.</w:t>
      </w:r>
    </w:p>
    <w:p w14:paraId="2EE418DF"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p>
    <w:p w14:paraId="7F9AF37B" w14:textId="77777777" w:rsidR="00427E69" w:rsidRPr="00BE28A5" w:rsidRDefault="00427E69" w:rsidP="00427E69">
      <w:pPr>
        <w:tabs>
          <w:tab w:val="left" w:pos="8789"/>
        </w:tabs>
        <w:spacing w:after="0" w:line="360" w:lineRule="auto"/>
        <w:ind w:left="-142" w:right="-234"/>
        <w:jc w:val="both"/>
        <w:rPr>
          <w:rFonts w:ascii="Times New Roman" w:hAnsi="Times New Roman" w:cs="Times New Roman"/>
          <w:sz w:val="24"/>
          <w:szCs w:val="24"/>
        </w:rPr>
      </w:pPr>
    </w:p>
    <w:p w14:paraId="767BB908" w14:textId="77777777" w:rsidR="00427E69" w:rsidRPr="007C7A58" w:rsidRDefault="00427E69" w:rsidP="00427E69">
      <w:pPr>
        <w:tabs>
          <w:tab w:val="left" w:pos="8789"/>
        </w:tabs>
        <w:spacing w:after="0" w:line="360" w:lineRule="auto"/>
        <w:ind w:left="-142" w:right="-234"/>
        <w:jc w:val="center"/>
        <w:rPr>
          <w:rFonts w:ascii="Times New Roman" w:hAnsi="Times New Roman" w:cs="Times New Roman"/>
          <w:b/>
          <w:sz w:val="32"/>
          <w:szCs w:val="32"/>
        </w:rPr>
      </w:pPr>
      <w:r w:rsidRPr="007C7A58">
        <w:rPr>
          <w:rFonts w:ascii="Times New Roman" w:hAnsi="Times New Roman" w:cs="Times New Roman"/>
          <w:b/>
          <w:sz w:val="32"/>
          <w:szCs w:val="32"/>
        </w:rPr>
        <w:t>REFERENCIAS BIBLIOGRÁFICAS</w:t>
      </w:r>
    </w:p>
    <w:p w14:paraId="037651C9"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1.</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Gutiérrez Aguilar R, Córdova Lepe F, Muñoz Quezada MT, Gutiérrez Jara JP. Modelo de umbral de reducción de tasa diaria de casos COVID-19 para evitar el colapso hospitalario en Chile. </w:t>
      </w:r>
      <w:proofErr w:type="spellStart"/>
      <w:r w:rsidRPr="00BB043C">
        <w:rPr>
          <w:rFonts w:ascii="Times New Roman" w:hAnsi="Times New Roman" w:cs="Times New Roman"/>
          <w:sz w:val="24"/>
          <w:szCs w:val="24"/>
        </w:rPr>
        <w:t>Medwave</w:t>
      </w:r>
      <w:proofErr w:type="spellEnd"/>
      <w:r w:rsidRPr="00BB043C">
        <w:rPr>
          <w:rFonts w:ascii="Times New Roman" w:hAnsi="Times New Roman" w:cs="Times New Roman"/>
          <w:sz w:val="24"/>
          <w:szCs w:val="24"/>
        </w:rPr>
        <w:t xml:space="preserve">. 2020 [acceso: 01/10/2020]; 20(3): e7871. Disponible en: </w:t>
      </w:r>
      <w:hyperlink r:id="rId15" w:history="1">
        <w:r w:rsidRPr="00D566A6">
          <w:rPr>
            <w:rStyle w:val="Hipervnculo"/>
            <w:rFonts w:ascii="Times New Roman" w:hAnsi="Times New Roman" w:cs="Times New Roman"/>
            <w:sz w:val="24"/>
            <w:szCs w:val="24"/>
          </w:rPr>
          <w:t>https://pesquisa.bvsalud.org/portal/resource/es/mdl-32469855</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6D2C3275"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2.</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Torres García LC. Prevalencia y factores asociados al síndrome de Burnout en médicos que trabajan en el área de emergencia frente al COVID 19 en un hospital del Perú [Tesis de especialista]. Lima: Universidad Peruana Cayetano Heredia; 2020. [acceso: 05/10/2020]. Disponible en: </w:t>
      </w:r>
      <w:hyperlink r:id="rId16" w:history="1">
        <w:r w:rsidRPr="00D566A6">
          <w:rPr>
            <w:rStyle w:val="Hipervnculo"/>
            <w:rFonts w:ascii="Times New Roman" w:hAnsi="Times New Roman" w:cs="Times New Roman"/>
            <w:sz w:val="24"/>
            <w:szCs w:val="24"/>
          </w:rPr>
          <w:t>https://repositorio.upch.edu.pe/bitstream/handle/20.500.12866/8192/Prevalencia_TorresGarcia_Lorena.pdf?sequence=1&amp;isAllowed=y</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5398934F"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Pr="00BB043C">
        <w:rPr>
          <w:rFonts w:ascii="Times New Roman" w:hAnsi="Times New Roman" w:cs="Times New Roman"/>
          <w:sz w:val="24"/>
          <w:szCs w:val="24"/>
        </w:rPr>
        <w:t>Abdo</w:t>
      </w:r>
      <w:proofErr w:type="spellEnd"/>
      <w:r w:rsidRPr="00BB043C">
        <w:rPr>
          <w:rFonts w:ascii="Times New Roman" w:hAnsi="Times New Roman" w:cs="Times New Roman"/>
          <w:sz w:val="24"/>
          <w:szCs w:val="24"/>
        </w:rPr>
        <w:t xml:space="preserve"> Cuza A, Suárez López J, García Gil A. Ventilación artificial mecánica en la enfermedad por coronavirus COVID-19: toda una historia de ingenio como en sus orígenes. </w:t>
      </w:r>
      <w:proofErr w:type="spellStart"/>
      <w:r w:rsidRPr="00BB043C">
        <w:rPr>
          <w:rFonts w:ascii="Times New Roman" w:hAnsi="Times New Roman" w:cs="Times New Roman"/>
          <w:sz w:val="24"/>
          <w:szCs w:val="24"/>
        </w:rPr>
        <w:t>Rev</w:t>
      </w:r>
      <w:proofErr w:type="spellEnd"/>
      <w:r w:rsidRPr="00BB043C">
        <w:rPr>
          <w:rFonts w:ascii="Times New Roman" w:hAnsi="Times New Roman" w:cs="Times New Roman"/>
          <w:sz w:val="24"/>
          <w:szCs w:val="24"/>
        </w:rPr>
        <w:t xml:space="preserve"> </w:t>
      </w:r>
      <w:proofErr w:type="spellStart"/>
      <w:r w:rsidRPr="00BB043C">
        <w:rPr>
          <w:rFonts w:ascii="Times New Roman" w:hAnsi="Times New Roman" w:cs="Times New Roman"/>
          <w:sz w:val="24"/>
          <w:szCs w:val="24"/>
        </w:rPr>
        <w:t>Hosp</w:t>
      </w:r>
      <w:proofErr w:type="spellEnd"/>
      <w:r w:rsidRPr="00BB043C">
        <w:rPr>
          <w:rFonts w:ascii="Times New Roman" w:hAnsi="Times New Roman" w:cs="Times New Roman"/>
          <w:sz w:val="24"/>
          <w:szCs w:val="24"/>
        </w:rPr>
        <w:t xml:space="preserve"> Emilio Ferreyra. 2020 [acceso: 01/10/2020]; 1(1): e19-e21. Disponible en: </w:t>
      </w:r>
      <w:hyperlink r:id="rId17" w:history="1">
        <w:r w:rsidRPr="00D566A6">
          <w:rPr>
            <w:rStyle w:val="Hipervnculo"/>
            <w:rFonts w:ascii="Times New Roman" w:hAnsi="Times New Roman" w:cs="Times New Roman"/>
            <w:sz w:val="24"/>
            <w:szCs w:val="24"/>
          </w:rPr>
          <w:t>http://revista.deiferreyra.com/index.php/RHEF/article/view/17/59</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1F58319E"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4.</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Mancilla Rodríguez SM, Olvera Muñoz B. ¿México está preparado para el COVID-19? Tepexi. 2020 [acceso: 01/10/2020]; 7(14): 26-31. Disponible en:   </w:t>
      </w:r>
      <w:hyperlink r:id="rId18" w:history="1">
        <w:r w:rsidRPr="00D566A6">
          <w:rPr>
            <w:rStyle w:val="Hipervnculo"/>
            <w:rFonts w:ascii="Times New Roman" w:hAnsi="Times New Roman" w:cs="Times New Roman"/>
            <w:sz w:val="24"/>
            <w:szCs w:val="24"/>
          </w:rPr>
          <w:t>https://repository.uaeh.edu.mx/revistas/index.php/tepexi/article/view/5679</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15742DCD"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lastRenderedPageBreak/>
        <w:t>5.</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Díaz-Canel-Bermúdez M, Núñez-Jover J. Gestión gubernamental y ciencia cubana en el enfrentamiento a la COVID-19. Anales de la Academia de Ciencias de Cuba. 2020 [acceso: 08/10/2020]; 10(2): [aprox. 5 p.]. Disponible en: </w:t>
      </w:r>
      <w:hyperlink r:id="rId19" w:history="1">
        <w:r w:rsidRPr="00D566A6">
          <w:rPr>
            <w:rStyle w:val="Hipervnculo"/>
            <w:rFonts w:ascii="Times New Roman" w:hAnsi="Times New Roman" w:cs="Times New Roman"/>
            <w:sz w:val="24"/>
            <w:szCs w:val="24"/>
          </w:rPr>
          <w:t>http://www.revistaccuba.sld.cu/index.php/revacc/article/view/881</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250DDC2E"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6.</w:t>
      </w:r>
      <w:r>
        <w:rPr>
          <w:rFonts w:ascii="Times New Roman" w:hAnsi="Times New Roman" w:cs="Times New Roman"/>
          <w:sz w:val="24"/>
          <w:szCs w:val="24"/>
        </w:rPr>
        <w:t xml:space="preserve"> </w:t>
      </w:r>
      <w:r w:rsidRPr="00BB043C">
        <w:rPr>
          <w:rFonts w:ascii="Times New Roman" w:hAnsi="Times New Roman" w:cs="Times New Roman"/>
          <w:sz w:val="24"/>
          <w:szCs w:val="24"/>
        </w:rPr>
        <w:t>Rodríguez JL, Odriozola S.  Impactos Económicos y Sociales de la COVID 19 en Cuba: Opciones de políticas. PNUD. 2020 [acceso: 08/10/2020]; 9:</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[aprox. 10 p.]. Disponible en: </w:t>
      </w:r>
      <w:hyperlink r:id="rId20" w:history="1">
        <w:r w:rsidRPr="00D566A6">
          <w:rPr>
            <w:rStyle w:val="Hipervnculo"/>
            <w:rFonts w:ascii="Times New Roman" w:hAnsi="Times New Roman" w:cs="Times New Roman"/>
            <w:sz w:val="24"/>
            <w:szCs w:val="24"/>
          </w:rPr>
          <w:t>https://www.undp.org/content/dam/undp/library/covid19/266%20IMPACTOS%20DE%20LA%20COVID-19%20EN%20CUBA-24%20JUNIO-2020.pdf</w:t>
        </w:r>
      </w:hyperlink>
      <w:r>
        <w:rPr>
          <w:rFonts w:ascii="Times New Roman" w:hAnsi="Times New Roman" w:cs="Times New Roman"/>
          <w:sz w:val="24"/>
          <w:szCs w:val="24"/>
        </w:rPr>
        <w:t xml:space="preserve"> </w:t>
      </w:r>
    </w:p>
    <w:p w14:paraId="1FC487DC"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7.</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Jiménez </w:t>
      </w:r>
      <w:proofErr w:type="spellStart"/>
      <w:r w:rsidRPr="00BB043C">
        <w:rPr>
          <w:rFonts w:ascii="Times New Roman" w:hAnsi="Times New Roman" w:cs="Times New Roman"/>
          <w:sz w:val="24"/>
          <w:szCs w:val="24"/>
        </w:rPr>
        <w:t>Paneque</w:t>
      </w:r>
      <w:proofErr w:type="spellEnd"/>
      <w:r w:rsidRPr="00BB043C">
        <w:rPr>
          <w:rFonts w:ascii="Times New Roman" w:hAnsi="Times New Roman" w:cs="Times New Roman"/>
          <w:sz w:val="24"/>
          <w:szCs w:val="24"/>
        </w:rPr>
        <w:t xml:space="preserve"> RE. Indicadores de calidad y eficiencia de los servicios hospitalarios: Una mirada actual. </w:t>
      </w:r>
      <w:proofErr w:type="spellStart"/>
      <w:r w:rsidRPr="00BB043C">
        <w:rPr>
          <w:rFonts w:ascii="Times New Roman" w:hAnsi="Times New Roman" w:cs="Times New Roman"/>
          <w:sz w:val="24"/>
          <w:szCs w:val="24"/>
        </w:rPr>
        <w:t>Rev</w:t>
      </w:r>
      <w:proofErr w:type="spellEnd"/>
      <w:r w:rsidRPr="00BB043C">
        <w:rPr>
          <w:rFonts w:ascii="Times New Roman" w:hAnsi="Times New Roman" w:cs="Times New Roman"/>
          <w:sz w:val="24"/>
          <w:szCs w:val="24"/>
        </w:rPr>
        <w:t xml:space="preserve"> Cubana Salud Pública. 2020 [acceso: 08/10/2020]; 30(1): [aprox. 10 p.]. Disponible en: </w:t>
      </w:r>
      <w:hyperlink r:id="rId21" w:history="1">
        <w:r w:rsidRPr="00D566A6">
          <w:rPr>
            <w:rStyle w:val="Hipervnculo"/>
            <w:rFonts w:ascii="Times New Roman" w:hAnsi="Times New Roman" w:cs="Times New Roman"/>
            <w:sz w:val="24"/>
            <w:szCs w:val="24"/>
          </w:rPr>
          <w:t>http://scielo.sld.cu/scielo.php?script=sci_arttext&amp;pid=S0864-34662004000100004&amp;lng=es&amp;nrm=iso&amp;tlng=es</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519CD0C6"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8.</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Ministerio de Salud Pública.  Dirección de Registros Médicos y Estadística de Salud. Sistema de información estadístico. Movimiento hospitalario [Internet]. La Habana: Dirección de Registros Médicos y Estadística de Salud; 2019[acceso16/09/2021]. Disponible en: </w:t>
      </w:r>
      <w:hyperlink r:id="rId22" w:history="1">
        <w:r w:rsidRPr="00D566A6">
          <w:rPr>
            <w:rStyle w:val="Hipervnculo"/>
            <w:rFonts w:ascii="Times New Roman" w:hAnsi="Times New Roman" w:cs="Times New Roman"/>
            <w:sz w:val="24"/>
            <w:szCs w:val="24"/>
          </w:rPr>
          <w:t>https://files.sld.cu/dne/2019/09/24/manual-movimiento-hospitalario/</w:t>
        </w:r>
      </w:hyperlink>
      <w:r>
        <w:rPr>
          <w:rFonts w:ascii="Times New Roman" w:hAnsi="Times New Roman" w:cs="Times New Roman"/>
          <w:sz w:val="24"/>
          <w:szCs w:val="24"/>
        </w:rPr>
        <w:t xml:space="preserve"> </w:t>
      </w:r>
    </w:p>
    <w:p w14:paraId="08020B35"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9.</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Cortés A, Flor Contador E, Duque Abog G. Análisis de costos de la atención médica hospitalaria - Experiencia en una clínica privada de nivel II-III. Colombia </w:t>
      </w:r>
      <w:proofErr w:type="spellStart"/>
      <w:r w:rsidRPr="00BB043C">
        <w:rPr>
          <w:rFonts w:ascii="Times New Roman" w:hAnsi="Times New Roman" w:cs="Times New Roman"/>
          <w:sz w:val="24"/>
          <w:szCs w:val="24"/>
        </w:rPr>
        <w:t>Méd</w:t>
      </w:r>
      <w:proofErr w:type="spellEnd"/>
      <w:r w:rsidRPr="00BB043C">
        <w:rPr>
          <w:rFonts w:ascii="Times New Roman" w:hAnsi="Times New Roman" w:cs="Times New Roman"/>
          <w:sz w:val="24"/>
          <w:szCs w:val="24"/>
        </w:rPr>
        <w:t xml:space="preserve">. 2002 [acceso: 08/10/2020]; 33(2): [aprox. 6 p.].  Disponible en: </w:t>
      </w:r>
      <w:hyperlink r:id="rId23" w:history="1">
        <w:r w:rsidRPr="00D566A6">
          <w:rPr>
            <w:rStyle w:val="Hipervnculo"/>
            <w:rFonts w:ascii="Times New Roman" w:hAnsi="Times New Roman" w:cs="Times New Roman"/>
            <w:sz w:val="24"/>
            <w:szCs w:val="24"/>
          </w:rPr>
          <w:t>https://www.redalyc.org/pdf/283/28333201.pdf</w:t>
        </w:r>
      </w:hyperlink>
      <w:r>
        <w:rPr>
          <w:rFonts w:ascii="Times New Roman" w:hAnsi="Times New Roman" w:cs="Times New Roman"/>
          <w:sz w:val="24"/>
          <w:szCs w:val="24"/>
        </w:rPr>
        <w:t xml:space="preserve"> </w:t>
      </w:r>
    </w:p>
    <w:p w14:paraId="5174AA79"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10.</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Suárez-Jiménez AC, Reyes Hernández R, Mas López CJ. Procedimientos para la gestión de costos en los servicios cubanos de salud. Experiencias y resultados. Anales de la Academia de Ciencias de Cuba. 2018 [acceso: 08/10/2020]; 8(1): [aprox. 6 p.]. Disponible en: </w:t>
      </w:r>
      <w:hyperlink r:id="rId24" w:history="1">
        <w:r w:rsidRPr="00D566A6">
          <w:rPr>
            <w:rStyle w:val="Hipervnculo"/>
            <w:rFonts w:ascii="Times New Roman" w:hAnsi="Times New Roman" w:cs="Times New Roman"/>
            <w:sz w:val="24"/>
            <w:szCs w:val="24"/>
          </w:rPr>
          <w:t>http://www.revistaccuba.sld.cu/index.php/revacc/article/view/409</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03BCC2F8"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11.</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Manrique Abril FG, Agudelo </w:t>
      </w:r>
      <w:proofErr w:type="spellStart"/>
      <w:r w:rsidRPr="00BB043C">
        <w:rPr>
          <w:rFonts w:ascii="Times New Roman" w:hAnsi="Times New Roman" w:cs="Times New Roman"/>
          <w:sz w:val="24"/>
          <w:szCs w:val="24"/>
        </w:rPr>
        <w:t>Calderon</w:t>
      </w:r>
      <w:proofErr w:type="spellEnd"/>
      <w:r w:rsidRPr="00BB043C">
        <w:rPr>
          <w:rFonts w:ascii="Times New Roman" w:hAnsi="Times New Roman" w:cs="Times New Roman"/>
          <w:sz w:val="24"/>
          <w:szCs w:val="24"/>
        </w:rPr>
        <w:t xml:space="preserve"> CA, González </w:t>
      </w:r>
      <w:proofErr w:type="spellStart"/>
      <w:r w:rsidRPr="00BB043C">
        <w:rPr>
          <w:rFonts w:ascii="Times New Roman" w:hAnsi="Times New Roman" w:cs="Times New Roman"/>
          <w:sz w:val="24"/>
          <w:szCs w:val="24"/>
        </w:rPr>
        <w:t>Chordá</w:t>
      </w:r>
      <w:proofErr w:type="spellEnd"/>
      <w:r w:rsidRPr="00BB043C">
        <w:rPr>
          <w:rFonts w:ascii="Times New Roman" w:hAnsi="Times New Roman" w:cs="Times New Roman"/>
          <w:sz w:val="24"/>
          <w:szCs w:val="24"/>
        </w:rPr>
        <w:t xml:space="preserve"> VM, Gutiérrez Lesmes O, Téllez Piñerez CF, Herrera Amaya G. Modelo SIR de la pandemia de Covid-19 en Colombia. Rev. Salud Pública. 2020 [acceso: 08/10/2020]; 22: 1-9.  Disponible en: </w:t>
      </w:r>
      <w:hyperlink r:id="rId25" w:history="1">
        <w:r w:rsidRPr="00D566A6">
          <w:rPr>
            <w:rStyle w:val="Hipervnculo"/>
            <w:rFonts w:ascii="Times New Roman" w:hAnsi="Times New Roman" w:cs="Times New Roman"/>
            <w:sz w:val="24"/>
            <w:szCs w:val="24"/>
          </w:rPr>
          <w:t>http://repositori.uji.es/xmlui/bitstream/handle/10234/188048/69774.pdf?sequence=1&amp;isAllowed=y</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7B9063DB"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lastRenderedPageBreak/>
        <w:t>12.</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Obando Bastidas JA, Peña Pita AP, Obando Vargas LN, Franco Montenegro A. Importancia de los modelos de regresión no lineales en la interpretación de datos de la COVID-19 en Colombia. </w:t>
      </w:r>
      <w:proofErr w:type="spellStart"/>
      <w:r w:rsidRPr="00BB043C">
        <w:rPr>
          <w:rFonts w:ascii="Times New Roman" w:hAnsi="Times New Roman" w:cs="Times New Roman"/>
          <w:sz w:val="24"/>
          <w:szCs w:val="24"/>
        </w:rPr>
        <w:t>Rev</w:t>
      </w:r>
      <w:proofErr w:type="spellEnd"/>
      <w:r w:rsidRPr="00BB043C">
        <w:rPr>
          <w:rFonts w:ascii="Times New Roman" w:hAnsi="Times New Roman" w:cs="Times New Roman"/>
          <w:sz w:val="24"/>
          <w:szCs w:val="24"/>
        </w:rPr>
        <w:t xml:space="preserve"> </w:t>
      </w:r>
      <w:proofErr w:type="spellStart"/>
      <w:r w:rsidRPr="00BB043C">
        <w:rPr>
          <w:rFonts w:ascii="Times New Roman" w:hAnsi="Times New Roman" w:cs="Times New Roman"/>
          <w:sz w:val="24"/>
          <w:szCs w:val="24"/>
        </w:rPr>
        <w:t>Haban</w:t>
      </w:r>
      <w:proofErr w:type="spellEnd"/>
      <w:r w:rsidRPr="00BB043C">
        <w:rPr>
          <w:rFonts w:ascii="Times New Roman" w:hAnsi="Times New Roman" w:cs="Times New Roman"/>
          <w:sz w:val="24"/>
          <w:szCs w:val="24"/>
        </w:rPr>
        <w:t xml:space="preserve"> </w:t>
      </w:r>
      <w:proofErr w:type="spellStart"/>
      <w:r w:rsidRPr="00BB043C">
        <w:rPr>
          <w:rFonts w:ascii="Times New Roman" w:hAnsi="Times New Roman" w:cs="Times New Roman"/>
          <w:sz w:val="24"/>
          <w:szCs w:val="24"/>
        </w:rPr>
        <w:t>Cienc</w:t>
      </w:r>
      <w:proofErr w:type="spellEnd"/>
      <w:r w:rsidRPr="00BB043C">
        <w:rPr>
          <w:rFonts w:ascii="Times New Roman" w:hAnsi="Times New Roman" w:cs="Times New Roman"/>
          <w:sz w:val="24"/>
          <w:szCs w:val="24"/>
        </w:rPr>
        <w:t xml:space="preserve"> </w:t>
      </w:r>
      <w:proofErr w:type="spellStart"/>
      <w:r w:rsidRPr="00BB043C">
        <w:rPr>
          <w:rFonts w:ascii="Times New Roman" w:hAnsi="Times New Roman" w:cs="Times New Roman"/>
          <w:sz w:val="24"/>
          <w:szCs w:val="24"/>
        </w:rPr>
        <w:t>Méd</w:t>
      </w:r>
      <w:proofErr w:type="spellEnd"/>
      <w:r w:rsidRPr="00BB043C">
        <w:rPr>
          <w:rFonts w:ascii="Times New Roman" w:hAnsi="Times New Roman" w:cs="Times New Roman"/>
          <w:sz w:val="24"/>
          <w:szCs w:val="24"/>
        </w:rPr>
        <w:t>. 2020 [acceso: 08/10/2020]; 19(1):</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[aprox. 9 p.]. Disponible en: </w:t>
      </w:r>
      <w:hyperlink r:id="rId26" w:history="1">
        <w:r w:rsidRPr="00D566A6">
          <w:rPr>
            <w:rStyle w:val="Hipervnculo"/>
            <w:rFonts w:ascii="Times New Roman" w:hAnsi="Times New Roman" w:cs="Times New Roman"/>
            <w:sz w:val="24"/>
            <w:szCs w:val="24"/>
          </w:rPr>
          <w:t>http://scielo.sld.cu/scielo.php?script=sci_arttext&amp;pid=S1729-519X2020000400014</w:t>
        </w:r>
      </w:hyperlink>
      <w:r>
        <w:rPr>
          <w:rFonts w:ascii="Times New Roman" w:hAnsi="Times New Roman" w:cs="Times New Roman"/>
          <w:sz w:val="24"/>
          <w:szCs w:val="24"/>
        </w:rPr>
        <w:t xml:space="preserve"> </w:t>
      </w:r>
    </w:p>
    <w:p w14:paraId="6D53B880"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13.</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Arroyave Loaiza MG, Jarillo Soto EC. Costos hospitalarios: costo del día-paciente. Fundación Dialnet. 2001. [acceso: 08/10/2020]:329. Disponible en: </w:t>
      </w:r>
      <w:hyperlink r:id="rId27" w:history="1">
        <w:r w:rsidRPr="00D566A6">
          <w:rPr>
            <w:rStyle w:val="Hipervnculo"/>
            <w:rFonts w:ascii="Times New Roman" w:hAnsi="Times New Roman" w:cs="Times New Roman"/>
            <w:sz w:val="24"/>
            <w:szCs w:val="24"/>
          </w:rPr>
          <w:t>https://www.intercostos.org/documentos/congreso-07/Trabajo243-A.pdf</w:t>
        </w:r>
      </w:hyperlink>
      <w:r>
        <w:rPr>
          <w:rFonts w:ascii="Times New Roman" w:hAnsi="Times New Roman" w:cs="Times New Roman"/>
          <w:sz w:val="24"/>
          <w:szCs w:val="24"/>
        </w:rPr>
        <w:t xml:space="preserve"> </w:t>
      </w:r>
    </w:p>
    <w:p w14:paraId="3FD9EEBA"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14.</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Falcón Guerrero RW, Falcón Guerrero BE, Falcón Pasapera GS. Valoración del personal médico para el proceso de diagnóstico ante la pandemia de COVID-19. Rev. </w:t>
      </w:r>
      <w:proofErr w:type="spellStart"/>
      <w:r w:rsidRPr="00BB043C">
        <w:rPr>
          <w:rFonts w:ascii="Times New Roman" w:hAnsi="Times New Roman" w:cs="Times New Roman"/>
          <w:sz w:val="24"/>
          <w:szCs w:val="24"/>
        </w:rPr>
        <w:t>Méd</w:t>
      </w:r>
      <w:proofErr w:type="spellEnd"/>
      <w:r w:rsidRPr="00BB043C">
        <w:rPr>
          <w:rFonts w:ascii="Times New Roman" w:hAnsi="Times New Roman" w:cs="Times New Roman"/>
          <w:sz w:val="24"/>
          <w:szCs w:val="24"/>
        </w:rPr>
        <w:t xml:space="preserve">. Trujillo. 2020 [acceso: 08/10/2020]; 15(3):101-2. Disponible en: </w:t>
      </w:r>
      <w:hyperlink r:id="rId28" w:history="1">
        <w:r w:rsidRPr="00D566A6">
          <w:rPr>
            <w:rStyle w:val="Hipervnculo"/>
            <w:rFonts w:ascii="Times New Roman" w:hAnsi="Times New Roman" w:cs="Times New Roman"/>
            <w:sz w:val="24"/>
            <w:szCs w:val="24"/>
          </w:rPr>
          <w:t>https://revistas.unitru.edu.pe/index.php/RMT/article/view/3067</w:t>
        </w:r>
      </w:hyperlink>
      <w:r>
        <w:rPr>
          <w:rFonts w:ascii="Times New Roman" w:hAnsi="Times New Roman" w:cs="Times New Roman"/>
          <w:sz w:val="24"/>
          <w:szCs w:val="24"/>
        </w:rPr>
        <w:t xml:space="preserve"> </w:t>
      </w:r>
    </w:p>
    <w:p w14:paraId="26A82286"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15.</w:t>
      </w:r>
      <w:r>
        <w:rPr>
          <w:rFonts w:ascii="Times New Roman" w:hAnsi="Times New Roman" w:cs="Times New Roman"/>
          <w:sz w:val="24"/>
          <w:szCs w:val="24"/>
        </w:rPr>
        <w:t xml:space="preserve"> </w:t>
      </w:r>
      <w:proofErr w:type="spellStart"/>
      <w:r w:rsidRPr="00BB043C">
        <w:rPr>
          <w:rFonts w:ascii="Times New Roman" w:hAnsi="Times New Roman" w:cs="Times New Roman"/>
          <w:sz w:val="24"/>
          <w:szCs w:val="24"/>
        </w:rPr>
        <w:t>Astrês</w:t>
      </w:r>
      <w:proofErr w:type="spellEnd"/>
      <w:r w:rsidRPr="00BB043C">
        <w:rPr>
          <w:rFonts w:ascii="Times New Roman" w:hAnsi="Times New Roman" w:cs="Times New Roman"/>
          <w:sz w:val="24"/>
          <w:szCs w:val="24"/>
        </w:rPr>
        <w:t xml:space="preserve"> </w:t>
      </w:r>
      <w:proofErr w:type="spellStart"/>
      <w:r w:rsidRPr="00BB043C">
        <w:rPr>
          <w:rFonts w:ascii="Times New Roman" w:hAnsi="Times New Roman" w:cs="Times New Roman"/>
          <w:sz w:val="24"/>
          <w:szCs w:val="24"/>
        </w:rPr>
        <w:t>Fermándes</w:t>
      </w:r>
      <w:proofErr w:type="spellEnd"/>
      <w:r w:rsidRPr="00BB043C">
        <w:rPr>
          <w:rFonts w:ascii="Times New Roman" w:hAnsi="Times New Roman" w:cs="Times New Roman"/>
          <w:sz w:val="24"/>
          <w:szCs w:val="24"/>
        </w:rPr>
        <w:t xml:space="preserve"> M, Alves de Alencar Ribeiro A.  Salud mental y estrés ocupacional en trabajadores de la salud a la primera línea de la pandemia de COVID-19. Revista Cuidarte. 2020 [acceso: 08/10/2020]; 11(2): [aprox. 3 p.]. Disponible en: </w:t>
      </w:r>
      <w:hyperlink r:id="rId29" w:history="1">
        <w:r w:rsidRPr="00D566A6">
          <w:rPr>
            <w:rStyle w:val="Hipervnculo"/>
            <w:rFonts w:ascii="Times New Roman" w:hAnsi="Times New Roman" w:cs="Times New Roman"/>
            <w:sz w:val="24"/>
            <w:szCs w:val="24"/>
          </w:rPr>
          <w:t>http://www.scielo.org.co/scielo.php?script=sci_arttext&amp;pid=S2216-09732020000200701</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1B413710"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16.</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Moreno G, Carbonell R, Bodi M, Rodríguez A. Revisión sistemática sobre la utilidad pronóstica del dímero-D, coagulación intravascular diseminada y tratamiento anticoagulante en pacientes graves con COVID-19. </w:t>
      </w:r>
      <w:proofErr w:type="spellStart"/>
      <w:r w:rsidRPr="00BB043C">
        <w:rPr>
          <w:rFonts w:ascii="Times New Roman" w:hAnsi="Times New Roman" w:cs="Times New Roman"/>
          <w:sz w:val="24"/>
          <w:szCs w:val="24"/>
        </w:rPr>
        <w:t>Med</w:t>
      </w:r>
      <w:proofErr w:type="spellEnd"/>
      <w:r w:rsidRPr="00BB043C">
        <w:rPr>
          <w:rFonts w:ascii="Times New Roman" w:hAnsi="Times New Roman" w:cs="Times New Roman"/>
          <w:sz w:val="24"/>
          <w:szCs w:val="24"/>
        </w:rPr>
        <w:t xml:space="preserve">. Intensiva. 2020 [acceso: 08/10/2020]; 45(2020):42-55. [aprox. 15 p.]. Disponible en: </w:t>
      </w:r>
      <w:hyperlink r:id="rId30" w:history="1">
        <w:r w:rsidRPr="00D566A6">
          <w:rPr>
            <w:rStyle w:val="Hipervnculo"/>
            <w:rFonts w:ascii="Times New Roman" w:hAnsi="Times New Roman" w:cs="Times New Roman"/>
            <w:sz w:val="24"/>
            <w:szCs w:val="24"/>
          </w:rPr>
          <w:t>https://www.ncbi.nlm.nih.gov/pmc/articles/PMC7298463/pdf/main.pdf</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2FEA261F"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17.</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Rodríguez A, Moreno G, Gómez J, Carbonell R, Picó-Plana P, Benavent Bofill C, et al. Infección grave por coronavirus SARS-CoV-2: experiencia en un hospital de tercer nivel con pacientes afectados por COVID-19 durante la pandemia 2020. </w:t>
      </w:r>
      <w:proofErr w:type="spellStart"/>
      <w:r w:rsidRPr="00BB043C">
        <w:rPr>
          <w:rFonts w:ascii="Times New Roman" w:hAnsi="Times New Roman" w:cs="Times New Roman"/>
          <w:sz w:val="24"/>
          <w:szCs w:val="24"/>
        </w:rPr>
        <w:t>Med</w:t>
      </w:r>
      <w:proofErr w:type="spellEnd"/>
      <w:r w:rsidRPr="00BB043C">
        <w:rPr>
          <w:rFonts w:ascii="Times New Roman" w:hAnsi="Times New Roman" w:cs="Times New Roman"/>
          <w:sz w:val="24"/>
          <w:szCs w:val="24"/>
        </w:rPr>
        <w:t xml:space="preserve">. Intensiva. 2020 [acceso: 08/10/2020]: [aprox. 10 p.]. Disponible en: </w:t>
      </w:r>
      <w:hyperlink r:id="rId31" w:history="1">
        <w:r w:rsidRPr="00D566A6">
          <w:rPr>
            <w:rStyle w:val="Hipervnculo"/>
            <w:rFonts w:ascii="Times New Roman" w:hAnsi="Times New Roman" w:cs="Times New Roman"/>
            <w:sz w:val="24"/>
            <w:szCs w:val="24"/>
          </w:rPr>
          <w:t>https://www.ncbi.nlm.nih.gov/pmc/articles/PMC7303662/pdf/main.pdf</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44C54DC6"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t>18.</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Garay Duarte Z. Neumonía asociada a la ventilación mecánica (NAVM) en una unidad de cuidados intensivos adultos, Hospital de Clínicas. Año 2016. </w:t>
      </w:r>
      <w:proofErr w:type="spellStart"/>
      <w:r w:rsidRPr="00BB043C">
        <w:rPr>
          <w:rFonts w:ascii="Times New Roman" w:hAnsi="Times New Roman" w:cs="Times New Roman"/>
          <w:sz w:val="24"/>
          <w:szCs w:val="24"/>
        </w:rPr>
        <w:t>Rev</w:t>
      </w:r>
      <w:proofErr w:type="spellEnd"/>
      <w:r w:rsidRPr="00BB043C">
        <w:rPr>
          <w:rFonts w:ascii="Times New Roman" w:hAnsi="Times New Roman" w:cs="Times New Roman"/>
          <w:sz w:val="24"/>
          <w:szCs w:val="24"/>
        </w:rPr>
        <w:t xml:space="preserve"> Científica Estudios e Investigaciones. 2016 [acceso: 08/10/2020]; 6(2017): [aprox. 2 p.]. Disponible en:  </w:t>
      </w:r>
      <w:hyperlink r:id="rId32" w:history="1">
        <w:r w:rsidRPr="00D566A6">
          <w:rPr>
            <w:rStyle w:val="Hipervnculo"/>
            <w:rFonts w:ascii="Times New Roman" w:hAnsi="Times New Roman" w:cs="Times New Roman"/>
            <w:sz w:val="24"/>
            <w:szCs w:val="24"/>
          </w:rPr>
          <w:t>http://revista.unibe.edu.py/index.php/rcei/article/view/83</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60458EF4"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sidRPr="00BB043C">
        <w:rPr>
          <w:rFonts w:ascii="Times New Roman" w:hAnsi="Times New Roman" w:cs="Times New Roman"/>
          <w:sz w:val="24"/>
          <w:szCs w:val="24"/>
        </w:rPr>
        <w:lastRenderedPageBreak/>
        <w:t>19.</w:t>
      </w:r>
      <w:r>
        <w:rPr>
          <w:rFonts w:ascii="Times New Roman" w:hAnsi="Times New Roman" w:cs="Times New Roman"/>
          <w:sz w:val="24"/>
          <w:szCs w:val="24"/>
        </w:rPr>
        <w:t xml:space="preserve"> </w:t>
      </w:r>
      <w:r w:rsidRPr="00BB043C">
        <w:rPr>
          <w:rFonts w:ascii="Times New Roman" w:hAnsi="Times New Roman" w:cs="Times New Roman"/>
          <w:sz w:val="24"/>
          <w:szCs w:val="24"/>
        </w:rPr>
        <w:t xml:space="preserve">Rosenthal G. El impacto de Covid-19 en Guatemala. Economía UNAM. 2020 [acceso: 08/10/2020]; 17(51): [aprox. 20 p.]. Disponible en: </w:t>
      </w:r>
      <w:hyperlink r:id="rId33" w:history="1">
        <w:r w:rsidRPr="00D566A6">
          <w:rPr>
            <w:rStyle w:val="Hipervnculo"/>
            <w:rFonts w:ascii="Times New Roman" w:hAnsi="Times New Roman" w:cs="Times New Roman"/>
            <w:sz w:val="24"/>
            <w:szCs w:val="24"/>
          </w:rPr>
          <w:t>http://revistaeconomia.unam.mx/index.php/ecu/article/view/553</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678A014D" w14:textId="77777777" w:rsidR="00427E69" w:rsidRPr="00BB043C" w:rsidRDefault="00427E69" w:rsidP="00427E69">
      <w:pPr>
        <w:autoSpaceDE w:val="0"/>
        <w:autoSpaceDN w:val="0"/>
        <w:adjustRightInd w:val="0"/>
        <w:spacing w:after="0" w:line="360" w:lineRule="auto"/>
        <w:ind w:right="-234"/>
        <w:rPr>
          <w:rFonts w:ascii="Times New Roman" w:hAnsi="Times New Roman" w:cs="Times New Roman"/>
          <w:sz w:val="24"/>
          <w:szCs w:val="24"/>
        </w:rPr>
      </w:pPr>
      <w:r>
        <w:rPr>
          <w:rFonts w:ascii="Times New Roman" w:hAnsi="Times New Roman" w:cs="Times New Roman"/>
          <w:sz w:val="24"/>
          <w:szCs w:val="24"/>
        </w:rPr>
        <w:t xml:space="preserve">20. </w:t>
      </w:r>
      <w:r w:rsidRPr="00BB043C">
        <w:rPr>
          <w:rFonts w:ascii="Times New Roman" w:hAnsi="Times New Roman" w:cs="Times New Roman"/>
          <w:sz w:val="24"/>
          <w:szCs w:val="24"/>
        </w:rPr>
        <w:t xml:space="preserve">Tobón </w:t>
      </w:r>
      <w:proofErr w:type="spellStart"/>
      <w:r w:rsidRPr="00BB043C">
        <w:rPr>
          <w:rFonts w:ascii="Times New Roman" w:hAnsi="Times New Roman" w:cs="Times New Roman"/>
          <w:sz w:val="24"/>
          <w:szCs w:val="24"/>
        </w:rPr>
        <w:t>Tobón</w:t>
      </w:r>
      <w:proofErr w:type="spellEnd"/>
      <w:r w:rsidRPr="00BB043C">
        <w:rPr>
          <w:rFonts w:ascii="Times New Roman" w:hAnsi="Times New Roman" w:cs="Times New Roman"/>
          <w:sz w:val="24"/>
          <w:szCs w:val="24"/>
        </w:rPr>
        <w:t xml:space="preserve"> Y, Gómez Carvajal S, Henao Betancur JF. Aproximación a los usos de la información de costos como estrategia para la toma de decisiones de los hospitales y clínicas de Rionegro y La Ceja. Conta. </w:t>
      </w:r>
      <w:proofErr w:type="spellStart"/>
      <w:r w:rsidRPr="00BB043C">
        <w:rPr>
          <w:rFonts w:ascii="Times New Roman" w:hAnsi="Times New Roman" w:cs="Times New Roman"/>
          <w:sz w:val="24"/>
          <w:szCs w:val="24"/>
        </w:rPr>
        <w:t>Udea</w:t>
      </w:r>
      <w:proofErr w:type="spellEnd"/>
      <w:r w:rsidRPr="00BB043C">
        <w:rPr>
          <w:rFonts w:ascii="Times New Roman" w:hAnsi="Times New Roman" w:cs="Times New Roman"/>
          <w:sz w:val="24"/>
          <w:szCs w:val="24"/>
        </w:rPr>
        <w:t xml:space="preserve">. 2019 [acceso: 08/10/2020];74: 59-80. Disponible en: </w:t>
      </w:r>
      <w:hyperlink r:id="rId34" w:history="1">
        <w:r w:rsidRPr="00D566A6">
          <w:rPr>
            <w:rStyle w:val="Hipervnculo"/>
            <w:rFonts w:ascii="Times New Roman" w:hAnsi="Times New Roman" w:cs="Times New Roman"/>
            <w:sz w:val="24"/>
            <w:szCs w:val="24"/>
          </w:rPr>
          <w:t>http://bibliotecadigital.udea.edu.co/bitstream/10495/16496/1/TobonTobonYesika_2019AproximacionUsosInformacion.pdf</w:t>
        </w:r>
      </w:hyperlink>
      <w:r>
        <w:rPr>
          <w:rFonts w:ascii="Times New Roman" w:hAnsi="Times New Roman" w:cs="Times New Roman"/>
          <w:sz w:val="24"/>
          <w:szCs w:val="24"/>
        </w:rPr>
        <w:t xml:space="preserve"> </w:t>
      </w:r>
      <w:r w:rsidRPr="00BB043C">
        <w:rPr>
          <w:rFonts w:ascii="Times New Roman" w:hAnsi="Times New Roman" w:cs="Times New Roman"/>
          <w:sz w:val="24"/>
          <w:szCs w:val="24"/>
        </w:rPr>
        <w:t xml:space="preserve"> </w:t>
      </w:r>
    </w:p>
    <w:p w14:paraId="3460DEEF" w14:textId="77777777" w:rsidR="00427E69" w:rsidRPr="00BE28A5" w:rsidRDefault="00427E69" w:rsidP="00427E69">
      <w:pPr>
        <w:pStyle w:val="Prrafodelista"/>
        <w:autoSpaceDE w:val="0"/>
        <w:autoSpaceDN w:val="0"/>
        <w:adjustRightInd w:val="0"/>
        <w:spacing w:after="0" w:line="360" w:lineRule="auto"/>
        <w:ind w:left="0" w:right="-234"/>
        <w:jc w:val="both"/>
        <w:rPr>
          <w:rFonts w:ascii="Times New Roman" w:hAnsi="Times New Roman" w:cs="Times New Roman"/>
          <w:sz w:val="24"/>
          <w:szCs w:val="24"/>
        </w:rPr>
      </w:pPr>
    </w:p>
    <w:p w14:paraId="03554940" w14:textId="77777777" w:rsidR="00427E69" w:rsidRPr="00BE28A5" w:rsidRDefault="00427E69" w:rsidP="00427E69">
      <w:pPr>
        <w:spacing w:after="0" w:line="360" w:lineRule="auto"/>
        <w:rPr>
          <w:rFonts w:ascii="Times New Roman" w:eastAsia="Times New Roman" w:hAnsi="Times New Roman" w:cs="Times New Roman"/>
          <w:b/>
          <w:bCs/>
          <w:color w:val="000000"/>
          <w:sz w:val="24"/>
          <w:szCs w:val="24"/>
          <w:lang w:eastAsia="es-ES"/>
        </w:rPr>
      </w:pPr>
    </w:p>
    <w:p w14:paraId="79E7C83B" w14:textId="77777777" w:rsidR="00427E69" w:rsidRPr="00BE28A5" w:rsidRDefault="00427E69" w:rsidP="00427E69">
      <w:pPr>
        <w:spacing w:after="0" w:line="360" w:lineRule="auto"/>
        <w:jc w:val="center"/>
        <w:rPr>
          <w:rFonts w:ascii="Times New Roman" w:eastAsia="Times New Roman" w:hAnsi="Times New Roman" w:cs="Times New Roman"/>
          <w:sz w:val="24"/>
          <w:szCs w:val="24"/>
          <w:lang w:eastAsia="es-ES"/>
        </w:rPr>
      </w:pPr>
      <w:r w:rsidRPr="00BE28A5">
        <w:rPr>
          <w:rFonts w:ascii="Times New Roman" w:eastAsia="Times New Roman" w:hAnsi="Times New Roman" w:cs="Times New Roman"/>
          <w:b/>
          <w:bCs/>
          <w:color w:val="000000"/>
          <w:sz w:val="24"/>
          <w:szCs w:val="24"/>
          <w:lang w:eastAsia="es-ES"/>
        </w:rPr>
        <w:t>Conflictos de interés</w:t>
      </w:r>
    </w:p>
    <w:p w14:paraId="4BF9712D" w14:textId="77777777" w:rsidR="00427E69" w:rsidRPr="00BE28A5" w:rsidRDefault="00427E69" w:rsidP="00427E69">
      <w:pPr>
        <w:spacing w:after="0" w:line="360" w:lineRule="auto"/>
        <w:rPr>
          <w:rFonts w:ascii="Times New Roman" w:eastAsia="Times New Roman" w:hAnsi="Times New Roman" w:cs="Times New Roman"/>
          <w:color w:val="000000"/>
          <w:sz w:val="24"/>
          <w:szCs w:val="24"/>
          <w:lang w:eastAsia="es-ES"/>
        </w:rPr>
      </w:pPr>
      <w:r w:rsidRPr="00BE28A5">
        <w:rPr>
          <w:rFonts w:ascii="Times New Roman" w:eastAsia="Times New Roman" w:hAnsi="Times New Roman" w:cs="Times New Roman"/>
          <w:color w:val="000000"/>
          <w:sz w:val="24"/>
          <w:szCs w:val="24"/>
          <w:lang w:eastAsia="es-ES"/>
        </w:rPr>
        <w:t xml:space="preserve">No existen conflictos de interés en relación con el trabajo. </w:t>
      </w:r>
    </w:p>
    <w:p w14:paraId="3B77B1ED" w14:textId="77777777" w:rsidR="00427E69" w:rsidRPr="00BE28A5" w:rsidRDefault="00427E69" w:rsidP="00427E69">
      <w:pPr>
        <w:spacing w:after="0" w:line="360" w:lineRule="auto"/>
        <w:rPr>
          <w:rFonts w:ascii="Times New Roman" w:eastAsia="Times New Roman" w:hAnsi="Times New Roman" w:cs="Times New Roman"/>
          <w:sz w:val="24"/>
          <w:szCs w:val="24"/>
          <w:lang w:eastAsia="es-ES"/>
        </w:rPr>
      </w:pPr>
    </w:p>
    <w:p w14:paraId="79F19E1F" w14:textId="77777777" w:rsidR="00427E69" w:rsidRPr="00BE28A5" w:rsidRDefault="00427E69" w:rsidP="00427E69">
      <w:pPr>
        <w:spacing w:after="0" w:line="360" w:lineRule="auto"/>
        <w:jc w:val="center"/>
        <w:rPr>
          <w:rFonts w:ascii="Times New Roman" w:eastAsia="Times New Roman" w:hAnsi="Times New Roman" w:cs="Times New Roman"/>
          <w:bCs/>
          <w:iCs/>
          <w:color w:val="000000"/>
          <w:sz w:val="24"/>
          <w:szCs w:val="24"/>
          <w:lang w:eastAsia="es-ES"/>
        </w:rPr>
      </w:pPr>
      <w:r w:rsidRPr="00BE28A5">
        <w:rPr>
          <w:rFonts w:ascii="Times New Roman" w:eastAsia="Times New Roman" w:hAnsi="Times New Roman" w:cs="Times New Roman"/>
          <w:b/>
          <w:iCs/>
          <w:color w:val="000000"/>
          <w:sz w:val="24"/>
          <w:szCs w:val="24"/>
          <w:lang w:eastAsia="es-ES"/>
        </w:rPr>
        <w:t>Contribuci</w:t>
      </w:r>
      <w:r>
        <w:rPr>
          <w:rFonts w:ascii="Times New Roman" w:eastAsia="Times New Roman" w:hAnsi="Times New Roman" w:cs="Times New Roman"/>
          <w:b/>
          <w:iCs/>
          <w:color w:val="000000"/>
          <w:sz w:val="24"/>
          <w:szCs w:val="24"/>
          <w:lang w:eastAsia="es-ES"/>
        </w:rPr>
        <w:t>o</w:t>
      </w:r>
      <w:r w:rsidRPr="00BE28A5">
        <w:rPr>
          <w:rFonts w:ascii="Times New Roman" w:eastAsia="Times New Roman" w:hAnsi="Times New Roman" w:cs="Times New Roman"/>
          <w:b/>
          <w:iCs/>
          <w:color w:val="000000"/>
          <w:sz w:val="24"/>
          <w:szCs w:val="24"/>
          <w:lang w:eastAsia="es-ES"/>
        </w:rPr>
        <w:t>n</w:t>
      </w:r>
      <w:r>
        <w:rPr>
          <w:rFonts w:ascii="Times New Roman" w:eastAsia="Times New Roman" w:hAnsi="Times New Roman" w:cs="Times New Roman"/>
          <w:b/>
          <w:iCs/>
          <w:color w:val="000000"/>
          <w:sz w:val="24"/>
          <w:szCs w:val="24"/>
          <w:lang w:eastAsia="es-ES"/>
        </w:rPr>
        <w:t>es</w:t>
      </w:r>
      <w:r w:rsidRPr="00BE28A5">
        <w:rPr>
          <w:rFonts w:ascii="Times New Roman" w:eastAsia="Times New Roman" w:hAnsi="Times New Roman" w:cs="Times New Roman"/>
          <w:b/>
          <w:iCs/>
          <w:color w:val="000000"/>
          <w:sz w:val="24"/>
          <w:szCs w:val="24"/>
          <w:lang w:eastAsia="es-ES"/>
        </w:rPr>
        <w:t xml:space="preserve"> de</w:t>
      </w:r>
      <w:r>
        <w:rPr>
          <w:rFonts w:ascii="Times New Roman" w:eastAsia="Times New Roman" w:hAnsi="Times New Roman" w:cs="Times New Roman"/>
          <w:b/>
          <w:iCs/>
          <w:color w:val="000000"/>
          <w:sz w:val="24"/>
          <w:szCs w:val="24"/>
          <w:lang w:eastAsia="es-ES"/>
        </w:rPr>
        <w:t xml:space="preserve"> los</w:t>
      </w:r>
      <w:r w:rsidRPr="00BE28A5">
        <w:rPr>
          <w:rFonts w:ascii="Times New Roman" w:eastAsia="Times New Roman" w:hAnsi="Times New Roman" w:cs="Times New Roman"/>
          <w:b/>
          <w:iCs/>
          <w:color w:val="000000"/>
          <w:sz w:val="24"/>
          <w:szCs w:val="24"/>
          <w:lang w:eastAsia="es-ES"/>
        </w:rPr>
        <w:t xml:space="preserve"> autor</w:t>
      </w:r>
      <w:r>
        <w:rPr>
          <w:rFonts w:ascii="Times New Roman" w:eastAsia="Times New Roman" w:hAnsi="Times New Roman" w:cs="Times New Roman"/>
          <w:b/>
          <w:iCs/>
          <w:color w:val="000000"/>
          <w:sz w:val="24"/>
          <w:szCs w:val="24"/>
          <w:lang w:eastAsia="es-ES"/>
        </w:rPr>
        <w:t>es</w:t>
      </w:r>
    </w:p>
    <w:p w14:paraId="454C00F9" w14:textId="77777777" w:rsidR="00427E69" w:rsidRPr="00BE28A5" w:rsidRDefault="00427E69" w:rsidP="00427E69">
      <w:pPr>
        <w:spacing w:after="0" w:line="360" w:lineRule="auto"/>
        <w:rPr>
          <w:rFonts w:ascii="Times New Roman" w:eastAsia="Times New Roman" w:hAnsi="Times New Roman" w:cs="Times New Roman"/>
          <w:bCs/>
          <w:i/>
          <w:color w:val="000000"/>
          <w:sz w:val="24"/>
          <w:szCs w:val="24"/>
          <w:lang w:eastAsia="es-ES"/>
        </w:rPr>
      </w:pPr>
      <w:r w:rsidRPr="00BE28A5">
        <w:rPr>
          <w:rFonts w:ascii="Times New Roman" w:eastAsia="Times New Roman" w:hAnsi="Times New Roman" w:cs="Times New Roman"/>
          <w:bCs/>
          <w:iCs/>
          <w:color w:val="000000"/>
          <w:sz w:val="24"/>
          <w:szCs w:val="24"/>
          <w:lang w:eastAsia="es-ES"/>
        </w:rPr>
        <w:t xml:space="preserve">1. Conceptualización: </w:t>
      </w:r>
      <w:r w:rsidRPr="00BE28A5">
        <w:rPr>
          <w:rFonts w:ascii="Times New Roman" w:eastAsia="Times New Roman" w:hAnsi="Times New Roman" w:cs="Times New Roman"/>
          <w:bCs/>
          <w:i/>
          <w:color w:val="000000"/>
          <w:sz w:val="24"/>
          <w:szCs w:val="24"/>
          <w:lang w:eastAsia="es-ES"/>
        </w:rPr>
        <w:t xml:space="preserve">Ernesto Sánchez Hernández, </w:t>
      </w:r>
      <w:proofErr w:type="spellStart"/>
      <w:r w:rsidRPr="00BE28A5">
        <w:rPr>
          <w:rFonts w:ascii="Times New Roman" w:eastAsia="Times New Roman" w:hAnsi="Times New Roman" w:cs="Times New Roman"/>
          <w:bCs/>
          <w:i/>
          <w:color w:val="000000"/>
          <w:sz w:val="24"/>
          <w:szCs w:val="24"/>
          <w:lang w:eastAsia="es-ES"/>
        </w:rPr>
        <w:t>Jacno</w:t>
      </w:r>
      <w:proofErr w:type="spellEnd"/>
      <w:r w:rsidRPr="00BE28A5">
        <w:rPr>
          <w:rFonts w:ascii="Times New Roman" w:eastAsia="Times New Roman" w:hAnsi="Times New Roman" w:cs="Times New Roman"/>
          <w:bCs/>
          <w:i/>
          <w:color w:val="000000"/>
          <w:sz w:val="24"/>
          <w:szCs w:val="24"/>
          <w:lang w:eastAsia="es-ES"/>
        </w:rPr>
        <w:t xml:space="preserve"> Erik Ferrer Castro.</w:t>
      </w:r>
    </w:p>
    <w:p w14:paraId="0FCE3816" w14:textId="77777777" w:rsidR="00427E69" w:rsidRPr="00BE28A5" w:rsidRDefault="00427E69" w:rsidP="00427E69">
      <w:pPr>
        <w:spacing w:after="0" w:line="360" w:lineRule="auto"/>
        <w:rPr>
          <w:rFonts w:ascii="Times New Roman" w:eastAsia="Times New Roman" w:hAnsi="Times New Roman" w:cs="Times New Roman"/>
          <w:bCs/>
          <w:i/>
          <w:color w:val="000000"/>
          <w:sz w:val="24"/>
          <w:szCs w:val="24"/>
          <w:lang w:eastAsia="es-ES"/>
        </w:rPr>
      </w:pPr>
      <w:r w:rsidRPr="00BE28A5">
        <w:rPr>
          <w:rFonts w:ascii="Times New Roman" w:eastAsia="Times New Roman" w:hAnsi="Times New Roman" w:cs="Times New Roman"/>
          <w:bCs/>
          <w:iCs/>
          <w:color w:val="000000"/>
          <w:sz w:val="24"/>
          <w:szCs w:val="24"/>
          <w:lang w:eastAsia="es-ES"/>
        </w:rPr>
        <w:t xml:space="preserve">2. Curación de datos: </w:t>
      </w:r>
      <w:r w:rsidRPr="00BE28A5">
        <w:rPr>
          <w:rFonts w:ascii="Times New Roman" w:eastAsia="Times New Roman" w:hAnsi="Times New Roman" w:cs="Times New Roman"/>
          <w:bCs/>
          <w:i/>
          <w:color w:val="000000"/>
          <w:sz w:val="24"/>
          <w:szCs w:val="24"/>
          <w:lang w:eastAsia="es-ES"/>
        </w:rPr>
        <w:t xml:space="preserve">Ernesto Sánchez Hernández, </w:t>
      </w:r>
      <w:proofErr w:type="spellStart"/>
      <w:r w:rsidRPr="00BE28A5">
        <w:rPr>
          <w:rFonts w:ascii="Times New Roman" w:eastAsia="Times New Roman" w:hAnsi="Times New Roman" w:cs="Times New Roman"/>
          <w:bCs/>
          <w:i/>
          <w:color w:val="000000"/>
          <w:sz w:val="24"/>
          <w:szCs w:val="24"/>
          <w:lang w:eastAsia="es-ES"/>
        </w:rPr>
        <w:t>Jacno</w:t>
      </w:r>
      <w:proofErr w:type="spellEnd"/>
      <w:r w:rsidRPr="00BE28A5">
        <w:rPr>
          <w:rFonts w:ascii="Times New Roman" w:eastAsia="Times New Roman" w:hAnsi="Times New Roman" w:cs="Times New Roman"/>
          <w:bCs/>
          <w:i/>
          <w:color w:val="000000"/>
          <w:sz w:val="24"/>
          <w:szCs w:val="24"/>
          <w:lang w:eastAsia="es-ES"/>
        </w:rPr>
        <w:t xml:space="preserve"> Erik Ferrer Castro.</w:t>
      </w:r>
    </w:p>
    <w:p w14:paraId="754A5F7B" w14:textId="77777777" w:rsidR="00427E69" w:rsidRPr="00BE28A5" w:rsidRDefault="00427E69" w:rsidP="00427E69">
      <w:pPr>
        <w:spacing w:after="0" w:line="360" w:lineRule="auto"/>
        <w:rPr>
          <w:rFonts w:ascii="Times New Roman" w:eastAsia="Times New Roman" w:hAnsi="Times New Roman" w:cs="Times New Roman"/>
          <w:bCs/>
          <w:iCs/>
          <w:color w:val="000000"/>
          <w:sz w:val="24"/>
          <w:szCs w:val="24"/>
          <w:lang w:eastAsia="es-ES"/>
        </w:rPr>
      </w:pPr>
      <w:r w:rsidRPr="00BE28A5">
        <w:rPr>
          <w:rFonts w:ascii="Times New Roman" w:eastAsia="Times New Roman" w:hAnsi="Times New Roman" w:cs="Times New Roman"/>
          <w:bCs/>
          <w:iCs/>
          <w:color w:val="000000"/>
          <w:sz w:val="24"/>
          <w:szCs w:val="24"/>
          <w:lang w:eastAsia="es-ES"/>
        </w:rPr>
        <w:t xml:space="preserve">3. Análisis formal: </w:t>
      </w:r>
      <w:proofErr w:type="spellStart"/>
      <w:r w:rsidRPr="00BE28A5">
        <w:rPr>
          <w:rFonts w:ascii="Times New Roman" w:eastAsia="Times New Roman" w:hAnsi="Times New Roman" w:cs="Times New Roman"/>
          <w:bCs/>
          <w:i/>
          <w:color w:val="000000"/>
          <w:sz w:val="24"/>
          <w:szCs w:val="24"/>
          <w:lang w:eastAsia="es-ES"/>
        </w:rPr>
        <w:t>Jacno</w:t>
      </w:r>
      <w:proofErr w:type="spellEnd"/>
      <w:r w:rsidRPr="00BE28A5">
        <w:rPr>
          <w:rFonts w:ascii="Times New Roman" w:eastAsia="Times New Roman" w:hAnsi="Times New Roman" w:cs="Times New Roman"/>
          <w:bCs/>
          <w:i/>
          <w:color w:val="000000"/>
          <w:sz w:val="24"/>
          <w:szCs w:val="24"/>
          <w:lang w:eastAsia="es-ES"/>
        </w:rPr>
        <w:t xml:space="preserve"> Erik Ferrer Castro.</w:t>
      </w:r>
    </w:p>
    <w:p w14:paraId="413DFA6E" w14:textId="77777777" w:rsidR="00427E69" w:rsidRPr="00BE28A5" w:rsidRDefault="00427E69" w:rsidP="00427E69">
      <w:pPr>
        <w:spacing w:after="0" w:line="360" w:lineRule="auto"/>
        <w:rPr>
          <w:rFonts w:ascii="Times New Roman" w:eastAsia="Times New Roman" w:hAnsi="Times New Roman" w:cs="Times New Roman"/>
          <w:bCs/>
          <w:i/>
          <w:color w:val="000000"/>
          <w:sz w:val="24"/>
          <w:szCs w:val="24"/>
          <w:lang w:eastAsia="es-ES"/>
        </w:rPr>
      </w:pPr>
      <w:r w:rsidRPr="00BE28A5">
        <w:rPr>
          <w:rFonts w:ascii="Times New Roman" w:eastAsia="Times New Roman" w:hAnsi="Times New Roman" w:cs="Times New Roman"/>
          <w:bCs/>
          <w:iCs/>
          <w:color w:val="000000"/>
          <w:sz w:val="24"/>
          <w:szCs w:val="24"/>
          <w:lang w:eastAsia="es-ES"/>
        </w:rPr>
        <w:t xml:space="preserve">4. Investigación: </w:t>
      </w:r>
      <w:r w:rsidRPr="00BE28A5">
        <w:rPr>
          <w:rFonts w:ascii="Times New Roman" w:eastAsia="Times New Roman" w:hAnsi="Times New Roman" w:cs="Times New Roman"/>
          <w:bCs/>
          <w:i/>
          <w:color w:val="000000"/>
          <w:sz w:val="24"/>
          <w:szCs w:val="24"/>
          <w:lang w:eastAsia="es-ES"/>
        </w:rPr>
        <w:t>Ernesto Sánchez Hernández.</w:t>
      </w:r>
    </w:p>
    <w:p w14:paraId="01BD1479" w14:textId="77777777" w:rsidR="00427E69" w:rsidRPr="00BE28A5" w:rsidRDefault="00427E69" w:rsidP="00427E69">
      <w:pPr>
        <w:spacing w:after="0" w:line="360" w:lineRule="auto"/>
        <w:rPr>
          <w:rFonts w:ascii="Times New Roman" w:eastAsia="Times New Roman" w:hAnsi="Times New Roman" w:cs="Times New Roman"/>
          <w:bCs/>
          <w:iCs/>
          <w:color w:val="000000"/>
          <w:sz w:val="24"/>
          <w:szCs w:val="24"/>
          <w:lang w:eastAsia="es-ES"/>
        </w:rPr>
      </w:pPr>
      <w:r w:rsidRPr="00BE28A5">
        <w:rPr>
          <w:rFonts w:ascii="Times New Roman" w:eastAsia="Times New Roman" w:hAnsi="Times New Roman" w:cs="Times New Roman"/>
          <w:bCs/>
          <w:iCs/>
          <w:color w:val="000000"/>
          <w:sz w:val="24"/>
          <w:szCs w:val="24"/>
          <w:lang w:eastAsia="es-ES"/>
        </w:rPr>
        <w:t xml:space="preserve">5. Metodología: </w:t>
      </w:r>
      <w:r w:rsidRPr="00BE28A5">
        <w:rPr>
          <w:rFonts w:ascii="Times New Roman" w:eastAsia="Times New Roman" w:hAnsi="Times New Roman" w:cs="Times New Roman"/>
          <w:bCs/>
          <w:i/>
          <w:color w:val="000000"/>
          <w:sz w:val="24"/>
          <w:szCs w:val="24"/>
          <w:lang w:eastAsia="es-ES"/>
        </w:rPr>
        <w:t xml:space="preserve">Ernesto Sánchez Hernández, </w:t>
      </w:r>
      <w:proofErr w:type="spellStart"/>
      <w:r w:rsidRPr="00BE28A5">
        <w:rPr>
          <w:rFonts w:ascii="Times New Roman" w:eastAsia="Times New Roman" w:hAnsi="Times New Roman" w:cs="Times New Roman"/>
          <w:bCs/>
          <w:i/>
          <w:color w:val="000000"/>
          <w:sz w:val="24"/>
          <w:szCs w:val="24"/>
          <w:lang w:eastAsia="es-ES"/>
        </w:rPr>
        <w:t>Jacno</w:t>
      </w:r>
      <w:proofErr w:type="spellEnd"/>
      <w:r w:rsidRPr="00BE28A5">
        <w:rPr>
          <w:rFonts w:ascii="Times New Roman" w:eastAsia="Times New Roman" w:hAnsi="Times New Roman" w:cs="Times New Roman"/>
          <w:bCs/>
          <w:i/>
          <w:color w:val="000000"/>
          <w:sz w:val="24"/>
          <w:szCs w:val="24"/>
          <w:lang w:eastAsia="es-ES"/>
        </w:rPr>
        <w:t xml:space="preserve"> Erik Ferrer Castro.</w:t>
      </w:r>
    </w:p>
    <w:p w14:paraId="4DC71683" w14:textId="77777777" w:rsidR="00427E69" w:rsidRPr="00BE28A5" w:rsidRDefault="00427E69" w:rsidP="00427E69">
      <w:pPr>
        <w:spacing w:after="0" w:line="360" w:lineRule="auto"/>
        <w:rPr>
          <w:rFonts w:ascii="Times New Roman" w:eastAsia="Times New Roman" w:hAnsi="Times New Roman" w:cs="Times New Roman"/>
          <w:bCs/>
          <w:iCs/>
          <w:color w:val="000000"/>
          <w:sz w:val="24"/>
          <w:szCs w:val="24"/>
          <w:lang w:eastAsia="es-ES"/>
        </w:rPr>
      </w:pPr>
      <w:r w:rsidRPr="00BE28A5">
        <w:rPr>
          <w:rFonts w:ascii="Times New Roman" w:eastAsia="Times New Roman" w:hAnsi="Times New Roman" w:cs="Times New Roman"/>
          <w:bCs/>
          <w:iCs/>
          <w:color w:val="000000"/>
          <w:sz w:val="24"/>
          <w:szCs w:val="24"/>
          <w:lang w:eastAsia="es-ES"/>
        </w:rPr>
        <w:t xml:space="preserve">6. Administración del proyecto: </w:t>
      </w:r>
      <w:r w:rsidRPr="00BE28A5">
        <w:rPr>
          <w:rFonts w:ascii="Times New Roman" w:eastAsia="Times New Roman" w:hAnsi="Times New Roman" w:cs="Times New Roman"/>
          <w:bCs/>
          <w:i/>
          <w:color w:val="000000"/>
          <w:sz w:val="24"/>
          <w:szCs w:val="24"/>
          <w:lang w:eastAsia="es-ES"/>
        </w:rPr>
        <w:t>Ernesto Sánchez Hernández.</w:t>
      </w:r>
    </w:p>
    <w:p w14:paraId="69B76E0A" w14:textId="77777777" w:rsidR="00427E69" w:rsidRPr="00BE28A5" w:rsidRDefault="00427E69" w:rsidP="00427E69">
      <w:pPr>
        <w:spacing w:after="0" w:line="360" w:lineRule="auto"/>
        <w:rPr>
          <w:rFonts w:ascii="Times New Roman" w:eastAsia="Times New Roman" w:hAnsi="Times New Roman" w:cs="Times New Roman"/>
          <w:bCs/>
          <w:iCs/>
          <w:color w:val="000000"/>
          <w:sz w:val="24"/>
          <w:szCs w:val="24"/>
          <w:lang w:eastAsia="es-ES"/>
        </w:rPr>
      </w:pPr>
      <w:r w:rsidRPr="00BE28A5">
        <w:rPr>
          <w:rFonts w:ascii="Times New Roman" w:eastAsia="Times New Roman" w:hAnsi="Times New Roman" w:cs="Times New Roman"/>
          <w:bCs/>
          <w:iCs/>
          <w:color w:val="000000"/>
          <w:sz w:val="24"/>
          <w:szCs w:val="24"/>
          <w:lang w:eastAsia="es-ES"/>
        </w:rPr>
        <w:t xml:space="preserve">7. Supervisión: </w:t>
      </w:r>
      <w:proofErr w:type="spellStart"/>
      <w:r w:rsidRPr="00BE28A5">
        <w:rPr>
          <w:rFonts w:ascii="Times New Roman" w:eastAsia="Times New Roman" w:hAnsi="Times New Roman" w:cs="Times New Roman"/>
          <w:bCs/>
          <w:i/>
          <w:color w:val="000000"/>
          <w:sz w:val="24"/>
          <w:szCs w:val="24"/>
          <w:lang w:eastAsia="es-ES"/>
        </w:rPr>
        <w:t>Jacno</w:t>
      </w:r>
      <w:proofErr w:type="spellEnd"/>
      <w:r w:rsidRPr="00BE28A5">
        <w:rPr>
          <w:rFonts w:ascii="Times New Roman" w:eastAsia="Times New Roman" w:hAnsi="Times New Roman" w:cs="Times New Roman"/>
          <w:bCs/>
          <w:i/>
          <w:color w:val="000000"/>
          <w:sz w:val="24"/>
          <w:szCs w:val="24"/>
          <w:lang w:eastAsia="es-ES"/>
        </w:rPr>
        <w:t xml:space="preserve"> Erik Ferrer Castro.</w:t>
      </w:r>
    </w:p>
    <w:p w14:paraId="3D056D4B" w14:textId="77777777" w:rsidR="00427E69" w:rsidRPr="00BE28A5" w:rsidRDefault="00427E69" w:rsidP="00427E69">
      <w:pPr>
        <w:spacing w:after="0" w:line="360" w:lineRule="auto"/>
        <w:rPr>
          <w:rFonts w:ascii="Times New Roman" w:eastAsia="Times New Roman" w:hAnsi="Times New Roman" w:cs="Times New Roman"/>
          <w:bCs/>
          <w:iCs/>
          <w:color w:val="000000"/>
          <w:sz w:val="24"/>
          <w:szCs w:val="24"/>
          <w:lang w:eastAsia="es-ES"/>
        </w:rPr>
      </w:pPr>
      <w:r w:rsidRPr="00BE28A5">
        <w:rPr>
          <w:rFonts w:ascii="Times New Roman" w:eastAsia="Times New Roman" w:hAnsi="Times New Roman" w:cs="Times New Roman"/>
          <w:bCs/>
          <w:iCs/>
          <w:color w:val="000000"/>
          <w:sz w:val="24"/>
          <w:szCs w:val="24"/>
          <w:lang w:eastAsia="es-ES"/>
        </w:rPr>
        <w:t xml:space="preserve">8. Validación: </w:t>
      </w:r>
      <w:r w:rsidRPr="00BE28A5">
        <w:rPr>
          <w:rFonts w:ascii="Times New Roman" w:eastAsia="Times New Roman" w:hAnsi="Times New Roman" w:cs="Times New Roman"/>
          <w:bCs/>
          <w:i/>
          <w:color w:val="000000"/>
          <w:sz w:val="24"/>
          <w:szCs w:val="24"/>
          <w:lang w:eastAsia="es-ES"/>
        </w:rPr>
        <w:t xml:space="preserve">Ernesto Sánchez Hernández, </w:t>
      </w:r>
      <w:proofErr w:type="spellStart"/>
      <w:r w:rsidRPr="00BE28A5">
        <w:rPr>
          <w:rFonts w:ascii="Times New Roman" w:eastAsia="Times New Roman" w:hAnsi="Times New Roman" w:cs="Times New Roman"/>
          <w:bCs/>
          <w:i/>
          <w:color w:val="000000"/>
          <w:sz w:val="24"/>
          <w:szCs w:val="24"/>
          <w:lang w:eastAsia="es-ES"/>
        </w:rPr>
        <w:t>Jacno</w:t>
      </w:r>
      <w:proofErr w:type="spellEnd"/>
      <w:r w:rsidRPr="00BE28A5">
        <w:rPr>
          <w:rFonts w:ascii="Times New Roman" w:eastAsia="Times New Roman" w:hAnsi="Times New Roman" w:cs="Times New Roman"/>
          <w:bCs/>
          <w:i/>
          <w:color w:val="000000"/>
          <w:sz w:val="24"/>
          <w:szCs w:val="24"/>
          <w:lang w:eastAsia="es-ES"/>
        </w:rPr>
        <w:t xml:space="preserve"> Erik Ferrer Castro.</w:t>
      </w:r>
    </w:p>
    <w:p w14:paraId="143EB329" w14:textId="77777777" w:rsidR="00427E69" w:rsidRPr="00BE28A5" w:rsidRDefault="00427E69" w:rsidP="00427E69">
      <w:pPr>
        <w:spacing w:after="0" w:line="360" w:lineRule="auto"/>
        <w:rPr>
          <w:rFonts w:ascii="Times New Roman" w:eastAsia="Times New Roman" w:hAnsi="Times New Roman" w:cs="Times New Roman"/>
          <w:bCs/>
          <w:i/>
          <w:color w:val="000000"/>
          <w:sz w:val="24"/>
          <w:szCs w:val="24"/>
          <w:lang w:eastAsia="es-ES"/>
        </w:rPr>
      </w:pPr>
      <w:r w:rsidRPr="00BE28A5">
        <w:rPr>
          <w:rFonts w:ascii="Times New Roman" w:eastAsia="Times New Roman" w:hAnsi="Times New Roman" w:cs="Times New Roman"/>
          <w:bCs/>
          <w:iCs/>
          <w:color w:val="000000"/>
          <w:sz w:val="24"/>
          <w:szCs w:val="24"/>
          <w:lang w:eastAsia="es-ES"/>
        </w:rPr>
        <w:t xml:space="preserve">9. Visualización: </w:t>
      </w:r>
      <w:r w:rsidRPr="00BE28A5">
        <w:rPr>
          <w:rFonts w:ascii="Times New Roman" w:eastAsia="Times New Roman" w:hAnsi="Times New Roman" w:cs="Times New Roman"/>
          <w:bCs/>
          <w:i/>
          <w:color w:val="000000"/>
          <w:sz w:val="24"/>
          <w:szCs w:val="24"/>
          <w:lang w:eastAsia="es-ES"/>
        </w:rPr>
        <w:t xml:space="preserve">Ernesto Sánchez Hernández, </w:t>
      </w:r>
      <w:proofErr w:type="spellStart"/>
      <w:r w:rsidRPr="00BE28A5">
        <w:rPr>
          <w:rFonts w:ascii="Times New Roman" w:eastAsia="Times New Roman" w:hAnsi="Times New Roman" w:cs="Times New Roman"/>
          <w:bCs/>
          <w:i/>
          <w:color w:val="000000"/>
          <w:sz w:val="24"/>
          <w:szCs w:val="24"/>
          <w:lang w:eastAsia="es-ES"/>
        </w:rPr>
        <w:t>Jacno</w:t>
      </w:r>
      <w:proofErr w:type="spellEnd"/>
      <w:r w:rsidRPr="00BE28A5">
        <w:rPr>
          <w:rFonts w:ascii="Times New Roman" w:eastAsia="Times New Roman" w:hAnsi="Times New Roman" w:cs="Times New Roman"/>
          <w:bCs/>
          <w:i/>
          <w:color w:val="000000"/>
          <w:sz w:val="24"/>
          <w:szCs w:val="24"/>
          <w:lang w:eastAsia="es-ES"/>
        </w:rPr>
        <w:t xml:space="preserve"> Erik Ferrer Castro.</w:t>
      </w:r>
    </w:p>
    <w:p w14:paraId="446BE85D" w14:textId="77777777" w:rsidR="00427E69" w:rsidRPr="00BE28A5" w:rsidRDefault="00427E69" w:rsidP="00427E69">
      <w:pPr>
        <w:spacing w:after="0" w:line="360" w:lineRule="auto"/>
        <w:rPr>
          <w:rFonts w:ascii="Times New Roman" w:eastAsia="Times New Roman" w:hAnsi="Times New Roman" w:cs="Times New Roman"/>
          <w:bCs/>
          <w:iCs/>
          <w:color w:val="000000"/>
          <w:sz w:val="24"/>
          <w:szCs w:val="24"/>
          <w:lang w:eastAsia="es-ES"/>
        </w:rPr>
      </w:pPr>
      <w:r w:rsidRPr="00BE28A5">
        <w:rPr>
          <w:rFonts w:ascii="Times New Roman" w:eastAsia="Times New Roman" w:hAnsi="Times New Roman" w:cs="Times New Roman"/>
          <w:bCs/>
          <w:iCs/>
          <w:color w:val="000000"/>
          <w:sz w:val="24"/>
          <w:szCs w:val="24"/>
          <w:lang w:eastAsia="es-ES"/>
        </w:rPr>
        <w:t xml:space="preserve">10. Redacción-borrador original: </w:t>
      </w:r>
      <w:r w:rsidRPr="00BE28A5">
        <w:rPr>
          <w:rFonts w:ascii="Times New Roman" w:eastAsia="Times New Roman" w:hAnsi="Times New Roman" w:cs="Times New Roman"/>
          <w:bCs/>
          <w:i/>
          <w:color w:val="000000"/>
          <w:sz w:val="24"/>
          <w:szCs w:val="24"/>
          <w:lang w:eastAsia="es-ES"/>
        </w:rPr>
        <w:t>Ernesto Sánchez Hernández.</w:t>
      </w:r>
    </w:p>
    <w:p w14:paraId="7ABE01A9" w14:textId="77777777" w:rsidR="00427E69" w:rsidRPr="00BE28A5" w:rsidRDefault="00427E69" w:rsidP="00427E69">
      <w:pPr>
        <w:spacing w:after="0" w:line="360" w:lineRule="auto"/>
        <w:rPr>
          <w:rFonts w:ascii="Times New Roman" w:eastAsia="Times New Roman" w:hAnsi="Times New Roman" w:cs="Times New Roman"/>
          <w:bCs/>
          <w:iCs/>
          <w:color w:val="000000"/>
          <w:sz w:val="24"/>
          <w:szCs w:val="24"/>
          <w:lang w:eastAsia="es-ES"/>
        </w:rPr>
      </w:pPr>
      <w:r w:rsidRPr="00BE28A5">
        <w:rPr>
          <w:rFonts w:ascii="Times New Roman" w:eastAsia="Times New Roman" w:hAnsi="Times New Roman" w:cs="Times New Roman"/>
          <w:bCs/>
          <w:iCs/>
          <w:color w:val="000000"/>
          <w:sz w:val="24"/>
          <w:szCs w:val="24"/>
          <w:lang w:eastAsia="es-ES"/>
        </w:rPr>
        <w:t xml:space="preserve">11. Redacción-revisión y edición: </w:t>
      </w:r>
      <w:r w:rsidRPr="00BE28A5">
        <w:rPr>
          <w:rFonts w:ascii="Times New Roman" w:eastAsia="Times New Roman" w:hAnsi="Times New Roman" w:cs="Times New Roman"/>
          <w:bCs/>
          <w:i/>
          <w:color w:val="000000"/>
          <w:sz w:val="24"/>
          <w:szCs w:val="24"/>
          <w:lang w:eastAsia="es-ES"/>
        </w:rPr>
        <w:t>Ernesto Sánchez Hernández.</w:t>
      </w:r>
    </w:p>
    <w:p w14:paraId="6652B457" w14:textId="77777777" w:rsidR="00675476" w:rsidRPr="00391509" w:rsidRDefault="00675476" w:rsidP="00391509"/>
    <w:sectPr w:rsidR="00675476" w:rsidRPr="00391509" w:rsidSect="00B45192">
      <w:headerReference w:type="default" r:id="rId35"/>
      <w:footerReference w:type="even" r:id="rId36"/>
      <w:footerReference w:type="default" r:id="rId37"/>
      <w:pgSz w:w="12242" w:h="15842" w:code="1"/>
      <w:pgMar w:top="1134" w:right="1418" w:bottom="1134" w:left="1418"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ED981" w14:textId="77777777" w:rsidR="00683DB2" w:rsidRDefault="00683DB2">
      <w:r>
        <w:separator/>
      </w:r>
    </w:p>
  </w:endnote>
  <w:endnote w:type="continuationSeparator" w:id="0">
    <w:p w14:paraId="37BD18F4" w14:textId="77777777" w:rsidR="00683DB2" w:rsidRDefault="0068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8E2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5EAEE2"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7C53"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752" behindDoc="0" locked="0" layoutInCell="1" allowOverlap="1" wp14:anchorId="7F7C435E" wp14:editId="443A97E7">
              <wp:simplePos x="0" y="0"/>
              <wp:positionH relativeFrom="column">
                <wp:posOffset>-138429</wp:posOffset>
              </wp:positionH>
              <wp:positionV relativeFrom="paragraph">
                <wp:posOffset>27305</wp:posOffset>
              </wp:positionV>
              <wp:extent cx="622935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26488"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pt,2.15pt" to="479.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" strokecolor="blue" strokeweight="2.25pt"/>
          </w:pict>
        </mc:Fallback>
      </mc:AlternateContent>
    </w:r>
  </w:p>
  <w:p w14:paraId="49365A0A" w14:textId="77777777" w:rsidR="00675476" w:rsidRPr="00427E69" w:rsidRDefault="00683DB2" w:rsidP="00427E69">
    <w:pPr>
      <w:pStyle w:val="Piedepgina"/>
      <w:spacing w:after="0"/>
      <w:ind w:right="357"/>
      <w:rPr>
        <w:rFonts w:ascii="Times New Roman" w:hAnsi="Times New Roman" w:cs="Times New Roman"/>
      </w:rPr>
    </w:pPr>
    <w:hyperlink r:id="rId1" w:history="1">
      <w:r w:rsidR="00391509" w:rsidRPr="00427E69">
        <w:rPr>
          <w:rStyle w:val="Hipervnculo"/>
          <w:rFonts w:ascii="Times New Roman" w:hAnsi="Times New Roman" w:cs="Times New Roman"/>
        </w:rPr>
        <w:t>http://scielo.sld.cu</w:t>
      </w:r>
    </w:hyperlink>
  </w:p>
  <w:p w14:paraId="4528FBF6" w14:textId="77777777" w:rsidR="00391509" w:rsidRPr="00427E69" w:rsidRDefault="00683DB2" w:rsidP="00427E69">
    <w:pPr>
      <w:pStyle w:val="Piedepgina"/>
      <w:tabs>
        <w:tab w:val="clear" w:pos="4252"/>
        <w:tab w:val="left" w:pos="8504"/>
      </w:tabs>
      <w:spacing w:after="0"/>
      <w:ind w:right="357"/>
      <w:rPr>
        <w:rFonts w:ascii="Times New Roman" w:hAnsi="Times New Roman" w:cs="Times New Roman"/>
      </w:rPr>
    </w:pPr>
    <w:hyperlink r:id="rId2" w:history="1">
      <w:r w:rsidR="00391509" w:rsidRPr="00427E69">
        <w:rPr>
          <w:rStyle w:val="Hipervnculo"/>
          <w:rFonts w:ascii="Times New Roman" w:hAnsi="Times New Roman" w:cs="Times New Roman"/>
        </w:rPr>
        <w:t>http://www.revmedmilitar.sld.cu</w:t>
      </w:r>
    </w:hyperlink>
    <w:r w:rsidR="00391509" w:rsidRPr="00427E69">
      <w:rPr>
        <w:rFonts w:ascii="Times New Roman" w:hAnsi="Times New Roman" w:cs="Times New Roman"/>
      </w:rPr>
      <w:t xml:space="preserve"> </w:t>
    </w:r>
    <w:r w:rsidR="00AE044C" w:rsidRPr="00427E69">
      <w:rPr>
        <w:rFonts w:ascii="Times New Roman" w:hAnsi="Times New Roman" w:cs="Times New Roman"/>
      </w:rPr>
      <w:tab/>
    </w:r>
  </w:p>
  <w:p w14:paraId="5056ED66" w14:textId="77777777" w:rsidR="00180CE9" w:rsidRPr="00427E69" w:rsidRDefault="00180CE9" w:rsidP="00427E69">
    <w:pPr>
      <w:pStyle w:val="Piedepgina"/>
      <w:spacing w:after="0"/>
      <w:ind w:right="357"/>
      <w:jc w:val="center"/>
      <w:rPr>
        <w:rFonts w:ascii="Times New Roman" w:hAnsi="Times New Roman" w:cs="Times New Roman"/>
        <w:sz w:val="18"/>
        <w:szCs w:val="18"/>
      </w:rPr>
    </w:pPr>
    <w:r w:rsidRPr="00427E69">
      <w:rPr>
        <w:rFonts w:ascii="Times New Roman" w:hAnsi="Times New Roman" w:cs="Times New Roman"/>
      </w:rPr>
      <w:t xml:space="preserve">Bajo licencia </w:t>
    </w:r>
    <w:proofErr w:type="spellStart"/>
    <w:r w:rsidRPr="00427E69">
      <w:rPr>
        <w:rFonts w:ascii="Times New Roman" w:hAnsi="Times New Roman" w:cs="Times New Roman"/>
      </w:rPr>
      <w:t>Creative</w:t>
    </w:r>
    <w:proofErr w:type="spellEnd"/>
    <w:r w:rsidRPr="00427E69">
      <w:rPr>
        <w:rFonts w:ascii="Times New Roman" w:hAnsi="Times New Roman" w:cs="Times New Roman"/>
      </w:rPr>
      <w:t xml:space="preserve"> </w:t>
    </w:r>
    <w:proofErr w:type="spellStart"/>
    <w:r w:rsidRPr="00427E69">
      <w:rPr>
        <w:rFonts w:ascii="Times New Roman" w:hAnsi="Times New Roman" w:cs="Times New Roman"/>
      </w:rPr>
      <w:t>Commons</w:t>
    </w:r>
    <w:proofErr w:type="spellEnd"/>
    <w:r w:rsidRPr="00427E69">
      <w:rPr>
        <w:rFonts w:ascii="Times New Roman" w:hAnsi="Times New Roman" w:cs="Times New Roman"/>
        <w:sz w:val="18"/>
        <w:szCs w:val="18"/>
      </w:rPr>
      <w:t xml:space="preserve"> </w:t>
    </w:r>
    <w:r w:rsidRPr="00427E69">
      <w:rPr>
        <w:rFonts w:ascii="Times New Roman" w:hAnsi="Times New Roman" w:cs="Times New Roman"/>
        <w:noProof/>
        <w:sz w:val="18"/>
        <w:szCs w:val="18"/>
        <w:lang w:eastAsia="es-ES"/>
      </w:rPr>
      <w:drawing>
        <wp:inline distT="0" distB="0" distL="0" distR="0" wp14:anchorId="4CAFE245" wp14:editId="1288460A">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CCB3" w14:textId="77777777" w:rsidR="00683DB2" w:rsidRDefault="00683DB2">
      <w:r>
        <w:separator/>
      </w:r>
    </w:p>
  </w:footnote>
  <w:footnote w:type="continuationSeparator" w:id="0">
    <w:p w14:paraId="182E7BF0" w14:textId="77777777" w:rsidR="00683DB2" w:rsidRDefault="00683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936C" w14:textId="71BDABF5" w:rsidR="00CC376A" w:rsidRPr="00427E69" w:rsidRDefault="0036632C" w:rsidP="00427E69">
    <w:pPr>
      <w:pStyle w:val="Encabezado"/>
      <w:tabs>
        <w:tab w:val="left" w:pos="420"/>
      </w:tabs>
      <w:spacing w:after="0"/>
      <w:jc w:val="center"/>
      <w:rPr>
        <w:rFonts w:ascii="Times New Roman" w:hAnsi="Times New Roman" w:cs="Times New Roman"/>
      </w:rPr>
    </w:pPr>
    <w:r w:rsidRPr="00CC376A">
      <w:rPr>
        <w:rFonts w:ascii="Verdana" w:hAnsi="Verdana"/>
        <w:noProof/>
        <w:color w:val="00FFFF"/>
        <w:sz w:val="18"/>
        <w:szCs w:val="18"/>
        <w:lang w:eastAsia="es-ES"/>
      </w:rPr>
      <mc:AlternateContent>
        <mc:Choice Requires="wps">
          <w:drawing>
            <wp:anchor distT="0" distB="0" distL="114300" distR="114300" simplePos="0" relativeHeight="251655680" behindDoc="0" locked="0" layoutInCell="1" allowOverlap="1" wp14:anchorId="223D1717" wp14:editId="5C788AD8">
              <wp:simplePos x="0" y="0"/>
              <wp:positionH relativeFrom="column">
                <wp:posOffset>-100330</wp:posOffset>
              </wp:positionH>
              <wp:positionV relativeFrom="paragraph">
                <wp:posOffset>202565</wp:posOffset>
              </wp:positionV>
              <wp:extent cx="6191250" cy="38100"/>
              <wp:effectExtent l="19050" t="19050" r="19050"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3810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7C1DE"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5.95pt" to="479.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" strokecolor="blue" strokeweight="2.25pt"/>
          </w:pict>
        </mc:Fallback>
      </mc:AlternateContent>
    </w:r>
    <w:r w:rsidR="00B31971" w:rsidRPr="00427E69">
      <w:rPr>
        <w:rFonts w:ascii="Times New Roman" w:hAnsi="Times New Roman" w:cs="Times New Roman"/>
        <w:b/>
        <w:noProof/>
        <w:color w:val="00FFFF"/>
        <w:lang w:eastAsia="es-ES"/>
      </w:rPr>
      <w:drawing>
        <wp:anchor distT="0" distB="0" distL="114300" distR="114300" simplePos="0" relativeHeight="251661824" behindDoc="0" locked="0" layoutInCell="1" allowOverlap="1" wp14:anchorId="4206361A" wp14:editId="03565665">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427E69">
      <w:rPr>
        <w:rFonts w:ascii="Times New Roman" w:hAnsi="Times New Roman" w:cs="Times New Roman"/>
      </w:rPr>
      <w:t xml:space="preserve">Revista </w:t>
    </w:r>
    <w:r w:rsidR="00380D64" w:rsidRPr="00427E69">
      <w:rPr>
        <w:rFonts w:ascii="Times New Roman" w:hAnsi="Times New Roman" w:cs="Times New Roman"/>
      </w:rPr>
      <w:t>Cubana de Medicina Militar.</w:t>
    </w:r>
    <w:r w:rsidR="00D85951" w:rsidRPr="00427E69">
      <w:rPr>
        <w:rFonts w:ascii="Times New Roman" w:hAnsi="Times New Roman" w:cs="Times New Roman"/>
      </w:rPr>
      <w:t xml:space="preserve"> </w:t>
    </w:r>
    <w:r w:rsidR="00AE3232">
      <w:rPr>
        <w:rFonts w:ascii="Times New Roman" w:hAnsi="Times New Roman" w:cs="Times New Roman"/>
      </w:rPr>
      <w:t>2021</w:t>
    </w:r>
    <w:r w:rsidR="003E03D5" w:rsidRPr="00427E69">
      <w:rPr>
        <w:rFonts w:ascii="Times New Roman" w:hAnsi="Times New Roman" w:cs="Times New Roman"/>
      </w:rPr>
      <w:t>;</w:t>
    </w:r>
    <w:r w:rsidR="00AE3232">
      <w:rPr>
        <w:rFonts w:ascii="Times New Roman" w:hAnsi="Times New Roman" w:cs="Times New Roman"/>
      </w:rPr>
      <w:t xml:space="preserve"> 50</w:t>
    </w:r>
    <w:r w:rsidR="00493701" w:rsidRPr="00427E69">
      <w:rPr>
        <w:rFonts w:ascii="Times New Roman" w:hAnsi="Times New Roman" w:cs="Times New Roman"/>
      </w:rPr>
      <w:t>(</w:t>
    </w:r>
    <w:r w:rsidR="00AE3232">
      <w:rPr>
        <w:rFonts w:ascii="Times New Roman" w:hAnsi="Times New Roman" w:cs="Times New Roman"/>
      </w:rPr>
      <w:t>4</w:t>
    </w:r>
    <w:r w:rsidR="00493701" w:rsidRPr="00427E69">
      <w:rPr>
        <w:rFonts w:ascii="Times New Roman" w:hAnsi="Times New Roman" w:cs="Times New Roman"/>
      </w:rPr>
      <w:t>)</w:t>
    </w:r>
    <w:r w:rsidR="00391509" w:rsidRPr="00427E69">
      <w:rPr>
        <w:rFonts w:ascii="Times New Roman" w:hAnsi="Times New Roman" w:cs="Times New Roman"/>
      </w:rPr>
      <w:t>:</w:t>
    </w:r>
    <w:r w:rsidR="00AE3232">
      <w:rPr>
        <w:rFonts w:ascii="Times New Roman" w:hAnsi="Times New Roman" w:cs="Times New Roman"/>
      </w:rPr>
      <w:t xml:space="preserve"> e02101099</w:t>
    </w:r>
  </w:p>
  <w:p w14:paraId="46986848" w14:textId="0B1CFA5E" w:rsidR="00A477DE" w:rsidRDefault="00A477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738D"/>
    <w:multiLevelType w:val="hybridMultilevel"/>
    <w:tmpl w:val="714E26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1E3477D"/>
    <w:multiLevelType w:val="hybridMultilevel"/>
    <w:tmpl w:val="8D6842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0109A9"/>
    <w:multiLevelType w:val="hybridMultilevel"/>
    <w:tmpl w:val="9D7295CC"/>
    <w:lvl w:ilvl="0" w:tplc="0C0A000F">
      <w:start w:val="1"/>
      <w:numFmt w:val="decimal"/>
      <w:lvlText w:val="%1."/>
      <w:lvlJc w:val="lef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54337AC5"/>
    <w:multiLevelType w:val="hybridMultilevel"/>
    <w:tmpl w:val="74543726"/>
    <w:lvl w:ilvl="0" w:tplc="2B68B376">
      <w:start w:val="1"/>
      <w:numFmt w:val="decimal"/>
      <w:lvlText w:val="%1."/>
      <w:lvlJc w:val="left"/>
      <w:pPr>
        <w:ind w:left="360" w:hanging="360"/>
      </w:pPr>
      <w:rPr>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B3D625E"/>
    <w:multiLevelType w:val="hybridMultilevel"/>
    <w:tmpl w:val="9408A026"/>
    <w:lvl w:ilvl="0" w:tplc="5C0A0001">
      <w:start w:val="1"/>
      <w:numFmt w:val="bullet"/>
      <w:lvlText w:val=""/>
      <w:lvlJc w:val="left"/>
      <w:pPr>
        <w:ind w:left="578" w:hanging="360"/>
      </w:pPr>
      <w:rPr>
        <w:rFonts w:ascii="Symbol" w:hAnsi="Symbol" w:hint="default"/>
      </w:rPr>
    </w:lvl>
    <w:lvl w:ilvl="1" w:tplc="5C0A0003">
      <w:start w:val="1"/>
      <w:numFmt w:val="bullet"/>
      <w:lvlText w:val="o"/>
      <w:lvlJc w:val="left"/>
      <w:pPr>
        <w:ind w:left="1298" w:hanging="360"/>
      </w:pPr>
      <w:rPr>
        <w:rFonts w:ascii="Courier New" w:hAnsi="Courier New" w:cs="Courier New" w:hint="default"/>
      </w:rPr>
    </w:lvl>
    <w:lvl w:ilvl="2" w:tplc="5C0A0005" w:tentative="1">
      <w:start w:val="1"/>
      <w:numFmt w:val="bullet"/>
      <w:lvlText w:val=""/>
      <w:lvlJc w:val="left"/>
      <w:pPr>
        <w:ind w:left="2018" w:hanging="360"/>
      </w:pPr>
      <w:rPr>
        <w:rFonts w:ascii="Wingdings" w:hAnsi="Wingdings" w:hint="default"/>
      </w:rPr>
    </w:lvl>
    <w:lvl w:ilvl="3" w:tplc="5C0A0001" w:tentative="1">
      <w:start w:val="1"/>
      <w:numFmt w:val="bullet"/>
      <w:lvlText w:val=""/>
      <w:lvlJc w:val="left"/>
      <w:pPr>
        <w:ind w:left="2738" w:hanging="360"/>
      </w:pPr>
      <w:rPr>
        <w:rFonts w:ascii="Symbol" w:hAnsi="Symbol" w:hint="default"/>
      </w:rPr>
    </w:lvl>
    <w:lvl w:ilvl="4" w:tplc="5C0A0003" w:tentative="1">
      <w:start w:val="1"/>
      <w:numFmt w:val="bullet"/>
      <w:lvlText w:val="o"/>
      <w:lvlJc w:val="left"/>
      <w:pPr>
        <w:ind w:left="3458" w:hanging="360"/>
      </w:pPr>
      <w:rPr>
        <w:rFonts w:ascii="Courier New" w:hAnsi="Courier New" w:cs="Courier New" w:hint="default"/>
      </w:rPr>
    </w:lvl>
    <w:lvl w:ilvl="5" w:tplc="5C0A0005" w:tentative="1">
      <w:start w:val="1"/>
      <w:numFmt w:val="bullet"/>
      <w:lvlText w:val=""/>
      <w:lvlJc w:val="left"/>
      <w:pPr>
        <w:ind w:left="4178" w:hanging="360"/>
      </w:pPr>
      <w:rPr>
        <w:rFonts w:ascii="Wingdings" w:hAnsi="Wingdings" w:hint="default"/>
      </w:rPr>
    </w:lvl>
    <w:lvl w:ilvl="6" w:tplc="5C0A0001" w:tentative="1">
      <w:start w:val="1"/>
      <w:numFmt w:val="bullet"/>
      <w:lvlText w:val=""/>
      <w:lvlJc w:val="left"/>
      <w:pPr>
        <w:ind w:left="4898" w:hanging="360"/>
      </w:pPr>
      <w:rPr>
        <w:rFonts w:ascii="Symbol" w:hAnsi="Symbol" w:hint="default"/>
      </w:rPr>
    </w:lvl>
    <w:lvl w:ilvl="7" w:tplc="5C0A0003" w:tentative="1">
      <w:start w:val="1"/>
      <w:numFmt w:val="bullet"/>
      <w:lvlText w:val="o"/>
      <w:lvlJc w:val="left"/>
      <w:pPr>
        <w:ind w:left="5618" w:hanging="360"/>
      </w:pPr>
      <w:rPr>
        <w:rFonts w:ascii="Courier New" w:hAnsi="Courier New" w:cs="Courier New" w:hint="default"/>
      </w:rPr>
    </w:lvl>
    <w:lvl w:ilvl="8" w:tplc="5C0A0005" w:tentative="1">
      <w:start w:val="1"/>
      <w:numFmt w:val="bullet"/>
      <w:lvlText w:val=""/>
      <w:lvlJc w:val="left"/>
      <w:pPr>
        <w:ind w:left="6338" w:hanging="360"/>
      </w:pPr>
      <w:rPr>
        <w:rFonts w:ascii="Wingdings" w:hAnsi="Wingdings" w:hint="default"/>
      </w:rPr>
    </w:lvl>
  </w:abstractNum>
  <w:abstractNum w:abstractNumId="5" w15:restartNumberingAfterBreak="0">
    <w:nsid w:val="7B624490"/>
    <w:multiLevelType w:val="hybridMultilevel"/>
    <w:tmpl w:val="DD26A784"/>
    <w:lvl w:ilvl="0" w:tplc="CFBE2716">
      <w:start w:val="1"/>
      <w:numFmt w:val="decimal"/>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69"/>
    <w:rsid w:val="000F3690"/>
    <w:rsid w:val="001221D1"/>
    <w:rsid w:val="00180CE9"/>
    <w:rsid w:val="00230DD5"/>
    <w:rsid w:val="00237197"/>
    <w:rsid w:val="00243241"/>
    <w:rsid w:val="0036632C"/>
    <w:rsid w:val="00380D64"/>
    <w:rsid w:val="00385982"/>
    <w:rsid w:val="00391509"/>
    <w:rsid w:val="003E03D5"/>
    <w:rsid w:val="004041FA"/>
    <w:rsid w:val="00427E69"/>
    <w:rsid w:val="00493701"/>
    <w:rsid w:val="004E2065"/>
    <w:rsid w:val="005508A2"/>
    <w:rsid w:val="00566F71"/>
    <w:rsid w:val="00675476"/>
    <w:rsid w:val="00683DB2"/>
    <w:rsid w:val="007C430F"/>
    <w:rsid w:val="007D614D"/>
    <w:rsid w:val="00814780"/>
    <w:rsid w:val="008252E6"/>
    <w:rsid w:val="008B31AA"/>
    <w:rsid w:val="00923E16"/>
    <w:rsid w:val="00960D6A"/>
    <w:rsid w:val="00975A29"/>
    <w:rsid w:val="009A0560"/>
    <w:rsid w:val="009B0917"/>
    <w:rsid w:val="00A23C0C"/>
    <w:rsid w:val="00A477DE"/>
    <w:rsid w:val="00A71E65"/>
    <w:rsid w:val="00AE044C"/>
    <w:rsid w:val="00AE3232"/>
    <w:rsid w:val="00B31971"/>
    <w:rsid w:val="00B4380A"/>
    <w:rsid w:val="00B45192"/>
    <w:rsid w:val="00B66ECB"/>
    <w:rsid w:val="00B94827"/>
    <w:rsid w:val="00C7523A"/>
    <w:rsid w:val="00CB27A9"/>
    <w:rsid w:val="00CC1B6E"/>
    <w:rsid w:val="00CC376A"/>
    <w:rsid w:val="00CC48A1"/>
    <w:rsid w:val="00D85951"/>
    <w:rsid w:val="00DD63E3"/>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37A4A08F"/>
  <w15:docId w15:val="{5EFE6821-1F14-48E0-880D-CA7DB557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E69"/>
    <w:pPr>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paragraph" w:styleId="HTMLconformatoprevio">
    <w:name w:val="HTML Preformatted"/>
    <w:basedOn w:val="Normal"/>
    <w:link w:val="HTMLconformatoprevioCar"/>
    <w:uiPriority w:val="99"/>
    <w:unhideWhenUsed/>
    <w:rsid w:val="00427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427E69"/>
    <w:rPr>
      <w:rFonts w:ascii="Courier New" w:hAnsi="Courier New" w:cs="Courier New"/>
    </w:rPr>
  </w:style>
  <w:style w:type="table" w:styleId="Tablaconcuadrcula">
    <w:name w:val="Table Grid"/>
    <w:basedOn w:val="Tablanormal"/>
    <w:uiPriority w:val="59"/>
    <w:rsid w:val="0042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7E69"/>
    <w:pPr>
      <w:ind w:left="720"/>
      <w:contextualSpacing/>
    </w:pPr>
  </w:style>
  <w:style w:type="character" w:styleId="nfasis">
    <w:name w:val="Emphasis"/>
    <w:basedOn w:val="Fuentedeprrafopredeter"/>
    <w:uiPriority w:val="20"/>
    <w:qFormat/>
    <w:rsid w:val="00427E69"/>
    <w:rPr>
      <w:i/>
      <w:iCs/>
    </w:rPr>
  </w:style>
  <w:style w:type="character" w:customStyle="1" w:styleId="text">
    <w:name w:val="text"/>
    <w:basedOn w:val="Fuentedeprrafopredeter"/>
    <w:rsid w:val="00427E69"/>
  </w:style>
  <w:style w:type="character" w:customStyle="1" w:styleId="title-text">
    <w:name w:val="title-text"/>
    <w:basedOn w:val="Fuentedeprrafopredeter"/>
    <w:rsid w:val="00427E69"/>
  </w:style>
  <w:style w:type="character" w:customStyle="1" w:styleId="name">
    <w:name w:val="name"/>
    <w:basedOn w:val="Fuentedeprrafopredeter"/>
    <w:rsid w:val="00427E69"/>
  </w:style>
  <w:style w:type="character" w:styleId="Textoennegrita">
    <w:name w:val="Strong"/>
    <w:basedOn w:val="Fuentedeprrafopredeter"/>
    <w:uiPriority w:val="22"/>
    <w:qFormat/>
    <w:rsid w:val="00427E69"/>
    <w:rPr>
      <w:b/>
      <w:bCs/>
    </w:rPr>
  </w:style>
  <w:style w:type="character" w:styleId="Refdecomentario">
    <w:name w:val="annotation reference"/>
    <w:basedOn w:val="Fuentedeprrafopredeter"/>
    <w:uiPriority w:val="99"/>
    <w:semiHidden/>
    <w:unhideWhenUsed/>
    <w:rsid w:val="00427E69"/>
    <w:rPr>
      <w:sz w:val="16"/>
      <w:szCs w:val="16"/>
    </w:rPr>
  </w:style>
  <w:style w:type="paragraph" w:styleId="Textocomentario">
    <w:name w:val="annotation text"/>
    <w:basedOn w:val="Normal"/>
    <w:link w:val="TextocomentarioCar"/>
    <w:uiPriority w:val="99"/>
    <w:semiHidden/>
    <w:unhideWhenUsed/>
    <w:rsid w:val="00427E6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7E69"/>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427E69"/>
    <w:rPr>
      <w:b/>
      <w:bCs/>
    </w:rPr>
  </w:style>
  <w:style w:type="character" w:customStyle="1" w:styleId="AsuntodelcomentarioCar">
    <w:name w:val="Asunto del comentario Car"/>
    <w:basedOn w:val="TextocomentarioCar"/>
    <w:link w:val="Asuntodelcomentario"/>
    <w:uiPriority w:val="99"/>
    <w:semiHidden/>
    <w:rsid w:val="00427E69"/>
    <w:rPr>
      <w:rFonts w:asciiTheme="minorHAnsi" w:eastAsiaTheme="minorHAnsi" w:hAnsiTheme="minorHAnsi" w:cstheme="minorBidi"/>
      <w:b/>
      <w:bCs/>
      <w:lang w:eastAsia="en-US"/>
    </w:rPr>
  </w:style>
  <w:style w:type="character" w:customStyle="1" w:styleId="markedcontent">
    <w:name w:val="markedcontent"/>
    <w:basedOn w:val="Fuentedeprrafopredeter"/>
    <w:rsid w:val="00427E69"/>
  </w:style>
  <w:style w:type="character" w:customStyle="1" w:styleId="jlqj4b">
    <w:name w:val="jlqj4b"/>
    <w:basedOn w:val="Fuentedeprrafopredeter"/>
    <w:rsid w:val="00427E69"/>
  </w:style>
  <w:style w:type="character" w:customStyle="1" w:styleId="Mencinsinresolver1">
    <w:name w:val="Mención sin resolver1"/>
    <w:basedOn w:val="Fuentedeprrafopredeter"/>
    <w:uiPriority w:val="99"/>
    <w:semiHidden/>
    <w:unhideWhenUsed/>
    <w:rsid w:val="00427E69"/>
    <w:rPr>
      <w:color w:val="605E5C"/>
      <w:shd w:val="clear" w:color="auto" w:fill="E1DFDD"/>
    </w:rPr>
  </w:style>
  <w:style w:type="character" w:customStyle="1" w:styleId="y2iqfc">
    <w:name w:val="y2iqfc"/>
    <w:basedOn w:val="Fuentedeprrafopredeter"/>
    <w:rsid w:val="00427E69"/>
  </w:style>
  <w:style w:type="character" w:customStyle="1" w:styleId="Mencinsinresolver2">
    <w:name w:val="Mención sin resolver2"/>
    <w:basedOn w:val="Fuentedeprrafopredeter"/>
    <w:uiPriority w:val="99"/>
    <w:semiHidden/>
    <w:unhideWhenUsed/>
    <w:rsid w:val="00427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605-4795" TargetMode="External"/><Relationship Id="rId13" Type="http://schemas.openxmlformats.org/officeDocument/2006/relationships/image" Target="media/image4.gif"/><Relationship Id="rId18" Type="http://schemas.openxmlformats.org/officeDocument/2006/relationships/hyperlink" Target="https://repository.uaeh.edu.mx/revistas/index.php/tepexi/article/view/5679" TargetMode="External"/><Relationship Id="rId26" Type="http://schemas.openxmlformats.org/officeDocument/2006/relationships/hyperlink" Target="http://scielo.sld.cu/scielo.php?script=sci_arttext&amp;pid=S1729-519X2020000400014"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ielo.sld.cu/scielo.php?script=sci_arttext&amp;pid=S0864-34662004000100004&amp;lng=es&amp;nrm=iso&amp;tlng=es" TargetMode="External"/><Relationship Id="rId34" Type="http://schemas.openxmlformats.org/officeDocument/2006/relationships/hyperlink" Target="http://bibliotecadigital.udea.edu.co/bitstream/10495/16496/1/TobonTobonYesika_2019AproximacionUsosInformacion.pdf" TargetMode="External"/><Relationship Id="rId7" Type="http://schemas.openxmlformats.org/officeDocument/2006/relationships/hyperlink" Target="https://orcid.org/0000-0001-6898-9685" TargetMode="External"/><Relationship Id="rId12" Type="http://schemas.openxmlformats.org/officeDocument/2006/relationships/image" Target="media/image3.gif"/><Relationship Id="rId17" Type="http://schemas.openxmlformats.org/officeDocument/2006/relationships/hyperlink" Target="http://revista.deiferreyra.com/index.php/RHEF/article/view/17/59" TargetMode="External"/><Relationship Id="rId25" Type="http://schemas.openxmlformats.org/officeDocument/2006/relationships/hyperlink" Target="http://repositori.uji.es/xmlui/bitstream/handle/10234/188048/69774.pdf?sequence=1&amp;isAllowed=y" TargetMode="External"/><Relationship Id="rId33" Type="http://schemas.openxmlformats.org/officeDocument/2006/relationships/hyperlink" Target="http://revistaeconomia.unam.mx/index.php/ecu/article/view/55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epositorio.upch.edu.pe/bitstream/handle/20.500.12866/8192/Prevalencia_TorresGarcia_Lorena.pdf?sequence=1&amp;isAllowed=y" TargetMode="External"/><Relationship Id="rId20" Type="http://schemas.openxmlformats.org/officeDocument/2006/relationships/hyperlink" Target="https://www.undp.org/content/dam/undp/library/covid19/266%20IMPACTOS%20DE%20LA%20COVID-19%20EN%20CUBA-24%20JUNIO-2020.pdf" TargetMode="External"/><Relationship Id="rId29" Type="http://schemas.openxmlformats.org/officeDocument/2006/relationships/hyperlink" Target="http://www.scielo.org.co/scielo.php?script=sci_arttext&amp;pid=S2216-097320200002007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www.revistaccuba.sld.cu/index.php/revacc/article/view/409" TargetMode="External"/><Relationship Id="rId32" Type="http://schemas.openxmlformats.org/officeDocument/2006/relationships/hyperlink" Target="http://revista.unibe.edu.py/index.php/rcei/article/view/83"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esquisa.bvsalud.org/portal/resource/es/mdl-32469855" TargetMode="External"/><Relationship Id="rId23" Type="http://schemas.openxmlformats.org/officeDocument/2006/relationships/hyperlink" Target="https://www.redalyc.org/pdf/283/28333201.pdf" TargetMode="External"/><Relationship Id="rId28" Type="http://schemas.openxmlformats.org/officeDocument/2006/relationships/hyperlink" Target="https://revistas.unitru.edu.pe/index.php/RMT/article/view/3067" TargetMode="External"/><Relationship Id="rId36"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hyperlink" Target="http://www.revistaccuba.sld.cu/index.php/revacc/article/view/881" TargetMode="External"/><Relationship Id="rId31" Type="http://schemas.openxmlformats.org/officeDocument/2006/relationships/hyperlink" Target="https://www.ncbi.nlm.nih.gov/pmc/articles/PMC7303662/pdf/main.pdf" TargetMode="External"/><Relationship Id="rId4" Type="http://schemas.openxmlformats.org/officeDocument/2006/relationships/webSettings" Target="webSettings.xml"/><Relationship Id="rId9" Type="http://schemas.openxmlformats.org/officeDocument/2006/relationships/hyperlink" Target="mailto:ernesto.sanchez@infomed.sld.cu" TargetMode="External"/><Relationship Id="rId14" Type="http://schemas.openxmlformats.org/officeDocument/2006/relationships/image" Target="media/image5.jpg"/><Relationship Id="rId22" Type="http://schemas.openxmlformats.org/officeDocument/2006/relationships/hyperlink" Target="https://files.sld.cu/dne/2019/09/24/manual-movimiento-hospitalario/" TargetMode="External"/><Relationship Id="rId27" Type="http://schemas.openxmlformats.org/officeDocument/2006/relationships/hyperlink" Target="https://www.intercostos.org/documentos/congreso-07/Trabajo243-A.pdf" TargetMode="External"/><Relationship Id="rId30" Type="http://schemas.openxmlformats.org/officeDocument/2006/relationships/hyperlink" Target="https://www.ncbi.nlm.nih.gov/pmc/articles/PMC7298463/pdf/main.pdf" TargetMode="External"/><Relationship Id="rId35"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89</TotalTime>
  <Pages>13</Pages>
  <Words>3812</Words>
  <Characters>20968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24731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16</cp:revision>
  <cp:lastPrinted>2010-09-13T21:29:00Z</cp:lastPrinted>
  <dcterms:created xsi:type="dcterms:W3CDTF">2021-10-28T18:21:00Z</dcterms:created>
  <dcterms:modified xsi:type="dcterms:W3CDTF">2021-10-29T00:32:00Z</dcterms:modified>
</cp:coreProperties>
</file>