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131D2B" w14:textId="77777777" w:rsidR="00C67C06" w:rsidRPr="00C67C06" w:rsidRDefault="00C67C06" w:rsidP="00C67C06">
      <w:pPr>
        <w:tabs>
          <w:tab w:val="left" w:pos="1418"/>
        </w:tabs>
        <w:spacing w:line="360" w:lineRule="auto"/>
        <w:jc w:val="right"/>
        <w:rPr>
          <w:rFonts w:eastAsia="Calibri"/>
          <w:sz w:val="20"/>
          <w:szCs w:val="20"/>
          <w:lang w:val="es-ES" w:eastAsia="en-US"/>
        </w:rPr>
      </w:pPr>
      <w:r w:rsidRPr="00C67C06">
        <w:rPr>
          <w:rFonts w:eastAsia="Calibri"/>
          <w:sz w:val="20"/>
          <w:szCs w:val="20"/>
          <w:lang w:val="es-ES" w:eastAsia="en-US"/>
        </w:rPr>
        <w:t>Carta al Editor</w:t>
      </w:r>
    </w:p>
    <w:p w14:paraId="5D52CBD8" w14:textId="77777777" w:rsidR="00C67C06" w:rsidRPr="00C67C06" w:rsidRDefault="00C67C06" w:rsidP="00C67C06">
      <w:pPr>
        <w:tabs>
          <w:tab w:val="left" w:pos="1418"/>
        </w:tabs>
        <w:spacing w:line="360" w:lineRule="auto"/>
        <w:jc w:val="right"/>
        <w:rPr>
          <w:rFonts w:eastAsia="Calibri"/>
          <w:lang w:val="es-ES" w:eastAsia="en-US"/>
        </w:rPr>
      </w:pPr>
    </w:p>
    <w:p w14:paraId="4C62F369" w14:textId="77777777" w:rsidR="00C67C06" w:rsidRPr="00C67C06" w:rsidRDefault="00C67C06" w:rsidP="00C67C06">
      <w:pPr>
        <w:tabs>
          <w:tab w:val="left" w:pos="1418"/>
        </w:tabs>
        <w:spacing w:line="360" w:lineRule="auto"/>
        <w:jc w:val="center"/>
        <w:rPr>
          <w:rFonts w:eastAsia="Calibri"/>
          <w:b/>
          <w:bCs/>
          <w:sz w:val="28"/>
          <w:szCs w:val="28"/>
          <w:lang w:val="es-CU" w:eastAsia="en-US"/>
        </w:rPr>
      </w:pPr>
      <w:r w:rsidRPr="00C67C06">
        <w:rPr>
          <w:rFonts w:eastAsia="Calibri"/>
          <w:b/>
          <w:bCs/>
          <w:sz w:val="28"/>
          <w:szCs w:val="28"/>
          <w:lang w:val="es-CU" w:eastAsia="en-US"/>
        </w:rPr>
        <w:t>Daño múltiple de órganos en pacientes con la COVID-19</w:t>
      </w:r>
    </w:p>
    <w:p w14:paraId="0B20EA19" w14:textId="77777777" w:rsidR="00C67C06" w:rsidRPr="00C67C06" w:rsidRDefault="00C67C06" w:rsidP="00C67C06">
      <w:pPr>
        <w:tabs>
          <w:tab w:val="left" w:pos="1418"/>
        </w:tabs>
        <w:spacing w:line="360" w:lineRule="auto"/>
        <w:jc w:val="center"/>
        <w:rPr>
          <w:rFonts w:eastAsia="Calibri"/>
          <w:sz w:val="28"/>
          <w:szCs w:val="28"/>
          <w:lang w:val="en-US" w:eastAsia="en-US"/>
        </w:rPr>
      </w:pPr>
      <w:r w:rsidRPr="00C67C06">
        <w:rPr>
          <w:rFonts w:eastAsia="Calibri"/>
          <w:sz w:val="28"/>
          <w:szCs w:val="28"/>
          <w:lang w:val="en-US" w:eastAsia="en-US"/>
        </w:rPr>
        <w:t>Multiple organ damage in patients with COVID-19</w:t>
      </w:r>
    </w:p>
    <w:p w14:paraId="08C18A97" w14:textId="77777777" w:rsidR="00C67C06" w:rsidRPr="00C67C06" w:rsidRDefault="00C67C06" w:rsidP="00C67C06">
      <w:pPr>
        <w:tabs>
          <w:tab w:val="left" w:pos="1418"/>
        </w:tabs>
        <w:spacing w:line="360" w:lineRule="auto"/>
        <w:jc w:val="both"/>
        <w:rPr>
          <w:rFonts w:eastAsia="Calibri"/>
          <w:lang w:val="en-US" w:eastAsia="en-US"/>
        </w:rPr>
      </w:pPr>
    </w:p>
    <w:p w14:paraId="03EE7D9A" w14:textId="77777777" w:rsidR="00C67C06" w:rsidRPr="00C67C06" w:rsidRDefault="00C67C06" w:rsidP="00C67C06">
      <w:pPr>
        <w:tabs>
          <w:tab w:val="left" w:pos="1418"/>
        </w:tabs>
        <w:spacing w:line="360" w:lineRule="auto"/>
        <w:jc w:val="both"/>
        <w:rPr>
          <w:rFonts w:eastAsia="Calibri"/>
          <w:lang w:val="es-CU" w:eastAsia="en-US"/>
        </w:rPr>
      </w:pPr>
      <w:r w:rsidRPr="00C67C06">
        <w:rPr>
          <w:rFonts w:eastAsia="Calibri"/>
          <w:lang w:val="es-CU" w:eastAsia="en-US"/>
        </w:rPr>
        <w:t>José Domingo Hurtado de Mendoza Amat</w:t>
      </w:r>
      <w:r w:rsidRPr="00C67C06">
        <w:rPr>
          <w:rFonts w:eastAsia="Calibri"/>
          <w:vertAlign w:val="superscript"/>
          <w:lang w:val="es-CU" w:eastAsia="en-US"/>
        </w:rPr>
        <w:t>1</w:t>
      </w:r>
      <w:r w:rsidRPr="00C67C06">
        <w:rPr>
          <w:rFonts w:eastAsia="Calibri"/>
          <w:lang w:val="es-CU" w:eastAsia="en-US"/>
        </w:rPr>
        <w:t xml:space="preserve">* </w:t>
      </w:r>
      <w:r w:rsidR="005A016D">
        <w:fldChar w:fldCharType="begin"/>
      </w:r>
      <w:r w:rsidR="005A016D">
        <w:instrText xml:space="preserve"> HYPERLINK "https://orcid.org/0000-0002-6749-0986" </w:instrText>
      </w:r>
      <w:r w:rsidR="005A016D">
        <w:fldChar w:fldCharType="separate"/>
      </w:r>
      <w:r w:rsidRPr="00C67C06">
        <w:rPr>
          <w:rFonts w:eastAsia="Calibri"/>
          <w:color w:val="0563C1"/>
          <w:u w:val="single"/>
          <w:lang w:val="es-CU" w:eastAsia="en-US"/>
        </w:rPr>
        <w:t>https://orcid.org/0000-0002-6749-0986</w:t>
      </w:r>
      <w:r w:rsidR="005A016D">
        <w:rPr>
          <w:rFonts w:eastAsia="Calibri"/>
          <w:color w:val="0563C1"/>
          <w:u w:val="single"/>
          <w:lang w:val="es-CU" w:eastAsia="en-US"/>
        </w:rPr>
        <w:fldChar w:fldCharType="end"/>
      </w:r>
      <w:r w:rsidRPr="00C67C06">
        <w:rPr>
          <w:rFonts w:eastAsia="Calibri"/>
          <w:lang w:val="es-CU" w:eastAsia="en-US"/>
        </w:rPr>
        <w:t xml:space="preserve"> </w:t>
      </w:r>
    </w:p>
    <w:p w14:paraId="6F554001" w14:textId="77777777" w:rsidR="00C67C06" w:rsidRPr="00C67C06" w:rsidRDefault="00C67C06" w:rsidP="00C67C06">
      <w:pPr>
        <w:tabs>
          <w:tab w:val="left" w:pos="1418"/>
        </w:tabs>
        <w:spacing w:line="360" w:lineRule="auto"/>
        <w:jc w:val="both"/>
        <w:rPr>
          <w:rFonts w:eastAsia="Calibri"/>
          <w:lang w:val="es-CU" w:eastAsia="en-US"/>
        </w:rPr>
      </w:pPr>
      <w:r w:rsidRPr="00C67C06">
        <w:rPr>
          <w:rFonts w:eastAsia="Calibri"/>
          <w:lang w:val="es-CU" w:eastAsia="en-US"/>
        </w:rPr>
        <w:t>Teresita de Jesús Montero González</w:t>
      </w:r>
      <w:r w:rsidRPr="00C67C06">
        <w:rPr>
          <w:rFonts w:eastAsia="Calibri"/>
          <w:vertAlign w:val="superscript"/>
          <w:lang w:val="es-CU" w:eastAsia="en-US"/>
        </w:rPr>
        <w:t>1</w:t>
      </w:r>
      <w:r w:rsidRPr="00C67C06">
        <w:rPr>
          <w:rFonts w:eastAsia="Calibri"/>
          <w:lang w:val="es-CU" w:eastAsia="en-US"/>
        </w:rPr>
        <w:t xml:space="preserve"> </w:t>
      </w:r>
      <w:hyperlink r:id="rId7" w:history="1">
        <w:r w:rsidRPr="00C67C06">
          <w:rPr>
            <w:rFonts w:eastAsia="Calibri"/>
            <w:color w:val="0563C1"/>
            <w:u w:val="single"/>
            <w:lang w:val="es-CU" w:eastAsia="en-US"/>
          </w:rPr>
          <w:t>https://orcid.org/0000-0003-3372-6791</w:t>
        </w:r>
      </w:hyperlink>
      <w:r w:rsidRPr="00C67C06">
        <w:rPr>
          <w:rFonts w:eastAsia="Calibri"/>
          <w:lang w:val="es-CU" w:eastAsia="en-US"/>
        </w:rPr>
        <w:t xml:space="preserve"> </w:t>
      </w:r>
    </w:p>
    <w:p w14:paraId="34855602" w14:textId="77777777" w:rsidR="00C67C06" w:rsidRPr="00C67C06" w:rsidRDefault="00C67C06" w:rsidP="00C67C06">
      <w:pPr>
        <w:tabs>
          <w:tab w:val="left" w:pos="1418"/>
        </w:tabs>
        <w:spacing w:line="360" w:lineRule="auto"/>
        <w:jc w:val="both"/>
        <w:rPr>
          <w:rFonts w:eastAsia="Calibri"/>
          <w:lang w:val="es-CU" w:eastAsia="en-US"/>
        </w:rPr>
      </w:pPr>
      <w:r w:rsidRPr="00C67C06">
        <w:rPr>
          <w:rFonts w:eastAsia="Calibri"/>
          <w:lang w:val="es-CU" w:eastAsia="en-US"/>
        </w:rPr>
        <w:t>Reynaldo Álvarez Santana</w:t>
      </w:r>
      <w:r w:rsidRPr="00C67C06">
        <w:rPr>
          <w:rFonts w:eastAsia="Calibri"/>
          <w:vertAlign w:val="superscript"/>
          <w:lang w:val="es-CU" w:eastAsia="en-US"/>
        </w:rPr>
        <w:t>2</w:t>
      </w:r>
      <w:r w:rsidRPr="00C67C06">
        <w:rPr>
          <w:rFonts w:eastAsia="Calibri"/>
          <w:lang w:val="es-CU" w:eastAsia="en-US"/>
        </w:rPr>
        <w:t xml:space="preserve"> </w:t>
      </w:r>
      <w:hyperlink r:id="rId8" w:history="1">
        <w:r w:rsidRPr="00C67C06">
          <w:rPr>
            <w:rFonts w:eastAsia="Calibri"/>
            <w:color w:val="0563C1"/>
            <w:u w:val="single"/>
            <w:lang w:val="es-CU" w:eastAsia="en-US"/>
          </w:rPr>
          <w:t>https://orcid.org/0000-0002-4340-7359</w:t>
        </w:r>
      </w:hyperlink>
    </w:p>
    <w:p w14:paraId="7A415713" w14:textId="77777777" w:rsidR="00C67C06" w:rsidRPr="00C67C06" w:rsidRDefault="00C67C06" w:rsidP="00C67C06">
      <w:pPr>
        <w:tabs>
          <w:tab w:val="left" w:pos="1418"/>
        </w:tabs>
        <w:spacing w:line="360" w:lineRule="auto"/>
        <w:jc w:val="both"/>
        <w:rPr>
          <w:rFonts w:eastAsia="Calibri"/>
          <w:lang w:val="es-CU" w:eastAsia="en-US"/>
        </w:rPr>
      </w:pPr>
    </w:p>
    <w:p w14:paraId="37B677A1" w14:textId="77777777" w:rsidR="00C67C06" w:rsidRPr="00C67C06" w:rsidRDefault="00C67C06" w:rsidP="00C67C06">
      <w:pPr>
        <w:tabs>
          <w:tab w:val="left" w:pos="1418"/>
        </w:tabs>
        <w:spacing w:line="360" w:lineRule="auto"/>
        <w:jc w:val="both"/>
        <w:rPr>
          <w:rFonts w:eastAsia="Calibri"/>
          <w:lang w:val="es-CU" w:eastAsia="en-US"/>
        </w:rPr>
      </w:pPr>
      <w:r w:rsidRPr="00C67C06">
        <w:rPr>
          <w:rFonts w:eastAsia="Calibri"/>
          <w:vertAlign w:val="superscript"/>
          <w:lang w:val="es-CU" w:eastAsia="en-US"/>
        </w:rPr>
        <w:t>1</w:t>
      </w:r>
      <w:r w:rsidRPr="00C67C06">
        <w:rPr>
          <w:rFonts w:eastAsia="Calibri"/>
          <w:lang w:val="es-CU" w:eastAsia="en-US"/>
        </w:rPr>
        <w:t>Hospital Militar Central “Dr. Luis Díaz Soto”. La Habana, Cuba.</w:t>
      </w:r>
    </w:p>
    <w:p w14:paraId="6E181B8D" w14:textId="77777777" w:rsidR="00C67C06" w:rsidRPr="00C67C06" w:rsidRDefault="00C67C06" w:rsidP="00C67C06">
      <w:pPr>
        <w:tabs>
          <w:tab w:val="left" w:pos="1418"/>
        </w:tabs>
        <w:spacing w:line="360" w:lineRule="auto"/>
        <w:jc w:val="both"/>
        <w:rPr>
          <w:rFonts w:eastAsia="Calibri"/>
          <w:lang w:val="es-CU" w:eastAsia="en-US"/>
        </w:rPr>
      </w:pPr>
      <w:r w:rsidRPr="00C67C06">
        <w:rPr>
          <w:rFonts w:eastAsia="Calibri"/>
          <w:vertAlign w:val="superscript"/>
          <w:lang w:val="es-CU" w:eastAsia="en-US"/>
        </w:rPr>
        <w:t>2</w:t>
      </w:r>
      <w:r w:rsidRPr="00C67C06">
        <w:rPr>
          <w:rFonts w:eastAsia="Calibri"/>
          <w:lang w:val="es-CU" w:eastAsia="en-US"/>
        </w:rPr>
        <w:t>Hospital Hermanos Ameijeiras. La Habana, Cuba.</w:t>
      </w:r>
    </w:p>
    <w:p w14:paraId="2DE5D5AD" w14:textId="77777777" w:rsidR="00C67C06" w:rsidRPr="00C67C06" w:rsidRDefault="00C67C06" w:rsidP="00C67C06">
      <w:pPr>
        <w:tabs>
          <w:tab w:val="left" w:pos="1418"/>
        </w:tabs>
        <w:spacing w:line="360" w:lineRule="auto"/>
        <w:jc w:val="both"/>
        <w:rPr>
          <w:rFonts w:eastAsia="Calibri"/>
          <w:lang w:val="es-CU" w:eastAsia="en-US"/>
        </w:rPr>
      </w:pPr>
      <w:r w:rsidRPr="00C67C06">
        <w:rPr>
          <w:rFonts w:eastAsia="Calibri"/>
          <w:lang w:val="es-CU" w:eastAsia="en-US"/>
        </w:rPr>
        <w:t xml:space="preserve">*Autor para la correspondencia. Correo electrónico: </w:t>
      </w:r>
      <w:r w:rsidR="005A016D">
        <w:fldChar w:fldCharType="begin"/>
      </w:r>
      <w:r w:rsidR="005A016D">
        <w:instrText xml:space="preserve"> HYPERLINK "mailto:jhurtado@infomed.sld.cu" </w:instrText>
      </w:r>
      <w:r w:rsidR="005A016D">
        <w:fldChar w:fldCharType="separate"/>
      </w:r>
      <w:r w:rsidRPr="00C67C06">
        <w:rPr>
          <w:rFonts w:eastAsia="Calibri"/>
          <w:color w:val="0563C1"/>
          <w:u w:val="single"/>
          <w:lang w:val="es-CU" w:eastAsia="en-US"/>
        </w:rPr>
        <w:t>jhurtado@infomed.sld.cu</w:t>
      </w:r>
      <w:r w:rsidR="005A016D">
        <w:rPr>
          <w:rFonts w:eastAsia="Calibri"/>
          <w:color w:val="0563C1"/>
          <w:u w:val="single"/>
          <w:lang w:val="es-CU" w:eastAsia="en-US"/>
        </w:rPr>
        <w:fldChar w:fldCharType="end"/>
      </w:r>
      <w:r w:rsidRPr="00C67C06">
        <w:rPr>
          <w:rFonts w:eastAsia="Calibri"/>
          <w:lang w:val="es-CU" w:eastAsia="en-US"/>
        </w:rPr>
        <w:t xml:space="preserve"> </w:t>
      </w:r>
    </w:p>
    <w:p w14:paraId="65432596" w14:textId="77777777" w:rsidR="00C67C06" w:rsidRPr="00C67C06" w:rsidRDefault="00C67C06" w:rsidP="00C67C06">
      <w:pPr>
        <w:tabs>
          <w:tab w:val="left" w:pos="1418"/>
        </w:tabs>
        <w:spacing w:line="360" w:lineRule="auto"/>
        <w:jc w:val="both"/>
        <w:rPr>
          <w:rFonts w:eastAsia="Calibri"/>
          <w:lang w:val="es-CU" w:eastAsia="en-US"/>
        </w:rPr>
      </w:pPr>
    </w:p>
    <w:p w14:paraId="5C05E03B" w14:textId="77777777" w:rsidR="00C67C06" w:rsidRPr="00C67C06" w:rsidRDefault="00C67C06" w:rsidP="00C67C06">
      <w:pPr>
        <w:tabs>
          <w:tab w:val="left" w:pos="1418"/>
        </w:tabs>
        <w:spacing w:line="360" w:lineRule="auto"/>
        <w:jc w:val="both"/>
        <w:rPr>
          <w:rFonts w:eastAsia="Calibri"/>
          <w:lang w:val="es-ES" w:eastAsia="en-US"/>
        </w:rPr>
      </w:pPr>
      <w:r w:rsidRPr="00C67C06">
        <w:rPr>
          <w:rFonts w:eastAsia="Calibri"/>
          <w:lang w:val="es-ES" w:eastAsia="en-US"/>
        </w:rPr>
        <w:t>Editor;</w:t>
      </w:r>
    </w:p>
    <w:p w14:paraId="6135BC5C" w14:textId="77777777" w:rsidR="00C67C06" w:rsidRPr="00C67C06" w:rsidRDefault="00C67C06" w:rsidP="00C67C06">
      <w:pPr>
        <w:tabs>
          <w:tab w:val="left" w:pos="1418"/>
        </w:tabs>
        <w:spacing w:line="360" w:lineRule="auto"/>
        <w:jc w:val="both"/>
        <w:rPr>
          <w:rFonts w:eastAsia="Calibri"/>
          <w:bCs/>
          <w:lang w:val="es-ES" w:eastAsia="en-US"/>
        </w:rPr>
      </w:pPr>
      <w:r w:rsidRPr="00C67C06">
        <w:rPr>
          <w:rFonts w:eastAsia="Calibri"/>
          <w:bCs/>
          <w:lang w:val="es-ES" w:eastAsia="en-US"/>
        </w:rPr>
        <w:t>En el Hospital Militar Central “Dr. Luis Díaz Soto”, desde mediados de la década de los 80 del siglo pasado, se iniciaron los trabajos relacionados con el daño múltiple de órganos (DMO). Desde esa fecha, se designó como expresión morfológica del síndrome de disfunción múltiple de órganos (SDMO), a su vez expresión clínica de la respuesta inflamatoria sistémica (RIS); respuesta del organismo ante cualquier trastorno de tal gravedad, que lo agrediera vitalmente.</w:t>
      </w:r>
    </w:p>
    <w:p w14:paraId="6587F70D" w14:textId="77777777" w:rsidR="00C67C06" w:rsidRPr="00C67C06" w:rsidRDefault="00C67C06" w:rsidP="00C67C06">
      <w:pPr>
        <w:tabs>
          <w:tab w:val="left" w:pos="1418"/>
        </w:tabs>
        <w:spacing w:line="360" w:lineRule="auto"/>
        <w:jc w:val="both"/>
        <w:rPr>
          <w:rFonts w:eastAsia="Calibri"/>
          <w:bCs/>
          <w:lang w:val="es-ES" w:eastAsia="en-US"/>
        </w:rPr>
      </w:pPr>
      <w:r w:rsidRPr="00C67C06">
        <w:rPr>
          <w:rFonts w:eastAsia="Calibri"/>
          <w:bCs/>
          <w:lang w:val="es-ES" w:eastAsia="en-US"/>
        </w:rPr>
        <w:t>La presentación y publicación de más de un centenar de trabajos relacionados con el tema, decenas de tesis, entre ellas cuatro de doctorado, han sido demostración del estudio continuo de un tema de gran importancia. En el libro “Autopsia. Garantía de calidad en la medicina</w:t>
      </w:r>
      <w:proofErr w:type="gramStart"/>
      <w:r w:rsidRPr="00C67C06">
        <w:rPr>
          <w:rFonts w:eastAsia="Calibri"/>
          <w:bCs/>
          <w:lang w:val="es-ES" w:eastAsia="en-US"/>
        </w:rPr>
        <w:t>”</w:t>
      </w:r>
      <w:r w:rsidRPr="00C67C06">
        <w:rPr>
          <w:rFonts w:eastAsia="Calibri"/>
          <w:bCs/>
          <w:vertAlign w:val="superscript"/>
          <w:lang w:val="es-ES" w:eastAsia="en-US"/>
        </w:rPr>
        <w:t>(</w:t>
      </w:r>
      <w:proofErr w:type="gramEnd"/>
      <w:r w:rsidRPr="00C67C06">
        <w:rPr>
          <w:rFonts w:eastAsia="Calibri"/>
          <w:bCs/>
          <w:vertAlign w:val="superscript"/>
          <w:lang w:val="es-ES" w:eastAsia="en-US"/>
        </w:rPr>
        <w:t xml:space="preserve">1) </w:t>
      </w:r>
      <w:r w:rsidRPr="00C67C06">
        <w:rPr>
          <w:rFonts w:eastAsia="Calibri"/>
          <w:bCs/>
          <w:lang w:val="es-ES" w:eastAsia="en-US"/>
        </w:rPr>
        <w:t xml:space="preserve">están referidos muchos de estos trabajos. </w:t>
      </w:r>
    </w:p>
    <w:p w14:paraId="2C1DA190" w14:textId="77777777" w:rsidR="00C67C06" w:rsidRPr="00C67C06" w:rsidRDefault="00C67C06" w:rsidP="00C67C06">
      <w:pPr>
        <w:tabs>
          <w:tab w:val="left" w:pos="1418"/>
        </w:tabs>
        <w:spacing w:line="360" w:lineRule="auto"/>
        <w:jc w:val="both"/>
        <w:rPr>
          <w:rFonts w:eastAsia="Calibri"/>
          <w:bCs/>
          <w:lang w:val="es-ES" w:eastAsia="en-US"/>
        </w:rPr>
      </w:pPr>
      <w:r w:rsidRPr="00C67C06">
        <w:rPr>
          <w:rFonts w:eastAsia="Calibri"/>
          <w:bCs/>
          <w:lang w:val="es-ES" w:eastAsia="en-US"/>
        </w:rPr>
        <w:t>Esto ha quedado evidenciado en los momentos actuales, por la pandemia provocada por el SARS-CoV-2, ampliamente reconocido como causa de una RIS. Ante esta situación, se debe dejar constancia de varias consideraciones:</w:t>
      </w:r>
    </w:p>
    <w:p w14:paraId="07CBE41D" w14:textId="77777777" w:rsidR="00C67C06" w:rsidRPr="00C67C06" w:rsidRDefault="00C67C06" w:rsidP="00C67C06">
      <w:pPr>
        <w:tabs>
          <w:tab w:val="left" w:pos="1418"/>
        </w:tabs>
        <w:spacing w:line="360" w:lineRule="auto"/>
        <w:jc w:val="both"/>
        <w:rPr>
          <w:rFonts w:eastAsia="Calibri"/>
          <w:bCs/>
          <w:lang w:val="es-ES" w:eastAsia="en-US"/>
        </w:rPr>
      </w:pPr>
      <w:r w:rsidRPr="00C67C06">
        <w:rPr>
          <w:rFonts w:eastAsia="Calibri"/>
          <w:bCs/>
          <w:lang w:val="es-ES" w:eastAsia="en-US"/>
        </w:rPr>
        <w:t xml:space="preserve">El diagnóstico del DMO en la fecha señalada se debió a tres factores fundamentales: </w:t>
      </w:r>
    </w:p>
    <w:p w14:paraId="33FAD4FF" w14:textId="77777777" w:rsidR="00C67C06" w:rsidRPr="00C67C06" w:rsidRDefault="00C67C06" w:rsidP="00C67C06">
      <w:pPr>
        <w:tabs>
          <w:tab w:val="left" w:pos="1418"/>
        </w:tabs>
        <w:spacing w:line="360" w:lineRule="auto"/>
        <w:jc w:val="both"/>
        <w:rPr>
          <w:rFonts w:eastAsia="Calibri"/>
          <w:bCs/>
          <w:lang w:val="es-ES" w:eastAsia="en-US"/>
        </w:rPr>
      </w:pPr>
    </w:p>
    <w:p w14:paraId="38CA17C6" w14:textId="77777777" w:rsidR="00C67C06" w:rsidRPr="00C67C06" w:rsidRDefault="00C67C06" w:rsidP="00AB314B">
      <w:pPr>
        <w:numPr>
          <w:ilvl w:val="0"/>
          <w:numId w:val="1"/>
        </w:numPr>
        <w:spacing w:line="360" w:lineRule="auto"/>
        <w:ind w:left="709" w:hanging="425"/>
        <w:jc w:val="both"/>
        <w:rPr>
          <w:rFonts w:eastAsia="Calibri"/>
          <w:bCs/>
          <w:lang w:val="es-ES" w:eastAsia="en-US"/>
        </w:rPr>
      </w:pPr>
      <w:r w:rsidRPr="00C67C06">
        <w:rPr>
          <w:rFonts w:eastAsia="Calibri"/>
          <w:bCs/>
          <w:lang w:val="es-ES" w:eastAsia="en-US"/>
        </w:rPr>
        <w:lastRenderedPageBreak/>
        <w:t>Cuba realiza un elevado número de autopsias y posee un Sistema Automatizado de Registro y Control de Anatomía Patológica (SARCAP) que facilita el estudio de gran número de autopsias.</w:t>
      </w:r>
    </w:p>
    <w:p w14:paraId="3BFED84D" w14:textId="77777777" w:rsidR="00C67C06" w:rsidRPr="00C67C06" w:rsidRDefault="00C67C06" w:rsidP="00AB314B">
      <w:pPr>
        <w:numPr>
          <w:ilvl w:val="0"/>
          <w:numId w:val="1"/>
        </w:numPr>
        <w:spacing w:line="360" w:lineRule="auto"/>
        <w:ind w:left="709" w:hanging="425"/>
        <w:jc w:val="both"/>
        <w:rPr>
          <w:rFonts w:eastAsia="Calibri"/>
          <w:bCs/>
          <w:lang w:val="es-ES" w:eastAsia="en-US"/>
        </w:rPr>
      </w:pPr>
      <w:r w:rsidRPr="00C67C06">
        <w:rPr>
          <w:rFonts w:eastAsia="Calibri"/>
          <w:bCs/>
          <w:lang w:val="es-ES" w:eastAsia="en-US"/>
        </w:rPr>
        <w:t xml:space="preserve">Desde finales de los años 70 se comenzó, en un modelo experimental, el estudio de la enfermedad por quemadura que resultó el trastorno en el cual se evidenciaba mejor el DMO. </w:t>
      </w:r>
    </w:p>
    <w:p w14:paraId="3ABCE5DA" w14:textId="77777777" w:rsidR="00C67C06" w:rsidRPr="00C67C06" w:rsidRDefault="00C67C06" w:rsidP="00AB314B">
      <w:pPr>
        <w:numPr>
          <w:ilvl w:val="0"/>
          <w:numId w:val="1"/>
        </w:numPr>
        <w:spacing w:line="360" w:lineRule="auto"/>
        <w:ind w:left="709" w:hanging="425"/>
        <w:jc w:val="both"/>
        <w:rPr>
          <w:rFonts w:eastAsia="Calibri"/>
          <w:bCs/>
          <w:lang w:val="es-ES" w:eastAsia="en-US"/>
        </w:rPr>
      </w:pPr>
      <w:r w:rsidRPr="00C67C06">
        <w:rPr>
          <w:rFonts w:eastAsia="Calibri"/>
          <w:bCs/>
          <w:lang w:val="es-ES" w:eastAsia="en-US"/>
        </w:rPr>
        <w:t xml:space="preserve">Junto con esto, se comenzó el estudio del pulmón y coincidió el inicio en el hospital, de las áreas de terapia intensiva. </w:t>
      </w:r>
    </w:p>
    <w:p w14:paraId="7BCABAE7" w14:textId="77777777" w:rsidR="00C67C06" w:rsidRPr="00C67C06" w:rsidRDefault="00C67C06" w:rsidP="00C67C06">
      <w:pPr>
        <w:tabs>
          <w:tab w:val="left" w:pos="1418"/>
        </w:tabs>
        <w:spacing w:line="360" w:lineRule="auto"/>
        <w:jc w:val="both"/>
        <w:rPr>
          <w:rFonts w:eastAsia="Calibri"/>
          <w:bCs/>
          <w:lang w:val="es-ES" w:eastAsia="en-US"/>
        </w:rPr>
      </w:pPr>
    </w:p>
    <w:p w14:paraId="2B712089" w14:textId="4A089998" w:rsidR="00C67C06" w:rsidRPr="00C67C06" w:rsidRDefault="00C67C06" w:rsidP="00C67C06">
      <w:pPr>
        <w:tabs>
          <w:tab w:val="left" w:pos="1418"/>
        </w:tabs>
        <w:spacing w:line="360" w:lineRule="auto"/>
        <w:jc w:val="both"/>
        <w:rPr>
          <w:rFonts w:eastAsia="Calibri"/>
          <w:bCs/>
          <w:lang w:val="es-ES" w:eastAsia="en-US"/>
        </w:rPr>
      </w:pPr>
      <w:r w:rsidRPr="00C67C06">
        <w:rPr>
          <w:rFonts w:eastAsia="Calibri"/>
          <w:bCs/>
          <w:lang w:val="es-ES" w:eastAsia="en-US"/>
        </w:rPr>
        <w:t>Una vez precisado</w:t>
      </w:r>
      <w:r w:rsidR="00AB314B">
        <w:rPr>
          <w:rFonts w:eastAsia="Calibri"/>
          <w:bCs/>
          <w:lang w:val="es-ES" w:eastAsia="en-US"/>
        </w:rPr>
        <w:t>s</w:t>
      </w:r>
      <w:r w:rsidRPr="00C67C06">
        <w:rPr>
          <w:rFonts w:eastAsia="Calibri"/>
          <w:bCs/>
          <w:lang w:val="es-ES" w:eastAsia="en-US"/>
        </w:rPr>
        <w:t xml:space="preserve"> los diagnósticos característicos y reiterados, asociados a pacientes con los diagnósticos clínicos y factores causales correspondientes, posibilitó el diagnóstico integral del DMO.</w:t>
      </w:r>
    </w:p>
    <w:p w14:paraId="2DFA01E9" w14:textId="77777777" w:rsidR="00C67C06" w:rsidRDefault="00C67C06" w:rsidP="00C67C06">
      <w:pPr>
        <w:tabs>
          <w:tab w:val="left" w:pos="1418"/>
        </w:tabs>
        <w:spacing w:line="360" w:lineRule="auto"/>
        <w:jc w:val="both"/>
        <w:rPr>
          <w:rFonts w:eastAsia="Calibri"/>
          <w:bCs/>
          <w:lang w:val="es-ES" w:eastAsia="en-US"/>
        </w:rPr>
      </w:pPr>
      <w:r w:rsidRPr="00C67C06">
        <w:rPr>
          <w:rFonts w:eastAsia="Calibri"/>
          <w:bCs/>
          <w:lang w:val="es-ES" w:eastAsia="en-US"/>
        </w:rPr>
        <w:t>En los múltiples estudios realizados se han precisado varios planteamientos:</w:t>
      </w:r>
    </w:p>
    <w:p w14:paraId="7C5B9BF3" w14:textId="77777777" w:rsidR="002517B7" w:rsidRPr="00C67C06" w:rsidRDefault="002517B7" w:rsidP="00C67C06">
      <w:pPr>
        <w:tabs>
          <w:tab w:val="left" w:pos="1418"/>
        </w:tabs>
        <w:spacing w:line="360" w:lineRule="auto"/>
        <w:jc w:val="both"/>
        <w:rPr>
          <w:rFonts w:eastAsia="Calibri"/>
          <w:bCs/>
          <w:lang w:val="es-ES" w:eastAsia="en-US"/>
        </w:rPr>
      </w:pPr>
    </w:p>
    <w:p w14:paraId="6B280ED3" w14:textId="77777777" w:rsidR="00C67C06" w:rsidRPr="002517B7" w:rsidRDefault="00C67C06" w:rsidP="002517B7">
      <w:pPr>
        <w:pStyle w:val="Prrafodelista"/>
        <w:numPr>
          <w:ilvl w:val="0"/>
          <w:numId w:val="2"/>
        </w:numPr>
        <w:tabs>
          <w:tab w:val="left" w:pos="1418"/>
        </w:tabs>
        <w:spacing w:line="360" w:lineRule="auto"/>
        <w:jc w:val="both"/>
        <w:rPr>
          <w:rFonts w:eastAsia="Calibri"/>
          <w:bCs/>
          <w:lang w:val="es-ES" w:eastAsia="en-US"/>
        </w:rPr>
      </w:pPr>
      <w:r w:rsidRPr="002517B7">
        <w:rPr>
          <w:rFonts w:eastAsia="Calibri"/>
          <w:bCs/>
          <w:lang w:val="es-ES" w:eastAsia="en-US"/>
        </w:rPr>
        <w:t>La RIS es inmediata y afecta a todo el organismo con expresión fundamentalmente en algunos órganos como pulmón, riñón, cerebro, tubo digestivo, hígado, corazón, vasos sanguíneos, sangre, tejido linfoide; con lesiones características en cada uno de ellos. Este último se considera requisito previo para el diagnóstico del DMO, además de 3 o más de los restantes órganos dañados, en caso de no aplicarse el sistema de puntuación que brinda mejor precisión.</w:t>
      </w:r>
    </w:p>
    <w:p w14:paraId="7ACDA3EB" w14:textId="77777777" w:rsidR="00C67C06" w:rsidRPr="002517B7" w:rsidRDefault="00C67C06" w:rsidP="002517B7">
      <w:pPr>
        <w:pStyle w:val="Prrafodelista"/>
        <w:numPr>
          <w:ilvl w:val="0"/>
          <w:numId w:val="2"/>
        </w:numPr>
        <w:tabs>
          <w:tab w:val="left" w:pos="1418"/>
        </w:tabs>
        <w:spacing w:line="360" w:lineRule="auto"/>
        <w:jc w:val="both"/>
        <w:rPr>
          <w:rFonts w:eastAsia="Calibri"/>
          <w:bCs/>
          <w:lang w:val="es-ES" w:eastAsia="en-US"/>
        </w:rPr>
      </w:pPr>
      <w:r w:rsidRPr="002517B7">
        <w:rPr>
          <w:rFonts w:eastAsia="Calibri"/>
          <w:bCs/>
          <w:lang w:val="es-ES" w:eastAsia="en-US"/>
        </w:rPr>
        <w:t>La respuesta inmediata da lugar a una tormenta de “mediadores químicos” (término que preferimos por ser más amplio que el de citoquinas) y una hipoxia generalizada, fundamentalmente provocada por el “edema pulmonar de permeabilidad”, término preferido dentro de la múltiple sinonimia de esta lesión.</w:t>
      </w:r>
    </w:p>
    <w:p w14:paraId="617AB475" w14:textId="77777777" w:rsidR="002517B7" w:rsidRDefault="002517B7" w:rsidP="00C67C06">
      <w:pPr>
        <w:tabs>
          <w:tab w:val="left" w:pos="1418"/>
        </w:tabs>
        <w:spacing w:line="360" w:lineRule="auto"/>
        <w:jc w:val="both"/>
        <w:rPr>
          <w:rFonts w:eastAsia="Calibri"/>
          <w:bCs/>
          <w:lang w:val="es-ES" w:eastAsia="en-US"/>
        </w:rPr>
      </w:pPr>
    </w:p>
    <w:p w14:paraId="3E166489" w14:textId="77777777" w:rsidR="00C67C06" w:rsidRPr="00C67C06" w:rsidRDefault="00C67C06" w:rsidP="00C67C06">
      <w:pPr>
        <w:tabs>
          <w:tab w:val="left" w:pos="1418"/>
        </w:tabs>
        <w:spacing w:line="360" w:lineRule="auto"/>
        <w:jc w:val="both"/>
        <w:rPr>
          <w:rFonts w:eastAsia="Calibri"/>
          <w:bCs/>
          <w:lang w:val="es-ES" w:eastAsia="en-US"/>
        </w:rPr>
      </w:pPr>
      <w:r w:rsidRPr="00C67C06">
        <w:rPr>
          <w:rFonts w:eastAsia="Calibri"/>
          <w:bCs/>
          <w:lang w:val="es-ES" w:eastAsia="en-US"/>
        </w:rPr>
        <w:t xml:space="preserve">En la situación actual de la pandemia, algunos países han realizado autopsias con determinadas características: el número es bajo, la casi totalidad son de pocos órganos y a veces, únicamente del pulmón, con un profundo estudio con técnicas como microscopía electrónica e </w:t>
      </w:r>
      <w:proofErr w:type="spellStart"/>
      <w:r w:rsidRPr="00C67C06">
        <w:rPr>
          <w:rFonts w:eastAsia="Calibri"/>
          <w:bCs/>
          <w:lang w:val="es-ES" w:eastAsia="en-US"/>
        </w:rPr>
        <w:t>inmunohistoquímica</w:t>
      </w:r>
      <w:proofErr w:type="spellEnd"/>
      <w:r w:rsidRPr="00C67C06">
        <w:rPr>
          <w:rFonts w:eastAsia="Calibri"/>
          <w:bCs/>
          <w:lang w:val="es-ES" w:eastAsia="en-US"/>
        </w:rPr>
        <w:t>.</w:t>
      </w:r>
    </w:p>
    <w:p w14:paraId="7C1BA07A" w14:textId="77777777" w:rsidR="00C67C06" w:rsidRPr="00C67C06" w:rsidRDefault="00C67C06" w:rsidP="00C67C06">
      <w:pPr>
        <w:tabs>
          <w:tab w:val="left" w:pos="1418"/>
        </w:tabs>
        <w:spacing w:line="360" w:lineRule="auto"/>
        <w:jc w:val="both"/>
        <w:rPr>
          <w:rFonts w:eastAsia="Calibri"/>
          <w:bCs/>
          <w:lang w:val="es-ES" w:eastAsia="en-US"/>
        </w:rPr>
      </w:pPr>
      <w:r w:rsidRPr="00C67C06">
        <w:rPr>
          <w:rFonts w:eastAsia="Calibri"/>
          <w:bCs/>
          <w:lang w:val="es-ES" w:eastAsia="en-US"/>
        </w:rPr>
        <w:lastRenderedPageBreak/>
        <w:t xml:space="preserve">Esto ha dado lugar a una gran cantidad de publicaciones, en las cuales se han planteado, como características del SARS-CoV-2, lesiones en corazón, fenómenos </w:t>
      </w:r>
      <w:proofErr w:type="spellStart"/>
      <w:r w:rsidRPr="00C67C06">
        <w:rPr>
          <w:rFonts w:eastAsia="Calibri"/>
          <w:bCs/>
          <w:lang w:val="es-ES" w:eastAsia="en-US"/>
        </w:rPr>
        <w:t>tromboembólicos</w:t>
      </w:r>
      <w:proofErr w:type="spellEnd"/>
      <w:r w:rsidRPr="00C67C06">
        <w:rPr>
          <w:rFonts w:eastAsia="Calibri"/>
          <w:bCs/>
          <w:lang w:val="es-ES" w:eastAsia="en-US"/>
        </w:rPr>
        <w:t xml:space="preserve"> y del sistema nervioso, como las más comunes.</w:t>
      </w:r>
    </w:p>
    <w:p w14:paraId="4AE857D0" w14:textId="77777777" w:rsidR="00C67C06" w:rsidRPr="00C67C06" w:rsidRDefault="00C67C06" w:rsidP="00C67C06">
      <w:pPr>
        <w:tabs>
          <w:tab w:val="left" w:pos="1418"/>
        </w:tabs>
        <w:spacing w:line="360" w:lineRule="auto"/>
        <w:jc w:val="both"/>
        <w:rPr>
          <w:rFonts w:eastAsia="Calibri"/>
          <w:bCs/>
          <w:lang w:val="es-ES" w:eastAsia="en-US"/>
        </w:rPr>
      </w:pPr>
      <w:r w:rsidRPr="00C67C06">
        <w:rPr>
          <w:rFonts w:eastAsia="Calibri"/>
          <w:bCs/>
          <w:lang w:val="es-ES" w:eastAsia="en-US"/>
        </w:rPr>
        <w:t xml:space="preserve">Las autopsias se realizan con limitaciones en el estudio, con poca correlación clínico </w:t>
      </w:r>
      <w:proofErr w:type="gramStart"/>
      <w:r w:rsidRPr="00C67C06">
        <w:rPr>
          <w:rFonts w:eastAsia="Calibri"/>
          <w:bCs/>
          <w:lang w:val="es-ES" w:eastAsia="en-US"/>
        </w:rPr>
        <w:t>patológica</w:t>
      </w:r>
      <w:proofErr w:type="gramEnd"/>
      <w:r w:rsidRPr="00C67C06">
        <w:rPr>
          <w:rFonts w:eastAsia="Calibri"/>
          <w:bCs/>
          <w:lang w:val="es-ES" w:eastAsia="en-US"/>
        </w:rPr>
        <w:t>, entre otras deficiencias, que provocan diagnósticos limitados a uno o dos órganos generalmente, por lo que es difícil hacer un estudio integral del fallecido y menos aún, un diagnóstico correcto de las causas de muerte.</w:t>
      </w:r>
    </w:p>
    <w:p w14:paraId="4E7DAB31" w14:textId="77777777" w:rsidR="00C67C06" w:rsidRPr="00C67C06" w:rsidRDefault="00C67C06" w:rsidP="00C67C06">
      <w:pPr>
        <w:tabs>
          <w:tab w:val="left" w:pos="1418"/>
        </w:tabs>
        <w:spacing w:line="360" w:lineRule="auto"/>
        <w:jc w:val="both"/>
        <w:rPr>
          <w:rFonts w:eastAsia="Calibri"/>
          <w:bCs/>
          <w:lang w:val="es-ES" w:eastAsia="en-US"/>
        </w:rPr>
      </w:pPr>
      <w:r w:rsidRPr="00C67C06">
        <w:rPr>
          <w:rFonts w:eastAsia="Calibri"/>
          <w:bCs/>
          <w:lang w:val="es-ES" w:eastAsia="en-US"/>
        </w:rPr>
        <w:t>En la base de datos de autopsias del SARCAP, de 140 017 autopsias, hay 29 076 (20,8 %) con diagnóstico de DMO y en los hospitales “Dr. Luis Díaz Soto” y Hermanos Ameijeiras, donde estos casos se diagnostican con mayor precisión, los porcentajes ascienden a un 46,2 % y 51,4 % respectivamente.</w:t>
      </w:r>
    </w:p>
    <w:p w14:paraId="461D4E78" w14:textId="7B041F3C" w:rsidR="00C67C06" w:rsidRPr="00C67C06" w:rsidRDefault="00C67C06" w:rsidP="00C67C06">
      <w:pPr>
        <w:tabs>
          <w:tab w:val="left" w:pos="1418"/>
        </w:tabs>
        <w:spacing w:line="360" w:lineRule="auto"/>
        <w:jc w:val="both"/>
        <w:rPr>
          <w:rFonts w:eastAsia="Calibri"/>
          <w:bCs/>
          <w:lang w:val="es-ES" w:eastAsia="en-US"/>
        </w:rPr>
      </w:pPr>
      <w:r w:rsidRPr="00C67C06">
        <w:rPr>
          <w:rFonts w:eastAsia="Calibri"/>
          <w:bCs/>
          <w:lang w:val="es-ES" w:eastAsia="en-US"/>
        </w:rPr>
        <w:t xml:space="preserve">Desde antes de comenzar la pandemia en Cuba, se planteó y argumentó el uso de oxigenación suplementaria (ozonoterapia), además de inmunomoduladores, tan pronto se hacía el diagnóstico. De este modo, se evitarían las complicaciones, como consecuencia de la respuesta inflamatoria sistémica. </w:t>
      </w:r>
    </w:p>
    <w:p w14:paraId="6D5818FF" w14:textId="77777777" w:rsidR="00C67C06" w:rsidRPr="00C67C06" w:rsidRDefault="00C67C06" w:rsidP="00C67C06">
      <w:pPr>
        <w:tabs>
          <w:tab w:val="left" w:pos="1418"/>
        </w:tabs>
        <w:spacing w:line="360" w:lineRule="auto"/>
        <w:jc w:val="both"/>
        <w:rPr>
          <w:rFonts w:eastAsia="Calibri"/>
          <w:bCs/>
          <w:vertAlign w:val="superscript"/>
          <w:lang w:val="es-ES" w:eastAsia="en-US"/>
        </w:rPr>
      </w:pPr>
      <w:r w:rsidRPr="00C67C06">
        <w:rPr>
          <w:rFonts w:eastAsia="Calibri"/>
          <w:bCs/>
          <w:lang w:val="es-ES" w:eastAsia="en-US"/>
        </w:rPr>
        <w:t xml:space="preserve">Las autopsias de fallecidos con el SARS-CoV-2, realizadas en Cuba, han demostrado la elevada frecuencia e intensidad del RIS y el DMO, el pulmón como el órgano inicial y fundamentalmente atacado por un edema pulmonar de permeabilidad, y además las bondades terapéuticas del </w:t>
      </w:r>
      <w:proofErr w:type="spellStart"/>
      <w:r w:rsidRPr="00C67C06">
        <w:rPr>
          <w:rFonts w:eastAsia="Calibri"/>
          <w:bCs/>
          <w:lang w:val="es-ES" w:eastAsia="en-US"/>
        </w:rPr>
        <w:t>Jusvinza</w:t>
      </w:r>
      <w:proofErr w:type="spellEnd"/>
      <w:r w:rsidRPr="00C67C06">
        <w:rPr>
          <w:rFonts w:eastAsia="Calibri"/>
          <w:bCs/>
          <w:lang w:val="es-ES" w:eastAsia="en-US"/>
        </w:rPr>
        <w:t xml:space="preserve"> como inmunomodulador, aunque está pendiente el uso de la ozonoterapia como oxigenación suplementaria.</w:t>
      </w:r>
      <w:r w:rsidRPr="00C67C06">
        <w:rPr>
          <w:rFonts w:eastAsia="Calibri"/>
          <w:bCs/>
          <w:vertAlign w:val="superscript"/>
          <w:lang w:val="es-ES" w:eastAsia="en-US"/>
        </w:rPr>
        <w:t>(2)</w:t>
      </w:r>
    </w:p>
    <w:p w14:paraId="67C3F2CF" w14:textId="77777777" w:rsidR="00C67C06" w:rsidRPr="00C67C06" w:rsidRDefault="00C67C06" w:rsidP="00C67C06">
      <w:pPr>
        <w:tabs>
          <w:tab w:val="left" w:pos="1418"/>
        </w:tabs>
        <w:spacing w:line="360" w:lineRule="auto"/>
        <w:jc w:val="both"/>
        <w:rPr>
          <w:rFonts w:eastAsia="Calibri"/>
          <w:lang w:val="es-ES" w:eastAsia="en-US"/>
        </w:rPr>
      </w:pPr>
      <w:r w:rsidRPr="00C67C06">
        <w:rPr>
          <w:rFonts w:eastAsia="Calibri"/>
          <w:bCs/>
          <w:lang w:val="es-ES" w:eastAsia="en-US"/>
        </w:rPr>
        <w:t>Basado en los datos antes señalados y teniendo en cuenta la mortalidad mundial actual, de aproximadamente 60 millones de personas anualmente, si se realiza el diagnóstico correcto de la RIS y su consecuencia final, el DMO y el tratamiento fuera el adecuado; ¿Cuántas vidas se pudieran salvar?</w:t>
      </w:r>
    </w:p>
    <w:p w14:paraId="6346D8EC" w14:textId="77777777" w:rsidR="00C67C06" w:rsidRPr="00C67C06" w:rsidRDefault="00C67C06" w:rsidP="00C67C06">
      <w:pPr>
        <w:tabs>
          <w:tab w:val="left" w:pos="1418"/>
        </w:tabs>
        <w:spacing w:line="360" w:lineRule="auto"/>
        <w:jc w:val="both"/>
        <w:rPr>
          <w:rFonts w:eastAsia="Calibri"/>
          <w:bCs/>
          <w:vertAlign w:val="superscript"/>
          <w:lang w:val="es-ES" w:eastAsia="en-US"/>
        </w:rPr>
      </w:pPr>
      <w:r w:rsidRPr="00C67C06">
        <w:rPr>
          <w:rFonts w:eastAsia="Calibri"/>
          <w:bCs/>
          <w:lang w:val="es-ES" w:eastAsia="en-US"/>
        </w:rPr>
        <w:t>Queda demostrado: hacer diagnósticos correctos de causas de muerte, ayuda a salvar vidas</w:t>
      </w:r>
      <w:proofErr w:type="gramStart"/>
      <w:r w:rsidRPr="00C67C06">
        <w:rPr>
          <w:rFonts w:eastAsia="Calibri"/>
          <w:bCs/>
          <w:lang w:val="es-ES" w:eastAsia="en-US"/>
        </w:rPr>
        <w:t>.</w:t>
      </w:r>
      <w:r w:rsidRPr="00C67C06">
        <w:rPr>
          <w:rFonts w:eastAsia="Calibri"/>
          <w:bCs/>
          <w:vertAlign w:val="superscript"/>
          <w:lang w:val="es-ES" w:eastAsia="en-US"/>
        </w:rPr>
        <w:t>(</w:t>
      </w:r>
      <w:proofErr w:type="gramEnd"/>
      <w:r w:rsidRPr="00C67C06">
        <w:rPr>
          <w:rFonts w:eastAsia="Calibri"/>
          <w:bCs/>
          <w:vertAlign w:val="superscript"/>
          <w:lang w:val="es-ES" w:eastAsia="en-US"/>
        </w:rPr>
        <w:t>3)</w:t>
      </w:r>
    </w:p>
    <w:p w14:paraId="2FFCBAE4" w14:textId="77777777" w:rsidR="00C67C06" w:rsidRPr="00C67C06" w:rsidRDefault="00C67C06" w:rsidP="00C67C06">
      <w:pPr>
        <w:tabs>
          <w:tab w:val="left" w:pos="1418"/>
        </w:tabs>
        <w:spacing w:line="360" w:lineRule="auto"/>
        <w:jc w:val="both"/>
        <w:rPr>
          <w:rFonts w:eastAsia="Calibri"/>
          <w:b/>
          <w:bCs/>
          <w:sz w:val="18"/>
          <w:szCs w:val="18"/>
          <w:lang w:val="es-ES" w:eastAsia="en-US"/>
        </w:rPr>
      </w:pPr>
    </w:p>
    <w:p w14:paraId="0D9A788D" w14:textId="77777777" w:rsidR="00C67C06" w:rsidRPr="00C67C06" w:rsidRDefault="00C67C06" w:rsidP="00C67C06">
      <w:pPr>
        <w:tabs>
          <w:tab w:val="left" w:pos="1418"/>
        </w:tabs>
        <w:spacing w:line="360" w:lineRule="auto"/>
        <w:jc w:val="both"/>
        <w:rPr>
          <w:rFonts w:eastAsia="Calibri"/>
          <w:b/>
          <w:bCs/>
          <w:sz w:val="18"/>
          <w:szCs w:val="18"/>
          <w:lang w:val="es-ES" w:eastAsia="en-US"/>
        </w:rPr>
      </w:pPr>
    </w:p>
    <w:p w14:paraId="1DB6682A" w14:textId="77777777" w:rsidR="00274604" w:rsidRDefault="00274604">
      <w:pPr>
        <w:rPr>
          <w:rFonts w:eastAsia="Calibri"/>
          <w:b/>
          <w:bCs/>
          <w:sz w:val="32"/>
          <w:szCs w:val="32"/>
          <w:lang w:val="es-ES" w:eastAsia="en-US"/>
        </w:rPr>
      </w:pPr>
      <w:r>
        <w:rPr>
          <w:rFonts w:eastAsia="Calibri"/>
          <w:b/>
          <w:bCs/>
          <w:sz w:val="32"/>
          <w:szCs w:val="32"/>
          <w:lang w:val="es-ES" w:eastAsia="en-US"/>
        </w:rPr>
        <w:br w:type="page"/>
      </w:r>
    </w:p>
    <w:p w14:paraId="7A0F63C7" w14:textId="4253A38E" w:rsidR="00C67C06" w:rsidRPr="00C67C06" w:rsidRDefault="00C67C06" w:rsidP="00C67C06">
      <w:pPr>
        <w:tabs>
          <w:tab w:val="left" w:pos="1418"/>
        </w:tabs>
        <w:spacing w:line="360" w:lineRule="auto"/>
        <w:jc w:val="center"/>
        <w:rPr>
          <w:rFonts w:eastAsia="Calibri"/>
          <w:sz w:val="32"/>
          <w:szCs w:val="32"/>
          <w:lang w:val="es-ES" w:eastAsia="es-ES"/>
        </w:rPr>
      </w:pPr>
      <w:bookmarkStart w:id="0" w:name="_GoBack"/>
      <w:bookmarkEnd w:id="0"/>
      <w:r w:rsidRPr="00C67C06">
        <w:rPr>
          <w:rFonts w:eastAsia="Calibri"/>
          <w:b/>
          <w:bCs/>
          <w:sz w:val="32"/>
          <w:szCs w:val="32"/>
          <w:lang w:val="es-ES" w:eastAsia="en-US"/>
        </w:rPr>
        <w:lastRenderedPageBreak/>
        <w:t>REFERENCIAS BIBLIOGRÁFICAS</w:t>
      </w:r>
    </w:p>
    <w:p w14:paraId="3B73D017" w14:textId="77777777" w:rsidR="00C67C06" w:rsidRPr="00C67C06" w:rsidRDefault="00C67C06" w:rsidP="00C67C06">
      <w:pPr>
        <w:autoSpaceDE w:val="0"/>
        <w:autoSpaceDN w:val="0"/>
        <w:adjustRightInd w:val="0"/>
        <w:spacing w:line="360" w:lineRule="auto"/>
        <w:rPr>
          <w:rFonts w:eastAsia="Calibri"/>
          <w:lang w:val="es-ES" w:eastAsia="es-ES"/>
        </w:rPr>
      </w:pPr>
      <w:r w:rsidRPr="00C67C06">
        <w:rPr>
          <w:rFonts w:eastAsia="Calibri"/>
          <w:lang w:val="es-ES" w:eastAsia="es-ES"/>
        </w:rPr>
        <w:t xml:space="preserve">1. Hurtado de Mendoza Amat J. Autopsia. Garantía de calidad en la medicina. 2da. ed. La Habana: Editorial Ciencias Médicas; 2014[acceso: 02/02/2021]. Disponible en: </w:t>
      </w:r>
      <w:hyperlink r:id="rId9" w:history="1">
        <w:r w:rsidRPr="00C67C06">
          <w:rPr>
            <w:rFonts w:eastAsia="Calibri"/>
            <w:color w:val="0563C1"/>
            <w:u w:val="single"/>
            <w:lang w:val="es-ES" w:eastAsia="es-ES"/>
          </w:rPr>
          <w:t>http://www.bvs.sld.cu/libros/autopsia_garantia_2daedicion/autopsia_completo.pdf</w:t>
        </w:r>
      </w:hyperlink>
      <w:r w:rsidRPr="00C67C06">
        <w:rPr>
          <w:rFonts w:eastAsia="Calibri"/>
          <w:lang w:val="es-ES" w:eastAsia="es-ES"/>
        </w:rPr>
        <w:t xml:space="preserve"> </w:t>
      </w:r>
    </w:p>
    <w:p w14:paraId="6502D380" w14:textId="77777777" w:rsidR="00C67C06" w:rsidRPr="00C67C06" w:rsidRDefault="00C67C06" w:rsidP="00C67C06">
      <w:pPr>
        <w:autoSpaceDE w:val="0"/>
        <w:autoSpaceDN w:val="0"/>
        <w:adjustRightInd w:val="0"/>
        <w:spacing w:line="360" w:lineRule="auto"/>
        <w:rPr>
          <w:rFonts w:eastAsia="Calibri"/>
          <w:lang w:val="es-ES" w:eastAsia="es-ES"/>
        </w:rPr>
      </w:pPr>
      <w:r w:rsidRPr="00C67C06">
        <w:rPr>
          <w:rFonts w:eastAsia="Calibri"/>
          <w:lang w:val="es-ES" w:eastAsia="es-ES"/>
        </w:rPr>
        <w:t>2. Montero González T, Hurtado de Mendoza Amat J, Fraga Martínez Y, Laguna Oliva L, Del Rosario Cruz L, Torres Gómez Y. Experiencia en autopsias de fallecidos con la COVID-19 en el Hospital Militar Central “Dr. Luis Díaz Soto”. Revista Cubana de Medicina Militar. 2020[acceso: 02/02/2021]</w:t>
      </w:r>
      <w:proofErr w:type="gramStart"/>
      <w:r w:rsidRPr="00C67C06">
        <w:rPr>
          <w:rFonts w:eastAsia="Calibri"/>
          <w:lang w:val="es-ES" w:eastAsia="es-ES"/>
        </w:rPr>
        <w:t>;49</w:t>
      </w:r>
      <w:proofErr w:type="gramEnd"/>
      <w:r w:rsidRPr="00C67C06">
        <w:rPr>
          <w:rFonts w:eastAsia="Calibri"/>
          <w:lang w:val="es-ES" w:eastAsia="es-ES"/>
        </w:rPr>
        <w:t xml:space="preserve">(4):e0200850. Disponible en: </w:t>
      </w:r>
      <w:hyperlink r:id="rId10" w:history="1">
        <w:r w:rsidRPr="00C67C06">
          <w:rPr>
            <w:rFonts w:eastAsia="Calibri"/>
            <w:color w:val="0563C1"/>
            <w:u w:val="single"/>
            <w:lang w:val="es-ES" w:eastAsia="es-ES"/>
          </w:rPr>
          <w:t>http://www.revmedmilitar.sld.cu/index.php/mil/article/view/850/669</w:t>
        </w:r>
      </w:hyperlink>
      <w:r w:rsidRPr="00C67C06">
        <w:rPr>
          <w:rFonts w:eastAsia="Calibri"/>
          <w:lang w:val="es-ES" w:eastAsia="es-ES"/>
        </w:rPr>
        <w:t xml:space="preserve"> </w:t>
      </w:r>
    </w:p>
    <w:p w14:paraId="3878CAD7" w14:textId="77777777" w:rsidR="00C67C06" w:rsidRPr="00C67C06" w:rsidRDefault="00C67C06" w:rsidP="00C67C06">
      <w:pPr>
        <w:autoSpaceDE w:val="0"/>
        <w:autoSpaceDN w:val="0"/>
        <w:adjustRightInd w:val="0"/>
        <w:spacing w:line="360" w:lineRule="auto"/>
        <w:rPr>
          <w:rFonts w:eastAsia="Calibri"/>
          <w:lang w:val="es-ES" w:eastAsia="es-ES"/>
        </w:rPr>
      </w:pPr>
      <w:r w:rsidRPr="00C67C06">
        <w:rPr>
          <w:rFonts w:eastAsia="Calibri"/>
          <w:lang w:val="es-ES" w:eastAsia="es-ES"/>
        </w:rPr>
        <w:t>3. Hurtado de Mendoza Amat J, Montero González T. El diagnóstico correcto de las causas de muerte ayuda a salvar vidas. Revista Cubana de Medicina Militar. 2020[acceso: 02/02/2021]</w:t>
      </w:r>
      <w:proofErr w:type="gramStart"/>
      <w:r w:rsidRPr="00C67C06">
        <w:rPr>
          <w:rFonts w:eastAsia="Calibri"/>
          <w:lang w:val="es-ES" w:eastAsia="es-ES"/>
        </w:rPr>
        <w:t>;49</w:t>
      </w:r>
      <w:proofErr w:type="gramEnd"/>
      <w:r w:rsidRPr="00C67C06">
        <w:rPr>
          <w:rFonts w:eastAsia="Calibri"/>
          <w:lang w:val="es-ES" w:eastAsia="es-ES"/>
        </w:rPr>
        <w:t xml:space="preserve">(4):e0200639. Disponible en: </w:t>
      </w:r>
      <w:hyperlink r:id="rId11" w:history="1">
        <w:r w:rsidRPr="00C67C06">
          <w:rPr>
            <w:rFonts w:eastAsia="Calibri"/>
            <w:color w:val="0563C1"/>
            <w:u w:val="single"/>
            <w:lang w:val="es-ES" w:eastAsia="es-ES"/>
          </w:rPr>
          <w:t>http://www.revmedmilitar.sld.cu/index.php/mil/article/view/629/658</w:t>
        </w:r>
      </w:hyperlink>
      <w:r w:rsidRPr="00C67C06">
        <w:rPr>
          <w:rFonts w:eastAsia="Calibri"/>
          <w:lang w:val="es-ES" w:eastAsia="es-ES"/>
        </w:rPr>
        <w:t xml:space="preserve"> </w:t>
      </w:r>
    </w:p>
    <w:p w14:paraId="1AC5AADE" w14:textId="5A926BFC" w:rsidR="00D53365" w:rsidRDefault="00D53365">
      <w:pPr>
        <w:rPr>
          <w:rFonts w:eastAsia="Calibri"/>
          <w:b/>
          <w:bCs/>
          <w:lang w:val="es-ES" w:eastAsia="es-ES"/>
        </w:rPr>
      </w:pPr>
    </w:p>
    <w:p w14:paraId="0CA77DC9" w14:textId="77777777" w:rsidR="00433B0E" w:rsidRDefault="00433B0E" w:rsidP="00C67C06">
      <w:pPr>
        <w:autoSpaceDE w:val="0"/>
        <w:autoSpaceDN w:val="0"/>
        <w:adjustRightInd w:val="0"/>
        <w:spacing w:line="360" w:lineRule="auto"/>
        <w:rPr>
          <w:rFonts w:eastAsia="Calibri"/>
          <w:b/>
          <w:bCs/>
          <w:lang w:val="es-ES" w:eastAsia="es-ES"/>
        </w:rPr>
      </w:pPr>
    </w:p>
    <w:p w14:paraId="0CA09AB8" w14:textId="3E45890D" w:rsidR="00C67C06" w:rsidRPr="00C67C06" w:rsidRDefault="00C67C06" w:rsidP="00C67C06">
      <w:pPr>
        <w:autoSpaceDE w:val="0"/>
        <w:autoSpaceDN w:val="0"/>
        <w:adjustRightInd w:val="0"/>
        <w:spacing w:line="360" w:lineRule="auto"/>
        <w:rPr>
          <w:rFonts w:eastAsia="Calibri"/>
          <w:b/>
          <w:bCs/>
          <w:lang w:val="es-ES" w:eastAsia="es-ES"/>
        </w:rPr>
      </w:pPr>
      <w:r w:rsidRPr="00C67C06">
        <w:rPr>
          <w:rFonts w:eastAsia="Calibri"/>
          <w:b/>
          <w:bCs/>
          <w:lang w:val="es-ES" w:eastAsia="es-ES"/>
        </w:rPr>
        <w:t>Conflictos de interés</w:t>
      </w:r>
    </w:p>
    <w:p w14:paraId="4C71684B" w14:textId="6CFEA5A7" w:rsidR="00675476" w:rsidRPr="00D53365" w:rsidRDefault="00C67C06" w:rsidP="00D53365">
      <w:pPr>
        <w:autoSpaceDE w:val="0"/>
        <w:autoSpaceDN w:val="0"/>
        <w:adjustRightInd w:val="0"/>
        <w:spacing w:line="360" w:lineRule="auto"/>
        <w:rPr>
          <w:rFonts w:eastAsia="Calibri"/>
          <w:lang w:val="es-ES" w:eastAsia="es-ES"/>
        </w:rPr>
      </w:pPr>
      <w:r w:rsidRPr="00C67C06">
        <w:rPr>
          <w:rFonts w:eastAsia="Calibri"/>
          <w:lang w:val="es-ES" w:eastAsia="es-ES"/>
        </w:rPr>
        <w:t>Los autores declaran que no existen conflictos de interés.</w:t>
      </w:r>
    </w:p>
    <w:sectPr w:rsidR="00675476" w:rsidRPr="00D53365" w:rsidSect="00274604">
      <w:headerReference w:type="default" r:id="rId12"/>
      <w:footerReference w:type="even" r:id="rId13"/>
      <w:footerReference w:type="default" r:id="rId14"/>
      <w:pgSz w:w="12242" w:h="15842" w:code="1"/>
      <w:pgMar w:top="1418" w:right="1418" w:bottom="1701" w:left="1418" w:header="851" w:footer="113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DC45CE" w14:textId="77777777" w:rsidR="005A016D" w:rsidRDefault="005A016D">
      <w:r>
        <w:separator/>
      </w:r>
    </w:p>
  </w:endnote>
  <w:endnote w:type="continuationSeparator" w:id="0">
    <w:p w14:paraId="24AD260B" w14:textId="77777777" w:rsidR="005A016D" w:rsidRDefault="005A0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76CD70"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CB40B1E" w14:textId="77777777" w:rsidR="00FE40CB" w:rsidRDefault="00FE40CB" w:rsidP="00FE40CB">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0D3ED0" w14:textId="09072725" w:rsidR="000F3690" w:rsidRPr="00AE044C" w:rsidRDefault="00C67C06" w:rsidP="00391509">
    <w:pPr>
      <w:pStyle w:val="Piedepgina"/>
      <w:ind w:right="360"/>
      <w:rPr>
        <w:sz w:val="22"/>
        <w:szCs w:val="22"/>
      </w:rPr>
    </w:pPr>
    <w:r>
      <w:rPr>
        <w:noProof/>
        <w:lang w:val="es-ES" w:eastAsia="es-ES"/>
      </w:rPr>
      <mc:AlternateContent>
        <mc:Choice Requires="wps">
          <w:drawing>
            <wp:anchor distT="0" distB="0" distL="114300" distR="114300" simplePos="0" relativeHeight="251658240" behindDoc="0" locked="0" layoutInCell="1" allowOverlap="1" wp14:anchorId="18DE95DE" wp14:editId="69E1730A">
              <wp:simplePos x="0" y="0"/>
              <wp:positionH relativeFrom="column">
                <wp:posOffset>3810</wp:posOffset>
              </wp:positionH>
              <wp:positionV relativeFrom="paragraph">
                <wp:posOffset>50165</wp:posOffset>
              </wp:positionV>
              <wp:extent cx="6286500" cy="19050"/>
              <wp:effectExtent l="19050" t="19050" r="0" b="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1CF070E"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aND19McBAABuAwAADgAAAAAAAAAAAAAA&#10;AAAuAgAAZHJzL2Uyb0RvYy54bWxQSwECLQAUAAYACAAAACEAhoC+k9oAAAAFAQAADwAAAAAAAAAA&#10;AAAAAAAhBAAAZHJzL2Rvd25yZXYueG1sUEsFBgAAAAAEAAQA8wAAACgFAAAAAA==&#10;" strokecolor="blue" strokeweight="2.25pt"/>
          </w:pict>
        </mc:Fallback>
      </mc:AlternateContent>
    </w:r>
  </w:p>
  <w:p w14:paraId="3D2FA0D5" w14:textId="77777777" w:rsidR="00675476" w:rsidRPr="00AE044C" w:rsidRDefault="005A016D" w:rsidP="00391509">
    <w:pPr>
      <w:pStyle w:val="Piedepgina"/>
      <w:ind w:right="360"/>
      <w:rPr>
        <w:sz w:val="22"/>
        <w:szCs w:val="22"/>
      </w:rPr>
    </w:pPr>
    <w:hyperlink r:id="rId1" w:history="1">
      <w:r w:rsidR="00391509" w:rsidRPr="00AE044C">
        <w:rPr>
          <w:rStyle w:val="Hipervnculo"/>
          <w:sz w:val="22"/>
          <w:szCs w:val="22"/>
        </w:rPr>
        <w:t>http://scielo.sld.cu</w:t>
      </w:r>
    </w:hyperlink>
  </w:p>
  <w:p w14:paraId="6739DB1A" w14:textId="77777777" w:rsidR="00391509" w:rsidRPr="00AE044C" w:rsidRDefault="005A016D"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3197587A" w14:textId="2213421B"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w:t>
    </w:r>
    <w:proofErr w:type="spellStart"/>
    <w:r w:rsidRPr="00AE044C">
      <w:rPr>
        <w:sz w:val="22"/>
        <w:szCs w:val="22"/>
      </w:rPr>
      <w:t>Creative</w:t>
    </w:r>
    <w:proofErr w:type="spellEnd"/>
    <w:r w:rsidRPr="00AE044C">
      <w:rPr>
        <w:sz w:val="22"/>
        <w:szCs w:val="22"/>
      </w:rPr>
      <w:t xml:space="preserve"> </w:t>
    </w:r>
    <w:proofErr w:type="spellStart"/>
    <w:r w:rsidRPr="00AE044C">
      <w:rPr>
        <w:sz w:val="22"/>
        <w:szCs w:val="22"/>
      </w:rPr>
      <w:t>Commons</w:t>
    </w:r>
    <w:proofErr w:type="spellEnd"/>
    <w:r>
      <w:rPr>
        <w:rFonts w:ascii="Verdana" w:hAnsi="Verdana"/>
        <w:sz w:val="18"/>
        <w:szCs w:val="18"/>
      </w:rPr>
      <w:t xml:space="preserve"> </w:t>
    </w:r>
    <w:r w:rsidR="00C67C06" w:rsidRPr="00C67C06">
      <w:rPr>
        <w:rFonts w:ascii="Verdana" w:hAnsi="Verdana"/>
        <w:noProof/>
        <w:sz w:val="18"/>
        <w:szCs w:val="18"/>
        <w:lang w:val="es-ES" w:eastAsia="es-ES"/>
      </w:rPr>
      <w:drawing>
        <wp:inline distT="0" distB="0" distL="0" distR="0" wp14:anchorId="2E281262" wp14:editId="41A2EAB7">
          <wp:extent cx="638175" cy="146685"/>
          <wp:effectExtent l="0" t="0" r="0" b="0"/>
          <wp:docPr id="1" name="Imagen 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4668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2BC291" w14:textId="77777777" w:rsidR="005A016D" w:rsidRDefault="005A016D">
      <w:r>
        <w:separator/>
      </w:r>
    </w:p>
  </w:footnote>
  <w:footnote w:type="continuationSeparator" w:id="0">
    <w:p w14:paraId="3D79C15B" w14:textId="77777777" w:rsidR="005A016D" w:rsidRDefault="005A01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1A4F4" w14:textId="407A2CC0" w:rsidR="00CC376A" w:rsidRPr="00AE044C" w:rsidRDefault="00C67C06" w:rsidP="00180CE9">
    <w:pPr>
      <w:pStyle w:val="Encabezado"/>
      <w:tabs>
        <w:tab w:val="left" w:pos="420"/>
      </w:tabs>
      <w:jc w:val="center"/>
      <w:rPr>
        <w:sz w:val="22"/>
        <w:szCs w:val="22"/>
      </w:rPr>
    </w:pPr>
    <w:r>
      <w:rPr>
        <w:noProof/>
        <w:lang w:val="es-ES" w:eastAsia="es-ES"/>
      </w:rPr>
      <w:drawing>
        <wp:anchor distT="0" distB="0" distL="114300" distR="114300" simplePos="0" relativeHeight="251662336" behindDoc="0" locked="0" layoutInCell="1" allowOverlap="1" wp14:anchorId="3600669A" wp14:editId="706A7E3F">
          <wp:simplePos x="0" y="0"/>
          <wp:positionH relativeFrom="column">
            <wp:posOffset>6029325</wp:posOffset>
          </wp:positionH>
          <wp:positionV relativeFrom="paragraph">
            <wp:posOffset>-276225</wp:posOffset>
          </wp:positionV>
          <wp:extent cx="238125" cy="269875"/>
          <wp:effectExtent l="0" t="0" r="0" b="0"/>
          <wp:wrapThrough wrapText="bothSides">
            <wp:wrapPolygon edited="0">
              <wp:start x="0" y="0"/>
              <wp:lineTo x="0" y="19821"/>
              <wp:lineTo x="20736" y="19821"/>
              <wp:lineTo x="20736"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 cy="269875"/>
                  </a:xfrm>
                  <a:prstGeom prst="rect">
                    <a:avLst/>
                  </a:prstGeom>
                  <a:noFill/>
                  <a:ln>
                    <a:noFill/>
                  </a:ln>
                </pic:spPr>
              </pic:pic>
            </a:graphicData>
          </a:graphic>
          <wp14:sizeRelH relativeFrom="page">
            <wp14:pctWidth>0</wp14:pctWidth>
          </wp14:sizeRelH>
          <wp14:sizeRelV relativeFrom="page">
            <wp14:pctHeight>0</wp14:pctHeight>
          </wp14:sizeRelV>
        </wp:anchor>
      </w:drawing>
    </w:r>
    <w:r w:rsidR="00FE40CB" w:rsidRPr="00AE044C">
      <w:rPr>
        <w:sz w:val="22"/>
        <w:szCs w:val="22"/>
      </w:rPr>
      <w:t xml:space="preserve">Revista </w:t>
    </w:r>
    <w:r w:rsidR="00380D64" w:rsidRPr="00AE044C">
      <w:rPr>
        <w:sz w:val="22"/>
        <w:szCs w:val="22"/>
      </w:rPr>
      <w:t>Cubana de Medicina Militar.</w:t>
    </w:r>
    <w:r w:rsidR="00D85951" w:rsidRPr="00AE044C">
      <w:rPr>
        <w:sz w:val="22"/>
        <w:szCs w:val="22"/>
      </w:rPr>
      <w:t xml:space="preserve"> </w:t>
    </w:r>
    <w:r>
      <w:rPr>
        <w:sz w:val="22"/>
        <w:szCs w:val="22"/>
      </w:rPr>
      <w:t>2021</w:t>
    </w:r>
    <w:proofErr w:type="gramStart"/>
    <w:r w:rsidR="003E03D5">
      <w:rPr>
        <w:sz w:val="22"/>
        <w:szCs w:val="22"/>
      </w:rPr>
      <w:t>;</w:t>
    </w:r>
    <w:r>
      <w:rPr>
        <w:sz w:val="22"/>
        <w:szCs w:val="22"/>
      </w:rPr>
      <w:t>50</w:t>
    </w:r>
    <w:proofErr w:type="gramEnd"/>
    <w:r w:rsidR="00493701" w:rsidRPr="00AE044C">
      <w:rPr>
        <w:sz w:val="22"/>
        <w:szCs w:val="22"/>
      </w:rPr>
      <w:t>(</w:t>
    </w:r>
    <w:r>
      <w:rPr>
        <w:sz w:val="22"/>
        <w:szCs w:val="22"/>
      </w:rPr>
      <w:t>1</w:t>
    </w:r>
    <w:r w:rsidR="00493701" w:rsidRPr="00AE044C">
      <w:rPr>
        <w:sz w:val="22"/>
        <w:szCs w:val="22"/>
      </w:rPr>
      <w:t>)</w:t>
    </w:r>
    <w:r w:rsidR="00391509" w:rsidRPr="00AE044C">
      <w:rPr>
        <w:sz w:val="22"/>
        <w:szCs w:val="22"/>
      </w:rPr>
      <w:t>:</w:t>
    </w:r>
    <w:r>
      <w:rPr>
        <w:sz w:val="22"/>
        <w:szCs w:val="22"/>
      </w:rPr>
      <w:t>e02101266</w:t>
    </w:r>
  </w:p>
  <w:p w14:paraId="33F1E681" w14:textId="4825F77B" w:rsidR="00A477DE" w:rsidRDefault="00C67C06">
    <w:r>
      <w:rPr>
        <w:noProof/>
        <w:lang w:val="es-ES" w:eastAsia="es-ES"/>
      </w:rPr>
      <mc:AlternateContent>
        <mc:Choice Requires="wps">
          <w:drawing>
            <wp:anchor distT="0" distB="0" distL="114300" distR="114300" simplePos="0" relativeHeight="251657216" behindDoc="0" locked="0" layoutInCell="1" allowOverlap="1" wp14:anchorId="486D017B" wp14:editId="4EC72010">
              <wp:simplePos x="0" y="0"/>
              <wp:positionH relativeFrom="column">
                <wp:posOffset>3810</wp:posOffset>
              </wp:positionH>
              <wp:positionV relativeFrom="paragraph">
                <wp:posOffset>44450</wp:posOffset>
              </wp:positionV>
              <wp:extent cx="6276975" cy="28575"/>
              <wp:effectExtent l="19050" t="19050" r="9525" b="9525"/>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B96F41F"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5pt" to="494.5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" strokecolor="blue" strokeweight="2.2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650634"/>
    <w:multiLevelType w:val="hybridMultilevel"/>
    <w:tmpl w:val="678CC0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40C346F6"/>
    <w:multiLevelType w:val="hybridMultilevel"/>
    <w:tmpl w:val="23C8F87C"/>
    <w:lvl w:ilvl="0" w:tplc="0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C06"/>
    <w:rsid w:val="000F3690"/>
    <w:rsid w:val="001221D1"/>
    <w:rsid w:val="001315FB"/>
    <w:rsid w:val="00180CE9"/>
    <w:rsid w:val="00230DD5"/>
    <w:rsid w:val="002517B7"/>
    <w:rsid w:val="00274604"/>
    <w:rsid w:val="00380D64"/>
    <w:rsid w:val="00391509"/>
    <w:rsid w:val="003E03D5"/>
    <w:rsid w:val="00433B0E"/>
    <w:rsid w:val="00486BFA"/>
    <w:rsid w:val="00493701"/>
    <w:rsid w:val="004E2065"/>
    <w:rsid w:val="005508A2"/>
    <w:rsid w:val="00566F71"/>
    <w:rsid w:val="005918BD"/>
    <w:rsid w:val="005A016D"/>
    <w:rsid w:val="006173A6"/>
    <w:rsid w:val="00675476"/>
    <w:rsid w:val="007C430F"/>
    <w:rsid w:val="007D614D"/>
    <w:rsid w:val="00960D6A"/>
    <w:rsid w:val="009A0560"/>
    <w:rsid w:val="009B0917"/>
    <w:rsid w:val="009B4B01"/>
    <w:rsid w:val="00A23C0C"/>
    <w:rsid w:val="00A477DE"/>
    <w:rsid w:val="00A71E65"/>
    <w:rsid w:val="00AB314B"/>
    <w:rsid w:val="00AE044C"/>
    <w:rsid w:val="00B31971"/>
    <w:rsid w:val="00B4380A"/>
    <w:rsid w:val="00B66ECB"/>
    <w:rsid w:val="00C67C06"/>
    <w:rsid w:val="00C7523A"/>
    <w:rsid w:val="00CC1B6E"/>
    <w:rsid w:val="00CC376A"/>
    <w:rsid w:val="00CC48A1"/>
    <w:rsid w:val="00CF50E0"/>
    <w:rsid w:val="00D53365"/>
    <w:rsid w:val="00D85951"/>
    <w:rsid w:val="00E62606"/>
    <w:rsid w:val="00EC5A6B"/>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FBACD7"/>
  <w15:docId w15:val="{4DE1CBCC-65EB-4D2D-BB11-669118EC1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paragraph" w:styleId="Prrafodelista">
    <w:name w:val="List Paragraph"/>
    <w:basedOn w:val="Normal"/>
    <w:uiPriority w:val="34"/>
    <w:qFormat/>
    <w:rsid w:val="002517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4340-7359"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orcid.org/0000-0003-3372-6791"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vmedmilitar.sld.cu/index.php/mil/article/view/629/658"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revmedmilitar.sld.cu/index.php/mil/article/view/850/669" TargetMode="External"/><Relationship Id="rId4" Type="http://schemas.openxmlformats.org/officeDocument/2006/relationships/webSettings" Target="webSettings.xml"/><Relationship Id="rId9" Type="http://schemas.openxmlformats.org/officeDocument/2006/relationships/hyperlink" Target="http://www.bvs.sld.cu/libros/autopsia_garantia_2daedicion/autopsia_completo.pdf"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OK_artículo.dotx</Template>
  <TotalTime>6</TotalTime>
  <Pages>4</Pages>
  <Words>1050</Words>
  <Characters>5781</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6818</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Editor</dc:creator>
  <cp:lastModifiedBy>Editor</cp:lastModifiedBy>
  <cp:revision>8</cp:revision>
  <cp:lastPrinted>2021-03-14T20:59:00Z</cp:lastPrinted>
  <dcterms:created xsi:type="dcterms:W3CDTF">2021-03-13T18:40:00Z</dcterms:created>
  <dcterms:modified xsi:type="dcterms:W3CDTF">2021-03-14T21:01:00Z</dcterms:modified>
</cp:coreProperties>
</file>