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8BED" w14:textId="77777777" w:rsidR="0077141A" w:rsidRPr="00280686" w:rsidRDefault="0077141A" w:rsidP="0077141A">
      <w:pPr>
        <w:spacing w:line="360" w:lineRule="auto"/>
        <w:ind w:left="425" w:hanging="425"/>
        <w:jc w:val="right"/>
        <w:rPr>
          <w:sz w:val="20"/>
          <w:szCs w:val="20"/>
        </w:rPr>
      </w:pPr>
      <w:r w:rsidRPr="00280686">
        <w:rPr>
          <w:sz w:val="20"/>
          <w:szCs w:val="20"/>
        </w:rPr>
        <w:t>Artículo de revisión</w:t>
      </w:r>
    </w:p>
    <w:p w14:paraId="51FCC256" w14:textId="77777777" w:rsidR="0077141A" w:rsidRPr="00280686" w:rsidRDefault="0077141A" w:rsidP="0077141A">
      <w:pPr>
        <w:spacing w:line="360" w:lineRule="auto"/>
        <w:ind w:left="425" w:hanging="425"/>
        <w:rPr>
          <w:b/>
        </w:rPr>
      </w:pPr>
    </w:p>
    <w:p w14:paraId="68B842C5" w14:textId="77777777" w:rsidR="0077141A" w:rsidRPr="00280686" w:rsidRDefault="0077141A" w:rsidP="0077141A">
      <w:pPr>
        <w:spacing w:line="360" w:lineRule="auto"/>
        <w:ind w:left="425" w:hanging="425"/>
        <w:jc w:val="center"/>
        <w:rPr>
          <w:b/>
          <w:sz w:val="28"/>
          <w:szCs w:val="28"/>
        </w:rPr>
      </w:pPr>
      <w:r w:rsidRPr="00280686">
        <w:rPr>
          <w:b/>
          <w:bCs/>
          <w:sz w:val="28"/>
          <w:szCs w:val="28"/>
          <w:lang w:val="es-PE"/>
        </w:rPr>
        <w:t>Interacciones farmacocinéticas de la azitromicina e implicación clínica</w:t>
      </w:r>
    </w:p>
    <w:p w14:paraId="7FE65E1F" w14:textId="77777777" w:rsidR="0077141A" w:rsidRPr="00280686" w:rsidRDefault="0077141A" w:rsidP="0077141A">
      <w:pPr>
        <w:spacing w:line="360" w:lineRule="auto"/>
        <w:jc w:val="center"/>
        <w:rPr>
          <w:sz w:val="28"/>
          <w:szCs w:val="28"/>
          <w:lang w:val="en" w:eastAsia="en-US"/>
        </w:rPr>
      </w:pPr>
      <w:r w:rsidRPr="00280686">
        <w:rPr>
          <w:sz w:val="28"/>
          <w:szCs w:val="28"/>
          <w:lang w:val="en" w:eastAsia="en-US"/>
        </w:rPr>
        <w:t>Pharmacokinetic interactions of azithromycin and clinical implication</w:t>
      </w:r>
    </w:p>
    <w:p w14:paraId="43B5D44E" w14:textId="77777777" w:rsidR="0077141A" w:rsidRPr="00280686" w:rsidRDefault="0077141A" w:rsidP="0077141A">
      <w:pPr>
        <w:spacing w:line="360" w:lineRule="auto"/>
        <w:jc w:val="both"/>
        <w:rPr>
          <w:b/>
          <w:bCs/>
          <w:lang w:val="en-US"/>
        </w:rPr>
      </w:pPr>
    </w:p>
    <w:p w14:paraId="319E96B8" w14:textId="77777777" w:rsidR="0077141A" w:rsidRPr="00280686" w:rsidRDefault="0077141A" w:rsidP="0077141A">
      <w:pPr>
        <w:spacing w:line="360" w:lineRule="auto"/>
        <w:jc w:val="both"/>
        <w:rPr>
          <w:bCs/>
        </w:rPr>
      </w:pPr>
      <w:r w:rsidRPr="00280686">
        <w:rPr>
          <w:bCs/>
        </w:rPr>
        <w:t>María Saravia Bartra</w:t>
      </w:r>
      <w:r w:rsidRPr="00280686">
        <w:rPr>
          <w:bCs/>
          <w:vertAlign w:val="superscript"/>
        </w:rPr>
        <w:t>1</w:t>
      </w:r>
      <w:r w:rsidRPr="00280686">
        <w:rPr>
          <w:bCs/>
        </w:rPr>
        <w:t xml:space="preserve"> </w:t>
      </w:r>
      <w:hyperlink r:id="rId7" w:history="1">
        <w:r w:rsidRPr="00280686">
          <w:rPr>
            <w:rStyle w:val="Hipervnculo"/>
            <w:bCs/>
          </w:rPr>
          <w:t>https://orcid.org/0000-0002-9271-2085</w:t>
        </w:r>
      </w:hyperlink>
      <w:r w:rsidRPr="00280686">
        <w:rPr>
          <w:bCs/>
        </w:rPr>
        <w:t xml:space="preserve"> </w:t>
      </w:r>
    </w:p>
    <w:p w14:paraId="2C08D747" w14:textId="77777777" w:rsidR="0077141A" w:rsidRPr="00280686" w:rsidRDefault="0077141A" w:rsidP="0077141A">
      <w:pPr>
        <w:spacing w:line="360" w:lineRule="auto"/>
        <w:jc w:val="both"/>
        <w:rPr>
          <w:bCs/>
        </w:rPr>
      </w:pPr>
      <w:r w:rsidRPr="00280686">
        <w:rPr>
          <w:bCs/>
        </w:rPr>
        <w:t xml:space="preserve">Ricardo </w:t>
      </w:r>
      <w:proofErr w:type="spellStart"/>
      <w:r w:rsidRPr="00280686">
        <w:rPr>
          <w:bCs/>
        </w:rPr>
        <w:t>Losno</w:t>
      </w:r>
      <w:proofErr w:type="spellEnd"/>
      <w:r w:rsidRPr="00280686">
        <w:rPr>
          <w:bCs/>
        </w:rPr>
        <w:t xml:space="preserve"> García</w:t>
      </w:r>
      <w:r w:rsidRPr="00280686">
        <w:rPr>
          <w:bCs/>
          <w:vertAlign w:val="superscript"/>
        </w:rPr>
        <w:t>1</w:t>
      </w:r>
      <w:r w:rsidRPr="00280686">
        <w:rPr>
          <w:bCs/>
        </w:rPr>
        <w:t xml:space="preserve"> </w:t>
      </w:r>
      <w:hyperlink r:id="rId8" w:history="1">
        <w:r w:rsidRPr="00280686">
          <w:rPr>
            <w:rStyle w:val="Hipervnculo"/>
            <w:bCs/>
          </w:rPr>
          <w:t>https://orcid.org/0000-0003-1814-7150</w:t>
        </w:r>
      </w:hyperlink>
      <w:r w:rsidRPr="00280686">
        <w:rPr>
          <w:bCs/>
        </w:rPr>
        <w:t xml:space="preserve"> </w:t>
      </w:r>
    </w:p>
    <w:p w14:paraId="6A378EBD" w14:textId="77777777" w:rsidR="0077141A" w:rsidRPr="00280686" w:rsidRDefault="0077141A" w:rsidP="0077141A">
      <w:pPr>
        <w:spacing w:line="360" w:lineRule="auto"/>
        <w:jc w:val="both"/>
        <w:rPr>
          <w:bCs/>
        </w:rPr>
      </w:pPr>
      <w:r w:rsidRPr="00280686">
        <w:rPr>
          <w:bCs/>
        </w:rPr>
        <w:t>Milton Valderrama-Wong</w:t>
      </w:r>
      <w:r w:rsidRPr="00280686">
        <w:rPr>
          <w:bCs/>
          <w:vertAlign w:val="superscript"/>
        </w:rPr>
        <w:t>1</w:t>
      </w:r>
      <w:r w:rsidRPr="00280686">
        <w:rPr>
          <w:bCs/>
        </w:rPr>
        <w:t xml:space="preserve"> </w:t>
      </w:r>
      <w:hyperlink r:id="rId9" w:history="1">
        <w:r w:rsidRPr="00280686">
          <w:rPr>
            <w:rStyle w:val="Hipervnculo"/>
            <w:bCs/>
          </w:rPr>
          <w:t>https://orcid.org/0000-0002-3430-143X</w:t>
        </w:r>
      </w:hyperlink>
      <w:r w:rsidRPr="00280686">
        <w:rPr>
          <w:bCs/>
        </w:rPr>
        <w:t xml:space="preserve"> </w:t>
      </w:r>
    </w:p>
    <w:p w14:paraId="706BE197" w14:textId="77777777" w:rsidR="0077141A" w:rsidRPr="00280686" w:rsidRDefault="0077141A" w:rsidP="0077141A">
      <w:pPr>
        <w:spacing w:line="360" w:lineRule="auto"/>
        <w:jc w:val="both"/>
        <w:rPr>
          <w:bCs/>
        </w:rPr>
      </w:pPr>
      <w:r w:rsidRPr="00280686">
        <w:rPr>
          <w:bCs/>
        </w:rPr>
        <w:t>Ana María Muñoz Jáuregui</w:t>
      </w:r>
      <w:r w:rsidRPr="00280686">
        <w:rPr>
          <w:bCs/>
          <w:vertAlign w:val="superscript"/>
        </w:rPr>
        <w:t>1</w:t>
      </w:r>
      <w:r w:rsidRPr="00280686">
        <w:rPr>
          <w:bCs/>
        </w:rPr>
        <w:t xml:space="preserve"> </w:t>
      </w:r>
      <w:hyperlink r:id="rId10" w:history="1">
        <w:r w:rsidRPr="00280686">
          <w:rPr>
            <w:rStyle w:val="Hipervnculo"/>
            <w:bCs/>
          </w:rPr>
          <w:t>https://orcid.org/0000-0003-3080-9823</w:t>
        </w:r>
      </w:hyperlink>
      <w:r w:rsidRPr="00280686">
        <w:rPr>
          <w:bCs/>
        </w:rPr>
        <w:t xml:space="preserve"> </w:t>
      </w:r>
    </w:p>
    <w:p w14:paraId="75BA6480" w14:textId="77777777" w:rsidR="0077141A" w:rsidRPr="00280686" w:rsidRDefault="0077141A" w:rsidP="0077141A">
      <w:pPr>
        <w:spacing w:line="360" w:lineRule="auto"/>
        <w:jc w:val="both"/>
        <w:rPr>
          <w:bCs/>
          <w:vertAlign w:val="superscript"/>
        </w:rPr>
      </w:pPr>
      <w:r w:rsidRPr="00280686">
        <w:rPr>
          <w:bCs/>
        </w:rPr>
        <w:t>María Bendezú Acevedo</w:t>
      </w:r>
      <w:r w:rsidRPr="00280686">
        <w:rPr>
          <w:bCs/>
          <w:vertAlign w:val="superscript"/>
        </w:rPr>
        <w:t>2</w:t>
      </w:r>
      <w:r w:rsidRPr="00280686">
        <w:rPr>
          <w:bCs/>
        </w:rPr>
        <w:t xml:space="preserve"> </w:t>
      </w:r>
      <w:hyperlink r:id="rId11" w:history="1">
        <w:r w:rsidRPr="00280686">
          <w:rPr>
            <w:rStyle w:val="Hipervnculo"/>
            <w:bCs/>
          </w:rPr>
          <w:t>https://orcid.org/0000-0002-3053-3057</w:t>
        </w:r>
      </w:hyperlink>
      <w:r w:rsidRPr="00280686">
        <w:rPr>
          <w:bCs/>
        </w:rPr>
        <w:t xml:space="preserve"> </w:t>
      </w:r>
    </w:p>
    <w:p w14:paraId="0AAE6C14" w14:textId="77777777" w:rsidR="0077141A" w:rsidRPr="00280686" w:rsidRDefault="0077141A" w:rsidP="0077141A">
      <w:pPr>
        <w:spacing w:line="360" w:lineRule="auto"/>
        <w:jc w:val="both"/>
        <w:rPr>
          <w:bCs/>
        </w:rPr>
      </w:pPr>
      <w:r w:rsidRPr="00280686">
        <w:rPr>
          <w:bCs/>
        </w:rPr>
        <w:t>Jorge García Ceccarelli</w:t>
      </w:r>
      <w:r w:rsidRPr="00280686">
        <w:rPr>
          <w:bCs/>
          <w:vertAlign w:val="superscript"/>
        </w:rPr>
        <w:t>2</w:t>
      </w:r>
      <w:r w:rsidRPr="00280686">
        <w:rPr>
          <w:bCs/>
        </w:rPr>
        <w:t xml:space="preserve"> </w:t>
      </w:r>
      <w:hyperlink r:id="rId12" w:history="1">
        <w:r w:rsidRPr="00280686">
          <w:rPr>
            <w:rStyle w:val="Hipervnculo"/>
            <w:bCs/>
          </w:rPr>
          <w:t>https://orcid.org/0000-0001-9880-7344</w:t>
        </w:r>
      </w:hyperlink>
      <w:r w:rsidRPr="00280686">
        <w:rPr>
          <w:bCs/>
        </w:rPr>
        <w:t xml:space="preserve"> </w:t>
      </w:r>
    </w:p>
    <w:p w14:paraId="6074EC31" w14:textId="77777777" w:rsidR="0077141A" w:rsidRPr="00280686" w:rsidRDefault="0077141A" w:rsidP="0077141A">
      <w:pPr>
        <w:spacing w:line="360" w:lineRule="auto"/>
        <w:jc w:val="both"/>
        <w:rPr>
          <w:bCs/>
        </w:rPr>
      </w:pPr>
      <w:r w:rsidRPr="00280686">
        <w:rPr>
          <w:bCs/>
        </w:rPr>
        <w:t>Felipe Surco Laos</w:t>
      </w:r>
      <w:r w:rsidRPr="00280686">
        <w:rPr>
          <w:bCs/>
          <w:vertAlign w:val="superscript"/>
        </w:rPr>
        <w:t xml:space="preserve">2 </w:t>
      </w:r>
      <w:hyperlink r:id="rId13" w:history="1">
        <w:r w:rsidRPr="00280686">
          <w:rPr>
            <w:rStyle w:val="Hipervnculo"/>
            <w:bCs/>
          </w:rPr>
          <w:t>https://orcid.org/0000-0003-0805-5535</w:t>
        </w:r>
      </w:hyperlink>
      <w:r w:rsidRPr="00280686">
        <w:rPr>
          <w:bCs/>
        </w:rPr>
        <w:t xml:space="preserve"> </w:t>
      </w:r>
    </w:p>
    <w:p w14:paraId="00960519" w14:textId="77777777" w:rsidR="0077141A" w:rsidRPr="00280686" w:rsidRDefault="0077141A" w:rsidP="0077141A">
      <w:pPr>
        <w:spacing w:line="360" w:lineRule="auto"/>
        <w:jc w:val="both"/>
        <w:rPr>
          <w:bCs/>
        </w:rPr>
      </w:pPr>
      <w:r w:rsidRPr="00280686">
        <w:rPr>
          <w:bCs/>
        </w:rPr>
        <w:t>Patricia Basurto Ayala</w:t>
      </w:r>
      <w:r w:rsidRPr="00280686">
        <w:rPr>
          <w:bCs/>
          <w:vertAlign w:val="superscript"/>
        </w:rPr>
        <w:t>3</w:t>
      </w:r>
      <w:r w:rsidRPr="00280686">
        <w:rPr>
          <w:bCs/>
        </w:rPr>
        <w:t xml:space="preserve"> </w:t>
      </w:r>
      <w:hyperlink r:id="rId14" w:history="1">
        <w:r w:rsidRPr="00280686">
          <w:rPr>
            <w:rStyle w:val="Hipervnculo"/>
            <w:bCs/>
          </w:rPr>
          <w:t>https://orcid.org/0000-0002-6943-7329</w:t>
        </w:r>
      </w:hyperlink>
      <w:r w:rsidRPr="00280686">
        <w:rPr>
          <w:bCs/>
        </w:rPr>
        <w:t xml:space="preserve"> </w:t>
      </w:r>
    </w:p>
    <w:p w14:paraId="164E35C6" w14:textId="77777777" w:rsidR="0077141A" w:rsidRPr="00280686" w:rsidRDefault="0077141A" w:rsidP="0077141A">
      <w:pPr>
        <w:spacing w:line="360" w:lineRule="auto"/>
        <w:jc w:val="both"/>
        <w:rPr>
          <w:bCs/>
        </w:rPr>
      </w:pPr>
      <w:r w:rsidRPr="00280686">
        <w:rPr>
          <w:bCs/>
        </w:rPr>
        <w:t>Mario Pineda-Pérez</w:t>
      </w:r>
      <w:r w:rsidRPr="00280686">
        <w:rPr>
          <w:bCs/>
          <w:vertAlign w:val="superscript"/>
        </w:rPr>
        <w:t>3</w:t>
      </w:r>
      <w:r w:rsidRPr="00280686">
        <w:rPr>
          <w:bCs/>
        </w:rPr>
        <w:t xml:space="preserve"> </w:t>
      </w:r>
      <w:hyperlink r:id="rId15" w:history="1">
        <w:r w:rsidRPr="00280686">
          <w:rPr>
            <w:rStyle w:val="Hipervnculo"/>
            <w:bCs/>
          </w:rPr>
          <w:t>https://orcid.org/0000-0001-6818-7797</w:t>
        </w:r>
      </w:hyperlink>
      <w:r w:rsidRPr="00280686">
        <w:rPr>
          <w:bCs/>
        </w:rPr>
        <w:t xml:space="preserve"> </w:t>
      </w:r>
    </w:p>
    <w:p w14:paraId="5171AE6B" w14:textId="77777777" w:rsidR="0077141A" w:rsidRPr="00280686" w:rsidRDefault="0077141A" w:rsidP="0077141A">
      <w:pPr>
        <w:spacing w:line="360" w:lineRule="auto"/>
        <w:jc w:val="both"/>
        <w:rPr>
          <w:bCs/>
        </w:rPr>
      </w:pPr>
      <w:proofErr w:type="spellStart"/>
      <w:r w:rsidRPr="00280686">
        <w:rPr>
          <w:bCs/>
        </w:rPr>
        <w:t>Angel</w:t>
      </w:r>
      <w:proofErr w:type="spellEnd"/>
      <w:r w:rsidRPr="00280686">
        <w:rPr>
          <w:bCs/>
        </w:rPr>
        <w:t xml:space="preserve"> Tito Alvarado Yarasca</w:t>
      </w:r>
      <w:r w:rsidRPr="00280686">
        <w:rPr>
          <w:bCs/>
          <w:vertAlign w:val="superscript"/>
        </w:rPr>
        <w:t>1</w:t>
      </w:r>
      <w:r w:rsidRPr="00280686">
        <w:rPr>
          <w:bCs/>
        </w:rPr>
        <w:t xml:space="preserve">* </w:t>
      </w:r>
      <w:hyperlink r:id="rId16" w:history="1">
        <w:r w:rsidRPr="00280686">
          <w:rPr>
            <w:rStyle w:val="Hipervnculo"/>
            <w:bCs/>
          </w:rPr>
          <w:t>https://orcid.org/0000-0001-8694-8924</w:t>
        </w:r>
      </w:hyperlink>
      <w:r w:rsidRPr="00280686">
        <w:rPr>
          <w:bCs/>
        </w:rPr>
        <w:t xml:space="preserve"> </w:t>
      </w:r>
    </w:p>
    <w:p w14:paraId="113D1AC6" w14:textId="77777777" w:rsidR="0077141A" w:rsidRPr="00280686" w:rsidRDefault="0077141A" w:rsidP="0077141A">
      <w:pPr>
        <w:spacing w:line="360" w:lineRule="auto"/>
        <w:jc w:val="both"/>
        <w:rPr>
          <w:bCs/>
        </w:rPr>
      </w:pPr>
    </w:p>
    <w:p w14:paraId="7038DC44" w14:textId="77777777" w:rsidR="0077141A" w:rsidRPr="00280686" w:rsidRDefault="0077141A" w:rsidP="0077141A">
      <w:pPr>
        <w:spacing w:line="360" w:lineRule="auto"/>
        <w:jc w:val="both"/>
        <w:rPr>
          <w:bCs/>
        </w:rPr>
      </w:pPr>
      <w:r w:rsidRPr="00280686">
        <w:rPr>
          <w:bCs/>
          <w:vertAlign w:val="superscript"/>
        </w:rPr>
        <w:t>1</w:t>
      </w:r>
      <w:r w:rsidRPr="00280686">
        <w:rPr>
          <w:bCs/>
        </w:rPr>
        <w:t>Universidad San Ignacio de Loyola, USIL. Lima, Perú.</w:t>
      </w:r>
    </w:p>
    <w:p w14:paraId="506721B3" w14:textId="77777777" w:rsidR="0077141A" w:rsidRPr="00280686" w:rsidRDefault="0077141A" w:rsidP="0077141A">
      <w:pPr>
        <w:spacing w:line="360" w:lineRule="auto"/>
        <w:jc w:val="both"/>
        <w:rPr>
          <w:bCs/>
        </w:rPr>
      </w:pPr>
      <w:r w:rsidRPr="00280686">
        <w:rPr>
          <w:bCs/>
          <w:vertAlign w:val="superscript"/>
        </w:rPr>
        <w:t>2</w:t>
      </w:r>
      <w:r w:rsidRPr="00280686">
        <w:rPr>
          <w:bCs/>
        </w:rPr>
        <w:t>Universidad Nacional San Luis Gonzaga de Ica. Ica, Perú.</w:t>
      </w:r>
    </w:p>
    <w:p w14:paraId="1F84B9C1" w14:textId="77777777" w:rsidR="0077141A" w:rsidRPr="00280686" w:rsidRDefault="0077141A" w:rsidP="0077141A">
      <w:pPr>
        <w:spacing w:line="360" w:lineRule="auto"/>
        <w:jc w:val="both"/>
        <w:rPr>
          <w:bCs/>
        </w:rPr>
      </w:pPr>
      <w:r w:rsidRPr="00280686">
        <w:rPr>
          <w:bCs/>
          <w:vertAlign w:val="superscript"/>
        </w:rPr>
        <w:t>3</w:t>
      </w:r>
      <w:r w:rsidRPr="00280686">
        <w:rPr>
          <w:bCs/>
        </w:rPr>
        <w:t>Universidad Privada Norbert Wiener. Lima, Perú.</w:t>
      </w:r>
    </w:p>
    <w:p w14:paraId="41D6DFE7" w14:textId="77777777" w:rsidR="0077141A" w:rsidRPr="00280686" w:rsidRDefault="0077141A" w:rsidP="0077141A">
      <w:pPr>
        <w:spacing w:line="360" w:lineRule="auto"/>
        <w:jc w:val="both"/>
        <w:rPr>
          <w:bCs/>
        </w:rPr>
      </w:pPr>
    </w:p>
    <w:p w14:paraId="6B5882FF" w14:textId="77777777" w:rsidR="0077141A" w:rsidRPr="00280686" w:rsidRDefault="0077141A" w:rsidP="0077141A">
      <w:pPr>
        <w:spacing w:line="360" w:lineRule="auto"/>
        <w:jc w:val="both"/>
        <w:rPr>
          <w:bCs/>
        </w:rPr>
      </w:pPr>
      <w:r w:rsidRPr="00280686">
        <w:rPr>
          <w:bCs/>
        </w:rPr>
        <w:t xml:space="preserve">*Autor para la correspondencia. Correo electrónico: </w:t>
      </w:r>
      <w:hyperlink r:id="rId17" w:history="1">
        <w:r w:rsidRPr="00280686">
          <w:rPr>
            <w:rStyle w:val="Hipervnculo"/>
            <w:bCs/>
          </w:rPr>
          <w:t>eaa.alvarado@hotmail.com</w:t>
        </w:r>
      </w:hyperlink>
      <w:r w:rsidRPr="00280686">
        <w:rPr>
          <w:bCs/>
        </w:rPr>
        <w:t xml:space="preserve"> </w:t>
      </w:r>
    </w:p>
    <w:p w14:paraId="3DA667EC" w14:textId="77777777" w:rsidR="0077141A" w:rsidRPr="00280686" w:rsidRDefault="0077141A" w:rsidP="0077141A">
      <w:pPr>
        <w:spacing w:line="360" w:lineRule="auto"/>
        <w:jc w:val="both"/>
        <w:rPr>
          <w:bCs/>
        </w:rPr>
      </w:pPr>
    </w:p>
    <w:p w14:paraId="33EDA92B" w14:textId="77777777" w:rsidR="0077141A" w:rsidRPr="00280686" w:rsidRDefault="0077141A" w:rsidP="0077141A">
      <w:pPr>
        <w:spacing w:line="360" w:lineRule="auto"/>
        <w:jc w:val="both"/>
        <w:rPr>
          <w:b/>
          <w:bCs/>
        </w:rPr>
      </w:pPr>
      <w:r w:rsidRPr="00280686">
        <w:rPr>
          <w:b/>
          <w:bCs/>
        </w:rPr>
        <w:t>RESUMEN</w:t>
      </w:r>
    </w:p>
    <w:p w14:paraId="3F7FA7B2" w14:textId="77777777" w:rsidR="0077141A" w:rsidRPr="00280686" w:rsidRDefault="0077141A" w:rsidP="0077141A">
      <w:pPr>
        <w:pStyle w:val="Default"/>
        <w:spacing w:line="360" w:lineRule="auto"/>
        <w:jc w:val="both"/>
        <w:rPr>
          <w:rFonts w:ascii="Times New Roman" w:hAnsi="Times New Roman" w:cs="Times New Roman"/>
          <w:color w:val="auto"/>
        </w:rPr>
      </w:pPr>
      <w:r w:rsidRPr="00280686">
        <w:rPr>
          <w:rFonts w:ascii="Times New Roman" w:hAnsi="Times New Roman" w:cs="Times New Roman"/>
          <w:b/>
          <w:bCs/>
          <w:color w:val="auto"/>
        </w:rPr>
        <w:t xml:space="preserve">Introducción: </w:t>
      </w:r>
      <w:r w:rsidRPr="00280686">
        <w:rPr>
          <w:rFonts w:ascii="Times New Roman" w:hAnsi="Times New Roman" w:cs="Times New Roman"/>
          <w:bCs/>
          <w:color w:val="auto"/>
        </w:rPr>
        <w:t xml:space="preserve">El </w:t>
      </w:r>
      <w:r w:rsidRPr="00280686">
        <w:rPr>
          <w:rFonts w:ascii="Times New Roman" w:hAnsi="Times New Roman" w:cs="Times New Roman"/>
          <w:color w:val="auto"/>
        </w:rPr>
        <w:t xml:space="preserve">síndrome respiratorio agudo grave (por la COVID-19) es en la actualidad la primera causa de muerte en el Perú, por lo que se requiere de fármacos eficaces y seguros para mitigar la enfermedad. Se realizó </w:t>
      </w:r>
      <w:r w:rsidRPr="00280686">
        <w:rPr>
          <w:rFonts w:ascii="Times New Roman" w:hAnsi="Times New Roman" w:cs="Times New Roman"/>
          <w:color w:val="auto"/>
          <w:lang w:val="es-MX"/>
        </w:rPr>
        <w:t xml:space="preserve">una búsqueda bibliográfica en </w:t>
      </w:r>
      <w:r w:rsidRPr="00280686">
        <w:rPr>
          <w:rFonts w:ascii="Times New Roman" w:hAnsi="Times New Roman" w:cs="Times New Roman"/>
          <w:color w:val="auto"/>
        </w:rPr>
        <w:t>SciELO y PubMed/ Medline; se seleccionaron 37 de 58 artículos sobre el tema.</w:t>
      </w:r>
    </w:p>
    <w:p w14:paraId="1F511FAC" w14:textId="77777777" w:rsidR="0077141A" w:rsidRPr="00280686" w:rsidRDefault="0077141A" w:rsidP="0077141A">
      <w:pPr>
        <w:pStyle w:val="Default"/>
        <w:spacing w:line="360" w:lineRule="auto"/>
        <w:jc w:val="both"/>
        <w:rPr>
          <w:rFonts w:ascii="Times New Roman" w:hAnsi="Times New Roman" w:cs="Times New Roman"/>
          <w:color w:val="auto"/>
        </w:rPr>
      </w:pPr>
      <w:r w:rsidRPr="00280686">
        <w:rPr>
          <w:rFonts w:ascii="Times New Roman" w:hAnsi="Times New Roman" w:cs="Times New Roman"/>
          <w:b/>
          <w:bCs/>
          <w:color w:val="auto"/>
        </w:rPr>
        <w:lastRenderedPageBreak/>
        <w:t xml:space="preserve">Objetivos: </w:t>
      </w:r>
      <w:r w:rsidRPr="00280686">
        <w:rPr>
          <w:rFonts w:ascii="Times New Roman" w:hAnsi="Times New Roman" w:cs="Times New Roman"/>
          <w:color w:val="auto"/>
        </w:rPr>
        <w:t>Revisar e integrar la información sobre las interacciones farmacocinéticas de la azitromicina que se prescriben en el tratamiento ambulatorio de la COVID-19 en el Perú, y evaluar su implicación clínica.</w:t>
      </w:r>
    </w:p>
    <w:p w14:paraId="0638D252" w14:textId="77777777" w:rsidR="0077141A" w:rsidRPr="00280686" w:rsidRDefault="0077141A" w:rsidP="0077141A">
      <w:pPr>
        <w:shd w:val="clear" w:color="auto" w:fill="FFFFFF"/>
        <w:spacing w:line="360" w:lineRule="auto"/>
        <w:jc w:val="both"/>
        <w:rPr>
          <w:b/>
        </w:rPr>
      </w:pPr>
      <w:r w:rsidRPr="00280686">
        <w:rPr>
          <w:b/>
        </w:rPr>
        <w:t xml:space="preserve">Desarrollo: </w:t>
      </w:r>
      <w:r w:rsidRPr="00280686">
        <w:t>La azitromicina es usada en la COVID-19, por su actividad antiinflamatoria, al inhibir a las interleucinas (IL1, 6, 8 y TNF-α), y a las moléculas de adhesión intracelular 1 (ICAM1); y por inducir la producción de interferón tipo I (IFN-α, IFN-β) y III (IFN-λ) en células de pacientes con enfermedad pulmonar obstructiva crónica.</w:t>
      </w:r>
      <w:r w:rsidRPr="00280686">
        <w:rPr>
          <w:b/>
        </w:rPr>
        <w:t xml:space="preserve"> </w:t>
      </w:r>
      <w:r w:rsidRPr="00280686">
        <w:rPr>
          <w:lang w:val="es-MX"/>
        </w:rPr>
        <w:t>Los estudios de tres brazos, aleatorizado y abierto</w:t>
      </w:r>
      <w:r w:rsidRPr="00280686">
        <w:rPr>
          <w:shd w:val="clear" w:color="auto" w:fill="FFFFFF"/>
          <w:lang w:val="es-MX"/>
        </w:rPr>
        <w:t xml:space="preserve">, indican </w:t>
      </w:r>
      <w:r w:rsidRPr="00280686">
        <w:rPr>
          <w:lang w:val="es-PE"/>
        </w:rPr>
        <w:t>que la azitromicina no genera cambios en los parámetros farmacocinéticos de la</w:t>
      </w:r>
      <w:r w:rsidRPr="00280686">
        <w:rPr>
          <w:lang w:val="es-MX"/>
        </w:rPr>
        <w:t xml:space="preserve"> ivermectina,</w:t>
      </w:r>
      <w:r w:rsidRPr="00280686">
        <w:rPr>
          <w:shd w:val="clear" w:color="auto" w:fill="FFFFFF"/>
          <w:lang w:val="es-MX"/>
        </w:rPr>
        <w:t xml:space="preserve"> </w:t>
      </w:r>
      <w:proofErr w:type="spellStart"/>
      <w:r w:rsidRPr="00280686">
        <w:rPr>
          <w:shd w:val="clear" w:color="auto" w:fill="FFFFFF"/>
          <w:lang w:val="es-MX"/>
        </w:rPr>
        <w:t>sildenafilo</w:t>
      </w:r>
      <w:proofErr w:type="spellEnd"/>
      <w:r w:rsidRPr="00280686">
        <w:t>,</w:t>
      </w:r>
      <w:r w:rsidRPr="00280686">
        <w:rPr>
          <w:shd w:val="clear" w:color="auto" w:fill="FFFFFF"/>
        </w:rPr>
        <w:t xml:space="preserve"> </w:t>
      </w:r>
      <w:proofErr w:type="spellStart"/>
      <w:r w:rsidRPr="00280686">
        <w:rPr>
          <w:shd w:val="clear" w:color="auto" w:fill="FFFFFF"/>
        </w:rPr>
        <w:t>rupatadina</w:t>
      </w:r>
      <w:proofErr w:type="spellEnd"/>
      <w:r w:rsidRPr="00280686">
        <w:rPr>
          <w:shd w:val="clear" w:color="auto" w:fill="FFFFFF"/>
        </w:rPr>
        <w:t xml:space="preserve"> y desloratadina; los</w:t>
      </w:r>
      <w:r w:rsidRPr="00280686">
        <w:rPr>
          <w:lang w:val="es-MX" w:eastAsia="en-US"/>
        </w:rPr>
        <w:t xml:space="preserve"> estudios de un solo centro, abierto, sin ayuno y de dos períodos, evidencian </w:t>
      </w:r>
      <w:r w:rsidRPr="00280686">
        <w:rPr>
          <w:lang w:val="es-MX"/>
        </w:rPr>
        <w:t>que la azitromicina influye en los parámetros farmacocinéticos de</w:t>
      </w:r>
      <w:r w:rsidRPr="00280686">
        <w:rPr>
          <w:lang w:val="es-MX" w:eastAsia="en-US"/>
        </w:rPr>
        <w:t xml:space="preserve"> </w:t>
      </w:r>
      <w:proofErr w:type="spellStart"/>
      <w:r w:rsidRPr="00280686">
        <w:rPr>
          <w:lang w:val="es-MX" w:eastAsia="en-US"/>
        </w:rPr>
        <w:t>venetoclax</w:t>
      </w:r>
      <w:proofErr w:type="spellEnd"/>
      <w:r w:rsidRPr="00280686">
        <w:rPr>
          <w:lang w:val="es-MX" w:eastAsia="en-US"/>
        </w:rPr>
        <w:t xml:space="preserve"> y de los psicotrópicos.</w:t>
      </w:r>
    </w:p>
    <w:p w14:paraId="4CE9362E" w14:textId="77777777" w:rsidR="0077141A" w:rsidRPr="00280686" w:rsidRDefault="0077141A" w:rsidP="0077141A">
      <w:pPr>
        <w:autoSpaceDE w:val="0"/>
        <w:autoSpaceDN w:val="0"/>
        <w:adjustRightInd w:val="0"/>
        <w:spacing w:line="360" w:lineRule="auto"/>
        <w:jc w:val="both"/>
        <w:rPr>
          <w:lang w:val="es-PE" w:eastAsia="es-PE"/>
        </w:rPr>
      </w:pPr>
      <w:r w:rsidRPr="00280686">
        <w:rPr>
          <w:b/>
          <w:lang w:val="es-PE" w:eastAsia="es-PE"/>
        </w:rPr>
        <w:t>Conclusiones:</w:t>
      </w:r>
      <w:r w:rsidRPr="00280686">
        <w:rPr>
          <w:lang w:val="es-PE" w:eastAsia="es-PE"/>
        </w:rPr>
        <w:t xml:space="preserve"> Basado en la evidencia de los estudios clínicos</w:t>
      </w:r>
      <w:r w:rsidRPr="00280686">
        <w:t xml:space="preserve"> revisados e integrados</w:t>
      </w:r>
      <w:r w:rsidRPr="00280686">
        <w:rPr>
          <w:lang w:val="es-PE" w:eastAsia="es-PE"/>
        </w:rPr>
        <w:t xml:space="preserve">, se concluye que estas son limitadas y de poca relevancia clínica, sin embargo, se propone usar el antibiótico bajo el criterio científico del médico, para evitar las interacciones farmacocinéticas </w:t>
      </w:r>
      <w:r w:rsidRPr="00280686">
        <w:t>y las reacciones adversas de los fármacos</w:t>
      </w:r>
      <w:r w:rsidRPr="00280686">
        <w:rPr>
          <w:lang w:val="es-PE" w:eastAsia="es-PE"/>
        </w:rPr>
        <w:t xml:space="preserve">. </w:t>
      </w:r>
    </w:p>
    <w:p w14:paraId="29D06ADD" w14:textId="77777777" w:rsidR="0077141A" w:rsidRPr="00280686" w:rsidRDefault="0077141A" w:rsidP="0077141A">
      <w:pPr>
        <w:autoSpaceDE w:val="0"/>
        <w:autoSpaceDN w:val="0"/>
        <w:adjustRightInd w:val="0"/>
        <w:spacing w:line="360" w:lineRule="auto"/>
        <w:jc w:val="both"/>
        <w:rPr>
          <w:lang w:val="es-MX"/>
        </w:rPr>
      </w:pPr>
      <w:r w:rsidRPr="00280686">
        <w:rPr>
          <w:b/>
          <w:bCs/>
          <w:lang w:val="es-PE"/>
        </w:rPr>
        <w:t>Palabras clave:</w:t>
      </w:r>
      <w:r w:rsidRPr="00280686">
        <w:rPr>
          <w:b/>
          <w:bCs/>
        </w:rPr>
        <w:t xml:space="preserve"> </w:t>
      </w:r>
      <w:r w:rsidRPr="00280686">
        <w:rPr>
          <w:bCs/>
        </w:rPr>
        <w:t>interacciones farmacológicas; azitromicina; farmacocinética; infecciones por coronavirus; COVID-19; SARS-CoV-2.</w:t>
      </w:r>
    </w:p>
    <w:p w14:paraId="3BA06632" w14:textId="77777777" w:rsidR="0077141A" w:rsidRPr="00280686" w:rsidRDefault="0077141A" w:rsidP="0077141A">
      <w:pPr>
        <w:shd w:val="clear" w:color="auto" w:fill="FFFFFF"/>
        <w:spacing w:line="360" w:lineRule="auto"/>
        <w:jc w:val="both"/>
        <w:rPr>
          <w:b/>
          <w:bCs/>
          <w:lang w:val="es-MX" w:eastAsia="es-PE"/>
        </w:rPr>
      </w:pPr>
    </w:p>
    <w:p w14:paraId="137D51B3" w14:textId="77777777" w:rsidR="0077141A" w:rsidRPr="00280686" w:rsidRDefault="0077141A" w:rsidP="0077141A">
      <w:pPr>
        <w:shd w:val="clear" w:color="auto" w:fill="FFFFFF"/>
        <w:spacing w:line="360" w:lineRule="auto"/>
        <w:jc w:val="both"/>
        <w:rPr>
          <w:b/>
          <w:bCs/>
          <w:lang w:val="en-US" w:eastAsia="es-PE"/>
        </w:rPr>
      </w:pPr>
      <w:r w:rsidRPr="00280686">
        <w:rPr>
          <w:b/>
          <w:bCs/>
          <w:lang w:val="en-US" w:eastAsia="es-PE"/>
        </w:rPr>
        <w:t>ABSTRACT</w:t>
      </w:r>
    </w:p>
    <w:p w14:paraId="49B40915" w14:textId="77777777" w:rsidR="0077141A" w:rsidRPr="00280686" w:rsidRDefault="0077141A" w:rsidP="0077141A">
      <w:pPr>
        <w:shd w:val="clear" w:color="auto" w:fill="FFFFFF"/>
        <w:spacing w:line="360" w:lineRule="auto"/>
        <w:jc w:val="both"/>
        <w:rPr>
          <w:lang w:val="en" w:eastAsia="en-US"/>
        </w:rPr>
      </w:pPr>
      <w:r w:rsidRPr="00280686">
        <w:rPr>
          <w:b/>
          <w:lang w:val="en" w:eastAsia="en-US"/>
        </w:rPr>
        <w:t>Introduction:</w:t>
      </w:r>
      <w:r w:rsidRPr="00280686">
        <w:rPr>
          <w:lang w:val="en" w:eastAsia="en-US"/>
        </w:rPr>
        <w:t xml:space="preserve"> </w:t>
      </w:r>
      <w:r w:rsidRPr="00280686">
        <w:rPr>
          <w:lang w:val="en-US"/>
        </w:rPr>
        <w:t xml:space="preserve">The severe acute respiratory syndrome (due to COVID-19) is currently the leading cause of death in Peru, so effective and safe drugs are required to mitigate the disease. A bibliographic search was carried out in </w:t>
      </w:r>
      <w:proofErr w:type="spellStart"/>
      <w:r w:rsidRPr="00280686">
        <w:rPr>
          <w:lang w:val="en-US"/>
        </w:rPr>
        <w:t>SciELO</w:t>
      </w:r>
      <w:proofErr w:type="spellEnd"/>
      <w:r w:rsidRPr="00280686">
        <w:rPr>
          <w:lang w:val="en-US"/>
        </w:rPr>
        <w:t xml:space="preserve"> and PubMed/Medline; 37 of 58 articles on the topic were selected.</w:t>
      </w:r>
    </w:p>
    <w:p w14:paraId="1ACD484B" w14:textId="77777777" w:rsidR="0077141A" w:rsidRPr="00280686" w:rsidRDefault="0077141A" w:rsidP="0077141A">
      <w:pPr>
        <w:shd w:val="clear" w:color="auto" w:fill="FFFFFF"/>
        <w:spacing w:line="360" w:lineRule="auto"/>
        <w:jc w:val="both"/>
        <w:rPr>
          <w:lang w:val="en" w:eastAsia="en-US"/>
        </w:rPr>
      </w:pPr>
      <w:r w:rsidRPr="00280686">
        <w:rPr>
          <w:b/>
          <w:lang w:val="en" w:eastAsia="en-US"/>
        </w:rPr>
        <w:t>Objectives:</w:t>
      </w:r>
      <w:r w:rsidRPr="00280686">
        <w:rPr>
          <w:lang w:val="en" w:eastAsia="en-US"/>
        </w:rPr>
        <w:t xml:space="preserve"> </w:t>
      </w:r>
      <w:r w:rsidRPr="00280686">
        <w:rPr>
          <w:lang w:val="en-US"/>
        </w:rPr>
        <w:t>Review and integrate the information on the pharmacokinetic interactions of azithromycin that are prescribed in the outpatient treatment of COVID-19 in Peru, and evaluate their clinical implication.</w:t>
      </w:r>
    </w:p>
    <w:p w14:paraId="505B1AAB" w14:textId="77777777" w:rsidR="0077141A" w:rsidRPr="00280686" w:rsidRDefault="0077141A" w:rsidP="0077141A">
      <w:pPr>
        <w:shd w:val="clear" w:color="auto" w:fill="FFFFFF"/>
        <w:spacing w:line="360" w:lineRule="auto"/>
        <w:jc w:val="both"/>
        <w:rPr>
          <w:lang w:val="en" w:eastAsia="en-US"/>
        </w:rPr>
      </w:pPr>
      <w:r w:rsidRPr="00280686">
        <w:rPr>
          <w:b/>
          <w:lang w:val="en" w:eastAsia="en-US"/>
        </w:rPr>
        <w:t>Development:</w:t>
      </w:r>
      <w:r w:rsidRPr="00280686">
        <w:rPr>
          <w:lang w:val="en" w:eastAsia="en-US"/>
        </w:rPr>
        <w:t xml:space="preserve"> </w:t>
      </w:r>
      <w:r w:rsidRPr="00280686">
        <w:rPr>
          <w:lang w:val="en-US"/>
        </w:rPr>
        <w:t xml:space="preserve">Azithromycin is used in COVID-19, due to its anti-inflammatory activity, by inhibiting interleukins (IL1, 6, 8 and TNF-α), and intracellular adhesion molecules 1 (ICAM1); and by inducing the production of type I interferon (IFN-α, IFN-β) and III (IFN-λ) in cells of patients with chronic obstructive pulmonary disease. The three-arm, randomized and open-label studies indicate that </w:t>
      </w:r>
      <w:r w:rsidRPr="00280686">
        <w:rPr>
          <w:lang w:val="en-US"/>
        </w:rPr>
        <w:lastRenderedPageBreak/>
        <w:t xml:space="preserve">azithromycin does not cause changes in the pharmacokinetic parameters of ivermectin, sildenafil, rupatadine, and desloratadine; single-center, open-label, non-fasting, and two-period studies show that azithromycin influences the pharmacokinetic parameters of </w:t>
      </w:r>
      <w:proofErr w:type="spellStart"/>
      <w:r w:rsidRPr="00280686">
        <w:rPr>
          <w:lang w:val="en-US"/>
        </w:rPr>
        <w:t>venetoclax</w:t>
      </w:r>
      <w:proofErr w:type="spellEnd"/>
      <w:r w:rsidRPr="00280686">
        <w:rPr>
          <w:lang w:val="en-US"/>
        </w:rPr>
        <w:t xml:space="preserve"> and psychotropics.</w:t>
      </w:r>
    </w:p>
    <w:p w14:paraId="521AFF84" w14:textId="77777777" w:rsidR="0077141A" w:rsidRPr="00280686" w:rsidRDefault="0077141A" w:rsidP="0077141A">
      <w:pPr>
        <w:shd w:val="clear" w:color="auto" w:fill="FFFFFF"/>
        <w:spacing w:line="360" w:lineRule="auto"/>
        <w:jc w:val="both"/>
        <w:rPr>
          <w:lang w:val="en-US"/>
        </w:rPr>
      </w:pPr>
      <w:r w:rsidRPr="00280686">
        <w:rPr>
          <w:b/>
          <w:lang w:val="en" w:eastAsia="en-US"/>
        </w:rPr>
        <w:t>Conclusions:</w:t>
      </w:r>
      <w:r w:rsidRPr="00280686">
        <w:rPr>
          <w:lang w:val="en" w:eastAsia="en-US"/>
        </w:rPr>
        <w:t xml:space="preserve"> Based on the evidence from the reviewed and integrated clinical studies, it is concluded that these are limited and of little clinical relevance, however, it is proposed to use the antibiotic under the scientific criteria of the doctor, to avoid pharmacokinetic interactions and adverse reactions of drugs.</w:t>
      </w:r>
    </w:p>
    <w:p w14:paraId="70C94C48" w14:textId="77777777" w:rsidR="0077141A" w:rsidRPr="00280686" w:rsidRDefault="0077141A" w:rsidP="0077141A">
      <w:pPr>
        <w:shd w:val="clear" w:color="auto" w:fill="FFFFFF"/>
        <w:spacing w:line="360" w:lineRule="auto"/>
        <w:jc w:val="both"/>
        <w:rPr>
          <w:lang w:val="en" w:eastAsia="en-US"/>
        </w:rPr>
      </w:pPr>
      <w:r w:rsidRPr="00280686">
        <w:rPr>
          <w:b/>
          <w:bCs/>
          <w:lang w:val="en-US"/>
        </w:rPr>
        <w:t xml:space="preserve">Keywords: </w:t>
      </w:r>
      <w:r w:rsidRPr="00280686">
        <w:rPr>
          <w:lang w:val="en" w:eastAsia="en-US"/>
        </w:rPr>
        <w:t>drug interactions; azithromycin; pharmacokinetics; coronavirus infections; COVID-19; SARS-CoV-2.</w:t>
      </w:r>
    </w:p>
    <w:p w14:paraId="7580647B" w14:textId="77777777" w:rsidR="0077141A" w:rsidRPr="00280686" w:rsidRDefault="0077141A" w:rsidP="0077141A">
      <w:pPr>
        <w:shd w:val="clear" w:color="auto" w:fill="FFFFFF"/>
        <w:spacing w:line="360" w:lineRule="auto"/>
        <w:jc w:val="both"/>
        <w:rPr>
          <w:lang w:val="en" w:eastAsia="en-US"/>
        </w:rPr>
      </w:pPr>
    </w:p>
    <w:p w14:paraId="599BCC7A" w14:textId="77777777" w:rsidR="0077141A" w:rsidRPr="00280686" w:rsidRDefault="0077141A" w:rsidP="0077141A">
      <w:pPr>
        <w:shd w:val="clear" w:color="auto" w:fill="FFFFFF"/>
        <w:spacing w:line="360" w:lineRule="auto"/>
        <w:jc w:val="both"/>
        <w:rPr>
          <w:lang w:val="en" w:eastAsia="en-US"/>
        </w:rPr>
      </w:pPr>
    </w:p>
    <w:p w14:paraId="49003FA8" w14:textId="77777777" w:rsidR="0077141A" w:rsidRPr="00280686" w:rsidRDefault="0077141A" w:rsidP="0077141A">
      <w:pPr>
        <w:shd w:val="clear" w:color="auto" w:fill="FFFFFF"/>
        <w:spacing w:line="360" w:lineRule="auto"/>
        <w:jc w:val="both"/>
        <w:rPr>
          <w:lang w:eastAsia="en-US"/>
        </w:rPr>
      </w:pPr>
      <w:r w:rsidRPr="00280686">
        <w:rPr>
          <w:lang w:eastAsia="en-US"/>
        </w:rPr>
        <w:t>Recibido: 18/02/2021</w:t>
      </w:r>
    </w:p>
    <w:p w14:paraId="2996F9FB" w14:textId="77777777" w:rsidR="0077141A" w:rsidRPr="00280686" w:rsidRDefault="0077141A" w:rsidP="0077141A">
      <w:pPr>
        <w:shd w:val="clear" w:color="auto" w:fill="FFFFFF"/>
        <w:spacing w:line="360" w:lineRule="auto"/>
        <w:jc w:val="both"/>
        <w:rPr>
          <w:b/>
          <w:bCs/>
        </w:rPr>
      </w:pPr>
      <w:r w:rsidRPr="00280686">
        <w:rPr>
          <w:lang w:eastAsia="en-US"/>
        </w:rPr>
        <w:t>Aprobado: 25/05/2021</w:t>
      </w:r>
    </w:p>
    <w:p w14:paraId="2000E5E1" w14:textId="77777777" w:rsidR="0077141A" w:rsidRPr="00280686" w:rsidRDefault="0077141A" w:rsidP="0077141A">
      <w:pPr>
        <w:shd w:val="clear" w:color="auto" w:fill="FFFFFF"/>
        <w:tabs>
          <w:tab w:val="left" w:pos="2265"/>
        </w:tabs>
        <w:spacing w:line="360" w:lineRule="auto"/>
        <w:jc w:val="both"/>
        <w:rPr>
          <w:b/>
          <w:bCs/>
        </w:rPr>
      </w:pPr>
    </w:p>
    <w:p w14:paraId="5D7FBE74" w14:textId="77777777" w:rsidR="0077141A" w:rsidRPr="00280686" w:rsidRDefault="0077141A" w:rsidP="0077141A">
      <w:pPr>
        <w:shd w:val="clear" w:color="auto" w:fill="FFFFFF"/>
        <w:tabs>
          <w:tab w:val="left" w:pos="2265"/>
        </w:tabs>
        <w:spacing w:line="360" w:lineRule="auto"/>
        <w:jc w:val="both"/>
        <w:rPr>
          <w:b/>
          <w:bCs/>
        </w:rPr>
      </w:pPr>
    </w:p>
    <w:p w14:paraId="08BA608E" w14:textId="77777777" w:rsidR="0077141A" w:rsidRPr="00280686" w:rsidRDefault="0077141A" w:rsidP="0077141A">
      <w:pPr>
        <w:shd w:val="clear" w:color="auto" w:fill="FFFFFF"/>
        <w:tabs>
          <w:tab w:val="left" w:pos="2265"/>
        </w:tabs>
        <w:spacing w:line="360" w:lineRule="auto"/>
        <w:jc w:val="center"/>
        <w:rPr>
          <w:b/>
          <w:bCs/>
          <w:sz w:val="32"/>
          <w:szCs w:val="32"/>
          <w:lang w:val="es-MX"/>
        </w:rPr>
      </w:pPr>
      <w:r w:rsidRPr="00280686">
        <w:rPr>
          <w:b/>
          <w:bCs/>
          <w:sz w:val="32"/>
          <w:szCs w:val="32"/>
          <w:lang w:val="es-MX"/>
        </w:rPr>
        <w:t>INTRODUCCIÓN</w:t>
      </w:r>
    </w:p>
    <w:p w14:paraId="7116D716" w14:textId="77777777" w:rsidR="0077141A" w:rsidRPr="00280686" w:rsidRDefault="0077141A" w:rsidP="0077141A">
      <w:pPr>
        <w:shd w:val="clear" w:color="auto" w:fill="FFFFFF"/>
        <w:spacing w:line="360" w:lineRule="auto"/>
        <w:jc w:val="both"/>
      </w:pPr>
      <w:r w:rsidRPr="00280686">
        <w:t xml:space="preserve">En la actualidad en el Perú, se está usando en el tratamiento ambulatorio de la COVID-19, azitromicina, ivermectina y prednisona, sin considerar sus interacciones farmacocinéticas; estas interacciones se producen a nivel del proceso de absorción, distribución, metabolismo y excreción, afecta los niveles de las concentraciones plasmáticas de los fármacos. Las interacciones que se generan en el proceso de absorción y del metabolismo, son de alta relevancia clínica, debido a que en la membrana del intestino delgado se expresan los genes </w:t>
      </w:r>
      <w:r w:rsidRPr="00280686">
        <w:rPr>
          <w:i/>
        </w:rPr>
        <w:t>CYP3A4</w:t>
      </w:r>
      <w:r w:rsidRPr="00280686">
        <w:t xml:space="preserve"> y el gen 4 de resistencia a múltiples fármacos MDR1, que se encuentra en la región cromosómica 7q21 que codifica al trasportador de eflujo glicoproteína P, cuyas variantes alélicas C1236T (rs1128503), G2677T/A (rs2032582) y C3435T (rs1045642) tienen un impacto terapéutico en determinados fármacos.</w:t>
      </w:r>
      <w:r w:rsidRPr="00280686">
        <w:rPr>
          <w:vertAlign w:val="superscript"/>
        </w:rPr>
        <w:t>(1)</w:t>
      </w:r>
      <w:r w:rsidRPr="00280686">
        <w:t xml:space="preserve"> A nivel de los hepatocitos, se expresan los genes </w:t>
      </w:r>
      <w:r w:rsidRPr="00280686">
        <w:rPr>
          <w:i/>
        </w:rPr>
        <w:t>CYP3A4, CYP2D6, CYP2C9</w:t>
      </w:r>
      <w:r w:rsidRPr="00280686">
        <w:t>, y otros, que pueden expresar fenotipos de metabolizadores lentos, intermedios o rápidos, los cuales influyen en los niveles plasmáticos de los fármacos y su eficacia clínica.</w:t>
      </w:r>
      <w:r w:rsidRPr="00280686">
        <w:rPr>
          <w:vertAlign w:val="superscript"/>
        </w:rPr>
        <w:t>(2,3)</w:t>
      </w:r>
      <w:r w:rsidRPr="00280686">
        <w:t xml:space="preserve"> </w:t>
      </w:r>
    </w:p>
    <w:p w14:paraId="14466D57" w14:textId="77777777" w:rsidR="0077141A" w:rsidRPr="00280686" w:rsidRDefault="0077141A" w:rsidP="0077141A">
      <w:pPr>
        <w:pStyle w:val="Default"/>
        <w:spacing w:line="360" w:lineRule="auto"/>
        <w:jc w:val="both"/>
        <w:rPr>
          <w:rFonts w:ascii="Times New Roman" w:hAnsi="Times New Roman" w:cs="Times New Roman"/>
          <w:color w:val="auto"/>
        </w:rPr>
      </w:pPr>
      <w:r w:rsidRPr="00280686">
        <w:rPr>
          <w:rFonts w:ascii="Times New Roman" w:hAnsi="Times New Roman" w:cs="Times New Roman"/>
          <w:color w:val="auto"/>
          <w:lang w:val="es-ES"/>
        </w:rPr>
        <w:lastRenderedPageBreak/>
        <w:t xml:space="preserve">En el presente estudio se realizó una </w:t>
      </w:r>
      <w:r w:rsidRPr="00280686">
        <w:rPr>
          <w:rFonts w:ascii="Times New Roman" w:hAnsi="Times New Roman" w:cs="Times New Roman"/>
          <w:color w:val="auto"/>
        </w:rPr>
        <w:t>revisión de la literatura, recopilada a través de las bases de datos SciELO y PubMed/ Medline. Se utilizaron los descriptores “azitromicina”, “farmacocinética”, “COVID-19 e interacciones farmacológicas”, “farmacocinética de la azitromicina”, “interacción farmacocinética azitromicina/ fármacos” e “interacción farmacológica azitromicina/ fármacos” (fármacos se refiera a los usados en la COVID-19). Los criterios de selección incluyeron artículos en idiomas inglés y español. No se usaron filtros referentes al año de publicación, pero sí tuvo fecha de corte que fue el 23 de enero de 2021.</w:t>
      </w:r>
    </w:p>
    <w:p w14:paraId="6CDD704E" w14:textId="77777777" w:rsidR="0077141A" w:rsidRPr="00280686" w:rsidRDefault="0077141A" w:rsidP="0077141A">
      <w:pPr>
        <w:pStyle w:val="Default"/>
        <w:spacing w:line="360" w:lineRule="auto"/>
        <w:jc w:val="both"/>
        <w:rPr>
          <w:rFonts w:ascii="Times New Roman" w:hAnsi="Times New Roman" w:cs="Times New Roman"/>
          <w:color w:val="auto"/>
        </w:rPr>
      </w:pPr>
      <w:r w:rsidRPr="00280686">
        <w:rPr>
          <w:rFonts w:ascii="Times New Roman" w:hAnsi="Times New Roman" w:cs="Times New Roman"/>
          <w:color w:val="auto"/>
        </w:rPr>
        <w:t>Se recuperaron 58 publicaciones en español e inglés, de ellos 37 documentos fueron seleccionados para desarrollar la temática central, 12 (32,43 %) corresponden a los últimos 5 años. Solamente se incluyeron, dada su importancia, 5 referencias anteriores a esta fecha.</w:t>
      </w:r>
    </w:p>
    <w:p w14:paraId="062A480A" w14:textId="77777777" w:rsidR="0077141A" w:rsidRPr="00280686" w:rsidRDefault="0077141A" w:rsidP="0077141A">
      <w:pPr>
        <w:pStyle w:val="Default"/>
        <w:spacing w:line="360" w:lineRule="auto"/>
        <w:jc w:val="both"/>
        <w:rPr>
          <w:rFonts w:ascii="Times New Roman" w:hAnsi="Times New Roman" w:cs="Times New Roman"/>
          <w:color w:val="auto"/>
        </w:rPr>
      </w:pPr>
      <w:r w:rsidRPr="00280686">
        <w:rPr>
          <w:rFonts w:ascii="Times New Roman" w:hAnsi="Times New Roman" w:cs="Times New Roman"/>
          <w:color w:val="auto"/>
        </w:rPr>
        <w:t xml:space="preserve">Se describe el mecanismo de acción molecular de la azitromicina sobre el síndrome respiratorio agudo grave por el coronavirus 2 (SARS-CoV-2) e interacción farmacocinética de la azitromicina con fármacos usados en la COVID-19. </w:t>
      </w:r>
    </w:p>
    <w:p w14:paraId="1F1A6A19" w14:textId="77777777" w:rsidR="0077141A" w:rsidRPr="00280686" w:rsidRDefault="0077141A" w:rsidP="0077141A">
      <w:pPr>
        <w:shd w:val="clear" w:color="auto" w:fill="FFFFFF"/>
        <w:spacing w:line="360" w:lineRule="auto"/>
        <w:jc w:val="both"/>
      </w:pPr>
      <w:r w:rsidRPr="00280686">
        <w:t xml:space="preserve">Se conoce que la polimedicación es uno de los factores que influyen sobre los parámetros farmacocinéticos, por lo </w:t>
      </w:r>
      <w:proofErr w:type="gramStart"/>
      <w:r w:rsidRPr="00280686">
        <w:t>que</w:t>
      </w:r>
      <w:proofErr w:type="gramEnd"/>
      <w:r w:rsidRPr="00280686">
        <w:t xml:space="preserve"> al administrar la azitromicina con otros fármacos, se puede afectar su eficacia y seguridad. </w:t>
      </w:r>
      <w:r w:rsidRPr="00280686">
        <w:rPr>
          <w:lang w:val="es-PE"/>
        </w:rPr>
        <w:t>La azitromicina es un antibiótico con un pKa de 8,5</w:t>
      </w:r>
      <w:r w:rsidRPr="00280686">
        <w:rPr>
          <w:vertAlign w:val="superscript"/>
          <w:lang w:val="es-PE"/>
        </w:rPr>
        <w:t>(4)</w:t>
      </w:r>
      <w:r w:rsidRPr="00280686">
        <w:rPr>
          <w:lang w:val="es-PE"/>
        </w:rPr>
        <w:t xml:space="preserve"> y estable a pH ácido, por lo que la dosis se puede administrar en estómago vacío con 240 mL de agua, cuya biodisponibilidad es del 37 %</w:t>
      </w:r>
      <w:r w:rsidRPr="00280686">
        <w:rPr>
          <w:vertAlign w:val="superscript"/>
          <w:lang w:val="es-PE"/>
        </w:rPr>
        <w:t>(4,5)</w:t>
      </w:r>
      <w:r w:rsidRPr="00280686">
        <w:rPr>
          <w:lang w:val="es-PE"/>
        </w:rPr>
        <w:t xml:space="preserve"> </w:t>
      </w:r>
      <w:r w:rsidRPr="00280686">
        <w:t>la glicoproteína P, está implicada en la absorción intestinal de los macrólidos.</w:t>
      </w:r>
      <w:r w:rsidRPr="00280686">
        <w:rPr>
          <w:vertAlign w:val="superscript"/>
          <w:lang w:eastAsia="es-PE"/>
        </w:rPr>
        <w:t>(</w:t>
      </w:r>
      <w:r w:rsidRPr="00280686">
        <w:rPr>
          <w:vertAlign w:val="superscript"/>
          <w:lang w:val="es-PE" w:eastAsia="es-PE"/>
        </w:rPr>
        <w:t>6)</w:t>
      </w:r>
      <w:r w:rsidRPr="00280686">
        <w:t xml:space="preserve"> Su concentración máxima plasmática </w:t>
      </w:r>
      <w:r w:rsidRPr="00280686">
        <w:rPr>
          <w:lang w:val="es-PE"/>
        </w:rPr>
        <w:t>(</w:t>
      </w:r>
      <w:proofErr w:type="spellStart"/>
      <w:r w:rsidRPr="00280686">
        <w:rPr>
          <w:lang w:val="es-PE"/>
        </w:rPr>
        <w:t>Cmáx</w:t>
      </w:r>
      <w:proofErr w:type="spellEnd"/>
      <w:r w:rsidRPr="00280686">
        <w:rPr>
          <w:lang w:val="es-PE"/>
        </w:rPr>
        <w:t>) es de 0,4 mg/L, el tiempo máximo (</w:t>
      </w:r>
      <w:proofErr w:type="spellStart"/>
      <w:r w:rsidRPr="00280686">
        <w:rPr>
          <w:lang w:val="es-PE"/>
        </w:rPr>
        <w:t>tmáx</w:t>
      </w:r>
      <w:proofErr w:type="spellEnd"/>
      <w:r w:rsidRPr="00280686">
        <w:rPr>
          <w:lang w:val="es-PE"/>
        </w:rPr>
        <w:t>) de 2-4 horas,</w:t>
      </w:r>
      <w:r w:rsidRPr="00280686">
        <w:rPr>
          <w:vertAlign w:val="superscript"/>
          <w:lang w:val="es-PE"/>
        </w:rPr>
        <w:t>(4,7)</w:t>
      </w:r>
      <w:r w:rsidRPr="00280686">
        <w:rPr>
          <w:lang w:val="es-PE"/>
        </w:rPr>
        <w:t xml:space="preserve"> pero luego de tres días de tratamiento a la dosis de 500 mg se observa una concentración de 1 mg/L</w:t>
      </w:r>
      <w:r w:rsidRPr="00280686">
        <w:rPr>
          <w:lang w:val="es-PE" w:eastAsia="es-PE"/>
        </w:rPr>
        <w:t>.</w:t>
      </w:r>
      <w:r w:rsidRPr="00280686">
        <w:rPr>
          <w:vertAlign w:val="superscript"/>
          <w:lang w:val="es-PE" w:eastAsia="es-PE"/>
        </w:rPr>
        <w:t>(7)</w:t>
      </w:r>
      <w:r w:rsidRPr="00280686">
        <w:rPr>
          <w:lang w:val="es-PE" w:eastAsia="es-PE"/>
        </w:rPr>
        <w:t xml:space="preserve"> Su unión a </w:t>
      </w:r>
      <w:r w:rsidRPr="00280686">
        <w:t>proteínas plasmáticas (UP) es de 50 %,</w:t>
      </w:r>
      <w:r w:rsidRPr="00280686">
        <w:rPr>
          <w:vertAlign w:val="superscript"/>
        </w:rPr>
        <w:t>(8)</w:t>
      </w:r>
      <w:r w:rsidRPr="00280686">
        <w:t xml:space="preserve"> y su </w:t>
      </w:r>
      <w:r w:rsidRPr="00280686">
        <w:rPr>
          <w:lang w:val="es-PE" w:eastAsia="es-PE"/>
        </w:rPr>
        <w:t>volumen de distribución (</w:t>
      </w:r>
      <w:proofErr w:type="spellStart"/>
      <w:r w:rsidRPr="00280686">
        <w:rPr>
          <w:lang w:val="es-PE" w:eastAsia="es-PE"/>
        </w:rPr>
        <w:t>Vd</w:t>
      </w:r>
      <w:proofErr w:type="spellEnd"/>
      <w:r w:rsidRPr="00280686">
        <w:rPr>
          <w:lang w:val="es-PE" w:eastAsia="es-PE"/>
        </w:rPr>
        <w:t>) es de 31,1 L/kg.</w:t>
      </w:r>
      <w:r w:rsidRPr="00280686">
        <w:rPr>
          <w:vertAlign w:val="superscript"/>
          <w:lang w:val="es-PE" w:eastAsia="es-PE"/>
        </w:rPr>
        <w:t>(9)</w:t>
      </w:r>
      <w:r w:rsidRPr="00280686">
        <w:rPr>
          <w:lang w:val="es-PE" w:eastAsia="es-PE"/>
        </w:rPr>
        <w:t xml:space="preserve"> </w:t>
      </w:r>
    </w:p>
    <w:p w14:paraId="5364F8FA" w14:textId="77777777" w:rsidR="0077141A" w:rsidRPr="00280686" w:rsidRDefault="0077141A" w:rsidP="0077141A">
      <w:pPr>
        <w:shd w:val="clear" w:color="auto" w:fill="FFFFFF"/>
        <w:spacing w:line="360" w:lineRule="auto"/>
        <w:jc w:val="both"/>
      </w:pPr>
      <w:r w:rsidRPr="00280686">
        <w:rPr>
          <w:lang w:val="es-PE" w:eastAsia="es-PE"/>
        </w:rPr>
        <w:t xml:space="preserve">Debido a que sus dos grupos aminos se </w:t>
      </w:r>
      <w:proofErr w:type="spellStart"/>
      <w:r w:rsidRPr="00280686">
        <w:rPr>
          <w:lang w:val="es-PE" w:eastAsia="es-PE"/>
        </w:rPr>
        <w:t>protonan</w:t>
      </w:r>
      <w:proofErr w:type="spellEnd"/>
      <w:r w:rsidRPr="00280686">
        <w:rPr>
          <w:lang w:val="es-PE" w:eastAsia="es-PE"/>
        </w:rPr>
        <w:t xml:space="preserve"> (amonio) y se concentran en el citoplasma de pH ácido, alcanzan concentraciones elevadas en la amígdala, nódulos linfáticos, pulmones, bazo, hígado y riñones.</w:t>
      </w:r>
      <w:r w:rsidRPr="00280686">
        <w:rPr>
          <w:vertAlign w:val="superscript"/>
          <w:lang w:val="es-PE" w:eastAsia="es-PE"/>
        </w:rPr>
        <w:t>(7,10)</w:t>
      </w:r>
      <w:r w:rsidRPr="00280686">
        <w:rPr>
          <w:lang w:val="es-PE" w:eastAsia="es-PE"/>
        </w:rPr>
        <w:t xml:space="preserve"> Los leucocitos polimorfonucleares son transportadores de la azitromicina (120 µg/mL) al sitio de la infección</w:t>
      </w:r>
      <w:r w:rsidRPr="00280686">
        <w:rPr>
          <w:vertAlign w:val="superscript"/>
          <w:lang w:val="es-PE" w:eastAsia="es-PE"/>
        </w:rPr>
        <w:t>(11)</w:t>
      </w:r>
      <w:r w:rsidRPr="00280686">
        <w:rPr>
          <w:lang w:val="es-PE" w:eastAsia="es-PE"/>
        </w:rPr>
        <w:t xml:space="preserve"> y se mantienen por encima de 60 µg/mL, por espacio de 7 días desde la última dosis;</w:t>
      </w:r>
      <w:r w:rsidRPr="00280686">
        <w:rPr>
          <w:vertAlign w:val="superscript"/>
          <w:lang w:val="es-PE" w:eastAsia="es-PE"/>
        </w:rPr>
        <w:t>(11)</w:t>
      </w:r>
      <w:r w:rsidRPr="00280686">
        <w:rPr>
          <w:lang w:val="es-PE" w:eastAsia="es-PE"/>
        </w:rPr>
        <w:t xml:space="preserve"> su vida media es de 60-68 horas</w:t>
      </w:r>
      <w:r w:rsidRPr="00280686">
        <w:t>.</w:t>
      </w:r>
      <w:r w:rsidRPr="00280686">
        <w:rPr>
          <w:vertAlign w:val="superscript"/>
        </w:rPr>
        <w:t>(11)</w:t>
      </w:r>
      <w:r w:rsidRPr="00280686">
        <w:t xml:space="preserve"> </w:t>
      </w:r>
      <w:r w:rsidRPr="00280686">
        <w:rPr>
          <w:lang w:eastAsia="es-PE"/>
        </w:rPr>
        <w:t xml:space="preserve">Atraviesa </w:t>
      </w:r>
      <w:r w:rsidRPr="00280686">
        <w:rPr>
          <w:lang w:val="es-PE" w:eastAsia="es-PE"/>
        </w:rPr>
        <w:t xml:space="preserve">la barrera placentaria, se </w:t>
      </w:r>
      <w:r w:rsidRPr="00280686">
        <w:t>concentra en el miometrio, placenta, líquido amniótico, tejido adiposo y en la placenta</w:t>
      </w:r>
      <w:r w:rsidRPr="00280686">
        <w:rPr>
          <w:lang w:val="es-PE" w:eastAsia="es-PE"/>
        </w:rPr>
        <w:t>.</w:t>
      </w:r>
      <w:r w:rsidRPr="00280686">
        <w:rPr>
          <w:vertAlign w:val="superscript"/>
        </w:rPr>
        <w:t>(7,12)</w:t>
      </w:r>
      <w:r w:rsidRPr="00280686">
        <w:t xml:space="preserve"> </w:t>
      </w:r>
      <w:r w:rsidRPr="00280686">
        <w:rPr>
          <w:rFonts w:eastAsia="MyriadPro-Regular"/>
          <w:lang w:val="es-PE" w:eastAsia="es-PE"/>
        </w:rPr>
        <w:t xml:space="preserve">Se excreta en forma de </w:t>
      </w:r>
      <w:r w:rsidRPr="00280686">
        <w:rPr>
          <w:rFonts w:eastAsia="MyriadPro-Regular"/>
          <w:lang w:val="es-PE" w:eastAsia="es-PE"/>
        </w:rPr>
        <w:lastRenderedPageBreak/>
        <w:t>fármaco inalterado, entre un 80</w:t>
      </w:r>
      <w:r>
        <w:rPr>
          <w:rFonts w:eastAsia="MyriadPro-Regular"/>
          <w:lang w:val="es-PE" w:eastAsia="es-PE"/>
        </w:rPr>
        <w:t>-</w:t>
      </w:r>
      <w:r w:rsidRPr="00280686">
        <w:rPr>
          <w:rFonts w:eastAsia="MyriadPro-Regular"/>
          <w:lang w:val="es-PE" w:eastAsia="es-PE"/>
        </w:rPr>
        <w:t>90 % de la dosis, a través de la bilis; por la orina es lenta, pueden detectarse concentraciones del antibiótico, hasta 30 días después de la última dosis</w:t>
      </w:r>
      <w:r w:rsidRPr="00280686">
        <w:t>.</w:t>
      </w:r>
      <w:r w:rsidRPr="00280686">
        <w:rPr>
          <w:rFonts w:eastAsia="MyriadPro-Regular"/>
          <w:vertAlign w:val="superscript"/>
          <w:lang w:eastAsia="es-PE"/>
        </w:rPr>
        <w:t>(11)</w:t>
      </w:r>
    </w:p>
    <w:p w14:paraId="63B07BFD" w14:textId="77777777" w:rsidR="0077141A" w:rsidRPr="00280686" w:rsidRDefault="0077141A" w:rsidP="0077141A">
      <w:pPr>
        <w:shd w:val="clear" w:color="auto" w:fill="FFFFFF"/>
        <w:spacing w:line="360" w:lineRule="auto"/>
        <w:jc w:val="both"/>
        <w:rPr>
          <w:b/>
        </w:rPr>
      </w:pPr>
      <w:r w:rsidRPr="00280686">
        <w:t xml:space="preserve">El objetivo de este estudio es revisar e integrar la información sobre las interacciones farmacocinéticas de la azitromicina con otros fármacos que se prescriben en el tratamiento ambulatorio de la COVID-19 en el Perú, y evaluar su implicación clínica y la probabilidad de su ocurrencia. </w:t>
      </w:r>
    </w:p>
    <w:p w14:paraId="04918BB4" w14:textId="77777777" w:rsidR="0077141A" w:rsidRPr="00280686" w:rsidRDefault="0077141A" w:rsidP="0077141A">
      <w:pPr>
        <w:shd w:val="clear" w:color="auto" w:fill="FFFFFF"/>
        <w:spacing w:line="360" w:lineRule="auto"/>
        <w:jc w:val="center"/>
        <w:rPr>
          <w:b/>
        </w:rPr>
      </w:pPr>
    </w:p>
    <w:p w14:paraId="5EA9365B" w14:textId="77777777" w:rsidR="0077141A" w:rsidRPr="00280686" w:rsidRDefault="0077141A" w:rsidP="0077141A">
      <w:pPr>
        <w:shd w:val="clear" w:color="auto" w:fill="FFFFFF"/>
        <w:spacing w:line="360" w:lineRule="auto"/>
        <w:jc w:val="center"/>
        <w:rPr>
          <w:b/>
        </w:rPr>
      </w:pPr>
    </w:p>
    <w:p w14:paraId="1C972338" w14:textId="77777777" w:rsidR="0077141A" w:rsidRPr="00280686" w:rsidRDefault="0077141A" w:rsidP="0077141A">
      <w:pPr>
        <w:shd w:val="clear" w:color="auto" w:fill="FFFFFF"/>
        <w:spacing w:line="360" w:lineRule="auto"/>
        <w:jc w:val="center"/>
        <w:rPr>
          <w:b/>
          <w:sz w:val="32"/>
          <w:szCs w:val="32"/>
          <w:lang w:val="es-PE"/>
        </w:rPr>
      </w:pPr>
      <w:r w:rsidRPr="00280686">
        <w:rPr>
          <w:b/>
          <w:sz w:val="32"/>
          <w:szCs w:val="32"/>
        </w:rPr>
        <w:t>DESARROLLO</w:t>
      </w:r>
    </w:p>
    <w:p w14:paraId="6D2ECCDE" w14:textId="77777777" w:rsidR="0077141A" w:rsidRPr="000C6335" w:rsidRDefault="0077141A" w:rsidP="0077141A">
      <w:pPr>
        <w:shd w:val="clear" w:color="auto" w:fill="FFFFFF"/>
        <w:spacing w:line="360" w:lineRule="auto"/>
        <w:jc w:val="center"/>
        <w:rPr>
          <w:b/>
          <w:sz w:val="28"/>
          <w:szCs w:val="28"/>
          <w:lang w:val="es-PE"/>
        </w:rPr>
      </w:pPr>
      <w:r w:rsidRPr="000C6335">
        <w:rPr>
          <w:b/>
          <w:sz w:val="28"/>
          <w:szCs w:val="28"/>
          <w:lang w:val="es-PE"/>
        </w:rPr>
        <w:t>Mecanismo de acción molecular de la azitromicina sobre el SARS-CoV-2</w:t>
      </w:r>
    </w:p>
    <w:p w14:paraId="37766353" w14:textId="77777777" w:rsidR="0077141A" w:rsidRPr="00280686" w:rsidRDefault="0077141A" w:rsidP="0077141A">
      <w:pPr>
        <w:shd w:val="clear" w:color="auto" w:fill="FFFFFF"/>
        <w:spacing w:line="360" w:lineRule="auto"/>
        <w:jc w:val="both"/>
        <w:rPr>
          <w:lang w:val="es-PE" w:eastAsia="es-PE"/>
        </w:rPr>
      </w:pPr>
      <w:r w:rsidRPr="00280686">
        <w:rPr>
          <w:lang w:val="es-PE" w:eastAsia="es-PE"/>
        </w:rPr>
        <w:t xml:space="preserve">La azitromicina es un </w:t>
      </w:r>
      <w:proofErr w:type="spellStart"/>
      <w:r w:rsidRPr="00280686">
        <w:rPr>
          <w:lang w:val="es-PE" w:eastAsia="es-PE"/>
        </w:rPr>
        <w:t>azálido</w:t>
      </w:r>
      <w:proofErr w:type="spellEnd"/>
      <w:r w:rsidRPr="00280686">
        <w:rPr>
          <w:lang w:val="es-PE" w:eastAsia="es-PE"/>
        </w:rPr>
        <w:t xml:space="preserve"> o </w:t>
      </w:r>
      <w:proofErr w:type="spellStart"/>
      <w:r w:rsidRPr="00280686">
        <w:rPr>
          <w:lang w:val="es-PE" w:eastAsia="es-PE"/>
        </w:rPr>
        <w:t>azalactona</w:t>
      </w:r>
      <w:proofErr w:type="spellEnd"/>
      <w:r w:rsidRPr="00280686">
        <w:rPr>
          <w:lang w:val="es-PE" w:eastAsia="es-PE"/>
        </w:rPr>
        <w:t xml:space="preserve"> que posee un grupo N-</w:t>
      </w:r>
      <w:proofErr w:type="spellStart"/>
      <w:r w:rsidRPr="00280686">
        <w:rPr>
          <w:lang w:val="es-PE" w:eastAsia="es-PE"/>
        </w:rPr>
        <w:t>metil</w:t>
      </w:r>
      <w:proofErr w:type="spellEnd"/>
      <w:r w:rsidRPr="00280686">
        <w:rPr>
          <w:lang w:val="es-PE" w:eastAsia="es-PE"/>
        </w:rPr>
        <w:t xml:space="preserve"> en la posición 9ª del anillo </w:t>
      </w:r>
      <w:proofErr w:type="spellStart"/>
      <w:r w:rsidRPr="00280686">
        <w:rPr>
          <w:lang w:val="es-PE" w:eastAsia="es-PE"/>
        </w:rPr>
        <w:t>lactónico</w:t>
      </w:r>
      <w:proofErr w:type="spellEnd"/>
      <w:r w:rsidRPr="00280686">
        <w:rPr>
          <w:lang w:val="es-PE" w:eastAsia="es-PE"/>
        </w:rPr>
        <w:t xml:space="preserve">, formando un anillo de 15 átomos, clasificado como subclase de los </w:t>
      </w:r>
      <w:r w:rsidRPr="00280686">
        <w:rPr>
          <w:shd w:val="clear" w:color="auto" w:fill="FFFFFF"/>
        </w:rPr>
        <w:t>macrólidos.</w:t>
      </w:r>
      <w:r w:rsidRPr="00280686">
        <w:rPr>
          <w:vertAlign w:val="superscript"/>
          <w:lang w:val="es-PE" w:eastAsia="es-PE"/>
        </w:rPr>
        <w:t>(6,13)</w:t>
      </w:r>
      <w:r w:rsidRPr="00280686">
        <w:rPr>
          <w:lang w:val="es-PE" w:eastAsia="es-PE"/>
        </w:rPr>
        <w:t xml:space="preserve"> Su mecanismo de acción antibacteriano, se produce al unirse al ARNr 23S de la subunidad ribosómica 50S (S, de </w:t>
      </w:r>
      <w:proofErr w:type="spellStart"/>
      <w:r w:rsidRPr="00280686">
        <w:rPr>
          <w:lang w:val="es-PE" w:eastAsia="es-PE"/>
        </w:rPr>
        <w:t>Svedberg</w:t>
      </w:r>
      <w:proofErr w:type="spellEnd"/>
      <w:r w:rsidRPr="00280686">
        <w:rPr>
          <w:lang w:val="es-PE" w:eastAsia="es-PE"/>
        </w:rPr>
        <w:t xml:space="preserve">, medida de velocidad de sedimentación) bloquea la translocación de aminoácidos desde el </w:t>
      </w:r>
      <w:proofErr w:type="spellStart"/>
      <w:r w:rsidRPr="00280686">
        <w:rPr>
          <w:iCs/>
          <w:lang w:val="es-PE" w:eastAsia="es-PE"/>
        </w:rPr>
        <w:t>acil</w:t>
      </w:r>
      <w:proofErr w:type="spellEnd"/>
      <w:r w:rsidRPr="00280686">
        <w:rPr>
          <w:iCs/>
          <w:lang w:val="es-PE" w:eastAsia="es-PE"/>
        </w:rPr>
        <w:t xml:space="preserve">-ARNt a </w:t>
      </w:r>
      <w:r w:rsidRPr="00280686">
        <w:rPr>
          <w:lang w:val="es-PE" w:eastAsia="es-PE"/>
        </w:rPr>
        <w:t>la posición donde cede el aminoácido para la formación de un nuevo enlace peptídico, pero no inhibe la formación de los enlaces peptídicos de la cadena proteica.</w:t>
      </w:r>
      <w:r w:rsidRPr="00280686">
        <w:rPr>
          <w:vertAlign w:val="superscript"/>
          <w:lang w:val="es-PE" w:eastAsia="es-PE"/>
        </w:rPr>
        <w:t>(13,14)</w:t>
      </w:r>
      <w:r w:rsidRPr="00280686">
        <w:rPr>
          <w:lang w:val="es-PE" w:eastAsia="es-PE"/>
        </w:rPr>
        <w:t xml:space="preserve"> </w:t>
      </w:r>
    </w:p>
    <w:p w14:paraId="53CD3899" w14:textId="77777777" w:rsidR="0077141A" w:rsidRPr="00280686" w:rsidRDefault="0077141A" w:rsidP="0077141A">
      <w:pPr>
        <w:shd w:val="clear" w:color="auto" w:fill="FFFFFF"/>
        <w:spacing w:line="360" w:lineRule="auto"/>
        <w:jc w:val="both"/>
        <w:rPr>
          <w:shd w:val="clear" w:color="auto" w:fill="FFFFFF"/>
        </w:rPr>
      </w:pPr>
      <w:r w:rsidRPr="00280686">
        <w:rPr>
          <w:lang w:val="es-PE" w:eastAsia="es-PE"/>
        </w:rPr>
        <w:t xml:space="preserve">El fundamento del uso de la azitromicina contra el SARS-CoV-2, tiene tres mecanismos de acción molecular: primero </w:t>
      </w:r>
      <w:r w:rsidRPr="00280686">
        <w:rPr>
          <w:i/>
          <w:lang w:val="es-PE" w:eastAsia="es-PE"/>
        </w:rPr>
        <w:t>in vitro</w:t>
      </w:r>
      <w:r w:rsidRPr="00280686">
        <w:rPr>
          <w:lang w:val="es-PE" w:eastAsia="es-PE"/>
        </w:rPr>
        <w:t xml:space="preserve"> tiene la capacidad de inhibir al virus, a una</w:t>
      </w:r>
      <w:r w:rsidRPr="00280686">
        <w:rPr>
          <w:shd w:val="clear" w:color="auto" w:fill="FFFFFF"/>
        </w:rPr>
        <w:t xml:space="preserve"> concentración efectiva del 50 % (EC</w:t>
      </w:r>
      <w:r w:rsidRPr="00280686">
        <w:rPr>
          <w:shd w:val="clear" w:color="auto" w:fill="FFFFFF"/>
          <w:vertAlign w:val="subscript"/>
        </w:rPr>
        <w:t>50</w:t>
      </w:r>
      <w:r w:rsidRPr="00280686">
        <w:rPr>
          <w:shd w:val="clear" w:color="auto" w:fill="FFFFFF"/>
        </w:rPr>
        <w:t>) de 2,12 µM,</w:t>
      </w:r>
      <w:r w:rsidRPr="00280686">
        <w:rPr>
          <w:shd w:val="clear" w:color="auto" w:fill="FFFFFF"/>
          <w:vertAlign w:val="superscript"/>
        </w:rPr>
        <w:t>(15)</w:t>
      </w:r>
      <w:r w:rsidRPr="00280686">
        <w:rPr>
          <w:shd w:val="clear" w:color="auto" w:fill="FFFFFF"/>
        </w:rPr>
        <w:t xml:space="preserve"> y por estudios previos, antes de su uso en la COVID-19, se ha demostrado su actividad antiinflamatoria, al inhibir a las interleucinas IL</w:t>
      </w:r>
      <w:r w:rsidRPr="00280686">
        <w:rPr>
          <w:lang w:val="es-PE" w:eastAsia="es-PE"/>
        </w:rPr>
        <w:t>1, 6, 8 y TNF-α, y a las moléculas de adhe</w:t>
      </w:r>
      <w:r w:rsidRPr="00280686">
        <w:rPr>
          <w:lang w:val="es-PE" w:eastAsia="es-PE"/>
        </w:rPr>
        <w:softHyphen/>
        <w:t>sión intracelular 1 (ICAM1); reduce la adhesión entre neutrófilos y células endoteliales, y modula la respuesta vasoconstrictora de la endotelina.</w:t>
      </w:r>
      <w:r w:rsidRPr="00280686">
        <w:rPr>
          <w:vertAlign w:val="superscript"/>
          <w:lang w:val="es-MX" w:eastAsia="es-PE"/>
        </w:rPr>
        <w:t>(9,16)</w:t>
      </w:r>
      <w:r w:rsidRPr="00280686">
        <w:rPr>
          <w:lang w:val="es-PE" w:eastAsia="es-PE"/>
        </w:rPr>
        <w:t xml:space="preserve"> El tercer mecanismo consiste en </w:t>
      </w:r>
      <w:r w:rsidRPr="00280686">
        <w:rPr>
          <w:shd w:val="clear" w:color="auto" w:fill="FFFFFF"/>
        </w:rPr>
        <w:t>inducir la producción de interferón tipo I (IFN-α, IFN-β) y III (IFN-λ), en células de pacientes con enfermedad pulmonar obstructiva crónica.</w:t>
      </w:r>
      <w:r w:rsidRPr="00280686">
        <w:rPr>
          <w:shd w:val="clear" w:color="auto" w:fill="FFFFFF"/>
          <w:vertAlign w:val="superscript"/>
        </w:rPr>
        <w:t>(17)</w:t>
      </w:r>
      <w:r w:rsidRPr="00280686">
        <w:rPr>
          <w:shd w:val="clear" w:color="auto" w:fill="FFFFFF"/>
        </w:rPr>
        <w:t xml:space="preserve"> También se ha reportado que la azitromicina tiene la capacidad de reducir la carga viral del rinovirus-16 en las células epiteliales bronquiales.</w:t>
      </w:r>
      <w:r w:rsidRPr="00280686">
        <w:rPr>
          <w:shd w:val="clear" w:color="auto" w:fill="FFFFFF"/>
          <w:vertAlign w:val="superscript"/>
        </w:rPr>
        <w:t>(17)</w:t>
      </w:r>
      <w:r w:rsidRPr="00280686">
        <w:rPr>
          <w:shd w:val="clear" w:color="auto" w:fill="FFFFFF"/>
        </w:rPr>
        <w:t xml:space="preserve"> </w:t>
      </w:r>
    </w:p>
    <w:p w14:paraId="0301306F" w14:textId="77777777" w:rsidR="0077141A" w:rsidRPr="00280686" w:rsidRDefault="0077141A" w:rsidP="0077141A">
      <w:pPr>
        <w:shd w:val="clear" w:color="auto" w:fill="FFFFFF"/>
        <w:spacing w:line="360" w:lineRule="auto"/>
        <w:jc w:val="both"/>
        <w:rPr>
          <w:b/>
          <w:lang w:val="es-PE"/>
        </w:rPr>
      </w:pPr>
      <w:r w:rsidRPr="00280686">
        <w:rPr>
          <w:shd w:val="clear" w:color="auto" w:fill="FFFFFF"/>
        </w:rPr>
        <w:t>Sin embargo, todavía hay controversias sobre la eficacia de la azitromicina para tratar la COVID-</w:t>
      </w:r>
      <w:proofErr w:type="gramStart"/>
      <w:r w:rsidRPr="00280686">
        <w:rPr>
          <w:shd w:val="clear" w:color="auto" w:fill="FFFFFF"/>
        </w:rPr>
        <w:t>19.</w:t>
      </w:r>
      <w:r w:rsidRPr="00280686">
        <w:rPr>
          <w:shd w:val="clear" w:color="auto" w:fill="FFFFFF"/>
          <w:vertAlign w:val="superscript"/>
        </w:rPr>
        <w:t>(</w:t>
      </w:r>
      <w:proofErr w:type="gramEnd"/>
      <w:r w:rsidRPr="00280686">
        <w:rPr>
          <w:shd w:val="clear" w:color="auto" w:fill="FFFFFF"/>
          <w:vertAlign w:val="superscript"/>
        </w:rPr>
        <w:t>18)</w:t>
      </w:r>
    </w:p>
    <w:p w14:paraId="5FABC68C" w14:textId="72B84DAA" w:rsidR="0077141A" w:rsidRPr="000C6335" w:rsidRDefault="0077141A" w:rsidP="0077141A">
      <w:pPr>
        <w:shd w:val="clear" w:color="auto" w:fill="FFFFFF"/>
        <w:spacing w:line="360" w:lineRule="auto"/>
        <w:jc w:val="center"/>
        <w:rPr>
          <w:b/>
          <w:sz w:val="28"/>
          <w:szCs w:val="28"/>
        </w:rPr>
      </w:pPr>
      <w:r w:rsidRPr="000C6335">
        <w:rPr>
          <w:b/>
          <w:sz w:val="28"/>
          <w:szCs w:val="28"/>
          <w:lang w:val="es-PE"/>
        </w:rPr>
        <w:t xml:space="preserve">Interacciones </w:t>
      </w:r>
      <w:r w:rsidRPr="000C6335">
        <w:rPr>
          <w:b/>
          <w:sz w:val="28"/>
          <w:szCs w:val="28"/>
        </w:rPr>
        <w:t>farmacocinética</w:t>
      </w:r>
      <w:r w:rsidR="000C6335" w:rsidRPr="000C6335">
        <w:rPr>
          <w:b/>
          <w:sz w:val="28"/>
          <w:szCs w:val="28"/>
        </w:rPr>
        <w:t>s</w:t>
      </w:r>
      <w:r w:rsidRPr="000C6335">
        <w:rPr>
          <w:b/>
          <w:sz w:val="28"/>
          <w:szCs w:val="28"/>
        </w:rPr>
        <w:t xml:space="preserve"> de la azitromicina con otros fármacos</w:t>
      </w:r>
    </w:p>
    <w:p w14:paraId="5BECD9DA" w14:textId="77777777" w:rsidR="0077141A" w:rsidRPr="00280686" w:rsidRDefault="0077141A" w:rsidP="0077141A">
      <w:pPr>
        <w:shd w:val="clear" w:color="auto" w:fill="FFFFFF"/>
        <w:spacing w:line="360" w:lineRule="auto"/>
        <w:jc w:val="both"/>
      </w:pPr>
      <w:r w:rsidRPr="00280686">
        <w:t xml:space="preserve">Si un paciente consume medicamentos que son inhibidores de la </w:t>
      </w:r>
      <w:r w:rsidRPr="00280686">
        <w:rPr>
          <w:i/>
        </w:rPr>
        <w:t>CYP3A4</w:t>
      </w:r>
      <w:r w:rsidRPr="00280686">
        <w:t xml:space="preserve"> o son metabolizadores lentos, por presentar una variante alélica de CYP3A4*1B o de </w:t>
      </w:r>
      <w:r w:rsidRPr="00280686">
        <w:rPr>
          <w:lang w:val="es-PE" w:eastAsia="es-PE"/>
        </w:rPr>
        <w:t>CYP3A4*20,</w:t>
      </w:r>
      <w:r w:rsidRPr="00280686">
        <w:rPr>
          <w:vertAlign w:val="superscript"/>
          <w:lang w:val="es-PE" w:eastAsia="es-PE"/>
        </w:rPr>
        <w:t xml:space="preserve">(19,20) </w:t>
      </w:r>
      <w:r w:rsidRPr="00280686">
        <w:t>el metabolismo del fármaco disminuye, y aumenta la concentración plasmática máxima efectiva (C</w:t>
      </w:r>
      <w:r w:rsidRPr="00280686">
        <w:rPr>
          <w:vertAlign w:val="subscript"/>
        </w:rPr>
        <w:t>ME</w:t>
      </w:r>
      <w:r w:rsidRPr="00280686">
        <w:t xml:space="preserve">), que genera un mayor efecto </w:t>
      </w:r>
      <w:r w:rsidRPr="00280686">
        <w:lastRenderedPageBreak/>
        <w:t xml:space="preserve">farmacológico o riesgo de </w:t>
      </w:r>
      <w:proofErr w:type="gramStart"/>
      <w:r w:rsidRPr="00280686">
        <w:t>toxicidad.</w:t>
      </w:r>
      <w:r w:rsidRPr="00280686">
        <w:rPr>
          <w:vertAlign w:val="superscript"/>
        </w:rPr>
        <w:t>(</w:t>
      </w:r>
      <w:proofErr w:type="gramEnd"/>
      <w:r w:rsidRPr="00280686">
        <w:rPr>
          <w:vertAlign w:val="superscript"/>
        </w:rPr>
        <w:t>21,22)</w:t>
      </w:r>
      <w:r w:rsidRPr="00280686">
        <w:t xml:space="preserve"> La inhibición enzimática se debe a diferencias genéticas entre los individuos, y se presenta entre 1 a 2 días después de la administración del fármaco inhibidor.</w:t>
      </w:r>
      <w:r w:rsidRPr="00280686">
        <w:rPr>
          <w:vertAlign w:val="superscript"/>
        </w:rPr>
        <w:t>(22)</w:t>
      </w:r>
      <w:r w:rsidRPr="00280686">
        <w:t xml:space="preserve"> Para evaluar la inhibición </w:t>
      </w:r>
      <w:r w:rsidRPr="00280686">
        <w:rPr>
          <w:i/>
        </w:rPr>
        <w:t>in vivo</w:t>
      </w:r>
      <w:r w:rsidRPr="00280686">
        <w:t xml:space="preserve"> de CYP3A4, se utiliza el midazolam como sustrato estándar.</w:t>
      </w:r>
      <w:r w:rsidRPr="00280686">
        <w:rPr>
          <w:vertAlign w:val="superscript"/>
        </w:rPr>
        <w:t>(23)</w:t>
      </w:r>
    </w:p>
    <w:p w14:paraId="286E6DBE" w14:textId="77777777" w:rsidR="0077141A" w:rsidRPr="00280686" w:rsidRDefault="0077141A" w:rsidP="0077141A">
      <w:pPr>
        <w:shd w:val="clear" w:color="auto" w:fill="FFFFFF"/>
        <w:spacing w:line="360" w:lineRule="auto"/>
        <w:jc w:val="both"/>
      </w:pPr>
      <w:r w:rsidRPr="00280686">
        <w:t>En los pacientes que son metabolizadores rápidos o consumen</w:t>
      </w:r>
      <w:r w:rsidRPr="00280686">
        <w:rPr>
          <w:lang w:val="es-PE" w:eastAsia="es-PE"/>
        </w:rPr>
        <w:t xml:space="preserve"> </w:t>
      </w:r>
      <w:r w:rsidRPr="00280686">
        <w:t>fármacos inductores de la CYP3A4, no se alcanza la concentración plasmática mínima efectiva (</w:t>
      </w:r>
      <w:proofErr w:type="spellStart"/>
      <w:r w:rsidRPr="00280686">
        <w:t>C</w:t>
      </w:r>
      <w:r w:rsidRPr="00280686">
        <w:rPr>
          <w:vertAlign w:val="subscript"/>
        </w:rPr>
        <w:t>mE</w:t>
      </w:r>
      <w:proofErr w:type="spellEnd"/>
      <w:r w:rsidRPr="00280686">
        <w:t xml:space="preserve">), lo que conduce a una inefectividad </w:t>
      </w:r>
      <w:proofErr w:type="gramStart"/>
      <w:r w:rsidRPr="00280686">
        <w:t>terapéutica.</w:t>
      </w:r>
      <w:r w:rsidRPr="00280686">
        <w:rPr>
          <w:vertAlign w:val="superscript"/>
        </w:rPr>
        <w:t>(</w:t>
      </w:r>
      <w:proofErr w:type="gramEnd"/>
      <w:r w:rsidRPr="00280686">
        <w:rPr>
          <w:vertAlign w:val="superscript"/>
        </w:rPr>
        <w:t>21,22)</w:t>
      </w:r>
      <w:r w:rsidRPr="00280686">
        <w:t xml:space="preserve"> Esta inducción se evidencia a partir de 7 - 10 días.</w:t>
      </w:r>
      <w:r w:rsidRPr="00280686">
        <w:rPr>
          <w:vertAlign w:val="superscript"/>
        </w:rPr>
        <w:t>(24)</w:t>
      </w:r>
      <w:r w:rsidRPr="00280686">
        <w:t xml:space="preserve"> Para estudiar la inducción </w:t>
      </w:r>
      <w:r w:rsidRPr="00280686">
        <w:rPr>
          <w:i/>
        </w:rPr>
        <w:t>in vivo</w:t>
      </w:r>
      <w:r w:rsidRPr="00280686">
        <w:t>, se administra el antimicótico ketoconazol.</w:t>
      </w:r>
      <w:r w:rsidRPr="00280686">
        <w:rPr>
          <w:vertAlign w:val="superscript"/>
        </w:rPr>
        <w:t>(23)</w:t>
      </w:r>
      <w:r w:rsidRPr="00280686">
        <w:t xml:space="preserve"> </w:t>
      </w:r>
    </w:p>
    <w:p w14:paraId="2F74DAEE" w14:textId="77777777" w:rsidR="0077141A" w:rsidRPr="00280686" w:rsidRDefault="0077141A" w:rsidP="0077141A">
      <w:pPr>
        <w:spacing w:line="360" w:lineRule="auto"/>
        <w:jc w:val="both"/>
      </w:pPr>
      <w:proofErr w:type="spellStart"/>
      <w:r w:rsidRPr="00280686">
        <w:rPr>
          <w:i/>
        </w:rPr>
        <w:t>Von</w:t>
      </w:r>
      <w:proofErr w:type="spellEnd"/>
      <w:r w:rsidRPr="00280686">
        <w:rPr>
          <w:i/>
        </w:rPr>
        <w:t xml:space="preserve"> </w:t>
      </w:r>
      <w:proofErr w:type="spellStart"/>
      <w:r w:rsidRPr="00280686">
        <w:rPr>
          <w:i/>
        </w:rPr>
        <w:t>Rosenstiel</w:t>
      </w:r>
      <w:proofErr w:type="spellEnd"/>
      <w:r w:rsidRPr="00280686">
        <w:t xml:space="preserve"> y </w:t>
      </w:r>
      <w:r w:rsidRPr="00280686">
        <w:rPr>
          <w:i/>
        </w:rPr>
        <w:t>Adam</w:t>
      </w:r>
      <w:r w:rsidRPr="00280686">
        <w:t xml:space="preserve">, han clasificado a los macrólidos en tres grupos, basado en los estudios farmacocinéticos </w:t>
      </w:r>
      <w:r w:rsidRPr="00280686">
        <w:rPr>
          <w:i/>
        </w:rPr>
        <w:t>in vitro</w:t>
      </w:r>
      <w:r w:rsidRPr="00280686">
        <w:t>:</w:t>
      </w:r>
      <w:r w:rsidRPr="00280686">
        <w:rPr>
          <w:shd w:val="clear" w:color="auto" w:fill="FFFFFF"/>
        </w:rPr>
        <w:t xml:space="preserve"> grupo 1 formado por las eritromicinas, que inhiben selectivamente a la </w:t>
      </w:r>
      <w:r w:rsidRPr="00280686">
        <w:rPr>
          <w:i/>
          <w:shd w:val="clear" w:color="auto" w:fill="FFFFFF"/>
        </w:rPr>
        <w:t>CYP3A4</w:t>
      </w:r>
      <w:r w:rsidRPr="00280686">
        <w:rPr>
          <w:shd w:val="clear" w:color="auto" w:fill="FFFFFF"/>
        </w:rPr>
        <w:t xml:space="preserve">, forman </w:t>
      </w:r>
      <w:proofErr w:type="spellStart"/>
      <w:r w:rsidRPr="00280686">
        <w:rPr>
          <w:shd w:val="clear" w:color="auto" w:fill="FFFFFF"/>
        </w:rPr>
        <w:t>nitrosoalcanos</w:t>
      </w:r>
      <w:proofErr w:type="spellEnd"/>
      <w:r w:rsidRPr="00280686">
        <w:rPr>
          <w:shd w:val="clear" w:color="auto" w:fill="FFFFFF"/>
        </w:rPr>
        <w:t xml:space="preserve"> y complejos inactivos; el segundo grupo está constituido por la claritromicina, que inhibe a la </w:t>
      </w:r>
      <w:r w:rsidRPr="00280686">
        <w:rPr>
          <w:i/>
          <w:shd w:val="clear" w:color="auto" w:fill="FFFFFF"/>
        </w:rPr>
        <w:t>CYP3A4</w:t>
      </w:r>
      <w:r w:rsidRPr="00280686">
        <w:rPr>
          <w:shd w:val="clear" w:color="auto" w:fill="FFFFFF"/>
        </w:rPr>
        <w:t xml:space="preserve"> en menor grado y rara vez produce interacciones farmacocinéticas. El grupo 3 está constituido por la azitromicina, que tiene poca afinidad por la </w:t>
      </w:r>
      <w:r w:rsidRPr="00280686">
        <w:rPr>
          <w:i/>
          <w:shd w:val="clear" w:color="auto" w:fill="FFFFFF"/>
        </w:rPr>
        <w:t>CYP3A4</w:t>
      </w:r>
      <w:r w:rsidRPr="00280686">
        <w:rPr>
          <w:shd w:val="clear" w:color="auto" w:fill="FFFFFF"/>
        </w:rPr>
        <w:t xml:space="preserve"> y no modifica la farmacocinética de otros </w:t>
      </w:r>
      <w:proofErr w:type="gramStart"/>
      <w:r w:rsidRPr="00280686">
        <w:rPr>
          <w:shd w:val="clear" w:color="auto" w:fill="FFFFFF"/>
        </w:rPr>
        <w:t>fármacos.</w:t>
      </w:r>
      <w:r w:rsidRPr="00280686">
        <w:rPr>
          <w:shd w:val="clear" w:color="auto" w:fill="FFFFFF"/>
          <w:vertAlign w:val="superscript"/>
        </w:rPr>
        <w:t>(</w:t>
      </w:r>
      <w:proofErr w:type="gramEnd"/>
      <w:r w:rsidRPr="00280686">
        <w:rPr>
          <w:shd w:val="clear" w:color="auto" w:fill="FFFFFF"/>
          <w:vertAlign w:val="superscript"/>
        </w:rPr>
        <w:t>25,26,27,28,29)</w:t>
      </w:r>
      <w:r w:rsidRPr="00280686">
        <w:rPr>
          <w:shd w:val="clear" w:color="auto" w:fill="FFFFFF"/>
        </w:rPr>
        <w:t xml:space="preserve"> Las eritromicinas, al </w:t>
      </w:r>
      <w:r w:rsidRPr="00280686">
        <w:t xml:space="preserve">inhibir a la </w:t>
      </w:r>
      <w:r w:rsidRPr="00280686">
        <w:rPr>
          <w:i/>
        </w:rPr>
        <w:t>CYP3A4</w:t>
      </w:r>
      <w:r w:rsidRPr="00280686">
        <w:t>,</w:t>
      </w:r>
      <w:r w:rsidRPr="00280686">
        <w:rPr>
          <w:vertAlign w:val="superscript"/>
        </w:rPr>
        <w:t>(30)</w:t>
      </w:r>
      <w:r w:rsidRPr="00280686">
        <w:t xml:space="preserve"> no se metaboliza el </w:t>
      </w:r>
      <w:r w:rsidRPr="00280686">
        <w:rPr>
          <w:shd w:val="clear" w:color="auto" w:fill="FFFFFF"/>
        </w:rPr>
        <w:t>otro fármaco, lo que genera un mayor riesgo de prolongar el intervalo QT del ciclo cardiaco</w:t>
      </w:r>
      <w:r w:rsidRPr="00280686">
        <w:rPr>
          <w:lang w:val="es-PE" w:eastAsia="es-PE"/>
        </w:rPr>
        <w:t xml:space="preserve">, </w:t>
      </w:r>
      <w:r w:rsidRPr="00280686">
        <w:t xml:space="preserve">con tendencia a la progresión hacia </w:t>
      </w:r>
      <w:proofErr w:type="spellStart"/>
      <w:r w:rsidRPr="00280686">
        <w:t>Torsades</w:t>
      </w:r>
      <w:proofErr w:type="spellEnd"/>
      <w:r w:rsidRPr="00280686">
        <w:t xml:space="preserve"> de </w:t>
      </w:r>
      <w:proofErr w:type="spellStart"/>
      <w:r w:rsidRPr="00280686">
        <w:t>Pointes</w:t>
      </w:r>
      <w:proofErr w:type="spellEnd"/>
      <w:r w:rsidRPr="00280686">
        <w:t>.</w:t>
      </w:r>
      <w:r w:rsidRPr="00280686">
        <w:rPr>
          <w:vertAlign w:val="superscript"/>
        </w:rPr>
        <w:t>(31,32)</w:t>
      </w:r>
    </w:p>
    <w:p w14:paraId="30FFAC30" w14:textId="77777777" w:rsidR="0077141A" w:rsidRPr="00280686" w:rsidRDefault="0077141A" w:rsidP="0077141A">
      <w:pPr>
        <w:shd w:val="clear" w:color="auto" w:fill="FFFFFF"/>
        <w:spacing w:line="360" w:lineRule="auto"/>
        <w:jc w:val="both"/>
        <w:rPr>
          <w:lang w:val="es-MX"/>
        </w:rPr>
      </w:pPr>
      <w:r w:rsidRPr="00280686">
        <w:t xml:space="preserve">En un estudio realizado por </w:t>
      </w:r>
      <w:r w:rsidRPr="00280686">
        <w:rPr>
          <w:i/>
        </w:rPr>
        <w:t>John</w:t>
      </w:r>
      <w:r w:rsidRPr="00280686">
        <w:t xml:space="preserve"> y </w:t>
      </w:r>
      <w:proofErr w:type="gramStart"/>
      <w:r w:rsidRPr="00280686">
        <w:t>otros,</w:t>
      </w:r>
      <w:r w:rsidRPr="00280686">
        <w:rPr>
          <w:vertAlign w:val="superscript"/>
        </w:rPr>
        <w:t>(</w:t>
      </w:r>
      <w:proofErr w:type="gramEnd"/>
      <w:r w:rsidRPr="00280686">
        <w:rPr>
          <w:vertAlign w:val="superscript"/>
        </w:rPr>
        <w:t>33)</w:t>
      </w:r>
      <w:r w:rsidRPr="00280686">
        <w:t xml:space="preserve"> se evalúa la interacción farmacocinética </w:t>
      </w:r>
      <w:r w:rsidRPr="000C6335">
        <w:rPr>
          <w:b/>
          <w:bCs/>
        </w:rPr>
        <w:t xml:space="preserve">entre </w:t>
      </w:r>
      <w:r w:rsidRPr="000C6335">
        <w:rPr>
          <w:rStyle w:val="Textoennegrita"/>
          <w:b w:val="0"/>
          <w:bCs w:val="0"/>
          <w:lang w:val="es-MX"/>
        </w:rPr>
        <w:t xml:space="preserve">la azitromicina (AZIT) con ivermectina (IVM), albendazol y </w:t>
      </w:r>
      <w:proofErr w:type="spellStart"/>
      <w:r w:rsidRPr="000C6335">
        <w:rPr>
          <w:rStyle w:val="Textoennegrita"/>
          <w:b w:val="0"/>
          <w:bCs w:val="0"/>
          <w:lang w:val="es-MX"/>
        </w:rPr>
        <w:t>dietilcarbamazina</w:t>
      </w:r>
      <w:proofErr w:type="spellEnd"/>
      <w:r w:rsidRPr="000C6335">
        <w:rPr>
          <w:rStyle w:val="Textoennegrita"/>
          <w:b w:val="0"/>
          <w:bCs w:val="0"/>
          <w:lang w:val="es-MX"/>
        </w:rPr>
        <w:t xml:space="preserve"> (IDA) para la filariasis linfática, pero no en la COVID-19, para ello se reclutaron 37 voluntarios adultos (18 hombres y 19 mujeres). Se distribuyeron al azar en tres grupos: al grupo 1 se le administro IDA, al grupo 2 AZIT + IDA y al grupo 3 solo AZIT.</w:t>
      </w:r>
      <w:r w:rsidRPr="000C6335">
        <w:rPr>
          <w:b/>
          <w:bCs/>
          <w:lang w:val="es-MX"/>
        </w:rPr>
        <w:t xml:space="preserve"> </w:t>
      </w:r>
      <w:r w:rsidRPr="000C6335">
        <w:rPr>
          <w:lang w:val="es-MX"/>
        </w:rPr>
        <w:t>No hubo interacción farmacocinética</w:t>
      </w:r>
      <w:r w:rsidRPr="00280686">
        <w:rPr>
          <w:lang w:val="es-MX"/>
        </w:rPr>
        <w:t xml:space="preserve"> clínicamente relevante en ninguno de los grupos del estudio. </w:t>
      </w:r>
    </w:p>
    <w:p w14:paraId="5B7D6B1A" w14:textId="77777777" w:rsidR="0077141A" w:rsidRPr="00280686" w:rsidRDefault="0077141A" w:rsidP="0077141A">
      <w:pPr>
        <w:shd w:val="clear" w:color="auto" w:fill="FFFFFF"/>
        <w:spacing w:line="360" w:lineRule="auto"/>
        <w:jc w:val="both"/>
        <w:rPr>
          <w:lang w:val="es-MX" w:eastAsia="en-US"/>
        </w:rPr>
      </w:pPr>
      <w:proofErr w:type="spellStart"/>
      <w:r w:rsidRPr="00280686">
        <w:rPr>
          <w:i/>
          <w:shd w:val="clear" w:color="auto" w:fill="FFFFFF"/>
          <w:lang w:val="es-MX"/>
        </w:rPr>
        <w:t>Muirhead</w:t>
      </w:r>
      <w:proofErr w:type="spellEnd"/>
      <w:r w:rsidRPr="00280686">
        <w:rPr>
          <w:shd w:val="clear" w:color="auto" w:fill="FFFFFF"/>
          <w:lang w:val="es-MX"/>
        </w:rPr>
        <w:t xml:space="preserve"> y </w:t>
      </w:r>
      <w:proofErr w:type="gramStart"/>
      <w:r w:rsidRPr="00280686">
        <w:rPr>
          <w:shd w:val="clear" w:color="auto" w:fill="FFFFFF"/>
          <w:lang w:val="es-MX"/>
        </w:rPr>
        <w:t>otros</w:t>
      </w:r>
      <w:r w:rsidRPr="00280686">
        <w:rPr>
          <w:shd w:val="clear" w:color="auto" w:fill="FFFFFF"/>
          <w:vertAlign w:val="superscript"/>
          <w:lang w:val="es-MX"/>
        </w:rPr>
        <w:t>(</w:t>
      </w:r>
      <w:proofErr w:type="gramEnd"/>
      <w:r w:rsidRPr="00280686">
        <w:rPr>
          <w:shd w:val="clear" w:color="auto" w:fill="FFFFFF"/>
          <w:vertAlign w:val="superscript"/>
          <w:lang w:val="es-MX"/>
        </w:rPr>
        <w:t>34)</w:t>
      </w:r>
      <w:r w:rsidRPr="00280686">
        <w:rPr>
          <w:shd w:val="clear" w:color="auto" w:fill="FFFFFF"/>
          <w:lang w:val="es-MX"/>
        </w:rPr>
        <w:t xml:space="preserve"> reportan un estudio de interacción a doble ciego en 24 </w:t>
      </w:r>
      <w:r w:rsidRPr="00280686">
        <w:rPr>
          <w:lang w:val="es-MX" w:eastAsia="en-US"/>
        </w:rPr>
        <w:t xml:space="preserve">voluntarios varones (19 a 33 años de edad). Se distribuyó en dos grupos: el grupo 1, recibieron 100 mg de </w:t>
      </w:r>
      <w:proofErr w:type="spellStart"/>
      <w:r w:rsidRPr="00280686">
        <w:rPr>
          <w:lang w:val="es-MX" w:eastAsia="en-US"/>
        </w:rPr>
        <w:t>sildenafilo</w:t>
      </w:r>
      <w:proofErr w:type="spellEnd"/>
      <w:r w:rsidRPr="00280686">
        <w:rPr>
          <w:lang w:val="es-MX" w:eastAsia="en-US"/>
        </w:rPr>
        <w:t xml:space="preserve"> el día 1, más 500 mg de azitromicina una vez al día los días 2-4, el grupo 2 recibió placebo. El día 4, todos los sujetos recibieron otra dosis de 100 mg de </w:t>
      </w:r>
      <w:proofErr w:type="spellStart"/>
      <w:r w:rsidRPr="00280686">
        <w:rPr>
          <w:lang w:val="es-MX" w:eastAsia="en-US"/>
        </w:rPr>
        <w:t>sildenafilo</w:t>
      </w:r>
      <w:proofErr w:type="spellEnd"/>
      <w:r w:rsidRPr="00280686">
        <w:rPr>
          <w:lang w:val="es-MX" w:eastAsia="en-US"/>
        </w:rPr>
        <w:t xml:space="preserve">. En ambos grupos se recolectaron muestras de sangre el primer y último día para el análisis de las concentraciones plasmáticas de </w:t>
      </w:r>
      <w:proofErr w:type="spellStart"/>
      <w:r w:rsidRPr="00280686">
        <w:rPr>
          <w:lang w:val="es-MX" w:eastAsia="en-US"/>
        </w:rPr>
        <w:t>sildenafilo</w:t>
      </w:r>
      <w:proofErr w:type="spellEnd"/>
      <w:r w:rsidRPr="00280686">
        <w:rPr>
          <w:lang w:val="es-MX" w:eastAsia="en-US"/>
        </w:rPr>
        <w:t xml:space="preserve"> y su metabolito. </w:t>
      </w:r>
      <w:proofErr w:type="spellStart"/>
      <w:r w:rsidRPr="00280686">
        <w:rPr>
          <w:i/>
          <w:shd w:val="clear" w:color="auto" w:fill="FFFFFF"/>
          <w:lang w:val="es-MX"/>
        </w:rPr>
        <w:t>Solans</w:t>
      </w:r>
      <w:proofErr w:type="spellEnd"/>
      <w:r w:rsidRPr="00280686">
        <w:rPr>
          <w:shd w:val="clear" w:color="auto" w:fill="FFFFFF"/>
          <w:lang w:val="es-MX"/>
        </w:rPr>
        <w:t xml:space="preserve"> y </w:t>
      </w:r>
      <w:proofErr w:type="gramStart"/>
      <w:r w:rsidRPr="00280686">
        <w:rPr>
          <w:shd w:val="clear" w:color="auto" w:fill="FFFFFF"/>
          <w:lang w:val="es-MX"/>
        </w:rPr>
        <w:t>otros,</w:t>
      </w:r>
      <w:r w:rsidRPr="00280686">
        <w:rPr>
          <w:shd w:val="clear" w:color="auto" w:fill="FFFFFF"/>
          <w:vertAlign w:val="superscript"/>
          <w:lang w:val="es-MX"/>
        </w:rPr>
        <w:t>(</w:t>
      </w:r>
      <w:proofErr w:type="gramEnd"/>
      <w:r w:rsidRPr="00280686">
        <w:rPr>
          <w:shd w:val="clear" w:color="auto" w:fill="FFFFFF"/>
          <w:vertAlign w:val="superscript"/>
          <w:lang w:val="es-MX"/>
        </w:rPr>
        <w:t>35)</w:t>
      </w:r>
      <w:r w:rsidRPr="00280686">
        <w:rPr>
          <w:shd w:val="clear" w:color="auto" w:fill="FFFFFF"/>
          <w:lang w:val="es-MX"/>
        </w:rPr>
        <w:t xml:space="preserve"> en un </w:t>
      </w:r>
      <w:r w:rsidRPr="00280686">
        <w:rPr>
          <w:lang w:val="es-MX" w:eastAsia="en-US"/>
        </w:rPr>
        <w:t xml:space="preserve">estudio de fase I en el que voluntarios sanos, hombres y mujeres, recibieron </w:t>
      </w:r>
      <w:proofErr w:type="spellStart"/>
      <w:r w:rsidRPr="00280686">
        <w:rPr>
          <w:lang w:val="es-MX" w:eastAsia="en-US"/>
        </w:rPr>
        <w:t>rupatadina</w:t>
      </w:r>
      <w:proofErr w:type="spellEnd"/>
      <w:r w:rsidRPr="00280686">
        <w:rPr>
          <w:lang w:val="es-MX" w:eastAsia="en-US"/>
        </w:rPr>
        <w:t xml:space="preserve">, 10 mg una vez al día durante 6 días; el día 2 se coadministró azitromicina, 500 mg, luego del día 3 al 6 se administró 250 mg del mismo antibiótico. </w:t>
      </w:r>
    </w:p>
    <w:p w14:paraId="7582B117" w14:textId="77777777" w:rsidR="0077141A" w:rsidRPr="00280686" w:rsidRDefault="0077141A" w:rsidP="0077141A">
      <w:pPr>
        <w:shd w:val="clear" w:color="auto" w:fill="FFFFFF"/>
        <w:spacing w:line="360" w:lineRule="auto"/>
        <w:jc w:val="both"/>
        <w:rPr>
          <w:shd w:val="clear" w:color="auto" w:fill="FFFFFF"/>
          <w:lang w:val="es-MX"/>
        </w:rPr>
      </w:pPr>
      <w:r w:rsidRPr="00280686">
        <w:rPr>
          <w:lang w:val="es-MX" w:eastAsia="en-US"/>
        </w:rPr>
        <w:lastRenderedPageBreak/>
        <w:t xml:space="preserve">Los tratamientos se administraron después de un período de ayuno de 10 horas, con 240 mL de agua y las condiciones de ayuno se mantuvieron hasta 3 horas después de la medicación. Para la </w:t>
      </w:r>
      <w:proofErr w:type="spellStart"/>
      <w:r w:rsidRPr="00280686">
        <w:rPr>
          <w:lang w:val="es-MX" w:eastAsia="en-US"/>
        </w:rPr>
        <w:t>rupatadina</w:t>
      </w:r>
      <w:proofErr w:type="spellEnd"/>
      <w:r w:rsidRPr="00280686">
        <w:rPr>
          <w:lang w:val="es-MX" w:eastAsia="en-US"/>
        </w:rPr>
        <w:t xml:space="preserve"> la </w:t>
      </w:r>
      <w:proofErr w:type="spellStart"/>
      <w:r w:rsidRPr="00280686">
        <w:rPr>
          <w:lang w:val="es-MX" w:eastAsia="en-US"/>
        </w:rPr>
        <w:t>C</w:t>
      </w:r>
      <w:r w:rsidRPr="00280686">
        <w:rPr>
          <w:vertAlign w:val="subscript"/>
          <w:lang w:val="es-MX" w:eastAsia="en-US"/>
        </w:rPr>
        <w:t>máx</w:t>
      </w:r>
      <w:proofErr w:type="spellEnd"/>
      <w:r w:rsidRPr="00280686">
        <w:rPr>
          <w:lang w:val="es-MX" w:eastAsia="en-US"/>
        </w:rPr>
        <w:t xml:space="preserve"> fue 111 (IC 90 %: 91-136) y el área bajo la curva de concentración plasmática - tiempo durante un intervalo de dosificación (ABC</w:t>
      </w:r>
      <w:r w:rsidRPr="00280686">
        <w:rPr>
          <w:vertAlign w:val="superscript"/>
          <w:lang w:val="es-MX" w:eastAsia="en-US"/>
        </w:rPr>
        <w:t>0-t</w:t>
      </w:r>
      <w:r w:rsidRPr="00280686">
        <w:rPr>
          <w:lang w:val="es-MX" w:eastAsia="en-US"/>
        </w:rPr>
        <w:t xml:space="preserve">) fue de 103 (IC 90 %: 91-117); para desloratadina la </w:t>
      </w:r>
      <w:proofErr w:type="spellStart"/>
      <w:r w:rsidRPr="00280686">
        <w:rPr>
          <w:lang w:val="es-MX" w:eastAsia="en-US"/>
        </w:rPr>
        <w:t>C</w:t>
      </w:r>
      <w:r w:rsidRPr="00280686">
        <w:rPr>
          <w:vertAlign w:val="subscript"/>
          <w:lang w:val="es-MX" w:eastAsia="en-US"/>
        </w:rPr>
        <w:t>máx</w:t>
      </w:r>
      <w:proofErr w:type="spellEnd"/>
      <w:r w:rsidRPr="00280686">
        <w:rPr>
          <w:lang w:val="es-MX" w:eastAsia="en-US"/>
        </w:rPr>
        <w:t xml:space="preserve"> es de 109 (IC 90 %: 100-120) y ABC</w:t>
      </w:r>
      <w:r w:rsidRPr="00280686">
        <w:rPr>
          <w:vertAlign w:val="superscript"/>
          <w:lang w:val="es-MX" w:eastAsia="en-US"/>
        </w:rPr>
        <w:t>0-t</w:t>
      </w:r>
      <w:r w:rsidRPr="00280686">
        <w:rPr>
          <w:lang w:val="es-MX" w:eastAsia="en-US"/>
        </w:rPr>
        <w:t xml:space="preserve"> 103 (IC 90 %: 96-110) y para 3-hidroxidesloratadina el </w:t>
      </w:r>
      <w:proofErr w:type="spellStart"/>
      <w:r w:rsidRPr="00280686">
        <w:rPr>
          <w:lang w:val="es-MX" w:eastAsia="en-US"/>
        </w:rPr>
        <w:t>C</w:t>
      </w:r>
      <w:r w:rsidRPr="00280686">
        <w:rPr>
          <w:vertAlign w:val="subscript"/>
          <w:lang w:val="es-MX" w:eastAsia="en-US"/>
        </w:rPr>
        <w:t>máx</w:t>
      </w:r>
      <w:proofErr w:type="spellEnd"/>
      <w:r w:rsidRPr="00280686">
        <w:rPr>
          <w:lang w:val="es-MX" w:eastAsia="en-US"/>
        </w:rPr>
        <w:t xml:space="preserve"> fue de 109 (IC 90 %: 103-115) y 104 (IC 90 %: 100-108) para ABC</w:t>
      </w:r>
      <w:r w:rsidRPr="00280686">
        <w:rPr>
          <w:vertAlign w:val="superscript"/>
          <w:lang w:val="es-MX" w:eastAsia="en-US"/>
        </w:rPr>
        <w:t>0-t</w:t>
      </w:r>
      <w:r w:rsidRPr="00280686">
        <w:rPr>
          <w:lang w:val="es-MX" w:eastAsia="en-US"/>
        </w:rPr>
        <w:t xml:space="preserve">. No se encontraron diferencias significativas. </w:t>
      </w:r>
      <w:r w:rsidRPr="00280686">
        <w:rPr>
          <w:i/>
          <w:shd w:val="clear" w:color="auto" w:fill="FFFFFF"/>
          <w:lang w:val="es-MX"/>
        </w:rPr>
        <w:t>Agarwal</w:t>
      </w:r>
      <w:r w:rsidRPr="00280686">
        <w:rPr>
          <w:shd w:val="clear" w:color="auto" w:fill="FFFFFF"/>
          <w:lang w:val="es-MX"/>
        </w:rPr>
        <w:t xml:space="preserve"> y </w:t>
      </w:r>
      <w:proofErr w:type="gramStart"/>
      <w:r w:rsidRPr="00280686">
        <w:rPr>
          <w:shd w:val="clear" w:color="auto" w:fill="FFFFFF"/>
          <w:lang w:val="es-MX"/>
        </w:rPr>
        <w:t>otros,</w:t>
      </w:r>
      <w:r w:rsidRPr="00280686">
        <w:rPr>
          <w:shd w:val="clear" w:color="auto" w:fill="FFFFFF"/>
          <w:vertAlign w:val="superscript"/>
          <w:lang w:val="es-MX"/>
        </w:rPr>
        <w:t>(</w:t>
      </w:r>
      <w:proofErr w:type="gramEnd"/>
      <w:r w:rsidRPr="00280686">
        <w:rPr>
          <w:shd w:val="clear" w:color="auto" w:fill="FFFFFF"/>
          <w:vertAlign w:val="superscript"/>
          <w:lang w:val="es-MX"/>
        </w:rPr>
        <w:t>36)</w:t>
      </w:r>
      <w:r w:rsidRPr="00280686">
        <w:rPr>
          <w:shd w:val="clear" w:color="auto" w:fill="FFFFFF"/>
          <w:lang w:val="es-MX"/>
        </w:rPr>
        <w:t xml:space="preserve"> realizaron un estudio farmacocinético del </w:t>
      </w:r>
      <w:proofErr w:type="spellStart"/>
      <w:r w:rsidRPr="00280686">
        <w:rPr>
          <w:shd w:val="clear" w:color="auto" w:fill="FFFFFF"/>
          <w:lang w:val="es-MX"/>
        </w:rPr>
        <w:t>venetoclax</w:t>
      </w:r>
      <w:proofErr w:type="spellEnd"/>
      <w:r w:rsidRPr="00280686">
        <w:rPr>
          <w:shd w:val="clear" w:color="auto" w:fill="FFFFFF"/>
          <w:lang w:val="es-MX"/>
        </w:rPr>
        <w:t xml:space="preserve"> en dos períodos y en 12 mujeres voluntarias sanas; el primer día del período 1 las voluntarias tomaron una dosis única de 100 mg de </w:t>
      </w:r>
      <w:proofErr w:type="spellStart"/>
      <w:r w:rsidRPr="00280686">
        <w:rPr>
          <w:shd w:val="clear" w:color="auto" w:fill="FFFFFF"/>
          <w:lang w:val="es-MX"/>
        </w:rPr>
        <w:t>venetoclax</w:t>
      </w:r>
      <w:proofErr w:type="spellEnd"/>
      <w:r w:rsidRPr="00280686">
        <w:rPr>
          <w:shd w:val="clear" w:color="auto" w:fill="FFFFFF"/>
          <w:lang w:val="es-MX"/>
        </w:rPr>
        <w:t xml:space="preserve"> con 500 mg de azitromicina, luego desde el día 2 al 5, las dosis  de azitromicina fueron de 250 mg/día.</w:t>
      </w:r>
    </w:p>
    <w:p w14:paraId="31D0A7BB" w14:textId="77777777" w:rsidR="0077141A" w:rsidRPr="00280686" w:rsidRDefault="0077141A" w:rsidP="0077141A">
      <w:pPr>
        <w:shd w:val="clear" w:color="auto" w:fill="FFFFFF"/>
        <w:spacing w:line="360" w:lineRule="auto"/>
        <w:jc w:val="both"/>
        <w:rPr>
          <w:shd w:val="clear" w:color="auto" w:fill="FFFFFF"/>
          <w:lang w:val="es-MX"/>
        </w:rPr>
      </w:pPr>
      <w:r w:rsidRPr="00280686">
        <w:rPr>
          <w:shd w:val="clear" w:color="auto" w:fill="FFFFFF"/>
          <w:lang w:val="es-MX"/>
        </w:rPr>
        <w:t xml:space="preserve">En el tercer día del período 2, se administró </w:t>
      </w:r>
      <w:r w:rsidRPr="00280686">
        <w:rPr>
          <w:lang w:val="es-MX" w:eastAsia="en-US"/>
        </w:rPr>
        <w:t xml:space="preserve">una dosis única de 100 mg de </w:t>
      </w:r>
      <w:proofErr w:type="spellStart"/>
      <w:r w:rsidRPr="00280686">
        <w:rPr>
          <w:lang w:val="es-MX" w:eastAsia="en-US"/>
        </w:rPr>
        <w:t>venetoclax</w:t>
      </w:r>
      <w:proofErr w:type="spellEnd"/>
      <w:r w:rsidRPr="00280686">
        <w:rPr>
          <w:lang w:val="es-MX" w:eastAsia="en-US"/>
        </w:rPr>
        <w:t>. El</w:t>
      </w:r>
      <w:r w:rsidRPr="00280686">
        <w:rPr>
          <w:shd w:val="clear" w:color="auto" w:fill="FFFFFF"/>
        </w:rPr>
        <w:t xml:space="preserve"> </w:t>
      </w:r>
      <w:proofErr w:type="spellStart"/>
      <w:r w:rsidRPr="00280686">
        <w:rPr>
          <w:shd w:val="clear" w:color="auto" w:fill="FFFFFF"/>
        </w:rPr>
        <w:t>venetoclax</w:t>
      </w:r>
      <w:proofErr w:type="spellEnd"/>
      <w:r w:rsidRPr="00280686">
        <w:rPr>
          <w:shd w:val="clear" w:color="auto" w:fill="FFFFFF"/>
        </w:rPr>
        <w:t xml:space="preserve">, es sustrato del </w:t>
      </w:r>
      <w:r w:rsidRPr="00280686">
        <w:rPr>
          <w:i/>
          <w:shd w:val="clear" w:color="auto" w:fill="FFFFFF"/>
        </w:rPr>
        <w:t>CYP3A4</w:t>
      </w:r>
      <w:r w:rsidRPr="00280686">
        <w:rPr>
          <w:shd w:val="clear" w:color="auto" w:fill="FFFFFF"/>
        </w:rPr>
        <w:t xml:space="preserve"> y de la glicoproteína P. </w:t>
      </w:r>
      <w:r w:rsidRPr="00280686">
        <w:rPr>
          <w:lang w:val="es-MX" w:eastAsia="en-US"/>
        </w:rPr>
        <w:t xml:space="preserve">La azitromicina disminuye el </w:t>
      </w:r>
      <w:proofErr w:type="spellStart"/>
      <w:r w:rsidRPr="00280686">
        <w:rPr>
          <w:lang w:val="es-MX" w:eastAsia="en-US"/>
        </w:rPr>
        <w:t>C</w:t>
      </w:r>
      <w:r w:rsidRPr="00280686">
        <w:rPr>
          <w:vertAlign w:val="subscript"/>
          <w:lang w:val="es-MX" w:eastAsia="en-US"/>
        </w:rPr>
        <w:t>máx</w:t>
      </w:r>
      <w:proofErr w:type="spellEnd"/>
      <w:r w:rsidRPr="00280686">
        <w:rPr>
          <w:lang w:val="es-MX" w:eastAsia="en-US"/>
        </w:rPr>
        <w:t xml:space="preserve"> y el ABC</w:t>
      </w:r>
      <w:r w:rsidRPr="00280686">
        <w:rPr>
          <w:vertAlign w:val="superscript"/>
          <w:lang w:val="es-MX" w:eastAsia="en-US"/>
        </w:rPr>
        <w:t>0-t</w:t>
      </w:r>
      <w:r w:rsidRPr="00280686">
        <w:rPr>
          <w:lang w:val="es-MX" w:eastAsia="en-US"/>
        </w:rPr>
        <w:t xml:space="preserve"> del </w:t>
      </w:r>
      <w:proofErr w:type="spellStart"/>
      <w:r w:rsidRPr="00280686">
        <w:rPr>
          <w:lang w:val="es-MX" w:eastAsia="en-US"/>
        </w:rPr>
        <w:t>venetoclax</w:t>
      </w:r>
      <w:proofErr w:type="spellEnd"/>
      <w:r w:rsidRPr="00280686">
        <w:rPr>
          <w:lang w:val="es-MX" w:eastAsia="en-US"/>
        </w:rPr>
        <w:t xml:space="preserve"> en un 25 % y 35 % menos, respectivamente.</w:t>
      </w:r>
    </w:p>
    <w:p w14:paraId="2CBF8BD3" w14:textId="77777777" w:rsidR="0077141A" w:rsidRPr="00280686" w:rsidRDefault="0077141A" w:rsidP="0077141A">
      <w:pPr>
        <w:shd w:val="clear" w:color="auto" w:fill="FFFFFF"/>
        <w:spacing w:line="360" w:lineRule="auto"/>
        <w:jc w:val="both"/>
        <w:rPr>
          <w:lang w:val="es-MX" w:eastAsia="en-US"/>
        </w:rPr>
      </w:pPr>
      <w:r w:rsidRPr="00280686">
        <w:rPr>
          <w:shd w:val="clear" w:color="auto" w:fill="FFFFFF"/>
          <w:lang w:val="es-MX"/>
        </w:rPr>
        <w:t>En un estudio de revisión realizado por</w:t>
      </w:r>
      <w:r w:rsidRPr="00280686">
        <w:t xml:space="preserve"> </w:t>
      </w:r>
      <w:proofErr w:type="spellStart"/>
      <w:r w:rsidRPr="00280686">
        <w:rPr>
          <w:i/>
          <w:shd w:val="clear" w:color="auto" w:fill="FFFFFF"/>
          <w:lang w:val="es-MX"/>
        </w:rPr>
        <w:t>Bilbul</w:t>
      </w:r>
      <w:proofErr w:type="spellEnd"/>
      <w:r w:rsidRPr="00280686">
        <w:rPr>
          <w:shd w:val="clear" w:color="auto" w:fill="FFFFFF"/>
          <w:lang w:val="es-MX"/>
        </w:rPr>
        <w:t xml:space="preserve"> y </w:t>
      </w:r>
      <w:proofErr w:type="gramStart"/>
      <w:r w:rsidRPr="00280686">
        <w:rPr>
          <w:shd w:val="clear" w:color="auto" w:fill="FFFFFF"/>
          <w:lang w:val="es-MX"/>
        </w:rPr>
        <w:t>otros,</w:t>
      </w:r>
      <w:r w:rsidRPr="00280686">
        <w:rPr>
          <w:shd w:val="clear" w:color="auto" w:fill="FFFFFF"/>
          <w:vertAlign w:val="superscript"/>
          <w:lang w:val="es-MX"/>
        </w:rPr>
        <w:t>(</w:t>
      </w:r>
      <w:proofErr w:type="gramEnd"/>
      <w:r w:rsidRPr="00280686">
        <w:rPr>
          <w:shd w:val="clear" w:color="auto" w:fill="FFFFFF"/>
          <w:vertAlign w:val="superscript"/>
          <w:lang w:val="es-MX"/>
        </w:rPr>
        <w:t>37)</w:t>
      </w:r>
      <w:r w:rsidRPr="00280686">
        <w:rPr>
          <w:shd w:val="clear" w:color="auto" w:fill="FFFFFF"/>
          <w:lang w:val="es-MX"/>
        </w:rPr>
        <w:t xml:space="preserve"> se demuestra </w:t>
      </w:r>
      <w:r w:rsidRPr="00280686">
        <w:rPr>
          <w:lang w:val="es-MX"/>
        </w:rPr>
        <w:t xml:space="preserve">que la azitromicina al interaccionar con los psicotrópicos, puede inducir la prolongación del QT y arritmias </w:t>
      </w:r>
      <w:proofErr w:type="spellStart"/>
      <w:r w:rsidRPr="00280686">
        <w:rPr>
          <w:lang w:val="es-MX"/>
        </w:rPr>
        <w:t>Torsades</w:t>
      </w:r>
      <w:proofErr w:type="spellEnd"/>
      <w:r w:rsidRPr="00280686">
        <w:rPr>
          <w:lang w:val="es-MX"/>
        </w:rPr>
        <w:t xml:space="preserve"> de </w:t>
      </w:r>
      <w:proofErr w:type="spellStart"/>
      <w:r w:rsidRPr="00280686">
        <w:rPr>
          <w:lang w:val="es-MX"/>
        </w:rPr>
        <w:t>Pointes</w:t>
      </w:r>
      <w:proofErr w:type="spellEnd"/>
      <w:r w:rsidRPr="00280686">
        <w:rPr>
          <w:lang w:val="es-MX"/>
        </w:rPr>
        <w:t xml:space="preserve"> potencialmente mortales. </w:t>
      </w:r>
      <w:r w:rsidRPr="00280686">
        <w:rPr>
          <w:shd w:val="clear" w:color="auto" w:fill="FFFFFF"/>
        </w:rPr>
        <w:t xml:space="preserve">En la tabla 1 se </w:t>
      </w:r>
      <w:r w:rsidRPr="00280686">
        <w:rPr>
          <w:rFonts w:eastAsia="Minion-Regular"/>
          <w:lang w:val="es-PE" w:eastAsia="es-PE"/>
        </w:rPr>
        <w:t>detallan las principales interacciones de la azitromicina con otros fármacos y se resumen sus implicaciones clínicas.</w:t>
      </w:r>
    </w:p>
    <w:p w14:paraId="4B63DDCA" w14:textId="77777777" w:rsidR="0077141A" w:rsidRPr="00280686" w:rsidRDefault="0077141A" w:rsidP="0077141A">
      <w:pPr>
        <w:spacing w:line="360" w:lineRule="auto"/>
        <w:rPr>
          <w:rFonts w:eastAsia="Minion-Regular"/>
          <w:b/>
          <w:lang w:val="es-PE" w:eastAsia="es-PE"/>
        </w:rPr>
      </w:pPr>
    </w:p>
    <w:p w14:paraId="5C0E8E19" w14:textId="77777777" w:rsidR="00B903D9" w:rsidRDefault="00B903D9">
      <w:pPr>
        <w:rPr>
          <w:rFonts w:eastAsia="Minion-Regular"/>
          <w:b/>
          <w:sz w:val="22"/>
          <w:szCs w:val="22"/>
          <w:lang w:val="es-PE" w:eastAsia="es-PE"/>
        </w:rPr>
      </w:pPr>
      <w:r>
        <w:rPr>
          <w:rFonts w:eastAsia="Minion-Regular"/>
          <w:b/>
          <w:sz w:val="22"/>
          <w:szCs w:val="22"/>
          <w:lang w:val="es-PE" w:eastAsia="es-PE"/>
        </w:rPr>
        <w:br w:type="page"/>
      </w:r>
    </w:p>
    <w:p w14:paraId="51407ACE" w14:textId="153CE449" w:rsidR="0077141A" w:rsidRPr="00280686" w:rsidRDefault="0077141A" w:rsidP="0077141A">
      <w:pPr>
        <w:shd w:val="clear" w:color="auto" w:fill="FFFFFF"/>
        <w:spacing w:line="360" w:lineRule="auto"/>
        <w:jc w:val="center"/>
        <w:rPr>
          <w:rFonts w:eastAsia="Minion-Regular"/>
          <w:sz w:val="22"/>
          <w:szCs w:val="22"/>
          <w:lang w:val="es-PE" w:eastAsia="es-PE"/>
        </w:rPr>
      </w:pPr>
      <w:r w:rsidRPr="00280686">
        <w:rPr>
          <w:rFonts w:eastAsia="Minion-Regular"/>
          <w:b/>
          <w:sz w:val="22"/>
          <w:szCs w:val="22"/>
          <w:lang w:val="es-PE" w:eastAsia="es-PE"/>
        </w:rPr>
        <w:lastRenderedPageBreak/>
        <w:t>Tabla 1 -</w:t>
      </w:r>
      <w:r w:rsidRPr="00280686">
        <w:rPr>
          <w:rFonts w:eastAsia="Minion-Regular"/>
          <w:sz w:val="22"/>
          <w:szCs w:val="22"/>
          <w:lang w:val="es-PE" w:eastAsia="es-PE"/>
        </w:rPr>
        <w:t xml:space="preserve"> Interacciones de la azitromicina y sus implicancias clínicas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1"/>
        <w:gridCol w:w="2693"/>
        <w:gridCol w:w="1276"/>
      </w:tblGrid>
      <w:tr w:rsidR="0077141A" w:rsidRPr="00280686" w14:paraId="55551E93" w14:textId="77777777" w:rsidTr="00B903D9">
        <w:trPr>
          <w:trHeight w:val="64"/>
          <w:tblHeader/>
          <w:jc w:val="center"/>
        </w:trPr>
        <w:tc>
          <w:tcPr>
            <w:tcW w:w="2127" w:type="dxa"/>
            <w:shd w:val="clear" w:color="auto" w:fill="auto"/>
            <w:vAlign w:val="center"/>
          </w:tcPr>
          <w:p w14:paraId="31B4044F" w14:textId="77777777" w:rsidR="0077141A" w:rsidRPr="00280686" w:rsidRDefault="0077141A" w:rsidP="001464CA">
            <w:pPr>
              <w:spacing w:line="360" w:lineRule="auto"/>
              <w:jc w:val="center"/>
              <w:rPr>
                <w:b/>
                <w:sz w:val="18"/>
                <w:szCs w:val="18"/>
              </w:rPr>
            </w:pPr>
            <w:r w:rsidRPr="00280686">
              <w:rPr>
                <w:b/>
                <w:sz w:val="18"/>
                <w:szCs w:val="18"/>
              </w:rPr>
              <w:t>Tipo de estudio</w:t>
            </w:r>
          </w:p>
        </w:tc>
        <w:tc>
          <w:tcPr>
            <w:tcW w:w="2551" w:type="dxa"/>
            <w:shd w:val="clear" w:color="auto" w:fill="auto"/>
            <w:vAlign w:val="center"/>
          </w:tcPr>
          <w:p w14:paraId="62160B83" w14:textId="77777777" w:rsidR="0077141A" w:rsidRPr="00280686" w:rsidRDefault="0077141A" w:rsidP="001464CA">
            <w:pPr>
              <w:spacing w:line="360" w:lineRule="auto"/>
              <w:jc w:val="center"/>
              <w:rPr>
                <w:b/>
                <w:sz w:val="18"/>
                <w:szCs w:val="18"/>
              </w:rPr>
            </w:pPr>
            <w:r w:rsidRPr="00280686">
              <w:rPr>
                <w:b/>
                <w:sz w:val="18"/>
                <w:szCs w:val="18"/>
              </w:rPr>
              <w:t>Mecanismo de interacción</w:t>
            </w:r>
          </w:p>
        </w:tc>
        <w:tc>
          <w:tcPr>
            <w:tcW w:w="2693" w:type="dxa"/>
            <w:shd w:val="clear" w:color="auto" w:fill="auto"/>
            <w:vAlign w:val="center"/>
          </w:tcPr>
          <w:p w14:paraId="02C47F01" w14:textId="77777777" w:rsidR="0077141A" w:rsidRPr="00280686" w:rsidRDefault="0077141A" w:rsidP="001464CA">
            <w:pPr>
              <w:spacing w:line="360" w:lineRule="auto"/>
              <w:jc w:val="center"/>
              <w:rPr>
                <w:b/>
                <w:sz w:val="18"/>
                <w:szCs w:val="18"/>
              </w:rPr>
            </w:pPr>
            <w:r w:rsidRPr="00280686">
              <w:rPr>
                <w:b/>
                <w:sz w:val="18"/>
                <w:szCs w:val="18"/>
              </w:rPr>
              <w:t>Implicaciones clínicas</w:t>
            </w:r>
          </w:p>
        </w:tc>
        <w:tc>
          <w:tcPr>
            <w:tcW w:w="1276" w:type="dxa"/>
            <w:shd w:val="clear" w:color="auto" w:fill="auto"/>
            <w:vAlign w:val="center"/>
          </w:tcPr>
          <w:p w14:paraId="4748F7BE" w14:textId="77777777" w:rsidR="0077141A" w:rsidRPr="00280686" w:rsidRDefault="0077141A" w:rsidP="001464CA">
            <w:pPr>
              <w:spacing w:line="360" w:lineRule="auto"/>
              <w:jc w:val="center"/>
              <w:rPr>
                <w:b/>
                <w:sz w:val="18"/>
                <w:szCs w:val="18"/>
              </w:rPr>
            </w:pPr>
            <w:r w:rsidRPr="00280686">
              <w:rPr>
                <w:b/>
                <w:sz w:val="18"/>
                <w:szCs w:val="18"/>
              </w:rPr>
              <w:t>Referencia</w:t>
            </w:r>
          </w:p>
        </w:tc>
      </w:tr>
      <w:tr w:rsidR="0077141A" w:rsidRPr="00280686" w14:paraId="6074A505" w14:textId="77777777" w:rsidTr="000C6335">
        <w:trPr>
          <w:trHeight w:val="1319"/>
          <w:jc w:val="center"/>
        </w:trPr>
        <w:tc>
          <w:tcPr>
            <w:tcW w:w="2127" w:type="dxa"/>
            <w:shd w:val="clear" w:color="auto" w:fill="auto"/>
            <w:vAlign w:val="center"/>
          </w:tcPr>
          <w:p w14:paraId="3D82C31F" w14:textId="77777777" w:rsidR="0077141A" w:rsidRPr="00280686" w:rsidRDefault="0077141A" w:rsidP="001464CA">
            <w:pPr>
              <w:spacing w:line="360" w:lineRule="auto"/>
              <w:rPr>
                <w:sz w:val="18"/>
                <w:szCs w:val="18"/>
              </w:rPr>
            </w:pPr>
            <w:r w:rsidRPr="00280686">
              <w:rPr>
                <w:sz w:val="18"/>
                <w:szCs w:val="18"/>
              </w:rPr>
              <w:t>E</w:t>
            </w:r>
            <w:proofErr w:type="spellStart"/>
            <w:r w:rsidRPr="00280686">
              <w:rPr>
                <w:sz w:val="18"/>
                <w:szCs w:val="18"/>
                <w:lang w:val="es-MX"/>
              </w:rPr>
              <w:t>studio</w:t>
            </w:r>
            <w:proofErr w:type="spellEnd"/>
            <w:r w:rsidRPr="00280686">
              <w:rPr>
                <w:sz w:val="18"/>
                <w:szCs w:val="18"/>
                <w:lang w:val="es-MX"/>
              </w:rPr>
              <w:t xml:space="preserve"> de interacción farmacocinética de tres brazos, aleatorizado y abierto en voluntarios adultos. </w:t>
            </w:r>
          </w:p>
        </w:tc>
        <w:tc>
          <w:tcPr>
            <w:tcW w:w="2551" w:type="dxa"/>
            <w:shd w:val="clear" w:color="auto" w:fill="auto"/>
            <w:vAlign w:val="center"/>
          </w:tcPr>
          <w:p w14:paraId="5C844E4F" w14:textId="77777777" w:rsidR="0077141A" w:rsidRPr="00280686" w:rsidRDefault="0077141A" w:rsidP="001464CA">
            <w:pPr>
              <w:spacing w:line="360" w:lineRule="auto"/>
              <w:rPr>
                <w:sz w:val="18"/>
                <w:szCs w:val="18"/>
              </w:rPr>
            </w:pPr>
            <w:r w:rsidRPr="00280686">
              <w:rPr>
                <w:sz w:val="18"/>
                <w:szCs w:val="18"/>
                <w:lang w:val="es-MX"/>
              </w:rPr>
              <w:t>El AUC</w:t>
            </w:r>
            <w:r w:rsidRPr="00280686">
              <w:rPr>
                <w:sz w:val="18"/>
                <w:szCs w:val="18"/>
                <w:vertAlign w:val="superscript"/>
                <w:lang w:val="es-MX"/>
              </w:rPr>
              <w:t>0-∞</w:t>
            </w:r>
            <w:r w:rsidRPr="00280686">
              <w:rPr>
                <w:sz w:val="18"/>
                <w:szCs w:val="18"/>
                <w:lang w:val="es-MX"/>
              </w:rPr>
              <w:t xml:space="preserve"> para la azitromicina (100,1) e ivermectina (87,9) se encontraron dentro del rango de 80-125 %. </w:t>
            </w:r>
          </w:p>
        </w:tc>
        <w:tc>
          <w:tcPr>
            <w:tcW w:w="2693" w:type="dxa"/>
            <w:shd w:val="clear" w:color="auto" w:fill="auto"/>
            <w:vAlign w:val="center"/>
          </w:tcPr>
          <w:p w14:paraId="5ABD0291" w14:textId="77777777" w:rsidR="0077141A" w:rsidRPr="00280686" w:rsidRDefault="0077141A" w:rsidP="001464CA">
            <w:pPr>
              <w:spacing w:line="360" w:lineRule="auto"/>
              <w:rPr>
                <w:sz w:val="18"/>
                <w:szCs w:val="18"/>
              </w:rPr>
            </w:pPr>
            <w:r w:rsidRPr="00280686">
              <w:rPr>
                <w:sz w:val="18"/>
                <w:szCs w:val="18"/>
              </w:rPr>
              <w:t>La interacción no tiene implicancia clínica.</w:t>
            </w:r>
          </w:p>
        </w:tc>
        <w:tc>
          <w:tcPr>
            <w:tcW w:w="1276" w:type="dxa"/>
            <w:shd w:val="clear" w:color="auto" w:fill="auto"/>
            <w:vAlign w:val="center"/>
          </w:tcPr>
          <w:p w14:paraId="201854A9" w14:textId="77777777" w:rsidR="0077141A" w:rsidRPr="00280686" w:rsidRDefault="0077141A" w:rsidP="001464CA">
            <w:pPr>
              <w:spacing w:line="360" w:lineRule="auto"/>
              <w:rPr>
                <w:sz w:val="18"/>
                <w:szCs w:val="18"/>
              </w:rPr>
            </w:pPr>
            <w:r w:rsidRPr="00280686">
              <w:rPr>
                <w:i/>
                <w:sz w:val="18"/>
                <w:szCs w:val="18"/>
                <w:shd w:val="clear" w:color="auto" w:fill="FFFFFF"/>
              </w:rPr>
              <w:t>John</w:t>
            </w:r>
            <w:r w:rsidRPr="00280686">
              <w:rPr>
                <w:sz w:val="18"/>
                <w:szCs w:val="18"/>
                <w:shd w:val="clear" w:color="auto" w:fill="FFFFFF"/>
              </w:rPr>
              <w:t xml:space="preserve"> y </w:t>
            </w:r>
            <w:proofErr w:type="gramStart"/>
            <w:r w:rsidRPr="00280686">
              <w:rPr>
                <w:sz w:val="18"/>
                <w:szCs w:val="18"/>
                <w:shd w:val="clear" w:color="auto" w:fill="FFFFFF"/>
              </w:rPr>
              <w:t>otros</w:t>
            </w:r>
            <w:r w:rsidRPr="00280686">
              <w:rPr>
                <w:sz w:val="18"/>
                <w:szCs w:val="18"/>
                <w:shd w:val="clear" w:color="auto" w:fill="FFFFFF"/>
                <w:vertAlign w:val="superscript"/>
              </w:rPr>
              <w:t>(</w:t>
            </w:r>
            <w:proofErr w:type="gramEnd"/>
            <w:r w:rsidRPr="00280686">
              <w:rPr>
                <w:sz w:val="18"/>
                <w:szCs w:val="18"/>
                <w:shd w:val="clear" w:color="auto" w:fill="FFFFFF"/>
                <w:vertAlign w:val="superscript"/>
              </w:rPr>
              <w:t>33)</w:t>
            </w:r>
          </w:p>
        </w:tc>
      </w:tr>
      <w:tr w:rsidR="0077141A" w:rsidRPr="00280686" w14:paraId="73C75E55" w14:textId="77777777" w:rsidTr="000C6335">
        <w:trPr>
          <w:trHeight w:val="727"/>
          <w:jc w:val="center"/>
        </w:trPr>
        <w:tc>
          <w:tcPr>
            <w:tcW w:w="2127" w:type="dxa"/>
            <w:shd w:val="clear" w:color="auto" w:fill="auto"/>
            <w:vAlign w:val="center"/>
          </w:tcPr>
          <w:p w14:paraId="75EB918C" w14:textId="77777777" w:rsidR="0077141A" w:rsidRPr="00280686" w:rsidRDefault="0077141A" w:rsidP="001464CA">
            <w:pPr>
              <w:spacing w:line="360" w:lineRule="auto"/>
              <w:rPr>
                <w:sz w:val="18"/>
                <w:szCs w:val="18"/>
              </w:rPr>
            </w:pPr>
            <w:r w:rsidRPr="00280686">
              <w:rPr>
                <w:sz w:val="18"/>
                <w:szCs w:val="18"/>
                <w:shd w:val="clear" w:color="auto" w:fill="FFFFFF"/>
                <w:lang w:val="es-MX"/>
              </w:rPr>
              <w:t>Estudio de interacción a doble ciego.</w:t>
            </w:r>
          </w:p>
        </w:tc>
        <w:tc>
          <w:tcPr>
            <w:tcW w:w="2551" w:type="dxa"/>
            <w:shd w:val="clear" w:color="auto" w:fill="auto"/>
            <w:vAlign w:val="center"/>
          </w:tcPr>
          <w:p w14:paraId="693B94CE" w14:textId="77777777" w:rsidR="0077141A" w:rsidRPr="00280686" w:rsidRDefault="0077141A" w:rsidP="001464CA">
            <w:pPr>
              <w:spacing w:line="360" w:lineRule="auto"/>
              <w:rPr>
                <w:sz w:val="18"/>
                <w:szCs w:val="18"/>
              </w:rPr>
            </w:pPr>
            <w:r w:rsidRPr="00280686">
              <w:rPr>
                <w:sz w:val="18"/>
                <w:szCs w:val="18"/>
                <w:shd w:val="clear" w:color="auto" w:fill="FFFFFF"/>
                <w:lang w:val="es-MX"/>
              </w:rPr>
              <w:t xml:space="preserve">La azitromicina no genera cambios significativos en los parámetros </w:t>
            </w:r>
            <w:r w:rsidRPr="00280686">
              <w:rPr>
                <w:sz w:val="18"/>
                <w:szCs w:val="18"/>
                <w:lang w:val="es-MX"/>
              </w:rPr>
              <w:t>AUC</w:t>
            </w:r>
            <w:r w:rsidRPr="00280686">
              <w:rPr>
                <w:sz w:val="18"/>
                <w:szCs w:val="18"/>
                <w:vertAlign w:val="superscript"/>
                <w:lang w:val="es-MX"/>
              </w:rPr>
              <w:t>0-∞</w:t>
            </w:r>
            <w:r w:rsidRPr="00280686">
              <w:rPr>
                <w:sz w:val="18"/>
                <w:szCs w:val="18"/>
                <w:lang w:val="es-MX"/>
              </w:rPr>
              <w:t xml:space="preserve">, </w:t>
            </w:r>
            <w:proofErr w:type="spellStart"/>
            <w:r w:rsidRPr="00280686">
              <w:rPr>
                <w:sz w:val="18"/>
                <w:szCs w:val="18"/>
                <w:lang w:val="es-MX"/>
              </w:rPr>
              <w:t>C</w:t>
            </w:r>
            <w:r w:rsidRPr="00280686">
              <w:rPr>
                <w:sz w:val="18"/>
                <w:szCs w:val="18"/>
                <w:vertAlign w:val="subscript"/>
                <w:lang w:val="es-MX"/>
              </w:rPr>
              <w:t>máx</w:t>
            </w:r>
            <w:proofErr w:type="spellEnd"/>
            <w:r w:rsidRPr="00280686">
              <w:rPr>
                <w:sz w:val="18"/>
                <w:szCs w:val="18"/>
                <w:lang w:val="es-MX"/>
              </w:rPr>
              <w:t xml:space="preserve"> y t</w:t>
            </w:r>
            <w:r w:rsidRPr="00280686">
              <w:rPr>
                <w:sz w:val="18"/>
                <w:szCs w:val="18"/>
                <w:vertAlign w:val="subscript"/>
                <w:lang w:val="es-MX"/>
              </w:rPr>
              <w:t>1/</w:t>
            </w:r>
            <w:proofErr w:type="gramStart"/>
            <w:r w:rsidRPr="00280686">
              <w:rPr>
                <w:sz w:val="18"/>
                <w:szCs w:val="18"/>
                <w:vertAlign w:val="subscript"/>
                <w:lang w:val="es-MX"/>
              </w:rPr>
              <w:t xml:space="preserve">2 </w:t>
            </w:r>
            <w:r w:rsidRPr="00280686">
              <w:rPr>
                <w:sz w:val="18"/>
                <w:szCs w:val="18"/>
                <w:shd w:val="clear" w:color="auto" w:fill="FFFFFF"/>
                <w:vertAlign w:val="subscript"/>
                <w:lang w:val="es-MX"/>
              </w:rPr>
              <w:t xml:space="preserve"> </w:t>
            </w:r>
            <w:r w:rsidRPr="00280686">
              <w:rPr>
                <w:sz w:val="18"/>
                <w:szCs w:val="18"/>
                <w:shd w:val="clear" w:color="auto" w:fill="FFFFFF"/>
                <w:lang w:val="es-MX"/>
              </w:rPr>
              <w:t>del</w:t>
            </w:r>
            <w:proofErr w:type="gramEnd"/>
            <w:r w:rsidRPr="00280686">
              <w:rPr>
                <w:sz w:val="18"/>
                <w:szCs w:val="18"/>
                <w:shd w:val="clear" w:color="auto" w:fill="FFFFFF"/>
                <w:lang w:val="es-MX"/>
              </w:rPr>
              <w:t xml:space="preserve"> </w:t>
            </w:r>
            <w:proofErr w:type="spellStart"/>
            <w:r w:rsidRPr="00280686">
              <w:rPr>
                <w:sz w:val="18"/>
                <w:szCs w:val="18"/>
                <w:shd w:val="clear" w:color="auto" w:fill="FFFFFF"/>
                <w:lang w:val="es-MX"/>
              </w:rPr>
              <w:t>sildenafilo</w:t>
            </w:r>
            <w:proofErr w:type="spellEnd"/>
            <w:r w:rsidRPr="00280686">
              <w:rPr>
                <w:sz w:val="18"/>
                <w:szCs w:val="18"/>
              </w:rPr>
              <w:t>.</w:t>
            </w:r>
          </w:p>
        </w:tc>
        <w:tc>
          <w:tcPr>
            <w:tcW w:w="2693" w:type="dxa"/>
            <w:shd w:val="clear" w:color="auto" w:fill="auto"/>
            <w:vAlign w:val="center"/>
          </w:tcPr>
          <w:p w14:paraId="2DC880DF" w14:textId="77777777" w:rsidR="0077141A" w:rsidRPr="00280686" w:rsidRDefault="0077141A" w:rsidP="001464CA">
            <w:pPr>
              <w:spacing w:line="360" w:lineRule="auto"/>
              <w:rPr>
                <w:sz w:val="18"/>
                <w:szCs w:val="18"/>
              </w:rPr>
            </w:pPr>
            <w:r w:rsidRPr="00280686">
              <w:rPr>
                <w:sz w:val="18"/>
                <w:szCs w:val="18"/>
              </w:rPr>
              <w:t>La interacción no tiene implicancia clínica.</w:t>
            </w:r>
          </w:p>
          <w:p w14:paraId="0004C348" w14:textId="77777777" w:rsidR="0077141A" w:rsidRPr="00280686" w:rsidRDefault="0077141A" w:rsidP="001464CA">
            <w:pPr>
              <w:spacing w:line="360" w:lineRule="auto"/>
              <w:rPr>
                <w:sz w:val="18"/>
                <w:szCs w:val="18"/>
              </w:rPr>
            </w:pPr>
            <w:r w:rsidRPr="00280686">
              <w:rPr>
                <w:sz w:val="18"/>
                <w:szCs w:val="18"/>
              </w:rPr>
              <w:t>No es necesario ajustar la dosis de estos medicamentos.</w:t>
            </w:r>
          </w:p>
        </w:tc>
        <w:tc>
          <w:tcPr>
            <w:tcW w:w="1276" w:type="dxa"/>
            <w:shd w:val="clear" w:color="auto" w:fill="auto"/>
            <w:vAlign w:val="center"/>
          </w:tcPr>
          <w:p w14:paraId="51C45395" w14:textId="77777777" w:rsidR="0077141A" w:rsidRPr="00280686" w:rsidRDefault="0077141A" w:rsidP="001464CA">
            <w:pPr>
              <w:spacing w:line="360" w:lineRule="auto"/>
              <w:rPr>
                <w:sz w:val="18"/>
                <w:szCs w:val="18"/>
                <w:shd w:val="clear" w:color="auto" w:fill="FFFFFF"/>
              </w:rPr>
            </w:pPr>
            <w:proofErr w:type="spellStart"/>
            <w:r w:rsidRPr="00280686">
              <w:rPr>
                <w:i/>
                <w:sz w:val="18"/>
                <w:szCs w:val="18"/>
                <w:shd w:val="clear" w:color="auto" w:fill="FFFFFF"/>
                <w:lang w:val="es-MX"/>
              </w:rPr>
              <w:t>Muirhead</w:t>
            </w:r>
            <w:proofErr w:type="spellEnd"/>
            <w:r w:rsidRPr="00280686">
              <w:rPr>
                <w:sz w:val="18"/>
                <w:szCs w:val="18"/>
                <w:shd w:val="clear" w:color="auto" w:fill="FFFFFF"/>
                <w:lang w:val="es-MX"/>
              </w:rPr>
              <w:t xml:space="preserve"> y </w:t>
            </w:r>
            <w:proofErr w:type="gramStart"/>
            <w:r w:rsidRPr="00280686">
              <w:rPr>
                <w:sz w:val="18"/>
                <w:szCs w:val="18"/>
                <w:shd w:val="clear" w:color="auto" w:fill="FFFFFF"/>
                <w:lang w:val="es-MX"/>
              </w:rPr>
              <w:t>otros</w:t>
            </w:r>
            <w:r w:rsidRPr="00280686">
              <w:rPr>
                <w:sz w:val="18"/>
                <w:szCs w:val="18"/>
                <w:shd w:val="clear" w:color="auto" w:fill="FFFFFF"/>
                <w:vertAlign w:val="superscript"/>
                <w:lang w:val="es-MX"/>
              </w:rPr>
              <w:t>(</w:t>
            </w:r>
            <w:proofErr w:type="gramEnd"/>
            <w:r w:rsidRPr="00280686">
              <w:rPr>
                <w:sz w:val="18"/>
                <w:szCs w:val="18"/>
                <w:shd w:val="clear" w:color="auto" w:fill="FFFFFF"/>
                <w:vertAlign w:val="superscript"/>
                <w:lang w:val="es-MX"/>
              </w:rPr>
              <w:t>34)</w:t>
            </w:r>
          </w:p>
        </w:tc>
      </w:tr>
      <w:tr w:rsidR="0077141A" w:rsidRPr="00280686" w14:paraId="4C0BCCE9" w14:textId="77777777" w:rsidTr="000C6335">
        <w:trPr>
          <w:trHeight w:val="727"/>
          <w:jc w:val="center"/>
        </w:trPr>
        <w:tc>
          <w:tcPr>
            <w:tcW w:w="2127" w:type="dxa"/>
            <w:shd w:val="clear" w:color="auto" w:fill="auto"/>
            <w:vAlign w:val="center"/>
          </w:tcPr>
          <w:p w14:paraId="427ADD76" w14:textId="77777777" w:rsidR="0077141A" w:rsidRPr="00280686" w:rsidRDefault="0077141A" w:rsidP="001464CA">
            <w:pPr>
              <w:spacing w:line="360" w:lineRule="auto"/>
              <w:rPr>
                <w:sz w:val="18"/>
                <w:szCs w:val="18"/>
              </w:rPr>
            </w:pPr>
            <w:r w:rsidRPr="00280686">
              <w:rPr>
                <w:sz w:val="18"/>
                <w:szCs w:val="18"/>
                <w:lang w:eastAsia="en-US"/>
              </w:rPr>
              <w:t>E</w:t>
            </w:r>
            <w:proofErr w:type="spellStart"/>
            <w:r w:rsidRPr="00280686">
              <w:rPr>
                <w:sz w:val="18"/>
                <w:szCs w:val="18"/>
                <w:lang w:val="es-MX" w:eastAsia="en-US"/>
              </w:rPr>
              <w:t>studio</w:t>
            </w:r>
            <w:proofErr w:type="spellEnd"/>
            <w:r w:rsidRPr="00280686">
              <w:rPr>
                <w:sz w:val="18"/>
                <w:szCs w:val="18"/>
                <w:lang w:val="es-MX" w:eastAsia="en-US"/>
              </w:rPr>
              <w:t xml:space="preserve"> de fase I de dosis múltiples, aleatorizado, abierto, bidireccional y cruzado.</w:t>
            </w:r>
          </w:p>
        </w:tc>
        <w:tc>
          <w:tcPr>
            <w:tcW w:w="2551" w:type="dxa"/>
            <w:shd w:val="clear" w:color="auto" w:fill="auto"/>
            <w:vAlign w:val="center"/>
          </w:tcPr>
          <w:p w14:paraId="7E8ED7FF" w14:textId="77777777" w:rsidR="0077141A" w:rsidRPr="00280686" w:rsidRDefault="0077141A" w:rsidP="001464CA">
            <w:pPr>
              <w:spacing w:line="360" w:lineRule="auto"/>
              <w:rPr>
                <w:sz w:val="18"/>
                <w:szCs w:val="18"/>
              </w:rPr>
            </w:pPr>
            <w:r w:rsidRPr="00280686">
              <w:rPr>
                <w:sz w:val="18"/>
                <w:szCs w:val="18"/>
                <w:shd w:val="clear" w:color="auto" w:fill="FFFFFF"/>
              </w:rPr>
              <w:t xml:space="preserve">La azitromicina no genera cambios significativos en los parámetros farmacocinéticos de la </w:t>
            </w:r>
            <w:proofErr w:type="spellStart"/>
            <w:r w:rsidRPr="00280686">
              <w:rPr>
                <w:sz w:val="18"/>
                <w:szCs w:val="18"/>
                <w:shd w:val="clear" w:color="auto" w:fill="FFFFFF"/>
              </w:rPr>
              <w:t>rupatadina</w:t>
            </w:r>
            <w:proofErr w:type="spellEnd"/>
            <w:r w:rsidRPr="00280686">
              <w:rPr>
                <w:sz w:val="18"/>
                <w:szCs w:val="18"/>
                <w:shd w:val="clear" w:color="auto" w:fill="FFFFFF"/>
              </w:rPr>
              <w:t xml:space="preserve"> y desloratadina.</w:t>
            </w:r>
          </w:p>
        </w:tc>
        <w:tc>
          <w:tcPr>
            <w:tcW w:w="2693" w:type="dxa"/>
            <w:shd w:val="clear" w:color="auto" w:fill="auto"/>
            <w:vAlign w:val="center"/>
          </w:tcPr>
          <w:p w14:paraId="49015390" w14:textId="77777777" w:rsidR="0077141A" w:rsidRPr="00280686" w:rsidRDefault="0077141A" w:rsidP="001464CA">
            <w:pPr>
              <w:spacing w:line="360" w:lineRule="auto"/>
              <w:rPr>
                <w:sz w:val="18"/>
                <w:szCs w:val="18"/>
              </w:rPr>
            </w:pPr>
            <w:r w:rsidRPr="00280686">
              <w:rPr>
                <w:sz w:val="18"/>
                <w:szCs w:val="18"/>
              </w:rPr>
              <w:t>La interacción no tiene implicancia clínica.</w:t>
            </w:r>
          </w:p>
        </w:tc>
        <w:tc>
          <w:tcPr>
            <w:tcW w:w="1276" w:type="dxa"/>
            <w:shd w:val="clear" w:color="auto" w:fill="auto"/>
            <w:vAlign w:val="center"/>
          </w:tcPr>
          <w:p w14:paraId="52EF93F4" w14:textId="77777777" w:rsidR="0077141A" w:rsidRPr="00280686" w:rsidRDefault="0077141A" w:rsidP="001464CA">
            <w:pPr>
              <w:spacing w:line="360" w:lineRule="auto"/>
              <w:rPr>
                <w:sz w:val="18"/>
                <w:szCs w:val="18"/>
                <w:shd w:val="clear" w:color="auto" w:fill="FFFFFF"/>
              </w:rPr>
            </w:pPr>
            <w:proofErr w:type="spellStart"/>
            <w:r w:rsidRPr="00280686">
              <w:rPr>
                <w:i/>
                <w:sz w:val="18"/>
                <w:szCs w:val="18"/>
                <w:shd w:val="clear" w:color="auto" w:fill="FFFFFF"/>
                <w:lang w:val="es-MX"/>
              </w:rPr>
              <w:t>Solans</w:t>
            </w:r>
            <w:proofErr w:type="spellEnd"/>
            <w:r w:rsidRPr="00280686">
              <w:rPr>
                <w:sz w:val="18"/>
                <w:szCs w:val="18"/>
                <w:shd w:val="clear" w:color="auto" w:fill="FFFFFF"/>
                <w:lang w:val="es-MX"/>
              </w:rPr>
              <w:t xml:space="preserve"> y </w:t>
            </w:r>
            <w:proofErr w:type="gramStart"/>
            <w:r w:rsidRPr="00280686">
              <w:rPr>
                <w:sz w:val="18"/>
                <w:szCs w:val="18"/>
                <w:shd w:val="clear" w:color="auto" w:fill="FFFFFF"/>
                <w:lang w:val="es-MX"/>
              </w:rPr>
              <w:t>otros</w:t>
            </w:r>
            <w:r w:rsidRPr="00280686">
              <w:rPr>
                <w:sz w:val="18"/>
                <w:szCs w:val="18"/>
                <w:shd w:val="clear" w:color="auto" w:fill="FFFFFF"/>
                <w:vertAlign w:val="superscript"/>
                <w:lang w:val="es-MX"/>
              </w:rPr>
              <w:t>(</w:t>
            </w:r>
            <w:proofErr w:type="gramEnd"/>
            <w:r w:rsidRPr="00280686">
              <w:rPr>
                <w:sz w:val="18"/>
                <w:szCs w:val="18"/>
                <w:shd w:val="clear" w:color="auto" w:fill="FFFFFF"/>
                <w:vertAlign w:val="superscript"/>
                <w:lang w:val="es-MX"/>
              </w:rPr>
              <w:t>35)</w:t>
            </w:r>
          </w:p>
        </w:tc>
      </w:tr>
      <w:tr w:rsidR="0077141A" w:rsidRPr="00280686" w14:paraId="24D9891D" w14:textId="77777777" w:rsidTr="000C6335">
        <w:trPr>
          <w:trHeight w:val="727"/>
          <w:jc w:val="center"/>
        </w:trPr>
        <w:tc>
          <w:tcPr>
            <w:tcW w:w="2127" w:type="dxa"/>
            <w:shd w:val="clear" w:color="auto" w:fill="auto"/>
            <w:vAlign w:val="center"/>
          </w:tcPr>
          <w:p w14:paraId="7BC0D53E" w14:textId="77777777" w:rsidR="0077141A" w:rsidRPr="00280686" w:rsidRDefault="0077141A" w:rsidP="001464CA">
            <w:pPr>
              <w:shd w:val="clear" w:color="auto" w:fill="FFFFFF"/>
              <w:spacing w:line="360" w:lineRule="auto"/>
              <w:rPr>
                <w:sz w:val="18"/>
                <w:szCs w:val="18"/>
                <w:lang w:val="es-MX" w:eastAsia="en-US"/>
              </w:rPr>
            </w:pPr>
            <w:r w:rsidRPr="00280686">
              <w:rPr>
                <w:sz w:val="18"/>
                <w:szCs w:val="18"/>
                <w:lang w:val="es-MX" w:eastAsia="en-US"/>
              </w:rPr>
              <w:t>Estudio de un solo centro, abierto, sin ayuno y de dos períodos.</w:t>
            </w:r>
          </w:p>
          <w:p w14:paraId="2FC19A1E" w14:textId="77777777" w:rsidR="0077141A" w:rsidRPr="00280686" w:rsidRDefault="0077141A" w:rsidP="001464CA">
            <w:pPr>
              <w:spacing w:line="360" w:lineRule="auto"/>
              <w:rPr>
                <w:sz w:val="18"/>
                <w:szCs w:val="18"/>
                <w:lang w:val="es-MX"/>
              </w:rPr>
            </w:pPr>
          </w:p>
        </w:tc>
        <w:tc>
          <w:tcPr>
            <w:tcW w:w="2551" w:type="dxa"/>
            <w:shd w:val="clear" w:color="auto" w:fill="auto"/>
            <w:vAlign w:val="center"/>
          </w:tcPr>
          <w:p w14:paraId="31424EA3" w14:textId="77777777" w:rsidR="0077141A" w:rsidRPr="00280686" w:rsidRDefault="0077141A" w:rsidP="001464CA">
            <w:pPr>
              <w:shd w:val="clear" w:color="auto" w:fill="FFFFFF"/>
              <w:spacing w:line="360" w:lineRule="auto"/>
              <w:rPr>
                <w:sz w:val="18"/>
                <w:szCs w:val="18"/>
                <w:lang w:eastAsia="en-US"/>
              </w:rPr>
            </w:pPr>
            <w:proofErr w:type="spellStart"/>
            <w:r w:rsidRPr="00280686">
              <w:rPr>
                <w:sz w:val="18"/>
                <w:szCs w:val="18"/>
                <w:lang w:eastAsia="en-US"/>
              </w:rPr>
              <w:t>Venetoclax</w:t>
            </w:r>
            <w:proofErr w:type="spellEnd"/>
            <w:r w:rsidRPr="00280686">
              <w:rPr>
                <w:sz w:val="18"/>
                <w:szCs w:val="18"/>
                <w:lang w:eastAsia="en-US"/>
              </w:rPr>
              <w:t xml:space="preserve"> solo: </w:t>
            </w:r>
            <w:proofErr w:type="spellStart"/>
            <w:r w:rsidRPr="00280686">
              <w:rPr>
                <w:sz w:val="18"/>
                <w:szCs w:val="18"/>
                <w:lang w:eastAsia="en-US"/>
              </w:rPr>
              <w:t>C</w:t>
            </w:r>
            <w:r w:rsidRPr="00280686">
              <w:rPr>
                <w:sz w:val="18"/>
                <w:szCs w:val="18"/>
                <w:vertAlign w:val="subscript"/>
                <w:lang w:eastAsia="en-US"/>
              </w:rPr>
              <w:t>máx</w:t>
            </w:r>
            <w:proofErr w:type="spellEnd"/>
            <w:r w:rsidRPr="00280686">
              <w:rPr>
                <w:sz w:val="18"/>
                <w:szCs w:val="18"/>
                <w:lang w:eastAsia="en-US"/>
              </w:rPr>
              <w:t xml:space="preserve"> (0,743 µg/mL y el ABC</w:t>
            </w:r>
            <w:r w:rsidRPr="00280686">
              <w:rPr>
                <w:sz w:val="18"/>
                <w:szCs w:val="18"/>
                <w:vertAlign w:val="superscript"/>
                <w:lang w:eastAsia="en-US"/>
              </w:rPr>
              <w:t xml:space="preserve">0-t </w:t>
            </w:r>
            <w:r w:rsidRPr="00280686">
              <w:rPr>
                <w:sz w:val="18"/>
                <w:szCs w:val="18"/>
                <w:lang w:eastAsia="en-US"/>
              </w:rPr>
              <w:t>9,09 µ</w:t>
            </w:r>
            <w:proofErr w:type="spellStart"/>
            <w:r w:rsidRPr="00280686">
              <w:rPr>
                <w:sz w:val="18"/>
                <w:szCs w:val="18"/>
                <w:lang w:eastAsia="en-US"/>
              </w:rPr>
              <w:t>g.h</w:t>
            </w:r>
            <w:proofErr w:type="spellEnd"/>
            <w:r w:rsidRPr="00280686">
              <w:rPr>
                <w:sz w:val="18"/>
                <w:szCs w:val="18"/>
                <w:lang w:eastAsia="en-US"/>
              </w:rPr>
              <w:t>/mL.</w:t>
            </w:r>
          </w:p>
          <w:p w14:paraId="57CF7F9B" w14:textId="77777777" w:rsidR="0077141A" w:rsidRPr="00280686" w:rsidRDefault="0077141A" w:rsidP="001464CA">
            <w:pPr>
              <w:shd w:val="clear" w:color="auto" w:fill="FFFFFF"/>
              <w:spacing w:line="360" w:lineRule="auto"/>
              <w:rPr>
                <w:sz w:val="18"/>
                <w:szCs w:val="18"/>
                <w:lang w:val="es-MX"/>
              </w:rPr>
            </w:pPr>
            <w:proofErr w:type="spellStart"/>
            <w:r w:rsidRPr="00280686">
              <w:rPr>
                <w:sz w:val="18"/>
                <w:szCs w:val="18"/>
                <w:lang w:eastAsia="en-US"/>
              </w:rPr>
              <w:t>Venetoclax</w:t>
            </w:r>
            <w:proofErr w:type="spellEnd"/>
            <w:r w:rsidRPr="00280686">
              <w:rPr>
                <w:sz w:val="18"/>
                <w:szCs w:val="18"/>
                <w:lang w:eastAsia="en-US"/>
              </w:rPr>
              <w:t xml:space="preserve"> + azitromicina: </w:t>
            </w:r>
            <w:proofErr w:type="spellStart"/>
            <w:r w:rsidRPr="00280686">
              <w:rPr>
                <w:sz w:val="18"/>
                <w:szCs w:val="18"/>
                <w:lang w:eastAsia="en-US"/>
              </w:rPr>
              <w:t>C</w:t>
            </w:r>
            <w:r w:rsidRPr="00280686">
              <w:rPr>
                <w:sz w:val="18"/>
                <w:szCs w:val="18"/>
                <w:vertAlign w:val="subscript"/>
                <w:lang w:eastAsia="en-US"/>
              </w:rPr>
              <w:t>máx</w:t>
            </w:r>
            <w:proofErr w:type="spellEnd"/>
            <w:r w:rsidRPr="00280686">
              <w:rPr>
                <w:sz w:val="18"/>
                <w:szCs w:val="18"/>
                <w:lang w:eastAsia="en-US"/>
              </w:rPr>
              <w:t xml:space="preserve"> (0,561 µg/mL y el ABC</w:t>
            </w:r>
            <w:r w:rsidRPr="00280686">
              <w:rPr>
                <w:sz w:val="18"/>
                <w:szCs w:val="18"/>
                <w:vertAlign w:val="superscript"/>
                <w:lang w:eastAsia="en-US"/>
              </w:rPr>
              <w:t>0-t</w:t>
            </w:r>
            <w:r w:rsidRPr="00280686">
              <w:rPr>
                <w:sz w:val="18"/>
                <w:szCs w:val="18"/>
                <w:lang w:eastAsia="en-US"/>
              </w:rPr>
              <w:t xml:space="preserve"> 5,90 µ</w:t>
            </w:r>
            <w:proofErr w:type="spellStart"/>
            <w:r w:rsidRPr="00280686">
              <w:rPr>
                <w:sz w:val="18"/>
                <w:szCs w:val="18"/>
                <w:lang w:eastAsia="en-US"/>
              </w:rPr>
              <w:t>g.h</w:t>
            </w:r>
            <w:proofErr w:type="spellEnd"/>
            <w:r w:rsidRPr="00280686">
              <w:rPr>
                <w:sz w:val="18"/>
                <w:szCs w:val="18"/>
                <w:lang w:eastAsia="en-US"/>
              </w:rPr>
              <w:t>/mL.</w:t>
            </w:r>
          </w:p>
        </w:tc>
        <w:tc>
          <w:tcPr>
            <w:tcW w:w="2693" w:type="dxa"/>
            <w:shd w:val="clear" w:color="auto" w:fill="auto"/>
            <w:vAlign w:val="center"/>
          </w:tcPr>
          <w:p w14:paraId="4E5F4695" w14:textId="77777777" w:rsidR="0077141A" w:rsidRPr="00280686" w:rsidRDefault="0077141A" w:rsidP="001464CA">
            <w:pPr>
              <w:spacing w:line="360" w:lineRule="auto"/>
              <w:rPr>
                <w:sz w:val="18"/>
                <w:szCs w:val="18"/>
              </w:rPr>
            </w:pPr>
            <w:r w:rsidRPr="00280686">
              <w:rPr>
                <w:sz w:val="18"/>
                <w:szCs w:val="18"/>
              </w:rPr>
              <w:t>La interacción no tiene implicancia clínica.</w:t>
            </w:r>
          </w:p>
          <w:p w14:paraId="3823A3D6" w14:textId="77777777" w:rsidR="0077141A" w:rsidRPr="00280686" w:rsidRDefault="0077141A" w:rsidP="001464CA">
            <w:pPr>
              <w:spacing w:line="360" w:lineRule="auto"/>
              <w:rPr>
                <w:sz w:val="18"/>
                <w:szCs w:val="18"/>
              </w:rPr>
            </w:pPr>
            <w:r w:rsidRPr="00280686">
              <w:rPr>
                <w:sz w:val="18"/>
                <w:szCs w:val="18"/>
              </w:rPr>
              <w:t xml:space="preserve">No es necesario ajustar la dosis del </w:t>
            </w:r>
            <w:proofErr w:type="spellStart"/>
            <w:r w:rsidRPr="00280686">
              <w:rPr>
                <w:sz w:val="18"/>
                <w:szCs w:val="18"/>
              </w:rPr>
              <w:t>venetoclax</w:t>
            </w:r>
            <w:proofErr w:type="spellEnd"/>
            <w:r w:rsidRPr="00280686">
              <w:rPr>
                <w:sz w:val="18"/>
                <w:szCs w:val="18"/>
              </w:rPr>
              <w:t xml:space="preserve"> cuando es necesario usarlo con azitromicina.</w:t>
            </w:r>
          </w:p>
        </w:tc>
        <w:tc>
          <w:tcPr>
            <w:tcW w:w="1276" w:type="dxa"/>
            <w:shd w:val="clear" w:color="auto" w:fill="auto"/>
            <w:vAlign w:val="center"/>
          </w:tcPr>
          <w:p w14:paraId="4A511D30" w14:textId="77777777" w:rsidR="0077141A" w:rsidRPr="00280686" w:rsidRDefault="0077141A" w:rsidP="001464CA">
            <w:pPr>
              <w:spacing w:line="360" w:lineRule="auto"/>
              <w:rPr>
                <w:sz w:val="18"/>
                <w:szCs w:val="18"/>
                <w:shd w:val="clear" w:color="auto" w:fill="FFFFFF"/>
              </w:rPr>
            </w:pPr>
            <w:r w:rsidRPr="00280686">
              <w:rPr>
                <w:i/>
                <w:sz w:val="18"/>
                <w:szCs w:val="18"/>
                <w:shd w:val="clear" w:color="auto" w:fill="FFFFFF"/>
                <w:lang w:val="es-MX"/>
              </w:rPr>
              <w:t>Agarwal</w:t>
            </w:r>
            <w:r w:rsidRPr="00280686">
              <w:rPr>
                <w:sz w:val="18"/>
                <w:szCs w:val="18"/>
                <w:shd w:val="clear" w:color="auto" w:fill="FFFFFF"/>
                <w:lang w:val="es-MX"/>
              </w:rPr>
              <w:t xml:space="preserve"> y </w:t>
            </w:r>
            <w:proofErr w:type="gramStart"/>
            <w:r w:rsidRPr="00280686">
              <w:rPr>
                <w:sz w:val="18"/>
                <w:szCs w:val="18"/>
                <w:shd w:val="clear" w:color="auto" w:fill="FFFFFF"/>
                <w:lang w:val="es-MX"/>
              </w:rPr>
              <w:t>otros</w:t>
            </w:r>
            <w:r w:rsidRPr="00280686">
              <w:rPr>
                <w:sz w:val="18"/>
                <w:szCs w:val="18"/>
                <w:shd w:val="clear" w:color="auto" w:fill="FFFFFF"/>
                <w:vertAlign w:val="superscript"/>
                <w:lang w:val="es-MX"/>
              </w:rPr>
              <w:t>(</w:t>
            </w:r>
            <w:proofErr w:type="gramEnd"/>
            <w:r w:rsidRPr="00280686">
              <w:rPr>
                <w:sz w:val="18"/>
                <w:szCs w:val="18"/>
                <w:shd w:val="clear" w:color="auto" w:fill="FFFFFF"/>
                <w:vertAlign w:val="superscript"/>
                <w:lang w:val="es-MX"/>
              </w:rPr>
              <w:t>36)</w:t>
            </w:r>
          </w:p>
        </w:tc>
      </w:tr>
      <w:tr w:rsidR="0077141A" w:rsidRPr="00280686" w14:paraId="075B5C2B" w14:textId="77777777" w:rsidTr="000C6335">
        <w:trPr>
          <w:trHeight w:val="727"/>
          <w:jc w:val="center"/>
        </w:trPr>
        <w:tc>
          <w:tcPr>
            <w:tcW w:w="2127" w:type="dxa"/>
            <w:shd w:val="clear" w:color="auto" w:fill="auto"/>
            <w:vAlign w:val="center"/>
          </w:tcPr>
          <w:p w14:paraId="486DECBC" w14:textId="77777777" w:rsidR="0077141A" w:rsidRPr="00280686" w:rsidRDefault="0077141A" w:rsidP="001464CA">
            <w:pPr>
              <w:pStyle w:val="p"/>
              <w:shd w:val="clear" w:color="auto" w:fill="FFFFFF"/>
              <w:spacing w:before="0" w:beforeAutospacing="0" w:after="0" w:afterAutospacing="0" w:line="360" w:lineRule="auto"/>
              <w:rPr>
                <w:sz w:val="18"/>
                <w:szCs w:val="18"/>
                <w:lang w:val="es-MX"/>
              </w:rPr>
            </w:pPr>
            <w:r w:rsidRPr="00280686">
              <w:rPr>
                <w:sz w:val="18"/>
                <w:szCs w:val="18"/>
                <w:lang w:val="es-MX"/>
              </w:rPr>
              <w:t>Estudio de revisión dirigida y búsqueda estructuradas de literatura en PubMed.</w:t>
            </w:r>
          </w:p>
          <w:p w14:paraId="3C1FC1E9" w14:textId="77777777" w:rsidR="0077141A" w:rsidRPr="00280686" w:rsidRDefault="0077141A" w:rsidP="001464CA">
            <w:pPr>
              <w:spacing w:line="360" w:lineRule="auto"/>
              <w:rPr>
                <w:sz w:val="18"/>
                <w:szCs w:val="18"/>
                <w:lang w:val="es-MX"/>
              </w:rPr>
            </w:pPr>
          </w:p>
        </w:tc>
        <w:tc>
          <w:tcPr>
            <w:tcW w:w="2551" w:type="dxa"/>
            <w:shd w:val="clear" w:color="auto" w:fill="auto"/>
            <w:vAlign w:val="center"/>
          </w:tcPr>
          <w:p w14:paraId="295EEAC7" w14:textId="77777777" w:rsidR="0077141A" w:rsidRPr="00280686" w:rsidRDefault="0077141A" w:rsidP="001464CA">
            <w:pPr>
              <w:spacing w:line="360" w:lineRule="auto"/>
              <w:rPr>
                <w:sz w:val="18"/>
                <w:szCs w:val="18"/>
              </w:rPr>
            </w:pPr>
            <w:r w:rsidRPr="00280686">
              <w:rPr>
                <w:sz w:val="18"/>
                <w:szCs w:val="18"/>
                <w:shd w:val="clear" w:color="auto" w:fill="FFFFFF"/>
              </w:rPr>
              <w:t>La azitromicina coadministrada con los antidepresivos, antipsicóticos, presentan un riesgo de prolongación del QT.</w:t>
            </w:r>
          </w:p>
        </w:tc>
        <w:tc>
          <w:tcPr>
            <w:tcW w:w="2693" w:type="dxa"/>
            <w:shd w:val="clear" w:color="auto" w:fill="auto"/>
            <w:vAlign w:val="center"/>
          </w:tcPr>
          <w:p w14:paraId="396193AF" w14:textId="77777777" w:rsidR="0077141A" w:rsidRPr="00280686" w:rsidRDefault="0077141A" w:rsidP="001464CA">
            <w:pPr>
              <w:spacing w:line="360" w:lineRule="auto"/>
              <w:rPr>
                <w:sz w:val="18"/>
                <w:szCs w:val="18"/>
              </w:rPr>
            </w:pPr>
            <w:r w:rsidRPr="00280686">
              <w:rPr>
                <w:sz w:val="18"/>
                <w:szCs w:val="18"/>
              </w:rPr>
              <w:t>La interacción podría tener implicancia clínica, debido al riesgo de la arritmia cardíaca, se debe tener precaución para su uso clínico.</w:t>
            </w:r>
          </w:p>
        </w:tc>
        <w:tc>
          <w:tcPr>
            <w:tcW w:w="1276" w:type="dxa"/>
            <w:shd w:val="clear" w:color="auto" w:fill="auto"/>
            <w:vAlign w:val="center"/>
          </w:tcPr>
          <w:p w14:paraId="6F6B6DAC" w14:textId="77777777" w:rsidR="0077141A" w:rsidRPr="00280686" w:rsidRDefault="0077141A" w:rsidP="001464CA">
            <w:pPr>
              <w:spacing w:line="360" w:lineRule="auto"/>
              <w:rPr>
                <w:sz w:val="18"/>
                <w:szCs w:val="18"/>
                <w:shd w:val="clear" w:color="auto" w:fill="FFFFFF"/>
              </w:rPr>
            </w:pPr>
            <w:proofErr w:type="spellStart"/>
            <w:r w:rsidRPr="00280686">
              <w:rPr>
                <w:i/>
                <w:sz w:val="18"/>
                <w:szCs w:val="18"/>
                <w:shd w:val="clear" w:color="auto" w:fill="FFFFFF"/>
                <w:lang w:val="es-MX"/>
              </w:rPr>
              <w:t>Bilbul</w:t>
            </w:r>
            <w:proofErr w:type="spellEnd"/>
            <w:r w:rsidRPr="00280686">
              <w:rPr>
                <w:sz w:val="18"/>
                <w:szCs w:val="18"/>
                <w:shd w:val="clear" w:color="auto" w:fill="FFFFFF"/>
                <w:lang w:val="es-MX"/>
              </w:rPr>
              <w:t xml:space="preserve"> y </w:t>
            </w:r>
            <w:proofErr w:type="gramStart"/>
            <w:r w:rsidRPr="00280686">
              <w:rPr>
                <w:sz w:val="18"/>
                <w:szCs w:val="18"/>
                <w:shd w:val="clear" w:color="auto" w:fill="FFFFFF"/>
                <w:lang w:val="es-MX"/>
              </w:rPr>
              <w:t>otros</w:t>
            </w:r>
            <w:r w:rsidRPr="00280686">
              <w:rPr>
                <w:sz w:val="18"/>
                <w:szCs w:val="18"/>
                <w:shd w:val="clear" w:color="auto" w:fill="FFFFFF"/>
                <w:vertAlign w:val="superscript"/>
                <w:lang w:val="es-MX"/>
              </w:rPr>
              <w:t>(</w:t>
            </w:r>
            <w:proofErr w:type="gramEnd"/>
            <w:r w:rsidRPr="00280686">
              <w:rPr>
                <w:sz w:val="18"/>
                <w:szCs w:val="18"/>
                <w:shd w:val="clear" w:color="auto" w:fill="FFFFFF"/>
                <w:vertAlign w:val="superscript"/>
                <w:lang w:val="es-MX"/>
              </w:rPr>
              <w:t>37)</w:t>
            </w:r>
          </w:p>
        </w:tc>
      </w:tr>
    </w:tbl>
    <w:p w14:paraId="56EB9AB0" w14:textId="77777777" w:rsidR="0077141A" w:rsidRPr="00280686" w:rsidRDefault="0077141A" w:rsidP="0077141A">
      <w:pPr>
        <w:spacing w:line="360" w:lineRule="auto"/>
        <w:jc w:val="both"/>
        <w:rPr>
          <w:shd w:val="clear" w:color="auto" w:fill="FFFFFF"/>
        </w:rPr>
      </w:pPr>
    </w:p>
    <w:p w14:paraId="279A2D34" w14:textId="77777777" w:rsidR="0077141A" w:rsidRPr="00280686" w:rsidRDefault="0077141A" w:rsidP="0077141A">
      <w:pPr>
        <w:autoSpaceDE w:val="0"/>
        <w:autoSpaceDN w:val="0"/>
        <w:adjustRightInd w:val="0"/>
        <w:spacing w:line="360" w:lineRule="auto"/>
        <w:jc w:val="center"/>
        <w:rPr>
          <w:rFonts w:eastAsia="Minion-Regular"/>
          <w:b/>
          <w:sz w:val="26"/>
          <w:szCs w:val="26"/>
          <w:lang w:val="es-PE" w:eastAsia="es-PE"/>
        </w:rPr>
      </w:pPr>
      <w:r w:rsidRPr="00280686">
        <w:rPr>
          <w:rFonts w:eastAsia="Minion-Regular"/>
          <w:b/>
          <w:sz w:val="26"/>
          <w:szCs w:val="26"/>
          <w:lang w:val="es-PE" w:eastAsia="es-PE"/>
        </w:rPr>
        <w:t>Breve análisis crítico</w:t>
      </w:r>
    </w:p>
    <w:p w14:paraId="60C4E082" w14:textId="77777777" w:rsidR="0077141A" w:rsidRPr="00280686" w:rsidRDefault="0077141A" w:rsidP="0077141A">
      <w:pPr>
        <w:autoSpaceDE w:val="0"/>
        <w:autoSpaceDN w:val="0"/>
        <w:adjustRightInd w:val="0"/>
        <w:spacing w:line="360" w:lineRule="auto"/>
        <w:jc w:val="both"/>
        <w:rPr>
          <w:rFonts w:eastAsia="Minion-Regular"/>
          <w:b/>
          <w:i/>
          <w:lang w:val="es-PE" w:eastAsia="es-PE"/>
        </w:rPr>
      </w:pPr>
      <w:r w:rsidRPr="00280686">
        <w:rPr>
          <w:rFonts w:eastAsia="Minion-Regular"/>
          <w:lang w:val="es-PE" w:eastAsia="es-PE"/>
        </w:rPr>
        <w:t>A pesar de una literatura muy limitada o escasa, existe información de las interacciones de la azitromicina con otros grupos de fármacos de uso clínico, no así con la ivermectina y la prednisona, que en estos momentos se coadministran para el tratamiento de la COVID-19.</w:t>
      </w:r>
    </w:p>
    <w:p w14:paraId="7BE5B30A" w14:textId="77777777" w:rsidR="0077141A" w:rsidRPr="00280686" w:rsidRDefault="0077141A" w:rsidP="0077141A">
      <w:pPr>
        <w:shd w:val="clear" w:color="auto" w:fill="FFFFFF"/>
        <w:spacing w:line="360" w:lineRule="auto"/>
        <w:jc w:val="both"/>
        <w:rPr>
          <w:lang w:val="es-MX"/>
        </w:rPr>
      </w:pPr>
      <w:r w:rsidRPr="00280686">
        <w:t>Mediante un e</w:t>
      </w:r>
      <w:proofErr w:type="spellStart"/>
      <w:r w:rsidRPr="00280686">
        <w:rPr>
          <w:lang w:val="es-MX"/>
        </w:rPr>
        <w:t>studio</w:t>
      </w:r>
      <w:proofErr w:type="spellEnd"/>
      <w:r w:rsidRPr="00280686">
        <w:rPr>
          <w:lang w:val="es-MX"/>
        </w:rPr>
        <w:t xml:space="preserve"> de interacción farmacocinética de tres brazos, aleatorizado y abierto en voluntarios </w:t>
      </w:r>
      <w:proofErr w:type="gramStart"/>
      <w:r w:rsidRPr="00280686">
        <w:rPr>
          <w:lang w:val="es-MX"/>
        </w:rPr>
        <w:t>adultos,</w:t>
      </w:r>
      <w:r w:rsidRPr="00280686">
        <w:rPr>
          <w:vertAlign w:val="superscript"/>
          <w:lang w:val="es-MX"/>
        </w:rPr>
        <w:t>(</w:t>
      </w:r>
      <w:proofErr w:type="gramEnd"/>
      <w:r w:rsidRPr="00280686">
        <w:rPr>
          <w:vertAlign w:val="superscript"/>
          <w:lang w:val="es-MX"/>
        </w:rPr>
        <w:t>33)</w:t>
      </w:r>
      <w:r w:rsidRPr="00280686">
        <w:rPr>
          <w:lang w:val="es-MX"/>
        </w:rPr>
        <w:t xml:space="preserve"> un e</w:t>
      </w:r>
      <w:r w:rsidRPr="00280686">
        <w:rPr>
          <w:shd w:val="clear" w:color="auto" w:fill="FFFFFF"/>
          <w:lang w:val="es-MX"/>
        </w:rPr>
        <w:t>studio de interacción a doble ciego,</w:t>
      </w:r>
      <w:r w:rsidRPr="00280686">
        <w:rPr>
          <w:shd w:val="clear" w:color="auto" w:fill="FFFFFF"/>
          <w:vertAlign w:val="superscript"/>
          <w:lang w:val="es-MX"/>
        </w:rPr>
        <w:t>(34)</w:t>
      </w:r>
      <w:r w:rsidRPr="00280686">
        <w:rPr>
          <w:lang w:val="es-MX"/>
        </w:rPr>
        <w:t xml:space="preserve"> un e</w:t>
      </w:r>
      <w:r w:rsidRPr="00280686">
        <w:rPr>
          <w:lang w:val="es-MX" w:eastAsia="en-US"/>
        </w:rPr>
        <w:t>studio de fase I de dosis múltiples, aleatorizado, abierto, bidireccional y cruzado;</w:t>
      </w:r>
      <w:r w:rsidRPr="00280686">
        <w:rPr>
          <w:vertAlign w:val="superscript"/>
          <w:lang w:val="es-MX" w:eastAsia="en-US"/>
        </w:rPr>
        <w:t xml:space="preserve">(35) </w:t>
      </w:r>
      <w:r w:rsidRPr="00280686">
        <w:rPr>
          <w:lang w:val="es-MX" w:eastAsia="en-US"/>
        </w:rPr>
        <w:t xml:space="preserve">se ha reportado que la azitromicina no influye en los parámetros farmacocinéticos de diversos fármacos que se han usado en coadministración. Sin embargo, </w:t>
      </w:r>
      <w:r w:rsidRPr="00280686">
        <w:rPr>
          <w:lang w:val="es-MX" w:eastAsia="en-US"/>
        </w:rPr>
        <w:lastRenderedPageBreak/>
        <w:t xml:space="preserve">mediante un estudio de un solo centro, abierto, sin ayuno y de dos </w:t>
      </w:r>
      <w:proofErr w:type="gramStart"/>
      <w:r w:rsidRPr="00280686">
        <w:rPr>
          <w:lang w:val="es-MX" w:eastAsia="en-US"/>
        </w:rPr>
        <w:t>períodos,</w:t>
      </w:r>
      <w:r w:rsidRPr="00280686">
        <w:rPr>
          <w:vertAlign w:val="superscript"/>
          <w:lang w:val="es-MX" w:eastAsia="en-US"/>
        </w:rPr>
        <w:t>(</w:t>
      </w:r>
      <w:proofErr w:type="gramEnd"/>
      <w:r w:rsidRPr="00280686">
        <w:rPr>
          <w:vertAlign w:val="superscript"/>
          <w:lang w:val="es-MX" w:eastAsia="en-US"/>
        </w:rPr>
        <w:t>36)</w:t>
      </w:r>
      <w:r w:rsidRPr="00280686">
        <w:rPr>
          <w:lang w:val="es-MX" w:eastAsia="en-US"/>
        </w:rPr>
        <w:t xml:space="preserve"> un e</w:t>
      </w:r>
      <w:r w:rsidRPr="00280686">
        <w:rPr>
          <w:lang w:val="es-MX"/>
        </w:rPr>
        <w:t>studio de revisión,</w:t>
      </w:r>
      <w:r w:rsidRPr="00280686">
        <w:rPr>
          <w:vertAlign w:val="superscript"/>
          <w:lang w:val="es-MX"/>
        </w:rPr>
        <w:t>(37)</w:t>
      </w:r>
      <w:r w:rsidRPr="00280686">
        <w:rPr>
          <w:lang w:val="es-MX"/>
        </w:rPr>
        <w:t xml:space="preserve"> se ha encontrado que hay interacción farmacocinética entre la azitromicina y otros fármacos, sin implicaciones clínicas significativas, pero a pesar de ello, se debe tener precaución al momento de prescribir medicamentos concomitantes, cuando se justifique su uso.</w:t>
      </w:r>
    </w:p>
    <w:p w14:paraId="36128257" w14:textId="77777777" w:rsidR="0077141A" w:rsidRPr="00280686" w:rsidRDefault="0077141A" w:rsidP="0077141A">
      <w:pPr>
        <w:autoSpaceDE w:val="0"/>
        <w:autoSpaceDN w:val="0"/>
        <w:adjustRightInd w:val="0"/>
        <w:spacing w:line="360" w:lineRule="auto"/>
        <w:jc w:val="both"/>
      </w:pPr>
      <w:r w:rsidRPr="00280686">
        <w:rPr>
          <w:rFonts w:eastAsia="Minion-Regular"/>
          <w:lang w:val="es-PE" w:eastAsia="es-PE"/>
        </w:rPr>
        <w:t xml:space="preserve">En conjunto, todos los datos recopilados permiten sugerir que no todas las interacciones farmacocinéticas tienen la misma </w:t>
      </w:r>
      <w:r w:rsidRPr="00280686">
        <w:t xml:space="preserve">relevancia clínica. Esto depende de múltiples factores, pero son dos los de mayor relevancia, uno que corresponde al fármaco y el otro al paciente. </w:t>
      </w:r>
    </w:p>
    <w:p w14:paraId="7F1F193F" w14:textId="77777777" w:rsidR="0077141A" w:rsidRPr="00280686" w:rsidRDefault="0077141A" w:rsidP="0077141A">
      <w:pPr>
        <w:autoSpaceDE w:val="0"/>
        <w:autoSpaceDN w:val="0"/>
        <w:adjustRightInd w:val="0"/>
        <w:spacing w:line="360" w:lineRule="auto"/>
        <w:jc w:val="both"/>
        <w:rPr>
          <w:rFonts w:eastAsia="Minion-Regular"/>
          <w:lang w:val="es-PE" w:eastAsia="es-PE"/>
        </w:rPr>
      </w:pPr>
      <w:r w:rsidRPr="00280686">
        <w:t xml:space="preserve">Respecto al fármaco, se deben conocer sus propiedades farmacocinéticas y su margen terapéutico. Respecto al paciente, se debe evaluar la edad, condición clínica, etnia y los factores genéticos. </w:t>
      </w:r>
      <w:r w:rsidRPr="00280686">
        <w:rPr>
          <w:rFonts w:eastAsia="Minion-Regular"/>
          <w:lang w:val="es-PE" w:eastAsia="es-PE"/>
        </w:rPr>
        <w:t xml:space="preserve">Ante esto, se hace imperativo impulsar la realización de nuevos ensayos clínicos aleatorizados (ECA) con la participación multidisciplinaria que asocie la investigación básica (farmacogenómica y farmacocinética) y clínica (medicina de precisión), </w:t>
      </w:r>
      <w:r w:rsidRPr="00280686">
        <w:t>que permitan tener evidencia de su eficacia, interacciones farmacocinética y seguridad en la COVID-19, para mitigar dicha enfermedad en los países en vías de desarrollo.</w:t>
      </w:r>
    </w:p>
    <w:p w14:paraId="67187753" w14:textId="77777777" w:rsidR="0077141A" w:rsidRPr="00280686" w:rsidRDefault="0077141A" w:rsidP="0077141A">
      <w:pPr>
        <w:autoSpaceDE w:val="0"/>
        <w:autoSpaceDN w:val="0"/>
        <w:adjustRightInd w:val="0"/>
        <w:spacing w:line="360" w:lineRule="auto"/>
        <w:jc w:val="both"/>
        <w:rPr>
          <w:lang w:val="es-PE"/>
        </w:rPr>
      </w:pPr>
      <w:r w:rsidRPr="00280686">
        <w:rPr>
          <w:lang w:val="es-PE" w:eastAsia="es-PE"/>
        </w:rPr>
        <w:t>Basado en la evidencia de los estudios clínicos</w:t>
      </w:r>
      <w:r w:rsidRPr="00280686">
        <w:t xml:space="preserve"> revisados e integrados</w:t>
      </w:r>
      <w:r w:rsidRPr="00280686">
        <w:rPr>
          <w:lang w:val="es-PE" w:eastAsia="es-PE"/>
        </w:rPr>
        <w:t xml:space="preserve">, se concluye que estas son limitadas y de poca relevancia clínica, sin embargo, se propone usar el antibiótico con precaución y en base al criterio científico del médico, para evitar las interacciones farmacocinéticas, </w:t>
      </w:r>
      <w:r w:rsidRPr="00280686">
        <w:t>el fracaso terapéutico farmacológico y las reacciones adversas</w:t>
      </w:r>
      <w:r w:rsidRPr="00280686">
        <w:rPr>
          <w:lang w:val="es-PE" w:eastAsia="es-PE"/>
        </w:rPr>
        <w:t>.</w:t>
      </w:r>
    </w:p>
    <w:p w14:paraId="30A6ABA8" w14:textId="77777777" w:rsidR="0077141A" w:rsidRPr="00280686" w:rsidRDefault="0077141A" w:rsidP="0077141A">
      <w:pPr>
        <w:autoSpaceDE w:val="0"/>
        <w:autoSpaceDN w:val="0"/>
        <w:adjustRightInd w:val="0"/>
        <w:spacing w:line="360" w:lineRule="auto"/>
        <w:jc w:val="both"/>
      </w:pPr>
    </w:p>
    <w:p w14:paraId="05141338" w14:textId="77777777" w:rsidR="0077141A" w:rsidRPr="00280686" w:rsidRDefault="0077141A" w:rsidP="0077141A">
      <w:pPr>
        <w:shd w:val="clear" w:color="auto" w:fill="FFFFFF"/>
        <w:spacing w:line="360" w:lineRule="auto"/>
        <w:jc w:val="both"/>
        <w:rPr>
          <w:shd w:val="clear" w:color="auto" w:fill="FFFFFF"/>
        </w:rPr>
      </w:pPr>
    </w:p>
    <w:p w14:paraId="6E31EDE2" w14:textId="77777777" w:rsidR="0077141A" w:rsidRPr="00280686" w:rsidRDefault="0077141A" w:rsidP="0077141A">
      <w:pPr>
        <w:shd w:val="clear" w:color="auto" w:fill="FFFFFF"/>
        <w:spacing w:line="360" w:lineRule="auto"/>
        <w:jc w:val="center"/>
        <w:rPr>
          <w:b/>
          <w:sz w:val="32"/>
          <w:szCs w:val="32"/>
          <w:lang w:val="es-MX"/>
        </w:rPr>
      </w:pPr>
      <w:r w:rsidRPr="00280686">
        <w:rPr>
          <w:b/>
          <w:sz w:val="32"/>
          <w:szCs w:val="32"/>
          <w:lang w:val="es-MX"/>
        </w:rPr>
        <w:t>REFERENCIAS BIBLIOGRÁFICAS</w:t>
      </w:r>
    </w:p>
    <w:p w14:paraId="0C7FED31" w14:textId="77777777" w:rsidR="0077141A" w:rsidRPr="00280686" w:rsidRDefault="0077141A" w:rsidP="0077141A">
      <w:pPr>
        <w:shd w:val="clear" w:color="auto" w:fill="FFFFFF"/>
        <w:spacing w:line="360" w:lineRule="auto"/>
        <w:rPr>
          <w:lang w:val="es-MX"/>
        </w:rPr>
      </w:pPr>
      <w:r w:rsidRPr="00280686">
        <w:rPr>
          <w:lang w:val="es-MX"/>
        </w:rPr>
        <w:t xml:space="preserve">1. </w:t>
      </w:r>
      <w:proofErr w:type="spellStart"/>
      <w:r w:rsidRPr="00280686">
        <w:rPr>
          <w:lang w:val="es-MX"/>
        </w:rPr>
        <w:t>Cazzola</w:t>
      </w:r>
      <w:proofErr w:type="spellEnd"/>
      <w:r w:rsidRPr="00280686">
        <w:rPr>
          <w:lang w:val="es-MX"/>
        </w:rPr>
        <w:t xml:space="preserve"> M, </w:t>
      </w:r>
      <w:proofErr w:type="spellStart"/>
      <w:r w:rsidRPr="00280686">
        <w:rPr>
          <w:lang w:val="es-MX"/>
        </w:rPr>
        <w:t>Rogliani</w:t>
      </w:r>
      <w:proofErr w:type="spellEnd"/>
      <w:r w:rsidRPr="00280686">
        <w:rPr>
          <w:lang w:val="es-MX"/>
        </w:rPr>
        <w:t xml:space="preserve"> P, </w:t>
      </w:r>
      <w:proofErr w:type="spellStart"/>
      <w:r w:rsidRPr="00280686">
        <w:rPr>
          <w:lang w:val="es-MX"/>
        </w:rPr>
        <w:t>Calzetta</w:t>
      </w:r>
      <w:proofErr w:type="spellEnd"/>
      <w:r w:rsidRPr="00280686">
        <w:rPr>
          <w:lang w:val="es-MX"/>
        </w:rPr>
        <w:t xml:space="preserve"> L, Matera MG. </w:t>
      </w:r>
      <w:r w:rsidRPr="00280686">
        <w:rPr>
          <w:lang w:val="en-US"/>
        </w:rPr>
        <w:t xml:space="preserve">Pharmacogenomic Response of Inhaled Corticosteroids for the Treatment of Asthma: Considerations for Therapy. </w:t>
      </w:r>
      <w:proofErr w:type="spellStart"/>
      <w:r w:rsidRPr="00280686">
        <w:rPr>
          <w:lang w:val="es-MX"/>
        </w:rPr>
        <w:t>Pharmgenomics</w:t>
      </w:r>
      <w:proofErr w:type="spellEnd"/>
      <w:r w:rsidRPr="00280686">
        <w:rPr>
          <w:lang w:val="es-MX"/>
        </w:rPr>
        <w:t xml:space="preserve"> Pers </w:t>
      </w:r>
      <w:proofErr w:type="spellStart"/>
      <w:r w:rsidRPr="00280686">
        <w:rPr>
          <w:lang w:val="es-MX"/>
        </w:rPr>
        <w:t>Med</w:t>
      </w:r>
      <w:proofErr w:type="spellEnd"/>
      <w:r w:rsidRPr="00280686">
        <w:rPr>
          <w:lang w:val="es-MX"/>
        </w:rPr>
        <w:t xml:space="preserve">. 2020 [acceso: 15/12/2020]; 13: 261-71. Disponible en: </w:t>
      </w:r>
      <w:hyperlink r:id="rId18" w:history="1">
        <w:r w:rsidRPr="00280686">
          <w:rPr>
            <w:rStyle w:val="Hipervnculo"/>
          </w:rPr>
          <w:t>http://doi.org/10.2147/PGPM.S231471</w:t>
        </w:r>
      </w:hyperlink>
      <w:r w:rsidRPr="00280686">
        <w:rPr>
          <w:lang w:val="es-MX"/>
        </w:rPr>
        <w:t xml:space="preserve"> </w:t>
      </w:r>
    </w:p>
    <w:p w14:paraId="22BB2E78" w14:textId="77777777" w:rsidR="0077141A" w:rsidRPr="00280686" w:rsidRDefault="0077141A" w:rsidP="0077141A">
      <w:pPr>
        <w:shd w:val="clear" w:color="auto" w:fill="FFFFFF"/>
        <w:spacing w:line="360" w:lineRule="auto"/>
        <w:rPr>
          <w:lang w:val="es-MX"/>
        </w:rPr>
      </w:pPr>
      <w:r w:rsidRPr="00280686">
        <w:rPr>
          <w:lang w:val="es-MX"/>
        </w:rPr>
        <w:t xml:space="preserve">2. Alvarado AT, Muñoz AM, Loja B, </w:t>
      </w:r>
      <w:proofErr w:type="spellStart"/>
      <w:r w:rsidRPr="00280686">
        <w:rPr>
          <w:lang w:val="es-MX"/>
        </w:rPr>
        <w:t>Miyasato</w:t>
      </w:r>
      <w:proofErr w:type="spellEnd"/>
      <w:r w:rsidRPr="00280686">
        <w:rPr>
          <w:lang w:val="es-MX"/>
        </w:rPr>
        <w:t xml:space="preserve"> JM, García JA, Cerro R, et al. Estudio de las variantes alélicas CYP2C9*2 y CYP2C9*3 en muestras de población mestiza peruana. </w:t>
      </w:r>
      <w:proofErr w:type="spellStart"/>
      <w:r w:rsidRPr="00280686">
        <w:rPr>
          <w:lang w:val="es-MX"/>
        </w:rPr>
        <w:t>Biomedica</w:t>
      </w:r>
      <w:proofErr w:type="spellEnd"/>
      <w:r w:rsidRPr="00280686">
        <w:rPr>
          <w:lang w:val="es-MX"/>
        </w:rPr>
        <w:t>. 2019 [acceso: 15/12/2020]; 39(3): 601-10. DOI: 10.7705/biomedica.4636</w:t>
      </w:r>
    </w:p>
    <w:p w14:paraId="01F277E1" w14:textId="77777777" w:rsidR="0077141A" w:rsidRPr="00280686" w:rsidRDefault="0077141A" w:rsidP="0077141A">
      <w:pPr>
        <w:shd w:val="clear" w:color="auto" w:fill="FFFFFF"/>
        <w:spacing w:line="360" w:lineRule="auto"/>
        <w:rPr>
          <w:lang w:val="en-US"/>
        </w:rPr>
      </w:pPr>
      <w:r w:rsidRPr="00280686">
        <w:rPr>
          <w:lang w:val="es-MX"/>
        </w:rPr>
        <w:lastRenderedPageBreak/>
        <w:t xml:space="preserve">3. Moreno I, Quiñones L, Catalán J, Miranda C, Roco A, </w:t>
      </w:r>
      <w:proofErr w:type="spellStart"/>
      <w:r w:rsidRPr="00280686">
        <w:rPr>
          <w:lang w:val="es-MX"/>
        </w:rPr>
        <w:t>Sasso</w:t>
      </w:r>
      <w:proofErr w:type="spellEnd"/>
      <w:r w:rsidRPr="00280686">
        <w:rPr>
          <w:lang w:val="es-MX"/>
        </w:rPr>
        <w:t xml:space="preserve"> J, et al. </w:t>
      </w:r>
      <w:r w:rsidRPr="00280686">
        <w:rPr>
          <w:lang w:val="en-US"/>
        </w:rPr>
        <w:t xml:space="preserve">Influence of CYP3A4/5 polymorphisms in the pharmacokinetics of levonorgestrel: a pilot study. </w:t>
      </w:r>
      <w:proofErr w:type="spellStart"/>
      <w:r w:rsidRPr="00280686">
        <w:rPr>
          <w:lang w:val="en-US"/>
        </w:rPr>
        <w:t>Biomedica</w:t>
      </w:r>
      <w:proofErr w:type="spellEnd"/>
      <w:r w:rsidRPr="00280686">
        <w:rPr>
          <w:lang w:val="en-US"/>
        </w:rPr>
        <w:t>. 2012 [</w:t>
      </w:r>
      <w:proofErr w:type="spellStart"/>
      <w:r w:rsidRPr="00280686">
        <w:rPr>
          <w:lang w:val="en-US"/>
        </w:rPr>
        <w:t>acceso</w:t>
      </w:r>
      <w:proofErr w:type="spellEnd"/>
      <w:r w:rsidRPr="00280686">
        <w:rPr>
          <w:lang w:val="en-US"/>
        </w:rPr>
        <w:t>: 15/12/2020]; 32(4): 570-7. DOI: 10.1590/S0120-41572012000400012</w:t>
      </w:r>
    </w:p>
    <w:p w14:paraId="4DEDB4C0" w14:textId="77777777" w:rsidR="0077141A" w:rsidRPr="00280686" w:rsidRDefault="0077141A" w:rsidP="0077141A">
      <w:pPr>
        <w:shd w:val="clear" w:color="auto" w:fill="FFFFFF"/>
        <w:spacing w:line="360" w:lineRule="auto"/>
        <w:rPr>
          <w:lang w:val="es-MX"/>
        </w:rPr>
      </w:pPr>
      <w:r w:rsidRPr="00280686">
        <w:rPr>
          <w:lang w:val="en-US"/>
        </w:rPr>
        <w:t xml:space="preserve">4. Kong FYS, </w:t>
      </w:r>
      <w:proofErr w:type="spellStart"/>
      <w:r w:rsidRPr="00280686">
        <w:rPr>
          <w:lang w:val="en-US"/>
        </w:rPr>
        <w:t>Rupasinghe</w:t>
      </w:r>
      <w:proofErr w:type="spellEnd"/>
      <w:r w:rsidRPr="00280686">
        <w:rPr>
          <w:lang w:val="en-US"/>
        </w:rPr>
        <w:t xml:space="preserve"> TW, Simpson JA, </w:t>
      </w:r>
      <w:proofErr w:type="spellStart"/>
      <w:r w:rsidRPr="00280686">
        <w:rPr>
          <w:lang w:val="en-US"/>
        </w:rPr>
        <w:t>Vodstrcil</w:t>
      </w:r>
      <w:proofErr w:type="spellEnd"/>
      <w:r w:rsidRPr="00280686">
        <w:rPr>
          <w:lang w:val="en-US"/>
        </w:rPr>
        <w:t xml:space="preserve"> LA, Fairley CK, McConville MJ, et al. Pharmacokinetics of a single 1g dose of azithromycin in rectal tissue in men. </w:t>
      </w:r>
      <w:proofErr w:type="spellStart"/>
      <w:r w:rsidRPr="00280686">
        <w:rPr>
          <w:lang w:val="es-MX"/>
        </w:rPr>
        <w:t>PLoS</w:t>
      </w:r>
      <w:proofErr w:type="spellEnd"/>
      <w:r w:rsidRPr="00280686">
        <w:rPr>
          <w:lang w:val="es-MX"/>
        </w:rPr>
        <w:t xml:space="preserve"> ONE. 2017 [acceso: 24/05/2021]; 12(3): e0174372. DOI: 10.1371/journal.pone.0174372</w:t>
      </w:r>
    </w:p>
    <w:p w14:paraId="333C0491" w14:textId="77777777" w:rsidR="0077141A" w:rsidRPr="00280686" w:rsidRDefault="0077141A" w:rsidP="0077141A">
      <w:pPr>
        <w:shd w:val="clear" w:color="auto" w:fill="FFFFFF"/>
        <w:spacing w:line="360" w:lineRule="auto"/>
        <w:rPr>
          <w:lang w:val="es-MX"/>
        </w:rPr>
      </w:pPr>
      <w:r w:rsidRPr="00280686">
        <w:rPr>
          <w:lang w:val="es-MX"/>
        </w:rPr>
        <w:t xml:space="preserve">5. Pino-Marín D, Madrigal-Cadavid J, Amariles P. Relevancia clínica de interacciones de antibióticos relacionadas con cambios en la absorción: revisión estructurada. </w:t>
      </w:r>
      <w:proofErr w:type="spellStart"/>
      <w:r w:rsidRPr="00280686">
        <w:rPr>
          <w:lang w:val="es-MX"/>
        </w:rPr>
        <w:t>Rev</w:t>
      </w:r>
      <w:proofErr w:type="spellEnd"/>
      <w:r w:rsidRPr="00280686">
        <w:rPr>
          <w:lang w:val="es-MX"/>
        </w:rPr>
        <w:t xml:space="preserve"> CES </w:t>
      </w:r>
      <w:proofErr w:type="spellStart"/>
      <w:r w:rsidRPr="00280686">
        <w:rPr>
          <w:lang w:val="es-MX"/>
        </w:rPr>
        <w:t>Med</w:t>
      </w:r>
      <w:proofErr w:type="spellEnd"/>
      <w:r w:rsidRPr="00280686">
        <w:rPr>
          <w:lang w:val="es-MX"/>
        </w:rPr>
        <w:t xml:space="preserve">. 2018 [acceso: 20/12/2020]; 32(3): 235-49. Disponible en: </w:t>
      </w:r>
      <w:hyperlink r:id="rId19" w:history="1">
        <w:r w:rsidRPr="00280686">
          <w:rPr>
            <w:rStyle w:val="Hipervnculo"/>
          </w:rPr>
          <w:t>http://www.scielo.org.co/pdf/cesm/v32n3/0120-8705-cesm-32-03-235.pdf</w:t>
        </w:r>
      </w:hyperlink>
      <w:r w:rsidRPr="00280686">
        <w:rPr>
          <w:lang w:val="es-MX"/>
        </w:rPr>
        <w:t xml:space="preserve"> </w:t>
      </w:r>
    </w:p>
    <w:p w14:paraId="2087FEDA" w14:textId="77777777" w:rsidR="0077141A" w:rsidRPr="00280686" w:rsidRDefault="0077141A" w:rsidP="0077141A">
      <w:pPr>
        <w:shd w:val="clear" w:color="auto" w:fill="FFFFFF"/>
        <w:spacing w:line="360" w:lineRule="auto"/>
        <w:rPr>
          <w:lang w:val="es-MX"/>
        </w:rPr>
      </w:pPr>
      <w:r w:rsidRPr="00280686">
        <w:rPr>
          <w:lang w:val="en-US"/>
        </w:rPr>
        <w:t xml:space="preserve">6. </w:t>
      </w:r>
      <w:proofErr w:type="spellStart"/>
      <w:r w:rsidRPr="00280686">
        <w:rPr>
          <w:lang w:val="en-US"/>
        </w:rPr>
        <w:t>Fohner</w:t>
      </w:r>
      <w:proofErr w:type="spellEnd"/>
      <w:r w:rsidRPr="00280686">
        <w:rPr>
          <w:lang w:val="en-US"/>
        </w:rPr>
        <w:t xml:space="preserve"> AE, </w:t>
      </w:r>
      <w:proofErr w:type="spellStart"/>
      <w:r w:rsidRPr="00280686">
        <w:rPr>
          <w:lang w:val="en-US"/>
        </w:rPr>
        <w:t>Sparreboom</w:t>
      </w:r>
      <w:proofErr w:type="spellEnd"/>
      <w:r w:rsidRPr="00280686">
        <w:rPr>
          <w:lang w:val="en-US"/>
        </w:rPr>
        <w:t xml:space="preserve"> A, Altman RB, Klein TE. </w:t>
      </w:r>
      <w:proofErr w:type="spellStart"/>
      <w:r w:rsidRPr="00280686">
        <w:rPr>
          <w:lang w:val="en-US"/>
        </w:rPr>
        <w:t>PharmGKB</w:t>
      </w:r>
      <w:proofErr w:type="spellEnd"/>
      <w:r w:rsidRPr="00280686">
        <w:rPr>
          <w:lang w:val="en-US"/>
        </w:rPr>
        <w:t xml:space="preserve"> summary. Macrolide antibiotic pathway, pharmacokinetics/pharmacodynamics. </w:t>
      </w:r>
      <w:proofErr w:type="spellStart"/>
      <w:r w:rsidRPr="00280686">
        <w:rPr>
          <w:lang w:val="es-MX"/>
        </w:rPr>
        <w:t>Pharmacogenet</w:t>
      </w:r>
      <w:proofErr w:type="spellEnd"/>
      <w:r w:rsidRPr="00280686">
        <w:rPr>
          <w:lang w:val="es-MX"/>
        </w:rPr>
        <w:t xml:space="preserve"> </w:t>
      </w:r>
      <w:proofErr w:type="spellStart"/>
      <w:r w:rsidRPr="00280686">
        <w:rPr>
          <w:lang w:val="es-MX"/>
        </w:rPr>
        <w:t>Genomics</w:t>
      </w:r>
      <w:proofErr w:type="spellEnd"/>
      <w:r w:rsidRPr="00280686">
        <w:rPr>
          <w:lang w:val="es-MX"/>
        </w:rPr>
        <w:t>. 2017 [acceso: 20/12/2021]; 27(4):164-7. DOI: 10.1097/FPC.0000000000000270</w:t>
      </w:r>
    </w:p>
    <w:p w14:paraId="1C48B24F" w14:textId="77777777" w:rsidR="0077141A" w:rsidRPr="00280686" w:rsidRDefault="0077141A" w:rsidP="0077141A">
      <w:pPr>
        <w:shd w:val="clear" w:color="auto" w:fill="FFFFFF"/>
        <w:spacing w:line="360" w:lineRule="auto"/>
        <w:rPr>
          <w:lang w:val="es-MX"/>
        </w:rPr>
      </w:pPr>
      <w:r w:rsidRPr="00280686">
        <w:rPr>
          <w:lang w:val="es-MX"/>
        </w:rPr>
        <w:t xml:space="preserve">7. López JM. Azitromicina: síntesis química, mecanismo de acción, farmacocinética. Info-Farmacia.Com. [acceso: 20/10/2020]. Disponible en: </w:t>
      </w:r>
      <w:hyperlink r:id="rId20" w:history="1">
        <w:r w:rsidRPr="00280686">
          <w:rPr>
            <w:rStyle w:val="Hipervnculo"/>
          </w:rPr>
          <w:t>https://docs.google.com/viewer?a=v&amp;pid=sites&amp;srcid=aW5mby1mYXJtYWNpYS5jb218aW5mby1mYXJtYWNpYXxneDo1ZTQwMDQ1MDFhYWRjMTZl</w:t>
        </w:r>
      </w:hyperlink>
      <w:r w:rsidRPr="00280686">
        <w:rPr>
          <w:lang w:val="es-MX"/>
        </w:rPr>
        <w:t xml:space="preserve"> </w:t>
      </w:r>
    </w:p>
    <w:p w14:paraId="2BED549F" w14:textId="77777777" w:rsidR="0077141A" w:rsidRPr="00280686" w:rsidRDefault="0077141A" w:rsidP="0077141A">
      <w:pPr>
        <w:shd w:val="clear" w:color="auto" w:fill="FFFFFF"/>
        <w:spacing w:line="360" w:lineRule="auto"/>
        <w:rPr>
          <w:lang w:val="en-US"/>
        </w:rPr>
      </w:pPr>
      <w:r w:rsidRPr="00280686">
        <w:rPr>
          <w:lang w:val="en-US"/>
        </w:rPr>
        <w:t>8. Peters DH, Friedel HA, McTavish D. Azithromycin; A Review of Antimicrobial Activity, Pharmacokinetic Properties and Clinical Efficacy. Drugs. 1992 [</w:t>
      </w:r>
      <w:proofErr w:type="spellStart"/>
      <w:r w:rsidRPr="00280686">
        <w:rPr>
          <w:lang w:val="en-US"/>
        </w:rPr>
        <w:t>acceso</w:t>
      </w:r>
      <w:proofErr w:type="spellEnd"/>
      <w:r w:rsidRPr="00280686">
        <w:rPr>
          <w:lang w:val="en-US"/>
        </w:rPr>
        <w:t>: 05/01/2021]; 44 (5): 750-99. DOI: 10.2165/00003495-199244050-00007</w:t>
      </w:r>
    </w:p>
    <w:p w14:paraId="4AD41C05" w14:textId="77777777" w:rsidR="0077141A" w:rsidRPr="00280686" w:rsidRDefault="0077141A" w:rsidP="0077141A">
      <w:pPr>
        <w:shd w:val="clear" w:color="auto" w:fill="FFFFFF"/>
        <w:spacing w:line="360" w:lineRule="auto"/>
        <w:rPr>
          <w:lang w:val="es-MX"/>
        </w:rPr>
      </w:pPr>
      <w:r w:rsidRPr="00280686">
        <w:rPr>
          <w:lang w:val="en-US"/>
        </w:rPr>
        <w:t xml:space="preserve">9. McMullan BJ, </w:t>
      </w:r>
      <w:proofErr w:type="spellStart"/>
      <w:r w:rsidRPr="00280686">
        <w:rPr>
          <w:lang w:val="en-US"/>
        </w:rPr>
        <w:t>Mostaghim</w:t>
      </w:r>
      <w:proofErr w:type="spellEnd"/>
      <w:r w:rsidRPr="00280686">
        <w:rPr>
          <w:lang w:val="en-US"/>
        </w:rPr>
        <w:t xml:space="preserve"> M: Prescribing azithromycin. Aust </w:t>
      </w:r>
      <w:proofErr w:type="spellStart"/>
      <w:r w:rsidRPr="00280686">
        <w:rPr>
          <w:lang w:val="en-US"/>
        </w:rPr>
        <w:t>Prescr</w:t>
      </w:r>
      <w:proofErr w:type="spellEnd"/>
      <w:r w:rsidRPr="00280686">
        <w:rPr>
          <w:lang w:val="en-US"/>
        </w:rPr>
        <w:t xml:space="preserve">. </w:t>
      </w:r>
      <w:r w:rsidRPr="00280686">
        <w:rPr>
          <w:lang w:val="es-MX"/>
        </w:rPr>
        <w:t>2015 [acceso: 05/01/2021];38(3): 87-9. Disponible en:</w:t>
      </w:r>
    </w:p>
    <w:p w14:paraId="4643D7DD" w14:textId="77777777" w:rsidR="0077141A" w:rsidRPr="00280686" w:rsidRDefault="0077141A" w:rsidP="0077141A">
      <w:pPr>
        <w:shd w:val="clear" w:color="auto" w:fill="FFFFFF"/>
        <w:spacing w:line="360" w:lineRule="auto"/>
        <w:rPr>
          <w:lang w:val="es-MX"/>
        </w:rPr>
      </w:pPr>
      <w:r w:rsidRPr="00280686">
        <w:rPr>
          <w:lang w:val="es-MX"/>
        </w:rPr>
        <w:t xml:space="preserve"> </w:t>
      </w:r>
      <w:hyperlink r:id="rId21" w:history="1">
        <w:r w:rsidRPr="00280686">
          <w:rPr>
            <w:rStyle w:val="Hipervnculo"/>
          </w:rPr>
          <w:t>https://www.nps.org.au/assets/bfcb06798716fdf9-d3971d4b774f-Prescribing-azithromycin.pdf</w:t>
        </w:r>
      </w:hyperlink>
      <w:r w:rsidRPr="00280686">
        <w:rPr>
          <w:lang w:val="es-MX"/>
        </w:rPr>
        <w:t xml:space="preserve">   </w:t>
      </w:r>
    </w:p>
    <w:p w14:paraId="33BD1047" w14:textId="77777777" w:rsidR="0077141A" w:rsidRPr="00280686" w:rsidRDefault="0077141A" w:rsidP="0077141A">
      <w:pPr>
        <w:shd w:val="clear" w:color="auto" w:fill="FFFFFF"/>
        <w:spacing w:line="360" w:lineRule="auto"/>
        <w:rPr>
          <w:lang w:val="en-US"/>
        </w:rPr>
      </w:pPr>
      <w:r w:rsidRPr="00280686">
        <w:rPr>
          <w:lang w:val="en-US"/>
        </w:rPr>
        <w:t xml:space="preserve">10. Lode H. The pharmacokinetics of azithromycin and their clinical significance. Eur. J. Clin. Microbiol. </w:t>
      </w:r>
      <w:proofErr w:type="spellStart"/>
      <w:r w:rsidRPr="00280686">
        <w:rPr>
          <w:lang w:val="en-US"/>
        </w:rPr>
        <w:t>Infectar</w:t>
      </w:r>
      <w:proofErr w:type="spellEnd"/>
      <w:r w:rsidRPr="00280686">
        <w:rPr>
          <w:lang w:val="en-US"/>
        </w:rPr>
        <w:t>. Dis. 1991 [</w:t>
      </w:r>
      <w:proofErr w:type="spellStart"/>
      <w:r w:rsidRPr="00280686">
        <w:rPr>
          <w:lang w:val="en-US"/>
        </w:rPr>
        <w:t>acceso</w:t>
      </w:r>
      <w:proofErr w:type="spellEnd"/>
      <w:r w:rsidRPr="00280686">
        <w:rPr>
          <w:lang w:val="en-US"/>
        </w:rPr>
        <w:t>: 05/01/2021]; 10 (10): 807-12. DOI: 10.1007/BF01975832</w:t>
      </w:r>
    </w:p>
    <w:p w14:paraId="77264935" w14:textId="77777777" w:rsidR="0077141A" w:rsidRPr="00280686" w:rsidRDefault="0077141A" w:rsidP="0077141A">
      <w:pPr>
        <w:shd w:val="clear" w:color="auto" w:fill="FFFFFF"/>
        <w:spacing w:line="360" w:lineRule="auto"/>
        <w:rPr>
          <w:lang w:val="en-US"/>
        </w:rPr>
      </w:pPr>
      <w:r w:rsidRPr="00280686">
        <w:rPr>
          <w:lang w:val="en-US"/>
        </w:rPr>
        <w:t xml:space="preserve">11. </w:t>
      </w:r>
      <w:proofErr w:type="spellStart"/>
      <w:r w:rsidRPr="00280686">
        <w:rPr>
          <w:lang w:val="en-US"/>
        </w:rPr>
        <w:t>Matzneller</w:t>
      </w:r>
      <w:proofErr w:type="spellEnd"/>
      <w:r w:rsidRPr="00280686">
        <w:rPr>
          <w:lang w:val="en-US"/>
        </w:rPr>
        <w:t xml:space="preserve"> P, </w:t>
      </w:r>
      <w:proofErr w:type="spellStart"/>
      <w:r w:rsidRPr="00280686">
        <w:rPr>
          <w:lang w:val="en-US"/>
        </w:rPr>
        <w:t>Krasniqi</w:t>
      </w:r>
      <w:proofErr w:type="spellEnd"/>
      <w:r w:rsidRPr="00280686">
        <w:rPr>
          <w:lang w:val="en-US"/>
        </w:rPr>
        <w:t xml:space="preserve"> S, </w:t>
      </w:r>
      <w:proofErr w:type="spellStart"/>
      <w:r w:rsidRPr="00280686">
        <w:rPr>
          <w:lang w:val="en-US"/>
        </w:rPr>
        <w:t>Kinzig</w:t>
      </w:r>
      <w:proofErr w:type="spellEnd"/>
      <w:r w:rsidRPr="00280686">
        <w:rPr>
          <w:lang w:val="en-US"/>
        </w:rPr>
        <w:t xml:space="preserve"> M, </w:t>
      </w:r>
      <w:proofErr w:type="spellStart"/>
      <w:r w:rsidRPr="00280686">
        <w:rPr>
          <w:lang w:val="en-US"/>
        </w:rPr>
        <w:t>Sorgel</w:t>
      </w:r>
      <w:proofErr w:type="spellEnd"/>
      <w:r w:rsidRPr="00280686">
        <w:rPr>
          <w:lang w:val="en-US"/>
        </w:rPr>
        <w:t xml:space="preserve"> F, Huttner S, Lackner E, et al. Blood, tissue, and intracellular concentrations of azithromycin during and after end of therapy. </w:t>
      </w:r>
      <w:proofErr w:type="spellStart"/>
      <w:r w:rsidRPr="00280686">
        <w:rPr>
          <w:lang w:val="en-US"/>
        </w:rPr>
        <w:t>Antimicrob</w:t>
      </w:r>
      <w:proofErr w:type="spellEnd"/>
      <w:r w:rsidRPr="00280686">
        <w:rPr>
          <w:lang w:val="en-US"/>
        </w:rPr>
        <w:t xml:space="preserve"> Agents Chemother. 2013 [</w:t>
      </w:r>
      <w:proofErr w:type="spellStart"/>
      <w:r w:rsidRPr="00280686">
        <w:rPr>
          <w:lang w:val="en-US"/>
        </w:rPr>
        <w:t>acceso</w:t>
      </w:r>
      <w:proofErr w:type="spellEnd"/>
      <w:r w:rsidRPr="00280686">
        <w:rPr>
          <w:lang w:val="en-US"/>
        </w:rPr>
        <w:t xml:space="preserve">: 05/01/2021];57(4): 1736-42. DOI: 10.1128/AAC.02011-12 </w:t>
      </w:r>
    </w:p>
    <w:p w14:paraId="12D37928" w14:textId="77777777" w:rsidR="0077141A" w:rsidRPr="00280686" w:rsidRDefault="0077141A" w:rsidP="0077141A">
      <w:pPr>
        <w:shd w:val="clear" w:color="auto" w:fill="FFFFFF"/>
        <w:spacing w:line="360" w:lineRule="auto"/>
        <w:rPr>
          <w:lang w:val="en-US"/>
        </w:rPr>
      </w:pPr>
      <w:r w:rsidRPr="00280686">
        <w:rPr>
          <w:lang w:val="en-US"/>
        </w:rPr>
        <w:lastRenderedPageBreak/>
        <w:t xml:space="preserve">12. Ramsey PS, </w:t>
      </w:r>
      <w:proofErr w:type="spellStart"/>
      <w:r w:rsidRPr="00280686">
        <w:rPr>
          <w:lang w:val="en-US"/>
        </w:rPr>
        <w:t>Vaules</w:t>
      </w:r>
      <w:proofErr w:type="spellEnd"/>
      <w:r w:rsidRPr="00280686">
        <w:rPr>
          <w:lang w:val="en-US"/>
        </w:rPr>
        <w:t xml:space="preserve"> MB, </w:t>
      </w:r>
      <w:proofErr w:type="spellStart"/>
      <w:r w:rsidRPr="00280686">
        <w:rPr>
          <w:lang w:val="en-US"/>
        </w:rPr>
        <w:t>Vasdev</w:t>
      </w:r>
      <w:proofErr w:type="spellEnd"/>
      <w:r w:rsidRPr="00280686">
        <w:rPr>
          <w:lang w:val="en-US"/>
        </w:rPr>
        <w:t xml:space="preserve"> GM, Andrews WW, </w:t>
      </w:r>
      <w:proofErr w:type="spellStart"/>
      <w:r w:rsidRPr="00280686">
        <w:rPr>
          <w:lang w:val="en-US"/>
        </w:rPr>
        <w:t>Ramin</w:t>
      </w:r>
      <w:proofErr w:type="spellEnd"/>
      <w:r w:rsidRPr="00280686">
        <w:rPr>
          <w:lang w:val="en-US"/>
        </w:rPr>
        <w:t xml:space="preserve"> KD. Maternal and transplacental pharmacokinetics of azithromycin. Am J </w:t>
      </w:r>
      <w:proofErr w:type="spellStart"/>
      <w:r w:rsidRPr="00280686">
        <w:rPr>
          <w:lang w:val="en-US"/>
        </w:rPr>
        <w:t>Obstet</w:t>
      </w:r>
      <w:proofErr w:type="spellEnd"/>
      <w:r w:rsidRPr="00280686">
        <w:rPr>
          <w:lang w:val="en-US"/>
        </w:rPr>
        <w:t xml:space="preserve"> Gynecol. 2003 [</w:t>
      </w:r>
      <w:proofErr w:type="spellStart"/>
      <w:r w:rsidRPr="00280686">
        <w:rPr>
          <w:lang w:val="en-US"/>
        </w:rPr>
        <w:t>acceso</w:t>
      </w:r>
      <w:proofErr w:type="spellEnd"/>
      <w:r w:rsidRPr="00280686">
        <w:rPr>
          <w:lang w:val="en-US"/>
        </w:rPr>
        <w:t>: 10/01/2021]; 188(3): 714-18. DOI: 10.1067/mob.2003.141</w:t>
      </w:r>
    </w:p>
    <w:p w14:paraId="55DBB398" w14:textId="77777777" w:rsidR="0077141A" w:rsidRPr="00280686" w:rsidRDefault="0077141A" w:rsidP="0077141A">
      <w:pPr>
        <w:shd w:val="clear" w:color="auto" w:fill="FFFFFF"/>
        <w:spacing w:line="360" w:lineRule="auto"/>
        <w:rPr>
          <w:lang w:val="es-MX"/>
        </w:rPr>
      </w:pPr>
      <w:r w:rsidRPr="00280686">
        <w:rPr>
          <w:lang w:val="en-US"/>
        </w:rPr>
        <w:t xml:space="preserve">13. Zheng Y, Liu SP, Xu BP, Shi ZR, Wang K, Yang JB, et al. Population pharmacokinetics and dosing optimization of azithromycin in children with community-acquired pneumonia. </w:t>
      </w:r>
      <w:proofErr w:type="spellStart"/>
      <w:r w:rsidRPr="00280686">
        <w:rPr>
          <w:lang w:val="es-MX"/>
        </w:rPr>
        <w:t>Antimicrob</w:t>
      </w:r>
      <w:proofErr w:type="spellEnd"/>
      <w:r w:rsidRPr="00280686">
        <w:rPr>
          <w:lang w:val="es-MX"/>
        </w:rPr>
        <w:t xml:space="preserve"> </w:t>
      </w:r>
      <w:proofErr w:type="spellStart"/>
      <w:r w:rsidRPr="00280686">
        <w:rPr>
          <w:lang w:val="es-MX"/>
        </w:rPr>
        <w:t>Agents</w:t>
      </w:r>
      <w:proofErr w:type="spellEnd"/>
      <w:r w:rsidRPr="00280686">
        <w:rPr>
          <w:lang w:val="es-MX"/>
        </w:rPr>
        <w:t xml:space="preserve"> </w:t>
      </w:r>
      <w:proofErr w:type="spellStart"/>
      <w:r w:rsidRPr="00280686">
        <w:rPr>
          <w:lang w:val="es-MX"/>
        </w:rPr>
        <w:t>Chemother</w:t>
      </w:r>
      <w:proofErr w:type="spellEnd"/>
      <w:r w:rsidRPr="00280686">
        <w:rPr>
          <w:lang w:val="es-MX"/>
        </w:rPr>
        <w:t>. 2018 [acceso: 05/01/2021];62(9): e00686-18. DOI: 10.1128/AAC.00686-18</w:t>
      </w:r>
    </w:p>
    <w:p w14:paraId="6885B3AB" w14:textId="77777777" w:rsidR="0077141A" w:rsidRPr="00280686" w:rsidRDefault="0077141A" w:rsidP="0077141A">
      <w:pPr>
        <w:shd w:val="clear" w:color="auto" w:fill="FFFFFF"/>
        <w:spacing w:line="360" w:lineRule="auto"/>
        <w:rPr>
          <w:lang w:val="es-MX"/>
        </w:rPr>
      </w:pPr>
      <w:r w:rsidRPr="00280686">
        <w:rPr>
          <w:lang w:val="es-MX"/>
        </w:rPr>
        <w:t xml:space="preserve">14. Alfonso I, Calvo DM, Jiménez G, Lara C, Broche L. Azitromicina y efectos cardiovasculares notificados al Sistema Cubano de Farmacovigilancia, 2003-2012. </w:t>
      </w:r>
      <w:proofErr w:type="spellStart"/>
      <w:r w:rsidRPr="00280686">
        <w:rPr>
          <w:lang w:val="es-MX"/>
        </w:rPr>
        <w:t>Rev</w:t>
      </w:r>
      <w:proofErr w:type="spellEnd"/>
      <w:r w:rsidRPr="00280686">
        <w:rPr>
          <w:lang w:val="es-MX"/>
        </w:rPr>
        <w:t xml:space="preserve"> Cubana Farm. 2014 [acceso: 15/01/2021]; 48(2):519-28. Disponible en: </w:t>
      </w:r>
      <w:hyperlink r:id="rId22" w:history="1">
        <w:r w:rsidRPr="00280686">
          <w:rPr>
            <w:rStyle w:val="Hipervnculo"/>
          </w:rPr>
          <w:t>https://www.medigraphic.com/pdfs/revcubfar/rcf-2014/rcf143q.pdf</w:t>
        </w:r>
      </w:hyperlink>
      <w:r w:rsidRPr="00280686">
        <w:rPr>
          <w:lang w:val="es-MX"/>
        </w:rPr>
        <w:t xml:space="preserve">  </w:t>
      </w:r>
    </w:p>
    <w:p w14:paraId="6C4AA513" w14:textId="77777777" w:rsidR="0077141A" w:rsidRPr="00280686" w:rsidRDefault="0077141A" w:rsidP="0077141A">
      <w:pPr>
        <w:shd w:val="clear" w:color="auto" w:fill="FFFFFF"/>
        <w:spacing w:line="360" w:lineRule="auto"/>
        <w:rPr>
          <w:lang w:val="es-MX"/>
        </w:rPr>
      </w:pPr>
      <w:r w:rsidRPr="00280686">
        <w:rPr>
          <w:lang w:val="en-US"/>
        </w:rPr>
        <w:t xml:space="preserve">15. </w:t>
      </w:r>
      <w:proofErr w:type="spellStart"/>
      <w:r w:rsidRPr="00280686">
        <w:rPr>
          <w:lang w:val="en-US"/>
        </w:rPr>
        <w:t>Touret</w:t>
      </w:r>
      <w:proofErr w:type="spellEnd"/>
      <w:r w:rsidRPr="00280686">
        <w:rPr>
          <w:lang w:val="en-US"/>
        </w:rPr>
        <w:t xml:space="preserve"> F, Gilles M, </w:t>
      </w:r>
      <w:proofErr w:type="spellStart"/>
      <w:r w:rsidRPr="00280686">
        <w:rPr>
          <w:lang w:val="en-US"/>
        </w:rPr>
        <w:t>Barral</w:t>
      </w:r>
      <w:proofErr w:type="spellEnd"/>
      <w:r w:rsidRPr="00280686">
        <w:rPr>
          <w:lang w:val="en-US"/>
        </w:rPr>
        <w:t xml:space="preserve"> K, </w:t>
      </w:r>
      <w:proofErr w:type="spellStart"/>
      <w:r w:rsidRPr="00280686">
        <w:rPr>
          <w:lang w:val="en-US"/>
        </w:rPr>
        <w:t>Nougairède</w:t>
      </w:r>
      <w:proofErr w:type="spellEnd"/>
      <w:r w:rsidRPr="00280686">
        <w:rPr>
          <w:lang w:val="en-US"/>
        </w:rPr>
        <w:t xml:space="preserve"> A, van </w:t>
      </w:r>
      <w:proofErr w:type="spellStart"/>
      <w:r w:rsidRPr="00280686">
        <w:rPr>
          <w:lang w:val="en-US"/>
        </w:rPr>
        <w:t>Helden</w:t>
      </w:r>
      <w:proofErr w:type="spellEnd"/>
      <w:r w:rsidRPr="00280686">
        <w:rPr>
          <w:lang w:val="en-US"/>
        </w:rPr>
        <w:t xml:space="preserve"> J, </w:t>
      </w:r>
      <w:proofErr w:type="spellStart"/>
      <w:r w:rsidRPr="00280686">
        <w:rPr>
          <w:lang w:val="en-US"/>
        </w:rPr>
        <w:t>Decroly</w:t>
      </w:r>
      <w:proofErr w:type="spellEnd"/>
      <w:r w:rsidRPr="00280686">
        <w:rPr>
          <w:lang w:val="en-US"/>
        </w:rPr>
        <w:t xml:space="preserve"> E, et al. In vitro screening of </w:t>
      </w:r>
      <w:proofErr w:type="gramStart"/>
      <w:r w:rsidRPr="00280686">
        <w:rPr>
          <w:lang w:val="en-US"/>
        </w:rPr>
        <w:t>a</w:t>
      </w:r>
      <w:proofErr w:type="gramEnd"/>
      <w:r w:rsidRPr="00280686">
        <w:rPr>
          <w:lang w:val="en-US"/>
        </w:rPr>
        <w:t xml:space="preserve"> FDA approved chemical library reveals potential inhibitors of SARS‐CoV‐2 replication. </w:t>
      </w:r>
      <w:proofErr w:type="spellStart"/>
      <w:r w:rsidRPr="00280686">
        <w:rPr>
          <w:lang w:val="es-MX"/>
        </w:rPr>
        <w:t>Sci</w:t>
      </w:r>
      <w:proofErr w:type="spellEnd"/>
      <w:r w:rsidRPr="00280686">
        <w:rPr>
          <w:lang w:val="es-MX"/>
        </w:rPr>
        <w:t xml:space="preserve"> Rep. 2020 [acceso: 15/01/2021]; 10:13093. Disponible en: </w:t>
      </w:r>
      <w:hyperlink r:id="rId23" w:history="1">
        <w:r w:rsidRPr="00280686">
          <w:rPr>
            <w:rStyle w:val="Hipervnculo"/>
          </w:rPr>
          <w:t>https://doi.org/10.1038/s41598-020-70143-6</w:t>
        </w:r>
      </w:hyperlink>
      <w:r w:rsidRPr="00280686">
        <w:rPr>
          <w:lang w:val="es-MX"/>
        </w:rPr>
        <w:t xml:space="preserve"> </w:t>
      </w:r>
    </w:p>
    <w:p w14:paraId="06ABB0B5" w14:textId="77777777" w:rsidR="0077141A" w:rsidRPr="00280686" w:rsidRDefault="0077141A" w:rsidP="0077141A">
      <w:pPr>
        <w:shd w:val="clear" w:color="auto" w:fill="FFFFFF"/>
        <w:spacing w:line="360" w:lineRule="auto"/>
        <w:rPr>
          <w:lang w:val="es-MX"/>
        </w:rPr>
      </w:pPr>
      <w:r w:rsidRPr="00280686">
        <w:rPr>
          <w:lang w:val="es-MX"/>
        </w:rPr>
        <w:t xml:space="preserve">16. Arnedo-Pena A, García-Marcos L, Fernández-Espinar JF, </w:t>
      </w:r>
      <w:proofErr w:type="spellStart"/>
      <w:r w:rsidRPr="00280686">
        <w:rPr>
          <w:lang w:val="es-MX"/>
        </w:rPr>
        <w:t>Bercedo</w:t>
      </w:r>
      <w:proofErr w:type="spellEnd"/>
      <w:r w:rsidRPr="00280686">
        <w:rPr>
          <w:lang w:val="es-MX"/>
        </w:rPr>
        <w:t>-Sanz A, Aguinaga-</w:t>
      </w:r>
      <w:proofErr w:type="spellStart"/>
      <w:r w:rsidRPr="00280686">
        <w:rPr>
          <w:lang w:val="es-MX"/>
        </w:rPr>
        <w:t>Ontoso</w:t>
      </w:r>
      <w:proofErr w:type="spellEnd"/>
      <w:r w:rsidRPr="00280686">
        <w:rPr>
          <w:lang w:val="es-MX"/>
        </w:rPr>
        <w:t xml:space="preserve"> I, González- Díaz C, et al. </w:t>
      </w:r>
      <w:r w:rsidRPr="00280686">
        <w:rPr>
          <w:lang w:val="en-US"/>
        </w:rPr>
        <w:t xml:space="preserve">Sunny hours and variations in the </w:t>
      </w:r>
      <w:proofErr w:type="spellStart"/>
      <w:r w:rsidRPr="00280686">
        <w:rPr>
          <w:lang w:val="en-US"/>
        </w:rPr>
        <w:t>preva¬lence</w:t>
      </w:r>
      <w:proofErr w:type="spellEnd"/>
      <w:r w:rsidRPr="00280686">
        <w:rPr>
          <w:lang w:val="en-US"/>
        </w:rPr>
        <w:t xml:space="preserve"> of asthma in schoolchildren according to the International Study of Asthma and Allergies (ISAAC) Phase III in Spain. </w:t>
      </w:r>
      <w:proofErr w:type="spellStart"/>
      <w:r w:rsidRPr="00280686">
        <w:rPr>
          <w:lang w:val="es-MX"/>
        </w:rPr>
        <w:t>Int</w:t>
      </w:r>
      <w:proofErr w:type="spellEnd"/>
      <w:r w:rsidRPr="00280686">
        <w:rPr>
          <w:lang w:val="es-MX"/>
        </w:rPr>
        <w:t xml:space="preserve"> J </w:t>
      </w:r>
      <w:proofErr w:type="spellStart"/>
      <w:r w:rsidRPr="00280686">
        <w:rPr>
          <w:lang w:val="es-MX"/>
        </w:rPr>
        <w:t>Biometeorol</w:t>
      </w:r>
      <w:proofErr w:type="spellEnd"/>
      <w:r w:rsidRPr="00280686">
        <w:rPr>
          <w:lang w:val="es-MX"/>
        </w:rPr>
        <w:t xml:space="preserve">. 2011 [acceso: 15/01/2021]; 55(3): 423-34. Disponible en: </w:t>
      </w:r>
      <w:hyperlink r:id="rId24" w:history="1">
        <w:r w:rsidRPr="00280686">
          <w:rPr>
            <w:rStyle w:val="Hipervnculo"/>
          </w:rPr>
          <w:t>https://pubmed.ncbi.nlm.nih.gov/20803035/</w:t>
        </w:r>
      </w:hyperlink>
      <w:r w:rsidRPr="00280686">
        <w:rPr>
          <w:lang w:val="es-MX"/>
        </w:rPr>
        <w:t xml:space="preserve"> </w:t>
      </w:r>
    </w:p>
    <w:p w14:paraId="03A6CB53" w14:textId="77777777" w:rsidR="0077141A" w:rsidRPr="00280686" w:rsidRDefault="0077141A" w:rsidP="0077141A">
      <w:pPr>
        <w:shd w:val="clear" w:color="auto" w:fill="FFFFFF"/>
        <w:spacing w:line="360" w:lineRule="auto"/>
        <w:rPr>
          <w:lang w:val="es-MX"/>
        </w:rPr>
      </w:pPr>
      <w:r w:rsidRPr="00280686">
        <w:rPr>
          <w:lang w:val="en-US"/>
        </w:rPr>
        <w:t xml:space="preserve">17. Menzel M, </w:t>
      </w:r>
      <w:proofErr w:type="spellStart"/>
      <w:r w:rsidRPr="00280686">
        <w:rPr>
          <w:lang w:val="en-US"/>
        </w:rPr>
        <w:t>Akbarshahi</w:t>
      </w:r>
      <w:proofErr w:type="spellEnd"/>
      <w:r w:rsidRPr="00280686">
        <w:rPr>
          <w:lang w:val="en-US"/>
        </w:rPr>
        <w:t xml:space="preserve"> H, </w:t>
      </w:r>
      <w:proofErr w:type="spellStart"/>
      <w:r w:rsidRPr="00280686">
        <w:rPr>
          <w:lang w:val="en-US"/>
        </w:rPr>
        <w:t>Bjermer</w:t>
      </w:r>
      <w:proofErr w:type="spellEnd"/>
      <w:r w:rsidRPr="00280686">
        <w:rPr>
          <w:lang w:val="en-US"/>
        </w:rPr>
        <w:t xml:space="preserve"> L, </w:t>
      </w:r>
      <w:proofErr w:type="spellStart"/>
      <w:r w:rsidRPr="00280686">
        <w:rPr>
          <w:lang w:val="en-US"/>
        </w:rPr>
        <w:t>Uller</w:t>
      </w:r>
      <w:proofErr w:type="spellEnd"/>
      <w:r w:rsidRPr="00280686">
        <w:rPr>
          <w:lang w:val="en-US"/>
        </w:rPr>
        <w:t xml:space="preserve"> L. Azithromycin induces anti-viral effects in cultured bronchial epithelial cells from COPD patients. </w:t>
      </w:r>
      <w:proofErr w:type="spellStart"/>
      <w:r w:rsidRPr="00280686">
        <w:rPr>
          <w:lang w:val="es-MX"/>
        </w:rPr>
        <w:t>Sci</w:t>
      </w:r>
      <w:proofErr w:type="spellEnd"/>
      <w:r w:rsidRPr="00280686">
        <w:rPr>
          <w:lang w:val="es-MX"/>
        </w:rPr>
        <w:t xml:space="preserve">. Rep. 2016 [acceso: 15/01/2021]; 6: 28698-709.  Disponible en: </w:t>
      </w:r>
      <w:hyperlink r:id="rId25" w:history="1">
        <w:r w:rsidRPr="00280686">
          <w:rPr>
            <w:rStyle w:val="Hipervnculo"/>
          </w:rPr>
          <w:t>https://pubmed.ncbi.nlm.nih.gov/27350308/</w:t>
        </w:r>
      </w:hyperlink>
      <w:r w:rsidRPr="00280686">
        <w:rPr>
          <w:lang w:val="es-MX"/>
        </w:rPr>
        <w:t xml:space="preserve"> </w:t>
      </w:r>
    </w:p>
    <w:p w14:paraId="30D2F224" w14:textId="77777777" w:rsidR="0077141A" w:rsidRPr="00280686" w:rsidRDefault="0077141A" w:rsidP="0077141A">
      <w:pPr>
        <w:shd w:val="clear" w:color="auto" w:fill="FFFFFF"/>
        <w:spacing w:line="360" w:lineRule="auto"/>
        <w:rPr>
          <w:lang w:val="es-MX"/>
        </w:rPr>
      </w:pPr>
      <w:r w:rsidRPr="00280686">
        <w:rPr>
          <w:lang w:val="en-US"/>
        </w:rPr>
        <w:t xml:space="preserve">18. Dos Santos WG. Natural history of COVID-19 and current knowledge on treatment therapeutic options. </w:t>
      </w:r>
      <w:proofErr w:type="spellStart"/>
      <w:r w:rsidRPr="00280686">
        <w:rPr>
          <w:lang w:val="es-MX"/>
        </w:rPr>
        <w:t>Biomed</w:t>
      </w:r>
      <w:proofErr w:type="spellEnd"/>
      <w:r w:rsidRPr="00280686">
        <w:rPr>
          <w:lang w:val="es-MX"/>
        </w:rPr>
        <w:t xml:space="preserve"> </w:t>
      </w:r>
      <w:proofErr w:type="spellStart"/>
      <w:r w:rsidRPr="00280686">
        <w:rPr>
          <w:lang w:val="es-MX"/>
        </w:rPr>
        <w:t>Pharmacother</w:t>
      </w:r>
      <w:proofErr w:type="spellEnd"/>
      <w:r w:rsidRPr="00280686">
        <w:rPr>
          <w:lang w:val="es-MX"/>
        </w:rPr>
        <w:t xml:space="preserve">. 2020 [acceso: 15/01/2021]; 129: 110493. Disponible en: </w:t>
      </w:r>
      <w:hyperlink r:id="rId26" w:history="1">
        <w:r w:rsidRPr="00280686">
          <w:rPr>
            <w:rStyle w:val="Hipervnculo"/>
          </w:rPr>
          <w:t>https://pubmed.ncbi.nlm.nih.gov/32768971/</w:t>
        </w:r>
      </w:hyperlink>
      <w:r w:rsidRPr="00280686">
        <w:rPr>
          <w:lang w:val="es-MX"/>
        </w:rPr>
        <w:t xml:space="preserve"> </w:t>
      </w:r>
    </w:p>
    <w:p w14:paraId="27A01164" w14:textId="77777777" w:rsidR="0077141A" w:rsidRPr="00280686" w:rsidRDefault="0077141A" w:rsidP="0077141A">
      <w:pPr>
        <w:shd w:val="clear" w:color="auto" w:fill="FFFFFF"/>
        <w:spacing w:line="360" w:lineRule="auto"/>
        <w:rPr>
          <w:lang w:val="en-US"/>
        </w:rPr>
      </w:pPr>
      <w:r w:rsidRPr="00280686">
        <w:rPr>
          <w:lang w:val="en-US"/>
        </w:rPr>
        <w:t xml:space="preserve">19. </w:t>
      </w:r>
      <w:proofErr w:type="spellStart"/>
      <w:r w:rsidRPr="00280686">
        <w:rPr>
          <w:lang w:val="en-US"/>
        </w:rPr>
        <w:t>Lamba</w:t>
      </w:r>
      <w:proofErr w:type="spellEnd"/>
      <w:r w:rsidRPr="00280686">
        <w:rPr>
          <w:lang w:val="en-US"/>
        </w:rPr>
        <w:t xml:space="preserve"> JK, Lin YS, Schuetz EG, </w:t>
      </w:r>
      <w:proofErr w:type="spellStart"/>
      <w:r w:rsidRPr="00280686">
        <w:rPr>
          <w:lang w:val="en-US"/>
        </w:rPr>
        <w:t>Thummel</w:t>
      </w:r>
      <w:proofErr w:type="spellEnd"/>
      <w:r w:rsidRPr="00280686">
        <w:rPr>
          <w:lang w:val="en-US"/>
        </w:rPr>
        <w:t xml:space="preserve"> KE. Genetic Contribution to Variable Human CYP3A-Mediated Metabolism. Adv Drug </w:t>
      </w:r>
      <w:proofErr w:type="spellStart"/>
      <w:r w:rsidRPr="00280686">
        <w:rPr>
          <w:lang w:val="en-US"/>
        </w:rPr>
        <w:t>Deliv</w:t>
      </w:r>
      <w:proofErr w:type="spellEnd"/>
      <w:r w:rsidRPr="00280686">
        <w:rPr>
          <w:lang w:val="en-US"/>
        </w:rPr>
        <w:t xml:space="preserve"> Rev. 2002 [</w:t>
      </w:r>
      <w:proofErr w:type="spellStart"/>
      <w:r w:rsidRPr="00280686">
        <w:rPr>
          <w:lang w:val="en-US"/>
        </w:rPr>
        <w:t>acceso</w:t>
      </w:r>
      <w:proofErr w:type="spellEnd"/>
      <w:r w:rsidRPr="00280686">
        <w:rPr>
          <w:lang w:val="en-US"/>
        </w:rPr>
        <w:t>: 15/01/2021]; 54(10):1271-94. DOI: 10.1016/s0169-409</w:t>
      </w:r>
      <w:proofErr w:type="gramStart"/>
      <w:r w:rsidRPr="00280686">
        <w:rPr>
          <w:lang w:val="en-US"/>
        </w:rPr>
        <w:t>x(</w:t>
      </w:r>
      <w:proofErr w:type="gramEnd"/>
      <w:r w:rsidRPr="00280686">
        <w:rPr>
          <w:lang w:val="en-US"/>
        </w:rPr>
        <w:t>02)00066-2</w:t>
      </w:r>
    </w:p>
    <w:p w14:paraId="42C7F9A7" w14:textId="77777777" w:rsidR="0077141A" w:rsidRPr="00280686" w:rsidRDefault="0077141A" w:rsidP="0077141A">
      <w:pPr>
        <w:shd w:val="clear" w:color="auto" w:fill="FFFFFF"/>
        <w:spacing w:line="360" w:lineRule="auto"/>
        <w:rPr>
          <w:lang w:val="en-US"/>
        </w:rPr>
      </w:pPr>
      <w:r w:rsidRPr="00280686">
        <w:rPr>
          <w:lang w:val="en-US"/>
        </w:rPr>
        <w:t xml:space="preserve">20. </w:t>
      </w:r>
      <w:proofErr w:type="spellStart"/>
      <w:r w:rsidRPr="00280686">
        <w:rPr>
          <w:lang w:val="en-US"/>
        </w:rPr>
        <w:t>Westlind-Johnsson</w:t>
      </w:r>
      <w:proofErr w:type="spellEnd"/>
      <w:r w:rsidRPr="00280686">
        <w:rPr>
          <w:lang w:val="en-US"/>
        </w:rPr>
        <w:t xml:space="preserve"> A, Hermann R, </w:t>
      </w:r>
      <w:proofErr w:type="spellStart"/>
      <w:r w:rsidRPr="00280686">
        <w:rPr>
          <w:lang w:val="en-US"/>
        </w:rPr>
        <w:t>Huennemeyer</w:t>
      </w:r>
      <w:proofErr w:type="spellEnd"/>
      <w:r w:rsidRPr="00280686">
        <w:rPr>
          <w:lang w:val="en-US"/>
        </w:rPr>
        <w:t xml:space="preserve"> A, </w:t>
      </w:r>
      <w:proofErr w:type="spellStart"/>
      <w:r w:rsidRPr="00280686">
        <w:rPr>
          <w:lang w:val="en-US"/>
        </w:rPr>
        <w:t>Hauns</w:t>
      </w:r>
      <w:proofErr w:type="spellEnd"/>
      <w:r w:rsidRPr="00280686">
        <w:rPr>
          <w:lang w:val="en-US"/>
        </w:rPr>
        <w:t xml:space="preserve"> B, </w:t>
      </w:r>
      <w:proofErr w:type="spellStart"/>
      <w:r w:rsidRPr="00280686">
        <w:rPr>
          <w:lang w:val="en-US"/>
        </w:rPr>
        <w:t>Lahu</w:t>
      </w:r>
      <w:proofErr w:type="spellEnd"/>
      <w:r w:rsidRPr="00280686">
        <w:rPr>
          <w:lang w:val="en-US"/>
        </w:rPr>
        <w:t xml:space="preserve"> G, </w:t>
      </w:r>
      <w:proofErr w:type="spellStart"/>
      <w:r w:rsidRPr="00280686">
        <w:rPr>
          <w:lang w:val="en-US"/>
        </w:rPr>
        <w:t>Nassr</w:t>
      </w:r>
      <w:proofErr w:type="spellEnd"/>
      <w:r w:rsidRPr="00280686">
        <w:rPr>
          <w:lang w:val="en-US"/>
        </w:rPr>
        <w:t xml:space="preserve"> N, et al. Identification and Characterization of CYP3A4*20, a Novel Rare CYP3A4 Allele without Functional </w:t>
      </w:r>
      <w:r w:rsidRPr="00280686">
        <w:rPr>
          <w:lang w:val="en-US"/>
        </w:rPr>
        <w:lastRenderedPageBreak/>
        <w:t xml:space="preserve">Activity. Clin </w:t>
      </w:r>
      <w:proofErr w:type="spellStart"/>
      <w:r w:rsidRPr="00280686">
        <w:rPr>
          <w:lang w:val="en-US"/>
        </w:rPr>
        <w:t>Pharmacol</w:t>
      </w:r>
      <w:proofErr w:type="spellEnd"/>
      <w:r w:rsidRPr="00280686">
        <w:rPr>
          <w:lang w:val="en-US"/>
        </w:rPr>
        <w:t xml:space="preserve"> </w:t>
      </w:r>
      <w:proofErr w:type="spellStart"/>
      <w:r w:rsidRPr="00280686">
        <w:rPr>
          <w:lang w:val="en-US"/>
        </w:rPr>
        <w:t>Ther</w:t>
      </w:r>
      <w:proofErr w:type="spellEnd"/>
      <w:r w:rsidRPr="00280686">
        <w:rPr>
          <w:lang w:val="en-US"/>
        </w:rPr>
        <w:t>. 2006 [</w:t>
      </w:r>
      <w:proofErr w:type="spellStart"/>
      <w:r w:rsidRPr="00280686">
        <w:rPr>
          <w:lang w:val="en-US"/>
        </w:rPr>
        <w:t>acceso</w:t>
      </w:r>
      <w:proofErr w:type="spellEnd"/>
      <w:r w:rsidRPr="00280686">
        <w:rPr>
          <w:lang w:val="en-US"/>
        </w:rPr>
        <w:t>: 15/01/2021]; 79(4): 339-49. DOI: 10.1016/j.clpt.2005.11.015</w:t>
      </w:r>
    </w:p>
    <w:p w14:paraId="0CC14AB9" w14:textId="77777777" w:rsidR="0077141A" w:rsidRPr="00280686" w:rsidRDefault="0077141A" w:rsidP="0077141A">
      <w:pPr>
        <w:shd w:val="clear" w:color="auto" w:fill="FFFFFF"/>
        <w:spacing w:line="360" w:lineRule="auto"/>
        <w:rPr>
          <w:lang w:val="en-US"/>
        </w:rPr>
      </w:pPr>
      <w:r w:rsidRPr="00280686">
        <w:rPr>
          <w:lang w:val="en-US"/>
        </w:rPr>
        <w:t xml:space="preserve">21. Tanaka E. Clinically important pharmacokinetic drug-drug interactions: role of cytochrome P450 enzymes. J Clin Pharm </w:t>
      </w:r>
      <w:proofErr w:type="spellStart"/>
      <w:r w:rsidRPr="00280686">
        <w:rPr>
          <w:lang w:val="en-US"/>
        </w:rPr>
        <w:t>Ther</w:t>
      </w:r>
      <w:proofErr w:type="spellEnd"/>
      <w:r w:rsidRPr="00280686">
        <w:rPr>
          <w:lang w:val="en-US"/>
        </w:rPr>
        <w:t>. 1998 [</w:t>
      </w:r>
      <w:proofErr w:type="spellStart"/>
      <w:r w:rsidRPr="00280686">
        <w:rPr>
          <w:lang w:val="en-US"/>
        </w:rPr>
        <w:t>acceso</w:t>
      </w:r>
      <w:proofErr w:type="spellEnd"/>
      <w:r w:rsidRPr="00280686">
        <w:rPr>
          <w:lang w:val="en-US"/>
        </w:rPr>
        <w:t>: 15/01/2021]; 23(6): 403-16. DOI: 10.1046/j.1365-2710.</w:t>
      </w:r>
      <w:proofErr w:type="gramStart"/>
      <w:r w:rsidRPr="00280686">
        <w:rPr>
          <w:lang w:val="en-US"/>
        </w:rPr>
        <w:t>1998.00086.x</w:t>
      </w:r>
      <w:proofErr w:type="gramEnd"/>
    </w:p>
    <w:p w14:paraId="6E5C4085" w14:textId="77777777" w:rsidR="0077141A" w:rsidRPr="00280686" w:rsidRDefault="0077141A" w:rsidP="0077141A">
      <w:pPr>
        <w:shd w:val="clear" w:color="auto" w:fill="FFFFFF"/>
        <w:spacing w:line="360" w:lineRule="auto"/>
        <w:rPr>
          <w:lang w:val="en-US"/>
        </w:rPr>
      </w:pPr>
      <w:r w:rsidRPr="00280686">
        <w:rPr>
          <w:lang w:val="en-US"/>
        </w:rPr>
        <w:t xml:space="preserve">22. Snyder B, </w:t>
      </w:r>
      <w:proofErr w:type="spellStart"/>
      <w:r w:rsidRPr="00280686">
        <w:rPr>
          <w:lang w:val="en-US"/>
        </w:rPr>
        <w:t>Polasek</w:t>
      </w:r>
      <w:proofErr w:type="spellEnd"/>
      <w:r w:rsidRPr="00280686">
        <w:rPr>
          <w:lang w:val="en-US"/>
        </w:rPr>
        <w:t xml:space="preserve"> T, </w:t>
      </w:r>
      <w:proofErr w:type="spellStart"/>
      <w:r w:rsidRPr="00280686">
        <w:rPr>
          <w:lang w:val="en-US"/>
        </w:rPr>
        <w:t>Doogue</w:t>
      </w:r>
      <w:proofErr w:type="spellEnd"/>
      <w:r w:rsidRPr="00280686">
        <w:rPr>
          <w:lang w:val="en-US"/>
        </w:rPr>
        <w:t xml:space="preserve"> MP. Drug interactions: principles and practice. Australian Prescriber. 2012 [</w:t>
      </w:r>
      <w:proofErr w:type="spellStart"/>
      <w:r w:rsidRPr="00280686">
        <w:rPr>
          <w:lang w:val="en-US"/>
        </w:rPr>
        <w:t>acceso</w:t>
      </w:r>
      <w:proofErr w:type="spellEnd"/>
      <w:r w:rsidRPr="00280686">
        <w:rPr>
          <w:lang w:val="en-US"/>
        </w:rPr>
        <w:t>: 12/01/2021]; 35(3): 85-8. DOI: 10.18773/austprescr.2012.037</w:t>
      </w:r>
    </w:p>
    <w:p w14:paraId="642419B0" w14:textId="77777777" w:rsidR="0077141A" w:rsidRPr="00280686" w:rsidRDefault="0077141A" w:rsidP="0077141A">
      <w:pPr>
        <w:shd w:val="clear" w:color="auto" w:fill="FFFFFF"/>
        <w:spacing w:line="360" w:lineRule="auto"/>
        <w:rPr>
          <w:lang w:val="en-US"/>
        </w:rPr>
      </w:pPr>
      <w:r w:rsidRPr="00280686">
        <w:rPr>
          <w:lang w:val="en-US"/>
        </w:rPr>
        <w:t xml:space="preserve">23. Ohno Y, Hisaka A, Suzuki H. General framework for the quantitative prediction of CYP3A4-mediated oral drug interactions based on the AUC increase by coadministration of standard drugs. Clin </w:t>
      </w:r>
      <w:proofErr w:type="spellStart"/>
      <w:r w:rsidRPr="00280686">
        <w:rPr>
          <w:lang w:val="en-US"/>
        </w:rPr>
        <w:t>Pharmacokinet</w:t>
      </w:r>
      <w:proofErr w:type="spellEnd"/>
      <w:r w:rsidRPr="00280686">
        <w:rPr>
          <w:lang w:val="en-US"/>
        </w:rPr>
        <w:t>. 2007 [</w:t>
      </w:r>
      <w:proofErr w:type="spellStart"/>
      <w:r w:rsidRPr="00280686">
        <w:rPr>
          <w:lang w:val="en-US"/>
        </w:rPr>
        <w:t>acceso</w:t>
      </w:r>
      <w:proofErr w:type="spellEnd"/>
      <w:r w:rsidRPr="00280686">
        <w:rPr>
          <w:lang w:val="en-US"/>
        </w:rPr>
        <w:t>: 12/01/2021]; 46(8):681-96. DOI: 10.2165/00003088-200746080-00005</w:t>
      </w:r>
    </w:p>
    <w:p w14:paraId="57FA5A04" w14:textId="77777777" w:rsidR="0077141A" w:rsidRPr="00280686" w:rsidRDefault="0077141A" w:rsidP="0077141A">
      <w:pPr>
        <w:shd w:val="clear" w:color="auto" w:fill="FFFFFF"/>
        <w:spacing w:line="360" w:lineRule="auto"/>
        <w:rPr>
          <w:lang w:val="en-US"/>
        </w:rPr>
      </w:pPr>
      <w:r w:rsidRPr="00280686">
        <w:rPr>
          <w:lang w:val="en-US"/>
        </w:rPr>
        <w:t xml:space="preserve">24. Niemi M, Backman J, Fromm M, </w:t>
      </w:r>
      <w:proofErr w:type="spellStart"/>
      <w:r w:rsidRPr="00280686">
        <w:rPr>
          <w:lang w:val="en-US"/>
        </w:rPr>
        <w:t>Neuvonen</w:t>
      </w:r>
      <w:proofErr w:type="spellEnd"/>
      <w:r w:rsidRPr="00280686">
        <w:rPr>
          <w:lang w:val="en-US"/>
        </w:rPr>
        <w:t xml:space="preserve"> P, </w:t>
      </w:r>
      <w:proofErr w:type="spellStart"/>
      <w:r w:rsidRPr="00280686">
        <w:rPr>
          <w:lang w:val="en-US"/>
        </w:rPr>
        <w:t>Kivisto</w:t>
      </w:r>
      <w:proofErr w:type="spellEnd"/>
      <w:r w:rsidRPr="00280686">
        <w:rPr>
          <w:lang w:val="en-US"/>
        </w:rPr>
        <w:t xml:space="preserve"> K. Pharmacokinetic interactions with rifampicin: clinical relevance. Clin </w:t>
      </w:r>
      <w:proofErr w:type="spellStart"/>
      <w:r w:rsidRPr="00280686">
        <w:rPr>
          <w:lang w:val="en-US"/>
        </w:rPr>
        <w:t>Pharmacokinet</w:t>
      </w:r>
      <w:proofErr w:type="spellEnd"/>
      <w:r w:rsidRPr="00280686">
        <w:rPr>
          <w:lang w:val="en-US"/>
        </w:rPr>
        <w:t>. 2003 [</w:t>
      </w:r>
      <w:proofErr w:type="spellStart"/>
      <w:r w:rsidRPr="00280686">
        <w:rPr>
          <w:lang w:val="en-US"/>
        </w:rPr>
        <w:t>acceso</w:t>
      </w:r>
      <w:proofErr w:type="spellEnd"/>
      <w:r w:rsidRPr="00280686">
        <w:rPr>
          <w:lang w:val="en-US"/>
        </w:rPr>
        <w:t>: 12/01/2021]; 42(9): 819-50. DOI: 10.2165/00003088-200342090-00003</w:t>
      </w:r>
    </w:p>
    <w:p w14:paraId="3A5C2691" w14:textId="77777777" w:rsidR="0077141A" w:rsidRPr="00280686" w:rsidRDefault="0077141A" w:rsidP="0077141A">
      <w:pPr>
        <w:shd w:val="clear" w:color="auto" w:fill="FFFFFF"/>
        <w:spacing w:line="360" w:lineRule="auto"/>
        <w:rPr>
          <w:lang w:val="en-US"/>
        </w:rPr>
      </w:pPr>
      <w:r w:rsidRPr="00280686">
        <w:rPr>
          <w:lang w:val="en-US"/>
        </w:rPr>
        <w:t xml:space="preserve">25. Periti P, Mazzei T, Mini E, </w:t>
      </w:r>
      <w:proofErr w:type="spellStart"/>
      <w:r w:rsidRPr="00280686">
        <w:rPr>
          <w:lang w:val="en-US"/>
        </w:rPr>
        <w:t>Novelli</w:t>
      </w:r>
      <w:proofErr w:type="spellEnd"/>
      <w:r w:rsidRPr="00280686">
        <w:rPr>
          <w:lang w:val="en-US"/>
        </w:rPr>
        <w:t xml:space="preserve"> A. Pharmacokinetic drug interactions of macrolides. Clin Pharmacokinet.1992 [</w:t>
      </w:r>
      <w:proofErr w:type="spellStart"/>
      <w:r w:rsidRPr="00280686">
        <w:rPr>
          <w:lang w:val="en-US"/>
        </w:rPr>
        <w:t>acceso</w:t>
      </w:r>
      <w:proofErr w:type="spellEnd"/>
      <w:r w:rsidRPr="00280686">
        <w:rPr>
          <w:lang w:val="en-US"/>
        </w:rPr>
        <w:t xml:space="preserve">: 12/01/2021]; 23(2): 106-31. Disponible </w:t>
      </w:r>
      <w:proofErr w:type="spellStart"/>
      <w:r w:rsidRPr="00280686">
        <w:rPr>
          <w:lang w:val="en-US"/>
        </w:rPr>
        <w:t>en</w:t>
      </w:r>
      <w:proofErr w:type="spellEnd"/>
      <w:r w:rsidRPr="00280686">
        <w:rPr>
          <w:lang w:val="en-US"/>
        </w:rPr>
        <w:t>:  DOI: 10.2165/00003088-199223020-00004</w:t>
      </w:r>
    </w:p>
    <w:p w14:paraId="7C405DB7" w14:textId="77777777" w:rsidR="0077141A" w:rsidRPr="00280686" w:rsidRDefault="0077141A" w:rsidP="0077141A">
      <w:pPr>
        <w:shd w:val="clear" w:color="auto" w:fill="FFFFFF"/>
        <w:spacing w:line="360" w:lineRule="auto"/>
        <w:rPr>
          <w:lang w:val="en-US"/>
        </w:rPr>
      </w:pPr>
      <w:r w:rsidRPr="00280686">
        <w:rPr>
          <w:lang w:val="en-US"/>
        </w:rPr>
        <w:t xml:space="preserve">26. von </w:t>
      </w:r>
      <w:proofErr w:type="spellStart"/>
      <w:r w:rsidRPr="00280686">
        <w:rPr>
          <w:lang w:val="en-US"/>
        </w:rPr>
        <w:t>Rosensteil</w:t>
      </w:r>
      <w:proofErr w:type="spellEnd"/>
      <w:r w:rsidRPr="00280686">
        <w:rPr>
          <w:lang w:val="en-US"/>
        </w:rPr>
        <w:t xml:space="preserve"> NA, Adam D. Macrolide </w:t>
      </w:r>
      <w:proofErr w:type="spellStart"/>
      <w:r w:rsidRPr="00280686">
        <w:rPr>
          <w:lang w:val="en-US"/>
        </w:rPr>
        <w:t>antibacterials</w:t>
      </w:r>
      <w:proofErr w:type="spellEnd"/>
      <w:r w:rsidRPr="00280686">
        <w:rPr>
          <w:lang w:val="en-US"/>
        </w:rPr>
        <w:t xml:space="preserve">. Drug interactions of clinical significance. Drug </w:t>
      </w:r>
      <w:proofErr w:type="spellStart"/>
      <w:r w:rsidRPr="00280686">
        <w:rPr>
          <w:lang w:val="en-US"/>
        </w:rPr>
        <w:t>Saf</w:t>
      </w:r>
      <w:proofErr w:type="spellEnd"/>
      <w:r w:rsidRPr="00280686">
        <w:rPr>
          <w:lang w:val="en-US"/>
        </w:rPr>
        <w:t xml:space="preserve"> .1995 [</w:t>
      </w:r>
      <w:proofErr w:type="spellStart"/>
      <w:r w:rsidRPr="00280686">
        <w:rPr>
          <w:lang w:val="en-US"/>
        </w:rPr>
        <w:t>acceso</w:t>
      </w:r>
      <w:proofErr w:type="spellEnd"/>
      <w:r w:rsidRPr="00280686">
        <w:rPr>
          <w:lang w:val="en-US"/>
        </w:rPr>
        <w:t>: 12/01/2021]; 13(2):105-22. DOI: 10.2165/00002018-199513020-00005</w:t>
      </w:r>
    </w:p>
    <w:p w14:paraId="4C583BE7" w14:textId="77777777" w:rsidR="0077141A" w:rsidRPr="00280686" w:rsidRDefault="0077141A" w:rsidP="0077141A">
      <w:pPr>
        <w:shd w:val="clear" w:color="auto" w:fill="FFFFFF"/>
        <w:spacing w:line="360" w:lineRule="auto"/>
        <w:rPr>
          <w:lang w:val="en-US"/>
        </w:rPr>
      </w:pPr>
      <w:r w:rsidRPr="00280686">
        <w:rPr>
          <w:lang w:val="en-US"/>
        </w:rPr>
        <w:t xml:space="preserve">27. Westphal JF. Macrolide-induced clinically relevant drug interactions with cytochrome P-450A (CYP) 3A4: an update focused on clarithromycin, azithromycin and </w:t>
      </w:r>
      <w:proofErr w:type="spellStart"/>
      <w:r w:rsidRPr="00280686">
        <w:rPr>
          <w:lang w:val="en-US"/>
        </w:rPr>
        <w:t>dirithromycin</w:t>
      </w:r>
      <w:proofErr w:type="spellEnd"/>
      <w:r w:rsidRPr="00280686">
        <w:rPr>
          <w:lang w:val="en-US"/>
        </w:rPr>
        <w:t xml:space="preserve">. Br J Clin </w:t>
      </w:r>
      <w:proofErr w:type="spellStart"/>
      <w:r w:rsidRPr="00280686">
        <w:rPr>
          <w:lang w:val="en-US"/>
        </w:rPr>
        <w:t>Pharmacol</w:t>
      </w:r>
      <w:proofErr w:type="spellEnd"/>
      <w:r w:rsidRPr="00280686">
        <w:rPr>
          <w:lang w:val="en-US"/>
        </w:rPr>
        <w:t>. 2000 [</w:t>
      </w:r>
      <w:proofErr w:type="spellStart"/>
      <w:r w:rsidRPr="00280686">
        <w:rPr>
          <w:lang w:val="en-US"/>
        </w:rPr>
        <w:t>acceso</w:t>
      </w:r>
      <w:proofErr w:type="spellEnd"/>
      <w:r w:rsidRPr="00280686">
        <w:rPr>
          <w:lang w:val="en-US"/>
        </w:rPr>
        <w:t xml:space="preserve">: 12/01/2021]; 50(4): 285-95. Disponible </w:t>
      </w:r>
      <w:proofErr w:type="spellStart"/>
      <w:r w:rsidRPr="00280686">
        <w:rPr>
          <w:lang w:val="en-US"/>
        </w:rPr>
        <w:t>en</w:t>
      </w:r>
      <w:proofErr w:type="spellEnd"/>
      <w:r w:rsidRPr="00280686">
        <w:rPr>
          <w:lang w:val="en-US"/>
        </w:rPr>
        <w:t>: DOI: 10.1046/j.1365-2125.</w:t>
      </w:r>
      <w:proofErr w:type="gramStart"/>
      <w:r w:rsidRPr="00280686">
        <w:rPr>
          <w:lang w:val="en-US"/>
        </w:rPr>
        <w:t>2000.00261.x</w:t>
      </w:r>
      <w:proofErr w:type="gramEnd"/>
    </w:p>
    <w:p w14:paraId="6FFEE1A9" w14:textId="77777777" w:rsidR="0077141A" w:rsidRPr="00280686" w:rsidRDefault="0077141A" w:rsidP="0077141A">
      <w:pPr>
        <w:shd w:val="clear" w:color="auto" w:fill="FFFFFF"/>
        <w:spacing w:line="360" w:lineRule="auto"/>
        <w:rPr>
          <w:lang w:val="en-US"/>
        </w:rPr>
      </w:pPr>
      <w:r w:rsidRPr="00280686">
        <w:rPr>
          <w:lang w:val="en-US"/>
        </w:rPr>
        <w:t xml:space="preserve">28. </w:t>
      </w:r>
      <w:proofErr w:type="spellStart"/>
      <w:r w:rsidRPr="00280686">
        <w:rPr>
          <w:lang w:val="en-US"/>
        </w:rPr>
        <w:t>Zhanel</w:t>
      </w:r>
      <w:proofErr w:type="spellEnd"/>
      <w:r w:rsidRPr="00280686">
        <w:rPr>
          <w:lang w:val="en-US"/>
        </w:rPr>
        <w:t xml:space="preserve"> GG, Dueck M, Hoban DJ, </w:t>
      </w:r>
      <w:proofErr w:type="spellStart"/>
      <w:r w:rsidRPr="00280686">
        <w:rPr>
          <w:lang w:val="en-US"/>
        </w:rPr>
        <w:t>Vercaigne</w:t>
      </w:r>
      <w:proofErr w:type="spellEnd"/>
      <w:r w:rsidRPr="00280686">
        <w:rPr>
          <w:lang w:val="en-US"/>
        </w:rPr>
        <w:t xml:space="preserve"> LM, </w:t>
      </w:r>
      <w:proofErr w:type="spellStart"/>
      <w:r w:rsidRPr="00280686">
        <w:rPr>
          <w:lang w:val="en-US"/>
        </w:rPr>
        <w:t>Embil</w:t>
      </w:r>
      <w:proofErr w:type="spellEnd"/>
      <w:r w:rsidRPr="00280686">
        <w:rPr>
          <w:lang w:val="en-US"/>
        </w:rPr>
        <w:t xml:space="preserve"> JM, Gin AS, et al. Review of macrolides and ketolides: focus on respiratory tract infections. Drugs. 2001 [</w:t>
      </w:r>
      <w:proofErr w:type="spellStart"/>
      <w:r w:rsidRPr="00280686">
        <w:rPr>
          <w:lang w:val="en-US"/>
        </w:rPr>
        <w:t>acceso</w:t>
      </w:r>
      <w:proofErr w:type="spellEnd"/>
      <w:r w:rsidRPr="00280686">
        <w:rPr>
          <w:lang w:val="en-US"/>
        </w:rPr>
        <w:t>: 23/01/2021]; 61(4):443-98. DOI: 10.2165/00003495-200161040-00003</w:t>
      </w:r>
    </w:p>
    <w:p w14:paraId="2023FAF2" w14:textId="77777777" w:rsidR="0077141A" w:rsidRPr="00280686" w:rsidRDefault="0077141A" w:rsidP="0077141A">
      <w:pPr>
        <w:shd w:val="clear" w:color="auto" w:fill="FFFFFF"/>
        <w:spacing w:line="360" w:lineRule="auto"/>
        <w:rPr>
          <w:lang w:val="es-MX"/>
        </w:rPr>
      </w:pPr>
      <w:r w:rsidRPr="00280686">
        <w:rPr>
          <w:lang w:val="en-US"/>
        </w:rPr>
        <w:t xml:space="preserve">29. </w:t>
      </w:r>
      <w:proofErr w:type="spellStart"/>
      <w:r w:rsidRPr="00280686">
        <w:rPr>
          <w:lang w:val="en-US"/>
        </w:rPr>
        <w:t>Shakeri-Nejad</w:t>
      </w:r>
      <w:proofErr w:type="spellEnd"/>
      <w:r w:rsidRPr="00280686">
        <w:rPr>
          <w:lang w:val="en-US"/>
        </w:rPr>
        <w:t xml:space="preserve"> K, </w:t>
      </w:r>
      <w:proofErr w:type="spellStart"/>
      <w:r w:rsidRPr="00280686">
        <w:rPr>
          <w:lang w:val="en-US"/>
        </w:rPr>
        <w:t>Stahlmann</w:t>
      </w:r>
      <w:proofErr w:type="spellEnd"/>
      <w:r w:rsidRPr="00280686">
        <w:rPr>
          <w:lang w:val="en-US"/>
        </w:rPr>
        <w:t xml:space="preserve"> R. Drug interactions during therapy with three major groups of antimicrobial agents. </w:t>
      </w:r>
      <w:r w:rsidRPr="00280686">
        <w:rPr>
          <w:lang w:val="es-MX"/>
        </w:rPr>
        <w:t xml:space="preserve">Expert </w:t>
      </w:r>
      <w:proofErr w:type="spellStart"/>
      <w:r w:rsidRPr="00280686">
        <w:rPr>
          <w:lang w:val="es-MX"/>
        </w:rPr>
        <w:t>Opin</w:t>
      </w:r>
      <w:proofErr w:type="spellEnd"/>
      <w:r w:rsidRPr="00280686">
        <w:rPr>
          <w:lang w:val="es-MX"/>
        </w:rPr>
        <w:t xml:space="preserve"> </w:t>
      </w:r>
      <w:proofErr w:type="spellStart"/>
      <w:r w:rsidRPr="00280686">
        <w:rPr>
          <w:lang w:val="es-MX"/>
        </w:rPr>
        <w:t>Pharmacother</w:t>
      </w:r>
      <w:proofErr w:type="spellEnd"/>
      <w:r w:rsidRPr="00280686">
        <w:rPr>
          <w:lang w:val="es-MX"/>
        </w:rPr>
        <w:t>. 2006 [acceso: 23/01/2021]; 7(6):639-51. DOI: 10.1517/14656566.7.6.639</w:t>
      </w:r>
    </w:p>
    <w:p w14:paraId="1F5ED4C8" w14:textId="77777777" w:rsidR="0077141A" w:rsidRPr="00280686" w:rsidRDefault="0077141A" w:rsidP="0077141A">
      <w:pPr>
        <w:shd w:val="clear" w:color="auto" w:fill="FFFFFF"/>
        <w:spacing w:line="360" w:lineRule="auto"/>
        <w:rPr>
          <w:lang w:val="es-MX"/>
        </w:rPr>
      </w:pPr>
      <w:r w:rsidRPr="00280686">
        <w:rPr>
          <w:lang w:val="es-MX"/>
        </w:rPr>
        <w:lastRenderedPageBreak/>
        <w:t xml:space="preserve">30. Franco D, Henao Y, Monsalve M, Gutiérrez F, </w:t>
      </w:r>
      <w:proofErr w:type="spellStart"/>
      <w:r w:rsidRPr="00280686">
        <w:rPr>
          <w:lang w:val="es-MX"/>
        </w:rPr>
        <w:t>Hincapie</w:t>
      </w:r>
      <w:proofErr w:type="spellEnd"/>
      <w:r w:rsidRPr="00280686">
        <w:rPr>
          <w:lang w:val="es-MX"/>
        </w:rPr>
        <w:t xml:space="preserve"> J, Amariles P. Interacciones medicamentosas de agentes hipolipemiantes: Aproximación para establecer y valorar su relevancia clínica. Revisión estructurada. </w:t>
      </w:r>
      <w:proofErr w:type="spellStart"/>
      <w:r w:rsidRPr="00280686">
        <w:rPr>
          <w:lang w:val="es-MX"/>
        </w:rPr>
        <w:t>Farm</w:t>
      </w:r>
      <w:proofErr w:type="spellEnd"/>
      <w:r w:rsidRPr="00280686">
        <w:rPr>
          <w:lang w:val="es-MX"/>
        </w:rPr>
        <w:t xml:space="preserve"> </w:t>
      </w:r>
      <w:proofErr w:type="spellStart"/>
      <w:r w:rsidRPr="00280686">
        <w:rPr>
          <w:lang w:val="es-MX"/>
        </w:rPr>
        <w:t>Hosp</w:t>
      </w:r>
      <w:proofErr w:type="spellEnd"/>
      <w:r w:rsidRPr="00280686">
        <w:rPr>
          <w:lang w:val="es-MX"/>
        </w:rPr>
        <w:t xml:space="preserve">. 2013 [acceso: 23/01/2021]; 37(6): 539-57. Disponible en: </w:t>
      </w:r>
      <w:hyperlink r:id="rId27" w:history="1">
        <w:r w:rsidRPr="00280686">
          <w:rPr>
            <w:rStyle w:val="Hipervnculo"/>
          </w:rPr>
          <w:t>http://dx.doi.org/10.7399/FH.2013.37.6.1077</w:t>
        </w:r>
      </w:hyperlink>
      <w:r w:rsidRPr="00280686">
        <w:rPr>
          <w:lang w:val="es-MX"/>
        </w:rPr>
        <w:t xml:space="preserve">  </w:t>
      </w:r>
    </w:p>
    <w:p w14:paraId="1415BF58" w14:textId="77777777" w:rsidR="0077141A" w:rsidRPr="00280686" w:rsidRDefault="0077141A" w:rsidP="0077141A">
      <w:pPr>
        <w:shd w:val="clear" w:color="auto" w:fill="FFFFFF"/>
        <w:spacing w:line="360" w:lineRule="auto"/>
        <w:rPr>
          <w:lang w:val="es-MX"/>
        </w:rPr>
      </w:pPr>
      <w:r w:rsidRPr="00280686">
        <w:rPr>
          <w:lang w:val="es-MX"/>
        </w:rPr>
        <w:t>31. Machado-Alba JE, Martínez-Pulgarín DF, Gómez-</w:t>
      </w:r>
      <w:proofErr w:type="spellStart"/>
      <w:r w:rsidRPr="00280686">
        <w:rPr>
          <w:lang w:val="es-MX"/>
        </w:rPr>
        <w:t>Suta</w:t>
      </w:r>
      <w:proofErr w:type="spellEnd"/>
      <w:r w:rsidRPr="00280686">
        <w:rPr>
          <w:lang w:val="es-MX"/>
        </w:rPr>
        <w:t xml:space="preserve"> D. Prevalencia de potenciales interacciones farmacológicas de Azitromicina en Colombia, 2012-2013. Rev. salud pública. 2015 [acceso: 23/01/2021]; 17(3): 463-9. Disponible en: </w:t>
      </w:r>
      <w:hyperlink r:id="rId28" w:history="1">
        <w:r w:rsidRPr="00280686">
          <w:rPr>
            <w:rStyle w:val="Hipervnculo"/>
          </w:rPr>
          <w:t>http://dx.doi.org/10.15446/rsap.v17n3.44142</w:t>
        </w:r>
      </w:hyperlink>
      <w:r w:rsidRPr="00280686">
        <w:rPr>
          <w:lang w:val="es-MX"/>
        </w:rPr>
        <w:t xml:space="preserve"> </w:t>
      </w:r>
    </w:p>
    <w:p w14:paraId="215A5FC6" w14:textId="77777777" w:rsidR="0077141A" w:rsidRPr="00280686" w:rsidRDefault="0077141A" w:rsidP="0077141A">
      <w:pPr>
        <w:shd w:val="clear" w:color="auto" w:fill="FFFFFF"/>
        <w:spacing w:line="360" w:lineRule="auto"/>
        <w:rPr>
          <w:lang w:val="en-US"/>
        </w:rPr>
      </w:pPr>
      <w:r w:rsidRPr="00280686">
        <w:rPr>
          <w:lang w:val="en-US"/>
        </w:rPr>
        <w:t xml:space="preserve">32. Tisdale JE. Drug-induced QT interval prolongation and </w:t>
      </w:r>
      <w:proofErr w:type="spellStart"/>
      <w:r w:rsidRPr="00280686">
        <w:rPr>
          <w:lang w:val="en-US"/>
        </w:rPr>
        <w:t>torsades</w:t>
      </w:r>
      <w:proofErr w:type="spellEnd"/>
      <w:r w:rsidRPr="00280686">
        <w:rPr>
          <w:lang w:val="en-US"/>
        </w:rPr>
        <w:t xml:space="preserve"> de pointes: Role of the pharmacist in risk assessment, prevention and management. Can Pharm J (Ott). 2016 [</w:t>
      </w:r>
      <w:proofErr w:type="spellStart"/>
      <w:r w:rsidRPr="00280686">
        <w:rPr>
          <w:lang w:val="en-US"/>
        </w:rPr>
        <w:t>acceso</w:t>
      </w:r>
      <w:proofErr w:type="spellEnd"/>
      <w:r w:rsidRPr="00280686">
        <w:rPr>
          <w:lang w:val="en-US"/>
        </w:rPr>
        <w:t>: 23/01/2021]; 149(3): 139-52. DOI: 10.1177/1715163516641136</w:t>
      </w:r>
    </w:p>
    <w:p w14:paraId="2318E960" w14:textId="77777777" w:rsidR="0077141A" w:rsidRPr="00280686" w:rsidRDefault="0077141A" w:rsidP="0077141A">
      <w:pPr>
        <w:shd w:val="clear" w:color="auto" w:fill="FFFFFF"/>
        <w:spacing w:line="360" w:lineRule="auto"/>
        <w:rPr>
          <w:lang w:val="en-US"/>
        </w:rPr>
      </w:pPr>
      <w:r w:rsidRPr="00280686">
        <w:rPr>
          <w:lang w:val="en-US"/>
        </w:rPr>
        <w:t xml:space="preserve">33. John LN, </w:t>
      </w:r>
      <w:proofErr w:type="spellStart"/>
      <w:r w:rsidRPr="00280686">
        <w:rPr>
          <w:lang w:val="en-US"/>
        </w:rPr>
        <w:t>Bjerum</w:t>
      </w:r>
      <w:proofErr w:type="spellEnd"/>
      <w:r w:rsidRPr="00280686">
        <w:rPr>
          <w:lang w:val="en-US"/>
        </w:rPr>
        <w:t xml:space="preserve"> C, Martinez PM, </w:t>
      </w:r>
      <w:proofErr w:type="spellStart"/>
      <w:r w:rsidRPr="00280686">
        <w:rPr>
          <w:lang w:val="en-US"/>
        </w:rPr>
        <w:t>Likia</w:t>
      </w:r>
      <w:proofErr w:type="spellEnd"/>
      <w:r w:rsidRPr="00280686">
        <w:rPr>
          <w:lang w:val="en-US"/>
        </w:rPr>
        <w:t xml:space="preserve"> R, </w:t>
      </w:r>
      <w:proofErr w:type="spellStart"/>
      <w:r w:rsidRPr="00280686">
        <w:rPr>
          <w:lang w:val="en-US"/>
        </w:rPr>
        <w:t>Silus</w:t>
      </w:r>
      <w:proofErr w:type="spellEnd"/>
      <w:r w:rsidRPr="00280686">
        <w:rPr>
          <w:lang w:val="en-US"/>
        </w:rPr>
        <w:t xml:space="preserve"> L, </w:t>
      </w:r>
      <w:proofErr w:type="spellStart"/>
      <w:r w:rsidRPr="00280686">
        <w:rPr>
          <w:lang w:val="en-US"/>
        </w:rPr>
        <w:t>Wali</w:t>
      </w:r>
      <w:proofErr w:type="spellEnd"/>
      <w:r w:rsidRPr="00280686">
        <w:rPr>
          <w:lang w:val="en-US"/>
        </w:rPr>
        <w:t xml:space="preserve"> C, et al. Pharmacokinetic and safety study of co-administration of albendazole, diethylcarbamazine, Ivermectin and azithromycin for the integrated treatment of Neglected Tropical Diseases. Clin Infect Dis. 2020 [</w:t>
      </w:r>
      <w:proofErr w:type="spellStart"/>
      <w:r w:rsidRPr="00280686">
        <w:rPr>
          <w:lang w:val="en-US"/>
        </w:rPr>
        <w:t>acceso</w:t>
      </w:r>
      <w:proofErr w:type="spellEnd"/>
      <w:r w:rsidRPr="00280686">
        <w:rPr>
          <w:lang w:val="en-US"/>
        </w:rPr>
        <w:t>: 23/01/2021]: ciaa1202. DOI: 10.1093/</w:t>
      </w:r>
      <w:proofErr w:type="spellStart"/>
      <w:r w:rsidRPr="00280686">
        <w:rPr>
          <w:lang w:val="en-US"/>
        </w:rPr>
        <w:t>cid</w:t>
      </w:r>
      <w:proofErr w:type="spellEnd"/>
      <w:r w:rsidRPr="00280686">
        <w:rPr>
          <w:lang w:val="en-US"/>
        </w:rPr>
        <w:t>/ciaa1202</w:t>
      </w:r>
    </w:p>
    <w:p w14:paraId="0DBDD56E" w14:textId="77777777" w:rsidR="0077141A" w:rsidRPr="00280686" w:rsidRDefault="0077141A" w:rsidP="0077141A">
      <w:pPr>
        <w:shd w:val="clear" w:color="auto" w:fill="FFFFFF"/>
        <w:spacing w:line="360" w:lineRule="auto"/>
        <w:rPr>
          <w:lang w:val="es-MX"/>
        </w:rPr>
      </w:pPr>
      <w:r w:rsidRPr="00280686">
        <w:rPr>
          <w:lang w:val="en-US"/>
        </w:rPr>
        <w:t xml:space="preserve">34. </w:t>
      </w:r>
      <w:proofErr w:type="spellStart"/>
      <w:r w:rsidRPr="00280686">
        <w:rPr>
          <w:lang w:val="en-US"/>
        </w:rPr>
        <w:t>Muirhead</w:t>
      </w:r>
      <w:proofErr w:type="spellEnd"/>
      <w:r w:rsidRPr="00280686">
        <w:rPr>
          <w:lang w:val="en-US"/>
        </w:rPr>
        <w:t xml:space="preserve"> GJ, Faulkner S, Harness JA, </w:t>
      </w:r>
      <w:proofErr w:type="spellStart"/>
      <w:r w:rsidRPr="00280686">
        <w:rPr>
          <w:lang w:val="en-US"/>
        </w:rPr>
        <w:t>Taubel</w:t>
      </w:r>
      <w:proofErr w:type="spellEnd"/>
      <w:r w:rsidRPr="00280686">
        <w:rPr>
          <w:lang w:val="en-US"/>
        </w:rPr>
        <w:t xml:space="preserve"> J. The effects of steady-state erythromycin and azithromycin on the pharmacokinetics of sildenafil in healthy volunteers. </w:t>
      </w:r>
      <w:r w:rsidRPr="00280686">
        <w:rPr>
          <w:lang w:val="es-MX"/>
        </w:rPr>
        <w:t xml:space="preserve">Br J Clin </w:t>
      </w:r>
      <w:proofErr w:type="spellStart"/>
      <w:r w:rsidRPr="00280686">
        <w:rPr>
          <w:lang w:val="es-MX"/>
        </w:rPr>
        <w:t>Pharmacol</w:t>
      </w:r>
      <w:proofErr w:type="spellEnd"/>
      <w:r w:rsidRPr="00280686">
        <w:rPr>
          <w:lang w:val="es-MX"/>
        </w:rPr>
        <w:t>. 2002 [acceso: 23/01/2021]; 53: 37S-43S. DOI: 10.1046/j.0306-5251.</w:t>
      </w:r>
      <w:proofErr w:type="gramStart"/>
      <w:r w:rsidRPr="00280686">
        <w:rPr>
          <w:lang w:val="es-MX"/>
        </w:rPr>
        <w:t>2001.00031.x</w:t>
      </w:r>
      <w:proofErr w:type="gramEnd"/>
    </w:p>
    <w:p w14:paraId="46B1905D" w14:textId="77777777" w:rsidR="0077141A" w:rsidRPr="00280686" w:rsidRDefault="0077141A" w:rsidP="0077141A">
      <w:pPr>
        <w:shd w:val="clear" w:color="auto" w:fill="FFFFFF"/>
        <w:spacing w:line="360" w:lineRule="auto"/>
        <w:rPr>
          <w:lang w:val="es-MX"/>
        </w:rPr>
      </w:pPr>
      <w:r w:rsidRPr="00280686">
        <w:rPr>
          <w:lang w:val="es-MX"/>
        </w:rPr>
        <w:t xml:space="preserve">35. </w:t>
      </w:r>
      <w:proofErr w:type="spellStart"/>
      <w:r w:rsidRPr="00280686">
        <w:rPr>
          <w:lang w:val="es-MX"/>
        </w:rPr>
        <w:t>Solans</w:t>
      </w:r>
      <w:proofErr w:type="spellEnd"/>
      <w:r w:rsidRPr="00280686">
        <w:rPr>
          <w:lang w:val="es-MX"/>
        </w:rPr>
        <w:t xml:space="preserve"> A, Izquierdo I, Donado E, </w:t>
      </w:r>
      <w:proofErr w:type="spellStart"/>
      <w:r w:rsidRPr="00280686">
        <w:rPr>
          <w:lang w:val="es-MX"/>
        </w:rPr>
        <w:t>Antonijoan</w:t>
      </w:r>
      <w:proofErr w:type="spellEnd"/>
      <w:r w:rsidRPr="00280686">
        <w:rPr>
          <w:lang w:val="es-MX"/>
        </w:rPr>
        <w:t xml:space="preserve"> R, Peña J, Nadal T, et al. </w:t>
      </w:r>
      <w:r w:rsidRPr="00280686">
        <w:rPr>
          <w:lang w:val="en-US"/>
        </w:rPr>
        <w:t xml:space="preserve">Pharmacokinetic and safety profile of rupatadine when </w:t>
      </w:r>
      <w:proofErr w:type="spellStart"/>
      <w:r w:rsidRPr="00280686">
        <w:rPr>
          <w:lang w:val="en-US"/>
        </w:rPr>
        <w:t>coadministered</w:t>
      </w:r>
      <w:proofErr w:type="spellEnd"/>
      <w:r w:rsidRPr="00280686">
        <w:rPr>
          <w:lang w:val="en-US"/>
        </w:rPr>
        <w:t xml:space="preserve"> with azithromycin at steady-state levels: a randomized, open-label, two-way, crossover, Phase I study. </w:t>
      </w:r>
      <w:r w:rsidRPr="00280686">
        <w:rPr>
          <w:lang w:val="es-MX"/>
        </w:rPr>
        <w:t xml:space="preserve">Clin </w:t>
      </w:r>
      <w:proofErr w:type="spellStart"/>
      <w:r w:rsidRPr="00280686">
        <w:rPr>
          <w:lang w:val="es-MX"/>
        </w:rPr>
        <w:t>Ther</w:t>
      </w:r>
      <w:proofErr w:type="spellEnd"/>
      <w:r w:rsidRPr="00280686">
        <w:rPr>
          <w:lang w:val="es-MX"/>
        </w:rPr>
        <w:t xml:space="preserve">. 2008 [acceso: 23/01/2021]; 30(9): 1639-50. Disponible en: </w:t>
      </w:r>
      <w:hyperlink r:id="rId29" w:history="1">
        <w:r w:rsidRPr="00280686">
          <w:rPr>
            <w:rStyle w:val="Hipervnculo"/>
          </w:rPr>
          <w:t>https://doi.org/10.1016/j.clinthera.2008.09.002</w:t>
        </w:r>
      </w:hyperlink>
      <w:r w:rsidRPr="00280686">
        <w:rPr>
          <w:lang w:val="es-MX"/>
        </w:rPr>
        <w:t xml:space="preserve"> </w:t>
      </w:r>
    </w:p>
    <w:p w14:paraId="24FC0A7E" w14:textId="77777777" w:rsidR="0077141A" w:rsidRPr="00280686" w:rsidRDefault="0077141A" w:rsidP="0077141A">
      <w:pPr>
        <w:shd w:val="clear" w:color="auto" w:fill="FFFFFF"/>
        <w:spacing w:line="360" w:lineRule="auto"/>
        <w:rPr>
          <w:lang w:val="en-US"/>
        </w:rPr>
      </w:pPr>
      <w:r w:rsidRPr="00280686">
        <w:rPr>
          <w:lang w:val="en-US"/>
        </w:rPr>
        <w:t xml:space="preserve">36. Agarwal SK, Tong B, Bueno OF, Menon RM, Salem AH. Effect of Azithromycin on </w:t>
      </w:r>
      <w:proofErr w:type="spellStart"/>
      <w:r w:rsidRPr="00280686">
        <w:rPr>
          <w:lang w:val="en-US"/>
        </w:rPr>
        <w:t>Venetoclax</w:t>
      </w:r>
      <w:proofErr w:type="spellEnd"/>
      <w:r w:rsidRPr="00280686">
        <w:rPr>
          <w:lang w:val="en-US"/>
        </w:rPr>
        <w:t xml:space="preserve"> Pharmacokinetics in Healthy Volunteers: Implications for Dosing </w:t>
      </w:r>
      <w:proofErr w:type="spellStart"/>
      <w:r w:rsidRPr="00280686">
        <w:rPr>
          <w:lang w:val="en-US"/>
        </w:rPr>
        <w:t>Venetoclax</w:t>
      </w:r>
      <w:proofErr w:type="spellEnd"/>
      <w:r w:rsidRPr="00280686">
        <w:rPr>
          <w:lang w:val="en-US"/>
        </w:rPr>
        <w:t xml:space="preserve"> with P-</w:t>
      </w:r>
      <w:proofErr w:type="spellStart"/>
      <w:r w:rsidRPr="00280686">
        <w:rPr>
          <w:lang w:val="en-US"/>
        </w:rPr>
        <w:t>gp</w:t>
      </w:r>
      <w:proofErr w:type="spellEnd"/>
      <w:r w:rsidRPr="00280686">
        <w:rPr>
          <w:lang w:val="en-US"/>
        </w:rPr>
        <w:t xml:space="preserve"> Inhibitors. Adv </w:t>
      </w:r>
      <w:proofErr w:type="spellStart"/>
      <w:r w:rsidRPr="00280686">
        <w:rPr>
          <w:lang w:val="en-US"/>
        </w:rPr>
        <w:t>Ther</w:t>
      </w:r>
      <w:proofErr w:type="spellEnd"/>
      <w:r w:rsidRPr="00280686">
        <w:rPr>
          <w:lang w:val="en-US"/>
        </w:rPr>
        <w:t>. 2018 [</w:t>
      </w:r>
      <w:proofErr w:type="spellStart"/>
      <w:r w:rsidRPr="00280686">
        <w:rPr>
          <w:lang w:val="en-US"/>
        </w:rPr>
        <w:t>acceso</w:t>
      </w:r>
      <w:proofErr w:type="spellEnd"/>
      <w:r w:rsidRPr="00280686">
        <w:rPr>
          <w:lang w:val="en-US"/>
        </w:rPr>
        <w:t xml:space="preserve">: 23/01/2021]; 35(11): 2015-23. Disponible </w:t>
      </w:r>
      <w:proofErr w:type="spellStart"/>
      <w:r w:rsidRPr="00280686">
        <w:rPr>
          <w:lang w:val="en-US"/>
        </w:rPr>
        <w:t>en</w:t>
      </w:r>
      <w:proofErr w:type="spellEnd"/>
      <w:r w:rsidRPr="00280686">
        <w:rPr>
          <w:lang w:val="en-US"/>
        </w:rPr>
        <w:t xml:space="preserve">: </w:t>
      </w:r>
      <w:hyperlink r:id="rId30" w:history="1">
        <w:r w:rsidRPr="00280686">
          <w:rPr>
            <w:rStyle w:val="Hipervnculo"/>
            <w:lang w:val="en-US"/>
          </w:rPr>
          <w:t>https://doi.org/10.1007/s12325-018-0793-y</w:t>
        </w:r>
      </w:hyperlink>
      <w:r w:rsidRPr="00280686">
        <w:rPr>
          <w:lang w:val="en-US"/>
        </w:rPr>
        <w:t xml:space="preserve"> </w:t>
      </w:r>
    </w:p>
    <w:p w14:paraId="742B3AEB" w14:textId="77777777" w:rsidR="0077141A" w:rsidRPr="00280686" w:rsidRDefault="0077141A" w:rsidP="0077141A">
      <w:pPr>
        <w:autoSpaceDE w:val="0"/>
        <w:autoSpaceDN w:val="0"/>
        <w:adjustRightInd w:val="0"/>
        <w:spacing w:line="360" w:lineRule="auto"/>
        <w:rPr>
          <w:lang w:val="es-MX" w:eastAsia="es-PE"/>
        </w:rPr>
      </w:pPr>
      <w:r w:rsidRPr="00280686">
        <w:rPr>
          <w:lang w:val="en-US"/>
        </w:rPr>
        <w:t xml:space="preserve">37. Bilbul M, </w:t>
      </w:r>
      <w:proofErr w:type="spellStart"/>
      <w:r w:rsidRPr="00280686">
        <w:rPr>
          <w:lang w:val="en-US"/>
        </w:rPr>
        <w:t>Paparone</w:t>
      </w:r>
      <w:proofErr w:type="spellEnd"/>
      <w:r w:rsidRPr="00280686">
        <w:rPr>
          <w:lang w:val="en-US"/>
        </w:rPr>
        <w:t xml:space="preserve"> P, Kim AM, </w:t>
      </w:r>
      <w:proofErr w:type="spellStart"/>
      <w:r w:rsidRPr="00280686">
        <w:rPr>
          <w:lang w:val="en-US"/>
        </w:rPr>
        <w:t>Mutalik</w:t>
      </w:r>
      <w:proofErr w:type="spellEnd"/>
      <w:r w:rsidRPr="00280686">
        <w:rPr>
          <w:lang w:val="en-US"/>
        </w:rPr>
        <w:t xml:space="preserve"> S, Ernst CL. Psychopharmacology of COVID-19. Psychosomatics. 2020 [</w:t>
      </w:r>
      <w:proofErr w:type="spellStart"/>
      <w:r w:rsidRPr="00280686">
        <w:rPr>
          <w:lang w:val="en-US"/>
        </w:rPr>
        <w:t>acceso</w:t>
      </w:r>
      <w:proofErr w:type="spellEnd"/>
      <w:r w:rsidRPr="00280686">
        <w:rPr>
          <w:lang w:val="en-US"/>
        </w:rPr>
        <w:t xml:space="preserve">: 23/01/2021]; 61(5): 411-27. </w:t>
      </w:r>
      <w:r w:rsidRPr="00280686">
        <w:t xml:space="preserve">Disponible en: </w:t>
      </w:r>
      <w:hyperlink r:id="rId31" w:history="1">
        <w:r w:rsidRPr="00280686">
          <w:rPr>
            <w:rStyle w:val="Hipervnculo"/>
          </w:rPr>
          <w:t>https://www.ncbi.nlm.nih.gov/pmc/articles/PMC7232075/pdf/main.pdf</w:t>
        </w:r>
      </w:hyperlink>
      <w:r w:rsidRPr="00280686">
        <w:rPr>
          <w:lang w:val="es-MX"/>
        </w:rPr>
        <w:t xml:space="preserve"> </w:t>
      </w:r>
      <w:r w:rsidRPr="00280686">
        <w:rPr>
          <w:lang w:val="es-MX" w:eastAsia="es-PE"/>
        </w:rPr>
        <w:t xml:space="preserve"> </w:t>
      </w:r>
    </w:p>
    <w:p w14:paraId="39803D96" w14:textId="77777777" w:rsidR="0077141A" w:rsidRPr="00280686" w:rsidRDefault="0077141A" w:rsidP="0077141A">
      <w:pPr>
        <w:shd w:val="clear" w:color="auto" w:fill="FFFFFF"/>
        <w:autoSpaceDE w:val="0"/>
        <w:autoSpaceDN w:val="0"/>
        <w:adjustRightInd w:val="0"/>
        <w:spacing w:line="360" w:lineRule="auto"/>
        <w:jc w:val="both"/>
        <w:rPr>
          <w:lang w:val="es-MX" w:eastAsia="es-PE"/>
        </w:rPr>
      </w:pPr>
    </w:p>
    <w:p w14:paraId="07C772D8" w14:textId="77777777" w:rsidR="0077141A" w:rsidRPr="00280686" w:rsidRDefault="0077141A" w:rsidP="0077141A">
      <w:pPr>
        <w:pStyle w:val="Default"/>
        <w:spacing w:line="360" w:lineRule="auto"/>
        <w:jc w:val="both"/>
        <w:rPr>
          <w:rFonts w:ascii="Times New Roman" w:hAnsi="Times New Roman" w:cs="Times New Roman"/>
          <w:b/>
          <w:bCs/>
          <w:color w:val="auto"/>
          <w:lang w:val="es-ES_tradnl"/>
        </w:rPr>
      </w:pPr>
    </w:p>
    <w:p w14:paraId="098D89A9" w14:textId="77777777" w:rsidR="0077141A" w:rsidRPr="00280686" w:rsidRDefault="0077141A" w:rsidP="0077141A">
      <w:pPr>
        <w:pStyle w:val="Default"/>
        <w:spacing w:line="360" w:lineRule="auto"/>
        <w:jc w:val="center"/>
        <w:rPr>
          <w:rFonts w:ascii="Times New Roman" w:hAnsi="Times New Roman" w:cs="Times New Roman"/>
          <w:b/>
          <w:bCs/>
          <w:color w:val="auto"/>
          <w:lang w:val="es-ES_tradnl"/>
        </w:rPr>
      </w:pPr>
      <w:r w:rsidRPr="00280686">
        <w:rPr>
          <w:rFonts w:ascii="Times New Roman" w:hAnsi="Times New Roman" w:cs="Times New Roman"/>
          <w:b/>
          <w:bCs/>
          <w:color w:val="auto"/>
          <w:lang w:val="es-ES_tradnl"/>
        </w:rPr>
        <w:t>Conflicto de intereses</w:t>
      </w:r>
    </w:p>
    <w:p w14:paraId="15E6CCEC" w14:textId="77777777" w:rsidR="0077141A" w:rsidRPr="00280686" w:rsidRDefault="0077141A" w:rsidP="0077141A">
      <w:pPr>
        <w:shd w:val="clear" w:color="auto" w:fill="FFFFFF"/>
        <w:autoSpaceDE w:val="0"/>
        <w:autoSpaceDN w:val="0"/>
        <w:adjustRightInd w:val="0"/>
        <w:spacing w:line="360" w:lineRule="auto"/>
        <w:jc w:val="both"/>
      </w:pPr>
      <w:r w:rsidRPr="00280686">
        <w:t>Los autores no declaran conflictos de intereses.</w:t>
      </w:r>
    </w:p>
    <w:p w14:paraId="525039DF" w14:textId="77777777" w:rsidR="00675476" w:rsidRPr="00391509" w:rsidRDefault="00675476" w:rsidP="00391509"/>
    <w:sectPr w:rsidR="00675476" w:rsidRPr="00391509" w:rsidSect="000F3690">
      <w:headerReference w:type="default" r:id="rId32"/>
      <w:footerReference w:type="even" r:id="rId33"/>
      <w:footerReference w:type="default" r:id="rId34"/>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9CCE" w14:textId="77777777" w:rsidR="00084B1F" w:rsidRDefault="00084B1F">
      <w:r>
        <w:separator/>
      </w:r>
    </w:p>
  </w:endnote>
  <w:endnote w:type="continuationSeparator" w:id="0">
    <w:p w14:paraId="6079FC9F" w14:textId="77777777" w:rsidR="00084B1F" w:rsidRDefault="0008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Gothic CondEighteen">
    <w:altName w:val="Segoe Print"/>
    <w:charset w:val="00"/>
    <w:family w:val="swiss"/>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adeGothic LT Light">
    <w:altName w:val="Segoe Prin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useo Sans 500">
    <w:altName w:val="Museo Sans 500"/>
    <w:panose1 w:val="00000000000000000000"/>
    <w:charset w:val="00"/>
    <w:family w:val="swiss"/>
    <w:notTrueType/>
    <w:pitch w:val="default"/>
    <w:sig w:usb0="00000003" w:usb1="00000000" w:usb2="00000000" w:usb3="00000000" w:csb0="00000001" w:csb1="00000000"/>
  </w:font>
  <w:font w:name="Digna">
    <w:altName w:val="Digna"/>
    <w:panose1 w:val="00000000000000000000"/>
    <w:charset w:val="00"/>
    <w:family w:val="swiss"/>
    <w:notTrueType/>
    <w:pitch w:val="default"/>
    <w:sig w:usb0="000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Pro-Regular">
    <w:altName w:val="MS Mincho"/>
    <w:panose1 w:val="00000000000000000000"/>
    <w:charset w:val="80"/>
    <w:family w:val="swiss"/>
    <w:notTrueType/>
    <w:pitch w:val="default"/>
    <w:sig w:usb0="00000001" w:usb1="08070000" w:usb2="00000010" w:usb3="00000000" w:csb0="00020000" w:csb1="00000000"/>
  </w:font>
  <w:font w:name="Minion-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DD7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92017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B5BD" w14:textId="77777777" w:rsidR="000F3690" w:rsidRPr="00AE044C" w:rsidRDefault="000F3690"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4F00FDB" wp14:editId="489D0C3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547C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083D226" w14:textId="77777777" w:rsidR="00675476" w:rsidRPr="00AE044C" w:rsidRDefault="00084B1F" w:rsidP="00391509">
    <w:pPr>
      <w:pStyle w:val="Piedepgina"/>
      <w:ind w:right="360"/>
      <w:rPr>
        <w:sz w:val="22"/>
        <w:szCs w:val="22"/>
      </w:rPr>
    </w:pPr>
    <w:hyperlink r:id="rId1" w:history="1">
      <w:r w:rsidR="00391509" w:rsidRPr="00AE044C">
        <w:rPr>
          <w:rStyle w:val="Hipervnculo"/>
          <w:sz w:val="22"/>
          <w:szCs w:val="22"/>
        </w:rPr>
        <w:t>http://scielo.sld.cu</w:t>
      </w:r>
    </w:hyperlink>
  </w:p>
  <w:p w14:paraId="6C21E860" w14:textId="77777777" w:rsidR="00391509" w:rsidRPr="00AE044C" w:rsidRDefault="00084B1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BDC8C48"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rPr>
      <w:drawing>
        <wp:inline distT="0" distB="0" distL="0" distR="0" wp14:anchorId="4BE98027" wp14:editId="57E63587">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FAA4" w14:textId="77777777" w:rsidR="00084B1F" w:rsidRDefault="00084B1F">
      <w:r>
        <w:separator/>
      </w:r>
    </w:p>
  </w:footnote>
  <w:footnote w:type="continuationSeparator" w:id="0">
    <w:p w14:paraId="78EBF46E" w14:textId="77777777" w:rsidR="00084B1F" w:rsidRDefault="00084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F4B1" w14:textId="21B0FE15" w:rsidR="00CC376A" w:rsidRPr="00AE044C" w:rsidRDefault="00B31971" w:rsidP="00180CE9">
    <w:pPr>
      <w:pStyle w:val="Encabezado"/>
      <w:tabs>
        <w:tab w:val="left" w:pos="420"/>
      </w:tabs>
      <w:jc w:val="center"/>
      <w:rPr>
        <w:sz w:val="22"/>
        <w:szCs w:val="22"/>
      </w:rPr>
    </w:pPr>
    <w:r w:rsidRPr="00AE044C">
      <w:rPr>
        <w:b/>
        <w:noProof/>
        <w:color w:val="00FFFF"/>
        <w:sz w:val="22"/>
        <w:szCs w:val="22"/>
      </w:rPr>
      <w:drawing>
        <wp:anchor distT="0" distB="0" distL="114300" distR="114300" simplePos="0" relativeHeight="251680768" behindDoc="0" locked="0" layoutInCell="1" allowOverlap="1" wp14:anchorId="7D1E4F85" wp14:editId="0EDDAB6A">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2B6EC7">
      <w:rPr>
        <w:sz w:val="22"/>
        <w:szCs w:val="22"/>
      </w:rPr>
      <w:t>2021</w:t>
    </w:r>
    <w:r w:rsidR="003E03D5">
      <w:rPr>
        <w:sz w:val="22"/>
        <w:szCs w:val="22"/>
      </w:rPr>
      <w:t>;</w:t>
    </w:r>
    <w:r w:rsidR="002B6EC7">
      <w:rPr>
        <w:sz w:val="22"/>
        <w:szCs w:val="22"/>
      </w:rPr>
      <w:t>50</w:t>
    </w:r>
    <w:r w:rsidR="00493701" w:rsidRPr="00AE044C">
      <w:rPr>
        <w:sz w:val="22"/>
        <w:szCs w:val="22"/>
      </w:rPr>
      <w:t>(</w:t>
    </w:r>
    <w:r w:rsidR="002B6EC7">
      <w:rPr>
        <w:sz w:val="22"/>
        <w:szCs w:val="22"/>
      </w:rPr>
      <w:t>3</w:t>
    </w:r>
    <w:r w:rsidR="00493701" w:rsidRPr="00AE044C">
      <w:rPr>
        <w:sz w:val="22"/>
        <w:szCs w:val="22"/>
      </w:rPr>
      <w:t>)</w:t>
    </w:r>
    <w:r w:rsidR="00391509" w:rsidRPr="00AE044C">
      <w:rPr>
        <w:sz w:val="22"/>
        <w:szCs w:val="22"/>
      </w:rPr>
      <w:t>:</w:t>
    </w:r>
    <w:r w:rsidR="002B6EC7">
      <w:rPr>
        <w:sz w:val="22"/>
        <w:szCs w:val="22"/>
      </w:rPr>
      <w:t xml:space="preserve"> e02101284</w:t>
    </w:r>
  </w:p>
  <w:p w14:paraId="238533DF"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6192" behindDoc="0" locked="0" layoutInCell="1" allowOverlap="1" wp14:anchorId="6905ABFD" wp14:editId="19A408BE">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0AC4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C1B"/>
    <w:multiLevelType w:val="multilevel"/>
    <w:tmpl w:val="2AC6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498"/>
    <w:multiLevelType w:val="multilevel"/>
    <w:tmpl w:val="1692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C33DD"/>
    <w:multiLevelType w:val="hybridMultilevel"/>
    <w:tmpl w:val="CA74825C"/>
    <w:lvl w:ilvl="0" w:tplc="A19A00FA">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5F2568F"/>
    <w:multiLevelType w:val="hybridMultilevel"/>
    <w:tmpl w:val="DA14D60A"/>
    <w:lvl w:ilvl="0" w:tplc="F19476D6">
      <w:start w:val="1"/>
      <w:numFmt w:val="decimal"/>
      <w:lvlText w:val="%1."/>
      <w:lvlJc w:val="left"/>
      <w:pPr>
        <w:ind w:left="1500" w:hanging="4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A6279CD"/>
    <w:multiLevelType w:val="multilevel"/>
    <w:tmpl w:val="017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20923"/>
    <w:multiLevelType w:val="hybridMultilevel"/>
    <w:tmpl w:val="81F40D8E"/>
    <w:lvl w:ilvl="0" w:tplc="3DA2E550">
      <w:start w:val="1"/>
      <w:numFmt w:val="decimal"/>
      <w:lvlText w:val="%1."/>
      <w:lvlJc w:val="left"/>
      <w:pPr>
        <w:ind w:left="720" w:hanging="360"/>
      </w:pPr>
    </w:lvl>
    <w:lvl w:ilvl="1" w:tplc="E2F2DC08">
      <w:start w:val="1"/>
      <w:numFmt w:val="lowerLetter"/>
      <w:lvlText w:val="%2."/>
      <w:lvlJc w:val="left"/>
      <w:pPr>
        <w:ind w:left="1440" w:hanging="360"/>
      </w:pPr>
    </w:lvl>
    <w:lvl w:ilvl="2" w:tplc="AE7C4450">
      <w:start w:val="1"/>
      <w:numFmt w:val="lowerRoman"/>
      <w:lvlText w:val="%3."/>
      <w:lvlJc w:val="right"/>
      <w:pPr>
        <w:ind w:left="2160" w:hanging="180"/>
      </w:pPr>
    </w:lvl>
    <w:lvl w:ilvl="3" w:tplc="FC7A6A70">
      <w:start w:val="1"/>
      <w:numFmt w:val="decimal"/>
      <w:lvlText w:val="%4."/>
      <w:lvlJc w:val="left"/>
      <w:pPr>
        <w:ind w:left="2880" w:hanging="360"/>
      </w:pPr>
    </w:lvl>
    <w:lvl w:ilvl="4" w:tplc="D24EA71C">
      <w:start w:val="1"/>
      <w:numFmt w:val="lowerLetter"/>
      <w:lvlText w:val="%5."/>
      <w:lvlJc w:val="left"/>
      <w:pPr>
        <w:ind w:left="3600" w:hanging="360"/>
      </w:pPr>
    </w:lvl>
    <w:lvl w:ilvl="5" w:tplc="45C2A502">
      <w:start w:val="1"/>
      <w:numFmt w:val="lowerRoman"/>
      <w:lvlText w:val="%6."/>
      <w:lvlJc w:val="right"/>
      <w:pPr>
        <w:ind w:left="4320" w:hanging="180"/>
      </w:pPr>
    </w:lvl>
    <w:lvl w:ilvl="6" w:tplc="C32AC900">
      <w:start w:val="1"/>
      <w:numFmt w:val="decimal"/>
      <w:lvlText w:val="%7."/>
      <w:lvlJc w:val="left"/>
      <w:pPr>
        <w:ind w:left="5040" w:hanging="360"/>
      </w:pPr>
    </w:lvl>
    <w:lvl w:ilvl="7" w:tplc="7C0AF1CC">
      <w:start w:val="1"/>
      <w:numFmt w:val="lowerLetter"/>
      <w:lvlText w:val="%8."/>
      <w:lvlJc w:val="left"/>
      <w:pPr>
        <w:ind w:left="5760" w:hanging="360"/>
      </w:pPr>
    </w:lvl>
    <w:lvl w:ilvl="8" w:tplc="A66ABA10">
      <w:start w:val="1"/>
      <w:numFmt w:val="lowerRoman"/>
      <w:lvlText w:val="%9."/>
      <w:lvlJc w:val="right"/>
      <w:pPr>
        <w:ind w:left="6480" w:hanging="180"/>
      </w:pPr>
    </w:lvl>
  </w:abstractNum>
  <w:abstractNum w:abstractNumId="6" w15:restartNumberingAfterBreak="0">
    <w:nsid w:val="14703A71"/>
    <w:multiLevelType w:val="multilevel"/>
    <w:tmpl w:val="951A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979B0"/>
    <w:multiLevelType w:val="multilevel"/>
    <w:tmpl w:val="3668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3228D"/>
    <w:multiLevelType w:val="multilevel"/>
    <w:tmpl w:val="4BEE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4404"/>
    <w:multiLevelType w:val="multilevel"/>
    <w:tmpl w:val="30A0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6789A"/>
    <w:multiLevelType w:val="multilevel"/>
    <w:tmpl w:val="E180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72010"/>
    <w:multiLevelType w:val="multilevel"/>
    <w:tmpl w:val="99A2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C784A"/>
    <w:multiLevelType w:val="multilevel"/>
    <w:tmpl w:val="F8BE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71C4C"/>
    <w:multiLevelType w:val="multilevel"/>
    <w:tmpl w:val="AFB2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0666C"/>
    <w:multiLevelType w:val="multilevel"/>
    <w:tmpl w:val="005E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03005"/>
    <w:multiLevelType w:val="multilevel"/>
    <w:tmpl w:val="E9C4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B3A77"/>
    <w:multiLevelType w:val="hybridMultilevel"/>
    <w:tmpl w:val="2C28610C"/>
    <w:lvl w:ilvl="0" w:tplc="F19476D6">
      <w:start w:val="1"/>
      <w:numFmt w:val="decimal"/>
      <w:lvlText w:val="%1."/>
      <w:lvlJc w:val="left"/>
      <w:pPr>
        <w:ind w:left="1500" w:hanging="4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AC11D20"/>
    <w:multiLevelType w:val="hybridMultilevel"/>
    <w:tmpl w:val="37E49034"/>
    <w:lvl w:ilvl="0" w:tplc="F19476D6">
      <w:start w:val="1"/>
      <w:numFmt w:val="decimal"/>
      <w:lvlText w:val="%1."/>
      <w:lvlJc w:val="left"/>
      <w:pPr>
        <w:ind w:left="1500" w:hanging="4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ACC39ED"/>
    <w:multiLevelType w:val="hybridMultilevel"/>
    <w:tmpl w:val="5CB4E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9458D"/>
    <w:multiLevelType w:val="multilevel"/>
    <w:tmpl w:val="F484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F0680B"/>
    <w:multiLevelType w:val="multilevel"/>
    <w:tmpl w:val="7FFC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50FD5"/>
    <w:multiLevelType w:val="multilevel"/>
    <w:tmpl w:val="05D6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E30CF"/>
    <w:multiLevelType w:val="multilevel"/>
    <w:tmpl w:val="79F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23263"/>
    <w:multiLevelType w:val="multilevel"/>
    <w:tmpl w:val="4FA232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1F7AE2"/>
    <w:multiLevelType w:val="hybridMultilevel"/>
    <w:tmpl w:val="0598DBB4"/>
    <w:lvl w:ilvl="0" w:tplc="280A000F">
      <w:start w:val="1"/>
      <w:numFmt w:val="decimal"/>
      <w:lvlText w:val="%1."/>
      <w:lvlJc w:val="left"/>
      <w:pPr>
        <w:ind w:left="1778"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5A15871"/>
    <w:multiLevelType w:val="multilevel"/>
    <w:tmpl w:val="7CA8A2DC"/>
    <w:lvl w:ilvl="0">
      <w:start w:val="1"/>
      <w:numFmt w:val="decimal"/>
      <w:lvlText w:val="%1."/>
      <w:lvlJc w:val="left"/>
      <w:pPr>
        <w:ind w:left="644" w:hanging="360"/>
      </w:pPr>
      <w:rPr>
        <w:rFonts w:eastAsia="Malgun Gothic" w:hint="default"/>
      </w:rPr>
    </w:lvl>
    <w:lvl w:ilvl="1">
      <w:start w:val="1"/>
      <w:numFmt w:val="decimal"/>
      <w:isLgl/>
      <w:lvlText w:val="%1.%2."/>
      <w:lvlJc w:val="left"/>
      <w:pPr>
        <w:ind w:left="1364" w:hanging="720"/>
      </w:pPr>
      <w:rPr>
        <w:rFonts w:eastAsia="Malgun Gothic" w:hint="default"/>
      </w:rPr>
    </w:lvl>
    <w:lvl w:ilvl="2">
      <w:start w:val="1"/>
      <w:numFmt w:val="decimal"/>
      <w:isLgl/>
      <w:lvlText w:val="%1.%2.%3."/>
      <w:lvlJc w:val="left"/>
      <w:pPr>
        <w:ind w:left="1724" w:hanging="720"/>
      </w:pPr>
      <w:rPr>
        <w:rFonts w:eastAsia="Malgun Gothic" w:hint="default"/>
      </w:rPr>
    </w:lvl>
    <w:lvl w:ilvl="3">
      <w:start w:val="1"/>
      <w:numFmt w:val="decimal"/>
      <w:isLgl/>
      <w:lvlText w:val="%1.%2.%3.%4."/>
      <w:lvlJc w:val="left"/>
      <w:pPr>
        <w:ind w:left="2444" w:hanging="1080"/>
      </w:pPr>
      <w:rPr>
        <w:rFonts w:eastAsia="Malgun Gothic" w:hint="default"/>
      </w:rPr>
    </w:lvl>
    <w:lvl w:ilvl="4">
      <w:start w:val="1"/>
      <w:numFmt w:val="decimal"/>
      <w:isLgl/>
      <w:lvlText w:val="%1.%2.%3.%4.%5."/>
      <w:lvlJc w:val="left"/>
      <w:pPr>
        <w:ind w:left="2804" w:hanging="1080"/>
      </w:pPr>
      <w:rPr>
        <w:rFonts w:eastAsia="Malgun Gothic" w:hint="default"/>
      </w:rPr>
    </w:lvl>
    <w:lvl w:ilvl="5">
      <w:start w:val="1"/>
      <w:numFmt w:val="decimal"/>
      <w:isLgl/>
      <w:lvlText w:val="%1.%2.%3.%4.%5.%6."/>
      <w:lvlJc w:val="left"/>
      <w:pPr>
        <w:ind w:left="3524" w:hanging="1440"/>
      </w:pPr>
      <w:rPr>
        <w:rFonts w:eastAsia="Malgun Gothic" w:hint="default"/>
      </w:rPr>
    </w:lvl>
    <w:lvl w:ilvl="6">
      <w:start w:val="1"/>
      <w:numFmt w:val="decimal"/>
      <w:isLgl/>
      <w:lvlText w:val="%1.%2.%3.%4.%5.%6.%7."/>
      <w:lvlJc w:val="left"/>
      <w:pPr>
        <w:ind w:left="3884" w:hanging="1440"/>
      </w:pPr>
      <w:rPr>
        <w:rFonts w:eastAsia="Malgun Gothic" w:hint="default"/>
      </w:rPr>
    </w:lvl>
    <w:lvl w:ilvl="7">
      <w:start w:val="1"/>
      <w:numFmt w:val="decimal"/>
      <w:isLgl/>
      <w:lvlText w:val="%1.%2.%3.%4.%5.%6.%7.%8."/>
      <w:lvlJc w:val="left"/>
      <w:pPr>
        <w:ind w:left="4604" w:hanging="1800"/>
      </w:pPr>
      <w:rPr>
        <w:rFonts w:eastAsia="Malgun Gothic" w:hint="default"/>
      </w:rPr>
    </w:lvl>
    <w:lvl w:ilvl="8">
      <w:start w:val="1"/>
      <w:numFmt w:val="decimal"/>
      <w:isLgl/>
      <w:lvlText w:val="%1.%2.%3.%4.%5.%6.%7.%8.%9."/>
      <w:lvlJc w:val="left"/>
      <w:pPr>
        <w:ind w:left="4964" w:hanging="1800"/>
      </w:pPr>
      <w:rPr>
        <w:rFonts w:eastAsia="Malgun Gothic" w:hint="default"/>
      </w:rPr>
    </w:lvl>
  </w:abstractNum>
  <w:abstractNum w:abstractNumId="26" w15:restartNumberingAfterBreak="0">
    <w:nsid w:val="57174B1E"/>
    <w:multiLevelType w:val="hybridMultilevel"/>
    <w:tmpl w:val="632C1EFE"/>
    <w:lvl w:ilvl="0" w:tplc="29E216B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598168D8"/>
    <w:multiLevelType w:val="multilevel"/>
    <w:tmpl w:val="0154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86CE9"/>
    <w:multiLevelType w:val="multilevel"/>
    <w:tmpl w:val="0AA4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81627"/>
    <w:multiLevelType w:val="hybridMultilevel"/>
    <w:tmpl w:val="20CA4E6A"/>
    <w:lvl w:ilvl="0" w:tplc="F19476D6">
      <w:start w:val="1"/>
      <w:numFmt w:val="decimal"/>
      <w:lvlText w:val="%1."/>
      <w:lvlJc w:val="left"/>
      <w:pPr>
        <w:ind w:left="1500" w:hanging="4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EB46D9C"/>
    <w:multiLevelType w:val="hybridMultilevel"/>
    <w:tmpl w:val="9D566062"/>
    <w:lvl w:ilvl="0" w:tplc="F138A47E">
      <w:start w:val="1"/>
      <w:numFmt w:val="upperRoman"/>
      <w:lvlText w:val="%1."/>
      <w:lvlJc w:val="right"/>
      <w:pPr>
        <w:ind w:left="720" w:hanging="360"/>
      </w:pPr>
      <w:rPr>
        <w:rFonts w:ascii="Arial" w:eastAsia="Times New Roman" w:hAnsi="Arial" w:cs="Arial"/>
      </w:rPr>
    </w:lvl>
    <w:lvl w:ilvl="1" w:tplc="F19476D6">
      <w:start w:val="1"/>
      <w:numFmt w:val="decimal"/>
      <w:lvlText w:val="%2."/>
      <w:lvlJc w:val="left"/>
      <w:pPr>
        <w:ind w:left="1500" w:hanging="420"/>
      </w:pPr>
      <w:rPr>
        <w:rFonts w:hint="default"/>
      </w:rPr>
    </w:lvl>
    <w:lvl w:ilvl="2" w:tplc="921A5A14" w:tentative="1">
      <w:start w:val="1"/>
      <w:numFmt w:val="lowerRoman"/>
      <w:lvlText w:val="%3."/>
      <w:lvlJc w:val="right"/>
      <w:pPr>
        <w:ind w:left="2160" w:hanging="180"/>
      </w:pPr>
    </w:lvl>
    <w:lvl w:ilvl="3" w:tplc="4C2C870E" w:tentative="1">
      <w:start w:val="1"/>
      <w:numFmt w:val="decimal"/>
      <w:lvlText w:val="%4."/>
      <w:lvlJc w:val="left"/>
      <w:pPr>
        <w:ind w:left="2880" w:hanging="360"/>
      </w:pPr>
    </w:lvl>
    <w:lvl w:ilvl="4" w:tplc="B5C004C4" w:tentative="1">
      <w:start w:val="1"/>
      <w:numFmt w:val="lowerLetter"/>
      <w:lvlText w:val="%5."/>
      <w:lvlJc w:val="left"/>
      <w:pPr>
        <w:ind w:left="3600" w:hanging="360"/>
      </w:pPr>
    </w:lvl>
    <w:lvl w:ilvl="5" w:tplc="48FAFCB4" w:tentative="1">
      <w:start w:val="1"/>
      <w:numFmt w:val="lowerRoman"/>
      <w:lvlText w:val="%6."/>
      <w:lvlJc w:val="right"/>
      <w:pPr>
        <w:ind w:left="4320" w:hanging="180"/>
      </w:pPr>
    </w:lvl>
    <w:lvl w:ilvl="6" w:tplc="10587B2C" w:tentative="1">
      <w:start w:val="1"/>
      <w:numFmt w:val="decimal"/>
      <w:lvlText w:val="%7."/>
      <w:lvlJc w:val="left"/>
      <w:pPr>
        <w:ind w:left="5040" w:hanging="360"/>
      </w:pPr>
    </w:lvl>
    <w:lvl w:ilvl="7" w:tplc="AEDA8F54" w:tentative="1">
      <w:start w:val="1"/>
      <w:numFmt w:val="lowerLetter"/>
      <w:lvlText w:val="%8."/>
      <w:lvlJc w:val="left"/>
      <w:pPr>
        <w:ind w:left="5760" w:hanging="360"/>
      </w:pPr>
    </w:lvl>
    <w:lvl w:ilvl="8" w:tplc="2EA8731C" w:tentative="1">
      <w:start w:val="1"/>
      <w:numFmt w:val="lowerRoman"/>
      <w:lvlText w:val="%9."/>
      <w:lvlJc w:val="right"/>
      <w:pPr>
        <w:ind w:left="6480" w:hanging="180"/>
      </w:pPr>
    </w:lvl>
  </w:abstractNum>
  <w:abstractNum w:abstractNumId="31" w15:restartNumberingAfterBreak="0">
    <w:nsid w:val="5EEE20D7"/>
    <w:multiLevelType w:val="hybridMultilevel"/>
    <w:tmpl w:val="3DA2F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92F70"/>
    <w:multiLevelType w:val="multilevel"/>
    <w:tmpl w:val="4ADC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1C577B"/>
    <w:multiLevelType w:val="hybridMultilevel"/>
    <w:tmpl w:val="F6BAFA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4597893"/>
    <w:multiLevelType w:val="hybridMultilevel"/>
    <w:tmpl w:val="5FEC5852"/>
    <w:lvl w:ilvl="0" w:tplc="3956F2C0">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5" w15:restartNumberingAfterBreak="0">
    <w:nsid w:val="66B46211"/>
    <w:multiLevelType w:val="hybridMultilevel"/>
    <w:tmpl w:val="1ED0898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1BB5399"/>
    <w:multiLevelType w:val="multilevel"/>
    <w:tmpl w:val="AB5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72DCE"/>
    <w:multiLevelType w:val="multilevel"/>
    <w:tmpl w:val="01C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C5A3D"/>
    <w:multiLevelType w:val="multilevel"/>
    <w:tmpl w:val="730C5A3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4B6374"/>
    <w:multiLevelType w:val="multilevel"/>
    <w:tmpl w:val="4B9C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FA1454"/>
    <w:multiLevelType w:val="hybridMultilevel"/>
    <w:tmpl w:val="73D41D06"/>
    <w:lvl w:ilvl="0" w:tplc="280A000F">
      <w:start w:val="1"/>
      <w:numFmt w:val="decimal"/>
      <w:lvlText w:val="%1."/>
      <w:lvlJc w:val="left"/>
      <w:pPr>
        <w:ind w:left="644"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5255AD3"/>
    <w:multiLevelType w:val="multilevel"/>
    <w:tmpl w:val="1AAC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14019"/>
    <w:multiLevelType w:val="multilevel"/>
    <w:tmpl w:val="9E2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54B66"/>
    <w:multiLevelType w:val="multilevel"/>
    <w:tmpl w:val="8DF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2E7B92"/>
    <w:multiLevelType w:val="multilevel"/>
    <w:tmpl w:val="BC2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552CA"/>
    <w:multiLevelType w:val="multilevel"/>
    <w:tmpl w:val="964C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8"/>
  </w:num>
  <w:num w:numId="3">
    <w:abstractNumId w:val="23"/>
  </w:num>
  <w:num w:numId="4">
    <w:abstractNumId w:val="25"/>
  </w:num>
  <w:num w:numId="5">
    <w:abstractNumId w:val="2"/>
  </w:num>
  <w:num w:numId="6">
    <w:abstractNumId w:val="24"/>
  </w:num>
  <w:num w:numId="7">
    <w:abstractNumId w:val="15"/>
  </w:num>
  <w:num w:numId="8">
    <w:abstractNumId w:val="27"/>
  </w:num>
  <w:num w:numId="9">
    <w:abstractNumId w:val="14"/>
  </w:num>
  <w:num w:numId="10">
    <w:abstractNumId w:val="32"/>
  </w:num>
  <w:num w:numId="11">
    <w:abstractNumId w:val="30"/>
  </w:num>
  <w:num w:numId="12">
    <w:abstractNumId w:val="16"/>
  </w:num>
  <w:num w:numId="13">
    <w:abstractNumId w:val="3"/>
  </w:num>
  <w:num w:numId="14">
    <w:abstractNumId w:val="17"/>
  </w:num>
  <w:num w:numId="15">
    <w:abstractNumId w:val="29"/>
  </w:num>
  <w:num w:numId="16">
    <w:abstractNumId w:val="42"/>
  </w:num>
  <w:num w:numId="17">
    <w:abstractNumId w:val="0"/>
  </w:num>
  <w:num w:numId="18">
    <w:abstractNumId w:val="40"/>
  </w:num>
  <w:num w:numId="19">
    <w:abstractNumId w:val="34"/>
  </w:num>
  <w:num w:numId="20">
    <w:abstractNumId w:val="35"/>
  </w:num>
  <w:num w:numId="21">
    <w:abstractNumId w:val="33"/>
  </w:num>
  <w:num w:numId="22">
    <w:abstractNumId w:val="18"/>
  </w:num>
  <w:num w:numId="23">
    <w:abstractNumId w:val="31"/>
  </w:num>
  <w:num w:numId="24">
    <w:abstractNumId w:val="21"/>
  </w:num>
  <w:num w:numId="25">
    <w:abstractNumId w:val="26"/>
  </w:num>
  <w:num w:numId="26">
    <w:abstractNumId w:val="10"/>
  </w:num>
  <w:num w:numId="27">
    <w:abstractNumId w:val="12"/>
  </w:num>
  <w:num w:numId="28">
    <w:abstractNumId w:val="7"/>
  </w:num>
  <w:num w:numId="29">
    <w:abstractNumId w:val="4"/>
  </w:num>
  <w:num w:numId="30">
    <w:abstractNumId w:val="20"/>
  </w:num>
  <w:num w:numId="31">
    <w:abstractNumId w:val="36"/>
  </w:num>
  <w:num w:numId="32">
    <w:abstractNumId w:val="11"/>
  </w:num>
  <w:num w:numId="33">
    <w:abstractNumId w:val="28"/>
  </w:num>
  <w:num w:numId="34">
    <w:abstractNumId w:val="22"/>
  </w:num>
  <w:num w:numId="35">
    <w:abstractNumId w:val="8"/>
  </w:num>
  <w:num w:numId="36">
    <w:abstractNumId w:val="39"/>
  </w:num>
  <w:num w:numId="37">
    <w:abstractNumId w:val="13"/>
  </w:num>
  <w:num w:numId="38">
    <w:abstractNumId w:val="45"/>
  </w:num>
  <w:num w:numId="39">
    <w:abstractNumId w:val="9"/>
  </w:num>
  <w:num w:numId="40">
    <w:abstractNumId w:val="19"/>
  </w:num>
  <w:num w:numId="41">
    <w:abstractNumId w:val="43"/>
  </w:num>
  <w:num w:numId="42">
    <w:abstractNumId w:val="41"/>
  </w:num>
  <w:num w:numId="43">
    <w:abstractNumId w:val="6"/>
  </w:num>
  <w:num w:numId="44">
    <w:abstractNumId w:val="44"/>
  </w:num>
  <w:num w:numId="45">
    <w:abstractNumId w:val="3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41A"/>
    <w:rsid w:val="00084B1F"/>
    <w:rsid w:val="000C6335"/>
    <w:rsid w:val="000F3690"/>
    <w:rsid w:val="001221D1"/>
    <w:rsid w:val="00180CE9"/>
    <w:rsid w:val="00230DD5"/>
    <w:rsid w:val="002B6EC7"/>
    <w:rsid w:val="00380D64"/>
    <w:rsid w:val="00391509"/>
    <w:rsid w:val="003E03D5"/>
    <w:rsid w:val="00493701"/>
    <w:rsid w:val="004E2065"/>
    <w:rsid w:val="005508A2"/>
    <w:rsid w:val="00566F71"/>
    <w:rsid w:val="00675476"/>
    <w:rsid w:val="0077141A"/>
    <w:rsid w:val="007C430F"/>
    <w:rsid w:val="007D614D"/>
    <w:rsid w:val="00960D6A"/>
    <w:rsid w:val="009A0560"/>
    <w:rsid w:val="009B0917"/>
    <w:rsid w:val="00A23C0C"/>
    <w:rsid w:val="00A477DE"/>
    <w:rsid w:val="00A71E65"/>
    <w:rsid w:val="00AE044C"/>
    <w:rsid w:val="00B31971"/>
    <w:rsid w:val="00B4380A"/>
    <w:rsid w:val="00B66ECB"/>
    <w:rsid w:val="00B903D9"/>
    <w:rsid w:val="00C7523A"/>
    <w:rsid w:val="00CC1B6E"/>
    <w:rsid w:val="00CC376A"/>
    <w:rsid w:val="00CC48A1"/>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8BB4E"/>
  <w15:docId w15:val="{949C8D61-31F1-4CD0-B64F-E0495827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41A"/>
    <w:rPr>
      <w:sz w:val="24"/>
      <w:szCs w:val="24"/>
    </w:rPr>
  </w:style>
  <w:style w:type="paragraph" w:styleId="Ttulo1">
    <w:name w:val="heading 1"/>
    <w:basedOn w:val="Normal"/>
    <w:link w:val="Ttulo1Car"/>
    <w:uiPriority w:val="9"/>
    <w:qFormat/>
    <w:rsid w:val="0077141A"/>
    <w:pPr>
      <w:spacing w:before="100" w:beforeAutospacing="1" w:after="100" w:afterAutospacing="1"/>
      <w:outlineLvl w:val="0"/>
    </w:pPr>
    <w:rPr>
      <w:b/>
      <w:bCs/>
      <w:kern w:val="36"/>
      <w:sz w:val="48"/>
      <w:szCs w:val="48"/>
    </w:rPr>
  </w:style>
  <w:style w:type="paragraph" w:styleId="Ttulo2">
    <w:name w:val="heading 2"/>
    <w:basedOn w:val="Normal"/>
    <w:next w:val="Normal"/>
    <w:link w:val="Ttulo2Car"/>
    <w:qFormat/>
    <w:rsid w:val="0077141A"/>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77141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semiHidden/>
    <w:unhideWhenUsed/>
    <w:qFormat/>
    <w:rsid w:val="0077141A"/>
    <w:pPr>
      <w:keepNext/>
      <w:keepLines/>
      <w:spacing w:before="40"/>
      <w:outlineLvl w:val="3"/>
    </w:pPr>
    <w:rPr>
      <w:rFonts w:asciiTheme="majorHAnsi" w:eastAsiaTheme="majorEastAsia" w:hAnsiTheme="majorHAnsi" w:cstheme="majorBidi"/>
      <w:i/>
      <w:iCs/>
      <w:color w:val="365F91" w:themeColor="accent1" w:themeShade="BF"/>
    </w:rPr>
  </w:style>
  <w:style w:type="paragraph" w:styleId="Ttulo9">
    <w:name w:val="heading 9"/>
    <w:basedOn w:val="Normal"/>
    <w:next w:val="Normal"/>
    <w:link w:val="Ttulo9Car"/>
    <w:qFormat/>
    <w:rsid w:val="0077141A"/>
    <w:pPr>
      <w:keepNext/>
      <w:jc w:val="both"/>
      <w:outlineLvl w:val="8"/>
    </w:pPr>
    <w:rPr>
      <w:rFonts w:ascii="Arial" w:hAnsi="Arial" w:cs="Arial"/>
      <w:b/>
      <w:bCs/>
      <w:color w:val="333333"/>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77141A"/>
    <w:rPr>
      <w:b/>
      <w:bCs/>
      <w:kern w:val="36"/>
      <w:sz w:val="48"/>
      <w:szCs w:val="48"/>
    </w:rPr>
  </w:style>
  <w:style w:type="character" w:customStyle="1" w:styleId="Ttulo2Car">
    <w:name w:val="Título 2 Car"/>
    <w:basedOn w:val="Fuentedeprrafopredeter"/>
    <w:link w:val="Ttulo2"/>
    <w:rsid w:val="0077141A"/>
    <w:rPr>
      <w:rFonts w:ascii="Calibri Light" w:hAnsi="Calibri Light"/>
      <w:b/>
      <w:bCs/>
      <w:i/>
      <w:iCs/>
      <w:sz w:val="28"/>
      <w:szCs w:val="28"/>
    </w:rPr>
  </w:style>
  <w:style w:type="character" w:customStyle="1" w:styleId="Ttulo3Car">
    <w:name w:val="Título 3 Car"/>
    <w:basedOn w:val="Fuentedeprrafopredeter"/>
    <w:link w:val="Ttulo3"/>
    <w:semiHidden/>
    <w:rsid w:val="0077141A"/>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semiHidden/>
    <w:rsid w:val="0077141A"/>
    <w:rPr>
      <w:rFonts w:asciiTheme="majorHAnsi" w:eastAsiaTheme="majorEastAsia" w:hAnsiTheme="majorHAnsi" w:cstheme="majorBidi"/>
      <w:i/>
      <w:iCs/>
      <w:color w:val="365F91" w:themeColor="accent1" w:themeShade="BF"/>
      <w:sz w:val="24"/>
      <w:szCs w:val="24"/>
    </w:rPr>
  </w:style>
  <w:style w:type="character" w:customStyle="1" w:styleId="Ttulo9Car">
    <w:name w:val="Título 9 Car"/>
    <w:basedOn w:val="Fuentedeprrafopredeter"/>
    <w:link w:val="Ttulo9"/>
    <w:rsid w:val="0077141A"/>
    <w:rPr>
      <w:rFonts w:ascii="Arial" w:hAnsi="Arial" w:cs="Arial"/>
      <w:b/>
      <w:bCs/>
      <w:color w:val="333333"/>
      <w:lang w:val="es-ES_tradnl"/>
    </w:rPr>
  </w:style>
  <w:style w:type="character" w:customStyle="1" w:styleId="highlight">
    <w:name w:val="highlight"/>
    <w:rsid w:val="0077141A"/>
  </w:style>
  <w:style w:type="character" w:styleId="Textoennegrita">
    <w:name w:val="Strong"/>
    <w:uiPriority w:val="22"/>
    <w:qFormat/>
    <w:rsid w:val="0077141A"/>
    <w:rPr>
      <w:b/>
      <w:bCs/>
    </w:rPr>
  </w:style>
  <w:style w:type="character" w:customStyle="1" w:styleId="A5">
    <w:name w:val="A5"/>
    <w:uiPriority w:val="99"/>
    <w:rsid w:val="0077141A"/>
    <w:rPr>
      <w:rFonts w:cs="TradeGothic CondEighteen"/>
      <w:color w:val="000000"/>
      <w:sz w:val="42"/>
      <w:szCs w:val="42"/>
    </w:rPr>
  </w:style>
  <w:style w:type="character" w:styleId="Refdecomentario">
    <w:name w:val="annotation reference"/>
    <w:uiPriority w:val="99"/>
    <w:rsid w:val="0077141A"/>
    <w:rPr>
      <w:sz w:val="16"/>
      <w:szCs w:val="16"/>
    </w:rPr>
  </w:style>
  <w:style w:type="character" w:customStyle="1" w:styleId="A8">
    <w:name w:val="A8"/>
    <w:uiPriority w:val="99"/>
    <w:rsid w:val="0077141A"/>
    <w:rPr>
      <w:rFonts w:cs="Gill Sans MT"/>
      <w:color w:val="000000"/>
      <w:sz w:val="12"/>
      <w:szCs w:val="12"/>
    </w:rPr>
  </w:style>
  <w:style w:type="character" w:customStyle="1" w:styleId="A4">
    <w:name w:val="A4"/>
    <w:uiPriority w:val="99"/>
    <w:rsid w:val="0077141A"/>
    <w:rPr>
      <w:rFonts w:cs="TradeGothic LT Light"/>
      <w:color w:val="000000"/>
      <w:sz w:val="10"/>
      <w:szCs w:val="10"/>
    </w:rPr>
  </w:style>
  <w:style w:type="character" w:customStyle="1" w:styleId="elsevierstylesup">
    <w:name w:val="elsevierstylesup"/>
    <w:rsid w:val="0077141A"/>
  </w:style>
  <w:style w:type="character" w:customStyle="1" w:styleId="HTMLconformatoprevioCar">
    <w:name w:val="HTML con formato previo Car"/>
    <w:link w:val="HTMLconformatoprevio"/>
    <w:uiPriority w:val="99"/>
    <w:rsid w:val="0077141A"/>
    <w:rPr>
      <w:rFonts w:ascii="Courier New" w:hAnsi="Courier New" w:cs="Courier New"/>
    </w:rPr>
  </w:style>
  <w:style w:type="character" w:customStyle="1" w:styleId="TextocomentarioCar">
    <w:name w:val="Texto comentario Car"/>
    <w:link w:val="Textocomentario"/>
    <w:rsid w:val="0077141A"/>
  </w:style>
  <w:style w:type="character" w:customStyle="1" w:styleId="A3">
    <w:name w:val="A3"/>
    <w:uiPriority w:val="99"/>
    <w:rsid w:val="0077141A"/>
    <w:rPr>
      <w:rFonts w:cs="Georgia"/>
      <w:color w:val="000000"/>
      <w:sz w:val="16"/>
      <w:szCs w:val="16"/>
    </w:rPr>
  </w:style>
  <w:style w:type="character" w:customStyle="1" w:styleId="apple-converted-space">
    <w:name w:val="apple-converted-space"/>
    <w:rsid w:val="0077141A"/>
  </w:style>
  <w:style w:type="character" w:customStyle="1" w:styleId="contribdegrees">
    <w:name w:val="contribdegrees"/>
    <w:rsid w:val="0077141A"/>
  </w:style>
  <w:style w:type="character" w:customStyle="1" w:styleId="fieldaddress">
    <w:name w:val="field_address"/>
    <w:rsid w:val="0077141A"/>
  </w:style>
  <w:style w:type="character" w:customStyle="1" w:styleId="nlmarticle-title">
    <w:name w:val="nlm_article-title"/>
    <w:rsid w:val="0077141A"/>
  </w:style>
  <w:style w:type="character" w:customStyle="1" w:styleId="comma">
    <w:name w:val="comma"/>
    <w:rsid w:val="0077141A"/>
  </w:style>
  <w:style w:type="character" w:customStyle="1" w:styleId="titleheading">
    <w:name w:val="titleheading"/>
    <w:rsid w:val="0077141A"/>
  </w:style>
  <w:style w:type="character" w:customStyle="1" w:styleId="A7">
    <w:name w:val="A7"/>
    <w:uiPriority w:val="99"/>
    <w:rsid w:val="0077141A"/>
    <w:rPr>
      <w:rFonts w:cs="Georgia"/>
      <w:color w:val="000000"/>
      <w:sz w:val="40"/>
      <w:szCs w:val="40"/>
    </w:rPr>
  </w:style>
  <w:style w:type="paragraph" w:styleId="Prrafodelista">
    <w:name w:val="List Paragraph"/>
    <w:basedOn w:val="Normal"/>
    <w:link w:val="PrrafodelistaCar"/>
    <w:uiPriority w:val="34"/>
    <w:qFormat/>
    <w:rsid w:val="0077141A"/>
    <w:pPr>
      <w:ind w:left="708"/>
    </w:pPr>
  </w:style>
  <w:style w:type="paragraph" w:customStyle="1" w:styleId="Epgrafe1">
    <w:name w:val="Epígrafe1"/>
    <w:basedOn w:val="Normal"/>
    <w:next w:val="Normal"/>
    <w:qFormat/>
    <w:rsid w:val="0077141A"/>
    <w:pPr>
      <w:jc w:val="both"/>
    </w:pPr>
    <w:rPr>
      <w:rFonts w:ascii="Arial" w:hAnsi="Arial"/>
      <w:b/>
      <w:color w:val="0000FF"/>
      <w:sz w:val="22"/>
      <w:szCs w:val="20"/>
      <w:lang w:val="es-ES_tradnl"/>
    </w:rPr>
  </w:style>
  <w:style w:type="paragraph" w:styleId="Textoindependiente">
    <w:name w:val="Body Text"/>
    <w:basedOn w:val="Normal"/>
    <w:link w:val="TextoindependienteCar"/>
    <w:rsid w:val="0077141A"/>
    <w:pPr>
      <w:spacing w:after="120"/>
    </w:pPr>
  </w:style>
  <w:style w:type="character" w:customStyle="1" w:styleId="TextoindependienteCar">
    <w:name w:val="Texto independiente Car"/>
    <w:basedOn w:val="Fuentedeprrafopredeter"/>
    <w:link w:val="Textoindependiente"/>
    <w:rsid w:val="0077141A"/>
    <w:rPr>
      <w:sz w:val="24"/>
      <w:szCs w:val="24"/>
    </w:rPr>
  </w:style>
  <w:style w:type="paragraph" w:styleId="Sangra3detindependiente">
    <w:name w:val="Body Text Indent 3"/>
    <w:basedOn w:val="Normal"/>
    <w:link w:val="Sangra3detindependienteCar"/>
    <w:rsid w:val="0077141A"/>
    <w:pPr>
      <w:tabs>
        <w:tab w:val="left" w:pos="180"/>
      </w:tabs>
      <w:ind w:left="1260" w:hanging="1260"/>
      <w:jc w:val="both"/>
    </w:pPr>
    <w:rPr>
      <w:rFonts w:ascii="Arial" w:hAnsi="Arial" w:cs="Arial"/>
      <w:b/>
      <w:sz w:val="20"/>
    </w:rPr>
  </w:style>
  <w:style w:type="character" w:customStyle="1" w:styleId="Sangra3detindependienteCar">
    <w:name w:val="Sangría 3 de t. independiente Car"/>
    <w:basedOn w:val="Fuentedeprrafopredeter"/>
    <w:link w:val="Sangra3detindependiente"/>
    <w:rsid w:val="0077141A"/>
    <w:rPr>
      <w:rFonts w:ascii="Arial" w:hAnsi="Arial" w:cs="Arial"/>
      <w:b/>
      <w:szCs w:val="24"/>
    </w:rPr>
  </w:style>
  <w:style w:type="paragraph" w:styleId="z-Finaldelformulario">
    <w:name w:val="HTML Bottom of Form"/>
    <w:basedOn w:val="Normal"/>
    <w:next w:val="Normal"/>
    <w:link w:val="z-FinaldelformularioCar"/>
    <w:rsid w:val="0077141A"/>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77141A"/>
    <w:rPr>
      <w:rFonts w:ascii="Arial" w:hAnsi="Arial" w:cs="Arial"/>
      <w:vanish/>
      <w:sz w:val="16"/>
      <w:szCs w:val="16"/>
    </w:rPr>
  </w:style>
  <w:style w:type="paragraph" w:styleId="Sangra2detindependiente">
    <w:name w:val="Body Text Indent 2"/>
    <w:basedOn w:val="Normal"/>
    <w:link w:val="Sangra2detindependienteCar"/>
    <w:rsid w:val="0077141A"/>
    <w:pPr>
      <w:spacing w:line="360" w:lineRule="auto"/>
      <w:ind w:left="180"/>
      <w:jc w:val="both"/>
    </w:pPr>
    <w:rPr>
      <w:rFonts w:ascii="Arial" w:hAnsi="Arial" w:cs="Arial"/>
    </w:rPr>
  </w:style>
  <w:style w:type="character" w:customStyle="1" w:styleId="Sangra2detindependienteCar">
    <w:name w:val="Sangría 2 de t. independiente Car"/>
    <w:basedOn w:val="Fuentedeprrafopredeter"/>
    <w:link w:val="Sangra2detindependiente"/>
    <w:rsid w:val="0077141A"/>
    <w:rPr>
      <w:rFonts w:ascii="Arial" w:hAnsi="Arial" w:cs="Arial"/>
      <w:sz w:val="24"/>
      <w:szCs w:val="24"/>
    </w:rPr>
  </w:style>
  <w:style w:type="paragraph" w:customStyle="1" w:styleId="Ttulo10">
    <w:name w:val="Título1"/>
    <w:basedOn w:val="Normal"/>
    <w:qFormat/>
    <w:rsid w:val="0077141A"/>
    <w:pPr>
      <w:jc w:val="center"/>
    </w:pPr>
    <w:rPr>
      <w:rFonts w:ascii="Arial" w:eastAsia="SimSun" w:hAnsi="Arial"/>
      <w:b/>
      <w:sz w:val="32"/>
      <w:lang w:eastAsia="zh-CN"/>
    </w:rPr>
  </w:style>
  <w:style w:type="paragraph" w:styleId="Sangradetextonormal">
    <w:name w:val="Body Text Indent"/>
    <w:basedOn w:val="Normal"/>
    <w:link w:val="SangradetextonormalCar"/>
    <w:rsid w:val="0077141A"/>
    <w:pPr>
      <w:spacing w:line="360" w:lineRule="auto"/>
      <w:ind w:left="180"/>
    </w:pPr>
    <w:rPr>
      <w:rFonts w:ascii="Arial" w:hAnsi="Arial" w:cs="Arial"/>
    </w:rPr>
  </w:style>
  <w:style w:type="character" w:customStyle="1" w:styleId="SangradetextonormalCar">
    <w:name w:val="Sangría de texto normal Car"/>
    <w:basedOn w:val="Fuentedeprrafopredeter"/>
    <w:link w:val="Sangradetextonormal"/>
    <w:rsid w:val="0077141A"/>
    <w:rPr>
      <w:rFonts w:ascii="Arial" w:hAnsi="Arial" w:cs="Arial"/>
      <w:sz w:val="24"/>
      <w:szCs w:val="24"/>
    </w:rPr>
  </w:style>
  <w:style w:type="paragraph" w:customStyle="1" w:styleId="Pa9">
    <w:name w:val="Pa9"/>
    <w:basedOn w:val="Default"/>
    <w:next w:val="Default"/>
    <w:uiPriority w:val="99"/>
    <w:rsid w:val="0077141A"/>
    <w:pPr>
      <w:spacing w:line="221" w:lineRule="atLeast"/>
    </w:pPr>
    <w:rPr>
      <w:rFonts w:cs="Times New Roman"/>
      <w:color w:val="auto"/>
    </w:rPr>
  </w:style>
  <w:style w:type="paragraph" w:customStyle="1" w:styleId="xm2269643471140997833m-2182481270122976785m4096483253375701448m8772190454250826404msobodytextindent2">
    <w:name w:val="x_m_2269643471140997833m_-2182481270122976785m_4096483253375701448m_8772190454250826404msobodytextindent2"/>
    <w:basedOn w:val="Normal"/>
    <w:rsid w:val="0077141A"/>
    <w:pPr>
      <w:spacing w:before="100" w:beforeAutospacing="1" w:after="100" w:afterAutospacing="1"/>
    </w:pPr>
    <w:rPr>
      <w:lang w:val="es-PE" w:eastAsia="es-PE"/>
    </w:rPr>
  </w:style>
  <w:style w:type="paragraph" w:customStyle="1" w:styleId="elsevierstylepara">
    <w:name w:val="elsevierstylepara"/>
    <w:basedOn w:val="Normal"/>
    <w:rsid w:val="0077141A"/>
    <w:pPr>
      <w:spacing w:before="100" w:beforeAutospacing="1" w:after="100" w:afterAutospacing="1"/>
    </w:pPr>
    <w:rPr>
      <w:lang w:val="es-PE" w:eastAsia="es-PE"/>
    </w:rPr>
  </w:style>
  <w:style w:type="paragraph" w:styleId="Subttulo">
    <w:name w:val="Subtitle"/>
    <w:basedOn w:val="Normal"/>
    <w:link w:val="SubttuloCar"/>
    <w:qFormat/>
    <w:rsid w:val="0077141A"/>
    <w:pPr>
      <w:spacing w:line="360" w:lineRule="auto"/>
      <w:jc w:val="both"/>
    </w:pPr>
    <w:rPr>
      <w:rFonts w:ascii="Arial" w:hAnsi="Arial"/>
      <w:b/>
      <w:bCs/>
    </w:rPr>
  </w:style>
  <w:style w:type="character" w:customStyle="1" w:styleId="SubttuloCar">
    <w:name w:val="Subtítulo Car"/>
    <w:basedOn w:val="Fuentedeprrafopredeter"/>
    <w:link w:val="Subttulo"/>
    <w:rsid w:val="0077141A"/>
    <w:rPr>
      <w:rFonts w:ascii="Arial" w:hAnsi="Arial"/>
      <w:b/>
      <w:bCs/>
      <w:sz w:val="24"/>
      <w:szCs w:val="24"/>
    </w:rPr>
  </w:style>
  <w:style w:type="paragraph" w:styleId="Textocomentario">
    <w:name w:val="annotation text"/>
    <w:basedOn w:val="Normal"/>
    <w:link w:val="TextocomentarioCar"/>
    <w:rsid w:val="0077141A"/>
    <w:rPr>
      <w:sz w:val="20"/>
      <w:szCs w:val="20"/>
    </w:rPr>
  </w:style>
  <w:style w:type="character" w:customStyle="1" w:styleId="TextocomentarioCar1">
    <w:name w:val="Texto comentario Car1"/>
    <w:basedOn w:val="Fuentedeprrafopredeter"/>
    <w:semiHidden/>
    <w:rsid w:val="0077141A"/>
  </w:style>
  <w:style w:type="paragraph" w:styleId="HTMLconformatoprevio">
    <w:name w:val="HTML Preformatted"/>
    <w:basedOn w:val="Normal"/>
    <w:link w:val="HTMLconformatoprevioCar"/>
    <w:uiPriority w:val="99"/>
    <w:unhideWhenUsed/>
    <w:rsid w:val="00771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1">
    <w:name w:val="HTML con formato previo Car1"/>
    <w:basedOn w:val="Fuentedeprrafopredeter"/>
    <w:semiHidden/>
    <w:rsid w:val="0077141A"/>
    <w:rPr>
      <w:rFonts w:ascii="Consolas" w:hAnsi="Consolas" w:cs="Consolas"/>
    </w:rPr>
  </w:style>
  <w:style w:type="paragraph" w:styleId="z-Principiodelformulario">
    <w:name w:val="HTML Top of Form"/>
    <w:basedOn w:val="Normal"/>
    <w:next w:val="Normal"/>
    <w:link w:val="z-PrincipiodelformularioCar"/>
    <w:rsid w:val="0077141A"/>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77141A"/>
    <w:rPr>
      <w:rFonts w:ascii="Arial" w:hAnsi="Arial" w:cs="Arial"/>
      <w:vanish/>
      <w:sz w:val="16"/>
      <w:szCs w:val="16"/>
    </w:rPr>
  </w:style>
  <w:style w:type="paragraph" w:customStyle="1" w:styleId="Default">
    <w:name w:val="Default"/>
    <w:rsid w:val="0077141A"/>
    <w:pPr>
      <w:autoSpaceDE w:val="0"/>
      <w:autoSpaceDN w:val="0"/>
      <w:adjustRightInd w:val="0"/>
    </w:pPr>
    <w:rPr>
      <w:rFonts w:ascii="Gill Sans MT" w:hAnsi="Gill Sans MT" w:cs="Gill Sans MT"/>
      <w:color w:val="000000"/>
      <w:sz w:val="24"/>
      <w:szCs w:val="24"/>
      <w:lang w:val="es-PE" w:eastAsia="es-PE"/>
    </w:rPr>
  </w:style>
  <w:style w:type="table" w:styleId="Tablaconcuadrcula">
    <w:name w:val="Table Grid"/>
    <w:basedOn w:val="Tablanormal"/>
    <w:uiPriority w:val="59"/>
    <w:rsid w:val="0077141A"/>
    <w:rPr>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rsid w:val="0077141A"/>
    <w:rPr>
      <w:b/>
      <w:bCs/>
    </w:rPr>
  </w:style>
  <w:style w:type="character" w:customStyle="1" w:styleId="AsuntodelcomentarioCar">
    <w:name w:val="Asunto del comentario Car"/>
    <w:basedOn w:val="TextocomentarioCar1"/>
    <w:link w:val="Asuntodelcomentario"/>
    <w:rsid w:val="0077141A"/>
    <w:rPr>
      <w:b/>
      <w:bCs/>
    </w:rPr>
  </w:style>
  <w:style w:type="paragraph" w:styleId="Sinespaciado">
    <w:name w:val="No Spacing"/>
    <w:uiPriority w:val="1"/>
    <w:qFormat/>
    <w:rsid w:val="0077141A"/>
    <w:rPr>
      <w:rFonts w:ascii="Calibri" w:eastAsia="Calibri" w:hAnsi="Calibri"/>
      <w:sz w:val="22"/>
      <w:szCs w:val="22"/>
      <w:lang w:val="es-PE" w:eastAsia="en-US"/>
    </w:rPr>
  </w:style>
  <w:style w:type="paragraph" w:styleId="Revisin">
    <w:name w:val="Revision"/>
    <w:hidden/>
    <w:uiPriority w:val="99"/>
    <w:unhideWhenUsed/>
    <w:rsid w:val="0077141A"/>
    <w:rPr>
      <w:sz w:val="24"/>
      <w:szCs w:val="24"/>
    </w:rPr>
  </w:style>
  <w:style w:type="character" w:customStyle="1" w:styleId="highwire-citation-author">
    <w:name w:val="highwire-citation-author"/>
    <w:basedOn w:val="Fuentedeprrafopredeter"/>
    <w:rsid w:val="0077141A"/>
  </w:style>
  <w:style w:type="character" w:customStyle="1" w:styleId="citation">
    <w:name w:val="citation"/>
    <w:basedOn w:val="Fuentedeprrafopredeter"/>
    <w:rsid w:val="0077141A"/>
  </w:style>
  <w:style w:type="character" w:customStyle="1" w:styleId="ref-journal">
    <w:name w:val="ref-journal"/>
    <w:basedOn w:val="Fuentedeprrafopredeter"/>
    <w:rsid w:val="0077141A"/>
  </w:style>
  <w:style w:type="character" w:customStyle="1" w:styleId="ref-vol">
    <w:name w:val="ref-vol"/>
    <w:basedOn w:val="Fuentedeprrafopredeter"/>
    <w:rsid w:val="0077141A"/>
  </w:style>
  <w:style w:type="character" w:customStyle="1" w:styleId="nowrap">
    <w:name w:val="nowrap"/>
    <w:basedOn w:val="Fuentedeprrafopredeter"/>
    <w:rsid w:val="0077141A"/>
  </w:style>
  <w:style w:type="character" w:styleId="nfasis">
    <w:name w:val="Emphasis"/>
    <w:basedOn w:val="Fuentedeprrafopredeter"/>
    <w:uiPriority w:val="20"/>
    <w:qFormat/>
    <w:rsid w:val="0077141A"/>
    <w:rPr>
      <w:i/>
      <w:iCs/>
    </w:rPr>
  </w:style>
  <w:style w:type="paragraph" w:customStyle="1" w:styleId="Pa11">
    <w:name w:val="Pa11"/>
    <w:basedOn w:val="Default"/>
    <w:next w:val="Default"/>
    <w:uiPriority w:val="99"/>
    <w:rsid w:val="0077141A"/>
    <w:pPr>
      <w:spacing w:line="161" w:lineRule="atLeast"/>
    </w:pPr>
    <w:rPr>
      <w:rFonts w:ascii="Times New Roman" w:hAnsi="Times New Roman" w:cs="Times New Roman"/>
      <w:color w:val="auto"/>
    </w:rPr>
  </w:style>
  <w:style w:type="paragraph" w:customStyle="1" w:styleId="Pa26">
    <w:name w:val="Pa26"/>
    <w:basedOn w:val="Default"/>
    <w:next w:val="Default"/>
    <w:uiPriority w:val="99"/>
    <w:rsid w:val="0077141A"/>
    <w:pPr>
      <w:spacing w:line="161" w:lineRule="atLeast"/>
    </w:pPr>
    <w:rPr>
      <w:rFonts w:ascii="Times New Roman" w:hAnsi="Times New Roman" w:cs="Times New Roman"/>
      <w:color w:val="auto"/>
    </w:rPr>
  </w:style>
  <w:style w:type="character" w:customStyle="1" w:styleId="label">
    <w:name w:val="label"/>
    <w:basedOn w:val="Fuentedeprrafopredeter"/>
    <w:rsid w:val="0077141A"/>
  </w:style>
  <w:style w:type="character" w:customStyle="1" w:styleId="value">
    <w:name w:val="value"/>
    <w:basedOn w:val="Fuentedeprrafopredeter"/>
    <w:rsid w:val="0077141A"/>
  </w:style>
  <w:style w:type="character" w:customStyle="1" w:styleId="A2">
    <w:name w:val="A2"/>
    <w:uiPriority w:val="99"/>
    <w:rsid w:val="0077141A"/>
    <w:rPr>
      <w:rFonts w:cs="Museo Sans 500"/>
      <w:color w:val="000000"/>
      <w:sz w:val="16"/>
      <w:szCs w:val="16"/>
    </w:rPr>
  </w:style>
  <w:style w:type="character" w:customStyle="1" w:styleId="A6">
    <w:name w:val="A6"/>
    <w:uiPriority w:val="99"/>
    <w:rsid w:val="0077141A"/>
    <w:rPr>
      <w:rFonts w:cs="Museo Sans 500"/>
      <w:color w:val="000000"/>
      <w:sz w:val="9"/>
      <w:szCs w:val="9"/>
    </w:rPr>
  </w:style>
  <w:style w:type="character" w:customStyle="1" w:styleId="A9">
    <w:name w:val="A9"/>
    <w:uiPriority w:val="99"/>
    <w:rsid w:val="0077141A"/>
    <w:rPr>
      <w:rFonts w:cs="Museo Sans 500"/>
      <w:color w:val="000000"/>
      <w:sz w:val="15"/>
      <w:szCs w:val="15"/>
    </w:rPr>
  </w:style>
  <w:style w:type="character" w:customStyle="1" w:styleId="PrrafodelistaCar">
    <w:name w:val="Párrafo de lista Car"/>
    <w:link w:val="Prrafodelista"/>
    <w:uiPriority w:val="34"/>
    <w:locked/>
    <w:rsid w:val="0077141A"/>
    <w:rPr>
      <w:sz w:val="24"/>
      <w:szCs w:val="24"/>
    </w:rPr>
  </w:style>
  <w:style w:type="character" w:customStyle="1" w:styleId="A12">
    <w:name w:val="A12"/>
    <w:uiPriority w:val="99"/>
    <w:rsid w:val="0077141A"/>
    <w:rPr>
      <w:rFonts w:cs="Digna"/>
      <w:color w:val="000000"/>
      <w:sz w:val="18"/>
      <w:szCs w:val="18"/>
    </w:rPr>
  </w:style>
  <w:style w:type="character" w:customStyle="1" w:styleId="A13">
    <w:name w:val="A13"/>
    <w:uiPriority w:val="99"/>
    <w:rsid w:val="0077141A"/>
    <w:rPr>
      <w:rFonts w:cs="Digna"/>
      <w:color w:val="000000"/>
      <w:sz w:val="10"/>
      <w:szCs w:val="10"/>
    </w:rPr>
  </w:style>
  <w:style w:type="character" w:customStyle="1" w:styleId="Mencinsinresolver1">
    <w:name w:val="Mención sin resolver1"/>
    <w:basedOn w:val="Fuentedeprrafopredeter"/>
    <w:uiPriority w:val="99"/>
    <w:semiHidden/>
    <w:unhideWhenUsed/>
    <w:rsid w:val="0077141A"/>
    <w:rPr>
      <w:color w:val="605E5C"/>
      <w:shd w:val="clear" w:color="auto" w:fill="E1DFDD"/>
    </w:rPr>
  </w:style>
  <w:style w:type="paragraph" w:customStyle="1" w:styleId="Pa1">
    <w:name w:val="Pa1"/>
    <w:basedOn w:val="Default"/>
    <w:next w:val="Default"/>
    <w:uiPriority w:val="99"/>
    <w:rsid w:val="0077141A"/>
    <w:pPr>
      <w:spacing w:line="175" w:lineRule="atLeast"/>
    </w:pPr>
    <w:rPr>
      <w:rFonts w:ascii="Museo Sans 700" w:hAnsi="Museo Sans 700" w:cs="Times New Roman"/>
      <w:color w:val="auto"/>
    </w:rPr>
  </w:style>
  <w:style w:type="character" w:customStyle="1" w:styleId="cit">
    <w:name w:val="cit"/>
    <w:basedOn w:val="Fuentedeprrafopredeter"/>
    <w:rsid w:val="0077141A"/>
  </w:style>
  <w:style w:type="character" w:customStyle="1" w:styleId="fm-vol-iss-date">
    <w:name w:val="fm-vol-iss-date"/>
    <w:basedOn w:val="Fuentedeprrafopredeter"/>
    <w:rsid w:val="0077141A"/>
  </w:style>
  <w:style w:type="character" w:customStyle="1" w:styleId="doi">
    <w:name w:val="doi"/>
    <w:basedOn w:val="Fuentedeprrafopredeter"/>
    <w:rsid w:val="0077141A"/>
  </w:style>
  <w:style w:type="character" w:customStyle="1" w:styleId="sr-only">
    <w:name w:val="sr-only"/>
    <w:basedOn w:val="Fuentedeprrafopredeter"/>
    <w:rsid w:val="0077141A"/>
  </w:style>
  <w:style w:type="character" w:customStyle="1" w:styleId="text">
    <w:name w:val="text"/>
    <w:basedOn w:val="Fuentedeprrafopredeter"/>
    <w:rsid w:val="0077141A"/>
  </w:style>
  <w:style w:type="character" w:customStyle="1" w:styleId="author-ref">
    <w:name w:val="author-ref"/>
    <w:basedOn w:val="Fuentedeprrafopredeter"/>
    <w:rsid w:val="0077141A"/>
  </w:style>
  <w:style w:type="character" w:customStyle="1" w:styleId="title-text">
    <w:name w:val="title-text"/>
    <w:basedOn w:val="Fuentedeprrafopredeter"/>
    <w:rsid w:val="0077141A"/>
  </w:style>
  <w:style w:type="table" w:customStyle="1" w:styleId="Tablanormal21">
    <w:name w:val="Tabla normal 21"/>
    <w:basedOn w:val="Tablanormal"/>
    <w:uiPriority w:val="42"/>
    <w:rsid w:val="0077141A"/>
    <w:rPr>
      <w:rFonts w:asciiTheme="minorHAnsi" w:eastAsiaTheme="minorHAnsi" w:hAnsiTheme="minorHAnsi" w:cstheme="minorBidi"/>
      <w:sz w:val="22"/>
      <w:szCs w:val="22"/>
      <w:lang w:val="es-P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rzxr">
    <w:name w:val="lrzxr"/>
    <w:rsid w:val="0077141A"/>
  </w:style>
  <w:style w:type="character" w:customStyle="1" w:styleId="A11">
    <w:name w:val="A11"/>
    <w:uiPriority w:val="99"/>
    <w:rsid w:val="0077141A"/>
    <w:rPr>
      <w:rFonts w:cs="Verdana"/>
      <w:color w:val="000000"/>
      <w:sz w:val="9"/>
      <w:szCs w:val="9"/>
    </w:rPr>
  </w:style>
  <w:style w:type="paragraph" w:customStyle="1" w:styleId="Pa12">
    <w:name w:val="Pa12"/>
    <w:basedOn w:val="Default"/>
    <w:next w:val="Default"/>
    <w:uiPriority w:val="99"/>
    <w:rsid w:val="0077141A"/>
    <w:pPr>
      <w:spacing w:line="161" w:lineRule="atLeast"/>
    </w:pPr>
    <w:rPr>
      <w:rFonts w:ascii="Arial" w:hAnsi="Arial" w:cs="Arial"/>
      <w:color w:val="auto"/>
    </w:rPr>
  </w:style>
  <w:style w:type="character" w:customStyle="1" w:styleId="authors-list-item">
    <w:name w:val="authors-list-item"/>
    <w:basedOn w:val="Fuentedeprrafopredeter"/>
    <w:rsid w:val="0077141A"/>
  </w:style>
  <w:style w:type="character" w:customStyle="1" w:styleId="author-sup-separator">
    <w:name w:val="author-sup-separator"/>
    <w:basedOn w:val="Fuentedeprrafopredeter"/>
    <w:rsid w:val="0077141A"/>
  </w:style>
  <w:style w:type="character" w:customStyle="1" w:styleId="email">
    <w:name w:val="email"/>
    <w:basedOn w:val="Fuentedeprrafopredeter"/>
    <w:rsid w:val="0077141A"/>
  </w:style>
  <w:style w:type="paragraph" w:customStyle="1" w:styleId="p">
    <w:name w:val="p"/>
    <w:basedOn w:val="Normal"/>
    <w:rsid w:val="0077141A"/>
    <w:pPr>
      <w:spacing w:before="100" w:beforeAutospacing="1" w:after="100" w:afterAutospacing="1"/>
    </w:pPr>
    <w:rPr>
      <w:lang w:val="en-US" w:eastAsia="en-US"/>
    </w:rPr>
  </w:style>
  <w:style w:type="character" w:customStyle="1" w:styleId="figpopup-sensitive-area">
    <w:name w:val="figpopup-sensitive-area"/>
    <w:basedOn w:val="Fuentedeprrafopredeter"/>
    <w:rsid w:val="0077141A"/>
  </w:style>
  <w:style w:type="paragraph" w:customStyle="1" w:styleId="style3">
    <w:name w:val="style3"/>
    <w:basedOn w:val="Normal"/>
    <w:rsid w:val="0077141A"/>
    <w:pPr>
      <w:spacing w:before="100" w:beforeAutospacing="1" w:after="100" w:afterAutospacing="1"/>
    </w:pPr>
    <w:rPr>
      <w:lang w:val="en-US" w:eastAsia="en-US"/>
    </w:rPr>
  </w:style>
  <w:style w:type="character" w:customStyle="1" w:styleId="identifier">
    <w:name w:val="identifier"/>
    <w:basedOn w:val="Fuentedeprrafopredeter"/>
    <w:rsid w:val="0077141A"/>
  </w:style>
  <w:style w:type="character" w:customStyle="1" w:styleId="article-headerdoilabel">
    <w:name w:val="article-header__doi__label"/>
    <w:basedOn w:val="Fuentedeprrafopredeter"/>
    <w:rsid w:val="0077141A"/>
  </w:style>
  <w:style w:type="character" w:customStyle="1" w:styleId="id-label">
    <w:name w:val="id-label"/>
    <w:basedOn w:val="Fuentedeprrafopredeter"/>
    <w:rsid w:val="0077141A"/>
  </w:style>
  <w:style w:type="character" w:customStyle="1" w:styleId="fm-citation-ids-label">
    <w:name w:val="fm-citation-ids-label"/>
    <w:basedOn w:val="Fuentedeprrafopredeter"/>
    <w:rsid w:val="0077141A"/>
  </w:style>
  <w:style w:type="character" w:customStyle="1" w:styleId="orcid-id-https">
    <w:name w:val="orcid-id-https"/>
    <w:basedOn w:val="Fuentedeprrafopredeter"/>
    <w:rsid w:val="0077141A"/>
  </w:style>
  <w:style w:type="character" w:customStyle="1" w:styleId="fundeu-field">
    <w:name w:val="fundeu-field"/>
    <w:basedOn w:val="Fuentedeprrafopredeter"/>
    <w:rsid w:val="0077141A"/>
  </w:style>
  <w:style w:type="character" w:customStyle="1" w:styleId="Mencinsinresolver2">
    <w:name w:val="Mención sin resolver2"/>
    <w:basedOn w:val="Fuentedeprrafopredeter"/>
    <w:uiPriority w:val="99"/>
    <w:semiHidden/>
    <w:unhideWhenUsed/>
    <w:rsid w:val="0077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814-7150" TargetMode="External"/><Relationship Id="rId13" Type="http://schemas.openxmlformats.org/officeDocument/2006/relationships/hyperlink" Target="https://orcid.org/0000-0003-0805-5535" TargetMode="External"/><Relationship Id="rId18" Type="http://schemas.openxmlformats.org/officeDocument/2006/relationships/hyperlink" Target="http://doi.org/10.2147/PGPM.S231471" TargetMode="External"/><Relationship Id="rId26" Type="http://schemas.openxmlformats.org/officeDocument/2006/relationships/hyperlink" Target="https://pubmed.ncbi.nlm.nih.gov/32768971/" TargetMode="External"/><Relationship Id="rId3" Type="http://schemas.openxmlformats.org/officeDocument/2006/relationships/settings" Target="settings.xml"/><Relationship Id="rId21" Type="http://schemas.openxmlformats.org/officeDocument/2006/relationships/hyperlink" Target="https://www.nps.org.au/assets/bfcb06798716fdf9-d3971d4b774f-Prescribing-azithromycin.pdf" TargetMode="External"/><Relationship Id="rId34" Type="http://schemas.openxmlformats.org/officeDocument/2006/relationships/footer" Target="footer2.xml"/><Relationship Id="rId7" Type="http://schemas.openxmlformats.org/officeDocument/2006/relationships/hyperlink" Target="https://orcid.org/0000-0002-9271-2085" TargetMode="External"/><Relationship Id="rId12" Type="http://schemas.openxmlformats.org/officeDocument/2006/relationships/hyperlink" Target="https://orcid.org/0000-0001-9880-7344" TargetMode="External"/><Relationship Id="rId17" Type="http://schemas.openxmlformats.org/officeDocument/2006/relationships/hyperlink" Target="mailto:eaa.alvarado@hotmail.com" TargetMode="External"/><Relationship Id="rId25" Type="http://schemas.openxmlformats.org/officeDocument/2006/relationships/hyperlink" Target="https://pubmed.ncbi.nlm.nih.gov/2735030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rcid.org/0000-0001-8694-8924" TargetMode="External"/><Relationship Id="rId20" Type="http://schemas.openxmlformats.org/officeDocument/2006/relationships/hyperlink" Target="https://docs.google.com/viewer?a=v&amp;pid=sites&amp;srcid=aW5mby1mYXJtYWNpYS5jb218aW5mby1mYXJtYWNpYXxneDo1ZTQwMDQ1MDFhYWRjMTZl" TargetMode="External"/><Relationship Id="rId29" Type="http://schemas.openxmlformats.org/officeDocument/2006/relationships/hyperlink" Target="https://doi.org/10.1016/j.clinthera.2008.09.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053-3057" TargetMode="External"/><Relationship Id="rId24" Type="http://schemas.openxmlformats.org/officeDocument/2006/relationships/hyperlink" Target="https://pubmed.ncbi.nlm.nih.gov/20803035/"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rcid.org/0000-0001-6818-7797" TargetMode="External"/><Relationship Id="rId23" Type="http://schemas.openxmlformats.org/officeDocument/2006/relationships/hyperlink" Target="https://doi.org/10.1038/s41598-020-70143-6" TargetMode="External"/><Relationship Id="rId28" Type="http://schemas.openxmlformats.org/officeDocument/2006/relationships/hyperlink" Target="http://dx.doi.org/10.15446/rsap.v17n3.44142" TargetMode="External"/><Relationship Id="rId36" Type="http://schemas.openxmlformats.org/officeDocument/2006/relationships/theme" Target="theme/theme1.xml"/><Relationship Id="rId10" Type="http://schemas.openxmlformats.org/officeDocument/2006/relationships/hyperlink" Target="https://orcid.org/0000-0003-3080-9823" TargetMode="External"/><Relationship Id="rId19" Type="http://schemas.openxmlformats.org/officeDocument/2006/relationships/hyperlink" Target="http://www.scielo.org.co/pdf/cesm/v32n3/0120-8705-cesm-32-03-235.pdf" TargetMode="External"/><Relationship Id="rId31" Type="http://schemas.openxmlformats.org/officeDocument/2006/relationships/hyperlink" Target="https://www.ncbi.nlm.nih.gov/pmc/articles/PMC7232075/pdf/main.pdf" TargetMode="External"/><Relationship Id="rId4" Type="http://schemas.openxmlformats.org/officeDocument/2006/relationships/webSettings" Target="webSettings.xml"/><Relationship Id="rId9" Type="http://schemas.openxmlformats.org/officeDocument/2006/relationships/hyperlink" Target="https://orcid.org/0000-0002-3430-143X" TargetMode="External"/><Relationship Id="rId14" Type="http://schemas.openxmlformats.org/officeDocument/2006/relationships/hyperlink" Target="https://orcid.org/0000-0002-6943-7329" TargetMode="External"/><Relationship Id="rId22" Type="http://schemas.openxmlformats.org/officeDocument/2006/relationships/hyperlink" Target="https://www.medigraphic.com/pdfs/revcubfar/rcf-2014/rcf143q.pdf" TargetMode="External"/><Relationship Id="rId27" Type="http://schemas.openxmlformats.org/officeDocument/2006/relationships/hyperlink" Target="http://dx.doi.org/10.7399/FH.2013.37.6.1077" TargetMode="External"/><Relationship Id="rId30" Type="http://schemas.openxmlformats.org/officeDocument/2006/relationships/hyperlink" Target="https://doi.org/10.1007/s12325-018-0793-y"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10</TotalTime>
  <Pages>14</Pages>
  <Words>4631</Words>
  <Characters>25473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30044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4</cp:revision>
  <cp:lastPrinted>2010-09-13T21:29:00Z</cp:lastPrinted>
  <dcterms:created xsi:type="dcterms:W3CDTF">2021-06-15T21:36:00Z</dcterms:created>
  <dcterms:modified xsi:type="dcterms:W3CDTF">2021-06-30T17:10:00Z</dcterms:modified>
</cp:coreProperties>
</file>