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059F" w14:textId="77777777" w:rsidR="0018019A" w:rsidRPr="0018019A" w:rsidRDefault="0018019A" w:rsidP="0018019A">
      <w:pPr>
        <w:pStyle w:val="Ttulo4"/>
        <w:ind w:left="0"/>
        <w:rPr>
          <w:b w:val="0"/>
          <w:sz w:val="20"/>
          <w:szCs w:val="20"/>
        </w:rPr>
      </w:pPr>
      <w:r w:rsidRPr="0018019A">
        <w:rPr>
          <w:b w:val="0"/>
          <w:sz w:val="20"/>
          <w:szCs w:val="20"/>
        </w:rPr>
        <w:t>Artículo de investigación</w:t>
      </w:r>
    </w:p>
    <w:p w14:paraId="182F6E32" w14:textId="77777777" w:rsidR="0018019A" w:rsidRPr="0018019A" w:rsidRDefault="0018019A" w:rsidP="0018019A">
      <w:pPr>
        <w:spacing w:after="0" w:line="360" w:lineRule="auto"/>
        <w:jc w:val="right"/>
        <w:rPr>
          <w:rFonts w:ascii="Times New Roman" w:eastAsia="Times New Roman" w:hAnsi="Times New Roman" w:cs="Times New Roman"/>
          <w:b/>
          <w:bCs/>
          <w:color w:val="000000"/>
          <w:sz w:val="24"/>
          <w:szCs w:val="24"/>
          <w:lang w:eastAsia="es-ES_tradnl"/>
        </w:rPr>
      </w:pPr>
    </w:p>
    <w:p w14:paraId="6EA327F0" w14:textId="6B343A06" w:rsidR="0018019A" w:rsidRPr="0018019A" w:rsidRDefault="0044745C" w:rsidP="0018019A">
      <w:pPr>
        <w:spacing w:after="0" w:line="360" w:lineRule="auto"/>
        <w:jc w:val="center"/>
        <w:rPr>
          <w:rFonts w:ascii="Times New Roman" w:eastAsia="Times New Roman" w:hAnsi="Times New Roman" w:cs="Times New Roman"/>
          <w:b/>
          <w:bCs/>
          <w:color w:val="000000"/>
          <w:sz w:val="28"/>
          <w:szCs w:val="28"/>
          <w:lang w:val="es-ES" w:eastAsia="es-ES_tradnl"/>
        </w:rPr>
      </w:pPr>
      <w:r>
        <w:rPr>
          <w:rFonts w:ascii="Times New Roman" w:eastAsia="Times New Roman" w:hAnsi="Times New Roman" w:cs="Times New Roman"/>
          <w:b/>
          <w:bCs/>
          <w:color w:val="000000"/>
          <w:sz w:val="28"/>
          <w:szCs w:val="28"/>
          <w:lang w:eastAsia="es-ES_tradnl"/>
        </w:rPr>
        <w:t>M</w:t>
      </w:r>
      <w:r w:rsidR="0018019A" w:rsidRPr="0018019A">
        <w:rPr>
          <w:rFonts w:ascii="Times New Roman" w:eastAsia="Times New Roman" w:hAnsi="Times New Roman" w:cs="Times New Roman"/>
          <w:b/>
          <w:bCs/>
          <w:color w:val="000000"/>
          <w:sz w:val="28"/>
          <w:szCs w:val="28"/>
          <w:lang w:eastAsia="es-ES_tradnl"/>
        </w:rPr>
        <w:t xml:space="preserve">anometría de alta resolución en la </w:t>
      </w:r>
      <w:r w:rsidR="0018019A" w:rsidRPr="0018019A">
        <w:rPr>
          <w:rFonts w:ascii="Times New Roman" w:eastAsia="Times New Roman" w:hAnsi="Times New Roman" w:cs="Times New Roman"/>
          <w:b/>
          <w:bCs/>
          <w:color w:val="000000"/>
          <w:sz w:val="28"/>
          <w:szCs w:val="28"/>
          <w:lang w:val="es-ES" w:eastAsia="es-ES_tradnl"/>
        </w:rPr>
        <w:t>acalasia de esófago</w:t>
      </w:r>
    </w:p>
    <w:p w14:paraId="04400FBD" w14:textId="381C9261" w:rsidR="0018019A" w:rsidRPr="0018019A" w:rsidRDefault="0044745C" w:rsidP="0018019A">
      <w:pPr>
        <w:spacing w:after="0" w:line="360" w:lineRule="auto"/>
        <w:jc w:val="center"/>
        <w:rPr>
          <w:rFonts w:ascii="Times New Roman" w:eastAsia="Times New Roman" w:hAnsi="Times New Roman" w:cs="Times New Roman"/>
          <w:bCs/>
          <w:color w:val="000000"/>
          <w:sz w:val="28"/>
          <w:szCs w:val="28"/>
          <w:lang w:val="en-US" w:eastAsia="es-ES_tradnl"/>
        </w:rPr>
      </w:pPr>
      <w:r>
        <w:rPr>
          <w:rFonts w:ascii="Times New Roman" w:eastAsia="Times New Roman" w:hAnsi="Times New Roman" w:cs="Times New Roman"/>
          <w:bCs/>
          <w:color w:val="000000"/>
          <w:sz w:val="28"/>
          <w:szCs w:val="28"/>
          <w:lang w:val="en-US" w:eastAsia="es-ES_tradnl"/>
        </w:rPr>
        <w:t>H</w:t>
      </w:r>
      <w:r w:rsidR="0018019A" w:rsidRPr="0018019A">
        <w:rPr>
          <w:rFonts w:ascii="Times New Roman" w:eastAsia="Times New Roman" w:hAnsi="Times New Roman" w:cs="Times New Roman"/>
          <w:bCs/>
          <w:color w:val="000000"/>
          <w:sz w:val="28"/>
          <w:szCs w:val="28"/>
          <w:lang w:val="en-US" w:eastAsia="es-ES_tradnl"/>
        </w:rPr>
        <w:t>igh-resolution manometry in achalasia of esophagus</w:t>
      </w:r>
    </w:p>
    <w:p w14:paraId="28A8685B"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val="en-US" w:eastAsia="es-ES_tradnl"/>
        </w:rPr>
      </w:pPr>
    </w:p>
    <w:p w14:paraId="5FB8225B"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lang w:eastAsia="es-ES_tradnl"/>
        </w:rPr>
        <w:t>Tatiana Amable Díaz</w:t>
      </w:r>
      <w:r w:rsidRPr="0018019A">
        <w:rPr>
          <w:rFonts w:ascii="Times New Roman" w:eastAsia="Times New Roman" w:hAnsi="Times New Roman" w:cs="Times New Roman"/>
          <w:bCs/>
          <w:color w:val="000000"/>
          <w:sz w:val="24"/>
          <w:szCs w:val="24"/>
          <w:vertAlign w:val="superscript"/>
          <w:lang w:eastAsia="es-ES_tradnl"/>
        </w:rPr>
        <w:t>1</w:t>
      </w:r>
      <w:r w:rsidRPr="0018019A">
        <w:rPr>
          <w:rFonts w:ascii="Times New Roman" w:eastAsia="Times New Roman" w:hAnsi="Times New Roman" w:cs="Times New Roman"/>
          <w:bCs/>
          <w:color w:val="000000"/>
          <w:sz w:val="24"/>
          <w:szCs w:val="24"/>
          <w:lang w:eastAsia="es-ES_tradnl"/>
        </w:rPr>
        <w:t xml:space="preserve">* </w:t>
      </w:r>
      <w:hyperlink r:id="rId7" w:history="1">
        <w:r w:rsidRPr="0018019A">
          <w:rPr>
            <w:rStyle w:val="Hipervnculo"/>
            <w:rFonts w:ascii="Times New Roman" w:eastAsia="Times New Roman" w:hAnsi="Times New Roman" w:cs="Times New Roman"/>
            <w:bCs/>
            <w:sz w:val="24"/>
            <w:szCs w:val="24"/>
            <w:lang w:eastAsia="es-ES_tradnl"/>
          </w:rPr>
          <w:t>https://orcid.org/0000-0001-7849-5451</w:t>
        </w:r>
      </w:hyperlink>
    </w:p>
    <w:p w14:paraId="360AD8D9"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proofErr w:type="spellStart"/>
      <w:r w:rsidRPr="0018019A">
        <w:rPr>
          <w:rFonts w:ascii="Times New Roman" w:eastAsia="Times New Roman" w:hAnsi="Times New Roman" w:cs="Times New Roman"/>
          <w:bCs/>
          <w:color w:val="000000"/>
          <w:sz w:val="24"/>
          <w:szCs w:val="24"/>
          <w:lang w:eastAsia="es-ES_tradnl"/>
        </w:rPr>
        <w:t>Vivianne</w:t>
      </w:r>
      <w:proofErr w:type="spellEnd"/>
      <w:r w:rsidRPr="0018019A">
        <w:rPr>
          <w:rFonts w:ascii="Times New Roman" w:eastAsia="Times New Roman" w:hAnsi="Times New Roman" w:cs="Times New Roman"/>
          <w:bCs/>
          <w:color w:val="000000"/>
          <w:sz w:val="24"/>
          <w:szCs w:val="24"/>
          <w:lang w:eastAsia="es-ES_tradnl"/>
        </w:rPr>
        <w:t xml:space="preserve"> M. Anido Escobar</w:t>
      </w:r>
      <w:r w:rsidRPr="0018019A">
        <w:rPr>
          <w:rFonts w:ascii="Times New Roman" w:eastAsia="Times New Roman" w:hAnsi="Times New Roman" w:cs="Times New Roman"/>
          <w:bCs/>
          <w:color w:val="000000"/>
          <w:sz w:val="24"/>
          <w:szCs w:val="24"/>
          <w:vertAlign w:val="superscript"/>
          <w:lang w:eastAsia="es-ES_tradnl"/>
        </w:rPr>
        <w:t xml:space="preserve">2 </w:t>
      </w:r>
      <w:hyperlink r:id="rId8" w:history="1">
        <w:r w:rsidRPr="0018019A">
          <w:rPr>
            <w:rStyle w:val="Hipervnculo"/>
            <w:rFonts w:ascii="Times New Roman" w:eastAsia="Times New Roman" w:hAnsi="Times New Roman" w:cs="Times New Roman"/>
            <w:bCs/>
            <w:sz w:val="24"/>
            <w:szCs w:val="24"/>
            <w:lang w:eastAsia="es-ES_tradnl"/>
          </w:rPr>
          <w:t>https://orcid.org/0000-0003-2059-5366</w:t>
        </w:r>
      </w:hyperlink>
    </w:p>
    <w:p w14:paraId="592DC3DD"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lang w:eastAsia="es-ES_tradnl"/>
        </w:rPr>
        <w:t>Ludmila Martínez Leyva</w:t>
      </w:r>
      <w:r w:rsidRPr="0018019A">
        <w:rPr>
          <w:rFonts w:ascii="Times New Roman" w:eastAsia="Times New Roman" w:hAnsi="Times New Roman" w:cs="Times New Roman"/>
          <w:bCs/>
          <w:color w:val="000000"/>
          <w:sz w:val="24"/>
          <w:szCs w:val="24"/>
          <w:vertAlign w:val="superscript"/>
          <w:lang w:eastAsia="es-ES_tradnl"/>
        </w:rPr>
        <w:t xml:space="preserve">1 </w:t>
      </w:r>
      <w:hyperlink r:id="rId9" w:history="1">
        <w:r w:rsidRPr="0018019A">
          <w:rPr>
            <w:rStyle w:val="Hipervnculo"/>
            <w:rFonts w:ascii="Times New Roman" w:eastAsia="Times New Roman" w:hAnsi="Times New Roman" w:cs="Times New Roman"/>
            <w:bCs/>
            <w:sz w:val="24"/>
            <w:szCs w:val="24"/>
            <w:lang w:eastAsia="es-ES_tradnl"/>
          </w:rPr>
          <w:t>https://orcid.org/0000-0002-9217-5646</w:t>
        </w:r>
      </w:hyperlink>
    </w:p>
    <w:p w14:paraId="4BBFD69E"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val="en-US" w:eastAsia="es-ES_tradnl"/>
        </w:rPr>
      </w:pPr>
      <w:r w:rsidRPr="0018019A">
        <w:rPr>
          <w:rFonts w:ascii="Times New Roman" w:eastAsia="Times New Roman" w:hAnsi="Times New Roman" w:cs="Times New Roman"/>
          <w:bCs/>
          <w:color w:val="000000"/>
          <w:sz w:val="24"/>
          <w:szCs w:val="24"/>
          <w:lang w:val="en-US" w:eastAsia="es-ES_tradnl"/>
        </w:rPr>
        <w:t>Mildred C. ArmenterosTorres</w:t>
      </w:r>
      <w:r w:rsidRPr="0018019A">
        <w:rPr>
          <w:rFonts w:ascii="Times New Roman" w:eastAsia="Times New Roman" w:hAnsi="Times New Roman" w:cs="Times New Roman"/>
          <w:bCs/>
          <w:color w:val="000000"/>
          <w:sz w:val="24"/>
          <w:szCs w:val="24"/>
          <w:vertAlign w:val="superscript"/>
          <w:lang w:val="en-US" w:eastAsia="es-ES_tradnl"/>
        </w:rPr>
        <w:t xml:space="preserve">2 </w:t>
      </w:r>
      <w:hyperlink r:id="rId10" w:history="1">
        <w:r w:rsidRPr="0018019A">
          <w:rPr>
            <w:rStyle w:val="Hipervnculo"/>
            <w:rFonts w:ascii="Times New Roman" w:eastAsia="Times New Roman" w:hAnsi="Times New Roman" w:cs="Times New Roman"/>
            <w:bCs/>
            <w:sz w:val="24"/>
            <w:szCs w:val="24"/>
            <w:lang w:val="en-US" w:eastAsia="es-ES_tradnl"/>
          </w:rPr>
          <w:t>https://orcid.org/0000-0003-2259-712X</w:t>
        </w:r>
      </w:hyperlink>
    </w:p>
    <w:p w14:paraId="1999435E" w14:textId="77777777" w:rsidR="0018019A" w:rsidRPr="0018019A" w:rsidRDefault="0018019A" w:rsidP="0018019A">
      <w:pPr>
        <w:spacing w:after="0" w:line="360" w:lineRule="auto"/>
        <w:rPr>
          <w:rStyle w:val="Hipervnculo"/>
          <w:rFonts w:ascii="Times New Roman" w:eastAsia="Times New Roman" w:hAnsi="Times New Roman" w:cs="Times New Roman"/>
          <w:bCs/>
          <w:sz w:val="24"/>
          <w:szCs w:val="24"/>
          <w:lang w:eastAsia="es-ES_tradnl"/>
        </w:rPr>
      </w:pPr>
      <w:r w:rsidRPr="0018019A">
        <w:rPr>
          <w:rFonts w:ascii="Times New Roman" w:eastAsia="Times New Roman" w:hAnsi="Times New Roman" w:cs="Times New Roman"/>
          <w:bCs/>
          <w:color w:val="000000"/>
          <w:sz w:val="24"/>
          <w:szCs w:val="24"/>
          <w:lang w:eastAsia="es-ES_tradnl"/>
        </w:rPr>
        <w:t>Zunilda Díaz Drake</w:t>
      </w:r>
      <w:r w:rsidRPr="0018019A">
        <w:rPr>
          <w:rFonts w:ascii="Times New Roman" w:eastAsia="Times New Roman" w:hAnsi="Times New Roman" w:cs="Times New Roman"/>
          <w:bCs/>
          <w:color w:val="000000"/>
          <w:sz w:val="24"/>
          <w:szCs w:val="24"/>
          <w:vertAlign w:val="superscript"/>
          <w:lang w:eastAsia="es-ES_tradnl"/>
        </w:rPr>
        <w:t xml:space="preserve">2 </w:t>
      </w:r>
      <w:hyperlink r:id="rId11" w:history="1">
        <w:r w:rsidRPr="0018019A">
          <w:rPr>
            <w:rStyle w:val="Hipervnculo"/>
            <w:rFonts w:ascii="Times New Roman" w:eastAsia="Times New Roman" w:hAnsi="Times New Roman" w:cs="Times New Roman"/>
            <w:bCs/>
            <w:sz w:val="24"/>
            <w:szCs w:val="24"/>
            <w:lang w:eastAsia="es-ES_tradnl"/>
          </w:rPr>
          <w:t>https://orcid.org/0000-0001-9738-0780</w:t>
        </w:r>
      </w:hyperlink>
    </w:p>
    <w:p w14:paraId="27BA2A11" w14:textId="77777777" w:rsidR="0018019A" w:rsidRPr="0018019A" w:rsidRDefault="0018019A" w:rsidP="0018019A">
      <w:pPr>
        <w:spacing w:after="0" w:line="360" w:lineRule="auto"/>
        <w:rPr>
          <w:rFonts w:ascii="Times New Roman" w:hAnsi="Times New Roman" w:cs="Times New Roman"/>
          <w:color w:val="000000"/>
          <w:sz w:val="24"/>
          <w:szCs w:val="24"/>
        </w:rPr>
      </w:pPr>
      <w:r w:rsidRPr="0018019A">
        <w:rPr>
          <w:rFonts w:ascii="Times New Roman" w:hAnsi="Times New Roman" w:cs="Times New Roman"/>
          <w:color w:val="000000"/>
          <w:sz w:val="24"/>
          <w:szCs w:val="24"/>
        </w:rPr>
        <w:t>Raúl Antonio Brizuela Quinanilla</w:t>
      </w:r>
      <w:r w:rsidRPr="0018019A">
        <w:rPr>
          <w:rFonts w:ascii="Times New Roman" w:hAnsi="Times New Roman" w:cs="Times New Roman"/>
          <w:color w:val="000000"/>
          <w:sz w:val="24"/>
          <w:szCs w:val="24"/>
          <w:vertAlign w:val="superscript"/>
        </w:rPr>
        <w:t xml:space="preserve">2 </w:t>
      </w:r>
      <w:hyperlink r:id="rId12" w:history="1">
        <w:r w:rsidRPr="0018019A">
          <w:rPr>
            <w:rStyle w:val="Hipervnculo"/>
            <w:rFonts w:ascii="Times New Roman" w:hAnsi="Times New Roman" w:cs="Times New Roman"/>
            <w:sz w:val="24"/>
            <w:szCs w:val="24"/>
          </w:rPr>
          <w:t>https://orcid.org/0000-0002-1613-7883</w:t>
        </w:r>
      </w:hyperlink>
    </w:p>
    <w:p w14:paraId="2BEC9B81"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lang w:eastAsia="es-ES_tradnl"/>
        </w:rPr>
        <w:t xml:space="preserve">Eduardo Carlos </w:t>
      </w:r>
      <w:proofErr w:type="spellStart"/>
      <w:r w:rsidRPr="0018019A">
        <w:rPr>
          <w:rFonts w:ascii="Times New Roman" w:eastAsia="Times New Roman" w:hAnsi="Times New Roman" w:cs="Times New Roman"/>
          <w:bCs/>
          <w:color w:val="000000"/>
          <w:sz w:val="24"/>
          <w:szCs w:val="24"/>
          <w:lang w:eastAsia="es-ES_tradnl"/>
        </w:rPr>
        <w:t>Veitía</w:t>
      </w:r>
      <w:proofErr w:type="spellEnd"/>
      <w:r w:rsidRPr="0018019A">
        <w:rPr>
          <w:rFonts w:ascii="Times New Roman" w:eastAsia="Times New Roman" w:hAnsi="Times New Roman" w:cs="Times New Roman"/>
          <w:bCs/>
          <w:color w:val="000000"/>
          <w:sz w:val="24"/>
          <w:szCs w:val="24"/>
          <w:lang w:eastAsia="es-ES_tradnl"/>
        </w:rPr>
        <w:t xml:space="preserve"> Wilson</w:t>
      </w:r>
      <w:r w:rsidRPr="0018019A">
        <w:rPr>
          <w:rFonts w:ascii="Times New Roman" w:eastAsia="Times New Roman" w:hAnsi="Times New Roman" w:cs="Times New Roman"/>
          <w:bCs/>
          <w:color w:val="000000"/>
          <w:sz w:val="24"/>
          <w:szCs w:val="24"/>
          <w:vertAlign w:val="superscript"/>
          <w:lang w:eastAsia="es-ES_tradnl"/>
        </w:rPr>
        <w:t xml:space="preserve">1 </w:t>
      </w:r>
      <w:hyperlink r:id="rId13" w:history="1">
        <w:r w:rsidRPr="0018019A">
          <w:rPr>
            <w:rStyle w:val="Hipervnculo"/>
            <w:rFonts w:ascii="Times New Roman" w:eastAsia="Times New Roman" w:hAnsi="Times New Roman" w:cs="Times New Roman"/>
            <w:bCs/>
            <w:sz w:val="24"/>
            <w:szCs w:val="24"/>
            <w:lang w:eastAsia="es-ES_tradnl"/>
          </w:rPr>
          <w:t>https://orcid.org/0000-0002-6178-9178</w:t>
        </w:r>
      </w:hyperlink>
    </w:p>
    <w:p w14:paraId="2F1668B9"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lang w:eastAsia="es-ES_tradnl"/>
        </w:rPr>
        <w:t>Juan Carlos Oliva Rey</w:t>
      </w:r>
      <w:r w:rsidRPr="0018019A">
        <w:rPr>
          <w:rFonts w:ascii="Times New Roman" w:eastAsia="Times New Roman" w:hAnsi="Times New Roman" w:cs="Times New Roman"/>
          <w:bCs/>
          <w:color w:val="000000"/>
          <w:sz w:val="24"/>
          <w:szCs w:val="24"/>
          <w:vertAlign w:val="superscript"/>
          <w:lang w:eastAsia="es-ES_tradnl"/>
        </w:rPr>
        <w:t xml:space="preserve">1 </w:t>
      </w:r>
      <w:hyperlink r:id="rId14" w:history="1">
        <w:r w:rsidRPr="0018019A">
          <w:rPr>
            <w:rStyle w:val="Hipervnculo"/>
            <w:rFonts w:ascii="Times New Roman" w:eastAsia="Times New Roman" w:hAnsi="Times New Roman" w:cs="Times New Roman"/>
            <w:bCs/>
            <w:sz w:val="24"/>
            <w:szCs w:val="24"/>
            <w:lang w:eastAsia="es-ES_tradnl"/>
          </w:rPr>
          <w:t>https://orcid.org/0000-0002-2571-4275</w:t>
        </w:r>
      </w:hyperlink>
    </w:p>
    <w:p w14:paraId="09BC5847"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p>
    <w:p w14:paraId="199351D2"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vertAlign w:val="superscript"/>
          <w:lang w:eastAsia="es-ES_tradnl"/>
        </w:rPr>
        <w:t>1</w:t>
      </w:r>
      <w:r w:rsidRPr="0018019A">
        <w:rPr>
          <w:rFonts w:ascii="Times New Roman" w:eastAsia="Times New Roman" w:hAnsi="Times New Roman" w:cs="Times New Roman"/>
          <w:bCs/>
          <w:color w:val="000000"/>
          <w:sz w:val="24"/>
          <w:szCs w:val="24"/>
          <w:lang w:eastAsia="es-ES_tradnl"/>
        </w:rPr>
        <w:t>Hospital Militar Central "Dr. Carlos J. Finlay". La Habana, Cuba.</w:t>
      </w:r>
    </w:p>
    <w:p w14:paraId="43B69757"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vertAlign w:val="superscript"/>
          <w:lang w:eastAsia="es-ES_tradnl"/>
        </w:rPr>
        <w:t>2</w:t>
      </w:r>
      <w:r w:rsidRPr="0018019A">
        <w:rPr>
          <w:rFonts w:ascii="Times New Roman" w:eastAsia="Times New Roman" w:hAnsi="Times New Roman" w:cs="Times New Roman"/>
          <w:bCs/>
          <w:color w:val="000000"/>
          <w:sz w:val="24"/>
          <w:szCs w:val="24"/>
          <w:lang w:eastAsia="es-ES_tradnl"/>
        </w:rPr>
        <w:t>Centro Nacional de Cirugía Endoscópica. La Habana, Cuba.</w:t>
      </w:r>
    </w:p>
    <w:p w14:paraId="4ED8CB55"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p>
    <w:p w14:paraId="6DFD56D7" w14:textId="77777777" w:rsidR="0018019A" w:rsidRPr="0018019A" w:rsidRDefault="0018019A" w:rsidP="0018019A">
      <w:pPr>
        <w:spacing w:after="0" w:line="360" w:lineRule="auto"/>
        <w:rPr>
          <w:rFonts w:ascii="Times New Roman" w:eastAsia="Times New Roman" w:hAnsi="Times New Roman" w:cs="Times New Roman"/>
          <w:bCs/>
          <w:color w:val="000000"/>
          <w:sz w:val="24"/>
          <w:szCs w:val="24"/>
          <w:lang w:eastAsia="es-ES_tradnl"/>
        </w:rPr>
      </w:pPr>
      <w:r w:rsidRPr="0018019A">
        <w:rPr>
          <w:rFonts w:ascii="Times New Roman" w:eastAsia="Times New Roman" w:hAnsi="Times New Roman" w:cs="Times New Roman"/>
          <w:bCs/>
          <w:color w:val="000000"/>
          <w:sz w:val="24"/>
          <w:szCs w:val="24"/>
          <w:lang w:eastAsia="es-ES_tradnl"/>
        </w:rPr>
        <w:t>*Autor para la correspondencia. Correo electrónico: rolandovc@infomed.sld.cu</w:t>
      </w:r>
    </w:p>
    <w:p w14:paraId="2AF96394" w14:textId="77777777" w:rsidR="0018019A" w:rsidRPr="0018019A" w:rsidRDefault="0018019A" w:rsidP="0018019A">
      <w:pPr>
        <w:spacing w:after="0" w:line="360" w:lineRule="auto"/>
        <w:ind w:left="900"/>
        <w:rPr>
          <w:rFonts w:ascii="Times New Roman" w:eastAsia="Times New Roman" w:hAnsi="Times New Roman" w:cs="Times New Roman"/>
          <w:bCs/>
          <w:sz w:val="24"/>
          <w:szCs w:val="24"/>
          <w:lang w:eastAsia="es-ES_tradnl"/>
        </w:rPr>
      </w:pPr>
    </w:p>
    <w:p w14:paraId="3C6DE6C7" w14:textId="77777777" w:rsidR="0018019A" w:rsidRPr="0018019A" w:rsidRDefault="0018019A" w:rsidP="0018019A">
      <w:pPr>
        <w:spacing w:after="0" w:line="360" w:lineRule="auto"/>
        <w:jc w:val="both"/>
        <w:rPr>
          <w:rFonts w:ascii="Times New Roman" w:eastAsia="MS Mincho" w:hAnsi="Times New Roman" w:cs="Times New Roman"/>
          <w:b/>
          <w:sz w:val="24"/>
          <w:szCs w:val="24"/>
          <w:lang w:eastAsia="es-ES"/>
        </w:rPr>
      </w:pPr>
      <w:r w:rsidRPr="0018019A">
        <w:rPr>
          <w:rFonts w:ascii="Times New Roman" w:eastAsia="MS Mincho" w:hAnsi="Times New Roman" w:cs="Times New Roman"/>
          <w:b/>
          <w:sz w:val="24"/>
          <w:szCs w:val="24"/>
          <w:lang w:eastAsia="es-ES"/>
        </w:rPr>
        <w:t>RESUMEN</w:t>
      </w:r>
    </w:p>
    <w:p w14:paraId="5F3B3B1B"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sz w:val="24"/>
          <w:szCs w:val="24"/>
        </w:rPr>
      </w:pPr>
      <w:r w:rsidRPr="0018019A">
        <w:rPr>
          <w:rFonts w:ascii="Times New Roman" w:eastAsia="DengXian" w:hAnsi="Times New Roman" w:cs="Times New Roman"/>
          <w:b/>
          <w:sz w:val="24"/>
          <w:szCs w:val="24"/>
          <w:lang w:eastAsia="zh-CN"/>
        </w:rPr>
        <w:t>Introducción</w:t>
      </w:r>
      <w:r w:rsidRPr="0018019A">
        <w:rPr>
          <w:rFonts w:ascii="Times New Roman" w:eastAsia="DengXian" w:hAnsi="Times New Roman" w:cs="Times New Roman"/>
          <w:sz w:val="24"/>
          <w:szCs w:val="24"/>
          <w:lang w:eastAsia="zh-CN"/>
        </w:rPr>
        <w:t xml:space="preserve">: </w:t>
      </w:r>
      <w:r w:rsidRPr="0018019A">
        <w:rPr>
          <w:rFonts w:ascii="Times New Roman" w:eastAsia="Times New Roman" w:hAnsi="Times New Roman" w:cs="Times New Roman"/>
          <w:sz w:val="24"/>
          <w:szCs w:val="24"/>
        </w:rPr>
        <w:t>La manometría esofágica de alta resolución es</w:t>
      </w:r>
      <w:r w:rsidRPr="0018019A">
        <w:rPr>
          <w:rFonts w:ascii="Times New Roman" w:eastAsia="Calibri" w:hAnsi="Times New Roman" w:cs="Times New Roman"/>
          <w:sz w:val="24"/>
          <w:szCs w:val="24"/>
        </w:rPr>
        <w:t xml:space="preserve"> la prueba ideal para el diagnóstico de la acalasia y muestra la presencia de ondas terciarias o </w:t>
      </w:r>
      <w:proofErr w:type="spellStart"/>
      <w:r w:rsidRPr="0018019A">
        <w:rPr>
          <w:rFonts w:ascii="Times New Roman" w:eastAsia="Calibri" w:hAnsi="Times New Roman" w:cs="Times New Roman"/>
          <w:sz w:val="24"/>
          <w:szCs w:val="24"/>
        </w:rPr>
        <w:t>aperistalsis</w:t>
      </w:r>
      <w:proofErr w:type="spellEnd"/>
      <w:r w:rsidRPr="0018019A">
        <w:rPr>
          <w:rFonts w:ascii="Times New Roman" w:eastAsia="Calibri" w:hAnsi="Times New Roman" w:cs="Times New Roman"/>
          <w:sz w:val="24"/>
          <w:szCs w:val="24"/>
        </w:rPr>
        <w:t xml:space="preserve"> y el aumento de presión, con ausencia de relajación, del esfínter esofágico inferior.</w:t>
      </w:r>
    </w:p>
    <w:p w14:paraId="7E575A57"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sz w:val="24"/>
          <w:szCs w:val="24"/>
        </w:rPr>
      </w:pPr>
      <w:r w:rsidRPr="0018019A">
        <w:rPr>
          <w:rFonts w:ascii="Times New Roman" w:eastAsia="Calibri" w:hAnsi="Times New Roman" w:cs="Times New Roman"/>
          <w:b/>
          <w:sz w:val="24"/>
          <w:szCs w:val="24"/>
        </w:rPr>
        <w:t>Objetivo</w:t>
      </w:r>
      <w:r w:rsidRPr="0018019A">
        <w:rPr>
          <w:rFonts w:ascii="Times New Roman" w:eastAsia="Calibri" w:hAnsi="Times New Roman" w:cs="Times New Roman"/>
          <w:sz w:val="24"/>
          <w:szCs w:val="24"/>
        </w:rPr>
        <w:t xml:space="preserve">: Evaluar la utilidad de la manometría esofágica de alta resolución en el diagnóstico y clasificación de la acalasia esofágica. </w:t>
      </w:r>
    </w:p>
    <w:p w14:paraId="7831AC25"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eastAsia="Calibri" w:hAnsi="Times New Roman" w:cs="Times New Roman"/>
          <w:b/>
          <w:sz w:val="24"/>
          <w:szCs w:val="24"/>
        </w:rPr>
        <w:t>Métodos</w:t>
      </w:r>
      <w:r w:rsidRPr="0018019A">
        <w:rPr>
          <w:rFonts w:ascii="Times New Roman" w:eastAsia="Calibri" w:hAnsi="Times New Roman" w:cs="Times New Roman"/>
          <w:sz w:val="24"/>
          <w:szCs w:val="24"/>
        </w:rPr>
        <w:t xml:space="preserve">: </w:t>
      </w:r>
      <w:r w:rsidRPr="0018019A">
        <w:rPr>
          <w:rFonts w:ascii="Times New Roman" w:eastAsia="Times New Roman" w:hAnsi="Times New Roman" w:cs="Times New Roman"/>
          <w:sz w:val="24"/>
          <w:szCs w:val="24"/>
        </w:rPr>
        <w:t xml:space="preserve">Se realizó una investigación descriptiva, trasversal, </w:t>
      </w:r>
      <w:r w:rsidRPr="0018019A">
        <w:rPr>
          <w:rFonts w:ascii="Times New Roman" w:hAnsi="Times New Roman" w:cs="Times New Roman"/>
          <w:sz w:val="24"/>
          <w:szCs w:val="24"/>
        </w:rPr>
        <w:t xml:space="preserve">en el Centro Nacional de Cirugía de Mínimo Acceso entre octubre del 2018 y diciembre del 2019, en 46 pacientes con diagnóstico de acalasia esofágica. Se excluyeron aquellos con cirugía previa del esófago. </w:t>
      </w:r>
      <w:r w:rsidRPr="0018019A">
        <w:rPr>
          <w:rFonts w:ascii="Times New Roman" w:eastAsia="Calibri" w:hAnsi="Times New Roman" w:cs="Times New Roman"/>
          <w:sz w:val="24"/>
          <w:szCs w:val="24"/>
        </w:rPr>
        <w:t xml:space="preserve">Las variables incluidas </w:t>
      </w:r>
      <w:r w:rsidRPr="0018019A">
        <w:rPr>
          <w:rFonts w:ascii="Times New Roman" w:eastAsia="Calibri" w:hAnsi="Times New Roman" w:cs="Times New Roman"/>
          <w:sz w:val="24"/>
          <w:szCs w:val="24"/>
        </w:rPr>
        <w:lastRenderedPageBreak/>
        <w:t xml:space="preserve">fueron: edad, </w:t>
      </w:r>
      <w:r w:rsidRPr="0018019A">
        <w:rPr>
          <w:rFonts w:ascii="Times New Roman" w:hAnsi="Times New Roman" w:cs="Times New Roman"/>
          <w:sz w:val="24"/>
          <w:szCs w:val="24"/>
        </w:rPr>
        <w:t xml:space="preserve">sexo, tiempo de evolución, síntomas y hallazgos manométricos. </w:t>
      </w:r>
      <w:r w:rsidRPr="0018019A">
        <w:rPr>
          <w:rFonts w:ascii="Times New Roman" w:eastAsia="Calibri" w:hAnsi="Times New Roman" w:cs="Times New Roman"/>
          <w:sz w:val="24"/>
          <w:szCs w:val="24"/>
        </w:rPr>
        <w:t xml:space="preserve">Para el análisis de </w:t>
      </w:r>
      <w:r w:rsidRPr="0018019A">
        <w:rPr>
          <w:rFonts w:ascii="Times New Roman" w:hAnsi="Times New Roman" w:cs="Times New Roman"/>
          <w:sz w:val="24"/>
          <w:szCs w:val="24"/>
        </w:rPr>
        <w:t>las variables cuantitativas se emplearon medidas de tendencia central, media y de dispersión, la desviación estándar. Las frecuencias y proporciones fueron utilizadas para describir las variables cualitativas.</w:t>
      </w:r>
    </w:p>
    <w:p w14:paraId="24A6010D" w14:textId="77777777" w:rsidR="0018019A" w:rsidRPr="0018019A" w:rsidRDefault="0018019A" w:rsidP="0018019A">
      <w:pPr>
        <w:pStyle w:val="HTMLconformatoprevio"/>
        <w:spacing w:line="360" w:lineRule="auto"/>
        <w:jc w:val="both"/>
        <w:rPr>
          <w:rFonts w:ascii="Times New Roman" w:hAnsi="Times New Roman" w:cs="Times New Roman"/>
          <w:sz w:val="24"/>
          <w:szCs w:val="24"/>
        </w:rPr>
      </w:pPr>
      <w:r w:rsidRPr="0018019A">
        <w:rPr>
          <w:rFonts w:ascii="Times New Roman" w:eastAsia="Calibri" w:hAnsi="Times New Roman" w:cs="Times New Roman"/>
          <w:b/>
          <w:sz w:val="24"/>
          <w:szCs w:val="24"/>
        </w:rPr>
        <w:t xml:space="preserve">Resultados: </w:t>
      </w:r>
      <w:r w:rsidRPr="0018019A">
        <w:rPr>
          <w:rFonts w:ascii="Times New Roman" w:hAnsi="Times New Roman" w:cs="Times New Roman"/>
          <w:sz w:val="24"/>
          <w:szCs w:val="24"/>
        </w:rPr>
        <w:t xml:space="preserve">Predominó la acalasia tipo II, en el sexo femenino (57 %). La disfagia fue el síntoma más frecuente (84, 76 y 100 % en los tipos I, II y III, respectivamente).  El 70 % de los casos presentó más de un año de evolución de los síntomas. La media de la presión de relajación integrada estuvo por encima de 21 mmHg independientemente del tipo. No se encontraron pacientes con subtipos de la acalasia tipo III. </w:t>
      </w:r>
    </w:p>
    <w:p w14:paraId="0F832212" w14:textId="77777777" w:rsidR="0018019A" w:rsidRPr="0018019A" w:rsidRDefault="0018019A" w:rsidP="0018019A">
      <w:pPr>
        <w:pStyle w:val="HTMLconformatoprevio"/>
        <w:spacing w:line="360" w:lineRule="auto"/>
        <w:jc w:val="both"/>
        <w:rPr>
          <w:rFonts w:ascii="Times New Roman" w:hAnsi="Times New Roman" w:cs="Times New Roman"/>
          <w:sz w:val="24"/>
          <w:szCs w:val="24"/>
        </w:rPr>
      </w:pPr>
      <w:r w:rsidRPr="0018019A">
        <w:rPr>
          <w:rFonts w:ascii="Times New Roman" w:eastAsia="DengXian" w:hAnsi="Times New Roman" w:cs="Times New Roman"/>
          <w:b/>
          <w:sz w:val="24"/>
          <w:szCs w:val="24"/>
          <w:lang w:val="es-ES_tradnl"/>
        </w:rPr>
        <w:t>Conclusiones</w:t>
      </w:r>
      <w:r w:rsidRPr="0018019A">
        <w:rPr>
          <w:rFonts w:ascii="Times New Roman" w:eastAsia="DengXian" w:hAnsi="Times New Roman" w:cs="Times New Roman"/>
          <w:sz w:val="24"/>
          <w:szCs w:val="24"/>
          <w:lang w:val="es-ES_tradnl"/>
        </w:rPr>
        <w:t>: La manometría esofágica de alta resolución es útil para el diagnóstico y clasificación de la acalasia esofágica.</w:t>
      </w:r>
    </w:p>
    <w:p w14:paraId="34BED7EB" w14:textId="77777777" w:rsidR="0018019A" w:rsidRPr="0018019A" w:rsidRDefault="0018019A" w:rsidP="0018019A">
      <w:pPr>
        <w:spacing w:after="0" w:line="360" w:lineRule="auto"/>
        <w:jc w:val="both"/>
        <w:rPr>
          <w:rFonts w:ascii="Times New Roman" w:hAnsi="Times New Roman" w:cs="Times New Roman"/>
          <w:color w:val="000000"/>
          <w:sz w:val="24"/>
          <w:szCs w:val="24"/>
        </w:rPr>
      </w:pPr>
      <w:r w:rsidRPr="0018019A">
        <w:rPr>
          <w:rFonts w:ascii="Times New Roman" w:hAnsi="Times New Roman" w:cs="Times New Roman"/>
          <w:b/>
          <w:color w:val="000000"/>
          <w:sz w:val="24"/>
          <w:szCs w:val="24"/>
        </w:rPr>
        <w:t>Palabras clave</w:t>
      </w:r>
      <w:r w:rsidRPr="0018019A">
        <w:rPr>
          <w:rFonts w:ascii="Times New Roman" w:hAnsi="Times New Roman" w:cs="Times New Roman"/>
          <w:color w:val="000000"/>
          <w:sz w:val="24"/>
          <w:szCs w:val="24"/>
        </w:rPr>
        <w:t>: manometría de alta resolución; acalasia esofágica; clasificación de Chicago.</w:t>
      </w:r>
    </w:p>
    <w:p w14:paraId="186E21DF" w14:textId="77777777" w:rsidR="0018019A" w:rsidRPr="0018019A" w:rsidRDefault="0018019A" w:rsidP="0018019A">
      <w:pPr>
        <w:spacing w:after="0" w:line="360" w:lineRule="auto"/>
        <w:jc w:val="both"/>
        <w:rPr>
          <w:rFonts w:ascii="Times New Roman" w:hAnsi="Times New Roman" w:cs="Times New Roman"/>
          <w:color w:val="000000"/>
          <w:sz w:val="24"/>
          <w:szCs w:val="24"/>
        </w:rPr>
      </w:pPr>
    </w:p>
    <w:p w14:paraId="54163723" w14:textId="77777777" w:rsidR="0018019A" w:rsidRPr="0018019A" w:rsidRDefault="0018019A" w:rsidP="0018019A">
      <w:pPr>
        <w:pStyle w:val="HTMLconformatoprevio"/>
        <w:spacing w:line="360" w:lineRule="auto"/>
        <w:jc w:val="both"/>
        <w:rPr>
          <w:rFonts w:ascii="Times New Roman" w:hAnsi="Times New Roman" w:cs="Times New Roman"/>
          <w:sz w:val="24"/>
          <w:szCs w:val="24"/>
          <w:lang w:val="en-US"/>
        </w:rPr>
      </w:pPr>
      <w:r w:rsidRPr="0018019A">
        <w:rPr>
          <w:rFonts w:ascii="Times New Roman" w:eastAsia="Calibri" w:hAnsi="Times New Roman" w:cs="Times New Roman"/>
          <w:b/>
          <w:sz w:val="24"/>
          <w:szCs w:val="24"/>
          <w:lang w:val="en-US"/>
        </w:rPr>
        <w:t>ABSTRACT</w:t>
      </w:r>
      <w:r w:rsidRPr="0018019A">
        <w:rPr>
          <w:rFonts w:ascii="Times New Roman" w:eastAsia="Calibri" w:hAnsi="Times New Roman" w:cs="Times New Roman"/>
          <w:b/>
          <w:sz w:val="24"/>
          <w:szCs w:val="24"/>
          <w:lang w:val="en-US"/>
        </w:rPr>
        <w:br/>
      </w:r>
      <w:r w:rsidRPr="0018019A">
        <w:rPr>
          <w:rFonts w:ascii="Times New Roman" w:hAnsi="Times New Roman" w:cs="Times New Roman"/>
          <w:b/>
          <w:sz w:val="24"/>
          <w:szCs w:val="24"/>
          <w:lang w:val="en-US"/>
        </w:rPr>
        <w:t>Introduction</w:t>
      </w:r>
      <w:r w:rsidRPr="0018019A">
        <w:rPr>
          <w:rFonts w:ascii="Times New Roman" w:hAnsi="Times New Roman" w:cs="Times New Roman"/>
          <w:sz w:val="24"/>
          <w:szCs w:val="24"/>
          <w:lang w:val="en-US"/>
        </w:rPr>
        <w:t>: High-resolution esophageal manometry is the ideal test for the diagnosis of achalasia and shows the presence of tertiary waves or aperistalsis and increased pressure, in the absence of relaxation, of the lower esophageal sphincter.</w:t>
      </w:r>
    </w:p>
    <w:p w14:paraId="734E0C5C" w14:textId="77777777" w:rsidR="0018019A" w:rsidRPr="0018019A" w:rsidRDefault="0018019A" w:rsidP="0018019A">
      <w:pPr>
        <w:spacing w:after="0" w:line="360" w:lineRule="auto"/>
        <w:jc w:val="both"/>
        <w:rPr>
          <w:rFonts w:ascii="Times New Roman" w:hAnsi="Times New Roman" w:cs="Times New Roman"/>
          <w:sz w:val="24"/>
          <w:szCs w:val="24"/>
          <w:lang w:val="en-US"/>
        </w:rPr>
      </w:pPr>
      <w:r w:rsidRPr="0018019A">
        <w:rPr>
          <w:rFonts w:ascii="Times New Roman" w:eastAsia="Times New Roman" w:hAnsi="Times New Roman" w:cs="Times New Roman"/>
          <w:b/>
          <w:sz w:val="24"/>
          <w:szCs w:val="24"/>
          <w:lang w:val="en-US" w:eastAsia="es-ES_tradnl"/>
        </w:rPr>
        <w:t xml:space="preserve">Objective: </w:t>
      </w:r>
      <w:r w:rsidRPr="0018019A">
        <w:rPr>
          <w:rStyle w:val="y2iqfc"/>
          <w:rFonts w:ascii="Times New Roman" w:hAnsi="Times New Roman" w:cs="Times New Roman"/>
          <w:sz w:val="24"/>
          <w:szCs w:val="24"/>
          <w:lang w:val="en-US"/>
        </w:rPr>
        <w:t>To assess the usefulness of high-resolution esophageal manometry in the diagnosis and classification of esophageal achalasia.</w:t>
      </w:r>
    </w:p>
    <w:p w14:paraId="143D0CAD" w14:textId="77777777" w:rsidR="0018019A" w:rsidRPr="0018019A" w:rsidRDefault="0018019A" w:rsidP="0018019A">
      <w:pPr>
        <w:spacing w:after="0" w:line="360" w:lineRule="auto"/>
        <w:jc w:val="both"/>
        <w:rPr>
          <w:rFonts w:ascii="Times New Roman" w:hAnsi="Times New Roman" w:cs="Times New Roman"/>
          <w:sz w:val="24"/>
          <w:szCs w:val="24"/>
          <w:lang w:val="en-US"/>
        </w:rPr>
      </w:pPr>
      <w:r w:rsidRPr="0018019A">
        <w:rPr>
          <w:rFonts w:ascii="Times New Roman" w:eastAsia="Times New Roman" w:hAnsi="Times New Roman" w:cs="Times New Roman"/>
          <w:b/>
          <w:sz w:val="24"/>
          <w:szCs w:val="24"/>
          <w:lang w:val="en-US" w:eastAsia="es-ES_tradnl"/>
        </w:rPr>
        <w:t xml:space="preserve">Methods: </w:t>
      </w:r>
      <w:r w:rsidRPr="0018019A">
        <w:rPr>
          <w:rFonts w:ascii="Times New Roman" w:hAnsi="Times New Roman" w:cs="Times New Roman"/>
          <w:sz w:val="24"/>
          <w:szCs w:val="24"/>
          <w:lang w:val="en-US"/>
        </w:rPr>
        <w:t xml:space="preserve">A descriptive, cross-sectional investigation was carried out </w:t>
      </w:r>
      <w:r w:rsidRPr="0018019A">
        <w:rPr>
          <w:rStyle w:val="jlqj4b"/>
          <w:rFonts w:ascii="Times New Roman" w:hAnsi="Times New Roman" w:cs="Times New Roman"/>
          <w:sz w:val="24"/>
          <w:szCs w:val="24"/>
          <w:lang w:val="en-US"/>
        </w:rPr>
        <w:t>at the National Center for Minimal Access Surgery,</w:t>
      </w:r>
      <w:r w:rsidRPr="0018019A">
        <w:rPr>
          <w:rFonts w:ascii="Times New Roman" w:hAnsi="Times New Roman" w:cs="Times New Roman"/>
          <w:sz w:val="24"/>
          <w:szCs w:val="24"/>
          <w:lang w:val="en-US"/>
        </w:rPr>
        <w:t xml:space="preserve"> between October 2018 and December 2019, in 46 patients with a diagnosis of esophageal achalasia. Those with previous esophageal surgery were excluded. The variables included were: age, sex, time of evolution, symptoms and manometric findings. For the analysis of the results, the percentage and measures of central tendency (arithmetic mean and standard deviation) were used.</w:t>
      </w:r>
    </w:p>
    <w:p w14:paraId="051C0804" w14:textId="77777777" w:rsidR="0018019A" w:rsidRPr="0018019A" w:rsidRDefault="0018019A" w:rsidP="0018019A">
      <w:pPr>
        <w:spacing w:after="0" w:line="360" w:lineRule="auto"/>
        <w:jc w:val="both"/>
        <w:rPr>
          <w:rFonts w:ascii="Times New Roman" w:eastAsia="Times New Roman" w:hAnsi="Times New Roman" w:cs="Times New Roman"/>
          <w:sz w:val="24"/>
          <w:szCs w:val="24"/>
          <w:lang w:val="en-US" w:eastAsia="es-ES_tradnl"/>
        </w:rPr>
      </w:pPr>
      <w:r w:rsidRPr="0018019A">
        <w:rPr>
          <w:rFonts w:ascii="Times New Roman" w:eastAsia="Times New Roman" w:hAnsi="Times New Roman" w:cs="Times New Roman"/>
          <w:b/>
          <w:sz w:val="24"/>
          <w:szCs w:val="24"/>
          <w:lang w:val="en-US" w:eastAsia="es-ES_tradnl"/>
        </w:rPr>
        <w:t xml:space="preserve">Results: </w:t>
      </w:r>
      <w:r w:rsidRPr="0018019A">
        <w:rPr>
          <w:rFonts w:ascii="Times New Roman" w:hAnsi="Times New Roman" w:cs="Times New Roman"/>
          <w:sz w:val="24"/>
          <w:szCs w:val="24"/>
          <w:lang w:val="en-US"/>
        </w:rPr>
        <w:t>Type II achalasia predominated in females (57 %). Dysphagia was the most frequent symptom (84, 76, and 100 % in types I, II, and III, respectively). 70 % of the cases presented more than one year of evolution of the symptoms. Regarding the high-resolution manometry parameters, it was observed that regardless of the type, the mean integrated relaxation pressure was above 21 mmHg. No patients with type III achalasia subtypes were found.</w:t>
      </w:r>
    </w:p>
    <w:p w14:paraId="1F6C39A7" w14:textId="77777777" w:rsidR="0018019A" w:rsidRPr="0018019A" w:rsidRDefault="0018019A" w:rsidP="0018019A">
      <w:pPr>
        <w:spacing w:after="0" w:line="360" w:lineRule="auto"/>
        <w:jc w:val="both"/>
        <w:rPr>
          <w:rFonts w:ascii="Times New Roman" w:hAnsi="Times New Roman" w:cs="Times New Roman"/>
          <w:sz w:val="24"/>
          <w:szCs w:val="24"/>
          <w:lang w:val="en-US"/>
        </w:rPr>
      </w:pPr>
      <w:r w:rsidRPr="0018019A">
        <w:rPr>
          <w:rFonts w:ascii="Times New Roman" w:eastAsia="Times New Roman" w:hAnsi="Times New Roman" w:cs="Times New Roman"/>
          <w:b/>
          <w:sz w:val="24"/>
          <w:szCs w:val="24"/>
          <w:lang w:val="en-US" w:eastAsia="es-ES_tradnl"/>
        </w:rPr>
        <w:lastRenderedPageBreak/>
        <w:t xml:space="preserve">Conclusions: </w:t>
      </w:r>
      <w:r w:rsidRPr="0018019A">
        <w:rPr>
          <w:rStyle w:val="jlqj4b"/>
          <w:rFonts w:ascii="Times New Roman" w:hAnsi="Times New Roman" w:cs="Times New Roman"/>
          <w:sz w:val="24"/>
          <w:szCs w:val="24"/>
          <w:lang w:val="en-US"/>
        </w:rPr>
        <w:t xml:space="preserve">High-resolution esophageal manometry is useful for the diagnosis and classification of esophageal </w:t>
      </w:r>
      <w:proofErr w:type="spellStart"/>
      <w:r w:rsidRPr="0018019A">
        <w:rPr>
          <w:rStyle w:val="jlqj4b"/>
          <w:rFonts w:ascii="Times New Roman" w:hAnsi="Times New Roman" w:cs="Times New Roman"/>
          <w:sz w:val="24"/>
          <w:szCs w:val="24"/>
          <w:lang w:val="en-US"/>
        </w:rPr>
        <w:t>acalasia</w:t>
      </w:r>
      <w:proofErr w:type="spellEnd"/>
      <w:r w:rsidRPr="0018019A">
        <w:rPr>
          <w:rStyle w:val="jlqj4b"/>
          <w:rFonts w:ascii="Times New Roman" w:hAnsi="Times New Roman" w:cs="Times New Roman"/>
          <w:sz w:val="24"/>
          <w:szCs w:val="24"/>
          <w:lang w:val="en-US"/>
        </w:rPr>
        <w:t>.</w:t>
      </w:r>
    </w:p>
    <w:p w14:paraId="15EC77FD" w14:textId="77777777" w:rsidR="0018019A" w:rsidRPr="0018019A" w:rsidRDefault="0018019A" w:rsidP="0018019A">
      <w:pPr>
        <w:spacing w:after="0" w:line="360" w:lineRule="auto"/>
        <w:jc w:val="both"/>
        <w:rPr>
          <w:rFonts w:ascii="Times New Roman" w:hAnsi="Times New Roman" w:cs="Times New Roman"/>
          <w:color w:val="000000"/>
          <w:sz w:val="24"/>
          <w:szCs w:val="24"/>
          <w:lang w:val="en-US"/>
        </w:rPr>
      </w:pPr>
      <w:r w:rsidRPr="0018019A">
        <w:rPr>
          <w:rFonts w:ascii="Times New Roman" w:hAnsi="Times New Roman" w:cs="Times New Roman"/>
          <w:b/>
          <w:sz w:val="24"/>
          <w:szCs w:val="24"/>
          <w:lang w:val="en-US"/>
        </w:rPr>
        <w:t>Keywords</w:t>
      </w:r>
      <w:r w:rsidRPr="0018019A">
        <w:rPr>
          <w:rFonts w:ascii="Times New Roman" w:hAnsi="Times New Roman" w:cs="Times New Roman"/>
          <w:sz w:val="24"/>
          <w:szCs w:val="24"/>
          <w:lang w:val="en-US"/>
        </w:rPr>
        <w:t>: H</w:t>
      </w:r>
      <w:r w:rsidRPr="0018019A">
        <w:rPr>
          <w:rFonts w:ascii="Times New Roman" w:hAnsi="Times New Roman" w:cs="Times New Roman"/>
          <w:color w:val="000000"/>
          <w:sz w:val="24"/>
          <w:szCs w:val="24"/>
          <w:lang w:val="en-US"/>
        </w:rPr>
        <w:t>igh resolution manometry; achalasia of esophagus; Chicago classification.</w:t>
      </w:r>
    </w:p>
    <w:p w14:paraId="2BC3E0DB" w14:textId="77777777" w:rsidR="0018019A" w:rsidRPr="0018019A" w:rsidRDefault="0018019A" w:rsidP="0018019A">
      <w:pPr>
        <w:spacing w:after="0" w:line="360" w:lineRule="auto"/>
        <w:jc w:val="both"/>
        <w:rPr>
          <w:rFonts w:ascii="Times New Roman" w:hAnsi="Times New Roman" w:cs="Times New Roman"/>
          <w:color w:val="000000"/>
          <w:sz w:val="24"/>
          <w:szCs w:val="24"/>
          <w:lang w:val="en-US"/>
        </w:rPr>
      </w:pPr>
    </w:p>
    <w:p w14:paraId="1495F107" w14:textId="77777777" w:rsidR="0018019A" w:rsidRPr="0018019A" w:rsidRDefault="0018019A" w:rsidP="0018019A">
      <w:pPr>
        <w:spacing w:after="0" w:line="360" w:lineRule="auto"/>
        <w:jc w:val="both"/>
        <w:rPr>
          <w:rFonts w:ascii="Times New Roman" w:hAnsi="Times New Roman" w:cs="Times New Roman"/>
          <w:color w:val="000000"/>
          <w:sz w:val="24"/>
          <w:szCs w:val="24"/>
          <w:lang w:val="en-US"/>
        </w:rPr>
      </w:pPr>
    </w:p>
    <w:p w14:paraId="574C4740" w14:textId="77777777" w:rsidR="0018019A" w:rsidRPr="0018019A" w:rsidRDefault="0018019A" w:rsidP="0018019A">
      <w:pPr>
        <w:spacing w:after="0" w:line="360" w:lineRule="auto"/>
        <w:jc w:val="both"/>
        <w:rPr>
          <w:rFonts w:ascii="Times New Roman" w:hAnsi="Times New Roman" w:cs="Times New Roman"/>
          <w:color w:val="000000"/>
          <w:sz w:val="24"/>
          <w:szCs w:val="24"/>
          <w:lang w:val="es-US"/>
        </w:rPr>
      </w:pPr>
      <w:r w:rsidRPr="0018019A">
        <w:rPr>
          <w:rFonts w:ascii="Times New Roman" w:hAnsi="Times New Roman" w:cs="Times New Roman"/>
          <w:color w:val="000000"/>
          <w:sz w:val="24"/>
          <w:szCs w:val="24"/>
          <w:lang w:val="es-US"/>
        </w:rPr>
        <w:t>Recibido: 05/03/2021</w:t>
      </w:r>
    </w:p>
    <w:p w14:paraId="24563473" w14:textId="77777777" w:rsidR="0018019A" w:rsidRPr="0018019A" w:rsidRDefault="0018019A" w:rsidP="0018019A">
      <w:pPr>
        <w:spacing w:after="0" w:line="360" w:lineRule="auto"/>
        <w:jc w:val="both"/>
        <w:rPr>
          <w:rFonts w:ascii="Times New Roman" w:eastAsia="Times New Roman" w:hAnsi="Times New Roman" w:cs="Times New Roman"/>
          <w:b/>
          <w:bCs/>
          <w:color w:val="000000"/>
          <w:sz w:val="24"/>
          <w:szCs w:val="24"/>
          <w:lang w:val="es-US" w:eastAsia="es-ES_tradnl"/>
        </w:rPr>
      </w:pPr>
      <w:r w:rsidRPr="0018019A">
        <w:rPr>
          <w:rFonts w:ascii="Times New Roman" w:hAnsi="Times New Roman" w:cs="Times New Roman"/>
          <w:color w:val="000000"/>
          <w:sz w:val="24"/>
          <w:szCs w:val="24"/>
          <w:lang w:val="es-US"/>
        </w:rPr>
        <w:t>Aprobado: 17/06/2021</w:t>
      </w:r>
    </w:p>
    <w:p w14:paraId="1A26DD39"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color w:val="000000"/>
          <w:sz w:val="24"/>
          <w:szCs w:val="24"/>
          <w:lang w:val="es-US"/>
        </w:rPr>
      </w:pPr>
    </w:p>
    <w:p w14:paraId="60018515" w14:textId="77777777" w:rsidR="0018019A" w:rsidRPr="0018019A" w:rsidRDefault="0018019A" w:rsidP="0018019A">
      <w:pPr>
        <w:spacing w:after="0" w:line="360" w:lineRule="auto"/>
        <w:rPr>
          <w:rFonts w:ascii="Times New Roman" w:hAnsi="Times New Roman" w:cs="Times New Roman"/>
          <w:b/>
          <w:sz w:val="24"/>
          <w:szCs w:val="24"/>
        </w:rPr>
      </w:pPr>
    </w:p>
    <w:p w14:paraId="355B6B5E" w14:textId="77777777" w:rsidR="0018019A" w:rsidRPr="0018019A" w:rsidRDefault="0018019A" w:rsidP="0018019A">
      <w:pPr>
        <w:spacing w:after="0" w:line="360" w:lineRule="auto"/>
        <w:jc w:val="center"/>
        <w:rPr>
          <w:rFonts w:ascii="Times New Roman" w:hAnsi="Times New Roman" w:cs="Times New Roman"/>
          <w:b/>
          <w:sz w:val="32"/>
          <w:szCs w:val="32"/>
        </w:rPr>
      </w:pPr>
      <w:r w:rsidRPr="0018019A">
        <w:rPr>
          <w:rFonts w:ascii="Times New Roman" w:hAnsi="Times New Roman" w:cs="Times New Roman"/>
          <w:b/>
          <w:sz w:val="32"/>
          <w:szCs w:val="32"/>
        </w:rPr>
        <w:t>INTRODUCCIÓN</w:t>
      </w:r>
    </w:p>
    <w:p w14:paraId="0F32CED7"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color w:val="000000"/>
          <w:sz w:val="24"/>
          <w:szCs w:val="24"/>
          <w:vertAlign w:val="superscript"/>
        </w:rPr>
      </w:pPr>
      <w:r w:rsidRPr="0018019A">
        <w:rPr>
          <w:rFonts w:ascii="Times New Roman" w:eastAsia="Calibri" w:hAnsi="Times New Roman" w:cs="Times New Roman"/>
          <w:sz w:val="24"/>
          <w:szCs w:val="24"/>
        </w:rPr>
        <w:t xml:space="preserve">La manometría esofágica (ME) es </w:t>
      </w:r>
      <w:r w:rsidRPr="0018019A">
        <w:rPr>
          <w:rFonts w:ascii="Times New Roman" w:eastAsia="Calibri" w:hAnsi="Times New Roman" w:cs="Times New Roman"/>
          <w:color w:val="000000"/>
          <w:sz w:val="24"/>
          <w:szCs w:val="24"/>
        </w:rPr>
        <w:t xml:space="preserve">la prueba diagnóstica que mide las presiones intraluminales y la coordinación de la actividad en la musculatura del esófago. A través de esta se diagnostican los trastornos motores del </w:t>
      </w:r>
      <w:proofErr w:type="gramStart"/>
      <w:r w:rsidRPr="0018019A">
        <w:rPr>
          <w:rFonts w:ascii="Times New Roman" w:eastAsia="Calibri" w:hAnsi="Times New Roman" w:cs="Times New Roman"/>
          <w:color w:val="000000"/>
          <w:sz w:val="24"/>
          <w:szCs w:val="24"/>
        </w:rPr>
        <w:t>esófago.</w:t>
      </w:r>
      <w:r w:rsidRPr="0018019A">
        <w:rPr>
          <w:rFonts w:ascii="Times New Roman" w:eastAsia="Calibri" w:hAnsi="Times New Roman" w:cs="Times New Roman"/>
          <w:color w:val="000000"/>
          <w:sz w:val="24"/>
          <w:szCs w:val="24"/>
          <w:vertAlign w:val="superscript"/>
        </w:rPr>
        <w:t>(</w:t>
      </w:r>
      <w:proofErr w:type="gramEnd"/>
      <w:r w:rsidRPr="0018019A">
        <w:rPr>
          <w:rFonts w:ascii="Times New Roman" w:eastAsia="Calibri" w:hAnsi="Times New Roman" w:cs="Times New Roman"/>
          <w:color w:val="000000"/>
          <w:sz w:val="24"/>
          <w:szCs w:val="24"/>
          <w:vertAlign w:val="superscript"/>
        </w:rPr>
        <w:t>1)</w:t>
      </w:r>
    </w:p>
    <w:p w14:paraId="2B35D1D8" w14:textId="77777777" w:rsidR="0018019A" w:rsidRPr="0018019A" w:rsidRDefault="0018019A" w:rsidP="0018019A">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eastAsia="Calibri" w:hAnsi="Times New Roman" w:cs="Times New Roman"/>
          <w:color w:val="000000"/>
          <w:sz w:val="24"/>
          <w:szCs w:val="24"/>
        </w:rPr>
        <w:t xml:space="preserve">A partir de los primeros años del siglo XXI, se ha experimentado un gran avance en el estudio de dichos trastornos porque se han creado nuevas tecnologías, como la manometría esofágica de alta resolución (MAR), </w:t>
      </w:r>
      <w:r w:rsidRPr="0018019A">
        <w:rPr>
          <w:rFonts w:ascii="Times New Roman" w:hAnsi="Times New Roman" w:cs="Times New Roman"/>
          <w:sz w:val="24"/>
          <w:szCs w:val="24"/>
        </w:rPr>
        <w:t>la cual permite caracterizar y diagnosticar con mayor precisión la gravedad de las alteraciones motoras del esófago.</w:t>
      </w:r>
      <w:r w:rsidRPr="0018019A">
        <w:rPr>
          <w:rFonts w:ascii="Times New Roman" w:hAnsi="Times New Roman" w:cs="Times New Roman"/>
          <w:sz w:val="24"/>
          <w:szCs w:val="24"/>
          <w:vertAlign w:val="superscript"/>
        </w:rPr>
        <w:t>(2,3)</w:t>
      </w:r>
    </w:p>
    <w:p w14:paraId="4AC006BD" w14:textId="77777777" w:rsidR="0018019A" w:rsidRPr="0018019A" w:rsidRDefault="0018019A" w:rsidP="0018019A">
      <w:p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vertAlign w:val="superscript"/>
        </w:rPr>
      </w:pPr>
      <w:r w:rsidRPr="0018019A">
        <w:rPr>
          <w:rFonts w:ascii="Times New Roman" w:eastAsia="Calibri" w:hAnsi="Times New Roman" w:cs="Times New Roman"/>
          <w:color w:val="000000"/>
          <w:sz w:val="24"/>
          <w:szCs w:val="24"/>
        </w:rPr>
        <w:t xml:space="preserve">La acalasia esofágica es una enfermedad de etiología desconocida y constituye el trastorno motor esofágico mejor definido y más frecuentemente observado en este órgano. Su rasgo fundamental es la relajación incompleta del esfínter esofágico inferior (EEI), durante la deglución, con ausencia del peristaltismo primario, presencia de ondas terciarias no propulsoras, típicas de la enfermedad y dilatación del cuerpo </w:t>
      </w:r>
      <w:proofErr w:type="gramStart"/>
      <w:r w:rsidRPr="0018019A">
        <w:rPr>
          <w:rFonts w:ascii="Times New Roman" w:eastAsia="Calibri" w:hAnsi="Times New Roman" w:cs="Times New Roman"/>
          <w:color w:val="000000"/>
          <w:sz w:val="24"/>
          <w:szCs w:val="24"/>
        </w:rPr>
        <w:t>esofágico.</w:t>
      </w:r>
      <w:r w:rsidRPr="0018019A">
        <w:rPr>
          <w:rFonts w:ascii="Times New Roman" w:eastAsia="Calibri" w:hAnsi="Times New Roman" w:cs="Times New Roman"/>
          <w:color w:val="000000"/>
          <w:sz w:val="24"/>
          <w:szCs w:val="24"/>
          <w:vertAlign w:val="superscript"/>
        </w:rPr>
        <w:t>(</w:t>
      </w:r>
      <w:proofErr w:type="gramEnd"/>
      <w:r w:rsidRPr="0018019A">
        <w:rPr>
          <w:rFonts w:ascii="Times New Roman" w:eastAsia="Calibri" w:hAnsi="Times New Roman" w:cs="Times New Roman"/>
          <w:color w:val="000000"/>
          <w:sz w:val="24"/>
          <w:szCs w:val="24"/>
          <w:vertAlign w:val="superscript"/>
        </w:rPr>
        <w:t>4)</w:t>
      </w:r>
    </w:p>
    <w:p w14:paraId="43CF4E23"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color w:val="000000"/>
          <w:sz w:val="24"/>
          <w:szCs w:val="24"/>
          <w:vertAlign w:val="superscript"/>
        </w:rPr>
      </w:pPr>
      <w:r w:rsidRPr="0018019A">
        <w:rPr>
          <w:rFonts w:ascii="Times New Roman" w:eastAsia="Calibri" w:hAnsi="Times New Roman" w:cs="Times New Roman"/>
          <w:color w:val="000000"/>
          <w:sz w:val="24"/>
          <w:szCs w:val="24"/>
        </w:rPr>
        <w:t xml:space="preserve">La etiología se desconoce, pero la teoría más aceptada indica su relación con la disminución de las células ganglionares inhibitorias del plexo mientérico en la pared esofágica y el EEI, con el resultante desbalance de neurotransmisores (aumento de acetilcolina y péptido P, con diminución de óxido nítrico y péptido intestinal vasoactivo) lo cual genera la afección de su relajación e hipertonía. Existen otras teorías autoinmunes, neurodegenerativas, infecciosas y </w:t>
      </w:r>
      <w:proofErr w:type="gramStart"/>
      <w:r w:rsidRPr="0018019A">
        <w:rPr>
          <w:rFonts w:ascii="Times New Roman" w:eastAsia="Calibri" w:hAnsi="Times New Roman" w:cs="Times New Roman"/>
          <w:color w:val="000000"/>
          <w:sz w:val="24"/>
          <w:szCs w:val="24"/>
        </w:rPr>
        <w:t>genéticas.</w:t>
      </w:r>
      <w:r w:rsidRPr="0018019A">
        <w:rPr>
          <w:rFonts w:ascii="Times New Roman" w:eastAsia="Calibri" w:hAnsi="Times New Roman" w:cs="Times New Roman"/>
          <w:color w:val="000000"/>
          <w:sz w:val="24"/>
          <w:szCs w:val="24"/>
          <w:vertAlign w:val="superscript"/>
        </w:rPr>
        <w:t>(</w:t>
      </w:r>
      <w:proofErr w:type="gramEnd"/>
      <w:r w:rsidRPr="0018019A">
        <w:rPr>
          <w:rFonts w:ascii="Times New Roman" w:eastAsia="Calibri" w:hAnsi="Times New Roman" w:cs="Times New Roman"/>
          <w:color w:val="000000"/>
          <w:sz w:val="24"/>
          <w:szCs w:val="24"/>
          <w:vertAlign w:val="superscript"/>
        </w:rPr>
        <w:t>4)</w:t>
      </w:r>
    </w:p>
    <w:p w14:paraId="02F56784"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color w:val="000000"/>
          <w:sz w:val="24"/>
          <w:szCs w:val="24"/>
          <w:vertAlign w:val="superscript"/>
        </w:rPr>
      </w:pPr>
      <w:r w:rsidRPr="0018019A">
        <w:rPr>
          <w:rFonts w:ascii="Times New Roman" w:eastAsia="Calibri" w:hAnsi="Times New Roman" w:cs="Times New Roman"/>
          <w:color w:val="000000"/>
          <w:sz w:val="24"/>
          <w:szCs w:val="24"/>
        </w:rPr>
        <w:lastRenderedPageBreak/>
        <w:t xml:space="preserve">Se calcula una incidencia anual de aproximadamente 1,8 por 100 000 individuos con una prevalencia de 10-12 casos por 100 000 individuos. Afecta por igual a hombres y mujeres y aunque puede diagnosticarse en cualquier edad, su mayor incidencia ocurre entre los 30 y 60 años de </w:t>
      </w:r>
      <w:proofErr w:type="gramStart"/>
      <w:r w:rsidRPr="0018019A">
        <w:rPr>
          <w:rFonts w:ascii="Times New Roman" w:eastAsia="Calibri" w:hAnsi="Times New Roman" w:cs="Times New Roman"/>
          <w:color w:val="000000"/>
          <w:sz w:val="24"/>
          <w:szCs w:val="24"/>
        </w:rPr>
        <w:t>edad.</w:t>
      </w:r>
      <w:r w:rsidRPr="0018019A">
        <w:rPr>
          <w:rFonts w:ascii="Times New Roman" w:eastAsia="Calibri" w:hAnsi="Times New Roman" w:cs="Times New Roman"/>
          <w:color w:val="000000"/>
          <w:sz w:val="24"/>
          <w:szCs w:val="24"/>
          <w:vertAlign w:val="superscript"/>
        </w:rPr>
        <w:t>(</w:t>
      </w:r>
      <w:proofErr w:type="gramEnd"/>
      <w:r w:rsidRPr="0018019A">
        <w:rPr>
          <w:rFonts w:ascii="Times New Roman" w:eastAsia="Calibri" w:hAnsi="Times New Roman" w:cs="Times New Roman"/>
          <w:color w:val="000000"/>
          <w:sz w:val="24"/>
          <w:szCs w:val="24"/>
          <w:vertAlign w:val="superscript"/>
        </w:rPr>
        <w:t>5)</w:t>
      </w:r>
    </w:p>
    <w:p w14:paraId="1B90DB6B"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eastAsia="Calibri" w:hAnsi="Times New Roman" w:cs="Times New Roman"/>
          <w:sz w:val="24"/>
          <w:szCs w:val="24"/>
        </w:rPr>
        <w:t xml:space="preserve">La ME se considera la prueba de oro para el diagnóstico de la acalasia y muestra la presencia de ondas terciarias o </w:t>
      </w:r>
      <w:proofErr w:type="spellStart"/>
      <w:r w:rsidRPr="0018019A">
        <w:rPr>
          <w:rFonts w:ascii="Times New Roman" w:eastAsia="Calibri" w:hAnsi="Times New Roman" w:cs="Times New Roman"/>
          <w:sz w:val="24"/>
          <w:szCs w:val="24"/>
        </w:rPr>
        <w:t>aperistalsis</w:t>
      </w:r>
      <w:proofErr w:type="spellEnd"/>
      <w:r w:rsidRPr="0018019A">
        <w:rPr>
          <w:rFonts w:ascii="Times New Roman" w:eastAsia="Calibri" w:hAnsi="Times New Roman" w:cs="Times New Roman"/>
          <w:sz w:val="24"/>
          <w:szCs w:val="24"/>
        </w:rPr>
        <w:t xml:space="preserve"> y el aumento de presión, con ausencia de relajación, del EEI. </w:t>
      </w:r>
      <w:r w:rsidRPr="0018019A">
        <w:rPr>
          <w:rFonts w:ascii="Times New Roman" w:hAnsi="Times New Roman" w:cs="Times New Roman"/>
          <w:sz w:val="24"/>
          <w:szCs w:val="24"/>
        </w:rPr>
        <w:t xml:space="preserve">Con la adquisición de esta novedosa tecnología de alta resolución y la nueva metodología de análisis, la clasificación de los trastornos motores esofágicos (TME) que existía a partir de los hallazgos de la manometría convencional, ha tenido que ser </w:t>
      </w:r>
      <w:proofErr w:type="gramStart"/>
      <w:r w:rsidRPr="0018019A">
        <w:rPr>
          <w:rFonts w:ascii="Times New Roman" w:hAnsi="Times New Roman" w:cs="Times New Roman"/>
          <w:sz w:val="24"/>
          <w:szCs w:val="24"/>
        </w:rPr>
        <w:t>modificada.</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6,7)</w:t>
      </w:r>
    </w:p>
    <w:p w14:paraId="1F3E4EA6" w14:textId="77777777" w:rsidR="0018019A" w:rsidRPr="0018019A" w:rsidRDefault="0018019A" w:rsidP="0018019A">
      <w:pPr>
        <w:pStyle w:val="NormalWeb"/>
        <w:spacing w:before="0" w:beforeAutospacing="0" w:after="0" w:afterAutospacing="0" w:line="360" w:lineRule="auto"/>
        <w:jc w:val="both"/>
        <w:rPr>
          <w:rFonts w:ascii="Times New Roman" w:hAnsi="Times New Roman" w:cs="Times New Roman"/>
          <w:vertAlign w:val="superscript"/>
        </w:rPr>
      </w:pPr>
      <w:proofErr w:type="spellStart"/>
      <w:r w:rsidRPr="0018019A">
        <w:rPr>
          <w:rFonts w:ascii="Times New Roman" w:hAnsi="Times New Roman" w:cs="Times New Roman"/>
          <w:i/>
        </w:rPr>
        <w:t>Pandolfino</w:t>
      </w:r>
      <w:proofErr w:type="spellEnd"/>
      <w:r w:rsidRPr="0018019A">
        <w:rPr>
          <w:rFonts w:ascii="Times New Roman" w:hAnsi="Times New Roman" w:cs="Times New Roman"/>
        </w:rPr>
        <w:t xml:space="preserve"> y </w:t>
      </w:r>
      <w:proofErr w:type="gramStart"/>
      <w:r w:rsidRPr="0018019A">
        <w:rPr>
          <w:rFonts w:ascii="Times New Roman" w:hAnsi="Times New Roman" w:cs="Times New Roman"/>
        </w:rPr>
        <w:t>otros,</w:t>
      </w:r>
      <w:r w:rsidRPr="0018019A">
        <w:rPr>
          <w:rFonts w:ascii="Times New Roman" w:hAnsi="Times New Roman" w:cs="Times New Roman"/>
          <w:vertAlign w:val="superscript"/>
        </w:rPr>
        <w:t>(</w:t>
      </w:r>
      <w:proofErr w:type="gramEnd"/>
      <w:r w:rsidRPr="0018019A">
        <w:rPr>
          <w:rFonts w:ascii="Times New Roman" w:hAnsi="Times New Roman" w:cs="Times New Roman"/>
          <w:vertAlign w:val="superscript"/>
        </w:rPr>
        <w:t xml:space="preserve">8) </w:t>
      </w:r>
      <w:r w:rsidRPr="0018019A">
        <w:rPr>
          <w:rFonts w:ascii="Times New Roman" w:hAnsi="Times New Roman" w:cs="Times New Roman"/>
        </w:rPr>
        <w:t>publicaron un trabajo con la formulación de un sistema de análisis y una clasificación para iniciar la práctica clínica en MAR. Esta clasificación inicial ya ha sufrido varias modificaciones conforme se ha ido desarrollando su aplicación clínica y entre ellas se cuenta con la versión 3.0, que al igual que las previas, está encaminada para el estudio del esófago distal y la unión esofagogástrica (UEG).</w:t>
      </w:r>
      <w:r w:rsidRPr="0018019A">
        <w:rPr>
          <w:rFonts w:ascii="Times New Roman" w:hAnsi="Times New Roman" w:cs="Times New Roman"/>
          <w:vertAlign w:val="superscript"/>
        </w:rPr>
        <w:t>(9)</w:t>
      </w:r>
      <w:r w:rsidRPr="0018019A">
        <w:rPr>
          <w:rFonts w:ascii="Times New Roman" w:hAnsi="Times New Roman" w:cs="Times New Roman"/>
        </w:rPr>
        <w:t xml:space="preserve"> La clasificación de Chicago, versión 3.0 divide los TME de la siguiente manera:</w:t>
      </w:r>
      <w:r w:rsidRPr="0018019A">
        <w:rPr>
          <w:rFonts w:ascii="Times New Roman" w:hAnsi="Times New Roman" w:cs="Times New Roman"/>
          <w:vertAlign w:val="superscript"/>
        </w:rPr>
        <w:t>(9)</w:t>
      </w:r>
    </w:p>
    <w:p w14:paraId="345BF851" w14:textId="77777777" w:rsidR="0018019A" w:rsidRPr="0018019A" w:rsidRDefault="0018019A" w:rsidP="0018019A">
      <w:pPr>
        <w:pStyle w:val="NormalWeb"/>
        <w:spacing w:before="0" w:beforeAutospacing="0" w:after="0" w:afterAutospacing="0" w:line="360" w:lineRule="auto"/>
        <w:jc w:val="both"/>
        <w:rPr>
          <w:rFonts w:ascii="Times New Roman" w:hAnsi="Times New Roman" w:cs="Times New Roman"/>
        </w:rPr>
      </w:pPr>
    </w:p>
    <w:p w14:paraId="4752163D" w14:textId="77777777" w:rsidR="0018019A" w:rsidRPr="0018019A" w:rsidRDefault="0018019A" w:rsidP="0018019A">
      <w:pPr>
        <w:autoSpaceDE w:val="0"/>
        <w:autoSpaceDN w:val="0"/>
        <w:adjustRightInd w:val="0"/>
        <w:spacing w:after="0" w:line="360" w:lineRule="auto"/>
        <w:ind w:left="720"/>
        <w:jc w:val="both"/>
        <w:rPr>
          <w:rFonts w:ascii="Times New Roman" w:eastAsia="Calibri" w:hAnsi="Times New Roman" w:cs="Times New Roman"/>
          <w:color w:val="000000"/>
          <w:sz w:val="24"/>
          <w:szCs w:val="24"/>
        </w:rPr>
      </w:pPr>
      <w:r w:rsidRPr="0018019A">
        <w:rPr>
          <w:rFonts w:ascii="Times New Roman" w:eastAsia="Calibri" w:hAnsi="Times New Roman" w:cs="Times New Roman"/>
          <w:color w:val="000000"/>
          <w:sz w:val="24"/>
          <w:szCs w:val="24"/>
        </w:rPr>
        <w:t>1. Trastornos con obstrucción al flujo a nivel de la UEG</w:t>
      </w:r>
    </w:p>
    <w:p w14:paraId="332C01B2" w14:textId="77777777" w:rsidR="0018019A" w:rsidRPr="0018019A" w:rsidRDefault="0018019A" w:rsidP="0018019A">
      <w:pPr>
        <w:autoSpaceDE w:val="0"/>
        <w:autoSpaceDN w:val="0"/>
        <w:adjustRightInd w:val="0"/>
        <w:spacing w:after="0" w:line="360" w:lineRule="auto"/>
        <w:ind w:left="720"/>
        <w:jc w:val="both"/>
        <w:rPr>
          <w:rFonts w:ascii="Times New Roman" w:eastAsia="Calibri" w:hAnsi="Times New Roman" w:cs="Times New Roman"/>
          <w:color w:val="000000"/>
          <w:sz w:val="24"/>
          <w:szCs w:val="24"/>
        </w:rPr>
      </w:pPr>
      <w:r w:rsidRPr="0018019A">
        <w:rPr>
          <w:rFonts w:ascii="Times New Roman" w:eastAsia="Calibri" w:hAnsi="Times New Roman" w:cs="Times New Roman"/>
          <w:color w:val="000000"/>
          <w:sz w:val="24"/>
          <w:szCs w:val="24"/>
        </w:rPr>
        <w:t>2. Trastornos mayores de la peristalsis</w:t>
      </w:r>
    </w:p>
    <w:p w14:paraId="3A49D3D8" w14:textId="77777777" w:rsidR="0018019A" w:rsidRPr="0018019A" w:rsidRDefault="0018019A" w:rsidP="0018019A">
      <w:pPr>
        <w:autoSpaceDE w:val="0"/>
        <w:autoSpaceDN w:val="0"/>
        <w:adjustRightInd w:val="0"/>
        <w:spacing w:after="0" w:line="360" w:lineRule="auto"/>
        <w:ind w:left="720"/>
        <w:jc w:val="both"/>
        <w:rPr>
          <w:rFonts w:ascii="Times New Roman" w:eastAsia="Calibri" w:hAnsi="Times New Roman" w:cs="Times New Roman"/>
          <w:color w:val="000000"/>
          <w:sz w:val="24"/>
          <w:szCs w:val="24"/>
        </w:rPr>
      </w:pPr>
      <w:r w:rsidRPr="0018019A">
        <w:rPr>
          <w:rFonts w:ascii="Times New Roman" w:eastAsia="Calibri" w:hAnsi="Times New Roman" w:cs="Times New Roman"/>
          <w:color w:val="000000"/>
          <w:sz w:val="24"/>
          <w:szCs w:val="24"/>
        </w:rPr>
        <w:t>3. Trastornos menores de la peristalsis</w:t>
      </w:r>
    </w:p>
    <w:p w14:paraId="3D50D891" w14:textId="77777777" w:rsidR="0018019A" w:rsidRPr="0018019A" w:rsidRDefault="0018019A" w:rsidP="0018019A">
      <w:pPr>
        <w:spacing w:after="0" w:line="360" w:lineRule="auto"/>
        <w:jc w:val="both"/>
        <w:rPr>
          <w:rFonts w:ascii="Times New Roman" w:hAnsi="Times New Roman" w:cs="Times New Roman"/>
          <w:sz w:val="24"/>
          <w:szCs w:val="24"/>
        </w:rPr>
      </w:pPr>
    </w:p>
    <w:p w14:paraId="6190F702" w14:textId="77777777"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Los trastornos que cursan con obstrucción al flujo a nivel de la UEG se caracterizan porque presentan una mediana de presión de relajación integrada (IRP) por encima del valor </w:t>
      </w:r>
      <w:proofErr w:type="gramStart"/>
      <w:r w:rsidRPr="0018019A">
        <w:rPr>
          <w:rFonts w:ascii="Times New Roman" w:hAnsi="Times New Roman" w:cs="Times New Roman"/>
          <w:sz w:val="24"/>
          <w:szCs w:val="24"/>
        </w:rPr>
        <w:t>normal.</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10,11)</w:t>
      </w:r>
      <w:r w:rsidRPr="0018019A">
        <w:rPr>
          <w:rFonts w:ascii="Times New Roman" w:hAnsi="Times New Roman" w:cs="Times New Roman"/>
          <w:sz w:val="24"/>
          <w:szCs w:val="24"/>
        </w:rPr>
        <w:t xml:space="preserve"> Estos desórdenes se dividen en:</w:t>
      </w:r>
    </w:p>
    <w:p w14:paraId="1160FABF" w14:textId="77777777" w:rsidR="0018019A" w:rsidRPr="0018019A" w:rsidRDefault="0018019A" w:rsidP="0018019A">
      <w:pPr>
        <w:spacing w:after="0" w:line="360" w:lineRule="auto"/>
        <w:jc w:val="both"/>
        <w:rPr>
          <w:rFonts w:ascii="Times New Roman" w:hAnsi="Times New Roman" w:cs="Times New Roman"/>
          <w:sz w:val="24"/>
          <w:szCs w:val="24"/>
        </w:rPr>
      </w:pPr>
    </w:p>
    <w:p w14:paraId="50801DE5" w14:textId="77777777" w:rsidR="0018019A" w:rsidRPr="0018019A" w:rsidRDefault="0018019A" w:rsidP="0018019A">
      <w:pPr>
        <w:pStyle w:val="Prrafodelista"/>
        <w:numPr>
          <w:ilvl w:val="0"/>
          <w:numId w:val="2"/>
        </w:num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Acalasia: </w:t>
      </w:r>
      <w:r w:rsidRPr="0018019A">
        <w:rPr>
          <w:rFonts w:ascii="Times New Roman" w:eastAsia="Calibri" w:hAnsi="Times New Roman" w:cs="Times New Roman"/>
          <w:sz w:val="24"/>
          <w:szCs w:val="24"/>
        </w:rPr>
        <w:t>tipo I (acalasia clásica o con mínima presurización esofágica), tipo II (acalasia con compresión esofágica) y tipo III (acalasia con espasmos).</w:t>
      </w:r>
    </w:p>
    <w:p w14:paraId="5E07AFFC" w14:textId="77777777" w:rsidR="0018019A" w:rsidRPr="0018019A" w:rsidRDefault="0018019A" w:rsidP="0018019A">
      <w:pPr>
        <w:pStyle w:val="Prrafodelista"/>
        <w:numPr>
          <w:ilvl w:val="0"/>
          <w:numId w:val="2"/>
        </w:num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Obstrucción al flujo de la UEG.</w:t>
      </w:r>
      <w:r w:rsidRPr="0018019A">
        <w:rPr>
          <w:rFonts w:ascii="Times New Roman" w:hAnsi="Times New Roman" w:cs="Times New Roman"/>
          <w:sz w:val="24"/>
          <w:szCs w:val="24"/>
          <w:vertAlign w:val="superscript"/>
        </w:rPr>
        <w:t>(11)</w:t>
      </w:r>
    </w:p>
    <w:p w14:paraId="67F72F8F" w14:textId="77777777" w:rsidR="0018019A" w:rsidRPr="0018019A" w:rsidRDefault="0018019A" w:rsidP="0018019A">
      <w:pPr>
        <w:spacing w:after="0" w:line="360" w:lineRule="auto"/>
        <w:jc w:val="both"/>
        <w:rPr>
          <w:rFonts w:ascii="Times New Roman" w:hAnsi="Times New Roman" w:cs="Times New Roman"/>
          <w:sz w:val="24"/>
          <w:szCs w:val="24"/>
        </w:rPr>
      </w:pPr>
    </w:p>
    <w:p w14:paraId="10E87910" w14:textId="77777777" w:rsidR="0018019A" w:rsidRPr="0018019A" w:rsidRDefault="0018019A" w:rsidP="0018019A">
      <w:pPr>
        <w:spacing w:after="0" w:line="360" w:lineRule="auto"/>
        <w:jc w:val="both"/>
        <w:rPr>
          <w:rFonts w:ascii="Times New Roman" w:hAnsi="Times New Roman" w:cs="Times New Roman"/>
          <w:sz w:val="24"/>
          <w:szCs w:val="24"/>
          <w:vertAlign w:val="superscript"/>
        </w:rPr>
      </w:pPr>
      <w:r w:rsidRPr="0018019A">
        <w:rPr>
          <w:rFonts w:ascii="Times New Roman" w:hAnsi="Times New Roman" w:cs="Times New Roman"/>
          <w:sz w:val="24"/>
          <w:szCs w:val="24"/>
        </w:rPr>
        <w:lastRenderedPageBreak/>
        <w:t xml:space="preserve">El seguimiento de los pacientes con acalasia ha demostrado que el subtipo II es el que mejor responde al tratamiento quirúrgico, lo cual constituye un nuevo reto para el tratamiento de los otros dos </w:t>
      </w:r>
      <w:proofErr w:type="gramStart"/>
      <w:r w:rsidRPr="0018019A">
        <w:rPr>
          <w:rFonts w:ascii="Times New Roman" w:hAnsi="Times New Roman" w:cs="Times New Roman"/>
          <w:sz w:val="24"/>
          <w:szCs w:val="24"/>
        </w:rPr>
        <w:t>subgrupos.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12)</w:t>
      </w:r>
    </w:p>
    <w:p w14:paraId="417914CF" w14:textId="77777777" w:rsidR="0018019A" w:rsidRPr="0018019A" w:rsidRDefault="0018019A" w:rsidP="0018019A">
      <w:pPr>
        <w:spacing w:after="0" w:line="360" w:lineRule="auto"/>
        <w:jc w:val="both"/>
        <w:rPr>
          <w:rFonts w:ascii="Times New Roman" w:eastAsia="Calibri" w:hAnsi="Times New Roman" w:cs="Times New Roman"/>
          <w:sz w:val="24"/>
          <w:szCs w:val="24"/>
        </w:rPr>
      </w:pPr>
      <w:r w:rsidRPr="0018019A">
        <w:rPr>
          <w:rFonts w:ascii="Times New Roman" w:hAnsi="Times New Roman" w:cs="Times New Roman"/>
          <w:sz w:val="24"/>
          <w:szCs w:val="24"/>
        </w:rPr>
        <w:t>El siguiente trabajo tiene como objetivo e</w:t>
      </w:r>
      <w:r w:rsidRPr="0018019A">
        <w:rPr>
          <w:rFonts w:ascii="Times New Roman" w:eastAsia="Calibri" w:hAnsi="Times New Roman" w:cs="Times New Roman"/>
          <w:sz w:val="24"/>
          <w:szCs w:val="24"/>
        </w:rPr>
        <w:t>valuar la utilidad de la manometría esofágica de alta resolución en el diagnóstico y clasificación de la acalasia esofágica.</w:t>
      </w:r>
    </w:p>
    <w:p w14:paraId="5D20134D" w14:textId="77777777" w:rsidR="0018019A" w:rsidRPr="0018019A" w:rsidRDefault="0018019A" w:rsidP="0018019A">
      <w:pPr>
        <w:spacing w:after="0" w:line="360" w:lineRule="auto"/>
        <w:jc w:val="both"/>
        <w:rPr>
          <w:rFonts w:ascii="Times New Roman" w:eastAsia="Calibri" w:hAnsi="Times New Roman" w:cs="Times New Roman"/>
          <w:sz w:val="24"/>
          <w:szCs w:val="24"/>
        </w:rPr>
      </w:pPr>
    </w:p>
    <w:p w14:paraId="32916377" w14:textId="77777777" w:rsidR="0018019A" w:rsidRPr="0018019A" w:rsidRDefault="0018019A" w:rsidP="0018019A">
      <w:pPr>
        <w:spacing w:after="0" w:line="360" w:lineRule="auto"/>
        <w:jc w:val="both"/>
        <w:rPr>
          <w:rFonts w:ascii="Times New Roman" w:hAnsi="Times New Roman" w:cs="Times New Roman"/>
          <w:b/>
          <w:sz w:val="24"/>
          <w:szCs w:val="24"/>
        </w:rPr>
      </w:pPr>
    </w:p>
    <w:p w14:paraId="0EA194B1" w14:textId="77777777" w:rsidR="0018019A" w:rsidRPr="0018019A" w:rsidRDefault="0018019A" w:rsidP="0018019A">
      <w:pPr>
        <w:spacing w:after="0" w:line="360" w:lineRule="auto"/>
        <w:jc w:val="center"/>
        <w:rPr>
          <w:rFonts w:ascii="Times New Roman" w:hAnsi="Times New Roman" w:cs="Times New Roman"/>
          <w:b/>
          <w:sz w:val="32"/>
          <w:szCs w:val="32"/>
        </w:rPr>
      </w:pPr>
      <w:r w:rsidRPr="0018019A">
        <w:rPr>
          <w:rFonts w:ascii="Times New Roman" w:hAnsi="Times New Roman" w:cs="Times New Roman"/>
          <w:b/>
          <w:sz w:val="32"/>
          <w:szCs w:val="32"/>
        </w:rPr>
        <w:t>MÉTODOS</w:t>
      </w:r>
    </w:p>
    <w:p w14:paraId="67D1F036"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Style w:val="nfasis"/>
          <w:rFonts w:ascii="Times New Roman" w:hAnsi="Times New Roman" w:cs="Times New Roman"/>
          <w:i w:val="0"/>
          <w:sz w:val="24"/>
          <w:szCs w:val="24"/>
        </w:rPr>
        <w:t>Se realizó una investigación descriptiva, de corte trasversal, en el l</w:t>
      </w:r>
      <w:r w:rsidRPr="0018019A">
        <w:rPr>
          <w:rFonts w:ascii="Times New Roman" w:hAnsi="Times New Roman" w:cs="Times New Roman"/>
          <w:iCs/>
          <w:sz w:val="24"/>
          <w:szCs w:val="24"/>
        </w:rPr>
        <w:t>aboratorio</w:t>
      </w:r>
      <w:r w:rsidRPr="0018019A">
        <w:rPr>
          <w:rFonts w:ascii="Times New Roman" w:hAnsi="Times New Roman" w:cs="Times New Roman"/>
          <w:sz w:val="24"/>
          <w:szCs w:val="24"/>
        </w:rPr>
        <w:t xml:space="preserve"> de Motilidad del</w:t>
      </w:r>
      <w:r w:rsidRPr="0018019A">
        <w:rPr>
          <w:rFonts w:ascii="Times New Roman" w:eastAsia="Times New Roman" w:hAnsi="Times New Roman" w:cs="Times New Roman"/>
          <w:sz w:val="24"/>
          <w:szCs w:val="24"/>
        </w:rPr>
        <w:t xml:space="preserve"> Centro Nacional de Cirugía de Mínimo Acceso (CNCMA) </w:t>
      </w:r>
      <w:r w:rsidRPr="0018019A">
        <w:rPr>
          <w:rFonts w:ascii="Times New Roman" w:hAnsi="Times New Roman" w:cs="Times New Roman"/>
          <w:sz w:val="24"/>
          <w:szCs w:val="24"/>
        </w:rPr>
        <w:t>entre octubre del 2018 y diciembre del 2019.</w:t>
      </w:r>
    </w:p>
    <w:p w14:paraId="7BF9445F" w14:textId="77777777" w:rsidR="0018019A" w:rsidRPr="0018019A" w:rsidRDefault="0018019A" w:rsidP="0018019A">
      <w:pPr>
        <w:pStyle w:val="NormalWeb"/>
        <w:spacing w:before="0" w:beforeAutospacing="0" w:after="0" w:afterAutospacing="0" w:line="360" w:lineRule="auto"/>
        <w:jc w:val="both"/>
        <w:rPr>
          <w:rFonts w:ascii="Times New Roman" w:hAnsi="Times New Roman" w:cs="Times New Roman"/>
        </w:rPr>
      </w:pPr>
      <w:r w:rsidRPr="0018019A">
        <w:rPr>
          <w:rFonts w:ascii="Times New Roman" w:hAnsi="Times New Roman" w:cs="Times New Roman"/>
        </w:rPr>
        <w:t>El universo estuvo constituido por 610 pacientes, mayores de 6 años de edad, quienes asistieron al Laboratorio de Motilidad del CNCMA, para la realización de MAR.</w:t>
      </w:r>
    </w:p>
    <w:p w14:paraId="24C0DAE9" w14:textId="77777777" w:rsidR="0018019A" w:rsidRPr="0018019A" w:rsidRDefault="0018019A" w:rsidP="0018019A">
      <w:pPr>
        <w:rPr>
          <w:rStyle w:val="Ttulo1Car"/>
          <w:rFonts w:ascii="Times New Roman" w:hAnsi="Times New Roman" w:cs="Times New Roman"/>
          <w:color w:val="auto"/>
          <w:sz w:val="24"/>
          <w:szCs w:val="24"/>
        </w:rPr>
      </w:pPr>
      <w:bookmarkStart w:id="0" w:name="_Toc60990812"/>
      <w:r w:rsidRPr="0018019A">
        <w:rPr>
          <w:rStyle w:val="Ttulo1Car"/>
          <w:rFonts w:ascii="Times New Roman" w:hAnsi="Times New Roman" w:cs="Times New Roman"/>
          <w:color w:val="auto"/>
          <w:sz w:val="24"/>
          <w:szCs w:val="24"/>
        </w:rPr>
        <w:t>Criterios de inclusión</w:t>
      </w:r>
      <w:bookmarkEnd w:id="0"/>
      <w:r w:rsidRPr="0018019A">
        <w:rPr>
          <w:rStyle w:val="Ttulo1Car"/>
          <w:rFonts w:ascii="Times New Roman" w:hAnsi="Times New Roman" w:cs="Times New Roman"/>
          <w:color w:val="auto"/>
          <w:sz w:val="24"/>
          <w:szCs w:val="24"/>
        </w:rPr>
        <w:t>:</w:t>
      </w:r>
    </w:p>
    <w:p w14:paraId="159AF3CA" w14:textId="77777777" w:rsidR="0018019A" w:rsidRPr="0018019A" w:rsidRDefault="0018019A" w:rsidP="0018019A">
      <w:pPr>
        <w:spacing w:after="0" w:line="360" w:lineRule="auto"/>
        <w:jc w:val="both"/>
        <w:rPr>
          <w:rStyle w:val="Ttulo1Car"/>
          <w:rFonts w:ascii="Times New Roman" w:hAnsi="Times New Roman" w:cs="Times New Roman"/>
          <w:sz w:val="24"/>
          <w:szCs w:val="24"/>
        </w:rPr>
      </w:pPr>
    </w:p>
    <w:p w14:paraId="7487495F" w14:textId="460D47B4" w:rsidR="0018019A" w:rsidRPr="0018019A" w:rsidRDefault="0018019A" w:rsidP="0018019A">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Diagnóstico manométrico confirmado de acalasia según los criterios de la clasificación de Chicago versión 3.0.</w:t>
      </w:r>
    </w:p>
    <w:p w14:paraId="0516BC2C" w14:textId="77777777" w:rsidR="0018019A" w:rsidRPr="0018019A" w:rsidRDefault="0018019A" w:rsidP="0018019A">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Pacientes de nacionalidad cubana, para lograr homogeneidad en la muestra.</w:t>
      </w:r>
    </w:p>
    <w:p w14:paraId="543DA4CC" w14:textId="77777777" w:rsidR="0018019A" w:rsidRPr="0018019A" w:rsidRDefault="0018019A" w:rsidP="0018019A">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Consentimiento oral del paciente para la realización de ME, como parte del estudio de su enfermedad.</w:t>
      </w:r>
    </w:p>
    <w:p w14:paraId="5BE80485" w14:textId="77777777" w:rsidR="0018019A" w:rsidRPr="0018019A" w:rsidRDefault="0018019A" w:rsidP="0018019A">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No tener cirugía previa de esófago por diagnóstico de acalasia y estar de acuerdo en que los datos tomados fueran utilizados para la investigación científica.</w:t>
      </w:r>
    </w:p>
    <w:p w14:paraId="6F02370F"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30724FF"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Los pacientes acudieron a realizarse el examen con un mínimo de 8 horas de ayuno. De cada uno se registraron los datos generales (edad, sexo y tiempo de evolución de los síntomas, previo a la realización de la MAR).</w:t>
      </w:r>
    </w:p>
    <w:p w14:paraId="04232FDE" w14:textId="746ED04D"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Todos presentaron un informe de endoscopía digestiva superior o un estudio radiológico contrastado de esófago, estómago, duodeno, realizado en los 6 meses previos al estudio. Tres días antes fueron suspendidos los medicamentos que pueden alterar la función motora del esófago (procinéticos, </w:t>
      </w:r>
      <w:r w:rsidRPr="0018019A">
        <w:rPr>
          <w:rFonts w:ascii="Times New Roman" w:hAnsi="Times New Roman" w:cs="Times New Roman"/>
          <w:sz w:val="24"/>
          <w:szCs w:val="24"/>
        </w:rPr>
        <w:lastRenderedPageBreak/>
        <w:t>sedantes, antagonistas</w:t>
      </w:r>
      <w:r w:rsidR="00312551">
        <w:rPr>
          <w:rFonts w:ascii="Times New Roman" w:hAnsi="Times New Roman" w:cs="Times New Roman"/>
          <w:sz w:val="24"/>
          <w:szCs w:val="24"/>
        </w:rPr>
        <w:t xml:space="preserve"> del </w:t>
      </w:r>
      <w:r w:rsidR="00312551" w:rsidRPr="0018019A">
        <w:rPr>
          <w:rFonts w:ascii="Times New Roman" w:hAnsi="Times New Roman" w:cs="Times New Roman"/>
          <w:sz w:val="24"/>
          <w:szCs w:val="24"/>
        </w:rPr>
        <w:t>calcio</w:t>
      </w:r>
      <w:r w:rsidRPr="0018019A">
        <w:rPr>
          <w:rFonts w:ascii="Times New Roman" w:hAnsi="Times New Roman" w:cs="Times New Roman"/>
          <w:sz w:val="24"/>
          <w:szCs w:val="24"/>
        </w:rPr>
        <w:t xml:space="preserve">, anticolinérgicos como los antidepresivos tricíclicos, nitritos, antagonistas ß-adrenérgicos, antagonistas opiáceos, loperamida y agonistas dopaminérgicos). </w:t>
      </w:r>
    </w:p>
    <w:p w14:paraId="54F01A55"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El paciente fue informado previamente de la prueba que se le realizaría y se le explicó lo que podría notar (que podría respirar perfectamente con la sonda colocada en su esófago) y la importancia que tenía su colaboración para obtener un diagnóstico definitivo. Esta información previa mejora la tolerancia del enfermo a la prueba.</w:t>
      </w:r>
    </w:p>
    <w:p w14:paraId="1A2F220C"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El análisis e interpretación de los resultados registrados y el diagnóstico manométrico se realizó siguiendo el algoritmo de análisis recomendado en la clasificación de Chicago versión 3.0. Se elaboró un informe final en el que se recogieron todos los parámetros manométricos relevantes y la conclusión del estudio de la MAR.</w:t>
      </w:r>
    </w:p>
    <w:p w14:paraId="1D39E0CE"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Las variables que se tuvieron en cuenta fueron: </w:t>
      </w:r>
    </w:p>
    <w:p w14:paraId="50720C63"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p>
    <w:p w14:paraId="42520BBB" w14:textId="77777777" w:rsidR="0018019A" w:rsidRPr="0018019A" w:rsidRDefault="0018019A" w:rsidP="0018019A">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Edad.</w:t>
      </w:r>
    </w:p>
    <w:p w14:paraId="6098CFA3" w14:textId="77777777" w:rsidR="0018019A" w:rsidRPr="0018019A" w:rsidRDefault="0018019A" w:rsidP="0018019A">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Sexo.</w:t>
      </w:r>
    </w:p>
    <w:p w14:paraId="61627DB9" w14:textId="77777777" w:rsidR="0018019A" w:rsidRPr="0018019A" w:rsidRDefault="0018019A" w:rsidP="0018019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18019A">
        <w:rPr>
          <w:rFonts w:ascii="Times New Roman" w:hAnsi="Times New Roman" w:cs="Times New Roman"/>
          <w:color w:val="000000"/>
          <w:sz w:val="24"/>
          <w:szCs w:val="24"/>
        </w:rPr>
        <w:t>Tiempo de evolución de la enfermedad: dado por el criterio personal y retrospectivo del paciente desde el inicio de los síntomas hasta la entrada en este protocolo (inferior o superior a 1 año).</w:t>
      </w:r>
    </w:p>
    <w:p w14:paraId="1A7E166C" w14:textId="77777777" w:rsidR="0018019A" w:rsidRPr="0018019A" w:rsidRDefault="0018019A" w:rsidP="0018019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18019A">
        <w:rPr>
          <w:rFonts w:ascii="Times New Roman" w:hAnsi="Times New Roman" w:cs="Times New Roman"/>
          <w:sz w:val="24"/>
          <w:szCs w:val="24"/>
        </w:rPr>
        <w:t>Síntomas que motivaron la indicación de la MAR:</w:t>
      </w:r>
    </w:p>
    <w:p w14:paraId="722EFC81" w14:textId="77777777" w:rsidR="0018019A" w:rsidRPr="0018019A" w:rsidRDefault="0018019A" w:rsidP="0018019A">
      <w:pPr>
        <w:pStyle w:val="Prrafodelista"/>
        <w:numPr>
          <w:ilvl w:val="0"/>
          <w:numId w:val="6"/>
        </w:numPr>
        <w:autoSpaceDE w:val="0"/>
        <w:autoSpaceDN w:val="0"/>
        <w:adjustRightInd w:val="0"/>
        <w:spacing w:after="0" w:line="360" w:lineRule="auto"/>
        <w:jc w:val="both"/>
        <w:rPr>
          <w:rFonts w:ascii="Times New Roman" w:hAnsi="Times New Roman" w:cs="Times New Roman"/>
          <w:strike/>
          <w:color w:val="FF0000"/>
          <w:sz w:val="24"/>
          <w:szCs w:val="24"/>
        </w:rPr>
      </w:pPr>
      <w:r w:rsidRPr="0018019A">
        <w:rPr>
          <w:rFonts w:ascii="Times New Roman" w:hAnsi="Times New Roman" w:cs="Times New Roman"/>
          <w:bCs/>
          <w:sz w:val="24"/>
          <w:szCs w:val="24"/>
        </w:rPr>
        <w:t xml:space="preserve">Disfagia: </w:t>
      </w:r>
      <w:r w:rsidRPr="0018019A">
        <w:rPr>
          <w:rFonts w:ascii="Times New Roman" w:hAnsi="Times New Roman" w:cs="Times New Roman"/>
          <w:sz w:val="24"/>
          <w:szCs w:val="24"/>
        </w:rPr>
        <w:t xml:space="preserve">percepción de dificultad para el transporte de los alimentos desde   la boca hasta el estómago. </w:t>
      </w:r>
    </w:p>
    <w:p w14:paraId="0F99E7D0" w14:textId="77777777" w:rsidR="0018019A" w:rsidRPr="0018019A" w:rsidRDefault="0018019A" w:rsidP="0018019A">
      <w:pPr>
        <w:pStyle w:val="Prrafodelista"/>
        <w:numPr>
          <w:ilvl w:val="0"/>
          <w:numId w:val="5"/>
        </w:numPr>
        <w:autoSpaceDE w:val="0"/>
        <w:autoSpaceDN w:val="0"/>
        <w:adjustRightInd w:val="0"/>
        <w:spacing w:after="0" w:line="360" w:lineRule="auto"/>
        <w:jc w:val="both"/>
        <w:rPr>
          <w:rFonts w:ascii="Times New Roman" w:hAnsi="Times New Roman" w:cs="Times New Roman"/>
          <w:bCs/>
          <w:color w:val="000000"/>
          <w:sz w:val="24"/>
          <w:szCs w:val="24"/>
        </w:rPr>
      </w:pPr>
      <w:r w:rsidRPr="0018019A">
        <w:rPr>
          <w:rFonts w:ascii="Times New Roman" w:hAnsi="Times New Roman" w:cs="Times New Roman"/>
          <w:bCs/>
          <w:sz w:val="24"/>
          <w:szCs w:val="24"/>
        </w:rPr>
        <w:t xml:space="preserve">Regurgitación: </w:t>
      </w:r>
      <w:r w:rsidRPr="0018019A">
        <w:rPr>
          <w:rFonts w:ascii="Times New Roman" w:hAnsi="Times New Roman" w:cs="Times New Roman"/>
          <w:sz w:val="24"/>
          <w:szCs w:val="24"/>
        </w:rPr>
        <w:t xml:space="preserve">ascenso a la orofaringe de material refluido de procedencia esofágica o gastroduodenal. </w:t>
      </w:r>
    </w:p>
    <w:p w14:paraId="1E5ECF49" w14:textId="77777777" w:rsidR="0018019A" w:rsidRPr="0018019A" w:rsidRDefault="0018019A" w:rsidP="0018019A">
      <w:pPr>
        <w:pStyle w:val="Prrafodelista"/>
        <w:numPr>
          <w:ilvl w:val="0"/>
          <w:numId w:val="5"/>
        </w:numPr>
        <w:autoSpaceDE w:val="0"/>
        <w:autoSpaceDN w:val="0"/>
        <w:adjustRightInd w:val="0"/>
        <w:spacing w:after="0" w:line="360" w:lineRule="auto"/>
        <w:jc w:val="both"/>
        <w:rPr>
          <w:rFonts w:ascii="Times New Roman" w:hAnsi="Times New Roman" w:cs="Times New Roman"/>
          <w:bCs/>
          <w:color w:val="000000"/>
          <w:sz w:val="24"/>
          <w:szCs w:val="24"/>
        </w:rPr>
      </w:pPr>
      <w:r w:rsidRPr="0018019A">
        <w:rPr>
          <w:rFonts w:ascii="Times New Roman" w:hAnsi="Times New Roman" w:cs="Times New Roman"/>
          <w:bCs/>
          <w:sz w:val="24"/>
          <w:szCs w:val="24"/>
        </w:rPr>
        <w:t>Dolor torácico de origen no cardiológico (no es un dolor tipo opresivo, no irradia al brazo izquierdo, cuello o mandíbula, no se acompaña de diaforesis, disnea o síncope, ni se exacerba con la actividad física, o alivia o disminuye con el reposo o nitratos).</w:t>
      </w:r>
    </w:p>
    <w:p w14:paraId="3642EA41" w14:textId="77777777" w:rsidR="0018019A" w:rsidRPr="0018019A" w:rsidRDefault="0018019A" w:rsidP="0018019A">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18019A">
        <w:rPr>
          <w:rFonts w:ascii="Times New Roman" w:hAnsi="Times New Roman" w:cs="Times New Roman"/>
          <w:sz w:val="24"/>
          <w:szCs w:val="24"/>
        </w:rPr>
        <w:t>Hallazgos manométricos:</w:t>
      </w:r>
    </w:p>
    <w:p w14:paraId="40218512" w14:textId="77777777" w:rsidR="0018019A" w:rsidRPr="0018019A" w:rsidRDefault="0018019A" w:rsidP="0018019A">
      <w:pPr>
        <w:pStyle w:val="Prrafodelista"/>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18019A">
        <w:rPr>
          <w:rFonts w:ascii="Times New Roman" w:hAnsi="Times New Roman" w:cs="Times New Roman"/>
          <w:color w:val="000000"/>
          <w:sz w:val="24"/>
          <w:szCs w:val="24"/>
        </w:rPr>
        <w:t>Presión media basal del EEI medida en mmHg.</w:t>
      </w:r>
    </w:p>
    <w:p w14:paraId="3594965E" w14:textId="77777777" w:rsidR="00F000C0" w:rsidRDefault="0018019A" w:rsidP="00F000C0">
      <w:pPr>
        <w:pStyle w:val="Prrafodelista"/>
        <w:autoSpaceDE w:val="0"/>
        <w:autoSpaceDN w:val="0"/>
        <w:adjustRightInd w:val="0"/>
        <w:spacing w:after="0" w:line="360" w:lineRule="auto"/>
        <w:ind w:left="555"/>
        <w:jc w:val="both"/>
        <w:rPr>
          <w:rFonts w:ascii="Times New Roman" w:hAnsi="Times New Roman" w:cs="Times New Roman"/>
          <w:color w:val="000000"/>
          <w:sz w:val="24"/>
          <w:szCs w:val="24"/>
        </w:rPr>
      </w:pPr>
      <w:r w:rsidRPr="0018019A">
        <w:rPr>
          <w:rFonts w:ascii="Times New Roman" w:hAnsi="Times New Roman" w:cs="Times New Roman"/>
          <w:color w:val="000000"/>
          <w:sz w:val="24"/>
          <w:szCs w:val="24"/>
        </w:rPr>
        <w:t>Presión normal: 14,3-50 mmHg</w:t>
      </w:r>
    </w:p>
    <w:p w14:paraId="063A5EF0" w14:textId="77777777" w:rsidR="00F000C0" w:rsidRDefault="0018019A" w:rsidP="00F000C0">
      <w:pPr>
        <w:pStyle w:val="Prrafodelista"/>
        <w:autoSpaceDE w:val="0"/>
        <w:autoSpaceDN w:val="0"/>
        <w:adjustRightInd w:val="0"/>
        <w:spacing w:after="0" w:line="360" w:lineRule="auto"/>
        <w:ind w:left="555"/>
        <w:jc w:val="both"/>
        <w:rPr>
          <w:rFonts w:ascii="Times New Roman" w:hAnsi="Times New Roman" w:cs="Times New Roman"/>
          <w:color w:val="000000"/>
          <w:sz w:val="24"/>
          <w:szCs w:val="24"/>
        </w:rPr>
      </w:pPr>
      <w:r w:rsidRPr="0018019A">
        <w:rPr>
          <w:rFonts w:ascii="Times New Roman" w:hAnsi="Times New Roman" w:cs="Times New Roman"/>
          <w:color w:val="000000"/>
          <w:sz w:val="24"/>
          <w:szCs w:val="24"/>
        </w:rPr>
        <w:t>Hipotónico: &lt; 14,3 mmHg</w:t>
      </w:r>
    </w:p>
    <w:p w14:paraId="403EA3B7" w14:textId="204806D2" w:rsidR="0018019A" w:rsidRPr="0018019A" w:rsidRDefault="0018019A" w:rsidP="00F000C0">
      <w:pPr>
        <w:pStyle w:val="Prrafodelista"/>
        <w:autoSpaceDE w:val="0"/>
        <w:autoSpaceDN w:val="0"/>
        <w:adjustRightInd w:val="0"/>
        <w:spacing w:after="0" w:line="360" w:lineRule="auto"/>
        <w:ind w:left="555"/>
        <w:jc w:val="both"/>
        <w:rPr>
          <w:rFonts w:ascii="Times New Roman" w:hAnsi="Times New Roman" w:cs="Times New Roman"/>
          <w:color w:val="000000"/>
          <w:sz w:val="24"/>
          <w:szCs w:val="24"/>
        </w:rPr>
      </w:pPr>
      <w:r w:rsidRPr="0018019A">
        <w:rPr>
          <w:rFonts w:ascii="Times New Roman" w:hAnsi="Times New Roman" w:cs="Times New Roman"/>
          <w:color w:val="000000"/>
          <w:sz w:val="24"/>
          <w:szCs w:val="24"/>
        </w:rPr>
        <w:lastRenderedPageBreak/>
        <w:t>Hipertónico: &gt; 50 mmHg</w:t>
      </w:r>
    </w:p>
    <w:p w14:paraId="3E1B6E09" w14:textId="77777777" w:rsidR="0018019A" w:rsidRPr="0018019A" w:rsidRDefault="0018019A" w:rsidP="0018019A">
      <w:pPr>
        <w:pStyle w:val="Prrafodelista"/>
        <w:numPr>
          <w:ilvl w:val="0"/>
          <w:numId w:val="7"/>
        </w:num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Presión de relajación integrada IRP (mmHg)</w:t>
      </w:r>
      <w:r w:rsidRPr="0018019A">
        <w:rPr>
          <w:rFonts w:ascii="Times New Roman" w:hAnsi="Times New Roman" w:cs="Times New Roman"/>
          <w:color w:val="000000"/>
          <w:sz w:val="24"/>
          <w:szCs w:val="24"/>
        </w:rPr>
        <w:t xml:space="preserve">, </w:t>
      </w:r>
      <w:r w:rsidRPr="0018019A">
        <w:rPr>
          <w:rFonts w:ascii="Times New Roman" w:eastAsia="SimSun" w:hAnsi="Times New Roman" w:cs="Times New Roman"/>
          <w:color w:val="000000"/>
          <w:kern w:val="24"/>
          <w:sz w:val="24"/>
          <w:szCs w:val="24"/>
        </w:rPr>
        <w:t xml:space="preserve">es el promedio de los nadires de presión de los 4 segundos de más baja presión en la relajación </w:t>
      </w:r>
      <w:r w:rsidRPr="0018019A">
        <w:rPr>
          <w:rFonts w:ascii="Times New Roman" w:hAnsi="Times New Roman" w:cs="Times New Roman"/>
          <w:color w:val="000000"/>
          <w:sz w:val="24"/>
          <w:szCs w:val="24"/>
        </w:rPr>
        <w:t>(VN: &lt; 15 mmHg).</w:t>
      </w:r>
    </w:p>
    <w:p w14:paraId="3D591ED8" w14:textId="77777777" w:rsidR="0018019A" w:rsidRPr="0018019A" w:rsidRDefault="0018019A" w:rsidP="0018019A">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Velocidad del frente contráctil CFV (cm/s), (VN: &lt; 9 cm/s)</w:t>
      </w:r>
    </w:p>
    <w:p w14:paraId="1F011A90" w14:textId="77777777" w:rsidR="0018019A" w:rsidRPr="0018019A" w:rsidRDefault="0018019A" w:rsidP="0018019A">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Presión intrabolus:</w:t>
      </w:r>
    </w:p>
    <w:p w14:paraId="0864D4D7" w14:textId="77777777" w:rsidR="0018019A" w:rsidRPr="0018019A" w:rsidRDefault="0018019A" w:rsidP="0018019A">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Presurización panesofágica: presurización uniforme que se extiende desde el EES a la UEG.</w:t>
      </w:r>
    </w:p>
    <w:p w14:paraId="1F45FD5F" w14:textId="77777777" w:rsidR="0018019A" w:rsidRPr="0018019A" w:rsidRDefault="0018019A" w:rsidP="0018019A">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Presurización esofágica </w:t>
      </w:r>
      <w:proofErr w:type="spellStart"/>
      <w:r w:rsidRPr="0018019A">
        <w:rPr>
          <w:rFonts w:ascii="Times New Roman" w:hAnsi="Times New Roman" w:cs="Times New Roman"/>
          <w:sz w:val="24"/>
          <w:szCs w:val="24"/>
        </w:rPr>
        <w:t>compartimentalizada</w:t>
      </w:r>
      <w:proofErr w:type="spellEnd"/>
      <w:r w:rsidRPr="0018019A">
        <w:rPr>
          <w:rFonts w:ascii="Times New Roman" w:hAnsi="Times New Roman" w:cs="Times New Roman"/>
          <w:sz w:val="24"/>
          <w:szCs w:val="24"/>
        </w:rPr>
        <w:t>: presurización que se extiende desde el frente contráctil hasta el EEI.</w:t>
      </w:r>
    </w:p>
    <w:p w14:paraId="5B15E101" w14:textId="77777777" w:rsidR="0018019A" w:rsidRPr="0018019A" w:rsidRDefault="0018019A" w:rsidP="0018019A">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Presurización de la UEG: presurización restringida a la zona entre el EEI y el anillo diafragmático en presencia de hernia de hiato.</w:t>
      </w:r>
    </w:p>
    <w:p w14:paraId="7165C5BE" w14:textId="77777777" w:rsidR="0018019A" w:rsidRPr="0018019A" w:rsidRDefault="0018019A" w:rsidP="0018019A">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Presurización normal: presurización &lt; 30 mmHg.</w:t>
      </w:r>
    </w:p>
    <w:p w14:paraId="685FF6D1" w14:textId="77777777" w:rsidR="0018019A" w:rsidRPr="0018019A" w:rsidRDefault="0018019A" w:rsidP="0018019A">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Latencia distal (DL): </w:t>
      </w:r>
      <w:r w:rsidRPr="0018019A">
        <w:rPr>
          <w:rFonts w:ascii="Times New Roman" w:eastAsia="SimSun" w:hAnsi="Times New Roman" w:cs="Times New Roman"/>
          <w:color w:val="000000"/>
          <w:kern w:val="24"/>
          <w:sz w:val="24"/>
          <w:szCs w:val="24"/>
        </w:rPr>
        <w:t xml:space="preserve">medida desde el inicio de la relajación del EES hasta el inicio de la relajación de la UEG </w:t>
      </w:r>
      <w:r w:rsidRPr="0018019A">
        <w:rPr>
          <w:rFonts w:ascii="Times New Roman" w:hAnsi="Times New Roman" w:cs="Times New Roman"/>
          <w:sz w:val="24"/>
          <w:szCs w:val="24"/>
        </w:rPr>
        <w:t xml:space="preserve">(VN: </w:t>
      </w:r>
      <w:r w:rsidRPr="0018019A">
        <w:rPr>
          <w:rFonts w:ascii="Times New Roman" w:hAnsi="Times New Roman" w:cs="Times New Roman"/>
          <w:color w:val="000000"/>
          <w:sz w:val="24"/>
          <w:szCs w:val="24"/>
        </w:rPr>
        <w:t>&gt; 4,5 s).</w:t>
      </w:r>
    </w:p>
    <w:p w14:paraId="448CA63D"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Tipos de acalasia:</w:t>
      </w:r>
    </w:p>
    <w:p w14:paraId="62D244BB" w14:textId="77777777" w:rsidR="0018019A" w:rsidRPr="0018019A" w:rsidRDefault="0018019A" w:rsidP="00BF5E47">
      <w:pPr>
        <w:autoSpaceDE w:val="0"/>
        <w:autoSpaceDN w:val="0"/>
        <w:adjustRightInd w:val="0"/>
        <w:spacing w:after="0" w:line="360" w:lineRule="auto"/>
        <w:ind w:left="1416" w:hanging="708"/>
        <w:jc w:val="both"/>
        <w:rPr>
          <w:rFonts w:ascii="Times New Roman" w:hAnsi="Times New Roman" w:cs="Times New Roman"/>
          <w:sz w:val="24"/>
          <w:szCs w:val="24"/>
        </w:rPr>
      </w:pPr>
      <w:r w:rsidRPr="0018019A">
        <w:rPr>
          <w:rFonts w:ascii="Times New Roman" w:hAnsi="Times New Roman" w:cs="Times New Roman"/>
          <w:sz w:val="24"/>
          <w:szCs w:val="24"/>
        </w:rPr>
        <w:t xml:space="preserve">Tipo I (clásica): ausencia de peristalsis, </w:t>
      </w:r>
      <w:r w:rsidRPr="0018019A">
        <w:rPr>
          <w:rFonts w:ascii="Times New Roman" w:hAnsi="Times New Roman" w:cs="Times New Roman"/>
          <w:color w:val="000000"/>
          <w:sz w:val="24"/>
          <w:szCs w:val="24"/>
        </w:rPr>
        <w:t>&lt;</w:t>
      </w:r>
      <w:r w:rsidRPr="0018019A">
        <w:rPr>
          <w:rFonts w:ascii="Times New Roman" w:hAnsi="Times New Roman" w:cs="Times New Roman"/>
          <w:sz w:val="24"/>
          <w:szCs w:val="24"/>
        </w:rPr>
        <w:t xml:space="preserve"> 30mmHg.</w:t>
      </w:r>
    </w:p>
    <w:p w14:paraId="37A39A38" w14:textId="77777777" w:rsidR="0018019A" w:rsidRPr="0018019A" w:rsidRDefault="0018019A" w:rsidP="00BF5E47">
      <w:pPr>
        <w:autoSpaceDE w:val="0"/>
        <w:autoSpaceDN w:val="0"/>
        <w:adjustRightInd w:val="0"/>
        <w:spacing w:after="0" w:line="360" w:lineRule="auto"/>
        <w:ind w:left="1416" w:hanging="708"/>
        <w:jc w:val="both"/>
        <w:rPr>
          <w:rFonts w:ascii="Times New Roman" w:hAnsi="Times New Roman" w:cs="Times New Roman"/>
          <w:color w:val="000000"/>
          <w:sz w:val="24"/>
          <w:szCs w:val="24"/>
        </w:rPr>
      </w:pPr>
      <w:r w:rsidRPr="0018019A">
        <w:rPr>
          <w:rFonts w:ascii="Times New Roman" w:hAnsi="Times New Roman" w:cs="Times New Roman"/>
          <w:sz w:val="24"/>
          <w:szCs w:val="24"/>
        </w:rPr>
        <w:t xml:space="preserve">Tipo II (compresión): ≥ 20 % ondas de presurización panesofágica, &gt; </w:t>
      </w:r>
      <w:r w:rsidRPr="0018019A">
        <w:rPr>
          <w:rFonts w:ascii="Times New Roman" w:hAnsi="Times New Roman" w:cs="Times New Roman"/>
          <w:color w:val="000000"/>
          <w:sz w:val="24"/>
          <w:szCs w:val="24"/>
        </w:rPr>
        <w:t>30 mmHg.</w:t>
      </w:r>
    </w:p>
    <w:p w14:paraId="1A60197B" w14:textId="77777777" w:rsidR="0018019A" w:rsidRPr="0018019A" w:rsidRDefault="0018019A" w:rsidP="00BF5E47">
      <w:pPr>
        <w:autoSpaceDE w:val="0"/>
        <w:autoSpaceDN w:val="0"/>
        <w:adjustRightInd w:val="0"/>
        <w:spacing w:after="0" w:line="360" w:lineRule="auto"/>
        <w:ind w:left="1416" w:hanging="708"/>
        <w:jc w:val="both"/>
        <w:rPr>
          <w:rFonts w:ascii="Times New Roman" w:hAnsi="Times New Roman" w:cs="Times New Roman"/>
          <w:sz w:val="24"/>
          <w:szCs w:val="24"/>
        </w:rPr>
      </w:pPr>
      <w:r w:rsidRPr="0018019A">
        <w:rPr>
          <w:rFonts w:ascii="Times New Roman" w:hAnsi="Times New Roman" w:cs="Times New Roman"/>
          <w:color w:val="000000"/>
          <w:sz w:val="24"/>
          <w:szCs w:val="24"/>
        </w:rPr>
        <w:t>Tipo III (espástica):</w:t>
      </w:r>
      <w:r w:rsidRPr="0018019A">
        <w:rPr>
          <w:rFonts w:ascii="Times New Roman" w:hAnsi="Times New Roman" w:cs="Times New Roman"/>
          <w:sz w:val="24"/>
          <w:szCs w:val="24"/>
        </w:rPr>
        <w:t xml:space="preserve"> ≥ 20 % ondas espásticas (VFC </w:t>
      </w:r>
      <w:r w:rsidRPr="0018019A">
        <w:rPr>
          <w:rFonts w:ascii="Times New Roman" w:hAnsi="Times New Roman" w:cs="Times New Roman"/>
          <w:color w:val="000000"/>
          <w:sz w:val="24"/>
          <w:szCs w:val="24"/>
        </w:rPr>
        <w:t>&gt; 8 cm/s).</w:t>
      </w:r>
    </w:p>
    <w:p w14:paraId="257C694F" w14:textId="77777777" w:rsidR="00BF5E47" w:rsidRDefault="00BF5E47" w:rsidP="0018019A">
      <w:pPr>
        <w:autoSpaceDE w:val="0"/>
        <w:autoSpaceDN w:val="0"/>
        <w:adjustRightInd w:val="0"/>
        <w:spacing w:after="0" w:line="360" w:lineRule="auto"/>
        <w:jc w:val="both"/>
        <w:rPr>
          <w:rFonts w:ascii="Times New Roman" w:hAnsi="Times New Roman" w:cs="Times New Roman"/>
          <w:sz w:val="24"/>
          <w:szCs w:val="24"/>
        </w:rPr>
      </w:pPr>
    </w:p>
    <w:p w14:paraId="73BE53EE" w14:textId="7AD3AC0D"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Se realizó un análisis descriptivo. Para las variables cuantitativas se emplearon medidas de tendencia central, media y de dispersión: desviación estándar (DE). Las frecuencias y proporciones fueron utilizadas para describir las variables cualitativas. Los resultados se presentaron en forma de texto, con el empleo de tablas y gráficos, para su mejor comprensión.</w:t>
      </w:r>
    </w:p>
    <w:p w14:paraId="67A6BFE7"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El estudio se realizó conforme a los principios establecidos en la Declaración de Helsinki: los pacientes incluidos tenían un beneficio terapéutico por el mejor seguimiento de su enfermedad; el cuidado y las decisiones adoptadas eran responsabilidad del equipo médico, debidamente calificado, que participaba activamente en la investigación; en este protocolo de estudio, se realizaron solo estudios aceptados internacionalmente y consensados por la práctica médica, como los correspondientes a la enfermedad en cuestión. No se realizó ningún procedimiento que pudiera traer una nueva complicación o riesgo al </w:t>
      </w:r>
      <w:r w:rsidRPr="0018019A">
        <w:rPr>
          <w:rFonts w:ascii="Times New Roman" w:hAnsi="Times New Roman" w:cs="Times New Roman"/>
          <w:sz w:val="24"/>
          <w:szCs w:val="24"/>
        </w:rPr>
        <w:lastRenderedPageBreak/>
        <w:t xml:space="preserve">paciente, además de los ya conocidos y aceptados. Si el paciente no deseaba realizarse la MAR, se continuó el algoritmo de estudio y tratamiento aceptados para esta enfermedad y se respetó la integridad de los pacientes dentro de la investigación, asegurando la confidencialidad de toda la información personal recogida. </w:t>
      </w:r>
    </w:p>
    <w:p w14:paraId="031CF73C"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b/>
          <w:sz w:val="24"/>
          <w:szCs w:val="24"/>
          <w:lang w:eastAsia="zh-CN"/>
        </w:rPr>
      </w:pPr>
    </w:p>
    <w:p w14:paraId="09456502" w14:textId="77777777" w:rsidR="0018019A" w:rsidRPr="0018019A" w:rsidRDefault="0018019A" w:rsidP="0018019A">
      <w:pPr>
        <w:autoSpaceDE w:val="0"/>
        <w:autoSpaceDN w:val="0"/>
        <w:adjustRightInd w:val="0"/>
        <w:spacing w:after="0" w:line="360" w:lineRule="auto"/>
        <w:jc w:val="both"/>
        <w:rPr>
          <w:rFonts w:ascii="Times New Roman" w:eastAsia="Calibri" w:hAnsi="Times New Roman" w:cs="Times New Roman"/>
          <w:b/>
          <w:sz w:val="24"/>
          <w:szCs w:val="24"/>
          <w:lang w:eastAsia="zh-CN"/>
        </w:rPr>
      </w:pPr>
    </w:p>
    <w:p w14:paraId="4640B7A6" w14:textId="77777777" w:rsidR="0018019A" w:rsidRPr="0018019A" w:rsidRDefault="0018019A" w:rsidP="0018019A">
      <w:pPr>
        <w:autoSpaceDE w:val="0"/>
        <w:autoSpaceDN w:val="0"/>
        <w:adjustRightInd w:val="0"/>
        <w:spacing w:after="0" w:line="360" w:lineRule="auto"/>
        <w:jc w:val="center"/>
        <w:rPr>
          <w:rFonts w:ascii="Times New Roman" w:eastAsia="Calibri" w:hAnsi="Times New Roman" w:cs="Times New Roman"/>
          <w:b/>
          <w:sz w:val="32"/>
          <w:szCs w:val="32"/>
          <w:lang w:eastAsia="zh-CN"/>
        </w:rPr>
      </w:pPr>
      <w:r w:rsidRPr="0018019A">
        <w:rPr>
          <w:rFonts w:ascii="Times New Roman" w:eastAsia="Calibri" w:hAnsi="Times New Roman" w:cs="Times New Roman"/>
          <w:b/>
          <w:sz w:val="32"/>
          <w:szCs w:val="32"/>
          <w:lang w:eastAsia="zh-CN"/>
        </w:rPr>
        <w:t>RESULTADOS</w:t>
      </w:r>
    </w:p>
    <w:p w14:paraId="3BD2356F" w14:textId="0348D084"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En el período de estudio fueron realizadas 610 MAR, en las cuales 46 (7,54 %) pacientes fueron diagnosticados con acalasia esofágica, según la clasificación de Chicago, versión 3.0. </w:t>
      </w:r>
      <w:r w:rsidRPr="0018019A">
        <w:rPr>
          <w:rFonts w:ascii="Times New Roman" w:hAnsi="Times New Roman" w:cs="Times New Roman"/>
          <w:sz w:val="24"/>
          <w:szCs w:val="24"/>
        </w:rPr>
        <w:br/>
        <w:t>De los 46 pacientes diagnosticados con acalasia esofágica, el grupo más representativo fue el de 51</w:t>
      </w:r>
      <w:r w:rsidR="00AA337E">
        <w:rPr>
          <w:rFonts w:ascii="Times New Roman" w:hAnsi="Times New Roman" w:cs="Times New Roman"/>
          <w:sz w:val="24"/>
          <w:szCs w:val="24"/>
        </w:rPr>
        <w:t xml:space="preserve"> </w:t>
      </w:r>
      <w:r w:rsidRPr="0018019A">
        <w:rPr>
          <w:rFonts w:ascii="Times New Roman" w:hAnsi="Times New Roman" w:cs="Times New Roman"/>
          <w:sz w:val="24"/>
          <w:szCs w:val="24"/>
        </w:rPr>
        <w:t>-</w:t>
      </w:r>
      <w:r w:rsidR="00AA337E">
        <w:rPr>
          <w:rFonts w:ascii="Times New Roman" w:hAnsi="Times New Roman" w:cs="Times New Roman"/>
          <w:sz w:val="24"/>
          <w:szCs w:val="24"/>
        </w:rPr>
        <w:t xml:space="preserve"> </w:t>
      </w:r>
      <w:r w:rsidRPr="0018019A">
        <w:rPr>
          <w:rFonts w:ascii="Times New Roman" w:hAnsi="Times New Roman" w:cs="Times New Roman"/>
          <w:sz w:val="24"/>
          <w:szCs w:val="24"/>
        </w:rPr>
        <w:t>60 años, con un 31 %, con una desviación estándar de 20 años, el rango de edad de 13</w:t>
      </w:r>
      <w:r w:rsidR="00AA337E">
        <w:rPr>
          <w:rFonts w:ascii="Times New Roman" w:hAnsi="Times New Roman" w:cs="Times New Roman"/>
          <w:sz w:val="24"/>
          <w:szCs w:val="24"/>
        </w:rPr>
        <w:t xml:space="preserve"> </w:t>
      </w:r>
      <w:r w:rsidRPr="0018019A">
        <w:rPr>
          <w:rFonts w:ascii="Times New Roman" w:hAnsi="Times New Roman" w:cs="Times New Roman"/>
          <w:sz w:val="24"/>
          <w:szCs w:val="24"/>
        </w:rPr>
        <w:t>-</w:t>
      </w:r>
      <w:r w:rsidR="00AA337E">
        <w:rPr>
          <w:rFonts w:ascii="Times New Roman" w:hAnsi="Times New Roman" w:cs="Times New Roman"/>
          <w:sz w:val="24"/>
          <w:szCs w:val="24"/>
        </w:rPr>
        <w:t xml:space="preserve"> </w:t>
      </w:r>
      <w:r w:rsidRPr="0018019A">
        <w:rPr>
          <w:rFonts w:ascii="Times New Roman" w:hAnsi="Times New Roman" w:cs="Times New Roman"/>
          <w:sz w:val="24"/>
          <w:szCs w:val="24"/>
        </w:rPr>
        <w:t>91 años y la media de edad de 52 años. Al momento del diagnóstico, el 70 % de los casos presentó más de un año de evolución de los síntomas. P</w:t>
      </w:r>
      <w:r w:rsidR="0067572E">
        <w:rPr>
          <w:rFonts w:ascii="Times New Roman" w:hAnsi="Times New Roman" w:cs="Times New Roman"/>
          <w:sz w:val="24"/>
          <w:szCs w:val="24"/>
        </w:rPr>
        <w:t>or sexos, el</w:t>
      </w:r>
      <w:r w:rsidRPr="0018019A">
        <w:rPr>
          <w:rFonts w:ascii="Times New Roman" w:hAnsi="Times New Roman" w:cs="Times New Roman"/>
          <w:sz w:val="24"/>
          <w:szCs w:val="24"/>
        </w:rPr>
        <w:t xml:space="preserve"> femenino </w:t>
      </w:r>
      <w:r w:rsidR="0067572E">
        <w:rPr>
          <w:rFonts w:ascii="Times New Roman" w:hAnsi="Times New Roman" w:cs="Times New Roman"/>
          <w:sz w:val="24"/>
          <w:szCs w:val="24"/>
        </w:rPr>
        <w:t>tuvo</w:t>
      </w:r>
      <w:r w:rsidRPr="0018019A">
        <w:rPr>
          <w:rFonts w:ascii="Times New Roman" w:hAnsi="Times New Roman" w:cs="Times New Roman"/>
          <w:sz w:val="24"/>
          <w:szCs w:val="24"/>
        </w:rPr>
        <w:t xml:space="preserve"> un 57 %</w:t>
      </w:r>
      <w:r w:rsidR="0067572E">
        <w:rPr>
          <w:rFonts w:ascii="Times New Roman" w:hAnsi="Times New Roman" w:cs="Times New Roman"/>
          <w:sz w:val="24"/>
          <w:szCs w:val="24"/>
        </w:rPr>
        <w:t xml:space="preserve"> y</w:t>
      </w:r>
      <w:r w:rsidR="00AA337E">
        <w:rPr>
          <w:rFonts w:ascii="Times New Roman" w:hAnsi="Times New Roman" w:cs="Times New Roman"/>
          <w:sz w:val="24"/>
          <w:szCs w:val="24"/>
        </w:rPr>
        <w:t xml:space="preserve"> el 43 % masculino</w:t>
      </w:r>
      <w:r w:rsidRPr="0018019A">
        <w:rPr>
          <w:rFonts w:ascii="Times New Roman" w:hAnsi="Times New Roman" w:cs="Times New Roman"/>
          <w:sz w:val="24"/>
          <w:szCs w:val="24"/>
        </w:rPr>
        <w:t>.</w:t>
      </w:r>
    </w:p>
    <w:p w14:paraId="783446C1" w14:textId="5B901FCB"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La disfagia fue el síntoma que más predominó en los tres tipos de acalasia: 100 % en el tipo III, 84 % en el tipo I y 76 % en el tipo II; seguido de la disfagia asociada a dolor torácico</w:t>
      </w:r>
      <w:r w:rsidR="00F260EB">
        <w:rPr>
          <w:rFonts w:ascii="Times New Roman" w:hAnsi="Times New Roman" w:cs="Times New Roman"/>
          <w:sz w:val="24"/>
          <w:szCs w:val="24"/>
        </w:rPr>
        <w:t>,</w:t>
      </w:r>
      <w:r w:rsidRPr="0018019A">
        <w:rPr>
          <w:rFonts w:ascii="Times New Roman" w:hAnsi="Times New Roman" w:cs="Times New Roman"/>
          <w:sz w:val="24"/>
          <w:szCs w:val="24"/>
        </w:rPr>
        <w:t xml:space="preserve"> en la cual se obtuvo 19</w:t>
      </w:r>
      <w:r w:rsidR="00F260EB">
        <w:rPr>
          <w:rFonts w:ascii="Times New Roman" w:hAnsi="Times New Roman" w:cs="Times New Roman"/>
          <w:sz w:val="24"/>
          <w:szCs w:val="24"/>
        </w:rPr>
        <w:t> </w:t>
      </w:r>
      <w:r w:rsidRPr="0018019A">
        <w:rPr>
          <w:rFonts w:ascii="Times New Roman" w:hAnsi="Times New Roman" w:cs="Times New Roman"/>
          <w:sz w:val="24"/>
          <w:szCs w:val="24"/>
        </w:rPr>
        <w:t xml:space="preserve">% en el tipo II, 11 % en el tipo I y no hubo pacientes con este síntoma en el tipo III. Estos resultados se muestran en la figura </w:t>
      </w:r>
      <w:r w:rsidR="00F260EB">
        <w:rPr>
          <w:rFonts w:ascii="Times New Roman" w:hAnsi="Times New Roman" w:cs="Times New Roman"/>
          <w:sz w:val="24"/>
          <w:szCs w:val="24"/>
        </w:rPr>
        <w:t>1</w:t>
      </w:r>
      <w:r w:rsidRPr="0018019A">
        <w:rPr>
          <w:rFonts w:ascii="Times New Roman" w:hAnsi="Times New Roman" w:cs="Times New Roman"/>
          <w:sz w:val="24"/>
          <w:szCs w:val="24"/>
        </w:rPr>
        <w:t xml:space="preserve">. </w:t>
      </w:r>
    </w:p>
    <w:p w14:paraId="088B5860" w14:textId="77777777" w:rsidR="0018019A" w:rsidRPr="0018019A" w:rsidRDefault="0018019A" w:rsidP="0018019A">
      <w:pPr>
        <w:spacing w:after="0" w:line="360" w:lineRule="auto"/>
        <w:jc w:val="both"/>
        <w:rPr>
          <w:rFonts w:ascii="Times New Roman" w:hAnsi="Times New Roman" w:cs="Times New Roman"/>
          <w:sz w:val="24"/>
          <w:szCs w:val="24"/>
        </w:rPr>
      </w:pPr>
    </w:p>
    <w:p w14:paraId="64CA0176" w14:textId="2F27F439" w:rsidR="0018019A" w:rsidRPr="0018019A" w:rsidRDefault="008669A8" w:rsidP="0018019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D0F5D1" wp14:editId="24AD8948">
            <wp:extent cx="3228340" cy="2124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253041" cy="2140327"/>
                    </a:xfrm>
                    <a:prstGeom prst="rect">
                      <a:avLst/>
                    </a:prstGeom>
                  </pic:spPr>
                </pic:pic>
              </a:graphicData>
            </a:graphic>
          </wp:inline>
        </w:drawing>
      </w:r>
    </w:p>
    <w:p w14:paraId="34A6FA9D" w14:textId="77777777" w:rsidR="0018019A" w:rsidRPr="0018019A" w:rsidRDefault="0018019A" w:rsidP="0018019A">
      <w:pPr>
        <w:spacing w:after="0" w:line="360" w:lineRule="auto"/>
        <w:jc w:val="center"/>
        <w:rPr>
          <w:rFonts w:ascii="Times New Roman" w:hAnsi="Times New Roman" w:cs="Times New Roman"/>
          <w:b/>
          <w:sz w:val="18"/>
          <w:szCs w:val="18"/>
        </w:rPr>
      </w:pPr>
      <w:r w:rsidRPr="0018019A">
        <w:rPr>
          <w:rFonts w:ascii="Times New Roman" w:hAnsi="Times New Roman" w:cs="Times New Roman"/>
          <w:sz w:val="18"/>
          <w:szCs w:val="18"/>
        </w:rPr>
        <w:t>Leyenda: DT (dolor torácico).</w:t>
      </w:r>
    </w:p>
    <w:p w14:paraId="04E91E59" w14:textId="55D0A9E0" w:rsidR="0018019A" w:rsidRPr="0018019A" w:rsidRDefault="0018019A" w:rsidP="0018019A">
      <w:pPr>
        <w:spacing w:after="0" w:line="360" w:lineRule="auto"/>
        <w:jc w:val="center"/>
        <w:rPr>
          <w:rFonts w:ascii="Times New Roman" w:hAnsi="Times New Roman" w:cs="Times New Roman"/>
        </w:rPr>
      </w:pPr>
      <w:r w:rsidRPr="0018019A">
        <w:rPr>
          <w:rFonts w:ascii="Times New Roman" w:hAnsi="Times New Roman" w:cs="Times New Roman"/>
          <w:b/>
        </w:rPr>
        <w:t xml:space="preserve">Fig. </w:t>
      </w:r>
      <w:r w:rsidR="00F260EB">
        <w:rPr>
          <w:rFonts w:ascii="Times New Roman" w:hAnsi="Times New Roman" w:cs="Times New Roman"/>
          <w:b/>
        </w:rPr>
        <w:t>1</w:t>
      </w:r>
      <w:r w:rsidRPr="0018019A">
        <w:rPr>
          <w:rFonts w:ascii="Times New Roman" w:hAnsi="Times New Roman" w:cs="Times New Roman"/>
          <w:b/>
        </w:rPr>
        <w:t xml:space="preserve"> -</w:t>
      </w:r>
      <w:r w:rsidRPr="0018019A">
        <w:rPr>
          <w:rFonts w:ascii="Times New Roman" w:hAnsi="Times New Roman" w:cs="Times New Roman"/>
        </w:rPr>
        <w:t xml:space="preserve"> Síntomas clínicos de los pacientes según tipo de acalasia esofágica.</w:t>
      </w:r>
    </w:p>
    <w:p w14:paraId="7E3DF07B" w14:textId="77777777" w:rsidR="0018019A" w:rsidRPr="0018019A" w:rsidRDefault="0018019A" w:rsidP="0018019A">
      <w:pPr>
        <w:spacing w:after="0" w:line="360" w:lineRule="auto"/>
        <w:jc w:val="both"/>
        <w:rPr>
          <w:rFonts w:ascii="Times New Roman" w:hAnsi="Times New Roman" w:cs="Times New Roman"/>
          <w:sz w:val="24"/>
          <w:szCs w:val="24"/>
        </w:rPr>
      </w:pPr>
    </w:p>
    <w:p w14:paraId="293F88B5" w14:textId="240D2E6B"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Fue más frecuente el tipo II de acalasia esofágica, con 21 casos para un 46 %, seguido del tipo I con un 41 %</w:t>
      </w:r>
      <w:r w:rsidR="008669A8">
        <w:rPr>
          <w:rFonts w:ascii="Times New Roman" w:hAnsi="Times New Roman" w:cs="Times New Roman"/>
          <w:sz w:val="24"/>
          <w:szCs w:val="24"/>
        </w:rPr>
        <w:t xml:space="preserve"> y por último el tipo III con 13 %</w:t>
      </w:r>
      <w:r w:rsidRPr="0018019A">
        <w:rPr>
          <w:rFonts w:ascii="Times New Roman" w:hAnsi="Times New Roman" w:cs="Times New Roman"/>
          <w:sz w:val="24"/>
          <w:szCs w:val="24"/>
        </w:rPr>
        <w:t>.</w:t>
      </w:r>
    </w:p>
    <w:p w14:paraId="379E3C38"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En cuanto a las características manométricas de alta resolución en los pacientes con acalasia, se observó que independientemente del tipo, la media del IRP estuvo por encima de 21 mmHg. Los valores más elevados de dichos parámetros correspondieron de igual forma con los mayores valores de presión media basal de reposo de la UEG y con los mayores valores de presión residual posterior a la deglución, características que estuvieron presentes en los pacientes diagnosticados con acalasia tipo II. </w:t>
      </w:r>
    </w:p>
    <w:p w14:paraId="4C79119A" w14:textId="77777777"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La presión </w:t>
      </w:r>
      <w:proofErr w:type="spellStart"/>
      <w:r w:rsidRPr="0018019A">
        <w:rPr>
          <w:rFonts w:ascii="Times New Roman" w:hAnsi="Times New Roman" w:cs="Times New Roman"/>
          <w:sz w:val="24"/>
          <w:szCs w:val="24"/>
        </w:rPr>
        <w:t>intrabolo</w:t>
      </w:r>
      <w:proofErr w:type="spellEnd"/>
      <w:r w:rsidRPr="0018019A">
        <w:rPr>
          <w:rFonts w:ascii="Times New Roman" w:hAnsi="Times New Roman" w:cs="Times New Roman"/>
          <w:sz w:val="24"/>
          <w:szCs w:val="24"/>
        </w:rPr>
        <w:t xml:space="preserve"> y la presurización panesofágica alcanzaron sus valores más bajos en la acalasia tipo I, como se muestra en la tabla 1.</w:t>
      </w:r>
    </w:p>
    <w:p w14:paraId="5BA511F1" w14:textId="77777777" w:rsidR="0018019A" w:rsidRPr="0018019A" w:rsidRDefault="0018019A" w:rsidP="0018019A">
      <w:pPr>
        <w:spacing w:after="0" w:line="360" w:lineRule="auto"/>
        <w:jc w:val="both"/>
        <w:rPr>
          <w:rFonts w:ascii="Times New Roman" w:hAnsi="Times New Roman" w:cs="Times New Roman"/>
          <w:sz w:val="24"/>
          <w:szCs w:val="24"/>
        </w:rPr>
      </w:pPr>
    </w:p>
    <w:p w14:paraId="66AE31F3" w14:textId="77777777" w:rsidR="0018019A" w:rsidRPr="0018019A" w:rsidRDefault="0018019A" w:rsidP="0018019A">
      <w:pPr>
        <w:spacing w:after="0" w:line="360" w:lineRule="auto"/>
        <w:jc w:val="center"/>
        <w:rPr>
          <w:rFonts w:ascii="Times New Roman" w:hAnsi="Times New Roman" w:cs="Times New Roman"/>
        </w:rPr>
      </w:pPr>
      <w:r w:rsidRPr="0018019A">
        <w:rPr>
          <w:rFonts w:ascii="Times New Roman" w:hAnsi="Times New Roman" w:cs="Times New Roman"/>
          <w:b/>
        </w:rPr>
        <w:t xml:space="preserve">Tabla 1 - </w:t>
      </w:r>
      <w:r w:rsidRPr="0018019A">
        <w:rPr>
          <w:rFonts w:ascii="Times New Roman" w:hAnsi="Times New Roman" w:cs="Times New Roman"/>
        </w:rPr>
        <w:t>Características manométricas de los pacientes según tipos de acalasia (n = 46)</w:t>
      </w:r>
    </w:p>
    <w:p w14:paraId="6A7CF011" w14:textId="24DAC90E" w:rsidR="00AB7173" w:rsidRDefault="00AB7173" w:rsidP="0018019A">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785FDEE5" wp14:editId="6E2D0779">
            <wp:extent cx="4800600" cy="2838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4800600" cy="2838450"/>
                    </a:xfrm>
                    <a:prstGeom prst="rect">
                      <a:avLst/>
                    </a:prstGeom>
                  </pic:spPr>
                </pic:pic>
              </a:graphicData>
            </a:graphic>
          </wp:inline>
        </w:drawing>
      </w:r>
    </w:p>
    <w:p w14:paraId="32AC2A81" w14:textId="29EC54C6" w:rsidR="0018019A" w:rsidRPr="0018019A" w:rsidRDefault="0018019A" w:rsidP="0018019A">
      <w:pPr>
        <w:spacing w:after="0" w:line="360" w:lineRule="auto"/>
        <w:jc w:val="center"/>
        <w:rPr>
          <w:rFonts w:ascii="Times New Roman" w:hAnsi="Times New Roman" w:cs="Times New Roman"/>
          <w:sz w:val="16"/>
          <w:szCs w:val="16"/>
        </w:rPr>
      </w:pPr>
      <w:r w:rsidRPr="0018019A">
        <w:rPr>
          <w:rFonts w:ascii="Times New Roman" w:hAnsi="Times New Roman" w:cs="Times New Roman"/>
          <w:sz w:val="16"/>
          <w:szCs w:val="16"/>
        </w:rPr>
        <w:t>Leyenda: EEI (esfínter esofágico inferior), UEG (unión esofagogástrica), DCI (contractilidad distal integrada), X (media aritmética), VCF (velocidad del frente contráctil), DE (desviación estándar), DL (latencia distal), s (segundos).</w:t>
      </w:r>
    </w:p>
    <w:p w14:paraId="11E7719B" w14:textId="77777777" w:rsidR="0018019A" w:rsidRPr="0018019A" w:rsidRDefault="0018019A" w:rsidP="0018019A">
      <w:pPr>
        <w:spacing w:after="0" w:line="360" w:lineRule="auto"/>
        <w:jc w:val="both"/>
        <w:rPr>
          <w:rFonts w:ascii="Times New Roman" w:hAnsi="Times New Roman" w:cs="Times New Roman"/>
          <w:sz w:val="24"/>
          <w:szCs w:val="24"/>
        </w:rPr>
      </w:pPr>
    </w:p>
    <w:p w14:paraId="76FDF982" w14:textId="77777777"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En cuanto a los parámetros manométricos estudiados, de los posibles subtipos de la acalasia tipo III, los cuales fueron 6 casos en la investigación, se representaron cada uno de los pacientes con las características manométricas individuales que se tuvieron en cuenta para la clasificación, no se pudo </w:t>
      </w:r>
      <w:r w:rsidRPr="0018019A">
        <w:rPr>
          <w:rFonts w:ascii="Times New Roman" w:hAnsi="Times New Roman" w:cs="Times New Roman"/>
          <w:sz w:val="24"/>
          <w:szCs w:val="24"/>
        </w:rPr>
        <w:lastRenderedPageBreak/>
        <w:t>agrupar y clasificar en subtipos, por no encontrar valores significativos para demostrar subtipos de acalasia tipo III, como se muestra en la tabla 2.</w:t>
      </w:r>
    </w:p>
    <w:p w14:paraId="0859E4E5" w14:textId="77777777" w:rsidR="0018019A" w:rsidRPr="0018019A" w:rsidRDefault="0018019A" w:rsidP="0018019A">
      <w:pPr>
        <w:spacing w:after="0" w:line="360" w:lineRule="auto"/>
        <w:jc w:val="both"/>
        <w:rPr>
          <w:rFonts w:ascii="Times New Roman" w:hAnsi="Times New Roman" w:cs="Times New Roman"/>
          <w:sz w:val="24"/>
          <w:szCs w:val="24"/>
        </w:rPr>
      </w:pPr>
    </w:p>
    <w:p w14:paraId="7BAED19F" w14:textId="77777777" w:rsidR="0018019A" w:rsidRPr="0018019A" w:rsidRDefault="0018019A" w:rsidP="0018019A">
      <w:pPr>
        <w:spacing w:after="0" w:line="360" w:lineRule="auto"/>
        <w:jc w:val="center"/>
        <w:rPr>
          <w:rFonts w:ascii="Times New Roman" w:eastAsia="SimSun" w:hAnsi="Times New Roman" w:cs="Times New Roman"/>
          <w:lang w:eastAsia="es-ES"/>
        </w:rPr>
      </w:pPr>
      <w:r w:rsidRPr="0018019A">
        <w:rPr>
          <w:rFonts w:ascii="Times New Roman" w:eastAsia="SimSun" w:hAnsi="Times New Roman" w:cs="Times New Roman"/>
          <w:b/>
          <w:lang w:eastAsia="es-ES"/>
        </w:rPr>
        <w:t>Tabla 2 -</w:t>
      </w:r>
      <w:r w:rsidRPr="0018019A">
        <w:rPr>
          <w:rFonts w:ascii="Times New Roman" w:eastAsia="SimSun" w:hAnsi="Times New Roman" w:cs="Times New Roman"/>
          <w:lang w:eastAsia="es-ES"/>
        </w:rPr>
        <w:t xml:space="preserve"> Características manométricas de los posibles subtipos de la acalasia tipo III (n = 6)</w:t>
      </w:r>
    </w:p>
    <w:p w14:paraId="08565134" w14:textId="2FED512B" w:rsidR="00AB7173" w:rsidRDefault="00AB7173" w:rsidP="0018019A">
      <w:pPr>
        <w:tabs>
          <w:tab w:val="left" w:pos="2940"/>
        </w:tabs>
        <w:spacing w:after="0" w:line="360" w:lineRule="auto"/>
        <w:ind w:firstLine="426"/>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E4FA893" wp14:editId="3955CEB4">
            <wp:extent cx="3505200" cy="1657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7">
                      <a:extLst>
                        <a:ext uri="{28A0092B-C50C-407E-A947-70E740481C1C}">
                          <a14:useLocalDpi xmlns:a14="http://schemas.microsoft.com/office/drawing/2010/main" val="0"/>
                        </a:ext>
                      </a:extLst>
                    </a:blip>
                    <a:stretch>
                      <a:fillRect/>
                    </a:stretch>
                  </pic:blipFill>
                  <pic:spPr>
                    <a:xfrm>
                      <a:off x="0" y="0"/>
                      <a:ext cx="3505200" cy="1657350"/>
                    </a:xfrm>
                    <a:prstGeom prst="rect">
                      <a:avLst/>
                    </a:prstGeom>
                  </pic:spPr>
                </pic:pic>
              </a:graphicData>
            </a:graphic>
          </wp:inline>
        </w:drawing>
      </w:r>
    </w:p>
    <w:p w14:paraId="0DFD649D" w14:textId="3AF5F21F" w:rsidR="0018019A" w:rsidRPr="00AB7173" w:rsidRDefault="0018019A" w:rsidP="0018019A">
      <w:pPr>
        <w:tabs>
          <w:tab w:val="left" w:pos="2940"/>
        </w:tabs>
        <w:spacing w:after="0" w:line="360" w:lineRule="auto"/>
        <w:ind w:firstLine="426"/>
        <w:jc w:val="center"/>
        <w:rPr>
          <w:rFonts w:ascii="Times New Roman" w:hAnsi="Times New Roman" w:cs="Times New Roman"/>
          <w:sz w:val="16"/>
          <w:szCs w:val="16"/>
        </w:rPr>
      </w:pPr>
      <w:r w:rsidRPr="00AB7173">
        <w:rPr>
          <w:rFonts w:ascii="Times New Roman" w:hAnsi="Times New Roman" w:cs="Times New Roman"/>
          <w:sz w:val="16"/>
          <w:szCs w:val="16"/>
        </w:rPr>
        <w:t>Leyenda: P (paciente), UEG (unión esofagogástrica), DCI (contractilidad distal integrada), DL (latencia distal).</w:t>
      </w:r>
    </w:p>
    <w:p w14:paraId="4D099794" w14:textId="77777777" w:rsidR="0018019A" w:rsidRPr="0018019A" w:rsidRDefault="0018019A" w:rsidP="0018019A">
      <w:pPr>
        <w:autoSpaceDE w:val="0"/>
        <w:autoSpaceDN w:val="0"/>
        <w:adjustRightInd w:val="0"/>
        <w:spacing w:after="0" w:line="360" w:lineRule="auto"/>
        <w:jc w:val="center"/>
        <w:rPr>
          <w:rFonts w:ascii="Times New Roman" w:hAnsi="Times New Roman" w:cs="Times New Roman"/>
          <w:b/>
          <w:sz w:val="24"/>
          <w:szCs w:val="24"/>
        </w:rPr>
      </w:pPr>
    </w:p>
    <w:p w14:paraId="0408D99E" w14:textId="77777777" w:rsidR="0018019A" w:rsidRPr="0018019A" w:rsidRDefault="0018019A" w:rsidP="0018019A">
      <w:pPr>
        <w:autoSpaceDE w:val="0"/>
        <w:autoSpaceDN w:val="0"/>
        <w:adjustRightInd w:val="0"/>
        <w:spacing w:after="0" w:line="360" w:lineRule="auto"/>
        <w:jc w:val="center"/>
        <w:rPr>
          <w:rFonts w:ascii="Times New Roman" w:hAnsi="Times New Roman" w:cs="Times New Roman"/>
          <w:b/>
          <w:sz w:val="24"/>
          <w:szCs w:val="24"/>
        </w:rPr>
      </w:pPr>
    </w:p>
    <w:p w14:paraId="6291357F" w14:textId="77777777" w:rsidR="0018019A" w:rsidRPr="0018019A" w:rsidRDefault="0018019A" w:rsidP="0018019A">
      <w:pPr>
        <w:autoSpaceDE w:val="0"/>
        <w:autoSpaceDN w:val="0"/>
        <w:adjustRightInd w:val="0"/>
        <w:spacing w:after="0" w:line="360" w:lineRule="auto"/>
        <w:jc w:val="center"/>
        <w:rPr>
          <w:rFonts w:ascii="Times New Roman" w:hAnsi="Times New Roman" w:cs="Times New Roman"/>
          <w:b/>
          <w:sz w:val="32"/>
          <w:szCs w:val="32"/>
        </w:rPr>
      </w:pPr>
      <w:r w:rsidRPr="0018019A">
        <w:rPr>
          <w:rFonts w:ascii="Times New Roman" w:hAnsi="Times New Roman" w:cs="Times New Roman"/>
          <w:b/>
          <w:sz w:val="32"/>
          <w:szCs w:val="32"/>
        </w:rPr>
        <w:t>DISCUSIÓN</w:t>
      </w:r>
    </w:p>
    <w:p w14:paraId="77BE44B1"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En los TME, predomina ligeramente el sexo femenino sobre el </w:t>
      </w:r>
      <w:proofErr w:type="gramStart"/>
      <w:r w:rsidRPr="0018019A">
        <w:rPr>
          <w:rFonts w:ascii="Times New Roman" w:hAnsi="Times New Roman" w:cs="Times New Roman"/>
          <w:sz w:val="24"/>
          <w:szCs w:val="24"/>
        </w:rPr>
        <w:t>masculino,</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13)</w:t>
      </w:r>
      <w:r w:rsidRPr="0018019A">
        <w:rPr>
          <w:rFonts w:ascii="Times New Roman" w:hAnsi="Times New Roman" w:cs="Times New Roman"/>
          <w:sz w:val="24"/>
          <w:szCs w:val="24"/>
        </w:rPr>
        <w:t xml:space="preserve"> sin embargo, la frecuencia de la acalasia es similar en hombres y mujeres.</w:t>
      </w:r>
      <w:r w:rsidRPr="0018019A">
        <w:rPr>
          <w:rFonts w:ascii="Times New Roman" w:hAnsi="Times New Roman" w:cs="Times New Roman"/>
          <w:sz w:val="24"/>
          <w:szCs w:val="24"/>
          <w:vertAlign w:val="superscript"/>
        </w:rPr>
        <w:t>(14)</w:t>
      </w:r>
      <w:r w:rsidRPr="0018019A">
        <w:rPr>
          <w:rFonts w:ascii="Times New Roman" w:hAnsi="Times New Roman" w:cs="Times New Roman"/>
          <w:sz w:val="24"/>
          <w:szCs w:val="24"/>
        </w:rPr>
        <w:t xml:space="preserve"> En esta investigación predominó el sexo femenino, al igual que en el estudio realizado por Sopeña</w:t>
      </w:r>
      <w:r w:rsidRPr="0018019A">
        <w:rPr>
          <w:rFonts w:ascii="Times New Roman" w:hAnsi="Times New Roman" w:cs="Times New Roman"/>
          <w:sz w:val="24"/>
          <w:szCs w:val="24"/>
          <w:vertAlign w:val="superscript"/>
        </w:rPr>
        <w:t>(15)</w:t>
      </w:r>
      <w:r w:rsidRPr="0018019A">
        <w:rPr>
          <w:rFonts w:ascii="Times New Roman" w:hAnsi="Times New Roman" w:cs="Times New Roman"/>
          <w:sz w:val="24"/>
          <w:szCs w:val="24"/>
        </w:rPr>
        <w:t xml:space="preserve"> en el cual predominó el sexo femenino en pacientes adultos de más de 40 años de edad, con una media de 55,4 años. Se confirma que la acalasia es una enfermedad predominante del adulto. </w:t>
      </w:r>
    </w:p>
    <w:p w14:paraId="595E284B"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La disfagia, además de ser el motivo de consulta principal, también se considera el síntoma más prevalente en los pacientes con acalasia, lo cual se corroboró en el estudio y coincide con el reporte de </w:t>
      </w:r>
      <w:r w:rsidRPr="0067572E">
        <w:rPr>
          <w:rFonts w:ascii="Times New Roman" w:hAnsi="Times New Roman" w:cs="Times New Roman"/>
          <w:i/>
          <w:iCs/>
          <w:sz w:val="24"/>
          <w:szCs w:val="24"/>
        </w:rPr>
        <w:t>Ramírez</w:t>
      </w:r>
      <w:r w:rsidRPr="0018019A">
        <w:rPr>
          <w:rFonts w:ascii="Times New Roman" w:hAnsi="Times New Roman" w:cs="Times New Roman"/>
          <w:sz w:val="24"/>
          <w:szCs w:val="24"/>
        </w:rPr>
        <w:t xml:space="preserve"> y </w:t>
      </w:r>
      <w:proofErr w:type="gramStart"/>
      <w:r w:rsidRPr="0018019A">
        <w:rPr>
          <w:rFonts w:ascii="Times New Roman" w:hAnsi="Times New Roman" w:cs="Times New Roman"/>
          <w:sz w:val="24"/>
          <w:szCs w:val="24"/>
        </w:rPr>
        <w:t>otros.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16)</w:t>
      </w:r>
      <w:r w:rsidRPr="0018019A">
        <w:rPr>
          <w:rFonts w:ascii="Times New Roman" w:hAnsi="Times New Roman" w:cs="Times New Roman"/>
          <w:sz w:val="24"/>
          <w:szCs w:val="24"/>
        </w:rPr>
        <w:t xml:space="preserve"> Los restantes síntomas (regurgitación, dolor torácico, vómitos y pérdida de peso), no tuvieron un resultado significativo en la investigación. </w:t>
      </w:r>
    </w:p>
    <w:p w14:paraId="0C3CB7F7"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Esto difiere de los estudios realizados en México por </w:t>
      </w:r>
      <w:proofErr w:type="spellStart"/>
      <w:r w:rsidRPr="00AB7173">
        <w:rPr>
          <w:rFonts w:ascii="Times New Roman" w:hAnsi="Times New Roman" w:cs="Times New Roman"/>
          <w:i/>
          <w:iCs/>
          <w:sz w:val="24"/>
          <w:szCs w:val="24"/>
        </w:rPr>
        <w:t>Meillier</w:t>
      </w:r>
      <w:proofErr w:type="spellEnd"/>
      <w:r w:rsidRPr="0018019A">
        <w:rPr>
          <w:rFonts w:ascii="Times New Roman" w:hAnsi="Times New Roman" w:cs="Times New Roman"/>
          <w:sz w:val="24"/>
          <w:szCs w:val="24"/>
        </w:rPr>
        <w:t xml:space="preserve"> y </w:t>
      </w:r>
      <w:proofErr w:type="gramStart"/>
      <w:r w:rsidRPr="0018019A">
        <w:rPr>
          <w:rFonts w:ascii="Times New Roman" w:hAnsi="Times New Roman" w:cs="Times New Roman"/>
          <w:sz w:val="24"/>
          <w:szCs w:val="24"/>
        </w:rPr>
        <w:t>otros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17)</w:t>
      </w:r>
      <w:r w:rsidRPr="0018019A">
        <w:rPr>
          <w:rFonts w:ascii="Times New Roman" w:hAnsi="Times New Roman" w:cs="Times New Roman"/>
          <w:sz w:val="24"/>
          <w:szCs w:val="24"/>
        </w:rPr>
        <w:t xml:space="preserve"> en el cual estos síntomas tienen una diferencia significativa. El tiempo medio transcurrido desde el inicio de los síntomas hasta la consulta, es relativamente prolongado. En esta investigación fue mayor de 12 meses, en otras series como las de </w:t>
      </w:r>
      <w:r w:rsidRPr="00010806">
        <w:rPr>
          <w:rFonts w:ascii="Times New Roman" w:hAnsi="Times New Roman" w:cs="Times New Roman"/>
          <w:i/>
          <w:iCs/>
          <w:sz w:val="24"/>
          <w:szCs w:val="24"/>
        </w:rPr>
        <w:t>Garrigues Gil</w:t>
      </w:r>
      <w:r w:rsidRPr="0018019A">
        <w:rPr>
          <w:rFonts w:ascii="Times New Roman" w:hAnsi="Times New Roman" w:cs="Times New Roman"/>
          <w:sz w:val="24"/>
          <w:szCs w:val="24"/>
        </w:rPr>
        <w:t xml:space="preserve"> y </w:t>
      </w:r>
      <w:proofErr w:type="gramStart"/>
      <w:r w:rsidRPr="0018019A">
        <w:rPr>
          <w:rFonts w:ascii="Times New Roman" w:hAnsi="Times New Roman" w:cs="Times New Roman"/>
          <w:sz w:val="24"/>
          <w:szCs w:val="24"/>
        </w:rPr>
        <w:t>otros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18)</w:t>
      </w:r>
      <w:r w:rsidRPr="0018019A">
        <w:rPr>
          <w:rFonts w:ascii="Times New Roman" w:hAnsi="Times New Roman" w:cs="Times New Roman"/>
          <w:sz w:val="24"/>
          <w:szCs w:val="24"/>
        </w:rPr>
        <w:t xml:space="preserve"> fueron de hasta 36 meses. Estos resultados confirman, a criterio de los autores, que el diagnóstico de acalasia se hace tardío, ya que los pacientes acuden a consulta </w:t>
      </w:r>
      <w:r w:rsidRPr="0018019A">
        <w:rPr>
          <w:rFonts w:ascii="Times New Roman" w:hAnsi="Times New Roman" w:cs="Times New Roman"/>
          <w:sz w:val="24"/>
          <w:szCs w:val="24"/>
        </w:rPr>
        <w:lastRenderedPageBreak/>
        <w:t xml:space="preserve">después de varios meses de presentar síntomas. En la serie, el tipo más frecuente de la enfermedad fue el tipo II, con un tiempo de evolución de más de un año desde el inicio de los primeros síntomas hasta el diagnóstico. Esto suele suceder porque los síntomas en el inicio de la enfermedad, pueden ser confundidos con enfermedades como la ERGE y evolucionar con tratamientos farmacológicos, que no logran mejoría en el paciente hasta que la disfagia repercute de forma más grave en la vida y es indicado el estudio de manometría, que finalmente hace el diagnóstico correcto, lo cual tiene similares resultados con </w:t>
      </w:r>
      <w:proofErr w:type="spellStart"/>
      <w:r w:rsidRPr="0018019A">
        <w:rPr>
          <w:rFonts w:ascii="Times New Roman" w:hAnsi="Times New Roman" w:cs="Times New Roman"/>
          <w:i/>
          <w:sz w:val="24"/>
          <w:szCs w:val="24"/>
        </w:rPr>
        <w:t>Meillier</w:t>
      </w:r>
      <w:proofErr w:type="spellEnd"/>
      <w:r w:rsidRPr="0018019A">
        <w:rPr>
          <w:rFonts w:ascii="Times New Roman" w:hAnsi="Times New Roman" w:cs="Times New Roman"/>
          <w:sz w:val="24"/>
          <w:szCs w:val="24"/>
        </w:rPr>
        <w:t xml:space="preserve"> y </w:t>
      </w:r>
      <w:proofErr w:type="gramStart"/>
      <w:r w:rsidRPr="0018019A">
        <w:rPr>
          <w:rFonts w:ascii="Times New Roman" w:hAnsi="Times New Roman" w:cs="Times New Roman"/>
          <w:sz w:val="24"/>
          <w:szCs w:val="24"/>
        </w:rPr>
        <w:t>otros,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17)</w:t>
      </w:r>
      <w:r w:rsidRPr="0018019A">
        <w:rPr>
          <w:rFonts w:ascii="Times New Roman" w:hAnsi="Times New Roman" w:cs="Times New Roman"/>
          <w:sz w:val="24"/>
          <w:szCs w:val="24"/>
        </w:rPr>
        <w:t xml:space="preserve"> en México, en el 2018. Estos autores realizaron MAR a 108 pacientes con acalasia, de los cuales, 84 presentaron el tipo II. </w:t>
      </w:r>
    </w:p>
    <w:p w14:paraId="106A35BB"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lang w:eastAsia="es-ES"/>
        </w:rPr>
      </w:pPr>
      <w:r w:rsidRPr="0018019A">
        <w:rPr>
          <w:rFonts w:ascii="Times New Roman" w:hAnsi="Times New Roman" w:cs="Times New Roman"/>
          <w:sz w:val="24"/>
          <w:szCs w:val="24"/>
          <w:lang w:eastAsia="es-ES"/>
        </w:rPr>
        <w:t xml:space="preserve">La MAR se considera a nivel internacional como un método óptimo para el diagnóstico de los trastornos motores, de alta especificidad y sensibilidad, de gran utilidad para el diagnóstico de la acalasia esofágica y su clasificación en sus tipos (I, II, III). </w:t>
      </w:r>
    </w:p>
    <w:p w14:paraId="559C06D9" w14:textId="77777777" w:rsidR="0018019A" w:rsidRPr="0018019A" w:rsidRDefault="0018019A" w:rsidP="0018019A">
      <w:pPr>
        <w:autoSpaceDE w:val="0"/>
        <w:autoSpaceDN w:val="0"/>
        <w:adjustRightInd w:val="0"/>
        <w:spacing w:after="0" w:line="360" w:lineRule="auto"/>
        <w:jc w:val="both"/>
        <w:rPr>
          <w:rFonts w:ascii="Times New Roman" w:hAnsi="Times New Roman" w:cs="Times New Roman"/>
          <w:sz w:val="24"/>
          <w:szCs w:val="24"/>
          <w:lang w:eastAsia="es-ES"/>
        </w:rPr>
      </w:pPr>
      <w:r w:rsidRPr="0018019A">
        <w:rPr>
          <w:rFonts w:ascii="Times New Roman" w:hAnsi="Times New Roman" w:cs="Times New Roman"/>
          <w:sz w:val="24"/>
          <w:szCs w:val="24"/>
        </w:rPr>
        <w:t xml:space="preserve">Al analizar los parámetros de alta resolución en los pacientes con acalasia, se determinó que, independientemente del tipo, la media del  IRP estuvo por encima de 21 mmHg, por lo que este valor puede ser aceptado como valor de corte para pacientes cubanos con esta misma enfermedad, </w:t>
      </w:r>
      <w:r w:rsidRPr="0018019A">
        <w:rPr>
          <w:rFonts w:ascii="Times New Roman" w:hAnsi="Times New Roman" w:cs="Times New Roman"/>
          <w:sz w:val="24"/>
          <w:szCs w:val="24"/>
          <w:lang w:eastAsia="es-ES"/>
        </w:rPr>
        <w:t>con el sistema MMS, catéter sólido UNISENSOR y en posición sentado, en las mismas condiciones en que se realizó esta investigación.</w:t>
      </w:r>
    </w:p>
    <w:p w14:paraId="5DBF8A59"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 xml:space="preserve">Resultados de </w:t>
      </w:r>
      <w:proofErr w:type="spellStart"/>
      <w:r w:rsidRPr="0018019A">
        <w:rPr>
          <w:rFonts w:ascii="Times New Roman" w:hAnsi="Times New Roman" w:cs="Times New Roman"/>
          <w:i/>
          <w:sz w:val="24"/>
          <w:szCs w:val="24"/>
        </w:rPr>
        <w:t>Triggs</w:t>
      </w:r>
      <w:proofErr w:type="spellEnd"/>
      <w:r w:rsidRPr="0018019A">
        <w:rPr>
          <w:rFonts w:ascii="Times New Roman" w:hAnsi="Times New Roman" w:cs="Times New Roman"/>
          <w:sz w:val="24"/>
          <w:szCs w:val="24"/>
        </w:rPr>
        <w:t xml:space="preserve"> y </w:t>
      </w:r>
      <w:proofErr w:type="gramStart"/>
      <w:r w:rsidRPr="0018019A">
        <w:rPr>
          <w:rFonts w:ascii="Times New Roman" w:hAnsi="Times New Roman" w:cs="Times New Roman"/>
          <w:sz w:val="24"/>
          <w:szCs w:val="24"/>
        </w:rPr>
        <w:t>otros,</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19)</w:t>
      </w:r>
      <w:r w:rsidRPr="0018019A">
        <w:rPr>
          <w:rFonts w:ascii="Times New Roman" w:hAnsi="Times New Roman" w:cs="Times New Roman"/>
          <w:sz w:val="24"/>
          <w:szCs w:val="24"/>
        </w:rPr>
        <w:t xml:space="preserve"> en un estudio realizado entre los años 2015 y 2017, demuestran sensibilidad del IRP por encima de 15 mmHg para el diagnóstico de acalasia. Sin embargo, hay diferencias significativas entre el IRP registrado en posición supina o erguido; el último es </w:t>
      </w:r>
      <w:proofErr w:type="gramStart"/>
      <w:r w:rsidRPr="0018019A">
        <w:rPr>
          <w:rFonts w:ascii="Times New Roman" w:hAnsi="Times New Roman" w:cs="Times New Roman"/>
          <w:sz w:val="24"/>
          <w:szCs w:val="24"/>
        </w:rPr>
        <w:t>menor.</w:t>
      </w:r>
      <w:r w:rsidRPr="0018019A">
        <w:rPr>
          <w:rFonts w:ascii="Times New Roman" w:hAnsi="Times New Roman" w:cs="Times New Roman"/>
          <w:sz w:val="24"/>
          <w:szCs w:val="24"/>
          <w:vertAlign w:val="superscript"/>
        </w:rPr>
        <w:t>(</w:t>
      </w:r>
      <w:proofErr w:type="gramEnd"/>
      <w:r w:rsidRPr="0018019A">
        <w:rPr>
          <w:rFonts w:ascii="Times New Roman" w:hAnsi="Times New Roman" w:cs="Times New Roman"/>
          <w:sz w:val="24"/>
          <w:szCs w:val="24"/>
          <w:vertAlign w:val="superscript"/>
        </w:rPr>
        <w:t xml:space="preserve">19) </w:t>
      </w:r>
      <w:r w:rsidRPr="0018019A">
        <w:rPr>
          <w:rFonts w:ascii="Times New Roman" w:hAnsi="Times New Roman" w:cs="Times New Roman"/>
          <w:sz w:val="24"/>
          <w:szCs w:val="24"/>
        </w:rPr>
        <w:t>En la investigación, solo se registró el IRP en posición erguido.</w:t>
      </w:r>
    </w:p>
    <w:p w14:paraId="182B582B"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vertAlign w:val="superscript"/>
        </w:rPr>
      </w:pPr>
      <w:r w:rsidRPr="0018019A">
        <w:rPr>
          <w:rFonts w:ascii="Times New Roman" w:hAnsi="Times New Roman" w:cs="Times New Roman"/>
          <w:sz w:val="24"/>
          <w:szCs w:val="24"/>
        </w:rPr>
        <w:t>También se reporta que los sistemas perfundidos por agua, pueden presentar valores de IRP ligeramente por encima de los sistemas sólidos, pero mantiene el corte de los 15 mmHg como valor limítrofe a partir del cual se debe considerar la presencia de acalasia, sin dejar de tener en cuenta que aunque de forma esporádica, se describe la acalasia con valores normales de IRP, por lo que el operador debe considerar todos los elementos que ofrece la alta resolución para confirmar el diagnóstico de la enfermedad.</w:t>
      </w:r>
      <w:r w:rsidRPr="0018019A">
        <w:rPr>
          <w:rFonts w:ascii="Times New Roman" w:hAnsi="Times New Roman" w:cs="Times New Roman"/>
          <w:sz w:val="24"/>
          <w:szCs w:val="24"/>
          <w:vertAlign w:val="superscript"/>
        </w:rPr>
        <w:t>(20)</w:t>
      </w:r>
    </w:p>
    <w:p w14:paraId="51E2294F"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lastRenderedPageBreak/>
        <w:t>Los IRP más elevados en el estudio, correspondieron de igual forma con los mayores valores de presión media basal de reposo de la UEG y con los mayores valores de presión residual posterior a la deglución, características que estuvieron presentes en los pacientes diagnosticados con acalasia tipo II.</w:t>
      </w:r>
    </w:p>
    <w:p w14:paraId="6C57A4AC"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vertAlign w:val="superscript"/>
        </w:rPr>
      </w:pPr>
      <w:r w:rsidRPr="0018019A">
        <w:rPr>
          <w:rFonts w:ascii="Times New Roman" w:hAnsi="Times New Roman" w:cs="Times New Roman"/>
          <w:sz w:val="24"/>
          <w:szCs w:val="24"/>
        </w:rPr>
        <w:t xml:space="preserve">La presión </w:t>
      </w:r>
      <w:proofErr w:type="spellStart"/>
      <w:r w:rsidRPr="0018019A">
        <w:rPr>
          <w:rFonts w:ascii="Times New Roman" w:hAnsi="Times New Roman" w:cs="Times New Roman"/>
          <w:sz w:val="24"/>
          <w:szCs w:val="24"/>
        </w:rPr>
        <w:t>intrabolo</w:t>
      </w:r>
      <w:proofErr w:type="spellEnd"/>
      <w:r w:rsidRPr="0018019A">
        <w:rPr>
          <w:rFonts w:ascii="Times New Roman" w:hAnsi="Times New Roman" w:cs="Times New Roman"/>
          <w:sz w:val="24"/>
          <w:szCs w:val="24"/>
        </w:rPr>
        <w:t xml:space="preserve"> y la presurización panesofágica alcanzaron sus valores más bajos en la acalasia tipo I, lo que refuerza la compresión de que los subtipos II y III son los más hipertónicos.</w:t>
      </w:r>
      <w:r w:rsidRPr="0018019A">
        <w:rPr>
          <w:rFonts w:ascii="Times New Roman" w:hAnsi="Times New Roman" w:cs="Times New Roman"/>
          <w:sz w:val="24"/>
          <w:szCs w:val="24"/>
          <w:vertAlign w:val="superscript"/>
        </w:rPr>
        <w:t>(21)</w:t>
      </w:r>
      <w:r w:rsidRPr="0018019A">
        <w:rPr>
          <w:rFonts w:ascii="Times New Roman" w:hAnsi="Times New Roman" w:cs="Times New Roman"/>
          <w:sz w:val="24"/>
          <w:szCs w:val="24"/>
        </w:rPr>
        <w:t xml:space="preserve"> Al igual que otros autores, la posibilidad de la diferenciación en subtipos y la aplicación de los nuevos parámetros hizo posible un adecuado diagnóstico de la enfermedad, permitiendo realizar el diagnóstico diferencial de </w:t>
      </w:r>
      <w:proofErr w:type="spellStart"/>
      <w:r w:rsidRPr="0018019A">
        <w:rPr>
          <w:rFonts w:ascii="Times New Roman" w:hAnsi="Times New Roman" w:cs="Times New Roman"/>
          <w:sz w:val="24"/>
          <w:szCs w:val="24"/>
        </w:rPr>
        <w:t>seudoacalasia</w:t>
      </w:r>
      <w:proofErr w:type="spellEnd"/>
      <w:r w:rsidRPr="0018019A">
        <w:rPr>
          <w:rFonts w:ascii="Times New Roman" w:hAnsi="Times New Roman" w:cs="Times New Roman"/>
          <w:sz w:val="24"/>
          <w:szCs w:val="24"/>
        </w:rPr>
        <w:t>, trastornos motores de tipo hipertónicos no bien precisados, o la confusión con el espasmo esofágico difuso.</w:t>
      </w:r>
      <w:r w:rsidRPr="0018019A">
        <w:rPr>
          <w:rFonts w:ascii="Times New Roman" w:hAnsi="Times New Roman" w:cs="Times New Roman"/>
          <w:sz w:val="24"/>
          <w:szCs w:val="24"/>
          <w:vertAlign w:val="superscript"/>
        </w:rPr>
        <w:t>(22)</w:t>
      </w:r>
    </w:p>
    <w:p w14:paraId="795546AD"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vertAlign w:val="superscript"/>
        </w:rPr>
      </w:pPr>
      <w:r w:rsidRPr="0018019A">
        <w:rPr>
          <w:rFonts w:ascii="Times New Roman" w:hAnsi="Times New Roman" w:cs="Times New Roman"/>
          <w:sz w:val="24"/>
          <w:szCs w:val="24"/>
        </w:rPr>
        <w:t xml:space="preserve">En cuanto a las características manométricas para la clasificación de los probables subtipos de acalasia tipo III, no se encontró evidencia que permitiera establecer subtipo del tipo III en el estudio, quizás por el poco números de pacientes, sin embargo, </w:t>
      </w:r>
      <w:proofErr w:type="spellStart"/>
      <w:r w:rsidRPr="0018019A">
        <w:rPr>
          <w:rFonts w:ascii="Times New Roman" w:hAnsi="Times New Roman" w:cs="Times New Roman"/>
          <w:i/>
          <w:sz w:val="24"/>
          <w:szCs w:val="24"/>
        </w:rPr>
        <w:t>Subum</w:t>
      </w:r>
      <w:proofErr w:type="spellEnd"/>
      <w:r w:rsidRPr="0018019A">
        <w:rPr>
          <w:rFonts w:ascii="Times New Roman" w:hAnsi="Times New Roman" w:cs="Times New Roman"/>
          <w:i/>
          <w:sz w:val="24"/>
          <w:szCs w:val="24"/>
        </w:rPr>
        <w:t xml:space="preserve"> Park</w:t>
      </w:r>
      <w:r w:rsidRPr="0018019A">
        <w:rPr>
          <w:rFonts w:ascii="Times New Roman" w:hAnsi="Times New Roman" w:cs="Times New Roman"/>
          <w:sz w:val="24"/>
          <w:szCs w:val="24"/>
        </w:rPr>
        <w:t xml:space="preserve"> y otros</w:t>
      </w:r>
      <w:r w:rsidRPr="0018019A">
        <w:rPr>
          <w:rFonts w:ascii="Times New Roman" w:hAnsi="Times New Roman" w:cs="Times New Roman"/>
          <w:sz w:val="24"/>
          <w:szCs w:val="24"/>
          <w:vertAlign w:val="superscript"/>
        </w:rPr>
        <w:t>(23)</w:t>
      </w:r>
      <w:r w:rsidRPr="0018019A">
        <w:rPr>
          <w:rFonts w:ascii="Times New Roman" w:hAnsi="Times New Roman" w:cs="Times New Roman"/>
          <w:sz w:val="24"/>
          <w:szCs w:val="24"/>
        </w:rPr>
        <w:t xml:space="preserve"> encontraron en un estudio realizado en el 2018, seis subtipos de acalasia tipo III, dado que el inicio de la onda de presión en todas las degluciones fue simultánea con  presión isobárica de 30 mmHg, por otro lado, los extremos de las ondas fueron peristálticas en todos los pacientes durante todas las degluciones.</w:t>
      </w:r>
      <w:r w:rsidRPr="0018019A">
        <w:rPr>
          <w:rFonts w:ascii="Times New Roman" w:hAnsi="Times New Roman" w:cs="Times New Roman"/>
          <w:sz w:val="24"/>
          <w:szCs w:val="24"/>
          <w:vertAlign w:val="superscript"/>
        </w:rPr>
        <w:t>(23)</w:t>
      </w:r>
    </w:p>
    <w:p w14:paraId="57856623" w14:textId="77777777" w:rsidR="0018019A" w:rsidRPr="0018019A" w:rsidRDefault="0018019A" w:rsidP="0018019A">
      <w:pPr>
        <w:tabs>
          <w:tab w:val="left" w:pos="7938"/>
        </w:tabs>
        <w:spacing w:after="0" w:line="360" w:lineRule="auto"/>
        <w:jc w:val="both"/>
        <w:rPr>
          <w:rFonts w:ascii="Times New Roman" w:hAnsi="Times New Roman" w:cs="Times New Roman"/>
          <w:sz w:val="24"/>
          <w:szCs w:val="24"/>
          <w:lang w:eastAsia="es-ES"/>
        </w:rPr>
      </w:pPr>
      <w:r w:rsidRPr="0018019A">
        <w:rPr>
          <w:rFonts w:ascii="Times New Roman" w:hAnsi="Times New Roman" w:cs="Times New Roman"/>
          <w:sz w:val="24"/>
          <w:szCs w:val="24"/>
          <w:lang w:eastAsia="es-ES"/>
        </w:rPr>
        <w:t xml:space="preserve">Este estudio tiene como limitación que sus resultados proceden de un único laboratorio de motilidad digestiva. </w:t>
      </w:r>
    </w:p>
    <w:p w14:paraId="33AC4055" w14:textId="4BE8E163"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La acalasia fue más frecuente en mujeres de mediana edad. Predominó la disfagia independientemente del tipo de acalasia, con un tiempo promedio de evolución mayor de un año. Los IRP más elevados se presentaron en la acalasia tipo II (subtipo más frecuente) y correspondieron con los mayores valores de presión media basal de reposo de la UEG y con la presión residual. Predominó el IRP por encima de 21</w:t>
      </w:r>
      <w:r w:rsidR="00010806">
        <w:rPr>
          <w:rFonts w:ascii="Times New Roman" w:hAnsi="Times New Roman" w:cs="Times New Roman"/>
          <w:sz w:val="24"/>
          <w:szCs w:val="24"/>
        </w:rPr>
        <w:t xml:space="preserve"> </w:t>
      </w:r>
      <w:r w:rsidRPr="0018019A">
        <w:rPr>
          <w:rFonts w:ascii="Times New Roman" w:hAnsi="Times New Roman" w:cs="Times New Roman"/>
          <w:sz w:val="24"/>
          <w:szCs w:val="24"/>
        </w:rPr>
        <w:t xml:space="preserve">mmHg. Estos resultados no fueron concluyentes para establecer subtipos en la acalasia tipo III. </w:t>
      </w:r>
    </w:p>
    <w:p w14:paraId="722CBAC4" w14:textId="77777777" w:rsidR="0018019A" w:rsidRPr="0018019A" w:rsidRDefault="0018019A" w:rsidP="0018019A">
      <w:pPr>
        <w:spacing w:after="0" w:line="360" w:lineRule="auto"/>
        <w:jc w:val="both"/>
        <w:rPr>
          <w:rFonts w:ascii="Times New Roman" w:hAnsi="Times New Roman" w:cs="Times New Roman"/>
          <w:sz w:val="24"/>
          <w:szCs w:val="24"/>
        </w:rPr>
      </w:pPr>
    </w:p>
    <w:p w14:paraId="3905F2C1" w14:textId="77777777" w:rsidR="0018019A" w:rsidRPr="0018019A" w:rsidRDefault="0018019A" w:rsidP="0018019A">
      <w:pPr>
        <w:spacing w:after="0" w:line="360" w:lineRule="auto"/>
        <w:jc w:val="both"/>
        <w:rPr>
          <w:rFonts w:ascii="Times New Roman" w:eastAsia="MS Mincho" w:hAnsi="Times New Roman" w:cs="Times New Roman"/>
          <w:b/>
          <w:sz w:val="24"/>
          <w:szCs w:val="24"/>
          <w:lang w:val="es-US"/>
        </w:rPr>
      </w:pPr>
    </w:p>
    <w:p w14:paraId="343EB234" w14:textId="77777777" w:rsidR="0018019A" w:rsidRPr="004109AC" w:rsidRDefault="0018019A" w:rsidP="0018019A">
      <w:pPr>
        <w:spacing w:after="0" w:line="360" w:lineRule="auto"/>
        <w:jc w:val="center"/>
        <w:rPr>
          <w:rFonts w:ascii="Times New Roman" w:eastAsia="MS Mincho" w:hAnsi="Times New Roman" w:cs="Times New Roman"/>
          <w:b/>
          <w:sz w:val="32"/>
          <w:szCs w:val="32"/>
          <w:lang w:val="es-US"/>
        </w:rPr>
      </w:pPr>
      <w:r w:rsidRPr="004109AC">
        <w:rPr>
          <w:rFonts w:ascii="Times New Roman" w:eastAsia="MS Mincho" w:hAnsi="Times New Roman" w:cs="Times New Roman"/>
          <w:b/>
          <w:sz w:val="32"/>
          <w:szCs w:val="32"/>
          <w:lang w:val="es-US"/>
        </w:rPr>
        <w:t>REFERENCIAS BIBLIOGRÁFICAS</w:t>
      </w:r>
    </w:p>
    <w:p w14:paraId="6447316E" w14:textId="77777777" w:rsidR="0018019A" w:rsidRPr="0018019A" w:rsidRDefault="0018019A" w:rsidP="0018019A">
      <w:pPr>
        <w:spacing w:after="0" w:line="360" w:lineRule="auto"/>
        <w:rPr>
          <w:rFonts w:ascii="Times New Roman" w:eastAsiaTheme="minorEastAsia" w:hAnsi="Times New Roman" w:cs="Times New Roman"/>
          <w:color w:val="000000"/>
          <w:sz w:val="24"/>
          <w:szCs w:val="24"/>
          <w:lang w:eastAsia="zh-CN"/>
        </w:rPr>
      </w:pPr>
      <w:r w:rsidRPr="0018019A">
        <w:rPr>
          <w:rFonts w:ascii="Times New Roman" w:eastAsiaTheme="minorEastAsia" w:hAnsi="Times New Roman" w:cs="Times New Roman"/>
          <w:color w:val="000000"/>
          <w:sz w:val="24"/>
          <w:szCs w:val="24"/>
          <w:lang w:eastAsia="zh-CN"/>
        </w:rPr>
        <w:t xml:space="preserve">1. Anido Escobar VM, Roque González R, Brizuela Quintanilla R, Amable Díaz T, Pérez Blanco L, Díaz Drake Z, et </w:t>
      </w:r>
      <w:proofErr w:type="gramStart"/>
      <w:r w:rsidRPr="0018019A">
        <w:rPr>
          <w:rFonts w:ascii="Times New Roman" w:eastAsiaTheme="minorEastAsia" w:hAnsi="Times New Roman" w:cs="Times New Roman"/>
          <w:color w:val="000000"/>
          <w:sz w:val="24"/>
          <w:szCs w:val="24"/>
          <w:lang w:eastAsia="zh-CN"/>
        </w:rPr>
        <w:t>al .</w:t>
      </w:r>
      <w:proofErr w:type="gramEnd"/>
      <w:r w:rsidRPr="0018019A">
        <w:rPr>
          <w:rFonts w:ascii="Times New Roman" w:eastAsiaTheme="minorEastAsia" w:hAnsi="Times New Roman" w:cs="Times New Roman"/>
          <w:color w:val="000000"/>
          <w:sz w:val="24"/>
          <w:szCs w:val="24"/>
          <w:lang w:eastAsia="zh-CN"/>
        </w:rPr>
        <w:t xml:space="preserve"> Caracterización de pacientes con acalasia en Cuba (2006-2015). </w:t>
      </w:r>
      <w:proofErr w:type="spellStart"/>
      <w:r w:rsidRPr="0018019A">
        <w:rPr>
          <w:rFonts w:ascii="Times New Roman" w:eastAsiaTheme="minorEastAsia" w:hAnsi="Times New Roman" w:cs="Times New Roman"/>
          <w:color w:val="000000"/>
          <w:sz w:val="24"/>
          <w:szCs w:val="24"/>
          <w:lang w:eastAsia="zh-CN"/>
        </w:rPr>
        <w:t>Rev</w:t>
      </w:r>
      <w:proofErr w:type="spellEnd"/>
      <w:r w:rsidRPr="0018019A">
        <w:rPr>
          <w:rFonts w:ascii="Times New Roman" w:eastAsiaTheme="minorEastAsia" w:hAnsi="Times New Roman" w:cs="Times New Roman"/>
          <w:color w:val="000000"/>
          <w:sz w:val="24"/>
          <w:szCs w:val="24"/>
          <w:lang w:eastAsia="zh-CN"/>
        </w:rPr>
        <w:t xml:space="preserve"> Cubana Cir. </w:t>
      </w:r>
      <w:r w:rsidRPr="0018019A">
        <w:rPr>
          <w:rFonts w:ascii="Times New Roman" w:eastAsiaTheme="minorEastAsia" w:hAnsi="Times New Roman" w:cs="Times New Roman"/>
          <w:color w:val="000000"/>
          <w:sz w:val="24"/>
          <w:szCs w:val="24"/>
          <w:lang w:eastAsia="zh-CN"/>
        </w:rPr>
        <w:lastRenderedPageBreak/>
        <w:t xml:space="preserve">2017 [acceso: 23/05/2021];  56(1):10-18. Disponible en: </w:t>
      </w:r>
      <w:hyperlink r:id="rId18" w:history="1">
        <w:r w:rsidRPr="0018019A">
          <w:rPr>
            <w:rFonts w:ascii="Times New Roman" w:eastAsiaTheme="minorEastAsia" w:hAnsi="Times New Roman" w:cs="Times New Roman"/>
            <w:color w:val="0000FF" w:themeColor="hyperlink"/>
            <w:sz w:val="24"/>
            <w:szCs w:val="24"/>
            <w:u w:val="single"/>
            <w:lang w:eastAsia="zh-CN"/>
          </w:rPr>
          <w:t>http://scielo.sld.cu/scielo.php?script=sci_arttext&amp;pid=S0034-74932017000100002&amp;lng=es</w:t>
        </w:r>
      </w:hyperlink>
    </w:p>
    <w:p w14:paraId="1A40402D" w14:textId="77777777" w:rsidR="0018019A" w:rsidRPr="0018019A" w:rsidRDefault="0018019A" w:rsidP="0018019A">
      <w:pPr>
        <w:spacing w:after="0" w:line="360" w:lineRule="auto"/>
        <w:rPr>
          <w:rFonts w:ascii="Times New Roman" w:hAnsi="Times New Roman" w:cs="Times New Roman"/>
          <w:sz w:val="24"/>
          <w:szCs w:val="24"/>
        </w:rPr>
      </w:pPr>
      <w:r w:rsidRPr="0018019A">
        <w:rPr>
          <w:rFonts w:ascii="Times New Roman" w:hAnsi="Times New Roman" w:cs="Times New Roman"/>
          <w:sz w:val="24"/>
          <w:szCs w:val="24"/>
          <w:lang w:val="en-US"/>
        </w:rPr>
        <w:t xml:space="preserve">2. Van </w:t>
      </w:r>
      <w:proofErr w:type="spellStart"/>
      <w:r w:rsidRPr="0018019A">
        <w:rPr>
          <w:rFonts w:ascii="Times New Roman" w:hAnsi="Times New Roman" w:cs="Times New Roman"/>
          <w:sz w:val="24"/>
          <w:szCs w:val="24"/>
          <w:lang w:val="en-US"/>
        </w:rPr>
        <w:t>Hoeij</w:t>
      </w:r>
      <w:proofErr w:type="spellEnd"/>
      <w:r w:rsidRPr="0018019A">
        <w:rPr>
          <w:rFonts w:ascii="Times New Roman" w:hAnsi="Times New Roman" w:cs="Times New Roman"/>
          <w:sz w:val="24"/>
          <w:szCs w:val="24"/>
          <w:lang w:val="en-US"/>
        </w:rPr>
        <w:t xml:space="preserve"> FB, </w:t>
      </w:r>
      <w:proofErr w:type="spellStart"/>
      <w:r w:rsidRPr="0018019A">
        <w:rPr>
          <w:rFonts w:ascii="Times New Roman" w:hAnsi="Times New Roman" w:cs="Times New Roman"/>
          <w:sz w:val="24"/>
          <w:szCs w:val="24"/>
          <w:lang w:val="en-US"/>
        </w:rPr>
        <w:t>Bredenoord</w:t>
      </w:r>
      <w:proofErr w:type="spellEnd"/>
      <w:r w:rsidRPr="0018019A">
        <w:rPr>
          <w:rFonts w:ascii="Times New Roman" w:hAnsi="Times New Roman" w:cs="Times New Roman"/>
          <w:sz w:val="24"/>
          <w:szCs w:val="24"/>
          <w:lang w:val="en-US"/>
        </w:rPr>
        <w:t xml:space="preserve"> AJ. Clinical application of esophageal </w:t>
      </w:r>
      <w:proofErr w:type="gramStart"/>
      <w:r w:rsidRPr="0018019A">
        <w:rPr>
          <w:rFonts w:ascii="Times New Roman" w:hAnsi="Times New Roman" w:cs="Times New Roman"/>
          <w:sz w:val="24"/>
          <w:szCs w:val="24"/>
          <w:lang w:val="en-US"/>
        </w:rPr>
        <w:t>high resolution</w:t>
      </w:r>
      <w:proofErr w:type="gramEnd"/>
      <w:r w:rsidRPr="0018019A">
        <w:rPr>
          <w:rFonts w:ascii="Times New Roman" w:hAnsi="Times New Roman" w:cs="Times New Roman"/>
          <w:sz w:val="24"/>
          <w:szCs w:val="24"/>
          <w:lang w:val="en-US"/>
        </w:rPr>
        <w:t xml:space="preserve"> manometry in the diagnosis of esophageal motility disorders. </w:t>
      </w:r>
      <w:r w:rsidRPr="0018019A">
        <w:rPr>
          <w:rFonts w:ascii="Times New Roman" w:hAnsi="Times New Roman" w:cs="Times New Roman"/>
          <w:sz w:val="24"/>
          <w:szCs w:val="24"/>
        </w:rPr>
        <w:t xml:space="preserve">J </w:t>
      </w:r>
      <w:proofErr w:type="spellStart"/>
      <w:r w:rsidRPr="0018019A">
        <w:rPr>
          <w:rFonts w:ascii="Times New Roman" w:hAnsi="Times New Roman" w:cs="Times New Roman"/>
          <w:sz w:val="24"/>
          <w:szCs w:val="24"/>
        </w:rPr>
        <w:t>Neurogastroenterol</w:t>
      </w:r>
      <w:proofErr w:type="spellEnd"/>
      <w:r w:rsidRPr="0018019A">
        <w:rPr>
          <w:rFonts w:ascii="Times New Roman" w:hAnsi="Times New Roman" w:cs="Times New Roman"/>
          <w:sz w:val="24"/>
          <w:szCs w:val="24"/>
        </w:rPr>
        <w:t xml:space="preserve"> </w:t>
      </w:r>
      <w:proofErr w:type="spellStart"/>
      <w:r w:rsidRPr="0018019A">
        <w:rPr>
          <w:rFonts w:ascii="Times New Roman" w:hAnsi="Times New Roman" w:cs="Times New Roman"/>
          <w:sz w:val="24"/>
          <w:szCs w:val="24"/>
        </w:rPr>
        <w:t>Motl</w:t>
      </w:r>
      <w:proofErr w:type="spellEnd"/>
      <w:r w:rsidRPr="0018019A">
        <w:rPr>
          <w:rFonts w:ascii="Times New Roman" w:hAnsi="Times New Roman" w:cs="Times New Roman"/>
          <w:sz w:val="24"/>
          <w:szCs w:val="24"/>
        </w:rPr>
        <w:t xml:space="preserve">. 2016[acceso: 16/03/2020]; 22(1):6-13. Disponible en: </w:t>
      </w:r>
      <w:hyperlink r:id="rId19" w:history="1">
        <w:r w:rsidRPr="0018019A">
          <w:rPr>
            <w:rFonts w:ascii="Times New Roman" w:hAnsi="Times New Roman" w:cs="Times New Roman"/>
            <w:color w:val="0000FF" w:themeColor="hyperlink"/>
            <w:sz w:val="24"/>
            <w:szCs w:val="24"/>
            <w:u w:val="single"/>
          </w:rPr>
          <w:t>https://pubmed.ncbi.nlm.nih.gov/26631942/</w:t>
        </w:r>
      </w:hyperlink>
    </w:p>
    <w:p w14:paraId="2DEAB173" w14:textId="77777777" w:rsidR="0018019A" w:rsidRPr="0018019A" w:rsidRDefault="0018019A" w:rsidP="0018019A">
      <w:pPr>
        <w:spacing w:after="0" w:line="360" w:lineRule="auto"/>
        <w:rPr>
          <w:rFonts w:ascii="Times New Roman" w:hAnsi="Times New Roman" w:cs="Times New Roman"/>
          <w:sz w:val="24"/>
          <w:szCs w:val="24"/>
        </w:rPr>
      </w:pPr>
      <w:r w:rsidRPr="0018019A">
        <w:rPr>
          <w:rFonts w:ascii="Times New Roman" w:hAnsi="Times New Roman" w:cs="Times New Roman"/>
          <w:sz w:val="24"/>
          <w:szCs w:val="24"/>
          <w:lang w:val="en-US"/>
        </w:rPr>
        <w:t xml:space="preserve">3. </w:t>
      </w:r>
      <w:proofErr w:type="spellStart"/>
      <w:r w:rsidRPr="0018019A">
        <w:rPr>
          <w:rFonts w:ascii="Times New Roman" w:hAnsi="Times New Roman" w:cs="Times New Roman"/>
          <w:sz w:val="24"/>
          <w:szCs w:val="24"/>
          <w:lang w:val="en-US"/>
        </w:rPr>
        <w:t>Bredenoord</w:t>
      </w:r>
      <w:proofErr w:type="spellEnd"/>
      <w:r w:rsidRPr="0018019A">
        <w:rPr>
          <w:rFonts w:ascii="Times New Roman" w:hAnsi="Times New Roman" w:cs="Times New Roman"/>
          <w:sz w:val="24"/>
          <w:szCs w:val="24"/>
          <w:lang w:val="en-US"/>
        </w:rPr>
        <w:t xml:space="preserve"> AJ, </w:t>
      </w:r>
      <w:proofErr w:type="spellStart"/>
      <w:r w:rsidRPr="0018019A">
        <w:rPr>
          <w:rFonts w:ascii="Times New Roman" w:hAnsi="Times New Roman" w:cs="Times New Roman"/>
          <w:sz w:val="24"/>
          <w:szCs w:val="24"/>
          <w:lang w:val="en-US"/>
        </w:rPr>
        <w:t>Smout</w:t>
      </w:r>
      <w:proofErr w:type="spellEnd"/>
      <w:r w:rsidRPr="0018019A">
        <w:rPr>
          <w:rFonts w:ascii="Times New Roman" w:hAnsi="Times New Roman" w:cs="Times New Roman"/>
          <w:sz w:val="24"/>
          <w:szCs w:val="24"/>
          <w:lang w:val="en-US"/>
        </w:rPr>
        <w:t xml:space="preserve"> AJ. High-resolution manometry. Digestive and Liver Disease. 2008 [</w:t>
      </w:r>
      <w:proofErr w:type="spellStart"/>
      <w:r w:rsidRPr="0018019A">
        <w:rPr>
          <w:rFonts w:ascii="Times New Roman" w:hAnsi="Times New Roman" w:cs="Times New Roman"/>
          <w:sz w:val="24"/>
          <w:szCs w:val="24"/>
          <w:lang w:val="en-US"/>
        </w:rPr>
        <w:t>acceso</w:t>
      </w:r>
      <w:proofErr w:type="spellEnd"/>
      <w:r w:rsidRPr="0018019A">
        <w:rPr>
          <w:rFonts w:ascii="Times New Roman" w:hAnsi="Times New Roman" w:cs="Times New Roman"/>
          <w:sz w:val="24"/>
          <w:szCs w:val="24"/>
          <w:lang w:val="en-US"/>
        </w:rPr>
        <w:t xml:space="preserve">: 16/03/2020]; 40 (3):174-181. </w:t>
      </w:r>
      <w:r w:rsidRPr="0018019A">
        <w:rPr>
          <w:rFonts w:ascii="Times New Roman" w:hAnsi="Times New Roman" w:cs="Times New Roman"/>
          <w:sz w:val="24"/>
          <w:szCs w:val="24"/>
        </w:rPr>
        <w:t xml:space="preserve">Disponible en: </w:t>
      </w:r>
      <w:hyperlink r:id="rId20" w:history="1">
        <w:r w:rsidRPr="0018019A">
          <w:rPr>
            <w:rFonts w:ascii="Times New Roman" w:hAnsi="Times New Roman" w:cs="Times New Roman"/>
            <w:color w:val="0000FF" w:themeColor="hyperlink"/>
            <w:sz w:val="24"/>
            <w:szCs w:val="24"/>
            <w:u w:val="single"/>
          </w:rPr>
          <w:t>https://www.sciencedirect.com/science/article/abs/pii/S1590865807006263</w:t>
        </w:r>
      </w:hyperlink>
    </w:p>
    <w:p w14:paraId="1FA65DF9" w14:textId="77777777" w:rsidR="0018019A" w:rsidRPr="0018019A" w:rsidRDefault="0018019A" w:rsidP="0018019A">
      <w:pPr>
        <w:spacing w:after="0" w:line="360" w:lineRule="auto"/>
        <w:rPr>
          <w:rFonts w:ascii="Times New Roman" w:hAnsi="Times New Roman" w:cs="Times New Roman"/>
          <w:bCs/>
          <w:sz w:val="24"/>
          <w:szCs w:val="24"/>
          <w:lang w:val="es-ES"/>
        </w:rPr>
      </w:pPr>
      <w:r w:rsidRPr="0018019A">
        <w:rPr>
          <w:rFonts w:ascii="Times New Roman" w:hAnsi="Times New Roman" w:cs="Times New Roman"/>
          <w:sz w:val="24"/>
          <w:szCs w:val="24"/>
          <w:lang w:val="en-US"/>
        </w:rPr>
        <w:t xml:space="preserve">4. </w:t>
      </w:r>
      <w:proofErr w:type="spellStart"/>
      <w:r w:rsidRPr="0018019A">
        <w:rPr>
          <w:rFonts w:ascii="Times New Roman" w:hAnsi="Times New Roman" w:cs="Times New Roman"/>
          <w:sz w:val="24"/>
          <w:szCs w:val="24"/>
          <w:lang w:val="en-US"/>
        </w:rPr>
        <w:t>Schlotmann</w:t>
      </w:r>
      <w:proofErr w:type="spellEnd"/>
      <w:r w:rsidRPr="0018019A">
        <w:rPr>
          <w:rFonts w:ascii="Times New Roman" w:hAnsi="Times New Roman" w:cs="Times New Roman"/>
          <w:sz w:val="24"/>
          <w:szCs w:val="24"/>
          <w:lang w:val="en-US"/>
        </w:rPr>
        <w:t xml:space="preserve"> Patti MG. Primary esophageal motility disorders: Beyond Achalasia. </w:t>
      </w:r>
      <w:proofErr w:type="spellStart"/>
      <w:r w:rsidRPr="0018019A">
        <w:rPr>
          <w:rFonts w:ascii="Times New Roman" w:hAnsi="Times New Roman" w:cs="Times New Roman"/>
          <w:sz w:val="24"/>
          <w:szCs w:val="24"/>
        </w:rPr>
        <w:t>Int</w:t>
      </w:r>
      <w:proofErr w:type="spellEnd"/>
      <w:r w:rsidRPr="0018019A">
        <w:rPr>
          <w:rFonts w:ascii="Times New Roman" w:hAnsi="Times New Roman" w:cs="Times New Roman"/>
          <w:sz w:val="24"/>
          <w:szCs w:val="24"/>
        </w:rPr>
        <w:t xml:space="preserve"> J Mol </w:t>
      </w:r>
      <w:proofErr w:type="spellStart"/>
      <w:r w:rsidRPr="0018019A">
        <w:rPr>
          <w:rFonts w:ascii="Times New Roman" w:hAnsi="Times New Roman" w:cs="Times New Roman"/>
          <w:sz w:val="24"/>
          <w:szCs w:val="24"/>
        </w:rPr>
        <w:t>Sci</w:t>
      </w:r>
      <w:proofErr w:type="spellEnd"/>
      <w:r w:rsidRPr="0018019A">
        <w:rPr>
          <w:rFonts w:ascii="Times New Roman" w:hAnsi="Times New Roman" w:cs="Times New Roman"/>
          <w:sz w:val="24"/>
          <w:szCs w:val="24"/>
        </w:rPr>
        <w:t xml:space="preserve">. 2017[acceso: 16/03/2020]; 18(7):1399. Disponible en: </w:t>
      </w:r>
      <w:hyperlink r:id="rId21" w:history="1">
        <w:r w:rsidRPr="0018019A">
          <w:rPr>
            <w:rFonts w:ascii="Times New Roman" w:hAnsi="Times New Roman" w:cs="Times New Roman"/>
            <w:color w:val="0000FF" w:themeColor="hyperlink"/>
            <w:sz w:val="24"/>
            <w:szCs w:val="24"/>
            <w:u w:val="single"/>
          </w:rPr>
          <w:t>https://doi.org/10.3390/ijms18071399</w:t>
        </w:r>
      </w:hyperlink>
    </w:p>
    <w:p w14:paraId="4C6FE117" w14:textId="77777777" w:rsidR="0018019A" w:rsidRPr="0018019A" w:rsidRDefault="0018019A" w:rsidP="0018019A">
      <w:pPr>
        <w:spacing w:after="0" w:line="360" w:lineRule="auto"/>
        <w:rPr>
          <w:rFonts w:ascii="Times New Roman" w:hAnsi="Times New Roman" w:cs="Times New Roman"/>
          <w:sz w:val="24"/>
          <w:szCs w:val="24"/>
          <w:lang w:val="es-ES"/>
        </w:rPr>
      </w:pPr>
      <w:r w:rsidRPr="0018019A">
        <w:rPr>
          <w:rFonts w:ascii="Times New Roman" w:hAnsi="Times New Roman" w:cs="Times New Roman"/>
          <w:bCs/>
          <w:sz w:val="24"/>
          <w:szCs w:val="24"/>
          <w:lang w:val="en-US"/>
        </w:rPr>
        <w:t xml:space="preserve">5. </w:t>
      </w:r>
      <w:hyperlink r:id="rId22" w:history="1">
        <w:r w:rsidRPr="0018019A">
          <w:rPr>
            <w:rFonts w:ascii="Times New Roman" w:hAnsi="Times New Roman" w:cs="Times New Roman"/>
            <w:sz w:val="24"/>
            <w:szCs w:val="24"/>
            <w:lang w:val="en-US"/>
          </w:rPr>
          <w:t>Samo</w:t>
        </w:r>
      </w:hyperlink>
      <w:r w:rsidRPr="0018019A">
        <w:rPr>
          <w:rFonts w:ascii="Times New Roman" w:hAnsi="Times New Roman" w:cs="Times New Roman"/>
          <w:sz w:val="24"/>
          <w:szCs w:val="24"/>
          <w:lang w:val="en-US"/>
        </w:rPr>
        <w:t xml:space="preserve"> S, </w:t>
      </w:r>
      <w:hyperlink r:id="rId23" w:history="1">
        <w:r w:rsidRPr="0018019A">
          <w:rPr>
            <w:rFonts w:ascii="Times New Roman" w:hAnsi="Times New Roman" w:cs="Times New Roman"/>
            <w:sz w:val="24"/>
            <w:szCs w:val="24"/>
            <w:lang w:val="en-US"/>
          </w:rPr>
          <w:t>Carlson</w:t>
        </w:r>
      </w:hyperlink>
      <w:r w:rsidRPr="0018019A">
        <w:rPr>
          <w:rFonts w:ascii="Times New Roman" w:hAnsi="Times New Roman" w:cs="Times New Roman"/>
          <w:sz w:val="24"/>
          <w:szCs w:val="24"/>
          <w:lang w:val="en-US"/>
        </w:rPr>
        <w:t xml:space="preserve"> DA</w:t>
      </w:r>
      <w:r w:rsidRPr="0018019A">
        <w:rPr>
          <w:rFonts w:ascii="Times New Roman" w:hAnsi="Times New Roman" w:cs="Times New Roman"/>
          <w:sz w:val="24"/>
          <w:szCs w:val="24"/>
          <w:vertAlign w:val="superscript"/>
          <w:lang w:val="en-US"/>
        </w:rPr>
        <w:t> </w:t>
      </w:r>
      <w:r w:rsidRPr="0018019A">
        <w:rPr>
          <w:rFonts w:ascii="Times New Roman" w:hAnsi="Times New Roman" w:cs="Times New Roman"/>
          <w:sz w:val="24"/>
          <w:szCs w:val="24"/>
          <w:lang w:val="en-US"/>
        </w:rPr>
        <w:t>, </w:t>
      </w:r>
      <w:hyperlink r:id="rId24" w:history="1">
        <w:r w:rsidRPr="0018019A">
          <w:rPr>
            <w:rFonts w:ascii="Times New Roman" w:hAnsi="Times New Roman" w:cs="Times New Roman"/>
            <w:sz w:val="24"/>
            <w:szCs w:val="24"/>
            <w:lang w:val="en-US"/>
          </w:rPr>
          <w:t>Gregory</w:t>
        </w:r>
      </w:hyperlink>
      <w:r w:rsidRPr="0018019A">
        <w:rPr>
          <w:rFonts w:ascii="Times New Roman" w:hAnsi="Times New Roman" w:cs="Times New Roman"/>
          <w:sz w:val="24"/>
          <w:szCs w:val="24"/>
          <w:lang w:val="en-US"/>
        </w:rPr>
        <w:t xml:space="preserve"> DL</w:t>
      </w:r>
      <w:r w:rsidRPr="0018019A">
        <w:rPr>
          <w:rFonts w:ascii="Times New Roman" w:hAnsi="Times New Roman" w:cs="Times New Roman"/>
          <w:sz w:val="24"/>
          <w:szCs w:val="24"/>
          <w:vertAlign w:val="superscript"/>
          <w:lang w:val="en-US"/>
        </w:rPr>
        <w:t> </w:t>
      </w:r>
      <w:r w:rsidRPr="0018019A">
        <w:rPr>
          <w:rFonts w:ascii="Times New Roman" w:hAnsi="Times New Roman" w:cs="Times New Roman"/>
          <w:sz w:val="24"/>
          <w:szCs w:val="24"/>
          <w:lang w:val="en-US"/>
        </w:rPr>
        <w:t>, </w:t>
      </w:r>
      <w:hyperlink r:id="rId25" w:history="1">
        <w:r w:rsidRPr="0018019A">
          <w:rPr>
            <w:rFonts w:ascii="Times New Roman" w:hAnsi="Times New Roman" w:cs="Times New Roman"/>
            <w:sz w:val="24"/>
            <w:szCs w:val="24"/>
            <w:lang w:val="en-US"/>
          </w:rPr>
          <w:t>Gawel</w:t>
        </w:r>
      </w:hyperlink>
      <w:r w:rsidRPr="0018019A">
        <w:rPr>
          <w:rFonts w:ascii="Times New Roman" w:hAnsi="Times New Roman" w:cs="Times New Roman"/>
          <w:sz w:val="24"/>
          <w:szCs w:val="24"/>
          <w:lang w:val="en-US"/>
        </w:rPr>
        <w:t xml:space="preserve"> SH</w:t>
      </w:r>
      <w:r w:rsidRPr="0018019A">
        <w:rPr>
          <w:rFonts w:ascii="Times New Roman" w:hAnsi="Times New Roman" w:cs="Times New Roman"/>
          <w:sz w:val="24"/>
          <w:szCs w:val="24"/>
          <w:vertAlign w:val="superscript"/>
          <w:lang w:val="en-US"/>
        </w:rPr>
        <w:t> </w:t>
      </w:r>
      <w:hyperlink r:id="rId26" w:anchor="affiliation-2" w:history="1"/>
      <w:r w:rsidRPr="0018019A">
        <w:rPr>
          <w:rFonts w:ascii="Times New Roman" w:hAnsi="Times New Roman" w:cs="Times New Roman"/>
          <w:sz w:val="24"/>
          <w:szCs w:val="24"/>
          <w:lang w:val="en-US"/>
        </w:rPr>
        <w:t>, </w:t>
      </w:r>
      <w:hyperlink r:id="rId27" w:history="1">
        <w:r w:rsidRPr="0018019A">
          <w:rPr>
            <w:rFonts w:ascii="Times New Roman" w:hAnsi="Times New Roman" w:cs="Times New Roman"/>
            <w:sz w:val="24"/>
            <w:szCs w:val="24"/>
            <w:lang w:val="en-US"/>
          </w:rPr>
          <w:t>Pandolfino</w:t>
        </w:r>
      </w:hyperlink>
      <w:r w:rsidRPr="0018019A">
        <w:rPr>
          <w:rFonts w:ascii="Times New Roman" w:hAnsi="Times New Roman" w:cs="Times New Roman"/>
          <w:sz w:val="24"/>
          <w:szCs w:val="24"/>
          <w:lang w:val="en-US"/>
        </w:rPr>
        <w:t xml:space="preserve"> JR</w:t>
      </w:r>
      <w:r w:rsidRPr="0018019A">
        <w:rPr>
          <w:rFonts w:ascii="Times New Roman" w:hAnsi="Times New Roman" w:cs="Times New Roman"/>
          <w:sz w:val="24"/>
          <w:szCs w:val="24"/>
          <w:vertAlign w:val="superscript"/>
          <w:lang w:val="en-US"/>
        </w:rPr>
        <w:t> </w:t>
      </w:r>
      <w:hyperlink r:id="rId28" w:anchor="affiliation-1" w:history="1"/>
      <w:r w:rsidRPr="0018019A">
        <w:rPr>
          <w:rFonts w:ascii="Times New Roman" w:hAnsi="Times New Roman" w:cs="Times New Roman"/>
          <w:sz w:val="24"/>
          <w:szCs w:val="24"/>
          <w:lang w:val="en-US"/>
        </w:rPr>
        <w:t>, </w:t>
      </w:r>
      <w:hyperlink r:id="rId29" w:history="1">
        <w:r w:rsidRPr="0018019A">
          <w:rPr>
            <w:rFonts w:ascii="Times New Roman" w:hAnsi="Times New Roman" w:cs="Times New Roman"/>
            <w:sz w:val="24"/>
            <w:szCs w:val="24"/>
            <w:lang w:val="en-US"/>
          </w:rPr>
          <w:t>Kahrilas</w:t>
        </w:r>
      </w:hyperlink>
      <w:r w:rsidRPr="0018019A">
        <w:rPr>
          <w:rFonts w:ascii="Times New Roman" w:hAnsi="Times New Roman" w:cs="Times New Roman"/>
          <w:sz w:val="24"/>
          <w:szCs w:val="24"/>
          <w:lang w:val="en-US"/>
        </w:rPr>
        <w:t xml:space="preserve"> PJ</w:t>
      </w:r>
      <w:r w:rsidRPr="0018019A">
        <w:rPr>
          <w:rFonts w:ascii="Times New Roman" w:hAnsi="Times New Roman" w:cs="Times New Roman"/>
          <w:bCs/>
          <w:sz w:val="24"/>
          <w:szCs w:val="24"/>
          <w:lang w:val="en-US"/>
        </w:rPr>
        <w:t xml:space="preserve">. Incidence and Prevalence of Achalasia in Central Chicago, 2004–2014, Since the Widespread use of High-Resolution Manometry. </w:t>
      </w:r>
      <w:r w:rsidRPr="0018019A">
        <w:rPr>
          <w:rFonts w:ascii="Times New Roman" w:hAnsi="Times New Roman" w:cs="Times New Roman"/>
          <w:sz w:val="24"/>
          <w:szCs w:val="24"/>
          <w:lang w:val="es-ES"/>
        </w:rPr>
        <w:t xml:space="preserve">Clin </w:t>
      </w:r>
      <w:proofErr w:type="spellStart"/>
      <w:r w:rsidRPr="0018019A">
        <w:rPr>
          <w:rFonts w:ascii="Times New Roman" w:hAnsi="Times New Roman" w:cs="Times New Roman"/>
          <w:sz w:val="24"/>
          <w:szCs w:val="24"/>
          <w:lang w:val="es-ES"/>
        </w:rPr>
        <w:t>Gastroenterol</w:t>
      </w:r>
      <w:proofErr w:type="spellEnd"/>
      <w:r w:rsidRPr="0018019A">
        <w:rPr>
          <w:rFonts w:ascii="Times New Roman" w:hAnsi="Times New Roman" w:cs="Times New Roman"/>
          <w:sz w:val="24"/>
          <w:szCs w:val="24"/>
          <w:lang w:val="es-ES"/>
        </w:rPr>
        <w:t xml:space="preserve"> </w:t>
      </w:r>
      <w:proofErr w:type="spellStart"/>
      <w:r w:rsidRPr="0018019A">
        <w:rPr>
          <w:rFonts w:ascii="Times New Roman" w:hAnsi="Times New Roman" w:cs="Times New Roman"/>
          <w:sz w:val="24"/>
          <w:szCs w:val="24"/>
          <w:lang w:val="es-ES"/>
        </w:rPr>
        <w:t>Hepatol</w:t>
      </w:r>
      <w:proofErr w:type="spellEnd"/>
      <w:r w:rsidRPr="0018019A">
        <w:rPr>
          <w:rFonts w:ascii="Times New Roman" w:hAnsi="Times New Roman" w:cs="Times New Roman"/>
          <w:sz w:val="24"/>
          <w:szCs w:val="24"/>
          <w:lang w:val="es-ES"/>
        </w:rPr>
        <w:t xml:space="preserve">. 2017[acceso: 16/03/2020]; 15(3):366–73. Disponible en: </w:t>
      </w:r>
      <w:hyperlink r:id="rId30" w:history="1">
        <w:r w:rsidRPr="0018019A">
          <w:rPr>
            <w:rFonts w:ascii="Times New Roman" w:hAnsi="Times New Roman" w:cs="Times New Roman"/>
            <w:color w:val="0000FF" w:themeColor="hyperlink"/>
            <w:sz w:val="24"/>
            <w:szCs w:val="24"/>
            <w:u w:val="single"/>
            <w:lang w:val="es-ES"/>
          </w:rPr>
          <w:t>https://pubmed.ncbi.nlm.nih.gov/27581064/</w:t>
        </w:r>
      </w:hyperlink>
    </w:p>
    <w:p w14:paraId="7B1AFBB4" w14:textId="77777777" w:rsidR="0018019A" w:rsidRPr="0018019A" w:rsidRDefault="0018019A" w:rsidP="0018019A">
      <w:pPr>
        <w:spacing w:after="0" w:line="360" w:lineRule="auto"/>
        <w:rPr>
          <w:rFonts w:ascii="Times New Roman" w:hAnsi="Times New Roman" w:cs="Times New Roman"/>
          <w:sz w:val="24"/>
          <w:szCs w:val="24"/>
        </w:rPr>
      </w:pPr>
      <w:bookmarkStart w:id="1" w:name="R14"/>
      <w:bookmarkStart w:id="2" w:name="idp243472"/>
      <w:bookmarkEnd w:id="1"/>
      <w:bookmarkEnd w:id="2"/>
      <w:r w:rsidRPr="0018019A">
        <w:rPr>
          <w:rFonts w:ascii="Times New Roman" w:hAnsi="Times New Roman" w:cs="Times New Roman"/>
          <w:sz w:val="24"/>
          <w:szCs w:val="24"/>
          <w:lang w:val="en-US"/>
        </w:rPr>
        <w:t xml:space="preserve">6. Fox MR, </w:t>
      </w:r>
      <w:proofErr w:type="spellStart"/>
      <w:r w:rsidRPr="0018019A">
        <w:rPr>
          <w:rFonts w:ascii="Times New Roman" w:hAnsi="Times New Roman" w:cs="Times New Roman"/>
          <w:sz w:val="24"/>
          <w:szCs w:val="24"/>
          <w:lang w:val="en-US"/>
        </w:rPr>
        <w:t>Bredenoord</w:t>
      </w:r>
      <w:proofErr w:type="spellEnd"/>
      <w:r w:rsidRPr="0018019A">
        <w:rPr>
          <w:rFonts w:ascii="Times New Roman" w:hAnsi="Times New Roman" w:cs="Times New Roman"/>
          <w:sz w:val="24"/>
          <w:szCs w:val="24"/>
          <w:lang w:val="en-US"/>
        </w:rPr>
        <w:t xml:space="preserve"> AJ. Esophageal high-resolution manometry: moving from research into clinical practice. </w:t>
      </w:r>
      <w:proofErr w:type="spellStart"/>
      <w:r w:rsidRPr="0018019A">
        <w:rPr>
          <w:rFonts w:ascii="Times New Roman" w:hAnsi="Times New Roman" w:cs="Times New Roman"/>
          <w:sz w:val="24"/>
          <w:szCs w:val="24"/>
        </w:rPr>
        <w:t>Gut</w:t>
      </w:r>
      <w:proofErr w:type="spellEnd"/>
      <w:r w:rsidRPr="0018019A">
        <w:rPr>
          <w:rFonts w:ascii="Times New Roman" w:hAnsi="Times New Roman" w:cs="Times New Roman"/>
          <w:sz w:val="24"/>
          <w:szCs w:val="24"/>
        </w:rPr>
        <w:t xml:space="preserve"> 2008 [acceso: 16/03/2020]; 57(3):405–23. Disponible en: </w:t>
      </w:r>
      <w:hyperlink r:id="rId31" w:history="1">
        <w:r w:rsidRPr="0018019A">
          <w:rPr>
            <w:rFonts w:ascii="Times New Roman" w:hAnsi="Times New Roman" w:cs="Times New Roman"/>
            <w:color w:val="0000FF" w:themeColor="hyperlink"/>
            <w:sz w:val="24"/>
            <w:szCs w:val="24"/>
            <w:u w:val="single"/>
          </w:rPr>
          <w:t>https://gut.bmj.com/content/57/3/405</w:t>
        </w:r>
      </w:hyperlink>
    </w:p>
    <w:p w14:paraId="55372C1D" w14:textId="77777777" w:rsidR="0018019A" w:rsidRPr="0018019A" w:rsidRDefault="0018019A" w:rsidP="0018019A">
      <w:pPr>
        <w:spacing w:after="0" w:line="360" w:lineRule="auto"/>
        <w:rPr>
          <w:rFonts w:ascii="Times New Roman" w:hAnsi="Times New Roman" w:cs="Times New Roman"/>
          <w:sz w:val="24"/>
          <w:szCs w:val="24"/>
        </w:rPr>
      </w:pPr>
      <w:bookmarkStart w:id="3" w:name="R15"/>
      <w:bookmarkStart w:id="4" w:name="idp246416"/>
      <w:bookmarkEnd w:id="3"/>
      <w:bookmarkEnd w:id="4"/>
      <w:r w:rsidRPr="0018019A">
        <w:rPr>
          <w:rFonts w:ascii="Times New Roman" w:hAnsi="Times New Roman" w:cs="Times New Roman"/>
          <w:sz w:val="24"/>
          <w:szCs w:val="24"/>
        </w:rPr>
        <w:t xml:space="preserve">7. Salvador R, </w:t>
      </w:r>
      <w:proofErr w:type="spellStart"/>
      <w:r w:rsidRPr="0018019A">
        <w:rPr>
          <w:rFonts w:ascii="Times New Roman" w:hAnsi="Times New Roman" w:cs="Times New Roman"/>
          <w:sz w:val="24"/>
          <w:szCs w:val="24"/>
        </w:rPr>
        <w:t>Dubz</w:t>
      </w:r>
      <w:proofErr w:type="spellEnd"/>
      <w:r w:rsidRPr="0018019A">
        <w:rPr>
          <w:rFonts w:ascii="Times New Roman" w:hAnsi="Times New Roman" w:cs="Times New Roman"/>
          <w:sz w:val="24"/>
          <w:szCs w:val="24"/>
        </w:rPr>
        <w:t xml:space="preserve"> A, </w:t>
      </w:r>
      <w:proofErr w:type="spellStart"/>
      <w:r w:rsidRPr="0018019A">
        <w:rPr>
          <w:rFonts w:ascii="Times New Roman" w:hAnsi="Times New Roman" w:cs="Times New Roman"/>
          <w:sz w:val="24"/>
          <w:szCs w:val="24"/>
        </w:rPr>
        <w:t>Polomsky</w:t>
      </w:r>
      <w:proofErr w:type="spellEnd"/>
      <w:r w:rsidRPr="0018019A">
        <w:rPr>
          <w:rFonts w:ascii="Times New Roman" w:hAnsi="Times New Roman" w:cs="Times New Roman"/>
          <w:sz w:val="24"/>
          <w:szCs w:val="24"/>
        </w:rPr>
        <w:t xml:space="preserve"> M, </w:t>
      </w:r>
      <w:proofErr w:type="spellStart"/>
      <w:r w:rsidRPr="0018019A">
        <w:rPr>
          <w:rFonts w:ascii="Times New Roman" w:hAnsi="Times New Roman" w:cs="Times New Roman"/>
          <w:sz w:val="24"/>
          <w:szCs w:val="24"/>
        </w:rPr>
        <w:t>Gellerson</w:t>
      </w:r>
      <w:proofErr w:type="spellEnd"/>
      <w:r w:rsidRPr="0018019A">
        <w:rPr>
          <w:rFonts w:ascii="Times New Roman" w:hAnsi="Times New Roman" w:cs="Times New Roman"/>
          <w:sz w:val="24"/>
          <w:szCs w:val="24"/>
        </w:rPr>
        <w:t xml:space="preserve"> O, Jones CE, Raymond DP, et al. </w:t>
      </w:r>
      <w:r w:rsidRPr="0018019A">
        <w:rPr>
          <w:rFonts w:ascii="Times New Roman" w:hAnsi="Times New Roman" w:cs="Times New Roman"/>
          <w:sz w:val="24"/>
          <w:szCs w:val="24"/>
          <w:lang w:val="en-US"/>
        </w:rPr>
        <w:t xml:space="preserve">A new era in esophageal diagnostics: the image-based paradigm of high-resolution manometry. </w:t>
      </w:r>
      <w:r w:rsidRPr="0018019A">
        <w:rPr>
          <w:rFonts w:ascii="Times New Roman" w:hAnsi="Times New Roman" w:cs="Times New Roman"/>
          <w:sz w:val="24"/>
          <w:szCs w:val="24"/>
        </w:rPr>
        <w:t xml:space="preserve">J Am </w:t>
      </w:r>
      <w:proofErr w:type="spellStart"/>
      <w:r w:rsidRPr="0018019A">
        <w:rPr>
          <w:rFonts w:ascii="Times New Roman" w:hAnsi="Times New Roman" w:cs="Times New Roman"/>
          <w:sz w:val="24"/>
          <w:szCs w:val="24"/>
        </w:rPr>
        <w:t>CollSurg</w:t>
      </w:r>
      <w:proofErr w:type="spellEnd"/>
      <w:r w:rsidRPr="0018019A">
        <w:rPr>
          <w:rFonts w:ascii="Times New Roman" w:hAnsi="Times New Roman" w:cs="Times New Roman"/>
          <w:sz w:val="24"/>
          <w:szCs w:val="24"/>
        </w:rPr>
        <w:t xml:space="preserve"> 2009[acceso: 16/03/2020]; 208(6):1035–44. Disponible en: </w:t>
      </w:r>
      <w:hyperlink r:id="rId32" w:history="1">
        <w:r w:rsidRPr="0018019A">
          <w:rPr>
            <w:rFonts w:ascii="Times New Roman" w:hAnsi="Times New Roman" w:cs="Times New Roman"/>
            <w:color w:val="0000FF" w:themeColor="hyperlink"/>
            <w:sz w:val="24"/>
            <w:szCs w:val="24"/>
            <w:u w:val="single"/>
          </w:rPr>
          <w:t>https://pubmed.ncbi.nlm.nih.gov/19476889/</w:t>
        </w:r>
      </w:hyperlink>
    </w:p>
    <w:p w14:paraId="40A43AF6" w14:textId="77777777" w:rsidR="0018019A" w:rsidRPr="0018019A" w:rsidRDefault="0018019A" w:rsidP="0018019A">
      <w:pPr>
        <w:spacing w:after="0" w:line="360" w:lineRule="auto"/>
        <w:rPr>
          <w:rFonts w:ascii="Times New Roman" w:hAnsi="Times New Roman" w:cs="Times New Roman"/>
          <w:color w:val="0000FF" w:themeColor="hyperlink"/>
          <w:sz w:val="24"/>
          <w:szCs w:val="24"/>
          <w:u w:val="single"/>
          <w:lang w:val="es-US"/>
        </w:rPr>
      </w:pPr>
      <w:r w:rsidRPr="0018019A">
        <w:rPr>
          <w:rFonts w:ascii="Times New Roman" w:hAnsi="Times New Roman" w:cs="Times New Roman"/>
          <w:sz w:val="24"/>
          <w:szCs w:val="24"/>
        </w:rPr>
        <w:t xml:space="preserve">8. </w:t>
      </w:r>
      <w:proofErr w:type="spellStart"/>
      <w:r w:rsidRPr="0018019A">
        <w:rPr>
          <w:rFonts w:ascii="Times New Roman" w:hAnsi="Times New Roman" w:cs="Times New Roman"/>
          <w:sz w:val="24"/>
          <w:szCs w:val="24"/>
        </w:rPr>
        <w:t>Pandolfino</w:t>
      </w:r>
      <w:proofErr w:type="spellEnd"/>
      <w:r w:rsidRPr="0018019A">
        <w:rPr>
          <w:rFonts w:ascii="Times New Roman" w:hAnsi="Times New Roman" w:cs="Times New Roman"/>
          <w:sz w:val="24"/>
          <w:szCs w:val="24"/>
        </w:rPr>
        <w:t xml:space="preserve"> JE, Ghosh SK, Rice J, Clarke JO, </w:t>
      </w:r>
      <w:proofErr w:type="spellStart"/>
      <w:r w:rsidRPr="0018019A">
        <w:rPr>
          <w:rFonts w:ascii="Times New Roman" w:hAnsi="Times New Roman" w:cs="Times New Roman"/>
          <w:sz w:val="24"/>
          <w:szCs w:val="24"/>
        </w:rPr>
        <w:t>Wiatek</w:t>
      </w:r>
      <w:proofErr w:type="spellEnd"/>
      <w:r w:rsidRPr="0018019A">
        <w:rPr>
          <w:rFonts w:ascii="Times New Roman" w:hAnsi="Times New Roman" w:cs="Times New Roman"/>
          <w:sz w:val="24"/>
          <w:szCs w:val="24"/>
        </w:rPr>
        <w:t xml:space="preserve"> MA, </w:t>
      </w:r>
      <w:proofErr w:type="spellStart"/>
      <w:r w:rsidRPr="0018019A">
        <w:rPr>
          <w:rFonts w:ascii="Times New Roman" w:hAnsi="Times New Roman" w:cs="Times New Roman"/>
          <w:sz w:val="24"/>
          <w:szCs w:val="24"/>
        </w:rPr>
        <w:t>Kahrilas</w:t>
      </w:r>
      <w:proofErr w:type="spellEnd"/>
      <w:r w:rsidRPr="0018019A">
        <w:rPr>
          <w:rFonts w:ascii="Times New Roman" w:hAnsi="Times New Roman" w:cs="Times New Roman"/>
          <w:sz w:val="24"/>
          <w:szCs w:val="24"/>
        </w:rPr>
        <w:t xml:space="preserve"> PJ. </w:t>
      </w:r>
      <w:r w:rsidRPr="0018019A">
        <w:rPr>
          <w:rFonts w:ascii="Times New Roman" w:hAnsi="Times New Roman" w:cs="Times New Roman"/>
          <w:sz w:val="24"/>
          <w:szCs w:val="24"/>
          <w:lang w:val="en-US"/>
        </w:rPr>
        <w:t xml:space="preserve">Classifying esophageal motility by pressure topography characteristics: a study of 400 patients and 75 controls. </w:t>
      </w:r>
      <w:r w:rsidRPr="0018019A">
        <w:rPr>
          <w:rFonts w:ascii="Times New Roman" w:hAnsi="Times New Roman" w:cs="Times New Roman"/>
          <w:sz w:val="24"/>
          <w:szCs w:val="24"/>
          <w:lang w:val="es-US"/>
        </w:rPr>
        <w:t xml:space="preserve">Am J </w:t>
      </w:r>
      <w:proofErr w:type="spellStart"/>
      <w:r w:rsidRPr="0018019A">
        <w:rPr>
          <w:rFonts w:ascii="Times New Roman" w:hAnsi="Times New Roman" w:cs="Times New Roman"/>
          <w:sz w:val="24"/>
          <w:szCs w:val="24"/>
          <w:lang w:val="es-US"/>
        </w:rPr>
        <w:t>Gastroenterol</w:t>
      </w:r>
      <w:proofErr w:type="spellEnd"/>
      <w:r w:rsidRPr="0018019A">
        <w:rPr>
          <w:rFonts w:ascii="Times New Roman" w:hAnsi="Times New Roman" w:cs="Times New Roman"/>
          <w:sz w:val="24"/>
          <w:szCs w:val="24"/>
          <w:lang w:val="es-US"/>
        </w:rPr>
        <w:t xml:space="preserve"> 2008 [acceso: 16/03/2020]; 103(1):27-37. Disponible en: </w:t>
      </w:r>
      <w:hyperlink r:id="rId33" w:history="1">
        <w:r w:rsidRPr="0018019A">
          <w:rPr>
            <w:rFonts w:ascii="Times New Roman" w:hAnsi="Times New Roman" w:cs="Times New Roman"/>
            <w:color w:val="0000FF" w:themeColor="hyperlink"/>
            <w:sz w:val="24"/>
            <w:szCs w:val="24"/>
            <w:u w:val="single"/>
            <w:lang w:val="es-US"/>
          </w:rPr>
          <w:t>https://pubmed.ncbi.nlm.nih.gov/17900331/</w:t>
        </w:r>
      </w:hyperlink>
    </w:p>
    <w:p w14:paraId="7776D4D1" w14:textId="77777777" w:rsidR="0018019A" w:rsidRPr="0018019A" w:rsidRDefault="0018019A" w:rsidP="0018019A">
      <w:pPr>
        <w:spacing w:after="0" w:line="360" w:lineRule="auto"/>
        <w:rPr>
          <w:rFonts w:ascii="Times New Roman" w:hAnsi="Times New Roman" w:cs="Times New Roman"/>
          <w:sz w:val="24"/>
          <w:szCs w:val="24"/>
        </w:rPr>
      </w:pPr>
      <w:r w:rsidRPr="0018019A">
        <w:rPr>
          <w:rFonts w:ascii="Times New Roman" w:hAnsi="Times New Roman" w:cs="Times New Roman"/>
          <w:sz w:val="24"/>
          <w:szCs w:val="24"/>
          <w:lang w:val="es-US"/>
        </w:rPr>
        <w:t xml:space="preserve">9. </w:t>
      </w:r>
      <w:proofErr w:type="spellStart"/>
      <w:r w:rsidRPr="0018019A">
        <w:rPr>
          <w:rFonts w:ascii="Times New Roman" w:hAnsi="Times New Roman" w:cs="Times New Roman"/>
          <w:sz w:val="24"/>
          <w:szCs w:val="24"/>
          <w:lang w:val="es-US"/>
        </w:rPr>
        <w:t>Pandolfino</w:t>
      </w:r>
      <w:proofErr w:type="spellEnd"/>
      <w:r w:rsidRPr="0018019A">
        <w:rPr>
          <w:rFonts w:ascii="Times New Roman" w:hAnsi="Times New Roman" w:cs="Times New Roman"/>
          <w:sz w:val="24"/>
          <w:szCs w:val="24"/>
          <w:lang w:val="es-US"/>
        </w:rPr>
        <w:t xml:space="preserve"> JE, Kim H, Ghosh SK, Clarke JO, Zhang Q, </w:t>
      </w:r>
      <w:proofErr w:type="spellStart"/>
      <w:r w:rsidRPr="0018019A">
        <w:rPr>
          <w:rFonts w:ascii="Times New Roman" w:hAnsi="Times New Roman" w:cs="Times New Roman"/>
          <w:sz w:val="24"/>
          <w:szCs w:val="24"/>
          <w:lang w:val="es-US"/>
        </w:rPr>
        <w:t>Kahrilas</w:t>
      </w:r>
      <w:proofErr w:type="spellEnd"/>
      <w:r w:rsidRPr="0018019A">
        <w:rPr>
          <w:rFonts w:ascii="Times New Roman" w:hAnsi="Times New Roman" w:cs="Times New Roman"/>
          <w:sz w:val="24"/>
          <w:szCs w:val="24"/>
          <w:lang w:val="es-US"/>
        </w:rPr>
        <w:t xml:space="preserve"> PJ. </w:t>
      </w:r>
      <w:r w:rsidRPr="0018019A">
        <w:rPr>
          <w:rFonts w:ascii="Times New Roman" w:hAnsi="Times New Roman" w:cs="Times New Roman"/>
          <w:sz w:val="24"/>
          <w:szCs w:val="24"/>
          <w:lang w:val="en-US"/>
        </w:rPr>
        <w:t xml:space="preserve">High-resolution manometry of the EGJ: </w:t>
      </w:r>
      <w:proofErr w:type="spellStart"/>
      <w:r w:rsidRPr="0018019A">
        <w:rPr>
          <w:rFonts w:ascii="Times New Roman" w:hAnsi="Times New Roman" w:cs="Times New Roman"/>
          <w:sz w:val="24"/>
          <w:szCs w:val="24"/>
          <w:lang w:val="en-US"/>
        </w:rPr>
        <w:t>ananalysis</w:t>
      </w:r>
      <w:proofErr w:type="spellEnd"/>
      <w:r w:rsidRPr="0018019A">
        <w:rPr>
          <w:rFonts w:ascii="Times New Roman" w:hAnsi="Times New Roman" w:cs="Times New Roman"/>
          <w:sz w:val="24"/>
          <w:szCs w:val="24"/>
          <w:lang w:val="en-US"/>
        </w:rPr>
        <w:t xml:space="preserve"> of </w:t>
      </w:r>
      <w:proofErr w:type="spellStart"/>
      <w:r w:rsidRPr="0018019A">
        <w:rPr>
          <w:rFonts w:ascii="Times New Roman" w:hAnsi="Times New Roman" w:cs="Times New Roman"/>
          <w:sz w:val="24"/>
          <w:szCs w:val="24"/>
          <w:lang w:val="en-US"/>
        </w:rPr>
        <w:t>crural</w:t>
      </w:r>
      <w:proofErr w:type="spellEnd"/>
      <w:r w:rsidRPr="0018019A">
        <w:rPr>
          <w:rFonts w:ascii="Times New Roman" w:hAnsi="Times New Roman" w:cs="Times New Roman"/>
          <w:sz w:val="24"/>
          <w:szCs w:val="24"/>
          <w:lang w:val="en-US"/>
        </w:rPr>
        <w:t xml:space="preserve"> diaphragm function in GERD. </w:t>
      </w:r>
      <w:r w:rsidRPr="0018019A">
        <w:rPr>
          <w:rFonts w:ascii="Times New Roman" w:hAnsi="Times New Roman" w:cs="Times New Roman"/>
          <w:sz w:val="24"/>
          <w:szCs w:val="24"/>
        </w:rPr>
        <w:t xml:space="preserve">Am J </w:t>
      </w:r>
      <w:proofErr w:type="spellStart"/>
      <w:r w:rsidRPr="0018019A">
        <w:rPr>
          <w:rFonts w:ascii="Times New Roman" w:hAnsi="Times New Roman" w:cs="Times New Roman"/>
          <w:sz w:val="24"/>
          <w:szCs w:val="24"/>
        </w:rPr>
        <w:t>Gastroenterol</w:t>
      </w:r>
      <w:proofErr w:type="spellEnd"/>
      <w:r w:rsidRPr="0018019A">
        <w:rPr>
          <w:rFonts w:ascii="Times New Roman" w:hAnsi="Times New Roman" w:cs="Times New Roman"/>
          <w:sz w:val="24"/>
          <w:szCs w:val="24"/>
        </w:rPr>
        <w:t xml:space="preserve">. 2007[acceso: 16/03/2020]; 102(5):1056-63. Disponible en: </w:t>
      </w:r>
      <w:hyperlink r:id="rId34" w:history="1">
        <w:r w:rsidRPr="0018019A">
          <w:rPr>
            <w:rFonts w:ascii="Times New Roman" w:hAnsi="Times New Roman" w:cs="Times New Roman"/>
            <w:color w:val="0000FF" w:themeColor="hyperlink"/>
            <w:sz w:val="24"/>
            <w:szCs w:val="24"/>
            <w:u w:val="single"/>
          </w:rPr>
          <w:t>https://doi.org/10.1111/j.1572-0241.2007.01138.x</w:t>
        </w:r>
      </w:hyperlink>
    </w:p>
    <w:p w14:paraId="24CF53E2" w14:textId="77777777" w:rsidR="0018019A" w:rsidRPr="0018019A" w:rsidRDefault="0018019A" w:rsidP="0018019A">
      <w:pPr>
        <w:spacing w:after="0" w:line="360" w:lineRule="auto"/>
        <w:rPr>
          <w:rFonts w:ascii="Times New Roman" w:hAnsi="Times New Roman" w:cs="Times New Roman"/>
          <w:color w:val="0000FF" w:themeColor="hyperlink"/>
          <w:sz w:val="24"/>
          <w:szCs w:val="24"/>
          <w:u w:val="single"/>
        </w:rPr>
      </w:pPr>
      <w:r w:rsidRPr="0018019A">
        <w:rPr>
          <w:rFonts w:ascii="Times New Roman" w:hAnsi="Times New Roman" w:cs="Times New Roman"/>
          <w:sz w:val="24"/>
          <w:szCs w:val="24"/>
        </w:rPr>
        <w:lastRenderedPageBreak/>
        <w:t xml:space="preserve">10. </w:t>
      </w:r>
      <w:proofErr w:type="spellStart"/>
      <w:r w:rsidRPr="0018019A">
        <w:rPr>
          <w:rFonts w:ascii="Times New Roman" w:hAnsi="Times New Roman" w:cs="Times New Roman"/>
          <w:sz w:val="24"/>
          <w:szCs w:val="24"/>
        </w:rPr>
        <w:t>Pandolfino</w:t>
      </w:r>
      <w:proofErr w:type="spellEnd"/>
      <w:r w:rsidRPr="0018019A">
        <w:rPr>
          <w:rFonts w:ascii="Times New Roman" w:hAnsi="Times New Roman" w:cs="Times New Roman"/>
          <w:sz w:val="24"/>
          <w:szCs w:val="24"/>
        </w:rPr>
        <w:t xml:space="preserve"> JE, </w:t>
      </w:r>
      <w:proofErr w:type="spellStart"/>
      <w:r w:rsidRPr="0018019A">
        <w:rPr>
          <w:rFonts w:ascii="Times New Roman" w:hAnsi="Times New Roman" w:cs="Times New Roman"/>
          <w:sz w:val="24"/>
          <w:szCs w:val="24"/>
        </w:rPr>
        <w:t>Kwiatek</w:t>
      </w:r>
      <w:proofErr w:type="spellEnd"/>
      <w:r w:rsidRPr="0018019A">
        <w:rPr>
          <w:rFonts w:ascii="Times New Roman" w:hAnsi="Times New Roman" w:cs="Times New Roman"/>
          <w:sz w:val="24"/>
          <w:szCs w:val="24"/>
        </w:rPr>
        <w:t xml:space="preserve"> MA, </w:t>
      </w:r>
      <w:proofErr w:type="spellStart"/>
      <w:r w:rsidRPr="0018019A">
        <w:rPr>
          <w:rFonts w:ascii="Times New Roman" w:hAnsi="Times New Roman" w:cs="Times New Roman"/>
          <w:sz w:val="24"/>
          <w:szCs w:val="24"/>
        </w:rPr>
        <w:t>Nealis</w:t>
      </w:r>
      <w:proofErr w:type="spellEnd"/>
      <w:r w:rsidRPr="0018019A">
        <w:rPr>
          <w:rFonts w:ascii="Times New Roman" w:hAnsi="Times New Roman" w:cs="Times New Roman"/>
          <w:sz w:val="24"/>
          <w:szCs w:val="24"/>
        </w:rPr>
        <w:t xml:space="preserve"> T, </w:t>
      </w:r>
      <w:proofErr w:type="spellStart"/>
      <w:r w:rsidRPr="0018019A">
        <w:rPr>
          <w:rFonts w:ascii="Times New Roman" w:hAnsi="Times New Roman" w:cs="Times New Roman"/>
          <w:sz w:val="24"/>
          <w:szCs w:val="24"/>
        </w:rPr>
        <w:t>Bulsiewicz</w:t>
      </w:r>
      <w:proofErr w:type="spellEnd"/>
      <w:r w:rsidRPr="0018019A">
        <w:rPr>
          <w:rFonts w:ascii="Times New Roman" w:hAnsi="Times New Roman" w:cs="Times New Roman"/>
          <w:sz w:val="24"/>
          <w:szCs w:val="24"/>
        </w:rPr>
        <w:t xml:space="preserve"> W, Post J, </w:t>
      </w:r>
      <w:proofErr w:type="spellStart"/>
      <w:r w:rsidRPr="0018019A">
        <w:rPr>
          <w:rFonts w:ascii="Times New Roman" w:hAnsi="Times New Roman" w:cs="Times New Roman"/>
          <w:sz w:val="24"/>
          <w:szCs w:val="24"/>
        </w:rPr>
        <w:t>Kahrilas</w:t>
      </w:r>
      <w:proofErr w:type="spellEnd"/>
      <w:r w:rsidRPr="0018019A">
        <w:rPr>
          <w:rFonts w:ascii="Times New Roman" w:hAnsi="Times New Roman" w:cs="Times New Roman"/>
          <w:sz w:val="24"/>
          <w:szCs w:val="24"/>
        </w:rPr>
        <w:t xml:space="preserve"> PJ. </w:t>
      </w:r>
      <w:r w:rsidRPr="0018019A">
        <w:rPr>
          <w:rFonts w:ascii="Times New Roman" w:hAnsi="Times New Roman" w:cs="Times New Roman"/>
          <w:sz w:val="24"/>
          <w:szCs w:val="24"/>
          <w:lang w:val="en-US"/>
        </w:rPr>
        <w:t xml:space="preserve">Achalasia: a new clinically relevant classification by high-resolution manometry. </w:t>
      </w:r>
      <w:proofErr w:type="spellStart"/>
      <w:r w:rsidRPr="0018019A">
        <w:rPr>
          <w:rFonts w:ascii="Times New Roman" w:hAnsi="Times New Roman" w:cs="Times New Roman"/>
          <w:sz w:val="24"/>
          <w:szCs w:val="24"/>
        </w:rPr>
        <w:t>Gastroenterology</w:t>
      </w:r>
      <w:proofErr w:type="spellEnd"/>
      <w:r w:rsidRPr="0018019A">
        <w:rPr>
          <w:rFonts w:ascii="Times New Roman" w:hAnsi="Times New Roman" w:cs="Times New Roman"/>
          <w:sz w:val="24"/>
          <w:szCs w:val="24"/>
        </w:rPr>
        <w:t xml:space="preserve"> 2008[acceso: 16/03/2020]; 135(5):1526–33. Disponible en: </w:t>
      </w:r>
      <w:hyperlink r:id="rId35" w:history="1">
        <w:r w:rsidRPr="0018019A">
          <w:rPr>
            <w:rFonts w:ascii="Times New Roman" w:hAnsi="Times New Roman" w:cs="Times New Roman"/>
            <w:color w:val="0000FF" w:themeColor="hyperlink"/>
            <w:sz w:val="24"/>
            <w:szCs w:val="24"/>
            <w:u w:val="single"/>
          </w:rPr>
          <w:t>https://pubmed.ncbi.nlm.nih.gov/18722376/</w:t>
        </w:r>
      </w:hyperlink>
    </w:p>
    <w:p w14:paraId="40D1C59D" w14:textId="77777777" w:rsidR="0018019A" w:rsidRPr="0018019A" w:rsidRDefault="0018019A" w:rsidP="0018019A">
      <w:pPr>
        <w:spacing w:after="0" w:line="360" w:lineRule="auto"/>
        <w:rPr>
          <w:rFonts w:ascii="Times New Roman" w:hAnsi="Times New Roman" w:cs="Times New Roman"/>
          <w:sz w:val="24"/>
          <w:szCs w:val="24"/>
        </w:rPr>
      </w:pPr>
      <w:r w:rsidRPr="0018019A">
        <w:rPr>
          <w:rFonts w:ascii="Times New Roman" w:hAnsi="Times New Roman" w:cs="Times New Roman"/>
          <w:sz w:val="24"/>
          <w:szCs w:val="24"/>
          <w:lang w:val="en-US"/>
        </w:rPr>
        <w:t xml:space="preserve">11. </w:t>
      </w:r>
      <w:proofErr w:type="spellStart"/>
      <w:r w:rsidRPr="0018019A">
        <w:rPr>
          <w:rFonts w:ascii="Times New Roman" w:hAnsi="Times New Roman" w:cs="Times New Roman"/>
          <w:sz w:val="24"/>
          <w:szCs w:val="24"/>
          <w:lang w:val="en-US"/>
        </w:rPr>
        <w:t>Pandolfino</w:t>
      </w:r>
      <w:proofErr w:type="spellEnd"/>
      <w:r w:rsidRPr="0018019A">
        <w:rPr>
          <w:rFonts w:ascii="Times New Roman" w:hAnsi="Times New Roman" w:cs="Times New Roman"/>
          <w:sz w:val="24"/>
          <w:szCs w:val="24"/>
          <w:lang w:val="en-US"/>
        </w:rPr>
        <w:t xml:space="preserve"> JE, </w:t>
      </w:r>
      <w:proofErr w:type="spellStart"/>
      <w:r w:rsidRPr="0018019A">
        <w:rPr>
          <w:rFonts w:ascii="Times New Roman" w:hAnsi="Times New Roman" w:cs="Times New Roman"/>
          <w:sz w:val="24"/>
          <w:szCs w:val="24"/>
          <w:lang w:val="en-US"/>
        </w:rPr>
        <w:t>Kwiatek</w:t>
      </w:r>
      <w:proofErr w:type="spellEnd"/>
      <w:r w:rsidRPr="0018019A">
        <w:rPr>
          <w:rFonts w:ascii="Times New Roman" w:hAnsi="Times New Roman" w:cs="Times New Roman"/>
          <w:sz w:val="24"/>
          <w:szCs w:val="24"/>
          <w:lang w:val="en-US"/>
        </w:rPr>
        <w:t xml:space="preserve"> MA, Ho </w:t>
      </w:r>
      <w:proofErr w:type="spellStart"/>
      <w:proofErr w:type="gramStart"/>
      <w:r w:rsidRPr="0018019A">
        <w:rPr>
          <w:rFonts w:ascii="Times New Roman" w:hAnsi="Times New Roman" w:cs="Times New Roman"/>
          <w:sz w:val="24"/>
          <w:szCs w:val="24"/>
          <w:lang w:val="en-US"/>
        </w:rPr>
        <w:t>K,</w:t>
      </w:r>
      <w:r w:rsidRPr="0018019A">
        <w:rPr>
          <w:rFonts w:ascii="Times New Roman" w:hAnsi="Times New Roman" w:cs="Times New Roman"/>
          <w:bCs/>
          <w:sz w:val="24"/>
          <w:szCs w:val="24"/>
          <w:lang w:val="en-US"/>
        </w:rPr>
        <w:t>Scherer</w:t>
      </w:r>
      <w:proofErr w:type="spellEnd"/>
      <w:proofErr w:type="gramEnd"/>
      <w:r w:rsidRPr="0018019A">
        <w:rPr>
          <w:rFonts w:ascii="Times New Roman" w:hAnsi="Times New Roman" w:cs="Times New Roman"/>
          <w:bCs/>
          <w:sz w:val="24"/>
          <w:szCs w:val="24"/>
          <w:lang w:val="en-US"/>
        </w:rPr>
        <w:t xml:space="preserve"> JR, </w:t>
      </w:r>
      <w:proofErr w:type="spellStart"/>
      <w:r w:rsidRPr="0018019A">
        <w:rPr>
          <w:rFonts w:ascii="Times New Roman" w:hAnsi="Times New Roman" w:cs="Times New Roman"/>
          <w:bCs/>
          <w:sz w:val="24"/>
          <w:szCs w:val="24"/>
          <w:lang w:val="en-US"/>
        </w:rPr>
        <w:t>Kahrilas</w:t>
      </w:r>
      <w:proofErr w:type="spellEnd"/>
      <w:r w:rsidRPr="0018019A">
        <w:rPr>
          <w:rFonts w:ascii="Times New Roman" w:hAnsi="Times New Roman" w:cs="Times New Roman"/>
          <w:bCs/>
          <w:sz w:val="24"/>
          <w:szCs w:val="24"/>
          <w:lang w:val="en-US"/>
        </w:rPr>
        <w:t xml:space="preserve"> PJ. </w:t>
      </w:r>
      <w:r w:rsidRPr="0018019A">
        <w:rPr>
          <w:rFonts w:ascii="Times New Roman" w:hAnsi="Times New Roman" w:cs="Times New Roman"/>
          <w:sz w:val="24"/>
          <w:szCs w:val="24"/>
          <w:lang w:val="en-US"/>
        </w:rPr>
        <w:t xml:space="preserve">Unique features of esophagogastric junction pressure topography in hiatus hernia patients with dysphagia. </w:t>
      </w:r>
      <w:proofErr w:type="spellStart"/>
      <w:r w:rsidRPr="0018019A">
        <w:rPr>
          <w:rFonts w:ascii="Times New Roman" w:hAnsi="Times New Roman" w:cs="Times New Roman"/>
          <w:sz w:val="24"/>
          <w:szCs w:val="24"/>
        </w:rPr>
        <w:t>Surgery</w:t>
      </w:r>
      <w:proofErr w:type="spellEnd"/>
      <w:r w:rsidRPr="0018019A">
        <w:rPr>
          <w:rFonts w:ascii="Times New Roman" w:hAnsi="Times New Roman" w:cs="Times New Roman"/>
          <w:sz w:val="24"/>
          <w:szCs w:val="24"/>
        </w:rPr>
        <w:t xml:space="preserve"> 2010 [acceso: 16/03/2020]; 147(1):57–64. Disponible en: </w:t>
      </w:r>
      <w:hyperlink r:id="rId36" w:history="1">
        <w:r w:rsidRPr="0018019A">
          <w:rPr>
            <w:rFonts w:ascii="Times New Roman" w:hAnsi="Times New Roman" w:cs="Times New Roman"/>
            <w:color w:val="0000FF" w:themeColor="hyperlink"/>
            <w:sz w:val="24"/>
            <w:szCs w:val="24"/>
            <w:u w:val="single"/>
          </w:rPr>
          <w:t>https://pubmed.ncbi.nlm.nih.gov/19744454/</w:t>
        </w:r>
      </w:hyperlink>
    </w:p>
    <w:p w14:paraId="4A9700EF" w14:textId="77777777" w:rsidR="0018019A" w:rsidRPr="0018019A" w:rsidRDefault="0018019A" w:rsidP="0018019A">
      <w:pPr>
        <w:spacing w:after="0" w:line="360" w:lineRule="auto"/>
        <w:rPr>
          <w:rFonts w:ascii="Times New Roman" w:hAnsi="Times New Roman" w:cs="Times New Roman"/>
          <w:sz w:val="24"/>
          <w:szCs w:val="24"/>
          <w:lang w:val="es-US"/>
        </w:rPr>
      </w:pPr>
      <w:r w:rsidRPr="0018019A">
        <w:rPr>
          <w:rFonts w:ascii="Times New Roman" w:hAnsi="Times New Roman" w:cs="Times New Roman"/>
          <w:sz w:val="24"/>
          <w:szCs w:val="24"/>
          <w:lang w:val="en-US"/>
        </w:rPr>
        <w:t xml:space="preserve">12. Arora Z, Thota PN, </w:t>
      </w:r>
      <w:proofErr w:type="spellStart"/>
      <w:r w:rsidRPr="0018019A">
        <w:rPr>
          <w:rFonts w:ascii="Times New Roman" w:hAnsi="Times New Roman" w:cs="Times New Roman"/>
          <w:sz w:val="24"/>
          <w:szCs w:val="24"/>
          <w:lang w:val="en-US"/>
        </w:rPr>
        <w:t>Sanaka</w:t>
      </w:r>
      <w:proofErr w:type="spellEnd"/>
      <w:r w:rsidRPr="0018019A">
        <w:rPr>
          <w:rFonts w:ascii="Times New Roman" w:hAnsi="Times New Roman" w:cs="Times New Roman"/>
          <w:sz w:val="24"/>
          <w:szCs w:val="24"/>
          <w:lang w:val="en-US"/>
        </w:rPr>
        <w:t xml:space="preserve"> MR. Achalasia: current therapeutic options. </w:t>
      </w:r>
      <w:proofErr w:type="spellStart"/>
      <w:r w:rsidRPr="0044745C">
        <w:rPr>
          <w:rFonts w:ascii="Times New Roman" w:hAnsi="Times New Roman" w:cs="Times New Roman"/>
          <w:sz w:val="24"/>
          <w:szCs w:val="24"/>
          <w:lang w:val="en-US"/>
        </w:rPr>
        <w:t>Ther</w:t>
      </w:r>
      <w:proofErr w:type="spellEnd"/>
      <w:r w:rsidRPr="0044745C">
        <w:rPr>
          <w:rFonts w:ascii="Times New Roman" w:hAnsi="Times New Roman" w:cs="Times New Roman"/>
          <w:sz w:val="24"/>
          <w:szCs w:val="24"/>
          <w:lang w:val="en-US"/>
        </w:rPr>
        <w:t xml:space="preserve"> Adv Chronic Dis. 2017 [</w:t>
      </w:r>
      <w:proofErr w:type="spellStart"/>
      <w:r w:rsidRPr="0044745C">
        <w:rPr>
          <w:rFonts w:ascii="Times New Roman" w:hAnsi="Times New Roman" w:cs="Times New Roman"/>
          <w:sz w:val="24"/>
          <w:szCs w:val="24"/>
          <w:lang w:val="en-US"/>
        </w:rPr>
        <w:t>acceso</w:t>
      </w:r>
      <w:proofErr w:type="spellEnd"/>
      <w:r w:rsidRPr="0044745C">
        <w:rPr>
          <w:rFonts w:ascii="Times New Roman" w:hAnsi="Times New Roman" w:cs="Times New Roman"/>
          <w:sz w:val="24"/>
          <w:szCs w:val="24"/>
          <w:lang w:val="en-US"/>
        </w:rPr>
        <w:t xml:space="preserve">: 16/03/2020]; 8(67):101-8. </w:t>
      </w:r>
      <w:r w:rsidRPr="0018019A">
        <w:rPr>
          <w:rFonts w:ascii="Times New Roman" w:hAnsi="Times New Roman" w:cs="Times New Roman"/>
          <w:sz w:val="24"/>
          <w:szCs w:val="24"/>
          <w:lang w:val="es-US"/>
        </w:rPr>
        <w:t xml:space="preserve">Disponible en: </w:t>
      </w:r>
      <w:hyperlink r:id="rId37" w:history="1">
        <w:r w:rsidRPr="0018019A">
          <w:rPr>
            <w:rFonts w:ascii="Times New Roman" w:hAnsi="Times New Roman" w:cs="Times New Roman"/>
            <w:color w:val="0000FF" w:themeColor="hyperlink"/>
            <w:sz w:val="24"/>
            <w:szCs w:val="24"/>
            <w:u w:val="single"/>
            <w:lang w:val="es-US"/>
          </w:rPr>
          <w:t>https://pubmed.ncbi.nlm.nih.gov/28717439/</w:t>
        </w:r>
      </w:hyperlink>
    </w:p>
    <w:p w14:paraId="1E0BB60E" w14:textId="77777777" w:rsidR="0018019A" w:rsidRPr="0018019A" w:rsidRDefault="0018019A" w:rsidP="0018019A">
      <w:pPr>
        <w:spacing w:after="0" w:line="360" w:lineRule="auto"/>
        <w:rPr>
          <w:rFonts w:ascii="Times New Roman" w:hAnsi="Times New Roman" w:cs="Times New Roman"/>
          <w:color w:val="0000FF" w:themeColor="hyperlink"/>
          <w:sz w:val="24"/>
          <w:szCs w:val="24"/>
          <w:u w:val="single"/>
        </w:rPr>
      </w:pPr>
      <w:r w:rsidRPr="0018019A">
        <w:rPr>
          <w:rFonts w:ascii="Times New Roman" w:hAnsi="Times New Roman" w:cs="Times New Roman"/>
          <w:sz w:val="24"/>
          <w:szCs w:val="24"/>
          <w:lang w:val="es-US"/>
        </w:rPr>
        <w:t xml:space="preserve">13. </w:t>
      </w:r>
      <w:r w:rsidRPr="0018019A">
        <w:rPr>
          <w:rFonts w:ascii="Times New Roman" w:hAnsi="Times New Roman" w:cs="Times New Roman"/>
          <w:sz w:val="24"/>
          <w:szCs w:val="24"/>
        </w:rPr>
        <w:t xml:space="preserve">Anido Escobar V, Amable Díaz T, Labrada Sosa. M, Armenteros Torre MC, Diaz Drake Z. La manometría de alta resolución en los trastornos motores del esófago. Introducción en Cuba. </w:t>
      </w:r>
      <w:proofErr w:type="spellStart"/>
      <w:r w:rsidRPr="0018019A">
        <w:rPr>
          <w:rFonts w:ascii="Times New Roman" w:hAnsi="Times New Roman" w:cs="Times New Roman"/>
          <w:sz w:val="24"/>
          <w:szCs w:val="24"/>
        </w:rPr>
        <w:t>Rev</w:t>
      </w:r>
      <w:proofErr w:type="spellEnd"/>
      <w:r w:rsidRPr="0018019A">
        <w:rPr>
          <w:rFonts w:ascii="Times New Roman" w:hAnsi="Times New Roman" w:cs="Times New Roman"/>
          <w:sz w:val="24"/>
          <w:szCs w:val="24"/>
        </w:rPr>
        <w:t xml:space="preserve"> </w:t>
      </w:r>
      <w:proofErr w:type="spellStart"/>
      <w:r w:rsidRPr="0018019A">
        <w:rPr>
          <w:rFonts w:ascii="Times New Roman" w:hAnsi="Times New Roman" w:cs="Times New Roman"/>
          <w:sz w:val="24"/>
          <w:szCs w:val="24"/>
        </w:rPr>
        <w:t>Haban</w:t>
      </w:r>
      <w:proofErr w:type="spellEnd"/>
      <w:r w:rsidRPr="0018019A">
        <w:rPr>
          <w:rFonts w:ascii="Times New Roman" w:hAnsi="Times New Roman" w:cs="Times New Roman"/>
          <w:sz w:val="24"/>
          <w:szCs w:val="24"/>
        </w:rPr>
        <w:t xml:space="preserve"> </w:t>
      </w:r>
      <w:proofErr w:type="spellStart"/>
      <w:r w:rsidRPr="0018019A">
        <w:rPr>
          <w:rFonts w:ascii="Times New Roman" w:hAnsi="Times New Roman" w:cs="Times New Roman"/>
          <w:sz w:val="24"/>
          <w:szCs w:val="24"/>
        </w:rPr>
        <w:t>Cienc</w:t>
      </w:r>
      <w:proofErr w:type="spellEnd"/>
      <w:r w:rsidRPr="0018019A">
        <w:rPr>
          <w:rFonts w:ascii="Times New Roman" w:hAnsi="Times New Roman" w:cs="Times New Roman"/>
          <w:sz w:val="24"/>
          <w:szCs w:val="24"/>
        </w:rPr>
        <w:t xml:space="preserve"> </w:t>
      </w:r>
      <w:proofErr w:type="spellStart"/>
      <w:r w:rsidRPr="0018019A">
        <w:rPr>
          <w:rFonts w:ascii="Times New Roman" w:hAnsi="Times New Roman" w:cs="Times New Roman"/>
          <w:sz w:val="24"/>
          <w:szCs w:val="24"/>
        </w:rPr>
        <w:t>Méd</w:t>
      </w:r>
      <w:proofErr w:type="spellEnd"/>
      <w:r w:rsidRPr="0018019A">
        <w:rPr>
          <w:rFonts w:ascii="Times New Roman" w:hAnsi="Times New Roman" w:cs="Times New Roman"/>
          <w:sz w:val="24"/>
          <w:szCs w:val="24"/>
        </w:rPr>
        <w:t>. 2020 [acceso: 12/04/2021]; 19(4</w:t>
      </w:r>
      <w:proofErr w:type="gramStart"/>
      <w:r w:rsidRPr="0018019A">
        <w:rPr>
          <w:rFonts w:ascii="Times New Roman" w:hAnsi="Times New Roman" w:cs="Times New Roman"/>
          <w:sz w:val="24"/>
          <w:szCs w:val="24"/>
        </w:rPr>
        <w:t>):[</w:t>
      </w:r>
      <w:proofErr w:type="gramEnd"/>
      <w:r w:rsidRPr="0018019A">
        <w:rPr>
          <w:rFonts w:ascii="Times New Roman" w:hAnsi="Times New Roman" w:cs="Times New Roman"/>
          <w:sz w:val="24"/>
          <w:szCs w:val="24"/>
        </w:rPr>
        <w:t xml:space="preserve">aprox. 3 p.]. Disponible en: </w:t>
      </w:r>
      <w:hyperlink r:id="rId38" w:history="1">
        <w:r w:rsidRPr="0018019A">
          <w:rPr>
            <w:rFonts w:ascii="Times New Roman" w:hAnsi="Times New Roman" w:cs="Times New Roman"/>
            <w:color w:val="0000FF" w:themeColor="hyperlink"/>
            <w:sz w:val="24"/>
            <w:szCs w:val="24"/>
            <w:u w:val="single"/>
          </w:rPr>
          <w:t>http://www.revhabanera.sld.cu/index.php/rhab/article/view/3150</w:t>
        </w:r>
      </w:hyperlink>
    </w:p>
    <w:p w14:paraId="4253F9C6" w14:textId="77777777" w:rsidR="0018019A" w:rsidRPr="0018019A" w:rsidRDefault="0018019A" w:rsidP="0018019A">
      <w:pPr>
        <w:autoSpaceDE w:val="0"/>
        <w:autoSpaceDN w:val="0"/>
        <w:adjustRightInd w:val="0"/>
        <w:spacing w:after="0" w:line="360" w:lineRule="auto"/>
        <w:rPr>
          <w:rFonts w:ascii="Times New Roman" w:hAnsi="Times New Roman" w:cs="Times New Roman"/>
          <w:sz w:val="24"/>
          <w:szCs w:val="24"/>
          <w:lang w:val="es-US"/>
        </w:rPr>
      </w:pPr>
      <w:r w:rsidRPr="0018019A">
        <w:rPr>
          <w:rFonts w:ascii="Times New Roman" w:hAnsi="Times New Roman" w:cs="Times New Roman"/>
          <w:sz w:val="24"/>
          <w:szCs w:val="24"/>
          <w:lang w:val="en-US"/>
        </w:rPr>
        <w:t xml:space="preserve">14. Mayberry JF. Epidemiology and demographics of achalasia. </w:t>
      </w:r>
      <w:proofErr w:type="spellStart"/>
      <w:r w:rsidRPr="0018019A">
        <w:rPr>
          <w:rFonts w:ascii="Times New Roman" w:hAnsi="Times New Roman" w:cs="Times New Roman"/>
          <w:sz w:val="24"/>
          <w:szCs w:val="24"/>
          <w:lang w:val="en-US"/>
        </w:rPr>
        <w:t>Gastrointest</w:t>
      </w:r>
      <w:proofErr w:type="spellEnd"/>
      <w:r w:rsidRPr="0018019A">
        <w:rPr>
          <w:rFonts w:ascii="Times New Roman" w:hAnsi="Times New Roman" w:cs="Times New Roman"/>
          <w:sz w:val="24"/>
          <w:szCs w:val="24"/>
          <w:lang w:val="en-US"/>
        </w:rPr>
        <w:t xml:space="preserve"> </w:t>
      </w:r>
      <w:proofErr w:type="spellStart"/>
      <w:r w:rsidRPr="0018019A">
        <w:rPr>
          <w:rFonts w:ascii="Times New Roman" w:hAnsi="Times New Roman" w:cs="Times New Roman"/>
          <w:sz w:val="24"/>
          <w:szCs w:val="24"/>
          <w:lang w:val="en-US"/>
        </w:rPr>
        <w:t>Endosc</w:t>
      </w:r>
      <w:proofErr w:type="spellEnd"/>
      <w:r w:rsidRPr="0018019A">
        <w:rPr>
          <w:rFonts w:ascii="Times New Roman" w:hAnsi="Times New Roman" w:cs="Times New Roman"/>
          <w:sz w:val="24"/>
          <w:szCs w:val="24"/>
          <w:lang w:val="en-US"/>
        </w:rPr>
        <w:t xml:space="preserve"> Clin N Am 2001[</w:t>
      </w:r>
      <w:proofErr w:type="spellStart"/>
      <w:r w:rsidRPr="0018019A">
        <w:rPr>
          <w:rFonts w:ascii="Times New Roman" w:hAnsi="Times New Roman" w:cs="Times New Roman"/>
          <w:sz w:val="24"/>
          <w:szCs w:val="24"/>
          <w:lang w:val="en-US"/>
        </w:rPr>
        <w:t>acceso</w:t>
      </w:r>
      <w:proofErr w:type="spellEnd"/>
      <w:r w:rsidRPr="0018019A">
        <w:rPr>
          <w:rFonts w:ascii="Times New Roman" w:hAnsi="Times New Roman" w:cs="Times New Roman"/>
          <w:sz w:val="24"/>
          <w:szCs w:val="24"/>
          <w:lang w:val="en-US"/>
        </w:rPr>
        <w:t xml:space="preserve">: 16/03/2020]; 11(2):235-47. </w:t>
      </w:r>
      <w:r w:rsidRPr="0018019A">
        <w:rPr>
          <w:rFonts w:ascii="Times New Roman" w:hAnsi="Times New Roman" w:cs="Times New Roman"/>
          <w:sz w:val="24"/>
          <w:szCs w:val="24"/>
          <w:lang w:val="es-US"/>
        </w:rPr>
        <w:t xml:space="preserve">Disponible en: </w:t>
      </w:r>
      <w:hyperlink r:id="rId39" w:history="1">
        <w:r w:rsidRPr="0018019A">
          <w:rPr>
            <w:rFonts w:ascii="Times New Roman" w:hAnsi="Times New Roman" w:cs="Times New Roman"/>
            <w:color w:val="0000FF" w:themeColor="hyperlink"/>
            <w:sz w:val="24"/>
            <w:szCs w:val="24"/>
            <w:u w:val="single"/>
            <w:lang w:val="es-US"/>
          </w:rPr>
          <w:t>https://pubmed.ncbi.nlm.nih.gov/11319059/</w:t>
        </w:r>
      </w:hyperlink>
    </w:p>
    <w:p w14:paraId="2AA1EDBC" w14:textId="77777777" w:rsidR="0018019A" w:rsidRPr="0018019A" w:rsidRDefault="0018019A" w:rsidP="0018019A">
      <w:pPr>
        <w:autoSpaceDE w:val="0"/>
        <w:autoSpaceDN w:val="0"/>
        <w:adjustRightInd w:val="0"/>
        <w:spacing w:after="0" w:line="360" w:lineRule="auto"/>
        <w:rPr>
          <w:rFonts w:ascii="Times New Roman" w:hAnsi="Times New Roman" w:cs="Times New Roman"/>
          <w:sz w:val="24"/>
          <w:szCs w:val="24"/>
        </w:rPr>
      </w:pPr>
      <w:r w:rsidRPr="0018019A">
        <w:rPr>
          <w:rFonts w:ascii="Times New Roman" w:hAnsi="Times New Roman" w:cs="Times New Roman"/>
          <w:sz w:val="24"/>
          <w:szCs w:val="24"/>
        </w:rPr>
        <w:t xml:space="preserve">15. Sopeña BF. Acalasia y manometría esofágica de alta resolución: experiencia del hospital clínico universitario Lozano Blesa. </w:t>
      </w:r>
      <w:proofErr w:type="spellStart"/>
      <w:r w:rsidRPr="0018019A">
        <w:rPr>
          <w:rFonts w:ascii="Times New Roman" w:hAnsi="Times New Roman" w:cs="Times New Roman"/>
          <w:sz w:val="24"/>
          <w:szCs w:val="24"/>
        </w:rPr>
        <w:t>Saragoza</w:t>
      </w:r>
      <w:proofErr w:type="spellEnd"/>
      <w:r w:rsidRPr="0018019A">
        <w:rPr>
          <w:rFonts w:ascii="Times New Roman" w:hAnsi="Times New Roman" w:cs="Times New Roman"/>
          <w:sz w:val="24"/>
          <w:szCs w:val="24"/>
        </w:rPr>
        <w:t xml:space="preserve">: Universidad de </w:t>
      </w:r>
      <w:proofErr w:type="spellStart"/>
      <w:r w:rsidRPr="0018019A">
        <w:rPr>
          <w:rFonts w:ascii="Times New Roman" w:hAnsi="Times New Roman" w:cs="Times New Roman"/>
          <w:sz w:val="24"/>
          <w:szCs w:val="24"/>
        </w:rPr>
        <w:t>Saragoza</w:t>
      </w:r>
      <w:proofErr w:type="spellEnd"/>
      <w:r w:rsidRPr="0018019A">
        <w:rPr>
          <w:rFonts w:ascii="Times New Roman" w:hAnsi="Times New Roman" w:cs="Times New Roman"/>
          <w:sz w:val="24"/>
          <w:szCs w:val="24"/>
        </w:rPr>
        <w:t xml:space="preserve">; 2015[acceso: 16/03/2020]. Disponible en: </w:t>
      </w:r>
      <w:hyperlink r:id="rId40" w:history="1">
        <w:r w:rsidRPr="0018019A">
          <w:rPr>
            <w:rFonts w:ascii="Times New Roman" w:hAnsi="Times New Roman" w:cs="Times New Roman"/>
            <w:color w:val="0000FF" w:themeColor="hyperlink"/>
            <w:sz w:val="24"/>
            <w:szCs w:val="24"/>
            <w:u w:val="single"/>
          </w:rPr>
          <w:t>https://zaguan.unizar.es/record/47802/files/TAZ-TFG-2015-1101.pdf</w:t>
        </w:r>
      </w:hyperlink>
    </w:p>
    <w:p w14:paraId="2129FFBE" w14:textId="77777777" w:rsidR="0018019A" w:rsidRPr="0044745C" w:rsidRDefault="0018019A" w:rsidP="0018019A">
      <w:pPr>
        <w:spacing w:after="0" w:line="360" w:lineRule="auto"/>
        <w:rPr>
          <w:rFonts w:ascii="Times New Roman" w:hAnsi="Times New Roman" w:cs="Times New Roman"/>
          <w:color w:val="000000"/>
          <w:sz w:val="24"/>
          <w:szCs w:val="24"/>
          <w:lang w:val="es-CU"/>
        </w:rPr>
      </w:pPr>
      <w:r w:rsidRPr="0018019A">
        <w:rPr>
          <w:rFonts w:ascii="Times New Roman" w:hAnsi="Times New Roman" w:cs="Times New Roman"/>
          <w:color w:val="000000"/>
          <w:sz w:val="24"/>
          <w:szCs w:val="24"/>
          <w:lang w:val="en-US"/>
        </w:rPr>
        <w:t xml:space="preserve">16. Ramirez M, Patti MG. Changes in the diagnosis and treatment of achalasia. Clinical </w:t>
      </w:r>
      <w:proofErr w:type="gramStart"/>
      <w:r w:rsidRPr="0018019A">
        <w:rPr>
          <w:rFonts w:ascii="Times New Roman" w:hAnsi="Times New Roman" w:cs="Times New Roman"/>
          <w:color w:val="000000"/>
          <w:sz w:val="24"/>
          <w:szCs w:val="24"/>
          <w:lang w:val="en-US"/>
        </w:rPr>
        <w:t>And</w:t>
      </w:r>
      <w:proofErr w:type="gramEnd"/>
      <w:r w:rsidRPr="0018019A">
        <w:rPr>
          <w:rFonts w:ascii="Times New Roman" w:hAnsi="Times New Roman" w:cs="Times New Roman"/>
          <w:color w:val="000000"/>
          <w:sz w:val="24"/>
          <w:szCs w:val="24"/>
          <w:lang w:val="en-US"/>
        </w:rPr>
        <w:t xml:space="preserve"> Translational Gastroenterology. </w:t>
      </w:r>
      <w:r w:rsidRPr="00312551">
        <w:rPr>
          <w:rFonts w:ascii="Times New Roman" w:hAnsi="Times New Roman" w:cs="Times New Roman"/>
          <w:color w:val="000000"/>
          <w:sz w:val="24"/>
          <w:szCs w:val="24"/>
          <w:lang w:val="en-US"/>
        </w:rPr>
        <w:t>2015 [</w:t>
      </w:r>
      <w:proofErr w:type="spellStart"/>
      <w:r w:rsidRPr="00312551">
        <w:rPr>
          <w:rFonts w:ascii="Times New Roman" w:hAnsi="Times New Roman" w:cs="Times New Roman"/>
          <w:color w:val="000000"/>
          <w:sz w:val="24"/>
          <w:szCs w:val="24"/>
          <w:lang w:val="en-US"/>
        </w:rPr>
        <w:t>acceso</w:t>
      </w:r>
      <w:proofErr w:type="spellEnd"/>
      <w:r w:rsidRPr="00312551">
        <w:rPr>
          <w:rFonts w:ascii="Times New Roman" w:hAnsi="Times New Roman" w:cs="Times New Roman"/>
          <w:color w:val="000000"/>
          <w:sz w:val="24"/>
          <w:szCs w:val="24"/>
          <w:lang w:val="en-US"/>
        </w:rPr>
        <w:t>: 16/03/2020]; 6(5</w:t>
      </w:r>
      <w:proofErr w:type="gramStart"/>
      <w:r w:rsidRPr="00312551">
        <w:rPr>
          <w:rFonts w:ascii="Times New Roman" w:hAnsi="Times New Roman" w:cs="Times New Roman"/>
          <w:color w:val="000000"/>
          <w:sz w:val="24"/>
          <w:szCs w:val="24"/>
          <w:lang w:val="en-US"/>
        </w:rPr>
        <w:t>):e</w:t>
      </w:r>
      <w:proofErr w:type="gramEnd"/>
      <w:r w:rsidRPr="00312551">
        <w:rPr>
          <w:rFonts w:ascii="Times New Roman" w:hAnsi="Times New Roman" w:cs="Times New Roman"/>
          <w:color w:val="000000"/>
          <w:sz w:val="24"/>
          <w:szCs w:val="24"/>
          <w:lang w:val="en-US"/>
        </w:rPr>
        <w:t xml:space="preserve">87. </w:t>
      </w:r>
      <w:r w:rsidRPr="0044745C">
        <w:rPr>
          <w:rFonts w:ascii="Times New Roman" w:hAnsi="Times New Roman" w:cs="Times New Roman"/>
          <w:color w:val="000000"/>
          <w:sz w:val="24"/>
          <w:szCs w:val="24"/>
          <w:lang w:val="es-CU"/>
        </w:rPr>
        <w:t xml:space="preserve">Disponible en: </w:t>
      </w:r>
      <w:hyperlink r:id="rId41" w:history="1">
        <w:r w:rsidRPr="0044745C">
          <w:rPr>
            <w:rFonts w:ascii="Times New Roman" w:hAnsi="Times New Roman" w:cs="Times New Roman"/>
            <w:color w:val="0000FF" w:themeColor="hyperlink"/>
            <w:sz w:val="24"/>
            <w:szCs w:val="24"/>
            <w:u w:val="single"/>
            <w:lang w:val="es-CU"/>
          </w:rPr>
          <w:t>https://www.ncbi.nlm.nih.gov/pmc/articles/PMC4452633</w:t>
        </w:r>
      </w:hyperlink>
      <w:r w:rsidRPr="0044745C">
        <w:rPr>
          <w:rFonts w:ascii="Times New Roman" w:hAnsi="Times New Roman" w:cs="Times New Roman"/>
          <w:color w:val="000000"/>
          <w:sz w:val="24"/>
          <w:szCs w:val="24"/>
          <w:lang w:val="es-CU"/>
        </w:rPr>
        <w:t>.</w:t>
      </w:r>
    </w:p>
    <w:p w14:paraId="6344E993" w14:textId="77777777" w:rsidR="0018019A" w:rsidRPr="0018019A" w:rsidRDefault="0018019A" w:rsidP="0018019A">
      <w:pPr>
        <w:spacing w:after="0" w:line="360" w:lineRule="auto"/>
        <w:rPr>
          <w:rFonts w:ascii="Times New Roman" w:hAnsi="Times New Roman" w:cs="Times New Roman"/>
          <w:sz w:val="24"/>
          <w:szCs w:val="24"/>
          <w:lang w:val="es-US"/>
        </w:rPr>
      </w:pPr>
      <w:r w:rsidRPr="0018019A">
        <w:rPr>
          <w:rFonts w:ascii="Times New Roman" w:hAnsi="Times New Roman" w:cs="Times New Roman"/>
          <w:sz w:val="24"/>
          <w:szCs w:val="24"/>
          <w:lang w:val="en-US"/>
        </w:rPr>
        <w:t>17.</w:t>
      </w:r>
      <w:r w:rsidRPr="0018019A">
        <w:rPr>
          <w:rFonts w:ascii="Times New Roman" w:eastAsiaTheme="minorEastAsia" w:hAnsi="Times New Roman" w:cs="Times New Roman"/>
          <w:lang w:val="en-US" w:eastAsia="zh-CN"/>
        </w:rPr>
        <w:t xml:space="preserve"> </w:t>
      </w:r>
      <w:proofErr w:type="spellStart"/>
      <w:r w:rsidRPr="0018019A">
        <w:rPr>
          <w:rFonts w:ascii="Times New Roman" w:hAnsi="Times New Roman" w:cs="Times New Roman"/>
          <w:sz w:val="24"/>
          <w:szCs w:val="24"/>
          <w:lang w:val="en-US"/>
        </w:rPr>
        <w:t>Meillier</w:t>
      </w:r>
      <w:proofErr w:type="spellEnd"/>
      <w:r w:rsidRPr="0018019A">
        <w:rPr>
          <w:rFonts w:ascii="Times New Roman" w:hAnsi="Times New Roman" w:cs="Times New Roman"/>
          <w:sz w:val="24"/>
          <w:szCs w:val="24"/>
          <w:lang w:val="en-US"/>
        </w:rPr>
        <w:t xml:space="preserve"> A, </w:t>
      </w:r>
      <w:proofErr w:type="spellStart"/>
      <w:r w:rsidRPr="0018019A">
        <w:rPr>
          <w:rFonts w:ascii="Times New Roman" w:hAnsi="Times New Roman" w:cs="Times New Roman"/>
          <w:sz w:val="24"/>
          <w:szCs w:val="24"/>
          <w:lang w:val="en-US"/>
        </w:rPr>
        <w:t>Midani</w:t>
      </w:r>
      <w:proofErr w:type="spellEnd"/>
      <w:r w:rsidRPr="0018019A">
        <w:rPr>
          <w:rFonts w:ascii="Times New Roman" w:hAnsi="Times New Roman" w:cs="Times New Roman"/>
          <w:sz w:val="24"/>
          <w:szCs w:val="24"/>
          <w:lang w:val="en-US"/>
        </w:rPr>
        <w:t xml:space="preserve"> D, Caroline D, </w:t>
      </w:r>
      <w:proofErr w:type="spellStart"/>
      <w:r w:rsidRPr="0018019A">
        <w:rPr>
          <w:rFonts w:ascii="Times New Roman" w:hAnsi="Times New Roman" w:cs="Times New Roman"/>
          <w:sz w:val="24"/>
          <w:szCs w:val="24"/>
          <w:lang w:val="en-US"/>
        </w:rPr>
        <w:t>Saadi</w:t>
      </w:r>
      <w:proofErr w:type="spellEnd"/>
      <w:r w:rsidRPr="0018019A">
        <w:rPr>
          <w:rFonts w:ascii="Times New Roman" w:hAnsi="Times New Roman" w:cs="Times New Roman"/>
          <w:sz w:val="24"/>
          <w:szCs w:val="24"/>
          <w:lang w:val="en-US"/>
        </w:rPr>
        <w:t xml:space="preserve"> M, Parkman H, </w:t>
      </w:r>
      <w:proofErr w:type="spellStart"/>
      <w:r w:rsidRPr="0018019A">
        <w:rPr>
          <w:rFonts w:ascii="Times New Roman" w:hAnsi="Times New Roman" w:cs="Times New Roman"/>
          <w:sz w:val="24"/>
          <w:szCs w:val="24"/>
          <w:lang w:val="en-US"/>
        </w:rPr>
        <w:t>Schey</w:t>
      </w:r>
      <w:proofErr w:type="spellEnd"/>
      <w:r w:rsidRPr="0018019A">
        <w:rPr>
          <w:rFonts w:ascii="Times New Roman" w:hAnsi="Times New Roman" w:cs="Times New Roman"/>
          <w:sz w:val="24"/>
          <w:szCs w:val="24"/>
          <w:lang w:val="en-US"/>
        </w:rPr>
        <w:t xml:space="preserve"> R. Difference of achalasia subtypes based on clinical symptoms, radiographic findings, and stasis scores. </w:t>
      </w:r>
      <w:r w:rsidRPr="0018019A">
        <w:rPr>
          <w:rFonts w:ascii="Times New Roman" w:hAnsi="Times New Roman" w:cs="Times New Roman"/>
          <w:sz w:val="24"/>
          <w:szCs w:val="24"/>
          <w:lang w:val="es-US"/>
        </w:rPr>
        <w:t xml:space="preserve">Revista de </w:t>
      </w:r>
      <w:proofErr w:type="spellStart"/>
      <w:r w:rsidRPr="0018019A">
        <w:rPr>
          <w:rFonts w:ascii="Times New Roman" w:hAnsi="Times New Roman" w:cs="Times New Roman"/>
          <w:sz w:val="24"/>
          <w:szCs w:val="24"/>
          <w:lang w:val="es-US"/>
        </w:rPr>
        <w:t>Gaastroenterología</w:t>
      </w:r>
      <w:proofErr w:type="spellEnd"/>
      <w:r w:rsidRPr="0018019A">
        <w:rPr>
          <w:rFonts w:ascii="Times New Roman" w:hAnsi="Times New Roman" w:cs="Times New Roman"/>
          <w:sz w:val="24"/>
          <w:szCs w:val="24"/>
          <w:lang w:val="es-US"/>
        </w:rPr>
        <w:t xml:space="preserve"> de México. 2018 [acceso: 23/05/2021]; 83(1):3-8. Disponible en: </w:t>
      </w:r>
      <w:hyperlink r:id="rId42" w:history="1">
        <w:r w:rsidRPr="0018019A">
          <w:rPr>
            <w:rFonts w:ascii="Times New Roman" w:hAnsi="Times New Roman" w:cs="Times New Roman"/>
            <w:color w:val="0000FF" w:themeColor="hyperlink"/>
            <w:sz w:val="24"/>
            <w:szCs w:val="24"/>
            <w:u w:val="single"/>
            <w:lang w:val="es-US"/>
          </w:rPr>
          <w:t>https://doi.org/10.1016/j.rgmx.2017.03.008</w:t>
        </w:r>
      </w:hyperlink>
    </w:p>
    <w:p w14:paraId="65C1862A" w14:textId="77777777" w:rsidR="0018019A" w:rsidRPr="0018019A" w:rsidRDefault="0018019A" w:rsidP="0018019A">
      <w:pPr>
        <w:autoSpaceDE w:val="0"/>
        <w:autoSpaceDN w:val="0"/>
        <w:adjustRightInd w:val="0"/>
        <w:spacing w:after="0" w:line="360" w:lineRule="auto"/>
        <w:rPr>
          <w:rFonts w:ascii="Times New Roman" w:hAnsi="Times New Roman" w:cs="Times New Roman"/>
          <w:sz w:val="24"/>
          <w:szCs w:val="24"/>
        </w:rPr>
      </w:pPr>
      <w:r w:rsidRPr="0018019A">
        <w:rPr>
          <w:rFonts w:ascii="Times New Roman" w:hAnsi="Times New Roman" w:cs="Times New Roman"/>
          <w:sz w:val="24"/>
          <w:szCs w:val="24"/>
        </w:rPr>
        <w:t>18. Garrigues Gil V, Ortiz Bellver V. Trastornos motores esofágicos. Gastroenterología Hepatología Continuada. 2010</w:t>
      </w:r>
      <w:r w:rsidRPr="0018019A">
        <w:rPr>
          <w:rFonts w:ascii="Times New Roman" w:hAnsi="Times New Roman" w:cs="Times New Roman"/>
          <w:color w:val="000000"/>
          <w:sz w:val="24"/>
          <w:szCs w:val="24"/>
        </w:rPr>
        <w:t>[acceso: 16/03/2020]</w:t>
      </w:r>
      <w:r w:rsidRPr="0018019A">
        <w:rPr>
          <w:rFonts w:ascii="Times New Roman" w:hAnsi="Times New Roman" w:cs="Times New Roman"/>
          <w:sz w:val="24"/>
          <w:szCs w:val="24"/>
        </w:rPr>
        <w:t xml:space="preserve">; 9(6):275-80. Disponible en: </w:t>
      </w:r>
      <w:hyperlink r:id="rId43" w:history="1">
        <w:r w:rsidRPr="0018019A">
          <w:rPr>
            <w:rFonts w:ascii="Times New Roman" w:hAnsi="Times New Roman" w:cs="Times New Roman"/>
            <w:color w:val="0000FF" w:themeColor="hyperlink"/>
            <w:sz w:val="24"/>
            <w:szCs w:val="24"/>
            <w:u w:val="single"/>
          </w:rPr>
          <w:t>http://aeeh.es/wp-content/uploads/2012/04/v9n6a640pdf001.pdf</w:t>
        </w:r>
      </w:hyperlink>
    </w:p>
    <w:p w14:paraId="4C44EA53" w14:textId="77777777" w:rsidR="0018019A" w:rsidRPr="0018019A" w:rsidRDefault="0018019A" w:rsidP="0018019A">
      <w:pPr>
        <w:spacing w:after="0" w:line="360" w:lineRule="auto"/>
        <w:rPr>
          <w:rFonts w:ascii="Times New Roman" w:hAnsi="Times New Roman" w:cs="Times New Roman"/>
          <w:sz w:val="24"/>
          <w:szCs w:val="24"/>
          <w:lang w:val="es-ES"/>
        </w:rPr>
      </w:pPr>
      <w:r w:rsidRPr="0018019A">
        <w:rPr>
          <w:rFonts w:ascii="Times New Roman" w:hAnsi="Times New Roman" w:cs="Times New Roman"/>
          <w:sz w:val="24"/>
          <w:szCs w:val="24"/>
          <w:lang w:val="en-US"/>
        </w:rPr>
        <w:lastRenderedPageBreak/>
        <w:t xml:space="preserve">19. </w:t>
      </w:r>
      <w:proofErr w:type="spellStart"/>
      <w:r w:rsidRPr="0018019A">
        <w:rPr>
          <w:rFonts w:ascii="Times New Roman" w:hAnsi="Times New Roman" w:cs="Times New Roman"/>
          <w:sz w:val="24"/>
          <w:szCs w:val="24"/>
          <w:lang w:val="en-US"/>
        </w:rPr>
        <w:t>Triggs</w:t>
      </w:r>
      <w:proofErr w:type="spellEnd"/>
      <w:r w:rsidRPr="0018019A">
        <w:rPr>
          <w:rFonts w:ascii="Times New Roman" w:hAnsi="Times New Roman" w:cs="Times New Roman"/>
          <w:sz w:val="24"/>
          <w:szCs w:val="24"/>
          <w:lang w:val="en-US"/>
        </w:rPr>
        <w:t xml:space="preserve"> JR, Carlson DA, Beveridge C, Jain A, </w:t>
      </w:r>
      <w:proofErr w:type="spellStart"/>
      <w:r w:rsidRPr="0018019A">
        <w:rPr>
          <w:rFonts w:ascii="Times New Roman" w:hAnsi="Times New Roman" w:cs="Times New Roman"/>
          <w:sz w:val="24"/>
          <w:szCs w:val="24"/>
          <w:lang w:val="en-US"/>
        </w:rPr>
        <w:t>Tye</w:t>
      </w:r>
      <w:proofErr w:type="spellEnd"/>
      <w:r w:rsidRPr="0018019A">
        <w:rPr>
          <w:rFonts w:ascii="Times New Roman" w:hAnsi="Times New Roman" w:cs="Times New Roman"/>
          <w:sz w:val="24"/>
          <w:szCs w:val="24"/>
          <w:lang w:val="en-US"/>
        </w:rPr>
        <w:t xml:space="preserve"> MY, </w:t>
      </w:r>
      <w:proofErr w:type="spellStart"/>
      <w:r w:rsidRPr="0018019A">
        <w:rPr>
          <w:rFonts w:ascii="Times New Roman" w:hAnsi="Times New Roman" w:cs="Times New Roman"/>
          <w:sz w:val="24"/>
          <w:szCs w:val="24"/>
          <w:lang w:val="en-US"/>
        </w:rPr>
        <w:t>Kahrilas</w:t>
      </w:r>
      <w:proofErr w:type="spellEnd"/>
      <w:r w:rsidRPr="0018019A">
        <w:rPr>
          <w:rFonts w:ascii="Times New Roman" w:hAnsi="Times New Roman" w:cs="Times New Roman"/>
          <w:sz w:val="24"/>
          <w:szCs w:val="24"/>
          <w:lang w:val="en-US"/>
        </w:rPr>
        <w:t xml:space="preserve"> PJ, et al. Upright integrated relaxation pressure facilitates characterization of esophagogastric junction out flow obstruction. </w:t>
      </w:r>
      <w:r w:rsidRPr="0018019A">
        <w:rPr>
          <w:rFonts w:ascii="Times New Roman" w:hAnsi="Times New Roman" w:cs="Times New Roman"/>
          <w:sz w:val="24"/>
          <w:szCs w:val="24"/>
          <w:lang w:val="es-US"/>
        </w:rPr>
        <w:t xml:space="preserve">Clin </w:t>
      </w:r>
      <w:proofErr w:type="spellStart"/>
      <w:r w:rsidRPr="0018019A">
        <w:rPr>
          <w:rFonts w:ascii="Times New Roman" w:hAnsi="Times New Roman" w:cs="Times New Roman"/>
          <w:sz w:val="24"/>
          <w:szCs w:val="24"/>
          <w:lang w:val="es-US"/>
        </w:rPr>
        <w:t>Gastroenterology</w:t>
      </w:r>
      <w:proofErr w:type="spellEnd"/>
      <w:r w:rsidRPr="0018019A">
        <w:rPr>
          <w:rFonts w:ascii="Times New Roman" w:hAnsi="Times New Roman" w:cs="Times New Roman"/>
          <w:sz w:val="24"/>
          <w:szCs w:val="24"/>
          <w:lang w:val="es-US"/>
        </w:rPr>
        <w:t xml:space="preserve"> and </w:t>
      </w:r>
      <w:proofErr w:type="spellStart"/>
      <w:r w:rsidRPr="0018019A">
        <w:rPr>
          <w:rFonts w:ascii="Times New Roman" w:hAnsi="Times New Roman" w:cs="Times New Roman"/>
          <w:sz w:val="24"/>
          <w:szCs w:val="24"/>
          <w:lang w:val="es-US"/>
        </w:rPr>
        <w:t>Hepat</w:t>
      </w:r>
      <w:proofErr w:type="spellEnd"/>
      <w:r w:rsidRPr="0018019A">
        <w:rPr>
          <w:rFonts w:ascii="Times New Roman" w:hAnsi="Times New Roman" w:cs="Times New Roman"/>
          <w:sz w:val="24"/>
          <w:szCs w:val="24"/>
          <w:lang w:val="es-US"/>
        </w:rPr>
        <w:t xml:space="preserve">. </w:t>
      </w:r>
      <w:r w:rsidRPr="0018019A">
        <w:rPr>
          <w:rFonts w:ascii="Times New Roman" w:hAnsi="Times New Roman" w:cs="Times New Roman"/>
          <w:sz w:val="24"/>
          <w:szCs w:val="24"/>
          <w:lang w:val="es-ES"/>
        </w:rPr>
        <w:t xml:space="preserve">2019 [acceso: 12/05/2020]; 7(11):2218-26. Disponible en: </w:t>
      </w:r>
      <w:hyperlink r:id="rId44" w:history="1">
        <w:r w:rsidRPr="0018019A">
          <w:rPr>
            <w:rFonts w:ascii="Times New Roman" w:hAnsi="Times New Roman" w:cs="Times New Roman"/>
            <w:color w:val="0000FF" w:themeColor="hyperlink"/>
            <w:sz w:val="24"/>
            <w:szCs w:val="24"/>
            <w:u w:val="single"/>
            <w:lang w:val="es-ES"/>
          </w:rPr>
          <w:t>https://linkinghub.elsevier.com/retrieve/pii/S1542-3565(19)30071-0</w:t>
        </w:r>
      </w:hyperlink>
    </w:p>
    <w:p w14:paraId="0ADE4FAB" w14:textId="77777777" w:rsidR="0018019A" w:rsidRPr="0018019A" w:rsidRDefault="0018019A" w:rsidP="0018019A">
      <w:pPr>
        <w:autoSpaceDE w:val="0"/>
        <w:autoSpaceDN w:val="0"/>
        <w:adjustRightInd w:val="0"/>
        <w:spacing w:after="0" w:line="360" w:lineRule="auto"/>
        <w:rPr>
          <w:rFonts w:ascii="Times New Roman" w:hAnsi="Times New Roman" w:cs="Times New Roman"/>
          <w:sz w:val="24"/>
          <w:szCs w:val="24"/>
        </w:rPr>
      </w:pPr>
      <w:r w:rsidRPr="0018019A">
        <w:rPr>
          <w:rFonts w:ascii="Times New Roman" w:hAnsi="Times New Roman" w:cs="Times New Roman"/>
          <w:sz w:val="24"/>
          <w:szCs w:val="24"/>
          <w:lang w:val="es-US"/>
        </w:rPr>
        <w:t>20.</w:t>
      </w:r>
      <w:r w:rsidRPr="0018019A">
        <w:rPr>
          <w:rFonts w:ascii="Times New Roman" w:hAnsi="Times New Roman" w:cs="Times New Roman"/>
          <w:sz w:val="24"/>
          <w:szCs w:val="24"/>
        </w:rPr>
        <w:t xml:space="preserve"> Anido Escobar V, Amable Díaz T, Labrada Sosa. M, Armenteros Torre MC, Diaz Drake Z. La manometría de alta resolución en los trastornos motores del esófago. Introducción en Cuba. </w:t>
      </w:r>
      <w:proofErr w:type="spellStart"/>
      <w:r w:rsidRPr="0018019A">
        <w:rPr>
          <w:rFonts w:ascii="Times New Roman" w:hAnsi="Times New Roman" w:cs="Times New Roman"/>
          <w:sz w:val="24"/>
          <w:szCs w:val="24"/>
        </w:rPr>
        <w:t>Rev</w:t>
      </w:r>
      <w:proofErr w:type="spellEnd"/>
      <w:r w:rsidRPr="0018019A">
        <w:rPr>
          <w:rFonts w:ascii="Times New Roman" w:hAnsi="Times New Roman" w:cs="Times New Roman"/>
          <w:sz w:val="24"/>
          <w:szCs w:val="24"/>
        </w:rPr>
        <w:t xml:space="preserve"> </w:t>
      </w:r>
      <w:proofErr w:type="spellStart"/>
      <w:r w:rsidRPr="0018019A">
        <w:rPr>
          <w:rFonts w:ascii="Times New Roman" w:hAnsi="Times New Roman" w:cs="Times New Roman"/>
          <w:sz w:val="24"/>
          <w:szCs w:val="24"/>
        </w:rPr>
        <w:t>Haban</w:t>
      </w:r>
      <w:proofErr w:type="spellEnd"/>
      <w:r w:rsidRPr="0018019A">
        <w:rPr>
          <w:rFonts w:ascii="Times New Roman" w:hAnsi="Times New Roman" w:cs="Times New Roman"/>
          <w:sz w:val="24"/>
          <w:szCs w:val="24"/>
        </w:rPr>
        <w:t xml:space="preserve"> Cien </w:t>
      </w:r>
      <w:proofErr w:type="spellStart"/>
      <w:r w:rsidRPr="0018019A">
        <w:rPr>
          <w:rFonts w:ascii="Times New Roman" w:hAnsi="Times New Roman" w:cs="Times New Roman"/>
          <w:sz w:val="24"/>
          <w:szCs w:val="24"/>
        </w:rPr>
        <w:t>Méd</w:t>
      </w:r>
      <w:proofErr w:type="spellEnd"/>
      <w:r w:rsidRPr="0018019A">
        <w:rPr>
          <w:rFonts w:ascii="Times New Roman" w:hAnsi="Times New Roman" w:cs="Times New Roman"/>
          <w:sz w:val="24"/>
          <w:szCs w:val="24"/>
        </w:rPr>
        <w:t>. 2020 [acceso: 12/04/2021]; 19(4</w:t>
      </w:r>
      <w:proofErr w:type="gramStart"/>
      <w:r w:rsidRPr="0018019A">
        <w:rPr>
          <w:rFonts w:ascii="Times New Roman" w:hAnsi="Times New Roman" w:cs="Times New Roman"/>
          <w:sz w:val="24"/>
          <w:szCs w:val="24"/>
        </w:rPr>
        <w:t>):[</w:t>
      </w:r>
      <w:proofErr w:type="gramEnd"/>
      <w:r w:rsidRPr="0018019A">
        <w:rPr>
          <w:rFonts w:ascii="Times New Roman" w:hAnsi="Times New Roman" w:cs="Times New Roman"/>
          <w:sz w:val="24"/>
          <w:szCs w:val="24"/>
        </w:rPr>
        <w:t xml:space="preserve">aprox. -3 p.]. Disponible en: </w:t>
      </w:r>
      <w:hyperlink r:id="rId45" w:history="1">
        <w:r w:rsidRPr="0018019A">
          <w:rPr>
            <w:rFonts w:ascii="Times New Roman" w:hAnsi="Times New Roman" w:cs="Times New Roman"/>
            <w:color w:val="0000FF" w:themeColor="hyperlink"/>
            <w:sz w:val="24"/>
            <w:szCs w:val="24"/>
            <w:u w:val="single"/>
          </w:rPr>
          <w:t>http://www.revhabanera.sld.cu/index.php/rhab/article/view/3150</w:t>
        </w:r>
      </w:hyperlink>
    </w:p>
    <w:p w14:paraId="0DA2FA9D" w14:textId="77777777" w:rsidR="0018019A" w:rsidRPr="0044745C" w:rsidRDefault="0018019A" w:rsidP="0018019A">
      <w:pPr>
        <w:spacing w:after="0" w:line="360" w:lineRule="auto"/>
        <w:rPr>
          <w:rFonts w:ascii="Times New Roman" w:hAnsi="Times New Roman" w:cs="Times New Roman"/>
          <w:sz w:val="24"/>
          <w:szCs w:val="24"/>
          <w:lang w:val="es-CU"/>
        </w:rPr>
      </w:pPr>
      <w:r w:rsidRPr="0018019A">
        <w:rPr>
          <w:rFonts w:ascii="Times New Roman" w:hAnsi="Times New Roman" w:cs="Times New Roman"/>
          <w:sz w:val="24"/>
          <w:szCs w:val="24"/>
          <w:lang w:val="en-US"/>
        </w:rPr>
        <w:t xml:space="preserve">21. </w:t>
      </w:r>
      <w:proofErr w:type="spellStart"/>
      <w:r w:rsidRPr="0018019A">
        <w:rPr>
          <w:rFonts w:ascii="Times New Roman" w:hAnsi="Times New Roman" w:cs="Times New Roman"/>
          <w:sz w:val="24"/>
          <w:szCs w:val="24"/>
          <w:lang w:val="en-US"/>
        </w:rPr>
        <w:t>Sanagapalli</w:t>
      </w:r>
      <w:proofErr w:type="spellEnd"/>
      <w:r w:rsidRPr="0018019A">
        <w:rPr>
          <w:rFonts w:ascii="Times New Roman" w:hAnsi="Times New Roman" w:cs="Times New Roman"/>
          <w:sz w:val="24"/>
          <w:szCs w:val="24"/>
          <w:lang w:val="en-US"/>
        </w:rPr>
        <w:t xml:space="preserve"> S, Roman S, Hastier A, Leong RW, Patel K, Raeburn A, et al. Achalasia diagnosed despite normal integrated relaxation pressure responds favorably to therapy. </w:t>
      </w:r>
      <w:proofErr w:type="spellStart"/>
      <w:r w:rsidRPr="0018019A">
        <w:rPr>
          <w:rFonts w:ascii="Times New Roman" w:hAnsi="Times New Roman" w:cs="Times New Roman"/>
          <w:sz w:val="24"/>
          <w:szCs w:val="24"/>
          <w:lang w:val="es-US"/>
        </w:rPr>
        <w:t>Neurogastroenterol</w:t>
      </w:r>
      <w:proofErr w:type="spellEnd"/>
      <w:r w:rsidRPr="0018019A">
        <w:rPr>
          <w:rFonts w:ascii="Times New Roman" w:hAnsi="Times New Roman" w:cs="Times New Roman"/>
          <w:sz w:val="24"/>
          <w:szCs w:val="24"/>
          <w:lang w:val="es-US"/>
        </w:rPr>
        <w:t xml:space="preserve"> </w:t>
      </w:r>
      <w:proofErr w:type="spellStart"/>
      <w:r w:rsidRPr="0018019A">
        <w:rPr>
          <w:rFonts w:ascii="Times New Roman" w:hAnsi="Times New Roman" w:cs="Times New Roman"/>
          <w:sz w:val="24"/>
          <w:szCs w:val="24"/>
          <w:lang w:val="es-US"/>
        </w:rPr>
        <w:t>Motility</w:t>
      </w:r>
      <w:proofErr w:type="spellEnd"/>
      <w:r w:rsidRPr="0018019A">
        <w:rPr>
          <w:rFonts w:ascii="Times New Roman" w:hAnsi="Times New Roman" w:cs="Times New Roman"/>
          <w:sz w:val="24"/>
          <w:szCs w:val="24"/>
          <w:lang w:val="es-US"/>
        </w:rPr>
        <w:t xml:space="preserve">. 2019 [acceso: 12/05/2020]; 31(5): [Aprox. 2 p.]. </w:t>
      </w:r>
      <w:r w:rsidRPr="0044745C">
        <w:rPr>
          <w:rFonts w:ascii="Times New Roman" w:hAnsi="Times New Roman" w:cs="Times New Roman"/>
          <w:sz w:val="24"/>
          <w:szCs w:val="24"/>
          <w:lang w:val="es-CU"/>
        </w:rPr>
        <w:t xml:space="preserve">Disponible en: </w:t>
      </w:r>
      <w:hyperlink r:id="rId46" w:history="1">
        <w:r w:rsidRPr="0044745C">
          <w:rPr>
            <w:rFonts w:ascii="Times New Roman" w:hAnsi="Times New Roman" w:cs="Times New Roman"/>
            <w:color w:val="0000FF" w:themeColor="hyperlink"/>
            <w:sz w:val="24"/>
            <w:szCs w:val="24"/>
            <w:u w:val="single"/>
            <w:lang w:val="es-CU"/>
          </w:rPr>
          <w:t>https://doi.org/10.1111/nmo.13586</w:t>
        </w:r>
      </w:hyperlink>
    </w:p>
    <w:p w14:paraId="407501F2" w14:textId="77777777" w:rsidR="0018019A" w:rsidRPr="0018019A" w:rsidRDefault="0018019A" w:rsidP="0018019A">
      <w:pPr>
        <w:spacing w:after="0" w:line="360" w:lineRule="auto"/>
        <w:rPr>
          <w:rFonts w:ascii="Times New Roman" w:hAnsi="Times New Roman" w:cs="Times New Roman"/>
          <w:color w:val="0000FF" w:themeColor="hyperlink"/>
          <w:sz w:val="24"/>
          <w:szCs w:val="24"/>
          <w:u w:val="single"/>
          <w:lang w:val="es-US"/>
        </w:rPr>
      </w:pPr>
      <w:r w:rsidRPr="0018019A">
        <w:rPr>
          <w:rFonts w:ascii="Times New Roman" w:hAnsi="Times New Roman" w:cs="Times New Roman"/>
          <w:sz w:val="24"/>
          <w:szCs w:val="24"/>
          <w:lang w:val="en-US"/>
        </w:rPr>
        <w:t xml:space="preserve">22. </w:t>
      </w:r>
      <w:proofErr w:type="spellStart"/>
      <w:r w:rsidRPr="0018019A">
        <w:rPr>
          <w:rFonts w:ascii="Times New Roman" w:hAnsi="Times New Roman" w:cs="Times New Roman"/>
          <w:sz w:val="24"/>
          <w:szCs w:val="24"/>
          <w:lang w:val="en-US"/>
        </w:rPr>
        <w:t>Duffiel</w:t>
      </w:r>
      <w:proofErr w:type="spellEnd"/>
      <w:r w:rsidRPr="0018019A">
        <w:rPr>
          <w:rFonts w:ascii="Times New Roman" w:hAnsi="Times New Roman" w:cs="Times New Roman"/>
          <w:sz w:val="24"/>
          <w:szCs w:val="24"/>
          <w:lang w:val="en-US"/>
        </w:rPr>
        <w:t xml:space="preserve"> JA, Hamer PW, Heddle R, Holloway R, Myers JC, Thompson SK. Incidence of Achalasia in south Australia based on esophageal manometry findings. </w:t>
      </w:r>
      <w:proofErr w:type="spellStart"/>
      <w:r w:rsidRPr="0018019A">
        <w:rPr>
          <w:rFonts w:ascii="Times New Roman" w:hAnsi="Times New Roman" w:cs="Times New Roman"/>
          <w:sz w:val="24"/>
          <w:szCs w:val="24"/>
          <w:lang w:val="es-US"/>
        </w:rPr>
        <w:t>Clinical</w:t>
      </w:r>
      <w:proofErr w:type="spellEnd"/>
      <w:r w:rsidRPr="0018019A">
        <w:rPr>
          <w:rFonts w:ascii="Times New Roman" w:hAnsi="Times New Roman" w:cs="Times New Roman"/>
          <w:sz w:val="24"/>
          <w:szCs w:val="24"/>
          <w:lang w:val="es-US"/>
        </w:rPr>
        <w:t xml:space="preserve"> </w:t>
      </w:r>
      <w:proofErr w:type="spellStart"/>
      <w:r w:rsidRPr="0018019A">
        <w:rPr>
          <w:rFonts w:ascii="Times New Roman" w:hAnsi="Times New Roman" w:cs="Times New Roman"/>
          <w:sz w:val="24"/>
          <w:szCs w:val="24"/>
          <w:lang w:val="es-US"/>
        </w:rPr>
        <w:t>Gastroenterology</w:t>
      </w:r>
      <w:proofErr w:type="spellEnd"/>
      <w:r w:rsidRPr="0018019A">
        <w:rPr>
          <w:rFonts w:ascii="Times New Roman" w:hAnsi="Times New Roman" w:cs="Times New Roman"/>
          <w:sz w:val="24"/>
          <w:szCs w:val="24"/>
          <w:lang w:val="es-US"/>
        </w:rPr>
        <w:t xml:space="preserve"> </w:t>
      </w:r>
      <w:proofErr w:type="spellStart"/>
      <w:r w:rsidRPr="0018019A">
        <w:rPr>
          <w:rFonts w:ascii="Times New Roman" w:hAnsi="Times New Roman" w:cs="Times New Roman"/>
          <w:sz w:val="24"/>
          <w:szCs w:val="24"/>
          <w:lang w:val="es-US"/>
        </w:rPr>
        <w:t>Hepatology</w:t>
      </w:r>
      <w:proofErr w:type="spellEnd"/>
      <w:r w:rsidRPr="0018019A">
        <w:rPr>
          <w:rFonts w:ascii="Times New Roman" w:hAnsi="Times New Roman" w:cs="Times New Roman"/>
          <w:sz w:val="24"/>
          <w:szCs w:val="24"/>
          <w:lang w:val="es-US"/>
        </w:rPr>
        <w:t xml:space="preserve">. 2017 [acceso: 12/05/2020]; 15(3):360-5. Disponible en: </w:t>
      </w:r>
      <w:hyperlink r:id="rId47" w:history="1">
        <w:r w:rsidRPr="0018019A">
          <w:rPr>
            <w:rFonts w:ascii="Times New Roman" w:hAnsi="Times New Roman" w:cs="Times New Roman"/>
            <w:color w:val="0000FF" w:themeColor="hyperlink"/>
            <w:sz w:val="24"/>
            <w:szCs w:val="24"/>
            <w:u w:val="single"/>
            <w:lang w:val="es-US"/>
          </w:rPr>
          <w:t>https://pubmed.ncbi.nlm.nih.gov/27266979/</w:t>
        </w:r>
      </w:hyperlink>
    </w:p>
    <w:p w14:paraId="63D8817F" w14:textId="77777777" w:rsidR="0018019A" w:rsidRPr="0018019A" w:rsidRDefault="0018019A" w:rsidP="0018019A">
      <w:pPr>
        <w:spacing w:after="0" w:line="360" w:lineRule="auto"/>
        <w:rPr>
          <w:rFonts w:ascii="Times New Roman" w:eastAsia="Times New Roman" w:hAnsi="Times New Roman" w:cs="Times New Roman"/>
          <w:color w:val="212121"/>
          <w:sz w:val="24"/>
          <w:szCs w:val="24"/>
          <w:lang w:val="es-US" w:eastAsia="zh-CN"/>
        </w:rPr>
      </w:pPr>
      <w:r w:rsidRPr="0018019A">
        <w:rPr>
          <w:rFonts w:ascii="Times New Roman" w:hAnsi="Times New Roman" w:cs="Times New Roman"/>
          <w:sz w:val="24"/>
          <w:szCs w:val="24"/>
          <w:lang w:val="en-US"/>
        </w:rPr>
        <w:t xml:space="preserve">23. Park S, </w:t>
      </w:r>
      <w:proofErr w:type="spellStart"/>
      <w:r w:rsidRPr="0018019A">
        <w:rPr>
          <w:rFonts w:ascii="Times New Roman" w:hAnsi="Times New Roman" w:cs="Times New Roman"/>
          <w:sz w:val="24"/>
          <w:szCs w:val="24"/>
          <w:lang w:val="en-US"/>
        </w:rPr>
        <w:t>Zifan</w:t>
      </w:r>
      <w:proofErr w:type="spellEnd"/>
      <w:r w:rsidRPr="0018019A">
        <w:rPr>
          <w:rFonts w:ascii="Times New Roman" w:hAnsi="Times New Roman" w:cs="Times New Roman"/>
          <w:sz w:val="24"/>
          <w:szCs w:val="24"/>
          <w:lang w:val="en-US"/>
        </w:rPr>
        <w:t xml:space="preserve"> A, Kumar D, Mittal RK. Genesis of Esophageal Pressurization and Bolus Flow Patterns in Patients </w:t>
      </w:r>
      <w:proofErr w:type="gramStart"/>
      <w:r w:rsidRPr="0018019A">
        <w:rPr>
          <w:rFonts w:ascii="Times New Roman" w:hAnsi="Times New Roman" w:cs="Times New Roman"/>
          <w:sz w:val="24"/>
          <w:szCs w:val="24"/>
          <w:lang w:val="en-US"/>
        </w:rPr>
        <w:t>With</w:t>
      </w:r>
      <w:proofErr w:type="gramEnd"/>
      <w:r w:rsidRPr="0018019A">
        <w:rPr>
          <w:rFonts w:ascii="Times New Roman" w:hAnsi="Times New Roman" w:cs="Times New Roman"/>
          <w:sz w:val="24"/>
          <w:szCs w:val="24"/>
          <w:lang w:val="en-US"/>
        </w:rPr>
        <w:t xml:space="preserve"> Achalasia Esophagus. </w:t>
      </w:r>
      <w:proofErr w:type="spellStart"/>
      <w:r w:rsidRPr="0018019A">
        <w:rPr>
          <w:rFonts w:ascii="Times New Roman" w:hAnsi="Times New Roman" w:cs="Times New Roman"/>
          <w:sz w:val="24"/>
          <w:szCs w:val="24"/>
          <w:lang w:val="es-US"/>
        </w:rPr>
        <w:t>Gastroenterology</w:t>
      </w:r>
      <w:proofErr w:type="spellEnd"/>
      <w:r w:rsidRPr="0018019A">
        <w:rPr>
          <w:rFonts w:ascii="Times New Roman" w:hAnsi="Times New Roman" w:cs="Times New Roman"/>
          <w:sz w:val="24"/>
          <w:szCs w:val="24"/>
          <w:lang w:val="es-US"/>
        </w:rPr>
        <w:t xml:space="preserve">. 2018 [acceso: 23/05/2021]; 155(2):327-336. </w:t>
      </w:r>
      <w:r w:rsidRPr="0018019A">
        <w:rPr>
          <w:rFonts w:ascii="Times New Roman" w:eastAsia="Times New Roman" w:hAnsi="Times New Roman" w:cs="Times New Roman"/>
          <w:color w:val="212121"/>
          <w:sz w:val="24"/>
          <w:szCs w:val="24"/>
          <w:lang w:val="es-US" w:eastAsia="zh-CN"/>
        </w:rPr>
        <w:t>DOI: </w:t>
      </w:r>
      <w:hyperlink r:id="rId48" w:tgtFrame="_blank" w:history="1">
        <w:r w:rsidRPr="0018019A">
          <w:rPr>
            <w:rFonts w:ascii="Times New Roman" w:eastAsia="Times New Roman" w:hAnsi="Times New Roman" w:cs="Times New Roman"/>
            <w:color w:val="0071BC"/>
            <w:sz w:val="24"/>
            <w:szCs w:val="24"/>
            <w:u w:val="single"/>
            <w:lang w:val="es-US" w:eastAsia="zh-CN"/>
          </w:rPr>
          <w:t>10.1053/j.gastro.2018.04.033</w:t>
        </w:r>
      </w:hyperlink>
    </w:p>
    <w:p w14:paraId="03ECC426" w14:textId="77777777" w:rsidR="0018019A" w:rsidRPr="0018019A" w:rsidRDefault="0018019A" w:rsidP="0018019A">
      <w:pPr>
        <w:spacing w:after="0" w:line="360" w:lineRule="auto"/>
        <w:ind w:left="360"/>
        <w:jc w:val="both"/>
        <w:rPr>
          <w:rFonts w:ascii="Times New Roman" w:hAnsi="Times New Roman" w:cs="Times New Roman"/>
          <w:sz w:val="24"/>
          <w:szCs w:val="24"/>
          <w:lang w:val="es-US"/>
        </w:rPr>
      </w:pPr>
    </w:p>
    <w:p w14:paraId="2D2DA592" w14:textId="77777777" w:rsidR="0018019A" w:rsidRPr="0018019A" w:rsidRDefault="0018019A" w:rsidP="0018019A">
      <w:pPr>
        <w:spacing w:after="0" w:line="360" w:lineRule="auto"/>
        <w:ind w:left="360"/>
        <w:jc w:val="both"/>
        <w:rPr>
          <w:rFonts w:ascii="Times New Roman" w:hAnsi="Times New Roman" w:cs="Times New Roman"/>
          <w:sz w:val="24"/>
          <w:szCs w:val="24"/>
        </w:rPr>
      </w:pPr>
    </w:p>
    <w:p w14:paraId="4B359B9E" w14:textId="77777777" w:rsidR="0018019A" w:rsidRPr="0018019A" w:rsidRDefault="0018019A" w:rsidP="0018019A">
      <w:pPr>
        <w:spacing w:after="0" w:line="360" w:lineRule="auto"/>
        <w:ind w:left="360"/>
        <w:jc w:val="center"/>
        <w:rPr>
          <w:rFonts w:ascii="Times New Roman" w:hAnsi="Times New Roman" w:cs="Times New Roman"/>
          <w:b/>
          <w:sz w:val="24"/>
          <w:szCs w:val="24"/>
        </w:rPr>
      </w:pPr>
      <w:r w:rsidRPr="0018019A">
        <w:rPr>
          <w:rFonts w:ascii="Times New Roman" w:hAnsi="Times New Roman" w:cs="Times New Roman"/>
          <w:b/>
          <w:sz w:val="24"/>
          <w:szCs w:val="24"/>
        </w:rPr>
        <w:t>Conflictos de intereses</w:t>
      </w:r>
    </w:p>
    <w:p w14:paraId="629FE479" w14:textId="77777777" w:rsidR="0018019A" w:rsidRPr="0018019A" w:rsidRDefault="0018019A" w:rsidP="0018019A">
      <w:pPr>
        <w:spacing w:after="0" w:line="360" w:lineRule="auto"/>
        <w:jc w:val="both"/>
        <w:rPr>
          <w:rFonts w:ascii="Times New Roman" w:hAnsi="Times New Roman" w:cs="Times New Roman"/>
          <w:sz w:val="24"/>
          <w:szCs w:val="24"/>
        </w:rPr>
      </w:pPr>
      <w:r w:rsidRPr="0018019A">
        <w:rPr>
          <w:rFonts w:ascii="Times New Roman" w:hAnsi="Times New Roman" w:cs="Times New Roman"/>
          <w:sz w:val="24"/>
          <w:szCs w:val="24"/>
        </w:rPr>
        <w:t>No existen conflictos de intereses.</w:t>
      </w:r>
    </w:p>
    <w:p w14:paraId="2B0CDB43" w14:textId="77777777" w:rsidR="0018019A" w:rsidRPr="0018019A" w:rsidRDefault="0018019A" w:rsidP="0018019A">
      <w:pPr>
        <w:spacing w:after="0" w:line="360" w:lineRule="auto"/>
        <w:ind w:left="360"/>
        <w:jc w:val="center"/>
        <w:rPr>
          <w:rFonts w:ascii="Times New Roman" w:hAnsi="Times New Roman" w:cs="Times New Roman"/>
          <w:b/>
          <w:sz w:val="24"/>
          <w:szCs w:val="24"/>
        </w:rPr>
      </w:pPr>
    </w:p>
    <w:p w14:paraId="274462FF" w14:textId="77777777" w:rsidR="0018019A" w:rsidRPr="0018019A" w:rsidRDefault="0018019A" w:rsidP="0018019A">
      <w:pPr>
        <w:spacing w:after="0" w:line="360" w:lineRule="auto"/>
        <w:ind w:left="360"/>
        <w:jc w:val="center"/>
        <w:rPr>
          <w:rFonts w:ascii="Times New Roman" w:hAnsi="Times New Roman" w:cs="Times New Roman"/>
          <w:b/>
          <w:sz w:val="24"/>
          <w:szCs w:val="24"/>
        </w:rPr>
      </w:pPr>
    </w:p>
    <w:p w14:paraId="05969952" w14:textId="77777777" w:rsidR="0018019A" w:rsidRPr="0018019A" w:rsidRDefault="0018019A" w:rsidP="0018019A">
      <w:pPr>
        <w:spacing w:after="0" w:line="360" w:lineRule="auto"/>
        <w:ind w:left="360"/>
        <w:jc w:val="center"/>
        <w:rPr>
          <w:rFonts w:ascii="Times New Roman" w:hAnsi="Times New Roman" w:cs="Times New Roman"/>
          <w:b/>
          <w:sz w:val="24"/>
          <w:szCs w:val="24"/>
        </w:rPr>
      </w:pPr>
      <w:r w:rsidRPr="0018019A">
        <w:rPr>
          <w:rFonts w:ascii="Times New Roman" w:hAnsi="Times New Roman" w:cs="Times New Roman"/>
          <w:b/>
          <w:sz w:val="24"/>
          <w:szCs w:val="24"/>
        </w:rPr>
        <w:t>Contribuciones de los autores</w:t>
      </w:r>
    </w:p>
    <w:p w14:paraId="7D84999B" w14:textId="77777777" w:rsidR="0018019A" w:rsidRPr="0018019A" w:rsidRDefault="0018019A" w:rsidP="0018019A">
      <w:pPr>
        <w:spacing w:after="0" w:line="360" w:lineRule="auto"/>
        <w:ind w:left="360"/>
        <w:rPr>
          <w:rFonts w:ascii="Times New Roman" w:hAnsi="Times New Roman" w:cs="Times New Roman"/>
          <w:i/>
          <w:sz w:val="24"/>
          <w:szCs w:val="24"/>
        </w:rPr>
      </w:pPr>
      <w:r w:rsidRPr="0018019A">
        <w:rPr>
          <w:rFonts w:ascii="Times New Roman" w:hAnsi="Times New Roman" w:cs="Times New Roman"/>
          <w:sz w:val="24"/>
          <w:szCs w:val="24"/>
        </w:rPr>
        <w:t>1.</w:t>
      </w:r>
      <w:r w:rsidRPr="0018019A">
        <w:rPr>
          <w:rFonts w:ascii="Times New Roman" w:hAnsi="Times New Roman" w:cs="Times New Roman"/>
          <w:sz w:val="24"/>
          <w:szCs w:val="24"/>
        </w:rPr>
        <w:tab/>
        <w:t xml:space="preserve">Conceptualización: </w:t>
      </w:r>
      <w:r w:rsidRPr="0018019A">
        <w:rPr>
          <w:rFonts w:ascii="Times New Roman" w:hAnsi="Times New Roman" w:cs="Times New Roman"/>
          <w:i/>
          <w:sz w:val="24"/>
          <w:szCs w:val="24"/>
        </w:rPr>
        <w:t xml:space="preserve">Tatiana Amable Días y </w:t>
      </w:r>
      <w:proofErr w:type="spellStart"/>
      <w:r w:rsidRPr="0018019A">
        <w:rPr>
          <w:rFonts w:ascii="Times New Roman" w:hAnsi="Times New Roman" w:cs="Times New Roman"/>
          <w:i/>
          <w:sz w:val="24"/>
          <w:szCs w:val="24"/>
        </w:rPr>
        <w:t>Vivianne</w:t>
      </w:r>
      <w:proofErr w:type="spellEnd"/>
      <w:r w:rsidRPr="0018019A">
        <w:rPr>
          <w:rFonts w:ascii="Times New Roman" w:hAnsi="Times New Roman" w:cs="Times New Roman"/>
          <w:i/>
          <w:sz w:val="24"/>
          <w:szCs w:val="24"/>
        </w:rPr>
        <w:t xml:space="preserve"> María Anido Escobar</w:t>
      </w:r>
    </w:p>
    <w:p w14:paraId="6305BFB3" w14:textId="77777777" w:rsidR="0018019A" w:rsidRPr="0018019A" w:rsidRDefault="0018019A" w:rsidP="0018019A">
      <w:pPr>
        <w:spacing w:after="0" w:line="360" w:lineRule="auto"/>
        <w:ind w:left="360"/>
        <w:rPr>
          <w:rFonts w:ascii="Times New Roman" w:hAnsi="Times New Roman" w:cs="Times New Roman"/>
          <w:sz w:val="24"/>
          <w:szCs w:val="24"/>
        </w:rPr>
      </w:pPr>
      <w:r w:rsidRPr="0018019A">
        <w:rPr>
          <w:rFonts w:ascii="Times New Roman" w:hAnsi="Times New Roman" w:cs="Times New Roman"/>
          <w:sz w:val="24"/>
          <w:szCs w:val="24"/>
        </w:rPr>
        <w:t>2.</w:t>
      </w:r>
      <w:r w:rsidRPr="0018019A">
        <w:rPr>
          <w:rFonts w:ascii="Times New Roman" w:hAnsi="Times New Roman" w:cs="Times New Roman"/>
          <w:sz w:val="24"/>
          <w:szCs w:val="24"/>
        </w:rPr>
        <w:tab/>
        <w:t xml:space="preserve">Curación de datos: </w:t>
      </w:r>
      <w:r w:rsidRPr="0018019A">
        <w:rPr>
          <w:rFonts w:ascii="Times New Roman" w:hAnsi="Times New Roman" w:cs="Times New Roman"/>
          <w:i/>
          <w:sz w:val="24"/>
          <w:szCs w:val="24"/>
        </w:rPr>
        <w:t xml:space="preserve">Tatiana Amable Días </w:t>
      </w:r>
    </w:p>
    <w:p w14:paraId="6E98218C" w14:textId="77777777" w:rsidR="0018019A" w:rsidRPr="0018019A" w:rsidRDefault="0018019A" w:rsidP="0018019A">
      <w:pPr>
        <w:spacing w:after="0" w:line="360" w:lineRule="auto"/>
        <w:ind w:left="360"/>
        <w:rPr>
          <w:rFonts w:ascii="Times New Roman" w:hAnsi="Times New Roman" w:cs="Times New Roman"/>
          <w:i/>
          <w:sz w:val="24"/>
          <w:szCs w:val="24"/>
        </w:rPr>
      </w:pPr>
      <w:r w:rsidRPr="0018019A">
        <w:rPr>
          <w:rFonts w:ascii="Times New Roman" w:hAnsi="Times New Roman" w:cs="Times New Roman"/>
          <w:sz w:val="24"/>
          <w:szCs w:val="24"/>
        </w:rPr>
        <w:t>3.</w:t>
      </w:r>
      <w:r w:rsidRPr="0018019A">
        <w:rPr>
          <w:rFonts w:ascii="Times New Roman" w:hAnsi="Times New Roman" w:cs="Times New Roman"/>
          <w:sz w:val="24"/>
          <w:szCs w:val="24"/>
        </w:rPr>
        <w:tab/>
        <w:t xml:space="preserve">Análisis formal: </w:t>
      </w:r>
      <w:r w:rsidRPr="0018019A">
        <w:rPr>
          <w:rFonts w:ascii="Times New Roman" w:hAnsi="Times New Roman" w:cs="Times New Roman"/>
          <w:i/>
          <w:sz w:val="24"/>
          <w:szCs w:val="24"/>
        </w:rPr>
        <w:t xml:space="preserve">Tatiana Amable Días y </w:t>
      </w:r>
      <w:proofErr w:type="spellStart"/>
      <w:r w:rsidRPr="0018019A">
        <w:rPr>
          <w:rFonts w:ascii="Times New Roman" w:hAnsi="Times New Roman" w:cs="Times New Roman"/>
          <w:i/>
          <w:sz w:val="24"/>
          <w:szCs w:val="24"/>
        </w:rPr>
        <w:t>Vivianne</w:t>
      </w:r>
      <w:proofErr w:type="spellEnd"/>
      <w:r w:rsidRPr="0018019A">
        <w:rPr>
          <w:rFonts w:ascii="Times New Roman" w:hAnsi="Times New Roman" w:cs="Times New Roman"/>
          <w:i/>
          <w:sz w:val="24"/>
          <w:szCs w:val="24"/>
        </w:rPr>
        <w:t xml:space="preserve"> María Anido Escobar</w:t>
      </w:r>
    </w:p>
    <w:p w14:paraId="5D4BEACC" w14:textId="77777777" w:rsidR="0018019A" w:rsidRPr="0018019A" w:rsidRDefault="0018019A" w:rsidP="0018019A">
      <w:pPr>
        <w:spacing w:after="0" w:line="360" w:lineRule="auto"/>
        <w:ind w:left="360"/>
        <w:rPr>
          <w:rFonts w:ascii="Times New Roman" w:hAnsi="Times New Roman" w:cs="Times New Roman"/>
          <w:sz w:val="24"/>
          <w:szCs w:val="24"/>
        </w:rPr>
      </w:pPr>
      <w:r w:rsidRPr="0018019A">
        <w:rPr>
          <w:rFonts w:ascii="Times New Roman" w:hAnsi="Times New Roman" w:cs="Times New Roman"/>
          <w:sz w:val="24"/>
          <w:szCs w:val="24"/>
        </w:rPr>
        <w:lastRenderedPageBreak/>
        <w:t>4.</w:t>
      </w:r>
      <w:r w:rsidRPr="0018019A">
        <w:rPr>
          <w:rFonts w:ascii="Times New Roman" w:hAnsi="Times New Roman" w:cs="Times New Roman"/>
          <w:sz w:val="24"/>
          <w:szCs w:val="24"/>
        </w:rPr>
        <w:tab/>
        <w:t xml:space="preserve">Investigación: </w:t>
      </w:r>
      <w:r w:rsidRPr="0018019A">
        <w:rPr>
          <w:rFonts w:ascii="Times New Roman" w:hAnsi="Times New Roman" w:cs="Times New Roman"/>
          <w:i/>
          <w:sz w:val="24"/>
          <w:szCs w:val="24"/>
        </w:rPr>
        <w:t xml:space="preserve">Tatiana Amable Días, </w:t>
      </w:r>
      <w:proofErr w:type="spellStart"/>
      <w:r w:rsidRPr="0018019A">
        <w:rPr>
          <w:rFonts w:ascii="Times New Roman" w:hAnsi="Times New Roman" w:cs="Times New Roman"/>
          <w:i/>
          <w:sz w:val="24"/>
          <w:szCs w:val="24"/>
        </w:rPr>
        <w:t>Vivianne</w:t>
      </w:r>
      <w:proofErr w:type="spellEnd"/>
      <w:r w:rsidRPr="0018019A">
        <w:rPr>
          <w:rFonts w:ascii="Times New Roman" w:hAnsi="Times New Roman" w:cs="Times New Roman"/>
          <w:i/>
          <w:sz w:val="24"/>
          <w:szCs w:val="24"/>
        </w:rPr>
        <w:t xml:space="preserve"> Anido Escobar y Zunilda Días Drake</w:t>
      </w:r>
    </w:p>
    <w:p w14:paraId="447B8686" w14:textId="77777777" w:rsidR="0018019A" w:rsidRPr="0018019A" w:rsidRDefault="0018019A" w:rsidP="0018019A">
      <w:pPr>
        <w:spacing w:after="0" w:line="360" w:lineRule="auto"/>
        <w:ind w:left="360"/>
        <w:rPr>
          <w:rFonts w:ascii="Times New Roman" w:hAnsi="Times New Roman" w:cs="Times New Roman"/>
          <w:i/>
          <w:sz w:val="24"/>
          <w:szCs w:val="24"/>
        </w:rPr>
      </w:pPr>
      <w:r w:rsidRPr="0018019A">
        <w:rPr>
          <w:rFonts w:ascii="Times New Roman" w:hAnsi="Times New Roman" w:cs="Times New Roman"/>
          <w:sz w:val="24"/>
          <w:szCs w:val="24"/>
        </w:rPr>
        <w:t>5.</w:t>
      </w:r>
      <w:r w:rsidRPr="0018019A">
        <w:rPr>
          <w:rFonts w:ascii="Times New Roman" w:hAnsi="Times New Roman" w:cs="Times New Roman"/>
          <w:sz w:val="24"/>
          <w:szCs w:val="24"/>
        </w:rPr>
        <w:tab/>
        <w:t xml:space="preserve">Metodología: </w:t>
      </w:r>
      <w:proofErr w:type="spellStart"/>
      <w:r w:rsidRPr="0018019A">
        <w:rPr>
          <w:rFonts w:ascii="Times New Roman" w:hAnsi="Times New Roman" w:cs="Times New Roman"/>
          <w:i/>
          <w:sz w:val="24"/>
          <w:szCs w:val="24"/>
        </w:rPr>
        <w:t>Viviannne</w:t>
      </w:r>
      <w:proofErr w:type="spellEnd"/>
      <w:r w:rsidRPr="0018019A">
        <w:rPr>
          <w:rFonts w:ascii="Times New Roman" w:hAnsi="Times New Roman" w:cs="Times New Roman"/>
          <w:i/>
          <w:sz w:val="24"/>
          <w:szCs w:val="24"/>
        </w:rPr>
        <w:t xml:space="preserve"> María Anido Escobar, </w:t>
      </w:r>
      <w:proofErr w:type="spellStart"/>
      <w:r w:rsidRPr="0018019A">
        <w:rPr>
          <w:rFonts w:ascii="Times New Roman" w:hAnsi="Times New Roman" w:cs="Times New Roman"/>
          <w:i/>
          <w:sz w:val="24"/>
          <w:szCs w:val="24"/>
        </w:rPr>
        <w:t>Mildre</w:t>
      </w:r>
      <w:proofErr w:type="spellEnd"/>
      <w:r w:rsidRPr="0018019A">
        <w:rPr>
          <w:rFonts w:ascii="Times New Roman" w:hAnsi="Times New Roman" w:cs="Times New Roman"/>
          <w:i/>
          <w:sz w:val="24"/>
          <w:szCs w:val="24"/>
        </w:rPr>
        <w:t xml:space="preserve"> Armenteros Torres y Ludmila Martínez Leyva</w:t>
      </w:r>
    </w:p>
    <w:p w14:paraId="51E4AA88" w14:textId="77777777" w:rsidR="0018019A" w:rsidRPr="0018019A" w:rsidRDefault="0018019A" w:rsidP="0018019A">
      <w:pPr>
        <w:spacing w:after="0" w:line="360" w:lineRule="auto"/>
        <w:ind w:left="360"/>
        <w:rPr>
          <w:rFonts w:ascii="Times New Roman" w:hAnsi="Times New Roman" w:cs="Times New Roman"/>
          <w:sz w:val="24"/>
          <w:szCs w:val="24"/>
        </w:rPr>
      </w:pPr>
      <w:r w:rsidRPr="0018019A">
        <w:rPr>
          <w:rFonts w:ascii="Times New Roman" w:hAnsi="Times New Roman" w:cs="Times New Roman"/>
          <w:sz w:val="24"/>
          <w:szCs w:val="24"/>
        </w:rPr>
        <w:t>6.</w:t>
      </w:r>
      <w:r w:rsidRPr="0018019A">
        <w:rPr>
          <w:rFonts w:ascii="Times New Roman" w:hAnsi="Times New Roman" w:cs="Times New Roman"/>
          <w:sz w:val="24"/>
          <w:szCs w:val="24"/>
        </w:rPr>
        <w:tab/>
        <w:t xml:space="preserve">Supervisión: </w:t>
      </w:r>
      <w:proofErr w:type="spellStart"/>
      <w:r w:rsidRPr="0018019A">
        <w:rPr>
          <w:rFonts w:ascii="Times New Roman" w:hAnsi="Times New Roman" w:cs="Times New Roman"/>
          <w:i/>
          <w:sz w:val="24"/>
          <w:szCs w:val="24"/>
        </w:rPr>
        <w:t>Vivianne</w:t>
      </w:r>
      <w:proofErr w:type="spellEnd"/>
      <w:r w:rsidRPr="0018019A">
        <w:rPr>
          <w:rFonts w:ascii="Times New Roman" w:hAnsi="Times New Roman" w:cs="Times New Roman"/>
          <w:i/>
          <w:sz w:val="24"/>
          <w:szCs w:val="24"/>
        </w:rPr>
        <w:t xml:space="preserve"> María Anido Escobar</w:t>
      </w:r>
    </w:p>
    <w:p w14:paraId="4C6EF3CE" w14:textId="77777777" w:rsidR="0018019A" w:rsidRPr="0018019A" w:rsidRDefault="0018019A" w:rsidP="0018019A">
      <w:pPr>
        <w:spacing w:after="0" w:line="360" w:lineRule="auto"/>
        <w:ind w:left="360"/>
        <w:rPr>
          <w:rFonts w:ascii="Times New Roman" w:hAnsi="Times New Roman" w:cs="Times New Roman"/>
          <w:sz w:val="24"/>
          <w:szCs w:val="24"/>
        </w:rPr>
      </w:pPr>
      <w:r w:rsidRPr="0018019A">
        <w:rPr>
          <w:rFonts w:ascii="Times New Roman" w:hAnsi="Times New Roman" w:cs="Times New Roman"/>
          <w:sz w:val="24"/>
          <w:szCs w:val="24"/>
        </w:rPr>
        <w:t>7.</w:t>
      </w:r>
      <w:r w:rsidRPr="0018019A">
        <w:rPr>
          <w:rFonts w:ascii="Times New Roman" w:hAnsi="Times New Roman" w:cs="Times New Roman"/>
          <w:sz w:val="24"/>
          <w:szCs w:val="24"/>
        </w:rPr>
        <w:tab/>
        <w:t xml:space="preserve">Redacción – borrador original: </w:t>
      </w:r>
      <w:r w:rsidRPr="0018019A">
        <w:rPr>
          <w:rFonts w:ascii="Times New Roman" w:hAnsi="Times New Roman" w:cs="Times New Roman"/>
          <w:i/>
          <w:sz w:val="24"/>
          <w:szCs w:val="24"/>
        </w:rPr>
        <w:t xml:space="preserve">Tatiana Amable Días, Mildred C. Armenteros Torres, Eduardo Carlos </w:t>
      </w:r>
      <w:proofErr w:type="spellStart"/>
      <w:r w:rsidRPr="0018019A">
        <w:rPr>
          <w:rFonts w:ascii="Times New Roman" w:hAnsi="Times New Roman" w:cs="Times New Roman"/>
          <w:i/>
          <w:sz w:val="24"/>
          <w:szCs w:val="24"/>
        </w:rPr>
        <w:t>Veitía</w:t>
      </w:r>
      <w:proofErr w:type="spellEnd"/>
      <w:r w:rsidRPr="0018019A">
        <w:rPr>
          <w:rFonts w:ascii="Times New Roman" w:hAnsi="Times New Roman" w:cs="Times New Roman"/>
          <w:i/>
          <w:sz w:val="24"/>
          <w:szCs w:val="24"/>
        </w:rPr>
        <w:t xml:space="preserve"> Wilson y Juan Carlos Oliva Rey</w:t>
      </w:r>
    </w:p>
    <w:p w14:paraId="578BFBDA" w14:textId="77777777" w:rsidR="0018019A" w:rsidRPr="0018019A" w:rsidRDefault="0018019A" w:rsidP="0018019A">
      <w:pPr>
        <w:spacing w:after="0" w:line="360" w:lineRule="auto"/>
        <w:ind w:left="360"/>
        <w:rPr>
          <w:rFonts w:ascii="Times New Roman" w:hAnsi="Times New Roman" w:cs="Times New Roman"/>
          <w:i/>
          <w:sz w:val="24"/>
          <w:szCs w:val="24"/>
        </w:rPr>
      </w:pPr>
      <w:r w:rsidRPr="0018019A">
        <w:rPr>
          <w:rFonts w:ascii="Times New Roman" w:hAnsi="Times New Roman" w:cs="Times New Roman"/>
          <w:sz w:val="24"/>
          <w:szCs w:val="24"/>
        </w:rPr>
        <w:t>8.</w:t>
      </w:r>
      <w:r w:rsidRPr="0018019A">
        <w:rPr>
          <w:rFonts w:ascii="Times New Roman" w:hAnsi="Times New Roman" w:cs="Times New Roman"/>
          <w:sz w:val="24"/>
          <w:szCs w:val="24"/>
        </w:rPr>
        <w:tab/>
        <w:t xml:space="preserve">Redacción – revisión y edición: </w:t>
      </w:r>
      <w:r w:rsidRPr="0018019A">
        <w:rPr>
          <w:rFonts w:ascii="Times New Roman" w:hAnsi="Times New Roman" w:cs="Times New Roman"/>
          <w:i/>
          <w:sz w:val="24"/>
          <w:szCs w:val="24"/>
        </w:rPr>
        <w:t>Tatiana Amable Días y Ludmila Martínez Leyva</w:t>
      </w:r>
    </w:p>
    <w:p w14:paraId="3049C81E" w14:textId="77777777" w:rsidR="00675476" w:rsidRPr="0018019A" w:rsidRDefault="00675476" w:rsidP="00391509">
      <w:pPr>
        <w:rPr>
          <w:rFonts w:ascii="Times New Roman" w:hAnsi="Times New Roman" w:cs="Times New Roman"/>
        </w:rPr>
      </w:pPr>
    </w:p>
    <w:sectPr w:rsidR="00675476" w:rsidRPr="0018019A" w:rsidSect="000F3690">
      <w:headerReference w:type="default" r:id="rId49"/>
      <w:footerReference w:type="even" r:id="rId50"/>
      <w:footerReference w:type="default" r:id="rId5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E45B" w14:textId="77777777" w:rsidR="00A117E0" w:rsidRDefault="00A117E0">
      <w:r>
        <w:separator/>
      </w:r>
    </w:p>
  </w:endnote>
  <w:endnote w:type="continuationSeparator" w:id="0">
    <w:p w14:paraId="4ED2FF0C" w14:textId="77777777" w:rsidR="00A117E0" w:rsidRDefault="00A1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no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5FD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B455B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2A"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407679E5" wp14:editId="1C2F27A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5A9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FEEC932" w14:textId="77777777" w:rsidR="00675476" w:rsidRPr="0018019A" w:rsidRDefault="00A117E0" w:rsidP="0018019A">
    <w:pPr>
      <w:pStyle w:val="Piedepgina"/>
      <w:spacing w:after="0"/>
      <w:ind w:right="357"/>
      <w:rPr>
        <w:rFonts w:ascii="Times New Roman" w:hAnsi="Times New Roman" w:cs="Times New Roman"/>
      </w:rPr>
    </w:pPr>
    <w:hyperlink r:id="rId1" w:history="1">
      <w:r w:rsidR="00391509" w:rsidRPr="0018019A">
        <w:rPr>
          <w:rStyle w:val="Hipervnculo"/>
          <w:rFonts w:ascii="Times New Roman" w:hAnsi="Times New Roman" w:cs="Times New Roman"/>
        </w:rPr>
        <w:t>http://scielo.sld.cu</w:t>
      </w:r>
    </w:hyperlink>
  </w:p>
  <w:p w14:paraId="56A93AD6" w14:textId="77777777" w:rsidR="00391509" w:rsidRPr="0018019A" w:rsidRDefault="00A117E0" w:rsidP="0018019A">
    <w:pPr>
      <w:pStyle w:val="Piedepgina"/>
      <w:tabs>
        <w:tab w:val="clear" w:pos="4252"/>
        <w:tab w:val="left" w:pos="8504"/>
      </w:tabs>
      <w:spacing w:after="0"/>
      <w:ind w:right="357"/>
      <w:rPr>
        <w:rFonts w:ascii="Times New Roman" w:hAnsi="Times New Roman" w:cs="Times New Roman"/>
      </w:rPr>
    </w:pPr>
    <w:hyperlink r:id="rId2" w:history="1">
      <w:r w:rsidR="00391509" w:rsidRPr="0018019A">
        <w:rPr>
          <w:rStyle w:val="Hipervnculo"/>
          <w:rFonts w:ascii="Times New Roman" w:hAnsi="Times New Roman" w:cs="Times New Roman"/>
        </w:rPr>
        <w:t>http://www.revmedmilitar.sld.cu</w:t>
      </w:r>
    </w:hyperlink>
    <w:r w:rsidR="00391509" w:rsidRPr="0018019A">
      <w:rPr>
        <w:rFonts w:ascii="Times New Roman" w:hAnsi="Times New Roman" w:cs="Times New Roman"/>
      </w:rPr>
      <w:t xml:space="preserve"> </w:t>
    </w:r>
    <w:r w:rsidR="00AE044C" w:rsidRPr="0018019A">
      <w:rPr>
        <w:rFonts w:ascii="Times New Roman" w:hAnsi="Times New Roman" w:cs="Times New Roman"/>
      </w:rPr>
      <w:tab/>
    </w:r>
  </w:p>
  <w:p w14:paraId="3542FC02" w14:textId="77777777" w:rsidR="00180CE9" w:rsidRPr="0018019A" w:rsidRDefault="00180CE9" w:rsidP="0018019A">
    <w:pPr>
      <w:pStyle w:val="Piedepgina"/>
      <w:spacing w:after="0"/>
      <w:ind w:right="357"/>
      <w:jc w:val="center"/>
      <w:rPr>
        <w:rFonts w:ascii="Times New Roman" w:hAnsi="Times New Roman" w:cs="Times New Roman"/>
        <w:sz w:val="18"/>
        <w:szCs w:val="18"/>
      </w:rPr>
    </w:pPr>
    <w:r w:rsidRPr="0018019A">
      <w:rPr>
        <w:rFonts w:ascii="Times New Roman" w:hAnsi="Times New Roman" w:cs="Times New Roman"/>
      </w:rPr>
      <w:t xml:space="preserve">Bajo licencia </w:t>
    </w:r>
    <w:proofErr w:type="spellStart"/>
    <w:r w:rsidRPr="0018019A">
      <w:rPr>
        <w:rFonts w:ascii="Times New Roman" w:hAnsi="Times New Roman" w:cs="Times New Roman"/>
      </w:rPr>
      <w:t>Creative</w:t>
    </w:r>
    <w:proofErr w:type="spellEnd"/>
    <w:r w:rsidRPr="0018019A">
      <w:rPr>
        <w:rFonts w:ascii="Times New Roman" w:hAnsi="Times New Roman" w:cs="Times New Roman"/>
      </w:rPr>
      <w:t xml:space="preserve"> </w:t>
    </w:r>
    <w:proofErr w:type="spellStart"/>
    <w:r w:rsidRPr="0018019A">
      <w:rPr>
        <w:rFonts w:ascii="Times New Roman" w:hAnsi="Times New Roman" w:cs="Times New Roman"/>
      </w:rPr>
      <w:t>Commons</w:t>
    </w:r>
    <w:proofErr w:type="spellEnd"/>
    <w:r w:rsidRPr="0018019A">
      <w:rPr>
        <w:rFonts w:ascii="Times New Roman" w:hAnsi="Times New Roman" w:cs="Times New Roman"/>
        <w:sz w:val="18"/>
        <w:szCs w:val="18"/>
      </w:rPr>
      <w:t xml:space="preserve"> </w:t>
    </w:r>
    <w:r w:rsidRPr="0018019A">
      <w:rPr>
        <w:rFonts w:ascii="Times New Roman" w:hAnsi="Times New Roman" w:cs="Times New Roman"/>
        <w:noProof/>
        <w:sz w:val="18"/>
        <w:szCs w:val="18"/>
        <w:lang w:val="es-ES" w:eastAsia="es-ES"/>
      </w:rPr>
      <w:drawing>
        <wp:inline distT="0" distB="0" distL="0" distR="0" wp14:anchorId="5811D763" wp14:editId="3F80CC0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7397" w14:textId="77777777" w:rsidR="00A117E0" w:rsidRDefault="00A117E0">
      <w:r>
        <w:separator/>
      </w:r>
    </w:p>
  </w:footnote>
  <w:footnote w:type="continuationSeparator" w:id="0">
    <w:p w14:paraId="76F2A412" w14:textId="77777777" w:rsidR="00A117E0" w:rsidRDefault="00A1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74B2" w14:textId="1A68EB08" w:rsidR="00CC376A" w:rsidRPr="0018019A" w:rsidRDefault="00B31971" w:rsidP="00180CE9">
    <w:pPr>
      <w:pStyle w:val="Encabezado"/>
      <w:tabs>
        <w:tab w:val="left" w:pos="420"/>
      </w:tabs>
      <w:jc w:val="center"/>
      <w:rPr>
        <w:rFonts w:ascii="Times New Roman" w:hAnsi="Times New Roman" w:cs="Times New Roman"/>
      </w:rPr>
    </w:pPr>
    <w:r w:rsidRPr="0018019A">
      <w:rPr>
        <w:rFonts w:ascii="Times New Roman" w:hAnsi="Times New Roman" w:cs="Times New Roman"/>
        <w:b/>
        <w:noProof/>
        <w:color w:val="00FFFF"/>
        <w:lang w:val="es-ES" w:eastAsia="es-ES"/>
      </w:rPr>
      <w:drawing>
        <wp:anchor distT="0" distB="0" distL="114300" distR="114300" simplePos="0" relativeHeight="251683840" behindDoc="0" locked="0" layoutInCell="1" allowOverlap="1" wp14:anchorId="6F250340" wp14:editId="79FA9D9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18019A">
      <w:rPr>
        <w:rFonts w:ascii="Times New Roman" w:hAnsi="Times New Roman" w:cs="Times New Roman"/>
      </w:rPr>
      <w:t xml:space="preserve">Revista </w:t>
    </w:r>
    <w:r w:rsidR="00380D64" w:rsidRPr="0018019A">
      <w:rPr>
        <w:rFonts w:ascii="Times New Roman" w:hAnsi="Times New Roman" w:cs="Times New Roman"/>
      </w:rPr>
      <w:t>Cubana de Medicina Militar.</w:t>
    </w:r>
    <w:r w:rsidR="00D85951" w:rsidRPr="0018019A">
      <w:rPr>
        <w:rFonts w:ascii="Times New Roman" w:hAnsi="Times New Roman" w:cs="Times New Roman"/>
      </w:rPr>
      <w:t xml:space="preserve"> </w:t>
    </w:r>
    <w:r w:rsidR="00CA2617">
      <w:rPr>
        <w:rFonts w:ascii="Times New Roman" w:hAnsi="Times New Roman" w:cs="Times New Roman"/>
      </w:rPr>
      <w:t>2021</w:t>
    </w:r>
    <w:r w:rsidR="003E03D5" w:rsidRPr="0018019A">
      <w:rPr>
        <w:rFonts w:ascii="Times New Roman" w:hAnsi="Times New Roman" w:cs="Times New Roman"/>
      </w:rPr>
      <w:t>;</w:t>
    </w:r>
    <w:r w:rsidR="00CA2617">
      <w:rPr>
        <w:rFonts w:ascii="Times New Roman" w:hAnsi="Times New Roman" w:cs="Times New Roman"/>
      </w:rPr>
      <w:t>50</w:t>
    </w:r>
    <w:r w:rsidR="00493701" w:rsidRPr="0018019A">
      <w:rPr>
        <w:rFonts w:ascii="Times New Roman" w:hAnsi="Times New Roman" w:cs="Times New Roman"/>
      </w:rPr>
      <w:t>(</w:t>
    </w:r>
    <w:r w:rsidR="00CA2617">
      <w:rPr>
        <w:rFonts w:ascii="Times New Roman" w:hAnsi="Times New Roman" w:cs="Times New Roman"/>
      </w:rPr>
      <w:t>3</w:t>
    </w:r>
    <w:r w:rsidR="00493701" w:rsidRPr="0018019A">
      <w:rPr>
        <w:rFonts w:ascii="Times New Roman" w:hAnsi="Times New Roman" w:cs="Times New Roman"/>
      </w:rPr>
      <w:t>)</w:t>
    </w:r>
    <w:r w:rsidR="00391509" w:rsidRPr="0018019A">
      <w:rPr>
        <w:rFonts w:ascii="Times New Roman" w:hAnsi="Times New Roman" w:cs="Times New Roman"/>
      </w:rPr>
      <w:t>:</w:t>
    </w:r>
    <w:r w:rsidR="00CA2617">
      <w:rPr>
        <w:rFonts w:ascii="Times New Roman" w:hAnsi="Times New Roman" w:cs="Times New Roman"/>
      </w:rPr>
      <w:t xml:space="preserve"> e02101289</w:t>
    </w:r>
  </w:p>
  <w:p w14:paraId="4867AF8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1E7CA710" wp14:editId="2F21D85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7CF0"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945B42"/>
    <w:lvl w:ilvl="0" w:tplc="4D8EDA28">
      <w:start w:val="2"/>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0A59367E"/>
    <w:multiLevelType w:val="hybridMultilevel"/>
    <w:tmpl w:val="28BC3EE4"/>
    <w:lvl w:ilvl="0" w:tplc="400203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6DF0"/>
    <w:multiLevelType w:val="hybridMultilevel"/>
    <w:tmpl w:val="8C481CA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1D185737"/>
    <w:multiLevelType w:val="hybridMultilevel"/>
    <w:tmpl w:val="601EDB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E13774"/>
    <w:multiLevelType w:val="hybridMultilevel"/>
    <w:tmpl w:val="1B12C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E53AF5"/>
    <w:multiLevelType w:val="multilevel"/>
    <w:tmpl w:val="FC748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8E1657"/>
    <w:multiLevelType w:val="hybridMultilevel"/>
    <w:tmpl w:val="C39CC4F4"/>
    <w:lvl w:ilvl="0" w:tplc="753A9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85711"/>
    <w:multiLevelType w:val="hybridMultilevel"/>
    <w:tmpl w:val="CA82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6658D"/>
    <w:multiLevelType w:val="hybridMultilevel"/>
    <w:tmpl w:val="17C2DB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19A"/>
    <w:rsid w:val="00010806"/>
    <w:rsid w:val="000F3690"/>
    <w:rsid w:val="001221D1"/>
    <w:rsid w:val="0018019A"/>
    <w:rsid w:val="00180CE9"/>
    <w:rsid w:val="001F7E5E"/>
    <w:rsid w:val="00230DD5"/>
    <w:rsid w:val="00312551"/>
    <w:rsid w:val="00380D64"/>
    <w:rsid w:val="00391509"/>
    <w:rsid w:val="003E03D5"/>
    <w:rsid w:val="004109AC"/>
    <w:rsid w:val="0044745C"/>
    <w:rsid w:val="00493701"/>
    <w:rsid w:val="004E2065"/>
    <w:rsid w:val="005508A2"/>
    <w:rsid w:val="00566F71"/>
    <w:rsid w:val="00675476"/>
    <w:rsid w:val="0067572E"/>
    <w:rsid w:val="007C430F"/>
    <w:rsid w:val="007D614D"/>
    <w:rsid w:val="008669A8"/>
    <w:rsid w:val="00960D6A"/>
    <w:rsid w:val="009A0560"/>
    <w:rsid w:val="009A4B0A"/>
    <w:rsid w:val="009B0917"/>
    <w:rsid w:val="00A117E0"/>
    <w:rsid w:val="00A23C0C"/>
    <w:rsid w:val="00A477DE"/>
    <w:rsid w:val="00A71E65"/>
    <w:rsid w:val="00AA337E"/>
    <w:rsid w:val="00AB7173"/>
    <w:rsid w:val="00AE044C"/>
    <w:rsid w:val="00B31971"/>
    <w:rsid w:val="00B4380A"/>
    <w:rsid w:val="00B66ECB"/>
    <w:rsid w:val="00BD6B1F"/>
    <w:rsid w:val="00BF5E47"/>
    <w:rsid w:val="00C7523A"/>
    <w:rsid w:val="00CA2617"/>
    <w:rsid w:val="00CC1B6E"/>
    <w:rsid w:val="00CC376A"/>
    <w:rsid w:val="00CC48A1"/>
    <w:rsid w:val="00D85951"/>
    <w:rsid w:val="00E62606"/>
    <w:rsid w:val="00F000C0"/>
    <w:rsid w:val="00F260EB"/>
    <w:rsid w:val="00F958C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CE8F2"/>
  <w15:docId w15:val="{7372288B-0093-49FB-B8C5-1CD7A28E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19A"/>
    <w:pPr>
      <w:spacing w:after="160" w:line="259" w:lineRule="auto"/>
    </w:pPr>
    <w:rPr>
      <w:rFonts w:asciiTheme="minorHAnsi" w:eastAsiaTheme="minorHAnsi" w:hAnsiTheme="minorHAnsi" w:cstheme="minorBidi"/>
      <w:sz w:val="22"/>
      <w:szCs w:val="22"/>
      <w:lang w:val="es-ES_tradnl" w:eastAsia="en-US"/>
    </w:rPr>
  </w:style>
  <w:style w:type="paragraph" w:styleId="Ttulo1">
    <w:name w:val="heading 1"/>
    <w:basedOn w:val="Normal"/>
    <w:next w:val="Normal"/>
    <w:link w:val="Ttulo1Car"/>
    <w:uiPriority w:val="9"/>
    <w:qFormat/>
    <w:rsid w:val="00180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801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8019A"/>
    <w:pPr>
      <w:keepNext/>
      <w:spacing w:line="360" w:lineRule="auto"/>
      <w:jc w:val="center"/>
      <w:outlineLvl w:val="2"/>
    </w:pPr>
    <w:rPr>
      <w:rFonts w:ascii="Times New Roman" w:hAnsi="Times New Roman" w:cs="Times New Roman"/>
      <w:b/>
      <w:color w:val="000000"/>
      <w:sz w:val="24"/>
      <w:szCs w:val="24"/>
      <w:lang w:val="es-US"/>
    </w:rPr>
  </w:style>
  <w:style w:type="paragraph" w:styleId="Ttulo4">
    <w:name w:val="heading 4"/>
    <w:basedOn w:val="Normal"/>
    <w:next w:val="Normal"/>
    <w:link w:val="Ttulo4Car"/>
    <w:uiPriority w:val="9"/>
    <w:unhideWhenUsed/>
    <w:qFormat/>
    <w:rsid w:val="0018019A"/>
    <w:pPr>
      <w:keepNext/>
      <w:spacing w:after="0" w:line="360" w:lineRule="auto"/>
      <w:ind w:left="900"/>
      <w:jc w:val="right"/>
      <w:outlineLvl w:val="3"/>
    </w:pPr>
    <w:rPr>
      <w:rFonts w:ascii="Times New Roman" w:eastAsia="Times New Roman" w:hAnsi="Times New Roman" w:cs="Times New Roman"/>
      <w:b/>
      <w:bCs/>
      <w:color w:val="000000"/>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18019A"/>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
    <w:name w:val="Título 2 Car"/>
    <w:basedOn w:val="Fuentedeprrafopredeter"/>
    <w:link w:val="Ttulo2"/>
    <w:uiPriority w:val="9"/>
    <w:rsid w:val="0018019A"/>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18019A"/>
    <w:rPr>
      <w:rFonts w:eastAsiaTheme="minorHAnsi"/>
      <w:b/>
      <w:color w:val="000000"/>
      <w:sz w:val="24"/>
      <w:szCs w:val="24"/>
      <w:lang w:val="es-US" w:eastAsia="en-US"/>
    </w:rPr>
  </w:style>
  <w:style w:type="character" w:customStyle="1" w:styleId="Ttulo4Car">
    <w:name w:val="Título 4 Car"/>
    <w:basedOn w:val="Fuentedeprrafopredeter"/>
    <w:link w:val="Ttulo4"/>
    <w:uiPriority w:val="9"/>
    <w:rsid w:val="0018019A"/>
    <w:rPr>
      <w:b/>
      <w:bCs/>
      <w:color w:val="000000"/>
      <w:sz w:val="24"/>
      <w:szCs w:val="24"/>
      <w:lang w:val="es-ES_tradnl" w:eastAsia="es-ES_tradnl"/>
    </w:rPr>
  </w:style>
  <w:style w:type="character" w:customStyle="1" w:styleId="captions1">
    <w:name w:val="captions1"/>
    <w:basedOn w:val="Fuentedeprrafopredeter"/>
    <w:rsid w:val="0018019A"/>
    <w:rPr>
      <w:b/>
      <w:bCs/>
    </w:rPr>
  </w:style>
  <w:style w:type="paragraph" w:styleId="Prrafodelista">
    <w:name w:val="List Paragraph"/>
    <w:basedOn w:val="Normal"/>
    <w:uiPriority w:val="34"/>
    <w:qFormat/>
    <w:rsid w:val="0018019A"/>
    <w:pPr>
      <w:ind w:left="720"/>
      <w:contextualSpacing/>
    </w:pPr>
  </w:style>
  <w:style w:type="table" w:styleId="Tablaconcuadrcula">
    <w:name w:val="Table Grid"/>
    <w:basedOn w:val="Tablanormal"/>
    <w:uiPriority w:val="39"/>
    <w:rsid w:val="001801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qFormat/>
    <w:rsid w:val="0018019A"/>
    <w:pPr>
      <w:spacing w:after="200" w:line="276" w:lineRule="auto"/>
    </w:pPr>
    <w:rPr>
      <w:rFonts w:ascii="Calibri" w:eastAsia="Calibri" w:hAnsi="Calibri" w:cs="Times New Roman"/>
      <w:sz w:val="20"/>
      <w:szCs w:val="20"/>
      <w:lang w:val="en-US"/>
    </w:rPr>
  </w:style>
  <w:style w:type="character" w:customStyle="1" w:styleId="TextocomentarioCar">
    <w:name w:val="Texto comentario Car"/>
    <w:basedOn w:val="Fuentedeprrafopredeter"/>
    <w:link w:val="Textocomentario"/>
    <w:uiPriority w:val="99"/>
    <w:qFormat/>
    <w:rsid w:val="0018019A"/>
    <w:rPr>
      <w:rFonts w:ascii="Calibri" w:eastAsia="Calibri" w:hAnsi="Calibri"/>
      <w:lang w:val="en-US" w:eastAsia="en-US"/>
    </w:rPr>
  </w:style>
  <w:style w:type="character" w:styleId="Refdecomentario">
    <w:name w:val="annotation reference"/>
    <w:basedOn w:val="Fuentedeprrafopredeter"/>
    <w:uiPriority w:val="99"/>
    <w:semiHidden/>
    <w:unhideWhenUsed/>
    <w:qFormat/>
    <w:rsid w:val="0018019A"/>
    <w:rPr>
      <w:sz w:val="16"/>
      <w:szCs w:val="16"/>
    </w:rPr>
  </w:style>
  <w:style w:type="paragraph" w:styleId="Asuntodelcomentario">
    <w:name w:val="annotation subject"/>
    <w:basedOn w:val="Textocomentario"/>
    <w:next w:val="Textocomentario"/>
    <w:link w:val="AsuntodelcomentarioCar"/>
    <w:uiPriority w:val="99"/>
    <w:semiHidden/>
    <w:unhideWhenUsed/>
    <w:rsid w:val="0018019A"/>
    <w:pPr>
      <w:spacing w:after="160" w:line="240" w:lineRule="auto"/>
    </w:pPr>
    <w:rPr>
      <w:rFonts w:asciiTheme="minorHAnsi" w:eastAsiaTheme="minorHAnsi" w:hAnsiTheme="minorHAnsi" w:cstheme="minorBidi"/>
      <w:b/>
      <w:bCs/>
      <w:lang w:val="pt-PT"/>
    </w:rPr>
  </w:style>
  <w:style w:type="character" w:customStyle="1" w:styleId="AsuntodelcomentarioCar">
    <w:name w:val="Asunto del comentario Car"/>
    <w:basedOn w:val="TextocomentarioCar"/>
    <w:link w:val="Asuntodelcomentario"/>
    <w:uiPriority w:val="99"/>
    <w:semiHidden/>
    <w:rsid w:val="0018019A"/>
    <w:rPr>
      <w:rFonts w:asciiTheme="minorHAnsi" w:eastAsiaTheme="minorHAnsi" w:hAnsiTheme="minorHAnsi" w:cstheme="minorBidi"/>
      <w:b/>
      <w:bCs/>
      <w:lang w:val="pt-PT" w:eastAsia="en-US"/>
    </w:rPr>
  </w:style>
  <w:style w:type="paragraph" w:customStyle="1" w:styleId="Default">
    <w:name w:val="Default"/>
    <w:rsid w:val="0018019A"/>
    <w:pPr>
      <w:autoSpaceDE w:val="0"/>
      <w:autoSpaceDN w:val="0"/>
      <w:adjustRightInd w:val="0"/>
    </w:pPr>
    <w:rPr>
      <w:rFonts w:ascii="Segoe UI" w:eastAsiaTheme="minorHAnsi" w:hAnsi="Segoe UI" w:cs="Segoe UI"/>
      <w:color w:val="000000"/>
      <w:sz w:val="24"/>
      <w:szCs w:val="24"/>
      <w:lang w:val="es-US" w:eastAsia="en-US"/>
    </w:rPr>
  </w:style>
  <w:style w:type="character" w:customStyle="1" w:styleId="A5">
    <w:name w:val="A5"/>
    <w:uiPriority w:val="99"/>
    <w:rsid w:val="0018019A"/>
    <w:rPr>
      <w:color w:val="221E1F"/>
      <w:sz w:val="10"/>
      <w:szCs w:val="10"/>
    </w:rPr>
  </w:style>
  <w:style w:type="character" w:customStyle="1" w:styleId="A0">
    <w:name w:val="A0"/>
    <w:uiPriority w:val="99"/>
    <w:rsid w:val="0018019A"/>
    <w:rPr>
      <w:color w:val="221E1F"/>
      <w:sz w:val="20"/>
      <w:szCs w:val="20"/>
    </w:rPr>
  </w:style>
  <w:style w:type="paragraph" w:customStyle="1" w:styleId="elsevierstylepara">
    <w:name w:val="elsevierstylepara"/>
    <w:basedOn w:val="Normal"/>
    <w:rsid w:val="001801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18019A"/>
    <w:pPr>
      <w:outlineLvl w:val="9"/>
    </w:pPr>
    <w:rPr>
      <w:lang w:val="es-US" w:eastAsia="zh-CN"/>
    </w:rPr>
  </w:style>
  <w:style w:type="paragraph" w:styleId="TDC1">
    <w:name w:val="toc 1"/>
    <w:basedOn w:val="Normal"/>
    <w:next w:val="Normal"/>
    <w:autoRedefine/>
    <w:uiPriority w:val="39"/>
    <w:unhideWhenUsed/>
    <w:rsid w:val="0018019A"/>
    <w:pPr>
      <w:tabs>
        <w:tab w:val="right" w:leader="dot" w:pos="8494"/>
      </w:tabs>
      <w:spacing w:after="100"/>
      <w:ind w:left="1418"/>
      <w:jc w:val="both"/>
    </w:pPr>
  </w:style>
  <w:style w:type="paragraph" w:styleId="TDC2">
    <w:name w:val="toc 2"/>
    <w:basedOn w:val="Normal"/>
    <w:next w:val="Normal"/>
    <w:autoRedefine/>
    <w:uiPriority w:val="39"/>
    <w:unhideWhenUsed/>
    <w:rsid w:val="0018019A"/>
    <w:pPr>
      <w:tabs>
        <w:tab w:val="right" w:leader="dot" w:pos="8494"/>
      </w:tabs>
      <w:spacing w:after="100"/>
      <w:ind w:left="220" w:firstLine="1220"/>
    </w:pPr>
  </w:style>
  <w:style w:type="paragraph" w:customStyle="1" w:styleId="Pa9">
    <w:name w:val="Pa9"/>
    <w:basedOn w:val="Default"/>
    <w:next w:val="Default"/>
    <w:uiPriority w:val="99"/>
    <w:rsid w:val="0018019A"/>
    <w:pPr>
      <w:spacing w:line="221" w:lineRule="atLeast"/>
    </w:pPr>
    <w:rPr>
      <w:rFonts w:ascii="Arno Pro" w:hAnsi="Arno Pro" w:cstheme="minorBidi"/>
      <w:color w:val="auto"/>
    </w:rPr>
  </w:style>
  <w:style w:type="character" w:customStyle="1" w:styleId="doi">
    <w:name w:val="doi"/>
    <w:basedOn w:val="Fuentedeprrafopredeter"/>
    <w:rsid w:val="0018019A"/>
  </w:style>
  <w:style w:type="paragraph" w:styleId="Textoindependiente">
    <w:name w:val="Body Text"/>
    <w:basedOn w:val="Normal"/>
    <w:link w:val="TextoindependienteCar"/>
    <w:rsid w:val="0018019A"/>
    <w:pPr>
      <w:spacing w:after="0" w:line="240" w:lineRule="auto"/>
      <w:jc w:val="both"/>
    </w:pPr>
    <w:rPr>
      <w:rFonts w:ascii="Times New Roman" w:eastAsia="Times New Roman" w:hAnsi="Times New Roman" w:cs="Times New Roman"/>
      <w:sz w:val="24"/>
      <w:szCs w:val="20"/>
      <w:lang w:val="fr-FR" w:eastAsia="es-ES"/>
    </w:rPr>
  </w:style>
  <w:style w:type="character" w:customStyle="1" w:styleId="TextoindependienteCar">
    <w:name w:val="Texto independiente Car"/>
    <w:basedOn w:val="Fuentedeprrafopredeter"/>
    <w:link w:val="Textoindependiente"/>
    <w:rsid w:val="0018019A"/>
    <w:rPr>
      <w:sz w:val="24"/>
      <w:lang w:val="fr-FR"/>
    </w:rPr>
  </w:style>
  <w:style w:type="character" w:customStyle="1" w:styleId="itemtype">
    <w:name w:val="itemtype"/>
    <w:basedOn w:val="Fuentedeprrafopredeter"/>
    <w:rsid w:val="0018019A"/>
  </w:style>
  <w:style w:type="character" w:styleId="nfasis">
    <w:name w:val="Emphasis"/>
    <w:basedOn w:val="Fuentedeprrafopredeter"/>
    <w:uiPriority w:val="20"/>
    <w:qFormat/>
    <w:rsid w:val="0018019A"/>
    <w:rPr>
      <w:i/>
      <w:iCs/>
    </w:rPr>
  </w:style>
  <w:style w:type="character" w:customStyle="1" w:styleId="text">
    <w:name w:val="text"/>
    <w:basedOn w:val="Fuentedeprrafopredeter"/>
    <w:rsid w:val="0018019A"/>
  </w:style>
  <w:style w:type="character" w:customStyle="1" w:styleId="jlqj4b">
    <w:name w:val="jlqj4b"/>
    <w:basedOn w:val="Fuentedeprrafopredeter"/>
    <w:rsid w:val="0018019A"/>
  </w:style>
  <w:style w:type="character" w:customStyle="1" w:styleId="orcid-id-https">
    <w:name w:val="orcid-id-https"/>
    <w:basedOn w:val="Fuentedeprrafopredeter"/>
    <w:rsid w:val="0018019A"/>
  </w:style>
  <w:style w:type="paragraph" w:customStyle="1" w:styleId="first">
    <w:name w:val="first"/>
    <w:basedOn w:val="Normal"/>
    <w:rsid w:val="001801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citation">
    <w:name w:val="element-citation"/>
    <w:basedOn w:val="Fuentedeprrafopredeter"/>
    <w:rsid w:val="0018019A"/>
  </w:style>
  <w:style w:type="character" w:customStyle="1" w:styleId="label">
    <w:name w:val="label"/>
    <w:rsid w:val="0018019A"/>
  </w:style>
  <w:style w:type="character" w:customStyle="1" w:styleId="title-text">
    <w:name w:val="title-text"/>
    <w:basedOn w:val="Fuentedeprrafopredeter"/>
    <w:rsid w:val="0018019A"/>
  </w:style>
  <w:style w:type="paragraph" w:styleId="Textoindependiente2">
    <w:name w:val="Body Text 2"/>
    <w:basedOn w:val="Normal"/>
    <w:link w:val="Textoindependiente2Car"/>
    <w:rsid w:val="0018019A"/>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18019A"/>
    <w:rPr>
      <w:sz w:val="24"/>
      <w:szCs w:val="24"/>
      <w:lang w:val="es-ES_tradnl"/>
    </w:rPr>
  </w:style>
  <w:style w:type="paragraph" w:styleId="Lista">
    <w:name w:val="List"/>
    <w:basedOn w:val="Normal"/>
    <w:uiPriority w:val="99"/>
    <w:unhideWhenUsed/>
    <w:rsid w:val="0018019A"/>
    <w:pPr>
      <w:spacing w:after="0" w:line="240" w:lineRule="auto"/>
      <w:ind w:left="283" w:hanging="283"/>
      <w:contextualSpacing/>
    </w:pPr>
    <w:rPr>
      <w:rFonts w:ascii="Arial" w:eastAsia="Times New Roman" w:hAnsi="Arial" w:cs="Arial"/>
      <w:sz w:val="12"/>
      <w:szCs w:val="12"/>
      <w:lang w:eastAsia="es-ES"/>
    </w:rPr>
  </w:style>
  <w:style w:type="character" w:styleId="Textoennegrita">
    <w:name w:val="Strong"/>
    <w:uiPriority w:val="22"/>
    <w:qFormat/>
    <w:rsid w:val="0018019A"/>
    <w:rPr>
      <w:b/>
      <w:bCs/>
    </w:rPr>
  </w:style>
  <w:style w:type="paragraph" w:styleId="HTMLconformatoprevio">
    <w:name w:val="HTML Preformatted"/>
    <w:basedOn w:val="Normal"/>
    <w:link w:val="HTMLconformatoprevioCar"/>
    <w:uiPriority w:val="99"/>
    <w:unhideWhenUsed/>
    <w:rsid w:val="0018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8019A"/>
    <w:rPr>
      <w:rFonts w:ascii="Courier New" w:hAnsi="Courier New" w:cs="Courier New"/>
    </w:rPr>
  </w:style>
  <w:style w:type="character" w:customStyle="1" w:styleId="viiyi">
    <w:name w:val="viiyi"/>
    <w:basedOn w:val="Fuentedeprrafopredeter"/>
    <w:rsid w:val="0018019A"/>
  </w:style>
  <w:style w:type="character" w:customStyle="1" w:styleId="authors-list-item">
    <w:name w:val="authors-list-item"/>
    <w:basedOn w:val="Fuentedeprrafopredeter"/>
    <w:rsid w:val="0018019A"/>
  </w:style>
  <w:style w:type="character" w:customStyle="1" w:styleId="comma">
    <w:name w:val="comma"/>
    <w:basedOn w:val="Fuentedeprrafopredeter"/>
    <w:rsid w:val="0018019A"/>
  </w:style>
  <w:style w:type="character" w:customStyle="1" w:styleId="y2iqfc">
    <w:name w:val="y2iqfc"/>
    <w:basedOn w:val="Fuentedeprrafopredeter"/>
    <w:rsid w:val="0018019A"/>
  </w:style>
  <w:style w:type="character" w:customStyle="1" w:styleId="author-sup-separator">
    <w:name w:val="author-sup-separator"/>
    <w:basedOn w:val="Fuentedeprrafopredeter"/>
    <w:rsid w:val="0018019A"/>
  </w:style>
  <w:style w:type="paragraph" w:customStyle="1" w:styleId="style3">
    <w:name w:val="style3"/>
    <w:basedOn w:val="Normal"/>
    <w:rsid w:val="0018019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6178-9178" TargetMode="External"/><Relationship Id="rId18" Type="http://schemas.openxmlformats.org/officeDocument/2006/relationships/hyperlink" Target="http://scielo.sld.cu/scielo.php?script=sci_arttext&amp;pid=S0034-74932017000100002&amp;lng=es" TargetMode="External"/><Relationship Id="rId26" Type="http://schemas.openxmlformats.org/officeDocument/2006/relationships/hyperlink" Target="https://pubmed.ncbi.nlm.nih.gov/27581064/" TargetMode="External"/><Relationship Id="rId39" Type="http://schemas.openxmlformats.org/officeDocument/2006/relationships/hyperlink" Target="https://pubmed.ncbi.nlm.nih.gov/11319059/" TargetMode="External"/><Relationship Id="rId3" Type="http://schemas.openxmlformats.org/officeDocument/2006/relationships/settings" Target="settings.xml"/><Relationship Id="rId21" Type="http://schemas.openxmlformats.org/officeDocument/2006/relationships/hyperlink" Target="https://doi.org/10.3390/ijms18071399" TargetMode="External"/><Relationship Id="rId34" Type="http://schemas.openxmlformats.org/officeDocument/2006/relationships/hyperlink" Target="https://doi.org/10.1111/j.1572-0241.2007.01138.x" TargetMode="External"/><Relationship Id="rId42" Type="http://schemas.openxmlformats.org/officeDocument/2006/relationships/hyperlink" Target="https://doi.org/10.1016/j.rgmx.2017.03.008" TargetMode="External"/><Relationship Id="rId47" Type="http://schemas.openxmlformats.org/officeDocument/2006/relationships/hyperlink" Target="https://pubmed.ncbi.nlm.nih.gov/27266979/" TargetMode="External"/><Relationship Id="rId50" Type="http://schemas.openxmlformats.org/officeDocument/2006/relationships/footer" Target="footer1.xml"/><Relationship Id="rId7" Type="http://schemas.openxmlformats.org/officeDocument/2006/relationships/hyperlink" Target="https://orcid.org/0000-0001-7849-5451" TargetMode="External"/><Relationship Id="rId12" Type="http://schemas.openxmlformats.org/officeDocument/2006/relationships/hyperlink" Target="https://orcid.org/0000-0002-1613-7883" TargetMode="External"/><Relationship Id="rId17" Type="http://schemas.openxmlformats.org/officeDocument/2006/relationships/image" Target="media/image3.gif"/><Relationship Id="rId25" Type="http://schemas.openxmlformats.org/officeDocument/2006/relationships/hyperlink" Target="https://pubmed.ncbi.nlm.nih.gov/?term=Gawel+SH&amp;cauthor_id=27581064" TargetMode="External"/><Relationship Id="rId33" Type="http://schemas.openxmlformats.org/officeDocument/2006/relationships/hyperlink" Target="https://pubmed.ncbi.nlm.nih.gov/17900331/" TargetMode="External"/><Relationship Id="rId38" Type="http://schemas.openxmlformats.org/officeDocument/2006/relationships/hyperlink" Target="http://www.revhabanera.sld.cu/index.php/rhab/article/view/3150" TargetMode="External"/><Relationship Id="rId46" Type="http://schemas.openxmlformats.org/officeDocument/2006/relationships/hyperlink" Target="https://doi.org/10.1111/nmo.13586"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sciencedirect.com/science/article/abs/pii/S1590865807006263" TargetMode="External"/><Relationship Id="rId29" Type="http://schemas.openxmlformats.org/officeDocument/2006/relationships/hyperlink" Target="https://pubmed.ncbi.nlm.nih.gov/?term=Kahrilas+PJ&amp;cauthor_id=27581064" TargetMode="External"/><Relationship Id="rId41" Type="http://schemas.openxmlformats.org/officeDocument/2006/relationships/hyperlink" Target="https://www.ncbi.nlm.nih.gov/pmc/articles/PMC4452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738-0780" TargetMode="External"/><Relationship Id="rId24" Type="http://schemas.openxmlformats.org/officeDocument/2006/relationships/hyperlink" Target="https://pubmed.ncbi.nlm.nih.gov/?term=Gregory+DL&amp;cauthor_id=27581064" TargetMode="External"/><Relationship Id="rId32" Type="http://schemas.openxmlformats.org/officeDocument/2006/relationships/hyperlink" Target="https://pubmed.ncbi.nlm.nih.gov/19476889/" TargetMode="External"/><Relationship Id="rId37" Type="http://schemas.openxmlformats.org/officeDocument/2006/relationships/hyperlink" Target="https://pubmed.ncbi.nlm.nih.gov/28717439/" TargetMode="External"/><Relationship Id="rId40" Type="http://schemas.openxmlformats.org/officeDocument/2006/relationships/hyperlink" Target="https://zaguan.unizar.es/record/47802/files/TAZ-TFG-2015-1101.pdf" TargetMode="External"/><Relationship Id="rId45" Type="http://schemas.openxmlformats.org/officeDocument/2006/relationships/hyperlink" Target="http://www.revhabanera.sld.cu/index.php/rhab/article/view/315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pubmed.ncbi.nlm.nih.gov/?term=Carlson+DA&amp;cauthor_id=27581064" TargetMode="External"/><Relationship Id="rId28" Type="http://schemas.openxmlformats.org/officeDocument/2006/relationships/hyperlink" Target="https://pubmed.ncbi.nlm.nih.gov/27581064/" TargetMode="External"/><Relationship Id="rId36" Type="http://schemas.openxmlformats.org/officeDocument/2006/relationships/hyperlink" Target="https://pubmed.ncbi.nlm.nih.gov/19744454/" TargetMode="External"/><Relationship Id="rId49" Type="http://schemas.openxmlformats.org/officeDocument/2006/relationships/header" Target="header1.xml"/><Relationship Id="rId10" Type="http://schemas.openxmlformats.org/officeDocument/2006/relationships/hyperlink" Target="https://orcid.org/0000-0003-2259-712X" TargetMode="External"/><Relationship Id="rId19" Type="http://schemas.openxmlformats.org/officeDocument/2006/relationships/hyperlink" Target="https://pubmed.ncbi.nlm.nih.gov/26631942/" TargetMode="External"/><Relationship Id="rId31" Type="http://schemas.openxmlformats.org/officeDocument/2006/relationships/hyperlink" Target="https://gut.bmj.com/content/57/3/405" TargetMode="External"/><Relationship Id="rId44" Type="http://schemas.openxmlformats.org/officeDocument/2006/relationships/hyperlink" Target="https://linkinghub.elsevier.com/retrieve/pii/S1542-3565(19)30071-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9217-5646" TargetMode="External"/><Relationship Id="rId14" Type="http://schemas.openxmlformats.org/officeDocument/2006/relationships/hyperlink" Target="https://orcid.org/0000-0002-2571-4275" TargetMode="External"/><Relationship Id="rId22" Type="http://schemas.openxmlformats.org/officeDocument/2006/relationships/hyperlink" Target="https://pubmed.ncbi.nlm.nih.gov/?term=Samo+S&amp;cauthor_id=27581064" TargetMode="External"/><Relationship Id="rId27" Type="http://schemas.openxmlformats.org/officeDocument/2006/relationships/hyperlink" Target="https://pubmed.ncbi.nlm.nih.gov/?term=Pandolfino+JE&amp;cauthor_id=27581064" TargetMode="External"/><Relationship Id="rId30" Type="http://schemas.openxmlformats.org/officeDocument/2006/relationships/hyperlink" Target="https://pubmed.ncbi.nlm.nih.gov/27581064/" TargetMode="External"/><Relationship Id="rId35" Type="http://schemas.openxmlformats.org/officeDocument/2006/relationships/hyperlink" Target="https://pubmed.ncbi.nlm.nih.gov/18722376/" TargetMode="External"/><Relationship Id="rId43" Type="http://schemas.openxmlformats.org/officeDocument/2006/relationships/hyperlink" Target="http://aeeh.es/wp-content/uploads/2012/04/v9n6a640pdf001.pdf" TargetMode="External"/><Relationship Id="rId48" Type="http://schemas.openxmlformats.org/officeDocument/2006/relationships/hyperlink" Target="https://doi.org/10.1053/j.gastro.2018.04.033" TargetMode="External"/><Relationship Id="rId8" Type="http://schemas.openxmlformats.org/officeDocument/2006/relationships/hyperlink" Target="https://orcid.org/0000-0003-2059-5366" TargetMode="Externa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84</TotalTime>
  <Pages>16</Pages>
  <Words>4804</Words>
  <Characters>26425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31167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15</cp:revision>
  <cp:lastPrinted>2021-06-30T15:54:00Z</cp:lastPrinted>
  <dcterms:created xsi:type="dcterms:W3CDTF">2021-06-28T16:49:00Z</dcterms:created>
  <dcterms:modified xsi:type="dcterms:W3CDTF">2021-06-30T15:54:00Z</dcterms:modified>
</cp:coreProperties>
</file>