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6D34" w14:textId="77777777" w:rsidR="00E95D93" w:rsidRPr="00E95D93" w:rsidRDefault="00E95D93" w:rsidP="00E95D93">
      <w:pPr>
        <w:spacing w:line="360" w:lineRule="auto"/>
        <w:jc w:val="right"/>
        <w:outlineLvl w:val="0"/>
        <w:rPr>
          <w:kern w:val="28"/>
          <w:sz w:val="20"/>
          <w:szCs w:val="20"/>
          <w:lang w:val="es-ES" w:eastAsia="en-US"/>
        </w:rPr>
      </w:pPr>
      <w:r w:rsidRPr="00E95D93">
        <w:rPr>
          <w:kern w:val="28"/>
          <w:sz w:val="20"/>
          <w:szCs w:val="20"/>
          <w:lang w:val="es-ES" w:eastAsia="en-US"/>
        </w:rPr>
        <w:t>Artículo</w:t>
      </w:r>
      <w:r w:rsidRPr="00E95D93">
        <w:rPr>
          <w:spacing w:val="-3"/>
          <w:kern w:val="28"/>
          <w:sz w:val="20"/>
          <w:szCs w:val="20"/>
          <w:lang w:val="es-ES" w:eastAsia="en-US"/>
        </w:rPr>
        <w:t xml:space="preserve"> </w:t>
      </w:r>
      <w:r w:rsidRPr="00E95D93">
        <w:rPr>
          <w:kern w:val="28"/>
          <w:sz w:val="20"/>
          <w:szCs w:val="20"/>
          <w:lang w:val="es-ES" w:eastAsia="en-US"/>
        </w:rPr>
        <w:t>de</w:t>
      </w:r>
      <w:r w:rsidRPr="00E95D93">
        <w:rPr>
          <w:spacing w:val="-4"/>
          <w:kern w:val="28"/>
          <w:sz w:val="20"/>
          <w:szCs w:val="20"/>
          <w:lang w:val="es-ES" w:eastAsia="en-US"/>
        </w:rPr>
        <w:t xml:space="preserve"> </w:t>
      </w:r>
      <w:r w:rsidRPr="00E95D93">
        <w:rPr>
          <w:kern w:val="28"/>
          <w:sz w:val="20"/>
          <w:szCs w:val="20"/>
          <w:lang w:val="es-ES" w:eastAsia="en-US"/>
        </w:rPr>
        <w:t>investigación</w:t>
      </w:r>
    </w:p>
    <w:p w14:paraId="14815868" w14:textId="77777777" w:rsidR="00E95D93" w:rsidRPr="00E95D93" w:rsidRDefault="00E95D93" w:rsidP="00E95D93">
      <w:pPr>
        <w:spacing w:line="360" w:lineRule="auto"/>
        <w:jc w:val="both"/>
        <w:rPr>
          <w:sz w:val="20"/>
          <w:szCs w:val="20"/>
          <w:lang w:val="es-ES" w:eastAsia="es-PE"/>
        </w:rPr>
      </w:pPr>
    </w:p>
    <w:p w14:paraId="412952A4" w14:textId="77777777" w:rsidR="00E95D93" w:rsidRPr="00E95D93" w:rsidRDefault="00E95D93" w:rsidP="00E95D93">
      <w:pPr>
        <w:spacing w:line="360" w:lineRule="auto"/>
        <w:jc w:val="center"/>
        <w:rPr>
          <w:b/>
          <w:sz w:val="28"/>
          <w:szCs w:val="28"/>
          <w:lang w:val="es-ES" w:eastAsia="es-PE"/>
        </w:rPr>
      </w:pPr>
      <w:r w:rsidRPr="00E95D93">
        <w:rPr>
          <w:b/>
          <w:sz w:val="28"/>
          <w:szCs w:val="28"/>
          <w:lang w:val="es-ES" w:eastAsia="es-PE"/>
        </w:rPr>
        <w:t>Evaluación del efecto antibacteriano sinérgico de rifamicina en propóleo sobre bacterias grampositivas</w:t>
      </w:r>
    </w:p>
    <w:p w14:paraId="695434A5" w14:textId="77777777" w:rsidR="00E95D93" w:rsidRPr="00E95D93" w:rsidRDefault="00E95D93" w:rsidP="00E95D93">
      <w:pPr>
        <w:spacing w:line="360" w:lineRule="auto"/>
        <w:jc w:val="center"/>
        <w:rPr>
          <w:bCs/>
          <w:sz w:val="28"/>
          <w:szCs w:val="28"/>
          <w:lang w:val="en-US" w:eastAsia="es-PE"/>
        </w:rPr>
      </w:pPr>
      <w:r w:rsidRPr="00E95D93">
        <w:rPr>
          <w:bCs/>
          <w:sz w:val="28"/>
          <w:szCs w:val="28"/>
          <w:lang w:val="en-US" w:eastAsia="es-PE"/>
        </w:rPr>
        <w:t>Evaluation of the synergistic antibacterial effect of rifamycin in propolis on gram-positive bacteria</w:t>
      </w:r>
    </w:p>
    <w:p w14:paraId="5E747A54" w14:textId="77777777" w:rsidR="00E95D93" w:rsidRPr="00E95D93" w:rsidRDefault="00E95D93" w:rsidP="00E95D93">
      <w:pPr>
        <w:spacing w:line="360" w:lineRule="auto"/>
        <w:jc w:val="both"/>
        <w:rPr>
          <w:b/>
          <w:lang w:val="en-US" w:eastAsia="es-PE"/>
        </w:rPr>
      </w:pPr>
    </w:p>
    <w:p w14:paraId="3585C0EF" w14:textId="21591732" w:rsidR="00E95D93" w:rsidRPr="00E95D93" w:rsidRDefault="00E95D93" w:rsidP="00E95D93">
      <w:pPr>
        <w:spacing w:line="360" w:lineRule="auto"/>
        <w:jc w:val="both"/>
        <w:rPr>
          <w:bCs/>
          <w:lang w:val="es-CU" w:eastAsia="es-PE"/>
        </w:rPr>
      </w:pPr>
      <w:r w:rsidRPr="00E95D93">
        <w:rPr>
          <w:bCs/>
          <w:lang w:val="es-CU" w:eastAsia="es-PE"/>
        </w:rPr>
        <w:t>Héctor Alexander Vílchez Cáceda</w:t>
      </w:r>
      <w:r w:rsidRPr="00E95D93">
        <w:rPr>
          <w:bCs/>
          <w:vertAlign w:val="superscript"/>
          <w:lang w:val="es-CU" w:eastAsia="es-PE"/>
        </w:rPr>
        <w:t>1</w:t>
      </w:r>
      <w:r w:rsidR="009524EE">
        <w:rPr>
          <w:bCs/>
          <w:lang w:val="es-CU" w:eastAsia="es-PE"/>
        </w:rPr>
        <w:t>*</w:t>
      </w:r>
      <w:r w:rsidRPr="00E95D93">
        <w:rPr>
          <w:bCs/>
          <w:lang w:val="es-CU" w:eastAsia="es-PE"/>
        </w:rPr>
        <w:t xml:space="preserve"> </w:t>
      </w:r>
      <w:hyperlink r:id="rId7" w:history="1">
        <w:r w:rsidRPr="00E95D93">
          <w:rPr>
            <w:bCs/>
            <w:color w:val="0000FF"/>
            <w:u w:val="single"/>
            <w:lang w:val="es-CU" w:eastAsia="es-PE"/>
          </w:rPr>
          <w:t>https://orcid.org/0000-0001-7094-0821</w:t>
        </w:r>
      </w:hyperlink>
      <w:r w:rsidRPr="00E95D93">
        <w:rPr>
          <w:bCs/>
          <w:lang w:val="es-CU" w:eastAsia="es-PE"/>
        </w:rPr>
        <w:t xml:space="preserve"> </w:t>
      </w:r>
    </w:p>
    <w:p w14:paraId="67475130" w14:textId="77777777" w:rsidR="00E95D93" w:rsidRPr="00E95D93" w:rsidRDefault="00E95D93" w:rsidP="00E95D93">
      <w:pPr>
        <w:spacing w:line="360" w:lineRule="auto"/>
        <w:jc w:val="both"/>
        <w:rPr>
          <w:bCs/>
          <w:lang w:val="es-CU" w:eastAsia="es-PE"/>
        </w:rPr>
      </w:pPr>
      <w:r w:rsidRPr="00E95D93">
        <w:rPr>
          <w:bCs/>
          <w:lang w:val="es-CU" w:eastAsia="es-PE"/>
        </w:rPr>
        <w:t>Luis Adolfo Cervantes Ganoza</w:t>
      </w:r>
      <w:r w:rsidRPr="00E95D93">
        <w:rPr>
          <w:bCs/>
          <w:vertAlign w:val="superscript"/>
          <w:lang w:val="es-CU" w:eastAsia="es-PE"/>
        </w:rPr>
        <w:t>1</w:t>
      </w:r>
      <w:r w:rsidRPr="00E95D93">
        <w:rPr>
          <w:bCs/>
          <w:lang w:val="es-CU" w:eastAsia="es-PE"/>
        </w:rPr>
        <w:t xml:space="preserve"> </w:t>
      </w:r>
      <w:hyperlink r:id="rId8" w:history="1">
        <w:r w:rsidRPr="00E95D93">
          <w:rPr>
            <w:bCs/>
            <w:color w:val="0000FF"/>
            <w:u w:val="single"/>
            <w:lang w:val="es-CU" w:eastAsia="es-PE"/>
          </w:rPr>
          <w:t>https://orcid.org/0000-0001-6090-6750</w:t>
        </w:r>
      </w:hyperlink>
      <w:r w:rsidRPr="00E95D93">
        <w:rPr>
          <w:bCs/>
          <w:lang w:val="es-CU" w:eastAsia="es-PE"/>
        </w:rPr>
        <w:t xml:space="preserve"> </w:t>
      </w:r>
    </w:p>
    <w:p w14:paraId="36027967" w14:textId="77777777" w:rsidR="00E95D93" w:rsidRPr="00E95D93" w:rsidRDefault="00E95D93" w:rsidP="00E95D93">
      <w:pPr>
        <w:spacing w:line="360" w:lineRule="auto"/>
        <w:jc w:val="both"/>
        <w:rPr>
          <w:bCs/>
          <w:lang w:val="es-CU" w:eastAsia="es-PE"/>
        </w:rPr>
      </w:pPr>
    </w:p>
    <w:p w14:paraId="17F82B87" w14:textId="77777777" w:rsidR="00E95D93" w:rsidRPr="00E95D93" w:rsidRDefault="00E95D93" w:rsidP="00E95D93">
      <w:pPr>
        <w:spacing w:line="360" w:lineRule="auto"/>
        <w:jc w:val="both"/>
        <w:rPr>
          <w:bCs/>
          <w:lang w:val="es-CU" w:eastAsia="es-PE"/>
        </w:rPr>
      </w:pPr>
      <w:r w:rsidRPr="00E95D93">
        <w:rPr>
          <w:bCs/>
          <w:vertAlign w:val="superscript"/>
          <w:lang w:val="es-CU" w:eastAsia="es-PE"/>
        </w:rPr>
        <w:t>1</w:t>
      </w:r>
      <w:r w:rsidRPr="00E95D93">
        <w:rPr>
          <w:bCs/>
          <w:lang w:val="es-CU" w:eastAsia="es-PE"/>
        </w:rPr>
        <w:t>Universidad Inca Garcilaso de la Vega. Lima, Perú.</w:t>
      </w:r>
    </w:p>
    <w:p w14:paraId="26AA9BFB" w14:textId="77777777" w:rsidR="00E95D93" w:rsidRPr="00E95D93" w:rsidRDefault="00E95D93" w:rsidP="00E95D93">
      <w:pPr>
        <w:spacing w:line="360" w:lineRule="auto"/>
        <w:jc w:val="both"/>
        <w:rPr>
          <w:bCs/>
          <w:lang w:val="es-CU" w:eastAsia="es-PE"/>
        </w:rPr>
      </w:pPr>
    </w:p>
    <w:p w14:paraId="7A2EC006" w14:textId="77777777" w:rsidR="00E95D93" w:rsidRPr="00E95D93" w:rsidRDefault="00E95D93" w:rsidP="00E95D93">
      <w:pPr>
        <w:spacing w:line="360" w:lineRule="auto"/>
        <w:jc w:val="both"/>
        <w:rPr>
          <w:bCs/>
          <w:lang w:val="es-CU" w:eastAsia="es-PE"/>
        </w:rPr>
      </w:pPr>
      <w:r w:rsidRPr="00E95D93">
        <w:rPr>
          <w:bCs/>
          <w:lang w:val="es-CU" w:eastAsia="es-PE"/>
        </w:rPr>
        <w:t xml:space="preserve">*Autor para la correspondencia. Correo electrónico: </w:t>
      </w:r>
      <w:r w:rsidRPr="00E95D93">
        <w:rPr>
          <w:color w:val="0000FF"/>
          <w:u w:val="single"/>
          <w:lang w:val="es-CU" w:eastAsia="es-PE"/>
        </w:rPr>
        <w:t>hvilchezc@uigv.edu.pe</w:t>
      </w:r>
      <w:r w:rsidRPr="00E95D93">
        <w:rPr>
          <w:bCs/>
          <w:lang w:val="es-CU" w:eastAsia="es-PE"/>
        </w:rPr>
        <w:t xml:space="preserve"> </w:t>
      </w:r>
    </w:p>
    <w:p w14:paraId="6E89B032" w14:textId="77777777" w:rsidR="00E95D93" w:rsidRPr="00E95D93" w:rsidRDefault="00E95D93" w:rsidP="00E95D93">
      <w:pPr>
        <w:spacing w:line="360" w:lineRule="auto"/>
        <w:jc w:val="both"/>
        <w:rPr>
          <w:bCs/>
          <w:lang w:val="es-CU" w:eastAsia="es-PE"/>
        </w:rPr>
      </w:pPr>
    </w:p>
    <w:p w14:paraId="33395E7C" w14:textId="77777777" w:rsidR="00E95D93" w:rsidRPr="00E95D93" w:rsidRDefault="00E95D93" w:rsidP="00E95D93">
      <w:pPr>
        <w:spacing w:line="360" w:lineRule="auto"/>
        <w:jc w:val="both"/>
        <w:rPr>
          <w:b/>
          <w:bCs/>
          <w:caps/>
          <w:lang w:val="es-ES" w:eastAsia="en-US"/>
        </w:rPr>
      </w:pPr>
      <w:r w:rsidRPr="00E95D93">
        <w:rPr>
          <w:b/>
          <w:bCs/>
          <w:caps/>
          <w:lang w:val="es-ES" w:eastAsia="en-US"/>
        </w:rPr>
        <w:t>RESUMEN</w:t>
      </w:r>
    </w:p>
    <w:p w14:paraId="3AEA7950" w14:textId="56ED36A5" w:rsidR="00E95D93" w:rsidRPr="00E95D93" w:rsidRDefault="00E95D93" w:rsidP="00E95D93">
      <w:pPr>
        <w:autoSpaceDE w:val="0"/>
        <w:autoSpaceDN w:val="0"/>
        <w:adjustRightInd w:val="0"/>
        <w:spacing w:line="360" w:lineRule="auto"/>
        <w:jc w:val="both"/>
        <w:rPr>
          <w:iCs/>
          <w:lang w:val="es-ES" w:eastAsia="en-US"/>
        </w:rPr>
      </w:pPr>
      <w:r w:rsidRPr="00E95D93">
        <w:rPr>
          <w:b/>
          <w:bCs/>
          <w:iCs/>
          <w:lang w:val="es-ES" w:eastAsia="en-US"/>
        </w:rPr>
        <w:t>Introducción:</w:t>
      </w:r>
      <w:r w:rsidRPr="00E95D93">
        <w:rPr>
          <w:iCs/>
          <w:lang w:val="es-ES" w:eastAsia="en-US"/>
        </w:rPr>
        <w:t xml:space="preserve"> En la medicina militar, la aplicación de las sustancias antibacterianas en las infecciones tópicas, </w:t>
      </w:r>
      <w:r w:rsidR="00A51B08">
        <w:rPr>
          <w:iCs/>
          <w:lang w:val="es-ES" w:eastAsia="en-US"/>
        </w:rPr>
        <w:t>es</w:t>
      </w:r>
      <w:r w:rsidRPr="00E95D93">
        <w:rPr>
          <w:iCs/>
          <w:lang w:val="es-ES" w:eastAsia="en-US"/>
        </w:rPr>
        <w:t xml:space="preserve"> importante en el tratamiento de las tropas.   </w:t>
      </w:r>
    </w:p>
    <w:p w14:paraId="503CC9BA" w14:textId="77777777" w:rsidR="00E95D93" w:rsidRPr="00E95D93" w:rsidRDefault="00E95D93" w:rsidP="00E95D93">
      <w:pPr>
        <w:autoSpaceDE w:val="0"/>
        <w:autoSpaceDN w:val="0"/>
        <w:adjustRightInd w:val="0"/>
        <w:spacing w:line="360" w:lineRule="auto"/>
        <w:jc w:val="both"/>
        <w:rPr>
          <w:iCs/>
          <w:lang w:val="es-ES" w:eastAsia="en-US"/>
        </w:rPr>
      </w:pPr>
      <w:r w:rsidRPr="00E95D93">
        <w:rPr>
          <w:b/>
          <w:bCs/>
          <w:iCs/>
          <w:lang w:val="es-ES" w:eastAsia="en-US"/>
        </w:rPr>
        <w:t>Objetivos:</w:t>
      </w:r>
      <w:r w:rsidRPr="00E95D93">
        <w:rPr>
          <w:iCs/>
          <w:lang w:val="es-ES" w:eastAsia="en-US"/>
        </w:rPr>
        <w:t xml:space="preserve"> Evaluar el efecto antibacteriano sinérgico de rifamicina en propóleo sobre bacterias grampositivas.</w:t>
      </w:r>
    </w:p>
    <w:p w14:paraId="4713D257" w14:textId="77777777" w:rsidR="00E95D93" w:rsidRPr="00E95D93" w:rsidRDefault="00E95D93" w:rsidP="00E95D93">
      <w:pPr>
        <w:autoSpaceDE w:val="0"/>
        <w:autoSpaceDN w:val="0"/>
        <w:adjustRightInd w:val="0"/>
        <w:spacing w:line="360" w:lineRule="auto"/>
        <w:jc w:val="both"/>
        <w:rPr>
          <w:lang w:val="es-ES" w:eastAsia="en-US"/>
        </w:rPr>
      </w:pPr>
      <w:r w:rsidRPr="00E95D93">
        <w:rPr>
          <w:b/>
          <w:lang w:val="es-ES" w:eastAsia="es-PE"/>
        </w:rPr>
        <w:t>Métodos:</w:t>
      </w:r>
      <w:r w:rsidRPr="00E95D93">
        <w:rPr>
          <w:lang w:val="es-ES" w:eastAsia="es-PE"/>
        </w:rPr>
        <w:t xml:space="preserve"> </w:t>
      </w:r>
      <w:bookmarkStart w:id="0" w:name="_Hlk76945793"/>
      <w:r w:rsidRPr="00E95D93">
        <w:rPr>
          <w:lang w:val="es-ES" w:eastAsia="es-PE"/>
        </w:rPr>
        <w:t xml:space="preserve">Estudio experimental in vitro y comparativo. Se efectuó el análisis fitoquímico preliminar del propóleo de </w:t>
      </w:r>
      <w:r w:rsidRPr="00E95D93">
        <w:rPr>
          <w:i/>
          <w:iCs/>
          <w:lang w:val="es-ES" w:eastAsia="es-PE"/>
        </w:rPr>
        <w:t>Apis mellífera</w:t>
      </w:r>
      <w:r w:rsidRPr="00E95D93">
        <w:rPr>
          <w:lang w:val="es-ES" w:eastAsia="es-PE"/>
        </w:rPr>
        <w:t xml:space="preserve">. Se utilizaron 96 placas de agar Muller Hinton </w:t>
      </w:r>
      <w:r w:rsidRPr="00E95D93">
        <w:rPr>
          <w:lang w:val="es-ES" w:eastAsia="en-US"/>
        </w:rPr>
        <w:t>(Britania</w:t>
      </w:r>
      <w:r w:rsidRPr="00E95D93">
        <w:rPr>
          <w:vertAlign w:val="superscript"/>
          <w:lang w:val="es-ES" w:eastAsia="en-US"/>
        </w:rPr>
        <w:t>®</w:t>
      </w:r>
      <w:r w:rsidRPr="00E95D93">
        <w:rPr>
          <w:lang w:val="es-ES" w:eastAsia="en-US"/>
        </w:rPr>
        <w:t>)</w:t>
      </w:r>
      <w:r w:rsidRPr="00E95D93">
        <w:rPr>
          <w:lang w:val="es-ES" w:eastAsia="es-PE"/>
        </w:rPr>
        <w:t xml:space="preserve"> </w:t>
      </w:r>
      <w:r w:rsidRPr="00E95D93">
        <w:rPr>
          <w:lang w:val="es-ES" w:eastAsia="en-US"/>
        </w:rPr>
        <w:t xml:space="preserve">(48 placas para cada especie bacteriana) </w:t>
      </w:r>
      <w:r w:rsidRPr="00E95D93">
        <w:rPr>
          <w:lang w:val="es-ES" w:eastAsia="es-PE"/>
        </w:rPr>
        <w:t xml:space="preserve">repartidas en 6 grupos (n = 8). </w:t>
      </w:r>
      <w:r w:rsidRPr="00E95D93">
        <w:rPr>
          <w:lang w:val="es-ES" w:eastAsia="en-US"/>
        </w:rPr>
        <w:t xml:space="preserve">grupo I (agua destilada), grupo II (alcohol etílico al 96 %), grupo III (rifamicina al 0,5 %), grupo IV (rifamicina al 1 %), grupo V (propóleo al 20 %) y grupo VI (rifamicina al 1 % en propóleo al 40 %); se empleó la metodología de Kirby - Bauer; las cepas usadas fueron </w:t>
      </w:r>
      <w:bookmarkStart w:id="1" w:name="_Hlk76990899"/>
      <w:r w:rsidRPr="00E95D93">
        <w:rPr>
          <w:i/>
          <w:lang w:val="es-ES" w:eastAsia="en-US"/>
        </w:rPr>
        <w:t>Staphylococcus aureus</w:t>
      </w:r>
      <w:r w:rsidRPr="00E95D93">
        <w:rPr>
          <w:lang w:val="es-ES" w:eastAsia="en-US"/>
        </w:rPr>
        <w:t xml:space="preserve"> ATCC 25923</w:t>
      </w:r>
      <w:bookmarkEnd w:id="1"/>
      <w:r w:rsidRPr="00E95D93">
        <w:rPr>
          <w:lang w:val="es-ES" w:eastAsia="en-US"/>
        </w:rPr>
        <w:t xml:space="preserve">, </w:t>
      </w:r>
      <w:r w:rsidRPr="00E95D93">
        <w:rPr>
          <w:i/>
          <w:iCs/>
          <w:lang w:val="es-ES" w:eastAsia="en-US"/>
        </w:rPr>
        <w:t>Streptococcus pyogenes</w:t>
      </w:r>
      <w:r w:rsidRPr="00E95D93">
        <w:rPr>
          <w:i/>
          <w:lang w:val="es-ES" w:eastAsia="en-US"/>
        </w:rPr>
        <w:t xml:space="preserve"> </w:t>
      </w:r>
      <w:r w:rsidRPr="00E95D93">
        <w:rPr>
          <w:iCs/>
          <w:lang w:val="es-ES" w:eastAsia="en-US"/>
        </w:rPr>
        <w:t xml:space="preserve">ATCC 19615 y las </w:t>
      </w:r>
      <w:r w:rsidRPr="00E95D93">
        <w:rPr>
          <w:lang w:val="es-ES" w:eastAsia="en-US"/>
        </w:rPr>
        <w:t>mediciones de las zonas de inhibición se efectuaron a las 24 horas.</w:t>
      </w:r>
    </w:p>
    <w:bookmarkEnd w:id="0"/>
    <w:p w14:paraId="5E79316A" w14:textId="77777777" w:rsidR="00E95D93" w:rsidRPr="00E95D93" w:rsidRDefault="00E95D93" w:rsidP="00E95D93">
      <w:pPr>
        <w:autoSpaceDE w:val="0"/>
        <w:autoSpaceDN w:val="0"/>
        <w:adjustRightInd w:val="0"/>
        <w:spacing w:line="360" w:lineRule="auto"/>
        <w:jc w:val="both"/>
        <w:rPr>
          <w:iCs/>
          <w:lang w:val="es-ES" w:eastAsia="en-US"/>
        </w:rPr>
      </w:pPr>
      <w:r w:rsidRPr="00E95D93">
        <w:rPr>
          <w:b/>
          <w:lang w:val="es-ES" w:eastAsia="es-PE"/>
        </w:rPr>
        <w:t>Resultados:</w:t>
      </w:r>
      <w:r w:rsidRPr="00E95D93">
        <w:rPr>
          <w:lang w:val="es-ES" w:eastAsia="es-PE"/>
        </w:rPr>
        <w:t xml:space="preserve"> Se detectaron compuestos fenólicos, taninos, flavonoides, alcaloides y triterpenoides en propóleo. Se comprobó el efecto antibacteriano del grupo V con </w:t>
      </w:r>
      <w:r w:rsidRPr="00E95D93">
        <w:rPr>
          <w:lang w:val="es-PE" w:eastAsia="en-US"/>
        </w:rPr>
        <w:t xml:space="preserve">18,627 ± 0,1008 mm </w:t>
      </w:r>
      <w:r w:rsidRPr="00E95D93">
        <w:rPr>
          <w:lang w:val="es-ES" w:eastAsia="es-PE"/>
        </w:rPr>
        <w:t xml:space="preserve">(92,59 %) y </w:t>
      </w:r>
      <w:r w:rsidRPr="00E95D93">
        <w:rPr>
          <w:lang w:val="es-PE" w:eastAsia="en-US"/>
        </w:rPr>
        <w:t xml:space="preserve">19,247 ± 0,0762 mm </w:t>
      </w:r>
      <w:r w:rsidRPr="00E95D93">
        <w:rPr>
          <w:lang w:val="es-ES" w:eastAsia="es-PE"/>
        </w:rPr>
        <w:t xml:space="preserve">(96,74 %), y el efecto antibacteriano sinérgico del grupo VI con </w:t>
      </w:r>
      <w:r w:rsidRPr="00E95D93">
        <w:rPr>
          <w:lang w:val="es-PE" w:eastAsia="en-US"/>
        </w:rPr>
        <w:t xml:space="preserve">19,316 ± 0,1202 mm </w:t>
      </w:r>
      <w:r w:rsidRPr="00E95D93">
        <w:rPr>
          <w:lang w:val="es-ES" w:eastAsia="es-PE"/>
        </w:rPr>
        <w:lastRenderedPageBreak/>
        <w:t xml:space="preserve">(96,02 %) y </w:t>
      </w:r>
      <w:r w:rsidRPr="00E95D93">
        <w:rPr>
          <w:lang w:val="es-PE" w:eastAsia="en-US"/>
        </w:rPr>
        <w:t>19,613 ± 0,0820 mm (</w:t>
      </w:r>
      <w:r w:rsidRPr="00E95D93">
        <w:rPr>
          <w:lang w:val="es-ES" w:eastAsia="es-PE"/>
        </w:rPr>
        <w:t>98,58 %), comparados con rifamicina al 1 % (100 %)</w:t>
      </w:r>
      <w:r w:rsidRPr="00E95D93">
        <w:rPr>
          <w:iCs/>
          <w:lang w:val="es-ES" w:eastAsia="en-US"/>
        </w:rPr>
        <w:t xml:space="preserve"> sobre </w:t>
      </w:r>
      <w:r w:rsidRPr="00E95D93">
        <w:rPr>
          <w:i/>
          <w:lang w:val="es-ES" w:eastAsia="en-US"/>
        </w:rPr>
        <w:t xml:space="preserve">S. aureus </w:t>
      </w:r>
      <w:r w:rsidRPr="00E95D93">
        <w:rPr>
          <w:iCs/>
          <w:lang w:val="es-ES" w:eastAsia="en-US"/>
        </w:rPr>
        <w:t>ATCC 25923</w:t>
      </w:r>
      <w:r w:rsidRPr="00E95D93">
        <w:rPr>
          <w:i/>
          <w:lang w:val="es-ES" w:eastAsia="en-US"/>
        </w:rPr>
        <w:t xml:space="preserve"> </w:t>
      </w:r>
      <w:r w:rsidRPr="00E95D93">
        <w:rPr>
          <w:iCs/>
          <w:lang w:val="es-ES" w:eastAsia="en-US"/>
        </w:rPr>
        <w:t>y</w:t>
      </w:r>
      <w:r w:rsidRPr="00E95D93">
        <w:rPr>
          <w:i/>
          <w:lang w:val="es-ES" w:eastAsia="en-US"/>
        </w:rPr>
        <w:t xml:space="preserve"> S. pyogenes </w:t>
      </w:r>
      <w:r w:rsidRPr="00E95D93">
        <w:rPr>
          <w:iCs/>
          <w:lang w:val="es-ES" w:eastAsia="en-US"/>
        </w:rPr>
        <w:t xml:space="preserve">ATCC 19615. </w:t>
      </w:r>
    </w:p>
    <w:p w14:paraId="6A69993B" w14:textId="77777777" w:rsidR="00E95D93" w:rsidRPr="00E95D93" w:rsidRDefault="00E95D93" w:rsidP="00E95D93">
      <w:pPr>
        <w:autoSpaceDE w:val="0"/>
        <w:autoSpaceDN w:val="0"/>
        <w:adjustRightInd w:val="0"/>
        <w:spacing w:line="360" w:lineRule="auto"/>
        <w:jc w:val="both"/>
        <w:rPr>
          <w:lang w:val="es-ES" w:eastAsia="es-PE"/>
        </w:rPr>
      </w:pPr>
      <w:r w:rsidRPr="00E95D93">
        <w:rPr>
          <w:b/>
          <w:lang w:val="es-ES" w:eastAsia="es-PE"/>
        </w:rPr>
        <w:t>Conclusiones:</w:t>
      </w:r>
      <w:r w:rsidRPr="00E95D93">
        <w:rPr>
          <w:lang w:val="es-ES" w:eastAsia="es-PE"/>
        </w:rPr>
        <w:t xml:space="preserve"> La combinación de rifamicina al 1 % unida al propóleo al 40 % presenta una mayor actividad antibacteriana in vitro sobre bacterias grampositivas debido a su efecto sinérgico</w:t>
      </w:r>
      <w:r w:rsidRPr="00E95D93">
        <w:rPr>
          <w:iCs/>
          <w:lang w:val="es-ES" w:eastAsia="en-US"/>
        </w:rPr>
        <w:t>.</w:t>
      </w:r>
    </w:p>
    <w:p w14:paraId="70285196" w14:textId="77777777" w:rsidR="00E95D93" w:rsidRPr="00E95D93" w:rsidRDefault="00E95D93" w:rsidP="00E95D93">
      <w:pPr>
        <w:autoSpaceDE w:val="0"/>
        <w:autoSpaceDN w:val="0"/>
        <w:adjustRightInd w:val="0"/>
        <w:spacing w:line="360" w:lineRule="auto"/>
        <w:jc w:val="both"/>
        <w:rPr>
          <w:lang w:val="es-ES" w:eastAsia="es-PE"/>
        </w:rPr>
      </w:pPr>
      <w:r w:rsidRPr="00E95D93">
        <w:rPr>
          <w:b/>
          <w:lang w:val="es-ES" w:eastAsia="es-PE"/>
        </w:rPr>
        <w:t>Palabras clave:</w:t>
      </w:r>
      <w:r w:rsidRPr="00E95D93">
        <w:rPr>
          <w:lang w:val="es-ES" w:eastAsia="es-PE"/>
        </w:rPr>
        <w:t xml:space="preserve"> efecto antibacteriano; </w:t>
      </w:r>
      <w:r w:rsidRPr="00E95D93">
        <w:rPr>
          <w:lang w:val="es-ES" w:eastAsia="en-US"/>
        </w:rPr>
        <w:t xml:space="preserve">Kirby-Bauer; </w:t>
      </w:r>
      <w:r w:rsidRPr="00E95D93">
        <w:rPr>
          <w:lang w:val="es-ES" w:eastAsia="es-PE"/>
        </w:rPr>
        <w:t>propóleo; rifamicina.</w:t>
      </w:r>
    </w:p>
    <w:p w14:paraId="55CEC993"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ES" w:eastAsia="es-PE"/>
        </w:rPr>
      </w:pPr>
    </w:p>
    <w:p w14:paraId="7917DD66"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US" w:eastAsia="es-PE"/>
        </w:rPr>
      </w:pPr>
      <w:r w:rsidRPr="00E95D93">
        <w:rPr>
          <w:b/>
          <w:lang w:val="en-US" w:eastAsia="es-PE"/>
        </w:rPr>
        <w:t>ABSTRACT</w:t>
      </w:r>
    </w:p>
    <w:p w14:paraId="23957975"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r w:rsidRPr="00E95D93">
        <w:rPr>
          <w:b/>
          <w:lang w:val="en-US" w:eastAsia="es-PE"/>
        </w:rPr>
        <w:t xml:space="preserve">Introduction: </w:t>
      </w:r>
      <w:r w:rsidRPr="00E95D93">
        <w:rPr>
          <w:bCs/>
          <w:lang w:val="en-US" w:eastAsia="es-PE"/>
        </w:rPr>
        <w:t>In military medicine, the application of antibacterial substances in topical infections are important in the treatment of troops.</w:t>
      </w:r>
    </w:p>
    <w:p w14:paraId="38614A75"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r w:rsidRPr="00E95D93">
        <w:rPr>
          <w:b/>
          <w:lang w:val="en-US" w:eastAsia="es-PE"/>
        </w:rPr>
        <w:t xml:space="preserve">Objectives: </w:t>
      </w:r>
      <w:r w:rsidRPr="00E95D93">
        <w:rPr>
          <w:bCs/>
          <w:lang w:val="en-US" w:eastAsia="es-PE"/>
        </w:rPr>
        <w:t>To evaluate the synergistic antibacterial effect of rifamycin in propolis on gram-positive bacteria.</w:t>
      </w:r>
    </w:p>
    <w:p w14:paraId="077232E3"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r w:rsidRPr="00E95D93">
        <w:rPr>
          <w:b/>
          <w:lang w:val="en-US" w:eastAsia="es-PE"/>
        </w:rPr>
        <w:t xml:space="preserve">Methods: </w:t>
      </w:r>
      <w:r w:rsidRPr="00E95D93">
        <w:rPr>
          <w:bCs/>
          <w:lang w:val="en-US" w:eastAsia="es-PE"/>
        </w:rPr>
        <w:t xml:space="preserve">In vitro and comparative experimental study. Preliminary phytochemical analysis of </w:t>
      </w:r>
      <w:r w:rsidRPr="00E95D93">
        <w:rPr>
          <w:bCs/>
          <w:i/>
          <w:iCs/>
          <w:lang w:val="en-US" w:eastAsia="es-PE"/>
        </w:rPr>
        <w:t>Apis mellifera</w:t>
      </w:r>
      <w:r w:rsidRPr="00E95D93">
        <w:rPr>
          <w:bCs/>
          <w:lang w:val="en-US" w:eastAsia="es-PE"/>
        </w:rPr>
        <w:t xml:space="preserve"> propolis was carried out. 96 Muller Hinton agar plates (Britania</w:t>
      </w:r>
      <w:r w:rsidRPr="00E95D93">
        <w:rPr>
          <w:bCs/>
          <w:vertAlign w:val="superscript"/>
          <w:lang w:val="en-US" w:eastAsia="es-PE"/>
        </w:rPr>
        <w:t>®</w:t>
      </w:r>
      <w:r w:rsidRPr="00E95D93">
        <w:rPr>
          <w:bCs/>
          <w:lang w:val="en-US" w:eastAsia="es-PE"/>
        </w:rPr>
        <w:t xml:space="preserve">) (48 plates for each bacterial species) divided into 6 groups (n = 8) were used group I (distilled water), group II (96 % ethyl alcohol), group III (rifamycin 0,5 %), group IV (rifamycin 1 %), group V (propolis 20 %) and group VI (rifamycin 1 % in 40 % propolis); Kirby-Bauer methodology was used; the strains used were </w:t>
      </w:r>
      <w:r w:rsidRPr="00E95D93">
        <w:rPr>
          <w:bCs/>
          <w:i/>
          <w:iCs/>
          <w:lang w:val="en-US" w:eastAsia="es-PE"/>
        </w:rPr>
        <w:t>Staphylococcus aureus</w:t>
      </w:r>
      <w:r w:rsidRPr="00E95D93">
        <w:rPr>
          <w:bCs/>
          <w:lang w:val="en-US" w:eastAsia="es-PE"/>
        </w:rPr>
        <w:t xml:space="preserve"> ATCC 25923, </w:t>
      </w:r>
      <w:r w:rsidRPr="00E95D93">
        <w:rPr>
          <w:bCs/>
          <w:i/>
          <w:iCs/>
          <w:lang w:val="en-US" w:eastAsia="es-PE"/>
        </w:rPr>
        <w:t>Streptococcus pyogenes</w:t>
      </w:r>
      <w:r w:rsidRPr="00E95D93">
        <w:rPr>
          <w:bCs/>
          <w:lang w:val="en-US" w:eastAsia="es-PE"/>
        </w:rPr>
        <w:t xml:space="preserve"> ATCC 19615 and the measurements of the zones of inhibition were carried out at 24 hours.</w:t>
      </w:r>
    </w:p>
    <w:p w14:paraId="4316F3C6"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r w:rsidRPr="00E95D93">
        <w:rPr>
          <w:b/>
          <w:lang w:val="en-US" w:eastAsia="es-PE"/>
        </w:rPr>
        <w:t>Results:</w:t>
      </w:r>
      <w:r w:rsidRPr="00E95D93">
        <w:rPr>
          <w:bCs/>
          <w:lang w:val="en-US" w:eastAsia="es-PE"/>
        </w:rPr>
        <w:t xml:space="preserve"> Phenolic compounds, tannins, flavonoids, alkaloids and triterpenoids were detected in propolis. The antibacterial effect of group V was verified with 18,627 ± 0,1008 mm (92,59%) and 19,247 ± 0,0762 mm (96,74%), and the synergistic antibacterial effect of group VI with 19,316 ± 0,1202 mm (96,02%) and 19,613 ± 0,0820 mm (98,58%), compared with rifamycin 1% (100%) on </w:t>
      </w:r>
      <w:r w:rsidRPr="00E95D93">
        <w:rPr>
          <w:bCs/>
          <w:i/>
          <w:iCs/>
          <w:lang w:val="en-US" w:eastAsia="es-PE"/>
        </w:rPr>
        <w:t xml:space="preserve">S. aureus </w:t>
      </w:r>
      <w:r w:rsidRPr="00E95D93">
        <w:rPr>
          <w:bCs/>
          <w:lang w:val="en-US" w:eastAsia="es-PE"/>
        </w:rPr>
        <w:t>ATCC 25923</w:t>
      </w:r>
      <w:r w:rsidRPr="00E95D93">
        <w:rPr>
          <w:bCs/>
          <w:i/>
          <w:iCs/>
          <w:lang w:val="en-US" w:eastAsia="es-PE"/>
        </w:rPr>
        <w:t xml:space="preserve"> y S. pyogenes </w:t>
      </w:r>
      <w:r w:rsidRPr="00E95D93">
        <w:rPr>
          <w:bCs/>
          <w:lang w:val="en-US" w:eastAsia="es-PE"/>
        </w:rPr>
        <w:t>ATCC 19615.</w:t>
      </w:r>
    </w:p>
    <w:p w14:paraId="6292CD71"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r w:rsidRPr="00E95D93">
        <w:rPr>
          <w:b/>
          <w:lang w:val="en-US" w:eastAsia="es-PE"/>
        </w:rPr>
        <w:t xml:space="preserve">Conclusions: </w:t>
      </w:r>
      <w:r w:rsidRPr="00E95D93">
        <w:rPr>
          <w:bCs/>
          <w:lang w:val="en-US" w:eastAsia="es-PE"/>
        </w:rPr>
        <w:t>The combination of rifamycin 1% together with propolis 40% has a greater antibacterial activity in vitro on gram-positive bacteria due to its synergistic effect.</w:t>
      </w:r>
    </w:p>
    <w:p w14:paraId="34E05213"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r w:rsidRPr="00E95D93">
        <w:rPr>
          <w:b/>
          <w:lang w:val="en-US" w:eastAsia="es-PE"/>
        </w:rPr>
        <w:t>Keywords:</w:t>
      </w:r>
      <w:r w:rsidRPr="00E95D93">
        <w:rPr>
          <w:bCs/>
          <w:lang w:val="en-US" w:eastAsia="es-PE"/>
        </w:rPr>
        <w:t xml:space="preserve"> antibacterial activity; Kirby-Bauer; propolis; rifamycin.</w:t>
      </w:r>
    </w:p>
    <w:p w14:paraId="1CB97D91"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n-US" w:eastAsia="es-PE"/>
        </w:rPr>
      </w:pPr>
    </w:p>
    <w:p w14:paraId="595850D9"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s-CU" w:eastAsia="es-PE"/>
        </w:rPr>
      </w:pPr>
      <w:r w:rsidRPr="00E95D93">
        <w:rPr>
          <w:bCs/>
          <w:lang w:val="es-CU" w:eastAsia="es-PE"/>
        </w:rPr>
        <w:t>Recibido: 29/03/2021</w:t>
      </w:r>
    </w:p>
    <w:p w14:paraId="2C228D8B"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s-CU" w:eastAsia="es-PE"/>
        </w:rPr>
      </w:pPr>
      <w:r w:rsidRPr="00E95D93">
        <w:rPr>
          <w:bCs/>
          <w:lang w:val="es-CU" w:eastAsia="es-PE"/>
        </w:rPr>
        <w:t>Aprobado: 31/08/2021</w:t>
      </w:r>
    </w:p>
    <w:p w14:paraId="449CD8E0"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lang w:val="es-CU" w:eastAsia="es-PE"/>
        </w:rPr>
      </w:pPr>
    </w:p>
    <w:p w14:paraId="2FE4D880" w14:textId="77777777" w:rsidR="00E95D93" w:rsidRPr="00E95D93" w:rsidRDefault="00E95D93" w:rsidP="00E95D93">
      <w:pPr>
        <w:spacing w:line="360" w:lineRule="auto"/>
        <w:jc w:val="center"/>
        <w:rPr>
          <w:b/>
          <w:bCs/>
          <w:caps/>
          <w:sz w:val="32"/>
          <w:szCs w:val="32"/>
          <w:lang w:val="es-ES" w:eastAsia="en-US"/>
        </w:rPr>
      </w:pPr>
      <w:r w:rsidRPr="00E95D93">
        <w:rPr>
          <w:b/>
          <w:bCs/>
          <w:caps/>
          <w:sz w:val="32"/>
          <w:szCs w:val="32"/>
          <w:lang w:val="es-ES" w:eastAsia="en-US"/>
        </w:rPr>
        <w:t>introducción</w:t>
      </w:r>
    </w:p>
    <w:p w14:paraId="79527925" w14:textId="77777777" w:rsidR="00E95D93" w:rsidRPr="00E95D93" w:rsidRDefault="00E95D93" w:rsidP="00E95D93">
      <w:pPr>
        <w:spacing w:line="360" w:lineRule="auto"/>
        <w:jc w:val="both"/>
        <w:rPr>
          <w:lang w:val="es-ES" w:eastAsia="es-PE"/>
        </w:rPr>
      </w:pPr>
      <w:r w:rsidRPr="00E95D93">
        <w:rPr>
          <w:lang w:val="es-ES" w:eastAsia="es-PE"/>
        </w:rPr>
        <w:t>En el ámbito militar se han investigado procedimientos médicos para mejorar la salud y disminuir las infecciones tópicas de los lesionados en los enfrentamientos bélicos.</w:t>
      </w:r>
      <w:r w:rsidRPr="00E95D93">
        <w:rPr>
          <w:vertAlign w:val="superscript"/>
          <w:lang w:val="es-ES" w:eastAsia="es-PE"/>
        </w:rPr>
        <w:t>(1)</w:t>
      </w:r>
      <w:r w:rsidRPr="00E95D93">
        <w:rPr>
          <w:lang w:val="es-ES" w:eastAsia="es-PE"/>
        </w:rPr>
        <w:t xml:space="preserve"> El propóleo es mencionado en el papiro de Ebers, y en Egipto lo usaban como medicina para desinfectar las heridas.</w:t>
      </w:r>
      <w:r w:rsidRPr="00E95D93">
        <w:rPr>
          <w:vertAlign w:val="superscript"/>
          <w:lang w:val="es-ES" w:eastAsia="es-PE"/>
        </w:rPr>
        <w:t>(2,3)</w:t>
      </w:r>
      <w:r w:rsidRPr="00E95D93">
        <w:rPr>
          <w:lang w:val="es-ES" w:eastAsia="es-PE"/>
        </w:rPr>
        <w:t xml:space="preserve"> En Grecia lo utilizaban como recurso para tratar las afecciones de la piel; se usó en conflictos bélicos como ungüento tópico antiséptico;</w:t>
      </w:r>
      <w:r w:rsidRPr="00E95D93">
        <w:rPr>
          <w:vertAlign w:val="superscript"/>
          <w:lang w:val="es-ES" w:eastAsia="es-PE"/>
        </w:rPr>
        <w:t>(3)</w:t>
      </w:r>
      <w:r w:rsidRPr="00E95D93">
        <w:rPr>
          <w:lang w:val="es-ES" w:eastAsia="es-PE"/>
        </w:rPr>
        <w:t xml:space="preserve"> ha sido conocido por casi todas las civilizaciones y su uso se ha mantenido hasta la actualidad,</w:t>
      </w:r>
      <w:r w:rsidRPr="00E95D93">
        <w:rPr>
          <w:vertAlign w:val="superscript"/>
          <w:lang w:val="es-ES" w:eastAsia="es-PE"/>
        </w:rPr>
        <w:t>(2,3)</w:t>
      </w:r>
      <w:r w:rsidRPr="00E95D93">
        <w:rPr>
          <w:lang w:val="es-ES" w:eastAsia="es-PE"/>
        </w:rPr>
        <w:t xml:space="preserve"> en formulaciones en las áreas de la medicina, farmacia, odontología, entre otras.</w:t>
      </w:r>
      <w:r w:rsidRPr="00E95D93">
        <w:rPr>
          <w:vertAlign w:val="superscript"/>
          <w:lang w:val="es-ES" w:eastAsia="es-PE"/>
        </w:rPr>
        <w:t>(4,5,6,7)</w:t>
      </w:r>
      <w:r w:rsidRPr="00E95D93">
        <w:rPr>
          <w:lang w:val="es-ES" w:eastAsia="es-PE"/>
        </w:rPr>
        <w:t xml:space="preserve"> </w:t>
      </w:r>
    </w:p>
    <w:p w14:paraId="6BFE67B1" w14:textId="77777777" w:rsidR="00E95D93" w:rsidRPr="00E95D93" w:rsidRDefault="00E95D93" w:rsidP="00E95D93">
      <w:pPr>
        <w:spacing w:line="360" w:lineRule="auto"/>
        <w:jc w:val="both"/>
        <w:rPr>
          <w:lang w:val="es-ES" w:eastAsia="es-PE"/>
        </w:rPr>
      </w:pPr>
      <w:r w:rsidRPr="00E95D93">
        <w:rPr>
          <w:lang w:val="es-ES" w:eastAsia="es-PE"/>
        </w:rPr>
        <w:t>El propóleo es una resina compuesta, parda oscura, que se disuelve en etanol.</w:t>
      </w:r>
      <w:r w:rsidRPr="00E95D93">
        <w:rPr>
          <w:vertAlign w:val="superscript"/>
          <w:lang w:val="es-ES" w:eastAsia="es-PE"/>
        </w:rPr>
        <w:t>(2,6)</w:t>
      </w:r>
      <w:r w:rsidRPr="00E95D93">
        <w:rPr>
          <w:lang w:val="es-ES" w:eastAsia="es-PE"/>
        </w:rPr>
        <w:t xml:space="preserve"> Conformada por cera, resinas, etc.</w:t>
      </w:r>
      <w:r w:rsidRPr="00E95D93">
        <w:rPr>
          <w:vertAlign w:val="superscript"/>
          <w:lang w:val="es-ES" w:eastAsia="es-PE"/>
        </w:rPr>
        <w:t>(2,7)</w:t>
      </w:r>
      <w:r w:rsidRPr="00E95D93">
        <w:rPr>
          <w:lang w:val="es-ES" w:eastAsia="es-PE"/>
        </w:rPr>
        <w:t xml:space="preserve"> las cuales son acopiados de diversas plantas según su ubicación geográfica, diversidad de especies vegetales y trabajados por un equipo particular de abejas, con el propósito de restaurar las fisuras ubicadas en el panal;</w:t>
      </w:r>
      <w:r w:rsidRPr="00E95D93">
        <w:rPr>
          <w:vertAlign w:val="superscript"/>
          <w:lang w:val="es-ES" w:eastAsia="es-PE"/>
        </w:rPr>
        <w:t>(5,8,9)</w:t>
      </w:r>
      <w:r w:rsidRPr="00E95D93">
        <w:rPr>
          <w:lang w:val="es-ES" w:eastAsia="es-PE"/>
        </w:rPr>
        <w:t xml:space="preserve"> presenta una notable acción antibacteriana sobre todo frente a las bacterias grampositivas, a causa de la compleja mezcla de metabolitos secundarios que posee.</w:t>
      </w:r>
      <w:r w:rsidRPr="00E95D93">
        <w:rPr>
          <w:vertAlign w:val="superscript"/>
          <w:lang w:val="es-ES" w:eastAsia="es-PE"/>
        </w:rPr>
        <w:t>(7,8,9,10)</w:t>
      </w:r>
      <w:r w:rsidRPr="00E95D93">
        <w:rPr>
          <w:lang w:val="es-ES" w:eastAsia="es-PE"/>
        </w:rPr>
        <w:t xml:space="preserve"> Asimismo se le atribuyen características antinflamatorias, antiparasitarias, antimicóticas, cicatrizante, entre otras.</w:t>
      </w:r>
      <w:r w:rsidRPr="00E95D93">
        <w:rPr>
          <w:vertAlign w:val="superscript"/>
          <w:lang w:val="es-ES" w:eastAsia="es-PE"/>
        </w:rPr>
        <w:t>(6,10,11,12,13)</w:t>
      </w:r>
      <w:r w:rsidRPr="00E95D93">
        <w:rPr>
          <w:lang w:val="es-ES" w:eastAsia="es-PE"/>
        </w:rPr>
        <w:t xml:space="preserve">  </w:t>
      </w:r>
    </w:p>
    <w:p w14:paraId="19DCD6D5" w14:textId="77777777" w:rsidR="00E95D93" w:rsidRPr="00E95D93" w:rsidRDefault="00E95D93" w:rsidP="00E95D93">
      <w:pPr>
        <w:spacing w:line="360" w:lineRule="auto"/>
        <w:jc w:val="both"/>
        <w:rPr>
          <w:lang w:val="es-ES" w:eastAsia="es-PE"/>
        </w:rPr>
      </w:pPr>
      <w:r w:rsidRPr="00E95D93">
        <w:rPr>
          <w:lang w:val="es-ES" w:eastAsia="es-PE"/>
        </w:rPr>
        <w:t xml:space="preserve">Rifamicina forma parte de los macrocíclicos compuestos elaborados por </w:t>
      </w:r>
      <w:r w:rsidRPr="00E95D93">
        <w:rPr>
          <w:i/>
          <w:iCs/>
          <w:lang w:val="es-ES" w:eastAsia="es-PE"/>
        </w:rPr>
        <w:t>Streptomyces mediterranei</w:t>
      </w:r>
      <w:r w:rsidRPr="00E95D93">
        <w:rPr>
          <w:lang w:val="es-ES" w:eastAsia="es-PE"/>
        </w:rPr>
        <w:t>.</w:t>
      </w:r>
      <w:r w:rsidRPr="00E95D93">
        <w:rPr>
          <w:vertAlign w:val="superscript"/>
          <w:lang w:val="es-ES" w:eastAsia="es-PE"/>
        </w:rPr>
        <w:t>(14)</w:t>
      </w:r>
      <w:r w:rsidRPr="00E95D93">
        <w:rPr>
          <w:lang w:val="es-ES" w:eastAsia="es-PE"/>
        </w:rPr>
        <w:t xml:space="preserve"> Es un antibiótico semisintético, esta adscrito a las “ansamicinas”, del equipo de las rifamicinas, se consigue de la rifamicina B como rifamicina SV para uso tópico; tiene efecto bactericida e impide la fabricación del ADN inhibiendo la transcripción de la enzima ARN-polimerasa de las bacterias sensibles y, como resultado, el comienzo de la cadena polipeptídica del ADN.</w:t>
      </w:r>
      <w:r w:rsidRPr="00E95D93">
        <w:rPr>
          <w:vertAlign w:val="superscript"/>
          <w:lang w:val="es-ES" w:eastAsia="es-PE"/>
        </w:rPr>
        <w:t>(14,15,16)</w:t>
      </w:r>
      <w:r w:rsidRPr="00E95D93">
        <w:rPr>
          <w:lang w:val="es-ES" w:eastAsia="es-PE"/>
        </w:rPr>
        <w:t xml:space="preserve"> Actúa contra microorganismos grampositivos, posee moderada acción contra gramnegativos; se utiliza en caso de heridas infectadas, quemaduras, furúnculos, piodermitis, dermatitis infectadas, úlceras varicosas y diabéticas y en asociación con apósitos para tratar heridas postquirúrgicas infectadas.</w:t>
      </w:r>
      <w:r w:rsidRPr="00E95D93">
        <w:rPr>
          <w:vertAlign w:val="superscript"/>
          <w:lang w:val="es-ES" w:eastAsia="es-PE"/>
        </w:rPr>
        <w:t>(15,16)</w:t>
      </w:r>
      <w:r w:rsidRPr="00E95D93">
        <w:rPr>
          <w:lang w:val="es-ES" w:eastAsia="es-PE"/>
        </w:rPr>
        <w:t xml:space="preserve"> Presenta buena inserción sérica y tisular.</w:t>
      </w:r>
      <w:r w:rsidRPr="00E95D93">
        <w:rPr>
          <w:vertAlign w:val="superscript"/>
          <w:lang w:val="es-ES" w:eastAsia="es-PE"/>
        </w:rPr>
        <w:t>(15,17)</w:t>
      </w:r>
      <w:r w:rsidRPr="00E95D93">
        <w:rPr>
          <w:lang w:val="es-ES" w:eastAsia="es-PE"/>
        </w:rPr>
        <w:t xml:space="preserve"> Es exclusivo para uso intravenoso o tópico.</w:t>
      </w:r>
      <w:r w:rsidRPr="00E95D93">
        <w:rPr>
          <w:vertAlign w:val="superscript"/>
          <w:lang w:val="es-ES" w:eastAsia="es-PE"/>
        </w:rPr>
        <w:t>(16,17)</w:t>
      </w:r>
      <w:r w:rsidRPr="00E95D93">
        <w:rPr>
          <w:lang w:val="es-ES" w:eastAsia="es-PE"/>
        </w:rPr>
        <w:t xml:space="preserve"> La rifamicina espray comercial, se presenta en 20 mL, cada 100 mL de solución contienen rifamicina SV 1000 mg, equivalente a 1,03186 mg de rifamicina sódica; excipientes: edetato disódico, propilenglicol, ascorbato de sodio, alcohol etílico y agua purificada.</w:t>
      </w:r>
      <w:r w:rsidRPr="00E95D93">
        <w:rPr>
          <w:vertAlign w:val="superscript"/>
          <w:lang w:val="es-ES" w:eastAsia="es-PE"/>
        </w:rPr>
        <w:t>(16,17,18)</w:t>
      </w:r>
    </w:p>
    <w:p w14:paraId="482A61A6" w14:textId="77777777" w:rsidR="00E95D93" w:rsidRPr="00E95D93" w:rsidRDefault="00E95D93" w:rsidP="00E95D93">
      <w:pPr>
        <w:spacing w:line="360" w:lineRule="auto"/>
        <w:jc w:val="both"/>
        <w:rPr>
          <w:lang w:val="es-ES" w:eastAsia="es-PE"/>
        </w:rPr>
      </w:pPr>
      <w:r w:rsidRPr="00E95D93">
        <w:rPr>
          <w:lang w:val="es-ES" w:eastAsia="es-PE"/>
        </w:rPr>
        <w:t xml:space="preserve">Las infecciones bacterianas continúan siendo un importante problema de salud pública en el mundo </w:t>
      </w:r>
      <w:proofErr w:type="gramStart"/>
      <w:r w:rsidRPr="00E95D93">
        <w:rPr>
          <w:lang w:val="es-ES" w:eastAsia="es-PE"/>
        </w:rPr>
        <w:t>entero,</w:t>
      </w:r>
      <w:r w:rsidRPr="00E95D93">
        <w:rPr>
          <w:vertAlign w:val="superscript"/>
          <w:lang w:val="es-ES" w:eastAsia="es-PE"/>
        </w:rPr>
        <w:t>(</w:t>
      </w:r>
      <w:proofErr w:type="gramEnd"/>
      <w:r w:rsidRPr="00E95D93">
        <w:rPr>
          <w:vertAlign w:val="superscript"/>
          <w:lang w:val="es-ES" w:eastAsia="es-PE"/>
        </w:rPr>
        <w:t>19,20)</w:t>
      </w:r>
      <w:r w:rsidRPr="00E95D93">
        <w:rPr>
          <w:lang w:val="es-ES" w:eastAsia="es-PE"/>
        </w:rPr>
        <w:t xml:space="preserve"> desde que se descubrieron los antibióticos, estos son utilizados de forma indiscriminada en </w:t>
      </w:r>
      <w:r w:rsidRPr="00E95D93">
        <w:rPr>
          <w:lang w:val="es-ES" w:eastAsia="es-PE"/>
        </w:rPr>
        <w:lastRenderedPageBreak/>
        <w:t>los hospitales y clínicas, lo que ha provocado la génesis de cepas microbianas resistentes.</w:t>
      </w:r>
      <w:r w:rsidRPr="00E95D93">
        <w:rPr>
          <w:vertAlign w:val="superscript"/>
          <w:lang w:val="es-ES" w:eastAsia="es-PE"/>
        </w:rPr>
        <w:t>(19,20)</w:t>
      </w:r>
      <w:r w:rsidRPr="00E95D93">
        <w:rPr>
          <w:lang w:val="es-ES" w:eastAsia="es-PE"/>
        </w:rPr>
        <w:t xml:space="preserve"> La resistencia puede ser adquirida o transmisible.</w:t>
      </w:r>
      <w:r w:rsidRPr="00E95D93">
        <w:rPr>
          <w:vertAlign w:val="superscript"/>
          <w:lang w:val="es-ES" w:eastAsia="es-PE"/>
        </w:rPr>
        <w:t>(20)</w:t>
      </w:r>
    </w:p>
    <w:p w14:paraId="1CF106F5" w14:textId="77777777" w:rsidR="00E95D93" w:rsidRPr="00E95D93" w:rsidRDefault="00E95D93" w:rsidP="00E95D93">
      <w:pPr>
        <w:spacing w:line="360" w:lineRule="auto"/>
        <w:jc w:val="both"/>
        <w:rPr>
          <w:vertAlign w:val="superscript"/>
          <w:lang w:val="es-ES" w:eastAsia="es-PE"/>
        </w:rPr>
      </w:pPr>
      <w:r w:rsidRPr="00E95D93">
        <w:rPr>
          <w:lang w:val="es-ES" w:eastAsia="es-PE"/>
        </w:rPr>
        <w:t xml:space="preserve">Un antibiótico es inhibido por variados mecanismos creados por distintos </w:t>
      </w:r>
      <w:proofErr w:type="gramStart"/>
      <w:r w:rsidRPr="00E95D93">
        <w:rPr>
          <w:lang w:val="es-ES" w:eastAsia="es-PE"/>
        </w:rPr>
        <w:t>microorganismos.</w:t>
      </w:r>
      <w:r w:rsidRPr="00E95D93">
        <w:rPr>
          <w:vertAlign w:val="superscript"/>
          <w:lang w:val="es-ES" w:eastAsia="es-PE"/>
        </w:rPr>
        <w:t>(</w:t>
      </w:r>
      <w:proofErr w:type="gramEnd"/>
      <w:r w:rsidRPr="00E95D93">
        <w:rPr>
          <w:vertAlign w:val="superscript"/>
          <w:lang w:val="es-ES" w:eastAsia="es-PE"/>
        </w:rPr>
        <w:t>19,20)</w:t>
      </w:r>
      <w:r w:rsidRPr="00E95D93">
        <w:rPr>
          <w:lang w:val="es-ES" w:eastAsia="es-PE"/>
        </w:rPr>
        <w:t xml:space="preserve"> </w:t>
      </w:r>
      <w:bookmarkStart w:id="2" w:name="_Hlk70198483"/>
      <w:r w:rsidRPr="00E95D93">
        <w:rPr>
          <w:lang w:val="es-ES" w:eastAsia="es-PE"/>
        </w:rPr>
        <w:t>Por esta razón, en medicina militar se deben buscar alternativas de mezclas</w:t>
      </w:r>
      <w:r w:rsidRPr="00E95D93">
        <w:rPr>
          <w:color w:val="FF0000"/>
          <w:lang w:val="es-ES" w:eastAsia="es-PE"/>
        </w:rPr>
        <w:t xml:space="preserve"> </w:t>
      </w:r>
      <w:r w:rsidRPr="00E95D93">
        <w:rPr>
          <w:lang w:val="es-ES" w:eastAsia="es-PE"/>
        </w:rPr>
        <w:t>de antibióticos semisintéticos con productos naturales, que cuenten con estudios sistematizados y validados, de baja toxicidad,</w:t>
      </w:r>
      <w:r w:rsidRPr="00E95D93">
        <w:rPr>
          <w:vertAlign w:val="superscript"/>
          <w:lang w:val="es-ES" w:eastAsia="es-PE"/>
        </w:rPr>
        <w:t>(1,8,9,10)</w:t>
      </w:r>
      <w:r w:rsidRPr="00E95D93">
        <w:rPr>
          <w:lang w:val="es-ES" w:eastAsia="es-PE"/>
        </w:rPr>
        <w:t xml:space="preserve"> que no originen resistencia y que puedan erradicar los microorganismos causantes de las infecciones tópicas.</w:t>
      </w:r>
      <w:r w:rsidRPr="00E95D93">
        <w:rPr>
          <w:vertAlign w:val="superscript"/>
          <w:lang w:val="es-ES" w:eastAsia="es-PE"/>
        </w:rPr>
        <w:t>(10,21)</w:t>
      </w:r>
    </w:p>
    <w:bookmarkEnd w:id="2"/>
    <w:p w14:paraId="65A49CD3" w14:textId="77777777" w:rsidR="00E95D93" w:rsidRPr="00E95D93" w:rsidRDefault="00E95D93" w:rsidP="00E95D93">
      <w:pPr>
        <w:spacing w:line="360" w:lineRule="auto"/>
        <w:jc w:val="both"/>
        <w:rPr>
          <w:vertAlign w:val="superscript"/>
          <w:lang w:val="es-ES" w:eastAsia="es-PE"/>
        </w:rPr>
      </w:pPr>
      <w:r w:rsidRPr="00E95D93">
        <w:rPr>
          <w:lang w:val="es-ES" w:eastAsia="es-PE"/>
        </w:rPr>
        <w:t>El objetivo de la investigación es evaluar el efecto antibacteriano sinérgico de rifamicina en propóleo sobre bacterias grampositivas.</w:t>
      </w:r>
    </w:p>
    <w:p w14:paraId="772130DA" w14:textId="77777777" w:rsidR="00E95D93" w:rsidRPr="00E95D93" w:rsidRDefault="00E95D93" w:rsidP="00E95D93">
      <w:pPr>
        <w:spacing w:line="360" w:lineRule="auto"/>
        <w:jc w:val="both"/>
        <w:rPr>
          <w:bCs/>
          <w:lang w:val="es-ES" w:eastAsia="en-US"/>
        </w:rPr>
      </w:pPr>
    </w:p>
    <w:p w14:paraId="4F5C121B" w14:textId="77777777" w:rsidR="00E95D93" w:rsidRPr="00E95D93" w:rsidRDefault="00E95D93" w:rsidP="00E95D93">
      <w:pPr>
        <w:spacing w:line="360" w:lineRule="auto"/>
        <w:jc w:val="both"/>
        <w:rPr>
          <w:bCs/>
          <w:lang w:val="es-ES" w:eastAsia="en-US"/>
        </w:rPr>
      </w:pPr>
    </w:p>
    <w:p w14:paraId="1A2F79D7" w14:textId="77777777" w:rsidR="00E95D93" w:rsidRPr="00E95D93" w:rsidRDefault="00E95D93" w:rsidP="00E95D93">
      <w:pPr>
        <w:spacing w:line="360" w:lineRule="auto"/>
        <w:jc w:val="center"/>
        <w:rPr>
          <w:b/>
          <w:bCs/>
          <w:caps/>
          <w:sz w:val="32"/>
          <w:szCs w:val="32"/>
          <w:lang w:val="es-ES" w:eastAsia="en-US"/>
        </w:rPr>
      </w:pPr>
      <w:r w:rsidRPr="00E95D93">
        <w:rPr>
          <w:b/>
          <w:bCs/>
          <w:caps/>
          <w:sz w:val="32"/>
          <w:szCs w:val="32"/>
          <w:lang w:val="es-ES" w:eastAsia="en-US"/>
        </w:rPr>
        <w:t>métodos</w:t>
      </w:r>
    </w:p>
    <w:p w14:paraId="2A61F364" w14:textId="77777777" w:rsidR="00E95D93" w:rsidRPr="00E95D93" w:rsidRDefault="00E95D93" w:rsidP="00E95D93">
      <w:pPr>
        <w:spacing w:line="360" w:lineRule="auto"/>
        <w:jc w:val="both"/>
        <w:rPr>
          <w:vertAlign w:val="superscript"/>
          <w:lang w:val="es-ES" w:eastAsia="en-US"/>
        </w:rPr>
      </w:pPr>
      <w:r w:rsidRPr="00E95D93">
        <w:rPr>
          <w:lang w:val="es-ES" w:eastAsia="en-US"/>
        </w:rPr>
        <w:t xml:space="preserve">El trabajo de investigación es experimental, in vitro y comparativo. La recolección del propóleo fue </w:t>
      </w:r>
      <w:proofErr w:type="gramStart"/>
      <w:r w:rsidRPr="00E95D93">
        <w:rPr>
          <w:lang w:val="es-ES" w:eastAsia="en-US"/>
        </w:rPr>
        <w:t>artesanal,</w:t>
      </w:r>
      <w:r w:rsidRPr="00E95D93">
        <w:rPr>
          <w:vertAlign w:val="superscript"/>
          <w:lang w:val="es-ES" w:eastAsia="en-US"/>
        </w:rPr>
        <w:t>(</w:t>
      </w:r>
      <w:proofErr w:type="gramEnd"/>
      <w:r w:rsidRPr="00E95D93">
        <w:rPr>
          <w:vertAlign w:val="superscript"/>
          <w:lang w:val="es-ES" w:eastAsia="en-US"/>
        </w:rPr>
        <w:t>2)</w:t>
      </w:r>
      <w:r w:rsidRPr="00E95D93">
        <w:rPr>
          <w:lang w:val="es-ES" w:eastAsia="en-US"/>
        </w:rPr>
        <w:t xml:space="preserve"> en los meses de junio a agosto del 2019 y aleatorizada, en 15 colmenas de la comunidad campesina de Pargay en Perú.</w:t>
      </w:r>
      <w:r w:rsidRPr="00E95D93">
        <w:rPr>
          <w:vertAlign w:val="superscript"/>
          <w:lang w:val="es-ES" w:eastAsia="en-US"/>
        </w:rPr>
        <w:t>(22)</w:t>
      </w:r>
      <w:r w:rsidRPr="00E95D93">
        <w:rPr>
          <w:lang w:val="es-ES" w:eastAsia="en-US"/>
        </w:rPr>
        <w:t xml:space="preserve"> </w:t>
      </w:r>
    </w:p>
    <w:p w14:paraId="0AC30558" w14:textId="77777777" w:rsidR="00E95D93" w:rsidRPr="00E95D93" w:rsidRDefault="00E95D93" w:rsidP="00E95D93">
      <w:pPr>
        <w:spacing w:line="360" w:lineRule="auto"/>
        <w:jc w:val="both"/>
        <w:rPr>
          <w:vertAlign w:val="superscript"/>
          <w:lang w:val="es-ES" w:eastAsia="es-PE"/>
        </w:rPr>
      </w:pPr>
      <w:r w:rsidRPr="00E95D93">
        <w:rPr>
          <w:lang w:val="es-ES" w:eastAsia="es-PE"/>
        </w:rPr>
        <w:t xml:space="preserve">Las muestras fueron clasificadas y estabilizadas en el laboratorio de investigación y desarrollo farmacéutico de la Universidad Inca Garcilaso de la Vega. El propóleo fue limpiado, pesado, sometido a una temperatura de </w:t>
      </w:r>
      <w:smartTag w:uri="urn:schemas-microsoft-com:office:smarttags" w:element="metricconverter">
        <w:smartTagPr>
          <w:attr w:name="ProductID" w:val="4 °C"/>
        </w:smartTagPr>
        <w:r w:rsidRPr="00E95D93">
          <w:rPr>
            <w:lang w:val="es-ES" w:eastAsia="en-US"/>
          </w:rPr>
          <w:t>4 °C</w:t>
        </w:r>
      </w:smartTag>
      <w:r w:rsidRPr="00E95D93">
        <w:rPr>
          <w:lang w:val="es-ES" w:eastAsia="en-US"/>
        </w:rPr>
        <w:t xml:space="preserve"> ± </w:t>
      </w:r>
      <w:smartTag w:uri="urn:schemas-microsoft-com:office:smarttags" w:element="metricconverter">
        <w:smartTagPr>
          <w:attr w:name="ProductID" w:val="2 ºC"/>
        </w:smartTagPr>
        <w:r w:rsidRPr="00E95D93">
          <w:rPr>
            <w:lang w:val="es-ES" w:eastAsia="en-US"/>
          </w:rPr>
          <w:t>2 ºC</w:t>
        </w:r>
      </w:smartTag>
      <w:r w:rsidRPr="00E95D93">
        <w:rPr>
          <w:lang w:val="es-ES" w:eastAsia="en-US"/>
        </w:rPr>
        <w:t xml:space="preserve"> por </w:t>
      </w:r>
      <w:r w:rsidRPr="00E95D93">
        <w:rPr>
          <w:lang w:val="es-ES" w:eastAsia="es-PE"/>
        </w:rPr>
        <w:t xml:space="preserve">12 h, luego fue trozado en pedazos pequeños a manera de un polvo </w:t>
      </w:r>
      <w:proofErr w:type="gramStart"/>
      <w:r w:rsidRPr="00E95D93">
        <w:rPr>
          <w:lang w:val="es-ES" w:eastAsia="es-PE"/>
        </w:rPr>
        <w:t>fino.</w:t>
      </w:r>
      <w:r w:rsidRPr="00E95D93">
        <w:rPr>
          <w:vertAlign w:val="superscript"/>
          <w:lang w:val="es-ES" w:eastAsia="es-PE"/>
        </w:rPr>
        <w:t>(</w:t>
      </w:r>
      <w:proofErr w:type="gramEnd"/>
      <w:r w:rsidRPr="00E95D93">
        <w:rPr>
          <w:vertAlign w:val="superscript"/>
          <w:lang w:val="es-ES" w:eastAsia="es-PE"/>
        </w:rPr>
        <w:t>7,8,9)</w:t>
      </w:r>
    </w:p>
    <w:p w14:paraId="76B0B56A" w14:textId="77777777" w:rsidR="00E95D93" w:rsidRPr="00E95D93" w:rsidRDefault="00E95D93" w:rsidP="00E95D93">
      <w:pPr>
        <w:spacing w:line="360" w:lineRule="auto"/>
        <w:jc w:val="both"/>
        <w:rPr>
          <w:lang w:val="es-ES" w:eastAsia="es-PE"/>
        </w:rPr>
      </w:pPr>
      <w:r w:rsidRPr="00E95D93">
        <w:rPr>
          <w:lang w:val="es-ES" w:eastAsia="en-US"/>
        </w:rPr>
        <w:t xml:space="preserve">Después se procedió a elaborar los extractos etanólicos con alcohol etílico al 96 % por 15 días, con movimiento cada 12 h; luego se realizó la filtración con papel Whatman Nº 40 y se dispuso en un horno a </w:t>
      </w:r>
      <w:smartTag w:uri="urn:schemas-microsoft-com:office:smarttags" w:element="metricconverter">
        <w:smartTagPr>
          <w:attr w:name="ProductID" w:val="40 °C"/>
        </w:smartTagPr>
        <w:r w:rsidRPr="00E95D93">
          <w:rPr>
            <w:lang w:val="es-ES" w:eastAsia="en-US"/>
          </w:rPr>
          <w:t>40 °C</w:t>
        </w:r>
      </w:smartTag>
      <w:r w:rsidRPr="00E95D93">
        <w:rPr>
          <w:lang w:val="es-ES" w:eastAsia="en-US"/>
        </w:rPr>
        <w:t xml:space="preserve"> ± </w:t>
      </w:r>
      <w:smartTag w:uri="urn:schemas-microsoft-com:office:smarttags" w:element="metricconverter">
        <w:smartTagPr>
          <w:attr w:name="ProductID" w:val="2 ºC"/>
        </w:smartTagPr>
        <w:r w:rsidRPr="00E95D93">
          <w:rPr>
            <w:lang w:val="es-ES" w:eastAsia="en-US"/>
          </w:rPr>
          <w:t>2 ºC</w:t>
        </w:r>
      </w:smartTag>
      <w:r w:rsidRPr="00E95D93">
        <w:rPr>
          <w:lang w:val="es-ES" w:eastAsia="en-US"/>
        </w:rPr>
        <w:t xml:space="preserve"> hasta consumir el alcohol y lograr un peso seco constante; después se guardó en un envase de vidrio oscuro con tapa de </w:t>
      </w:r>
      <w:proofErr w:type="gramStart"/>
      <w:r w:rsidRPr="00E95D93">
        <w:rPr>
          <w:lang w:val="es-ES" w:eastAsia="en-US"/>
        </w:rPr>
        <w:t>rosca.</w:t>
      </w:r>
      <w:r w:rsidRPr="00E95D93">
        <w:rPr>
          <w:vertAlign w:val="superscript"/>
          <w:lang w:val="es-ES" w:eastAsia="en-US"/>
        </w:rPr>
        <w:t>(</w:t>
      </w:r>
      <w:proofErr w:type="gramEnd"/>
      <w:r w:rsidRPr="00E95D93">
        <w:rPr>
          <w:vertAlign w:val="superscript"/>
          <w:lang w:val="es-ES" w:eastAsia="en-US"/>
        </w:rPr>
        <w:t>7,9,11)</w:t>
      </w:r>
      <w:r w:rsidRPr="00E95D93">
        <w:rPr>
          <w:lang w:val="es-ES" w:eastAsia="en-US"/>
        </w:rPr>
        <w:t xml:space="preserve"> Se conservó en refrigerador a </w:t>
      </w:r>
      <w:smartTag w:uri="urn:schemas-microsoft-com:office:smarttags" w:element="metricconverter">
        <w:smartTagPr>
          <w:attr w:name="ProductID" w:val="4 °C"/>
        </w:smartTagPr>
        <w:r w:rsidRPr="00E95D93">
          <w:rPr>
            <w:lang w:val="es-ES" w:eastAsia="en-US"/>
          </w:rPr>
          <w:t>4 °C</w:t>
        </w:r>
      </w:smartTag>
      <w:r w:rsidRPr="00E95D93">
        <w:rPr>
          <w:lang w:val="es-ES" w:eastAsia="en-US"/>
        </w:rPr>
        <w:t xml:space="preserve"> ± </w:t>
      </w:r>
      <w:smartTag w:uri="urn:schemas-microsoft-com:office:smarttags" w:element="metricconverter">
        <w:smartTagPr>
          <w:attr w:name="ProductID" w:val="2 ºC"/>
        </w:smartTagPr>
        <w:r w:rsidRPr="00E95D93">
          <w:rPr>
            <w:lang w:val="es-ES" w:eastAsia="en-US"/>
          </w:rPr>
          <w:t>2 ºC</w:t>
        </w:r>
      </w:smartTag>
      <w:r w:rsidRPr="00E95D93">
        <w:rPr>
          <w:lang w:val="es-ES" w:eastAsia="en-US"/>
        </w:rPr>
        <w:t xml:space="preserve"> hasta su uso.</w:t>
      </w:r>
      <w:r w:rsidRPr="00E95D93">
        <w:rPr>
          <w:vertAlign w:val="superscript"/>
          <w:lang w:val="es-ES" w:eastAsia="en-US"/>
        </w:rPr>
        <w:t>(9,10,11)</w:t>
      </w:r>
    </w:p>
    <w:p w14:paraId="742CA967" w14:textId="77777777" w:rsidR="00E95D93" w:rsidRPr="00E95D93" w:rsidRDefault="00E95D93" w:rsidP="00E95D93">
      <w:pPr>
        <w:spacing w:line="360" w:lineRule="auto"/>
        <w:jc w:val="both"/>
        <w:rPr>
          <w:rFonts w:eastAsia="Calibri"/>
          <w:bCs/>
          <w:lang w:val="es-ES" w:eastAsia="en-US"/>
        </w:rPr>
      </w:pPr>
      <w:r w:rsidRPr="00E95D93">
        <w:rPr>
          <w:lang w:val="es-ES" w:eastAsia="es-PE"/>
        </w:rPr>
        <w:t>Los metabolitos secundarios se reconocieron mediante la evaluación fitoquímica preliminar, por métodos químicos de reacción por coloración y precipitación, como: Molish (hidrato de carbono), ninhidrina (aminoácidos libres), Dragendorf (alcaloides), Shinoda (flavonoides), tricloruro férrico (compuestos fenólicos), gelatina - sal (taninos), Rosenheim (antocianinas), Lieberman - Burchard (esteroides y triterpenoides), Bornträger (antraquinonas), Legal y Baljet (lactonas sesquiterpénicas), KOH 0,5 M y UV (cumarinas) y el test de espuma (saponinas).</w:t>
      </w:r>
      <w:r w:rsidRPr="00E95D93">
        <w:rPr>
          <w:vertAlign w:val="superscript"/>
          <w:lang w:val="es-ES" w:eastAsia="es-PE"/>
        </w:rPr>
        <w:t>(23,24)</w:t>
      </w:r>
    </w:p>
    <w:p w14:paraId="706BC508" w14:textId="77777777" w:rsidR="00E95D93" w:rsidRPr="00E95D93" w:rsidRDefault="00E95D93" w:rsidP="00E95D93">
      <w:pPr>
        <w:autoSpaceDE w:val="0"/>
        <w:autoSpaceDN w:val="0"/>
        <w:adjustRightInd w:val="0"/>
        <w:spacing w:line="360" w:lineRule="auto"/>
        <w:jc w:val="both"/>
        <w:rPr>
          <w:lang w:val="es-ES" w:eastAsia="en-US"/>
        </w:rPr>
      </w:pPr>
      <w:r w:rsidRPr="00E95D93">
        <w:rPr>
          <w:lang w:val="es-ES" w:eastAsia="en-US"/>
        </w:rPr>
        <w:lastRenderedPageBreak/>
        <w:t xml:space="preserve">La reactivación del </w:t>
      </w:r>
      <w:r w:rsidRPr="00E95D93">
        <w:rPr>
          <w:i/>
          <w:lang w:val="es-ES" w:eastAsia="en-US"/>
        </w:rPr>
        <w:t>Staphylococcus aureus</w:t>
      </w:r>
      <w:r w:rsidRPr="00E95D93">
        <w:rPr>
          <w:lang w:val="es-ES" w:eastAsia="en-US"/>
        </w:rPr>
        <w:t xml:space="preserve"> (ATCC 25923) y </w:t>
      </w:r>
      <w:r w:rsidRPr="00E95D93">
        <w:rPr>
          <w:i/>
          <w:lang w:val="es-ES" w:eastAsia="en-US"/>
        </w:rPr>
        <w:t xml:space="preserve">Streptococcus pyogenes </w:t>
      </w:r>
      <w:r w:rsidRPr="00E95D93">
        <w:rPr>
          <w:iCs/>
          <w:lang w:val="es-ES" w:eastAsia="en-US"/>
        </w:rPr>
        <w:t>(ATCC 19615)</w:t>
      </w:r>
      <w:r w:rsidRPr="00E95D93">
        <w:rPr>
          <w:i/>
          <w:lang w:val="es-ES" w:eastAsia="en-US"/>
        </w:rPr>
        <w:t xml:space="preserve"> </w:t>
      </w:r>
      <w:r w:rsidRPr="00E95D93">
        <w:rPr>
          <w:lang w:val="es-ES" w:eastAsia="en-US"/>
        </w:rPr>
        <w:t>se realizó según el Clinical and Laboratory Standards Institute,</w:t>
      </w:r>
      <w:r w:rsidRPr="00E95D93">
        <w:rPr>
          <w:vertAlign w:val="superscript"/>
          <w:lang w:val="es-ES" w:eastAsia="en-US"/>
        </w:rPr>
        <w:t>(25)</w:t>
      </w:r>
      <w:r w:rsidRPr="00E95D93">
        <w:rPr>
          <w:lang w:val="es-ES" w:eastAsia="en-US"/>
        </w:rPr>
        <w:t xml:space="preserve"> se utilizó el Agar Mueller – Hinton (</w:t>
      </w:r>
      <w:r w:rsidRPr="00E95D93">
        <w:rPr>
          <w:i/>
          <w:iCs/>
          <w:lang w:val="es-ES" w:eastAsia="en-US"/>
        </w:rPr>
        <w:t>Britania</w:t>
      </w:r>
      <w:r w:rsidRPr="00E95D93">
        <w:rPr>
          <w:vertAlign w:val="superscript"/>
          <w:lang w:val="es-ES" w:eastAsia="en-US"/>
        </w:rPr>
        <w:t>®</w:t>
      </w:r>
      <w:r w:rsidRPr="00E95D93">
        <w:rPr>
          <w:lang w:val="es-ES" w:eastAsia="en-US"/>
        </w:rPr>
        <w:t>),</w:t>
      </w:r>
      <w:r w:rsidRPr="00E95D93">
        <w:rPr>
          <w:vertAlign w:val="superscript"/>
          <w:lang w:val="es-ES" w:eastAsia="en-US"/>
        </w:rPr>
        <w:t>(26)</w:t>
      </w:r>
      <w:r w:rsidRPr="00E95D93">
        <w:rPr>
          <w:lang w:val="es-ES" w:eastAsia="en-US"/>
        </w:rPr>
        <w:t xml:space="preserve"> se realizó la técnica de siembra por estría escocesa para obtener colonias bien separadas y se llevó a la incubadora en posición invertida a 37 °C por 24 horas.</w:t>
      </w:r>
      <w:r w:rsidRPr="00E95D93">
        <w:rPr>
          <w:vertAlign w:val="superscript"/>
          <w:lang w:val="es-ES" w:eastAsia="en-US"/>
        </w:rPr>
        <w:t>(13,27)</w:t>
      </w:r>
      <w:r w:rsidRPr="00E95D93">
        <w:rPr>
          <w:lang w:val="es-ES" w:eastAsia="en-US"/>
        </w:rPr>
        <w:t xml:space="preserve"> En la elaboración del inóculo, se utilizaron 5 colonias aisladas de la resiembra en Agar Mueller – Hinton suplementado con 5 % de sangre de carnero y detalladas con un hisopo estéril y se transfirieron en 3 mL de medio líquido infusión cerebro corazón (</w:t>
      </w:r>
      <w:r w:rsidRPr="00E95D93">
        <w:rPr>
          <w:i/>
          <w:iCs/>
          <w:lang w:val="es-ES" w:eastAsia="en-US"/>
        </w:rPr>
        <w:t>Britania</w:t>
      </w:r>
      <w:r w:rsidRPr="00E95D93">
        <w:rPr>
          <w:vertAlign w:val="superscript"/>
          <w:lang w:val="es-ES" w:eastAsia="en-US"/>
        </w:rPr>
        <w:t>®</w:t>
      </w:r>
      <w:r w:rsidRPr="00E95D93">
        <w:rPr>
          <w:lang w:val="es-ES" w:eastAsia="en-US"/>
        </w:rPr>
        <w:t>),</w:t>
      </w:r>
      <w:r w:rsidRPr="00E95D93">
        <w:rPr>
          <w:vertAlign w:val="superscript"/>
          <w:lang w:val="es-ES" w:eastAsia="en-US"/>
        </w:rPr>
        <w:t>(26)</w:t>
      </w:r>
      <w:r w:rsidRPr="00E95D93">
        <w:rPr>
          <w:lang w:val="es-ES" w:eastAsia="en-US"/>
        </w:rPr>
        <w:t xml:space="preserve"> a 37 °C por 3 horas hasta alcanzar una opalescencia razonable.</w:t>
      </w:r>
      <w:r w:rsidRPr="00E95D93">
        <w:rPr>
          <w:vertAlign w:val="superscript"/>
          <w:lang w:val="es-ES" w:eastAsia="en-US"/>
        </w:rPr>
        <w:t>(8,25)</w:t>
      </w:r>
    </w:p>
    <w:p w14:paraId="7172C468" w14:textId="77777777" w:rsidR="00E95D93" w:rsidRPr="00E95D93" w:rsidRDefault="00E95D93" w:rsidP="00E95D93">
      <w:pPr>
        <w:autoSpaceDE w:val="0"/>
        <w:autoSpaceDN w:val="0"/>
        <w:adjustRightInd w:val="0"/>
        <w:spacing w:line="360" w:lineRule="auto"/>
        <w:jc w:val="both"/>
        <w:rPr>
          <w:lang w:val="es-ES" w:eastAsia="en-US"/>
        </w:rPr>
      </w:pPr>
      <w:r w:rsidRPr="00E95D93">
        <w:rPr>
          <w:lang w:val="es-ES" w:eastAsia="en-US"/>
        </w:rPr>
        <w:t>Se normalizó la densidad del inóculo por medio de espectrofotometría a 620 nm correlacionandola con la densidad estándar del tubo 0,5 del patrón Mc Farland en condición de esterilidad, se obteniene como producto una suspensión de 1-2 x 10</w:t>
      </w:r>
      <w:r w:rsidRPr="00E95D93">
        <w:rPr>
          <w:vertAlign w:val="superscript"/>
          <w:lang w:val="es-ES" w:eastAsia="en-US"/>
        </w:rPr>
        <w:t>8</w:t>
      </w:r>
      <w:r w:rsidRPr="00E95D93">
        <w:rPr>
          <w:lang w:val="es-ES" w:eastAsia="en-US"/>
        </w:rPr>
        <w:t xml:space="preserve"> UFC/</w:t>
      </w:r>
      <w:proofErr w:type="gramStart"/>
      <w:r w:rsidRPr="00E95D93">
        <w:rPr>
          <w:lang w:val="es-ES" w:eastAsia="en-US"/>
        </w:rPr>
        <w:t>mL.</w:t>
      </w:r>
      <w:r w:rsidRPr="00E95D93">
        <w:rPr>
          <w:vertAlign w:val="superscript"/>
          <w:lang w:val="es-ES" w:eastAsia="en-US"/>
        </w:rPr>
        <w:t>(</w:t>
      </w:r>
      <w:proofErr w:type="gramEnd"/>
      <w:r w:rsidRPr="00E95D93">
        <w:rPr>
          <w:vertAlign w:val="superscript"/>
          <w:lang w:val="es-ES" w:eastAsia="en-US"/>
        </w:rPr>
        <w:t>8,25,27)</w:t>
      </w:r>
    </w:p>
    <w:p w14:paraId="5AE5B766" w14:textId="77777777" w:rsidR="00E95D93" w:rsidRPr="00E95D93" w:rsidRDefault="00E95D93" w:rsidP="00E95D93">
      <w:pPr>
        <w:spacing w:line="360" w:lineRule="auto"/>
        <w:jc w:val="both"/>
        <w:rPr>
          <w:lang w:val="es-ES" w:eastAsia="en-US"/>
        </w:rPr>
      </w:pPr>
      <w:r w:rsidRPr="00E95D93">
        <w:rPr>
          <w:lang w:val="es-ES" w:eastAsia="en-US"/>
        </w:rPr>
        <w:t>Para la habilitación de los discos, con anticipación se preparon soluciones etanólicas de propóleo al 20 %, 40 % y rifamicina al 0,5 % (a partir de rifamicina espray comercial al 1 %); para el caso del grupo VI, se realizó una mezcla de rifamicina al 1 % en propóleo al 40 % (1:1); luego se tomó 1 mL de las soluciones de cada grupo y se llevaron a tubos de ensayo de 13 x 100 mm; después se dispuso dentro de los mismos discos de papel filtro Whatman N° 3 estériles de 6 milímetros de diámetro por 24 horas en refrigeración (4 °C ± 2 ºC), con agitación cada seis horas hasta su posterior uso.</w:t>
      </w:r>
      <w:r w:rsidRPr="00E95D93">
        <w:rPr>
          <w:vertAlign w:val="superscript"/>
          <w:lang w:val="es-ES" w:eastAsia="en-US"/>
        </w:rPr>
        <w:t>(4,8,13)</w:t>
      </w:r>
    </w:p>
    <w:p w14:paraId="39B9BA5E" w14:textId="77777777" w:rsidR="00E95D93" w:rsidRPr="00E95D93" w:rsidRDefault="00E95D93" w:rsidP="00E95D93">
      <w:pPr>
        <w:autoSpaceDE w:val="0"/>
        <w:autoSpaceDN w:val="0"/>
        <w:adjustRightInd w:val="0"/>
        <w:spacing w:line="360" w:lineRule="auto"/>
        <w:jc w:val="both"/>
        <w:rPr>
          <w:lang w:val="es-ES" w:eastAsia="en-US"/>
        </w:rPr>
      </w:pPr>
      <w:r w:rsidRPr="00E95D93">
        <w:rPr>
          <w:lang w:val="es-ES" w:eastAsia="en-US"/>
        </w:rPr>
        <w:t xml:space="preserve">El ensayo in vitro se hizo en el laboratorio de investigación y desarrollo farmacéutico, se siguieron de manera metódica las directivas de </w:t>
      </w:r>
      <w:proofErr w:type="gramStart"/>
      <w:r w:rsidRPr="00E95D93">
        <w:rPr>
          <w:lang w:val="es-ES" w:eastAsia="en-US"/>
        </w:rPr>
        <w:t>bioseguridad.</w:t>
      </w:r>
      <w:r w:rsidRPr="00E95D93">
        <w:rPr>
          <w:vertAlign w:val="superscript"/>
          <w:lang w:val="es-ES" w:eastAsia="en-US"/>
        </w:rPr>
        <w:t>(</w:t>
      </w:r>
      <w:proofErr w:type="gramEnd"/>
      <w:r w:rsidRPr="00E95D93">
        <w:rPr>
          <w:vertAlign w:val="superscript"/>
          <w:lang w:val="es-ES" w:eastAsia="en-US"/>
        </w:rPr>
        <w:t>28,29)</w:t>
      </w:r>
      <w:r w:rsidRPr="00E95D93">
        <w:rPr>
          <w:lang w:val="es-ES" w:eastAsia="en-US"/>
        </w:rPr>
        <w:t xml:space="preserve"> Se utilizaron placas de Petri que contenían entre 20 a 25 mL de Agar Mueller – Hinton, las cuales fueron preparadas y estandarizadas con antelación según las especificaciones de </w:t>
      </w:r>
      <w:r w:rsidRPr="00E95D93">
        <w:rPr>
          <w:lang w:val="es-ES" w:eastAsia="es-PE"/>
        </w:rPr>
        <w:t>Britania</w:t>
      </w:r>
      <w:r w:rsidRPr="00E95D93">
        <w:rPr>
          <w:vertAlign w:val="superscript"/>
          <w:lang w:val="es-ES" w:eastAsia="es-PE"/>
        </w:rPr>
        <w:t>®</w:t>
      </w:r>
      <w:r w:rsidRPr="00E95D93">
        <w:rPr>
          <w:lang w:val="es-ES" w:eastAsia="es-PE"/>
        </w:rPr>
        <w:t>.</w:t>
      </w:r>
      <w:r w:rsidRPr="00E95D93">
        <w:rPr>
          <w:vertAlign w:val="superscript"/>
          <w:lang w:val="es-ES" w:eastAsia="es-PE"/>
        </w:rPr>
        <w:t xml:space="preserve">(26,27,28) </w:t>
      </w:r>
      <w:r w:rsidRPr="00E95D93">
        <w:rPr>
          <w:lang w:val="es-ES" w:eastAsia="en-US"/>
        </w:rPr>
        <w:t xml:space="preserve">Se realizaron </w:t>
      </w:r>
    </w:p>
    <w:p w14:paraId="252F7AB9" w14:textId="77777777" w:rsidR="00E95D93" w:rsidRPr="00E95D93" w:rsidRDefault="00E95D93" w:rsidP="00E95D93">
      <w:pPr>
        <w:autoSpaceDE w:val="0"/>
        <w:autoSpaceDN w:val="0"/>
        <w:adjustRightInd w:val="0"/>
        <w:spacing w:line="360" w:lineRule="auto"/>
        <w:jc w:val="both"/>
        <w:rPr>
          <w:lang w:val="es-ES" w:eastAsia="en-US"/>
        </w:rPr>
      </w:pPr>
      <w:r w:rsidRPr="00E95D93">
        <w:rPr>
          <w:lang w:val="es-ES" w:eastAsia="en-US"/>
        </w:rPr>
        <w:t xml:space="preserve">96 siembras (48 siembras para cada especie bacteriana) y se distribuyeron en 6 grupos de n = 8 placas, empleando hisopos estériles, los cuales se sumergieron en los inóculos estandarizados para cada cepa al 0,5 del patrón </w:t>
      </w:r>
      <w:proofErr w:type="gramStart"/>
      <w:r w:rsidRPr="00E95D93">
        <w:rPr>
          <w:lang w:val="es-ES" w:eastAsia="en-US"/>
        </w:rPr>
        <w:t>McFarland.</w:t>
      </w:r>
      <w:r w:rsidRPr="00E95D93">
        <w:rPr>
          <w:vertAlign w:val="superscript"/>
          <w:lang w:val="es-ES" w:eastAsia="en-US"/>
        </w:rPr>
        <w:t>(</w:t>
      </w:r>
      <w:proofErr w:type="gramEnd"/>
      <w:r w:rsidRPr="00E95D93">
        <w:rPr>
          <w:vertAlign w:val="superscript"/>
          <w:lang w:val="es-ES" w:eastAsia="en-US"/>
        </w:rPr>
        <w:t>25,27)</w:t>
      </w:r>
      <w:r w:rsidRPr="00E95D93">
        <w:rPr>
          <w:lang w:val="es-ES" w:eastAsia="en-US"/>
        </w:rPr>
        <w:t xml:space="preserve"> El estriado se realizó de manera paralela y compacta, se rodea todo el diámetro del medio de cultivo, se repite la actividad girando el medio 60 ° dos veces más y se deja en reposo por 10 minutos antes de adicionar los discos.</w:t>
      </w:r>
      <w:r w:rsidRPr="00E95D93">
        <w:rPr>
          <w:vertAlign w:val="superscript"/>
          <w:lang w:val="es-ES" w:eastAsia="en-US"/>
        </w:rPr>
        <w:t>(8,10,28)</w:t>
      </w:r>
    </w:p>
    <w:p w14:paraId="2983C521" w14:textId="77777777" w:rsidR="00E95D93" w:rsidRPr="00E95D93" w:rsidRDefault="00E95D93" w:rsidP="00E95D93">
      <w:pPr>
        <w:autoSpaceDE w:val="0"/>
        <w:autoSpaceDN w:val="0"/>
        <w:adjustRightInd w:val="0"/>
        <w:spacing w:line="360" w:lineRule="auto"/>
        <w:jc w:val="both"/>
        <w:rPr>
          <w:vertAlign w:val="superscript"/>
          <w:lang w:val="es-ES" w:eastAsia="en-US"/>
        </w:rPr>
      </w:pPr>
      <w:r w:rsidRPr="00E95D93">
        <w:rPr>
          <w:lang w:val="es-ES" w:eastAsia="en-US"/>
        </w:rPr>
        <w:t xml:space="preserve">Se dispensaron los discos en los medios, empleando una pinza quirúrgica a 15 mm del borde de la placa de Petri, tocando con poca intensidad la superficie para facilitar su adhesión; se ubicaron 4 discos por placa y todo el proceso se desarrolló en un ambiente </w:t>
      </w:r>
      <w:proofErr w:type="gramStart"/>
      <w:r w:rsidRPr="00E95D93">
        <w:rPr>
          <w:lang w:val="es-ES" w:eastAsia="en-US"/>
        </w:rPr>
        <w:t>estéril.</w:t>
      </w:r>
      <w:r w:rsidRPr="00E95D93">
        <w:rPr>
          <w:vertAlign w:val="superscript"/>
          <w:lang w:val="es-ES" w:eastAsia="en-US"/>
        </w:rPr>
        <w:t>(</w:t>
      </w:r>
      <w:proofErr w:type="gramEnd"/>
      <w:r w:rsidRPr="00E95D93">
        <w:rPr>
          <w:vertAlign w:val="superscript"/>
          <w:lang w:val="es-ES" w:eastAsia="en-US"/>
        </w:rPr>
        <w:t>10,25,28,29)</w:t>
      </w:r>
    </w:p>
    <w:p w14:paraId="3F2E4620" w14:textId="77777777" w:rsidR="00E95D93" w:rsidRPr="00E95D93" w:rsidRDefault="00E95D93" w:rsidP="00E95D93">
      <w:pPr>
        <w:autoSpaceDE w:val="0"/>
        <w:autoSpaceDN w:val="0"/>
        <w:adjustRightInd w:val="0"/>
        <w:spacing w:line="360" w:lineRule="auto"/>
        <w:jc w:val="both"/>
        <w:rPr>
          <w:lang w:val="es-ES" w:eastAsia="es-PE"/>
        </w:rPr>
      </w:pPr>
      <w:r w:rsidRPr="00E95D93">
        <w:rPr>
          <w:lang w:val="es-ES" w:eastAsia="es-PE"/>
        </w:rPr>
        <w:t xml:space="preserve">Distribución de las siembras en los grupos: </w:t>
      </w:r>
    </w:p>
    <w:p w14:paraId="6D4509DF" w14:textId="77777777" w:rsidR="00E95D93" w:rsidRPr="00E95D93" w:rsidRDefault="00E95D93" w:rsidP="00E95D93">
      <w:pPr>
        <w:autoSpaceDE w:val="0"/>
        <w:autoSpaceDN w:val="0"/>
        <w:adjustRightInd w:val="0"/>
        <w:spacing w:line="360" w:lineRule="auto"/>
        <w:jc w:val="both"/>
        <w:rPr>
          <w:lang w:val="es-ES" w:eastAsia="en-US"/>
        </w:rPr>
      </w:pPr>
    </w:p>
    <w:p w14:paraId="0C989E76" w14:textId="77777777" w:rsidR="00E95D93" w:rsidRPr="00E95D93" w:rsidRDefault="00E95D93" w:rsidP="00E95D93">
      <w:pPr>
        <w:numPr>
          <w:ilvl w:val="0"/>
          <w:numId w:val="11"/>
        </w:numPr>
        <w:shd w:val="clear" w:color="auto" w:fill="FFFFFF"/>
        <w:spacing w:line="360" w:lineRule="auto"/>
        <w:ind w:right="120"/>
        <w:jc w:val="both"/>
        <w:rPr>
          <w:lang w:val="es-ES" w:eastAsia="en-US"/>
        </w:rPr>
      </w:pPr>
      <w:r w:rsidRPr="00E95D93">
        <w:rPr>
          <w:lang w:val="es-ES" w:eastAsia="en-US"/>
        </w:rPr>
        <w:t>Grupo I: blanco, discos con agua destilada.</w:t>
      </w:r>
    </w:p>
    <w:p w14:paraId="5603BE74" w14:textId="77777777" w:rsidR="00E95D93" w:rsidRPr="00E95D93" w:rsidRDefault="00E95D93" w:rsidP="00E95D93">
      <w:pPr>
        <w:numPr>
          <w:ilvl w:val="0"/>
          <w:numId w:val="11"/>
        </w:numPr>
        <w:shd w:val="clear" w:color="auto" w:fill="FFFFFF"/>
        <w:spacing w:line="360" w:lineRule="auto"/>
        <w:ind w:right="120"/>
        <w:jc w:val="both"/>
        <w:rPr>
          <w:lang w:val="es-ES" w:eastAsia="en-US"/>
        </w:rPr>
      </w:pPr>
      <w:r w:rsidRPr="00E95D93">
        <w:rPr>
          <w:lang w:val="es-ES" w:eastAsia="en-US"/>
        </w:rPr>
        <w:t>Grupo II: control negativo, discos con etanol al 96 %.</w:t>
      </w:r>
    </w:p>
    <w:p w14:paraId="68AE3AB6" w14:textId="77777777" w:rsidR="00E95D93" w:rsidRPr="00E95D93" w:rsidRDefault="00E95D93" w:rsidP="00E95D93">
      <w:pPr>
        <w:numPr>
          <w:ilvl w:val="0"/>
          <w:numId w:val="11"/>
        </w:numPr>
        <w:shd w:val="clear" w:color="auto" w:fill="FFFFFF"/>
        <w:spacing w:line="360" w:lineRule="auto"/>
        <w:ind w:right="120"/>
        <w:jc w:val="both"/>
        <w:rPr>
          <w:lang w:val="es-ES" w:eastAsia="en-US"/>
        </w:rPr>
      </w:pPr>
      <w:r w:rsidRPr="00E95D93">
        <w:rPr>
          <w:lang w:val="es-ES" w:eastAsia="en-US"/>
        </w:rPr>
        <w:t>Grupo III: control positivo 1, discos con rifamicina al 0,5 %.</w:t>
      </w:r>
    </w:p>
    <w:p w14:paraId="7F0F3866" w14:textId="77777777" w:rsidR="00E95D93" w:rsidRPr="00E95D93" w:rsidRDefault="00E95D93" w:rsidP="00E95D93">
      <w:pPr>
        <w:numPr>
          <w:ilvl w:val="0"/>
          <w:numId w:val="11"/>
        </w:numPr>
        <w:shd w:val="clear" w:color="auto" w:fill="FFFFFF"/>
        <w:spacing w:line="360" w:lineRule="auto"/>
        <w:ind w:right="120"/>
        <w:jc w:val="both"/>
        <w:rPr>
          <w:lang w:val="es-ES" w:eastAsia="en-US"/>
        </w:rPr>
      </w:pPr>
      <w:r w:rsidRPr="00E95D93">
        <w:rPr>
          <w:lang w:val="es-ES" w:eastAsia="en-US"/>
        </w:rPr>
        <w:t>Grupo IV: control positivo 2, discos con rifamicina comercial al 1 % marca Rifocina</w:t>
      </w:r>
      <w:r w:rsidRPr="00E95D93">
        <w:rPr>
          <w:lang w:val="es-ES" w:eastAsia="es-PE"/>
        </w:rPr>
        <w:t>®</w:t>
      </w:r>
    </w:p>
    <w:p w14:paraId="05F38A8F" w14:textId="77777777" w:rsidR="00E95D93" w:rsidRPr="00E95D93" w:rsidRDefault="00E95D93" w:rsidP="00E95D93">
      <w:pPr>
        <w:numPr>
          <w:ilvl w:val="0"/>
          <w:numId w:val="11"/>
        </w:numPr>
        <w:shd w:val="clear" w:color="auto" w:fill="FFFFFF"/>
        <w:spacing w:line="360" w:lineRule="auto"/>
        <w:ind w:right="120"/>
        <w:jc w:val="both"/>
        <w:rPr>
          <w:lang w:val="es-ES" w:eastAsia="en-US"/>
        </w:rPr>
      </w:pPr>
      <w:bookmarkStart w:id="3" w:name="_Hlk63968960"/>
      <w:r w:rsidRPr="00E95D93">
        <w:rPr>
          <w:lang w:val="es-ES" w:eastAsia="en-US"/>
        </w:rPr>
        <w:t>Grupo V: experimental 1, discos con propóleo al 20 %.</w:t>
      </w:r>
    </w:p>
    <w:p w14:paraId="6B1739D5" w14:textId="77777777" w:rsidR="00E95D93" w:rsidRPr="00E95D93" w:rsidRDefault="00E95D93" w:rsidP="00E95D93">
      <w:pPr>
        <w:numPr>
          <w:ilvl w:val="0"/>
          <w:numId w:val="11"/>
        </w:numPr>
        <w:shd w:val="clear" w:color="auto" w:fill="FFFFFF"/>
        <w:spacing w:line="360" w:lineRule="auto"/>
        <w:ind w:right="120"/>
        <w:jc w:val="both"/>
        <w:rPr>
          <w:lang w:val="es-ES" w:eastAsia="en-US"/>
        </w:rPr>
      </w:pPr>
      <w:r w:rsidRPr="00E95D93">
        <w:rPr>
          <w:lang w:val="es-ES" w:eastAsia="en-US"/>
        </w:rPr>
        <w:t>Grupo VI: experimental 2, discos con rifamicina al 1 % en propóleo al 40 %.</w:t>
      </w:r>
    </w:p>
    <w:bookmarkEnd w:id="3"/>
    <w:p w14:paraId="75128ED2" w14:textId="77777777" w:rsidR="00E95D93" w:rsidRPr="00E95D93" w:rsidRDefault="00E95D93" w:rsidP="00E95D93">
      <w:pPr>
        <w:shd w:val="clear" w:color="auto" w:fill="FFFFFF"/>
        <w:spacing w:line="360" w:lineRule="auto"/>
        <w:ind w:right="120"/>
        <w:jc w:val="both"/>
        <w:rPr>
          <w:lang w:val="es-ES" w:eastAsia="en-US"/>
        </w:rPr>
      </w:pPr>
    </w:p>
    <w:p w14:paraId="63FE0499" w14:textId="77777777" w:rsidR="00E95D93" w:rsidRPr="00E95D93" w:rsidRDefault="00E95D93" w:rsidP="00E95D93">
      <w:pPr>
        <w:shd w:val="clear" w:color="auto" w:fill="FFFFFF"/>
        <w:spacing w:line="360" w:lineRule="auto"/>
        <w:ind w:right="120"/>
        <w:jc w:val="both"/>
        <w:rPr>
          <w:lang w:val="es-ES" w:eastAsia="en-US"/>
        </w:rPr>
      </w:pPr>
      <w:r w:rsidRPr="00E95D93">
        <w:rPr>
          <w:lang w:val="es-ES" w:eastAsia="en-US"/>
        </w:rPr>
        <w:t xml:space="preserve">En seguida, las placas que contenían el medio y los discos se colocaron de forma invertida en una incubadora a 37 °C por 24 </w:t>
      </w:r>
      <w:proofErr w:type="gramStart"/>
      <w:r w:rsidRPr="00E95D93">
        <w:rPr>
          <w:lang w:val="es-ES" w:eastAsia="en-US"/>
        </w:rPr>
        <w:t>h.</w:t>
      </w:r>
      <w:r w:rsidRPr="00E95D93">
        <w:rPr>
          <w:vertAlign w:val="superscript"/>
          <w:lang w:val="es-ES" w:eastAsia="en-US"/>
        </w:rPr>
        <w:t>(</w:t>
      </w:r>
      <w:proofErr w:type="gramEnd"/>
      <w:r w:rsidRPr="00E95D93">
        <w:rPr>
          <w:vertAlign w:val="superscript"/>
          <w:lang w:val="es-ES" w:eastAsia="en-US"/>
        </w:rPr>
        <w:t>8,30)</w:t>
      </w:r>
      <w:r w:rsidRPr="00E95D93">
        <w:rPr>
          <w:lang w:val="es-ES" w:eastAsia="en-US"/>
        </w:rPr>
        <w:t xml:space="preserve"> Después del tiempo de incubación, las zonas sin crecimiento que se generaron en torno a los discos, se juzgaron como halos de inhibición y se evaluaron con calibrador Vernier.</w:t>
      </w:r>
      <w:r w:rsidRPr="00E95D93">
        <w:rPr>
          <w:vertAlign w:val="superscript"/>
          <w:lang w:val="es-ES" w:eastAsia="en-US"/>
        </w:rPr>
        <w:t>(8,13,28)</w:t>
      </w:r>
      <w:r w:rsidRPr="00E95D93">
        <w:rPr>
          <w:lang w:val="es-ES" w:eastAsia="en-US"/>
        </w:rPr>
        <w:t xml:space="preserve"> </w:t>
      </w:r>
    </w:p>
    <w:p w14:paraId="23035A98" w14:textId="77777777" w:rsidR="00E95D93" w:rsidRPr="00E95D93" w:rsidRDefault="00E95D93" w:rsidP="00E95D93">
      <w:pPr>
        <w:spacing w:line="360" w:lineRule="auto"/>
        <w:jc w:val="both"/>
        <w:rPr>
          <w:lang w:val="es-ES" w:eastAsia="en-US"/>
        </w:rPr>
      </w:pPr>
      <w:r w:rsidRPr="00E95D93">
        <w:rPr>
          <w:lang w:val="es-ES" w:eastAsia="en-US"/>
        </w:rPr>
        <w:t>Para la valoración de tipo cuantitativa se utilizaron las medidas de los diámetros de los halos de inhibición y el porcentaje del efecto inhibitorio relativo respecto al control positivo.</w:t>
      </w:r>
      <w:r w:rsidRPr="00E95D93">
        <w:rPr>
          <w:vertAlign w:val="superscript"/>
          <w:lang w:val="es-ES" w:eastAsia="en-US"/>
        </w:rPr>
        <w:t xml:space="preserve">(30,31) </w:t>
      </w:r>
      <w:bookmarkStart w:id="4" w:name="_Hlk76936063"/>
      <w:r w:rsidRPr="00E95D93">
        <w:rPr>
          <w:lang w:val="es-ES" w:eastAsia="en-US"/>
        </w:rPr>
        <w:t>El efecto antibacteriano se considera alto cuando su porcentaje de inhibición relativo es &gt; 70 %, intermedia entre el 50 – 70 % y baja cuando es &lt; 50 %</w:t>
      </w:r>
      <w:bookmarkEnd w:id="4"/>
      <w:r w:rsidRPr="00E95D93">
        <w:rPr>
          <w:lang w:val="es-ES" w:eastAsia="en-US"/>
        </w:rPr>
        <w:t xml:space="preserve"> y para la interpretación de tipo cualitativa se utilizó como patrón la escala </w:t>
      </w:r>
      <w:bookmarkStart w:id="5" w:name="_Hlk76935954"/>
      <w:r w:rsidRPr="00E95D93">
        <w:rPr>
          <w:lang w:val="es-ES" w:eastAsia="en-US"/>
        </w:rPr>
        <w:t xml:space="preserve">de </w:t>
      </w:r>
      <w:r w:rsidRPr="00E95D93">
        <w:rPr>
          <w:i/>
          <w:iCs/>
          <w:lang w:val="es-ES" w:eastAsia="en-US"/>
        </w:rPr>
        <w:t>Duraffourd</w:t>
      </w:r>
      <w:r w:rsidRPr="00E95D93">
        <w:rPr>
          <w:lang w:val="es-ES" w:eastAsia="en-US"/>
        </w:rPr>
        <w:t>.</w:t>
      </w:r>
      <w:r w:rsidRPr="00E95D93">
        <w:rPr>
          <w:vertAlign w:val="superscript"/>
          <w:lang w:val="es-ES" w:eastAsia="en-US"/>
        </w:rPr>
        <w:t>(30,31)</w:t>
      </w:r>
      <w:r w:rsidRPr="00E95D93">
        <w:rPr>
          <w:lang w:val="es-ES" w:eastAsia="en-US"/>
        </w:rPr>
        <w:t xml:space="preserve"> Nula (-) si es inferior o igual a 8 mm; Sensible = + de 9 a 14 mm; Muy sensible = ++ de 15 a 19 mm; Sumamente sensible = +++ si fue igual o superior a 20 mm.</w:t>
      </w:r>
      <w:r w:rsidRPr="00E95D93">
        <w:rPr>
          <w:vertAlign w:val="superscript"/>
          <w:lang w:val="es-ES" w:eastAsia="en-US"/>
        </w:rPr>
        <w:t xml:space="preserve">  </w:t>
      </w:r>
    </w:p>
    <w:bookmarkEnd w:id="5"/>
    <w:p w14:paraId="52B73A1B" w14:textId="77777777" w:rsidR="00E95D93" w:rsidRPr="00E95D93" w:rsidRDefault="00E95D93" w:rsidP="00E95D93">
      <w:pPr>
        <w:shd w:val="clear" w:color="auto" w:fill="FFFFFF"/>
        <w:spacing w:line="360" w:lineRule="auto"/>
        <w:ind w:right="120"/>
        <w:jc w:val="both"/>
        <w:rPr>
          <w:lang w:val="es-ES" w:eastAsia="en-US"/>
        </w:rPr>
      </w:pPr>
      <w:r w:rsidRPr="00E95D93">
        <w:rPr>
          <w:lang w:val="es-ES" w:eastAsia="en-US"/>
        </w:rPr>
        <w:t>Los datos de los halos de inhibición fueron expresados como media aritmética ± ES a un nivel de confianza del 95 % y un error relativo del 5 %; se aplicó la prueba de homogeneidad de varianzas de Hartley, Cochran y Bartlett; el ANOVA de una vía y el HSD de Tukey. Se contempló como nivel de significación (p &lt; 0,05), mediante el software estadístico IBM SPSS Statistic for Windows versión 25.</w:t>
      </w:r>
    </w:p>
    <w:p w14:paraId="5A3D032F" w14:textId="77777777" w:rsidR="00E95D93" w:rsidRPr="00E95D93" w:rsidRDefault="00E95D93" w:rsidP="00E95D93">
      <w:pPr>
        <w:spacing w:line="360" w:lineRule="auto"/>
        <w:jc w:val="both"/>
        <w:rPr>
          <w:b/>
          <w:iCs/>
          <w:lang w:val="es-ES" w:eastAsia="en-US"/>
        </w:rPr>
      </w:pPr>
    </w:p>
    <w:p w14:paraId="71B0190F" w14:textId="77777777" w:rsidR="00E95D93" w:rsidRPr="00E95D93" w:rsidRDefault="00E95D93" w:rsidP="00E95D93">
      <w:pPr>
        <w:spacing w:line="360" w:lineRule="auto"/>
        <w:jc w:val="both"/>
        <w:rPr>
          <w:b/>
          <w:iCs/>
          <w:lang w:val="es-ES" w:eastAsia="en-US"/>
        </w:rPr>
      </w:pPr>
    </w:p>
    <w:p w14:paraId="0BBE3F60" w14:textId="77777777" w:rsidR="00E95D93" w:rsidRPr="00E95D93" w:rsidRDefault="00E95D93" w:rsidP="00E95D93">
      <w:pPr>
        <w:spacing w:line="360" w:lineRule="auto"/>
        <w:jc w:val="center"/>
        <w:rPr>
          <w:b/>
          <w:iCs/>
          <w:sz w:val="32"/>
          <w:szCs w:val="32"/>
          <w:lang w:val="es-ES" w:eastAsia="en-US"/>
        </w:rPr>
      </w:pPr>
      <w:r w:rsidRPr="00E95D93">
        <w:rPr>
          <w:b/>
          <w:iCs/>
          <w:sz w:val="32"/>
          <w:szCs w:val="32"/>
          <w:lang w:val="es-ES" w:eastAsia="en-US"/>
        </w:rPr>
        <w:t>RESULTADOS</w:t>
      </w:r>
    </w:p>
    <w:p w14:paraId="1C920125" w14:textId="77777777" w:rsidR="00E95D93" w:rsidRPr="00E95D93" w:rsidRDefault="00E95D93" w:rsidP="00E95D93">
      <w:pPr>
        <w:spacing w:line="360" w:lineRule="auto"/>
        <w:jc w:val="both"/>
        <w:rPr>
          <w:lang w:val="es-ES" w:eastAsia="es-PE"/>
        </w:rPr>
      </w:pPr>
      <w:r w:rsidRPr="00E95D93">
        <w:rPr>
          <w:lang w:val="es-ES" w:eastAsia="es-PE"/>
        </w:rPr>
        <w:t xml:space="preserve">La evaluación fitoquímica inicial detectó la presencia de compuestos fenólicos, taninos, flavonoides, alcaloides, triterpenoides y glicósidos cardiotónicos (tabla 1). </w:t>
      </w:r>
    </w:p>
    <w:p w14:paraId="2842B5EB" w14:textId="77777777" w:rsidR="00E95D93" w:rsidRPr="00E95D93" w:rsidRDefault="00E95D93" w:rsidP="00E95D93">
      <w:pPr>
        <w:spacing w:line="360" w:lineRule="auto"/>
        <w:jc w:val="both"/>
        <w:rPr>
          <w:b/>
          <w:lang w:val="es-ES" w:eastAsia="en-US"/>
        </w:rPr>
      </w:pPr>
    </w:p>
    <w:p w14:paraId="709B2145" w14:textId="77777777" w:rsidR="00F22EE8" w:rsidRDefault="00F22EE8">
      <w:pPr>
        <w:rPr>
          <w:b/>
          <w:sz w:val="22"/>
          <w:szCs w:val="22"/>
          <w:lang w:val="es-ES" w:eastAsia="en-US"/>
        </w:rPr>
      </w:pPr>
      <w:r>
        <w:rPr>
          <w:b/>
          <w:sz w:val="22"/>
          <w:szCs w:val="22"/>
          <w:lang w:val="es-ES" w:eastAsia="en-US"/>
        </w:rPr>
        <w:br w:type="page"/>
      </w:r>
    </w:p>
    <w:p w14:paraId="2249CB2B" w14:textId="41FBB6A8" w:rsidR="00E95D93" w:rsidRPr="00E95D93" w:rsidRDefault="00E95D93" w:rsidP="00E95D93">
      <w:pPr>
        <w:spacing w:line="360" w:lineRule="auto"/>
        <w:jc w:val="center"/>
        <w:rPr>
          <w:sz w:val="22"/>
          <w:szCs w:val="22"/>
          <w:lang w:val="es-ES" w:eastAsia="en-US"/>
        </w:rPr>
      </w:pPr>
      <w:r w:rsidRPr="00E95D93">
        <w:rPr>
          <w:b/>
          <w:sz w:val="22"/>
          <w:szCs w:val="22"/>
          <w:lang w:val="es-ES" w:eastAsia="en-US"/>
        </w:rPr>
        <w:lastRenderedPageBreak/>
        <w:t xml:space="preserve">Tabla 1 - </w:t>
      </w:r>
      <w:r w:rsidRPr="00E95D93">
        <w:rPr>
          <w:sz w:val="22"/>
          <w:szCs w:val="22"/>
          <w:lang w:val="es-ES" w:eastAsia="en-US"/>
        </w:rPr>
        <w:t>Evaluación fitoquímica del extracto etanólico de propóleo</w:t>
      </w:r>
    </w:p>
    <w:tbl>
      <w:tblPr>
        <w:tblW w:w="5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403"/>
        <w:gridCol w:w="1136"/>
      </w:tblGrid>
      <w:tr w:rsidR="00E95D93" w:rsidRPr="00E95D93" w14:paraId="54DD9219" w14:textId="77777777" w:rsidTr="002F729D">
        <w:trPr>
          <w:jc w:val="center"/>
        </w:trPr>
        <w:tc>
          <w:tcPr>
            <w:tcW w:w="2788" w:type="dxa"/>
            <w:shd w:val="clear" w:color="auto" w:fill="auto"/>
            <w:vAlign w:val="center"/>
          </w:tcPr>
          <w:p w14:paraId="0403FF73" w14:textId="77777777" w:rsidR="00E95D93" w:rsidRPr="00E95D93" w:rsidRDefault="00E95D93" w:rsidP="00E95D93">
            <w:pPr>
              <w:spacing w:line="360" w:lineRule="auto"/>
              <w:jc w:val="center"/>
              <w:rPr>
                <w:rFonts w:eastAsia="Calibri"/>
                <w:b/>
                <w:sz w:val="18"/>
                <w:szCs w:val="18"/>
                <w:lang w:val="es-ES" w:eastAsia="en-US"/>
              </w:rPr>
            </w:pPr>
            <w:r w:rsidRPr="00E95D93">
              <w:rPr>
                <w:rFonts w:eastAsia="Calibri"/>
                <w:b/>
                <w:sz w:val="18"/>
                <w:szCs w:val="18"/>
                <w:lang w:val="es-ES" w:eastAsia="en-US"/>
              </w:rPr>
              <w:t>Metabolito Secundario</w:t>
            </w:r>
          </w:p>
        </w:tc>
        <w:tc>
          <w:tcPr>
            <w:tcW w:w="1403" w:type="dxa"/>
            <w:shd w:val="clear" w:color="auto" w:fill="auto"/>
            <w:vAlign w:val="center"/>
          </w:tcPr>
          <w:p w14:paraId="286B958D" w14:textId="77777777" w:rsidR="00E95D93" w:rsidRPr="00E95D93" w:rsidRDefault="00E95D93" w:rsidP="00E95D93">
            <w:pPr>
              <w:spacing w:line="360" w:lineRule="auto"/>
              <w:jc w:val="center"/>
              <w:rPr>
                <w:rFonts w:eastAsia="Calibri"/>
                <w:b/>
                <w:sz w:val="18"/>
                <w:szCs w:val="18"/>
                <w:lang w:val="es-ES" w:eastAsia="en-US"/>
              </w:rPr>
            </w:pPr>
            <w:r w:rsidRPr="00E95D93">
              <w:rPr>
                <w:rFonts w:eastAsia="Calibri"/>
                <w:b/>
                <w:sz w:val="18"/>
                <w:szCs w:val="18"/>
                <w:lang w:val="es-ES" w:eastAsia="en-US"/>
              </w:rPr>
              <w:t>Reactivo</w:t>
            </w:r>
          </w:p>
        </w:tc>
        <w:tc>
          <w:tcPr>
            <w:tcW w:w="1136" w:type="dxa"/>
            <w:shd w:val="clear" w:color="auto" w:fill="auto"/>
            <w:vAlign w:val="center"/>
          </w:tcPr>
          <w:p w14:paraId="42551398" w14:textId="77777777" w:rsidR="00E95D93" w:rsidRPr="00E95D93" w:rsidRDefault="00E95D93" w:rsidP="00E95D93">
            <w:pPr>
              <w:spacing w:line="360" w:lineRule="auto"/>
              <w:jc w:val="center"/>
              <w:rPr>
                <w:rFonts w:eastAsia="Calibri"/>
                <w:b/>
                <w:sz w:val="18"/>
                <w:szCs w:val="18"/>
                <w:lang w:val="es-ES" w:eastAsia="en-US"/>
              </w:rPr>
            </w:pPr>
            <w:r w:rsidRPr="00E95D93">
              <w:rPr>
                <w:rFonts w:eastAsia="Calibri"/>
                <w:b/>
                <w:sz w:val="18"/>
                <w:szCs w:val="18"/>
                <w:lang w:val="es-ES" w:eastAsia="en-US"/>
              </w:rPr>
              <w:t>Propóleo</w:t>
            </w:r>
          </w:p>
        </w:tc>
      </w:tr>
      <w:tr w:rsidR="00E95D93" w:rsidRPr="00E95D93" w14:paraId="747F2763" w14:textId="77777777" w:rsidTr="002F729D">
        <w:trPr>
          <w:jc w:val="center"/>
        </w:trPr>
        <w:tc>
          <w:tcPr>
            <w:tcW w:w="2788" w:type="dxa"/>
            <w:shd w:val="clear" w:color="auto" w:fill="auto"/>
            <w:vAlign w:val="center"/>
          </w:tcPr>
          <w:p w14:paraId="533AA7CA"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Carbohidratos</w:t>
            </w:r>
          </w:p>
        </w:tc>
        <w:tc>
          <w:tcPr>
            <w:tcW w:w="1403" w:type="dxa"/>
            <w:shd w:val="clear" w:color="auto" w:fill="auto"/>
            <w:vAlign w:val="center"/>
          </w:tcPr>
          <w:p w14:paraId="0C43E101"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Molish</w:t>
            </w:r>
          </w:p>
        </w:tc>
        <w:tc>
          <w:tcPr>
            <w:tcW w:w="1136" w:type="dxa"/>
            <w:shd w:val="clear" w:color="auto" w:fill="FFFFFF"/>
            <w:vAlign w:val="center"/>
          </w:tcPr>
          <w:p w14:paraId="231B9711"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170146C5" w14:textId="77777777" w:rsidTr="002F729D">
        <w:trPr>
          <w:jc w:val="center"/>
        </w:trPr>
        <w:tc>
          <w:tcPr>
            <w:tcW w:w="2788" w:type="dxa"/>
            <w:shd w:val="clear" w:color="auto" w:fill="auto"/>
            <w:vAlign w:val="center"/>
          </w:tcPr>
          <w:p w14:paraId="4D16F45B"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Compuestos fenólicos</w:t>
            </w:r>
          </w:p>
        </w:tc>
        <w:tc>
          <w:tcPr>
            <w:tcW w:w="1403" w:type="dxa"/>
            <w:shd w:val="clear" w:color="auto" w:fill="auto"/>
            <w:vAlign w:val="center"/>
          </w:tcPr>
          <w:p w14:paraId="04A91669"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FeCl</w:t>
            </w:r>
            <w:r w:rsidRPr="00E95D93">
              <w:rPr>
                <w:rFonts w:eastAsia="Calibri"/>
                <w:sz w:val="18"/>
                <w:szCs w:val="18"/>
                <w:vertAlign w:val="subscript"/>
                <w:lang w:val="es-ES" w:eastAsia="en-US"/>
              </w:rPr>
              <w:t>3</w:t>
            </w:r>
          </w:p>
        </w:tc>
        <w:tc>
          <w:tcPr>
            <w:tcW w:w="1136" w:type="dxa"/>
            <w:shd w:val="clear" w:color="auto" w:fill="FFFFFF"/>
            <w:vAlign w:val="center"/>
          </w:tcPr>
          <w:p w14:paraId="65CD7B55"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1B37093C" w14:textId="77777777" w:rsidTr="002F729D">
        <w:trPr>
          <w:jc w:val="center"/>
        </w:trPr>
        <w:tc>
          <w:tcPr>
            <w:tcW w:w="2788" w:type="dxa"/>
            <w:shd w:val="clear" w:color="auto" w:fill="auto"/>
            <w:vAlign w:val="center"/>
          </w:tcPr>
          <w:p w14:paraId="2704B3B5"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Taninos</w:t>
            </w:r>
          </w:p>
        </w:tc>
        <w:tc>
          <w:tcPr>
            <w:tcW w:w="1403" w:type="dxa"/>
            <w:shd w:val="clear" w:color="auto" w:fill="auto"/>
            <w:vAlign w:val="center"/>
          </w:tcPr>
          <w:p w14:paraId="7A6EECC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Gelatina</w:t>
            </w:r>
          </w:p>
        </w:tc>
        <w:tc>
          <w:tcPr>
            <w:tcW w:w="1136" w:type="dxa"/>
            <w:shd w:val="clear" w:color="auto" w:fill="FFFFFF"/>
            <w:vAlign w:val="center"/>
          </w:tcPr>
          <w:p w14:paraId="0C7FBB09"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5FF91D0D" w14:textId="77777777" w:rsidTr="002F729D">
        <w:trPr>
          <w:jc w:val="center"/>
        </w:trPr>
        <w:tc>
          <w:tcPr>
            <w:tcW w:w="2788" w:type="dxa"/>
            <w:shd w:val="clear" w:color="auto" w:fill="auto"/>
            <w:vAlign w:val="center"/>
          </w:tcPr>
          <w:p w14:paraId="296A08C8"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Flavonoides</w:t>
            </w:r>
          </w:p>
        </w:tc>
        <w:tc>
          <w:tcPr>
            <w:tcW w:w="1403" w:type="dxa"/>
            <w:shd w:val="clear" w:color="auto" w:fill="auto"/>
            <w:vAlign w:val="center"/>
          </w:tcPr>
          <w:p w14:paraId="63DFAD28"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Shinoda</w:t>
            </w:r>
          </w:p>
        </w:tc>
        <w:tc>
          <w:tcPr>
            <w:tcW w:w="1136" w:type="dxa"/>
            <w:shd w:val="clear" w:color="auto" w:fill="FFFFFF"/>
            <w:vAlign w:val="center"/>
          </w:tcPr>
          <w:p w14:paraId="1702C2D5"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37C3B307" w14:textId="77777777" w:rsidTr="002F729D">
        <w:trPr>
          <w:jc w:val="center"/>
        </w:trPr>
        <w:tc>
          <w:tcPr>
            <w:tcW w:w="2788" w:type="dxa"/>
            <w:shd w:val="clear" w:color="auto" w:fill="auto"/>
            <w:vAlign w:val="center"/>
          </w:tcPr>
          <w:p w14:paraId="72DC53FC"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Antocianinas</w:t>
            </w:r>
          </w:p>
        </w:tc>
        <w:tc>
          <w:tcPr>
            <w:tcW w:w="1403" w:type="dxa"/>
            <w:shd w:val="clear" w:color="auto" w:fill="auto"/>
            <w:vAlign w:val="center"/>
          </w:tcPr>
          <w:p w14:paraId="098EE9B4"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Rosenheim</w:t>
            </w:r>
          </w:p>
        </w:tc>
        <w:tc>
          <w:tcPr>
            <w:tcW w:w="1136" w:type="dxa"/>
            <w:shd w:val="clear" w:color="auto" w:fill="FFFFFF"/>
            <w:vAlign w:val="center"/>
          </w:tcPr>
          <w:p w14:paraId="4AA85B4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3C87B5BD" w14:textId="77777777" w:rsidTr="002F729D">
        <w:trPr>
          <w:jc w:val="center"/>
        </w:trPr>
        <w:tc>
          <w:tcPr>
            <w:tcW w:w="2788" w:type="dxa"/>
            <w:shd w:val="clear" w:color="auto" w:fill="auto"/>
            <w:vAlign w:val="center"/>
          </w:tcPr>
          <w:p w14:paraId="69B7D866"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Aminoácidos libres</w:t>
            </w:r>
          </w:p>
        </w:tc>
        <w:tc>
          <w:tcPr>
            <w:tcW w:w="1403" w:type="dxa"/>
            <w:shd w:val="clear" w:color="auto" w:fill="auto"/>
            <w:vAlign w:val="center"/>
          </w:tcPr>
          <w:p w14:paraId="4CF5BE7C"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Ninhidrina</w:t>
            </w:r>
          </w:p>
        </w:tc>
        <w:tc>
          <w:tcPr>
            <w:tcW w:w="1136" w:type="dxa"/>
            <w:shd w:val="clear" w:color="auto" w:fill="FFFFFF"/>
            <w:vAlign w:val="center"/>
          </w:tcPr>
          <w:p w14:paraId="0A997770"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1222C1FB" w14:textId="77777777" w:rsidTr="002F729D">
        <w:trPr>
          <w:jc w:val="center"/>
        </w:trPr>
        <w:tc>
          <w:tcPr>
            <w:tcW w:w="2788" w:type="dxa"/>
            <w:shd w:val="clear" w:color="auto" w:fill="auto"/>
            <w:vAlign w:val="center"/>
          </w:tcPr>
          <w:p w14:paraId="3D53FA63"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Alcaloides</w:t>
            </w:r>
          </w:p>
        </w:tc>
        <w:tc>
          <w:tcPr>
            <w:tcW w:w="1403" w:type="dxa"/>
            <w:shd w:val="clear" w:color="auto" w:fill="auto"/>
            <w:vAlign w:val="center"/>
          </w:tcPr>
          <w:p w14:paraId="59B982ED"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Dragendorff</w:t>
            </w:r>
          </w:p>
        </w:tc>
        <w:tc>
          <w:tcPr>
            <w:tcW w:w="1136" w:type="dxa"/>
            <w:shd w:val="clear" w:color="auto" w:fill="FFFFFF"/>
            <w:vAlign w:val="center"/>
          </w:tcPr>
          <w:p w14:paraId="3CE0AB92"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76A557AD" w14:textId="77777777" w:rsidTr="002F729D">
        <w:trPr>
          <w:jc w:val="center"/>
        </w:trPr>
        <w:tc>
          <w:tcPr>
            <w:tcW w:w="2788" w:type="dxa"/>
            <w:shd w:val="clear" w:color="auto" w:fill="auto"/>
            <w:vAlign w:val="center"/>
          </w:tcPr>
          <w:p w14:paraId="5A7867AA"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Quinonas</w:t>
            </w:r>
          </w:p>
        </w:tc>
        <w:tc>
          <w:tcPr>
            <w:tcW w:w="1403" w:type="dxa"/>
            <w:shd w:val="clear" w:color="auto" w:fill="auto"/>
            <w:vAlign w:val="center"/>
          </w:tcPr>
          <w:p w14:paraId="582DC869"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Bornträger</w:t>
            </w:r>
          </w:p>
        </w:tc>
        <w:tc>
          <w:tcPr>
            <w:tcW w:w="1136" w:type="dxa"/>
            <w:shd w:val="clear" w:color="auto" w:fill="FFFFFF"/>
            <w:vAlign w:val="center"/>
          </w:tcPr>
          <w:p w14:paraId="6F6E544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4E88B350" w14:textId="77777777" w:rsidTr="002F729D">
        <w:trPr>
          <w:jc w:val="center"/>
        </w:trPr>
        <w:tc>
          <w:tcPr>
            <w:tcW w:w="2788" w:type="dxa"/>
            <w:shd w:val="clear" w:color="auto" w:fill="auto"/>
            <w:vAlign w:val="center"/>
          </w:tcPr>
          <w:p w14:paraId="40218727"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Triterpenoides</w:t>
            </w:r>
          </w:p>
        </w:tc>
        <w:tc>
          <w:tcPr>
            <w:tcW w:w="1403" w:type="dxa"/>
            <w:shd w:val="clear" w:color="auto" w:fill="auto"/>
            <w:vAlign w:val="center"/>
          </w:tcPr>
          <w:p w14:paraId="614AAE05"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Liebermann</w:t>
            </w:r>
          </w:p>
        </w:tc>
        <w:tc>
          <w:tcPr>
            <w:tcW w:w="1136" w:type="dxa"/>
            <w:shd w:val="clear" w:color="auto" w:fill="FFFFFF"/>
            <w:vAlign w:val="center"/>
          </w:tcPr>
          <w:p w14:paraId="0902E144"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0787DE6D" w14:textId="77777777" w:rsidTr="002F729D">
        <w:trPr>
          <w:jc w:val="center"/>
        </w:trPr>
        <w:tc>
          <w:tcPr>
            <w:tcW w:w="2788" w:type="dxa"/>
            <w:shd w:val="clear" w:color="auto" w:fill="auto"/>
            <w:vAlign w:val="center"/>
          </w:tcPr>
          <w:p w14:paraId="6D53D415"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Saponinas</w:t>
            </w:r>
          </w:p>
        </w:tc>
        <w:tc>
          <w:tcPr>
            <w:tcW w:w="1403" w:type="dxa"/>
            <w:shd w:val="clear" w:color="auto" w:fill="auto"/>
            <w:vAlign w:val="center"/>
          </w:tcPr>
          <w:p w14:paraId="43FC2988"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Espuma</w:t>
            </w:r>
          </w:p>
        </w:tc>
        <w:tc>
          <w:tcPr>
            <w:tcW w:w="1136" w:type="dxa"/>
            <w:shd w:val="clear" w:color="auto" w:fill="FFFFFF"/>
            <w:vAlign w:val="center"/>
          </w:tcPr>
          <w:p w14:paraId="3BD222A5"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052C8758" w14:textId="77777777" w:rsidTr="002F729D">
        <w:trPr>
          <w:jc w:val="center"/>
        </w:trPr>
        <w:tc>
          <w:tcPr>
            <w:tcW w:w="2788" w:type="dxa"/>
            <w:shd w:val="clear" w:color="auto" w:fill="auto"/>
            <w:vAlign w:val="center"/>
          </w:tcPr>
          <w:p w14:paraId="026C9DD8"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Glicósidos cardiotónicos</w:t>
            </w:r>
          </w:p>
        </w:tc>
        <w:tc>
          <w:tcPr>
            <w:tcW w:w="1403" w:type="dxa"/>
            <w:shd w:val="clear" w:color="auto" w:fill="auto"/>
            <w:vAlign w:val="center"/>
          </w:tcPr>
          <w:p w14:paraId="1BF01B52"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Baljet</w:t>
            </w:r>
          </w:p>
        </w:tc>
        <w:tc>
          <w:tcPr>
            <w:tcW w:w="1136" w:type="dxa"/>
            <w:shd w:val="clear" w:color="auto" w:fill="FFFFFF"/>
            <w:vAlign w:val="center"/>
          </w:tcPr>
          <w:p w14:paraId="6554E6F1"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2E2E5115" w14:textId="77777777" w:rsidTr="002F729D">
        <w:trPr>
          <w:jc w:val="center"/>
        </w:trPr>
        <w:tc>
          <w:tcPr>
            <w:tcW w:w="2788" w:type="dxa"/>
            <w:shd w:val="clear" w:color="auto" w:fill="auto"/>
            <w:vAlign w:val="center"/>
          </w:tcPr>
          <w:p w14:paraId="1850DBA4"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Lactonas</w:t>
            </w:r>
          </w:p>
        </w:tc>
        <w:tc>
          <w:tcPr>
            <w:tcW w:w="1403" w:type="dxa"/>
            <w:shd w:val="clear" w:color="auto" w:fill="auto"/>
            <w:vAlign w:val="center"/>
          </w:tcPr>
          <w:p w14:paraId="7106DD8B"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Legal</w:t>
            </w:r>
          </w:p>
        </w:tc>
        <w:tc>
          <w:tcPr>
            <w:tcW w:w="1136" w:type="dxa"/>
            <w:shd w:val="clear" w:color="auto" w:fill="FFFFFF"/>
            <w:vAlign w:val="center"/>
          </w:tcPr>
          <w:p w14:paraId="2F6E1BD4"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420C0DCC" w14:textId="77777777" w:rsidTr="002F729D">
        <w:trPr>
          <w:jc w:val="center"/>
        </w:trPr>
        <w:tc>
          <w:tcPr>
            <w:tcW w:w="2788" w:type="dxa"/>
            <w:shd w:val="clear" w:color="auto" w:fill="auto"/>
            <w:vAlign w:val="center"/>
          </w:tcPr>
          <w:p w14:paraId="41E96DE4"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Cumarinas</w:t>
            </w:r>
          </w:p>
        </w:tc>
        <w:tc>
          <w:tcPr>
            <w:tcW w:w="1403" w:type="dxa"/>
            <w:shd w:val="clear" w:color="auto" w:fill="auto"/>
            <w:vAlign w:val="center"/>
          </w:tcPr>
          <w:p w14:paraId="3329A6C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NaOH 10 %</w:t>
            </w:r>
          </w:p>
        </w:tc>
        <w:tc>
          <w:tcPr>
            <w:tcW w:w="1136" w:type="dxa"/>
            <w:shd w:val="clear" w:color="auto" w:fill="FFFFFF"/>
            <w:vAlign w:val="center"/>
          </w:tcPr>
          <w:p w14:paraId="5FF12B03"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bl>
    <w:p w14:paraId="637A20AD" w14:textId="77777777" w:rsidR="00E95D93" w:rsidRPr="00E95D93" w:rsidRDefault="00E95D93" w:rsidP="00E95D93">
      <w:pPr>
        <w:spacing w:line="360" w:lineRule="auto"/>
        <w:jc w:val="center"/>
        <w:rPr>
          <w:sz w:val="16"/>
          <w:szCs w:val="16"/>
          <w:lang w:val="es-ES" w:eastAsia="en-US"/>
        </w:rPr>
      </w:pPr>
      <w:r w:rsidRPr="00E95D93">
        <w:rPr>
          <w:sz w:val="16"/>
          <w:szCs w:val="16"/>
          <w:lang w:val="es-ES" w:eastAsia="en-US"/>
        </w:rPr>
        <w:t>+++ Abundante, ++ Moderado, + Escaso, - No presenta</w:t>
      </w:r>
    </w:p>
    <w:p w14:paraId="5F447752" w14:textId="77777777" w:rsidR="00E95D93" w:rsidRPr="00E95D93" w:rsidRDefault="00E95D93" w:rsidP="00E95D93">
      <w:pPr>
        <w:spacing w:line="360" w:lineRule="auto"/>
        <w:jc w:val="both"/>
        <w:rPr>
          <w:b/>
          <w:lang w:val="es-ES" w:eastAsia="en-US"/>
        </w:rPr>
      </w:pPr>
    </w:p>
    <w:p w14:paraId="60A262E6" w14:textId="77777777" w:rsidR="00E95D93" w:rsidRPr="00E95D93" w:rsidRDefault="00E95D93" w:rsidP="00E95D93">
      <w:pPr>
        <w:spacing w:line="360" w:lineRule="auto"/>
        <w:jc w:val="both"/>
        <w:rPr>
          <w:lang w:val="es-PE" w:eastAsia="en-US"/>
        </w:rPr>
      </w:pPr>
      <w:bookmarkStart w:id="6" w:name="_Hlk76933737"/>
      <w:r w:rsidRPr="00E95D93">
        <w:rPr>
          <w:lang w:val="es-PE" w:eastAsia="en-US"/>
        </w:rPr>
        <w:t>Los datos obtenidos a las 24 horas (tabla 2) indican que todos los promedios se ubican dentro de los límites establecidos, a un intervalo de confianza del 95 % y un error relativo del 5 %, por esta razón no se excluye ningún dato.</w:t>
      </w:r>
    </w:p>
    <w:bookmarkEnd w:id="6"/>
    <w:p w14:paraId="50B8F0CA" w14:textId="77777777" w:rsidR="00E95D93" w:rsidRPr="00E95D93" w:rsidRDefault="00E95D93" w:rsidP="00E95D93">
      <w:pPr>
        <w:spacing w:line="360" w:lineRule="auto"/>
        <w:jc w:val="both"/>
        <w:rPr>
          <w:b/>
          <w:lang w:val="es-PE" w:eastAsia="en-US"/>
        </w:rPr>
      </w:pPr>
    </w:p>
    <w:p w14:paraId="61FA4A0D" w14:textId="77777777" w:rsidR="00E95D93" w:rsidRPr="00E95D93" w:rsidRDefault="00E95D93" w:rsidP="00E95D93">
      <w:pPr>
        <w:spacing w:line="360" w:lineRule="auto"/>
        <w:jc w:val="center"/>
        <w:rPr>
          <w:sz w:val="22"/>
          <w:szCs w:val="22"/>
          <w:lang w:val="es-PE" w:eastAsia="en-US"/>
        </w:rPr>
      </w:pPr>
      <w:bookmarkStart w:id="7" w:name="_Hlk71227787"/>
      <w:r w:rsidRPr="00E95D93">
        <w:rPr>
          <w:b/>
          <w:sz w:val="22"/>
          <w:szCs w:val="22"/>
          <w:lang w:val="es-PE" w:eastAsia="en-US"/>
        </w:rPr>
        <w:t xml:space="preserve">Tabla 2 – </w:t>
      </w:r>
      <w:r w:rsidRPr="00E95D93">
        <w:rPr>
          <w:bCs/>
          <w:sz w:val="22"/>
          <w:szCs w:val="22"/>
          <w:lang w:val="es-PE" w:eastAsia="en-US"/>
        </w:rPr>
        <w:t>Estadística descriptiva del promedio de los halos de inhibición</w:t>
      </w:r>
      <w:r w:rsidRPr="00E95D93">
        <w:rPr>
          <w:b/>
          <w:sz w:val="22"/>
          <w:szCs w:val="22"/>
          <w:lang w:val="es-PE" w:eastAsia="en-US"/>
        </w:rPr>
        <w:t xml:space="preserve"> </w:t>
      </w:r>
      <w:r w:rsidRPr="00E95D93">
        <w:rPr>
          <w:bCs/>
          <w:sz w:val="22"/>
          <w:szCs w:val="22"/>
          <w:lang w:val="es-PE" w:eastAsia="en-US"/>
        </w:rPr>
        <w:t xml:space="preserve">en milímetros de los grupos de ensayo sobre </w:t>
      </w:r>
      <w:r w:rsidRPr="00E95D93">
        <w:rPr>
          <w:i/>
          <w:iCs/>
          <w:sz w:val="22"/>
          <w:szCs w:val="22"/>
          <w:lang w:val="es-ES" w:eastAsia="en-US"/>
        </w:rPr>
        <w:t xml:space="preserve">S. aureus </w:t>
      </w:r>
      <w:r w:rsidRPr="00E95D93">
        <w:rPr>
          <w:sz w:val="22"/>
          <w:szCs w:val="22"/>
          <w:lang w:val="es-ES" w:eastAsia="en-US"/>
        </w:rPr>
        <w:t xml:space="preserve">ATCC 25923 y </w:t>
      </w:r>
      <w:r w:rsidRPr="00E95D93">
        <w:rPr>
          <w:i/>
          <w:iCs/>
          <w:sz w:val="22"/>
          <w:szCs w:val="22"/>
          <w:lang w:val="es-ES" w:eastAsia="en-US"/>
        </w:rPr>
        <w:t xml:space="preserve">S. pyogenes </w:t>
      </w:r>
      <w:r w:rsidRPr="00E95D93">
        <w:rPr>
          <w:sz w:val="22"/>
          <w:szCs w:val="22"/>
          <w:lang w:val="es-ES" w:eastAsia="en-US"/>
        </w:rPr>
        <w:t>ATCC 19615</w:t>
      </w:r>
    </w:p>
    <w:bookmarkEnd w:id="7"/>
    <w:p w14:paraId="6702CCAD" w14:textId="61A2B242" w:rsidR="00F22EE8" w:rsidRDefault="00F22EE8" w:rsidP="00E95D93">
      <w:pPr>
        <w:spacing w:line="360" w:lineRule="auto"/>
        <w:jc w:val="center"/>
        <w:rPr>
          <w:rFonts w:eastAsia="Arial"/>
          <w:sz w:val="16"/>
          <w:szCs w:val="16"/>
          <w:lang w:val="es-ES" w:eastAsia="en-US"/>
        </w:rPr>
      </w:pPr>
      <w:r>
        <w:rPr>
          <w:rFonts w:eastAsia="Arial"/>
          <w:noProof/>
          <w:sz w:val="16"/>
          <w:szCs w:val="16"/>
          <w:lang w:val="es-ES" w:eastAsia="en-US"/>
        </w:rPr>
        <w:drawing>
          <wp:inline distT="0" distB="0" distL="0" distR="0" wp14:anchorId="399D8BC8" wp14:editId="7CDF6600">
            <wp:extent cx="5277600" cy="204840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277600" cy="2048400"/>
                    </a:xfrm>
                    <a:prstGeom prst="rect">
                      <a:avLst/>
                    </a:prstGeom>
                  </pic:spPr>
                </pic:pic>
              </a:graphicData>
            </a:graphic>
          </wp:inline>
        </w:drawing>
      </w:r>
    </w:p>
    <w:p w14:paraId="4A154E69" w14:textId="73BE4FA8" w:rsidR="00E95D93" w:rsidRPr="00E95D93" w:rsidRDefault="00E95D93" w:rsidP="00E95D93">
      <w:pPr>
        <w:spacing w:line="360" w:lineRule="auto"/>
        <w:jc w:val="center"/>
        <w:rPr>
          <w:sz w:val="16"/>
          <w:szCs w:val="16"/>
          <w:lang w:val="es-PE" w:eastAsia="en-US"/>
        </w:rPr>
      </w:pPr>
      <w:r w:rsidRPr="00E95D93">
        <w:rPr>
          <w:rFonts w:eastAsia="Arial"/>
          <w:sz w:val="16"/>
          <w:szCs w:val="16"/>
          <w:lang w:val="es-ES" w:eastAsia="en-US"/>
        </w:rPr>
        <w:t>*Media ± E.S: media del halo de inhibición de 32 discos en 8 placas por grupo y error estándar para cada cepa bacteriana</w:t>
      </w:r>
    </w:p>
    <w:p w14:paraId="2E6DE684" w14:textId="77777777" w:rsidR="00E95D93" w:rsidRPr="00E95D93" w:rsidRDefault="00E95D93" w:rsidP="00E95D93">
      <w:pPr>
        <w:spacing w:line="360" w:lineRule="auto"/>
        <w:jc w:val="both"/>
        <w:rPr>
          <w:lang w:val="es-ES" w:eastAsia="en-US"/>
        </w:rPr>
      </w:pPr>
    </w:p>
    <w:p w14:paraId="49311DA9" w14:textId="77777777" w:rsidR="00E95D93" w:rsidRPr="00E95D93" w:rsidRDefault="00E95D93" w:rsidP="00E95D93">
      <w:pPr>
        <w:spacing w:line="360" w:lineRule="auto"/>
        <w:jc w:val="both"/>
        <w:rPr>
          <w:lang w:val="es-PE" w:eastAsia="en-US"/>
        </w:rPr>
      </w:pPr>
      <w:r w:rsidRPr="00E95D93">
        <w:rPr>
          <w:lang w:val="es-ES" w:eastAsia="en-US"/>
        </w:rPr>
        <w:lastRenderedPageBreak/>
        <w:t xml:space="preserve">En consecuencia, los </w:t>
      </w:r>
      <w:r w:rsidRPr="00E95D93">
        <w:rPr>
          <w:lang w:val="es-PE" w:eastAsia="en-US"/>
        </w:rPr>
        <w:t>datos obtenidos a las 24 horas (tabla 3) indican que el grupo VI, experimental 2, rifamicina 1 % en propóleo 40 % (1:1) alcanzó según la escala Duraffourd,</w:t>
      </w:r>
      <w:r w:rsidRPr="00E95D93">
        <w:rPr>
          <w:vertAlign w:val="superscript"/>
          <w:lang w:val="es-PE" w:eastAsia="en-US"/>
        </w:rPr>
        <w:t xml:space="preserve"> </w:t>
      </w:r>
      <w:r w:rsidRPr="00E95D93">
        <w:rPr>
          <w:lang w:val="es-PE" w:eastAsia="en-US"/>
        </w:rPr>
        <w:t xml:space="preserve">muy sensible = ++ y un efecto antibacteriano sinérgico alto, según el porcentaje del efecto inhibitorio sobre </w:t>
      </w:r>
      <w:r w:rsidRPr="00E95D93">
        <w:rPr>
          <w:i/>
          <w:iCs/>
          <w:lang w:val="es-PE" w:eastAsia="en-US"/>
        </w:rPr>
        <w:t>S. aureus</w:t>
      </w:r>
      <w:r w:rsidRPr="00E95D93">
        <w:rPr>
          <w:lang w:val="es-PE" w:eastAsia="en-US"/>
        </w:rPr>
        <w:t xml:space="preserve"> ATCC 25923 y </w:t>
      </w:r>
      <w:r w:rsidRPr="00E95D93">
        <w:rPr>
          <w:i/>
          <w:iCs/>
          <w:lang w:val="es-PE" w:eastAsia="en-US"/>
        </w:rPr>
        <w:t>S. pyogenes</w:t>
      </w:r>
      <w:r w:rsidRPr="00E95D93">
        <w:rPr>
          <w:lang w:val="es-PE" w:eastAsia="en-US"/>
        </w:rPr>
        <w:t xml:space="preserve"> ATCC 19615.  </w:t>
      </w:r>
    </w:p>
    <w:p w14:paraId="7C4BAFB6" w14:textId="77777777" w:rsidR="00E95D93" w:rsidRPr="00E95D93" w:rsidRDefault="00E95D93" w:rsidP="00E95D93">
      <w:pPr>
        <w:spacing w:line="360" w:lineRule="auto"/>
        <w:jc w:val="both"/>
        <w:rPr>
          <w:lang w:val="es-PE" w:eastAsia="en-US"/>
        </w:rPr>
      </w:pPr>
    </w:p>
    <w:p w14:paraId="7EA0D8B7" w14:textId="77777777" w:rsidR="00E95D93" w:rsidRPr="00E95D93" w:rsidRDefault="00E95D93" w:rsidP="00E95D93">
      <w:pPr>
        <w:spacing w:line="360" w:lineRule="auto"/>
        <w:jc w:val="center"/>
        <w:rPr>
          <w:sz w:val="22"/>
          <w:szCs w:val="22"/>
          <w:lang w:val="es-PE" w:eastAsia="en-US"/>
        </w:rPr>
      </w:pPr>
      <w:r w:rsidRPr="00E95D93">
        <w:rPr>
          <w:b/>
          <w:sz w:val="22"/>
          <w:szCs w:val="22"/>
          <w:lang w:val="es-PE" w:eastAsia="en-US"/>
        </w:rPr>
        <w:t xml:space="preserve">Tabla 3 – </w:t>
      </w:r>
      <w:r w:rsidRPr="00E95D93">
        <w:rPr>
          <w:sz w:val="22"/>
          <w:szCs w:val="22"/>
          <w:lang w:val="es-PE" w:eastAsia="en-US"/>
        </w:rPr>
        <w:t xml:space="preserve">Escala Duraffourd y porcentaje del efecto inhibitorio de los grupos de ensayo sobre </w:t>
      </w:r>
      <w:r w:rsidRPr="00E95D93">
        <w:rPr>
          <w:i/>
          <w:iCs/>
          <w:sz w:val="22"/>
          <w:szCs w:val="22"/>
          <w:lang w:val="es-ES" w:eastAsia="en-US"/>
        </w:rPr>
        <w:t xml:space="preserve">S. aureus </w:t>
      </w:r>
      <w:r w:rsidRPr="00E95D93">
        <w:rPr>
          <w:sz w:val="22"/>
          <w:szCs w:val="22"/>
          <w:lang w:val="es-ES" w:eastAsia="en-US"/>
        </w:rPr>
        <w:t xml:space="preserve">ATCC 25923 y </w:t>
      </w:r>
      <w:r w:rsidRPr="00E95D93">
        <w:rPr>
          <w:i/>
          <w:iCs/>
          <w:sz w:val="22"/>
          <w:szCs w:val="22"/>
          <w:lang w:val="es-ES" w:eastAsia="en-US"/>
        </w:rPr>
        <w:t xml:space="preserve">S. pyogenes </w:t>
      </w:r>
      <w:r w:rsidRPr="00E95D93">
        <w:rPr>
          <w:sz w:val="22"/>
          <w:szCs w:val="22"/>
          <w:lang w:val="es-ES" w:eastAsia="en-US"/>
        </w:rPr>
        <w:t>ATCC 19615</w:t>
      </w:r>
    </w:p>
    <w:p w14:paraId="6ECCC8BB" w14:textId="72FB6CBD" w:rsidR="00D752FD" w:rsidRDefault="00D752FD" w:rsidP="00E95D93">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32878D97" wp14:editId="7B122E3F">
            <wp:extent cx="5476875" cy="2047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476875" cy="2047875"/>
                    </a:xfrm>
                    <a:prstGeom prst="rect">
                      <a:avLst/>
                    </a:prstGeom>
                  </pic:spPr>
                </pic:pic>
              </a:graphicData>
            </a:graphic>
          </wp:inline>
        </w:drawing>
      </w:r>
    </w:p>
    <w:p w14:paraId="21393F5C" w14:textId="5E8D5398" w:rsidR="00E95D93" w:rsidRPr="00E95D93" w:rsidRDefault="00E95D93" w:rsidP="00E95D93">
      <w:pPr>
        <w:spacing w:line="360" w:lineRule="auto"/>
        <w:jc w:val="center"/>
        <w:rPr>
          <w:rFonts w:eastAsia="Calibri"/>
          <w:sz w:val="16"/>
          <w:szCs w:val="16"/>
          <w:lang w:val="es-ES" w:eastAsia="en-US"/>
        </w:rPr>
      </w:pPr>
      <w:r w:rsidRPr="00E95D93">
        <w:rPr>
          <w:rFonts w:eastAsia="Calibri"/>
          <w:sz w:val="16"/>
          <w:szCs w:val="16"/>
          <w:lang w:val="es-ES" w:eastAsia="en-US"/>
        </w:rPr>
        <w:t>*De la media del halo de inhibición de 32 discos por grupo.</w:t>
      </w:r>
    </w:p>
    <w:p w14:paraId="2C407ACC" w14:textId="77777777" w:rsidR="00E95D93" w:rsidRPr="00E95D93" w:rsidRDefault="00E95D93" w:rsidP="00E95D93">
      <w:pPr>
        <w:spacing w:line="360" w:lineRule="auto"/>
        <w:jc w:val="center"/>
        <w:rPr>
          <w:lang w:val="es-PE" w:eastAsia="en-US"/>
        </w:rPr>
      </w:pPr>
    </w:p>
    <w:p w14:paraId="40B3BDCC" w14:textId="77777777" w:rsidR="00E95D93" w:rsidRPr="00E95D93" w:rsidRDefault="00E95D93" w:rsidP="00E95D93">
      <w:pPr>
        <w:spacing w:line="360" w:lineRule="auto"/>
        <w:jc w:val="both"/>
        <w:rPr>
          <w:lang w:val="es-PE" w:eastAsia="en-US"/>
        </w:rPr>
      </w:pPr>
      <w:r w:rsidRPr="00E95D93">
        <w:rPr>
          <w:lang w:val="es-PE" w:eastAsia="en-US"/>
        </w:rPr>
        <w:t xml:space="preserve">Al efectuar el test de homogeneidad de varianzas de Hartley, Cochran y Bartlett, se hallaron para </w:t>
      </w:r>
      <w:r w:rsidRPr="00E95D93">
        <w:rPr>
          <w:i/>
          <w:iCs/>
          <w:lang w:val="es-PE" w:eastAsia="en-US"/>
        </w:rPr>
        <w:t>Staphylococcus aureus</w:t>
      </w:r>
      <w:r w:rsidRPr="00E95D93">
        <w:rPr>
          <w:lang w:val="es-PE" w:eastAsia="en-US"/>
        </w:rPr>
        <w:t xml:space="preserve"> ATCC 25923 (p = 0,000) y </w:t>
      </w:r>
      <w:r w:rsidRPr="00E95D93">
        <w:rPr>
          <w:i/>
          <w:iCs/>
          <w:lang w:val="es-PE" w:eastAsia="en-US"/>
        </w:rPr>
        <w:t xml:space="preserve">Streptococcus pyogenes </w:t>
      </w:r>
      <w:r w:rsidRPr="00E95D93">
        <w:rPr>
          <w:lang w:val="es-PE" w:eastAsia="en-US"/>
        </w:rPr>
        <w:t>ATCC 19615</w:t>
      </w:r>
      <w:r w:rsidRPr="00E95D93">
        <w:rPr>
          <w:i/>
          <w:iCs/>
          <w:lang w:val="es-PE" w:eastAsia="en-US"/>
        </w:rPr>
        <w:t xml:space="preserve"> </w:t>
      </w:r>
      <w:r w:rsidRPr="00E95D93">
        <w:rPr>
          <w:lang w:val="es-PE" w:eastAsia="en-US"/>
        </w:rPr>
        <w:t xml:space="preserve">(p = 0,385); se observa que las varianzas son iguales, con excepción de </w:t>
      </w:r>
      <w:r w:rsidRPr="00E95D93">
        <w:rPr>
          <w:i/>
          <w:iCs/>
          <w:lang w:val="es-PE" w:eastAsia="en-US"/>
        </w:rPr>
        <w:t>S. aureus</w:t>
      </w:r>
      <w:r w:rsidRPr="00E95D93">
        <w:rPr>
          <w:lang w:val="es-PE" w:eastAsia="en-US"/>
        </w:rPr>
        <w:t xml:space="preserve"> ATCC 25923. </w:t>
      </w:r>
    </w:p>
    <w:p w14:paraId="4A852535" w14:textId="77777777" w:rsidR="00E95D93" w:rsidRPr="00E95D93" w:rsidRDefault="00E95D93" w:rsidP="00E95D93">
      <w:pPr>
        <w:spacing w:line="360" w:lineRule="auto"/>
        <w:jc w:val="both"/>
        <w:rPr>
          <w:lang w:val="es-PE" w:eastAsia="en-US"/>
        </w:rPr>
      </w:pPr>
      <w:r w:rsidRPr="00E95D93">
        <w:rPr>
          <w:lang w:val="es-PE" w:eastAsia="en-US"/>
        </w:rPr>
        <w:t xml:space="preserve">En la tabla 4 y tabla 5, al realizar el ANOVA de una vía, se determinaron (p &lt; 0,05), que indica diferencias significativas entre los grupos de ensayo sobre </w:t>
      </w:r>
      <w:r w:rsidRPr="00E95D93">
        <w:rPr>
          <w:i/>
          <w:iCs/>
          <w:lang w:val="es-PE" w:eastAsia="en-US"/>
        </w:rPr>
        <w:t xml:space="preserve">Staphylococcus aureus </w:t>
      </w:r>
      <w:r w:rsidRPr="00E95D93">
        <w:rPr>
          <w:lang w:val="es-PE" w:eastAsia="en-US"/>
        </w:rPr>
        <w:t xml:space="preserve">ATCC 25923 y </w:t>
      </w:r>
      <w:r w:rsidRPr="00E95D93">
        <w:rPr>
          <w:i/>
          <w:iCs/>
          <w:lang w:val="es-PE" w:eastAsia="en-US"/>
        </w:rPr>
        <w:t>Streptococcus pyogenes</w:t>
      </w:r>
      <w:r w:rsidRPr="00E95D93">
        <w:rPr>
          <w:lang w:val="es-PE" w:eastAsia="en-US"/>
        </w:rPr>
        <w:t xml:space="preserve"> ATCC 19615.</w:t>
      </w:r>
    </w:p>
    <w:p w14:paraId="70F143E2" w14:textId="77777777" w:rsidR="00E95D93" w:rsidRPr="00E95D93" w:rsidRDefault="00E95D93" w:rsidP="00E95D93">
      <w:pPr>
        <w:spacing w:line="360" w:lineRule="auto"/>
        <w:jc w:val="both"/>
        <w:rPr>
          <w:lang w:val="es-ES" w:eastAsia="en-US"/>
        </w:rPr>
      </w:pPr>
    </w:p>
    <w:p w14:paraId="72C628F0" w14:textId="77777777" w:rsidR="00E95D93" w:rsidRPr="00E95D93" w:rsidRDefault="00E95D93" w:rsidP="00E95D93">
      <w:pPr>
        <w:spacing w:line="360" w:lineRule="auto"/>
        <w:jc w:val="center"/>
        <w:rPr>
          <w:sz w:val="22"/>
          <w:szCs w:val="22"/>
          <w:lang w:val="es-PE" w:eastAsia="en-US"/>
        </w:rPr>
      </w:pPr>
      <w:bookmarkStart w:id="8" w:name="_Hlk71231339"/>
      <w:r w:rsidRPr="00E95D93">
        <w:rPr>
          <w:b/>
          <w:sz w:val="22"/>
          <w:szCs w:val="22"/>
          <w:lang w:val="es-PE" w:eastAsia="en-US"/>
        </w:rPr>
        <w:t xml:space="preserve">Tabla 4 – </w:t>
      </w:r>
      <w:r w:rsidRPr="00E95D93">
        <w:rPr>
          <w:sz w:val="22"/>
          <w:szCs w:val="22"/>
          <w:lang w:val="es-PE" w:eastAsia="en-US"/>
        </w:rPr>
        <w:t xml:space="preserve">Anova de un factor de los grupos de ensayo sobre </w:t>
      </w:r>
      <w:r w:rsidRPr="00E95D93">
        <w:rPr>
          <w:i/>
          <w:iCs/>
          <w:sz w:val="22"/>
          <w:szCs w:val="22"/>
          <w:lang w:val="es-ES" w:eastAsia="en-US"/>
        </w:rPr>
        <w:t xml:space="preserve">S. aureus </w:t>
      </w:r>
      <w:r w:rsidRPr="00E95D93">
        <w:rPr>
          <w:sz w:val="22"/>
          <w:szCs w:val="22"/>
          <w:lang w:val="es-ES" w:eastAsia="en-US"/>
        </w:rPr>
        <w:t>ATCC 25923</w:t>
      </w:r>
    </w:p>
    <w:tbl>
      <w:tblPr>
        <w:tblW w:w="7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357"/>
        <w:gridCol w:w="911"/>
        <w:gridCol w:w="1265"/>
        <w:gridCol w:w="981"/>
        <w:gridCol w:w="944"/>
      </w:tblGrid>
      <w:tr w:rsidR="00E95D93" w:rsidRPr="00E95D93" w14:paraId="593036FA" w14:textId="77777777" w:rsidTr="002F729D">
        <w:trPr>
          <w:jc w:val="center"/>
        </w:trPr>
        <w:tc>
          <w:tcPr>
            <w:tcW w:w="1868" w:type="dxa"/>
            <w:shd w:val="clear" w:color="auto" w:fill="auto"/>
            <w:vAlign w:val="center"/>
          </w:tcPr>
          <w:p w14:paraId="371D787F"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Comparación</w:t>
            </w:r>
          </w:p>
        </w:tc>
        <w:tc>
          <w:tcPr>
            <w:tcW w:w="1357" w:type="dxa"/>
            <w:shd w:val="clear" w:color="auto" w:fill="auto"/>
            <w:vAlign w:val="center"/>
          </w:tcPr>
          <w:p w14:paraId="00A47CFA"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Suma de cuadrados</w:t>
            </w:r>
          </w:p>
        </w:tc>
        <w:tc>
          <w:tcPr>
            <w:tcW w:w="911" w:type="dxa"/>
            <w:shd w:val="clear" w:color="auto" w:fill="auto"/>
            <w:vAlign w:val="center"/>
          </w:tcPr>
          <w:p w14:paraId="415B3852"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gl</w:t>
            </w:r>
          </w:p>
        </w:tc>
        <w:tc>
          <w:tcPr>
            <w:tcW w:w="1265" w:type="dxa"/>
            <w:shd w:val="clear" w:color="auto" w:fill="auto"/>
            <w:vAlign w:val="center"/>
          </w:tcPr>
          <w:p w14:paraId="638C6FCA"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Media cuadrática</w:t>
            </w:r>
          </w:p>
        </w:tc>
        <w:tc>
          <w:tcPr>
            <w:tcW w:w="981" w:type="dxa"/>
            <w:shd w:val="clear" w:color="auto" w:fill="auto"/>
            <w:vAlign w:val="center"/>
          </w:tcPr>
          <w:p w14:paraId="1DA9810F"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F</w:t>
            </w:r>
          </w:p>
        </w:tc>
        <w:tc>
          <w:tcPr>
            <w:tcW w:w="944" w:type="dxa"/>
            <w:shd w:val="clear" w:color="auto" w:fill="auto"/>
            <w:vAlign w:val="center"/>
          </w:tcPr>
          <w:p w14:paraId="0AC8ECC7"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Sig.*</w:t>
            </w:r>
          </w:p>
        </w:tc>
      </w:tr>
      <w:tr w:rsidR="00E95D93" w:rsidRPr="00E95D93" w14:paraId="45E018A4" w14:textId="77777777" w:rsidTr="002F729D">
        <w:trPr>
          <w:jc w:val="center"/>
        </w:trPr>
        <w:tc>
          <w:tcPr>
            <w:tcW w:w="1868" w:type="dxa"/>
            <w:shd w:val="clear" w:color="auto" w:fill="auto"/>
            <w:vAlign w:val="center"/>
          </w:tcPr>
          <w:p w14:paraId="29BA06DD"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Inter – grupos</w:t>
            </w:r>
          </w:p>
        </w:tc>
        <w:tc>
          <w:tcPr>
            <w:tcW w:w="1357" w:type="dxa"/>
            <w:shd w:val="clear" w:color="auto" w:fill="auto"/>
            <w:vAlign w:val="center"/>
          </w:tcPr>
          <w:p w14:paraId="60A6114B"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10531,672</w:t>
            </w:r>
          </w:p>
        </w:tc>
        <w:tc>
          <w:tcPr>
            <w:tcW w:w="911" w:type="dxa"/>
            <w:shd w:val="clear" w:color="auto" w:fill="auto"/>
            <w:vAlign w:val="center"/>
          </w:tcPr>
          <w:p w14:paraId="5DF24F3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5</w:t>
            </w:r>
          </w:p>
        </w:tc>
        <w:tc>
          <w:tcPr>
            <w:tcW w:w="1265" w:type="dxa"/>
            <w:shd w:val="clear" w:color="auto" w:fill="auto"/>
            <w:vAlign w:val="center"/>
          </w:tcPr>
          <w:p w14:paraId="33D71E65"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2106,334</w:t>
            </w:r>
          </w:p>
        </w:tc>
        <w:tc>
          <w:tcPr>
            <w:tcW w:w="981" w:type="dxa"/>
            <w:shd w:val="clear" w:color="auto" w:fill="auto"/>
            <w:vAlign w:val="center"/>
          </w:tcPr>
          <w:p w14:paraId="5EB5E1DB"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12517,750</w:t>
            </w:r>
          </w:p>
        </w:tc>
        <w:tc>
          <w:tcPr>
            <w:tcW w:w="944" w:type="dxa"/>
            <w:shd w:val="clear" w:color="auto" w:fill="auto"/>
            <w:vAlign w:val="center"/>
          </w:tcPr>
          <w:p w14:paraId="02A66E3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0,000</w:t>
            </w:r>
          </w:p>
        </w:tc>
      </w:tr>
      <w:tr w:rsidR="00E95D93" w:rsidRPr="00E95D93" w14:paraId="652EBD14" w14:textId="77777777" w:rsidTr="002F729D">
        <w:trPr>
          <w:jc w:val="center"/>
        </w:trPr>
        <w:tc>
          <w:tcPr>
            <w:tcW w:w="1868" w:type="dxa"/>
            <w:tcBorders>
              <w:bottom w:val="single" w:sz="4" w:space="0" w:color="auto"/>
            </w:tcBorders>
            <w:shd w:val="clear" w:color="auto" w:fill="auto"/>
            <w:vAlign w:val="center"/>
          </w:tcPr>
          <w:p w14:paraId="411E166F"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Intra – grupos</w:t>
            </w:r>
          </w:p>
        </w:tc>
        <w:tc>
          <w:tcPr>
            <w:tcW w:w="1357" w:type="dxa"/>
            <w:tcBorders>
              <w:bottom w:val="single" w:sz="4" w:space="0" w:color="auto"/>
            </w:tcBorders>
            <w:shd w:val="clear" w:color="auto" w:fill="auto"/>
            <w:vAlign w:val="center"/>
          </w:tcPr>
          <w:p w14:paraId="3A4F7C69"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31,298</w:t>
            </w:r>
          </w:p>
        </w:tc>
        <w:tc>
          <w:tcPr>
            <w:tcW w:w="911" w:type="dxa"/>
            <w:tcBorders>
              <w:bottom w:val="single" w:sz="4" w:space="0" w:color="auto"/>
            </w:tcBorders>
            <w:shd w:val="clear" w:color="auto" w:fill="auto"/>
            <w:vAlign w:val="center"/>
          </w:tcPr>
          <w:p w14:paraId="1664AB0E"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186</w:t>
            </w:r>
          </w:p>
        </w:tc>
        <w:tc>
          <w:tcPr>
            <w:tcW w:w="1265" w:type="dxa"/>
            <w:tcBorders>
              <w:bottom w:val="single" w:sz="4" w:space="0" w:color="auto"/>
            </w:tcBorders>
            <w:shd w:val="clear" w:color="auto" w:fill="auto"/>
            <w:vAlign w:val="center"/>
          </w:tcPr>
          <w:p w14:paraId="2F02E292"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0,168</w:t>
            </w:r>
          </w:p>
        </w:tc>
        <w:tc>
          <w:tcPr>
            <w:tcW w:w="981" w:type="dxa"/>
            <w:tcBorders>
              <w:bottom w:val="single" w:sz="4" w:space="0" w:color="auto"/>
            </w:tcBorders>
            <w:shd w:val="clear" w:color="auto" w:fill="auto"/>
            <w:vAlign w:val="center"/>
          </w:tcPr>
          <w:p w14:paraId="1CBAD482"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c>
          <w:tcPr>
            <w:tcW w:w="944" w:type="dxa"/>
            <w:tcBorders>
              <w:bottom w:val="single" w:sz="4" w:space="0" w:color="auto"/>
            </w:tcBorders>
            <w:shd w:val="clear" w:color="auto" w:fill="auto"/>
            <w:vAlign w:val="center"/>
          </w:tcPr>
          <w:p w14:paraId="46772E0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r w:rsidR="00E95D93" w:rsidRPr="00E95D93" w14:paraId="57DDE029" w14:textId="77777777" w:rsidTr="002F729D">
        <w:trPr>
          <w:jc w:val="center"/>
        </w:trPr>
        <w:tc>
          <w:tcPr>
            <w:tcW w:w="1868" w:type="dxa"/>
            <w:tcBorders>
              <w:bottom w:val="single" w:sz="4" w:space="0" w:color="auto"/>
            </w:tcBorders>
            <w:shd w:val="clear" w:color="auto" w:fill="auto"/>
            <w:vAlign w:val="center"/>
          </w:tcPr>
          <w:p w14:paraId="4D189AFB"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Total</w:t>
            </w:r>
          </w:p>
        </w:tc>
        <w:tc>
          <w:tcPr>
            <w:tcW w:w="1357" w:type="dxa"/>
            <w:tcBorders>
              <w:bottom w:val="single" w:sz="4" w:space="0" w:color="auto"/>
            </w:tcBorders>
            <w:shd w:val="clear" w:color="auto" w:fill="auto"/>
            <w:vAlign w:val="center"/>
          </w:tcPr>
          <w:p w14:paraId="43FE6C8B"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10562,970</w:t>
            </w:r>
          </w:p>
        </w:tc>
        <w:tc>
          <w:tcPr>
            <w:tcW w:w="911" w:type="dxa"/>
            <w:tcBorders>
              <w:bottom w:val="single" w:sz="4" w:space="0" w:color="auto"/>
            </w:tcBorders>
            <w:shd w:val="clear" w:color="auto" w:fill="auto"/>
            <w:vAlign w:val="center"/>
          </w:tcPr>
          <w:p w14:paraId="1296F6C7"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191</w:t>
            </w:r>
          </w:p>
        </w:tc>
        <w:tc>
          <w:tcPr>
            <w:tcW w:w="1265" w:type="dxa"/>
            <w:tcBorders>
              <w:bottom w:val="single" w:sz="4" w:space="0" w:color="auto"/>
            </w:tcBorders>
            <w:shd w:val="clear" w:color="auto" w:fill="auto"/>
            <w:vAlign w:val="center"/>
          </w:tcPr>
          <w:p w14:paraId="4485E172"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c>
          <w:tcPr>
            <w:tcW w:w="981" w:type="dxa"/>
            <w:tcBorders>
              <w:bottom w:val="single" w:sz="4" w:space="0" w:color="auto"/>
            </w:tcBorders>
            <w:shd w:val="clear" w:color="auto" w:fill="auto"/>
            <w:vAlign w:val="center"/>
          </w:tcPr>
          <w:p w14:paraId="5F26B23F"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c>
          <w:tcPr>
            <w:tcW w:w="944" w:type="dxa"/>
            <w:tcBorders>
              <w:bottom w:val="single" w:sz="4" w:space="0" w:color="auto"/>
            </w:tcBorders>
            <w:shd w:val="clear" w:color="auto" w:fill="auto"/>
            <w:vAlign w:val="center"/>
          </w:tcPr>
          <w:p w14:paraId="6A9100F0"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w:t>
            </w:r>
          </w:p>
        </w:tc>
      </w:tr>
    </w:tbl>
    <w:bookmarkEnd w:id="8"/>
    <w:p w14:paraId="75ED7117" w14:textId="77777777" w:rsidR="00E95D93" w:rsidRPr="00E95D93" w:rsidRDefault="00E95D93" w:rsidP="00E95D93">
      <w:pPr>
        <w:spacing w:line="360" w:lineRule="auto"/>
        <w:jc w:val="center"/>
        <w:rPr>
          <w:rFonts w:eastAsia="Calibri"/>
          <w:sz w:val="16"/>
          <w:szCs w:val="16"/>
          <w:lang w:val="es-ES" w:eastAsia="en-US"/>
        </w:rPr>
      </w:pPr>
      <w:r w:rsidRPr="00E95D93">
        <w:rPr>
          <w:rFonts w:eastAsia="Calibri"/>
          <w:sz w:val="16"/>
          <w:szCs w:val="16"/>
          <w:lang w:val="es-ES" w:eastAsia="en-US"/>
        </w:rPr>
        <w:t>*De 192 discos por 6 grupos de ensayo</w:t>
      </w:r>
    </w:p>
    <w:p w14:paraId="31186449" w14:textId="77777777" w:rsidR="00E95D93" w:rsidRPr="00E95D93" w:rsidRDefault="00E95D93" w:rsidP="00E95D93">
      <w:pPr>
        <w:spacing w:line="360" w:lineRule="auto"/>
        <w:jc w:val="center"/>
        <w:rPr>
          <w:lang w:val="es-PE" w:eastAsia="en-US"/>
        </w:rPr>
      </w:pPr>
    </w:p>
    <w:p w14:paraId="0FCC11C6" w14:textId="77777777" w:rsidR="00E95D93" w:rsidRPr="00E95D93" w:rsidRDefault="00E95D93" w:rsidP="00E95D93">
      <w:pPr>
        <w:spacing w:line="360" w:lineRule="auto"/>
        <w:jc w:val="both"/>
        <w:rPr>
          <w:lang w:val="es-PE" w:eastAsia="en-US"/>
        </w:rPr>
      </w:pPr>
      <w:r w:rsidRPr="00E95D93">
        <w:rPr>
          <w:lang w:val="es-PE" w:eastAsia="en-US"/>
        </w:rPr>
        <w:t xml:space="preserve">Al aplicar el </w:t>
      </w:r>
      <w:r w:rsidRPr="00E95D93">
        <w:rPr>
          <w:i/>
          <w:iCs/>
          <w:lang w:val="es-PE" w:eastAsia="en-US"/>
        </w:rPr>
        <w:t>post-hoc</w:t>
      </w:r>
      <w:r w:rsidRPr="00E95D93">
        <w:rPr>
          <w:lang w:val="es-PE" w:eastAsia="en-US"/>
        </w:rPr>
        <w:t xml:space="preserve"> T3 de Dunnett, se halló que todos los grupos presentan diferencias estadísticas significativas (p &lt; 0,05), sobre </w:t>
      </w:r>
      <w:r w:rsidRPr="00E95D93">
        <w:rPr>
          <w:i/>
          <w:iCs/>
          <w:lang w:val="es-ES" w:eastAsia="en-US"/>
        </w:rPr>
        <w:t xml:space="preserve">S. aureus </w:t>
      </w:r>
      <w:r w:rsidRPr="00E95D93">
        <w:rPr>
          <w:lang w:val="es-ES" w:eastAsia="en-US"/>
        </w:rPr>
        <w:t>ATCC 25923.</w:t>
      </w:r>
    </w:p>
    <w:p w14:paraId="22D296D3" w14:textId="77777777" w:rsidR="00E95D93" w:rsidRPr="00E95D93" w:rsidRDefault="00E95D93" w:rsidP="00E95D93">
      <w:pPr>
        <w:spacing w:line="360" w:lineRule="auto"/>
        <w:jc w:val="both"/>
        <w:rPr>
          <w:lang w:val="es-PE" w:eastAsia="en-US"/>
        </w:rPr>
      </w:pPr>
    </w:p>
    <w:p w14:paraId="03F0D17B" w14:textId="77777777" w:rsidR="00E95D93" w:rsidRPr="00E95D93" w:rsidRDefault="00E95D93" w:rsidP="00E95D93">
      <w:pPr>
        <w:spacing w:line="360" w:lineRule="auto"/>
        <w:jc w:val="center"/>
        <w:rPr>
          <w:sz w:val="22"/>
          <w:szCs w:val="22"/>
          <w:lang w:val="es-ES" w:eastAsia="en-US"/>
        </w:rPr>
      </w:pPr>
      <w:r w:rsidRPr="00E95D93">
        <w:rPr>
          <w:b/>
          <w:sz w:val="22"/>
          <w:szCs w:val="22"/>
          <w:lang w:val="es-PE" w:eastAsia="en-US"/>
        </w:rPr>
        <w:t xml:space="preserve">Tabla 5 – </w:t>
      </w:r>
      <w:r w:rsidRPr="00E95D93">
        <w:rPr>
          <w:sz w:val="22"/>
          <w:szCs w:val="22"/>
          <w:lang w:val="es-PE" w:eastAsia="en-US"/>
        </w:rPr>
        <w:t xml:space="preserve">Anova de un factor de los grupos de ensayo sobre </w:t>
      </w:r>
      <w:r w:rsidRPr="00E95D93">
        <w:rPr>
          <w:i/>
          <w:iCs/>
          <w:sz w:val="22"/>
          <w:szCs w:val="22"/>
          <w:lang w:val="es-ES" w:eastAsia="en-US"/>
        </w:rPr>
        <w:t xml:space="preserve">S. pyogenes </w:t>
      </w:r>
      <w:r w:rsidRPr="00E95D93">
        <w:rPr>
          <w:sz w:val="22"/>
          <w:szCs w:val="22"/>
          <w:lang w:val="es-ES" w:eastAsia="en-US"/>
        </w:rPr>
        <w:t>ATCC 19615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27"/>
        <w:gridCol w:w="486"/>
        <w:gridCol w:w="1571"/>
        <w:gridCol w:w="981"/>
        <w:gridCol w:w="621"/>
      </w:tblGrid>
      <w:tr w:rsidR="00E95D93" w:rsidRPr="00E95D93" w14:paraId="1D8597BB" w14:textId="77777777" w:rsidTr="002F729D">
        <w:trPr>
          <w:jc w:val="center"/>
        </w:trPr>
        <w:tc>
          <w:tcPr>
            <w:tcW w:w="0" w:type="auto"/>
            <w:shd w:val="clear" w:color="auto" w:fill="auto"/>
            <w:vAlign w:val="center"/>
          </w:tcPr>
          <w:p w14:paraId="48A11155"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Comparación</w:t>
            </w:r>
          </w:p>
        </w:tc>
        <w:tc>
          <w:tcPr>
            <w:tcW w:w="0" w:type="auto"/>
            <w:shd w:val="clear" w:color="auto" w:fill="auto"/>
            <w:vAlign w:val="center"/>
          </w:tcPr>
          <w:p w14:paraId="6622C5D0"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Suma de cuadrados</w:t>
            </w:r>
          </w:p>
        </w:tc>
        <w:tc>
          <w:tcPr>
            <w:tcW w:w="0" w:type="auto"/>
            <w:shd w:val="clear" w:color="auto" w:fill="auto"/>
            <w:vAlign w:val="center"/>
          </w:tcPr>
          <w:p w14:paraId="5F0BB7E5"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gl</w:t>
            </w:r>
          </w:p>
        </w:tc>
        <w:tc>
          <w:tcPr>
            <w:tcW w:w="0" w:type="auto"/>
            <w:shd w:val="clear" w:color="auto" w:fill="auto"/>
            <w:vAlign w:val="center"/>
          </w:tcPr>
          <w:p w14:paraId="5F9AA548"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Media cuadrática</w:t>
            </w:r>
          </w:p>
        </w:tc>
        <w:tc>
          <w:tcPr>
            <w:tcW w:w="0" w:type="auto"/>
            <w:shd w:val="clear" w:color="auto" w:fill="auto"/>
            <w:vAlign w:val="center"/>
          </w:tcPr>
          <w:p w14:paraId="4AC393DF"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F</w:t>
            </w:r>
          </w:p>
        </w:tc>
        <w:tc>
          <w:tcPr>
            <w:tcW w:w="0" w:type="auto"/>
            <w:shd w:val="clear" w:color="auto" w:fill="auto"/>
            <w:vAlign w:val="center"/>
          </w:tcPr>
          <w:p w14:paraId="4C0CAE3F" w14:textId="77777777" w:rsidR="00E95D93" w:rsidRPr="00E95D93" w:rsidRDefault="00E95D93" w:rsidP="00E95D93">
            <w:pPr>
              <w:spacing w:line="360" w:lineRule="auto"/>
              <w:jc w:val="center"/>
              <w:rPr>
                <w:rFonts w:eastAsia="Calibri"/>
                <w:b/>
                <w:bCs/>
                <w:sz w:val="18"/>
                <w:szCs w:val="18"/>
                <w:lang w:val="es-ES" w:eastAsia="en-US"/>
              </w:rPr>
            </w:pPr>
            <w:r w:rsidRPr="00E95D93">
              <w:rPr>
                <w:rFonts w:eastAsia="Calibri"/>
                <w:b/>
                <w:bCs/>
                <w:sz w:val="18"/>
                <w:szCs w:val="18"/>
                <w:lang w:val="es-ES" w:eastAsia="en-US"/>
              </w:rPr>
              <w:t>Sig.*</w:t>
            </w:r>
          </w:p>
        </w:tc>
      </w:tr>
      <w:tr w:rsidR="00E95D93" w:rsidRPr="00E95D93" w14:paraId="14FC3C27" w14:textId="77777777" w:rsidTr="002F729D">
        <w:trPr>
          <w:jc w:val="center"/>
        </w:trPr>
        <w:tc>
          <w:tcPr>
            <w:tcW w:w="0" w:type="auto"/>
            <w:shd w:val="clear" w:color="auto" w:fill="auto"/>
            <w:vAlign w:val="center"/>
          </w:tcPr>
          <w:p w14:paraId="291AA98A"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Inter – grupos</w:t>
            </w:r>
          </w:p>
        </w:tc>
        <w:tc>
          <w:tcPr>
            <w:tcW w:w="0" w:type="auto"/>
            <w:shd w:val="clear" w:color="auto" w:fill="auto"/>
            <w:vAlign w:val="center"/>
          </w:tcPr>
          <w:p w14:paraId="7EE6ED58"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10689,575</w:t>
            </w:r>
          </w:p>
        </w:tc>
        <w:tc>
          <w:tcPr>
            <w:tcW w:w="0" w:type="auto"/>
            <w:shd w:val="clear" w:color="auto" w:fill="auto"/>
            <w:vAlign w:val="center"/>
          </w:tcPr>
          <w:p w14:paraId="7C2C3D7B"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5</w:t>
            </w:r>
          </w:p>
        </w:tc>
        <w:tc>
          <w:tcPr>
            <w:tcW w:w="0" w:type="auto"/>
            <w:shd w:val="clear" w:color="auto" w:fill="auto"/>
            <w:vAlign w:val="center"/>
          </w:tcPr>
          <w:p w14:paraId="483F82E8"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2137,915</w:t>
            </w:r>
          </w:p>
        </w:tc>
        <w:tc>
          <w:tcPr>
            <w:tcW w:w="0" w:type="auto"/>
            <w:shd w:val="clear" w:color="auto" w:fill="auto"/>
            <w:vAlign w:val="center"/>
          </w:tcPr>
          <w:p w14:paraId="478DD56C"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16318,747</w:t>
            </w:r>
          </w:p>
        </w:tc>
        <w:tc>
          <w:tcPr>
            <w:tcW w:w="0" w:type="auto"/>
            <w:shd w:val="clear" w:color="auto" w:fill="auto"/>
            <w:vAlign w:val="center"/>
          </w:tcPr>
          <w:p w14:paraId="27417397"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0,000</w:t>
            </w:r>
          </w:p>
        </w:tc>
      </w:tr>
      <w:tr w:rsidR="00E95D93" w:rsidRPr="00E95D93" w14:paraId="135F82C7" w14:textId="77777777" w:rsidTr="002F729D">
        <w:trPr>
          <w:jc w:val="center"/>
        </w:trPr>
        <w:tc>
          <w:tcPr>
            <w:tcW w:w="0" w:type="auto"/>
            <w:tcBorders>
              <w:bottom w:val="single" w:sz="4" w:space="0" w:color="auto"/>
            </w:tcBorders>
            <w:shd w:val="clear" w:color="auto" w:fill="auto"/>
            <w:vAlign w:val="center"/>
          </w:tcPr>
          <w:p w14:paraId="2B9C64E8"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Intra – grupos</w:t>
            </w:r>
          </w:p>
        </w:tc>
        <w:tc>
          <w:tcPr>
            <w:tcW w:w="0" w:type="auto"/>
            <w:tcBorders>
              <w:bottom w:val="single" w:sz="4" w:space="0" w:color="auto"/>
            </w:tcBorders>
            <w:shd w:val="clear" w:color="auto" w:fill="auto"/>
            <w:vAlign w:val="center"/>
          </w:tcPr>
          <w:p w14:paraId="29D7EFB9"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24,368</w:t>
            </w:r>
          </w:p>
        </w:tc>
        <w:tc>
          <w:tcPr>
            <w:tcW w:w="0" w:type="auto"/>
            <w:tcBorders>
              <w:bottom w:val="single" w:sz="4" w:space="0" w:color="auto"/>
            </w:tcBorders>
            <w:shd w:val="clear" w:color="auto" w:fill="auto"/>
            <w:vAlign w:val="center"/>
          </w:tcPr>
          <w:p w14:paraId="5C146512"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186</w:t>
            </w:r>
          </w:p>
        </w:tc>
        <w:tc>
          <w:tcPr>
            <w:tcW w:w="0" w:type="auto"/>
            <w:tcBorders>
              <w:bottom w:val="single" w:sz="4" w:space="0" w:color="auto"/>
            </w:tcBorders>
            <w:shd w:val="clear" w:color="auto" w:fill="auto"/>
            <w:vAlign w:val="center"/>
          </w:tcPr>
          <w:p w14:paraId="15764DB7"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0,131</w:t>
            </w:r>
          </w:p>
        </w:tc>
        <w:tc>
          <w:tcPr>
            <w:tcW w:w="0" w:type="auto"/>
            <w:tcBorders>
              <w:bottom w:val="single" w:sz="4" w:space="0" w:color="auto"/>
            </w:tcBorders>
            <w:shd w:val="clear" w:color="auto" w:fill="auto"/>
            <w:vAlign w:val="center"/>
          </w:tcPr>
          <w:p w14:paraId="769027B7" w14:textId="77777777" w:rsidR="00E95D93" w:rsidRPr="00E95D93" w:rsidRDefault="00E95D93" w:rsidP="00E95D93">
            <w:pPr>
              <w:spacing w:line="360" w:lineRule="auto"/>
              <w:jc w:val="center"/>
              <w:rPr>
                <w:rFonts w:eastAsia="Calibri"/>
                <w:sz w:val="18"/>
                <w:szCs w:val="18"/>
                <w:lang w:val="es-ES" w:eastAsia="en-US"/>
              </w:rPr>
            </w:pPr>
          </w:p>
        </w:tc>
        <w:tc>
          <w:tcPr>
            <w:tcW w:w="0" w:type="auto"/>
            <w:tcBorders>
              <w:bottom w:val="single" w:sz="4" w:space="0" w:color="auto"/>
            </w:tcBorders>
            <w:shd w:val="clear" w:color="auto" w:fill="auto"/>
            <w:vAlign w:val="center"/>
          </w:tcPr>
          <w:p w14:paraId="13508734" w14:textId="77777777" w:rsidR="00E95D93" w:rsidRPr="00E95D93" w:rsidRDefault="00E95D93" w:rsidP="00E95D93">
            <w:pPr>
              <w:spacing w:line="360" w:lineRule="auto"/>
              <w:jc w:val="center"/>
              <w:rPr>
                <w:rFonts w:eastAsia="Calibri"/>
                <w:sz w:val="18"/>
                <w:szCs w:val="18"/>
                <w:lang w:val="es-ES" w:eastAsia="en-US"/>
              </w:rPr>
            </w:pPr>
          </w:p>
        </w:tc>
      </w:tr>
      <w:tr w:rsidR="00E95D93" w:rsidRPr="00E95D93" w14:paraId="5BC702E2" w14:textId="77777777" w:rsidTr="002F729D">
        <w:trPr>
          <w:jc w:val="center"/>
        </w:trPr>
        <w:tc>
          <w:tcPr>
            <w:tcW w:w="0" w:type="auto"/>
            <w:tcBorders>
              <w:bottom w:val="single" w:sz="4" w:space="0" w:color="auto"/>
            </w:tcBorders>
            <w:shd w:val="clear" w:color="auto" w:fill="auto"/>
            <w:vAlign w:val="center"/>
          </w:tcPr>
          <w:p w14:paraId="5228B833" w14:textId="77777777" w:rsidR="00E95D93" w:rsidRPr="00E95D93" w:rsidRDefault="00E95D93" w:rsidP="00E95D93">
            <w:pPr>
              <w:spacing w:line="360" w:lineRule="auto"/>
              <w:jc w:val="both"/>
              <w:rPr>
                <w:rFonts w:eastAsia="Calibri"/>
                <w:sz w:val="18"/>
                <w:szCs w:val="18"/>
                <w:lang w:val="es-ES" w:eastAsia="en-US"/>
              </w:rPr>
            </w:pPr>
            <w:r w:rsidRPr="00E95D93">
              <w:rPr>
                <w:rFonts w:eastAsia="Calibri"/>
                <w:sz w:val="18"/>
                <w:szCs w:val="18"/>
                <w:lang w:val="es-ES" w:eastAsia="en-US"/>
              </w:rPr>
              <w:t>Total</w:t>
            </w:r>
          </w:p>
        </w:tc>
        <w:tc>
          <w:tcPr>
            <w:tcW w:w="0" w:type="auto"/>
            <w:tcBorders>
              <w:bottom w:val="single" w:sz="4" w:space="0" w:color="auto"/>
            </w:tcBorders>
            <w:shd w:val="clear" w:color="auto" w:fill="auto"/>
            <w:vAlign w:val="center"/>
          </w:tcPr>
          <w:p w14:paraId="7F2F674C"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10713,942</w:t>
            </w:r>
          </w:p>
        </w:tc>
        <w:tc>
          <w:tcPr>
            <w:tcW w:w="0" w:type="auto"/>
            <w:tcBorders>
              <w:bottom w:val="single" w:sz="4" w:space="0" w:color="auto"/>
            </w:tcBorders>
            <w:shd w:val="clear" w:color="auto" w:fill="auto"/>
            <w:vAlign w:val="center"/>
          </w:tcPr>
          <w:p w14:paraId="589AC897" w14:textId="77777777" w:rsidR="00E95D93" w:rsidRPr="00E95D93" w:rsidRDefault="00E95D93" w:rsidP="00E95D93">
            <w:pPr>
              <w:spacing w:line="360" w:lineRule="auto"/>
              <w:jc w:val="center"/>
              <w:rPr>
                <w:rFonts w:eastAsia="Calibri"/>
                <w:sz w:val="18"/>
                <w:szCs w:val="18"/>
                <w:lang w:val="es-ES" w:eastAsia="en-US"/>
              </w:rPr>
            </w:pPr>
            <w:r w:rsidRPr="00E95D93">
              <w:rPr>
                <w:rFonts w:eastAsia="Calibri"/>
                <w:sz w:val="18"/>
                <w:szCs w:val="18"/>
                <w:lang w:val="es-ES" w:eastAsia="en-US"/>
              </w:rPr>
              <w:t>191</w:t>
            </w:r>
          </w:p>
        </w:tc>
        <w:tc>
          <w:tcPr>
            <w:tcW w:w="0" w:type="auto"/>
            <w:tcBorders>
              <w:bottom w:val="single" w:sz="4" w:space="0" w:color="auto"/>
            </w:tcBorders>
            <w:shd w:val="clear" w:color="auto" w:fill="auto"/>
            <w:vAlign w:val="center"/>
          </w:tcPr>
          <w:p w14:paraId="450E3DF8" w14:textId="77777777" w:rsidR="00E95D93" w:rsidRPr="00E95D93" w:rsidRDefault="00E95D93" w:rsidP="00E95D93">
            <w:pPr>
              <w:spacing w:line="360" w:lineRule="auto"/>
              <w:jc w:val="center"/>
              <w:rPr>
                <w:rFonts w:eastAsia="Calibri"/>
                <w:sz w:val="18"/>
                <w:szCs w:val="18"/>
                <w:lang w:val="es-ES" w:eastAsia="en-US"/>
              </w:rPr>
            </w:pPr>
          </w:p>
        </w:tc>
        <w:tc>
          <w:tcPr>
            <w:tcW w:w="0" w:type="auto"/>
            <w:tcBorders>
              <w:bottom w:val="single" w:sz="4" w:space="0" w:color="auto"/>
            </w:tcBorders>
            <w:shd w:val="clear" w:color="auto" w:fill="auto"/>
            <w:vAlign w:val="center"/>
          </w:tcPr>
          <w:p w14:paraId="4E6C2943" w14:textId="77777777" w:rsidR="00E95D93" w:rsidRPr="00E95D93" w:rsidRDefault="00E95D93" w:rsidP="00E95D93">
            <w:pPr>
              <w:spacing w:line="360" w:lineRule="auto"/>
              <w:jc w:val="center"/>
              <w:rPr>
                <w:rFonts w:eastAsia="Calibri"/>
                <w:sz w:val="18"/>
                <w:szCs w:val="18"/>
                <w:lang w:val="es-ES" w:eastAsia="en-US"/>
              </w:rPr>
            </w:pPr>
          </w:p>
        </w:tc>
        <w:tc>
          <w:tcPr>
            <w:tcW w:w="0" w:type="auto"/>
            <w:tcBorders>
              <w:bottom w:val="single" w:sz="4" w:space="0" w:color="auto"/>
            </w:tcBorders>
            <w:shd w:val="clear" w:color="auto" w:fill="auto"/>
            <w:vAlign w:val="center"/>
          </w:tcPr>
          <w:p w14:paraId="2677C4D6" w14:textId="77777777" w:rsidR="00E95D93" w:rsidRPr="00E95D93" w:rsidRDefault="00E95D93" w:rsidP="00E95D93">
            <w:pPr>
              <w:spacing w:line="360" w:lineRule="auto"/>
              <w:jc w:val="center"/>
              <w:rPr>
                <w:rFonts w:eastAsia="Calibri"/>
                <w:sz w:val="18"/>
                <w:szCs w:val="18"/>
                <w:lang w:val="es-ES" w:eastAsia="en-US"/>
              </w:rPr>
            </w:pPr>
          </w:p>
        </w:tc>
      </w:tr>
    </w:tbl>
    <w:p w14:paraId="7CC67A54" w14:textId="77777777" w:rsidR="00E95D93" w:rsidRPr="00E95D93" w:rsidRDefault="00E95D93" w:rsidP="00E95D93">
      <w:pPr>
        <w:spacing w:line="360" w:lineRule="auto"/>
        <w:jc w:val="center"/>
        <w:rPr>
          <w:rFonts w:eastAsia="Calibri"/>
          <w:sz w:val="16"/>
          <w:szCs w:val="16"/>
          <w:lang w:val="es-ES" w:eastAsia="en-US"/>
        </w:rPr>
      </w:pPr>
      <w:r w:rsidRPr="00E95D93">
        <w:rPr>
          <w:rFonts w:eastAsia="Calibri"/>
          <w:sz w:val="16"/>
          <w:szCs w:val="16"/>
          <w:lang w:val="es-ES" w:eastAsia="en-US"/>
        </w:rPr>
        <w:t>*De 192 discos por 6 grupos de ensayo</w:t>
      </w:r>
    </w:p>
    <w:p w14:paraId="654FEDBC" w14:textId="77777777" w:rsidR="00E95D93" w:rsidRPr="00E95D93" w:rsidRDefault="00E95D93" w:rsidP="00E95D93">
      <w:pPr>
        <w:spacing w:line="360" w:lineRule="auto"/>
        <w:jc w:val="both"/>
        <w:rPr>
          <w:lang w:val="es-PE" w:eastAsia="en-US"/>
        </w:rPr>
      </w:pPr>
    </w:p>
    <w:p w14:paraId="46604400" w14:textId="77777777" w:rsidR="00E95D93" w:rsidRPr="00E95D93" w:rsidRDefault="00E95D93" w:rsidP="00E95D93">
      <w:pPr>
        <w:spacing w:line="360" w:lineRule="auto"/>
        <w:jc w:val="both"/>
        <w:rPr>
          <w:lang w:val="es-PE" w:eastAsia="en-US"/>
        </w:rPr>
      </w:pPr>
      <w:r w:rsidRPr="00E95D93">
        <w:rPr>
          <w:lang w:val="es-PE" w:eastAsia="en-US"/>
        </w:rPr>
        <w:t xml:space="preserve">Al aplicar el </w:t>
      </w:r>
      <w:r w:rsidRPr="00E95D93">
        <w:rPr>
          <w:i/>
          <w:iCs/>
          <w:lang w:val="es-PE" w:eastAsia="en-US"/>
        </w:rPr>
        <w:t>post-hoc</w:t>
      </w:r>
      <w:r w:rsidRPr="00E95D93">
        <w:rPr>
          <w:lang w:val="es-PE" w:eastAsia="en-US"/>
        </w:rPr>
        <w:t xml:space="preserve"> HSD de Tukey, se encontró que todos los grupos muestran diferencias estadísticamente significativas (p &lt; 0,05), sobre </w:t>
      </w:r>
      <w:r w:rsidRPr="00E95D93">
        <w:rPr>
          <w:i/>
          <w:iCs/>
          <w:lang w:val="es-ES" w:eastAsia="en-US"/>
        </w:rPr>
        <w:t xml:space="preserve">S. pyogenes </w:t>
      </w:r>
      <w:r w:rsidRPr="00E95D93">
        <w:rPr>
          <w:lang w:val="es-ES" w:eastAsia="en-US"/>
        </w:rPr>
        <w:t xml:space="preserve">ATCC 19615, </w:t>
      </w:r>
      <w:r w:rsidRPr="00E95D93">
        <w:rPr>
          <w:lang w:val="es-PE" w:eastAsia="en-US"/>
        </w:rPr>
        <w:t xml:space="preserve">con excepción del grupo III: control positivo 1 con grupo IV: control positivo 2 (p = 0,674); grupo III: control positivo 1 con grupo VI: experimental 2 (p = 0,584) que son estadísticamente iguales. </w:t>
      </w:r>
    </w:p>
    <w:p w14:paraId="761D93C1" w14:textId="77777777" w:rsidR="00E95D93" w:rsidRPr="00E95D93" w:rsidRDefault="00E95D93" w:rsidP="00E95D93">
      <w:pPr>
        <w:spacing w:line="360" w:lineRule="auto"/>
        <w:jc w:val="both"/>
        <w:rPr>
          <w:b/>
          <w:bCs/>
          <w:iCs/>
          <w:lang w:val="es-ES" w:eastAsia="en-US"/>
        </w:rPr>
      </w:pPr>
    </w:p>
    <w:p w14:paraId="67BA588F" w14:textId="77777777" w:rsidR="00E95D93" w:rsidRPr="00E95D93" w:rsidRDefault="00E95D93" w:rsidP="00E95D93">
      <w:pPr>
        <w:spacing w:line="360" w:lineRule="auto"/>
        <w:jc w:val="both"/>
        <w:rPr>
          <w:b/>
          <w:bCs/>
          <w:iCs/>
          <w:lang w:val="es-ES" w:eastAsia="en-US"/>
        </w:rPr>
      </w:pPr>
    </w:p>
    <w:p w14:paraId="72E4531E" w14:textId="77777777" w:rsidR="00E95D93" w:rsidRPr="00E95D93" w:rsidRDefault="00E95D93" w:rsidP="00E95D93">
      <w:pPr>
        <w:spacing w:line="360" w:lineRule="auto"/>
        <w:jc w:val="center"/>
        <w:rPr>
          <w:b/>
          <w:bCs/>
          <w:iCs/>
          <w:sz w:val="32"/>
          <w:szCs w:val="32"/>
          <w:lang w:val="es-ES" w:eastAsia="en-US"/>
        </w:rPr>
      </w:pPr>
      <w:r w:rsidRPr="00E95D93">
        <w:rPr>
          <w:b/>
          <w:bCs/>
          <w:iCs/>
          <w:sz w:val="32"/>
          <w:szCs w:val="32"/>
          <w:lang w:val="es-ES" w:eastAsia="en-US"/>
        </w:rPr>
        <w:t>DISCUSIÓN</w:t>
      </w:r>
    </w:p>
    <w:p w14:paraId="3C5598B0" w14:textId="77777777" w:rsidR="00E95D93" w:rsidRPr="00E95D93" w:rsidRDefault="00E95D93" w:rsidP="00E95D93">
      <w:pPr>
        <w:spacing w:line="360" w:lineRule="auto"/>
        <w:jc w:val="both"/>
        <w:rPr>
          <w:bCs/>
          <w:lang w:val="es-ES" w:eastAsia="es-PE"/>
        </w:rPr>
      </w:pPr>
      <w:r w:rsidRPr="00E95D93">
        <w:rPr>
          <w:bCs/>
          <w:lang w:val="es-ES" w:eastAsia="es-PE"/>
        </w:rPr>
        <w:t>Por sus características geográficas y climáticas, Perú presenta una alta diversidad de recursos naturales, cultivos y plantas medicinales, los cuales aportan facilidades para el desarrollo de una apicultura sostenible.</w:t>
      </w:r>
      <w:r w:rsidRPr="00E95D93">
        <w:rPr>
          <w:bCs/>
          <w:vertAlign w:val="superscript"/>
          <w:lang w:val="es-ES" w:eastAsia="es-PE"/>
        </w:rPr>
        <w:t>(32)</w:t>
      </w:r>
      <w:r w:rsidRPr="00E95D93">
        <w:rPr>
          <w:bCs/>
          <w:lang w:val="es-ES" w:eastAsia="es-PE"/>
        </w:rPr>
        <w:t xml:space="preserve"> En la comunidad campesina de Pargay, distrito de Chuquibambilla, provincia de Grau, departamento y región de Apurímac en Perú, se promueve la siembra de distintas especies vegetales.</w:t>
      </w:r>
      <w:r w:rsidRPr="00E95D93">
        <w:rPr>
          <w:bCs/>
          <w:vertAlign w:val="superscript"/>
          <w:lang w:val="es-ES" w:eastAsia="es-PE"/>
        </w:rPr>
        <w:t>(22,32)</w:t>
      </w:r>
      <w:r w:rsidRPr="00E95D93">
        <w:rPr>
          <w:bCs/>
          <w:lang w:val="es-ES" w:eastAsia="es-PE"/>
        </w:rPr>
        <w:t xml:space="preserve"> Por ello que en la evaluación fitoquímica se detectaron abundantes compuestos fenólicos y mediana cantidad de taninos, flavonoides, alcaloides, triterpenoides y glicósidos cardiotónicos, responsables en conjunto del efecto antibacteriano.</w:t>
      </w:r>
      <w:r w:rsidRPr="00E95D93">
        <w:rPr>
          <w:bCs/>
          <w:vertAlign w:val="superscript"/>
          <w:lang w:val="es-ES" w:eastAsia="es-PE"/>
        </w:rPr>
        <w:t>(4,5,7,9)</w:t>
      </w:r>
    </w:p>
    <w:p w14:paraId="3ACF7C44" w14:textId="77777777" w:rsidR="00E95D93" w:rsidRPr="00E95D93" w:rsidRDefault="00E95D93" w:rsidP="00E95D93">
      <w:pPr>
        <w:spacing w:line="360" w:lineRule="auto"/>
        <w:jc w:val="both"/>
        <w:rPr>
          <w:bCs/>
          <w:lang w:val="es-ES" w:eastAsia="es-PE"/>
        </w:rPr>
      </w:pPr>
      <w:bookmarkStart w:id="9" w:name="_Hlk70169846"/>
      <w:r w:rsidRPr="00E95D93">
        <w:rPr>
          <w:bCs/>
          <w:lang w:val="es-ES" w:eastAsia="es-PE"/>
        </w:rPr>
        <w:t xml:space="preserve">Al realizar la mezcla rifamicina al 1 % en propóleo al 40 % (1:1), no se apreciaron precipitados ni grumos, debido a que la rifamicina es soluble en alcohol </w:t>
      </w:r>
      <w:proofErr w:type="gramStart"/>
      <w:r w:rsidRPr="00E95D93">
        <w:rPr>
          <w:bCs/>
          <w:lang w:val="es-ES" w:eastAsia="es-PE"/>
        </w:rPr>
        <w:t>etílico,</w:t>
      </w:r>
      <w:r w:rsidRPr="00E95D93">
        <w:rPr>
          <w:bCs/>
          <w:vertAlign w:val="superscript"/>
          <w:lang w:val="es-ES" w:eastAsia="es-PE"/>
        </w:rPr>
        <w:t>(</w:t>
      </w:r>
      <w:proofErr w:type="gramEnd"/>
      <w:r w:rsidRPr="00E95D93">
        <w:rPr>
          <w:bCs/>
          <w:vertAlign w:val="superscript"/>
          <w:lang w:val="es-ES" w:eastAsia="es-PE"/>
        </w:rPr>
        <w:t>16,18)</w:t>
      </w:r>
      <w:r w:rsidRPr="00E95D93">
        <w:rPr>
          <w:bCs/>
          <w:lang w:val="es-ES" w:eastAsia="es-PE"/>
        </w:rPr>
        <w:t xml:space="preserve"> y la prueba de solubilidad confirmó la amplia solubilidad del propóleo en el mismo solvente.</w:t>
      </w:r>
      <w:r w:rsidRPr="00E95D93">
        <w:rPr>
          <w:bCs/>
          <w:vertAlign w:val="superscript"/>
          <w:lang w:val="es-ES" w:eastAsia="es-PE"/>
        </w:rPr>
        <w:t>(3,10,13)</w:t>
      </w:r>
      <w:r w:rsidRPr="00E95D93">
        <w:rPr>
          <w:bCs/>
          <w:lang w:val="es-ES" w:eastAsia="es-PE"/>
        </w:rPr>
        <w:t xml:space="preserve">   </w:t>
      </w:r>
    </w:p>
    <w:p w14:paraId="44DF1EDC" w14:textId="77777777" w:rsidR="00E95D93" w:rsidRPr="00E95D93" w:rsidRDefault="00E95D93" w:rsidP="00E95D93">
      <w:pPr>
        <w:spacing w:line="360" w:lineRule="auto"/>
        <w:jc w:val="both"/>
        <w:rPr>
          <w:bCs/>
          <w:lang w:val="es-ES" w:eastAsia="es-PE"/>
        </w:rPr>
      </w:pPr>
      <w:bookmarkStart w:id="10" w:name="_Hlk70198326"/>
      <w:bookmarkEnd w:id="9"/>
      <w:r w:rsidRPr="00E95D93">
        <w:rPr>
          <w:bCs/>
          <w:lang w:val="es-ES" w:eastAsia="es-PE"/>
        </w:rPr>
        <w:t xml:space="preserve">Para </w:t>
      </w:r>
      <w:r w:rsidRPr="00E95D93">
        <w:rPr>
          <w:bCs/>
          <w:i/>
          <w:iCs/>
          <w:shd w:val="clear" w:color="auto" w:fill="FFFFFF"/>
          <w:lang w:val="es-ES" w:eastAsia="en-US"/>
        </w:rPr>
        <w:t xml:space="preserve">Stepanović </w:t>
      </w:r>
      <w:r w:rsidRPr="00E95D93">
        <w:rPr>
          <w:bCs/>
          <w:shd w:val="clear" w:color="auto" w:fill="FFFFFF"/>
          <w:lang w:val="es-ES" w:eastAsia="en-US"/>
        </w:rPr>
        <w:t>y otros,</w:t>
      </w:r>
      <w:r w:rsidRPr="00E95D93">
        <w:rPr>
          <w:bCs/>
          <w:vertAlign w:val="superscript"/>
          <w:lang w:val="es-ES" w:eastAsia="es-PE"/>
        </w:rPr>
        <w:t>(8)</w:t>
      </w:r>
      <w:r w:rsidRPr="00E95D93">
        <w:rPr>
          <w:bCs/>
          <w:lang w:val="es-ES" w:eastAsia="es-PE"/>
        </w:rPr>
        <w:t xml:space="preserve"> </w:t>
      </w:r>
      <w:r w:rsidRPr="00E95D93">
        <w:rPr>
          <w:bCs/>
          <w:i/>
          <w:iCs/>
          <w:lang w:val="es-ES" w:eastAsia="es-PE"/>
        </w:rPr>
        <w:t xml:space="preserve">Fernandes </w:t>
      </w:r>
      <w:r w:rsidRPr="00E95D93">
        <w:rPr>
          <w:bCs/>
          <w:lang w:val="es-ES" w:eastAsia="es-PE"/>
        </w:rPr>
        <w:t>y otros</w:t>
      </w:r>
      <w:r w:rsidRPr="00E95D93">
        <w:rPr>
          <w:bCs/>
          <w:i/>
          <w:iCs/>
          <w:lang w:val="es-ES" w:eastAsia="es-PE"/>
        </w:rPr>
        <w:t>,</w:t>
      </w:r>
      <w:r w:rsidRPr="00E95D93">
        <w:rPr>
          <w:bCs/>
          <w:vertAlign w:val="superscript"/>
          <w:lang w:val="es-ES" w:eastAsia="es-PE"/>
        </w:rPr>
        <w:t>(10)</w:t>
      </w:r>
      <w:r w:rsidRPr="00E95D93">
        <w:rPr>
          <w:bCs/>
          <w:lang w:val="es-ES" w:eastAsia="es-PE"/>
        </w:rPr>
        <w:t xml:space="preserve"> y </w:t>
      </w:r>
      <w:r w:rsidRPr="00E95D93">
        <w:rPr>
          <w:bCs/>
          <w:i/>
          <w:iCs/>
          <w:lang w:val="es-ES" w:eastAsia="es-PE"/>
        </w:rPr>
        <w:t>Krol,</w:t>
      </w:r>
      <w:r w:rsidRPr="00E95D93">
        <w:rPr>
          <w:bCs/>
          <w:vertAlign w:val="superscript"/>
          <w:lang w:val="es-ES" w:eastAsia="es-PE"/>
        </w:rPr>
        <w:t xml:space="preserve">(21) </w:t>
      </w:r>
      <w:r w:rsidRPr="00E95D93">
        <w:rPr>
          <w:bCs/>
          <w:lang w:val="es-ES" w:eastAsia="es-PE"/>
        </w:rPr>
        <w:t xml:space="preserve">la asociación del propóleo con algunos antibióticos tendría un uso potencial para el tratamiento de afecciones bacterianas resistentes a los </w:t>
      </w:r>
      <w:r w:rsidRPr="00E95D93">
        <w:rPr>
          <w:bCs/>
          <w:lang w:val="es-ES" w:eastAsia="es-PE"/>
        </w:rPr>
        <w:lastRenderedPageBreak/>
        <w:t>antimicrobianos tópicos tradicionales y podría conducir a una nueva opción para combatir a estos patógenos.</w:t>
      </w:r>
      <w:r w:rsidRPr="00E95D93">
        <w:rPr>
          <w:bCs/>
          <w:vertAlign w:val="superscript"/>
          <w:lang w:val="es-ES" w:eastAsia="es-PE"/>
        </w:rPr>
        <w:t>(33)</w:t>
      </w:r>
      <w:r w:rsidRPr="00E95D93">
        <w:rPr>
          <w:bCs/>
          <w:lang w:val="es-ES" w:eastAsia="es-PE"/>
        </w:rPr>
        <w:t xml:space="preserve"> </w:t>
      </w:r>
      <w:bookmarkEnd w:id="10"/>
      <w:r w:rsidRPr="00E95D93">
        <w:rPr>
          <w:bCs/>
          <w:lang w:val="es-ES" w:eastAsia="es-PE"/>
        </w:rPr>
        <w:t xml:space="preserve">En los resultados de las tablas 2 y 3 se puede apreciar que la combinación de rifamicina al 1 % en propóleo al 40 % (1:1) mejoró el efecto antibacteriano del propóleo al 20 % alcanzando 19,316 ± 0,1202 mm (96,02 %) y 19,613 ± 0,0820 mm (98,58 %) </w:t>
      </w:r>
      <w:r w:rsidRPr="00E95D93">
        <w:rPr>
          <w:bCs/>
          <w:lang w:val="es-PE" w:eastAsia="en-US"/>
        </w:rPr>
        <w:t xml:space="preserve">sobre </w:t>
      </w:r>
      <w:r w:rsidRPr="00E95D93">
        <w:rPr>
          <w:bCs/>
          <w:i/>
          <w:iCs/>
          <w:lang w:val="es-PE" w:eastAsia="en-US"/>
        </w:rPr>
        <w:t xml:space="preserve">Staphylococcus aureus </w:t>
      </w:r>
      <w:r w:rsidRPr="00E95D93">
        <w:rPr>
          <w:bCs/>
          <w:lang w:val="es-PE" w:eastAsia="en-US"/>
        </w:rPr>
        <w:t xml:space="preserve">ATCC 25923 y </w:t>
      </w:r>
      <w:r w:rsidRPr="00E95D93">
        <w:rPr>
          <w:bCs/>
          <w:i/>
          <w:iCs/>
          <w:lang w:val="es-PE" w:eastAsia="en-US"/>
        </w:rPr>
        <w:t>Streptococcus pyogenes</w:t>
      </w:r>
      <w:r w:rsidRPr="00E95D93">
        <w:rPr>
          <w:bCs/>
          <w:lang w:val="es-PE" w:eastAsia="en-US"/>
        </w:rPr>
        <w:t xml:space="preserve"> ATCC 19615.</w:t>
      </w:r>
    </w:p>
    <w:p w14:paraId="3EAFB5D0" w14:textId="77777777" w:rsidR="00E95D93" w:rsidRPr="00E95D93" w:rsidRDefault="00E95D93" w:rsidP="00E95D93">
      <w:pPr>
        <w:spacing w:line="360" w:lineRule="auto"/>
        <w:jc w:val="both"/>
        <w:rPr>
          <w:bCs/>
          <w:lang w:val="es-ES" w:eastAsia="es-PE"/>
        </w:rPr>
      </w:pPr>
      <w:bookmarkStart w:id="11" w:name="_Hlk70197379"/>
      <w:r w:rsidRPr="00E95D93">
        <w:rPr>
          <w:bCs/>
          <w:lang w:val="es-ES" w:eastAsia="es-PE"/>
        </w:rPr>
        <w:t xml:space="preserve">Los resultados indican que rifamicina al 1 % logró </w:t>
      </w:r>
      <w:r w:rsidRPr="00E95D93">
        <w:rPr>
          <w:bCs/>
          <w:lang w:val="es-PE" w:eastAsia="en-US"/>
        </w:rPr>
        <w:t xml:space="preserve">20,116 ± 0,0652 mm y 19,894 ± 0,0823 mm </w:t>
      </w:r>
      <w:r w:rsidRPr="00E95D93">
        <w:rPr>
          <w:bCs/>
          <w:lang w:val="es-ES" w:eastAsia="es-PE"/>
        </w:rPr>
        <w:t xml:space="preserve">(100 %). Es ligeramente superior a la combinación de rifamicina al 1 % en propóleo al 40 % (1:1) sobre las cepas en estudio, de esta forma se verificó el efecto </w:t>
      </w:r>
      <w:proofErr w:type="gramStart"/>
      <w:r w:rsidRPr="00E95D93">
        <w:rPr>
          <w:bCs/>
          <w:lang w:val="es-ES" w:eastAsia="es-PE"/>
        </w:rPr>
        <w:t>sinérgico.</w:t>
      </w:r>
      <w:r w:rsidRPr="00E95D93">
        <w:rPr>
          <w:bCs/>
          <w:vertAlign w:val="superscript"/>
          <w:lang w:val="es-ES" w:eastAsia="es-PE"/>
        </w:rPr>
        <w:t>(</w:t>
      </w:r>
      <w:proofErr w:type="gramEnd"/>
      <w:r w:rsidRPr="00E95D93">
        <w:rPr>
          <w:bCs/>
          <w:vertAlign w:val="superscript"/>
          <w:lang w:val="es-ES" w:eastAsia="es-PE"/>
        </w:rPr>
        <w:t>12,16)</w:t>
      </w:r>
      <w:r w:rsidRPr="00E95D93">
        <w:rPr>
          <w:bCs/>
          <w:lang w:val="es-ES" w:eastAsia="es-PE"/>
        </w:rPr>
        <w:t xml:space="preserve"> Sin embargo, se consideró como resultados preliminares y es necesario establecer la base molecular del efecto sinérgico sobre los microorganismos en estudio.</w:t>
      </w:r>
    </w:p>
    <w:bookmarkEnd w:id="11"/>
    <w:p w14:paraId="75DEC8DF" w14:textId="77777777" w:rsidR="00E95D93" w:rsidRPr="00E95D93" w:rsidRDefault="00E95D93" w:rsidP="00E95D93">
      <w:pPr>
        <w:spacing w:line="360" w:lineRule="auto"/>
        <w:jc w:val="both"/>
        <w:rPr>
          <w:bCs/>
          <w:lang w:val="es-ES" w:eastAsia="es-PE"/>
        </w:rPr>
      </w:pPr>
      <w:r w:rsidRPr="00E95D93">
        <w:rPr>
          <w:bCs/>
          <w:lang w:val="es-ES" w:eastAsia="es-PE"/>
        </w:rPr>
        <w:t xml:space="preserve">En el caso del </w:t>
      </w:r>
      <w:r w:rsidRPr="00E95D93">
        <w:rPr>
          <w:bCs/>
          <w:i/>
          <w:iCs/>
          <w:lang w:val="es-ES" w:eastAsia="es-PE"/>
        </w:rPr>
        <w:t>S. aureus</w:t>
      </w:r>
      <w:r w:rsidRPr="00E95D93">
        <w:rPr>
          <w:bCs/>
          <w:lang w:val="es-ES" w:eastAsia="es-PE"/>
        </w:rPr>
        <w:t xml:space="preserve"> ATCC 25923, se utilizó el </w:t>
      </w:r>
      <w:r w:rsidRPr="00E95D93">
        <w:rPr>
          <w:bCs/>
          <w:i/>
          <w:iCs/>
          <w:lang w:val="es-ES" w:eastAsia="es-PE"/>
        </w:rPr>
        <w:t>post- hoc</w:t>
      </w:r>
      <w:r w:rsidRPr="00E95D93">
        <w:rPr>
          <w:bCs/>
          <w:lang w:val="es-ES" w:eastAsia="es-PE"/>
        </w:rPr>
        <w:t xml:space="preserve"> T3 de Dunnett, al hallarse (p = 0,000) con Hartley, Cochran y Bartlett, indicando que las varianzas no son homogéneas. En relación al ANOVA de una vía y posterior </w:t>
      </w:r>
      <w:r w:rsidRPr="00E95D93">
        <w:rPr>
          <w:bCs/>
          <w:lang w:val="es-ES" w:eastAsia="en-US"/>
        </w:rPr>
        <w:t xml:space="preserve">HSD de Tukey </w:t>
      </w:r>
      <w:r w:rsidRPr="00E95D93">
        <w:rPr>
          <w:bCs/>
          <w:lang w:val="es-ES" w:eastAsia="es-PE"/>
        </w:rPr>
        <w:t xml:space="preserve">se pudo apreciar que el efecto antibacteriano de la rifamicina al 0,5 % es similar a la rifamicina al 1 % y a la combinación de rifamicina al 1 % en propóleo al 40 % (1:1), sobre </w:t>
      </w:r>
      <w:r w:rsidRPr="00E95D93">
        <w:rPr>
          <w:bCs/>
          <w:i/>
          <w:iCs/>
          <w:lang w:val="es-ES" w:eastAsia="en-US"/>
        </w:rPr>
        <w:t xml:space="preserve">S. pyogenes </w:t>
      </w:r>
      <w:r w:rsidRPr="00E95D93">
        <w:rPr>
          <w:bCs/>
          <w:lang w:val="es-ES" w:eastAsia="en-US"/>
        </w:rPr>
        <w:t>ATCC 19615.</w:t>
      </w:r>
      <w:r w:rsidRPr="00E95D93">
        <w:rPr>
          <w:bCs/>
          <w:lang w:val="es-ES" w:eastAsia="es-PE"/>
        </w:rPr>
        <w:t xml:space="preserve"> </w:t>
      </w:r>
    </w:p>
    <w:p w14:paraId="7ECD0AD2" w14:textId="77777777" w:rsidR="00E95D93" w:rsidRPr="00E95D93" w:rsidRDefault="00E95D93" w:rsidP="00E95D93">
      <w:pPr>
        <w:spacing w:line="360" w:lineRule="auto"/>
        <w:jc w:val="both"/>
        <w:rPr>
          <w:bCs/>
          <w:lang w:val="es-ES" w:eastAsia="es-PE"/>
        </w:rPr>
      </w:pPr>
      <w:r w:rsidRPr="00E95D93">
        <w:rPr>
          <w:bCs/>
          <w:i/>
          <w:iCs/>
          <w:lang w:val="es-ES" w:eastAsia="es-PE"/>
        </w:rPr>
        <w:t xml:space="preserve">Oryan </w:t>
      </w:r>
      <w:r w:rsidRPr="00E95D93">
        <w:rPr>
          <w:bCs/>
          <w:lang w:val="es-ES" w:eastAsia="es-PE"/>
        </w:rPr>
        <w:t xml:space="preserve">y </w:t>
      </w:r>
      <w:proofErr w:type="gramStart"/>
      <w:r w:rsidRPr="00E95D93">
        <w:rPr>
          <w:bCs/>
          <w:lang w:val="es-ES" w:eastAsia="es-PE"/>
        </w:rPr>
        <w:t>otros</w:t>
      </w:r>
      <w:r w:rsidRPr="00E95D93">
        <w:rPr>
          <w:bCs/>
          <w:i/>
          <w:iCs/>
          <w:lang w:val="es-ES" w:eastAsia="es-PE"/>
        </w:rPr>
        <w:t>,</w:t>
      </w:r>
      <w:r w:rsidRPr="00E95D93">
        <w:rPr>
          <w:bCs/>
          <w:vertAlign w:val="superscript"/>
          <w:lang w:val="es-ES" w:eastAsia="es-PE"/>
        </w:rPr>
        <w:t>(</w:t>
      </w:r>
      <w:proofErr w:type="gramEnd"/>
      <w:r w:rsidRPr="00E95D93">
        <w:rPr>
          <w:bCs/>
          <w:vertAlign w:val="superscript"/>
          <w:lang w:val="es-ES" w:eastAsia="es-PE"/>
        </w:rPr>
        <w:t>6)</w:t>
      </w:r>
      <w:r w:rsidRPr="00E95D93">
        <w:rPr>
          <w:bCs/>
          <w:lang w:val="es-ES" w:eastAsia="es-PE"/>
        </w:rPr>
        <w:t xml:space="preserve"> y </w:t>
      </w:r>
      <w:r w:rsidRPr="00E95D93">
        <w:rPr>
          <w:bCs/>
          <w:i/>
          <w:iCs/>
          <w:lang w:val="es-ES" w:eastAsia="es-PE"/>
        </w:rPr>
        <w:t xml:space="preserve">Tito </w:t>
      </w:r>
      <w:r w:rsidRPr="00E95D93">
        <w:rPr>
          <w:bCs/>
          <w:lang w:val="es-ES" w:eastAsia="es-PE"/>
        </w:rPr>
        <w:t>y otros</w:t>
      </w:r>
      <w:r w:rsidRPr="00E95D93">
        <w:rPr>
          <w:bCs/>
          <w:i/>
          <w:iCs/>
          <w:lang w:val="es-ES" w:eastAsia="es-PE"/>
        </w:rPr>
        <w:t>,</w:t>
      </w:r>
      <w:r w:rsidRPr="00E95D93">
        <w:rPr>
          <w:bCs/>
          <w:vertAlign w:val="superscript"/>
          <w:lang w:val="es-ES" w:eastAsia="es-PE"/>
        </w:rPr>
        <w:t>(11)</w:t>
      </w:r>
      <w:r w:rsidRPr="00E95D93">
        <w:rPr>
          <w:bCs/>
          <w:lang w:val="es-ES" w:eastAsia="es-PE"/>
        </w:rPr>
        <w:t xml:space="preserve"> han demostrado la efectividad del propóleo en el tratamiento tópico de heridas complejas agudas o crónicas de diferentes etiologías, hasta su rehabilitación definitiva; disminuye el tiempo de cicatrización y puede ser aplicado solo o en asociación.</w:t>
      </w:r>
      <w:r w:rsidRPr="00E95D93">
        <w:rPr>
          <w:bCs/>
          <w:vertAlign w:val="superscript"/>
          <w:lang w:val="es-ES" w:eastAsia="es-PE"/>
        </w:rPr>
        <w:t xml:space="preserve"> </w:t>
      </w:r>
      <w:r w:rsidRPr="00E95D93">
        <w:rPr>
          <w:bCs/>
          <w:lang w:val="es-ES" w:eastAsia="es-PE"/>
        </w:rPr>
        <w:t xml:space="preserve">Los resultados así como la de </w:t>
      </w:r>
      <w:r w:rsidRPr="00E95D93">
        <w:rPr>
          <w:bCs/>
          <w:i/>
          <w:iCs/>
          <w:lang w:val="es-ES" w:eastAsia="es-PE"/>
        </w:rPr>
        <w:t xml:space="preserve">Oryan </w:t>
      </w:r>
      <w:r w:rsidRPr="00E95D93">
        <w:rPr>
          <w:bCs/>
          <w:lang w:val="es-ES" w:eastAsia="es-PE"/>
        </w:rPr>
        <w:t xml:space="preserve">y </w:t>
      </w:r>
      <w:proofErr w:type="gramStart"/>
      <w:r w:rsidRPr="00E95D93">
        <w:rPr>
          <w:bCs/>
          <w:lang w:val="es-ES" w:eastAsia="es-PE"/>
        </w:rPr>
        <w:t>otros</w:t>
      </w:r>
      <w:r w:rsidRPr="00E95D93">
        <w:rPr>
          <w:bCs/>
          <w:i/>
          <w:iCs/>
          <w:lang w:val="es-ES" w:eastAsia="es-PE"/>
        </w:rPr>
        <w:t>,</w:t>
      </w:r>
      <w:r w:rsidRPr="00E95D93">
        <w:rPr>
          <w:bCs/>
          <w:vertAlign w:val="superscript"/>
          <w:lang w:val="es-ES" w:eastAsia="es-PE"/>
        </w:rPr>
        <w:t>(</w:t>
      </w:r>
      <w:proofErr w:type="gramEnd"/>
      <w:r w:rsidRPr="00E95D93">
        <w:rPr>
          <w:bCs/>
          <w:vertAlign w:val="superscript"/>
          <w:lang w:val="es-ES" w:eastAsia="es-PE"/>
        </w:rPr>
        <w:t xml:space="preserve">6) </w:t>
      </w:r>
      <w:r w:rsidRPr="00E95D93">
        <w:rPr>
          <w:bCs/>
          <w:i/>
          <w:iCs/>
          <w:lang w:val="es-ES" w:eastAsia="es-PE"/>
        </w:rPr>
        <w:t>Nazeri</w:t>
      </w:r>
      <w:r w:rsidRPr="00E95D93">
        <w:rPr>
          <w:bCs/>
          <w:lang w:val="es-ES" w:eastAsia="es-PE"/>
        </w:rPr>
        <w:t xml:space="preserve"> y otros,</w:t>
      </w:r>
      <w:r w:rsidRPr="00E95D93">
        <w:rPr>
          <w:bCs/>
          <w:vertAlign w:val="superscript"/>
          <w:lang w:val="es-ES" w:eastAsia="es-PE"/>
        </w:rPr>
        <w:t>(9)</w:t>
      </w:r>
      <w:r w:rsidRPr="00E95D93">
        <w:rPr>
          <w:bCs/>
          <w:lang w:val="es-ES" w:eastAsia="es-PE"/>
        </w:rPr>
        <w:t xml:space="preserve"> y </w:t>
      </w:r>
      <w:r w:rsidRPr="00E95D93">
        <w:rPr>
          <w:bCs/>
          <w:i/>
          <w:iCs/>
          <w:lang w:val="es-ES" w:eastAsia="es-PE"/>
        </w:rPr>
        <w:t xml:space="preserve">Tito </w:t>
      </w:r>
      <w:r w:rsidRPr="00E95D93">
        <w:rPr>
          <w:bCs/>
          <w:lang w:val="es-ES" w:eastAsia="es-PE"/>
        </w:rPr>
        <w:t>y otros</w:t>
      </w:r>
      <w:r w:rsidRPr="00E95D93">
        <w:rPr>
          <w:bCs/>
          <w:i/>
          <w:iCs/>
          <w:lang w:val="es-ES" w:eastAsia="es-PE"/>
        </w:rPr>
        <w:t>,</w:t>
      </w:r>
      <w:r w:rsidRPr="00E95D93">
        <w:rPr>
          <w:bCs/>
          <w:vertAlign w:val="superscript"/>
          <w:lang w:val="es-ES" w:eastAsia="es-PE"/>
        </w:rPr>
        <w:t>(11)</w:t>
      </w:r>
      <w:r w:rsidRPr="00E95D93">
        <w:rPr>
          <w:bCs/>
          <w:lang w:val="es-ES" w:eastAsia="es-PE"/>
        </w:rPr>
        <w:t xml:space="preserve"> son alentadores, para la elaboración de un preparado y por medio de pruebas clínicas estructuradas definir su eficacia real. </w:t>
      </w:r>
    </w:p>
    <w:p w14:paraId="1B250537" w14:textId="77777777" w:rsidR="00E95D93" w:rsidRPr="00E95D93" w:rsidRDefault="00E95D93" w:rsidP="00E95D93">
      <w:pPr>
        <w:spacing w:line="360" w:lineRule="auto"/>
        <w:jc w:val="both"/>
        <w:rPr>
          <w:bCs/>
          <w:lang w:val="es-ES" w:eastAsia="es-PE"/>
        </w:rPr>
      </w:pPr>
      <w:r w:rsidRPr="00E95D93">
        <w:rPr>
          <w:bCs/>
          <w:lang w:val="es-ES" w:eastAsia="es-PE"/>
        </w:rPr>
        <w:t>Estos estudios podrían determinar el potencial uso clínico del propóleo en combinación con ciertos antibióticos para tratar infecciones tópicas estafilocócicas y estreptocócicas. Dado que las bacterias pueden ser resistentes a diferentes fármacos antimicrobianos, el sinergismo descrito en la investigación es de relevancia y el propóleo puede constituir una alternativa para tratar dichas afecciones.</w:t>
      </w:r>
    </w:p>
    <w:p w14:paraId="7645CA3F"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iCs/>
          <w:lang w:val="es-PE" w:eastAsia="es-PE"/>
        </w:rPr>
      </w:pPr>
      <w:r w:rsidRPr="00E95D93">
        <w:rPr>
          <w:lang w:val="es-ES" w:eastAsia="es-PE"/>
        </w:rPr>
        <w:t xml:space="preserve">Se concluye que la combinación de rifamicina al 1 % unida al propóleo al 40 % presenta una mayor actividad antibacteriana in vitro sobre </w:t>
      </w:r>
      <w:r w:rsidRPr="00E95D93">
        <w:rPr>
          <w:i/>
          <w:iCs/>
          <w:lang w:val="es-ES" w:eastAsia="es-PE"/>
        </w:rPr>
        <w:t>Staphylococcus aureus</w:t>
      </w:r>
      <w:r w:rsidRPr="00E95D93">
        <w:rPr>
          <w:lang w:val="es-ES" w:eastAsia="es-PE"/>
        </w:rPr>
        <w:t xml:space="preserve"> ATCC 25923 y </w:t>
      </w:r>
      <w:r w:rsidRPr="00E95D93">
        <w:rPr>
          <w:i/>
          <w:iCs/>
          <w:lang w:val="es-ES" w:eastAsia="es-PE"/>
        </w:rPr>
        <w:t>Streptococcus pyogenes</w:t>
      </w:r>
      <w:r w:rsidRPr="00E95D93">
        <w:rPr>
          <w:lang w:val="es-ES" w:eastAsia="es-PE"/>
        </w:rPr>
        <w:t xml:space="preserve"> ATCC 19615 debido a su efecto sinérgico. </w:t>
      </w:r>
    </w:p>
    <w:p w14:paraId="6E6CC6B9" w14:textId="77777777" w:rsidR="00E95D93" w:rsidRPr="00E95D93" w:rsidRDefault="00E95D93" w:rsidP="00E95D93">
      <w:pPr>
        <w:spacing w:line="360" w:lineRule="auto"/>
        <w:jc w:val="both"/>
        <w:rPr>
          <w:b/>
          <w:iCs/>
          <w:lang w:val="es-PE" w:eastAsia="en-US"/>
        </w:rPr>
      </w:pPr>
    </w:p>
    <w:p w14:paraId="5E10A084" w14:textId="77777777" w:rsidR="00E95D93" w:rsidRPr="00E95D93" w:rsidRDefault="00E95D93" w:rsidP="00E95D93">
      <w:pPr>
        <w:spacing w:line="360" w:lineRule="auto"/>
        <w:jc w:val="both"/>
        <w:rPr>
          <w:b/>
          <w:iCs/>
          <w:lang w:val="es-CU" w:eastAsia="en-US"/>
        </w:rPr>
      </w:pPr>
    </w:p>
    <w:p w14:paraId="3EEAC4CA" w14:textId="77777777" w:rsidR="00E95D93" w:rsidRPr="00E95D93" w:rsidRDefault="00E95D93" w:rsidP="00E95D93">
      <w:pPr>
        <w:spacing w:line="360" w:lineRule="auto"/>
        <w:jc w:val="center"/>
        <w:rPr>
          <w:b/>
          <w:iCs/>
          <w:sz w:val="32"/>
          <w:szCs w:val="32"/>
          <w:lang w:val="en-US" w:eastAsia="en-US"/>
        </w:rPr>
      </w:pPr>
      <w:r w:rsidRPr="00E95D93">
        <w:rPr>
          <w:b/>
          <w:iCs/>
          <w:sz w:val="32"/>
          <w:szCs w:val="32"/>
          <w:lang w:val="en-US" w:eastAsia="en-US"/>
        </w:rPr>
        <w:lastRenderedPageBreak/>
        <w:t>REFERENCIAS BIBLIOGRÁFICAS</w:t>
      </w:r>
    </w:p>
    <w:p w14:paraId="4F8C553F"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n-US" w:eastAsia="en-US"/>
        </w:rPr>
        <w:t xml:space="preserve">1. Blackbourne LH, Baer DG, Eastridge BJ, Kheirabadi B, Bagley S, Kragh JF Jr, et al. Military medical revolution: prehospital combat casualty care. J Trauma Acute Care Surg. 2012 [acceso: 06/07/2021]; 73(6 Suppl 5): S372-S377. </w:t>
      </w:r>
      <w:r w:rsidRPr="00E95D93">
        <w:rPr>
          <w:iCs/>
          <w:lang w:val="es-ES" w:eastAsia="en-US"/>
        </w:rPr>
        <w:t xml:space="preserve">Disponible en: </w:t>
      </w:r>
      <w:r w:rsidRPr="00E95D93">
        <w:rPr>
          <w:color w:val="0000FF"/>
          <w:u w:val="single"/>
          <w:lang w:val="es-ES" w:eastAsia="en-US"/>
        </w:rPr>
        <w:t>https://journals.lww.com/jtrauma/Fulltext/2012/12005/Military_medical_revolution___Prehospital_combat.2.aspx</w:t>
      </w:r>
    </w:p>
    <w:p w14:paraId="55AF1FE3"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 xml:space="preserve">2. Martínez J, García C, Durango D, Gil J. Caracterización de propóleos provenientes del municipio de Caldas obtenido por dos métodos de recolección. Rev. MVZ Córdova. 2012 [acceso: 01/03/2021]; 17(1): 2861-2869. Disponible en: </w:t>
      </w:r>
      <w:hyperlink r:id="rId11" w:history="1">
        <w:r w:rsidRPr="00E95D93">
          <w:rPr>
            <w:iCs/>
            <w:color w:val="0000FF"/>
            <w:u w:val="single"/>
            <w:lang w:val="es-ES" w:eastAsia="en-US"/>
          </w:rPr>
          <w:t>https://revistamvz.unicordoba.edu.co/article/view/254/323</w:t>
        </w:r>
      </w:hyperlink>
    </w:p>
    <w:p w14:paraId="3A6724AD"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color w:val="000000"/>
          <w:lang w:val="es-ES" w:eastAsia="en-US"/>
        </w:rPr>
        <w:t xml:space="preserve">3. Rodríguez L, Miranda A, Escalona A, Góngora W, Batista S, Cobos D. Investigación básica experimental para la definición de los parámetros críticos en el proceso de obtención de soluciones concentradas de propóleos (SCP). Rev. Colomb. Cienc. Quim. Farm. 2016 [acceso: 01/03/2021]; 45(2): 179-200. Disponible en: </w:t>
      </w:r>
      <w:hyperlink r:id="rId12" w:history="1">
        <w:r w:rsidRPr="00E95D93">
          <w:rPr>
            <w:color w:val="0000FF"/>
            <w:u w:val="single"/>
            <w:lang w:val="es-ES" w:eastAsia="en-US"/>
          </w:rPr>
          <w:t>http://www.scielo.org.co/pdf/rccqf/v45n2/v45n2a01.pdf</w:t>
        </w:r>
      </w:hyperlink>
    </w:p>
    <w:p w14:paraId="21F6D931" w14:textId="77777777" w:rsidR="00E95D93" w:rsidRPr="00E95D93" w:rsidRDefault="00E95D93" w:rsidP="00E95D93">
      <w:pPr>
        <w:spacing w:line="360" w:lineRule="auto"/>
        <w:ind w:left="66"/>
        <w:contextualSpacing/>
        <w:rPr>
          <w:iCs/>
          <w:lang w:val="en-US" w:eastAsia="en-US"/>
        </w:rPr>
      </w:pPr>
      <w:r w:rsidRPr="00E95D93">
        <w:rPr>
          <w:iCs/>
          <w:lang w:val="en-US" w:eastAsia="en-US"/>
        </w:rPr>
        <w:t xml:space="preserve">4. Chen Y, Ye S, Ting C, Yu Y. Antibacterial activity of propolins from Taiwanese green propolis. Journal of food and drug análisis. 2018 [acceso: 02/03/2021]; 26(2):761–8. Disponible en:  </w:t>
      </w:r>
      <w:hyperlink r:id="rId13" w:history="1">
        <w:r w:rsidRPr="00E95D93">
          <w:rPr>
            <w:iCs/>
            <w:color w:val="0000FF"/>
            <w:u w:val="single"/>
            <w:lang w:val="en-US" w:eastAsia="en-US"/>
          </w:rPr>
          <w:t>https://pubmed.ncbi.nlm.nih.gov/29567247/</w:t>
        </w:r>
      </w:hyperlink>
    </w:p>
    <w:p w14:paraId="15F6E633" w14:textId="77777777" w:rsidR="00E95D93" w:rsidRPr="00E95D93" w:rsidRDefault="00E95D93" w:rsidP="00E95D93">
      <w:pPr>
        <w:autoSpaceDE w:val="0"/>
        <w:autoSpaceDN w:val="0"/>
        <w:adjustRightInd w:val="0"/>
        <w:spacing w:line="360" w:lineRule="auto"/>
        <w:ind w:left="66"/>
        <w:contextualSpacing/>
        <w:rPr>
          <w:iCs/>
          <w:lang w:val="en-US" w:eastAsia="en-US"/>
        </w:rPr>
      </w:pPr>
      <w:r w:rsidRPr="00E95D93">
        <w:rPr>
          <w:iCs/>
          <w:lang w:val="en-US" w:eastAsia="en-US"/>
        </w:rPr>
        <w:t xml:space="preserve">5. Hegazi A, Abd El Hady F, Abd Allah F. Chemical Composition and Antimicrobial Activity of European Propolis. Zeitschrift für Naturforschung C. 2000 </w:t>
      </w:r>
      <w:r w:rsidRPr="00E95D93">
        <w:rPr>
          <w:color w:val="000000"/>
          <w:lang w:val="en-US" w:eastAsia="en-US"/>
        </w:rPr>
        <w:t>[acceso: 02/03/2021]</w:t>
      </w:r>
      <w:r w:rsidRPr="00E95D93">
        <w:rPr>
          <w:iCs/>
          <w:lang w:val="en-US" w:eastAsia="en-US"/>
        </w:rPr>
        <w:t xml:space="preserve">; 55(1-2):70-5. </w:t>
      </w:r>
      <w:r w:rsidRPr="00E95D93">
        <w:rPr>
          <w:color w:val="000000"/>
          <w:lang w:val="en-US" w:eastAsia="en-US"/>
        </w:rPr>
        <w:t xml:space="preserve">Disponible en: </w:t>
      </w:r>
      <w:r w:rsidRPr="00E95D93">
        <w:rPr>
          <w:iCs/>
          <w:lang w:val="en-US" w:eastAsia="en-US"/>
        </w:rPr>
        <w:t xml:space="preserve"> </w:t>
      </w:r>
      <w:hyperlink r:id="rId14" w:history="1">
        <w:r w:rsidRPr="00E95D93">
          <w:rPr>
            <w:iCs/>
            <w:color w:val="0000FF"/>
            <w:u w:val="single"/>
            <w:lang w:val="en-US" w:eastAsia="en-US"/>
          </w:rPr>
          <w:t>https://www.degruyter.com/document/doi/10.1515/znc-2000-1-214/html</w:t>
        </w:r>
      </w:hyperlink>
    </w:p>
    <w:p w14:paraId="3BE9EB40"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n-US" w:eastAsia="en-US"/>
        </w:rPr>
        <w:t>6. Oryan A, Alemzadeh E, Moshiri A. Potential role of propolis in wound healing: Biological properties and therapeutic activities. </w:t>
      </w:r>
      <w:r w:rsidRPr="00E95D93">
        <w:rPr>
          <w:iCs/>
          <w:lang w:val="es-ES" w:eastAsia="en-US"/>
        </w:rPr>
        <w:t xml:space="preserve">Biomedicine &amp; pharmacotherapy. 2018 </w:t>
      </w:r>
      <w:r w:rsidRPr="00E95D93">
        <w:rPr>
          <w:color w:val="000000"/>
          <w:lang w:val="es-ES" w:eastAsia="en-US"/>
        </w:rPr>
        <w:t>[acceso: 02/03/2021]</w:t>
      </w:r>
      <w:r w:rsidRPr="00E95D93">
        <w:rPr>
          <w:iCs/>
          <w:lang w:val="es-ES" w:eastAsia="en-US"/>
        </w:rPr>
        <w:t xml:space="preserve">; 98(1): 469–483. </w:t>
      </w:r>
      <w:r w:rsidRPr="00E95D93">
        <w:rPr>
          <w:color w:val="000000"/>
          <w:lang w:val="es-ES" w:eastAsia="en-US"/>
        </w:rPr>
        <w:t xml:space="preserve">Disponible en: </w:t>
      </w:r>
      <w:hyperlink r:id="rId15" w:history="1">
        <w:r w:rsidRPr="00E95D93">
          <w:rPr>
            <w:color w:val="0000FF"/>
            <w:u w:val="single"/>
            <w:lang w:val="es-ES" w:eastAsia="en-US"/>
          </w:rPr>
          <w:t>https://pubmed.ncbi.nlm.nih.gov/29287194/</w:t>
        </w:r>
      </w:hyperlink>
    </w:p>
    <w:p w14:paraId="17F2BCFC" w14:textId="77777777" w:rsidR="00E95D93" w:rsidRPr="00E95D93" w:rsidRDefault="00E95D93" w:rsidP="00E95D93">
      <w:pPr>
        <w:spacing w:line="360" w:lineRule="auto"/>
        <w:ind w:left="66"/>
        <w:contextualSpacing/>
        <w:rPr>
          <w:color w:val="0000FF"/>
          <w:u w:val="single"/>
          <w:lang w:val="es-ES" w:eastAsia="en-US"/>
        </w:rPr>
      </w:pPr>
      <w:r w:rsidRPr="00E95D93">
        <w:rPr>
          <w:iCs/>
          <w:lang w:val="en-US" w:eastAsia="en-US"/>
        </w:rPr>
        <w:t xml:space="preserve">7. Przybyłek I, Karpiński T. Antibacterial Properties of propolis. </w:t>
      </w:r>
      <w:r w:rsidRPr="00E95D93">
        <w:rPr>
          <w:iCs/>
          <w:lang w:val="es-ES" w:eastAsia="en-US"/>
        </w:rPr>
        <w:t xml:space="preserve">Molecules (Basel, Switzerland). 2019 </w:t>
      </w:r>
      <w:r w:rsidRPr="00E95D93">
        <w:rPr>
          <w:lang w:val="es-ES" w:eastAsia="en-US"/>
        </w:rPr>
        <w:t>[acceso: 02/03/2021]</w:t>
      </w:r>
      <w:r w:rsidRPr="00E95D93">
        <w:rPr>
          <w:iCs/>
          <w:lang w:val="es-ES" w:eastAsia="en-US"/>
        </w:rPr>
        <w:t xml:space="preserve">; 24(11): 1-17. </w:t>
      </w:r>
      <w:r w:rsidRPr="00E95D93">
        <w:rPr>
          <w:lang w:val="es-ES" w:eastAsia="en-US"/>
        </w:rPr>
        <w:t xml:space="preserve">Disponible en: </w:t>
      </w:r>
      <w:hyperlink r:id="rId16" w:history="1">
        <w:r w:rsidRPr="00E95D93">
          <w:rPr>
            <w:color w:val="0000FF"/>
            <w:u w:val="single"/>
            <w:lang w:val="es-ES" w:eastAsia="en-US"/>
          </w:rPr>
          <w:t>https://www.ncbi.nlm.nih.gov/pmc/articles/PMC6600457/</w:t>
        </w:r>
      </w:hyperlink>
    </w:p>
    <w:p w14:paraId="5648D501" w14:textId="77777777" w:rsidR="00E95D93" w:rsidRPr="00E95D93" w:rsidRDefault="00E95D93" w:rsidP="00E95D93">
      <w:pPr>
        <w:spacing w:line="360" w:lineRule="auto"/>
        <w:ind w:left="66"/>
        <w:contextualSpacing/>
        <w:rPr>
          <w:u w:val="single"/>
          <w:lang w:val="es-ES" w:eastAsia="en-US"/>
        </w:rPr>
      </w:pPr>
      <w:r w:rsidRPr="00E95D93">
        <w:rPr>
          <w:shd w:val="clear" w:color="auto" w:fill="FFFFFF"/>
          <w:lang w:val="en-US" w:eastAsia="en-US"/>
        </w:rPr>
        <w:t xml:space="preserve">8. Stepanović S, Antić N, Dakić I, Svabić-Vlahović M. In vitro antimicrobial activity of propolis and synergism between propolis and antimicrobial drugs. </w:t>
      </w:r>
      <w:r w:rsidRPr="00E95D93">
        <w:rPr>
          <w:shd w:val="clear" w:color="auto" w:fill="FFFFFF"/>
          <w:lang w:val="es-ES" w:eastAsia="en-US"/>
        </w:rPr>
        <w:t xml:space="preserve">Microbiol Res. 2003 </w:t>
      </w:r>
      <w:r w:rsidRPr="00E95D93">
        <w:rPr>
          <w:lang w:val="es-ES" w:eastAsia="en-US"/>
        </w:rPr>
        <w:t>[acceso: 03/03/2021]</w:t>
      </w:r>
      <w:r w:rsidRPr="00E95D93">
        <w:rPr>
          <w:shd w:val="clear" w:color="auto" w:fill="FFFFFF"/>
          <w:lang w:val="es-ES" w:eastAsia="en-US"/>
        </w:rPr>
        <w:t xml:space="preserve">;158(4): 353-7. Disponible en: </w:t>
      </w:r>
      <w:r w:rsidRPr="00E95D93">
        <w:rPr>
          <w:color w:val="0000FF"/>
          <w:u w:val="single"/>
          <w:lang w:val="es-ES" w:eastAsia="en-US"/>
        </w:rPr>
        <w:t>https://pubmed.ncbi.nlm.nih.gov/14717457/</w:t>
      </w:r>
    </w:p>
    <w:p w14:paraId="43206FD0" w14:textId="77777777" w:rsidR="00E95D93" w:rsidRPr="00E95D93" w:rsidRDefault="00E95D93" w:rsidP="00E95D93">
      <w:pPr>
        <w:autoSpaceDE w:val="0"/>
        <w:autoSpaceDN w:val="0"/>
        <w:adjustRightInd w:val="0"/>
        <w:spacing w:line="360" w:lineRule="auto"/>
        <w:ind w:left="66"/>
        <w:contextualSpacing/>
        <w:rPr>
          <w:iCs/>
          <w:lang w:val="en-US" w:eastAsia="en-US"/>
        </w:rPr>
      </w:pPr>
      <w:r w:rsidRPr="00E95D93">
        <w:rPr>
          <w:iCs/>
          <w:lang w:val="en-US" w:eastAsia="en-US"/>
        </w:rPr>
        <w:lastRenderedPageBreak/>
        <w:t xml:space="preserve">9. Nazeri R, Ghaiour M, Abbasi S. Evaluation of Antibacterial Effect of propolis and its Application in Mouthwash Production. Frontiers in dentistry. 2019 </w:t>
      </w:r>
      <w:r w:rsidRPr="00E95D93">
        <w:rPr>
          <w:color w:val="000000"/>
          <w:lang w:val="en-US" w:eastAsia="en-US"/>
        </w:rPr>
        <w:t>[acceso: 03/03/2021]</w:t>
      </w:r>
      <w:r w:rsidRPr="00E95D93">
        <w:rPr>
          <w:iCs/>
          <w:lang w:val="en-US" w:eastAsia="en-US"/>
        </w:rPr>
        <w:t xml:space="preserve">; 16(1): 1–12. </w:t>
      </w:r>
      <w:r w:rsidRPr="00E95D93">
        <w:rPr>
          <w:color w:val="000000"/>
          <w:lang w:val="en-US" w:eastAsia="en-US"/>
        </w:rPr>
        <w:t xml:space="preserve">Disponible en: </w:t>
      </w:r>
      <w:r w:rsidRPr="00E95D93">
        <w:rPr>
          <w:iCs/>
          <w:lang w:val="en-US" w:eastAsia="en-US"/>
        </w:rPr>
        <w:t xml:space="preserve"> </w:t>
      </w:r>
      <w:hyperlink r:id="rId17" w:history="1">
        <w:r w:rsidRPr="00E95D93">
          <w:rPr>
            <w:iCs/>
            <w:color w:val="0000FF"/>
            <w:u w:val="single"/>
            <w:lang w:val="en-US" w:eastAsia="en-US"/>
          </w:rPr>
          <w:t>https://pubmed.ncbi.nlm.nih.gov/31608331/</w:t>
        </w:r>
      </w:hyperlink>
    </w:p>
    <w:p w14:paraId="4E6E6058" w14:textId="77777777" w:rsidR="00E95D93" w:rsidRPr="00E95D93" w:rsidRDefault="00E95D93" w:rsidP="00E95D93">
      <w:pPr>
        <w:spacing w:line="360" w:lineRule="auto"/>
        <w:ind w:left="66"/>
        <w:contextualSpacing/>
        <w:rPr>
          <w:iCs/>
          <w:lang w:val="es-ES" w:eastAsia="en-US"/>
        </w:rPr>
      </w:pPr>
      <w:r w:rsidRPr="00E95D93">
        <w:rPr>
          <w:iCs/>
          <w:lang w:val="en-US" w:eastAsia="en-US"/>
        </w:rPr>
        <w:t>10. Fernandes A, Balestrin E, Betoni J, Orsi R, Da Cunha M, Montelli A. propolis: anti-</w:t>
      </w:r>
      <w:r w:rsidRPr="00E95D93">
        <w:rPr>
          <w:i/>
          <w:lang w:val="en-US" w:eastAsia="en-US"/>
        </w:rPr>
        <w:t>Staphylococcus aureus</w:t>
      </w:r>
      <w:r w:rsidRPr="00E95D93">
        <w:rPr>
          <w:iCs/>
          <w:lang w:val="en-US" w:eastAsia="en-US"/>
        </w:rPr>
        <w:t xml:space="preserve"> activity and synergism with antimicrobial drugs. </w:t>
      </w:r>
      <w:r w:rsidRPr="00E95D93">
        <w:rPr>
          <w:iCs/>
          <w:lang w:val="es-ES" w:eastAsia="en-US"/>
        </w:rPr>
        <w:t xml:space="preserve">Mem. Inst. Oswaldo Cruz. 2005 [acceso: 03/03/2021];100(5): 563-6. Disponible en:  </w:t>
      </w:r>
      <w:hyperlink r:id="rId18" w:history="1">
        <w:r w:rsidRPr="00E95D93">
          <w:rPr>
            <w:iCs/>
            <w:color w:val="0000FF"/>
            <w:u w:val="single"/>
            <w:lang w:val="es-ES" w:eastAsia="en-US"/>
          </w:rPr>
          <w:t>https://www.scielo.br/scielo.php?script=sci_arttext&amp;pid=S0074-02762005000500018</w:t>
        </w:r>
      </w:hyperlink>
    </w:p>
    <w:p w14:paraId="7B72EB61" w14:textId="77777777" w:rsidR="00E95D93" w:rsidRPr="00E95D93" w:rsidRDefault="00E95D93" w:rsidP="00E95D93">
      <w:pPr>
        <w:spacing w:line="360" w:lineRule="auto"/>
        <w:ind w:left="66"/>
        <w:contextualSpacing/>
        <w:rPr>
          <w:iCs/>
          <w:lang w:val="es-ES" w:eastAsia="en-US"/>
        </w:rPr>
      </w:pPr>
      <w:r w:rsidRPr="00E95D93">
        <w:rPr>
          <w:iCs/>
          <w:lang w:val="es-ES" w:eastAsia="en-US"/>
        </w:rPr>
        <w:t xml:space="preserve">11. Tito H, Amoroso A, Aponte P, Ross N, Olivero F. Utilización de propóleos en heridas complejas. Rev. Argent. Ciruj. Plást. 2017 [acceso: 04/03/2021]; 23(2):65-71. Disponible en: </w:t>
      </w:r>
      <w:hyperlink r:id="rId19" w:history="1">
        <w:r w:rsidRPr="00E95D93">
          <w:rPr>
            <w:color w:val="0000FF"/>
            <w:u w:val="single"/>
            <w:lang w:val="es-ES" w:eastAsia="en-US"/>
          </w:rPr>
          <w:t>http://adm.meducatium.com.ar/contenido/articulos/12200650071_833/pdf/12200650071.pdf</w:t>
        </w:r>
      </w:hyperlink>
    </w:p>
    <w:p w14:paraId="02BCD929" w14:textId="77777777" w:rsidR="00E95D93" w:rsidRPr="00E95D93" w:rsidRDefault="00E95D93" w:rsidP="00E95D93">
      <w:pPr>
        <w:spacing w:line="360" w:lineRule="auto"/>
        <w:ind w:left="66"/>
        <w:contextualSpacing/>
        <w:rPr>
          <w:iCs/>
          <w:lang w:val="es-ES" w:eastAsia="en-US"/>
        </w:rPr>
      </w:pPr>
      <w:r w:rsidRPr="00E95D93">
        <w:rPr>
          <w:iCs/>
          <w:lang w:val="en-US" w:eastAsia="en-US"/>
        </w:rPr>
        <w:t xml:space="preserve">12. Takaisi-Kikuni N, Schilcher H. Electrón microscopic and microcalorimetric investigations of the possible mechanism of the antibacterial action of a defined propolis provenance. </w:t>
      </w:r>
      <w:r w:rsidRPr="00E95D93">
        <w:rPr>
          <w:iCs/>
          <w:lang w:val="es-ES" w:eastAsia="en-US"/>
        </w:rPr>
        <w:t xml:space="preserve">Planta Med. 1994 [acceso: 04/03/2021]; 6(3): 222-7. Disponible en: </w:t>
      </w:r>
      <w:hyperlink r:id="rId20" w:history="1">
        <w:r w:rsidRPr="00E95D93">
          <w:rPr>
            <w:color w:val="0000FF"/>
            <w:u w:val="single"/>
            <w:lang w:val="es-ES" w:eastAsia="en-US"/>
          </w:rPr>
          <w:t>https://pubmed.ncbi.nlm.nih.gov/8073087/</w:t>
        </w:r>
      </w:hyperlink>
    </w:p>
    <w:p w14:paraId="21E3A32F"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 xml:space="preserve">13. Okińczyc P, Paluch E, Franiczek R, Widelski J, Wojtanowski K, Mroczek T, et al. </w:t>
      </w:r>
      <w:r w:rsidRPr="00E95D93">
        <w:rPr>
          <w:iCs/>
          <w:lang w:val="en-US" w:eastAsia="en-US"/>
        </w:rPr>
        <w:t xml:space="preserve">Antimicrobial activity of </w:t>
      </w:r>
      <w:r w:rsidRPr="00E95D93">
        <w:rPr>
          <w:i/>
          <w:lang w:val="en-US" w:eastAsia="en-US"/>
        </w:rPr>
        <w:t>Apis mellifera</w:t>
      </w:r>
      <w:r w:rsidRPr="00E95D93">
        <w:rPr>
          <w:iCs/>
          <w:lang w:val="en-US" w:eastAsia="en-US"/>
        </w:rPr>
        <w:t xml:space="preserve"> L. and Trigona sp. propolis from Nepal and its phytochemical análisis. </w:t>
      </w:r>
      <w:r w:rsidRPr="00E95D93">
        <w:rPr>
          <w:iCs/>
          <w:lang w:val="es-ES" w:eastAsia="en-US"/>
        </w:rPr>
        <w:t xml:space="preserve">Biomedicine &amp; Pharmacotherapy. 2020 [acceso: 04/03/2021]; 129(1): 1-10. Disponible en:  </w:t>
      </w:r>
      <w:hyperlink r:id="rId21" w:history="1">
        <w:r w:rsidRPr="00E95D93">
          <w:rPr>
            <w:iCs/>
            <w:color w:val="0000FF"/>
            <w:u w:val="single"/>
            <w:lang w:val="es-ES" w:eastAsia="en-US"/>
          </w:rPr>
          <w:t>https://www.sciencedirect.com/science/article/pii/S0753332220306284</w:t>
        </w:r>
      </w:hyperlink>
    </w:p>
    <w:p w14:paraId="34F7F8C6"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 xml:space="preserve">14. Sáenz E, Sánchez L. Antibióticos tópicos. Dermatología Peruana. 2005 [acceso: 05/03/2021];15(1):7-20. Disponible en: </w:t>
      </w:r>
      <w:hyperlink r:id="rId22" w:history="1">
        <w:r w:rsidRPr="00E95D93">
          <w:rPr>
            <w:color w:val="0000FF"/>
            <w:u w:val="single"/>
            <w:lang w:val="es-ES" w:eastAsia="en-US"/>
          </w:rPr>
          <w:t>https://www.dermatologiaperuana.pe/assets/uploads/revista_a1XZ_a02.pdf</w:t>
        </w:r>
      </w:hyperlink>
    </w:p>
    <w:p w14:paraId="280FA557"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15. Katzung B. Farmacología Básica y Clínica. 14 ed. España: Editorial McGraw-Hill; 2019.</w:t>
      </w:r>
    </w:p>
    <w:p w14:paraId="7B46B32C" w14:textId="77777777" w:rsidR="00E95D93" w:rsidRPr="00E95D93" w:rsidRDefault="00E95D93" w:rsidP="00E95D93">
      <w:pPr>
        <w:spacing w:line="360" w:lineRule="auto"/>
        <w:ind w:left="66"/>
        <w:rPr>
          <w:iCs/>
          <w:lang w:val="es-ES" w:eastAsia="en-US"/>
        </w:rPr>
      </w:pPr>
      <w:r w:rsidRPr="00E95D93">
        <w:rPr>
          <w:iCs/>
          <w:lang w:val="es-ES" w:eastAsia="en-US"/>
        </w:rPr>
        <w:t xml:space="preserve">16. Centro Nacional de Información Biotecnológica. Rifamicina. USA: PubChem; 2021. [acceso: 05/03/2021]. Disponible en: </w:t>
      </w:r>
      <w:hyperlink r:id="rId23" w:history="1">
        <w:r w:rsidRPr="00E95D93">
          <w:rPr>
            <w:iCs/>
            <w:color w:val="0000FF"/>
            <w:u w:val="single"/>
            <w:lang w:val="es-ES" w:eastAsia="en-US"/>
          </w:rPr>
          <w:t>https://pubchem.ncbi.nlm.nih.gov/compound/Rifamycin</w:t>
        </w:r>
      </w:hyperlink>
    </w:p>
    <w:p w14:paraId="6254A481"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n-US" w:eastAsia="en-US"/>
        </w:rPr>
        <w:t xml:space="preserve">17. Dinç C, Tuncer C, Türkoğlu ME, Tokmak M, Ocak P, Er U. Effect of topical rifamycin application on epidural fibrosis in rats. </w:t>
      </w:r>
      <w:r w:rsidRPr="00E95D93">
        <w:rPr>
          <w:iCs/>
          <w:lang w:val="es-ES" w:eastAsia="en-US"/>
        </w:rPr>
        <w:t xml:space="preserve">Turk J Phys Med Rehabil. 2019 [acceso: 05/03/2021]; 65(1):24-9. Disponible en: </w:t>
      </w:r>
      <w:hyperlink r:id="rId24" w:history="1">
        <w:r w:rsidRPr="00E95D93">
          <w:rPr>
            <w:color w:val="0000FF"/>
            <w:u w:val="single"/>
            <w:lang w:val="es-ES" w:eastAsia="en-US"/>
          </w:rPr>
          <w:t>https://www.ncbi.nlm.nih.gov/pmc/articles/PMC6648180/</w:t>
        </w:r>
      </w:hyperlink>
    </w:p>
    <w:p w14:paraId="6437DD13" w14:textId="77777777" w:rsidR="00E95D93" w:rsidRPr="00E95D93" w:rsidRDefault="00E95D93" w:rsidP="00E95D93">
      <w:pPr>
        <w:spacing w:line="360" w:lineRule="auto"/>
        <w:ind w:left="66"/>
        <w:rPr>
          <w:iCs/>
          <w:lang w:val="en-US" w:eastAsia="en-US"/>
        </w:rPr>
      </w:pPr>
      <w:r w:rsidRPr="00E95D93">
        <w:rPr>
          <w:iCs/>
          <w:lang w:val="en-US" w:eastAsia="en-US"/>
        </w:rPr>
        <w:t xml:space="preserve">18. Merck KGaA. Rifamycin SV sodium salt. Germany: Sigma-Aldrich; 2021. [acceso: 05/03/2021]. Disponible en: </w:t>
      </w:r>
      <w:hyperlink r:id="rId25" w:history="1">
        <w:r w:rsidRPr="00E95D93">
          <w:rPr>
            <w:iCs/>
            <w:color w:val="0000FF"/>
            <w:u w:val="single"/>
            <w:lang w:val="en-US" w:eastAsia="en-US"/>
          </w:rPr>
          <w:t>https://www.sigmaaldrich.com/catalog/product/sigma/r8626?lang=en&amp;region=PE&amp;cm_sp=Insite-_-caContent_prodMerch_gruCrossEntropy-_-prodMerch10-2</w:t>
        </w:r>
      </w:hyperlink>
    </w:p>
    <w:p w14:paraId="4E29178A"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 xml:space="preserve">19. González J, Maguiña C, González F. La resistencia a los antibióticos: un problema muy serio. Acta Méd. Perú. 2019 [acceso: 06/03/2021]; 36(2):145-51. Disponible en: </w:t>
      </w:r>
      <w:hyperlink r:id="rId26" w:history="1">
        <w:r w:rsidRPr="00E95D93">
          <w:rPr>
            <w:iCs/>
            <w:color w:val="0000FF"/>
            <w:u w:val="single"/>
            <w:lang w:val="es-ES" w:eastAsia="en-US"/>
          </w:rPr>
          <w:t>https://amp.cmp.org.pe/index.php/AMP/article/view/816/375</w:t>
        </w:r>
      </w:hyperlink>
    </w:p>
    <w:p w14:paraId="1978E9B8"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 xml:space="preserve">20. Serra M. La Resistencia microbiana en el context actual y la importancia del conocimiento y aplicación en la política antimicrobiana. Rev. Haban. Cienc. Méd. 2017 [acceso: 06/03/2021];16(3): 402-19. Disponible en: </w:t>
      </w:r>
      <w:hyperlink r:id="rId27" w:history="1">
        <w:r w:rsidRPr="00E95D93">
          <w:rPr>
            <w:iCs/>
            <w:color w:val="0000FF"/>
            <w:u w:val="single"/>
            <w:lang w:val="es-ES" w:eastAsia="en-US"/>
          </w:rPr>
          <w:t>http://scielo.sld.cu/scielo.php?script=sci_arttext&amp;pid=S1729-519X2017000300011</w:t>
        </w:r>
      </w:hyperlink>
    </w:p>
    <w:p w14:paraId="4EAAF07D" w14:textId="77777777" w:rsidR="00E95D93" w:rsidRPr="00E95D93" w:rsidRDefault="00E95D93" w:rsidP="00E95D93">
      <w:pPr>
        <w:spacing w:line="360" w:lineRule="auto"/>
        <w:ind w:left="66"/>
        <w:rPr>
          <w:iCs/>
          <w:lang w:val="es-ES" w:eastAsia="en-US"/>
        </w:rPr>
      </w:pPr>
      <w:r w:rsidRPr="00E95D93">
        <w:rPr>
          <w:iCs/>
          <w:lang w:val="en-US" w:eastAsia="en-US"/>
        </w:rPr>
        <w:t xml:space="preserve">21. Krol W, Scheller S, Shani J, Pietsz G, Czuba Z. Synergistic effect of ethanolic extract of propolis and antibiotics on the growth of </w:t>
      </w:r>
      <w:r w:rsidRPr="00E95D93">
        <w:rPr>
          <w:i/>
          <w:lang w:val="en-US" w:eastAsia="en-US"/>
        </w:rPr>
        <w:t>Staphylococcus aureus</w:t>
      </w:r>
      <w:r w:rsidRPr="00E95D93">
        <w:rPr>
          <w:iCs/>
          <w:lang w:val="en-US" w:eastAsia="en-US"/>
        </w:rPr>
        <w:t xml:space="preserve">. </w:t>
      </w:r>
      <w:r w:rsidRPr="00E95D93">
        <w:rPr>
          <w:iCs/>
          <w:lang w:val="es-ES" w:eastAsia="en-US"/>
        </w:rPr>
        <w:t xml:space="preserve">Arzneimittelforschung. 1993 [acceso: 06/03/2021]; 43(5):607-9. Disponible en: </w:t>
      </w:r>
      <w:hyperlink r:id="rId28" w:history="1">
        <w:r w:rsidRPr="00E95D93">
          <w:rPr>
            <w:color w:val="0000FF"/>
            <w:u w:val="single"/>
            <w:lang w:val="es-ES" w:eastAsia="en-US"/>
          </w:rPr>
          <w:t>https://pubmed.ncbi.nlm.nih.gov/8329008/</w:t>
        </w:r>
      </w:hyperlink>
    </w:p>
    <w:p w14:paraId="0ED8D18A" w14:textId="77777777" w:rsidR="00E95D93" w:rsidRPr="00E95D93" w:rsidRDefault="00E95D93" w:rsidP="00E95D93">
      <w:pPr>
        <w:spacing w:line="360" w:lineRule="auto"/>
        <w:ind w:left="66"/>
        <w:rPr>
          <w:iCs/>
          <w:lang w:val="es-ES" w:eastAsia="en-US"/>
        </w:rPr>
      </w:pPr>
      <w:r w:rsidRPr="00E95D93">
        <w:rPr>
          <w:iCs/>
          <w:lang w:val="es-ES" w:eastAsia="en-US"/>
        </w:rPr>
        <w:t xml:space="preserve">22. Vilchez H, Cervantes L, Inocente M. Uso de la miel de </w:t>
      </w:r>
      <w:r w:rsidRPr="00E95D93">
        <w:rPr>
          <w:i/>
          <w:lang w:val="es-ES" w:eastAsia="en-US"/>
        </w:rPr>
        <w:t>Apis mellífera</w:t>
      </w:r>
      <w:r w:rsidRPr="00E95D93">
        <w:rPr>
          <w:iCs/>
          <w:lang w:val="es-ES" w:eastAsia="en-US"/>
        </w:rPr>
        <w:t xml:space="preserve"> en agar base para diferenciar cepas bacterianas con características oxidativa-fermentadora. Ars Pharmacéutica. 2019 [acceso: 07/03/2021]; 60(2):119-124. Disponible en:  </w:t>
      </w:r>
      <w:hyperlink r:id="rId29" w:history="1">
        <w:r w:rsidRPr="00E95D93">
          <w:rPr>
            <w:iCs/>
            <w:color w:val="0000FF"/>
            <w:u w:val="single"/>
            <w:lang w:val="es-ES" w:eastAsia="en-US"/>
          </w:rPr>
          <w:t>http://scielo.isciii.es/scielo.php?script=sci_abstract&amp;pid=S2340-98942019000200119</w:t>
        </w:r>
      </w:hyperlink>
    </w:p>
    <w:p w14:paraId="2EEB64B7" w14:textId="77777777" w:rsidR="00E95D93" w:rsidRPr="00E95D93" w:rsidRDefault="00E95D93" w:rsidP="00E95D93">
      <w:pPr>
        <w:spacing w:line="360" w:lineRule="auto"/>
        <w:ind w:left="66"/>
        <w:rPr>
          <w:iCs/>
          <w:lang w:val="es-ES" w:eastAsia="en-US"/>
        </w:rPr>
      </w:pPr>
      <w:r w:rsidRPr="00E95D93">
        <w:rPr>
          <w:iCs/>
          <w:lang w:val="es-ES" w:eastAsia="en-US"/>
        </w:rPr>
        <w:t>23. Bravo L. Farmacognosia. 1ed. Madrid: Editorial Elsevier; 2003.</w:t>
      </w:r>
    </w:p>
    <w:p w14:paraId="17838232" w14:textId="77777777" w:rsidR="00E95D93" w:rsidRPr="00E95D93" w:rsidRDefault="00E95D93" w:rsidP="00E95D93">
      <w:pPr>
        <w:spacing w:line="360" w:lineRule="auto"/>
        <w:ind w:left="66"/>
        <w:rPr>
          <w:iCs/>
          <w:lang w:val="es-ES" w:eastAsia="en-US"/>
        </w:rPr>
      </w:pPr>
      <w:r w:rsidRPr="00E95D93">
        <w:rPr>
          <w:iCs/>
          <w:lang w:val="es-ES" w:eastAsia="en-US"/>
        </w:rPr>
        <w:t>24. Lock de Ugaz O. Investigación fitoquímica: Métodos de estudios de productos naturales. 3ed. Lima: Editorial Pontificia Universidad Católica del Perú; 2016.</w:t>
      </w:r>
    </w:p>
    <w:p w14:paraId="2B26771B" w14:textId="77777777" w:rsidR="00E95D93" w:rsidRPr="00E95D93" w:rsidRDefault="00E95D93" w:rsidP="00E95D93">
      <w:pPr>
        <w:spacing w:line="360" w:lineRule="auto"/>
        <w:ind w:left="66"/>
        <w:rPr>
          <w:iCs/>
          <w:lang w:val="es-ES" w:eastAsia="en-US"/>
        </w:rPr>
      </w:pPr>
      <w:r w:rsidRPr="00E95D93">
        <w:rPr>
          <w:iCs/>
          <w:lang w:val="es-PE" w:eastAsia="en-US"/>
        </w:rPr>
        <w:t xml:space="preserve">25. Clinical and Laboratory Standards Institute. </w:t>
      </w:r>
      <w:r w:rsidRPr="00E95D93">
        <w:rPr>
          <w:iCs/>
          <w:lang w:val="en-US" w:eastAsia="en-US"/>
        </w:rPr>
        <w:t xml:space="preserve">Performance Standards for Antimicrobial Disk Susceptibility Tests. </w:t>
      </w:r>
      <w:r w:rsidRPr="00E95D93">
        <w:rPr>
          <w:iCs/>
          <w:lang w:val="es-PE" w:eastAsia="en-US"/>
        </w:rPr>
        <w:t xml:space="preserve">M02, 13th ed. USA: CLSI; 2018. </w:t>
      </w:r>
      <w:r w:rsidRPr="00E95D93">
        <w:rPr>
          <w:iCs/>
          <w:lang w:val="es-ES" w:eastAsia="en-US"/>
        </w:rPr>
        <w:t xml:space="preserve">[acceso: 07/03/2021]. </w:t>
      </w:r>
      <w:r w:rsidRPr="00E95D93">
        <w:rPr>
          <w:iCs/>
          <w:lang w:val="es-PE" w:eastAsia="en-US"/>
        </w:rPr>
        <w:t xml:space="preserve">Disponible en: </w:t>
      </w:r>
      <w:r w:rsidRPr="00E95D93">
        <w:rPr>
          <w:color w:val="0000FF"/>
          <w:u w:val="single"/>
          <w:lang w:val="es-ES" w:eastAsia="en-US"/>
        </w:rPr>
        <w:t>https://kaldur.landspitali.is/focal/gaedahandbaekur/gnhsykla.nsf/5e27f2e5a88c898e00256500003c98c2/94e1f81249a5e5560025756d005a560f/$FILE/M02Ed13E%20Performance%20Standards%20for%20Antimicrobial%20Disk%20Susceptibility%20Tests.pdf</w:t>
      </w:r>
    </w:p>
    <w:p w14:paraId="7DB41076" w14:textId="77777777" w:rsidR="00E95D93" w:rsidRPr="00E95D93" w:rsidRDefault="00E95D93" w:rsidP="00E95D93">
      <w:pPr>
        <w:spacing w:line="360" w:lineRule="auto"/>
        <w:ind w:left="66"/>
        <w:contextualSpacing/>
        <w:rPr>
          <w:u w:val="single"/>
          <w:lang w:val="es-ES" w:eastAsia="en-US"/>
        </w:rPr>
      </w:pPr>
      <w:r w:rsidRPr="00E95D93">
        <w:rPr>
          <w:iCs/>
          <w:lang w:val="es-ES" w:eastAsia="en-US"/>
        </w:rPr>
        <w:t xml:space="preserve">26. Laboratorios Britania. Medios de cultivo deshidratados. Argentina: Britania; 2015. [acceso: 07/03/2021]. Disponible en: </w:t>
      </w:r>
      <w:hyperlink r:id="rId30" w:history="1">
        <w:r w:rsidRPr="00E95D93">
          <w:rPr>
            <w:iCs/>
            <w:color w:val="0000FF"/>
            <w:u w:val="single"/>
            <w:lang w:val="es-ES" w:eastAsia="en-US"/>
          </w:rPr>
          <w:t>https://www.britanialab.com/productos/filtrar/2/medios_de_cultivo_deshidratados</w:t>
        </w:r>
      </w:hyperlink>
    </w:p>
    <w:p w14:paraId="7FE86DE8" w14:textId="77777777" w:rsidR="00E95D93" w:rsidRPr="00E95D93" w:rsidRDefault="00E95D93" w:rsidP="00E95D93">
      <w:pPr>
        <w:spacing w:line="360" w:lineRule="auto"/>
        <w:ind w:left="66"/>
        <w:contextualSpacing/>
        <w:rPr>
          <w:iCs/>
          <w:lang w:val="en-US" w:eastAsia="en-US"/>
        </w:rPr>
      </w:pPr>
      <w:r w:rsidRPr="00E95D93">
        <w:rPr>
          <w:iCs/>
          <w:lang w:val="es-ES" w:eastAsia="en-US"/>
        </w:rPr>
        <w:t xml:space="preserve">27. Koneman E, Allen S, Janda W, Schreckenberger P, Winn W. Diagnóstico Microbiológico. Texto y atlas color. </w:t>
      </w:r>
      <w:r w:rsidRPr="00E95D93">
        <w:rPr>
          <w:iCs/>
          <w:lang w:val="en-US" w:eastAsia="en-US"/>
        </w:rPr>
        <w:t>6 ed. Buenos Aires: Editorial Médica Panamericana; 2006.</w:t>
      </w:r>
    </w:p>
    <w:p w14:paraId="12CD64FB" w14:textId="77777777" w:rsidR="00E95D93" w:rsidRPr="00E95D93" w:rsidRDefault="00E95D93" w:rsidP="00E95D93">
      <w:pPr>
        <w:spacing w:line="360" w:lineRule="auto"/>
        <w:ind w:left="66"/>
        <w:contextualSpacing/>
        <w:rPr>
          <w:iCs/>
          <w:lang w:val="es-ES" w:eastAsia="en-US"/>
        </w:rPr>
      </w:pPr>
      <w:r w:rsidRPr="00E95D93">
        <w:rPr>
          <w:iCs/>
          <w:lang w:val="en-US" w:eastAsia="en-US"/>
        </w:rPr>
        <w:lastRenderedPageBreak/>
        <w:t xml:space="preserve">28. Clinical and Laboratory Standards Institute. Performance Standards for Antimicrobial Susceptibility Testing. </w:t>
      </w:r>
      <w:r w:rsidRPr="00E95D93">
        <w:rPr>
          <w:iCs/>
          <w:lang w:val="es-PE" w:eastAsia="en-US"/>
        </w:rPr>
        <w:t xml:space="preserve">M100, 30th ed. USA: CLSI; 2020. </w:t>
      </w:r>
      <w:r w:rsidRPr="00E95D93">
        <w:rPr>
          <w:iCs/>
          <w:lang w:val="es-ES" w:eastAsia="en-US"/>
        </w:rPr>
        <w:t xml:space="preserve">[acceso: 07/03/2021]. </w:t>
      </w:r>
      <w:r w:rsidRPr="00E95D93">
        <w:rPr>
          <w:iCs/>
          <w:lang w:val="es-PE" w:eastAsia="en-US"/>
        </w:rPr>
        <w:t xml:space="preserve">Disponible en: </w:t>
      </w:r>
      <w:hyperlink r:id="rId31" w:history="1">
        <w:r w:rsidRPr="00E95D93">
          <w:rPr>
            <w:color w:val="0000FF"/>
            <w:u w:val="single"/>
            <w:lang w:val="es-ES" w:eastAsia="en-US"/>
          </w:rPr>
          <w:t>https://www.nih.org.pk/wp-content/uploads/2021/02/CLSI-2020.pdf</w:t>
        </w:r>
      </w:hyperlink>
    </w:p>
    <w:p w14:paraId="6CA7A2DC" w14:textId="77777777" w:rsidR="00E95D93" w:rsidRPr="00E95D93" w:rsidRDefault="00E95D93" w:rsidP="00E95D93">
      <w:pPr>
        <w:autoSpaceDE w:val="0"/>
        <w:autoSpaceDN w:val="0"/>
        <w:adjustRightInd w:val="0"/>
        <w:spacing w:line="360" w:lineRule="auto"/>
        <w:ind w:left="66"/>
        <w:contextualSpacing/>
        <w:rPr>
          <w:iCs/>
          <w:lang w:val="es-ES" w:eastAsia="en-US"/>
        </w:rPr>
      </w:pPr>
      <w:r w:rsidRPr="00E95D93">
        <w:rPr>
          <w:iCs/>
          <w:lang w:val="es-ES" w:eastAsia="en-US"/>
        </w:rPr>
        <w:t>29. Organización Mundial de la Salud. Manual de Bioseguridad en el Laboratorio. 3a ed. Ginebra: OMS; 2005.</w:t>
      </w:r>
    </w:p>
    <w:p w14:paraId="761FBC2B" w14:textId="77777777" w:rsidR="00E95D93" w:rsidRPr="00E95D93" w:rsidRDefault="00E95D93" w:rsidP="00E95D93">
      <w:pPr>
        <w:spacing w:line="360" w:lineRule="auto"/>
        <w:ind w:left="66"/>
        <w:contextualSpacing/>
        <w:rPr>
          <w:iCs/>
          <w:lang w:val="es-ES" w:eastAsia="en-US"/>
        </w:rPr>
      </w:pPr>
      <w:r w:rsidRPr="00E95D93">
        <w:rPr>
          <w:iCs/>
          <w:lang w:val="es-ES" w:eastAsia="en-US"/>
        </w:rPr>
        <w:t xml:space="preserve">30. Cruz A, Rodríguez N, Rodríguez C. Evaluación </w:t>
      </w:r>
      <w:r w:rsidRPr="00E95D93">
        <w:rPr>
          <w:i/>
          <w:lang w:val="es-ES" w:eastAsia="en-US"/>
        </w:rPr>
        <w:t>In vitro</w:t>
      </w:r>
      <w:r w:rsidRPr="00E95D93">
        <w:rPr>
          <w:iCs/>
          <w:lang w:val="es-ES" w:eastAsia="en-US"/>
        </w:rPr>
        <w:t xml:space="preserve"> del efecto antibacteriano de los extractos de </w:t>
      </w:r>
      <w:r w:rsidRPr="00E95D93">
        <w:rPr>
          <w:i/>
          <w:lang w:val="es-ES" w:eastAsia="en-US"/>
        </w:rPr>
        <w:t>Bidens pilosa</w:t>
      </w:r>
      <w:r w:rsidRPr="00E95D93">
        <w:rPr>
          <w:iCs/>
          <w:lang w:val="es-ES" w:eastAsia="en-US"/>
        </w:rPr>
        <w:t xml:space="preserve">, </w:t>
      </w:r>
      <w:r w:rsidRPr="00E95D93">
        <w:rPr>
          <w:i/>
          <w:lang w:val="es-ES" w:eastAsia="en-US"/>
        </w:rPr>
        <w:t>Lantana cámara</w:t>
      </w:r>
      <w:r w:rsidRPr="00E95D93">
        <w:rPr>
          <w:iCs/>
          <w:lang w:val="es-ES" w:eastAsia="en-US"/>
        </w:rPr>
        <w:t xml:space="preserve">, </w:t>
      </w:r>
      <w:r w:rsidRPr="00E95D93">
        <w:rPr>
          <w:i/>
          <w:lang w:val="es-ES" w:eastAsia="en-US"/>
        </w:rPr>
        <w:t>Schinus molle</w:t>
      </w:r>
      <w:r w:rsidRPr="00E95D93">
        <w:rPr>
          <w:iCs/>
          <w:lang w:val="es-ES" w:eastAsia="en-US"/>
        </w:rPr>
        <w:t xml:space="preserve"> y </w:t>
      </w:r>
      <w:r w:rsidRPr="00E95D93">
        <w:rPr>
          <w:i/>
          <w:lang w:val="es-ES" w:eastAsia="en-US"/>
        </w:rPr>
        <w:t>Silybum marianum</w:t>
      </w:r>
      <w:r w:rsidRPr="00E95D93">
        <w:rPr>
          <w:iCs/>
          <w:lang w:val="es-ES" w:eastAsia="en-US"/>
        </w:rPr>
        <w:t xml:space="preserve">. Rev. U.D.C.A Act. Div. Cient. 2010 [acceso: 09/03/2021];13(2):117-24. Disponible en: </w:t>
      </w:r>
      <w:hyperlink r:id="rId32" w:history="1">
        <w:r w:rsidRPr="00E95D93">
          <w:rPr>
            <w:iCs/>
            <w:color w:val="0000FF"/>
            <w:u w:val="single"/>
            <w:lang w:val="es-ES" w:eastAsia="en-US"/>
          </w:rPr>
          <w:t>https://revistas.udca.edu.co/index.php/ruadc/article/view/738/788</w:t>
        </w:r>
      </w:hyperlink>
    </w:p>
    <w:p w14:paraId="3A82AD57" w14:textId="77777777" w:rsidR="00E95D93" w:rsidRPr="00E95D93" w:rsidRDefault="00E95D93" w:rsidP="00E95D93">
      <w:pPr>
        <w:spacing w:line="360" w:lineRule="auto"/>
        <w:ind w:left="66"/>
        <w:rPr>
          <w:iCs/>
          <w:lang w:val="es-ES" w:eastAsia="en-US"/>
        </w:rPr>
      </w:pPr>
      <w:r w:rsidRPr="00E95D93">
        <w:rPr>
          <w:iCs/>
          <w:lang w:val="es-ES" w:eastAsia="en-US"/>
        </w:rPr>
        <w:t>31. Duraffourd C, D’hervocourt L, Lapraz J. Cuadernos de fitoterápia Clínica. 1ed. Barcelona: Editorial Masson; 1986.</w:t>
      </w:r>
    </w:p>
    <w:p w14:paraId="4240B5DA" w14:textId="77777777" w:rsidR="00E95D93" w:rsidRPr="00E95D93" w:rsidRDefault="00E95D93" w:rsidP="00E95D93">
      <w:pPr>
        <w:spacing w:line="360" w:lineRule="auto"/>
        <w:ind w:left="66"/>
        <w:rPr>
          <w:iCs/>
          <w:lang w:val="en-US" w:eastAsia="en-US"/>
        </w:rPr>
      </w:pPr>
      <w:r w:rsidRPr="00E95D93">
        <w:rPr>
          <w:iCs/>
          <w:lang w:val="es-ES" w:eastAsia="en-US"/>
        </w:rPr>
        <w:t xml:space="preserve">32. Ministerio de Agricultura y Riego. Plan Nacional de Desarrollo Apícola. </w:t>
      </w:r>
      <w:r w:rsidRPr="00E95D93">
        <w:rPr>
          <w:iCs/>
          <w:lang w:val="en-US" w:eastAsia="en-US"/>
        </w:rPr>
        <w:t xml:space="preserve">2015-2025. Perú: Minagri; 2015. [acceso: 10/03/2021]. Disponible en: </w:t>
      </w:r>
      <w:hyperlink r:id="rId33" w:history="1">
        <w:r w:rsidRPr="00E95D93">
          <w:rPr>
            <w:iCs/>
            <w:color w:val="0000FF"/>
            <w:u w:val="single"/>
            <w:lang w:val="en-US" w:eastAsia="en-US"/>
          </w:rPr>
          <w:t>https://bit.ly/2DXZ5ew</w:t>
        </w:r>
      </w:hyperlink>
    </w:p>
    <w:p w14:paraId="478D3E77" w14:textId="77777777" w:rsidR="00E95D93" w:rsidRPr="00E95D93" w:rsidRDefault="00E95D93" w:rsidP="00E95D93">
      <w:pPr>
        <w:spacing w:line="360" w:lineRule="auto"/>
        <w:ind w:left="66"/>
        <w:contextualSpacing/>
        <w:rPr>
          <w:iCs/>
          <w:lang w:val="es-ES" w:eastAsia="en-US"/>
        </w:rPr>
      </w:pPr>
      <w:r w:rsidRPr="00E95D93">
        <w:rPr>
          <w:iCs/>
          <w:lang w:val="en-US" w:eastAsia="en-US"/>
        </w:rPr>
        <w:t xml:space="preserve">33. Bearden DT, Allen GP, Christensen JM. Comparative </w:t>
      </w:r>
      <w:r w:rsidRPr="00E95D93">
        <w:rPr>
          <w:i/>
          <w:lang w:val="en-US" w:eastAsia="en-US"/>
        </w:rPr>
        <w:t>in vitro</w:t>
      </w:r>
      <w:r w:rsidRPr="00E95D93">
        <w:rPr>
          <w:iCs/>
          <w:lang w:val="en-US" w:eastAsia="en-US"/>
        </w:rPr>
        <w:t xml:space="preserve"> activities of topical wounds care products against community-associated methicillin-resistant </w:t>
      </w:r>
      <w:r w:rsidRPr="00E95D93">
        <w:rPr>
          <w:i/>
          <w:lang w:val="en-US" w:eastAsia="en-US"/>
        </w:rPr>
        <w:t>Staphylococcus aureus</w:t>
      </w:r>
      <w:r w:rsidRPr="00E95D93">
        <w:rPr>
          <w:iCs/>
          <w:lang w:val="en-US" w:eastAsia="en-US"/>
        </w:rPr>
        <w:t xml:space="preserve">. </w:t>
      </w:r>
      <w:r w:rsidRPr="00E95D93">
        <w:rPr>
          <w:iCs/>
          <w:lang w:val="es-ES" w:eastAsia="en-US"/>
        </w:rPr>
        <w:t xml:space="preserve">J. Antimicrod. Chemother. 2008 [acceso: 11/03/2021]; 62(2): 915-23. Disponible en: </w:t>
      </w:r>
      <w:hyperlink r:id="rId34" w:history="1">
        <w:r w:rsidRPr="00E95D93">
          <w:rPr>
            <w:iCs/>
            <w:color w:val="0000FF"/>
            <w:u w:val="single"/>
            <w:lang w:val="es-ES" w:eastAsia="en-US"/>
          </w:rPr>
          <w:t>https://www.ncbi.nlm.nih.gov/pmc/articles/PMC2721705/</w:t>
        </w:r>
      </w:hyperlink>
    </w:p>
    <w:p w14:paraId="10A24602" w14:textId="77777777" w:rsidR="00E95D93" w:rsidRPr="00E95D93" w:rsidRDefault="00E95D93" w:rsidP="00E95D93">
      <w:pPr>
        <w:spacing w:line="360" w:lineRule="auto"/>
        <w:ind w:left="66"/>
        <w:contextualSpacing/>
        <w:rPr>
          <w:iCs/>
          <w:lang w:val="es-ES" w:eastAsia="en-US"/>
        </w:rPr>
      </w:pPr>
    </w:p>
    <w:p w14:paraId="3C6467FC" w14:textId="77777777" w:rsidR="00E95D93" w:rsidRPr="00E95D93" w:rsidRDefault="00E95D93" w:rsidP="00E95D93">
      <w:pPr>
        <w:spacing w:line="360" w:lineRule="auto"/>
        <w:ind w:left="708"/>
        <w:contextualSpacing/>
        <w:jc w:val="both"/>
        <w:rPr>
          <w:lang w:val="es-ES" w:eastAsia="en-US"/>
        </w:rPr>
      </w:pPr>
      <w:bookmarkStart w:id="12" w:name="_Hlk63020672"/>
    </w:p>
    <w:bookmarkEnd w:id="12"/>
    <w:p w14:paraId="72F5FD4B" w14:textId="77777777" w:rsidR="00E95D93" w:rsidRPr="00E95D93" w:rsidRDefault="00E95D93" w:rsidP="00E95D93">
      <w:pPr>
        <w:spacing w:line="360" w:lineRule="auto"/>
        <w:jc w:val="center"/>
        <w:rPr>
          <w:b/>
          <w:iCs/>
          <w:lang w:val="es-ES" w:eastAsia="en-US"/>
        </w:rPr>
      </w:pPr>
      <w:r w:rsidRPr="00E95D93">
        <w:rPr>
          <w:b/>
          <w:iCs/>
          <w:lang w:val="es-ES" w:eastAsia="en-US"/>
        </w:rPr>
        <w:t>Conflictos de intereses</w:t>
      </w:r>
    </w:p>
    <w:p w14:paraId="620322C6"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n-US"/>
        </w:rPr>
      </w:pPr>
      <w:r w:rsidRPr="00E95D93">
        <w:rPr>
          <w:lang w:val="es-ES" w:eastAsia="en-US"/>
        </w:rPr>
        <w:t>Los investigadores declaran no tener conflictos de intereses.</w:t>
      </w:r>
    </w:p>
    <w:p w14:paraId="2D5A01F0" w14:textId="77777777" w:rsidR="00E95D93" w:rsidRPr="00E95D93" w:rsidRDefault="00E95D93" w:rsidP="00E95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n-US"/>
        </w:rPr>
      </w:pPr>
    </w:p>
    <w:p w14:paraId="71091F43" w14:textId="77777777" w:rsidR="00E95D93" w:rsidRPr="00E95D93" w:rsidRDefault="00E95D93" w:rsidP="00E95D93">
      <w:pPr>
        <w:spacing w:line="360" w:lineRule="auto"/>
        <w:jc w:val="center"/>
        <w:rPr>
          <w:b/>
          <w:iCs/>
          <w:lang w:val="es-ES" w:eastAsia="en-US"/>
        </w:rPr>
      </w:pPr>
      <w:r w:rsidRPr="00E95D93">
        <w:rPr>
          <w:b/>
          <w:iCs/>
          <w:lang w:val="es-ES" w:eastAsia="en-US"/>
        </w:rPr>
        <w:t>Contribuciones de los autores</w:t>
      </w:r>
    </w:p>
    <w:p w14:paraId="06014DB2"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Conceptualización: </w:t>
      </w:r>
      <w:r w:rsidRPr="00E95D93">
        <w:rPr>
          <w:bCs/>
          <w:i/>
          <w:lang w:val="es-ES" w:eastAsia="en-US"/>
        </w:rPr>
        <w:t>Héctor Alexander Vilchez Cáceda.</w:t>
      </w:r>
    </w:p>
    <w:p w14:paraId="7B0E5EFB"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Curación de datos: </w:t>
      </w:r>
      <w:r w:rsidRPr="00E95D93">
        <w:rPr>
          <w:bCs/>
          <w:i/>
          <w:lang w:val="es-ES" w:eastAsia="en-US"/>
        </w:rPr>
        <w:t>Héctor Alexander Vilchez Cáceda.</w:t>
      </w:r>
    </w:p>
    <w:p w14:paraId="715EC1A9"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Análisis formal: </w:t>
      </w:r>
      <w:r w:rsidRPr="00E95D93">
        <w:rPr>
          <w:bCs/>
          <w:i/>
          <w:lang w:val="es-ES" w:eastAsia="en-US"/>
        </w:rPr>
        <w:t>Luis Adolfo Cervantes Ganoza.</w:t>
      </w:r>
    </w:p>
    <w:p w14:paraId="5B38619C"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Investigación: </w:t>
      </w:r>
      <w:r w:rsidRPr="00E95D93">
        <w:rPr>
          <w:bCs/>
          <w:i/>
          <w:lang w:val="es-ES" w:eastAsia="en-US"/>
        </w:rPr>
        <w:t>Héctor Alexander Vilchez Cáceda.</w:t>
      </w:r>
    </w:p>
    <w:p w14:paraId="1D058932"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Metodología: </w:t>
      </w:r>
      <w:r w:rsidRPr="00E95D93">
        <w:rPr>
          <w:bCs/>
          <w:i/>
          <w:lang w:val="es-ES" w:eastAsia="en-US"/>
        </w:rPr>
        <w:t>Héctor Alexander Vilchez Cáceda.</w:t>
      </w:r>
      <w:r w:rsidRPr="00E95D93">
        <w:rPr>
          <w:bCs/>
          <w:iCs/>
          <w:lang w:val="es-ES" w:eastAsia="en-US"/>
        </w:rPr>
        <w:t xml:space="preserve"> </w:t>
      </w:r>
    </w:p>
    <w:p w14:paraId="786D0FBD"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Administración del proyecto: </w:t>
      </w:r>
      <w:r w:rsidRPr="00E95D93">
        <w:rPr>
          <w:bCs/>
          <w:i/>
          <w:lang w:val="es-ES" w:eastAsia="en-US"/>
        </w:rPr>
        <w:t>Héctor Alexander Vilchez Cáceda.</w:t>
      </w:r>
    </w:p>
    <w:p w14:paraId="0B01B7EE" w14:textId="77777777" w:rsidR="00E95D93" w:rsidRPr="00E95D93" w:rsidRDefault="00E95D93" w:rsidP="00E95D93">
      <w:pPr>
        <w:spacing w:line="360" w:lineRule="auto"/>
        <w:jc w:val="both"/>
        <w:rPr>
          <w:bCs/>
          <w:iCs/>
          <w:lang w:val="es-ES" w:eastAsia="en-US"/>
        </w:rPr>
      </w:pPr>
      <w:r w:rsidRPr="00E95D93">
        <w:rPr>
          <w:bCs/>
          <w:iCs/>
          <w:lang w:val="es-ES" w:eastAsia="en-US"/>
        </w:rPr>
        <w:lastRenderedPageBreak/>
        <w:t xml:space="preserve">Recursos materiales: </w:t>
      </w:r>
      <w:r w:rsidRPr="00E95D93">
        <w:rPr>
          <w:bCs/>
          <w:i/>
          <w:lang w:val="es-ES" w:eastAsia="en-US"/>
        </w:rPr>
        <w:t>Luis Adolfo Cervantes Ganoza.</w:t>
      </w:r>
    </w:p>
    <w:p w14:paraId="5BF9D916"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Supervisión: </w:t>
      </w:r>
      <w:r w:rsidRPr="00E95D93">
        <w:rPr>
          <w:bCs/>
          <w:i/>
          <w:lang w:val="es-ES" w:eastAsia="en-US"/>
        </w:rPr>
        <w:t>Héctor Alexander Vilchez Cáceda.</w:t>
      </w:r>
    </w:p>
    <w:p w14:paraId="1B0A009A"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Validación: </w:t>
      </w:r>
      <w:r w:rsidRPr="00E95D93">
        <w:rPr>
          <w:bCs/>
          <w:i/>
          <w:lang w:val="es-ES" w:eastAsia="en-US"/>
        </w:rPr>
        <w:t>Héctor Alexander Vilchez Cáceda.</w:t>
      </w:r>
    </w:p>
    <w:p w14:paraId="69C5E517"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Visualización: </w:t>
      </w:r>
      <w:r w:rsidRPr="00E95D93">
        <w:rPr>
          <w:bCs/>
          <w:i/>
          <w:lang w:val="es-ES" w:eastAsia="en-US"/>
        </w:rPr>
        <w:t>Luis Adolfo Cervantes Ganoza.</w:t>
      </w:r>
    </w:p>
    <w:p w14:paraId="67F298B1"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Redacción – borrador original: </w:t>
      </w:r>
      <w:r w:rsidRPr="00E95D93">
        <w:rPr>
          <w:bCs/>
          <w:i/>
          <w:lang w:val="es-ES" w:eastAsia="en-US"/>
        </w:rPr>
        <w:t>Luis Adolfo Cervantes Ganoza.</w:t>
      </w:r>
    </w:p>
    <w:p w14:paraId="60D8A95F" w14:textId="77777777" w:rsidR="00E95D93" w:rsidRPr="00E95D93" w:rsidRDefault="00E95D93" w:rsidP="00E95D93">
      <w:pPr>
        <w:spacing w:line="360" w:lineRule="auto"/>
        <w:jc w:val="both"/>
        <w:rPr>
          <w:bCs/>
          <w:iCs/>
          <w:lang w:val="es-ES" w:eastAsia="en-US"/>
        </w:rPr>
      </w:pPr>
      <w:r w:rsidRPr="00E95D93">
        <w:rPr>
          <w:bCs/>
          <w:iCs/>
          <w:lang w:val="es-ES" w:eastAsia="en-US"/>
        </w:rPr>
        <w:t xml:space="preserve">Redacción – revisión y edición: </w:t>
      </w:r>
      <w:r w:rsidRPr="00E95D93">
        <w:rPr>
          <w:bCs/>
          <w:i/>
          <w:lang w:val="es-ES" w:eastAsia="en-US"/>
        </w:rPr>
        <w:t>Héctor Alexander Vilchez Cáceda.</w:t>
      </w:r>
    </w:p>
    <w:p w14:paraId="31278822" w14:textId="77777777" w:rsidR="00675476" w:rsidRPr="00E95D93" w:rsidRDefault="00675476" w:rsidP="00391509">
      <w:pPr>
        <w:rPr>
          <w:lang w:val="es-ES"/>
        </w:rPr>
      </w:pPr>
    </w:p>
    <w:sectPr w:rsidR="00675476" w:rsidRPr="00E95D93" w:rsidSect="00486BFA">
      <w:headerReference w:type="default" r:id="rId35"/>
      <w:footerReference w:type="even" r:id="rId36"/>
      <w:footerReference w:type="default" r:id="rId37"/>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AEC9" w14:textId="77777777" w:rsidR="003777D1" w:rsidRDefault="003777D1">
      <w:r>
        <w:separator/>
      </w:r>
    </w:p>
  </w:endnote>
  <w:endnote w:type="continuationSeparator" w:id="0">
    <w:p w14:paraId="6EFAEB7E" w14:textId="77777777" w:rsidR="003777D1" w:rsidRDefault="0037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no Pro">
    <w:altName w:val="Cambria"/>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BD3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18F2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BE40" w14:textId="7D487D48" w:rsidR="000F3690" w:rsidRPr="00AE044C" w:rsidRDefault="00E95D93"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9C733E7" wp14:editId="01CBAA14">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8578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23C5945" w14:textId="77777777" w:rsidR="00675476" w:rsidRPr="00AE044C" w:rsidRDefault="003777D1" w:rsidP="00391509">
    <w:pPr>
      <w:pStyle w:val="Piedepgina"/>
      <w:ind w:right="360"/>
      <w:rPr>
        <w:sz w:val="22"/>
        <w:szCs w:val="22"/>
      </w:rPr>
    </w:pPr>
    <w:hyperlink r:id="rId1" w:history="1">
      <w:r w:rsidR="00391509" w:rsidRPr="00AE044C">
        <w:rPr>
          <w:rStyle w:val="Hipervnculo"/>
          <w:sz w:val="22"/>
          <w:szCs w:val="22"/>
        </w:rPr>
        <w:t>http://scielo.sld.cu</w:t>
      </w:r>
    </w:hyperlink>
  </w:p>
  <w:p w14:paraId="30397280" w14:textId="77777777" w:rsidR="00391509" w:rsidRPr="00AE044C" w:rsidRDefault="003777D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6EA6873" w14:textId="17F94D4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95D93" w:rsidRPr="00E95D93">
      <w:rPr>
        <w:rFonts w:ascii="Verdana" w:hAnsi="Verdana"/>
        <w:noProof/>
        <w:sz w:val="18"/>
        <w:szCs w:val="18"/>
        <w:lang w:val="en-US" w:eastAsia="en-US"/>
      </w:rPr>
      <w:drawing>
        <wp:inline distT="0" distB="0" distL="0" distR="0" wp14:anchorId="3A1ECE81" wp14:editId="09B24B24">
          <wp:extent cx="643890" cy="15113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0FC8" w14:textId="77777777" w:rsidR="003777D1" w:rsidRDefault="003777D1">
      <w:r>
        <w:separator/>
      </w:r>
    </w:p>
  </w:footnote>
  <w:footnote w:type="continuationSeparator" w:id="0">
    <w:p w14:paraId="3FBBADC4" w14:textId="77777777" w:rsidR="003777D1" w:rsidRDefault="0037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FAA5" w14:textId="3CA4BD79" w:rsidR="00CC376A" w:rsidRPr="00AE044C" w:rsidRDefault="00E95D93"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0711488" wp14:editId="11246789">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e02101336</w:t>
    </w:r>
  </w:p>
  <w:p w14:paraId="337E567F" w14:textId="5BA9DAC3" w:rsidR="00A477DE" w:rsidRDefault="00E95D93">
    <w:r>
      <w:rPr>
        <w:noProof/>
      </w:rPr>
      <mc:AlternateContent>
        <mc:Choice Requires="wps">
          <w:drawing>
            <wp:anchor distT="0" distB="0" distL="114300" distR="114300" simplePos="0" relativeHeight="251657216" behindDoc="0" locked="0" layoutInCell="1" allowOverlap="1" wp14:anchorId="6D2D9C04" wp14:editId="768B5E34">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2E46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06"/>
    <w:multiLevelType w:val="multilevel"/>
    <w:tmpl w:val="5A803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852FB0"/>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40BE1"/>
    <w:multiLevelType w:val="multilevel"/>
    <w:tmpl w:val="CC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42ECA"/>
    <w:multiLevelType w:val="multilevel"/>
    <w:tmpl w:val="4FE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16DE5"/>
    <w:multiLevelType w:val="hybridMultilevel"/>
    <w:tmpl w:val="B6CE7F8E"/>
    <w:lvl w:ilvl="0" w:tplc="E900544A">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28D3549"/>
    <w:multiLevelType w:val="multilevel"/>
    <w:tmpl w:val="DDD6051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D4BEA"/>
    <w:multiLevelType w:val="hybridMultilevel"/>
    <w:tmpl w:val="066CB856"/>
    <w:lvl w:ilvl="0" w:tplc="1BD62DD0">
      <w:start w:val="14"/>
      <w:numFmt w:val="decimal"/>
      <w:lvlText w:val="%1."/>
      <w:lvlJc w:val="left"/>
      <w:pPr>
        <w:ind w:left="426" w:hanging="360"/>
      </w:pPr>
      <w:rPr>
        <w:rFonts w:hint="default"/>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7" w15:restartNumberingAfterBreak="0">
    <w:nsid w:val="452A2851"/>
    <w:multiLevelType w:val="multilevel"/>
    <w:tmpl w:val="E0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E5CD0"/>
    <w:multiLevelType w:val="multilevel"/>
    <w:tmpl w:val="DFA4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C3053"/>
    <w:multiLevelType w:val="multilevel"/>
    <w:tmpl w:val="B1E0603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pStyle w:val="Ttulo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F71F14"/>
    <w:multiLevelType w:val="hybridMultilevel"/>
    <w:tmpl w:val="CB9C9AD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1"/>
  </w:num>
  <w:num w:numId="2">
    <w:abstractNumId w:val="9"/>
  </w:num>
  <w:num w:numId="3">
    <w:abstractNumId w:val="4"/>
  </w:num>
  <w:num w:numId="4">
    <w:abstractNumId w:val="5"/>
  </w:num>
  <w:num w:numId="5">
    <w:abstractNumId w:val="10"/>
  </w:num>
  <w:num w:numId="6">
    <w:abstractNumId w:val="3"/>
  </w:num>
  <w:num w:numId="7">
    <w:abstractNumId w:val="7"/>
  </w:num>
  <w:num w:numId="8">
    <w:abstractNumId w:val="2"/>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93"/>
    <w:rsid w:val="000F3690"/>
    <w:rsid w:val="001221D1"/>
    <w:rsid w:val="00180CE9"/>
    <w:rsid w:val="001B75E3"/>
    <w:rsid w:val="00230DD5"/>
    <w:rsid w:val="0029750A"/>
    <w:rsid w:val="003777D1"/>
    <w:rsid w:val="00380D64"/>
    <w:rsid w:val="00391509"/>
    <w:rsid w:val="003E03D5"/>
    <w:rsid w:val="00486BFA"/>
    <w:rsid w:val="00493701"/>
    <w:rsid w:val="004E2065"/>
    <w:rsid w:val="005508A2"/>
    <w:rsid w:val="00566F71"/>
    <w:rsid w:val="005918BD"/>
    <w:rsid w:val="006173A6"/>
    <w:rsid w:val="00675476"/>
    <w:rsid w:val="007C430F"/>
    <w:rsid w:val="007D614D"/>
    <w:rsid w:val="009524EE"/>
    <w:rsid w:val="00960D6A"/>
    <w:rsid w:val="009A0560"/>
    <w:rsid w:val="009B0917"/>
    <w:rsid w:val="00A23C0C"/>
    <w:rsid w:val="00A477DE"/>
    <w:rsid w:val="00A51B08"/>
    <w:rsid w:val="00A71E65"/>
    <w:rsid w:val="00AB1BDB"/>
    <w:rsid w:val="00AE044C"/>
    <w:rsid w:val="00B31971"/>
    <w:rsid w:val="00B4380A"/>
    <w:rsid w:val="00B66ECB"/>
    <w:rsid w:val="00C7523A"/>
    <w:rsid w:val="00CC1B6E"/>
    <w:rsid w:val="00CC376A"/>
    <w:rsid w:val="00CC48A1"/>
    <w:rsid w:val="00CF50E0"/>
    <w:rsid w:val="00D752FD"/>
    <w:rsid w:val="00D85951"/>
    <w:rsid w:val="00E62606"/>
    <w:rsid w:val="00E95D93"/>
    <w:rsid w:val="00EC5A6B"/>
    <w:rsid w:val="00F22EE8"/>
    <w:rsid w:val="00FE40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DB6B9B"/>
  <w15:docId w15:val="{FCC8041E-8C7D-49CD-847A-EBC4F727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E95D93"/>
    <w:pPr>
      <w:keepNext/>
      <w:spacing w:before="240" w:after="60"/>
      <w:outlineLvl w:val="0"/>
    </w:pPr>
    <w:rPr>
      <w:rFonts w:ascii="Cambria" w:hAnsi="Cambria"/>
      <w:b/>
      <w:bCs/>
      <w:kern w:val="32"/>
      <w:sz w:val="32"/>
      <w:szCs w:val="32"/>
      <w:lang w:val="es-ES" w:eastAsia="en-US"/>
    </w:rPr>
  </w:style>
  <w:style w:type="paragraph" w:styleId="Ttulo2">
    <w:name w:val="heading 2"/>
    <w:basedOn w:val="Normal"/>
    <w:next w:val="Normal"/>
    <w:link w:val="Ttulo2Car"/>
    <w:semiHidden/>
    <w:unhideWhenUsed/>
    <w:qFormat/>
    <w:rsid w:val="00E95D93"/>
    <w:pPr>
      <w:keepNext/>
      <w:spacing w:before="240" w:after="60"/>
      <w:outlineLvl w:val="1"/>
    </w:pPr>
    <w:rPr>
      <w:rFonts w:ascii="Calibri Light" w:hAnsi="Calibri Light"/>
      <w:b/>
      <w:bCs/>
      <w:i/>
      <w:iCs/>
      <w:sz w:val="28"/>
      <w:szCs w:val="28"/>
      <w:lang w:val="es-ES" w:eastAsia="en-US"/>
    </w:rPr>
  </w:style>
  <w:style w:type="paragraph" w:styleId="Ttulo3">
    <w:name w:val="heading 3"/>
    <w:basedOn w:val="Normal"/>
    <w:next w:val="Normal"/>
    <w:link w:val="Ttulo3Car"/>
    <w:semiHidden/>
    <w:unhideWhenUsed/>
    <w:qFormat/>
    <w:rsid w:val="00E95D93"/>
    <w:pPr>
      <w:keepNext/>
      <w:spacing w:before="240" w:after="60"/>
      <w:outlineLvl w:val="2"/>
    </w:pPr>
    <w:rPr>
      <w:rFonts w:ascii="Calibri Light" w:hAnsi="Calibri Light"/>
      <w:b/>
      <w:bCs/>
      <w:sz w:val="26"/>
      <w:szCs w:val="26"/>
      <w:lang w:val="es-ES" w:eastAsia="en-US"/>
    </w:rPr>
  </w:style>
  <w:style w:type="paragraph" w:styleId="Ttulo4">
    <w:name w:val="heading 4"/>
    <w:basedOn w:val="Ttulo3"/>
    <w:next w:val="Normal"/>
    <w:link w:val="Ttulo4Car"/>
    <w:uiPriority w:val="9"/>
    <w:unhideWhenUsed/>
    <w:qFormat/>
    <w:rsid w:val="00E95D93"/>
    <w:pPr>
      <w:keepLines/>
      <w:numPr>
        <w:ilvl w:val="3"/>
        <w:numId w:val="2"/>
      </w:numPr>
      <w:spacing w:before="480" w:after="240" w:line="360" w:lineRule="auto"/>
      <w:ind w:left="1985" w:hanging="851"/>
      <w:outlineLvl w:val="3"/>
    </w:pPr>
    <w:rPr>
      <w:rFonts w:ascii="Arial" w:hAnsi="Arial" w:cs="Arial"/>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qFormat/>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E95D93"/>
    <w:rPr>
      <w:rFonts w:ascii="Cambria" w:hAnsi="Cambria"/>
      <w:b/>
      <w:bCs/>
      <w:kern w:val="32"/>
      <w:sz w:val="32"/>
      <w:szCs w:val="32"/>
      <w:lang w:val="es-ES" w:eastAsia="en-US"/>
    </w:rPr>
  </w:style>
  <w:style w:type="character" w:customStyle="1" w:styleId="Ttulo2Car">
    <w:name w:val="Título 2 Car"/>
    <w:basedOn w:val="Fuentedeprrafopredeter"/>
    <w:link w:val="Ttulo2"/>
    <w:semiHidden/>
    <w:rsid w:val="00E95D93"/>
    <w:rPr>
      <w:rFonts w:ascii="Calibri Light" w:hAnsi="Calibri Light"/>
      <w:b/>
      <w:bCs/>
      <w:i/>
      <w:iCs/>
      <w:sz w:val="28"/>
      <w:szCs w:val="28"/>
      <w:lang w:val="es-ES" w:eastAsia="en-US"/>
    </w:rPr>
  </w:style>
  <w:style w:type="character" w:customStyle="1" w:styleId="Ttulo3Car">
    <w:name w:val="Título 3 Car"/>
    <w:basedOn w:val="Fuentedeprrafopredeter"/>
    <w:link w:val="Ttulo3"/>
    <w:semiHidden/>
    <w:rsid w:val="00E95D93"/>
    <w:rPr>
      <w:rFonts w:ascii="Calibri Light" w:hAnsi="Calibri Light"/>
      <w:b/>
      <w:bCs/>
      <w:sz w:val="26"/>
      <w:szCs w:val="26"/>
      <w:lang w:val="es-ES" w:eastAsia="en-US"/>
    </w:rPr>
  </w:style>
  <w:style w:type="character" w:customStyle="1" w:styleId="Ttulo4Car">
    <w:name w:val="Título 4 Car"/>
    <w:basedOn w:val="Fuentedeprrafopredeter"/>
    <w:link w:val="Ttulo4"/>
    <w:uiPriority w:val="9"/>
    <w:rsid w:val="00E95D93"/>
    <w:rPr>
      <w:rFonts w:ascii="Arial" w:hAnsi="Arial" w:cs="Arial"/>
      <w:b/>
      <w:bCs/>
      <w:sz w:val="24"/>
      <w:szCs w:val="24"/>
      <w:lang w:val="es-PE" w:eastAsia="es-PE"/>
    </w:rPr>
  </w:style>
  <w:style w:type="paragraph" w:customStyle="1" w:styleId="ECWMtitle">
    <w:name w:val="ECWM title"/>
    <w:basedOn w:val="Normal"/>
    <w:next w:val="IPPSAuthors"/>
    <w:link w:val="ECWMtitleChar"/>
    <w:rsid w:val="00E95D93"/>
    <w:pPr>
      <w:spacing w:after="240"/>
      <w:jc w:val="center"/>
    </w:pPr>
    <w:rPr>
      <w:rFonts w:ascii="Arial" w:hAnsi="Arial"/>
      <w:b/>
      <w:sz w:val="28"/>
      <w:lang w:val="es-ES" w:eastAsia="en-US"/>
    </w:rPr>
  </w:style>
  <w:style w:type="paragraph" w:customStyle="1" w:styleId="IPPSAuthors">
    <w:name w:val="IPPS Authors"/>
    <w:basedOn w:val="ECWMtitle"/>
    <w:link w:val="IPPSAuthorsChar"/>
    <w:rsid w:val="00E95D93"/>
    <w:rPr>
      <w:b w:val="0"/>
    </w:rPr>
  </w:style>
  <w:style w:type="paragraph" w:customStyle="1" w:styleId="IPPSsubheading1">
    <w:name w:val="IPPS subheading 1"/>
    <w:basedOn w:val="IPPSBodytext"/>
    <w:next w:val="IPPSBodytext"/>
    <w:rsid w:val="00E95D93"/>
    <w:pPr>
      <w:spacing w:before="120" w:after="120"/>
      <w:jc w:val="left"/>
    </w:pPr>
    <w:rPr>
      <w:b/>
      <w:i/>
    </w:rPr>
  </w:style>
  <w:style w:type="paragraph" w:customStyle="1" w:styleId="IPPSAddresses">
    <w:name w:val="IPPS Addresses"/>
    <w:basedOn w:val="IPPSAuthors"/>
    <w:link w:val="IPPSAddressesChar"/>
    <w:rsid w:val="00E95D93"/>
    <w:pPr>
      <w:spacing w:after="120"/>
    </w:pPr>
  </w:style>
  <w:style w:type="paragraph" w:customStyle="1" w:styleId="IPPSKeywords">
    <w:name w:val="IPPS Keywords"/>
    <w:basedOn w:val="IPPSAddresses"/>
    <w:link w:val="IPPSKeywordsCharChar"/>
    <w:rsid w:val="00E95D93"/>
    <w:rPr>
      <w:sz w:val="20"/>
    </w:rPr>
  </w:style>
  <w:style w:type="paragraph" w:customStyle="1" w:styleId="IPPSAbstract">
    <w:name w:val="IPPS Abstract"/>
    <w:basedOn w:val="IPPSKeywords"/>
    <w:next w:val="IPPSBodytext"/>
    <w:rsid w:val="00E95D93"/>
  </w:style>
  <w:style w:type="paragraph" w:customStyle="1" w:styleId="IPPSBodytext">
    <w:name w:val="IPPS Body text"/>
    <w:basedOn w:val="IPPSAbstract"/>
    <w:rsid w:val="00E95D93"/>
    <w:pPr>
      <w:spacing w:after="0"/>
      <w:jc w:val="both"/>
    </w:pPr>
    <w:rPr>
      <w:rFonts w:ascii="Times New Roman" w:hAnsi="Times New Roman"/>
      <w:bCs/>
      <w:sz w:val="24"/>
    </w:rPr>
  </w:style>
  <w:style w:type="paragraph" w:customStyle="1" w:styleId="IPPSSectionheading">
    <w:name w:val="IPPS Section heading"/>
    <w:basedOn w:val="IPPSBodytext"/>
    <w:next w:val="IPPSBodytext"/>
    <w:rsid w:val="00E95D93"/>
    <w:pPr>
      <w:spacing w:before="360" w:after="240"/>
      <w:jc w:val="center"/>
    </w:pPr>
    <w:rPr>
      <w:b/>
      <w:caps/>
    </w:rPr>
  </w:style>
  <w:style w:type="paragraph" w:customStyle="1" w:styleId="IPPSsubheading2">
    <w:name w:val="IPPS subheading 2"/>
    <w:basedOn w:val="IPPSsubheading1"/>
    <w:next w:val="IPPSBodytext"/>
    <w:rsid w:val="00E95D93"/>
    <w:rPr>
      <w:b w:val="0"/>
      <w:i w:val="0"/>
      <w:u w:val="single"/>
    </w:rPr>
  </w:style>
  <w:style w:type="paragraph" w:customStyle="1" w:styleId="IPPStabletitle">
    <w:name w:val="IPPS table title"/>
    <w:basedOn w:val="IPPSBodytext"/>
    <w:next w:val="IPPSBodytext"/>
    <w:rsid w:val="00E95D93"/>
    <w:pPr>
      <w:spacing w:before="120" w:after="120"/>
      <w:jc w:val="center"/>
    </w:pPr>
    <w:rPr>
      <w:b/>
      <w:i/>
      <w:sz w:val="20"/>
      <w:szCs w:val="20"/>
    </w:rPr>
  </w:style>
  <w:style w:type="paragraph" w:customStyle="1" w:styleId="IPPSfiguretitle">
    <w:name w:val="IPPS figure title"/>
    <w:basedOn w:val="IPPSBodytext"/>
    <w:next w:val="IPPSBodytext"/>
    <w:rsid w:val="00E95D93"/>
    <w:pPr>
      <w:spacing w:before="120" w:after="120"/>
      <w:jc w:val="center"/>
    </w:pPr>
    <w:rPr>
      <w:b/>
      <w:i/>
      <w:sz w:val="20"/>
      <w:szCs w:val="20"/>
    </w:rPr>
  </w:style>
  <w:style w:type="paragraph" w:customStyle="1" w:styleId="StyleIPPSKeywordsBold">
    <w:name w:val="Style IPPS Keywords + Bold"/>
    <w:basedOn w:val="IPPSKeywords"/>
    <w:link w:val="StyleIPPSKeywordsBoldChar"/>
    <w:rsid w:val="00E95D93"/>
  </w:style>
  <w:style w:type="paragraph" w:customStyle="1" w:styleId="IPPStitle">
    <w:name w:val="IPPS title"/>
    <w:basedOn w:val="ECWMtitle"/>
    <w:rsid w:val="00E95D93"/>
  </w:style>
  <w:style w:type="character" w:customStyle="1" w:styleId="ECWMtitleChar">
    <w:name w:val="ECWM title Char"/>
    <w:link w:val="ECWMtitle"/>
    <w:rsid w:val="00E95D93"/>
    <w:rPr>
      <w:rFonts w:ascii="Arial" w:hAnsi="Arial"/>
      <w:b/>
      <w:sz w:val="28"/>
      <w:szCs w:val="24"/>
      <w:lang w:val="es-ES" w:eastAsia="en-US"/>
    </w:rPr>
  </w:style>
  <w:style w:type="character" w:customStyle="1" w:styleId="IPPSAuthorsChar">
    <w:name w:val="IPPS Authors Char"/>
    <w:basedOn w:val="ECWMtitleChar"/>
    <w:link w:val="IPPSAuthors"/>
    <w:rsid w:val="00E95D93"/>
    <w:rPr>
      <w:rFonts w:ascii="Arial" w:hAnsi="Arial"/>
      <w:b w:val="0"/>
      <w:sz w:val="28"/>
      <w:szCs w:val="24"/>
      <w:lang w:val="es-ES" w:eastAsia="en-US"/>
    </w:rPr>
  </w:style>
  <w:style w:type="character" w:customStyle="1" w:styleId="IPPSAddressesChar">
    <w:name w:val="IPPS Addresses Char"/>
    <w:basedOn w:val="IPPSAuthorsChar"/>
    <w:link w:val="IPPSAddresses"/>
    <w:rsid w:val="00E95D93"/>
    <w:rPr>
      <w:rFonts w:ascii="Arial" w:hAnsi="Arial"/>
      <w:b w:val="0"/>
      <w:sz w:val="28"/>
      <w:szCs w:val="24"/>
      <w:lang w:val="es-ES" w:eastAsia="en-US"/>
    </w:rPr>
  </w:style>
  <w:style w:type="character" w:customStyle="1" w:styleId="IPPSKeywordsCharChar">
    <w:name w:val="IPPS Keywords Char Char"/>
    <w:link w:val="IPPSKeywords"/>
    <w:rsid w:val="00E95D93"/>
    <w:rPr>
      <w:rFonts w:ascii="Arial" w:hAnsi="Arial"/>
      <w:szCs w:val="24"/>
      <w:lang w:val="es-ES" w:eastAsia="en-US"/>
    </w:rPr>
  </w:style>
  <w:style w:type="character" w:customStyle="1" w:styleId="StyleIPPSKeywordsBoldChar">
    <w:name w:val="Style IPPS Keywords + Bold Char"/>
    <w:link w:val="StyleIPPSKeywordsBold"/>
    <w:rsid w:val="00E95D93"/>
    <w:rPr>
      <w:rFonts w:ascii="Arial" w:hAnsi="Arial"/>
      <w:szCs w:val="24"/>
      <w:lang w:val="es-ES" w:eastAsia="en-US"/>
    </w:rPr>
  </w:style>
  <w:style w:type="paragraph" w:customStyle="1" w:styleId="IPPSAbstractText">
    <w:name w:val="IPPS Abstract Text"/>
    <w:basedOn w:val="IPPSBodytext"/>
    <w:next w:val="IPPSAbstract"/>
    <w:rsid w:val="00E95D93"/>
    <w:pPr>
      <w:adjustRightInd w:val="0"/>
      <w:ind w:left="1134" w:hanging="1134"/>
      <w:jc w:val="center"/>
    </w:pPr>
    <w:rPr>
      <w:sz w:val="20"/>
    </w:rPr>
  </w:style>
  <w:style w:type="paragraph" w:customStyle="1" w:styleId="Style1">
    <w:name w:val="Style1"/>
    <w:basedOn w:val="IPPSAbstractText"/>
    <w:rsid w:val="00E95D93"/>
    <w:pPr>
      <w:tabs>
        <w:tab w:val="left" w:pos="7560"/>
      </w:tabs>
      <w:ind w:left="900" w:right="1141" w:hanging="54"/>
    </w:pPr>
  </w:style>
  <w:style w:type="table" w:styleId="Tablaconcuadrcula">
    <w:name w:val="Table Grid"/>
    <w:basedOn w:val="Tablanormal"/>
    <w:uiPriority w:val="59"/>
    <w:rsid w:val="00E95D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E95D93"/>
    <w:pPr>
      <w:ind w:left="708"/>
    </w:pPr>
    <w:rPr>
      <w:lang w:val="es-ES" w:eastAsia="en-US"/>
    </w:rPr>
  </w:style>
  <w:style w:type="table" w:customStyle="1" w:styleId="Tablaconcuadrcula1">
    <w:name w:val="Tabla con cuadrícula1"/>
    <w:basedOn w:val="Tablanormal"/>
    <w:next w:val="Tablaconcuadrcula"/>
    <w:uiPriority w:val="59"/>
    <w:rsid w:val="00E95D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95D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95D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95D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E95D93"/>
    <w:rPr>
      <w:b/>
      <w:bCs/>
    </w:rPr>
  </w:style>
  <w:style w:type="character" w:styleId="nfasis">
    <w:name w:val="Emphasis"/>
    <w:uiPriority w:val="20"/>
    <w:qFormat/>
    <w:rsid w:val="00E95D93"/>
    <w:rPr>
      <w:i/>
      <w:iCs/>
    </w:rPr>
  </w:style>
  <w:style w:type="paragraph" w:styleId="HTMLconformatoprevio">
    <w:name w:val="HTML Preformatted"/>
    <w:basedOn w:val="Normal"/>
    <w:link w:val="HTMLconformatoprevioCar"/>
    <w:uiPriority w:val="99"/>
    <w:unhideWhenUsed/>
    <w:rsid w:val="00E95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E95D93"/>
    <w:rPr>
      <w:rFonts w:ascii="Courier New" w:hAnsi="Courier New" w:cs="Courier New"/>
      <w:lang w:val="es-PE" w:eastAsia="es-PE"/>
    </w:rPr>
  </w:style>
  <w:style w:type="paragraph" w:customStyle="1" w:styleId="Default">
    <w:name w:val="Default"/>
    <w:rsid w:val="00E95D93"/>
    <w:pPr>
      <w:autoSpaceDE w:val="0"/>
      <w:autoSpaceDN w:val="0"/>
      <w:adjustRightInd w:val="0"/>
    </w:pPr>
    <w:rPr>
      <w:rFonts w:ascii="Arial" w:eastAsia="Calibri" w:hAnsi="Arial" w:cs="Arial"/>
      <w:color w:val="000000"/>
      <w:sz w:val="24"/>
      <w:szCs w:val="24"/>
      <w:lang w:val="es-PE" w:eastAsia="es-PE"/>
    </w:rPr>
  </w:style>
  <w:style w:type="paragraph" w:styleId="Sinespaciado">
    <w:name w:val="No Spacing"/>
    <w:uiPriority w:val="1"/>
    <w:qFormat/>
    <w:rsid w:val="00E95D93"/>
    <w:rPr>
      <w:sz w:val="24"/>
      <w:szCs w:val="24"/>
      <w:lang w:val="es-PE" w:eastAsia="es-PE"/>
    </w:rPr>
  </w:style>
  <w:style w:type="paragraph" w:styleId="Descripcin">
    <w:name w:val="caption"/>
    <w:basedOn w:val="Normal"/>
    <w:next w:val="Normal"/>
    <w:uiPriority w:val="35"/>
    <w:unhideWhenUsed/>
    <w:qFormat/>
    <w:rsid w:val="00E95D93"/>
    <w:pPr>
      <w:spacing w:after="200"/>
    </w:pPr>
    <w:rPr>
      <w:rFonts w:ascii="Calibri" w:eastAsia="Calibri" w:hAnsi="Calibri"/>
      <w:b/>
      <w:bCs/>
      <w:color w:val="4F81BD"/>
      <w:sz w:val="18"/>
      <w:szCs w:val="18"/>
      <w:lang w:val="es-ES" w:eastAsia="en-US"/>
    </w:rPr>
  </w:style>
  <w:style w:type="character" w:customStyle="1" w:styleId="element-citation">
    <w:name w:val="element-citation"/>
    <w:rsid w:val="00E95D93"/>
  </w:style>
  <w:style w:type="character" w:customStyle="1" w:styleId="ref-journal">
    <w:name w:val="ref-journal"/>
    <w:rsid w:val="00E95D93"/>
  </w:style>
  <w:style w:type="character" w:customStyle="1" w:styleId="ref-vol">
    <w:name w:val="ref-vol"/>
    <w:rsid w:val="00E95D93"/>
  </w:style>
  <w:style w:type="character" w:customStyle="1" w:styleId="nowrap">
    <w:name w:val="nowrap"/>
    <w:rsid w:val="00E95D93"/>
  </w:style>
  <w:style w:type="character" w:styleId="Hipervnculovisitado">
    <w:name w:val="FollowedHyperlink"/>
    <w:uiPriority w:val="99"/>
    <w:unhideWhenUsed/>
    <w:rsid w:val="00E95D93"/>
    <w:rPr>
      <w:color w:val="800080"/>
      <w:u w:val="single"/>
    </w:rPr>
  </w:style>
  <w:style w:type="table" w:styleId="Tablabsica1">
    <w:name w:val="Table Simple 1"/>
    <w:basedOn w:val="Tablanormal"/>
    <w:rsid w:val="00E95D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Refdecomentario">
    <w:name w:val="annotation reference"/>
    <w:rsid w:val="00E95D93"/>
    <w:rPr>
      <w:sz w:val="16"/>
      <w:szCs w:val="16"/>
    </w:rPr>
  </w:style>
  <w:style w:type="paragraph" w:styleId="Textocomentario">
    <w:name w:val="annotation text"/>
    <w:basedOn w:val="Normal"/>
    <w:link w:val="TextocomentarioCar"/>
    <w:rsid w:val="00E95D93"/>
    <w:rPr>
      <w:sz w:val="20"/>
      <w:szCs w:val="20"/>
      <w:lang w:val="es-ES" w:eastAsia="en-US"/>
    </w:rPr>
  </w:style>
  <w:style w:type="character" w:customStyle="1" w:styleId="TextocomentarioCar">
    <w:name w:val="Texto comentario Car"/>
    <w:basedOn w:val="Fuentedeprrafopredeter"/>
    <w:link w:val="Textocomentario"/>
    <w:rsid w:val="00E95D93"/>
    <w:rPr>
      <w:lang w:val="es-ES" w:eastAsia="en-US"/>
    </w:rPr>
  </w:style>
  <w:style w:type="paragraph" w:styleId="Asuntodelcomentario">
    <w:name w:val="annotation subject"/>
    <w:basedOn w:val="Textocomentario"/>
    <w:next w:val="Textocomentario"/>
    <w:link w:val="AsuntodelcomentarioCar"/>
    <w:rsid w:val="00E95D93"/>
    <w:rPr>
      <w:b/>
      <w:bCs/>
    </w:rPr>
  </w:style>
  <w:style w:type="character" w:customStyle="1" w:styleId="AsuntodelcomentarioCar">
    <w:name w:val="Asunto del comentario Car"/>
    <w:basedOn w:val="TextocomentarioCar"/>
    <w:link w:val="Asuntodelcomentario"/>
    <w:rsid w:val="00E95D93"/>
    <w:rPr>
      <w:b/>
      <w:bCs/>
      <w:lang w:val="es-ES" w:eastAsia="en-US"/>
    </w:rPr>
  </w:style>
  <w:style w:type="paragraph" w:styleId="Textoindependiente">
    <w:name w:val="Body Text"/>
    <w:basedOn w:val="Normal"/>
    <w:link w:val="TextoindependienteCar"/>
    <w:uiPriority w:val="1"/>
    <w:qFormat/>
    <w:rsid w:val="00E95D93"/>
    <w:rPr>
      <w:rFonts w:ascii="Calibri" w:eastAsia="Calibri" w:hAnsi="Calibri" w:cs="Arial"/>
      <w:lang w:val="es-PE" w:eastAsia="es-PE"/>
    </w:rPr>
  </w:style>
  <w:style w:type="character" w:customStyle="1" w:styleId="TextoindependienteCar">
    <w:name w:val="Texto independiente Car"/>
    <w:basedOn w:val="Fuentedeprrafopredeter"/>
    <w:link w:val="Textoindependiente"/>
    <w:uiPriority w:val="1"/>
    <w:rsid w:val="00E95D93"/>
    <w:rPr>
      <w:rFonts w:ascii="Calibri" w:eastAsia="Calibri" w:hAnsi="Calibri" w:cs="Arial"/>
      <w:sz w:val="24"/>
      <w:szCs w:val="24"/>
      <w:lang w:val="es-PE" w:eastAsia="es-PE"/>
    </w:rPr>
  </w:style>
  <w:style w:type="character" w:customStyle="1" w:styleId="ls121">
    <w:name w:val="ls121"/>
    <w:rsid w:val="00E95D93"/>
  </w:style>
  <w:style w:type="paragraph" w:customStyle="1" w:styleId="Prrafodelista1">
    <w:name w:val="Párrafo de lista1"/>
    <w:basedOn w:val="Normal"/>
    <w:uiPriority w:val="34"/>
    <w:qFormat/>
    <w:rsid w:val="00E95D93"/>
    <w:pPr>
      <w:spacing w:after="200" w:line="276" w:lineRule="auto"/>
      <w:ind w:left="720"/>
      <w:contextualSpacing/>
    </w:pPr>
    <w:rPr>
      <w:rFonts w:ascii="Calibri" w:eastAsia="DengXian" w:hAnsi="Calibri"/>
      <w:sz w:val="22"/>
      <w:szCs w:val="22"/>
      <w:lang w:val="es-PE" w:eastAsia="es-PE"/>
    </w:rPr>
  </w:style>
  <w:style w:type="character" w:customStyle="1" w:styleId="ui-ncbitoggler-master-text">
    <w:name w:val="ui-ncbitoggler-master-text"/>
    <w:rsid w:val="00E95D93"/>
  </w:style>
  <w:style w:type="character" w:customStyle="1" w:styleId="titulo">
    <w:name w:val="titulo"/>
    <w:rsid w:val="00E95D93"/>
  </w:style>
  <w:style w:type="character" w:styleId="AcrnimoHTML">
    <w:name w:val="HTML Acronym"/>
    <w:uiPriority w:val="99"/>
    <w:unhideWhenUsed/>
    <w:rsid w:val="00E95D93"/>
  </w:style>
  <w:style w:type="character" w:customStyle="1" w:styleId="contribdegrees">
    <w:name w:val="contribdegrees"/>
    <w:rsid w:val="00E95D93"/>
  </w:style>
  <w:style w:type="character" w:customStyle="1" w:styleId="publicationcontentepubdate">
    <w:name w:val="publicationcontentepubdate"/>
    <w:rsid w:val="00E95D93"/>
  </w:style>
  <w:style w:type="character" w:customStyle="1" w:styleId="articletype">
    <w:name w:val="articletype"/>
    <w:rsid w:val="00E95D93"/>
  </w:style>
  <w:style w:type="character" w:customStyle="1" w:styleId="section">
    <w:name w:val="section"/>
    <w:rsid w:val="00E95D93"/>
  </w:style>
  <w:style w:type="character" w:customStyle="1" w:styleId="estilo1">
    <w:name w:val="estilo1"/>
    <w:rsid w:val="00E95D93"/>
  </w:style>
  <w:style w:type="character" w:customStyle="1" w:styleId="subscript">
    <w:name w:val="subscript"/>
    <w:rsid w:val="00E95D93"/>
  </w:style>
  <w:style w:type="character" w:styleId="Mencinsinresolver">
    <w:name w:val="Unresolved Mention"/>
    <w:uiPriority w:val="99"/>
    <w:semiHidden/>
    <w:unhideWhenUsed/>
    <w:rsid w:val="00E95D93"/>
    <w:rPr>
      <w:color w:val="605E5C"/>
      <w:shd w:val="clear" w:color="auto" w:fill="E1DFDD"/>
    </w:rPr>
  </w:style>
  <w:style w:type="character" w:customStyle="1" w:styleId="A16">
    <w:name w:val="A16"/>
    <w:uiPriority w:val="99"/>
    <w:rsid w:val="00E95D93"/>
    <w:rPr>
      <w:rFonts w:cs="Arno Pro"/>
      <w:color w:val="211D1E"/>
      <w:sz w:val="16"/>
      <w:szCs w:val="16"/>
    </w:rPr>
  </w:style>
  <w:style w:type="character" w:customStyle="1" w:styleId="PrrafodelistaCar">
    <w:name w:val="Párrafo de lista Car"/>
    <w:link w:val="Prrafodelista"/>
    <w:uiPriority w:val="1"/>
    <w:rsid w:val="00E95D93"/>
    <w:rPr>
      <w:sz w:val="24"/>
      <w:szCs w:val="24"/>
      <w:lang w:val="es-ES" w:eastAsia="en-US"/>
    </w:rPr>
  </w:style>
  <w:style w:type="character" w:customStyle="1" w:styleId="A3">
    <w:name w:val="A3"/>
    <w:uiPriority w:val="99"/>
    <w:rsid w:val="00E95D93"/>
    <w:rPr>
      <w:rFonts w:cs="Adobe Garamond Pro"/>
      <w:color w:val="211D1E"/>
      <w:sz w:val="26"/>
      <w:szCs w:val="26"/>
    </w:rPr>
  </w:style>
  <w:style w:type="paragraph" w:customStyle="1" w:styleId="TableParagraph">
    <w:name w:val="Table Paragraph"/>
    <w:basedOn w:val="Normal"/>
    <w:uiPriority w:val="1"/>
    <w:qFormat/>
    <w:rsid w:val="00E95D93"/>
    <w:pPr>
      <w:autoSpaceDE w:val="0"/>
      <w:autoSpaceDN w:val="0"/>
      <w:adjustRightInd w:val="0"/>
    </w:pPr>
    <w:rPr>
      <w:rFonts w:ascii="Book Antiqua" w:hAnsi="Book Antiqua" w:cs="Book Antiqua"/>
      <w:lang w:val="es-PE" w:eastAsia="es-PE"/>
    </w:rPr>
  </w:style>
  <w:style w:type="character" w:customStyle="1" w:styleId="identifier">
    <w:name w:val="identifier"/>
    <w:basedOn w:val="Fuentedeprrafopredeter"/>
    <w:rsid w:val="00E95D93"/>
  </w:style>
  <w:style w:type="character" w:customStyle="1" w:styleId="id-label">
    <w:name w:val="id-label"/>
    <w:basedOn w:val="Fuentedeprrafopredeter"/>
    <w:rsid w:val="00E95D93"/>
  </w:style>
  <w:style w:type="paragraph" w:customStyle="1" w:styleId="style3">
    <w:name w:val="style3"/>
    <w:basedOn w:val="Normal"/>
    <w:rsid w:val="00E95D93"/>
    <w:pPr>
      <w:spacing w:before="100" w:beforeAutospacing="1" w:after="100" w:afterAutospacing="1"/>
    </w:pPr>
    <w:rPr>
      <w:lang w:val="es-PE" w:eastAsia="es-PE"/>
    </w:rPr>
  </w:style>
  <w:style w:type="paragraph" w:styleId="Ttulo">
    <w:name w:val="Title"/>
    <w:basedOn w:val="Normal"/>
    <w:next w:val="Normal"/>
    <w:link w:val="TtuloCar"/>
    <w:qFormat/>
    <w:rsid w:val="00E95D93"/>
    <w:pPr>
      <w:spacing w:before="240" w:after="60"/>
      <w:jc w:val="center"/>
      <w:outlineLvl w:val="0"/>
    </w:pPr>
    <w:rPr>
      <w:rFonts w:ascii="Calibri Light" w:hAnsi="Calibri Light"/>
      <w:b/>
      <w:bCs/>
      <w:kern w:val="28"/>
      <w:sz w:val="32"/>
      <w:szCs w:val="32"/>
      <w:lang w:val="es-ES" w:eastAsia="en-US"/>
    </w:rPr>
  </w:style>
  <w:style w:type="character" w:customStyle="1" w:styleId="TtuloCar">
    <w:name w:val="Título Car"/>
    <w:basedOn w:val="Fuentedeprrafopredeter"/>
    <w:link w:val="Ttulo"/>
    <w:rsid w:val="00E95D93"/>
    <w:rPr>
      <w:rFonts w:ascii="Calibri Light" w:hAnsi="Calibri Light"/>
      <w:b/>
      <w:bCs/>
      <w:kern w:val="28"/>
      <w:sz w:val="32"/>
      <w:szCs w:val="32"/>
      <w:lang w:val="es-ES" w:eastAsia="en-US"/>
    </w:rPr>
  </w:style>
  <w:style w:type="character" w:customStyle="1" w:styleId="y2iqfc">
    <w:name w:val="y2iqfc"/>
    <w:basedOn w:val="Fuentedeprrafopredeter"/>
    <w:rsid w:val="00E9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090-6750" TargetMode="External"/><Relationship Id="rId13" Type="http://schemas.openxmlformats.org/officeDocument/2006/relationships/hyperlink" Target="https://pubmed.ncbi.nlm.nih.gov/29567247/" TargetMode="External"/><Relationship Id="rId18" Type="http://schemas.openxmlformats.org/officeDocument/2006/relationships/hyperlink" Target="https://www.scielo.br/scielo.php?script=sci_arttext&amp;pid=S0074-02762005000500018" TargetMode="External"/><Relationship Id="rId26" Type="http://schemas.openxmlformats.org/officeDocument/2006/relationships/hyperlink" Target="https://amp.cmp.org.pe/index.php/AMP/article/view/816/37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ciencedirect.com/science/article/pii/S0753332220306284" TargetMode="External"/><Relationship Id="rId34" Type="http://schemas.openxmlformats.org/officeDocument/2006/relationships/hyperlink" Target="https://www.ncbi.nlm.nih.gov/pmc/articles/PMC2721705/" TargetMode="External"/><Relationship Id="rId7" Type="http://schemas.openxmlformats.org/officeDocument/2006/relationships/hyperlink" Target="https://orcid.org/0000-0001-7094-0821" TargetMode="External"/><Relationship Id="rId12" Type="http://schemas.openxmlformats.org/officeDocument/2006/relationships/hyperlink" Target="http://www.scielo.org.co/pdf/rccqf/v45n2/v45n2a01.pdf" TargetMode="External"/><Relationship Id="rId17" Type="http://schemas.openxmlformats.org/officeDocument/2006/relationships/hyperlink" Target="https://pubmed.ncbi.nlm.nih.gov/31608331/" TargetMode="External"/><Relationship Id="rId25" Type="http://schemas.openxmlformats.org/officeDocument/2006/relationships/hyperlink" Target="https://www.sigmaaldrich.com/catalog/product/sigma/r8626?lang=en&amp;region=PE&amp;cm_sp=Insite-_-caContent_prodMerch_gruCrossEntropy-_-prodMerch10-2" TargetMode="External"/><Relationship Id="rId33" Type="http://schemas.openxmlformats.org/officeDocument/2006/relationships/hyperlink" Target="https://bit.ly/2DXZ5ew"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6600457/" TargetMode="External"/><Relationship Id="rId20" Type="http://schemas.openxmlformats.org/officeDocument/2006/relationships/hyperlink" Target="https://pubmed.ncbi.nlm.nih.gov/8073087/" TargetMode="External"/><Relationship Id="rId29" Type="http://schemas.openxmlformats.org/officeDocument/2006/relationships/hyperlink" Target="http://scielo.isciii.es/scielo.php?script=sci_abstract&amp;pid=S2340-98942019000200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mvz.unicordoba.edu.co/article/view/254/323" TargetMode="External"/><Relationship Id="rId24" Type="http://schemas.openxmlformats.org/officeDocument/2006/relationships/hyperlink" Target="https://www.ncbi.nlm.nih.gov/pmc/articles/PMC6648180/" TargetMode="External"/><Relationship Id="rId32" Type="http://schemas.openxmlformats.org/officeDocument/2006/relationships/hyperlink" Target="https://revistas.udca.edu.co/index.php/ruadc/article/view/738/788"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ubmed.ncbi.nlm.nih.gov/29287194/" TargetMode="External"/><Relationship Id="rId23" Type="http://schemas.openxmlformats.org/officeDocument/2006/relationships/hyperlink" Target="https://pubchem.ncbi.nlm.nih.gov/compound/Rifamycin" TargetMode="External"/><Relationship Id="rId28" Type="http://schemas.openxmlformats.org/officeDocument/2006/relationships/hyperlink" Target="https://pubmed.ncbi.nlm.nih.gov/8329008/" TargetMode="External"/><Relationship Id="rId36"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hyperlink" Target="http://adm.meducatium.com.ar/contenido/articulos/12200650071_833/pdf/12200650071.pdf" TargetMode="External"/><Relationship Id="rId31" Type="http://schemas.openxmlformats.org/officeDocument/2006/relationships/hyperlink" Target="https://www.nih.org.pk/wp-content/uploads/2021/02/CLSI-2020.pdf"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degruyter.com/document/doi/10.1515/znc-2000-1-214/html" TargetMode="External"/><Relationship Id="rId22" Type="http://schemas.openxmlformats.org/officeDocument/2006/relationships/hyperlink" Target="https://www.dermatologiaperuana.pe/assets/uploads/revista_a1XZ_a02.pdf" TargetMode="External"/><Relationship Id="rId27" Type="http://schemas.openxmlformats.org/officeDocument/2006/relationships/hyperlink" Target="http://scielo.sld.cu/scielo.php?script=sci_arttext&amp;pid=S1729-519X2017000300011" TargetMode="External"/><Relationship Id="rId30" Type="http://schemas.openxmlformats.org/officeDocument/2006/relationships/hyperlink" Target="https://www.britanialab.com/productos/filtrar/2/medios_de_cultivo_deshidratados"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36</TotalTime>
  <Pages>15</Pages>
  <Words>4763</Words>
  <Characters>26201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30903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2021-09-12T17:33:00Z</cp:lastPrinted>
  <dcterms:created xsi:type="dcterms:W3CDTF">2021-09-12T17:22:00Z</dcterms:created>
  <dcterms:modified xsi:type="dcterms:W3CDTF">2021-09-14T15:41:00Z</dcterms:modified>
</cp:coreProperties>
</file>