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0341" w14:textId="77777777" w:rsidR="0072014D" w:rsidRPr="0072014D" w:rsidRDefault="0072014D" w:rsidP="0072014D">
      <w:pPr>
        <w:pStyle w:val="Ttulo1"/>
        <w:spacing w:after="0"/>
        <w:rPr>
          <w:b w:val="0"/>
          <w:bCs/>
          <w:sz w:val="20"/>
          <w:szCs w:val="20"/>
        </w:rPr>
      </w:pPr>
      <w:r w:rsidRPr="0072014D">
        <w:rPr>
          <w:b w:val="0"/>
          <w:bCs/>
          <w:sz w:val="20"/>
          <w:szCs w:val="20"/>
        </w:rPr>
        <w:t>Presentación de caso</w:t>
      </w:r>
    </w:p>
    <w:p w14:paraId="17D89055" w14:textId="77777777" w:rsidR="0072014D" w:rsidRPr="0072014D" w:rsidRDefault="0072014D" w:rsidP="0072014D">
      <w:pPr>
        <w:rPr>
          <w:rFonts w:ascii="Times New Roman" w:hAnsi="Times New Roman" w:cs="Times New Roman"/>
        </w:rPr>
      </w:pPr>
    </w:p>
    <w:p w14:paraId="6A25DDCD" w14:textId="77777777" w:rsidR="0072014D" w:rsidRPr="0072014D" w:rsidRDefault="0072014D" w:rsidP="0072014D">
      <w:pPr>
        <w:spacing w:after="0" w:line="360" w:lineRule="auto"/>
        <w:jc w:val="center"/>
        <w:rPr>
          <w:rFonts w:ascii="Times New Roman" w:hAnsi="Times New Roman" w:cs="Times New Roman"/>
          <w:b/>
          <w:sz w:val="28"/>
          <w:szCs w:val="28"/>
        </w:rPr>
      </w:pPr>
      <w:r w:rsidRPr="0072014D">
        <w:rPr>
          <w:rFonts w:ascii="Times New Roman" w:hAnsi="Times New Roman" w:cs="Times New Roman"/>
          <w:b/>
          <w:sz w:val="28"/>
          <w:szCs w:val="28"/>
        </w:rPr>
        <w:t xml:space="preserve">Luxación femorotibial abierta con fractura de rótula y tibia </w:t>
      </w:r>
    </w:p>
    <w:p w14:paraId="49BAE1E8" w14:textId="77777777" w:rsidR="0072014D" w:rsidRPr="0072014D" w:rsidRDefault="0072014D" w:rsidP="0072014D">
      <w:pPr>
        <w:spacing w:after="0" w:line="360" w:lineRule="auto"/>
        <w:jc w:val="center"/>
        <w:rPr>
          <w:rFonts w:ascii="Times New Roman" w:hAnsi="Times New Roman" w:cs="Times New Roman"/>
          <w:sz w:val="24"/>
          <w:szCs w:val="24"/>
          <w:lang w:val="en-US"/>
        </w:rPr>
      </w:pPr>
      <w:r w:rsidRPr="0072014D">
        <w:rPr>
          <w:rFonts w:ascii="Times New Roman" w:hAnsi="Times New Roman" w:cs="Times New Roman"/>
          <w:sz w:val="28"/>
          <w:szCs w:val="28"/>
          <w:lang w:val="en-US"/>
        </w:rPr>
        <w:t>Open femorotibial dislocation with fracture of the patella and tibia</w:t>
      </w:r>
    </w:p>
    <w:p w14:paraId="2179525B" w14:textId="77777777" w:rsidR="0072014D" w:rsidRPr="0072014D" w:rsidRDefault="0072014D" w:rsidP="0072014D">
      <w:pPr>
        <w:spacing w:after="0" w:line="360" w:lineRule="auto"/>
        <w:rPr>
          <w:rFonts w:ascii="Times New Roman" w:hAnsi="Times New Roman" w:cs="Times New Roman"/>
          <w:sz w:val="24"/>
          <w:szCs w:val="24"/>
          <w:lang w:val="en-US"/>
        </w:rPr>
      </w:pPr>
    </w:p>
    <w:p w14:paraId="46593511" w14:textId="77777777" w:rsidR="0072014D" w:rsidRPr="0072014D" w:rsidRDefault="0072014D" w:rsidP="0072014D">
      <w:pPr>
        <w:spacing w:after="0" w:line="360" w:lineRule="auto"/>
        <w:rPr>
          <w:rStyle w:val="Hipervnculo"/>
          <w:rFonts w:ascii="Times New Roman" w:hAnsi="Times New Roman" w:cs="Times New Roman"/>
          <w:sz w:val="24"/>
          <w:szCs w:val="24"/>
        </w:rPr>
      </w:pPr>
      <w:r w:rsidRPr="0072014D">
        <w:rPr>
          <w:rFonts w:ascii="Times New Roman" w:hAnsi="Times New Roman" w:cs="Times New Roman"/>
          <w:sz w:val="24"/>
          <w:szCs w:val="24"/>
        </w:rPr>
        <w:t>José Luis Nápoles Mengana</w:t>
      </w:r>
      <w:r w:rsidRPr="0072014D">
        <w:rPr>
          <w:rFonts w:ascii="Times New Roman" w:hAnsi="Times New Roman" w:cs="Times New Roman"/>
          <w:sz w:val="24"/>
          <w:szCs w:val="24"/>
          <w:vertAlign w:val="superscript"/>
        </w:rPr>
        <w:t>1</w:t>
      </w:r>
      <w:r w:rsidRPr="0072014D">
        <w:rPr>
          <w:rFonts w:ascii="Times New Roman" w:hAnsi="Times New Roman" w:cs="Times New Roman"/>
          <w:sz w:val="24"/>
          <w:szCs w:val="24"/>
        </w:rPr>
        <w:t>*</w:t>
      </w:r>
      <w:r w:rsidRPr="0072014D">
        <w:rPr>
          <w:rFonts w:ascii="Times New Roman" w:hAnsi="Times New Roman" w:cs="Times New Roman"/>
          <w:sz w:val="24"/>
          <w:szCs w:val="24"/>
          <w:vertAlign w:val="superscript"/>
        </w:rPr>
        <w:t xml:space="preserve"> </w:t>
      </w:r>
      <w:hyperlink r:id="rId6" w:history="1">
        <w:r w:rsidRPr="0072014D">
          <w:rPr>
            <w:rStyle w:val="Hipervnculo"/>
            <w:rFonts w:ascii="Times New Roman" w:hAnsi="Times New Roman" w:cs="Times New Roman"/>
            <w:sz w:val="24"/>
            <w:szCs w:val="24"/>
          </w:rPr>
          <w:t>https://orcid.org/0000-0003-0198-2168</w:t>
        </w:r>
      </w:hyperlink>
      <w:r w:rsidRPr="0072014D">
        <w:rPr>
          <w:rFonts w:ascii="Times New Roman" w:hAnsi="Times New Roman" w:cs="Times New Roman"/>
          <w:sz w:val="24"/>
          <w:szCs w:val="24"/>
        </w:rPr>
        <w:t xml:space="preserve"> </w:t>
      </w:r>
    </w:p>
    <w:p w14:paraId="67559601" w14:textId="77777777" w:rsidR="0072014D" w:rsidRPr="0072014D" w:rsidRDefault="0072014D" w:rsidP="0072014D">
      <w:pPr>
        <w:spacing w:after="0" w:line="360" w:lineRule="auto"/>
        <w:rPr>
          <w:rStyle w:val="Hipervnculo"/>
          <w:rFonts w:ascii="Times New Roman" w:hAnsi="Times New Roman" w:cs="Times New Roman"/>
          <w:sz w:val="24"/>
          <w:szCs w:val="24"/>
        </w:rPr>
      </w:pPr>
      <w:r w:rsidRPr="0072014D">
        <w:rPr>
          <w:rStyle w:val="Hipervnculo"/>
          <w:rFonts w:ascii="Times New Roman" w:hAnsi="Times New Roman" w:cs="Times New Roman"/>
          <w:color w:val="auto"/>
          <w:sz w:val="24"/>
          <w:szCs w:val="24"/>
          <w:u w:val="none"/>
        </w:rPr>
        <w:t>Adonis Alberto Lagar Ávila</w:t>
      </w:r>
      <w:r w:rsidRPr="0072014D">
        <w:rPr>
          <w:rStyle w:val="Hipervnculo"/>
          <w:rFonts w:ascii="Times New Roman" w:hAnsi="Times New Roman" w:cs="Times New Roman"/>
          <w:color w:val="auto"/>
          <w:sz w:val="24"/>
          <w:szCs w:val="24"/>
          <w:u w:val="none"/>
          <w:vertAlign w:val="superscript"/>
        </w:rPr>
        <w:t xml:space="preserve">1 </w:t>
      </w:r>
      <w:hyperlink r:id="rId7" w:history="1">
        <w:r w:rsidRPr="0072014D">
          <w:rPr>
            <w:rStyle w:val="Hipervnculo"/>
            <w:rFonts w:ascii="Times New Roman" w:hAnsi="Times New Roman" w:cs="Times New Roman"/>
            <w:sz w:val="24"/>
            <w:szCs w:val="24"/>
          </w:rPr>
          <w:t>https://orcid.org/0000-0001-5744-7778</w:t>
        </w:r>
      </w:hyperlink>
    </w:p>
    <w:p w14:paraId="5968937B"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Leonardo Ramos Hechavarría</w:t>
      </w:r>
      <w:r w:rsidRPr="0072014D">
        <w:rPr>
          <w:rFonts w:ascii="Times New Roman" w:hAnsi="Times New Roman" w:cs="Times New Roman"/>
          <w:sz w:val="24"/>
          <w:szCs w:val="24"/>
          <w:vertAlign w:val="superscript"/>
        </w:rPr>
        <w:t xml:space="preserve">1 </w:t>
      </w:r>
      <w:hyperlink r:id="rId8" w:history="1">
        <w:r w:rsidRPr="0072014D">
          <w:rPr>
            <w:rStyle w:val="Hipervnculo"/>
            <w:rFonts w:ascii="Times New Roman" w:hAnsi="Times New Roman" w:cs="Times New Roman"/>
            <w:sz w:val="24"/>
            <w:szCs w:val="24"/>
          </w:rPr>
          <w:t>https://orcid.org/0000-0003-3492-8619</w:t>
        </w:r>
      </w:hyperlink>
    </w:p>
    <w:p w14:paraId="1BEEBDD6" w14:textId="77777777" w:rsidR="0072014D" w:rsidRPr="0072014D" w:rsidRDefault="0072014D" w:rsidP="0072014D">
      <w:pPr>
        <w:spacing w:after="0" w:line="360" w:lineRule="auto"/>
        <w:rPr>
          <w:rFonts w:ascii="Times New Roman" w:hAnsi="Times New Roman" w:cs="Times New Roman"/>
          <w:sz w:val="24"/>
          <w:szCs w:val="24"/>
          <w:vertAlign w:val="superscript"/>
        </w:rPr>
      </w:pPr>
    </w:p>
    <w:p w14:paraId="30F580A7"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vertAlign w:val="superscript"/>
        </w:rPr>
        <w:t>1</w:t>
      </w:r>
      <w:r w:rsidRPr="0072014D">
        <w:rPr>
          <w:rFonts w:ascii="Times New Roman" w:hAnsi="Times New Roman" w:cs="Times New Roman"/>
          <w:sz w:val="24"/>
          <w:szCs w:val="24"/>
        </w:rPr>
        <w:t xml:space="preserve">Hospital Militar “Dr. Joaquín Castillo </w:t>
      </w:r>
      <w:proofErr w:type="spellStart"/>
      <w:r w:rsidRPr="0072014D">
        <w:rPr>
          <w:rFonts w:ascii="Times New Roman" w:hAnsi="Times New Roman" w:cs="Times New Roman"/>
          <w:sz w:val="24"/>
          <w:szCs w:val="24"/>
        </w:rPr>
        <w:t>Duany</w:t>
      </w:r>
      <w:proofErr w:type="spellEnd"/>
      <w:r w:rsidRPr="0072014D">
        <w:rPr>
          <w:rFonts w:ascii="Times New Roman" w:hAnsi="Times New Roman" w:cs="Times New Roman"/>
          <w:sz w:val="24"/>
          <w:szCs w:val="24"/>
        </w:rPr>
        <w:t>”. Santiago de Cuba, Cuba.</w:t>
      </w:r>
    </w:p>
    <w:p w14:paraId="55554C33" w14:textId="77777777" w:rsidR="0072014D" w:rsidRPr="0072014D" w:rsidRDefault="0072014D" w:rsidP="0072014D">
      <w:pPr>
        <w:pStyle w:val="Default"/>
        <w:spacing w:line="360" w:lineRule="auto"/>
        <w:rPr>
          <w:color w:val="auto"/>
          <w:lang w:val="es-ES_tradnl"/>
        </w:rPr>
      </w:pPr>
    </w:p>
    <w:p w14:paraId="44592FF2" w14:textId="77777777" w:rsidR="0072014D" w:rsidRPr="0072014D" w:rsidRDefault="0072014D" w:rsidP="0072014D">
      <w:pPr>
        <w:pStyle w:val="Default"/>
        <w:spacing w:line="360" w:lineRule="auto"/>
      </w:pPr>
      <w:r w:rsidRPr="0072014D">
        <w:rPr>
          <w:color w:val="auto"/>
        </w:rPr>
        <w:t xml:space="preserve">*Autor para la correspondencia. Correo electrónico: </w:t>
      </w:r>
      <w:hyperlink r:id="rId9" w:history="1">
        <w:r w:rsidRPr="0072014D">
          <w:rPr>
            <w:rStyle w:val="Hipervnculo"/>
          </w:rPr>
          <w:t>jluisnapoles@infomed.sld.cu</w:t>
        </w:r>
      </w:hyperlink>
    </w:p>
    <w:p w14:paraId="2C913493" w14:textId="77777777" w:rsidR="0072014D" w:rsidRPr="0072014D" w:rsidRDefault="0072014D" w:rsidP="0072014D">
      <w:pPr>
        <w:pStyle w:val="Default"/>
        <w:spacing w:line="360" w:lineRule="auto"/>
      </w:pPr>
    </w:p>
    <w:p w14:paraId="599AC730" w14:textId="77777777" w:rsidR="0072014D" w:rsidRPr="0072014D" w:rsidRDefault="0072014D" w:rsidP="0072014D">
      <w:pPr>
        <w:spacing w:after="0" w:line="360" w:lineRule="auto"/>
        <w:rPr>
          <w:rFonts w:ascii="Times New Roman" w:hAnsi="Times New Roman" w:cs="Times New Roman"/>
          <w:b/>
          <w:sz w:val="24"/>
          <w:szCs w:val="24"/>
        </w:rPr>
      </w:pPr>
      <w:r w:rsidRPr="0072014D">
        <w:rPr>
          <w:rFonts w:ascii="Times New Roman" w:hAnsi="Times New Roman" w:cs="Times New Roman"/>
          <w:b/>
          <w:sz w:val="24"/>
          <w:szCs w:val="24"/>
        </w:rPr>
        <w:t>RESUMEN</w:t>
      </w:r>
    </w:p>
    <w:p w14:paraId="21D869D6"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b/>
          <w:sz w:val="24"/>
          <w:szCs w:val="24"/>
          <w:lang w:val="es-ES_tradnl"/>
        </w:rPr>
        <w:t xml:space="preserve">Introducción: </w:t>
      </w:r>
      <w:r w:rsidRPr="0072014D">
        <w:rPr>
          <w:rFonts w:ascii="Times New Roman" w:hAnsi="Times New Roman" w:cs="Times New Roman"/>
          <w:sz w:val="24"/>
          <w:szCs w:val="24"/>
          <w:lang w:val="es-ES_tradnl"/>
        </w:rPr>
        <w:t>Las luxaciones de rodilla son poco frecuentes, lo que hace que su combinación abierta, con fracturas de rótula y del tercio superior de la tibia, sea rara y grave. Constituye una entidad causada por traumas de alta energía y se asocia a otras lesiones.</w:t>
      </w:r>
    </w:p>
    <w:p w14:paraId="0660F1B7"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b/>
          <w:sz w:val="24"/>
          <w:szCs w:val="24"/>
          <w:lang w:val="es-ES_tradnl"/>
        </w:rPr>
        <w:t xml:space="preserve">Objetivo: </w:t>
      </w:r>
      <w:r w:rsidRPr="0072014D">
        <w:rPr>
          <w:rFonts w:ascii="Times New Roman" w:hAnsi="Times New Roman" w:cs="Times New Roman"/>
          <w:sz w:val="24"/>
          <w:szCs w:val="24"/>
          <w:lang w:val="es-ES_tradnl"/>
        </w:rPr>
        <w:t xml:space="preserve">Presentar un caso raro y complejo de luxación femorotibial posterior abierta con fractura del polo inferior de la rótula y tercio superior de la tibia. </w:t>
      </w:r>
    </w:p>
    <w:p w14:paraId="5025AB15" w14:textId="77777777" w:rsidR="0072014D" w:rsidRPr="0072014D" w:rsidRDefault="0072014D" w:rsidP="0072014D">
      <w:pPr>
        <w:pStyle w:val="Sinespaciado"/>
        <w:spacing w:line="360" w:lineRule="auto"/>
        <w:jc w:val="both"/>
        <w:rPr>
          <w:rFonts w:ascii="Times New Roman" w:hAnsi="Times New Roman" w:cs="Times New Roman"/>
          <w:color w:val="FF0000"/>
          <w:sz w:val="24"/>
          <w:szCs w:val="24"/>
          <w:lang w:val="es-ES_tradnl"/>
        </w:rPr>
      </w:pPr>
      <w:r w:rsidRPr="0072014D">
        <w:rPr>
          <w:rFonts w:ascii="Times New Roman" w:hAnsi="Times New Roman" w:cs="Times New Roman"/>
          <w:b/>
          <w:sz w:val="24"/>
          <w:szCs w:val="24"/>
          <w:lang w:val="es-ES_tradnl"/>
        </w:rPr>
        <w:t xml:space="preserve">Caso clínico: </w:t>
      </w:r>
      <w:r w:rsidRPr="0072014D">
        <w:rPr>
          <w:rFonts w:ascii="Times New Roman" w:hAnsi="Times New Roman" w:cs="Times New Roman"/>
          <w:sz w:val="24"/>
          <w:szCs w:val="24"/>
          <w:lang w:val="es-ES_tradnl"/>
        </w:rPr>
        <w:t>Paciente masculino de 37 años de edad</w:t>
      </w:r>
      <w:r w:rsidRPr="0072014D">
        <w:rPr>
          <w:rFonts w:ascii="Times New Roman" w:hAnsi="Times New Roman" w:cs="Times New Roman"/>
          <w:color w:val="000000" w:themeColor="text1"/>
          <w:sz w:val="24"/>
          <w:szCs w:val="24"/>
          <w:lang w:val="es-ES_tradnl"/>
        </w:rPr>
        <w:t xml:space="preserve">, que </w:t>
      </w:r>
      <w:r w:rsidRPr="0072014D">
        <w:rPr>
          <w:rFonts w:ascii="Times New Roman" w:hAnsi="Times New Roman" w:cs="Times New Roman"/>
          <w:sz w:val="24"/>
          <w:szCs w:val="24"/>
          <w:lang w:val="es-ES_tradnl"/>
        </w:rPr>
        <w:t xml:space="preserve">ingresó en el servicio de ortopedia y traumatología, quien como consecuencia de un accidente de tránsito, presentó luxación femorotibial posterior con fractura abierta del polo inferior de la rótula y tercio superior de la tibia, grados III-B, en el inferior derecho. Fue intervenido quirúrgicamente de urgencia; se realizó amplio desbridamiento quirúrgico, reducción de la luxación, reparación primaria de las lesiones ligamentosas, </w:t>
      </w:r>
      <w:proofErr w:type="spellStart"/>
      <w:r w:rsidRPr="0072014D">
        <w:rPr>
          <w:rFonts w:ascii="Times New Roman" w:hAnsi="Times New Roman" w:cs="Times New Roman"/>
          <w:sz w:val="24"/>
          <w:szCs w:val="24"/>
          <w:lang w:val="es-ES_tradnl"/>
        </w:rPr>
        <w:t>patelectomía</w:t>
      </w:r>
      <w:proofErr w:type="spellEnd"/>
      <w:r w:rsidRPr="0072014D">
        <w:rPr>
          <w:rFonts w:ascii="Times New Roman" w:hAnsi="Times New Roman" w:cs="Times New Roman"/>
          <w:sz w:val="24"/>
          <w:szCs w:val="24"/>
          <w:lang w:val="es-ES_tradnl"/>
        </w:rPr>
        <w:t xml:space="preserve"> parcial, reparación del tendón rotuliano y fijación externa para la fractura del tercio superior de la tibia. El paciente evolucionó bien, sin infección de la herida quirúrgica y recuperación total </w:t>
      </w:r>
      <w:r w:rsidRPr="0072014D">
        <w:rPr>
          <w:rFonts w:ascii="Times New Roman" w:hAnsi="Times New Roman" w:cs="Times New Roman"/>
          <w:color w:val="000000" w:themeColor="text1"/>
          <w:sz w:val="24"/>
          <w:szCs w:val="24"/>
          <w:lang w:val="es-ES_tradnl"/>
        </w:rPr>
        <w:t>a los 4 meses.</w:t>
      </w:r>
    </w:p>
    <w:p w14:paraId="502127E9"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b/>
          <w:sz w:val="24"/>
          <w:szCs w:val="24"/>
          <w:lang w:val="es-ES_tradnl"/>
        </w:rPr>
        <w:t>Conclusiones</w:t>
      </w:r>
      <w:r w:rsidRPr="0072014D">
        <w:rPr>
          <w:rFonts w:ascii="Times New Roman" w:hAnsi="Times New Roman" w:cs="Times New Roman"/>
          <w:sz w:val="24"/>
          <w:szCs w:val="24"/>
          <w:lang w:val="es-ES_tradnl"/>
        </w:rPr>
        <w:t xml:space="preserve">: La combinación de luxación femorotibial posterior abierta, con fractura del polo inferior de la rótula y tercio superior de la tibia es rara y obedece a altas energías traumáticas, como los </w:t>
      </w:r>
      <w:r w:rsidRPr="0072014D">
        <w:rPr>
          <w:rFonts w:ascii="Times New Roman" w:hAnsi="Times New Roman" w:cs="Times New Roman"/>
          <w:sz w:val="24"/>
          <w:szCs w:val="24"/>
          <w:lang w:val="es-ES_tradnl"/>
        </w:rPr>
        <w:lastRenderedPageBreak/>
        <w:t xml:space="preserve">accidentes automovilísticos. La cirugía de urgencia y la profilaxis antimicrobiana, es el método eficaz para el tratamiento definitivo de esta lesión. </w:t>
      </w:r>
    </w:p>
    <w:p w14:paraId="2304E2F9"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b/>
          <w:sz w:val="24"/>
          <w:szCs w:val="24"/>
          <w:lang w:val="es-ES_tradnl"/>
        </w:rPr>
        <w:t>Palabras clave</w:t>
      </w:r>
      <w:r w:rsidRPr="0072014D">
        <w:rPr>
          <w:rFonts w:ascii="Times New Roman" w:hAnsi="Times New Roman" w:cs="Times New Roman"/>
          <w:sz w:val="24"/>
          <w:szCs w:val="24"/>
          <w:lang w:val="es-ES_tradnl"/>
        </w:rPr>
        <w:t>: luxación femorotibial; fractura de rótula; fractura de tibia.</w:t>
      </w:r>
    </w:p>
    <w:p w14:paraId="0D842F52" w14:textId="77777777" w:rsidR="0072014D" w:rsidRPr="0072014D" w:rsidRDefault="0072014D" w:rsidP="0072014D">
      <w:pPr>
        <w:pStyle w:val="Sinespaciado"/>
        <w:spacing w:line="360" w:lineRule="auto"/>
        <w:jc w:val="both"/>
        <w:rPr>
          <w:rFonts w:ascii="Times New Roman" w:hAnsi="Times New Roman" w:cs="Times New Roman"/>
          <w:sz w:val="24"/>
          <w:szCs w:val="24"/>
        </w:rPr>
      </w:pPr>
      <w:r w:rsidRPr="0072014D">
        <w:rPr>
          <w:rFonts w:ascii="Times New Roman" w:hAnsi="Times New Roman" w:cs="Times New Roman"/>
          <w:sz w:val="24"/>
          <w:szCs w:val="24"/>
        </w:rPr>
        <w:t xml:space="preserve"> </w:t>
      </w:r>
    </w:p>
    <w:p w14:paraId="23180D7F" w14:textId="77777777" w:rsidR="0072014D" w:rsidRPr="0072014D" w:rsidRDefault="0072014D" w:rsidP="0072014D">
      <w:pPr>
        <w:pStyle w:val="Sinespaciado"/>
        <w:spacing w:line="360" w:lineRule="auto"/>
        <w:jc w:val="both"/>
        <w:rPr>
          <w:rFonts w:ascii="Times New Roman" w:hAnsi="Times New Roman" w:cs="Times New Roman"/>
          <w:b/>
          <w:sz w:val="24"/>
          <w:szCs w:val="24"/>
          <w:highlight w:val="yellow"/>
          <w:lang w:val="en-US"/>
        </w:rPr>
      </w:pPr>
      <w:r w:rsidRPr="0072014D">
        <w:rPr>
          <w:rFonts w:ascii="Times New Roman" w:hAnsi="Times New Roman" w:cs="Times New Roman"/>
          <w:b/>
          <w:sz w:val="24"/>
          <w:szCs w:val="24"/>
          <w:lang w:val="en-US"/>
        </w:rPr>
        <w:t xml:space="preserve">ABSTRACT </w:t>
      </w:r>
    </w:p>
    <w:p w14:paraId="6CCA7728" w14:textId="77777777" w:rsidR="0072014D" w:rsidRPr="0072014D" w:rsidRDefault="0072014D" w:rsidP="0072014D">
      <w:pPr>
        <w:pStyle w:val="Sinespaciado"/>
        <w:spacing w:line="360" w:lineRule="auto"/>
        <w:jc w:val="both"/>
        <w:rPr>
          <w:rFonts w:ascii="Times New Roman" w:hAnsi="Times New Roman" w:cs="Times New Roman"/>
          <w:bCs/>
          <w:sz w:val="24"/>
          <w:szCs w:val="24"/>
          <w:lang w:val="en"/>
        </w:rPr>
      </w:pPr>
      <w:r w:rsidRPr="0072014D">
        <w:rPr>
          <w:rFonts w:ascii="Times New Roman" w:hAnsi="Times New Roman" w:cs="Times New Roman"/>
          <w:b/>
          <w:sz w:val="24"/>
          <w:szCs w:val="24"/>
          <w:lang w:val="en"/>
        </w:rPr>
        <w:t>Introduction:</w:t>
      </w:r>
      <w:r w:rsidRPr="0072014D">
        <w:rPr>
          <w:rFonts w:ascii="Times New Roman" w:hAnsi="Times New Roman" w:cs="Times New Roman"/>
          <w:bCs/>
          <w:sz w:val="24"/>
          <w:szCs w:val="24"/>
          <w:lang w:val="en"/>
        </w:rPr>
        <w:t xml:space="preserve"> Knee dislocations are infrequent, which makes the combination with open fractures of the patella and the upper third of the tibia, rare and serious. It is an entity caused by high-energy trauma and is associated with other injuries.</w:t>
      </w:r>
    </w:p>
    <w:p w14:paraId="2E4A3850" w14:textId="77777777" w:rsidR="0072014D" w:rsidRPr="0072014D" w:rsidRDefault="0072014D" w:rsidP="0072014D">
      <w:pPr>
        <w:pStyle w:val="Sinespaciado"/>
        <w:spacing w:line="360" w:lineRule="auto"/>
        <w:jc w:val="both"/>
        <w:rPr>
          <w:rFonts w:ascii="Times New Roman" w:hAnsi="Times New Roman" w:cs="Times New Roman"/>
          <w:bCs/>
          <w:sz w:val="24"/>
          <w:szCs w:val="24"/>
          <w:lang w:val="en"/>
        </w:rPr>
      </w:pPr>
      <w:r w:rsidRPr="0072014D">
        <w:rPr>
          <w:rFonts w:ascii="Times New Roman" w:hAnsi="Times New Roman" w:cs="Times New Roman"/>
          <w:b/>
          <w:sz w:val="24"/>
          <w:szCs w:val="24"/>
          <w:lang w:val="en"/>
        </w:rPr>
        <w:t>Objective:</w:t>
      </w:r>
      <w:r w:rsidRPr="0072014D">
        <w:rPr>
          <w:rFonts w:ascii="Times New Roman" w:hAnsi="Times New Roman" w:cs="Times New Roman"/>
          <w:bCs/>
          <w:sz w:val="24"/>
          <w:szCs w:val="24"/>
          <w:lang w:val="en"/>
        </w:rPr>
        <w:t xml:space="preserve"> To present a rare and complex case of open posterior femorotibial dislocation with fracture of the lower pole of the patella and the upper third of the tibia.</w:t>
      </w:r>
    </w:p>
    <w:p w14:paraId="705F156C" w14:textId="77777777" w:rsidR="0072014D" w:rsidRPr="0072014D" w:rsidRDefault="0072014D" w:rsidP="0072014D">
      <w:pPr>
        <w:pStyle w:val="Sinespaciado"/>
        <w:spacing w:line="360" w:lineRule="auto"/>
        <w:jc w:val="both"/>
        <w:rPr>
          <w:rFonts w:ascii="Times New Roman" w:hAnsi="Times New Roman" w:cs="Times New Roman"/>
          <w:bCs/>
          <w:sz w:val="24"/>
          <w:szCs w:val="24"/>
          <w:lang w:val="en"/>
        </w:rPr>
      </w:pPr>
      <w:r w:rsidRPr="0072014D">
        <w:rPr>
          <w:rFonts w:ascii="Times New Roman" w:hAnsi="Times New Roman" w:cs="Times New Roman"/>
          <w:b/>
          <w:sz w:val="24"/>
          <w:szCs w:val="24"/>
          <w:lang w:val="en"/>
        </w:rPr>
        <w:t>Clinical case:</w:t>
      </w:r>
      <w:r w:rsidRPr="0072014D">
        <w:rPr>
          <w:rFonts w:ascii="Times New Roman" w:hAnsi="Times New Roman" w:cs="Times New Roman"/>
          <w:bCs/>
          <w:sz w:val="24"/>
          <w:szCs w:val="24"/>
          <w:lang w:val="en"/>
        </w:rPr>
        <w:t xml:space="preserve"> A 37-year-old male patient, who was admitted to the orthopedic and trauma service, who, as a consequence of a traffic accident, presented posterior femorotibial dislocation with an open fracture of the lower pole of the patella and upper third of the tibia. grades III-B, in the lower right. He underwent emergency surgery; extensive surgical debridement, dislocation reduction, primary repair of ligamentous injuries, partial patellectomy, patellar tendon repair, and external fixation were performed for the fracture of the upper third of the tibia. The patient evolved well, without infection of the surgical wound and full recovery at 4 months.</w:t>
      </w:r>
    </w:p>
    <w:p w14:paraId="0AC5D190" w14:textId="77777777" w:rsidR="0072014D" w:rsidRPr="0072014D" w:rsidRDefault="0072014D" w:rsidP="0072014D">
      <w:pPr>
        <w:pStyle w:val="Sinespaciado"/>
        <w:spacing w:line="360" w:lineRule="auto"/>
        <w:jc w:val="both"/>
        <w:rPr>
          <w:rFonts w:ascii="Times New Roman" w:hAnsi="Times New Roman" w:cs="Times New Roman"/>
          <w:bCs/>
          <w:sz w:val="24"/>
          <w:szCs w:val="24"/>
          <w:lang w:val="en"/>
        </w:rPr>
      </w:pPr>
      <w:r w:rsidRPr="0072014D">
        <w:rPr>
          <w:rFonts w:ascii="Times New Roman" w:hAnsi="Times New Roman" w:cs="Times New Roman"/>
          <w:b/>
          <w:sz w:val="24"/>
          <w:szCs w:val="24"/>
          <w:lang w:val="en"/>
        </w:rPr>
        <w:t xml:space="preserve">Conclusions: </w:t>
      </w:r>
      <w:r w:rsidRPr="0072014D">
        <w:rPr>
          <w:rFonts w:ascii="Times New Roman" w:hAnsi="Times New Roman" w:cs="Times New Roman"/>
          <w:bCs/>
          <w:sz w:val="24"/>
          <w:szCs w:val="24"/>
          <w:lang w:val="en"/>
        </w:rPr>
        <w:t>The combination of open posterior femorotibial dislocation, with fracture of the lower pole of the patella and upper third of the tibia is rare and is due to high traumatic energies, such as motor vehicle accidents. Emergency surgery and antimicrobial prophylaxis is the effective method for the definitive treatment of this lesion.</w:t>
      </w:r>
    </w:p>
    <w:p w14:paraId="62054891" w14:textId="77777777" w:rsidR="0072014D" w:rsidRPr="0072014D" w:rsidRDefault="0072014D" w:rsidP="0072014D">
      <w:pPr>
        <w:pStyle w:val="Sinespaciado"/>
        <w:spacing w:line="360" w:lineRule="auto"/>
        <w:jc w:val="both"/>
        <w:rPr>
          <w:rFonts w:ascii="Times New Roman" w:hAnsi="Times New Roman" w:cs="Times New Roman"/>
          <w:sz w:val="24"/>
          <w:szCs w:val="24"/>
          <w:lang w:val="en"/>
        </w:rPr>
      </w:pPr>
      <w:r w:rsidRPr="0072014D">
        <w:rPr>
          <w:rFonts w:ascii="Times New Roman" w:hAnsi="Times New Roman" w:cs="Times New Roman"/>
          <w:b/>
          <w:sz w:val="24"/>
          <w:szCs w:val="24"/>
          <w:lang w:val="en"/>
        </w:rPr>
        <w:t xml:space="preserve">Keywords: </w:t>
      </w:r>
      <w:r w:rsidRPr="0072014D">
        <w:rPr>
          <w:rFonts w:ascii="Times New Roman" w:hAnsi="Times New Roman" w:cs="Times New Roman"/>
          <w:sz w:val="24"/>
          <w:szCs w:val="24"/>
          <w:lang w:val="en"/>
        </w:rPr>
        <w:t>femorotibial dislocation; patella fracture; tibial fracture.</w:t>
      </w:r>
    </w:p>
    <w:p w14:paraId="7FBDD8E9" w14:textId="77777777" w:rsidR="0072014D" w:rsidRPr="0072014D" w:rsidRDefault="0072014D" w:rsidP="0072014D">
      <w:pPr>
        <w:pStyle w:val="Sinespaciado"/>
        <w:spacing w:line="360" w:lineRule="auto"/>
        <w:jc w:val="both"/>
        <w:rPr>
          <w:rFonts w:ascii="Times New Roman" w:hAnsi="Times New Roman" w:cs="Times New Roman"/>
          <w:sz w:val="24"/>
          <w:szCs w:val="24"/>
          <w:lang w:val="en"/>
        </w:rPr>
      </w:pPr>
    </w:p>
    <w:p w14:paraId="3137549D" w14:textId="77777777" w:rsidR="0072014D" w:rsidRPr="0072014D" w:rsidRDefault="0072014D" w:rsidP="0072014D">
      <w:pPr>
        <w:pStyle w:val="Sinespaciado"/>
        <w:spacing w:line="360" w:lineRule="auto"/>
        <w:jc w:val="both"/>
        <w:rPr>
          <w:rFonts w:ascii="Times New Roman" w:hAnsi="Times New Roman" w:cs="Times New Roman"/>
          <w:sz w:val="24"/>
          <w:szCs w:val="24"/>
          <w:lang w:val="en"/>
        </w:rPr>
      </w:pPr>
    </w:p>
    <w:p w14:paraId="32B5C927" w14:textId="77777777" w:rsidR="0072014D" w:rsidRPr="0072014D" w:rsidRDefault="0072014D" w:rsidP="0072014D">
      <w:pPr>
        <w:pStyle w:val="Sinespaciado"/>
        <w:spacing w:line="360" w:lineRule="auto"/>
        <w:jc w:val="both"/>
        <w:rPr>
          <w:rFonts w:ascii="Times New Roman" w:hAnsi="Times New Roman" w:cs="Times New Roman"/>
          <w:sz w:val="24"/>
          <w:szCs w:val="24"/>
        </w:rPr>
      </w:pPr>
      <w:r w:rsidRPr="0072014D">
        <w:rPr>
          <w:rFonts w:ascii="Times New Roman" w:hAnsi="Times New Roman" w:cs="Times New Roman"/>
          <w:sz w:val="24"/>
          <w:szCs w:val="24"/>
        </w:rPr>
        <w:t>Recibido: 15/04/2021</w:t>
      </w:r>
    </w:p>
    <w:p w14:paraId="02F2A6E7" w14:textId="77777777" w:rsidR="0072014D" w:rsidRPr="0072014D" w:rsidRDefault="0072014D" w:rsidP="0072014D">
      <w:pPr>
        <w:pStyle w:val="Sinespaciado"/>
        <w:spacing w:line="360" w:lineRule="auto"/>
        <w:jc w:val="both"/>
        <w:rPr>
          <w:rFonts w:ascii="Times New Roman" w:hAnsi="Times New Roman" w:cs="Times New Roman"/>
          <w:sz w:val="24"/>
          <w:szCs w:val="24"/>
        </w:rPr>
      </w:pPr>
      <w:r w:rsidRPr="0072014D">
        <w:rPr>
          <w:rFonts w:ascii="Times New Roman" w:hAnsi="Times New Roman" w:cs="Times New Roman"/>
          <w:sz w:val="24"/>
          <w:szCs w:val="24"/>
        </w:rPr>
        <w:t>Aprobado: 18/07/2021</w:t>
      </w:r>
    </w:p>
    <w:p w14:paraId="31F99534" w14:textId="77777777" w:rsidR="0072014D" w:rsidRDefault="0072014D" w:rsidP="0072014D">
      <w:pPr>
        <w:pStyle w:val="Sinespaciado"/>
        <w:spacing w:line="360" w:lineRule="auto"/>
        <w:jc w:val="center"/>
        <w:rPr>
          <w:rFonts w:ascii="Times New Roman" w:hAnsi="Times New Roman" w:cs="Times New Roman"/>
          <w:b/>
          <w:sz w:val="24"/>
          <w:szCs w:val="24"/>
          <w:lang w:val="es-ES_tradnl"/>
        </w:rPr>
      </w:pPr>
    </w:p>
    <w:p w14:paraId="4EDDC8F4"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2D731A0D"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33BB1D4B" w14:textId="77777777" w:rsidR="0072014D" w:rsidRPr="0072014D" w:rsidRDefault="0072014D" w:rsidP="0072014D">
      <w:pPr>
        <w:pStyle w:val="Sinespaciado"/>
        <w:spacing w:line="360" w:lineRule="auto"/>
        <w:jc w:val="center"/>
        <w:rPr>
          <w:rFonts w:ascii="Times New Roman" w:hAnsi="Times New Roman" w:cs="Times New Roman"/>
          <w:b/>
          <w:sz w:val="32"/>
          <w:szCs w:val="32"/>
          <w:lang w:val="es-ES_tradnl"/>
        </w:rPr>
      </w:pPr>
      <w:r w:rsidRPr="0072014D">
        <w:rPr>
          <w:rFonts w:ascii="Times New Roman" w:hAnsi="Times New Roman" w:cs="Times New Roman"/>
          <w:b/>
          <w:sz w:val="32"/>
          <w:szCs w:val="32"/>
          <w:lang w:val="es-ES_tradnl"/>
        </w:rPr>
        <w:lastRenderedPageBreak/>
        <w:t>INTRODUCCIÓN</w:t>
      </w:r>
    </w:p>
    <w:p w14:paraId="2C5FA568"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La luxación femorotibial se ha considerado una lesión </w:t>
      </w:r>
      <w:proofErr w:type="gramStart"/>
      <w:r w:rsidRPr="0072014D">
        <w:rPr>
          <w:rFonts w:ascii="Times New Roman" w:hAnsi="Times New Roman" w:cs="Times New Roman"/>
          <w:sz w:val="24"/>
          <w:szCs w:val="24"/>
          <w:lang w:val="es-ES_tradnl"/>
        </w:rPr>
        <w:t>rara.</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1,2,3)</w:t>
      </w:r>
      <w:r w:rsidRPr="0072014D">
        <w:rPr>
          <w:rFonts w:ascii="Times New Roman" w:hAnsi="Times New Roman" w:cs="Times New Roman"/>
          <w:sz w:val="24"/>
          <w:szCs w:val="24"/>
          <w:lang w:val="es-ES_tradnl"/>
        </w:rPr>
        <w:t xml:space="preserve"> En </w:t>
      </w:r>
      <w:r w:rsidRPr="0072014D">
        <w:rPr>
          <w:rFonts w:ascii="Times New Roman" w:hAnsi="Times New Roman" w:cs="Times New Roman"/>
          <w:i/>
          <w:sz w:val="24"/>
          <w:szCs w:val="24"/>
          <w:lang w:val="es-ES_tradnl"/>
        </w:rPr>
        <w:t xml:space="preserve">Los </w:t>
      </w:r>
      <w:proofErr w:type="spellStart"/>
      <w:r w:rsidRPr="0072014D">
        <w:rPr>
          <w:rFonts w:ascii="Times New Roman" w:hAnsi="Times New Roman" w:cs="Times New Roman"/>
          <w:i/>
          <w:sz w:val="24"/>
          <w:szCs w:val="24"/>
          <w:lang w:val="es-ES_tradnl"/>
        </w:rPr>
        <w:t>Angeles</w:t>
      </w:r>
      <w:proofErr w:type="spellEnd"/>
      <w:r w:rsidRPr="0072014D">
        <w:rPr>
          <w:rFonts w:ascii="Times New Roman" w:hAnsi="Times New Roman" w:cs="Times New Roman"/>
          <w:i/>
          <w:sz w:val="24"/>
          <w:szCs w:val="24"/>
          <w:lang w:val="es-ES_tradnl"/>
        </w:rPr>
        <w:t xml:space="preserve"> County Hospital,</w:t>
      </w:r>
      <w:r w:rsidRPr="0072014D">
        <w:rPr>
          <w:rFonts w:ascii="Times New Roman" w:hAnsi="Times New Roman" w:cs="Times New Roman"/>
          <w:sz w:val="24"/>
          <w:szCs w:val="24"/>
          <w:lang w:val="es-ES_tradnl"/>
        </w:rPr>
        <w:t xml:space="preserve"> los doctores </w:t>
      </w:r>
      <w:r w:rsidRPr="0072014D">
        <w:rPr>
          <w:rFonts w:ascii="Times New Roman" w:hAnsi="Times New Roman" w:cs="Times New Roman"/>
          <w:i/>
          <w:sz w:val="24"/>
          <w:szCs w:val="24"/>
          <w:lang w:val="es-ES_tradnl"/>
        </w:rPr>
        <w:t xml:space="preserve">Meyers </w:t>
      </w:r>
      <w:r w:rsidRPr="0072014D">
        <w:rPr>
          <w:rFonts w:ascii="Times New Roman" w:hAnsi="Times New Roman" w:cs="Times New Roman"/>
          <w:iCs/>
          <w:sz w:val="24"/>
          <w:szCs w:val="24"/>
          <w:lang w:val="es-ES_tradnl"/>
        </w:rPr>
        <w:t>y</w:t>
      </w:r>
      <w:r w:rsidRPr="0072014D">
        <w:rPr>
          <w:rFonts w:ascii="Times New Roman" w:hAnsi="Times New Roman" w:cs="Times New Roman"/>
          <w:i/>
          <w:sz w:val="24"/>
          <w:szCs w:val="24"/>
          <w:lang w:val="es-ES_tradnl"/>
        </w:rPr>
        <w:t xml:space="preserve"> Harvey</w:t>
      </w:r>
      <w:r w:rsidRPr="0072014D">
        <w:rPr>
          <w:rFonts w:ascii="Times New Roman" w:hAnsi="Times New Roman" w:cs="Times New Roman"/>
          <w:iCs/>
          <w:sz w:val="24"/>
          <w:szCs w:val="24"/>
          <w:lang w:val="es-ES_tradnl"/>
        </w:rPr>
        <w:t>,</w:t>
      </w:r>
      <w:r w:rsidRPr="0072014D">
        <w:rPr>
          <w:rFonts w:ascii="Times New Roman" w:hAnsi="Times New Roman" w:cs="Times New Roman"/>
          <w:sz w:val="24"/>
          <w:szCs w:val="24"/>
          <w:vertAlign w:val="superscript"/>
          <w:lang w:val="es-ES_tradnl"/>
        </w:rPr>
        <w:t>(1,2)</w:t>
      </w:r>
      <w:r w:rsidRPr="0072014D">
        <w:rPr>
          <w:rFonts w:ascii="Times New Roman" w:hAnsi="Times New Roman" w:cs="Times New Roman"/>
          <w:sz w:val="24"/>
          <w:szCs w:val="24"/>
          <w:lang w:val="es-ES_tradnl"/>
        </w:rPr>
        <w:t xml:space="preserve"> durante 10 años, solo registraron 53 luxaciones de rodilla. Señalaron en 1971, </w:t>
      </w:r>
      <w:r w:rsidRPr="0072014D">
        <w:rPr>
          <w:rFonts w:ascii="Times New Roman" w:hAnsi="Times New Roman" w:cs="Times New Roman"/>
          <w:iCs/>
          <w:sz w:val="24"/>
          <w:szCs w:val="24"/>
          <w:lang w:val="es-ES_tradnl"/>
        </w:rPr>
        <w:t>“no es probable que un médico solo trate más de unas pocas durante toda su vida de práctica”.</w:t>
      </w:r>
      <w:r w:rsidRPr="0072014D">
        <w:rPr>
          <w:rFonts w:ascii="Times New Roman" w:hAnsi="Times New Roman" w:cs="Times New Roman"/>
          <w:i/>
          <w:sz w:val="24"/>
          <w:szCs w:val="24"/>
          <w:lang w:val="es-ES_tradnl"/>
        </w:rPr>
        <w:t xml:space="preserve"> </w:t>
      </w:r>
      <w:r w:rsidRPr="0072014D">
        <w:rPr>
          <w:rFonts w:ascii="Times New Roman" w:hAnsi="Times New Roman" w:cs="Times New Roman"/>
          <w:sz w:val="24"/>
          <w:szCs w:val="24"/>
          <w:lang w:val="es-ES_tradnl"/>
        </w:rPr>
        <w:t xml:space="preserve">En la clínica Mayo, solo se registraron 14 luxaciones durante una serie de 2 millones de </w:t>
      </w:r>
      <w:proofErr w:type="gramStart"/>
      <w:r w:rsidRPr="0072014D">
        <w:rPr>
          <w:rFonts w:ascii="Times New Roman" w:hAnsi="Times New Roman" w:cs="Times New Roman"/>
          <w:sz w:val="24"/>
          <w:szCs w:val="24"/>
          <w:lang w:val="es-ES_tradnl"/>
        </w:rPr>
        <w:t>admisiones.</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2,3,4)</w:t>
      </w:r>
    </w:p>
    <w:p w14:paraId="6C59547B"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Constituye una entidad causada por traumas de alta energía y se asocia generalmente a otras lesiones, debido a la naturaleza de su mecanismo de producción. Su presencia necesita de una evaluación detallada del enfermo, en la cual es importante la habilidad del traumatólogo, para detectar lesiones asociadas, algunas de las cuales pueden causar la muerte del </w:t>
      </w:r>
      <w:proofErr w:type="gramStart"/>
      <w:r w:rsidRPr="0072014D">
        <w:rPr>
          <w:rFonts w:ascii="Times New Roman" w:hAnsi="Times New Roman" w:cs="Times New Roman"/>
          <w:sz w:val="24"/>
          <w:szCs w:val="24"/>
          <w:lang w:val="es-ES_tradnl"/>
        </w:rPr>
        <w:t>paciente.</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5,6,7)</w:t>
      </w:r>
    </w:p>
    <w:p w14:paraId="3A0ADA63"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Sin embargo, no es representada en las estadísticas, ya que más del 60 % de las luxaciones de rodilla se reducen de manera espontánea en el lugar del accidente o durante el </w:t>
      </w:r>
      <w:proofErr w:type="gramStart"/>
      <w:r w:rsidRPr="0072014D">
        <w:rPr>
          <w:rFonts w:ascii="Times New Roman" w:hAnsi="Times New Roman" w:cs="Times New Roman"/>
          <w:sz w:val="24"/>
          <w:szCs w:val="24"/>
          <w:lang w:val="es-ES_tradnl"/>
        </w:rPr>
        <w:t>traslado.</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4,8,9)</w:t>
      </w:r>
    </w:p>
    <w:p w14:paraId="4D68CA6D"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El objetivo del estudio es presentar un caso de luxación femorotibial posterior abierta, con fractura del polo inferior de la rótula y tercio superior de la tibia. </w:t>
      </w:r>
    </w:p>
    <w:p w14:paraId="482A95DB"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24C3DFBB"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096AD55D" w14:textId="77777777" w:rsidR="0072014D" w:rsidRPr="0072014D" w:rsidRDefault="0072014D" w:rsidP="0072014D">
      <w:pPr>
        <w:pStyle w:val="Sinespaciado"/>
        <w:spacing w:line="360" w:lineRule="auto"/>
        <w:jc w:val="center"/>
        <w:rPr>
          <w:rFonts w:ascii="Times New Roman" w:hAnsi="Times New Roman" w:cs="Times New Roman"/>
          <w:b/>
          <w:sz w:val="32"/>
          <w:szCs w:val="32"/>
          <w:lang w:val="es-ES_tradnl"/>
        </w:rPr>
      </w:pPr>
      <w:r w:rsidRPr="0072014D">
        <w:rPr>
          <w:rFonts w:ascii="Times New Roman" w:hAnsi="Times New Roman" w:cs="Times New Roman"/>
          <w:b/>
          <w:sz w:val="32"/>
          <w:szCs w:val="32"/>
          <w:lang w:val="es-ES_tradnl"/>
        </w:rPr>
        <w:t>CASO CLÍNICO</w:t>
      </w:r>
    </w:p>
    <w:p w14:paraId="62880EC0"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Paciente masculino de 37 años de edad, que sufre accidente automovilístico, con imposibilidad para sostenerse de pie, sin pérdida del conocimiento. Presentó herida a nivel de la rodilla derecha, con abundantes pérdidas hemáticas, marcada deformidad y exposición articular y ósea.  Se traslada hacia el cuerpo de guardia del Hospital Militar “Dr. Joaquín Castillo </w:t>
      </w:r>
      <w:proofErr w:type="spellStart"/>
      <w:r w:rsidRPr="0072014D">
        <w:rPr>
          <w:rFonts w:ascii="Times New Roman" w:hAnsi="Times New Roman" w:cs="Times New Roman"/>
          <w:sz w:val="24"/>
          <w:szCs w:val="24"/>
          <w:lang w:val="es-ES_tradnl"/>
        </w:rPr>
        <w:t>Duany</w:t>
      </w:r>
      <w:proofErr w:type="spellEnd"/>
      <w:r w:rsidRPr="0072014D">
        <w:rPr>
          <w:rFonts w:ascii="Times New Roman" w:hAnsi="Times New Roman" w:cs="Times New Roman"/>
          <w:sz w:val="24"/>
          <w:szCs w:val="24"/>
          <w:lang w:val="es-ES_tradnl"/>
        </w:rPr>
        <w:t xml:space="preserve">”, donde se realiza evaluación inicial del politraumatizado y tratamiento del </w:t>
      </w:r>
      <w:r w:rsidRPr="0072014D">
        <w:rPr>
          <w:rFonts w:ascii="Times New Roman" w:hAnsi="Times New Roman" w:cs="Times New Roman"/>
          <w:i/>
          <w:sz w:val="24"/>
          <w:szCs w:val="24"/>
          <w:lang w:val="es-ES_tradnl"/>
        </w:rPr>
        <w:t>shock</w:t>
      </w:r>
      <w:r w:rsidRPr="0072014D">
        <w:rPr>
          <w:rFonts w:ascii="Times New Roman" w:hAnsi="Times New Roman" w:cs="Times New Roman"/>
          <w:sz w:val="24"/>
          <w:szCs w:val="24"/>
          <w:lang w:val="es-ES_tradnl"/>
        </w:rPr>
        <w:t xml:space="preserve"> hipovolémico, con inmovilización, control hemorrágico y reposición volumétrica.</w:t>
      </w:r>
      <w:r w:rsidRPr="0072014D">
        <w:rPr>
          <w:rFonts w:ascii="Times New Roman" w:hAnsi="Times New Roman" w:cs="Times New Roman"/>
          <w:sz w:val="24"/>
          <w:szCs w:val="24"/>
        </w:rPr>
        <w:t xml:space="preserve"> </w:t>
      </w:r>
    </w:p>
    <w:p w14:paraId="18AABDE9"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Al examen físico, se observa al paciente consciente y orientado, que responde al interrogatorio con lenguaje claro y coherente; tensión arterial en 100/70 mmHg, palidez cutáneo mucosa y pulso débil. No tiene lesiones traumáticas en tórax ni abdomen. Se observa en el miembro inferior derecho, una herida avulsiva de 15 cm de longitud, extendida desde 2 cm por encima del polo superior de la rótula, hasta 3 cm por debajo de la tuberosidad de la tibia (Fig. 1A). Se expone la luxación femorotibial, con los cóndilos femorales desplazados hacia adelante, avulsión del tendón rotuliano y fractura del polo </w:t>
      </w:r>
      <w:r w:rsidRPr="0072014D">
        <w:rPr>
          <w:rFonts w:ascii="Times New Roman" w:hAnsi="Times New Roman" w:cs="Times New Roman"/>
          <w:sz w:val="24"/>
          <w:szCs w:val="24"/>
          <w:lang w:val="es-ES_tradnl"/>
        </w:rPr>
        <w:lastRenderedPageBreak/>
        <w:t>inferior de la rótula. Hay destrucción de los ligamentos cruzados, anterior y posterior, y del ligamento colateral externo. Tiene fractura abierta de la tibia, grado III-B de Gustillo y Anderson. No presentó lesión neurovascular.</w:t>
      </w:r>
    </w:p>
    <w:p w14:paraId="6944452C" w14:textId="77777777" w:rsidR="0072014D" w:rsidRPr="0072014D" w:rsidRDefault="0072014D" w:rsidP="0072014D">
      <w:pPr>
        <w:pStyle w:val="Sinespaciado"/>
        <w:spacing w:line="360" w:lineRule="auto"/>
        <w:rPr>
          <w:rFonts w:ascii="Times New Roman" w:hAnsi="Times New Roman" w:cs="Times New Roman"/>
          <w:sz w:val="24"/>
          <w:szCs w:val="24"/>
          <w:lang w:val="es-ES_tradnl"/>
        </w:rPr>
      </w:pPr>
    </w:p>
    <w:p w14:paraId="7B1E854B" w14:textId="0FD11D0D" w:rsidR="0072014D" w:rsidRPr="0072014D" w:rsidRDefault="00FC70BF" w:rsidP="00FC70BF">
      <w:pPr>
        <w:pStyle w:val="Sinespaciado"/>
        <w:spacing w:line="360" w:lineRule="auto"/>
        <w:jc w:val="center"/>
        <w:rPr>
          <w:rFonts w:ascii="Times New Roman" w:hAnsi="Times New Roman" w:cs="Times New Roman"/>
          <w:color w:val="00B0F0"/>
          <w:sz w:val="24"/>
          <w:szCs w:val="24"/>
          <w:vertAlign w:val="superscript"/>
        </w:rPr>
      </w:pPr>
      <w:r>
        <w:rPr>
          <w:rFonts w:ascii="Times New Roman" w:hAnsi="Times New Roman" w:cs="Times New Roman"/>
          <w:noProof/>
          <w:sz w:val="24"/>
          <w:szCs w:val="24"/>
          <w:lang w:eastAsia="es-ES"/>
        </w:rPr>
        <w:drawing>
          <wp:inline distT="0" distB="0" distL="0" distR="0" wp14:anchorId="645424C8" wp14:editId="114B736A">
            <wp:extent cx="5086350" cy="2371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0">
                      <a:extLst>
                        <a:ext uri="{28A0092B-C50C-407E-A947-70E740481C1C}">
                          <a14:useLocalDpi xmlns:a14="http://schemas.microsoft.com/office/drawing/2010/main" val="0"/>
                        </a:ext>
                      </a:extLst>
                    </a:blip>
                    <a:stretch>
                      <a:fillRect/>
                    </a:stretch>
                  </pic:blipFill>
                  <pic:spPr>
                    <a:xfrm>
                      <a:off x="0" y="0"/>
                      <a:ext cx="5086350" cy="2371725"/>
                    </a:xfrm>
                    <a:prstGeom prst="rect">
                      <a:avLst/>
                    </a:prstGeom>
                  </pic:spPr>
                </pic:pic>
              </a:graphicData>
            </a:graphic>
          </wp:inline>
        </w:drawing>
      </w:r>
      <w:r w:rsidR="0072014D" w:rsidRPr="0072014D">
        <w:rPr>
          <w:rFonts w:ascii="Times New Roman" w:hAnsi="Times New Roman" w:cs="Times New Roman"/>
          <w:noProof/>
          <w:sz w:val="24"/>
          <w:szCs w:val="24"/>
          <w:lang w:eastAsia="es-ES"/>
        </w:rPr>
        <mc:AlternateContent>
          <mc:Choice Requires="wps">
            <w:drawing>
              <wp:anchor distT="0" distB="0" distL="114300" distR="114300" simplePos="0" relativeHeight="251652608" behindDoc="0" locked="0" layoutInCell="1" allowOverlap="1" wp14:anchorId="6F429266" wp14:editId="4DEFEBB7">
                <wp:simplePos x="0" y="0"/>
                <wp:positionH relativeFrom="column">
                  <wp:posOffset>-927735</wp:posOffset>
                </wp:positionH>
                <wp:positionV relativeFrom="paragraph">
                  <wp:posOffset>-4756785</wp:posOffset>
                </wp:positionV>
                <wp:extent cx="2677160" cy="617220"/>
                <wp:effectExtent l="0" t="0" r="0" b="0"/>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7160" cy="617220"/>
                        </a:xfrm>
                        <a:prstGeom prst="rect">
                          <a:avLst/>
                        </a:prstGeom>
                        <a:noFill/>
                        <a:ln>
                          <a:noFill/>
                        </a:ln>
                        <a:effectLst/>
                      </wps:spPr>
                      <wps:txbx>
                        <w:txbxContent>
                          <w:p w14:paraId="5B83AA44" w14:textId="77777777" w:rsidR="0072014D" w:rsidRPr="006D06F5" w:rsidRDefault="0072014D" w:rsidP="0072014D">
                            <w:pPr>
                              <w:pStyle w:val="Sinespaciado"/>
                              <w:jc w:val="center"/>
                              <w:rPr>
                                <w:rFonts w:ascii="Times New Roman" w:hAnsi="Times New Roman" w:cs="Times New Roman"/>
                                <w:noProof/>
                                <w:color w:val="000000" w:themeColor="text1"/>
                                <w:sz w:val="72"/>
                                <w:szCs w:val="72"/>
                                <w:vertAlign w:val="superscript"/>
                              </w:rPr>
                            </w:pPr>
                            <w:r>
                              <w:rPr>
                                <w:rFonts w:ascii="Times New Roman" w:hAnsi="Times New Roman" w:cs="Times New Roman"/>
                                <w:noProof/>
                                <w:color w:val="000000" w:themeColor="text1"/>
                                <w:sz w:val="72"/>
                                <w:szCs w:val="72"/>
                                <w:vertAlign w:val="superscript"/>
                              </w:rPr>
                              <w:t>Espacio para el texto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429266" id="_x0000_t202" coordsize="21600,21600" o:spt="202" path="m,l,21600r21600,l21600,xe">
                <v:stroke joinstyle="miter"/>
                <v:path gradientshapeok="t" o:connecttype="rect"/>
              </v:shapetype>
              <v:shape id="Cuadro de texto 5" o:spid="_x0000_s1026" type="#_x0000_t202" style="position:absolute;left:0;text-align:left;margin-left:-73.05pt;margin-top:-374.55pt;width:210.8pt;height:48.6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" filled="f" stroked="f">
                <v:textbox style="mso-fit-shape-to-text:t">
                  <w:txbxContent>
                    <w:p w14:paraId="5B83AA44" w14:textId="77777777" w:rsidR="0072014D" w:rsidRPr="006D06F5" w:rsidRDefault="0072014D" w:rsidP="0072014D">
                      <w:pPr>
                        <w:pStyle w:val="Sinespaciado"/>
                        <w:jc w:val="center"/>
                        <w:rPr>
                          <w:rFonts w:ascii="Times New Roman" w:hAnsi="Times New Roman" w:cs="Times New Roman"/>
                          <w:noProof/>
                          <w:color w:val="000000" w:themeColor="text1"/>
                          <w:sz w:val="72"/>
                          <w:szCs w:val="72"/>
                          <w:vertAlign w:val="superscript"/>
                        </w:rPr>
                      </w:pPr>
                      <w:r>
                        <w:rPr>
                          <w:rFonts w:ascii="Times New Roman" w:hAnsi="Times New Roman" w:cs="Times New Roman"/>
                          <w:noProof/>
                          <w:color w:val="000000" w:themeColor="text1"/>
                          <w:sz w:val="72"/>
                          <w:szCs w:val="72"/>
                          <w:vertAlign w:val="superscript"/>
                        </w:rPr>
                        <w:t>Espacio para el texto</w:t>
                      </w:r>
                    </w:p>
                  </w:txbxContent>
                </v:textbox>
              </v:shape>
            </w:pict>
          </mc:Fallback>
        </mc:AlternateContent>
      </w:r>
    </w:p>
    <w:p w14:paraId="5CEC860E" w14:textId="77777777" w:rsidR="0072014D" w:rsidRPr="0072014D" w:rsidRDefault="0072014D" w:rsidP="0072014D">
      <w:pPr>
        <w:pStyle w:val="Sinespaciado"/>
        <w:spacing w:line="360" w:lineRule="auto"/>
        <w:jc w:val="center"/>
        <w:rPr>
          <w:rFonts w:ascii="Times New Roman" w:hAnsi="Times New Roman" w:cs="Times New Roman"/>
          <w:lang w:val="es-ES_tradnl"/>
        </w:rPr>
      </w:pPr>
      <w:r w:rsidRPr="0072014D">
        <w:rPr>
          <w:rFonts w:ascii="Times New Roman" w:hAnsi="Times New Roman" w:cs="Times New Roman"/>
          <w:b/>
          <w:lang w:val="es-ES_tradnl"/>
        </w:rPr>
        <w:t xml:space="preserve">Fig. 1 - </w:t>
      </w:r>
      <w:r w:rsidRPr="0072014D">
        <w:rPr>
          <w:rFonts w:ascii="Times New Roman" w:hAnsi="Times New Roman" w:cs="Times New Roman"/>
          <w:lang w:val="es-ES_tradnl"/>
        </w:rPr>
        <w:t>Exposición de la herida en la rodilla derecha. A: se observa herida avulsiva con exposición de los cóndilos femorales y extremo superior de la tibia. B: conclusión del acto quirúrgico, con fijación externa (modelo RALCA).</w:t>
      </w:r>
    </w:p>
    <w:p w14:paraId="78DFB201" w14:textId="77777777" w:rsidR="0072014D" w:rsidRPr="0072014D" w:rsidRDefault="0072014D" w:rsidP="0072014D">
      <w:pPr>
        <w:pStyle w:val="Sinespaciado"/>
        <w:spacing w:line="360" w:lineRule="auto"/>
        <w:jc w:val="center"/>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 </w:t>
      </w:r>
    </w:p>
    <w:p w14:paraId="38BCD849" w14:textId="256BC280" w:rsidR="0072014D" w:rsidRPr="0072014D" w:rsidRDefault="0072014D" w:rsidP="0072014D">
      <w:pPr>
        <w:pStyle w:val="Sinespaciado"/>
        <w:spacing w:line="360" w:lineRule="auto"/>
        <w:jc w:val="both"/>
        <w:rPr>
          <w:rFonts w:ascii="Times New Roman" w:hAnsi="Times New Roman" w:cs="Times New Roman"/>
          <w:color w:val="FF0000"/>
          <w:sz w:val="24"/>
          <w:szCs w:val="24"/>
          <w:lang w:val="es-ES_tradnl"/>
        </w:rPr>
      </w:pPr>
      <w:r w:rsidRPr="0072014D">
        <w:rPr>
          <w:rFonts w:ascii="Times New Roman" w:hAnsi="Times New Roman" w:cs="Times New Roman"/>
          <w:sz w:val="24"/>
          <w:szCs w:val="24"/>
          <w:lang w:val="es-ES_tradnl"/>
        </w:rPr>
        <w:t xml:space="preserve">La radiografía de rodilla en su vista </w:t>
      </w:r>
      <w:proofErr w:type="spellStart"/>
      <w:r w:rsidRPr="0072014D">
        <w:rPr>
          <w:rFonts w:ascii="Times New Roman" w:hAnsi="Times New Roman" w:cs="Times New Roman"/>
          <w:sz w:val="24"/>
          <w:szCs w:val="24"/>
          <w:lang w:val="es-ES_tradnl"/>
        </w:rPr>
        <w:t>póstero</w:t>
      </w:r>
      <w:proofErr w:type="spellEnd"/>
      <w:r w:rsidR="002C0B64">
        <w:rPr>
          <w:rFonts w:ascii="Times New Roman" w:hAnsi="Times New Roman" w:cs="Times New Roman"/>
          <w:sz w:val="24"/>
          <w:szCs w:val="24"/>
          <w:lang w:val="es-ES_tradnl"/>
        </w:rPr>
        <w:t xml:space="preserve"> </w:t>
      </w:r>
      <w:r w:rsidRPr="0072014D">
        <w:rPr>
          <w:rFonts w:ascii="Times New Roman" w:hAnsi="Times New Roman" w:cs="Times New Roman"/>
          <w:sz w:val="24"/>
          <w:szCs w:val="24"/>
          <w:lang w:val="es-ES_tradnl"/>
        </w:rPr>
        <w:t>-</w:t>
      </w:r>
      <w:r w:rsidR="002C0B64">
        <w:rPr>
          <w:rFonts w:ascii="Times New Roman" w:hAnsi="Times New Roman" w:cs="Times New Roman"/>
          <w:sz w:val="24"/>
          <w:szCs w:val="24"/>
          <w:lang w:val="es-ES_tradnl"/>
        </w:rPr>
        <w:t xml:space="preserve"> </w:t>
      </w:r>
      <w:r w:rsidRPr="0072014D">
        <w:rPr>
          <w:rFonts w:ascii="Times New Roman" w:hAnsi="Times New Roman" w:cs="Times New Roman"/>
          <w:sz w:val="24"/>
          <w:szCs w:val="24"/>
          <w:lang w:val="es-ES_tradnl"/>
        </w:rPr>
        <w:t>anterior y lateral, muestra</w:t>
      </w:r>
      <w:r w:rsidRPr="0072014D">
        <w:rPr>
          <w:rFonts w:ascii="Times New Roman" w:hAnsi="Times New Roman" w:cs="Times New Roman"/>
          <w:color w:val="FF0000"/>
          <w:sz w:val="24"/>
          <w:szCs w:val="24"/>
          <w:lang w:val="es-ES_tradnl"/>
        </w:rPr>
        <w:t xml:space="preserve"> </w:t>
      </w:r>
      <w:r w:rsidRPr="0072014D">
        <w:rPr>
          <w:rFonts w:ascii="Times New Roman" w:hAnsi="Times New Roman" w:cs="Times New Roman"/>
          <w:sz w:val="24"/>
          <w:szCs w:val="24"/>
          <w:lang w:val="es-ES_tradnl"/>
        </w:rPr>
        <w:t xml:space="preserve">la luxación femorotibial posterior, con fractura del polo inferior de la rótula y fractura del tercio superior de la tibia. Los estudios de analítica sanguínea, demostraron disminución de los valores de hemoglobina y hematocrito, relacionados con las pérdidas hemáticas. El resto de los exámenes fueron normales. </w:t>
      </w:r>
    </w:p>
    <w:p w14:paraId="3FC22F2D"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Se realizó intervención quirúrgica de urgencia, con regularización de la herida, amplio lavado y desbridamiento quirúrgico. Se procedió a la reducción de la luxación femorotibial posterior, con reparación primaria de lesiones ligamentosas y </w:t>
      </w:r>
      <w:proofErr w:type="spellStart"/>
      <w:r w:rsidRPr="0072014D">
        <w:rPr>
          <w:rFonts w:ascii="Times New Roman" w:hAnsi="Times New Roman" w:cs="Times New Roman"/>
          <w:sz w:val="24"/>
          <w:szCs w:val="24"/>
          <w:lang w:val="es-ES_tradnl"/>
        </w:rPr>
        <w:t>patelectomía</w:t>
      </w:r>
      <w:proofErr w:type="spellEnd"/>
      <w:r w:rsidRPr="0072014D">
        <w:rPr>
          <w:rFonts w:ascii="Times New Roman" w:hAnsi="Times New Roman" w:cs="Times New Roman"/>
          <w:sz w:val="24"/>
          <w:szCs w:val="24"/>
          <w:lang w:val="es-ES_tradnl"/>
        </w:rPr>
        <w:t xml:space="preserve"> parcial y reparación del tendón rotuliano. Por último, se colocó fijación externa, modelo RALCA,</w:t>
      </w:r>
      <w:r w:rsidRPr="0072014D">
        <w:rPr>
          <w:rFonts w:ascii="Times New Roman" w:hAnsi="Times New Roman" w:cs="Times New Roman"/>
          <w:sz w:val="24"/>
          <w:szCs w:val="24"/>
          <w:vertAlign w:val="superscript"/>
          <w:lang w:val="es-ES_tradnl"/>
        </w:rPr>
        <w:t xml:space="preserve"> </w:t>
      </w:r>
      <w:r w:rsidRPr="0072014D">
        <w:rPr>
          <w:rFonts w:ascii="Times New Roman" w:hAnsi="Times New Roman" w:cs="Times New Roman"/>
          <w:sz w:val="24"/>
          <w:szCs w:val="24"/>
          <w:lang w:val="es-ES_tradnl"/>
        </w:rPr>
        <w:t xml:space="preserve">para la fractura del tercio superior de la tibia (Fig. 2). </w:t>
      </w:r>
    </w:p>
    <w:p w14:paraId="1798B634" w14:textId="77777777" w:rsidR="0072014D" w:rsidRPr="0072014D" w:rsidRDefault="0072014D" w:rsidP="0072014D">
      <w:pPr>
        <w:pStyle w:val="Sinespaciado"/>
        <w:spacing w:line="360" w:lineRule="auto"/>
        <w:jc w:val="center"/>
        <w:rPr>
          <w:rFonts w:ascii="Times New Roman" w:hAnsi="Times New Roman" w:cs="Times New Roman"/>
          <w:b/>
          <w:color w:val="FF0000"/>
          <w:sz w:val="24"/>
          <w:szCs w:val="24"/>
          <w:lang w:val="es-ES_tradnl"/>
        </w:rPr>
      </w:pPr>
    </w:p>
    <w:p w14:paraId="5892AF19" w14:textId="0AB15F65" w:rsidR="0072014D" w:rsidRPr="0072014D" w:rsidRDefault="00C91413" w:rsidP="0072014D">
      <w:pPr>
        <w:pStyle w:val="Sinespaciado"/>
        <w:spacing w:line="360" w:lineRule="auto"/>
        <w:jc w:val="center"/>
        <w:rPr>
          <w:rFonts w:ascii="Times New Roman" w:hAnsi="Times New Roman" w:cs="Times New Roman"/>
          <w:sz w:val="24"/>
          <w:szCs w:val="24"/>
        </w:rPr>
      </w:pPr>
      <w:r>
        <w:rPr>
          <w:rFonts w:ascii="Times New Roman" w:hAnsi="Times New Roman" w:cs="Times New Roman"/>
          <w:b/>
          <w:noProof/>
          <w:sz w:val="24"/>
          <w:szCs w:val="24"/>
          <w:lang w:eastAsia="es-ES"/>
        </w:rPr>
        <w:lastRenderedPageBreak/>
        <w:drawing>
          <wp:inline distT="0" distB="0" distL="0" distR="0" wp14:anchorId="2287D70A" wp14:editId="5EA0B6BC">
            <wp:extent cx="3600450" cy="18383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1">
                      <a:extLst>
                        <a:ext uri="{28A0092B-C50C-407E-A947-70E740481C1C}">
                          <a14:useLocalDpi xmlns:a14="http://schemas.microsoft.com/office/drawing/2010/main" val="0"/>
                        </a:ext>
                      </a:extLst>
                    </a:blip>
                    <a:stretch>
                      <a:fillRect/>
                    </a:stretch>
                  </pic:blipFill>
                  <pic:spPr>
                    <a:xfrm>
                      <a:off x="0" y="0"/>
                      <a:ext cx="3600450" cy="1838325"/>
                    </a:xfrm>
                    <a:prstGeom prst="rect">
                      <a:avLst/>
                    </a:prstGeom>
                  </pic:spPr>
                </pic:pic>
              </a:graphicData>
            </a:graphic>
          </wp:inline>
        </w:drawing>
      </w:r>
    </w:p>
    <w:p w14:paraId="0E54337E" w14:textId="77777777" w:rsidR="0072014D" w:rsidRPr="0072014D" w:rsidRDefault="0072014D" w:rsidP="0072014D">
      <w:pPr>
        <w:pStyle w:val="Sinespaciado"/>
        <w:spacing w:line="360" w:lineRule="auto"/>
        <w:jc w:val="center"/>
        <w:rPr>
          <w:rFonts w:ascii="Times New Roman" w:hAnsi="Times New Roman" w:cs="Times New Roman"/>
          <w:lang w:val="es-ES_tradnl"/>
        </w:rPr>
      </w:pPr>
      <w:r w:rsidRPr="0072014D">
        <w:rPr>
          <w:rFonts w:ascii="Times New Roman" w:hAnsi="Times New Roman" w:cs="Times New Roman"/>
          <w:b/>
          <w:lang w:val="es-ES_tradnl"/>
        </w:rPr>
        <w:t>Fig. 2 -</w:t>
      </w:r>
      <w:r w:rsidRPr="0072014D">
        <w:rPr>
          <w:rFonts w:ascii="Times New Roman" w:hAnsi="Times New Roman" w:cs="Times New Roman"/>
          <w:lang w:val="es-ES_tradnl"/>
        </w:rPr>
        <w:t xml:space="preserve"> Radiografías de control luego del acto quirúrgico. A: se observa la articulación de la rodilla reducida y </w:t>
      </w:r>
      <w:proofErr w:type="spellStart"/>
      <w:r w:rsidRPr="0072014D">
        <w:rPr>
          <w:rFonts w:ascii="Times New Roman" w:hAnsi="Times New Roman" w:cs="Times New Roman"/>
          <w:lang w:val="es-ES_tradnl"/>
        </w:rPr>
        <w:t>patelectomía</w:t>
      </w:r>
      <w:proofErr w:type="spellEnd"/>
      <w:r w:rsidRPr="0072014D">
        <w:rPr>
          <w:rFonts w:ascii="Times New Roman" w:hAnsi="Times New Roman" w:cs="Times New Roman"/>
          <w:lang w:val="es-ES_tradnl"/>
        </w:rPr>
        <w:t xml:space="preserve"> parcial. B: fractura de la tibia.</w:t>
      </w:r>
    </w:p>
    <w:p w14:paraId="4F482158" w14:textId="77777777" w:rsidR="0072014D" w:rsidRPr="0072014D" w:rsidRDefault="0072014D" w:rsidP="0072014D">
      <w:pPr>
        <w:pStyle w:val="Sinespaciado"/>
        <w:spacing w:line="360" w:lineRule="auto"/>
        <w:jc w:val="center"/>
        <w:rPr>
          <w:rFonts w:ascii="Times New Roman" w:hAnsi="Times New Roman" w:cs="Times New Roman"/>
          <w:sz w:val="24"/>
          <w:szCs w:val="24"/>
          <w:lang w:val="es-ES_tradnl"/>
        </w:rPr>
      </w:pPr>
    </w:p>
    <w:p w14:paraId="1D340C21"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Se aplicó profilaxis antimicrobiana contra el </w:t>
      </w:r>
      <w:r w:rsidRPr="0072014D">
        <w:rPr>
          <w:rFonts w:ascii="Times New Roman" w:hAnsi="Times New Roman" w:cs="Times New Roman"/>
          <w:i/>
          <w:sz w:val="24"/>
          <w:szCs w:val="24"/>
          <w:lang w:val="es-ES_tradnl"/>
        </w:rPr>
        <w:t xml:space="preserve">Clostridium </w:t>
      </w:r>
      <w:proofErr w:type="spellStart"/>
      <w:r w:rsidRPr="0072014D">
        <w:rPr>
          <w:rFonts w:ascii="Times New Roman" w:hAnsi="Times New Roman" w:cs="Times New Roman"/>
          <w:i/>
          <w:sz w:val="24"/>
          <w:szCs w:val="24"/>
          <w:lang w:val="es-ES_tradnl"/>
        </w:rPr>
        <w:t>perfringens</w:t>
      </w:r>
      <w:proofErr w:type="spellEnd"/>
      <w:r w:rsidRPr="0072014D">
        <w:rPr>
          <w:rFonts w:ascii="Times New Roman" w:hAnsi="Times New Roman" w:cs="Times New Roman"/>
          <w:sz w:val="24"/>
          <w:szCs w:val="24"/>
          <w:lang w:val="es-ES_tradnl"/>
        </w:rPr>
        <w:t xml:space="preserve">, con dosis de penicilina cristalina a razón de 4 bulbos de 1 millón UI cada 4 horas, previo el acto quirúrgico y hasta 72 horas después. Se continuó con la combinación antimicrobiana de una cefalosporina, un </w:t>
      </w:r>
      <w:proofErr w:type="spellStart"/>
      <w:r w:rsidRPr="0072014D">
        <w:rPr>
          <w:rFonts w:ascii="Times New Roman" w:hAnsi="Times New Roman" w:cs="Times New Roman"/>
          <w:sz w:val="24"/>
          <w:szCs w:val="24"/>
          <w:lang w:val="es-ES_tradnl"/>
        </w:rPr>
        <w:t>amiglucósido</w:t>
      </w:r>
      <w:proofErr w:type="spellEnd"/>
      <w:r w:rsidRPr="0072014D">
        <w:rPr>
          <w:rFonts w:ascii="Times New Roman" w:hAnsi="Times New Roman" w:cs="Times New Roman"/>
          <w:sz w:val="24"/>
          <w:szCs w:val="24"/>
          <w:lang w:val="es-ES_tradnl"/>
        </w:rPr>
        <w:t xml:space="preserve"> y metronidazol por 7 días, así como el uso precoz de oxigenación hiperbárica.</w:t>
      </w:r>
    </w:p>
    <w:p w14:paraId="70C21BB0" w14:textId="77777777" w:rsidR="0072014D" w:rsidRPr="0072014D" w:rsidRDefault="0072014D" w:rsidP="0072014D">
      <w:pPr>
        <w:pStyle w:val="Sinespaciado"/>
        <w:spacing w:line="360" w:lineRule="auto"/>
        <w:jc w:val="both"/>
        <w:rPr>
          <w:rFonts w:ascii="Times New Roman" w:hAnsi="Times New Roman" w:cs="Times New Roman"/>
          <w:b/>
          <w:sz w:val="24"/>
          <w:szCs w:val="24"/>
          <w:lang w:val="es-ES_tradnl"/>
        </w:rPr>
      </w:pPr>
      <w:r w:rsidRPr="0072014D">
        <w:rPr>
          <w:rFonts w:ascii="Times New Roman" w:hAnsi="Times New Roman" w:cs="Times New Roman"/>
          <w:sz w:val="24"/>
          <w:szCs w:val="24"/>
          <w:lang w:val="es-ES_tradnl"/>
        </w:rPr>
        <w:t>El paciente evolucionó de manera satisfactoria, sin infección de la herida quirúrgica y recuperación total con deambulación, a los 4 meses.</w:t>
      </w:r>
    </w:p>
    <w:p w14:paraId="61AD16A3"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484A540A"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6686E1E4" w14:textId="77777777" w:rsidR="0072014D" w:rsidRPr="0072014D" w:rsidRDefault="0072014D" w:rsidP="0072014D">
      <w:pPr>
        <w:pStyle w:val="Sinespaciado"/>
        <w:spacing w:line="360" w:lineRule="auto"/>
        <w:jc w:val="center"/>
        <w:rPr>
          <w:rFonts w:ascii="Times New Roman" w:hAnsi="Times New Roman" w:cs="Times New Roman"/>
          <w:b/>
          <w:sz w:val="32"/>
          <w:szCs w:val="32"/>
          <w:lang w:val="es-ES_tradnl"/>
        </w:rPr>
      </w:pPr>
      <w:r w:rsidRPr="0072014D">
        <w:rPr>
          <w:rFonts w:ascii="Times New Roman" w:hAnsi="Times New Roman" w:cs="Times New Roman"/>
          <w:b/>
          <w:sz w:val="32"/>
          <w:szCs w:val="32"/>
          <w:lang w:val="es-ES_tradnl"/>
        </w:rPr>
        <w:t>COMENTARIOS</w:t>
      </w:r>
    </w:p>
    <w:p w14:paraId="5F94D4FF"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La luxación traumática de la rodilla constituye una entidad causada por traumas de alta energía; su incidencia es muy baja, menos de 0,02 % de todas las urgencias </w:t>
      </w:r>
      <w:proofErr w:type="gramStart"/>
      <w:r w:rsidRPr="0072014D">
        <w:rPr>
          <w:rFonts w:ascii="Times New Roman" w:hAnsi="Times New Roman" w:cs="Times New Roman"/>
          <w:sz w:val="24"/>
          <w:szCs w:val="24"/>
          <w:lang w:val="es-ES_tradnl"/>
        </w:rPr>
        <w:t>ortopédicas.</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 xml:space="preserve">3) </w:t>
      </w:r>
      <w:r w:rsidRPr="0072014D">
        <w:rPr>
          <w:rFonts w:ascii="Times New Roman" w:hAnsi="Times New Roman" w:cs="Times New Roman"/>
          <w:sz w:val="24"/>
          <w:szCs w:val="24"/>
          <w:lang w:val="es-ES_tradnl"/>
        </w:rPr>
        <w:t>Se asociada a complicaciones frecuentes, como daños neuro-vasculares.</w:t>
      </w:r>
      <w:r w:rsidRPr="0072014D">
        <w:rPr>
          <w:rFonts w:ascii="Times New Roman" w:hAnsi="Times New Roman" w:cs="Times New Roman"/>
          <w:sz w:val="24"/>
          <w:szCs w:val="24"/>
          <w:vertAlign w:val="superscript"/>
          <w:lang w:val="es-ES_tradnl"/>
        </w:rPr>
        <w:t>(1,2,3,10)</w:t>
      </w:r>
    </w:p>
    <w:p w14:paraId="6BBC2D6D"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Las luxaciones femorotibiales son verdaderas urgencias ortopédicas. Se recomienda siempre una evaluación rápida y una reparación precoz de cualquier lesión vascular en la extremidad lesionada, así como el mecanismo estabilizador de la articulación de la </w:t>
      </w:r>
      <w:proofErr w:type="gramStart"/>
      <w:r w:rsidRPr="0072014D">
        <w:rPr>
          <w:rFonts w:ascii="Times New Roman" w:hAnsi="Times New Roman" w:cs="Times New Roman"/>
          <w:sz w:val="24"/>
          <w:szCs w:val="24"/>
          <w:lang w:val="es-ES_tradnl"/>
        </w:rPr>
        <w:t>rodilla.</w:t>
      </w:r>
      <w:r w:rsidRPr="0072014D">
        <w:rPr>
          <w:rFonts w:ascii="Times New Roman" w:hAnsi="Times New Roman" w:cs="Times New Roman"/>
          <w:sz w:val="24"/>
          <w:szCs w:val="24"/>
          <w:vertAlign w:val="superscript"/>
          <w:lang w:val="es-ES_tradnl"/>
        </w:rPr>
        <w:t>(</w:t>
      </w:r>
      <w:proofErr w:type="gramEnd"/>
      <w:r w:rsidRPr="0072014D">
        <w:rPr>
          <w:rFonts w:ascii="Times New Roman" w:hAnsi="Times New Roman" w:cs="Times New Roman"/>
          <w:sz w:val="24"/>
          <w:szCs w:val="24"/>
          <w:vertAlign w:val="superscript"/>
          <w:lang w:val="es-ES_tradnl"/>
        </w:rPr>
        <w:t>1,3,4,5,11)</w:t>
      </w:r>
    </w:p>
    <w:p w14:paraId="2D2792EE"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El tratamiento quirúrgico de urgencia resultó satisfactorio para la pronta recuperación del paciente, asociado a una terapia antimicrobiana de amplio espectro y oxigenación hiperbárica.</w:t>
      </w:r>
    </w:p>
    <w:p w14:paraId="623C7054"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 xml:space="preserve">Se trataba de una lesión grave, complicada con lesiones óseas expuestas, junto al daño del mecanismo estabilizador de la rodilla. Llama la atención que en la revisión realizada, existen muy pocas referencias </w:t>
      </w:r>
      <w:r w:rsidRPr="0072014D">
        <w:rPr>
          <w:rFonts w:ascii="Times New Roman" w:hAnsi="Times New Roman" w:cs="Times New Roman"/>
          <w:sz w:val="24"/>
          <w:szCs w:val="24"/>
          <w:lang w:val="es-ES_tradnl"/>
        </w:rPr>
        <w:lastRenderedPageBreak/>
        <w:t>actualizadas sobre las luxaciones femorotibiales con lesiones óseas asociadas. Se trata de una entidad traumática infrecuente.</w:t>
      </w:r>
    </w:p>
    <w:p w14:paraId="43AE2560" w14:textId="77777777" w:rsidR="0072014D" w:rsidRPr="0072014D" w:rsidRDefault="0072014D" w:rsidP="0072014D">
      <w:pPr>
        <w:pStyle w:val="Sinespaciado"/>
        <w:spacing w:line="360" w:lineRule="auto"/>
        <w:jc w:val="both"/>
        <w:rPr>
          <w:rFonts w:ascii="Times New Roman" w:hAnsi="Times New Roman" w:cs="Times New Roman"/>
          <w:sz w:val="24"/>
          <w:szCs w:val="24"/>
          <w:lang w:val="es-ES_tradnl"/>
        </w:rPr>
      </w:pPr>
      <w:r w:rsidRPr="0072014D">
        <w:rPr>
          <w:rFonts w:ascii="Times New Roman" w:hAnsi="Times New Roman" w:cs="Times New Roman"/>
          <w:sz w:val="24"/>
          <w:szCs w:val="24"/>
          <w:lang w:val="es-ES_tradnl"/>
        </w:rPr>
        <w:t>La combinación de luxación femorotibial posterior abierta, con fractura del polo inferior de la rótula y tercio superior de la tibia es rara y obedece a altas energías traumáticas, como los accidentes automovilísticos. La cirugía de urgencia y la profilaxis antimicrobiana son los métodos eficaces para el tratamiento definitivo de esta lesión.</w:t>
      </w:r>
    </w:p>
    <w:p w14:paraId="0ADCAC12" w14:textId="77777777" w:rsidR="0072014D" w:rsidRPr="0072014D" w:rsidRDefault="0072014D" w:rsidP="0072014D">
      <w:pPr>
        <w:pStyle w:val="Sinespaciado"/>
        <w:spacing w:line="360" w:lineRule="auto"/>
        <w:jc w:val="both"/>
        <w:rPr>
          <w:rFonts w:ascii="Times New Roman" w:hAnsi="Times New Roman" w:cs="Times New Roman"/>
          <w:b/>
          <w:sz w:val="24"/>
          <w:szCs w:val="24"/>
          <w:lang w:val="es-ES_tradnl"/>
        </w:rPr>
      </w:pPr>
    </w:p>
    <w:p w14:paraId="4EC1D9FF"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7DD4F2F6" w14:textId="77777777" w:rsidR="0072014D" w:rsidRPr="0072014D" w:rsidRDefault="0072014D" w:rsidP="0072014D">
      <w:pPr>
        <w:pStyle w:val="Sinespaciado"/>
        <w:spacing w:line="360" w:lineRule="auto"/>
        <w:jc w:val="center"/>
        <w:rPr>
          <w:rFonts w:ascii="Times New Roman" w:hAnsi="Times New Roman" w:cs="Times New Roman"/>
          <w:b/>
          <w:sz w:val="32"/>
          <w:szCs w:val="32"/>
          <w:lang w:val="es-ES_tradnl"/>
        </w:rPr>
      </w:pPr>
      <w:r w:rsidRPr="0072014D">
        <w:rPr>
          <w:rFonts w:ascii="Times New Roman" w:hAnsi="Times New Roman" w:cs="Times New Roman"/>
          <w:b/>
          <w:sz w:val="32"/>
          <w:szCs w:val="32"/>
          <w:lang w:val="es-ES_tradnl"/>
        </w:rPr>
        <w:t>REFERENCIAS BIBLIOGRÁFICAS</w:t>
      </w:r>
    </w:p>
    <w:p w14:paraId="6D79B3B6"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lang w:val="es-ES"/>
        </w:rPr>
        <w:t xml:space="preserve">1. Terry </w:t>
      </w:r>
      <w:proofErr w:type="spellStart"/>
      <w:r w:rsidRPr="0072014D">
        <w:rPr>
          <w:rFonts w:ascii="Times New Roman" w:hAnsi="Times New Roman" w:cs="Times New Roman"/>
          <w:sz w:val="24"/>
          <w:szCs w:val="24"/>
          <w:lang w:val="es-ES"/>
        </w:rPr>
        <w:t>Canale</w:t>
      </w:r>
      <w:proofErr w:type="spellEnd"/>
      <w:r w:rsidRPr="0072014D">
        <w:rPr>
          <w:rFonts w:ascii="Times New Roman" w:hAnsi="Times New Roman" w:cs="Times New Roman"/>
          <w:sz w:val="24"/>
          <w:szCs w:val="24"/>
          <w:lang w:val="es-ES"/>
        </w:rPr>
        <w:t xml:space="preserve"> S, </w:t>
      </w:r>
      <w:proofErr w:type="spellStart"/>
      <w:r w:rsidRPr="0072014D">
        <w:rPr>
          <w:rFonts w:ascii="Times New Roman" w:hAnsi="Times New Roman" w:cs="Times New Roman"/>
          <w:sz w:val="24"/>
          <w:szCs w:val="24"/>
          <w:lang w:val="es-ES"/>
        </w:rPr>
        <w:t>Beaty</w:t>
      </w:r>
      <w:proofErr w:type="spellEnd"/>
      <w:r w:rsidRPr="0072014D">
        <w:rPr>
          <w:rFonts w:ascii="Times New Roman" w:hAnsi="Times New Roman" w:cs="Times New Roman"/>
          <w:sz w:val="24"/>
          <w:szCs w:val="24"/>
          <w:lang w:val="es-ES"/>
        </w:rPr>
        <w:t xml:space="preserve"> JH. </w:t>
      </w:r>
      <w:r w:rsidRPr="0072014D">
        <w:rPr>
          <w:rFonts w:ascii="Times New Roman" w:hAnsi="Times New Roman" w:cs="Times New Roman"/>
          <w:sz w:val="24"/>
          <w:szCs w:val="24"/>
        </w:rPr>
        <w:t xml:space="preserve">Fracturas y Luxaciones de la cadera. En: Terry </w:t>
      </w:r>
      <w:proofErr w:type="spellStart"/>
      <w:r w:rsidRPr="0072014D">
        <w:rPr>
          <w:rFonts w:ascii="Times New Roman" w:hAnsi="Times New Roman" w:cs="Times New Roman"/>
          <w:sz w:val="24"/>
          <w:szCs w:val="24"/>
        </w:rPr>
        <w:t>Canale</w:t>
      </w:r>
      <w:proofErr w:type="spellEnd"/>
      <w:r w:rsidRPr="0072014D">
        <w:rPr>
          <w:rFonts w:ascii="Times New Roman" w:hAnsi="Times New Roman" w:cs="Times New Roman"/>
          <w:sz w:val="24"/>
          <w:szCs w:val="24"/>
        </w:rPr>
        <w:t xml:space="preserve"> S, </w:t>
      </w:r>
      <w:proofErr w:type="spellStart"/>
      <w:r w:rsidRPr="0072014D">
        <w:rPr>
          <w:rFonts w:ascii="Times New Roman" w:hAnsi="Times New Roman" w:cs="Times New Roman"/>
          <w:sz w:val="24"/>
          <w:szCs w:val="24"/>
        </w:rPr>
        <w:t>Beaty</w:t>
      </w:r>
      <w:proofErr w:type="spellEnd"/>
      <w:r w:rsidRPr="0072014D">
        <w:rPr>
          <w:rFonts w:ascii="Times New Roman" w:hAnsi="Times New Roman" w:cs="Times New Roman"/>
          <w:sz w:val="24"/>
          <w:szCs w:val="24"/>
        </w:rPr>
        <w:t xml:space="preserve"> JH. Campbell. Cirugía Ortopédica. Madrid: Edición Oncena; 2013.  p. 2804-64.</w:t>
      </w:r>
    </w:p>
    <w:p w14:paraId="70F04021"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2. </w:t>
      </w:r>
      <w:proofErr w:type="spellStart"/>
      <w:r w:rsidRPr="0072014D">
        <w:rPr>
          <w:rFonts w:ascii="Times New Roman" w:hAnsi="Times New Roman" w:cs="Times New Roman"/>
          <w:sz w:val="24"/>
          <w:szCs w:val="24"/>
        </w:rPr>
        <w:t>Bucholz</w:t>
      </w:r>
      <w:proofErr w:type="spellEnd"/>
      <w:r w:rsidRPr="0072014D">
        <w:rPr>
          <w:rFonts w:ascii="Times New Roman" w:hAnsi="Times New Roman" w:cs="Times New Roman"/>
          <w:sz w:val="24"/>
          <w:szCs w:val="24"/>
        </w:rPr>
        <w:t xml:space="preserve"> RW, </w:t>
      </w:r>
      <w:proofErr w:type="spellStart"/>
      <w:r w:rsidRPr="0072014D">
        <w:rPr>
          <w:rFonts w:ascii="Times New Roman" w:hAnsi="Times New Roman" w:cs="Times New Roman"/>
          <w:sz w:val="24"/>
          <w:szCs w:val="24"/>
        </w:rPr>
        <w:t>Heckman</w:t>
      </w:r>
      <w:proofErr w:type="spellEnd"/>
      <w:r w:rsidRPr="0072014D">
        <w:rPr>
          <w:rFonts w:ascii="Times New Roman" w:hAnsi="Times New Roman" w:cs="Times New Roman"/>
          <w:sz w:val="24"/>
          <w:szCs w:val="24"/>
        </w:rPr>
        <w:t xml:space="preserve"> JD. Lesiones de la rodilla. Luxaciones traumáticas de la rodilla. </w:t>
      </w:r>
      <w:proofErr w:type="spellStart"/>
      <w:r w:rsidRPr="0072014D">
        <w:rPr>
          <w:rFonts w:ascii="Times New Roman" w:hAnsi="Times New Roman" w:cs="Times New Roman"/>
          <w:sz w:val="24"/>
          <w:szCs w:val="24"/>
          <w:lang w:val="en-US"/>
        </w:rPr>
        <w:t>Extremidad</w:t>
      </w:r>
      <w:proofErr w:type="spellEnd"/>
      <w:r w:rsidRPr="0072014D">
        <w:rPr>
          <w:rFonts w:ascii="Times New Roman" w:hAnsi="Times New Roman" w:cs="Times New Roman"/>
          <w:sz w:val="24"/>
          <w:szCs w:val="24"/>
          <w:lang w:val="en-US"/>
        </w:rPr>
        <w:t xml:space="preserve"> Inferior. </w:t>
      </w:r>
      <w:proofErr w:type="spellStart"/>
      <w:r w:rsidRPr="0072014D">
        <w:rPr>
          <w:rFonts w:ascii="Times New Roman" w:hAnsi="Times New Roman" w:cs="Times New Roman"/>
          <w:sz w:val="24"/>
          <w:szCs w:val="24"/>
          <w:lang w:val="en-US"/>
        </w:rPr>
        <w:t>En</w:t>
      </w:r>
      <w:proofErr w:type="spellEnd"/>
      <w:r w:rsidRPr="0072014D">
        <w:rPr>
          <w:rFonts w:ascii="Times New Roman" w:hAnsi="Times New Roman" w:cs="Times New Roman"/>
          <w:sz w:val="24"/>
          <w:szCs w:val="24"/>
          <w:lang w:val="en-US"/>
        </w:rPr>
        <w:t xml:space="preserve"> </w:t>
      </w:r>
      <w:proofErr w:type="spellStart"/>
      <w:r w:rsidRPr="0072014D">
        <w:rPr>
          <w:rFonts w:ascii="Times New Roman" w:hAnsi="Times New Roman" w:cs="Times New Roman"/>
          <w:sz w:val="24"/>
          <w:szCs w:val="24"/>
          <w:lang w:val="en-US"/>
        </w:rPr>
        <w:t>Bucholz</w:t>
      </w:r>
      <w:proofErr w:type="spellEnd"/>
      <w:r w:rsidRPr="0072014D">
        <w:rPr>
          <w:rFonts w:ascii="Times New Roman" w:hAnsi="Times New Roman" w:cs="Times New Roman"/>
          <w:sz w:val="24"/>
          <w:szCs w:val="24"/>
          <w:lang w:val="en-US"/>
        </w:rPr>
        <w:t xml:space="preserve"> RW, Heckman JD. Rockwood and </w:t>
      </w:r>
      <w:proofErr w:type="spellStart"/>
      <w:r w:rsidRPr="0072014D">
        <w:rPr>
          <w:rFonts w:ascii="Times New Roman" w:hAnsi="Times New Roman" w:cs="Times New Roman"/>
          <w:sz w:val="24"/>
          <w:szCs w:val="24"/>
          <w:lang w:val="en-US"/>
        </w:rPr>
        <w:t>Grens</w:t>
      </w:r>
      <w:proofErr w:type="spellEnd"/>
      <w:r w:rsidRPr="0072014D">
        <w:rPr>
          <w:rFonts w:ascii="Times New Roman" w:hAnsi="Times New Roman" w:cs="Times New Roman"/>
          <w:sz w:val="24"/>
          <w:szCs w:val="24"/>
          <w:lang w:val="en-US"/>
        </w:rPr>
        <w:t xml:space="preserve">. </w:t>
      </w:r>
      <w:r w:rsidRPr="0072014D">
        <w:rPr>
          <w:rFonts w:ascii="Times New Roman" w:hAnsi="Times New Roman" w:cs="Times New Roman"/>
          <w:sz w:val="24"/>
          <w:szCs w:val="24"/>
        </w:rPr>
        <w:t>Fracturas en el adulto. México: Edición Quinta; 2019. p.1914-37.</w:t>
      </w:r>
    </w:p>
    <w:p w14:paraId="4BD92B4C"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3. Álvarez Blanco H. Luxación expuesta de rodilla. </w:t>
      </w:r>
      <w:r w:rsidRPr="0072014D">
        <w:rPr>
          <w:rFonts w:ascii="Times New Roman" w:hAnsi="Times New Roman" w:cs="Times New Roman"/>
          <w:sz w:val="24"/>
          <w:szCs w:val="24"/>
          <w:lang w:val="en-US"/>
        </w:rPr>
        <w:t xml:space="preserve">Arch Hosp Univ Gen. Calixto García. </w:t>
      </w:r>
      <w:r w:rsidRPr="0072014D">
        <w:rPr>
          <w:rFonts w:ascii="Times New Roman" w:hAnsi="Times New Roman" w:cs="Times New Roman"/>
          <w:sz w:val="24"/>
          <w:szCs w:val="24"/>
        </w:rPr>
        <w:t xml:space="preserve">2020 [acceso: 11/01/2021]; 8(1): 95-103. Disponible en: </w:t>
      </w:r>
      <w:hyperlink r:id="rId12" w:history="1">
        <w:r w:rsidRPr="0072014D">
          <w:rPr>
            <w:rStyle w:val="Hipervnculo"/>
            <w:rFonts w:ascii="Times New Roman" w:hAnsi="Times New Roman" w:cs="Times New Roman"/>
            <w:sz w:val="24"/>
            <w:szCs w:val="24"/>
          </w:rPr>
          <w:t>https://www.revcalixto.sld.cu/index.php/ahcg/article/view/432</w:t>
        </w:r>
      </w:hyperlink>
      <w:r w:rsidRPr="0072014D">
        <w:rPr>
          <w:rFonts w:ascii="Times New Roman" w:hAnsi="Times New Roman" w:cs="Times New Roman"/>
          <w:sz w:val="24"/>
          <w:szCs w:val="24"/>
        </w:rPr>
        <w:t xml:space="preserve"> </w:t>
      </w:r>
    </w:p>
    <w:p w14:paraId="655EDF72"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4. Gigante F, </w:t>
      </w:r>
      <w:proofErr w:type="spellStart"/>
      <w:r w:rsidRPr="0072014D">
        <w:rPr>
          <w:rFonts w:ascii="Times New Roman" w:hAnsi="Times New Roman" w:cs="Times New Roman"/>
          <w:sz w:val="24"/>
          <w:szCs w:val="24"/>
        </w:rPr>
        <w:t>Lapera</w:t>
      </w:r>
      <w:proofErr w:type="spellEnd"/>
      <w:r w:rsidRPr="0072014D">
        <w:rPr>
          <w:rFonts w:ascii="Times New Roman" w:hAnsi="Times New Roman" w:cs="Times New Roman"/>
          <w:sz w:val="24"/>
          <w:szCs w:val="24"/>
        </w:rPr>
        <w:t xml:space="preserve"> M, Pérez Zabala M, Quiroga J, </w:t>
      </w:r>
      <w:proofErr w:type="spellStart"/>
      <w:r w:rsidRPr="0072014D">
        <w:rPr>
          <w:rFonts w:ascii="Times New Roman" w:hAnsi="Times New Roman" w:cs="Times New Roman"/>
          <w:sz w:val="24"/>
          <w:szCs w:val="24"/>
        </w:rPr>
        <w:t>Serpone</w:t>
      </w:r>
      <w:proofErr w:type="spellEnd"/>
      <w:r w:rsidRPr="0072014D">
        <w:rPr>
          <w:rFonts w:ascii="Times New Roman" w:hAnsi="Times New Roman" w:cs="Times New Roman"/>
          <w:sz w:val="24"/>
          <w:szCs w:val="24"/>
        </w:rPr>
        <w:t xml:space="preserve"> A. Luxación Irreductible Posterolateral de Rodilla. Presentación de un Caso.  Artroscopia. 2016 [acceso: 11/01/2021]; 23(3):120-3.  Disponible en: </w:t>
      </w:r>
      <w:hyperlink r:id="rId13" w:history="1">
        <w:r w:rsidRPr="0072014D">
          <w:rPr>
            <w:rStyle w:val="Hipervnculo"/>
            <w:rFonts w:ascii="Times New Roman" w:hAnsi="Times New Roman" w:cs="Times New Roman"/>
            <w:sz w:val="24"/>
            <w:szCs w:val="24"/>
          </w:rPr>
          <w:t>https://www.revistaartroscopia.com/ediciones-anteriores/images/artroscopia/volumen-23-nro-3/PDFS/23_03_04_gigante.pdf</w:t>
        </w:r>
      </w:hyperlink>
      <w:r w:rsidRPr="0072014D">
        <w:rPr>
          <w:rFonts w:ascii="Times New Roman" w:hAnsi="Times New Roman" w:cs="Times New Roman"/>
          <w:sz w:val="24"/>
          <w:szCs w:val="24"/>
        </w:rPr>
        <w:t xml:space="preserve"> </w:t>
      </w:r>
    </w:p>
    <w:p w14:paraId="03AEF448"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5. Bastida Mera J, Crespo </w:t>
      </w:r>
      <w:proofErr w:type="spellStart"/>
      <w:r w:rsidRPr="0072014D">
        <w:rPr>
          <w:rFonts w:ascii="Times New Roman" w:hAnsi="Times New Roman" w:cs="Times New Roman"/>
          <w:sz w:val="24"/>
          <w:szCs w:val="24"/>
        </w:rPr>
        <w:t>Cullell</w:t>
      </w:r>
      <w:proofErr w:type="spellEnd"/>
      <w:r w:rsidRPr="0072014D">
        <w:rPr>
          <w:rFonts w:ascii="Times New Roman" w:hAnsi="Times New Roman" w:cs="Times New Roman"/>
          <w:sz w:val="24"/>
          <w:szCs w:val="24"/>
        </w:rPr>
        <w:t xml:space="preserve"> I, Montoya Sáenz R. Reconstrucción del LCA en paciente con inmadurez esquelética tras luxación de rodilla. España: Sociedad Española de Cirugía Ortopédica y Traumatología. 2020. [acceso: 11/01/2021]. Disponible en: </w:t>
      </w:r>
      <w:hyperlink r:id="rId14" w:history="1">
        <w:r w:rsidRPr="0072014D">
          <w:rPr>
            <w:rStyle w:val="Hipervnculo"/>
            <w:rFonts w:ascii="Times New Roman" w:hAnsi="Times New Roman" w:cs="Times New Roman"/>
            <w:sz w:val="24"/>
            <w:szCs w:val="24"/>
          </w:rPr>
          <w:t>https://casosclinicos.secot.es/casos/caso_clinico_1318.pdf</w:t>
        </w:r>
      </w:hyperlink>
      <w:r w:rsidRPr="0072014D">
        <w:rPr>
          <w:rFonts w:ascii="Times New Roman" w:hAnsi="Times New Roman" w:cs="Times New Roman"/>
          <w:sz w:val="24"/>
          <w:szCs w:val="24"/>
        </w:rPr>
        <w:t xml:space="preserve"> </w:t>
      </w:r>
    </w:p>
    <w:p w14:paraId="69DE15CB"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6. Gómez A, Espejo A, Montes D, Carnero P, Villanueva F. Luxación de rodilla ante traumatismo de bajo impacto. A propósito de un caso. </w:t>
      </w:r>
      <w:proofErr w:type="spellStart"/>
      <w:r w:rsidRPr="0072014D">
        <w:rPr>
          <w:rFonts w:ascii="Times New Roman" w:hAnsi="Times New Roman" w:cs="Times New Roman"/>
          <w:sz w:val="24"/>
          <w:szCs w:val="24"/>
        </w:rPr>
        <w:t>Rev</w:t>
      </w:r>
      <w:proofErr w:type="spellEnd"/>
      <w:r w:rsidRPr="0072014D">
        <w:rPr>
          <w:rFonts w:ascii="Times New Roman" w:hAnsi="Times New Roman" w:cs="Times New Roman"/>
          <w:sz w:val="24"/>
          <w:szCs w:val="24"/>
        </w:rPr>
        <w:t xml:space="preserve"> </w:t>
      </w:r>
      <w:proofErr w:type="spellStart"/>
      <w:r w:rsidRPr="0072014D">
        <w:rPr>
          <w:rFonts w:ascii="Times New Roman" w:hAnsi="Times New Roman" w:cs="Times New Roman"/>
          <w:sz w:val="24"/>
          <w:szCs w:val="24"/>
        </w:rPr>
        <w:t>Esp</w:t>
      </w:r>
      <w:proofErr w:type="spellEnd"/>
      <w:r w:rsidRPr="0072014D">
        <w:rPr>
          <w:rFonts w:ascii="Times New Roman" w:hAnsi="Times New Roman" w:cs="Times New Roman"/>
          <w:sz w:val="24"/>
          <w:szCs w:val="24"/>
        </w:rPr>
        <w:t xml:space="preserve"> </w:t>
      </w:r>
      <w:proofErr w:type="spellStart"/>
      <w:r w:rsidRPr="0072014D">
        <w:rPr>
          <w:rFonts w:ascii="Times New Roman" w:hAnsi="Times New Roman" w:cs="Times New Roman"/>
          <w:sz w:val="24"/>
          <w:szCs w:val="24"/>
        </w:rPr>
        <w:t>Artrosc</w:t>
      </w:r>
      <w:proofErr w:type="spellEnd"/>
      <w:r w:rsidRPr="0072014D">
        <w:rPr>
          <w:rFonts w:ascii="Times New Roman" w:hAnsi="Times New Roman" w:cs="Times New Roman"/>
          <w:sz w:val="24"/>
          <w:szCs w:val="24"/>
        </w:rPr>
        <w:t xml:space="preserve"> </w:t>
      </w:r>
      <w:proofErr w:type="spellStart"/>
      <w:r w:rsidRPr="0072014D">
        <w:rPr>
          <w:rFonts w:ascii="Times New Roman" w:hAnsi="Times New Roman" w:cs="Times New Roman"/>
          <w:sz w:val="24"/>
          <w:szCs w:val="24"/>
        </w:rPr>
        <w:t>Cir</w:t>
      </w:r>
      <w:proofErr w:type="spellEnd"/>
      <w:r w:rsidRPr="0072014D">
        <w:rPr>
          <w:rFonts w:ascii="Times New Roman" w:hAnsi="Times New Roman" w:cs="Times New Roman"/>
          <w:sz w:val="24"/>
          <w:szCs w:val="24"/>
        </w:rPr>
        <w:t xml:space="preserve"> </w:t>
      </w:r>
      <w:proofErr w:type="spellStart"/>
      <w:r w:rsidRPr="0072014D">
        <w:rPr>
          <w:rFonts w:ascii="Times New Roman" w:hAnsi="Times New Roman" w:cs="Times New Roman"/>
          <w:sz w:val="24"/>
          <w:szCs w:val="24"/>
        </w:rPr>
        <w:t>Articul</w:t>
      </w:r>
      <w:proofErr w:type="spellEnd"/>
      <w:r w:rsidRPr="0072014D">
        <w:rPr>
          <w:rFonts w:ascii="Times New Roman" w:hAnsi="Times New Roman" w:cs="Times New Roman"/>
          <w:sz w:val="24"/>
          <w:szCs w:val="24"/>
        </w:rPr>
        <w:t xml:space="preserve">. 2017 [acceso: 11/01/2021]; 24(2):171-4 Disponible en: </w:t>
      </w:r>
      <w:hyperlink r:id="rId15" w:history="1">
        <w:r w:rsidRPr="0072014D">
          <w:rPr>
            <w:rStyle w:val="Hipervnculo"/>
            <w:rFonts w:ascii="Times New Roman" w:hAnsi="Times New Roman" w:cs="Times New Roman"/>
            <w:sz w:val="24"/>
            <w:szCs w:val="24"/>
          </w:rPr>
          <w:t>https://fondoscience.com/sites/default/files/articles/pdf/fs_24259.fs1705018-luxacion-de-rodilla-traumatismo-bajo.pdf</w:t>
        </w:r>
      </w:hyperlink>
      <w:r w:rsidRPr="0072014D">
        <w:rPr>
          <w:rFonts w:ascii="Times New Roman" w:hAnsi="Times New Roman" w:cs="Times New Roman"/>
          <w:sz w:val="24"/>
          <w:szCs w:val="24"/>
        </w:rPr>
        <w:t xml:space="preserve"> </w:t>
      </w:r>
    </w:p>
    <w:p w14:paraId="07F6E9F6" w14:textId="77777777" w:rsidR="0072014D" w:rsidRPr="0072014D" w:rsidRDefault="0072014D" w:rsidP="0072014D">
      <w:pPr>
        <w:spacing w:after="0" w:line="360" w:lineRule="auto"/>
        <w:rPr>
          <w:rFonts w:ascii="Times New Roman" w:hAnsi="Times New Roman" w:cs="Times New Roman"/>
          <w:sz w:val="24"/>
          <w:szCs w:val="24"/>
          <w:lang w:val="en-US"/>
        </w:rPr>
      </w:pPr>
      <w:r w:rsidRPr="0072014D">
        <w:rPr>
          <w:rFonts w:ascii="Times New Roman" w:hAnsi="Times New Roman" w:cs="Times New Roman"/>
          <w:sz w:val="24"/>
          <w:szCs w:val="24"/>
        </w:rPr>
        <w:t xml:space="preserve">7. Carredano GX, Valderrama RJ, Arellano GS, Montenegro BD, Lizama CP, Bernal BN. Luxación expuesta de rodilla: ¿Qué hemos aprendido en los últimos 20 años? </w:t>
      </w:r>
      <w:r w:rsidRPr="0072014D">
        <w:rPr>
          <w:rFonts w:ascii="Times New Roman" w:hAnsi="Times New Roman" w:cs="Times New Roman"/>
          <w:sz w:val="24"/>
          <w:szCs w:val="24"/>
          <w:lang w:val="en-US"/>
        </w:rPr>
        <w:t xml:space="preserve">Chilean Journal of </w:t>
      </w:r>
      <w:proofErr w:type="spellStart"/>
      <w:r w:rsidRPr="0072014D">
        <w:rPr>
          <w:rFonts w:ascii="Times New Roman" w:hAnsi="Times New Roman" w:cs="Times New Roman"/>
          <w:sz w:val="24"/>
          <w:szCs w:val="24"/>
          <w:lang w:val="en-US"/>
        </w:rPr>
        <w:t>Orthopaedics</w:t>
      </w:r>
      <w:proofErr w:type="spellEnd"/>
      <w:r w:rsidRPr="0072014D">
        <w:rPr>
          <w:rFonts w:ascii="Times New Roman" w:hAnsi="Times New Roman" w:cs="Times New Roman"/>
          <w:sz w:val="24"/>
          <w:szCs w:val="24"/>
          <w:lang w:val="en-US"/>
        </w:rPr>
        <w:t xml:space="preserve"> and Traumatology. 2018 [</w:t>
      </w:r>
      <w:proofErr w:type="spellStart"/>
      <w:r w:rsidRPr="0072014D">
        <w:rPr>
          <w:rFonts w:ascii="Times New Roman" w:hAnsi="Times New Roman" w:cs="Times New Roman"/>
          <w:sz w:val="24"/>
          <w:szCs w:val="24"/>
          <w:lang w:val="en-US"/>
        </w:rPr>
        <w:t>acceso</w:t>
      </w:r>
      <w:proofErr w:type="spellEnd"/>
      <w:r w:rsidRPr="0072014D">
        <w:rPr>
          <w:rFonts w:ascii="Times New Roman" w:hAnsi="Times New Roman" w:cs="Times New Roman"/>
          <w:sz w:val="24"/>
          <w:szCs w:val="24"/>
          <w:lang w:val="en-US"/>
        </w:rPr>
        <w:t xml:space="preserve">: 11/01/2021]; 59(2):47-54. Disponible </w:t>
      </w:r>
      <w:proofErr w:type="spellStart"/>
      <w:r w:rsidRPr="0072014D">
        <w:rPr>
          <w:rFonts w:ascii="Times New Roman" w:hAnsi="Times New Roman" w:cs="Times New Roman"/>
          <w:sz w:val="24"/>
          <w:szCs w:val="24"/>
          <w:lang w:val="en-US"/>
        </w:rPr>
        <w:t>en</w:t>
      </w:r>
      <w:proofErr w:type="spellEnd"/>
      <w:r w:rsidRPr="0072014D">
        <w:rPr>
          <w:rFonts w:ascii="Times New Roman" w:hAnsi="Times New Roman" w:cs="Times New Roman"/>
          <w:sz w:val="24"/>
          <w:szCs w:val="24"/>
          <w:lang w:val="en-US"/>
        </w:rPr>
        <w:t xml:space="preserve">: </w:t>
      </w:r>
      <w:r w:rsidR="00CF1A15">
        <w:fldChar w:fldCharType="begin"/>
      </w:r>
      <w:r w:rsidR="00CF1A15" w:rsidRPr="00121C23">
        <w:rPr>
          <w:lang w:val="en-US"/>
        </w:rPr>
        <w:instrText xml:space="preserve"> HYPERLINK "http</w:instrText>
      </w:r>
      <w:r w:rsidR="00CF1A15" w:rsidRPr="00121C23">
        <w:rPr>
          <w:lang w:val="en-US"/>
        </w:rPr>
        <w:instrText xml:space="preserve">s://pdfs.semanticscholar.org/6847/19bd568dbf711b4f0682c43bbac5cb9a1cdf.pdf" </w:instrText>
      </w:r>
      <w:r w:rsidR="00CF1A15">
        <w:fldChar w:fldCharType="separate"/>
      </w:r>
      <w:r w:rsidRPr="0072014D">
        <w:rPr>
          <w:rStyle w:val="Hipervnculo"/>
          <w:rFonts w:ascii="Times New Roman" w:hAnsi="Times New Roman" w:cs="Times New Roman"/>
          <w:sz w:val="24"/>
          <w:szCs w:val="24"/>
          <w:lang w:val="en-US"/>
        </w:rPr>
        <w:t>https://pdfs.semanticscholar.org/6847/19bd568dbf711b4f0682c43bbac5cb9a1cdf.pdf</w:t>
      </w:r>
      <w:r w:rsidR="00CF1A15">
        <w:rPr>
          <w:rStyle w:val="Hipervnculo"/>
          <w:rFonts w:ascii="Times New Roman" w:hAnsi="Times New Roman" w:cs="Times New Roman"/>
          <w:sz w:val="24"/>
          <w:szCs w:val="24"/>
          <w:lang w:val="en-US"/>
        </w:rPr>
        <w:fldChar w:fldCharType="end"/>
      </w:r>
      <w:r w:rsidRPr="0072014D">
        <w:rPr>
          <w:rFonts w:ascii="Times New Roman" w:hAnsi="Times New Roman" w:cs="Times New Roman"/>
          <w:sz w:val="24"/>
          <w:szCs w:val="24"/>
          <w:lang w:val="en-US"/>
        </w:rPr>
        <w:t xml:space="preserve"> </w:t>
      </w:r>
    </w:p>
    <w:p w14:paraId="267A3459"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8. Rodríguez </w:t>
      </w:r>
      <w:proofErr w:type="spellStart"/>
      <w:r w:rsidRPr="0072014D">
        <w:rPr>
          <w:rFonts w:ascii="Times New Roman" w:hAnsi="Times New Roman" w:cs="Times New Roman"/>
          <w:sz w:val="24"/>
          <w:szCs w:val="24"/>
        </w:rPr>
        <w:t>Nogué</w:t>
      </w:r>
      <w:proofErr w:type="spellEnd"/>
      <w:r w:rsidRPr="0072014D">
        <w:rPr>
          <w:rFonts w:ascii="Times New Roman" w:hAnsi="Times New Roman" w:cs="Times New Roman"/>
          <w:sz w:val="24"/>
          <w:szCs w:val="24"/>
        </w:rPr>
        <w:t xml:space="preserve"> L, Pinilla Gracia C, Hernández Fernández A. Tratamiento quirúrgico de una luxación posterior de rodilla con lesión del aparato extensor. España: Sociedad Española de Cirugía Ortopédica y Traumatología. 2019. [acceso: 11/01/2021]: Disponible en: </w:t>
      </w:r>
      <w:hyperlink r:id="rId16" w:history="1">
        <w:r w:rsidRPr="0072014D">
          <w:rPr>
            <w:rStyle w:val="Hipervnculo"/>
            <w:rFonts w:ascii="Times New Roman" w:hAnsi="Times New Roman" w:cs="Times New Roman"/>
            <w:sz w:val="24"/>
            <w:szCs w:val="24"/>
          </w:rPr>
          <w:t>https://casosclinicos.secot.es/casos/caso_clinico_1259.pdf</w:t>
        </w:r>
      </w:hyperlink>
      <w:r w:rsidRPr="0072014D">
        <w:rPr>
          <w:rFonts w:ascii="Times New Roman" w:hAnsi="Times New Roman" w:cs="Times New Roman"/>
          <w:sz w:val="24"/>
          <w:szCs w:val="24"/>
        </w:rPr>
        <w:t xml:space="preserve"> </w:t>
      </w:r>
    </w:p>
    <w:p w14:paraId="3936F3BA"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9. Gigante F, </w:t>
      </w:r>
      <w:proofErr w:type="spellStart"/>
      <w:r w:rsidRPr="0072014D">
        <w:rPr>
          <w:rFonts w:ascii="Times New Roman" w:hAnsi="Times New Roman" w:cs="Times New Roman"/>
          <w:sz w:val="24"/>
          <w:szCs w:val="24"/>
        </w:rPr>
        <w:t>Lapera</w:t>
      </w:r>
      <w:proofErr w:type="spellEnd"/>
      <w:r w:rsidRPr="0072014D">
        <w:rPr>
          <w:rFonts w:ascii="Times New Roman" w:hAnsi="Times New Roman" w:cs="Times New Roman"/>
          <w:sz w:val="24"/>
          <w:szCs w:val="24"/>
        </w:rPr>
        <w:t xml:space="preserve"> M, Pérez Zabala M, </w:t>
      </w:r>
      <w:proofErr w:type="spellStart"/>
      <w:r w:rsidRPr="0072014D">
        <w:rPr>
          <w:rFonts w:ascii="Times New Roman" w:hAnsi="Times New Roman" w:cs="Times New Roman"/>
          <w:sz w:val="24"/>
          <w:szCs w:val="24"/>
        </w:rPr>
        <w:t>Pesolani</w:t>
      </w:r>
      <w:proofErr w:type="spellEnd"/>
      <w:r w:rsidRPr="0072014D">
        <w:rPr>
          <w:rFonts w:ascii="Times New Roman" w:hAnsi="Times New Roman" w:cs="Times New Roman"/>
          <w:sz w:val="24"/>
          <w:szCs w:val="24"/>
        </w:rPr>
        <w:t xml:space="preserve"> M, </w:t>
      </w:r>
      <w:proofErr w:type="spellStart"/>
      <w:r w:rsidRPr="0072014D">
        <w:rPr>
          <w:rFonts w:ascii="Times New Roman" w:hAnsi="Times New Roman" w:cs="Times New Roman"/>
          <w:sz w:val="24"/>
          <w:szCs w:val="24"/>
        </w:rPr>
        <w:t>Serpone</w:t>
      </w:r>
      <w:proofErr w:type="spellEnd"/>
      <w:r w:rsidRPr="0072014D">
        <w:rPr>
          <w:rFonts w:ascii="Times New Roman" w:hAnsi="Times New Roman" w:cs="Times New Roman"/>
          <w:sz w:val="24"/>
          <w:szCs w:val="24"/>
        </w:rPr>
        <w:t xml:space="preserve"> A. Conducta inicial en la luxación aguda de rodilla. Nuestra experiencia de 20 años. </w:t>
      </w:r>
      <w:proofErr w:type="spellStart"/>
      <w:r w:rsidRPr="0072014D">
        <w:rPr>
          <w:rFonts w:ascii="Times New Roman" w:hAnsi="Times New Roman" w:cs="Times New Roman"/>
          <w:sz w:val="24"/>
          <w:szCs w:val="24"/>
        </w:rPr>
        <w:t>Artrosc</w:t>
      </w:r>
      <w:proofErr w:type="spellEnd"/>
      <w:r w:rsidRPr="0072014D">
        <w:rPr>
          <w:rFonts w:ascii="Times New Roman" w:hAnsi="Times New Roman" w:cs="Times New Roman"/>
          <w:sz w:val="24"/>
          <w:szCs w:val="24"/>
        </w:rPr>
        <w:t xml:space="preserve">. 2016 [acceso: 11/01/2021]; 23(2): 61-69. Disponible en: </w:t>
      </w:r>
      <w:hyperlink r:id="rId17" w:history="1">
        <w:r w:rsidRPr="0072014D">
          <w:rPr>
            <w:rStyle w:val="Hipervnculo"/>
            <w:rFonts w:ascii="Times New Roman" w:hAnsi="Times New Roman" w:cs="Times New Roman"/>
            <w:sz w:val="24"/>
            <w:szCs w:val="24"/>
          </w:rPr>
          <w:t>https://pesquisa.bvsalud.org/portal/resource/pt/lil-786942?lang=es</w:t>
        </w:r>
      </w:hyperlink>
      <w:r w:rsidRPr="0072014D">
        <w:rPr>
          <w:rFonts w:ascii="Times New Roman" w:hAnsi="Times New Roman" w:cs="Times New Roman"/>
          <w:sz w:val="24"/>
          <w:szCs w:val="24"/>
        </w:rPr>
        <w:t xml:space="preserve"> </w:t>
      </w:r>
    </w:p>
    <w:p w14:paraId="0C3105A8"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lang w:val="en-US"/>
        </w:rPr>
        <w:t xml:space="preserve">10. Richter D, Burke Gurney A, Natividad T, Andrews R, </w:t>
      </w:r>
      <w:proofErr w:type="spellStart"/>
      <w:r w:rsidRPr="0072014D">
        <w:rPr>
          <w:rFonts w:ascii="Times New Roman" w:hAnsi="Times New Roman" w:cs="Times New Roman"/>
          <w:sz w:val="24"/>
          <w:szCs w:val="24"/>
          <w:lang w:val="en-US"/>
        </w:rPr>
        <w:t>LaBaze</w:t>
      </w:r>
      <w:proofErr w:type="spellEnd"/>
      <w:r w:rsidRPr="0072014D">
        <w:rPr>
          <w:rFonts w:ascii="Times New Roman" w:hAnsi="Times New Roman" w:cs="Times New Roman"/>
          <w:sz w:val="24"/>
          <w:szCs w:val="24"/>
          <w:lang w:val="en-US"/>
        </w:rPr>
        <w:t xml:space="preserve"> D, Schenck R, et al. </w:t>
      </w:r>
      <w:r w:rsidRPr="0072014D">
        <w:rPr>
          <w:rFonts w:ascii="Times New Roman" w:hAnsi="Times New Roman" w:cs="Times New Roman"/>
          <w:sz w:val="24"/>
          <w:szCs w:val="24"/>
        </w:rPr>
        <w:t xml:space="preserve">Un seguimiento de 2 a 10 años de los resultados clínicos y funcionales de luxaciones de rodilla: resultados preliminares. </w:t>
      </w:r>
      <w:proofErr w:type="spellStart"/>
      <w:r w:rsidRPr="0072014D">
        <w:rPr>
          <w:rFonts w:ascii="Times New Roman" w:hAnsi="Times New Roman" w:cs="Times New Roman"/>
          <w:sz w:val="24"/>
          <w:szCs w:val="24"/>
        </w:rPr>
        <w:t>PubliCE</w:t>
      </w:r>
      <w:proofErr w:type="spellEnd"/>
      <w:r w:rsidRPr="0072014D">
        <w:rPr>
          <w:rFonts w:ascii="Times New Roman" w:hAnsi="Times New Roman" w:cs="Times New Roman"/>
          <w:sz w:val="24"/>
          <w:szCs w:val="24"/>
        </w:rPr>
        <w:t xml:space="preserve">. 2018 [acceso: 11/01/2021];2018: [aprox. 20 </w:t>
      </w:r>
      <w:proofErr w:type="spellStart"/>
      <w:r w:rsidRPr="0072014D">
        <w:rPr>
          <w:rFonts w:ascii="Times New Roman" w:hAnsi="Times New Roman" w:cs="Times New Roman"/>
          <w:sz w:val="24"/>
          <w:szCs w:val="24"/>
        </w:rPr>
        <w:t>pant</w:t>
      </w:r>
      <w:proofErr w:type="spellEnd"/>
      <w:r w:rsidRPr="0072014D">
        <w:rPr>
          <w:rFonts w:ascii="Times New Roman" w:hAnsi="Times New Roman" w:cs="Times New Roman"/>
          <w:sz w:val="24"/>
          <w:szCs w:val="24"/>
        </w:rPr>
        <w:t xml:space="preserve">.] Disponible en: </w:t>
      </w:r>
      <w:hyperlink r:id="rId18" w:history="1">
        <w:r w:rsidRPr="0072014D">
          <w:rPr>
            <w:rStyle w:val="Hipervnculo"/>
            <w:rFonts w:ascii="Times New Roman" w:hAnsi="Times New Roman" w:cs="Times New Roman"/>
            <w:sz w:val="24"/>
            <w:szCs w:val="24"/>
          </w:rPr>
          <w:t>https://g-se.com/un-seguimiento-de-2-a-10-anos-de-los-resultados-clinicos-y-funcionales-de-luxaciones-de-rodilla-resultados-preliminares-2377-sa-d5a8f304b08c82</w:t>
        </w:r>
      </w:hyperlink>
      <w:r w:rsidRPr="0072014D">
        <w:rPr>
          <w:rFonts w:ascii="Times New Roman" w:hAnsi="Times New Roman" w:cs="Times New Roman"/>
          <w:sz w:val="24"/>
          <w:szCs w:val="24"/>
        </w:rPr>
        <w:t xml:space="preserve"> </w:t>
      </w:r>
    </w:p>
    <w:p w14:paraId="4FB2C4C3" w14:textId="77777777" w:rsidR="0072014D" w:rsidRPr="0072014D" w:rsidRDefault="0072014D" w:rsidP="0072014D">
      <w:pPr>
        <w:spacing w:after="0" w:line="360" w:lineRule="auto"/>
        <w:rPr>
          <w:rFonts w:ascii="Times New Roman" w:hAnsi="Times New Roman" w:cs="Times New Roman"/>
          <w:sz w:val="24"/>
          <w:szCs w:val="24"/>
        </w:rPr>
      </w:pPr>
      <w:r w:rsidRPr="0072014D">
        <w:rPr>
          <w:rFonts w:ascii="Times New Roman" w:hAnsi="Times New Roman" w:cs="Times New Roman"/>
          <w:sz w:val="24"/>
          <w:szCs w:val="24"/>
        </w:rPr>
        <w:t xml:space="preserve">11. Vizuete AZ, </w:t>
      </w:r>
      <w:proofErr w:type="spellStart"/>
      <w:r w:rsidRPr="0072014D">
        <w:rPr>
          <w:rFonts w:ascii="Times New Roman" w:hAnsi="Times New Roman" w:cs="Times New Roman"/>
          <w:sz w:val="24"/>
          <w:szCs w:val="24"/>
        </w:rPr>
        <w:t>Perez</w:t>
      </w:r>
      <w:proofErr w:type="spellEnd"/>
      <w:r w:rsidRPr="0072014D">
        <w:rPr>
          <w:rFonts w:ascii="Times New Roman" w:hAnsi="Times New Roman" w:cs="Times New Roman"/>
          <w:sz w:val="24"/>
          <w:szCs w:val="24"/>
        </w:rPr>
        <w:t xml:space="preserve"> AJC, Ruiz FJM. Reconstrucción  de la esquina </w:t>
      </w:r>
      <w:proofErr w:type="spellStart"/>
      <w:r w:rsidRPr="0072014D">
        <w:rPr>
          <w:rFonts w:ascii="Times New Roman" w:hAnsi="Times New Roman" w:cs="Times New Roman"/>
          <w:sz w:val="24"/>
          <w:szCs w:val="24"/>
        </w:rPr>
        <w:t>posterointerna</w:t>
      </w:r>
      <w:proofErr w:type="spellEnd"/>
      <w:r w:rsidRPr="0072014D">
        <w:rPr>
          <w:rFonts w:ascii="Times New Roman" w:hAnsi="Times New Roman" w:cs="Times New Roman"/>
          <w:sz w:val="24"/>
          <w:szCs w:val="24"/>
        </w:rPr>
        <w:t xml:space="preserve"> de la rodilla tras luxación traumática. España: Sociedad Española de Cirugía Ortopédica y Traumatología. 2019. [acceso: 11/01/2021]. Disponible en: </w:t>
      </w:r>
      <w:hyperlink r:id="rId19" w:history="1">
        <w:r w:rsidRPr="0072014D">
          <w:rPr>
            <w:rStyle w:val="Hipervnculo"/>
            <w:rFonts w:ascii="Times New Roman" w:hAnsi="Times New Roman" w:cs="Times New Roman"/>
            <w:sz w:val="24"/>
            <w:szCs w:val="24"/>
          </w:rPr>
          <w:t>https://casosclinicos.secot.es/casos/caso_clinico_1245.pdf</w:t>
        </w:r>
      </w:hyperlink>
      <w:r w:rsidRPr="0072014D">
        <w:rPr>
          <w:rFonts w:ascii="Times New Roman" w:hAnsi="Times New Roman" w:cs="Times New Roman"/>
          <w:sz w:val="24"/>
          <w:szCs w:val="24"/>
        </w:rPr>
        <w:t xml:space="preserve"> </w:t>
      </w:r>
    </w:p>
    <w:p w14:paraId="183358AA" w14:textId="77777777" w:rsidR="0072014D" w:rsidRPr="0072014D" w:rsidRDefault="0072014D" w:rsidP="0072014D">
      <w:pPr>
        <w:spacing w:after="0" w:line="360" w:lineRule="auto"/>
        <w:rPr>
          <w:rStyle w:val="Hipervnculo"/>
          <w:rFonts w:ascii="Times New Roman" w:hAnsi="Times New Roman" w:cs="Times New Roman"/>
          <w:sz w:val="24"/>
          <w:szCs w:val="24"/>
        </w:rPr>
      </w:pPr>
    </w:p>
    <w:p w14:paraId="04DD33D9"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p>
    <w:p w14:paraId="351AC740" w14:textId="77777777" w:rsidR="0072014D" w:rsidRPr="0072014D" w:rsidRDefault="0072014D" w:rsidP="0072014D">
      <w:pPr>
        <w:pStyle w:val="Sinespaciado"/>
        <w:spacing w:line="360" w:lineRule="auto"/>
        <w:jc w:val="center"/>
        <w:rPr>
          <w:rFonts w:ascii="Times New Roman" w:hAnsi="Times New Roman" w:cs="Times New Roman"/>
          <w:b/>
          <w:sz w:val="24"/>
          <w:szCs w:val="24"/>
          <w:lang w:val="es-ES_tradnl"/>
        </w:rPr>
      </w:pPr>
      <w:r w:rsidRPr="0072014D">
        <w:rPr>
          <w:rFonts w:ascii="Times New Roman" w:hAnsi="Times New Roman" w:cs="Times New Roman"/>
          <w:b/>
          <w:sz w:val="24"/>
          <w:szCs w:val="24"/>
          <w:lang w:val="es-ES_tradnl"/>
        </w:rPr>
        <w:t>Conflictos de interés</w:t>
      </w:r>
    </w:p>
    <w:p w14:paraId="5F5ABDA9" w14:textId="77777777" w:rsidR="0072014D" w:rsidRPr="0072014D" w:rsidRDefault="0072014D" w:rsidP="0072014D">
      <w:pPr>
        <w:pStyle w:val="Sinespaciado"/>
        <w:spacing w:line="360" w:lineRule="auto"/>
        <w:rPr>
          <w:rFonts w:ascii="Times New Roman" w:hAnsi="Times New Roman" w:cs="Times New Roman"/>
          <w:color w:val="FF0000"/>
          <w:sz w:val="24"/>
          <w:szCs w:val="24"/>
          <w:lang w:val="es-ES_tradnl"/>
        </w:rPr>
      </w:pPr>
      <w:r w:rsidRPr="0072014D">
        <w:rPr>
          <w:rFonts w:ascii="Times New Roman" w:hAnsi="Times New Roman" w:cs="Times New Roman"/>
          <w:sz w:val="24"/>
          <w:szCs w:val="24"/>
          <w:lang w:val="es-ES_tradnl"/>
        </w:rPr>
        <w:t>Los autores declaran no tener conflictos de interés relacionados con este estudio.</w:t>
      </w:r>
    </w:p>
    <w:p w14:paraId="372AED50" w14:textId="77777777" w:rsidR="00675476" w:rsidRPr="0072014D" w:rsidRDefault="00675476" w:rsidP="00391509">
      <w:pPr>
        <w:rPr>
          <w:rFonts w:ascii="Times New Roman" w:hAnsi="Times New Roman" w:cs="Times New Roman"/>
        </w:rPr>
      </w:pPr>
    </w:p>
    <w:sectPr w:rsidR="00675476" w:rsidRPr="0072014D" w:rsidSect="000F3690">
      <w:headerReference w:type="default" r:id="rId20"/>
      <w:footerReference w:type="even" r:id="rId21"/>
      <w:footerReference w:type="default" r:id="rId2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B5D2" w14:textId="77777777" w:rsidR="00CF1A15" w:rsidRDefault="00CF1A15">
      <w:r>
        <w:separator/>
      </w:r>
    </w:p>
  </w:endnote>
  <w:endnote w:type="continuationSeparator" w:id="0">
    <w:p w14:paraId="14D3FB5D" w14:textId="77777777" w:rsidR="00CF1A15" w:rsidRDefault="00CF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164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6EB96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1478"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3F4A80FA" wp14:editId="2842CFB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781A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ACB33B3" w14:textId="77777777" w:rsidR="00675476" w:rsidRPr="00AE044C" w:rsidRDefault="00CF1A15" w:rsidP="00391509">
    <w:pPr>
      <w:pStyle w:val="Piedepgina"/>
      <w:ind w:right="360"/>
      <w:rPr>
        <w:sz w:val="22"/>
        <w:szCs w:val="22"/>
      </w:rPr>
    </w:pPr>
    <w:hyperlink r:id="rId1" w:history="1">
      <w:r w:rsidR="00391509" w:rsidRPr="00AE044C">
        <w:rPr>
          <w:rStyle w:val="Hipervnculo"/>
          <w:sz w:val="22"/>
          <w:szCs w:val="22"/>
        </w:rPr>
        <w:t>http://scielo.sld.cu</w:t>
      </w:r>
    </w:hyperlink>
  </w:p>
  <w:p w14:paraId="308B0BA2" w14:textId="77777777" w:rsidR="00391509" w:rsidRPr="00AE044C" w:rsidRDefault="00CF1A1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14A02C4"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62656C0" wp14:editId="27DAC5FD">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33D1" w14:textId="77777777" w:rsidR="00CF1A15" w:rsidRDefault="00CF1A15">
      <w:r>
        <w:separator/>
      </w:r>
    </w:p>
  </w:footnote>
  <w:footnote w:type="continuationSeparator" w:id="0">
    <w:p w14:paraId="06EF48C6" w14:textId="77777777" w:rsidR="00CF1A15" w:rsidRDefault="00CF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D18E" w14:textId="58A5A0CE"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59264" behindDoc="0" locked="0" layoutInCell="1" allowOverlap="1" wp14:anchorId="173433DE" wp14:editId="48B688A4">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760532">
      <w:rPr>
        <w:sz w:val="22"/>
        <w:szCs w:val="22"/>
      </w:rPr>
      <w:t>202</w:t>
    </w:r>
    <w:r w:rsidR="00121C23">
      <w:rPr>
        <w:sz w:val="22"/>
        <w:szCs w:val="22"/>
      </w:rPr>
      <w:t>1</w:t>
    </w:r>
    <w:r w:rsidR="003E03D5">
      <w:rPr>
        <w:sz w:val="22"/>
        <w:szCs w:val="22"/>
      </w:rPr>
      <w:t>;</w:t>
    </w:r>
    <w:r w:rsidR="00760532">
      <w:rPr>
        <w:sz w:val="22"/>
        <w:szCs w:val="22"/>
      </w:rPr>
      <w:t>50</w:t>
    </w:r>
    <w:r w:rsidR="00493701" w:rsidRPr="00AE044C">
      <w:rPr>
        <w:sz w:val="22"/>
        <w:szCs w:val="22"/>
      </w:rPr>
      <w:t>(</w:t>
    </w:r>
    <w:r w:rsidR="00760532">
      <w:rPr>
        <w:sz w:val="22"/>
        <w:szCs w:val="22"/>
      </w:rPr>
      <w:t>4</w:t>
    </w:r>
    <w:r w:rsidR="00493701" w:rsidRPr="00AE044C">
      <w:rPr>
        <w:sz w:val="22"/>
        <w:szCs w:val="22"/>
      </w:rPr>
      <w:t>)</w:t>
    </w:r>
    <w:r w:rsidR="00391509" w:rsidRPr="00AE044C">
      <w:rPr>
        <w:sz w:val="22"/>
        <w:szCs w:val="22"/>
      </w:rPr>
      <w:t>:</w:t>
    </w:r>
    <w:r w:rsidR="00760532">
      <w:rPr>
        <w:sz w:val="22"/>
        <w:szCs w:val="22"/>
      </w:rPr>
      <w:t xml:space="preserve"> e02101372</w:t>
    </w:r>
  </w:p>
  <w:p w14:paraId="1E9F3F21"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1DA4CFE0" wp14:editId="56C7851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B4F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14D"/>
    <w:rsid w:val="000F3690"/>
    <w:rsid w:val="00121C23"/>
    <w:rsid w:val="001221D1"/>
    <w:rsid w:val="00180CE9"/>
    <w:rsid w:val="00230DD5"/>
    <w:rsid w:val="002C0B64"/>
    <w:rsid w:val="00380D64"/>
    <w:rsid w:val="00391509"/>
    <w:rsid w:val="003E03D5"/>
    <w:rsid w:val="00493701"/>
    <w:rsid w:val="004E2065"/>
    <w:rsid w:val="005508A2"/>
    <w:rsid w:val="00566F71"/>
    <w:rsid w:val="00675476"/>
    <w:rsid w:val="0072014D"/>
    <w:rsid w:val="00760532"/>
    <w:rsid w:val="007C430F"/>
    <w:rsid w:val="007D614D"/>
    <w:rsid w:val="008D5FAC"/>
    <w:rsid w:val="00960D6A"/>
    <w:rsid w:val="009A0560"/>
    <w:rsid w:val="009B0917"/>
    <w:rsid w:val="00A23C0C"/>
    <w:rsid w:val="00A477DE"/>
    <w:rsid w:val="00A71E65"/>
    <w:rsid w:val="00AE044C"/>
    <w:rsid w:val="00AE065E"/>
    <w:rsid w:val="00B31971"/>
    <w:rsid w:val="00B4380A"/>
    <w:rsid w:val="00B66ECB"/>
    <w:rsid w:val="00C7523A"/>
    <w:rsid w:val="00C91413"/>
    <w:rsid w:val="00CC1B6E"/>
    <w:rsid w:val="00CC376A"/>
    <w:rsid w:val="00CC48A1"/>
    <w:rsid w:val="00CF1A15"/>
    <w:rsid w:val="00D85951"/>
    <w:rsid w:val="00E62606"/>
    <w:rsid w:val="00FC70B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E75A3"/>
  <w15:docId w15:val="{5F9E149C-1AFE-4610-AC72-841680C6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14D"/>
    <w:pPr>
      <w:spacing w:after="160" w:line="259" w:lineRule="auto"/>
    </w:pPr>
    <w:rPr>
      <w:rFonts w:asciiTheme="minorHAnsi" w:eastAsiaTheme="minorHAnsi" w:hAnsiTheme="minorHAnsi" w:cstheme="minorBidi"/>
      <w:sz w:val="22"/>
      <w:szCs w:val="22"/>
      <w:lang w:val="es-ES_tradnl" w:eastAsia="en-US"/>
    </w:rPr>
  </w:style>
  <w:style w:type="paragraph" w:styleId="Ttulo1">
    <w:name w:val="heading 1"/>
    <w:basedOn w:val="Normal"/>
    <w:next w:val="Normal"/>
    <w:link w:val="Ttulo1Car"/>
    <w:uiPriority w:val="9"/>
    <w:qFormat/>
    <w:rsid w:val="0072014D"/>
    <w:pPr>
      <w:keepNext/>
      <w:spacing w:line="360" w:lineRule="auto"/>
      <w:jc w:val="right"/>
      <w:outlineLvl w:val="0"/>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72014D"/>
    <w:rPr>
      <w:rFonts w:eastAsiaTheme="minorHAnsi"/>
      <w:b/>
      <w:sz w:val="24"/>
      <w:szCs w:val="24"/>
      <w:lang w:val="es-ES_tradnl" w:eastAsia="en-US"/>
    </w:rPr>
  </w:style>
  <w:style w:type="paragraph" w:customStyle="1" w:styleId="Default">
    <w:name w:val="Default"/>
    <w:rsid w:val="0072014D"/>
    <w:pPr>
      <w:autoSpaceDE w:val="0"/>
      <w:autoSpaceDN w:val="0"/>
      <w:adjustRightInd w:val="0"/>
    </w:pPr>
    <w:rPr>
      <w:rFonts w:eastAsiaTheme="minorHAnsi"/>
      <w:color w:val="000000"/>
      <w:sz w:val="24"/>
      <w:szCs w:val="24"/>
      <w:lang w:eastAsia="en-US"/>
    </w:rPr>
  </w:style>
  <w:style w:type="paragraph" w:styleId="Sinespaciado">
    <w:name w:val="No Spacing"/>
    <w:uiPriority w:val="1"/>
    <w:qFormat/>
    <w:rsid w:val="007201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492-8619" TargetMode="External"/><Relationship Id="rId13" Type="http://schemas.openxmlformats.org/officeDocument/2006/relationships/hyperlink" Target="https://www.revistaartroscopia.com/ediciones-anteriores/images/artroscopia/volumen-23-nro-3/PDFS/23_03_04_gigante.pdf" TargetMode="External"/><Relationship Id="rId18" Type="http://schemas.openxmlformats.org/officeDocument/2006/relationships/hyperlink" Target="https://g-se.com/un-seguimiento-de-2-a-10-anos-de-los-resultados-clinicos-y-funcionales-de-luxaciones-de-rodilla-resultados-preliminares-2377-sa-d5a8f304b08c8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orcid.org/0000-0001-5744-7778" TargetMode="External"/><Relationship Id="rId12" Type="http://schemas.openxmlformats.org/officeDocument/2006/relationships/hyperlink" Target="https://www.revcalixto.sld.cu/index.php/ahcg/article/view/432" TargetMode="External"/><Relationship Id="rId17" Type="http://schemas.openxmlformats.org/officeDocument/2006/relationships/hyperlink" Target="https://pesquisa.bvsalud.org/portal/resource/pt/lil-786942?lang=es" TargetMode="External"/><Relationship Id="rId2" Type="http://schemas.openxmlformats.org/officeDocument/2006/relationships/settings" Target="settings.xml"/><Relationship Id="rId16" Type="http://schemas.openxmlformats.org/officeDocument/2006/relationships/hyperlink" Target="https://casosclinicos.secot.es/casos/caso_clinico_1259.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3-0198-2168" TargetMode="Externa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ondoscience.com/sites/default/files/articles/pdf/fs_24259.fs1705018-luxacion-de-rodilla-traumatismo-bajo.pdf"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casosclinicos.secot.es/casos/caso_clinico_1245.pdf" TargetMode="External"/><Relationship Id="rId4" Type="http://schemas.openxmlformats.org/officeDocument/2006/relationships/footnotes" Target="footnotes.xml"/><Relationship Id="rId9" Type="http://schemas.openxmlformats.org/officeDocument/2006/relationships/hyperlink" Target="mailto:jluisnapoles@infomed.sld.cu" TargetMode="External"/><Relationship Id="rId14" Type="http://schemas.openxmlformats.org/officeDocument/2006/relationships/hyperlink" Target="https://casosclinicos.secot.es/casos/caso_clinico_1318.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27</TotalTime>
  <Pages>7</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13811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7</cp:revision>
  <cp:lastPrinted>2010-09-13T21:29:00Z</cp:lastPrinted>
  <dcterms:created xsi:type="dcterms:W3CDTF">2021-07-28T21:11:00Z</dcterms:created>
  <dcterms:modified xsi:type="dcterms:W3CDTF">2021-10-02T23:19:00Z</dcterms:modified>
</cp:coreProperties>
</file>