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71613" w14:textId="77777777" w:rsidR="00583C56" w:rsidRPr="00583C56" w:rsidRDefault="00583C56" w:rsidP="00583C56">
      <w:pPr>
        <w:spacing w:line="360" w:lineRule="auto"/>
        <w:jc w:val="right"/>
        <w:rPr>
          <w:rFonts w:eastAsia="Calibri"/>
          <w:sz w:val="20"/>
          <w:szCs w:val="20"/>
          <w:lang w:eastAsia="en-US"/>
        </w:rPr>
      </w:pPr>
      <w:r w:rsidRPr="00583C56">
        <w:rPr>
          <w:rFonts w:eastAsia="Calibri"/>
          <w:sz w:val="20"/>
          <w:szCs w:val="20"/>
          <w:lang w:eastAsia="en-US"/>
        </w:rPr>
        <w:t>Artículo de investigación</w:t>
      </w:r>
    </w:p>
    <w:p w14:paraId="5976D275" w14:textId="77777777" w:rsidR="00583C56" w:rsidRPr="00583C56" w:rsidRDefault="00583C56" w:rsidP="00583C56">
      <w:pPr>
        <w:spacing w:line="360" w:lineRule="auto"/>
        <w:jc w:val="right"/>
        <w:rPr>
          <w:rFonts w:eastAsia="Calibri"/>
          <w:b/>
          <w:lang w:eastAsia="en-US"/>
        </w:rPr>
      </w:pPr>
    </w:p>
    <w:p w14:paraId="3E74C080" w14:textId="77777777" w:rsidR="00583C56" w:rsidRPr="00583C56" w:rsidRDefault="00583C56" w:rsidP="00583C56">
      <w:pPr>
        <w:spacing w:line="360" w:lineRule="auto"/>
        <w:jc w:val="center"/>
        <w:rPr>
          <w:rFonts w:eastAsia="Calibri"/>
          <w:b/>
          <w:sz w:val="28"/>
          <w:szCs w:val="28"/>
          <w:lang w:eastAsia="en-US"/>
        </w:rPr>
      </w:pPr>
      <w:r w:rsidRPr="00583C56">
        <w:rPr>
          <w:rFonts w:eastAsia="Calibri"/>
          <w:b/>
          <w:sz w:val="28"/>
          <w:szCs w:val="28"/>
          <w:lang w:eastAsia="en-US"/>
        </w:rPr>
        <w:t>Carcinoma epidermoide intraoral y factores de riesgo asociados: un estudio de casos y controles</w:t>
      </w:r>
    </w:p>
    <w:p w14:paraId="2009BADB" w14:textId="77777777" w:rsidR="00583C56" w:rsidRPr="00583C56" w:rsidRDefault="00583C56" w:rsidP="00583C56">
      <w:pPr>
        <w:spacing w:line="360" w:lineRule="auto"/>
        <w:jc w:val="center"/>
        <w:rPr>
          <w:rFonts w:eastAsia="Calibri"/>
          <w:bCs/>
          <w:sz w:val="28"/>
          <w:szCs w:val="28"/>
          <w:lang w:val="en-US" w:eastAsia="en-US"/>
        </w:rPr>
      </w:pPr>
      <w:r w:rsidRPr="00583C56">
        <w:rPr>
          <w:rFonts w:eastAsia="Calibri"/>
          <w:bCs/>
          <w:sz w:val="28"/>
          <w:szCs w:val="28"/>
          <w:lang w:val="en-US" w:eastAsia="en-US"/>
        </w:rPr>
        <w:t>Oral squamous cell carcinoma and associated risk factors: A case-control study</w:t>
      </w:r>
    </w:p>
    <w:p w14:paraId="30521A8F" w14:textId="77777777" w:rsidR="00583C56" w:rsidRPr="00583C56" w:rsidRDefault="00583C56" w:rsidP="00583C56">
      <w:pPr>
        <w:spacing w:line="360" w:lineRule="auto"/>
        <w:jc w:val="center"/>
        <w:rPr>
          <w:rFonts w:eastAsia="Calibri"/>
          <w:bCs/>
          <w:lang w:val="en-US" w:eastAsia="en-US"/>
        </w:rPr>
      </w:pPr>
    </w:p>
    <w:p w14:paraId="58D19FDD" w14:textId="77777777" w:rsidR="00583C56" w:rsidRPr="00583C56" w:rsidRDefault="00583C56" w:rsidP="00583C56">
      <w:pPr>
        <w:spacing w:line="360" w:lineRule="auto"/>
        <w:jc w:val="both"/>
        <w:rPr>
          <w:rFonts w:eastAsia="Calibri"/>
          <w:bCs/>
          <w:lang w:eastAsia="en-US"/>
        </w:rPr>
      </w:pPr>
      <w:proofErr w:type="spellStart"/>
      <w:r w:rsidRPr="00583C56">
        <w:rPr>
          <w:rFonts w:eastAsia="Calibri"/>
          <w:bCs/>
          <w:lang w:eastAsia="en-US"/>
        </w:rPr>
        <w:t>Ibraín</w:t>
      </w:r>
      <w:proofErr w:type="spellEnd"/>
      <w:r w:rsidRPr="00583C56">
        <w:rPr>
          <w:rFonts w:eastAsia="Calibri"/>
          <w:bCs/>
          <w:lang w:eastAsia="en-US"/>
        </w:rPr>
        <w:t xml:space="preserve"> Enrique Corrales-Reyes</w:t>
      </w:r>
      <w:r w:rsidRPr="00583C56">
        <w:rPr>
          <w:rFonts w:eastAsia="Calibri"/>
          <w:bCs/>
          <w:vertAlign w:val="superscript"/>
          <w:lang w:eastAsia="en-US"/>
        </w:rPr>
        <w:t>1</w:t>
      </w:r>
      <w:r w:rsidRPr="00583C56">
        <w:rPr>
          <w:rFonts w:eastAsia="Calibri"/>
          <w:bCs/>
          <w:lang w:eastAsia="en-US"/>
        </w:rPr>
        <w:t xml:space="preserve">* </w:t>
      </w:r>
      <w:hyperlink r:id="rId7" w:history="1">
        <w:r w:rsidRPr="00583C56">
          <w:rPr>
            <w:rFonts w:eastAsia="Calibri"/>
            <w:bCs/>
            <w:color w:val="0563C1"/>
            <w:u w:val="single"/>
            <w:lang w:eastAsia="en-US"/>
          </w:rPr>
          <w:t>https://orcid.org/0000-0002-2146-9014</w:t>
        </w:r>
      </w:hyperlink>
      <w:r w:rsidRPr="00583C56">
        <w:rPr>
          <w:rFonts w:eastAsia="Calibri"/>
          <w:bCs/>
          <w:lang w:eastAsia="en-US"/>
        </w:rPr>
        <w:t xml:space="preserve"> </w:t>
      </w:r>
    </w:p>
    <w:p w14:paraId="7CEEB8CC" w14:textId="77777777" w:rsidR="00583C56" w:rsidRPr="00583C56" w:rsidRDefault="00583C56" w:rsidP="00583C56">
      <w:pPr>
        <w:spacing w:line="360" w:lineRule="auto"/>
        <w:jc w:val="both"/>
        <w:rPr>
          <w:rFonts w:eastAsia="Calibri"/>
          <w:bCs/>
          <w:lang w:eastAsia="en-US"/>
        </w:rPr>
      </w:pPr>
      <w:r w:rsidRPr="00583C56">
        <w:rPr>
          <w:rFonts w:eastAsia="Calibri"/>
          <w:bCs/>
          <w:lang w:eastAsia="en-US"/>
        </w:rPr>
        <w:t>Vanesa Cruz-Sánchez</w:t>
      </w:r>
      <w:r w:rsidRPr="00583C56">
        <w:rPr>
          <w:rFonts w:eastAsia="Calibri"/>
          <w:bCs/>
          <w:vertAlign w:val="superscript"/>
          <w:lang w:eastAsia="en-US"/>
        </w:rPr>
        <w:t>1</w:t>
      </w:r>
      <w:r w:rsidRPr="00583C56">
        <w:rPr>
          <w:rFonts w:eastAsia="Calibri"/>
          <w:bCs/>
          <w:lang w:eastAsia="en-US"/>
        </w:rPr>
        <w:t xml:space="preserve"> </w:t>
      </w:r>
      <w:hyperlink r:id="rId8" w:history="1">
        <w:r w:rsidRPr="00583C56">
          <w:rPr>
            <w:rFonts w:eastAsia="Calibri"/>
            <w:bCs/>
            <w:color w:val="0563C1"/>
            <w:u w:val="single"/>
            <w:lang w:eastAsia="en-US"/>
          </w:rPr>
          <w:t>https://orcid.org/0000-0003-1197-5105</w:t>
        </w:r>
      </w:hyperlink>
      <w:r w:rsidRPr="00583C56">
        <w:rPr>
          <w:rFonts w:eastAsia="Calibri"/>
          <w:bCs/>
          <w:lang w:eastAsia="en-US"/>
        </w:rPr>
        <w:t xml:space="preserve"> </w:t>
      </w:r>
    </w:p>
    <w:p w14:paraId="6D34704E" w14:textId="77777777" w:rsidR="00583C56" w:rsidRPr="00583C56" w:rsidRDefault="00583C56" w:rsidP="00583C56">
      <w:pPr>
        <w:spacing w:line="360" w:lineRule="auto"/>
        <w:jc w:val="both"/>
        <w:rPr>
          <w:rFonts w:eastAsia="Calibri"/>
          <w:bCs/>
          <w:lang w:val="en-US" w:eastAsia="en-US"/>
        </w:rPr>
      </w:pPr>
      <w:r w:rsidRPr="00583C56">
        <w:rPr>
          <w:rFonts w:eastAsia="Calibri"/>
          <w:bCs/>
          <w:lang w:val="en-US" w:eastAsia="en-US"/>
        </w:rPr>
        <w:t>Christian R. Mejia</w:t>
      </w:r>
      <w:r w:rsidRPr="00583C56">
        <w:rPr>
          <w:rFonts w:eastAsia="Calibri"/>
          <w:bCs/>
          <w:vertAlign w:val="superscript"/>
          <w:lang w:val="en-US" w:eastAsia="en-US"/>
        </w:rPr>
        <w:t>2</w:t>
      </w:r>
      <w:r w:rsidRPr="00583C56">
        <w:rPr>
          <w:rFonts w:eastAsia="Calibri"/>
          <w:bCs/>
          <w:lang w:val="en-US" w:eastAsia="en-US"/>
        </w:rPr>
        <w:t xml:space="preserve"> </w:t>
      </w:r>
      <w:hyperlink r:id="rId9" w:history="1">
        <w:r w:rsidRPr="00583C56">
          <w:rPr>
            <w:rFonts w:eastAsia="Calibri"/>
            <w:bCs/>
            <w:color w:val="0563C1"/>
            <w:u w:val="single"/>
            <w:lang w:val="en-US" w:eastAsia="en-US"/>
          </w:rPr>
          <w:t>https://orcid.org/0000-0002-5940-7281</w:t>
        </w:r>
      </w:hyperlink>
      <w:r w:rsidRPr="00583C56">
        <w:rPr>
          <w:rFonts w:eastAsia="Calibri"/>
          <w:bCs/>
          <w:lang w:val="en-US" w:eastAsia="en-US"/>
        </w:rPr>
        <w:t xml:space="preserve"> </w:t>
      </w:r>
    </w:p>
    <w:p w14:paraId="0FC54677" w14:textId="77777777" w:rsidR="00583C56" w:rsidRPr="00583C56" w:rsidRDefault="00583C56" w:rsidP="00583C56">
      <w:pPr>
        <w:spacing w:line="360" w:lineRule="auto"/>
        <w:jc w:val="both"/>
        <w:rPr>
          <w:rFonts w:eastAsia="Calibri"/>
          <w:bCs/>
          <w:lang w:val="en-US" w:eastAsia="en-US"/>
        </w:rPr>
      </w:pPr>
    </w:p>
    <w:p w14:paraId="1E2D0CE3" w14:textId="77777777" w:rsidR="00583C56" w:rsidRPr="00583C56" w:rsidRDefault="00583C56" w:rsidP="00583C56">
      <w:pPr>
        <w:spacing w:line="360" w:lineRule="auto"/>
        <w:jc w:val="both"/>
        <w:rPr>
          <w:rFonts w:eastAsia="Calibri"/>
          <w:bCs/>
          <w:lang w:eastAsia="en-US"/>
        </w:rPr>
      </w:pPr>
      <w:r w:rsidRPr="00583C56">
        <w:rPr>
          <w:rFonts w:eastAsia="Calibri"/>
          <w:bCs/>
          <w:vertAlign w:val="superscript"/>
          <w:lang w:eastAsia="en-US"/>
        </w:rPr>
        <w:t>1</w:t>
      </w:r>
      <w:r w:rsidRPr="00583C56">
        <w:rPr>
          <w:rFonts w:eastAsia="Calibri"/>
          <w:bCs/>
          <w:lang w:eastAsia="en-US"/>
        </w:rPr>
        <w:t>Universidad de Ciencias Médicas de Granma. Hospital General Provincial “Carlos Manuel de Céspedes”. Servicio de Cirugía Maxilofacial. Bayamo, Granma, Cuba.</w:t>
      </w:r>
    </w:p>
    <w:p w14:paraId="41542925" w14:textId="77777777" w:rsidR="00583C56" w:rsidRPr="00583C56" w:rsidRDefault="00583C56" w:rsidP="00583C56">
      <w:pPr>
        <w:spacing w:line="360" w:lineRule="auto"/>
        <w:jc w:val="both"/>
        <w:rPr>
          <w:rFonts w:eastAsia="Calibri"/>
          <w:bCs/>
          <w:lang w:eastAsia="en-US"/>
        </w:rPr>
      </w:pPr>
      <w:r w:rsidRPr="00583C56">
        <w:rPr>
          <w:rFonts w:eastAsia="Calibri"/>
          <w:bCs/>
          <w:vertAlign w:val="superscript"/>
          <w:lang w:eastAsia="en-US"/>
        </w:rPr>
        <w:t>2</w:t>
      </w:r>
      <w:r w:rsidRPr="00583C56">
        <w:rPr>
          <w:rFonts w:eastAsia="Calibri"/>
          <w:bCs/>
          <w:lang w:eastAsia="en-US"/>
        </w:rPr>
        <w:t>Universidad Norbert Wiener. Centro de Investigación en Medicina Traslacional. Lima, Perú.</w:t>
      </w:r>
    </w:p>
    <w:p w14:paraId="54BB519F" w14:textId="77777777" w:rsidR="00583C56" w:rsidRPr="00583C56" w:rsidRDefault="00583C56" w:rsidP="00583C56">
      <w:pPr>
        <w:spacing w:line="360" w:lineRule="auto"/>
        <w:jc w:val="both"/>
        <w:rPr>
          <w:rFonts w:eastAsia="Calibri"/>
          <w:bCs/>
          <w:lang w:eastAsia="en-US"/>
        </w:rPr>
      </w:pPr>
    </w:p>
    <w:p w14:paraId="31373128" w14:textId="77777777" w:rsidR="00583C56" w:rsidRPr="00583C56" w:rsidRDefault="00583C56" w:rsidP="00583C56">
      <w:pPr>
        <w:spacing w:line="360" w:lineRule="auto"/>
        <w:jc w:val="both"/>
        <w:rPr>
          <w:rFonts w:eastAsia="Calibri"/>
          <w:bCs/>
          <w:lang w:eastAsia="en-US"/>
        </w:rPr>
      </w:pPr>
      <w:r w:rsidRPr="00583C56">
        <w:rPr>
          <w:rFonts w:eastAsia="Calibri"/>
          <w:bCs/>
          <w:lang w:eastAsia="en-US"/>
        </w:rPr>
        <w:t xml:space="preserve">*Autor para la correspondencia. Correo electrónico: </w:t>
      </w:r>
      <w:hyperlink r:id="rId10" w:history="1">
        <w:r w:rsidRPr="00583C56">
          <w:rPr>
            <w:rFonts w:eastAsia="Calibri"/>
            <w:bCs/>
            <w:color w:val="0563C1"/>
            <w:u w:val="single"/>
            <w:lang w:eastAsia="en-US"/>
          </w:rPr>
          <w:t>iecorralesr@infomed.sld.cu</w:t>
        </w:r>
      </w:hyperlink>
      <w:r w:rsidRPr="00583C56">
        <w:rPr>
          <w:rFonts w:eastAsia="Calibri"/>
          <w:bCs/>
          <w:lang w:eastAsia="en-US"/>
        </w:rPr>
        <w:t xml:space="preserve"> </w:t>
      </w:r>
    </w:p>
    <w:p w14:paraId="2D6590B1" w14:textId="77777777" w:rsidR="00583C56" w:rsidRPr="00583C56" w:rsidRDefault="00583C56" w:rsidP="00583C56">
      <w:pPr>
        <w:spacing w:line="360" w:lineRule="auto"/>
        <w:jc w:val="both"/>
        <w:rPr>
          <w:rFonts w:eastAsia="Calibri"/>
          <w:bCs/>
          <w:lang w:eastAsia="en-US"/>
        </w:rPr>
      </w:pPr>
    </w:p>
    <w:p w14:paraId="2C6CA2E1" w14:textId="77777777" w:rsidR="00583C56" w:rsidRPr="00583C56" w:rsidRDefault="00583C56" w:rsidP="00583C56">
      <w:pPr>
        <w:spacing w:line="360" w:lineRule="auto"/>
        <w:jc w:val="both"/>
        <w:rPr>
          <w:rFonts w:eastAsia="Calibri"/>
          <w:b/>
          <w:lang w:eastAsia="en-US"/>
        </w:rPr>
      </w:pPr>
      <w:bookmarkStart w:id="0" w:name="_Hlk68475664"/>
      <w:r w:rsidRPr="00583C56">
        <w:rPr>
          <w:rFonts w:eastAsia="Calibri"/>
          <w:b/>
          <w:lang w:eastAsia="en-US"/>
        </w:rPr>
        <w:t>RESUMEN</w:t>
      </w:r>
    </w:p>
    <w:p w14:paraId="5EB15DA4" w14:textId="77777777" w:rsidR="00583C56" w:rsidRPr="00583C56" w:rsidRDefault="00583C56" w:rsidP="00583C56">
      <w:pPr>
        <w:spacing w:line="360" w:lineRule="auto"/>
        <w:jc w:val="both"/>
        <w:rPr>
          <w:rFonts w:eastAsia="Calibri"/>
          <w:lang w:eastAsia="en-US"/>
        </w:rPr>
      </w:pPr>
      <w:r w:rsidRPr="00583C56">
        <w:rPr>
          <w:rFonts w:eastAsia="Calibri"/>
          <w:b/>
          <w:lang w:eastAsia="en-US"/>
        </w:rPr>
        <w:t>Introducción</w:t>
      </w:r>
      <w:r w:rsidRPr="00583C56">
        <w:rPr>
          <w:rFonts w:eastAsia="Calibri"/>
          <w:lang w:eastAsia="en-US"/>
        </w:rPr>
        <w:t xml:space="preserve">: El carcinoma epidermoide es la neoplasia maligna más frecuente de la cabeza y el cuello, por lo que un conocimiento adecuado sobre sus factores de riesgo podría disminuir su morbimortalidad. </w:t>
      </w:r>
    </w:p>
    <w:p w14:paraId="5562367E" w14:textId="77777777" w:rsidR="00583C56" w:rsidRPr="00583C56" w:rsidRDefault="00583C56" w:rsidP="00583C56">
      <w:pPr>
        <w:spacing w:line="360" w:lineRule="auto"/>
        <w:jc w:val="both"/>
        <w:rPr>
          <w:rFonts w:eastAsia="Calibri"/>
          <w:lang w:eastAsia="ar-SA"/>
        </w:rPr>
      </w:pPr>
      <w:r w:rsidRPr="00583C56">
        <w:rPr>
          <w:rFonts w:eastAsia="Calibri"/>
          <w:b/>
          <w:lang w:eastAsia="en-US"/>
        </w:rPr>
        <w:t>Objetivo</w:t>
      </w:r>
      <w:r w:rsidRPr="00583C56">
        <w:rPr>
          <w:rFonts w:eastAsia="Calibri"/>
          <w:lang w:eastAsia="en-US"/>
        </w:rPr>
        <w:t xml:space="preserve">: </w:t>
      </w:r>
      <w:r w:rsidRPr="00583C56">
        <w:rPr>
          <w:rFonts w:eastAsia="Calibri"/>
          <w:lang w:eastAsia="es-ES"/>
        </w:rPr>
        <w:t>Identificar</w:t>
      </w:r>
      <w:r w:rsidRPr="00583C56">
        <w:rPr>
          <w:rFonts w:eastAsia="Calibri"/>
          <w:lang w:eastAsia="en-US"/>
        </w:rPr>
        <w:t xml:space="preserve"> la asociación causal entre algunos factores de riesgo y la aparición del carcinoma epidermoide de la cavidad bucal</w:t>
      </w:r>
      <w:r w:rsidRPr="00583C56">
        <w:rPr>
          <w:rFonts w:eastAsia="Calibri"/>
          <w:lang w:eastAsia="ar-SA"/>
        </w:rPr>
        <w:t xml:space="preserve">. </w:t>
      </w:r>
    </w:p>
    <w:p w14:paraId="33D1586A" w14:textId="77777777" w:rsidR="00583C56" w:rsidRPr="00583C56" w:rsidRDefault="00583C56" w:rsidP="00583C56">
      <w:pPr>
        <w:spacing w:line="360" w:lineRule="auto"/>
        <w:jc w:val="both"/>
        <w:rPr>
          <w:rFonts w:eastAsia="Calibri"/>
          <w:lang w:eastAsia="en-US"/>
        </w:rPr>
      </w:pPr>
      <w:r w:rsidRPr="00583C56">
        <w:rPr>
          <w:rFonts w:eastAsia="Calibri"/>
          <w:b/>
          <w:lang w:eastAsia="en-US"/>
        </w:rPr>
        <w:t>Métodos</w:t>
      </w:r>
      <w:r w:rsidRPr="00583C56">
        <w:rPr>
          <w:rFonts w:eastAsia="Calibri"/>
          <w:lang w:eastAsia="en-US"/>
        </w:rPr>
        <w:t xml:space="preserve">: Estudio observacional, analítico, de casos y controles en pacientes tratados en el servicio de cirugía maxilofacial del Hospital General Provincial “Carlos Manuel de Céspedes” entre el 1 de enero de 2018 y el 31 de diciembre de 2020. Para el análisis estadístico de los factores de riesgo se midió la fuerza de la asociación con el </w:t>
      </w:r>
      <w:proofErr w:type="spellStart"/>
      <w:r w:rsidRPr="00583C56">
        <w:rPr>
          <w:rFonts w:eastAsia="Calibri"/>
          <w:i/>
          <w:iCs/>
          <w:lang w:eastAsia="en-US"/>
        </w:rPr>
        <w:t>odds</w:t>
      </w:r>
      <w:proofErr w:type="spellEnd"/>
      <w:r w:rsidRPr="00583C56">
        <w:rPr>
          <w:rFonts w:eastAsia="Calibri"/>
          <w:i/>
          <w:iCs/>
          <w:lang w:eastAsia="en-US"/>
        </w:rPr>
        <w:t xml:space="preserve"> ratio</w:t>
      </w:r>
      <w:r w:rsidRPr="00583C56">
        <w:rPr>
          <w:rFonts w:eastAsia="Calibri"/>
          <w:lang w:eastAsia="en-US"/>
        </w:rPr>
        <w:t xml:space="preserve"> y sus intervalos de confianza (IC 95 %) y luego se realizó un análisis multivariado. </w:t>
      </w:r>
    </w:p>
    <w:p w14:paraId="0139AFC8" w14:textId="77777777" w:rsidR="00583C56" w:rsidRPr="00583C56" w:rsidRDefault="00583C56" w:rsidP="00583C56">
      <w:pPr>
        <w:spacing w:line="360" w:lineRule="auto"/>
        <w:jc w:val="both"/>
        <w:rPr>
          <w:rFonts w:eastAsia="Calibri"/>
          <w:lang w:eastAsia="en-US"/>
        </w:rPr>
      </w:pPr>
      <w:r w:rsidRPr="00583C56">
        <w:rPr>
          <w:rFonts w:eastAsia="Calibri"/>
          <w:b/>
          <w:lang w:eastAsia="en-US"/>
        </w:rPr>
        <w:t>Resultados</w:t>
      </w:r>
      <w:r w:rsidRPr="00583C56">
        <w:rPr>
          <w:rFonts w:eastAsia="Calibri"/>
          <w:lang w:eastAsia="en-US"/>
        </w:rPr>
        <w:t xml:space="preserve">: Se trabajó con 87 pacientes (29 casos y 58 controles). El 68,96 % (n = 20) de los casos fueron pacientes masculinos y su promedio de edad fue de 63,03 años. Las personas con antecedentes de </w:t>
      </w:r>
      <w:bookmarkStart w:id="1" w:name="_Hlk66294497"/>
      <w:r w:rsidRPr="00583C56">
        <w:rPr>
          <w:rFonts w:eastAsia="Calibri"/>
          <w:lang w:eastAsia="en-US"/>
        </w:rPr>
        <w:t xml:space="preserve">consumo de alcohol tuvieron un riesgo 16 veces mayor de padecer la enfermedad (OR: 16,03). La higiene </w:t>
      </w:r>
      <w:r w:rsidRPr="00583C56">
        <w:rPr>
          <w:rFonts w:eastAsia="Calibri"/>
          <w:lang w:eastAsia="en-US"/>
        </w:rPr>
        <w:lastRenderedPageBreak/>
        <w:t xml:space="preserve">bucal deficiente </w:t>
      </w:r>
      <w:bookmarkEnd w:id="1"/>
      <w:r w:rsidRPr="00583C56">
        <w:rPr>
          <w:rFonts w:eastAsia="Calibri"/>
          <w:lang w:eastAsia="en-US"/>
        </w:rPr>
        <w:t xml:space="preserve">(OR: 5,23; IC 95 %: 1,18-23,29; p = 0,030) y la exposición a irritantes traumáticos (OR: 4,41; IC 95 %: 1,01-19,23; p = 0,048) fueron también factores de riesgo. </w:t>
      </w:r>
    </w:p>
    <w:p w14:paraId="1D1933E5" w14:textId="77777777" w:rsidR="00583C56" w:rsidRPr="00583C56" w:rsidRDefault="00583C56" w:rsidP="00583C56">
      <w:pPr>
        <w:spacing w:line="360" w:lineRule="auto"/>
        <w:jc w:val="both"/>
        <w:rPr>
          <w:rFonts w:eastAsia="Calibri"/>
          <w:lang w:eastAsia="en-US"/>
        </w:rPr>
      </w:pPr>
      <w:r w:rsidRPr="00583C56">
        <w:rPr>
          <w:rFonts w:eastAsia="Calibri"/>
          <w:b/>
          <w:lang w:eastAsia="en-US"/>
        </w:rPr>
        <w:t>Conclusión</w:t>
      </w:r>
      <w:r w:rsidRPr="00583C56">
        <w:rPr>
          <w:rFonts w:eastAsia="Calibri"/>
          <w:lang w:eastAsia="en-US"/>
        </w:rPr>
        <w:t>: Existe una fuerte asociación entre la presencia de la enfermedad y el antecedente de consumo de alcohol, la exposición a irritantes traumáticos y la higiene bucal deficiente.</w:t>
      </w:r>
    </w:p>
    <w:p w14:paraId="6AE8A06C" w14:textId="77777777" w:rsidR="00583C56" w:rsidRPr="00583C56" w:rsidRDefault="00583C56" w:rsidP="00583C56">
      <w:pPr>
        <w:spacing w:line="360" w:lineRule="auto"/>
        <w:jc w:val="both"/>
        <w:rPr>
          <w:rFonts w:eastAsia="Calibri"/>
          <w:lang w:eastAsia="en-US"/>
        </w:rPr>
      </w:pPr>
      <w:r w:rsidRPr="00583C56">
        <w:rPr>
          <w:rFonts w:eastAsia="Calibri"/>
          <w:b/>
          <w:lang w:eastAsia="en-US"/>
        </w:rPr>
        <w:t>Palabras clave</w:t>
      </w:r>
      <w:r w:rsidRPr="00583C56">
        <w:rPr>
          <w:rFonts w:eastAsia="Calibri"/>
          <w:lang w:eastAsia="en-US"/>
        </w:rPr>
        <w:t>: neoplasias de la boca; carcinoma de células escamosas; factores de riesgo; epidemiología.</w:t>
      </w:r>
    </w:p>
    <w:bookmarkEnd w:id="0"/>
    <w:p w14:paraId="795F3878" w14:textId="77777777" w:rsidR="00583C56" w:rsidRPr="00583C56" w:rsidRDefault="00583C56" w:rsidP="00583C56">
      <w:pPr>
        <w:spacing w:line="360" w:lineRule="auto"/>
        <w:jc w:val="both"/>
        <w:rPr>
          <w:rFonts w:eastAsia="Calibri"/>
          <w:b/>
          <w:lang w:eastAsia="en-US"/>
        </w:rPr>
      </w:pPr>
    </w:p>
    <w:p w14:paraId="5506451C" w14:textId="77777777" w:rsidR="00583C56" w:rsidRPr="00583C56" w:rsidRDefault="00583C56" w:rsidP="00583C56">
      <w:pPr>
        <w:spacing w:line="360" w:lineRule="auto"/>
        <w:jc w:val="both"/>
        <w:rPr>
          <w:rFonts w:eastAsia="Calibri"/>
          <w:b/>
          <w:lang w:val="en-US" w:eastAsia="en-US"/>
        </w:rPr>
      </w:pPr>
      <w:r w:rsidRPr="00583C56">
        <w:rPr>
          <w:rFonts w:eastAsia="Calibri"/>
          <w:b/>
          <w:lang w:val="en-US" w:eastAsia="en-US"/>
        </w:rPr>
        <w:t>ABSTRACT</w:t>
      </w:r>
    </w:p>
    <w:p w14:paraId="6C962434" w14:textId="77777777" w:rsidR="00583C56" w:rsidRPr="00583C56" w:rsidRDefault="00583C56" w:rsidP="00583C56">
      <w:pPr>
        <w:spacing w:line="360" w:lineRule="auto"/>
        <w:jc w:val="both"/>
        <w:rPr>
          <w:rFonts w:eastAsia="Calibri"/>
          <w:lang w:val="en-US" w:eastAsia="en-US"/>
        </w:rPr>
      </w:pPr>
      <w:r w:rsidRPr="00583C56">
        <w:rPr>
          <w:rFonts w:eastAsia="Calibri"/>
          <w:b/>
          <w:lang w:val="en-US" w:eastAsia="en-US"/>
        </w:rPr>
        <w:t>Introduction</w:t>
      </w:r>
      <w:r w:rsidRPr="00583C56">
        <w:rPr>
          <w:rFonts w:eastAsia="Calibri"/>
          <w:lang w:val="en-US" w:eastAsia="en-US"/>
        </w:rPr>
        <w:t>:</w:t>
      </w:r>
      <w:r w:rsidRPr="00583C56">
        <w:rPr>
          <w:rFonts w:eastAsia="Calibri"/>
          <w:b/>
          <w:lang w:val="en-US" w:eastAsia="en-US"/>
        </w:rPr>
        <w:t xml:space="preserve"> </w:t>
      </w:r>
      <w:r w:rsidRPr="00583C56">
        <w:rPr>
          <w:rFonts w:eastAsia="Calibri"/>
          <w:lang w:val="en-US" w:eastAsia="en-US"/>
        </w:rPr>
        <w:t xml:space="preserve">Squamous cell carcinoma is the most frequent neoplasm of the head and neck. An adequate knowledge about its risk factors could reduce its morbidity and mortality. </w:t>
      </w:r>
    </w:p>
    <w:p w14:paraId="56F7C158" w14:textId="77777777" w:rsidR="00583C56" w:rsidRPr="00583C56" w:rsidRDefault="00583C56" w:rsidP="00583C56">
      <w:pPr>
        <w:spacing w:line="360" w:lineRule="auto"/>
        <w:jc w:val="both"/>
        <w:rPr>
          <w:rFonts w:eastAsia="Calibri"/>
          <w:lang w:val="en-US" w:eastAsia="en-US"/>
        </w:rPr>
      </w:pPr>
      <w:r w:rsidRPr="00583C56">
        <w:rPr>
          <w:rFonts w:eastAsia="Calibri"/>
          <w:b/>
          <w:lang w:val="en-US" w:eastAsia="en-US"/>
        </w:rPr>
        <w:t>Objective</w:t>
      </w:r>
      <w:r w:rsidRPr="00583C56">
        <w:rPr>
          <w:rFonts w:eastAsia="Calibri"/>
          <w:lang w:val="en-US" w:eastAsia="en-US"/>
        </w:rPr>
        <w:t xml:space="preserve">: To identify the causal association between some risk factors and the apparition of the oral squamous cell carcinoma. </w:t>
      </w:r>
    </w:p>
    <w:p w14:paraId="79C140E1" w14:textId="77777777" w:rsidR="00583C56" w:rsidRPr="00583C56" w:rsidRDefault="00583C56" w:rsidP="00583C56">
      <w:pPr>
        <w:spacing w:line="360" w:lineRule="auto"/>
        <w:jc w:val="both"/>
        <w:rPr>
          <w:rFonts w:eastAsia="Calibri"/>
          <w:lang w:val="en-US" w:eastAsia="en-US"/>
        </w:rPr>
      </w:pPr>
      <w:r w:rsidRPr="00583C56">
        <w:rPr>
          <w:rFonts w:eastAsia="Calibri"/>
          <w:b/>
          <w:lang w:val="en-US" w:eastAsia="en-US"/>
        </w:rPr>
        <w:t>Methods</w:t>
      </w:r>
      <w:r w:rsidRPr="00583C56">
        <w:rPr>
          <w:rFonts w:eastAsia="Calibri"/>
          <w:lang w:val="en-US" w:eastAsia="en-US"/>
        </w:rPr>
        <w:t xml:space="preserve">: Observational, analytic and case-control study conducted with patients treated at Carlos Manuel de </w:t>
      </w:r>
      <w:proofErr w:type="spellStart"/>
      <w:r w:rsidRPr="00583C56">
        <w:rPr>
          <w:rFonts w:eastAsia="Calibri"/>
          <w:lang w:val="en-US" w:eastAsia="en-US"/>
        </w:rPr>
        <w:t>Céspedes</w:t>
      </w:r>
      <w:proofErr w:type="spellEnd"/>
      <w:r w:rsidRPr="00583C56">
        <w:rPr>
          <w:rFonts w:eastAsia="Calibri"/>
          <w:lang w:val="en-US" w:eastAsia="en-US"/>
        </w:rPr>
        <w:t xml:space="preserve"> Provincial General Hospital's maxillofacial surgery service between January 1, 2018 and December 31, 2020. For the statistical analysis of the risk factors, the strength of the association with the Odds Ratio and its confidence intervals (95 % CI) was measured and later a multivariate analysis was performed. </w:t>
      </w:r>
    </w:p>
    <w:p w14:paraId="05E2F7DF" w14:textId="77777777" w:rsidR="00583C56" w:rsidRPr="00583C56" w:rsidRDefault="00583C56" w:rsidP="00583C56">
      <w:pPr>
        <w:spacing w:line="360" w:lineRule="auto"/>
        <w:jc w:val="both"/>
        <w:rPr>
          <w:rFonts w:eastAsia="Calibri"/>
          <w:lang w:val="en-US" w:eastAsia="en-US"/>
        </w:rPr>
      </w:pPr>
      <w:r w:rsidRPr="00583C56">
        <w:rPr>
          <w:rFonts w:eastAsia="Calibri"/>
          <w:b/>
          <w:lang w:val="en-US" w:eastAsia="en-US"/>
        </w:rPr>
        <w:t>Results</w:t>
      </w:r>
      <w:r w:rsidRPr="00583C56">
        <w:rPr>
          <w:rFonts w:eastAsia="Calibri"/>
          <w:lang w:val="en-US" w:eastAsia="en-US"/>
        </w:rPr>
        <w:t>: The sample was comprised of 87 patients (29 cases and 58 controls). The 68.96% of the cases (n=20) were male patients and their average age was 63.03 years. People with history of alcohol consumption</w:t>
      </w:r>
      <w:r w:rsidRPr="00583C56" w:rsidDel="00845DBB">
        <w:rPr>
          <w:rFonts w:eastAsia="Calibri"/>
          <w:lang w:val="en-US" w:eastAsia="en-US"/>
        </w:rPr>
        <w:t xml:space="preserve"> </w:t>
      </w:r>
      <w:r w:rsidRPr="00583C56">
        <w:rPr>
          <w:rFonts w:eastAsia="Calibri"/>
          <w:lang w:val="en-US" w:eastAsia="en-US"/>
        </w:rPr>
        <w:t xml:space="preserve">showed a 16 times greater risk (OR=16.03). Poor oral hygiene (OR: 5.23; CI 95%: 1.18-23.29; p=0.030) and traumatic irritants (OR: 4.41; CI 95 %: 1.01-19.23; p=0.048) were risk factors too. </w:t>
      </w:r>
    </w:p>
    <w:p w14:paraId="6F4BCA80" w14:textId="77777777" w:rsidR="00583C56" w:rsidRPr="00583C56" w:rsidRDefault="00583C56" w:rsidP="00583C56">
      <w:pPr>
        <w:spacing w:line="360" w:lineRule="auto"/>
        <w:jc w:val="both"/>
        <w:rPr>
          <w:rFonts w:eastAsia="Calibri"/>
          <w:lang w:val="en-US" w:eastAsia="en-US"/>
        </w:rPr>
      </w:pPr>
      <w:r w:rsidRPr="00583C56">
        <w:rPr>
          <w:rFonts w:eastAsia="Calibri"/>
          <w:b/>
          <w:lang w:val="en-US" w:eastAsia="en-US"/>
        </w:rPr>
        <w:t>Conclusion</w:t>
      </w:r>
      <w:r w:rsidRPr="00583C56">
        <w:rPr>
          <w:rFonts w:eastAsia="Calibri"/>
          <w:lang w:val="en-US" w:eastAsia="en-US"/>
        </w:rPr>
        <w:t>: A strong association between the disease and the antecedent of alcohol consumption, the exposition to traumatic irritating and the poor oral hygiene was identified.</w:t>
      </w:r>
    </w:p>
    <w:p w14:paraId="49A47BF2" w14:textId="77777777" w:rsidR="00583C56" w:rsidRPr="00583C56" w:rsidRDefault="00583C56" w:rsidP="00583C56">
      <w:pPr>
        <w:spacing w:line="360" w:lineRule="auto"/>
        <w:jc w:val="both"/>
        <w:rPr>
          <w:rFonts w:eastAsia="Calibri"/>
          <w:lang w:val="en-US" w:eastAsia="en-US"/>
        </w:rPr>
      </w:pPr>
      <w:r w:rsidRPr="00583C56">
        <w:rPr>
          <w:rFonts w:eastAsia="Calibri"/>
          <w:b/>
          <w:lang w:val="en-US" w:eastAsia="en-US"/>
        </w:rPr>
        <w:t>Keywords</w:t>
      </w:r>
      <w:r w:rsidRPr="00583C56">
        <w:rPr>
          <w:rFonts w:eastAsia="Calibri"/>
          <w:lang w:val="en-US" w:eastAsia="en-US"/>
        </w:rPr>
        <w:t>:</w:t>
      </w:r>
      <w:r w:rsidRPr="00583C56">
        <w:rPr>
          <w:rFonts w:eastAsia="Calibri"/>
          <w:b/>
          <w:lang w:val="en-US" w:eastAsia="en-US"/>
        </w:rPr>
        <w:t xml:space="preserve"> </w:t>
      </w:r>
      <w:r w:rsidRPr="00583C56">
        <w:rPr>
          <w:rFonts w:eastAsia="Calibri"/>
          <w:lang w:val="en-US" w:eastAsia="en-US"/>
        </w:rPr>
        <w:t>mouth neoplasms; squamous cell carcinoma; risk factors; epidemiology.</w:t>
      </w:r>
    </w:p>
    <w:p w14:paraId="4633DF09" w14:textId="77777777" w:rsidR="00583C56" w:rsidRPr="00583C56" w:rsidRDefault="00583C56" w:rsidP="00583C56">
      <w:pPr>
        <w:spacing w:line="360" w:lineRule="auto"/>
        <w:jc w:val="both"/>
        <w:rPr>
          <w:rFonts w:eastAsia="Calibri"/>
          <w:lang w:val="en-US" w:eastAsia="en-US"/>
        </w:rPr>
      </w:pPr>
    </w:p>
    <w:p w14:paraId="4F003A3B" w14:textId="77777777" w:rsidR="00583C56" w:rsidRPr="00583C56" w:rsidRDefault="00583C56" w:rsidP="00583C56">
      <w:pPr>
        <w:spacing w:line="360" w:lineRule="auto"/>
        <w:jc w:val="both"/>
        <w:rPr>
          <w:rFonts w:eastAsia="Calibri"/>
          <w:lang w:val="en-US" w:eastAsia="en-US"/>
        </w:rPr>
      </w:pPr>
    </w:p>
    <w:p w14:paraId="56C6BABB" w14:textId="77777777" w:rsidR="00583C56" w:rsidRPr="00583C56" w:rsidRDefault="00583C56" w:rsidP="00583C56">
      <w:pPr>
        <w:spacing w:line="360" w:lineRule="auto"/>
        <w:jc w:val="both"/>
        <w:rPr>
          <w:rFonts w:eastAsia="Calibri"/>
          <w:lang w:eastAsia="en-US"/>
        </w:rPr>
      </w:pPr>
      <w:r w:rsidRPr="00583C56">
        <w:rPr>
          <w:rFonts w:eastAsia="Calibri"/>
          <w:lang w:eastAsia="en-US"/>
        </w:rPr>
        <w:t>Recibido: 04/05/2021</w:t>
      </w:r>
    </w:p>
    <w:p w14:paraId="20F674D9" w14:textId="77777777" w:rsidR="00583C56" w:rsidRPr="00583C56" w:rsidRDefault="00583C56" w:rsidP="00583C56">
      <w:pPr>
        <w:spacing w:line="360" w:lineRule="auto"/>
        <w:jc w:val="both"/>
        <w:rPr>
          <w:rFonts w:eastAsia="Calibri"/>
          <w:lang w:eastAsia="en-US"/>
        </w:rPr>
      </w:pPr>
      <w:r w:rsidRPr="00583C56">
        <w:rPr>
          <w:rFonts w:eastAsia="Calibri"/>
          <w:lang w:eastAsia="en-US"/>
        </w:rPr>
        <w:t>Aprobado: 03/08/2021</w:t>
      </w:r>
    </w:p>
    <w:p w14:paraId="29ED654D" w14:textId="77777777" w:rsidR="00583C56" w:rsidRPr="00583C56" w:rsidRDefault="00583C56" w:rsidP="00583C56">
      <w:pPr>
        <w:spacing w:line="360" w:lineRule="auto"/>
        <w:jc w:val="both"/>
        <w:rPr>
          <w:rFonts w:eastAsia="Calibri"/>
          <w:lang w:eastAsia="en-US"/>
        </w:rPr>
      </w:pPr>
    </w:p>
    <w:p w14:paraId="135404DB" w14:textId="77777777" w:rsidR="00583C56" w:rsidRPr="00583C56" w:rsidRDefault="00583C56" w:rsidP="00583C56">
      <w:pPr>
        <w:spacing w:line="360" w:lineRule="auto"/>
        <w:jc w:val="center"/>
        <w:rPr>
          <w:rFonts w:eastAsia="Calibri"/>
          <w:b/>
          <w:sz w:val="32"/>
          <w:szCs w:val="32"/>
          <w:lang w:eastAsia="en-US"/>
        </w:rPr>
      </w:pPr>
      <w:r w:rsidRPr="00583C56">
        <w:rPr>
          <w:rFonts w:eastAsia="Calibri"/>
          <w:b/>
          <w:sz w:val="32"/>
          <w:szCs w:val="32"/>
          <w:lang w:eastAsia="en-US"/>
        </w:rPr>
        <w:lastRenderedPageBreak/>
        <w:t>INTRODUCCIÓN</w:t>
      </w:r>
    </w:p>
    <w:p w14:paraId="194AFCC9" w14:textId="77777777" w:rsidR="00583C56" w:rsidRPr="00583C56" w:rsidRDefault="00583C56" w:rsidP="00583C56">
      <w:pPr>
        <w:spacing w:line="360" w:lineRule="auto"/>
        <w:jc w:val="both"/>
        <w:rPr>
          <w:rFonts w:eastAsia="Calibri"/>
          <w:vertAlign w:val="superscript"/>
          <w:lang w:eastAsia="en-US"/>
        </w:rPr>
      </w:pPr>
      <w:r w:rsidRPr="00583C56">
        <w:rPr>
          <w:rFonts w:eastAsia="Calibri"/>
          <w:lang w:eastAsia="en-US"/>
        </w:rPr>
        <w:t>El carcinoma epidermoide (CE) es la neoplasia más frecuente de la cabeza y el cuello, comprende alrededor del 90 % de todos los tumores malignos y se localiza con predilección en la cavidad bucal</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1)</w:t>
      </w:r>
      <w:r w:rsidRPr="00583C56">
        <w:rPr>
          <w:rFonts w:eastAsia="Calibri"/>
          <w:lang w:eastAsia="en-US"/>
        </w:rPr>
        <w:t xml:space="preserve"> Esta enfermedad destruye los tejidos bucales y se disemina a las cadenas linfáticas cervicales; si no es tratada a tiempo, se extiende por metástasis a otros órganos y condiciona la muerte del paciente.</w:t>
      </w:r>
      <w:r w:rsidRPr="00583C56">
        <w:rPr>
          <w:rFonts w:eastAsia="Calibri"/>
          <w:vertAlign w:val="superscript"/>
          <w:lang w:eastAsia="en-US"/>
        </w:rPr>
        <w:t>(2)</w:t>
      </w:r>
    </w:p>
    <w:p w14:paraId="6CD05979" w14:textId="77777777" w:rsidR="00583C56" w:rsidRPr="00583C56" w:rsidRDefault="00583C56" w:rsidP="00583C56">
      <w:pPr>
        <w:spacing w:line="360" w:lineRule="auto"/>
        <w:jc w:val="both"/>
        <w:rPr>
          <w:rFonts w:eastAsia="Calibri"/>
          <w:lang w:eastAsia="en-US"/>
        </w:rPr>
      </w:pPr>
      <w:r w:rsidRPr="00583C56">
        <w:rPr>
          <w:rFonts w:eastAsia="Calibri"/>
          <w:lang w:eastAsia="en-US"/>
        </w:rPr>
        <w:t>Existen varios tratamientos, pero su controvertida evolución impone el criterio universal de que la mejor manera de combatirla, es evitando las conductas de riesgo, relacionadas con su origen. Es uno de los problemas de salud más complicados que enfrenta la estomatología, pues la enfermedad persiste en la población mundial y causa mutilaciones, pérdida de vidas humanas y altos gastos en recursos terapéuticos</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3)</w:t>
      </w:r>
    </w:p>
    <w:p w14:paraId="1005687A" w14:textId="77777777" w:rsidR="00583C56" w:rsidRPr="00583C56" w:rsidRDefault="00583C56" w:rsidP="00583C56">
      <w:pPr>
        <w:spacing w:line="360" w:lineRule="auto"/>
        <w:jc w:val="both"/>
        <w:rPr>
          <w:rFonts w:eastAsia="Calibri"/>
          <w:lang w:eastAsia="en-US"/>
        </w:rPr>
      </w:pPr>
      <w:r w:rsidRPr="00583C56">
        <w:rPr>
          <w:rFonts w:eastAsia="Calibri"/>
          <w:lang w:eastAsia="en-US"/>
        </w:rPr>
        <w:t>Según algunas investigaciones, lo más significativo de su epidemiología, radica en identificar sus factores de riesgo (FR) y establecer mecanismos para controlarlos, en este sentido se han desarrollado estudios en Hong Kong,</w:t>
      </w:r>
      <w:r w:rsidRPr="00583C56">
        <w:rPr>
          <w:rFonts w:eastAsia="Calibri"/>
          <w:vertAlign w:val="superscript"/>
          <w:lang w:eastAsia="en-US"/>
        </w:rPr>
        <w:t>(4)</w:t>
      </w:r>
      <w:r w:rsidRPr="00583C56">
        <w:rPr>
          <w:rFonts w:eastAsia="Calibri"/>
          <w:lang w:eastAsia="en-US"/>
        </w:rPr>
        <w:t xml:space="preserve"> Arabia Saudita,</w:t>
      </w:r>
      <w:r w:rsidRPr="00583C56">
        <w:rPr>
          <w:rFonts w:eastAsia="Calibri"/>
          <w:vertAlign w:val="superscript"/>
          <w:lang w:eastAsia="en-US"/>
        </w:rPr>
        <w:t>(5)</w:t>
      </w:r>
      <w:r w:rsidRPr="00583C56">
        <w:rPr>
          <w:rFonts w:eastAsia="Calibri"/>
          <w:lang w:eastAsia="en-US"/>
        </w:rPr>
        <w:t xml:space="preserve"> China,</w:t>
      </w:r>
      <w:r w:rsidRPr="00583C56">
        <w:rPr>
          <w:rFonts w:eastAsia="Calibri"/>
          <w:vertAlign w:val="superscript"/>
          <w:lang w:eastAsia="en-US"/>
        </w:rPr>
        <w:t xml:space="preserve">(6) </w:t>
      </w:r>
      <w:r w:rsidRPr="00583C56">
        <w:rPr>
          <w:rFonts w:eastAsia="Calibri"/>
          <w:lang w:eastAsia="en-US"/>
        </w:rPr>
        <w:t>Sudáfrica,</w:t>
      </w:r>
      <w:r w:rsidRPr="00583C56">
        <w:rPr>
          <w:rFonts w:eastAsia="Calibri"/>
          <w:vertAlign w:val="superscript"/>
          <w:lang w:eastAsia="en-US"/>
        </w:rPr>
        <w:t>(7)</w:t>
      </w:r>
      <w:r w:rsidRPr="00583C56">
        <w:rPr>
          <w:rFonts w:eastAsia="Calibri"/>
          <w:lang w:eastAsia="en-US"/>
        </w:rPr>
        <w:t xml:space="preserve"> Australia</w:t>
      </w:r>
      <w:r w:rsidRPr="00583C56">
        <w:rPr>
          <w:rFonts w:eastAsia="Calibri"/>
          <w:vertAlign w:val="superscript"/>
          <w:lang w:eastAsia="en-US"/>
        </w:rPr>
        <w:t xml:space="preserve">(8) </w:t>
      </w:r>
      <w:r w:rsidRPr="00583C56">
        <w:rPr>
          <w:rFonts w:eastAsia="Calibri"/>
          <w:lang w:eastAsia="en-US"/>
        </w:rPr>
        <w:t>y varias naciones latinoamericanas, como Uruguay,</w:t>
      </w:r>
      <w:r w:rsidRPr="00583C56">
        <w:rPr>
          <w:rFonts w:eastAsia="Calibri"/>
          <w:vertAlign w:val="superscript"/>
          <w:lang w:eastAsia="en-US"/>
        </w:rPr>
        <w:t>(9,10)</w:t>
      </w:r>
      <w:r w:rsidRPr="00583C56">
        <w:rPr>
          <w:rFonts w:eastAsia="Calibri"/>
          <w:lang w:eastAsia="en-US"/>
        </w:rPr>
        <w:t xml:space="preserve"> Brasil,</w:t>
      </w:r>
      <w:r w:rsidRPr="00583C56">
        <w:rPr>
          <w:rFonts w:eastAsia="Calibri"/>
          <w:vertAlign w:val="superscript"/>
          <w:lang w:eastAsia="en-US"/>
        </w:rPr>
        <w:t>(11,12)</w:t>
      </w:r>
      <w:r w:rsidRPr="00583C56">
        <w:rPr>
          <w:rFonts w:eastAsia="Calibri"/>
          <w:lang w:eastAsia="en-US"/>
        </w:rPr>
        <w:t xml:space="preserve"> y Colombia.</w:t>
      </w:r>
      <w:r w:rsidRPr="00583C56">
        <w:rPr>
          <w:rFonts w:eastAsia="Calibri"/>
          <w:vertAlign w:val="superscript"/>
          <w:lang w:eastAsia="en-US"/>
        </w:rPr>
        <w:t xml:space="preserve">(13) </w:t>
      </w:r>
      <w:r w:rsidRPr="00583C56">
        <w:rPr>
          <w:rFonts w:eastAsia="Calibri"/>
          <w:lang w:eastAsia="en-US"/>
        </w:rPr>
        <w:t>En Cuba existen reportes de diferentes provincias, como Ciego de Ávila,</w:t>
      </w:r>
      <w:r w:rsidRPr="00583C56">
        <w:rPr>
          <w:rFonts w:eastAsia="Calibri"/>
          <w:vertAlign w:val="superscript"/>
          <w:lang w:eastAsia="en-US"/>
        </w:rPr>
        <w:t xml:space="preserve">(14) </w:t>
      </w:r>
      <w:r w:rsidRPr="00583C56">
        <w:rPr>
          <w:rFonts w:eastAsia="Calibri"/>
          <w:lang w:eastAsia="en-US"/>
        </w:rPr>
        <w:t>Cienfuegos,</w:t>
      </w:r>
      <w:r w:rsidRPr="00583C56">
        <w:rPr>
          <w:rFonts w:eastAsia="Calibri"/>
          <w:vertAlign w:val="superscript"/>
          <w:lang w:eastAsia="en-US"/>
        </w:rPr>
        <w:t xml:space="preserve">(15) </w:t>
      </w:r>
      <w:r w:rsidRPr="00583C56">
        <w:rPr>
          <w:rFonts w:eastAsia="Calibri"/>
          <w:lang w:eastAsia="en-US"/>
        </w:rPr>
        <w:t>Las Tunas,</w:t>
      </w:r>
      <w:r w:rsidRPr="00583C56">
        <w:rPr>
          <w:rFonts w:eastAsia="Calibri"/>
          <w:vertAlign w:val="superscript"/>
          <w:lang w:eastAsia="en-US"/>
        </w:rPr>
        <w:t>(16)</w:t>
      </w:r>
      <w:r w:rsidRPr="00583C56">
        <w:rPr>
          <w:rFonts w:eastAsia="Calibri"/>
          <w:lang w:eastAsia="en-US"/>
        </w:rPr>
        <w:t xml:space="preserve"> Santiago de Cuba</w:t>
      </w:r>
      <w:r w:rsidRPr="00583C56">
        <w:rPr>
          <w:rFonts w:eastAsia="Calibri"/>
          <w:vertAlign w:val="superscript"/>
          <w:lang w:eastAsia="en-US"/>
        </w:rPr>
        <w:t>(17)</w:t>
      </w:r>
      <w:r w:rsidRPr="00583C56">
        <w:rPr>
          <w:rFonts w:eastAsia="Calibri"/>
          <w:lang w:eastAsia="en-US"/>
        </w:rPr>
        <w:t xml:space="preserve"> y Granma.</w:t>
      </w:r>
      <w:r w:rsidRPr="00583C56">
        <w:rPr>
          <w:rFonts w:eastAsia="Calibri"/>
          <w:vertAlign w:val="superscript"/>
          <w:lang w:eastAsia="en-US"/>
        </w:rPr>
        <w:t>(18)</w:t>
      </w:r>
      <w:r w:rsidRPr="00583C56">
        <w:rPr>
          <w:rFonts w:eastAsia="Calibri"/>
          <w:lang w:eastAsia="en-US"/>
        </w:rPr>
        <w:t xml:space="preserve"> </w:t>
      </w:r>
    </w:p>
    <w:p w14:paraId="3A85CAFD" w14:textId="77777777" w:rsidR="00583C56" w:rsidRPr="00583C56" w:rsidRDefault="00583C56" w:rsidP="00583C56">
      <w:pPr>
        <w:spacing w:line="360" w:lineRule="auto"/>
        <w:jc w:val="both"/>
        <w:rPr>
          <w:rFonts w:eastAsia="Calibri"/>
          <w:lang w:eastAsia="en-US"/>
        </w:rPr>
      </w:pPr>
      <w:r w:rsidRPr="00583C56">
        <w:rPr>
          <w:rFonts w:eastAsia="Calibri"/>
          <w:lang w:eastAsia="en-US"/>
        </w:rPr>
        <w:t>Esta enfermedad se localiza en regiones asequibles a la exploración física; sin embargo, la mayoría de los pacientes se diagnostica en etapas avanzadas, cuando las posibilidades de curación son más limitadas, lo que dificulta el tratamiento y empeora su pronóstico. Un conocimiento adecuado sobre sus FR en el personal del sector de la salud y la población en general, podría repercutir de forma favorable en los indicadores de salud</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19)</w:t>
      </w:r>
    </w:p>
    <w:p w14:paraId="39C92E5E" w14:textId="77777777" w:rsidR="00583C56" w:rsidRPr="00583C56" w:rsidRDefault="00583C56" w:rsidP="00583C56">
      <w:pPr>
        <w:spacing w:line="360" w:lineRule="auto"/>
        <w:jc w:val="both"/>
        <w:rPr>
          <w:rFonts w:eastAsia="Calibri"/>
          <w:lang w:eastAsia="en-US"/>
        </w:rPr>
      </w:pPr>
      <w:r w:rsidRPr="00583C56">
        <w:rPr>
          <w:rFonts w:eastAsia="Calibri"/>
          <w:lang w:eastAsia="en-US"/>
        </w:rPr>
        <w:t>Las observaciones realizadas en los últimos años en el servicio donde se desarrolló la presente investigación, evidenciaron un notable incremento de los pacientes afectados por cáncer bucal (CB) y, dentro de este, el CE, lo cual condujo a plantear la siguiente pregunta de investigación: ¿cuáles son los factores de riesgo y en qué medida se relacionan con la aparición del CE de cavidad bucal?</w:t>
      </w:r>
    </w:p>
    <w:p w14:paraId="7604998C"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A pesar de las investigaciones sobre los FR de la enfermedad y la importante contribución que tienen en el conocimiento de esta temática, se justifica continuar el estudio pues su elevada incidencia y prevalencia incrementa la mortalidad y discapacidad en países desarrollados y en vías de desarrollo como Cuba, además de que se desconoce con exactitud la contribución independiente de los FR en la aparición del </w:t>
      </w:r>
      <w:r w:rsidRPr="00583C56">
        <w:rPr>
          <w:rFonts w:eastAsia="Calibri"/>
          <w:lang w:eastAsia="en-US"/>
        </w:rPr>
        <w:lastRenderedPageBreak/>
        <w:t xml:space="preserve">CE en la población que atiende el hospital donde se realizó el estudio; un conocimiento necesario para la confección de programas y estrategias de prevención efectivas. </w:t>
      </w:r>
    </w:p>
    <w:p w14:paraId="2983820D"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El objetivo de la presente investigación es </w:t>
      </w:r>
      <w:r w:rsidRPr="00583C56">
        <w:rPr>
          <w:rFonts w:eastAsia="Calibri"/>
          <w:lang w:eastAsia="es-ES"/>
        </w:rPr>
        <w:t>identificar</w:t>
      </w:r>
      <w:r w:rsidRPr="00583C56">
        <w:rPr>
          <w:rFonts w:eastAsia="Calibri"/>
          <w:lang w:eastAsia="en-US"/>
        </w:rPr>
        <w:t xml:space="preserve"> la asociación causal entre algunos factores de riesgo y la aparición del carcinoma epidermoide de cavidad bucal</w:t>
      </w:r>
      <w:r w:rsidRPr="00583C56">
        <w:rPr>
          <w:rFonts w:eastAsia="Calibri"/>
          <w:lang w:eastAsia="ar-SA"/>
        </w:rPr>
        <w:t>.</w:t>
      </w:r>
    </w:p>
    <w:p w14:paraId="3520FFAB" w14:textId="77777777" w:rsidR="00583C56" w:rsidRPr="00583C56" w:rsidRDefault="00583C56" w:rsidP="00583C56">
      <w:pPr>
        <w:spacing w:line="360" w:lineRule="auto"/>
        <w:jc w:val="both"/>
        <w:rPr>
          <w:rFonts w:eastAsia="Calibri"/>
          <w:lang w:eastAsia="en-US"/>
        </w:rPr>
      </w:pPr>
    </w:p>
    <w:p w14:paraId="4DFD1FE2" w14:textId="77777777" w:rsidR="00583C56" w:rsidRPr="00583C56" w:rsidRDefault="00583C56" w:rsidP="00583C56">
      <w:pPr>
        <w:spacing w:line="360" w:lineRule="auto"/>
        <w:jc w:val="center"/>
        <w:rPr>
          <w:rFonts w:eastAsia="Calibri"/>
          <w:b/>
          <w:sz w:val="32"/>
          <w:szCs w:val="32"/>
          <w:lang w:eastAsia="en-US"/>
        </w:rPr>
      </w:pPr>
    </w:p>
    <w:p w14:paraId="02BCF600" w14:textId="77777777" w:rsidR="00583C56" w:rsidRPr="00583C56" w:rsidRDefault="00583C56" w:rsidP="00583C56">
      <w:pPr>
        <w:spacing w:line="360" w:lineRule="auto"/>
        <w:jc w:val="center"/>
        <w:rPr>
          <w:rFonts w:eastAsia="Calibri"/>
          <w:b/>
          <w:sz w:val="32"/>
          <w:szCs w:val="32"/>
          <w:lang w:eastAsia="en-US"/>
        </w:rPr>
      </w:pPr>
      <w:r w:rsidRPr="00583C56">
        <w:rPr>
          <w:rFonts w:eastAsia="Calibri"/>
          <w:b/>
          <w:sz w:val="32"/>
          <w:szCs w:val="32"/>
          <w:lang w:eastAsia="en-US"/>
        </w:rPr>
        <w:t>MÉTODOS</w:t>
      </w:r>
    </w:p>
    <w:p w14:paraId="263609C3" w14:textId="77777777" w:rsidR="00583C56" w:rsidRPr="00583C56" w:rsidRDefault="00583C56" w:rsidP="00583C56">
      <w:pPr>
        <w:spacing w:line="360" w:lineRule="auto"/>
        <w:jc w:val="center"/>
        <w:rPr>
          <w:rFonts w:eastAsia="Calibri"/>
          <w:b/>
          <w:sz w:val="28"/>
          <w:szCs w:val="28"/>
          <w:lang w:eastAsia="en-US"/>
        </w:rPr>
      </w:pPr>
      <w:r w:rsidRPr="00583C56">
        <w:rPr>
          <w:rFonts w:eastAsia="Calibri"/>
          <w:b/>
          <w:sz w:val="28"/>
          <w:szCs w:val="28"/>
          <w:lang w:eastAsia="en-US"/>
        </w:rPr>
        <w:t>Diseño del estudio y contexto temporal y espacial</w:t>
      </w:r>
    </w:p>
    <w:p w14:paraId="02213452"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Se realizó un estudio observacional, analítico, con diseño de tipo casos y controles, en el servicio de cirugía maxilofacial del Hospital General Provincial “Carlos Manuel de Céspedes” en el período comprendido entre el 1 de enero de 2018 y el 31 de diciembre de 2020. </w:t>
      </w:r>
    </w:p>
    <w:p w14:paraId="4EE0D3ED" w14:textId="77777777" w:rsidR="00583C56" w:rsidRPr="00583C56" w:rsidRDefault="00583C56" w:rsidP="00583C56">
      <w:pPr>
        <w:spacing w:line="360" w:lineRule="auto"/>
        <w:jc w:val="center"/>
        <w:rPr>
          <w:rFonts w:eastAsia="Calibri"/>
          <w:b/>
          <w:sz w:val="28"/>
          <w:szCs w:val="28"/>
          <w:lang w:eastAsia="en-US"/>
        </w:rPr>
      </w:pPr>
      <w:r w:rsidRPr="00583C56">
        <w:rPr>
          <w:rFonts w:eastAsia="Calibri"/>
          <w:b/>
          <w:sz w:val="28"/>
          <w:szCs w:val="28"/>
          <w:lang w:eastAsia="en-US"/>
        </w:rPr>
        <w:t>Sujetos</w:t>
      </w:r>
    </w:p>
    <w:p w14:paraId="222F1666" w14:textId="77777777" w:rsidR="00583C56" w:rsidRPr="00583C56" w:rsidRDefault="00583C56" w:rsidP="00583C56">
      <w:pPr>
        <w:spacing w:line="360" w:lineRule="auto"/>
        <w:jc w:val="both"/>
        <w:rPr>
          <w:rFonts w:eastAsia="Calibri"/>
          <w:lang w:val="es-ES" w:eastAsia="en-US"/>
        </w:rPr>
      </w:pPr>
      <w:r w:rsidRPr="00583C56">
        <w:rPr>
          <w:rFonts w:eastAsia="Calibri"/>
          <w:lang w:val="es-ES" w:eastAsia="en-US"/>
        </w:rPr>
        <w:t>Fueron considerados casos todos los pacientes con diagnóstico histológico de CE intraoral, tratados de forma hospitalizada (pacientes intervenidos quirúrgicamente) o ambulatoria (pacientes tratados con quimioterapia y radioterapia), en el periodo estudiado. Por cada caso se incluyeron dos controles. Se realizó un emparejamiento de los controles con los casos con respecto a la edad y el sexo. En el periodo se diagnosticaron 33 pacientes y 4 fueron excluidos; finalmente la serie formó con 29 casos.</w:t>
      </w:r>
    </w:p>
    <w:p w14:paraId="037B15BC"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Criterios de inclusión para los casos: </w:t>
      </w:r>
    </w:p>
    <w:p w14:paraId="23FD7623" w14:textId="77777777" w:rsidR="00583C56" w:rsidRPr="00583C56" w:rsidRDefault="00583C56" w:rsidP="00583C56">
      <w:pPr>
        <w:spacing w:line="360" w:lineRule="auto"/>
        <w:jc w:val="both"/>
        <w:rPr>
          <w:rFonts w:eastAsia="Calibri"/>
          <w:lang w:eastAsia="en-US"/>
        </w:rPr>
      </w:pPr>
    </w:p>
    <w:p w14:paraId="4DA9CFF7"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a) diagnóstico histológico de CE primario en cualquiera de las estructuras bucales en estudio (lengua, suelo de boca, rebordes alveolares, espacio retromolar, carrillos y paladar duro); </w:t>
      </w:r>
    </w:p>
    <w:p w14:paraId="069C19DD"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b) capacidad psíquica para responder las preguntas de la entrevista; </w:t>
      </w:r>
    </w:p>
    <w:p w14:paraId="2D98F2AD"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c) contar con un colaborador (familiar o amigo allegado) para la entrevista en caso de dudas sobre los datos de la investigación; </w:t>
      </w:r>
    </w:p>
    <w:p w14:paraId="5FA2A3F2"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d) documentos oficiales completos y actualizados que contribuyan al esclarecimiento de la información en caso de dudas u olvido; y </w:t>
      </w:r>
    </w:p>
    <w:p w14:paraId="7D787797"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e) manifestar por escrito su consentimiento para participar en el estudio, según criterios bioéticos. </w:t>
      </w:r>
    </w:p>
    <w:p w14:paraId="1190E5A7" w14:textId="77777777" w:rsidR="00583C56" w:rsidRPr="00583C56" w:rsidRDefault="00583C56" w:rsidP="00583C56">
      <w:pPr>
        <w:spacing w:line="360" w:lineRule="auto"/>
        <w:jc w:val="both"/>
        <w:rPr>
          <w:rFonts w:eastAsia="Calibri"/>
          <w:lang w:eastAsia="en-US"/>
        </w:rPr>
      </w:pPr>
    </w:p>
    <w:p w14:paraId="7EC6ECA4" w14:textId="77777777" w:rsidR="00583C56" w:rsidRPr="00583C56" w:rsidRDefault="00583C56" w:rsidP="00583C56">
      <w:pPr>
        <w:spacing w:line="360" w:lineRule="auto"/>
        <w:jc w:val="both"/>
        <w:rPr>
          <w:rFonts w:eastAsia="Calibri"/>
          <w:lang w:eastAsia="en-US"/>
        </w:rPr>
      </w:pPr>
      <w:r w:rsidRPr="00583C56">
        <w:rPr>
          <w:rFonts w:eastAsia="Calibri"/>
          <w:lang w:eastAsia="en-US"/>
        </w:rPr>
        <w:lastRenderedPageBreak/>
        <w:t xml:space="preserve">Se excluyeron los pacientes con diagnóstico histológico de CE con localización primaria en los labios, la </w:t>
      </w:r>
      <w:proofErr w:type="spellStart"/>
      <w:r w:rsidRPr="00583C56">
        <w:rPr>
          <w:rFonts w:eastAsia="Calibri"/>
          <w:lang w:eastAsia="en-US"/>
        </w:rPr>
        <w:t>bucofaringe</w:t>
      </w:r>
      <w:proofErr w:type="spellEnd"/>
      <w:r w:rsidRPr="00583C56">
        <w:rPr>
          <w:rFonts w:eastAsia="Calibri"/>
          <w:lang w:eastAsia="en-US"/>
        </w:rPr>
        <w:t xml:space="preserve"> o en las glándulas salivales, así como quienes en el momento de la investigación residieran fuera del territorio provincial y fallecidos.</w:t>
      </w:r>
    </w:p>
    <w:p w14:paraId="30713987" w14:textId="77777777" w:rsidR="00583C56" w:rsidRPr="00583C56" w:rsidRDefault="00583C56" w:rsidP="00583C56">
      <w:pPr>
        <w:spacing w:line="360" w:lineRule="auto"/>
        <w:jc w:val="both"/>
        <w:rPr>
          <w:rFonts w:eastAsia="Calibri"/>
          <w:lang w:val="es-ES" w:eastAsia="en-US"/>
        </w:rPr>
      </w:pPr>
      <w:r w:rsidRPr="00583C56">
        <w:rPr>
          <w:rFonts w:eastAsia="Calibri"/>
          <w:lang w:val="es-ES" w:eastAsia="en-US"/>
        </w:rPr>
        <w:t xml:space="preserve">Los criterios de inclusión para los controles fueron los siguientes: </w:t>
      </w:r>
    </w:p>
    <w:p w14:paraId="02B8C3E4" w14:textId="77777777" w:rsidR="00583C56" w:rsidRPr="00583C56" w:rsidRDefault="00583C56" w:rsidP="00583C56">
      <w:pPr>
        <w:spacing w:line="360" w:lineRule="auto"/>
        <w:jc w:val="both"/>
        <w:rPr>
          <w:rFonts w:eastAsia="Calibri"/>
          <w:lang w:eastAsia="en-US"/>
        </w:rPr>
      </w:pPr>
    </w:p>
    <w:p w14:paraId="053FBF20"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a) sin antecedentes personales de CE del complejo bucal; </w:t>
      </w:r>
    </w:p>
    <w:p w14:paraId="7993D211"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b) capacidad psíquica para responder a las preguntas de la entrevista; </w:t>
      </w:r>
    </w:p>
    <w:p w14:paraId="36EEC3CA"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c) contar con un colaborador (familiar o amigo allegado) para la entrevista en caso de dudas sobre alguno de los datos de la investigación; y </w:t>
      </w:r>
    </w:p>
    <w:p w14:paraId="00D9DD0D"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d) residir en el territorio provincial.</w:t>
      </w:r>
    </w:p>
    <w:p w14:paraId="4101E5D5" w14:textId="77777777" w:rsidR="00583C56" w:rsidRPr="00583C56" w:rsidRDefault="00583C56" w:rsidP="00583C56">
      <w:pPr>
        <w:spacing w:line="360" w:lineRule="auto"/>
        <w:ind w:left="708"/>
        <w:jc w:val="both"/>
        <w:rPr>
          <w:rFonts w:eastAsia="Calibri"/>
          <w:lang w:eastAsia="en-US"/>
        </w:rPr>
      </w:pPr>
      <w:r w:rsidRPr="00583C56">
        <w:rPr>
          <w:rFonts w:eastAsia="Calibri"/>
          <w:lang w:eastAsia="en-US"/>
        </w:rPr>
        <w:t xml:space="preserve">e) manifestar por escrito su consentimiento para participar en el estudio, según criterios bioéticos. </w:t>
      </w:r>
    </w:p>
    <w:p w14:paraId="00DAF95F" w14:textId="77777777" w:rsidR="00583C56" w:rsidRPr="00583C56" w:rsidRDefault="00583C56" w:rsidP="00583C56">
      <w:pPr>
        <w:spacing w:line="360" w:lineRule="auto"/>
        <w:jc w:val="both"/>
        <w:rPr>
          <w:rFonts w:eastAsia="Calibri"/>
          <w:lang w:eastAsia="en-US"/>
        </w:rPr>
      </w:pPr>
    </w:p>
    <w:p w14:paraId="6B9D5A0C" w14:textId="77777777" w:rsidR="00583C56" w:rsidRPr="00583C56" w:rsidRDefault="00583C56" w:rsidP="00583C56">
      <w:pPr>
        <w:spacing w:line="360" w:lineRule="auto"/>
        <w:jc w:val="both"/>
        <w:rPr>
          <w:rFonts w:eastAsia="Calibri"/>
          <w:b/>
          <w:lang w:eastAsia="en-US"/>
        </w:rPr>
      </w:pPr>
      <w:r w:rsidRPr="00583C56">
        <w:rPr>
          <w:rFonts w:eastAsia="Calibri"/>
          <w:lang w:eastAsia="en-US"/>
        </w:rPr>
        <w:t>Fueron seleccionados 58 controles, emparejados con los casos, según edad y sexo.</w:t>
      </w:r>
    </w:p>
    <w:p w14:paraId="0E946278" w14:textId="77777777" w:rsidR="00583C56" w:rsidRPr="00583C56" w:rsidRDefault="00583C56" w:rsidP="00583C56">
      <w:pPr>
        <w:spacing w:line="360" w:lineRule="auto"/>
        <w:jc w:val="center"/>
        <w:rPr>
          <w:rFonts w:eastAsia="Calibri"/>
          <w:b/>
          <w:sz w:val="28"/>
          <w:szCs w:val="28"/>
          <w:lang w:eastAsia="en-US"/>
        </w:rPr>
      </w:pPr>
      <w:r w:rsidRPr="00583C56">
        <w:rPr>
          <w:rFonts w:eastAsia="Calibri"/>
          <w:b/>
          <w:sz w:val="28"/>
          <w:szCs w:val="28"/>
          <w:lang w:eastAsia="en-US"/>
        </w:rPr>
        <w:t>Variables</w:t>
      </w:r>
    </w:p>
    <w:p w14:paraId="6D924805"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La variable dependiente fue la presencia del CE (cualitativa, nominal y dicotómica (enfermo “caso” o sano “control”) y las independientes las siguientes: </w:t>
      </w:r>
    </w:p>
    <w:p w14:paraId="1FE1CB06" w14:textId="77777777" w:rsidR="00583C56" w:rsidRPr="00583C56" w:rsidRDefault="00583C56" w:rsidP="00583C56">
      <w:pPr>
        <w:spacing w:line="360" w:lineRule="auto"/>
        <w:jc w:val="both"/>
        <w:rPr>
          <w:rFonts w:eastAsia="Calibri"/>
          <w:lang w:eastAsia="en-US"/>
        </w:rPr>
      </w:pPr>
    </w:p>
    <w:p w14:paraId="34366B8A"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Edad: según años cumplidos, en el momento del diagnóstico histológico para los casos y de la consulta para los controles.</w:t>
      </w:r>
    </w:p>
    <w:p w14:paraId="26C8561D"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 xml:space="preserve">Sexo biológico: masculino y femenino. </w:t>
      </w:r>
    </w:p>
    <w:p w14:paraId="6E9C6D3A"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Procedencia: urbana o rural.</w:t>
      </w:r>
    </w:p>
    <w:p w14:paraId="021729FC"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Nivel de escolaridad: según nivel escolar vencido (primaria, secundaria, técnico medio, preuniversitario y universitario).</w:t>
      </w:r>
    </w:p>
    <w:p w14:paraId="4DB248D7"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val="es-PE" w:eastAsia="en-US"/>
        </w:rPr>
        <w:t>Antecedentes patológicos personales: con antecedentes, sin antecedentes. Se preguntó por enfermedades asociadas con la génesis del CB: diabetes mellitus, sífilis, anemia, hepatitis viral, cirrosis hepática, hipovitaminosis, neoplasia benigna, neoplasia maligna (fuera del complejo bucal) y trastornos dermatológicos congénitos (</w:t>
      </w:r>
      <w:proofErr w:type="spellStart"/>
      <w:r w:rsidRPr="00583C56">
        <w:rPr>
          <w:rFonts w:eastAsia="Calibri"/>
          <w:lang w:val="es-PE" w:eastAsia="en-US"/>
        </w:rPr>
        <w:t>xerodermia</w:t>
      </w:r>
      <w:proofErr w:type="spellEnd"/>
      <w:r w:rsidRPr="00583C56">
        <w:rPr>
          <w:rFonts w:eastAsia="Calibri"/>
          <w:lang w:val="es-PE" w:eastAsia="en-US"/>
        </w:rPr>
        <w:t xml:space="preserve"> o epidermólisis).</w:t>
      </w:r>
      <w:r w:rsidRPr="00583C56">
        <w:rPr>
          <w:rFonts w:eastAsia="Calibri"/>
          <w:vertAlign w:val="superscript"/>
          <w:lang w:val="es-PE" w:eastAsia="en-US"/>
        </w:rPr>
        <w:t>(14)</w:t>
      </w:r>
    </w:p>
    <w:p w14:paraId="4BA144F6"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val="es-PE" w:eastAsia="en-US"/>
        </w:rPr>
        <w:lastRenderedPageBreak/>
        <w:t>Antecedentes oncológicos familiares: con antecedentes o sin antecedentes. Se indagó por los antecedentes oncológicos malignos de cavidad bucal en los familiares de primer grado de consanguinidad (padres, hijos y hermanos).</w:t>
      </w:r>
      <w:r w:rsidRPr="00583C56">
        <w:rPr>
          <w:rFonts w:eastAsia="Calibri"/>
          <w:vertAlign w:val="superscript"/>
          <w:lang w:val="es-PE" w:eastAsia="en-US"/>
        </w:rPr>
        <w:t>(14)</w:t>
      </w:r>
    </w:p>
    <w:p w14:paraId="04DF6E95"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Consumo de tabaco: fumador o no fumador. Se investigó por la presencia del hábito y el tiempo de exposición en años (de 1 a 10, de 11 a 20 y ≥ 21). Se consideró fumador a aquella persona que en el momento del estudio fue fumadora activa, en cualquiera de sus formas, al menos 1 vez al día, y también a los exfumadores con un tiempo inferior a los 5 años.</w:t>
      </w:r>
      <w:r w:rsidRPr="00583C56">
        <w:rPr>
          <w:rFonts w:eastAsia="Calibri"/>
          <w:vertAlign w:val="superscript"/>
          <w:lang w:val="es-PE" w:eastAsia="en-US"/>
        </w:rPr>
        <w:t>(20)</w:t>
      </w:r>
    </w:p>
    <w:p w14:paraId="0AA1FC1C"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val="es-PE" w:eastAsia="en-US"/>
        </w:rPr>
        <w:t>Consumo de alcohol: consumidor o no consumidor. Se determinó la ingesta habitual de bebidas alcohólicas y el tiempo del hábito en años (de 1 a 10, de 11 a 20 y ≥ 21). Se consideraron como consumidores a los pacientes con consumo semanal de al menos 200 mL de bebidas alcohólicas fuertes (ron, vodka, etc.) o sus equivalentes (1 botella de vino o 5 latas de cerveza), o bien 12 estados de embriaguez ligera en el transcurso de 1 año.</w:t>
      </w:r>
      <w:r w:rsidRPr="00583C56">
        <w:rPr>
          <w:rFonts w:eastAsia="Calibri"/>
          <w:vertAlign w:val="superscript"/>
          <w:lang w:val="es-PE" w:eastAsia="en-US"/>
        </w:rPr>
        <w:t>(20)</w:t>
      </w:r>
    </w:p>
    <w:p w14:paraId="03517792"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Consumo de café: expuesto o no expuesto. Se preguntó por el consumo habitual del café y el tiempo de exposición al hábito en años (de 1 a 10, de 11 a 20 y ≥ 21). Se consideró como expuesto al que consumió, al menos, 1 taza diaria 3 veces por semana.</w:t>
      </w:r>
      <w:r w:rsidRPr="00583C56">
        <w:rPr>
          <w:rFonts w:eastAsia="Calibri"/>
          <w:vertAlign w:val="superscript"/>
          <w:lang w:val="es-PE" w:eastAsia="en-US"/>
        </w:rPr>
        <w:t>(20)</w:t>
      </w:r>
    </w:p>
    <w:p w14:paraId="6764D4C2"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val="es-PE" w:eastAsia="en-US"/>
        </w:rPr>
        <w:t>Irritantes térmicos: expuesto o no expuesto. Se indagó por la exposición frecuente de agentes irritantes calientes y el tiempo de esta en años (de 1 a 10, de 11 a 20 y ≥ 21). Se identificaron como expuestos a los pacientes que se expusieron al menos 1 vez al día y hasta 3 veces por semana.</w:t>
      </w:r>
      <w:r w:rsidRPr="00583C56">
        <w:rPr>
          <w:rFonts w:eastAsia="Calibri"/>
          <w:vertAlign w:val="superscript"/>
          <w:lang w:val="es-PE" w:eastAsia="en-US"/>
        </w:rPr>
        <w:t>(14)</w:t>
      </w:r>
    </w:p>
    <w:p w14:paraId="22430394"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val="es-PE" w:eastAsia="en-US"/>
        </w:rPr>
        <w:t>Irritantes traumáticos: expuesto o no expuesto. Se examinó la presencia de prótesis desajustadas (5 años o más en uso, inestables o mal confeccionadas), jugueteos con esta, dientes con bordes filosos, obturaciones defectuosas y hábito de morderse el labio (</w:t>
      </w:r>
      <w:proofErr w:type="spellStart"/>
      <w:r w:rsidRPr="00583C56">
        <w:rPr>
          <w:rFonts w:eastAsia="Calibri"/>
          <w:lang w:val="es-PE" w:eastAsia="en-US"/>
        </w:rPr>
        <w:t>queilofagia</w:t>
      </w:r>
      <w:proofErr w:type="spellEnd"/>
      <w:r w:rsidRPr="00583C56">
        <w:rPr>
          <w:rFonts w:eastAsia="Calibri"/>
          <w:lang w:val="es-PE" w:eastAsia="en-US"/>
        </w:rPr>
        <w:t>), la lengua o el carrillo. Se preguntó por el tiempo de exposición a estos irritantes en años (de 1 a 10, de 11 a 20 y ≥ 21). Se consideraron como expuestos a aquellos pacientes que presentaron al menos 1 de los irritantes descritos.</w:t>
      </w:r>
      <w:r w:rsidRPr="00583C56">
        <w:rPr>
          <w:rFonts w:eastAsia="Calibri"/>
          <w:vertAlign w:val="superscript"/>
          <w:lang w:val="es-PE" w:eastAsia="en-US"/>
        </w:rPr>
        <w:t>(14)</w:t>
      </w:r>
    </w:p>
    <w:p w14:paraId="7FECFADC"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eastAsia="en-US"/>
        </w:rPr>
        <w:t>Higiene bucal: eficiente o deficiente. Se determinó según el índice de O’Leary y el examen minucioso de la cavidad bucal</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21)</w:t>
      </w:r>
      <w:r w:rsidRPr="00583C56">
        <w:rPr>
          <w:rFonts w:eastAsia="Calibri"/>
          <w:lang w:eastAsia="en-US"/>
        </w:rPr>
        <w:t xml:space="preserve"> Se usó el gel </w:t>
      </w:r>
      <w:proofErr w:type="spellStart"/>
      <w:r w:rsidRPr="00583C56">
        <w:rPr>
          <w:rFonts w:eastAsia="Calibri"/>
          <w:lang w:eastAsia="en-US"/>
        </w:rPr>
        <w:t>Placdent</w:t>
      </w:r>
      <w:proofErr w:type="spellEnd"/>
      <w:r w:rsidRPr="00583C56">
        <w:rPr>
          <w:rFonts w:eastAsia="Calibri"/>
          <w:lang w:eastAsia="en-US"/>
        </w:rPr>
        <w:t xml:space="preserve"> como sustancia reveladora de la placa dentobacteriana y se clasificó como deficiente (paciente expuesto) cuando el índice fue ≥ 20 %. En los desdentados totales se examinaron las prótesis y se evaluaron otros elementos como la lengua y los rebordes alveolares, en busca de placa o depósitos de alimentos.</w:t>
      </w:r>
      <w:r w:rsidRPr="00583C56">
        <w:rPr>
          <w:rFonts w:eastAsia="Calibri"/>
          <w:vertAlign w:val="superscript"/>
          <w:lang w:val="es-PE" w:eastAsia="en-US"/>
        </w:rPr>
        <w:t>(14)</w:t>
      </w:r>
    </w:p>
    <w:p w14:paraId="4160CFAB" w14:textId="77777777" w:rsidR="00583C56" w:rsidRPr="00583C56" w:rsidRDefault="00583C56" w:rsidP="00583C56">
      <w:pPr>
        <w:numPr>
          <w:ilvl w:val="0"/>
          <w:numId w:val="1"/>
        </w:numPr>
        <w:spacing w:after="160" w:line="360" w:lineRule="auto"/>
        <w:ind w:left="357" w:hanging="357"/>
        <w:contextualSpacing/>
        <w:jc w:val="both"/>
        <w:rPr>
          <w:rFonts w:eastAsia="Calibri"/>
          <w:lang w:eastAsia="en-US"/>
        </w:rPr>
      </w:pPr>
      <w:r w:rsidRPr="00583C56">
        <w:rPr>
          <w:rFonts w:eastAsia="Calibri"/>
          <w:lang w:val="es-PE" w:eastAsia="en-US"/>
        </w:rPr>
        <w:lastRenderedPageBreak/>
        <w:t>Medicamentos irritantes: expuesto o no expuesto. Se interrogó sobre el uso de antisépticos bucales o medicamentos capaces de irritar las mucosas bucales, sin precisar su indicación específica. Se preguntó por el tiempo de exposición en años (de 1 a 10, de 11 a 20 y ≥ 21). Se consideraron como expuestos a quienes refirieron el uso de al menos un medicamento irritante.</w:t>
      </w:r>
      <w:r w:rsidRPr="00583C56">
        <w:rPr>
          <w:rFonts w:eastAsia="Calibri"/>
          <w:vertAlign w:val="superscript"/>
          <w:lang w:val="es-PE" w:eastAsia="en-US"/>
        </w:rPr>
        <w:t>(14)</w:t>
      </w:r>
    </w:p>
    <w:p w14:paraId="3A0BB5CD" w14:textId="77777777" w:rsidR="00583C56" w:rsidRPr="00583C56" w:rsidRDefault="00583C56" w:rsidP="00583C56">
      <w:pPr>
        <w:spacing w:line="360" w:lineRule="auto"/>
        <w:jc w:val="both"/>
        <w:rPr>
          <w:rFonts w:eastAsia="Calibri"/>
          <w:lang w:eastAsia="en-US"/>
        </w:rPr>
      </w:pPr>
    </w:p>
    <w:p w14:paraId="6E4A5BC7" w14:textId="77777777" w:rsidR="00583C56" w:rsidRPr="00583C56" w:rsidRDefault="00583C56" w:rsidP="00583C56">
      <w:pPr>
        <w:spacing w:line="360" w:lineRule="auto"/>
        <w:jc w:val="center"/>
        <w:rPr>
          <w:rFonts w:eastAsia="Calibri"/>
          <w:sz w:val="28"/>
          <w:szCs w:val="28"/>
          <w:lang w:eastAsia="en-US"/>
        </w:rPr>
      </w:pPr>
      <w:bookmarkStart w:id="2" w:name="_Toc66109725"/>
      <w:r w:rsidRPr="00583C56">
        <w:rPr>
          <w:rFonts w:eastAsia="Calibri"/>
          <w:b/>
          <w:sz w:val="28"/>
          <w:szCs w:val="28"/>
          <w:lang w:eastAsia="en-US"/>
        </w:rPr>
        <w:t>Procedimientos para la recolección de la información</w:t>
      </w:r>
      <w:bookmarkEnd w:id="2"/>
      <w:r w:rsidRPr="00583C56">
        <w:rPr>
          <w:rFonts w:eastAsia="Calibri"/>
          <w:b/>
          <w:sz w:val="28"/>
          <w:szCs w:val="28"/>
          <w:lang w:eastAsia="en-US"/>
        </w:rPr>
        <w:t xml:space="preserve"> y análisis estadístico</w:t>
      </w:r>
    </w:p>
    <w:p w14:paraId="35AFC71F"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La información se obtuvo mediante entrevista, con el formulario de </w:t>
      </w:r>
      <w:proofErr w:type="spellStart"/>
      <w:r w:rsidRPr="00583C56">
        <w:rPr>
          <w:rFonts w:eastAsia="Calibri"/>
          <w:i/>
          <w:lang w:eastAsia="en-US"/>
        </w:rPr>
        <w:t>Hermidas</w:t>
      </w:r>
      <w:proofErr w:type="spellEnd"/>
      <w:r w:rsidRPr="00583C56">
        <w:rPr>
          <w:rFonts w:eastAsia="Calibri"/>
          <w:i/>
          <w:lang w:eastAsia="en-US"/>
        </w:rPr>
        <w:t xml:space="preserve"> Rojas</w:t>
      </w:r>
      <w:proofErr w:type="gramStart"/>
      <w:r w:rsidRPr="00583C56">
        <w:rPr>
          <w:rFonts w:eastAsia="Calibri"/>
          <w:iCs/>
          <w:lang w:eastAsia="en-US"/>
        </w:rPr>
        <w:t>.</w:t>
      </w:r>
      <w:r w:rsidRPr="00583C56">
        <w:rPr>
          <w:rFonts w:eastAsia="Calibri"/>
          <w:vertAlign w:val="superscript"/>
          <w:lang w:eastAsia="en-US"/>
        </w:rPr>
        <w:t>(</w:t>
      </w:r>
      <w:proofErr w:type="gramEnd"/>
      <w:r w:rsidRPr="00583C56">
        <w:rPr>
          <w:rFonts w:eastAsia="Calibri"/>
          <w:vertAlign w:val="superscript"/>
          <w:lang w:eastAsia="en-US"/>
        </w:rPr>
        <w:t>14)</w:t>
      </w:r>
      <w:r w:rsidRPr="00583C56">
        <w:rPr>
          <w:rFonts w:eastAsia="Calibri"/>
          <w:lang w:eastAsia="en-US"/>
        </w:rPr>
        <w:t xml:space="preserve"> Se realizó el análisis descriptivo de las variables mediante frecuencias absolutas y relativas. Se realizó análisis bivariados entre cada variable independiente y la dependiente, con la prueba de </w:t>
      </w:r>
      <w:r w:rsidRPr="00583C56">
        <w:rPr>
          <w:rFonts w:eastAsia="Calibri"/>
          <w:i/>
          <w:iCs/>
          <w:lang w:eastAsia="en-US"/>
        </w:rPr>
        <w:t>ji</w:t>
      </w:r>
      <w:r w:rsidRPr="00583C56">
        <w:rPr>
          <w:rFonts w:eastAsia="Calibri"/>
          <w:lang w:eastAsia="en-US"/>
        </w:rPr>
        <w:t xml:space="preserve"> cuadrado. Se trabajó con un nivel de significación del 95 % y se consideraron como significativos valores p ≤ 0,05. Se precisó la estimación puntual de la asociación mediante </w:t>
      </w:r>
      <w:proofErr w:type="spellStart"/>
      <w:r w:rsidRPr="00583C56">
        <w:rPr>
          <w:rFonts w:eastAsia="Calibri"/>
          <w:i/>
          <w:iCs/>
          <w:lang w:eastAsia="en-US"/>
        </w:rPr>
        <w:t>odds</w:t>
      </w:r>
      <w:proofErr w:type="spellEnd"/>
      <w:r w:rsidRPr="00583C56">
        <w:rPr>
          <w:rFonts w:eastAsia="Calibri"/>
          <w:i/>
          <w:iCs/>
          <w:lang w:eastAsia="en-US"/>
        </w:rPr>
        <w:t xml:space="preserve"> ratio</w:t>
      </w:r>
      <w:r w:rsidRPr="00583C56">
        <w:rPr>
          <w:rFonts w:eastAsia="Calibri"/>
          <w:lang w:eastAsia="en-US"/>
        </w:rPr>
        <w:t xml:space="preserve"> (OR).</w:t>
      </w:r>
    </w:p>
    <w:p w14:paraId="3376C468" w14:textId="4ABF390E" w:rsidR="00583C56" w:rsidRPr="00583C56" w:rsidRDefault="00583C56" w:rsidP="00583C56">
      <w:pPr>
        <w:spacing w:line="360" w:lineRule="auto"/>
        <w:jc w:val="both"/>
        <w:rPr>
          <w:rFonts w:eastAsia="Calibri"/>
          <w:lang w:eastAsia="en-US"/>
        </w:rPr>
      </w:pPr>
      <w:r w:rsidRPr="00583C56">
        <w:rPr>
          <w:rFonts w:eastAsia="Calibri"/>
          <w:lang w:eastAsia="en-US"/>
        </w:rPr>
        <w:t xml:space="preserve">Para cada valor del OR, se calcularon sus intervalos de confianza del 95 % (IC 95 %). Se descartó la asociación individual entre el factor estudiado y la presencia de CE cuando no hubo significación estadística (p &gt; 0,05) o </w:t>
      </w:r>
      <w:r w:rsidR="007D2070" w:rsidRPr="007D2070">
        <w:rPr>
          <w:rFonts w:eastAsia="Calibri"/>
          <w:lang w:eastAsia="en-US"/>
        </w:rPr>
        <w:t>cuando el intervalo de confianza del OR contenía a la unidad</w:t>
      </w:r>
      <w:bookmarkStart w:id="3" w:name="_GoBack"/>
      <w:bookmarkEnd w:id="3"/>
      <w:r w:rsidRPr="00583C56">
        <w:rPr>
          <w:rFonts w:eastAsia="Calibri"/>
          <w:lang w:eastAsia="en-US"/>
        </w:rPr>
        <w:t>. Se realizó el análisis multivariado, con las variables significativas resultantes del análisis bivariado. Se obtuvieron los OR ajustados (controlando el resto de las variables) con los IC 95 %. Se utilizó el programa estadístico IBM-SPSS v 23.0.</w:t>
      </w:r>
    </w:p>
    <w:p w14:paraId="6E59A2F2" w14:textId="77777777" w:rsidR="00583C56" w:rsidRPr="00583C56" w:rsidRDefault="00583C56" w:rsidP="00583C56">
      <w:pPr>
        <w:keepNext/>
        <w:keepLines/>
        <w:spacing w:line="360" w:lineRule="auto"/>
        <w:jc w:val="center"/>
        <w:outlineLvl w:val="1"/>
        <w:rPr>
          <w:b/>
          <w:sz w:val="28"/>
          <w:szCs w:val="28"/>
          <w:lang w:eastAsia="en-US"/>
        </w:rPr>
      </w:pPr>
      <w:bookmarkStart w:id="4" w:name="_Toc66109727"/>
      <w:r w:rsidRPr="00583C56">
        <w:rPr>
          <w:b/>
          <w:sz w:val="28"/>
          <w:szCs w:val="28"/>
          <w:lang w:eastAsia="en-US"/>
        </w:rPr>
        <w:t>Aspectos éticos</w:t>
      </w:r>
      <w:bookmarkEnd w:id="4"/>
    </w:p>
    <w:p w14:paraId="7FCCFD98" w14:textId="77777777" w:rsidR="00583C56" w:rsidRPr="00583C56" w:rsidRDefault="00583C56" w:rsidP="00583C56">
      <w:pPr>
        <w:spacing w:line="360" w:lineRule="auto"/>
        <w:jc w:val="both"/>
        <w:rPr>
          <w:rFonts w:eastAsia="Calibri"/>
          <w:lang w:eastAsia="en-US"/>
        </w:rPr>
      </w:pPr>
      <w:r w:rsidRPr="00583C56">
        <w:rPr>
          <w:rFonts w:eastAsia="Calibri"/>
          <w:lang w:eastAsia="en-US"/>
        </w:rPr>
        <w:t>Para participar en el estudio, fue necesario manifestar por escrito un consentimiento informado. Se respetaron los aspectos de la Declaración de Helsinki para la investigación en seres humanos. El proyecto de esta investigación se aprobó en el comité de ética y en el consejo científico del hospital donde se realizó el estudio.</w:t>
      </w:r>
    </w:p>
    <w:p w14:paraId="7629AEC5" w14:textId="77777777" w:rsidR="00583C56" w:rsidRPr="00583C56" w:rsidRDefault="00583C56" w:rsidP="00583C56">
      <w:pPr>
        <w:spacing w:line="360" w:lineRule="auto"/>
        <w:jc w:val="both"/>
        <w:rPr>
          <w:rFonts w:eastAsia="Calibri"/>
          <w:b/>
          <w:lang w:eastAsia="en-US"/>
        </w:rPr>
      </w:pPr>
    </w:p>
    <w:p w14:paraId="3822B3D4" w14:textId="77777777" w:rsidR="00583C56" w:rsidRPr="00583C56" w:rsidRDefault="00583C56" w:rsidP="00583C56">
      <w:pPr>
        <w:spacing w:line="360" w:lineRule="auto"/>
        <w:jc w:val="both"/>
        <w:rPr>
          <w:rFonts w:eastAsia="Calibri"/>
          <w:b/>
          <w:lang w:eastAsia="en-US"/>
        </w:rPr>
      </w:pPr>
    </w:p>
    <w:p w14:paraId="26599406" w14:textId="77777777" w:rsidR="00583C56" w:rsidRPr="00583C56" w:rsidRDefault="00583C56" w:rsidP="00583C56">
      <w:pPr>
        <w:spacing w:line="360" w:lineRule="auto"/>
        <w:jc w:val="center"/>
        <w:rPr>
          <w:rFonts w:eastAsia="Calibri"/>
          <w:b/>
          <w:sz w:val="32"/>
          <w:szCs w:val="32"/>
          <w:lang w:eastAsia="en-US"/>
        </w:rPr>
      </w:pPr>
      <w:r w:rsidRPr="00583C56">
        <w:rPr>
          <w:rFonts w:eastAsia="Calibri"/>
          <w:b/>
          <w:sz w:val="32"/>
          <w:szCs w:val="32"/>
          <w:lang w:eastAsia="en-US"/>
        </w:rPr>
        <w:t>RESULTADOS</w:t>
      </w:r>
    </w:p>
    <w:p w14:paraId="55907302"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Los valores mínimo, máximo y medio de la edad fueron 41, 80 y 63,03 ± 10,28 por ese orden. Fueron hombres 20 pacientes (68,97 %). El 82,76 % de los casos fumaba, mientras que el 79,31 % consumían café y estuvieron expuestos a irritantes traumáticos, por ese orden. Más del 58 % de los casos estuvieron expuestos </w:t>
      </w:r>
      <w:bookmarkStart w:id="5" w:name="_Hlk66291158"/>
      <w:r w:rsidRPr="00583C56">
        <w:rPr>
          <w:rFonts w:eastAsia="Calibri"/>
          <w:lang w:eastAsia="en-US"/>
        </w:rPr>
        <w:t xml:space="preserve">al tabaco, al alcohol, al café y a los irritantes térmicos </w:t>
      </w:r>
      <w:bookmarkEnd w:id="5"/>
      <w:r w:rsidRPr="00583C56">
        <w:rPr>
          <w:rFonts w:eastAsia="Calibri"/>
          <w:lang w:eastAsia="en-US"/>
        </w:rPr>
        <w:t>por 21 o más años (tabla 1).</w:t>
      </w:r>
    </w:p>
    <w:p w14:paraId="219902D9" w14:textId="77777777" w:rsidR="00583C56" w:rsidRPr="00583C56" w:rsidRDefault="00583C56" w:rsidP="00583C56">
      <w:pPr>
        <w:spacing w:line="360" w:lineRule="auto"/>
        <w:jc w:val="center"/>
        <w:rPr>
          <w:rFonts w:eastAsia="Calibri"/>
          <w:b/>
          <w:lang w:eastAsia="en-US"/>
        </w:rPr>
      </w:pPr>
    </w:p>
    <w:p w14:paraId="060F009F" w14:textId="77777777" w:rsidR="00583C56" w:rsidRPr="00583C56" w:rsidRDefault="00583C56" w:rsidP="00583C56">
      <w:pPr>
        <w:spacing w:line="360" w:lineRule="auto"/>
        <w:jc w:val="center"/>
        <w:rPr>
          <w:rFonts w:eastAsia="Calibri"/>
          <w:b/>
          <w:sz w:val="22"/>
          <w:szCs w:val="22"/>
          <w:lang w:eastAsia="en-US"/>
        </w:rPr>
      </w:pPr>
    </w:p>
    <w:p w14:paraId="089799AC" w14:textId="77777777" w:rsidR="00583C56" w:rsidRPr="00583C56" w:rsidRDefault="00583C56" w:rsidP="00583C56">
      <w:pPr>
        <w:spacing w:line="360" w:lineRule="auto"/>
        <w:jc w:val="center"/>
        <w:rPr>
          <w:rFonts w:eastAsia="Calibri"/>
          <w:sz w:val="22"/>
          <w:szCs w:val="22"/>
          <w:lang w:eastAsia="en-US"/>
        </w:rPr>
      </w:pPr>
      <w:r w:rsidRPr="00583C56">
        <w:rPr>
          <w:rFonts w:eastAsia="Calibri"/>
          <w:b/>
          <w:sz w:val="22"/>
          <w:szCs w:val="22"/>
          <w:lang w:eastAsia="en-US"/>
        </w:rPr>
        <w:t xml:space="preserve">Tabla 1 - </w:t>
      </w:r>
      <w:r w:rsidRPr="00583C56">
        <w:rPr>
          <w:rFonts w:eastAsia="Calibri"/>
          <w:sz w:val="22"/>
          <w:szCs w:val="22"/>
          <w:lang w:eastAsia="en-US"/>
        </w:rPr>
        <w:t>Distribución temporal de algunos posibles factores de riesgo que actuaron sobre los casos</w:t>
      </w:r>
    </w:p>
    <w:p w14:paraId="3AEF2105" w14:textId="5E0493DE" w:rsidR="00583C56" w:rsidRPr="00583C56" w:rsidRDefault="00583C56" w:rsidP="00583C56">
      <w:pPr>
        <w:spacing w:line="360" w:lineRule="auto"/>
        <w:jc w:val="center"/>
        <w:rPr>
          <w:rFonts w:eastAsia="Calibri"/>
          <w:lang w:eastAsia="en-US"/>
        </w:rPr>
      </w:pPr>
      <w:r w:rsidRPr="00583C56">
        <w:rPr>
          <w:rFonts w:eastAsia="Calibri"/>
          <w:noProof/>
          <w:lang w:val="es-ES" w:eastAsia="es-ES"/>
        </w:rPr>
        <w:drawing>
          <wp:inline distT="0" distB="0" distL="0" distR="0" wp14:anchorId="60BAF766" wp14:editId="4197221D">
            <wp:extent cx="4000500" cy="1866900"/>
            <wp:effectExtent l="0" t="0" r="0" b="0"/>
            <wp:docPr id="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0" cy="1866900"/>
                    </a:xfrm>
                    <a:prstGeom prst="rect">
                      <a:avLst/>
                    </a:prstGeom>
                    <a:noFill/>
                    <a:ln>
                      <a:noFill/>
                    </a:ln>
                  </pic:spPr>
                </pic:pic>
              </a:graphicData>
            </a:graphic>
          </wp:inline>
        </w:drawing>
      </w:r>
    </w:p>
    <w:p w14:paraId="02D285E0" w14:textId="77777777" w:rsidR="00583C56" w:rsidRPr="00583C56" w:rsidRDefault="00583C56" w:rsidP="00583C56">
      <w:pPr>
        <w:spacing w:line="360" w:lineRule="auto"/>
        <w:jc w:val="center"/>
        <w:rPr>
          <w:rFonts w:eastAsia="Calibri"/>
          <w:lang w:eastAsia="en-US"/>
        </w:rPr>
      </w:pPr>
    </w:p>
    <w:p w14:paraId="616699AC" w14:textId="7F64E8F5" w:rsidR="00583C56" w:rsidRDefault="00583C56" w:rsidP="00583C56">
      <w:pPr>
        <w:spacing w:line="360" w:lineRule="auto"/>
        <w:jc w:val="both"/>
        <w:rPr>
          <w:rFonts w:eastAsia="Calibri"/>
          <w:lang w:eastAsia="en-US"/>
        </w:rPr>
      </w:pPr>
      <w:r w:rsidRPr="00583C56">
        <w:rPr>
          <w:rFonts w:eastAsia="Calibri"/>
          <w:lang w:eastAsia="en-US"/>
        </w:rPr>
        <w:t>En el análisis bivariado (</w:t>
      </w:r>
      <w:r w:rsidRPr="00583C56">
        <w:rPr>
          <w:rFonts w:eastAsia="Calibri"/>
          <w:bCs/>
          <w:lang w:eastAsia="en-US"/>
        </w:rPr>
        <w:t>tabla 2)</w:t>
      </w:r>
      <w:r w:rsidRPr="00583C56">
        <w:rPr>
          <w:rFonts w:eastAsia="Calibri"/>
          <w:lang w:eastAsia="en-US"/>
        </w:rPr>
        <w:t xml:space="preserve">, la morbilidad por CE se asoció significativamente con </w:t>
      </w:r>
      <w:bookmarkStart w:id="6" w:name="_Hlk66294270"/>
      <w:r w:rsidRPr="00583C56">
        <w:rPr>
          <w:rFonts w:eastAsia="Calibri"/>
          <w:lang w:eastAsia="en-US"/>
        </w:rPr>
        <w:t>el antecedente de consumo de alcohol (OR: 22,75; IC 95 %: 7,0-73,56; p &lt; 0,001), la higiene bucal deficiente (OR: 8,85; IC 95 %: 2,73-28,75; p &lt; 0,001) y el consumo de tabaco (OR: 5,51; IC 95 %: 1,85-16,44; p = 0,002), así como con la exposición a irritantes traumáticos (OR: 4,40; IC 95 %: 1,56-12,40; p = 0,005) y térmicos (OR: 3,64; IC 95 %: 1,43-9,25; p = 0,007)</w:t>
      </w:r>
      <w:bookmarkEnd w:id="6"/>
      <w:r w:rsidRPr="00583C56">
        <w:rPr>
          <w:rFonts w:eastAsia="Calibri"/>
          <w:lang w:eastAsia="en-US"/>
        </w:rPr>
        <w:t>.</w:t>
      </w:r>
    </w:p>
    <w:p w14:paraId="777D8C47" w14:textId="77777777" w:rsidR="00E07F54" w:rsidRPr="00583C56" w:rsidRDefault="00E07F54" w:rsidP="00E07F54">
      <w:pPr>
        <w:spacing w:line="360" w:lineRule="auto"/>
        <w:jc w:val="both"/>
        <w:rPr>
          <w:rFonts w:eastAsia="Calibri"/>
          <w:lang w:eastAsia="en-US"/>
        </w:rPr>
      </w:pPr>
      <w:r w:rsidRPr="00583C56">
        <w:rPr>
          <w:rFonts w:eastAsia="Calibri"/>
          <w:lang w:eastAsia="en-US"/>
        </w:rPr>
        <w:t>En el análisis multivariado (tabla 3), mantuvieron la asociación el antecedente de consumo de alcohol (OR: 16,03; IC 95 %: 3,47-74,15; p &lt; 0,001), la higiene bucal deficiente (OR: 5,23; IC 95 %: 1,18-23,29; p = 0,030) y la exposición a irritantes traumáticos (OR: 4,41; IC 95 %: 1,01-19,23; p = 0,048); ajustados por el consumo de tabaco y los irritantes térmicos.</w:t>
      </w:r>
    </w:p>
    <w:p w14:paraId="5D49E907" w14:textId="77777777" w:rsidR="00E07F54" w:rsidRPr="00583C56" w:rsidRDefault="00E07F54" w:rsidP="00583C56">
      <w:pPr>
        <w:spacing w:line="360" w:lineRule="auto"/>
        <w:jc w:val="both"/>
        <w:rPr>
          <w:rFonts w:eastAsia="Calibri"/>
          <w:b/>
          <w:lang w:eastAsia="en-US"/>
        </w:rPr>
      </w:pPr>
    </w:p>
    <w:p w14:paraId="38223746" w14:textId="77777777" w:rsidR="00583C56" w:rsidRPr="00583C56" w:rsidRDefault="00583C56" w:rsidP="00583C56">
      <w:pPr>
        <w:spacing w:line="360" w:lineRule="auto"/>
        <w:jc w:val="center"/>
        <w:rPr>
          <w:rFonts w:eastAsia="Calibri"/>
          <w:b/>
          <w:lang w:eastAsia="en-US"/>
        </w:rPr>
      </w:pPr>
    </w:p>
    <w:p w14:paraId="4CD60AEE" w14:textId="77777777" w:rsidR="00E07F54" w:rsidRDefault="00E07F54">
      <w:pPr>
        <w:rPr>
          <w:rFonts w:eastAsia="Calibri"/>
          <w:b/>
          <w:sz w:val="22"/>
          <w:szCs w:val="22"/>
          <w:lang w:eastAsia="en-US"/>
        </w:rPr>
      </w:pPr>
      <w:r>
        <w:rPr>
          <w:rFonts w:eastAsia="Calibri"/>
          <w:b/>
          <w:sz w:val="22"/>
          <w:szCs w:val="22"/>
          <w:lang w:eastAsia="en-US"/>
        </w:rPr>
        <w:br w:type="page"/>
      </w:r>
    </w:p>
    <w:p w14:paraId="13AF5678" w14:textId="43346A12" w:rsidR="00583C56" w:rsidRPr="00583C56" w:rsidRDefault="00583C56" w:rsidP="00583C56">
      <w:pPr>
        <w:spacing w:line="360" w:lineRule="auto"/>
        <w:jc w:val="center"/>
        <w:rPr>
          <w:rFonts w:eastAsia="Calibri"/>
          <w:sz w:val="22"/>
          <w:szCs w:val="22"/>
          <w:lang w:eastAsia="en-US"/>
        </w:rPr>
      </w:pPr>
      <w:r w:rsidRPr="00583C56">
        <w:rPr>
          <w:rFonts w:eastAsia="Calibri"/>
          <w:b/>
          <w:sz w:val="22"/>
          <w:szCs w:val="22"/>
          <w:lang w:eastAsia="en-US"/>
        </w:rPr>
        <w:lastRenderedPageBreak/>
        <w:t>Tabla 2 -</w:t>
      </w:r>
      <w:r w:rsidRPr="00583C56">
        <w:rPr>
          <w:rFonts w:eastAsia="Calibri"/>
          <w:sz w:val="22"/>
          <w:szCs w:val="22"/>
          <w:lang w:eastAsia="en-US"/>
        </w:rPr>
        <w:t xml:space="preserve"> Análisis bivariado de los factores de riesgo asociados a la presencia de CE intraoral</w:t>
      </w:r>
    </w:p>
    <w:p w14:paraId="4894EB7F" w14:textId="31FD59FC" w:rsidR="00583C56" w:rsidRPr="00583C56" w:rsidRDefault="00583C56" w:rsidP="00583C56">
      <w:pPr>
        <w:spacing w:line="360" w:lineRule="auto"/>
        <w:jc w:val="center"/>
        <w:rPr>
          <w:rFonts w:eastAsia="Calibri"/>
          <w:sz w:val="16"/>
          <w:szCs w:val="16"/>
          <w:lang w:eastAsia="en-US"/>
        </w:rPr>
      </w:pPr>
      <w:r w:rsidRPr="00583C56">
        <w:rPr>
          <w:rFonts w:eastAsia="Calibri"/>
          <w:noProof/>
          <w:sz w:val="16"/>
          <w:szCs w:val="16"/>
          <w:lang w:val="es-ES" w:eastAsia="es-ES"/>
        </w:rPr>
        <w:drawing>
          <wp:inline distT="0" distB="0" distL="0" distR="0" wp14:anchorId="006AD7A1" wp14:editId="3F86E447">
            <wp:extent cx="3968750" cy="7312227"/>
            <wp:effectExtent l="0" t="0" r="0" b="317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84282" cy="7340845"/>
                    </a:xfrm>
                    <a:prstGeom prst="rect">
                      <a:avLst/>
                    </a:prstGeom>
                    <a:noFill/>
                    <a:ln>
                      <a:noFill/>
                    </a:ln>
                  </pic:spPr>
                </pic:pic>
              </a:graphicData>
            </a:graphic>
          </wp:inline>
        </w:drawing>
      </w:r>
    </w:p>
    <w:p w14:paraId="141B3FEE" w14:textId="77777777" w:rsidR="00583C56" w:rsidRPr="00583C56" w:rsidRDefault="00583C56" w:rsidP="00583C56">
      <w:pPr>
        <w:spacing w:line="360" w:lineRule="auto"/>
        <w:jc w:val="center"/>
        <w:rPr>
          <w:rFonts w:eastAsia="Calibri"/>
          <w:sz w:val="16"/>
          <w:szCs w:val="16"/>
          <w:lang w:eastAsia="en-US"/>
        </w:rPr>
      </w:pPr>
      <w:r w:rsidRPr="00583C56">
        <w:rPr>
          <w:rFonts w:eastAsia="Calibri"/>
          <w:sz w:val="16"/>
          <w:szCs w:val="16"/>
          <w:lang w:eastAsia="en-US"/>
        </w:rPr>
        <w:t>Ref. (categoría de referencia para la comparación).</w:t>
      </w:r>
    </w:p>
    <w:p w14:paraId="74704A4D" w14:textId="77777777" w:rsidR="00583C56" w:rsidRPr="00583C56" w:rsidRDefault="00583C56" w:rsidP="00583C56">
      <w:pPr>
        <w:spacing w:line="360" w:lineRule="auto"/>
        <w:jc w:val="both"/>
        <w:rPr>
          <w:rFonts w:eastAsia="Calibri"/>
          <w:lang w:eastAsia="en-US"/>
        </w:rPr>
      </w:pPr>
    </w:p>
    <w:p w14:paraId="31300981" w14:textId="77777777" w:rsidR="00583C56" w:rsidRPr="00583C56" w:rsidRDefault="00583C56" w:rsidP="00583C56">
      <w:pPr>
        <w:spacing w:line="360" w:lineRule="auto"/>
        <w:jc w:val="center"/>
        <w:rPr>
          <w:rFonts w:eastAsia="Calibri"/>
          <w:sz w:val="22"/>
          <w:szCs w:val="22"/>
          <w:lang w:eastAsia="en-US"/>
        </w:rPr>
      </w:pPr>
      <w:r w:rsidRPr="00583C56">
        <w:rPr>
          <w:rFonts w:eastAsia="Calibri"/>
          <w:b/>
          <w:sz w:val="22"/>
          <w:szCs w:val="22"/>
          <w:lang w:eastAsia="en-US"/>
        </w:rPr>
        <w:t xml:space="preserve">Tabla 3 - </w:t>
      </w:r>
      <w:r w:rsidRPr="00583C56">
        <w:rPr>
          <w:rFonts w:eastAsia="Calibri"/>
          <w:sz w:val="22"/>
          <w:szCs w:val="22"/>
          <w:lang w:eastAsia="en-US"/>
        </w:rPr>
        <w:t>Análisis multivariado de los factores de riesgo asociados a la presencia de CE intraoral</w:t>
      </w:r>
    </w:p>
    <w:p w14:paraId="1AE975A7" w14:textId="57841977" w:rsidR="00583C56" w:rsidRPr="00583C56" w:rsidRDefault="00583C56" w:rsidP="00583C56">
      <w:pPr>
        <w:spacing w:line="360" w:lineRule="auto"/>
        <w:jc w:val="center"/>
        <w:rPr>
          <w:rFonts w:eastAsia="Calibri"/>
          <w:b/>
          <w:lang w:eastAsia="en-US"/>
        </w:rPr>
      </w:pPr>
      <w:r w:rsidRPr="00583C56">
        <w:rPr>
          <w:rFonts w:eastAsia="Calibri"/>
          <w:b/>
          <w:noProof/>
          <w:lang w:val="es-ES" w:eastAsia="es-ES"/>
        </w:rPr>
        <w:drawing>
          <wp:inline distT="0" distB="0" distL="0" distR="0" wp14:anchorId="7142E910" wp14:editId="5BF16A33">
            <wp:extent cx="4467225" cy="1457325"/>
            <wp:effectExtent l="0" t="0" r="0" b="0"/>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7225" cy="1457325"/>
                    </a:xfrm>
                    <a:prstGeom prst="rect">
                      <a:avLst/>
                    </a:prstGeom>
                    <a:noFill/>
                    <a:ln>
                      <a:noFill/>
                    </a:ln>
                  </pic:spPr>
                </pic:pic>
              </a:graphicData>
            </a:graphic>
          </wp:inline>
        </w:drawing>
      </w:r>
    </w:p>
    <w:p w14:paraId="09534EB4" w14:textId="77777777" w:rsidR="00583C56" w:rsidRPr="00583C56" w:rsidRDefault="00583C56" w:rsidP="00583C56">
      <w:pPr>
        <w:spacing w:line="360" w:lineRule="auto"/>
        <w:jc w:val="center"/>
        <w:rPr>
          <w:rFonts w:eastAsia="Calibri"/>
          <w:b/>
          <w:sz w:val="32"/>
          <w:szCs w:val="32"/>
          <w:lang w:eastAsia="en-US"/>
        </w:rPr>
      </w:pPr>
    </w:p>
    <w:p w14:paraId="5BFF0A5C" w14:textId="77777777" w:rsidR="00583C56" w:rsidRPr="00583C56" w:rsidRDefault="00583C56" w:rsidP="00583C56">
      <w:pPr>
        <w:spacing w:line="360" w:lineRule="auto"/>
        <w:jc w:val="center"/>
        <w:rPr>
          <w:rFonts w:eastAsia="Calibri"/>
          <w:b/>
          <w:sz w:val="32"/>
          <w:szCs w:val="32"/>
          <w:lang w:eastAsia="en-US"/>
        </w:rPr>
      </w:pPr>
    </w:p>
    <w:p w14:paraId="623D4363" w14:textId="77777777" w:rsidR="00583C56" w:rsidRPr="00583C56" w:rsidRDefault="00583C56" w:rsidP="00583C56">
      <w:pPr>
        <w:spacing w:line="360" w:lineRule="auto"/>
        <w:jc w:val="center"/>
        <w:rPr>
          <w:rFonts w:eastAsia="Calibri"/>
          <w:b/>
          <w:sz w:val="32"/>
          <w:szCs w:val="32"/>
          <w:lang w:eastAsia="en-US"/>
        </w:rPr>
      </w:pPr>
      <w:r w:rsidRPr="00583C56">
        <w:rPr>
          <w:rFonts w:eastAsia="Calibri"/>
          <w:b/>
          <w:sz w:val="32"/>
          <w:szCs w:val="32"/>
          <w:lang w:eastAsia="en-US"/>
        </w:rPr>
        <w:t>DISCUSIÓN</w:t>
      </w:r>
    </w:p>
    <w:p w14:paraId="634F103E"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Varias </w:t>
      </w:r>
      <w:proofErr w:type="gramStart"/>
      <w:r w:rsidRPr="00583C56">
        <w:rPr>
          <w:rFonts w:eastAsia="Calibri"/>
          <w:lang w:eastAsia="en-US"/>
        </w:rPr>
        <w:t>investigaciones</w:t>
      </w:r>
      <w:r w:rsidRPr="00583C56">
        <w:rPr>
          <w:rFonts w:eastAsia="Calibri"/>
          <w:vertAlign w:val="superscript"/>
          <w:lang w:eastAsia="en-US"/>
        </w:rPr>
        <w:t>(</w:t>
      </w:r>
      <w:proofErr w:type="gramEnd"/>
      <w:r w:rsidRPr="00583C56">
        <w:rPr>
          <w:rFonts w:eastAsia="Calibri"/>
          <w:vertAlign w:val="superscript"/>
          <w:lang w:eastAsia="en-US"/>
        </w:rPr>
        <w:t>22,23,24)</w:t>
      </w:r>
      <w:r w:rsidRPr="00583C56">
        <w:rPr>
          <w:rFonts w:eastAsia="Calibri"/>
          <w:lang w:eastAsia="en-US"/>
        </w:rPr>
        <w:t xml:space="preserve"> evidencian que la gran mayoría de los cánceres son, en principio, prevenibles, porque los factores que determinan su incidencia son en mayor medida exógenos. Si bien los factores genéticos son importantes en términos de influenciar la susceptibilidad individual a los carcinógenos</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22)</w:t>
      </w:r>
      <w:r w:rsidRPr="00583C56">
        <w:rPr>
          <w:rFonts w:eastAsia="Calibri"/>
          <w:lang w:eastAsia="en-US"/>
        </w:rPr>
        <w:t xml:space="preserve"> la mayoría de los cánceres bucales pueden ser atribuidos a ciertos FR asociados a estilos de vida que representan la mayor oportunidad para la prevención primaria.</w:t>
      </w:r>
      <w:r w:rsidRPr="00583C56">
        <w:rPr>
          <w:rFonts w:eastAsia="Calibri"/>
          <w:vertAlign w:val="superscript"/>
          <w:lang w:eastAsia="en-US"/>
        </w:rPr>
        <w:t>(23,24)</w:t>
      </w:r>
    </w:p>
    <w:p w14:paraId="6B2F0E36" w14:textId="77777777" w:rsidR="00583C56" w:rsidRPr="00583C56" w:rsidRDefault="00583C56" w:rsidP="00583C56">
      <w:pPr>
        <w:spacing w:line="360" w:lineRule="auto"/>
        <w:jc w:val="both"/>
        <w:rPr>
          <w:rFonts w:eastAsia="Calibri"/>
          <w:lang w:eastAsia="en-US"/>
        </w:rPr>
      </w:pPr>
      <w:r w:rsidRPr="00583C56">
        <w:rPr>
          <w:rFonts w:eastAsia="Calibri"/>
          <w:lang w:eastAsia="en-US"/>
        </w:rPr>
        <w:t>La mayor incidencia de CB en relación al aumento de edad, puede deberse a la exposición acumulada por largo tiempo a agentes carcinogénicos, a la incorporación de alteraciones genéticas o epigenéticas del ADN, entre otros</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23)</w:t>
      </w:r>
      <w:r w:rsidRPr="00583C56">
        <w:rPr>
          <w:rFonts w:eastAsia="Calibri"/>
          <w:lang w:eastAsia="en-US"/>
        </w:rPr>
        <w:t xml:space="preserve"> Con respecto al sexo, las tendencias actuales consideran que no existe una predisposición biológica entre ambos sexos y solo la conducta es capaz de influir en que uno sea más vulnerable que el otro. El sexo biológico, de forma general, define las diferencias de género y roles de riesgo como la práctica de hábitos tóxicos, que son más comunes en el sexo masculino y por eso existe un criterio tradicional de que el CB es más frecuente en los hombres, si se comparan con las mujeres</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14)</w:t>
      </w:r>
    </w:p>
    <w:p w14:paraId="074118D8"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Lo anterior ha condicionado que varios estudios recientes de casos y </w:t>
      </w:r>
      <w:proofErr w:type="gramStart"/>
      <w:r w:rsidRPr="00583C56">
        <w:rPr>
          <w:rFonts w:eastAsia="Calibri"/>
          <w:lang w:eastAsia="en-US"/>
        </w:rPr>
        <w:t>controles</w:t>
      </w:r>
      <w:r w:rsidRPr="00583C56">
        <w:rPr>
          <w:rFonts w:eastAsia="Calibri"/>
          <w:vertAlign w:val="superscript"/>
          <w:lang w:eastAsia="en-US"/>
        </w:rPr>
        <w:t>(</w:t>
      </w:r>
      <w:proofErr w:type="gramEnd"/>
      <w:r w:rsidRPr="00583C56">
        <w:rPr>
          <w:rFonts w:eastAsia="Calibri"/>
          <w:vertAlign w:val="superscript"/>
          <w:lang w:eastAsia="en-US"/>
        </w:rPr>
        <w:t xml:space="preserve">24,25,26) </w:t>
      </w:r>
      <w:r w:rsidRPr="00583C56">
        <w:rPr>
          <w:rFonts w:eastAsia="Calibri"/>
          <w:lang w:eastAsia="en-US"/>
        </w:rPr>
        <w:t>sobre cáncer de cavidad bucal y orofaringe no evalúen a la edad ni al sexo como FR, sino que los utilicen como criterios de estratificación, similar a esta investigación.</w:t>
      </w:r>
    </w:p>
    <w:p w14:paraId="6762C73F" w14:textId="77777777" w:rsidR="00583C56" w:rsidRPr="00583C56" w:rsidRDefault="00583C56" w:rsidP="00583C56">
      <w:pPr>
        <w:spacing w:line="360" w:lineRule="auto"/>
        <w:jc w:val="both"/>
        <w:rPr>
          <w:rFonts w:eastAsia="Calibri"/>
          <w:vertAlign w:val="superscript"/>
          <w:lang w:eastAsia="en-US"/>
        </w:rPr>
      </w:pPr>
      <w:r w:rsidRPr="00583C56">
        <w:rPr>
          <w:rFonts w:eastAsia="Calibri"/>
          <w:lang w:eastAsia="en-US"/>
        </w:rPr>
        <w:t xml:space="preserve">La valoración de la frecuencia del conjunto de agentes externos que conforman los FR es el primer paso en su identificación. Su temporalidad tiene un importante valor en la definición de su efecto acumulativo. De esta forma, resultó peculiar que la mayoría de los pacientes estuvo expuesta a estos factores por </w:t>
      </w:r>
      <w:r w:rsidRPr="00583C56">
        <w:rPr>
          <w:rFonts w:eastAsia="Calibri"/>
          <w:lang w:eastAsia="en-US"/>
        </w:rPr>
        <w:lastRenderedPageBreak/>
        <w:t xml:space="preserve">tiempos superiores a los 21 años, tanto en el consumo de tabaco, alcohol o café, como en la exposición a los irritantes térmicos, lo cual coincide con el reporte de </w:t>
      </w:r>
      <w:r w:rsidRPr="00583C56">
        <w:rPr>
          <w:rFonts w:eastAsia="Calibri"/>
          <w:i/>
          <w:lang w:eastAsia="en-US"/>
        </w:rPr>
        <w:t>Hermida Rojas</w:t>
      </w:r>
      <w:r w:rsidRPr="00583C56">
        <w:rPr>
          <w:rFonts w:eastAsia="Calibri"/>
          <w:lang w:eastAsia="en-US"/>
        </w:rPr>
        <w:t xml:space="preserve"> en Ciego de Ávila</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14)</w:t>
      </w:r>
    </w:p>
    <w:p w14:paraId="53829F3E" w14:textId="77777777" w:rsidR="00583C56" w:rsidRPr="00583C56" w:rsidRDefault="00583C56" w:rsidP="00583C56">
      <w:pPr>
        <w:spacing w:line="360" w:lineRule="auto"/>
        <w:jc w:val="both"/>
        <w:rPr>
          <w:rFonts w:eastAsia="Calibri"/>
          <w:vertAlign w:val="superscript"/>
          <w:lang w:eastAsia="en-US"/>
        </w:rPr>
      </w:pPr>
      <w:r w:rsidRPr="00583C56">
        <w:rPr>
          <w:rFonts w:eastAsia="Calibri"/>
          <w:lang w:eastAsia="en-US"/>
        </w:rPr>
        <w:t>En el análisis bivariado se encontró que los antecedentes de consumo de tabaco, alcohol e higiene bucal deficiente, así como la exposición a irritantes térmicos y traumáticos, se asociaron a la morbilidad por CE, lo cual es similar a reportes nacionales</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15,16,17,18)</w:t>
      </w:r>
    </w:p>
    <w:p w14:paraId="5523E1D1" w14:textId="77777777" w:rsidR="00583C56" w:rsidRPr="00583C56" w:rsidRDefault="00583C56" w:rsidP="00583C56">
      <w:pPr>
        <w:spacing w:line="360" w:lineRule="auto"/>
        <w:jc w:val="both"/>
        <w:rPr>
          <w:rFonts w:eastAsia="Calibri"/>
          <w:lang w:eastAsia="en-US"/>
        </w:rPr>
      </w:pPr>
      <w:r w:rsidRPr="00583C56">
        <w:rPr>
          <w:rFonts w:eastAsia="Calibri"/>
          <w:lang w:eastAsia="en-US"/>
        </w:rPr>
        <w:t>Dado que la carcinogénesis bucal es un proceso multifactorial, considerar el riesgo en un individuo por el hecho de presentar solo uno de los factores estudiados, significa desestimar el efecto conjunto, sinérgico o antagónico de todos, lo cual justificó el análisis multivariado. Arrojó que el antecedente de consumo de alcohol, así como la exposición a irritantes traumáticos y la higiene bucal deficiente, fueron los factores asociados a la morbilidad por CE, los cuales están bien documentados en la literatura científica</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27,28)</w:t>
      </w:r>
    </w:p>
    <w:p w14:paraId="5C9AF607" w14:textId="77777777" w:rsidR="00583C56" w:rsidRPr="00583C56" w:rsidRDefault="00583C56" w:rsidP="00583C56">
      <w:pPr>
        <w:spacing w:line="360" w:lineRule="auto"/>
        <w:jc w:val="both"/>
        <w:rPr>
          <w:rFonts w:eastAsia="Calibri"/>
          <w:lang w:eastAsia="en-US"/>
        </w:rPr>
      </w:pPr>
      <w:r w:rsidRPr="00583C56">
        <w:rPr>
          <w:rFonts w:eastAsia="Calibri"/>
          <w:lang w:eastAsia="en-US"/>
        </w:rPr>
        <w:t>Es interesante encontrar que el consumo de tabaco no estuvo entre esos factores asociados, algo que no es singular de este estudio y coincide con reportes previos</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29)</w:t>
      </w:r>
      <w:r w:rsidRPr="00583C56">
        <w:rPr>
          <w:rFonts w:eastAsia="Calibri"/>
          <w:lang w:eastAsia="en-US"/>
        </w:rPr>
        <w:t xml:space="preserve"> Estos resultados pueden tener tres aristas de análisis. Primero, no todos los fumadores desarrollan la enfermedad. Segundo, en una población como la estudiada, con un consumo de tabaco generalizado, desarrollan CB solo aquellos que exceden cierto umbral de consumo o aquellos en quienes el tabaco se asocia a otros factores sinérgicos. Tercero, al tratarse de un estudio con una muestra pequeña de casos, estos resultados pueden considerarse como preliminares y servir de base para investigaciones futuras. En otro reporte</w:t>
      </w:r>
      <w:proofErr w:type="gramStart"/>
      <w:r w:rsidRPr="00583C56">
        <w:rPr>
          <w:rFonts w:eastAsia="Calibri"/>
          <w:lang w:eastAsia="en-US"/>
        </w:rPr>
        <w:t>,</w:t>
      </w:r>
      <w:r w:rsidRPr="00583C56">
        <w:rPr>
          <w:rFonts w:eastAsia="Calibri"/>
          <w:vertAlign w:val="superscript"/>
          <w:lang w:eastAsia="en-US"/>
        </w:rPr>
        <w:t>(</w:t>
      </w:r>
      <w:proofErr w:type="gramEnd"/>
      <w:r w:rsidRPr="00583C56">
        <w:rPr>
          <w:rFonts w:eastAsia="Calibri"/>
          <w:vertAlign w:val="superscript"/>
          <w:lang w:eastAsia="en-US"/>
        </w:rPr>
        <w:t>23)</w:t>
      </w:r>
      <w:r w:rsidRPr="00583C56">
        <w:rPr>
          <w:rFonts w:eastAsia="Calibri"/>
          <w:lang w:eastAsia="en-US"/>
        </w:rPr>
        <w:t xml:space="preserve"> alrededor de la mitad de los pacientes con CB no fumaron nunca, lo cual da la medida de la influencia de otros carcinógenos.</w:t>
      </w:r>
    </w:p>
    <w:p w14:paraId="3FDD41FC"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Los otros dos factores asociados tienen mecanismos </w:t>
      </w:r>
      <w:proofErr w:type="gramStart"/>
      <w:r w:rsidRPr="00583C56">
        <w:rPr>
          <w:rFonts w:eastAsia="Calibri"/>
          <w:lang w:eastAsia="en-US"/>
        </w:rPr>
        <w:t>conocidos</w:t>
      </w:r>
      <w:r w:rsidRPr="00583C56">
        <w:rPr>
          <w:rFonts w:eastAsia="Calibri"/>
          <w:vertAlign w:val="superscript"/>
          <w:lang w:eastAsia="en-US"/>
        </w:rPr>
        <w:t>(</w:t>
      </w:r>
      <w:proofErr w:type="gramEnd"/>
      <w:r w:rsidRPr="00583C56">
        <w:rPr>
          <w:rFonts w:eastAsia="Calibri"/>
          <w:vertAlign w:val="superscript"/>
          <w:lang w:eastAsia="en-US"/>
        </w:rPr>
        <w:t>27,28)</w:t>
      </w:r>
      <w:r w:rsidRPr="00583C56">
        <w:rPr>
          <w:rFonts w:eastAsia="Calibri"/>
          <w:lang w:eastAsia="en-US"/>
        </w:rPr>
        <w:t xml:space="preserve"> que justifican su relación con la enfermedad, ya sea por su naturaleza química, física o biológica. No se encontró asociación en el consumo de café. Tampoco fue significativo el uso de medicamentos irritantes, pues su única frecuencia en los casos y su limitada presencia en los controles, lo descartaron como FR.</w:t>
      </w:r>
    </w:p>
    <w:p w14:paraId="2639396A" w14:textId="77777777" w:rsidR="00583C56" w:rsidRPr="00583C56" w:rsidRDefault="00583C56" w:rsidP="00583C56">
      <w:pPr>
        <w:spacing w:line="360" w:lineRule="auto"/>
        <w:jc w:val="both"/>
        <w:rPr>
          <w:rFonts w:eastAsia="Calibri"/>
          <w:lang w:eastAsia="en-US"/>
        </w:rPr>
      </w:pPr>
      <w:r w:rsidRPr="00583C56">
        <w:rPr>
          <w:rFonts w:eastAsia="Calibri"/>
          <w:lang w:eastAsia="en-US"/>
        </w:rPr>
        <w:t>La investigación posee las siguientes limitaciones: no se evaluaron como potenciales FR las lesiones y condiciones o estados premalignos, ni los antecedentes del virus del papiloma humano, pues no se pudo acceder a registros de la atención primaria de salud para obtener información confiable como para no introducir sesgos, así como por la carencia de pruebas de laboratorios institucionales capaces de detectar el virus y por último, los casos estudiados, fueron pocos.</w:t>
      </w:r>
    </w:p>
    <w:p w14:paraId="7C5C5B51" w14:textId="77777777" w:rsidR="00583C56" w:rsidRPr="00583C56" w:rsidRDefault="00583C56" w:rsidP="00583C56">
      <w:pPr>
        <w:spacing w:line="360" w:lineRule="auto"/>
        <w:jc w:val="both"/>
        <w:rPr>
          <w:rFonts w:eastAsia="Calibri"/>
          <w:lang w:eastAsia="en-US"/>
        </w:rPr>
      </w:pPr>
      <w:r w:rsidRPr="00583C56">
        <w:rPr>
          <w:rFonts w:eastAsia="Calibri"/>
          <w:lang w:eastAsia="en-US"/>
        </w:rPr>
        <w:lastRenderedPageBreak/>
        <w:t>Se identificó una fuerte asociación entre el carcinoma epidermoide de cavidad bucal y el antecedente de consumo de alcohol, la exposición a irritantes traumáticos y la higiene bucal deficiente.</w:t>
      </w:r>
    </w:p>
    <w:p w14:paraId="7E281B06" w14:textId="77777777" w:rsidR="00583C56" w:rsidRPr="00583C56" w:rsidRDefault="00583C56" w:rsidP="00583C56">
      <w:pPr>
        <w:spacing w:line="360" w:lineRule="auto"/>
        <w:rPr>
          <w:rFonts w:eastAsia="Calibri"/>
          <w:b/>
          <w:lang w:eastAsia="en-US"/>
        </w:rPr>
      </w:pPr>
    </w:p>
    <w:p w14:paraId="63A1A4E5" w14:textId="77777777" w:rsidR="00583C56" w:rsidRPr="00583C56" w:rsidRDefault="00583C56" w:rsidP="00583C56">
      <w:pPr>
        <w:spacing w:line="360" w:lineRule="auto"/>
        <w:jc w:val="center"/>
        <w:rPr>
          <w:rFonts w:eastAsia="Calibri"/>
          <w:b/>
          <w:sz w:val="32"/>
          <w:szCs w:val="32"/>
          <w:lang w:val="es-ES" w:eastAsia="en-US"/>
        </w:rPr>
      </w:pPr>
    </w:p>
    <w:p w14:paraId="4B3FDECD" w14:textId="77777777" w:rsidR="00583C56" w:rsidRPr="00583C56" w:rsidRDefault="00583C56" w:rsidP="00583C56">
      <w:pPr>
        <w:spacing w:line="360" w:lineRule="auto"/>
        <w:jc w:val="center"/>
        <w:rPr>
          <w:rFonts w:eastAsia="Calibri"/>
          <w:b/>
          <w:sz w:val="32"/>
          <w:szCs w:val="32"/>
          <w:lang w:val="en-US" w:eastAsia="en-US"/>
        </w:rPr>
      </w:pPr>
      <w:r w:rsidRPr="00583C56">
        <w:rPr>
          <w:rFonts w:eastAsia="Calibri"/>
          <w:b/>
          <w:sz w:val="32"/>
          <w:szCs w:val="32"/>
          <w:lang w:val="en-US" w:eastAsia="en-US"/>
        </w:rPr>
        <w:t>REFERENCIAS BIBLIOGRÁFICAS</w:t>
      </w:r>
    </w:p>
    <w:p w14:paraId="6C5330BE"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1. Martinez RCP, </w:t>
      </w:r>
      <w:proofErr w:type="spellStart"/>
      <w:r w:rsidRPr="00583C56">
        <w:rPr>
          <w:rFonts w:eastAsia="Calibri"/>
          <w:lang w:val="en-US" w:eastAsia="en-US"/>
        </w:rPr>
        <w:t>Sathasivam</w:t>
      </w:r>
      <w:proofErr w:type="spellEnd"/>
      <w:r w:rsidRPr="00583C56">
        <w:rPr>
          <w:rFonts w:eastAsia="Calibri"/>
          <w:lang w:val="en-US" w:eastAsia="en-US"/>
        </w:rPr>
        <w:t xml:space="preserve"> HP, </w:t>
      </w:r>
      <w:proofErr w:type="spellStart"/>
      <w:r w:rsidRPr="00583C56">
        <w:rPr>
          <w:rFonts w:eastAsia="Calibri"/>
          <w:lang w:val="en-US" w:eastAsia="en-US"/>
        </w:rPr>
        <w:t>Cosway</w:t>
      </w:r>
      <w:proofErr w:type="spellEnd"/>
      <w:r w:rsidRPr="00583C56">
        <w:rPr>
          <w:rFonts w:eastAsia="Calibri"/>
          <w:lang w:val="en-US" w:eastAsia="en-US"/>
        </w:rPr>
        <w:t xml:space="preserve"> B, </w:t>
      </w:r>
      <w:proofErr w:type="spellStart"/>
      <w:r w:rsidRPr="00583C56">
        <w:rPr>
          <w:rFonts w:eastAsia="Calibri"/>
          <w:lang w:val="en-US" w:eastAsia="en-US"/>
        </w:rPr>
        <w:t>Paleri</w:t>
      </w:r>
      <w:proofErr w:type="spellEnd"/>
      <w:r w:rsidRPr="00583C56">
        <w:rPr>
          <w:rFonts w:eastAsia="Calibri"/>
          <w:lang w:val="en-US" w:eastAsia="en-US"/>
        </w:rPr>
        <w:t xml:space="preserve"> V, Fellows S, Adams J. </w:t>
      </w:r>
      <w:proofErr w:type="spellStart"/>
      <w:r w:rsidRPr="00583C56">
        <w:rPr>
          <w:rFonts w:eastAsia="Calibri"/>
          <w:lang w:val="en-US" w:eastAsia="en-US"/>
        </w:rPr>
        <w:t>Clinico</w:t>
      </w:r>
      <w:proofErr w:type="spellEnd"/>
      <w:r w:rsidRPr="00583C56">
        <w:rPr>
          <w:rFonts w:eastAsia="Calibri"/>
          <w:lang w:val="en-US" w:eastAsia="en-US"/>
        </w:rPr>
        <w:t xml:space="preserve"> pathological features of squamous cell carcinoma of the oral cavity and oropharynx in young patients. Br J Oral </w:t>
      </w:r>
      <w:proofErr w:type="spellStart"/>
      <w:r w:rsidRPr="00583C56">
        <w:rPr>
          <w:rFonts w:eastAsia="Calibri"/>
          <w:lang w:val="en-US" w:eastAsia="en-US"/>
        </w:rPr>
        <w:t>Maxillofac</w:t>
      </w:r>
      <w:proofErr w:type="spellEnd"/>
      <w:r w:rsidRPr="00583C56">
        <w:rPr>
          <w:rFonts w:eastAsia="Calibri"/>
          <w:lang w:val="en-US" w:eastAsia="en-US"/>
        </w:rPr>
        <w:t xml:space="preserve"> Surg. 2018; 56(4):332-37. DOI: 10.1016/j.bjoms.2018.03.011 </w:t>
      </w:r>
    </w:p>
    <w:p w14:paraId="4E81D3CC"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2. Wang S, Zhang J, Jun F. Glutathione Z. S-transferase pi 1 variant and squamous cell carcinoma susceptibility: a meta-analysis of 52 case-control studies. BMC Medical Genetics. 2019; 20(1): e22. DOI: 10.1186/s12881-019-0750-x </w:t>
      </w:r>
    </w:p>
    <w:p w14:paraId="65A70CCD"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3. </w:t>
      </w:r>
      <w:proofErr w:type="spellStart"/>
      <w:r w:rsidRPr="00583C56">
        <w:rPr>
          <w:rFonts w:eastAsia="Calibri"/>
          <w:lang w:val="en-US" w:eastAsia="en-US"/>
        </w:rPr>
        <w:t>D’souza</w:t>
      </w:r>
      <w:proofErr w:type="spellEnd"/>
      <w:r w:rsidRPr="00583C56">
        <w:rPr>
          <w:rFonts w:eastAsia="Calibri"/>
          <w:lang w:val="en-US" w:eastAsia="en-US"/>
        </w:rPr>
        <w:t xml:space="preserve"> S, </w:t>
      </w:r>
      <w:proofErr w:type="spellStart"/>
      <w:r w:rsidRPr="00583C56">
        <w:rPr>
          <w:rFonts w:eastAsia="Calibri"/>
          <w:lang w:val="en-US" w:eastAsia="en-US"/>
        </w:rPr>
        <w:t>Addepalli</w:t>
      </w:r>
      <w:proofErr w:type="spellEnd"/>
      <w:r w:rsidRPr="00583C56">
        <w:rPr>
          <w:rFonts w:eastAsia="Calibri"/>
          <w:lang w:val="en-US" w:eastAsia="en-US"/>
        </w:rPr>
        <w:t xml:space="preserve"> V. Preventive measures in oral cancer: An overview. Biomedicine &amp; Pharmacotherapy. 2018; 107:72–80. DOI: 10.1016/j.biopha.2018.07.114 </w:t>
      </w:r>
    </w:p>
    <w:p w14:paraId="54A3108E"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4. Chan PKS, To KF, Tsang SH, Lau CH, </w:t>
      </w:r>
      <w:proofErr w:type="spellStart"/>
      <w:r w:rsidRPr="00583C56">
        <w:rPr>
          <w:rFonts w:eastAsia="Calibri"/>
          <w:lang w:val="en-US" w:eastAsia="en-US"/>
        </w:rPr>
        <w:t>Kwong</w:t>
      </w:r>
      <w:proofErr w:type="spellEnd"/>
      <w:r w:rsidRPr="00583C56">
        <w:rPr>
          <w:rFonts w:eastAsia="Calibri"/>
          <w:lang w:val="en-US" w:eastAsia="en-US"/>
        </w:rPr>
        <w:t xml:space="preserve"> WH, Chan YHY. Human papillomavirus infection and squamous cell carcinoma in Hong Kong: a case-control study. Hong Kong Med J. 2017 [</w:t>
      </w:r>
      <w:proofErr w:type="spellStart"/>
      <w:r w:rsidRPr="00583C56">
        <w:rPr>
          <w:rFonts w:eastAsia="Calibri"/>
          <w:lang w:val="en-US" w:eastAsia="en-US"/>
        </w:rPr>
        <w:t>acceso</w:t>
      </w:r>
      <w:proofErr w:type="spellEnd"/>
      <w:r w:rsidRPr="00583C56">
        <w:rPr>
          <w:rFonts w:eastAsia="Calibri"/>
          <w:lang w:val="en-US" w:eastAsia="en-US"/>
        </w:rPr>
        <w:t xml:space="preserve">: 03/04/2021]; 23(4-Supl 5): 8-11. </w:t>
      </w:r>
      <w:proofErr w:type="spellStart"/>
      <w:r w:rsidRPr="00583C56">
        <w:rPr>
          <w:rFonts w:eastAsia="Calibri"/>
          <w:lang w:val="en-US" w:eastAsia="en-US"/>
        </w:rPr>
        <w:t>Disponible</w:t>
      </w:r>
      <w:proofErr w:type="spellEnd"/>
      <w:r w:rsidRPr="00583C56">
        <w:rPr>
          <w:rFonts w:eastAsia="Calibri"/>
          <w:lang w:val="en-US" w:eastAsia="en-US"/>
        </w:rPr>
        <w:t xml:space="preserve"> en: </w:t>
      </w:r>
      <w:hyperlink r:id="rId14" w:history="1">
        <w:r w:rsidRPr="00583C56">
          <w:rPr>
            <w:rFonts w:eastAsia="Calibri"/>
            <w:color w:val="0563C1"/>
            <w:u w:val="single"/>
            <w:lang w:val="en-US" w:eastAsia="en-US"/>
          </w:rPr>
          <w:t>https://www.hkmj.org/system/files/hkm1708sp5p8.pdf</w:t>
        </w:r>
      </w:hyperlink>
      <w:r w:rsidRPr="00583C56">
        <w:rPr>
          <w:rFonts w:eastAsia="Calibri"/>
          <w:lang w:val="en-US" w:eastAsia="en-US"/>
        </w:rPr>
        <w:t xml:space="preserve"> </w:t>
      </w:r>
    </w:p>
    <w:p w14:paraId="0EBEE9A3"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5. Alharbi F, Ali MF. Individual and Integrated Effects of Potential Risk Factors for Oral Squamous Cell Carcinoma: A Hospital-Based Case-Control Study in </w:t>
      </w:r>
      <w:proofErr w:type="spellStart"/>
      <w:r w:rsidRPr="00583C56">
        <w:rPr>
          <w:rFonts w:eastAsia="Calibri"/>
          <w:lang w:val="en-US" w:eastAsia="en-US"/>
        </w:rPr>
        <w:t>Jazan</w:t>
      </w:r>
      <w:proofErr w:type="spellEnd"/>
      <w:r w:rsidRPr="00583C56">
        <w:rPr>
          <w:rFonts w:eastAsia="Calibri"/>
          <w:lang w:val="en-US" w:eastAsia="en-US"/>
        </w:rPr>
        <w:t xml:space="preserve">, Saudi Arabia. Asian Pac J Cancer Prev. 2018; 19(3):791-96. DOI: 10.22034/apjcp.2018.19.3.791 </w:t>
      </w:r>
    </w:p>
    <w:p w14:paraId="4D15C1B8"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6. Wei-Ping T, </w:t>
      </w:r>
      <w:proofErr w:type="spellStart"/>
      <w:r w:rsidRPr="00583C56">
        <w:rPr>
          <w:rFonts w:eastAsia="Calibri"/>
          <w:lang w:val="en-US" w:eastAsia="en-US"/>
        </w:rPr>
        <w:t>Guo-Ji</w:t>
      </w:r>
      <w:proofErr w:type="spellEnd"/>
      <w:r w:rsidRPr="00583C56">
        <w:rPr>
          <w:rFonts w:eastAsia="Calibri"/>
          <w:lang w:val="en-US" w:eastAsia="en-US"/>
        </w:rPr>
        <w:t xml:space="preserve"> N, </w:t>
      </w:r>
      <w:proofErr w:type="spellStart"/>
      <w:r w:rsidRPr="00583C56">
        <w:rPr>
          <w:rFonts w:eastAsia="Calibri"/>
          <w:lang w:val="en-US" w:eastAsia="en-US"/>
        </w:rPr>
        <w:t>Meng-Jie</w:t>
      </w:r>
      <w:proofErr w:type="spellEnd"/>
      <w:r w:rsidRPr="00583C56">
        <w:rPr>
          <w:rFonts w:eastAsia="Calibri"/>
          <w:lang w:val="en-US" w:eastAsia="en-US"/>
        </w:rPr>
        <w:t xml:space="preserve"> C, </w:t>
      </w:r>
      <w:proofErr w:type="spellStart"/>
      <w:r w:rsidRPr="00583C56">
        <w:rPr>
          <w:rFonts w:eastAsia="Calibri"/>
          <w:lang w:val="en-US" w:eastAsia="en-US"/>
        </w:rPr>
        <w:t>Tajigul</w:t>
      </w:r>
      <w:proofErr w:type="spellEnd"/>
      <w:r w:rsidRPr="00583C56">
        <w:rPr>
          <w:rFonts w:eastAsia="Calibri"/>
          <w:lang w:val="en-US" w:eastAsia="en-US"/>
        </w:rPr>
        <w:t xml:space="preserve"> Y, </w:t>
      </w:r>
      <w:proofErr w:type="spellStart"/>
      <w:r w:rsidRPr="00583C56">
        <w:rPr>
          <w:rFonts w:eastAsia="Calibri"/>
          <w:lang w:val="en-US" w:eastAsia="en-US"/>
        </w:rPr>
        <w:t>Arzi</w:t>
      </w:r>
      <w:proofErr w:type="spellEnd"/>
      <w:r w:rsidRPr="00583C56">
        <w:rPr>
          <w:rFonts w:eastAsia="Calibri"/>
          <w:lang w:val="en-US" w:eastAsia="en-US"/>
        </w:rPr>
        <w:t xml:space="preserve"> G, </w:t>
      </w:r>
      <w:proofErr w:type="spellStart"/>
      <w:r w:rsidRPr="00583C56">
        <w:rPr>
          <w:rFonts w:eastAsia="Calibri"/>
          <w:lang w:val="en-US" w:eastAsia="en-US"/>
        </w:rPr>
        <w:t>Arzigul</w:t>
      </w:r>
      <w:proofErr w:type="spellEnd"/>
      <w:r w:rsidRPr="00583C56">
        <w:rPr>
          <w:rFonts w:eastAsia="Calibri"/>
          <w:lang w:val="en-US" w:eastAsia="en-US"/>
        </w:rPr>
        <w:t xml:space="preserve"> W, et al. Hot food and beverage consumption and the risk of esophageal squamous cell carcinoma. A case-control study in a northwest area in China. Medicine. 2017; 96(50): e9325. DOI: 10.1097/MD.0000000000009325 </w:t>
      </w:r>
    </w:p>
    <w:p w14:paraId="56B58FD3"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7. </w:t>
      </w:r>
      <w:proofErr w:type="spellStart"/>
      <w:r w:rsidRPr="00583C56">
        <w:rPr>
          <w:rFonts w:eastAsia="Calibri"/>
          <w:lang w:val="en-US" w:eastAsia="en-US"/>
        </w:rPr>
        <w:t>Sekee</w:t>
      </w:r>
      <w:proofErr w:type="spellEnd"/>
      <w:r w:rsidRPr="00583C56">
        <w:rPr>
          <w:rFonts w:eastAsia="Calibri"/>
          <w:lang w:val="en-US" w:eastAsia="en-US"/>
        </w:rPr>
        <w:t xml:space="preserve"> TR, Burt FJ, </w:t>
      </w:r>
      <w:proofErr w:type="spellStart"/>
      <w:r w:rsidRPr="00583C56">
        <w:rPr>
          <w:rFonts w:eastAsia="Calibri"/>
          <w:lang w:val="en-US" w:eastAsia="en-US"/>
        </w:rPr>
        <w:t>Goedhals</w:t>
      </w:r>
      <w:proofErr w:type="spellEnd"/>
      <w:r w:rsidRPr="00583C56">
        <w:rPr>
          <w:rFonts w:eastAsia="Calibri"/>
          <w:lang w:val="en-US" w:eastAsia="en-US"/>
        </w:rPr>
        <w:t xml:space="preserve"> D, </w:t>
      </w:r>
      <w:proofErr w:type="spellStart"/>
      <w:r w:rsidRPr="00583C56">
        <w:rPr>
          <w:rFonts w:eastAsia="Calibri"/>
          <w:lang w:val="en-US" w:eastAsia="en-US"/>
        </w:rPr>
        <w:t>Goedhals</w:t>
      </w:r>
      <w:proofErr w:type="spellEnd"/>
      <w:r w:rsidRPr="00583C56">
        <w:rPr>
          <w:rFonts w:eastAsia="Calibri"/>
          <w:lang w:val="en-US" w:eastAsia="en-US"/>
        </w:rPr>
        <w:t xml:space="preserve"> J, </w:t>
      </w:r>
      <w:proofErr w:type="spellStart"/>
      <w:r w:rsidRPr="00583C56">
        <w:rPr>
          <w:rFonts w:eastAsia="Calibri"/>
          <w:lang w:val="en-US" w:eastAsia="en-US"/>
        </w:rPr>
        <w:t>Munsamy</w:t>
      </w:r>
      <w:proofErr w:type="spellEnd"/>
      <w:r w:rsidRPr="00583C56">
        <w:rPr>
          <w:rFonts w:eastAsia="Calibri"/>
          <w:lang w:val="en-US" w:eastAsia="en-US"/>
        </w:rPr>
        <w:t xml:space="preserve"> Y, </w:t>
      </w:r>
      <w:proofErr w:type="spellStart"/>
      <w:r w:rsidRPr="00583C56">
        <w:rPr>
          <w:rFonts w:eastAsia="Calibri"/>
          <w:lang w:val="en-US" w:eastAsia="en-US"/>
        </w:rPr>
        <w:t>Seedat</w:t>
      </w:r>
      <w:proofErr w:type="spellEnd"/>
      <w:r w:rsidRPr="00583C56">
        <w:rPr>
          <w:rFonts w:eastAsia="Calibri"/>
          <w:lang w:val="en-US" w:eastAsia="en-US"/>
        </w:rPr>
        <w:t xml:space="preserve"> RY. Human papillomavirus in head and neck squamous cell carcinomas in a South African cohort. Papillomavirus Res. 2018; 6: 58–62. DOI: 10.1016/j.pvr.2018.10.006  </w:t>
      </w:r>
    </w:p>
    <w:p w14:paraId="0E5B85A5" w14:textId="77777777" w:rsidR="00583C56" w:rsidRPr="00583C56" w:rsidRDefault="00583C56" w:rsidP="00583C56">
      <w:pPr>
        <w:spacing w:line="360" w:lineRule="auto"/>
        <w:rPr>
          <w:rFonts w:eastAsia="Calibri"/>
          <w:lang w:eastAsia="en-US"/>
        </w:rPr>
      </w:pPr>
      <w:r w:rsidRPr="00583C56">
        <w:rPr>
          <w:rFonts w:eastAsia="Calibri"/>
          <w:lang w:val="en-US" w:eastAsia="en-US"/>
        </w:rPr>
        <w:t xml:space="preserve">8. Yakin M, </w:t>
      </w:r>
      <w:proofErr w:type="spellStart"/>
      <w:r w:rsidRPr="00583C56">
        <w:rPr>
          <w:rFonts w:eastAsia="Calibri"/>
          <w:lang w:val="en-US" w:eastAsia="en-US"/>
        </w:rPr>
        <w:t>Seo</w:t>
      </w:r>
      <w:proofErr w:type="spellEnd"/>
      <w:r w:rsidRPr="00583C56">
        <w:rPr>
          <w:rFonts w:eastAsia="Calibri"/>
          <w:lang w:val="en-US" w:eastAsia="en-US"/>
        </w:rPr>
        <w:t xml:space="preserve"> B, </w:t>
      </w:r>
      <w:proofErr w:type="spellStart"/>
      <w:r w:rsidRPr="00583C56">
        <w:rPr>
          <w:rFonts w:eastAsia="Calibri"/>
          <w:lang w:val="en-US" w:eastAsia="en-US"/>
        </w:rPr>
        <w:t>Hussaini</w:t>
      </w:r>
      <w:proofErr w:type="spellEnd"/>
      <w:r w:rsidRPr="00583C56">
        <w:rPr>
          <w:rFonts w:eastAsia="Calibri"/>
          <w:lang w:val="en-US" w:eastAsia="en-US"/>
        </w:rPr>
        <w:t xml:space="preserve"> H, Rich A, Hunter K. Human papillomavirus and oral and oropharyngeal carcinoma: the essentials. </w:t>
      </w:r>
      <w:proofErr w:type="spellStart"/>
      <w:r w:rsidRPr="00583C56">
        <w:rPr>
          <w:rFonts w:eastAsia="Calibri"/>
          <w:lang w:eastAsia="en-US"/>
        </w:rPr>
        <w:t>Australian</w:t>
      </w:r>
      <w:proofErr w:type="spellEnd"/>
      <w:r w:rsidRPr="00583C56">
        <w:rPr>
          <w:rFonts w:eastAsia="Calibri"/>
          <w:lang w:eastAsia="en-US"/>
        </w:rPr>
        <w:t xml:space="preserve"> </w:t>
      </w:r>
      <w:proofErr w:type="spellStart"/>
      <w:r w:rsidRPr="00583C56">
        <w:rPr>
          <w:rFonts w:eastAsia="Calibri"/>
          <w:lang w:eastAsia="en-US"/>
        </w:rPr>
        <w:t>Dent</w:t>
      </w:r>
      <w:proofErr w:type="spellEnd"/>
      <w:r w:rsidRPr="00583C56">
        <w:rPr>
          <w:rFonts w:eastAsia="Calibri"/>
          <w:lang w:eastAsia="en-US"/>
        </w:rPr>
        <w:t xml:space="preserve"> J. 2019; 64</w:t>
      </w:r>
      <w:r w:rsidRPr="00583C56">
        <w:rPr>
          <w:rFonts w:eastAsia="Calibri"/>
          <w:lang w:val="es-MX" w:eastAsia="en-US"/>
        </w:rPr>
        <w:t>(1)</w:t>
      </w:r>
      <w:r w:rsidRPr="00583C56">
        <w:rPr>
          <w:rFonts w:eastAsia="Calibri"/>
          <w:lang w:eastAsia="en-US"/>
        </w:rPr>
        <w:t xml:space="preserve">:11–8. DOI: 10.1111/adj.12652 </w:t>
      </w:r>
    </w:p>
    <w:p w14:paraId="6822C54F" w14:textId="77777777" w:rsidR="00583C56" w:rsidRPr="00583C56" w:rsidRDefault="00583C56" w:rsidP="00583C56">
      <w:pPr>
        <w:spacing w:line="360" w:lineRule="auto"/>
        <w:rPr>
          <w:rFonts w:eastAsia="Calibri"/>
          <w:lang w:val="en-US" w:eastAsia="en-US"/>
        </w:rPr>
      </w:pPr>
      <w:r w:rsidRPr="00583C56">
        <w:rPr>
          <w:rFonts w:eastAsia="Calibri"/>
          <w:lang w:eastAsia="en-US"/>
        </w:rPr>
        <w:lastRenderedPageBreak/>
        <w:t xml:space="preserve">9. Álvarez D, </w:t>
      </w:r>
      <w:proofErr w:type="spellStart"/>
      <w:r w:rsidRPr="00583C56">
        <w:rPr>
          <w:rFonts w:eastAsia="Calibri"/>
          <w:lang w:eastAsia="en-US"/>
        </w:rPr>
        <w:t>Munyo</w:t>
      </w:r>
      <w:proofErr w:type="spellEnd"/>
      <w:r w:rsidRPr="00583C56">
        <w:rPr>
          <w:rFonts w:eastAsia="Calibri"/>
          <w:lang w:eastAsia="en-US"/>
        </w:rPr>
        <w:t xml:space="preserve"> A, </w:t>
      </w:r>
      <w:proofErr w:type="spellStart"/>
      <w:r w:rsidRPr="00583C56">
        <w:rPr>
          <w:rFonts w:eastAsia="Calibri"/>
          <w:lang w:eastAsia="en-US"/>
        </w:rPr>
        <w:t>Borche</w:t>
      </w:r>
      <w:proofErr w:type="spellEnd"/>
      <w:r w:rsidRPr="00583C56">
        <w:rPr>
          <w:rFonts w:eastAsia="Calibri"/>
          <w:lang w:eastAsia="en-US"/>
        </w:rPr>
        <w:t xml:space="preserve"> G, </w:t>
      </w:r>
      <w:proofErr w:type="spellStart"/>
      <w:r w:rsidRPr="00583C56">
        <w:rPr>
          <w:rFonts w:eastAsia="Calibri"/>
          <w:lang w:eastAsia="en-US"/>
        </w:rPr>
        <w:t>D’Albora</w:t>
      </w:r>
      <w:proofErr w:type="spellEnd"/>
      <w:r w:rsidRPr="00583C56">
        <w:rPr>
          <w:rFonts w:eastAsia="Calibri"/>
          <w:lang w:eastAsia="en-US"/>
        </w:rPr>
        <w:t xml:space="preserve"> R, Rodríguez V, Cuello M. Cáncer de cabeza y cuello en Uruguay. Análisis de sobrevida en dos centros de referencia. </w:t>
      </w:r>
      <w:proofErr w:type="spellStart"/>
      <w:r w:rsidRPr="00583C56">
        <w:rPr>
          <w:rFonts w:eastAsia="Calibri"/>
          <w:lang w:eastAsia="en-US"/>
        </w:rPr>
        <w:t>Rev</w:t>
      </w:r>
      <w:proofErr w:type="spellEnd"/>
      <w:r w:rsidRPr="00583C56">
        <w:rPr>
          <w:rFonts w:eastAsia="Calibri"/>
          <w:lang w:eastAsia="en-US"/>
        </w:rPr>
        <w:t xml:space="preserve"> </w:t>
      </w:r>
      <w:proofErr w:type="spellStart"/>
      <w:r w:rsidRPr="00583C56">
        <w:rPr>
          <w:rFonts w:eastAsia="Calibri"/>
          <w:lang w:eastAsia="en-US"/>
        </w:rPr>
        <w:t>Méd</w:t>
      </w:r>
      <w:proofErr w:type="spellEnd"/>
      <w:r w:rsidRPr="00583C56">
        <w:rPr>
          <w:rFonts w:eastAsia="Calibri"/>
          <w:lang w:eastAsia="en-US"/>
        </w:rPr>
        <w:t xml:space="preserve"> </w:t>
      </w:r>
      <w:proofErr w:type="spellStart"/>
      <w:r w:rsidRPr="00583C56">
        <w:rPr>
          <w:rFonts w:eastAsia="Calibri"/>
          <w:lang w:eastAsia="en-US"/>
        </w:rPr>
        <w:t>Urug</w:t>
      </w:r>
      <w:proofErr w:type="spellEnd"/>
      <w:r w:rsidRPr="00583C56">
        <w:rPr>
          <w:rFonts w:eastAsia="Calibri"/>
          <w:lang w:eastAsia="en-US"/>
        </w:rPr>
        <w:t xml:space="preserve">. 2018; 34(1):21-8. </w:t>
      </w:r>
      <w:r w:rsidRPr="00583C56">
        <w:rPr>
          <w:rFonts w:eastAsia="Calibri"/>
          <w:lang w:val="en-US" w:eastAsia="en-US"/>
        </w:rPr>
        <w:t xml:space="preserve">DOI: 10.29193/rmu.34.1.2 </w:t>
      </w:r>
    </w:p>
    <w:p w14:paraId="18F854A6" w14:textId="77777777" w:rsidR="00583C56" w:rsidRPr="00583C56" w:rsidRDefault="00583C56" w:rsidP="00583C56">
      <w:pPr>
        <w:spacing w:line="360" w:lineRule="auto"/>
        <w:rPr>
          <w:rFonts w:eastAsia="Calibri"/>
          <w:lang w:eastAsia="en-US"/>
        </w:rPr>
      </w:pPr>
      <w:r w:rsidRPr="00583C56">
        <w:rPr>
          <w:rFonts w:eastAsia="Calibri"/>
          <w:lang w:val="en-US" w:eastAsia="en-US"/>
        </w:rPr>
        <w:t xml:space="preserve">10. </w:t>
      </w:r>
      <w:proofErr w:type="spellStart"/>
      <w:r w:rsidRPr="00583C56">
        <w:rPr>
          <w:rFonts w:eastAsia="Calibri"/>
          <w:lang w:val="en-US" w:eastAsia="en-US"/>
        </w:rPr>
        <w:t>Cosetti-Olivera</w:t>
      </w:r>
      <w:proofErr w:type="spellEnd"/>
      <w:r w:rsidRPr="00583C56">
        <w:rPr>
          <w:rFonts w:eastAsia="Calibri"/>
          <w:lang w:val="en-US" w:eastAsia="en-US"/>
        </w:rPr>
        <w:t xml:space="preserve"> ML, Cunha ARD, </w:t>
      </w:r>
      <w:proofErr w:type="spellStart"/>
      <w:r w:rsidRPr="00583C56">
        <w:rPr>
          <w:rFonts w:eastAsia="Calibri"/>
          <w:lang w:val="en-US" w:eastAsia="en-US"/>
        </w:rPr>
        <w:t>Prass</w:t>
      </w:r>
      <w:proofErr w:type="spellEnd"/>
      <w:r w:rsidRPr="00583C56">
        <w:rPr>
          <w:rFonts w:eastAsia="Calibri"/>
          <w:lang w:val="en-US" w:eastAsia="en-US"/>
        </w:rPr>
        <w:t xml:space="preserve"> TS, Martins MAT, Hugo FN, Martins MD. Trends of mortality due to oral and oropharyngeal cancers in Uruguay from 1997 to 2014. </w:t>
      </w:r>
      <w:proofErr w:type="spellStart"/>
      <w:r w:rsidRPr="00583C56">
        <w:rPr>
          <w:rFonts w:eastAsia="Calibri"/>
          <w:lang w:eastAsia="en-US"/>
        </w:rPr>
        <w:t>Med</w:t>
      </w:r>
      <w:proofErr w:type="spellEnd"/>
      <w:r w:rsidRPr="00583C56">
        <w:rPr>
          <w:rFonts w:eastAsia="Calibri"/>
          <w:lang w:eastAsia="en-US"/>
        </w:rPr>
        <w:t xml:space="preserve"> Oral Patol Oral </w:t>
      </w:r>
      <w:proofErr w:type="spellStart"/>
      <w:r w:rsidRPr="00583C56">
        <w:rPr>
          <w:rFonts w:eastAsia="Calibri"/>
          <w:lang w:eastAsia="en-US"/>
        </w:rPr>
        <w:t>Cir</w:t>
      </w:r>
      <w:proofErr w:type="spellEnd"/>
      <w:r w:rsidRPr="00583C56">
        <w:rPr>
          <w:rFonts w:eastAsia="Calibri"/>
          <w:lang w:eastAsia="en-US"/>
        </w:rPr>
        <w:t xml:space="preserve"> Bucal. 2020; 25(3): e403-9. DOI:</w:t>
      </w:r>
      <w:r w:rsidRPr="00583C56">
        <w:rPr>
          <w:rFonts w:eastAsia="Calibri"/>
          <w:lang w:val="es-MX" w:eastAsia="en-US"/>
        </w:rPr>
        <w:t xml:space="preserve"> </w:t>
      </w:r>
      <w:r w:rsidRPr="00583C56">
        <w:rPr>
          <w:rFonts w:eastAsia="Calibri"/>
          <w:lang w:eastAsia="en-US"/>
        </w:rPr>
        <w:t xml:space="preserve">10.4317/medoral.23457   </w:t>
      </w:r>
    </w:p>
    <w:p w14:paraId="09D41BD5" w14:textId="77777777" w:rsidR="00583C56" w:rsidRPr="00583C56" w:rsidRDefault="00583C56" w:rsidP="00583C56">
      <w:pPr>
        <w:spacing w:line="360" w:lineRule="auto"/>
        <w:rPr>
          <w:rFonts w:eastAsia="Calibri"/>
          <w:lang w:eastAsia="en-US"/>
        </w:rPr>
      </w:pPr>
      <w:r w:rsidRPr="00583C56">
        <w:rPr>
          <w:rFonts w:eastAsia="Calibri"/>
          <w:lang w:eastAsia="en-US"/>
        </w:rPr>
        <w:t xml:space="preserve">11. Guedes L, Pires C, Macedo AC, </w:t>
      </w:r>
      <w:proofErr w:type="spellStart"/>
      <w:r w:rsidRPr="00583C56">
        <w:rPr>
          <w:rFonts w:eastAsia="Calibri"/>
          <w:lang w:eastAsia="en-US"/>
        </w:rPr>
        <w:t>Gondim</w:t>
      </w:r>
      <w:proofErr w:type="spellEnd"/>
      <w:r w:rsidRPr="00583C56">
        <w:rPr>
          <w:rFonts w:eastAsia="Calibri"/>
          <w:lang w:eastAsia="en-US"/>
        </w:rPr>
        <w:t xml:space="preserve"> AM, Lima I, </w:t>
      </w:r>
      <w:proofErr w:type="spellStart"/>
      <w:r w:rsidRPr="00583C56">
        <w:rPr>
          <w:rFonts w:eastAsia="Calibri"/>
          <w:lang w:eastAsia="en-US"/>
        </w:rPr>
        <w:t>Dias</w:t>
      </w:r>
      <w:proofErr w:type="spellEnd"/>
      <w:r w:rsidRPr="00583C56">
        <w:rPr>
          <w:rFonts w:eastAsia="Calibri"/>
          <w:lang w:eastAsia="en-US"/>
        </w:rPr>
        <w:t xml:space="preserve"> R. O </w:t>
      </w:r>
      <w:proofErr w:type="spellStart"/>
      <w:r w:rsidRPr="00583C56">
        <w:rPr>
          <w:rFonts w:eastAsia="Calibri"/>
          <w:lang w:eastAsia="en-US"/>
        </w:rPr>
        <w:t>câncer</w:t>
      </w:r>
      <w:proofErr w:type="spellEnd"/>
      <w:r w:rsidRPr="00583C56">
        <w:rPr>
          <w:rFonts w:eastAsia="Calibri"/>
          <w:lang w:eastAsia="en-US"/>
        </w:rPr>
        <w:t xml:space="preserve"> de </w:t>
      </w:r>
      <w:proofErr w:type="spellStart"/>
      <w:r w:rsidRPr="00583C56">
        <w:rPr>
          <w:rFonts w:eastAsia="Calibri"/>
          <w:lang w:eastAsia="en-US"/>
        </w:rPr>
        <w:t>cabeça</w:t>
      </w:r>
      <w:proofErr w:type="spellEnd"/>
      <w:r w:rsidRPr="00583C56">
        <w:rPr>
          <w:rFonts w:eastAsia="Calibri"/>
          <w:lang w:eastAsia="en-US"/>
        </w:rPr>
        <w:t xml:space="preserve"> e </w:t>
      </w:r>
      <w:proofErr w:type="spellStart"/>
      <w:r w:rsidRPr="00583C56">
        <w:rPr>
          <w:rFonts w:eastAsia="Calibri"/>
          <w:lang w:eastAsia="en-US"/>
        </w:rPr>
        <w:t>pescoço</w:t>
      </w:r>
      <w:proofErr w:type="spellEnd"/>
      <w:r w:rsidRPr="00583C56">
        <w:rPr>
          <w:rFonts w:eastAsia="Calibri"/>
          <w:lang w:eastAsia="en-US"/>
        </w:rPr>
        <w:t xml:space="preserve"> no Brasil. </w:t>
      </w:r>
      <w:proofErr w:type="spellStart"/>
      <w:r w:rsidRPr="00583C56">
        <w:rPr>
          <w:rFonts w:eastAsia="Calibri"/>
          <w:lang w:eastAsia="en-US"/>
        </w:rPr>
        <w:t>Rev</w:t>
      </w:r>
      <w:proofErr w:type="spellEnd"/>
      <w:r w:rsidRPr="00583C56">
        <w:rPr>
          <w:rFonts w:eastAsia="Calibri"/>
          <w:lang w:eastAsia="en-US"/>
        </w:rPr>
        <w:t xml:space="preserve"> Cubana </w:t>
      </w:r>
      <w:proofErr w:type="spellStart"/>
      <w:r w:rsidRPr="00583C56">
        <w:rPr>
          <w:rFonts w:eastAsia="Calibri"/>
          <w:lang w:eastAsia="en-US"/>
        </w:rPr>
        <w:t>Estomatol</w:t>
      </w:r>
      <w:proofErr w:type="spellEnd"/>
      <w:r w:rsidRPr="00583C56">
        <w:rPr>
          <w:rFonts w:eastAsia="Calibri"/>
          <w:lang w:eastAsia="en-US"/>
        </w:rPr>
        <w:t>. 2018 [acceso: 03/04/2021]; 55(3)</w:t>
      </w:r>
      <w:r w:rsidRPr="00583C56">
        <w:rPr>
          <w:rFonts w:eastAsia="Calibri"/>
          <w:lang w:val="es-MX" w:eastAsia="en-US"/>
        </w:rPr>
        <w:t xml:space="preserve">: </w:t>
      </w:r>
      <w:r w:rsidRPr="00583C56">
        <w:rPr>
          <w:rFonts w:eastAsia="Calibri"/>
          <w:lang w:eastAsia="en-US"/>
        </w:rPr>
        <w:t xml:space="preserve">[aprox. 19 </w:t>
      </w:r>
      <w:proofErr w:type="spellStart"/>
      <w:r w:rsidRPr="00583C56">
        <w:rPr>
          <w:rFonts w:eastAsia="Calibri"/>
          <w:lang w:eastAsia="en-US"/>
        </w:rPr>
        <w:t>pant</w:t>
      </w:r>
      <w:proofErr w:type="spellEnd"/>
      <w:r w:rsidRPr="00583C56">
        <w:rPr>
          <w:rFonts w:eastAsia="Calibri"/>
          <w:lang w:eastAsia="en-US"/>
        </w:rPr>
        <w:t>.].</w:t>
      </w:r>
      <w:r w:rsidRPr="00583C56">
        <w:rPr>
          <w:rFonts w:eastAsia="Calibri"/>
          <w:lang w:val="es-MX" w:eastAsia="en-US"/>
        </w:rPr>
        <w:t xml:space="preserve"> </w:t>
      </w:r>
      <w:r w:rsidRPr="00583C56">
        <w:rPr>
          <w:rFonts w:eastAsia="Calibri"/>
          <w:lang w:eastAsia="en-US"/>
        </w:rPr>
        <w:t xml:space="preserve">Disponible en: </w:t>
      </w:r>
      <w:r w:rsidRPr="00583C56">
        <w:rPr>
          <w:rFonts w:eastAsia="Calibri"/>
          <w:color w:val="0563C1"/>
          <w:u w:val="single"/>
          <w:lang w:eastAsia="en-US"/>
        </w:rPr>
        <w:t>http://www.revestomatologia.sld.cu/index.php/est/article/view/1703/434</w:t>
      </w:r>
    </w:p>
    <w:p w14:paraId="293C5E59" w14:textId="77777777" w:rsidR="00583C56" w:rsidRPr="00583C56" w:rsidRDefault="00583C56" w:rsidP="00583C56">
      <w:pPr>
        <w:spacing w:line="360" w:lineRule="auto"/>
        <w:rPr>
          <w:rFonts w:eastAsia="Calibri"/>
          <w:lang w:eastAsia="en-US"/>
        </w:rPr>
      </w:pPr>
      <w:r w:rsidRPr="00583C56">
        <w:rPr>
          <w:rFonts w:eastAsia="Calibri"/>
          <w:lang w:val="en-US" w:eastAsia="en-US"/>
        </w:rPr>
        <w:t xml:space="preserve">12. </w:t>
      </w:r>
      <w:proofErr w:type="spellStart"/>
      <w:r w:rsidRPr="00583C56">
        <w:rPr>
          <w:rFonts w:eastAsia="Calibri"/>
          <w:lang w:val="en-US" w:eastAsia="en-US"/>
        </w:rPr>
        <w:t>Tomo</w:t>
      </w:r>
      <w:proofErr w:type="spellEnd"/>
      <w:r w:rsidRPr="00583C56">
        <w:rPr>
          <w:rFonts w:eastAsia="Calibri"/>
          <w:lang w:val="en-US" w:eastAsia="en-US"/>
        </w:rPr>
        <w:t xml:space="preserve"> S, </w:t>
      </w:r>
      <w:proofErr w:type="spellStart"/>
      <w:r w:rsidRPr="00583C56">
        <w:rPr>
          <w:rFonts w:eastAsia="Calibri"/>
          <w:lang w:val="en-US" w:eastAsia="en-US"/>
        </w:rPr>
        <w:t>Neto</w:t>
      </w:r>
      <w:proofErr w:type="spellEnd"/>
      <w:r w:rsidRPr="00583C56">
        <w:rPr>
          <w:rFonts w:eastAsia="Calibri"/>
          <w:lang w:val="en-US" w:eastAsia="en-US"/>
        </w:rPr>
        <w:t xml:space="preserve"> SC, </w:t>
      </w:r>
      <w:proofErr w:type="spellStart"/>
      <w:r w:rsidRPr="00583C56">
        <w:rPr>
          <w:rFonts w:eastAsia="Calibri"/>
          <w:lang w:val="en-US" w:eastAsia="en-US"/>
        </w:rPr>
        <w:t>Collado</w:t>
      </w:r>
      <w:proofErr w:type="spellEnd"/>
      <w:r w:rsidRPr="00583C56">
        <w:rPr>
          <w:rFonts w:eastAsia="Calibri"/>
          <w:lang w:val="en-US" w:eastAsia="en-US"/>
        </w:rPr>
        <w:t xml:space="preserve"> FU, </w:t>
      </w:r>
      <w:proofErr w:type="spellStart"/>
      <w:r w:rsidRPr="00583C56">
        <w:rPr>
          <w:rFonts w:eastAsia="Calibri"/>
          <w:lang w:val="en-US" w:eastAsia="en-US"/>
        </w:rPr>
        <w:t>Sundefeld</w:t>
      </w:r>
      <w:proofErr w:type="spellEnd"/>
      <w:r w:rsidRPr="00583C56">
        <w:rPr>
          <w:rFonts w:eastAsia="Calibri"/>
          <w:lang w:val="en-US" w:eastAsia="en-US"/>
        </w:rPr>
        <w:t xml:space="preserve"> MLMM, </w:t>
      </w:r>
      <w:proofErr w:type="spellStart"/>
      <w:r w:rsidRPr="00583C56">
        <w:rPr>
          <w:rFonts w:eastAsia="Calibri"/>
          <w:lang w:val="en-US" w:eastAsia="en-US"/>
        </w:rPr>
        <w:t>Bernabé</w:t>
      </w:r>
      <w:proofErr w:type="spellEnd"/>
      <w:r w:rsidRPr="00583C56">
        <w:rPr>
          <w:rFonts w:eastAsia="Calibri"/>
          <w:lang w:val="en-US" w:eastAsia="en-US"/>
        </w:rPr>
        <w:t xml:space="preserve"> DG, </w:t>
      </w:r>
      <w:proofErr w:type="spellStart"/>
      <w:r w:rsidRPr="00583C56">
        <w:rPr>
          <w:rFonts w:eastAsia="Calibri"/>
          <w:lang w:val="en-US" w:eastAsia="en-US"/>
        </w:rPr>
        <w:t>Biasoli</w:t>
      </w:r>
      <w:proofErr w:type="spellEnd"/>
      <w:r w:rsidRPr="00583C56">
        <w:rPr>
          <w:rFonts w:eastAsia="Calibri"/>
          <w:lang w:val="en-US" w:eastAsia="en-US"/>
        </w:rPr>
        <w:t xml:space="preserve"> ÉR, et al. Head and neck squamous cell carcinoma in young patients: a 26-year clinicopathologic retrospective study in a Brazilian specialized center. </w:t>
      </w:r>
      <w:proofErr w:type="spellStart"/>
      <w:r w:rsidRPr="00583C56">
        <w:rPr>
          <w:rFonts w:eastAsia="Calibri"/>
          <w:lang w:eastAsia="en-US"/>
        </w:rPr>
        <w:t>Med</w:t>
      </w:r>
      <w:proofErr w:type="spellEnd"/>
      <w:r w:rsidRPr="00583C56">
        <w:rPr>
          <w:rFonts w:eastAsia="Calibri"/>
          <w:lang w:eastAsia="en-US"/>
        </w:rPr>
        <w:t xml:space="preserve"> Oral Patol Oral </w:t>
      </w:r>
      <w:proofErr w:type="spellStart"/>
      <w:r w:rsidRPr="00583C56">
        <w:rPr>
          <w:rFonts w:eastAsia="Calibri"/>
          <w:lang w:eastAsia="en-US"/>
        </w:rPr>
        <w:t>Cir</w:t>
      </w:r>
      <w:proofErr w:type="spellEnd"/>
      <w:r w:rsidRPr="00583C56">
        <w:rPr>
          <w:rFonts w:eastAsia="Calibri"/>
          <w:lang w:eastAsia="en-US"/>
        </w:rPr>
        <w:t xml:space="preserve"> Bucal. 2020; 25(3): e416-24. DOI: 10.4317/medoral.23461</w:t>
      </w:r>
    </w:p>
    <w:p w14:paraId="0BFC3701" w14:textId="77777777" w:rsidR="00583C56" w:rsidRPr="00583C56" w:rsidRDefault="00583C56" w:rsidP="00583C56">
      <w:pPr>
        <w:spacing w:line="360" w:lineRule="auto"/>
        <w:rPr>
          <w:rFonts w:eastAsia="Calibri"/>
          <w:lang w:eastAsia="en-US"/>
        </w:rPr>
      </w:pPr>
      <w:r w:rsidRPr="00583C56">
        <w:rPr>
          <w:rFonts w:eastAsia="Calibri"/>
          <w:lang w:eastAsia="en-US"/>
        </w:rPr>
        <w:t>13. Bernal-</w:t>
      </w:r>
      <w:proofErr w:type="spellStart"/>
      <w:r w:rsidRPr="00583C56">
        <w:rPr>
          <w:rFonts w:eastAsia="Calibri"/>
          <w:lang w:eastAsia="en-US"/>
        </w:rPr>
        <w:t>Baláez</w:t>
      </w:r>
      <w:proofErr w:type="spellEnd"/>
      <w:r w:rsidRPr="00583C56">
        <w:rPr>
          <w:rFonts w:eastAsia="Calibri"/>
          <w:lang w:eastAsia="en-US"/>
        </w:rPr>
        <w:t xml:space="preserve"> AE. Estudio epidemiológico del cáncer bucal en Colombia 1989-2008. </w:t>
      </w:r>
      <w:proofErr w:type="spellStart"/>
      <w:r w:rsidRPr="00583C56">
        <w:rPr>
          <w:rFonts w:eastAsia="Calibri"/>
          <w:lang w:eastAsia="en-US"/>
        </w:rPr>
        <w:t>Rev</w:t>
      </w:r>
      <w:proofErr w:type="spellEnd"/>
      <w:r w:rsidRPr="00583C56">
        <w:rPr>
          <w:rFonts w:eastAsia="Calibri"/>
          <w:lang w:eastAsia="en-US"/>
        </w:rPr>
        <w:t xml:space="preserve"> </w:t>
      </w:r>
      <w:proofErr w:type="spellStart"/>
      <w:r w:rsidRPr="00583C56">
        <w:rPr>
          <w:rFonts w:eastAsia="Calibri"/>
          <w:lang w:eastAsia="en-US"/>
        </w:rPr>
        <w:t>Fac</w:t>
      </w:r>
      <w:proofErr w:type="spellEnd"/>
      <w:r w:rsidRPr="00583C56">
        <w:rPr>
          <w:rFonts w:eastAsia="Calibri"/>
          <w:lang w:eastAsia="en-US"/>
        </w:rPr>
        <w:t xml:space="preserve"> </w:t>
      </w:r>
      <w:proofErr w:type="spellStart"/>
      <w:r w:rsidRPr="00583C56">
        <w:rPr>
          <w:rFonts w:eastAsia="Calibri"/>
          <w:lang w:eastAsia="en-US"/>
        </w:rPr>
        <w:t>Med</w:t>
      </w:r>
      <w:proofErr w:type="spellEnd"/>
      <w:r w:rsidRPr="00583C56">
        <w:rPr>
          <w:rFonts w:eastAsia="Calibri"/>
          <w:lang w:eastAsia="en-US"/>
        </w:rPr>
        <w:t xml:space="preserve">. 2016; 64(1):75-8. DOI: 10.15446/revfacmed.v64n1.53736 </w:t>
      </w:r>
    </w:p>
    <w:p w14:paraId="65D6DD74" w14:textId="77777777" w:rsidR="00583C56" w:rsidRPr="00583C56" w:rsidRDefault="00583C56" w:rsidP="00583C56">
      <w:pPr>
        <w:spacing w:line="360" w:lineRule="auto"/>
        <w:rPr>
          <w:rFonts w:eastAsia="Calibri"/>
          <w:lang w:val="es-MX" w:eastAsia="en-US"/>
        </w:rPr>
      </w:pPr>
      <w:r w:rsidRPr="00583C56">
        <w:rPr>
          <w:rFonts w:eastAsia="Calibri"/>
          <w:lang w:eastAsia="en-US"/>
        </w:rPr>
        <w:t>14. Hermida Rojas M. Escala para predecir el riesgo de cáncer bucal [Tesis doctoral]. La Habana: Universidad de Ciencias Médicas de la Habana, Facultad de Estomatología; 2007. [acceso: 29/07/2021].</w:t>
      </w:r>
      <w:r w:rsidRPr="00583C56">
        <w:rPr>
          <w:rFonts w:eastAsia="Calibri"/>
          <w:lang w:val="es-MX" w:eastAsia="en-US"/>
        </w:rPr>
        <w:t xml:space="preserve"> Disponible en: </w:t>
      </w:r>
      <w:hyperlink r:id="rId15" w:history="1">
        <w:r w:rsidRPr="00583C56">
          <w:rPr>
            <w:rFonts w:eastAsia="Calibri"/>
            <w:color w:val="0563C1"/>
            <w:u w:val="single"/>
            <w:lang w:eastAsia="en-US"/>
          </w:rPr>
          <w:t>https://repositorioslatinoamericanos.uchile.cl/handle/2250/140270</w:t>
        </w:r>
      </w:hyperlink>
    </w:p>
    <w:p w14:paraId="7EFA9EE7" w14:textId="77777777" w:rsidR="00583C56" w:rsidRPr="00583C56" w:rsidRDefault="00583C56" w:rsidP="00583C56">
      <w:pPr>
        <w:spacing w:line="360" w:lineRule="auto"/>
        <w:rPr>
          <w:rFonts w:eastAsia="Calibri"/>
          <w:lang w:eastAsia="en-US"/>
        </w:rPr>
      </w:pPr>
      <w:r w:rsidRPr="00583C56">
        <w:rPr>
          <w:rFonts w:eastAsia="Calibri"/>
          <w:lang w:eastAsia="en-US"/>
        </w:rPr>
        <w:t xml:space="preserve">15. Morales-Basulto R, Reina-Rodríguez Y, </w:t>
      </w:r>
      <w:proofErr w:type="spellStart"/>
      <w:r w:rsidRPr="00583C56">
        <w:rPr>
          <w:rFonts w:eastAsia="Calibri"/>
          <w:lang w:eastAsia="en-US"/>
        </w:rPr>
        <w:t>Viamontes</w:t>
      </w:r>
      <w:proofErr w:type="spellEnd"/>
      <w:r w:rsidRPr="00583C56">
        <w:rPr>
          <w:rFonts w:eastAsia="Calibri"/>
          <w:lang w:eastAsia="en-US"/>
        </w:rPr>
        <w:t xml:space="preserve">-Beltrán J. Estudio clínico-epidemiológico de pacientes con cáncer en suelo de boca. </w:t>
      </w:r>
      <w:proofErr w:type="spellStart"/>
      <w:r w:rsidRPr="00583C56">
        <w:rPr>
          <w:rFonts w:eastAsia="Calibri"/>
          <w:lang w:eastAsia="en-US"/>
        </w:rPr>
        <w:t>Medisur</w:t>
      </w:r>
      <w:proofErr w:type="spellEnd"/>
      <w:r w:rsidRPr="00583C56">
        <w:rPr>
          <w:rFonts w:eastAsia="Calibri"/>
          <w:lang w:eastAsia="en-US"/>
        </w:rPr>
        <w:t xml:space="preserve">. 2019 [acceso: 03/04/2021]; 17(5):698-705. Disponible en: </w:t>
      </w:r>
      <w:hyperlink r:id="rId16" w:history="1">
        <w:r w:rsidRPr="00583C56">
          <w:rPr>
            <w:rFonts w:eastAsia="Calibri"/>
            <w:color w:val="0563C1"/>
            <w:u w:val="single"/>
            <w:lang w:eastAsia="en-US"/>
          </w:rPr>
          <w:t>https://medisur.sld.cu/index.php/medisur/article/view/4161</w:t>
        </w:r>
      </w:hyperlink>
      <w:r w:rsidRPr="00583C56">
        <w:rPr>
          <w:rFonts w:eastAsia="Calibri"/>
          <w:lang w:eastAsia="en-US"/>
        </w:rPr>
        <w:t xml:space="preserve">  </w:t>
      </w:r>
    </w:p>
    <w:p w14:paraId="6FAEF61B" w14:textId="77777777" w:rsidR="00583C56" w:rsidRPr="00583C56" w:rsidRDefault="00583C56" w:rsidP="00583C56">
      <w:pPr>
        <w:spacing w:line="360" w:lineRule="auto"/>
        <w:rPr>
          <w:rFonts w:eastAsia="Calibri"/>
          <w:lang w:eastAsia="en-US"/>
        </w:rPr>
      </w:pPr>
      <w:r w:rsidRPr="00583C56">
        <w:rPr>
          <w:rFonts w:eastAsia="Calibri"/>
          <w:lang w:eastAsia="en-US"/>
        </w:rPr>
        <w:t xml:space="preserve">16. Pérez-Reyes YO, Bermúdez-Núñez YI. Factores de riesgo asociados al cáncer bucal en pacientes de un consultorio médico de la familia. </w:t>
      </w:r>
      <w:proofErr w:type="spellStart"/>
      <w:r w:rsidRPr="00583C56">
        <w:rPr>
          <w:rFonts w:eastAsia="Calibri"/>
          <w:lang w:eastAsia="en-US"/>
        </w:rPr>
        <w:t>Rev</w:t>
      </w:r>
      <w:proofErr w:type="spellEnd"/>
      <w:r w:rsidRPr="00583C56">
        <w:rPr>
          <w:rFonts w:eastAsia="Calibri"/>
          <w:lang w:eastAsia="en-US"/>
        </w:rPr>
        <w:t xml:space="preserve"> Electrón Dr. Zoilo E. </w:t>
      </w:r>
      <w:proofErr w:type="spellStart"/>
      <w:r w:rsidRPr="00583C56">
        <w:rPr>
          <w:rFonts w:eastAsia="Calibri"/>
          <w:lang w:eastAsia="en-US"/>
        </w:rPr>
        <w:t>Marinello</w:t>
      </w:r>
      <w:proofErr w:type="spellEnd"/>
      <w:r w:rsidRPr="00583C56">
        <w:rPr>
          <w:rFonts w:eastAsia="Calibri"/>
          <w:lang w:eastAsia="en-US"/>
        </w:rPr>
        <w:t xml:space="preserve"> </w:t>
      </w:r>
      <w:proofErr w:type="spellStart"/>
      <w:r w:rsidRPr="00583C56">
        <w:rPr>
          <w:rFonts w:eastAsia="Calibri"/>
          <w:lang w:eastAsia="en-US"/>
        </w:rPr>
        <w:t>Vidaurreta</w:t>
      </w:r>
      <w:proofErr w:type="spellEnd"/>
      <w:r w:rsidRPr="00583C56">
        <w:rPr>
          <w:rFonts w:eastAsia="Calibri"/>
          <w:lang w:eastAsia="en-US"/>
        </w:rPr>
        <w:t xml:space="preserve">. 2020 [acceso: 03/04/2021]; 45(5): [aprox. 7 </w:t>
      </w:r>
      <w:proofErr w:type="spellStart"/>
      <w:r w:rsidRPr="00583C56">
        <w:rPr>
          <w:rFonts w:eastAsia="Calibri"/>
          <w:lang w:eastAsia="en-US"/>
        </w:rPr>
        <w:t>pant</w:t>
      </w:r>
      <w:proofErr w:type="spellEnd"/>
      <w:r w:rsidRPr="00583C56">
        <w:rPr>
          <w:rFonts w:eastAsia="Calibri"/>
          <w:lang w:eastAsia="en-US"/>
        </w:rPr>
        <w:t xml:space="preserve">.]. Disponible en: </w:t>
      </w:r>
      <w:r w:rsidRPr="00583C56">
        <w:rPr>
          <w:rFonts w:eastAsia="Calibri"/>
          <w:color w:val="0563C1"/>
          <w:u w:val="single"/>
          <w:lang w:eastAsia="en-US"/>
        </w:rPr>
        <w:t>http://revzoilomarinello.sld.cu/index.php/zmv/article/download/2172/pdf_707</w:t>
      </w:r>
    </w:p>
    <w:p w14:paraId="2624631F" w14:textId="77777777" w:rsidR="00583C56" w:rsidRPr="00583C56" w:rsidRDefault="00583C56" w:rsidP="00583C56">
      <w:pPr>
        <w:spacing w:line="360" w:lineRule="auto"/>
        <w:rPr>
          <w:rFonts w:eastAsia="Calibri"/>
          <w:lang w:eastAsia="en-US"/>
        </w:rPr>
      </w:pPr>
      <w:r w:rsidRPr="00583C56">
        <w:rPr>
          <w:rFonts w:eastAsia="Calibri"/>
          <w:lang w:eastAsia="en-US"/>
        </w:rPr>
        <w:t xml:space="preserve">17. Laurencio J, Noriega SO, Góngora RG. Caracterización clínico-epidemiológica de pacientes con cáncer bucal y otras lesiones del complejo </w:t>
      </w:r>
      <w:proofErr w:type="spellStart"/>
      <w:r w:rsidRPr="00583C56">
        <w:rPr>
          <w:rFonts w:eastAsia="Calibri"/>
          <w:lang w:eastAsia="en-US"/>
        </w:rPr>
        <w:t>bucomaxilofacial</w:t>
      </w:r>
      <w:proofErr w:type="spellEnd"/>
      <w:r w:rsidRPr="00583C56">
        <w:rPr>
          <w:rFonts w:eastAsia="Calibri"/>
          <w:lang w:eastAsia="en-US"/>
        </w:rPr>
        <w:t xml:space="preserve">. MEDISAN. 2019 [acceso: 03/04/2021]; 23(5):837. Disponible en: </w:t>
      </w:r>
      <w:hyperlink r:id="rId17" w:history="1">
        <w:r w:rsidRPr="00583C56">
          <w:rPr>
            <w:rFonts w:eastAsia="Calibri"/>
            <w:color w:val="0563C1"/>
            <w:u w:val="single"/>
            <w:lang w:eastAsia="en-US"/>
          </w:rPr>
          <w:t>http://medisan.sld.cu/index.php/san/article/view/2844/pdf</w:t>
        </w:r>
      </w:hyperlink>
    </w:p>
    <w:p w14:paraId="5CFB52BC" w14:textId="77777777" w:rsidR="00583C56" w:rsidRPr="00583C56" w:rsidRDefault="00583C56" w:rsidP="00583C56">
      <w:pPr>
        <w:spacing w:line="360" w:lineRule="auto"/>
        <w:rPr>
          <w:rFonts w:eastAsia="Calibri"/>
          <w:lang w:eastAsia="en-US"/>
        </w:rPr>
      </w:pPr>
      <w:r w:rsidRPr="00583C56">
        <w:rPr>
          <w:rFonts w:eastAsia="Calibri"/>
          <w:lang w:eastAsia="en-US"/>
        </w:rPr>
        <w:lastRenderedPageBreak/>
        <w:t xml:space="preserve">18. Cabrera JJ, de la Rosa JD, Pérez K, Ramírez G, Peñón M, Vázquez GL. Caracterización clínico-epidemiológica de pacientes con cáncer bucal. 16 de Abril. 2020 [acceso: 03/04/2021]; 59(278):e984. Disponible en: </w:t>
      </w:r>
      <w:hyperlink r:id="rId18" w:history="1">
        <w:r w:rsidRPr="00583C56">
          <w:rPr>
            <w:rFonts w:eastAsia="Calibri"/>
            <w:color w:val="0563C1"/>
            <w:u w:val="single"/>
            <w:lang w:eastAsia="en-US"/>
          </w:rPr>
          <w:t>https://www.rev16deabril.sld.cu/index.php/16_4/article/view/984</w:t>
        </w:r>
      </w:hyperlink>
      <w:r w:rsidRPr="00583C56">
        <w:rPr>
          <w:rFonts w:eastAsia="Calibri"/>
          <w:lang w:eastAsia="en-US"/>
        </w:rPr>
        <w:t xml:space="preserve"> </w:t>
      </w:r>
    </w:p>
    <w:p w14:paraId="30A1D229" w14:textId="77777777" w:rsidR="00583C56" w:rsidRPr="00583C56" w:rsidRDefault="00583C56" w:rsidP="00583C56">
      <w:pPr>
        <w:spacing w:line="360" w:lineRule="auto"/>
        <w:rPr>
          <w:rFonts w:eastAsia="Calibri"/>
          <w:lang w:eastAsia="en-US"/>
        </w:rPr>
      </w:pPr>
      <w:r w:rsidRPr="00583C56">
        <w:rPr>
          <w:rFonts w:eastAsia="Calibri"/>
          <w:lang w:eastAsia="en-US"/>
        </w:rPr>
        <w:t xml:space="preserve">19. Miguel PA, Niño A, Batista K, Miguel-Soca PE. Factores de riesgo de cáncer bucal. </w:t>
      </w:r>
      <w:proofErr w:type="spellStart"/>
      <w:r w:rsidRPr="00583C56">
        <w:rPr>
          <w:rFonts w:eastAsia="Calibri"/>
          <w:lang w:eastAsia="en-US"/>
        </w:rPr>
        <w:t>Rev</w:t>
      </w:r>
      <w:proofErr w:type="spellEnd"/>
      <w:r w:rsidRPr="00583C56">
        <w:rPr>
          <w:rFonts w:eastAsia="Calibri"/>
          <w:lang w:eastAsia="en-US"/>
        </w:rPr>
        <w:t xml:space="preserve"> Cubana </w:t>
      </w:r>
      <w:proofErr w:type="spellStart"/>
      <w:r w:rsidRPr="00583C56">
        <w:rPr>
          <w:rFonts w:eastAsia="Calibri"/>
          <w:lang w:eastAsia="en-US"/>
        </w:rPr>
        <w:t>Estomatol</w:t>
      </w:r>
      <w:proofErr w:type="spellEnd"/>
      <w:r w:rsidRPr="00583C56">
        <w:rPr>
          <w:rFonts w:eastAsia="Calibri"/>
          <w:lang w:eastAsia="en-US"/>
        </w:rPr>
        <w:t xml:space="preserve">. 2016 [acceso: 03/04/2021]; 53(3):128-45. Disponible en: </w:t>
      </w:r>
      <w:hyperlink r:id="rId19" w:history="1">
        <w:r w:rsidRPr="00583C56">
          <w:rPr>
            <w:rFonts w:eastAsia="Calibri"/>
            <w:color w:val="0563C1"/>
            <w:u w:val="single"/>
            <w:lang w:eastAsia="en-US"/>
          </w:rPr>
          <w:t>https://scielo.sld.cu/pdf/est/v53n3/est06316.pdf</w:t>
        </w:r>
      </w:hyperlink>
      <w:r w:rsidRPr="00583C56">
        <w:rPr>
          <w:rFonts w:eastAsia="Calibri"/>
          <w:lang w:eastAsia="en-US"/>
        </w:rPr>
        <w:t xml:space="preserve"> </w:t>
      </w:r>
    </w:p>
    <w:p w14:paraId="4B083CE5" w14:textId="77777777" w:rsidR="00583C56" w:rsidRPr="00583C56" w:rsidRDefault="00583C56" w:rsidP="00583C56">
      <w:pPr>
        <w:spacing w:line="360" w:lineRule="auto"/>
        <w:rPr>
          <w:rFonts w:eastAsia="Calibri"/>
          <w:lang w:eastAsia="en-US"/>
        </w:rPr>
      </w:pPr>
      <w:r w:rsidRPr="00583C56">
        <w:rPr>
          <w:rFonts w:eastAsia="Calibri"/>
          <w:lang w:eastAsia="en-US"/>
        </w:rPr>
        <w:t>20. González R. Contra las Adicciones, Clínica y Terapéutica. La Habana: Editorial Científico-Técnica; 2002.</w:t>
      </w:r>
    </w:p>
    <w:p w14:paraId="1614FA68" w14:textId="77777777" w:rsidR="00583C56" w:rsidRPr="00583C56" w:rsidRDefault="00583C56" w:rsidP="00583C56">
      <w:pPr>
        <w:spacing w:line="360" w:lineRule="auto"/>
        <w:rPr>
          <w:rFonts w:eastAsia="Calibri"/>
          <w:lang w:eastAsia="en-US"/>
        </w:rPr>
      </w:pPr>
      <w:r w:rsidRPr="00583C56">
        <w:rPr>
          <w:rFonts w:eastAsia="Calibri"/>
          <w:lang w:val="en-US" w:eastAsia="en-US"/>
        </w:rPr>
        <w:t xml:space="preserve">21. </w:t>
      </w:r>
      <w:proofErr w:type="spellStart"/>
      <w:r w:rsidRPr="00583C56">
        <w:rPr>
          <w:rFonts w:eastAsia="Calibri"/>
          <w:lang w:val="en-US" w:eastAsia="en-US"/>
        </w:rPr>
        <w:t>Chaple</w:t>
      </w:r>
      <w:proofErr w:type="spellEnd"/>
      <w:r w:rsidRPr="00583C56">
        <w:rPr>
          <w:rFonts w:eastAsia="Calibri"/>
          <w:lang w:val="en-US" w:eastAsia="en-US"/>
        </w:rPr>
        <w:t xml:space="preserve">-Gil AM, </w:t>
      </w:r>
      <w:proofErr w:type="spellStart"/>
      <w:r w:rsidRPr="00583C56">
        <w:rPr>
          <w:rFonts w:eastAsia="Calibri"/>
          <w:lang w:val="en-US" w:eastAsia="en-US"/>
        </w:rPr>
        <w:t>Gispert</w:t>
      </w:r>
      <w:proofErr w:type="spellEnd"/>
      <w:r w:rsidRPr="00583C56">
        <w:rPr>
          <w:rFonts w:eastAsia="Calibri"/>
          <w:lang w:val="en-US" w:eastAsia="en-US"/>
        </w:rPr>
        <w:t xml:space="preserve">-Abreu EA. </w:t>
      </w:r>
      <w:r w:rsidRPr="00583C56">
        <w:rPr>
          <w:rFonts w:eastAsia="Calibri"/>
          <w:lang w:eastAsia="en-US"/>
        </w:rPr>
        <w:t xml:space="preserve">“Amar” el índice de O’Leary. </w:t>
      </w:r>
      <w:proofErr w:type="spellStart"/>
      <w:r w:rsidRPr="00583C56">
        <w:rPr>
          <w:rFonts w:eastAsia="Calibri"/>
          <w:lang w:eastAsia="en-US"/>
        </w:rPr>
        <w:t>Rev</w:t>
      </w:r>
      <w:proofErr w:type="spellEnd"/>
      <w:r w:rsidRPr="00583C56">
        <w:rPr>
          <w:rFonts w:eastAsia="Calibri"/>
          <w:lang w:eastAsia="en-US"/>
        </w:rPr>
        <w:t xml:space="preserve"> Cubana </w:t>
      </w:r>
      <w:proofErr w:type="spellStart"/>
      <w:r w:rsidRPr="00583C56">
        <w:rPr>
          <w:rFonts w:eastAsia="Calibri"/>
          <w:lang w:eastAsia="en-US"/>
        </w:rPr>
        <w:t>Estomatol</w:t>
      </w:r>
      <w:proofErr w:type="spellEnd"/>
      <w:r w:rsidRPr="00583C56">
        <w:rPr>
          <w:rFonts w:eastAsia="Calibri"/>
          <w:lang w:eastAsia="en-US"/>
        </w:rPr>
        <w:t xml:space="preserve">. 2019 [acceso: 03/04/2021]; 56(4):1-5. Disponible en: </w:t>
      </w:r>
      <w:hyperlink r:id="rId20" w:history="1">
        <w:r w:rsidRPr="00583C56">
          <w:rPr>
            <w:rFonts w:eastAsia="Calibri"/>
            <w:color w:val="0563C1"/>
            <w:u w:val="single"/>
            <w:lang w:eastAsia="en-US"/>
          </w:rPr>
          <w:t>http://scielo.sld.cu/pdf/est/v56n4/1561-297X-est-56-04-e2154.pdf</w:t>
        </w:r>
      </w:hyperlink>
      <w:r w:rsidRPr="00583C56">
        <w:rPr>
          <w:rFonts w:eastAsia="Calibri"/>
          <w:lang w:eastAsia="en-US"/>
        </w:rPr>
        <w:t xml:space="preserve"> </w:t>
      </w:r>
    </w:p>
    <w:p w14:paraId="3DD719C2" w14:textId="77777777" w:rsidR="00583C56" w:rsidRPr="00583C56" w:rsidRDefault="00583C56" w:rsidP="00583C56">
      <w:pPr>
        <w:spacing w:line="360" w:lineRule="auto"/>
        <w:rPr>
          <w:rFonts w:eastAsia="Calibri"/>
          <w:lang w:eastAsia="en-US"/>
        </w:rPr>
      </w:pPr>
      <w:r w:rsidRPr="00583C56">
        <w:rPr>
          <w:rFonts w:eastAsia="Calibri"/>
          <w:lang w:val="en-US" w:eastAsia="en-US"/>
        </w:rPr>
        <w:t xml:space="preserve">22. Zhang S, Hu F, Liang H, Liu Y, Yang J, Zhou W. Association between a miRNA-146a polymorphism and susceptibility to head and neck squamous cell carcinoma in Chinese patients: A meta-analysis of 8 case–control studies. </w:t>
      </w:r>
      <w:proofErr w:type="spellStart"/>
      <w:r w:rsidRPr="00583C56">
        <w:rPr>
          <w:rFonts w:eastAsia="Calibri"/>
          <w:lang w:eastAsia="en-US"/>
        </w:rPr>
        <w:t>PLoS</w:t>
      </w:r>
      <w:proofErr w:type="spellEnd"/>
      <w:r w:rsidRPr="00583C56">
        <w:rPr>
          <w:rFonts w:eastAsia="Calibri"/>
          <w:lang w:eastAsia="en-US"/>
        </w:rPr>
        <w:t xml:space="preserve"> ONE. 2017; 12(10): e0186609. DOI: 10.1371/journal.pone.0186609 </w:t>
      </w:r>
    </w:p>
    <w:p w14:paraId="0004073D" w14:textId="77777777" w:rsidR="00583C56" w:rsidRPr="00583C56" w:rsidRDefault="00583C56" w:rsidP="00583C56">
      <w:pPr>
        <w:spacing w:line="360" w:lineRule="auto"/>
        <w:rPr>
          <w:rFonts w:eastAsia="Calibri"/>
          <w:lang w:val="es-MX" w:eastAsia="en-US"/>
        </w:rPr>
      </w:pPr>
      <w:r w:rsidRPr="00583C56">
        <w:rPr>
          <w:rFonts w:eastAsia="Calibri"/>
          <w:lang w:eastAsia="en-US"/>
        </w:rPr>
        <w:t xml:space="preserve">23. </w:t>
      </w:r>
      <w:proofErr w:type="spellStart"/>
      <w:r w:rsidRPr="00583C56">
        <w:rPr>
          <w:rFonts w:eastAsia="Calibri"/>
          <w:lang w:eastAsia="en-US"/>
        </w:rPr>
        <w:t>Piemonte</w:t>
      </w:r>
      <w:proofErr w:type="spellEnd"/>
      <w:r w:rsidRPr="00583C56">
        <w:rPr>
          <w:rFonts w:eastAsia="Calibri"/>
          <w:lang w:eastAsia="en-US"/>
        </w:rPr>
        <w:t xml:space="preserve"> ED. Cáncer bucal: diseño y evaluación de un índice de riesgo multifactorial [Tesis doctoral]. Córdoba: Universidad Nacional de Córdoba. Facultad de Odontología; 2015.</w:t>
      </w:r>
      <w:r w:rsidRPr="00583C56">
        <w:rPr>
          <w:rFonts w:eastAsia="Calibri"/>
          <w:lang w:val="es-MX" w:eastAsia="en-US"/>
        </w:rPr>
        <w:t xml:space="preserve"> [acceso: </w:t>
      </w:r>
      <w:r w:rsidRPr="00583C56">
        <w:rPr>
          <w:rFonts w:eastAsia="Calibri"/>
          <w:lang w:eastAsia="en-US"/>
        </w:rPr>
        <w:t>29/07/2021</w:t>
      </w:r>
      <w:r w:rsidRPr="00583C56">
        <w:rPr>
          <w:rFonts w:eastAsia="Calibri"/>
          <w:lang w:val="es-MX" w:eastAsia="en-US"/>
        </w:rPr>
        <w:t xml:space="preserve">]. Disponible en: </w:t>
      </w:r>
      <w:r w:rsidRPr="00583C56">
        <w:rPr>
          <w:rFonts w:eastAsia="Calibri"/>
          <w:color w:val="0563C1"/>
          <w:u w:val="single"/>
          <w:lang w:eastAsia="en-US"/>
        </w:rPr>
        <w:t>https://rdu.unc.edu.ar/handle/11086/1757</w:t>
      </w:r>
    </w:p>
    <w:p w14:paraId="359667E2" w14:textId="77777777" w:rsidR="00583C56" w:rsidRPr="00583C56" w:rsidRDefault="00583C56" w:rsidP="00583C56">
      <w:pPr>
        <w:spacing w:line="360" w:lineRule="auto"/>
        <w:rPr>
          <w:rFonts w:eastAsia="Calibri"/>
          <w:lang w:val="en-US" w:eastAsia="en-US"/>
        </w:rPr>
      </w:pPr>
      <w:r w:rsidRPr="00583C56">
        <w:rPr>
          <w:rFonts w:eastAsia="Calibri"/>
          <w:lang w:eastAsia="en-US"/>
        </w:rPr>
        <w:t xml:space="preserve">24. Lins LSS, Bezerra NVF, Freire AR, Almeida LFD, Lucena EHG, </w:t>
      </w:r>
      <w:proofErr w:type="spellStart"/>
      <w:r w:rsidRPr="00583C56">
        <w:rPr>
          <w:rFonts w:eastAsia="Calibri"/>
          <w:lang w:eastAsia="en-US"/>
        </w:rPr>
        <w:t>Cavalcanti</w:t>
      </w:r>
      <w:proofErr w:type="spellEnd"/>
      <w:r w:rsidRPr="00583C56">
        <w:rPr>
          <w:rFonts w:eastAsia="Calibri"/>
          <w:lang w:eastAsia="en-US"/>
        </w:rPr>
        <w:t xml:space="preserve"> YW. </w:t>
      </w:r>
      <w:r w:rsidRPr="00583C56">
        <w:rPr>
          <w:rFonts w:eastAsia="Calibri"/>
          <w:lang w:val="en-US" w:eastAsia="en-US"/>
        </w:rPr>
        <w:t xml:space="preserve">Socio-demographic characteristics are related to the advanced clinical stage of oral cancer. Med Oral </w:t>
      </w:r>
      <w:proofErr w:type="spellStart"/>
      <w:r w:rsidRPr="00583C56">
        <w:rPr>
          <w:rFonts w:eastAsia="Calibri"/>
          <w:lang w:val="en-US" w:eastAsia="en-US"/>
        </w:rPr>
        <w:t>Patol</w:t>
      </w:r>
      <w:proofErr w:type="spellEnd"/>
      <w:r w:rsidRPr="00583C56">
        <w:rPr>
          <w:rFonts w:eastAsia="Calibri"/>
          <w:lang w:val="en-US" w:eastAsia="en-US"/>
        </w:rPr>
        <w:t xml:space="preserve"> Oral Cir </w:t>
      </w:r>
      <w:proofErr w:type="spellStart"/>
      <w:r w:rsidRPr="00583C56">
        <w:rPr>
          <w:rFonts w:eastAsia="Calibri"/>
          <w:lang w:val="en-US" w:eastAsia="en-US"/>
        </w:rPr>
        <w:t>Bucal</w:t>
      </w:r>
      <w:proofErr w:type="spellEnd"/>
      <w:r w:rsidRPr="00583C56">
        <w:rPr>
          <w:rFonts w:eastAsia="Calibri"/>
          <w:lang w:val="en-US" w:eastAsia="en-US"/>
        </w:rPr>
        <w:t xml:space="preserve">. 2019; 24(6): e759-63. DOI: 10.4317/medoral.23105 </w:t>
      </w:r>
    </w:p>
    <w:p w14:paraId="661C0FD5"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25. </w:t>
      </w:r>
      <w:proofErr w:type="spellStart"/>
      <w:r w:rsidRPr="00583C56">
        <w:rPr>
          <w:rFonts w:eastAsia="Calibri"/>
          <w:lang w:val="en-US" w:eastAsia="en-US"/>
        </w:rPr>
        <w:t>Saira</w:t>
      </w:r>
      <w:proofErr w:type="spellEnd"/>
      <w:r w:rsidRPr="00583C56">
        <w:rPr>
          <w:rFonts w:eastAsia="Calibri"/>
          <w:lang w:val="en-US" w:eastAsia="en-US"/>
        </w:rPr>
        <w:t xml:space="preserve">, </w:t>
      </w:r>
      <w:proofErr w:type="spellStart"/>
      <w:r w:rsidRPr="00583C56">
        <w:rPr>
          <w:rFonts w:eastAsia="Calibri"/>
          <w:lang w:val="en-US" w:eastAsia="en-US"/>
        </w:rPr>
        <w:t>Fiaz</w:t>
      </w:r>
      <w:proofErr w:type="spellEnd"/>
      <w:r w:rsidRPr="00583C56">
        <w:rPr>
          <w:rFonts w:eastAsia="Calibri"/>
          <w:lang w:val="en-US" w:eastAsia="en-US"/>
        </w:rPr>
        <w:t xml:space="preserve"> M, </w:t>
      </w:r>
      <w:proofErr w:type="spellStart"/>
      <w:r w:rsidRPr="00583C56">
        <w:rPr>
          <w:rFonts w:eastAsia="Calibri"/>
          <w:lang w:val="en-US" w:eastAsia="en-US"/>
        </w:rPr>
        <w:t>Rauf</w:t>
      </w:r>
      <w:proofErr w:type="spellEnd"/>
      <w:r w:rsidRPr="00583C56">
        <w:rPr>
          <w:rFonts w:eastAsia="Calibri"/>
          <w:lang w:val="en-US" w:eastAsia="en-US"/>
        </w:rPr>
        <w:t xml:space="preserve"> M, Ahmed R, Malik S. Epidemiological and clinical correlates of oral squamous cell carcinoma in patients from north-west Pakistan. J Pak Med Assoc. 2019 [</w:t>
      </w:r>
      <w:proofErr w:type="spellStart"/>
      <w:r w:rsidRPr="00583C56">
        <w:rPr>
          <w:rFonts w:eastAsia="Calibri"/>
          <w:lang w:val="en-US" w:eastAsia="en-US"/>
        </w:rPr>
        <w:t>acceso</w:t>
      </w:r>
      <w:proofErr w:type="spellEnd"/>
      <w:r w:rsidRPr="00583C56">
        <w:rPr>
          <w:rFonts w:eastAsia="Calibri"/>
          <w:lang w:val="en-US" w:eastAsia="en-US"/>
        </w:rPr>
        <w:t xml:space="preserve">: 03/04/2021]; 69(8):1074-8. </w:t>
      </w:r>
      <w:proofErr w:type="spellStart"/>
      <w:r w:rsidRPr="00583C56">
        <w:rPr>
          <w:rFonts w:eastAsia="Calibri"/>
          <w:lang w:val="en-US" w:eastAsia="en-US"/>
        </w:rPr>
        <w:t>Disponible</w:t>
      </w:r>
      <w:proofErr w:type="spellEnd"/>
      <w:r w:rsidRPr="00583C56">
        <w:rPr>
          <w:rFonts w:eastAsia="Calibri"/>
          <w:lang w:val="en-US" w:eastAsia="en-US"/>
        </w:rPr>
        <w:t xml:space="preserve"> en: </w:t>
      </w:r>
      <w:hyperlink r:id="rId21" w:history="1">
        <w:r w:rsidRPr="00583C56">
          <w:rPr>
            <w:rFonts w:eastAsia="Calibri"/>
            <w:color w:val="0563C1"/>
            <w:u w:val="single"/>
            <w:lang w:val="en-US" w:eastAsia="en-US"/>
          </w:rPr>
          <w:t>https://www.jpma.org.pk/PdfDownload/9264</w:t>
        </w:r>
      </w:hyperlink>
    </w:p>
    <w:p w14:paraId="5D985810"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26. </w:t>
      </w:r>
      <w:proofErr w:type="spellStart"/>
      <w:r w:rsidRPr="00583C56">
        <w:rPr>
          <w:rFonts w:eastAsia="Calibri"/>
          <w:lang w:val="en-US" w:eastAsia="en-US"/>
        </w:rPr>
        <w:t>Rafieian</w:t>
      </w:r>
      <w:proofErr w:type="spellEnd"/>
      <w:r w:rsidRPr="00583C56">
        <w:rPr>
          <w:rFonts w:eastAsia="Calibri"/>
          <w:lang w:val="en-US" w:eastAsia="en-US"/>
        </w:rPr>
        <w:t xml:space="preserve"> N, </w:t>
      </w:r>
      <w:proofErr w:type="spellStart"/>
      <w:r w:rsidRPr="00583C56">
        <w:rPr>
          <w:rFonts w:eastAsia="Calibri"/>
          <w:lang w:val="en-US" w:eastAsia="en-US"/>
        </w:rPr>
        <w:t>Azimi</w:t>
      </w:r>
      <w:proofErr w:type="spellEnd"/>
      <w:r w:rsidRPr="00583C56">
        <w:rPr>
          <w:rFonts w:eastAsia="Calibri"/>
          <w:lang w:val="en-US" w:eastAsia="en-US"/>
        </w:rPr>
        <w:t xml:space="preserve"> S, </w:t>
      </w:r>
      <w:proofErr w:type="spellStart"/>
      <w:r w:rsidRPr="00583C56">
        <w:rPr>
          <w:rFonts w:eastAsia="Calibri"/>
          <w:lang w:val="en-US" w:eastAsia="en-US"/>
        </w:rPr>
        <w:t>Manifar</w:t>
      </w:r>
      <w:proofErr w:type="spellEnd"/>
      <w:r w:rsidRPr="00583C56">
        <w:rPr>
          <w:rFonts w:eastAsia="Calibri"/>
          <w:lang w:val="en-US" w:eastAsia="en-US"/>
        </w:rPr>
        <w:t xml:space="preserve"> S, </w:t>
      </w:r>
      <w:proofErr w:type="spellStart"/>
      <w:r w:rsidRPr="00583C56">
        <w:rPr>
          <w:rFonts w:eastAsia="Calibri"/>
          <w:lang w:val="en-US" w:eastAsia="en-US"/>
        </w:rPr>
        <w:t>Julideh</w:t>
      </w:r>
      <w:proofErr w:type="spellEnd"/>
      <w:r w:rsidRPr="00583C56">
        <w:rPr>
          <w:rFonts w:eastAsia="Calibri"/>
          <w:lang w:val="en-US" w:eastAsia="en-US"/>
        </w:rPr>
        <w:t xml:space="preserve"> H, </w:t>
      </w:r>
      <w:proofErr w:type="spellStart"/>
      <w:r w:rsidRPr="00583C56">
        <w:rPr>
          <w:rFonts w:eastAsia="Calibri"/>
          <w:lang w:val="en-US" w:eastAsia="en-US"/>
        </w:rPr>
        <w:t>ShirKhoda</w:t>
      </w:r>
      <w:proofErr w:type="spellEnd"/>
      <w:r w:rsidRPr="00583C56">
        <w:rPr>
          <w:rFonts w:eastAsia="Calibri"/>
          <w:lang w:val="en-US" w:eastAsia="en-US"/>
        </w:rPr>
        <w:t xml:space="preserve"> M. Is there any association between green tea consumption and the risk of head and neck squamous cell carcinoma: Finding from a case-control </w:t>
      </w:r>
      <w:proofErr w:type="gramStart"/>
      <w:r w:rsidRPr="00583C56">
        <w:rPr>
          <w:rFonts w:eastAsia="Calibri"/>
          <w:lang w:val="en-US" w:eastAsia="en-US"/>
        </w:rPr>
        <w:t>study.</w:t>
      </w:r>
      <w:proofErr w:type="gramEnd"/>
      <w:r w:rsidRPr="00583C56">
        <w:rPr>
          <w:rFonts w:eastAsia="Calibri"/>
          <w:lang w:val="en-US" w:eastAsia="en-US"/>
        </w:rPr>
        <w:t xml:space="preserve"> Arch Oral Biology. 2019; 98:280–4. DOI: 10.1016/j.archoralbio.2018.12.003 </w:t>
      </w:r>
    </w:p>
    <w:p w14:paraId="3877370E" w14:textId="77777777" w:rsidR="00583C56" w:rsidRPr="00583C56" w:rsidRDefault="00583C56" w:rsidP="00583C56">
      <w:pPr>
        <w:spacing w:line="360" w:lineRule="auto"/>
        <w:jc w:val="both"/>
        <w:rPr>
          <w:rFonts w:eastAsia="Calibri"/>
          <w:szCs w:val="22"/>
          <w:lang w:val="en-US" w:eastAsia="en-US"/>
        </w:rPr>
      </w:pPr>
      <w:r w:rsidRPr="00583C56">
        <w:rPr>
          <w:rFonts w:eastAsia="Calibri"/>
          <w:lang w:val="en-US" w:eastAsia="en-US"/>
        </w:rPr>
        <w:lastRenderedPageBreak/>
        <w:t xml:space="preserve">27. </w:t>
      </w:r>
      <w:r w:rsidRPr="00583C56">
        <w:rPr>
          <w:rFonts w:eastAsia="Calibri"/>
          <w:szCs w:val="22"/>
          <w:lang w:val="en-US" w:eastAsia="en-US"/>
        </w:rPr>
        <w:t>Chen X, Yuan Z, Lu M, Zhang Y, Jin L, Ye W. Poor oral health is associated with an increased risk of esophageal squamous cell carcinoma - a population-based case-control study in China.  Int J Cancer. 2017;140(3):626–35. DOI: 10.1002/ijc.30484</w:t>
      </w:r>
    </w:p>
    <w:p w14:paraId="5087D460" w14:textId="77777777" w:rsidR="00583C56" w:rsidRPr="00583C56" w:rsidRDefault="00583C56" w:rsidP="00583C56">
      <w:pPr>
        <w:spacing w:line="360" w:lineRule="auto"/>
        <w:rPr>
          <w:rFonts w:eastAsia="Calibri"/>
          <w:lang w:val="en-US" w:eastAsia="en-US"/>
        </w:rPr>
      </w:pPr>
      <w:r w:rsidRPr="00583C56">
        <w:rPr>
          <w:rFonts w:eastAsia="Calibri"/>
          <w:lang w:val="en-US" w:eastAsia="en-US"/>
        </w:rPr>
        <w:t xml:space="preserve">28. Xu S, Zhang G, Xia C, Ying-hui T. Associations between Poor Oral Health and Risk of Squamous Cell Carcinoma of the Head and Neck: A Meta-Analysis of Observational Studies. J Oral </w:t>
      </w:r>
      <w:proofErr w:type="spellStart"/>
      <w:r w:rsidRPr="00583C56">
        <w:rPr>
          <w:rFonts w:eastAsia="Calibri"/>
          <w:lang w:val="en-US" w:eastAsia="en-US"/>
        </w:rPr>
        <w:t>Maxillofac</w:t>
      </w:r>
      <w:proofErr w:type="spellEnd"/>
      <w:r w:rsidRPr="00583C56">
        <w:rPr>
          <w:rFonts w:eastAsia="Calibri"/>
          <w:lang w:val="en-US" w:eastAsia="en-US"/>
        </w:rPr>
        <w:t xml:space="preserve"> Surg. 2019; 77(10):2128-42. DOI: 10.1016/j.joms.2018.10.009 </w:t>
      </w:r>
    </w:p>
    <w:p w14:paraId="05EB3AE0" w14:textId="77777777" w:rsidR="00583C56" w:rsidRPr="00583C56" w:rsidRDefault="00583C56" w:rsidP="00583C56">
      <w:pPr>
        <w:spacing w:line="360" w:lineRule="auto"/>
        <w:rPr>
          <w:rFonts w:eastAsia="Calibri"/>
          <w:lang w:eastAsia="en-US"/>
        </w:rPr>
      </w:pPr>
      <w:r w:rsidRPr="00583C56">
        <w:rPr>
          <w:rFonts w:eastAsia="Calibri"/>
          <w:lang w:val="en-US" w:eastAsia="en-US"/>
        </w:rPr>
        <w:t xml:space="preserve">29. </w:t>
      </w:r>
      <w:proofErr w:type="spellStart"/>
      <w:r w:rsidRPr="00583C56">
        <w:rPr>
          <w:rFonts w:eastAsia="Calibri"/>
          <w:lang w:val="en-US" w:eastAsia="en-US"/>
        </w:rPr>
        <w:t>DeAngelis</w:t>
      </w:r>
      <w:proofErr w:type="spellEnd"/>
      <w:r w:rsidRPr="00583C56">
        <w:rPr>
          <w:rFonts w:eastAsia="Calibri"/>
          <w:lang w:val="en-US" w:eastAsia="en-US"/>
        </w:rPr>
        <w:t xml:space="preserve"> A, </w:t>
      </w:r>
      <w:proofErr w:type="spellStart"/>
      <w:r w:rsidRPr="00583C56">
        <w:rPr>
          <w:rFonts w:eastAsia="Calibri"/>
          <w:lang w:val="en-US" w:eastAsia="en-US"/>
        </w:rPr>
        <w:t>Breik</w:t>
      </w:r>
      <w:proofErr w:type="spellEnd"/>
      <w:r w:rsidRPr="00583C56">
        <w:rPr>
          <w:rFonts w:eastAsia="Calibri"/>
          <w:lang w:val="en-US" w:eastAsia="en-US"/>
        </w:rPr>
        <w:t xml:space="preserve"> O, Koo K, </w:t>
      </w:r>
      <w:proofErr w:type="spellStart"/>
      <w:r w:rsidRPr="00583C56">
        <w:rPr>
          <w:rFonts w:eastAsia="Calibri"/>
          <w:lang w:val="en-US" w:eastAsia="en-US"/>
        </w:rPr>
        <w:t>Iseli</w:t>
      </w:r>
      <w:proofErr w:type="spellEnd"/>
      <w:r w:rsidRPr="00583C56">
        <w:rPr>
          <w:rFonts w:eastAsia="Calibri"/>
          <w:lang w:val="en-US" w:eastAsia="en-US"/>
        </w:rPr>
        <w:t xml:space="preserve"> T, </w:t>
      </w:r>
      <w:proofErr w:type="spellStart"/>
      <w:r w:rsidRPr="00583C56">
        <w:rPr>
          <w:rFonts w:eastAsia="Calibri"/>
          <w:lang w:val="en-US" w:eastAsia="en-US"/>
        </w:rPr>
        <w:t>Nastri</w:t>
      </w:r>
      <w:proofErr w:type="spellEnd"/>
      <w:r w:rsidRPr="00583C56">
        <w:rPr>
          <w:rFonts w:eastAsia="Calibri"/>
          <w:lang w:val="en-US" w:eastAsia="en-US"/>
        </w:rPr>
        <w:t xml:space="preserve"> A, </w:t>
      </w:r>
      <w:proofErr w:type="spellStart"/>
      <w:r w:rsidRPr="00583C56">
        <w:rPr>
          <w:rFonts w:eastAsia="Calibri"/>
          <w:lang w:val="en-US" w:eastAsia="en-US"/>
        </w:rPr>
        <w:t>Fua</w:t>
      </w:r>
      <w:proofErr w:type="spellEnd"/>
      <w:r w:rsidRPr="00583C56">
        <w:rPr>
          <w:rFonts w:eastAsia="Calibri"/>
          <w:lang w:val="en-US" w:eastAsia="en-US"/>
        </w:rPr>
        <w:t xml:space="preserve"> T. Non-smoking, non-drinking elderly females, a 5-year follow-up of a clinically distinct cohort of oral squamous cell carcinoma patients. </w:t>
      </w:r>
      <w:r w:rsidRPr="00583C56">
        <w:rPr>
          <w:rFonts w:eastAsia="Calibri"/>
          <w:lang w:eastAsia="en-US"/>
        </w:rPr>
        <w:t xml:space="preserve">Oral </w:t>
      </w:r>
      <w:proofErr w:type="spellStart"/>
      <w:r w:rsidRPr="00583C56">
        <w:rPr>
          <w:rFonts w:eastAsia="Calibri"/>
          <w:lang w:eastAsia="en-US"/>
        </w:rPr>
        <w:t>Oncology</w:t>
      </w:r>
      <w:proofErr w:type="spellEnd"/>
      <w:r w:rsidRPr="00583C56">
        <w:rPr>
          <w:rFonts w:eastAsia="Calibri"/>
          <w:lang w:eastAsia="en-US"/>
        </w:rPr>
        <w:t xml:space="preserve">. 2018; 86:113–20. DOI: 10.1016/j.oraloncology.2018.09.004 </w:t>
      </w:r>
    </w:p>
    <w:p w14:paraId="2C3E483E" w14:textId="77777777" w:rsidR="00583C56" w:rsidRPr="00583C56" w:rsidRDefault="00583C56" w:rsidP="00583C56">
      <w:pPr>
        <w:spacing w:line="360" w:lineRule="auto"/>
        <w:rPr>
          <w:rFonts w:eastAsia="Calibri"/>
          <w:lang w:eastAsia="en-US"/>
        </w:rPr>
      </w:pPr>
    </w:p>
    <w:p w14:paraId="6C663415" w14:textId="77777777" w:rsidR="00583C56" w:rsidRPr="00583C56" w:rsidRDefault="00583C56" w:rsidP="00583C56">
      <w:pPr>
        <w:spacing w:line="360" w:lineRule="auto"/>
        <w:jc w:val="center"/>
        <w:rPr>
          <w:rFonts w:eastAsia="Calibri"/>
          <w:b/>
          <w:lang w:eastAsia="en-US"/>
        </w:rPr>
      </w:pPr>
    </w:p>
    <w:p w14:paraId="27E9075C" w14:textId="77777777" w:rsidR="00583C56" w:rsidRPr="00583C56" w:rsidRDefault="00583C56" w:rsidP="00583C56">
      <w:pPr>
        <w:spacing w:line="360" w:lineRule="auto"/>
        <w:jc w:val="center"/>
        <w:rPr>
          <w:rFonts w:eastAsia="Calibri"/>
          <w:b/>
          <w:lang w:eastAsia="en-US"/>
        </w:rPr>
      </w:pPr>
      <w:r w:rsidRPr="00583C56">
        <w:rPr>
          <w:rFonts w:eastAsia="Calibri"/>
          <w:b/>
          <w:lang w:eastAsia="en-US"/>
        </w:rPr>
        <w:t>Conflictos de intereses</w:t>
      </w:r>
    </w:p>
    <w:p w14:paraId="31CC2678" w14:textId="77777777" w:rsidR="00583C56" w:rsidRPr="00583C56" w:rsidRDefault="00583C56" w:rsidP="00583C56">
      <w:pPr>
        <w:spacing w:line="360" w:lineRule="auto"/>
        <w:jc w:val="both"/>
        <w:rPr>
          <w:rFonts w:eastAsia="Calibri"/>
          <w:bCs/>
          <w:color w:val="000000"/>
          <w:lang w:eastAsia="en-US"/>
        </w:rPr>
      </w:pPr>
      <w:r w:rsidRPr="00583C56">
        <w:rPr>
          <w:rFonts w:eastAsia="Calibri"/>
          <w:bCs/>
          <w:color w:val="000000"/>
          <w:lang w:eastAsia="en-US"/>
        </w:rPr>
        <w:t>Los autores no tienen conflictos de interés que declarar ni fuentes de financiación.</w:t>
      </w:r>
    </w:p>
    <w:p w14:paraId="7FEC9F75" w14:textId="77777777" w:rsidR="00583C56" w:rsidRPr="00583C56" w:rsidRDefault="00583C56" w:rsidP="00583C56">
      <w:pPr>
        <w:spacing w:line="360" w:lineRule="auto"/>
        <w:jc w:val="both"/>
        <w:rPr>
          <w:rFonts w:eastAsia="Calibri"/>
          <w:lang w:eastAsia="en-US"/>
        </w:rPr>
      </w:pPr>
    </w:p>
    <w:p w14:paraId="33AE51DA" w14:textId="77777777" w:rsidR="00583C56" w:rsidRPr="00583C56" w:rsidRDefault="00583C56" w:rsidP="00583C56">
      <w:pPr>
        <w:spacing w:line="360" w:lineRule="auto"/>
        <w:jc w:val="center"/>
        <w:rPr>
          <w:rFonts w:eastAsia="Calibri"/>
          <w:b/>
          <w:bCs/>
          <w:lang w:eastAsia="en-US"/>
        </w:rPr>
      </w:pPr>
      <w:r w:rsidRPr="00583C56">
        <w:rPr>
          <w:rFonts w:eastAsia="Calibri"/>
          <w:b/>
          <w:bCs/>
          <w:lang w:eastAsia="en-US"/>
        </w:rPr>
        <w:t>Contribuciones de los autores</w:t>
      </w:r>
    </w:p>
    <w:p w14:paraId="4186E5E5"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Conceptualización: </w:t>
      </w:r>
      <w:proofErr w:type="spellStart"/>
      <w:r w:rsidRPr="00583C56">
        <w:rPr>
          <w:rFonts w:eastAsia="Calibri"/>
          <w:i/>
          <w:iCs/>
          <w:lang w:eastAsia="en-US"/>
        </w:rPr>
        <w:t>Ibraín</w:t>
      </w:r>
      <w:proofErr w:type="spellEnd"/>
      <w:r w:rsidRPr="00583C56">
        <w:rPr>
          <w:rFonts w:eastAsia="Calibri"/>
          <w:i/>
          <w:iCs/>
          <w:lang w:eastAsia="en-US"/>
        </w:rPr>
        <w:t xml:space="preserve"> Enrique Corrales-Reyes.</w:t>
      </w:r>
      <w:r w:rsidRPr="00583C56">
        <w:rPr>
          <w:rFonts w:eastAsia="Calibri"/>
          <w:lang w:eastAsia="en-US"/>
        </w:rPr>
        <w:t xml:space="preserve"> </w:t>
      </w:r>
    </w:p>
    <w:p w14:paraId="6F2E69E4"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Investigación: </w:t>
      </w:r>
      <w:proofErr w:type="spellStart"/>
      <w:r w:rsidRPr="00583C56">
        <w:rPr>
          <w:rFonts w:eastAsia="Calibri"/>
          <w:i/>
          <w:iCs/>
          <w:lang w:eastAsia="en-US"/>
        </w:rPr>
        <w:t>Ibraín</w:t>
      </w:r>
      <w:proofErr w:type="spellEnd"/>
      <w:r w:rsidRPr="00583C56">
        <w:rPr>
          <w:rFonts w:eastAsia="Calibri"/>
          <w:i/>
          <w:iCs/>
          <w:lang w:eastAsia="en-US"/>
        </w:rPr>
        <w:t xml:space="preserve"> Enrique Corrales-Reyes, Vanesa Cruz-Sánchez.</w:t>
      </w:r>
    </w:p>
    <w:p w14:paraId="62A138A7"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Metodología: </w:t>
      </w:r>
      <w:proofErr w:type="spellStart"/>
      <w:r w:rsidRPr="00583C56">
        <w:rPr>
          <w:rFonts w:eastAsia="Calibri"/>
          <w:i/>
          <w:iCs/>
          <w:lang w:eastAsia="en-US"/>
        </w:rPr>
        <w:t>Ibraín</w:t>
      </w:r>
      <w:proofErr w:type="spellEnd"/>
      <w:r w:rsidRPr="00583C56">
        <w:rPr>
          <w:rFonts w:eastAsia="Calibri"/>
          <w:i/>
          <w:iCs/>
          <w:lang w:eastAsia="en-US"/>
        </w:rPr>
        <w:t xml:space="preserve"> Enrique Corrales-Reyes, Christian R. </w:t>
      </w:r>
      <w:proofErr w:type="spellStart"/>
      <w:r w:rsidRPr="00583C56">
        <w:rPr>
          <w:rFonts w:eastAsia="Calibri"/>
          <w:i/>
          <w:iCs/>
          <w:lang w:eastAsia="en-US"/>
        </w:rPr>
        <w:t>Mejia</w:t>
      </w:r>
      <w:proofErr w:type="spellEnd"/>
      <w:r w:rsidRPr="00583C56">
        <w:rPr>
          <w:rFonts w:eastAsia="Calibri"/>
          <w:i/>
          <w:iCs/>
          <w:lang w:eastAsia="en-US"/>
        </w:rPr>
        <w:t>.</w:t>
      </w:r>
    </w:p>
    <w:p w14:paraId="5E073D00"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Administración del proyecto: </w:t>
      </w:r>
      <w:proofErr w:type="spellStart"/>
      <w:r w:rsidRPr="00583C56">
        <w:rPr>
          <w:rFonts w:eastAsia="Calibri"/>
          <w:i/>
          <w:iCs/>
          <w:lang w:eastAsia="en-US"/>
        </w:rPr>
        <w:t>Ibraín</w:t>
      </w:r>
      <w:proofErr w:type="spellEnd"/>
      <w:r w:rsidRPr="00583C56">
        <w:rPr>
          <w:rFonts w:eastAsia="Calibri"/>
          <w:i/>
          <w:iCs/>
          <w:lang w:eastAsia="en-US"/>
        </w:rPr>
        <w:t xml:space="preserve"> Enrique Corrales-Reyes.</w:t>
      </w:r>
    </w:p>
    <w:p w14:paraId="56BC1D23"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Validación – verificación: </w:t>
      </w:r>
      <w:proofErr w:type="spellStart"/>
      <w:r w:rsidRPr="00583C56">
        <w:rPr>
          <w:rFonts w:eastAsia="Calibri"/>
          <w:i/>
          <w:iCs/>
          <w:lang w:eastAsia="en-US"/>
        </w:rPr>
        <w:t>Ibraín</w:t>
      </w:r>
      <w:proofErr w:type="spellEnd"/>
      <w:r w:rsidRPr="00583C56">
        <w:rPr>
          <w:rFonts w:eastAsia="Calibri"/>
          <w:i/>
          <w:iCs/>
          <w:lang w:eastAsia="en-US"/>
        </w:rPr>
        <w:t xml:space="preserve"> Enrique Corrales-Reyes, Christian R. </w:t>
      </w:r>
      <w:proofErr w:type="spellStart"/>
      <w:r w:rsidRPr="00583C56">
        <w:rPr>
          <w:rFonts w:eastAsia="Calibri"/>
          <w:i/>
          <w:iCs/>
          <w:lang w:eastAsia="en-US"/>
        </w:rPr>
        <w:t>Mejia</w:t>
      </w:r>
      <w:proofErr w:type="spellEnd"/>
      <w:r w:rsidRPr="00583C56">
        <w:rPr>
          <w:rFonts w:eastAsia="Calibri"/>
          <w:i/>
          <w:iCs/>
          <w:lang w:eastAsia="en-US"/>
        </w:rPr>
        <w:t>.</w:t>
      </w:r>
    </w:p>
    <w:p w14:paraId="09B6B663"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Visualización: </w:t>
      </w:r>
      <w:proofErr w:type="spellStart"/>
      <w:r w:rsidRPr="00583C56">
        <w:rPr>
          <w:rFonts w:eastAsia="Calibri"/>
          <w:i/>
          <w:iCs/>
          <w:lang w:eastAsia="en-US"/>
        </w:rPr>
        <w:t>Ibraín</w:t>
      </w:r>
      <w:proofErr w:type="spellEnd"/>
      <w:r w:rsidRPr="00583C56">
        <w:rPr>
          <w:rFonts w:eastAsia="Calibri"/>
          <w:i/>
          <w:iCs/>
          <w:lang w:eastAsia="en-US"/>
        </w:rPr>
        <w:t xml:space="preserve"> Enrique Corrales-Reyes, Christian R. </w:t>
      </w:r>
      <w:proofErr w:type="spellStart"/>
      <w:r w:rsidRPr="00583C56">
        <w:rPr>
          <w:rFonts w:eastAsia="Calibri"/>
          <w:i/>
          <w:iCs/>
          <w:lang w:eastAsia="en-US"/>
        </w:rPr>
        <w:t>Mejia</w:t>
      </w:r>
      <w:proofErr w:type="spellEnd"/>
      <w:r w:rsidRPr="00583C56">
        <w:rPr>
          <w:rFonts w:eastAsia="Calibri"/>
          <w:i/>
          <w:iCs/>
          <w:lang w:eastAsia="en-US"/>
        </w:rPr>
        <w:t>.</w:t>
      </w:r>
    </w:p>
    <w:p w14:paraId="417FB24E"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Redacción – borrador original: </w:t>
      </w:r>
      <w:proofErr w:type="spellStart"/>
      <w:r w:rsidRPr="00583C56">
        <w:rPr>
          <w:rFonts w:eastAsia="Calibri"/>
          <w:i/>
          <w:iCs/>
          <w:lang w:eastAsia="en-US"/>
        </w:rPr>
        <w:t>Ibraín</w:t>
      </w:r>
      <w:proofErr w:type="spellEnd"/>
      <w:r w:rsidRPr="00583C56">
        <w:rPr>
          <w:rFonts w:eastAsia="Calibri"/>
          <w:i/>
          <w:iCs/>
          <w:lang w:eastAsia="en-US"/>
        </w:rPr>
        <w:t xml:space="preserve"> Enrique Corrales-Reyes.</w:t>
      </w:r>
    </w:p>
    <w:p w14:paraId="5AE838F8" w14:textId="77777777" w:rsidR="00583C56" w:rsidRPr="00583C56" w:rsidRDefault="00583C56" w:rsidP="00583C56">
      <w:pPr>
        <w:spacing w:line="360" w:lineRule="auto"/>
        <w:jc w:val="both"/>
        <w:rPr>
          <w:rFonts w:eastAsia="Calibri"/>
          <w:lang w:eastAsia="en-US"/>
        </w:rPr>
      </w:pPr>
      <w:r w:rsidRPr="00583C56">
        <w:rPr>
          <w:rFonts w:eastAsia="Calibri"/>
          <w:lang w:eastAsia="en-US"/>
        </w:rPr>
        <w:t xml:space="preserve">Redacción – revisión y edición: </w:t>
      </w:r>
      <w:proofErr w:type="spellStart"/>
      <w:r w:rsidRPr="00583C56">
        <w:rPr>
          <w:rFonts w:eastAsia="Calibri"/>
          <w:i/>
          <w:iCs/>
          <w:lang w:eastAsia="en-US"/>
        </w:rPr>
        <w:t>Ibraín</w:t>
      </w:r>
      <w:proofErr w:type="spellEnd"/>
      <w:r w:rsidRPr="00583C56">
        <w:rPr>
          <w:rFonts w:eastAsia="Calibri"/>
          <w:i/>
          <w:iCs/>
          <w:lang w:eastAsia="en-US"/>
        </w:rPr>
        <w:t xml:space="preserve"> Enrique Corrales-Reyes, Vanesa Cruz-Sánchez, Christian R. </w:t>
      </w:r>
      <w:proofErr w:type="spellStart"/>
      <w:r w:rsidRPr="00583C56">
        <w:rPr>
          <w:rFonts w:eastAsia="Calibri"/>
          <w:i/>
          <w:iCs/>
          <w:lang w:eastAsia="en-US"/>
        </w:rPr>
        <w:t>Mejia</w:t>
      </w:r>
      <w:proofErr w:type="spellEnd"/>
      <w:r w:rsidRPr="00583C56">
        <w:rPr>
          <w:rFonts w:eastAsia="Calibri"/>
          <w:i/>
          <w:iCs/>
          <w:lang w:eastAsia="en-US"/>
        </w:rPr>
        <w:t>.</w:t>
      </w:r>
    </w:p>
    <w:p w14:paraId="43072777" w14:textId="77777777" w:rsidR="00675476" w:rsidRPr="00391509" w:rsidRDefault="00675476" w:rsidP="00391509"/>
    <w:sectPr w:rsidR="00675476" w:rsidRPr="00391509" w:rsidSect="00486BFA">
      <w:headerReference w:type="default" r:id="rId22"/>
      <w:footerReference w:type="even" r:id="rId23"/>
      <w:footerReference w:type="default" r:id="rId2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DBFBF" w14:textId="77777777" w:rsidR="009D3B54" w:rsidRDefault="009D3B54">
      <w:r>
        <w:separator/>
      </w:r>
    </w:p>
  </w:endnote>
  <w:endnote w:type="continuationSeparator" w:id="0">
    <w:p w14:paraId="34784310" w14:textId="77777777" w:rsidR="009D3B54" w:rsidRDefault="009D3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C15DBB"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63572F9" w14:textId="77777777" w:rsidR="00FE40CB" w:rsidRDefault="00FE40CB" w:rsidP="00FE40C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D40D7" w14:textId="4B607DB9" w:rsidR="000F3690" w:rsidRPr="00AE044C" w:rsidRDefault="00583C56"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08D84BF0" wp14:editId="250EFF2F">
              <wp:simplePos x="0" y="0"/>
              <wp:positionH relativeFrom="column">
                <wp:posOffset>3810</wp:posOffset>
              </wp:positionH>
              <wp:positionV relativeFrom="paragraph">
                <wp:posOffset>50165</wp:posOffset>
              </wp:positionV>
              <wp:extent cx="6286500" cy="19050"/>
              <wp:effectExtent l="19050" t="1905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E38796"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0j0AX8cBAABuAwAADgAAAAAAAAAAAAAA&#10;AAAuAgAAZHJzL2Uyb0RvYy54bWxQSwECLQAUAAYACAAAACEAhoC+k9oAAAAFAQAADwAAAAAAAAAA&#10;AAAAAAAhBAAAZHJzL2Rvd25yZXYueG1sUEsFBgAAAAAEAAQA8wAAACgFAAAAAA==&#10;" strokecolor="blue" strokeweight="2.25pt"/>
          </w:pict>
        </mc:Fallback>
      </mc:AlternateContent>
    </w:r>
  </w:p>
  <w:p w14:paraId="643D45E1" w14:textId="77777777" w:rsidR="00675476" w:rsidRPr="00AE044C" w:rsidRDefault="009D3B54" w:rsidP="00391509">
    <w:pPr>
      <w:pStyle w:val="Piedepgina"/>
      <w:ind w:right="360"/>
      <w:rPr>
        <w:sz w:val="22"/>
        <w:szCs w:val="22"/>
      </w:rPr>
    </w:pPr>
    <w:hyperlink r:id="rId1" w:history="1">
      <w:r w:rsidR="00391509" w:rsidRPr="00AE044C">
        <w:rPr>
          <w:rStyle w:val="Hipervnculo"/>
          <w:sz w:val="22"/>
          <w:szCs w:val="22"/>
        </w:rPr>
        <w:t>http://scielo.sld.cu</w:t>
      </w:r>
    </w:hyperlink>
  </w:p>
  <w:p w14:paraId="1DAEB769" w14:textId="77777777" w:rsidR="00391509" w:rsidRPr="00AE044C" w:rsidRDefault="009D3B54"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52BEF57C" w14:textId="4B9FD50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583C56" w:rsidRPr="00583C56">
      <w:rPr>
        <w:rFonts w:ascii="Verdana" w:hAnsi="Verdana"/>
        <w:noProof/>
        <w:sz w:val="18"/>
        <w:szCs w:val="18"/>
        <w:lang w:val="es-ES" w:eastAsia="es-ES"/>
      </w:rPr>
      <w:drawing>
        <wp:inline distT="0" distB="0" distL="0" distR="0" wp14:anchorId="6CE5F49A" wp14:editId="104BEBC0">
          <wp:extent cx="638175" cy="152400"/>
          <wp:effectExtent l="0" t="0" r="0" b="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E2550" w14:textId="77777777" w:rsidR="009D3B54" w:rsidRDefault="009D3B54">
      <w:r>
        <w:separator/>
      </w:r>
    </w:p>
  </w:footnote>
  <w:footnote w:type="continuationSeparator" w:id="0">
    <w:p w14:paraId="6E778D86" w14:textId="77777777" w:rsidR="009D3B54" w:rsidRDefault="009D3B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183B4" w14:textId="564D21F5" w:rsidR="00CC376A" w:rsidRPr="00AE044C" w:rsidRDefault="00583C56" w:rsidP="00180CE9">
    <w:pPr>
      <w:pStyle w:val="Encabezado"/>
      <w:tabs>
        <w:tab w:val="left" w:pos="420"/>
      </w:tabs>
      <w:jc w:val="center"/>
      <w:rPr>
        <w:sz w:val="22"/>
        <w:szCs w:val="22"/>
      </w:rPr>
    </w:pPr>
    <w:r>
      <w:rPr>
        <w:noProof/>
        <w:lang w:val="es-ES" w:eastAsia="es-ES"/>
      </w:rPr>
      <w:drawing>
        <wp:anchor distT="0" distB="0" distL="114300" distR="114300" simplePos="0" relativeHeight="251662336" behindDoc="0" locked="0" layoutInCell="1" allowOverlap="1" wp14:anchorId="4E7A761C" wp14:editId="275DD8A6">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3</w:t>
    </w:r>
    <w:r w:rsidR="00493701" w:rsidRPr="00AE044C">
      <w:rPr>
        <w:sz w:val="22"/>
        <w:szCs w:val="22"/>
      </w:rPr>
      <w:t>)</w:t>
    </w:r>
    <w:r w:rsidR="00391509" w:rsidRPr="00AE044C">
      <w:rPr>
        <w:sz w:val="22"/>
        <w:szCs w:val="22"/>
      </w:rPr>
      <w:t>:</w:t>
    </w:r>
    <w:r>
      <w:rPr>
        <w:sz w:val="22"/>
        <w:szCs w:val="22"/>
      </w:rPr>
      <w:t xml:space="preserve"> e02101401</w:t>
    </w:r>
  </w:p>
  <w:p w14:paraId="47C6807C" w14:textId="5E42156F" w:rsidR="00A477DE" w:rsidRDefault="00583C56">
    <w:r>
      <w:rPr>
        <w:noProof/>
        <w:lang w:val="es-ES" w:eastAsia="es-ES"/>
      </w:rPr>
      <mc:AlternateContent>
        <mc:Choice Requires="wps">
          <w:drawing>
            <wp:anchor distT="0" distB="0" distL="114300" distR="114300" simplePos="0" relativeHeight="251657216" behindDoc="0" locked="0" layoutInCell="1" allowOverlap="1" wp14:anchorId="4B11E703" wp14:editId="5DA0008D">
              <wp:simplePos x="0" y="0"/>
              <wp:positionH relativeFrom="column">
                <wp:posOffset>3810</wp:posOffset>
              </wp:positionH>
              <wp:positionV relativeFrom="paragraph">
                <wp:posOffset>44450</wp:posOffset>
              </wp:positionV>
              <wp:extent cx="6276975" cy="28575"/>
              <wp:effectExtent l="19050" t="19050" r="9525" b="952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455F00"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NtqCXM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4326D9"/>
    <w:multiLevelType w:val="hybridMultilevel"/>
    <w:tmpl w:val="10666B6C"/>
    <w:lvl w:ilvl="0" w:tplc="080A0001">
      <w:start w:val="1"/>
      <w:numFmt w:val="bullet"/>
      <w:lvlText w:val=""/>
      <w:lvlJc w:val="left"/>
      <w:pPr>
        <w:ind w:left="1077" w:hanging="360"/>
      </w:pPr>
      <w:rPr>
        <w:rFonts w:ascii="Symbol" w:hAnsi="Symbol" w:hint="default"/>
      </w:rPr>
    </w:lvl>
    <w:lvl w:ilvl="1" w:tplc="080A0003">
      <w:start w:val="1"/>
      <w:numFmt w:val="bullet"/>
      <w:lvlText w:val="o"/>
      <w:lvlJc w:val="left"/>
      <w:pPr>
        <w:ind w:left="1797" w:hanging="360"/>
      </w:pPr>
      <w:rPr>
        <w:rFonts w:ascii="Courier New" w:hAnsi="Courier New" w:cs="Courier New" w:hint="default"/>
      </w:rPr>
    </w:lvl>
    <w:lvl w:ilvl="2" w:tplc="080A0005">
      <w:start w:val="1"/>
      <w:numFmt w:val="bullet"/>
      <w:lvlText w:val=""/>
      <w:lvlJc w:val="left"/>
      <w:pPr>
        <w:ind w:left="2517" w:hanging="360"/>
      </w:pPr>
      <w:rPr>
        <w:rFonts w:ascii="Wingdings" w:hAnsi="Wingdings" w:hint="default"/>
      </w:rPr>
    </w:lvl>
    <w:lvl w:ilvl="3" w:tplc="080A0001">
      <w:start w:val="1"/>
      <w:numFmt w:val="bullet"/>
      <w:lvlText w:val=""/>
      <w:lvlJc w:val="left"/>
      <w:pPr>
        <w:ind w:left="3237" w:hanging="360"/>
      </w:pPr>
      <w:rPr>
        <w:rFonts w:ascii="Symbol" w:hAnsi="Symbol" w:hint="default"/>
      </w:rPr>
    </w:lvl>
    <w:lvl w:ilvl="4" w:tplc="080A0003">
      <w:start w:val="1"/>
      <w:numFmt w:val="bullet"/>
      <w:lvlText w:val="o"/>
      <w:lvlJc w:val="left"/>
      <w:pPr>
        <w:ind w:left="3957" w:hanging="360"/>
      </w:pPr>
      <w:rPr>
        <w:rFonts w:ascii="Courier New" w:hAnsi="Courier New" w:cs="Courier New" w:hint="default"/>
      </w:rPr>
    </w:lvl>
    <w:lvl w:ilvl="5" w:tplc="080A0005">
      <w:start w:val="1"/>
      <w:numFmt w:val="bullet"/>
      <w:lvlText w:val=""/>
      <w:lvlJc w:val="left"/>
      <w:pPr>
        <w:ind w:left="4677" w:hanging="360"/>
      </w:pPr>
      <w:rPr>
        <w:rFonts w:ascii="Wingdings" w:hAnsi="Wingdings" w:hint="default"/>
      </w:rPr>
    </w:lvl>
    <w:lvl w:ilvl="6" w:tplc="080A0001">
      <w:start w:val="1"/>
      <w:numFmt w:val="bullet"/>
      <w:lvlText w:val=""/>
      <w:lvlJc w:val="left"/>
      <w:pPr>
        <w:ind w:left="5397" w:hanging="360"/>
      </w:pPr>
      <w:rPr>
        <w:rFonts w:ascii="Symbol" w:hAnsi="Symbol" w:hint="default"/>
      </w:rPr>
    </w:lvl>
    <w:lvl w:ilvl="7" w:tplc="080A0003">
      <w:start w:val="1"/>
      <w:numFmt w:val="bullet"/>
      <w:lvlText w:val="o"/>
      <w:lvlJc w:val="left"/>
      <w:pPr>
        <w:ind w:left="6117" w:hanging="360"/>
      </w:pPr>
      <w:rPr>
        <w:rFonts w:ascii="Courier New" w:hAnsi="Courier New" w:cs="Courier New" w:hint="default"/>
      </w:rPr>
    </w:lvl>
    <w:lvl w:ilvl="8" w:tplc="080A0005">
      <w:start w:val="1"/>
      <w:numFmt w:val="bullet"/>
      <w:lvlText w:val=""/>
      <w:lvlJc w:val="left"/>
      <w:pPr>
        <w:ind w:left="68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C56"/>
    <w:rsid w:val="000C0317"/>
    <w:rsid w:val="000F3690"/>
    <w:rsid w:val="001221D1"/>
    <w:rsid w:val="00180CE9"/>
    <w:rsid w:val="00230DD5"/>
    <w:rsid w:val="00380D64"/>
    <w:rsid w:val="00391509"/>
    <w:rsid w:val="003E03D5"/>
    <w:rsid w:val="00486BFA"/>
    <w:rsid w:val="00493701"/>
    <w:rsid w:val="004E2065"/>
    <w:rsid w:val="005508A2"/>
    <w:rsid w:val="00566F71"/>
    <w:rsid w:val="00583C56"/>
    <w:rsid w:val="005918BD"/>
    <w:rsid w:val="006173A6"/>
    <w:rsid w:val="00630C4B"/>
    <w:rsid w:val="00675476"/>
    <w:rsid w:val="007C430F"/>
    <w:rsid w:val="007D2070"/>
    <w:rsid w:val="007D614D"/>
    <w:rsid w:val="00960D6A"/>
    <w:rsid w:val="009A0560"/>
    <w:rsid w:val="009B0917"/>
    <w:rsid w:val="009D3B54"/>
    <w:rsid w:val="00A23C0C"/>
    <w:rsid w:val="00A477DE"/>
    <w:rsid w:val="00A71E65"/>
    <w:rsid w:val="00AE044C"/>
    <w:rsid w:val="00B31971"/>
    <w:rsid w:val="00B4380A"/>
    <w:rsid w:val="00B66ECB"/>
    <w:rsid w:val="00C7523A"/>
    <w:rsid w:val="00CC1B6E"/>
    <w:rsid w:val="00CC376A"/>
    <w:rsid w:val="00CC48A1"/>
    <w:rsid w:val="00CF50E0"/>
    <w:rsid w:val="00D85951"/>
    <w:rsid w:val="00E07F54"/>
    <w:rsid w:val="00E62606"/>
    <w:rsid w:val="00EC5A6B"/>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D9E964"/>
  <w15:docId w15:val="{8A558527-6105-4CE7-BB7B-438F62D2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1197-5105" TargetMode="External"/><Relationship Id="rId13" Type="http://schemas.openxmlformats.org/officeDocument/2006/relationships/image" Target="media/image3.gif"/><Relationship Id="rId18" Type="http://schemas.openxmlformats.org/officeDocument/2006/relationships/hyperlink" Target="https://www.rev16deabril.sld.cu/index.php/16_4/article/view/98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jpma.org.pk/PdfDownload/9264" TargetMode="External"/><Relationship Id="rId7" Type="http://schemas.openxmlformats.org/officeDocument/2006/relationships/hyperlink" Target="https://orcid.org/0000-0002-2146-9014" TargetMode="External"/><Relationship Id="rId12" Type="http://schemas.openxmlformats.org/officeDocument/2006/relationships/image" Target="media/image2.gif"/><Relationship Id="rId17" Type="http://schemas.openxmlformats.org/officeDocument/2006/relationships/hyperlink" Target="http://medisan.sld.cu/index.php/san/article/view/2844/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isur.sld.cu/index.php/medisur/article/view/4161" TargetMode="External"/><Relationship Id="rId20" Type="http://schemas.openxmlformats.org/officeDocument/2006/relationships/hyperlink" Target="http://scielo.sld.cu/pdf/est/v56n4/1561-297X-est-56-04-e215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epositorioslatinoamericanos.uchile.cl/handle/2250/140270" TargetMode="External"/><Relationship Id="rId23" Type="http://schemas.openxmlformats.org/officeDocument/2006/relationships/footer" Target="footer1.xml"/><Relationship Id="rId10" Type="http://schemas.openxmlformats.org/officeDocument/2006/relationships/hyperlink" Target="mailto:iecorralesr@infomed.sld.cu" TargetMode="External"/><Relationship Id="rId19" Type="http://schemas.openxmlformats.org/officeDocument/2006/relationships/hyperlink" Target="https://scielo.sld.cu/pdf/est/v53n3/est06316.pdf" TargetMode="External"/><Relationship Id="rId4" Type="http://schemas.openxmlformats.org/officeDocument/2006/relationships/webSettings" Target="webSettings.xml"/><Relationship Id="rId9" Type="http://schemas.openxmlformats.org/officeDocument/2006/relationships/hyperlink" Target="https://orcid.org/0000-0002-5940-7281" TargetMode="External"/><Relationship Id="rId14" Type="http://schemas.openxmlformats.org/officeDocument/2006/relationships/hyperlink" Target="https://www.hkmj.org/system/files/hkm1708sp5p8.pdf"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3</TotalTime>
  <Pages>15</Pages>
  <Words>4476</Words>
  <Characters>24619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29037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Usuario de Windows</cp:lastModifiedBy>
  <cp:revision>4</cp:revision>
  <cp:lastPrinted>2010-09-13T21:29:00Z</cp:lastPrinted>
  <dcterms:created xsi:type="dcterms:W3CDTF">2021-08-26T00:19:00Z</dcterms:created>
  <dcterms:modified xsi:type="dcterms:W3CDTF">2021-08-28T22:51:00Z</dcterms:modified>
</cp:coreProperties>
</file>