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65E13" w14:textId="77777777" w:rsidR="00025A5A" w:rsidRPr="00025A5A" w:rsidRDefault="00025A5A" w:rsidP="00025A5A">
      <w:pPr>
        <w:autoSpaceDE w:val="0"/>
        <w:autoSpaceDN w:val="0"/>
        <w:adjustRightInd w:val="0"/>
        <w:spacing w:line="360" w:lineRule="auto"/>
        <w:jc w:val="right"/>
        <w:rPr>
          <w:rFonts w:eastAsia="Calibri"/>
          <w:bCs/>
          <w:color w:val="000000"/>
          <w:sz w:val="20"/>
          <w:szCs w:val="20"/>
          <w:lang w:eastAsia="es-ES"/>
        </w:rPr>
      </w:pPr>
      <w:r w:rsidRPr="00025A5A">
        <w:rPr>
          <w:rFonts w:eastAsia="Calibri"/>
          <w:bCs/>
          <w:color w:val="000000"/>
          <w:sz w:val="20"/>
          <w:szCs w:val="20"/>
          <w:lang w:eastAsia="es-ES"/>
        </w:rPr>
        <w:t>Artículo de investigación</w:t>
      </w:r>
    </w:p>
    <w:p w14:paraId="6F73C57B" w14:textId="77777777" w:rsidR="00025A5A" w:rsidRPr="00025A5A" w:rsidRDefault="00025A5A" w:rsidP="00025A5A">
      <w:pPr>
        <w:autoSpaceDE w:val="0"/>
        <w:autoSpaceDN w:val="0"/>
        <w:adjustRightInd w:val="0"/>
        <w:spacing w:line="360" w:lineRule="auto"/>
        <w:jc w:val="right"/>
        <w:rPr>
          <w:rFonts w:eastAsia="Calibri"/>
          <w:b/>
          <w:color w:val="000000"/>
          <w:lang w:eastAsia="es-ES"/>
        </w:rPr>
      </w:pPr>
    </w:p>
    <w:p w14:paraId="476C03EF" w14:textId="22FB434D" w:rsidR="00025A5A" w:rsidRPr="00025A5A" w:rsidRDefault="00025A5A" w:rsidP="00025A5A">
      <w:pPr>
        <w:autoSpaceDE w:val="0"/>
        <w:autoSpaceDN w:val="0"/>
        <w:adjustRightInd w:val="0"/>
        <w:spacing w:line="360" w:lineRule="auto"/>
        <w:jc w:val="center"/>
        <w:rPr>
          <w:rFonts w:eastAsia="Calibri"/>
          <w:b/>
          <w:color w:val="000000"/>
          <w:sz w:val="28"/>
          <w:szCs w:val="28"/>
          <w:lang w:eastAsia="es-ES"/>
        </w:rPr>
      </w:pPr>
      <w:r w:rsidRPr="00025A5A">
        <w:rPr>
          <w:rFonts w:eastAsia="Calibri"/>
          <w:b/>
          <w:color w:val="000000"/>
          <w:sz w:val="28"/>
          <w:szCs w:val="28"/>
          <w:lang w:eastAsia="es-ES"/>
        </w:rPr>
        <w:t>Caracterización de paciente</w:t>
      </w:r>
      <w:r w:rsidR="00B320E7">
        <w:rPr>
          <w:rFonts w:eastAsia="Calibri"/>
          <w:b/>
          <w:color w:val="000000"/>
          <w:sz w:val="28"/>
          <w:szCs w:val="28"/>
          <w:lang w:eastAsia="es-ES"/>
        </w:rPr>
        <w:t>s</w:t>
      </w:r>
      <w:r w:rsidRPr="00025A5A">
        <w:rPr>
          <w:rFonts w:eastAsia="Calibri"/>
          <w:b/>
          <w:color w:val="000000"/>
          <w:sz w:val="28"/>
          <w:szCs w:val="28"/>
          <w:lang w:eastAsia="es-ES"/>
        </w:rPr>
        <w:t xml:space="preserve"> con enfermedad pulmonar obstructiva crónica en la unidad de cuidados intensivos</w:t>
      </w:r>
    </w:p>
    <w:p w14:paraId="15DFB23B" w14:textId="77777777" w:rsidR="00025A5A" w:rsidRPr="00025A5A" w:rsidRDefault="00025A5A" w:rsidP="00025A5A">
      <w:pPr>
        <w:spacing w:line="360" w:lineRule="auto"/>
        <w:jc w:val="center"/>
        <w:rPr>
          <w:lang w:val="en-US" w:eastAsia="es-ES"/>
        </w:rPr>
      </w:pPr>
      <w:r w:rsidRPr="00025A5A">
        <w:rPr>
          <w:sz w:val="28"/>
          <w:szCs w:val="28"/>
          <w:lang w:val="en-US" w:eastAsia="es-ES"/>
        </w:rPr>
        <w:t>Characterization of patients with chronic obstructive pulmonary diseases at the Intensive Care Unit</w:t>
      </w:r>
    </w:p>
    <w:p w14:paraId="41C54312" w14:textId="77777777" w:rsidR="00025A5A" w:rsidRPr="00025A5A" w:rsidRDefault="00025A5A" w:rsidP="00025A5A">
      <w:pPr>
        <w:autoSpaceDE w:val="0"/>
        <w:autoSpaceDN w:val="0"/>
        <w:adjustRightInd w:val="0"/>
        <w:spacing w:line="360" w:lineRule="auto"/>
        <w:jc w:val="both"/>
        <w:rPr>
          <w:rFonts w:eastAsia="Calibri"/>
          <w:color w:val="000000"/>
          <w:lang w:val="en-US" w:eastAsia="es-ES"/>
        </w:rPr>
      </w:pPr>
    </w:p>
    <w:p w14:paraId="47AAE7E0" w14:textId="77777777" w:rsidR="00025A5A" w:rsidRPr="00025A5A" w:rsidRDefault="00025A5A" w:rsidP="00025A5A">
      <w:pPr>
        <w:autoSpaceDE w:val="0"/>
        <w:autoSpaceDN w:val="0"/>
        <w:adjustRightInd w:val="0"/>
        <w:spacing w:line="360" w:lineRule="auto"/>
        <w:jc w:val="both"/>
        <w:rPr>
          <w:rFonts w:eastAsia="Calibri"/>
          <w:color w:val="000000"/>
          <w:lang w:eastAsia="es-ES"/>
        </w:rPr>
      </w:pPr>
      <w:r w:rsidRPr="00025A5A">
        <w:rPr>
          <w:rFonts w:eastAsia="Calibri"/>
          <w:color w:val="000000"/>
          <w:lang w:val="en-US" w:eastAsia="es-ES"/>
        </w:rPr>
        <w:t xml:space="preserve"> </w:t>
      </w:r>
      <w:r w:rsidRPr="00025A5A">
        <w:rPr>
          <w:rFonts w:eastAsia="Calibri"/>
          <w:color w:val="000000"/>
          <w:lang w:eastAsia="es-ES"/>
        </w:rPr>
        <w:t>Alberto García Gómez</w:t>
      </w:r>
      <w:r w:rsidRPr="00025A5A">
        <w:rPr>
          <w:rFonts w:eastAsia="Calibri"/>
          <w:color w:val="000000"/>
          <w:vertAlign w:val="superscript"/>
          <w:lang w:eastAsia="es-ES"/>
        </w:rPr>
        <w:t>1*</w:t>
      </w:r>
      <w:r w:rsidRPr="00025A5A">
        <w:rPr>
          <w:rFonts w:eastAsia="Calibri"/>
          <w:color w:val="000000"/>
          <w:lang w:eastAsia="es-ES"/>
        </w:rPr>
        <w:t xml:space="preserve"> </w:t>
      </w:r>
      <w:hyperlink r:id="rId7" w:history="1">
        <w:r w:rsidRPr="00025A5A">
          <w:rPr>
            <w:rFonts w:eastAsia="Calibri"/>
            <w:color w:val="0000FF"/>
            <w:u w:val="single"/>
            <w:lang w:eastAsia="es-ES"/>
          </w:rPr>
          <w:t>https://orcid.org/0000-0001-7232-343X</w:t>
        </w:r>
      </w:hyperlink>
      <w:r w:rsidRPr="00025A5A">
        <w:rPr>
          <w:rFonts w:eastAsia="Calibri"/>
          <w:color w:val="000000"/>
          <w:lang w:eastAsia="es-ES"/>
        </w:rPr>
        <w:t xml:space="preserve"> </w:t>
      </w:r>
    </w:p>
    <w:p w14:paraId="028E4A28" w14:textId="77777777" w:rsidR="00025A5A" w:rsidRPr="00025A5A" w:rsidRDefault="00025A5A" w:rsidP="00025A5A">
      <w:pPr>
        <w:autoSpaceDE w:val="0"/>
        <w:autoSpaceDN w:val="0"/>
        <w:adjustRightInd w:val="0"/>
        <w:spacing w:line="360" w:lineRule="auto"/>
        <w:jc w:val="both"/>
        <w:rPr>
          <w:rFonts w:eastAsia="Calibri"/>
          <w:color w:val="000000"/>
          <w:lang w:eastAsia="es-ES"/>
        </w:rPr>
      </w:pPr>
      <w:r w:rsidRPr="00025A5A">
        <w:rPr>
          <w:rFonts w:eastAsia="Calibri"/>
          <w:color w:val="000000"/>
          <w:lang w:eastAsia="es-ES"/>
        </w:rPr>
        <w:t>Narciso Ramírez Cruz</w:t>
      </w:r>
      <w:r w:rsidRPr="00025A5A">
        <w:rPr>
          <w:rFonts w:eastAsia="Calibri"/>
          <w:color w:val="000000"/>
          <w:vertAlign w:val="superscript"/>
          <w:lang w:eastAsia="es-ES"/>
        </w:rPr>
        <w:t>1</w:t>
      </w:r>
      <w:r w:rsidRPr="00025A5A">
        <w:rPr>
          <w:rFonts w:eastAsia="Calibri"/>
          <w:color w:val="000000"/>
          <w:lang w:eastAsia="es-ES"/>
        </w:rPr>
        <w:t xml:space="preserve"> </w:t>
      </w:r>
      <w:hyperlink r:id="rId8" w:history="1">
        <w:r w:rsidRPr="00025A5A">
          <w:rPr>
            <w:rFonts w:eastAsia="Calibri"/>
            <w:color w:val="0000FF"/>
            <w:u w:val="single"/>
            <w:lang w:eastAsia="es-ES"/>
          </w:rPr>
          <w:t>https://orcid.org/0000-0003-0881-9072</w:t>
        </w:r>
      </w:hyperlink>
      <w:r w:rsidRPr="00025A5A">
        <w:rPr>
          <w:rFonts w:eastAsia="Calibri"/>
          <w:color w:val="000000"/>
          <w:lang w:eastAsia="es-ES"/>
        </w:rPr>
        <w:t xml:space="preserve">  </w:t>
      </w:r>
    </w:p>
    <w:p w14:paraId="27BF827A" w14:textId="77777777" w:rsidR="00025A5A" w:rsidRPr="00025A5A" w:rsidRDefault="00025A5A" w:rsidP="00025A5A">
      <w:pPr>
        <w:autoSpaceDE w:val="0"/>
        <w:autoSpaceDN w:val="0"/>
        <w:adjustRightInd w:val="0"/>
        <w:spacing w:line="360" w:lineRule="auto"/>
        <w:jc w:val="both"/>
        <w:rPr>
          <w:rFonts w:eastAsia="Calibri"/>
          <w:color w:val="000000"/>
          <w:lang w:eastAsia="es-ES"/>
        </w:rPr>
      </w:pPr>
      <w:r w:rsidRPr="00025A5A">
        <w:rPr>
          <w:rFonts w:eastAsia="Calibri"/>
          <w:color w:val="000000"/>
          <w:lang w:eastAsia="es-ES"/>
        </w:rPr>
        <w:t>Yaqueline Agüero Carbonell</w:t>
      </w:r>
      <w:r w:rsidRPr="00025A5A">
        <w:rPr>
          <w:rFonts w:eastAsia="Calibri"/>
          <w:color w:val="000000"/>
          <w:vertAlign w:val="superscript"/>
          <w:lang w:eastAsia="es-ES"/>
        </w:rPr>
        <w:t>1</w:t>
      </w:r>
      <w:r w:rsidRPr="00025A5A">
        <w:rPr>
          <w:rFonts w:eastAsia="Calibri"/>
          <w:color w:val="000000"/>
          <w:lang w:eastAsia="es-ES"/>
        </w:rPr>
        <w:t xml:space="preserve"> </w:t>
      </w:r>
      <w:hyperlink r:id="rId9" w:history="1">
        <w:r w:rsidRPr="00025A5A">
          <w:rPr>
            <w:rFonts w:eastAsia="Calibri"/>
            <w:color w:val="0000FF"/>
            <w:u w:val="single"/>
            <w:lang w:eastAsia="es-ES"/>
          </w:rPr>
          <w:t>https://orcid.org/0000-0003-0365-7756</w:t>
        </w:r>
      </w:hyperlink>
    </w:p>
    <w:p w14:paraId="78FD40A9" w14:textId="77777777" w:rsidR="00025A5A" w:rsidRPr="00025A5A" w:rsidRDefault="00025A5A" w:rsidP="00025A5A">
      <w:pPr>
        <w:autoSpaceDE w:val="0"/>
        <w:autoSpaceDN w:val="0"/>
        <w:adjustRightInd w:val="0"/>
        <w:spacing w:line="360" w:lineRule="auto"/>
        <w:jc w:val="both"/>
        <w:rPr>
          <w:rFonts w:eastAsia="Calibri"/>
          <w:color w:val="000000"/>
          <w:lang w:eastAsia="es-ES"/>
        </w:rPr>
      </w:pPr>
      <w:r w:rsidRPr="00025A5A">
        <w:rPr>
          <w:rFonts w:eastAsia="Calibri"/>
          <w:color w:val="000000"/>
          <w:lang w:eastAsia="es-ES"/>
        </w:rPr>
        <w:t>Alexis Hernández Torres</w:t>
      </w:r>
      <w:r w:rsidRPr="00025A5A">
        <w:rPr>
          <w:rFonts w:eastAsia="Calibri"/>
          <w:color w:val="000000"/>
          <w:vertAlign w:val="superscript"/>
          <w:lang w:eastAsia="es-ES"/>
        </w:rPr>
        <w:t>1</w:t>
      </w:r>
      <w:r w:rsidRPr="00025A5A">
        <w:rPr>
          <w:rFonts w:eastAsia="Calibri"/>
          <w:color w:val="000000"/>
          <w:lang w:eastAsia="es-ES"/>
        </w:rPr>
        <w:t xml:space="preserve"> </w:t>
      </w:r>
      <w:hyperlink r:id="rId10" w:history="1">
        <w:r w:rsidRPr="00025A5A">
          <w:rPr>
            <w:rFonts w:eastAsia="Calibri"/>
            <w:color w:val="0000FF"/>
            <w:u w:val="single"/>
            <w:lang w:eastAsia="es-ES"/>
          </w:rPr>
          <w:t>https://orcid.org/0000-0002-4289-1978</w:t>
        </w:r>
      </w:hyperlink>
    </w:p>
    <w:p w14:paraId="26A68909" w14:textId="77777777" w:rsidR="00025A5A" w:rsidRPr="00025A5A" w:rsidRDefault="00025A5A" w:rsidP="00025A5A">
      <w:pPr>
        <w:autoSpaceDE w:val="0"/>
        <w:autoSpaceDN w:val="0"/>
        <w:adjustRightInd w:val="0"/>
        <w:spacing w:line="360" w:lineRule="auto"/>
        <w:jc w:val="both"/>
        <w:rPr>
          <w:rFonts w:eastAsia="Calibri"/>
          <w:color w:val="000000"/>
          <w:lang w:eastAsia="es-ES"/>
        </w:rPr>
      </w:pPr>
      <w:r w:rsidRPr="00025A5A">
        <w:rPr>
          <w:rFonts w:eastAsia="Calibri"/>
          <w:color w:val="000000"/>
          <w:lang w:eastAsia="es-ES"/>
        </w:rPr>
        <w:t>Yusel Massó Vicet</w:t>
      </w:r>
      <w:r w:rsidRPr="00025A5A">
        <w:rPr>
          <w:rFonts w:eastAsia="Calibri"/>
          <w:color w:val="000000"/>
          <w:vertAlign w:val="superscript"/>
          <w:lang w:eastAsia="es-ES"/>
        </w:rPr>
        <w:t>2</w:t>
      </w:r>
      <w:r w:rsidRPr="00025A5A">
        <w:rPr>
          <w:rFonts w:eastAsia="Calibri"/>
          <w:color w:val="000000"/>
          <w:lang w:eastAsia="es-ES"/>
        </w:rPr>
        <w:t xml:space="preserve"> </w:t>
      </w:r>
      <w:hyperlink r:id="rId11" w:history="1">
        <w:r w:rsidRPr="00025A5A">
          <w:rPr>
            <w:rFonts w:eastAsia="Calibri"/>
            <w:color w:val="0000FF"/>
            <w:u w:val="single"/>
            <w:lang w:eastAsia="es-ES"/>
          </w:rPr>
          <w:t>https://orcid.org/0000-0002-8070-6366</w:t>
        </w:r>
      </w:hyperlink>
      <w:r w:rsidRPr="00025A5A">
        <w:rPr>
          <w:rFonts w:eastAsia="Calibri"/>
          <w:color w:val="000000"/>
          <w:lang w:eastAsia="es-ES"/>
        </w:rPr>
        <w:t xml:space="preserve"> </w:t>
      </w:r>
    </w:p>
    <w:p w14:paraId="5DE3D8A3" w14:textId="77777777" w:rsidR="00025A5A" w:rsidRPr="00025A5A" w:rsidRDefault="00025A5A" w:rsidP="00025A5A">
      <w:pPr>
        <w:autoSpaceDE w:val="0"/>
        <w:autoSpaceDN w:val="0"/>
        <w:adjustRightInd w:val="0"/>
        <w:spacing w:line="360" w:lineRule="auto"/>
        <w:jc w:val="both"/>
        <w:rPr>
          <w:rFonts w:eastAsia="Calibri"/>
          <w:color w:val="000000"/>
          <w:lang w:eastAsia="es-ES"/>
        </w:rPr>
      </w:pPr>
      <w:r w:rsidRPr="00025A5A">
        <w:rPr>
          <w:color w:val="000000"/>
          <w:lang w:val="es-ES" w:eastAsia="es-ES"/>
        </w:rPr>
        <w:t>Yamilka Martínez Llano</w:t>
      </w:r>
      <w:r w:rsidRPr="00025A5A">
        <w:rPr>
          <w:rFonts w:eastAsia="Calibri"/>
          <w:color w:val="000000"/>
          <w:vertAlign w:val="superscript"/>
          <w:lang w:eastAsia="es-ES"/>
        </w:rPr>
        <w:t>1</w:t>
      </w:r>
      <w:r w:rsidRPr="00025A5A">
        <w:rPr>
          <w:color w:val="000000"/>
          <w:lang w:val="es-ES" w:eastAsia="es-ES"/>
        </w:rPr>
        <w:t xml:space="preserve"> </w:t>
      </w:r>
      <w:hyperlink r:id="rId12" w:history="1">
        <w:r w:rsidRPr="00025A5A">
          <w:rPr>
            <w:rFonts w:eastAsia="Calibri"/>
            <w:color w:val="0000FF"/>
            <w:u w:val="single"/>
            <w:lang w:eastAsia="es-ES"/>
          </w:rPr>
          <w:t>https://orcid.org/0000-0002-0561-156X</w:t>
        </w:r>
      </w:hyperlink>
      <w:r w:rsidRPr="00025A5A">
        <w:rPr>
          <w:rFonts w:eastAsia="Calibri"/>
          <w:color w:val="000000"/>
          <w:lang w:eastAsia="es-ES"/>
        </w:rPr>
        <w:t xml:space="preserve">  </w:t>
      </w:r>
    </w:p>
    <w:p w14:paraId="08FAD22A" w14:textId="77777777" w:rsidR="00025A5A" w:rsidRPr="00025A5A" w:rsidRDefault="00025A5A" w:rsidP="00025A5A">
      <w:pPr>
        <w:autoSpaceDE w:val="0"/>
        <w:autoSpaceDN w:val="0"/>
        <w:adjustRightInd w:val="0"/>
        <w:spacing w:line="360" w:lineRule="auto"/>
        <w:jc w:val="both"/>
        <w:rPr>
          <w:bCs/>
          <w:vertAlign w:val="superscript"/>
          <w:lang w:eastAsia="es-ES"/>
        </w:rPr>
      </w:pPr>
    </w:p>
    <w:p w14:paraId="195D4CC8" w14:textId="77777777" w:rsidR="00025A5A" w:rsidRPr="00025A5A" w:rsidRDefault="00025A5A" w:rsidP="00025A5A">
      <w:pPr>
        <w:autoSpaceDE w:val="0"/>
        <w:autoSpaceDN w:val="0"/>
        <w:adjustRightInd w:val="0"/>
        <w:spacing w:line="360" w:lineRule="auto"/>
        <w:jc w:val="both"/>
        <w:rPr>
          <w:bCs/>
          <w:lang w:eastAsia="es-ES"/>
        </w:rPr>
      </w:pPr>
      <w:r w:rsidRPr="00025A5A">
        <w:rPr>
          <w:bCs/>
          <w:vertAlign w:val="superscript"/>
          <w:lang w:eastAsia="es-ES"/>
        </w:rPr>
        <w:t>1</w:t>
      </w:r>
      <w:r w:rsidRPr="00025A5A">
        <w:rPr>
          <w:bCs/>
          <w:lang w:eastAsia="es-ES"/>
        </w:rPr>
        <w:t>Hospital Militar Central “Dr. Carlos J. Finlay”. La Habana, Cuba.</w:t>
      </w:r>
    </w:p>
    <w:p w14:paraId="2B575EFD" w14:textId="77777777" w:rsidR="00025A5A" w:rsidRPr="00025A5A" w:rsidRDefault="00025A5A" w:rsidP="00025A5A">
      <w:pPr>
        <w:autoSpaceDE w:val="0"/>
        <w:autoSpaceDN w:val="0"/>
        <w:adjustRightInd w:val="0"/>
        <w:spacing w:line="360" w:lineRule="auto"/>
        <w:jc w:val="both"/>
        <w:rPr>
          <w:bCs/>
          <w:lang w:eastAsia="es-ES"/>
        </w:rPr>
      </w:pPr>
      <w:r w:rsidRPr="00025A5A">
        <w:rPr>
          <w:vertAlign w:val="superscript"/>
          <w:lang w:eastAsia="es-ES"/>
        </w:rPr>
        <w:t>2</w:t>
      </w:r>
      <w:r w:rsidRPr="00025A5A">
        <w:rPr>
          <w:lang w:eastAsia="es-ES"/>
        </w:rPr>
        <w:t xml:space="preserve">Hospital Clínica de 42. </w:t>
      </w:r>
      <w:r w:rsidRPr="00025A5A">
        <w:rPr>
          <w:bCs/>
          <w:lang w:eastAsia="es-ES"/>
        </w:rPr>
        <w:t>La Habana, Cuba.</w:t>
      </w:r>
    </w:p>
    <w:p w14:paraId="51E3CA94" w14:textId="77777777" w:rsidR="00025A5A" w:rsidRPr="00025A5A" w:rsidRDefault="00025A5A" w:rsidP="00025A5A">
      <w:pPr>
        <w:autoSpaceDE w:val="0"/>
        <w:autoSpaceDN w:val="0"/>
        <w:adjustRightInd w:val="0"/>
        <w:spacing w:line="360" w:lineRule="auto"/>
        <w:jc w:val="both"/>
        <w:rPr>
          <w:bCs/>
          <w:lang w:eastAsia="es-ES"/>
        </w:rPr>
      </w:pPr>
    </w:p>
    <w:p w14:paraId="2ADF7239" w14:textId="77777777" w:rsidR="00025A5A" w:rsidRPr="00025A5A" w:rsidRDefault="00025A5A" w:rsidP="00025A5A">
      <w:pPr>
        <w:autoSpaceDE w:val="0"/>
        <w:autoSpaceDN w:val="0"/>
        <w:adjustRightInd w:val="0"/>
        <w:spacing w:line="360" w:lineRule="auto"/>
        <w:jc w:val="both"/>
        <w:rPr>
          <w:bCs/>
          <w:lang w:eastAsia="es-ES"/>
        </w:rPr>
      </w:pPr>
      <w:r w:rsidRPr="00025A5A">
        <w:rPr>
          <w:bCs/>
          <w:lang w:eastAsia="es-ES"/>
        </w:rPr>
        <w:t xml:space="preserve">*Autor para la correspondencia. Correo electrónico: </w:t>
      </w:r>
      <w:hyperlink r:id="rId13" w:history="1">
        <w:r w:rsidRPr="00025A5A">
          <w:rPr>
            <w:bCs/>
            <w:color w:val="0000FF"/>
            <w:u w:val="single"/>
            <w:lang w:eastAsia="es-ES"/>
          </w:rPr>
          <w:t>albertogarcia@infomed.sld.cu</w:t>
        </w:r>
      </w:hyperlink>
    </w:p>
    <w:p w14:paraId="592DC21B" w14:textId="77777777" w:rsidR="00025A5A" w:rsidRPr="00025A5A" w:rsidRDefault="00025A5A" w:rsidP="00025A5A">
      <w:pPr>
        <w:autoSpaceDE w:val="0"/>
        <w:autoSpaceDN w:val="0"/>
        <w:adjustRightInd w:val="0"/>
        <w:spacing w:line="360" w:lineRule="auto"/>
        <w:jc w:val="both"/>
        <w:rPr>
          <w:rFonts w:eastAsia="Calibri"/>
          <w:color w:val="000000"/>
          <w:lang w:val="es-ES" w:eastAsia="es-ES"/>
        </w:rPr>
      </w:pPr>
    </w:p>
    <w:p w14:paraId="4B7C7800" w14:textId="77777777" w:rsidR="00025A5A" w:rsidRPr="00025A5A" w:rsidRDefault="00025A5A" w:rsidP="00025A5A">
      <w:pPr>
        <w:autoSpaceDE w:val="0"/>
        <w:autoSpaceDN w:val="0"/>
        <w:adjustRightInd w:val="0"/>
        <w:spacing w:line="360" w:lineRule="auto"/>
        <w:jc w:val="both"/>
        <w:rPr>
          <w:b/>
          <w:bCs/>
          <w:lang w:eastAsia="es-ES"/>
        </w:rPr>
      </w:pPr>
      <w:r w:rsidRPr="00025A5A">
        <w:rPr>
          <w:b/>
          <w:bCs/>
          <w:lang w:eastAsia="es-ES"/>
        </w:rPr>
        <w:t>RESUMEN</w:t>
      </w:r>
    </w:p>
    <w:p w14:paraId="01146AF3" w14:textId="77777777" w:rsidR="00025A5A" w:rsidRPr="00025A5A" w:rsidRDefault="00025A5A" w:rsidP="00025A5A">
      <w:pPr>
        <w:spacing w:line="360" w:lineRule="auto"/>
        <w:jc w:val="both"/>
        <w:rPr>
          <w:rFonts w:eastAsia="Calibri"/>
          <w:lang w:eastAsia="en-US"/>
        </w:rPr>
      </w:pPr>
      <w:r w:rsidRPr="00025A5A">
        <w:rPr>
          <w:b/>
          <w:bCs/>
          <w:lang w:eastAsia="es-ES"/>
        </w:rPr>
        <w:t xml:space="preserve">Introducción: </w:t>
      </w:r>
      <w:r w:rsidRPr="00025A5A">
        <w:rPr>
          <w:rFonts w:eastAsia="Calibri"/>
          <w:lang w:eastAsia="en-US"/>
        </w:rPr>
        <w:t xml:space="preserve">La enfermedad pulmonar obstructiva crónica se caracteriza por la limitación del flujo aéreo, no completamente reversible, progresiva y asociada a respuesta inflamatoria anormal de los pulmones. </w:t>
      </w:r>
    </w:p>
    <w:p w14:paraId="0757A2AE" w14:textId="77777777" w:rsidR="00025A5A" w:rsidRPr="00025A5A" w:rsidRDefault="00025A5A" w:rsidP="00025A5A">
      <w:pPr>
        <w:spacing w:line="360" w:lineRule="auto"/>
        <w:jc w:val="both"/>
        <w:rPr>
          <w:rFonts w:eastAsia="Calibri"/>
          <w:lang w:eastAsia="es-ES"/>
        </w:rPr>
      </w:pPr>
      <w:r w:rsidRPr="00025A5A">
        <w:rPr>
          <w:b/>
          <w:bCs/>
          <w:lang w:eastAsia="es-ES"/>
        </w:rPr>
        <w:t xml:space="preserve">Objetivos: </w:t>
      </w:r>
      <w:r w:rsidRPr="00025A5A">
        <w:rPr>
          <w:lang w:eastAsia="es-ES"/>
        </w:rPr>
        <w:t xml:space="preserve">Caracterizar a pacientes </w:t>
      </w:r>
      <w:r w:rsidRPr="00025A5A">
        <w:rPr>
          <w:rFonts w:eastAsia="Calibri"/>
          <w:lang w:eastAsia="es-ES"/>
        </w:rPr>
        <w:t xml:space="preserve">con antecedentes de </w:t>
      </w:r>
      <w:r w:rsidRPr="00025A5A">
        <w:rPr>
          <w:rFonts w:eastAsia="Calibri"/>
          <w:lang w:eastAsia="en-US"/>
        </w:rPr>
        <w:t>enfermedad pulmonar obstructiva crónica, ingresados en cuidados intensivos</w:t>
      </w:r>
      <w:r w:rsidRPr="00025A5A">
        <w:rPr>
          <w:rFonts w:eastAsia="Calibri"/>
          <w:lang w:eastAsia="es-ES"/>
        </w:rPr>
        <w:t xml:space="preserve">.  </w:t>
      </w:r>
    </w:p>
    <w:p w14:paraId="48089BBE" w14:textId="77777777" w:rsidR="00025A5A" w:rsidRPr="00025A5A" w:rsidRDefault="00025A5A" w:rsidP="00025A5A">
      <w:pPr>
        <w:spacing w:line="360" w:lineRule="auto"/>
        <w:jc w:val="both"/>
        <w:rPr>
          <w:lang w:eastAsia="es-ES"/>
        </w:rPr>
      </w:pPr>
      <w:r w:rsidRPr="00025A5A">
        <w:rPr>
          <w:b/>
          <w:bCs/>
          <w:lang w:eastAsia="es-ES"/>
        </w:rPr>
        <w:t xml:space="preserve">Métodos: </w:t>
      </w:r>
      <w:r w:rsidRPr="00025A5A">
        <w:rPr>
          <w:lang w:eastAsia="es-ES"/>
        </w:rPr>
        <w:t xml:space="preserve">Se realizó un estudio descriptivo, retrospectivo en una serie de 347 pacientes con enfermedad pulmonar obstructiva crónica ingresados en cuidados intensivos. Se estudiaron las variables edad, sexo, causa de ingreso, estado al egreso, valor de la escala APACHE II al ingreso, ventilación mecánica invasiva, traqueostomía, y causa directa de muerte según necropsias realizadas. Se calcularon </w:t>
      </w:r>
      <w:r w:rsidRPr="00025A5A">
        <w:rPr>
          <w:lang w:eastAsia="es-ES"/>
        </w:rPr>
        <w:lastRenderedPageBreak/>
        <w:t xml:space="preserve">distribuciones de frecuencia absoluta y relativa, medidas de tendencia central y para comparación, las pruebas de </w:t>
      </w:r>
      <w:r w:rsidRPr="00025A5A">
        <w:rPr>
          <w:i/>
          <w:iCs/>
          <w:lang w:eastAsia="es-ES"/>
        </w:rPr>
        <w:t>ji</w:t>
      </w:r>
      <w:r w:rsidRPr="00025A5A">
        <w:rPr>
          <w:lang w:eastAsia="es-ES"/>
        </w:rPr>
        <w:t xml:space="preserve"> cuadrado y t de Student, con un nivel de significación del 5 %. </w:t>
      </w:r>
    </w:p>
    <w:p w14:paraId="0D4BA5A6" w14:textId="77777777" w:rsidR="00025A5A" w:rsidRPr="00025A5A" w:rsidRDefault="00025A5A" w:rsidP="00025A5A">
      <w:pPr>
        <w:spacing w:line="360" w:lineRule="auto"/>
        <w:jc w:val="both"/>
        <w:rPr>
          <w:b/>
          <w:bCs/>
          <w:lang w:eastAsia="es-ES"/>
        </w:rPr>
      </w:pPr>
      <w:r w:rsidRPr="00025A5A">
        <w:rPr>
          <w:b/>
          <w:bCs/>
          <w:lang w:eastAsia="es-ES"/>
        </w:rPr>
        <w:t xml:space="preserve">Resultados: </w:t>
      </w:r>
      <w:r w:rsidRPr="00025A5A">
        <w:rPr>
          <w:lang w:eastAsia="es-ES"/>
        </w:rPr>
        <w:t>La edad media fue de 72,1 ± 8,2 años. Predominaron el sexo femenino (</w:t>
      </w:r>
      <w:r w:rsidRPr="00025A5A">
        <w:rPr>
          <w:color w:val="000000"/>
          <w:lang w:eastAsia="es-ES"/>
        </w:rPr>
        <w:t>52,7 </w:t>
      </w:r>
      <w:r w:rsidRPr="00025A5A">
        <w:rPr>
          <w:lang w:eastAsia="es-ES"/>
        </w:rPr>
        <w:t>%) y el grupo de edad de 60-79 años (67,1 %). La proporción sexo femenino/ masculino fue de 1,1:1,0. Egresaron fallecidos 64,8 % de los pacientes. Hubo diferencias significativas entre la edad media de los fallecidos y los vivos (p = 0,001). La causa de ingreso clínico tuvo el mayor número de ingresos (86,7 %). La media del valor del APACHE II fue superior en los fallecidos (21,0 vs. 15,2). El 81,3 % de los pacientes recibió ventilación mecánica, y al 17,3 % se le realizó traqueostomía. La principal causa de muerte fue la bronconeumonía bacteriana (67,2 %).</w:t>
      </w:r>
      <w:r w:rsidRPr="00025A5A">
        <w:rPr>
          <w:b/>
          <w:bCs/>
          <w:lang w:eastAsia="es-ES"/>
        </w:rPr>
        <w:t xml:space="preserve"> </w:t>
      </w:r>
    </w:p>
    <w:p w14:paraId="2A1E9664" w14:textId="77777777" w:rsidR="00025A5A" w:rsidRPr="00025A5A" w:rsidRDefault="00025A5A" w:rsidP="00025A5A">
      <w:pPr>
        <w:spacing w:line="360" w:lineRule="auto"/>
        <w:jc w:val="both"/>
        <w:rPr>
          <w:lang w:eastAsia="es-ES"/>
        </w:rPr>
      </w:pPr>
      <w:r w:rsidRPr="00025A5A">
        <w:rPr>
          <w:b/>
          <w:bCs/>
          <w:lang w:eastAsia="es-ES"/>
        </w:rPr>
        <w:t>Conclusiones:</w:t>
      </w:r>
      <w:r w:rsidRPr="00025A5A">
        <w:rPr>
          <w:lang w:eastAsia="es-ES"/>
        </w:rPr>
        <w:t xml:space="preserve"> Los pacientes con </w:t>
      </w:r>
      <w:r w:rsidRPr="00025A5A">
        <w:rPr>
          <w:rFonts w:eastAsia="Calibri"/>
          <w:lang w:eastAsia="en-US"/>
        </w:rPr>
        <w:t>enfermedad pulmonar obstructiva crónica</w:t>
      </w:r>
      <w:r w:rsidRPr="00025A5A">
        <w:rPr>
          <w:lang w:eastAsia="es-ES"/>
        </w:rPr>
        <w:t xml:space="preserve"> ingresados en la </w:t>
      </w:r>
      <w:r w:rsidRPr="00025A5A">
        <w:rPr>
          <w:rFonts w:eastAsia="Calibri"/>
          <w:lang w:eastAsia="es-ES"/>
        </w:rPr>
        <w:t>unidad de cuidados intensivos</w:t>
      </w:r>
      <w:r w:rsidRPr="00025A5A">
        <w:rPr>
          <w:lang w:eastAsia="es-ES"/>
        </w:rPr>
        <w:t xml:space="preserve"> tienen alta mortalidad y está asociada a tres principales causas directas de muertes: bronconeumonía bacteriana, tromboembolismo pulmonar y el choque séptico.    </w:t>
      </w:r>
    </w:p>
    <w:p w14:paraId="727C3FEF" w14:textId="77777777" w:rsidR="00025A5A" w:rsidRPr="00025A5A" w:rsidRDefault="00025A5A" w:rsidP="00025A5A">
      <w:pPr>
        <w:autoSpaceDE w:val="0"/>
        <w:autoSpaceDN w:val="0"/>
        <w:adjustRightInd w:val="0"/>
        <w:spacing w:line="360" w:lineRule="auto"/>
        <w:jc w:val="both"/>
        <w:rPr>
          <w:rFonts w:eastAsia="Calibri"/>
          <w:lang w:eastAsia="en-US"/>
        </w:rPr>
      </w:pPr>
      <w:r w:rsidRPr="00025A5A">
        <w:rPr>
          <w:rFonts w:eastAsia="Calibri"/>
          <w:b/>
          <w:lang w:eastAsia="en-US"/>
        </w:rPr>
        <w:t>Palabras clave</w:t>
      </w:r>
      <w:r w:rsidRPr="00025A5A">
        <w:rPr>
          <w:rFonts w:eastAsia="Calibri"/>
          <w:lang w:eastAsia="en-US"/>
        </w:rPr>
        <w:t xml:space="preserve">: enfermedad pulmonar obstructiva crónica; unidad de cuidados intensivos; mortalidad. </w:t>
      </w:r>
    </w:p>
    <w:p w14:paraId="23ADAA37" w14:textId="77777777" w:rsidR="00025A5A" w:rsidRPr="00025A5A" w:rsidRDefault="00025A5A" w:rsidP="00025A5A">
      <w:pPr>
        <w:autoSpaceDE w:val="0"/>
        <w:autoSpaceDN w:val="0"/>
        <w:adjustRightInd w:val="0"/>
        <w:spacing w:line="360" w:lineRule="auto"/>
        <w:jc w:val="both"/>
        <w:rPr>
          <w:b/>
          <w:lang w:eastAsia="es-ES"/>
        </w:rPr>
      </w:pPr>
    </w:p>
    <w:p w14:paraId="5867B328" w14:textId="77777777" w:rsidR="00025A5A" w:rsidRPr="00025A5A" w:rsidRDefault="00025A5A" w:rsidP="00025A5A">
      <w:pPr>
        <w:autoSpaceDE w:val="0"/>
        <w:autoSpaceDN w:val="0"/>
        <w:adjustRightInd w:val="0"/>
        <w:spacing w:line="360" w:lineRule="auto"/>
        <w:jc w:val="both"/>
        <w:rPr>
          <w:b/>
          <w:lang w:val="en-US" w:eastAsia="es-ES"/>
        </w:rPr>
      </w:pPr>
      <w:r w:rsidRPr="00025A5A">
        <w:rPr>
          <w:b/>
          <w:lang w:val="en-US" w:eastAsia="es-ES"/>
        </w:rPr>
        <w:t>ABSTRACT</w:t>
      </w:r>
    </w:p>
    <w:p w14:paraId="1D50E1B2" w14:textId="77777777" w:rsidR="00025A5A" w:rsidRPr="00025A5A" w:rsidRDefault="00025A5A" w:rsidP="00025A5A">
      <w:pPr>
        <w:autoSpaceDE w:val="0"/>
        <w:autoSpaceDN w:val="0"/>
        <w:adjustRightInd w:val="0"/>
        <w:spacing w:line="360" w:lineRule="auto"/>
        <w:jc w:val="both"/>
        <w:rPr>
          <w:bCs/>
          <w:lang w:val="en-US" w:eastAsia="es-ES"/>
        </w:rPr>
      </w:pPr>
      <w:r w:rsidRPr="00025A5A">
        <w:rPr>
          <w:b/>
          <w:bCs/>
          <w:lang w:val="en-US" w:eastAsia="es-ES"/>
        </w:rPr>
        <w:t>Introduction:</w:t>
      </w:r>
      <w:r w:rsidRPr="00025A5A">
        <w:rPr>
          <w:bCs/>
          <w:lang w:val="en-US" w:eastAsia="es-ES"/>
        </w:rPr>
        <w:t xml:space="preserve"> COPD is characterized by limitation of the airflow, progressive, partially reversible and associated to an abnormal inflammatory responsive of the lungs. </w:t>
      </w:r>
    </w:p>
    <w:p w14:paraId="42EF2D2D" w14:textId="77777777" w:rsidR="00025A5A" w:rsidRPr="00025A5A" w:rsidRDefault="00025A5A" w:rsidP="00025A5A">
      <w:pPr>
        <w:autoSpaceDE w:val="0"/>
        <w:autoSpaceDN w:val="0"/>
        <w:adjustRightInd w:val="0"/>
        <w:spacing w:line="360" w:lineRule="auto"/>
        <w:ind w:right="-1"/>
        <w:jc w:val="both"/>
        <w:rPr>
          <w:lang w:val="en-US" w:eastAsia="es-ES"/>
        </w:rPr>
      </w:pPr>
      <w:r w:rsidRPr="00025A5A">
        <w:rPr>
          <w:b/>
          <w:bCs/>
          <w:lang w:val="en-US" w:eastAsia="es-ES"/>
        </w:rPr>
        <w:t xml:space="preserve">Objective: </w:t>
      </w:r>
      <w:r w:rsidRPr="00025A5A">
        <w:rPr>
          <w:bCs/>
          <w:lang w:val="en-US" w:eastAsia="es-ES"/>
        </w:rPr>
        <w:t>To c</w:t>
      </w:r>
      <w:r w:rsidRPr="00025A5A">
        <w:rPr>
          <w:lang w:val="en-US" w:eastAsia="es-ES"/>
        </w:rPr>
        <w:t xml:space="preserve">haracterize patients with COPD admitted at the Intensive Care Unit.     </w:t>
      </w:r>
    </w:p>
    <w:p w14:paraId="6CA4E412" w14:textId="77777777" w:rsidR="00025A5A" w:rsidRPr="00025A5A" w:rsidRDefault="00025A5A" w:rsidP="00025A5A">
      <w:pPr>
        <w:autoSpaceDE w:val="0"/>
        <w:autoSpaceDN w:val="0"/>
        <w:adjustRightInd w:val="0"/>
        <w:spacing w:line="360" w:lineRule="auto"/>
        <w:jc w:val="both"/>
        <w:rPr>
          <w:lang w:val="en-US" w:eastAsia="es-ES"/>
        </w:rPr>
      </w:pPr>
      <w:r w:rsidRPr="00025A5A">
        <w:rPr>
          <w:b/>
          <w:bCs/>
          <w:lang w:val="en-US" w:eastAsia="es-ES"/>
        </w:rPr>
        <w:t xml:space="preserve">Methods: </w:t>
      </w:r>
      <w:r w:rsidRPr="00025A5A">
        <w:rPr>
          <w:lang w:val="en-US" w:eastAsia="es-ES"/>
        </w:rPr>
        <w:t>A descriptive, retrospective study was carried out in a series of 347 patients with chronic obstructive pulmonary disease admitted to intensive care. The variables age, sex, cause of admission, discharge status, APACHE II scale value at admission, invasive mechanical ventilation, tracheostomy, and direct cause of death according to autopsies performed were studied. Absolute and relative frequency distributions, measures of central tendency, and for comparison, the chi-square and Student's t tests were calculated, with a significance level of 5%.</w:t>
      </w:r>
    </w:p>
    <w:p w14:paraId="0CCE86BF" w14:textId="77777777" w:rsidR="00025A5A" w:rsidRPr="00025A5A" w:rsidRDefault="00025A5A" w:rsidP="00025A5A">
      <w:pPr>
        <w:autoSpaceDE w:val="0"/>
        <w:autoSpaceDN w:val="0"/>
        <w:adjustRightInd w:val="0"/>
        <w:spacing w:line="360" w:lineRule="auto"/>
        <w:jc w:val="both"/>
        <w:rPr>
          <w:snapToGrid w:val="0"/>
          <w:lang w:val="en-US" w:eastAsia="es-ES"/>
        </w:rPr>
      </w:pPr>
      <w:r w:rsidRPr="00025A5A">
        <w:rPr>
          <w:b/>
          <w:bCs/>
          <w:lang w:val="en-US" w:eastAsia="es-ES"/>
        </w:rPr>
        <w:t xml:space="preserve">Results: </w:t>
      </w:r>
      <w:r w:rsidRPr="00025A5A">
        <w:rPr>
          <w:lang w:val="en-US" w:eastAsia="es-ES"/>
        </w:rPr>
        <w:t xml:space="preserve">The mean age was of 72,1 ± 8,2 years. The female sex (52.7%) and the age group of 60-79 years (67.1%) predominated. The female / male sex ratio was 1.1: 1.0. 64.8% of the patients were discharged dead. There were significant differences between the mean age of the deceased and the living (p = 0.001). The cause of clinical admission had the highest number of admissions (86.7%). The mean APACHE II value was higher in the deceased (21.0 vs. 15.2). 81.3% of the patients received mechanical ventilation, </w:t>
      </w:r>
      <w:r w:rsidRPr="00025A5A">
        <w:rPr>
          <w:lang w:val="en-US" w:eastAsia="es-ES"/>
        </w:rPr>
        <w:lastRenderedPageBreak/>
        <w:t>and 17.3% underwent a tracheostomy. The main cause of death was bacterial bronchopneumonia (67.2%).</w:t>
      </w:r>
      <w:r w:rsidRPr="00025A5A">
        <w:rPr>
          <w:snapToGrid w:val="0"/>
          <w:lang w:val="en-US" w:eastAsia="es-ES"/>
        </w:rPr>
        <w:t xml:space="preserve"> </w:t>
      </w:r>
    </w:p>
    <w:p w14:paraId="6A13F8C5" w14:textId="77777777" w:rsidR="00025A5A" w:rsidRPr="00025A5A" w:rsidRDefault="00025A5A" w:rsidP="00025A5A">
      <w:pPr>
        <w:autoSpaceDE w:val="0"/>
        <w:autoSpaceDN w:val="0"/>
        <w:adjustRightInd w:val="0"/>
        <w:spacing w:line="360" w:lineRule="auto"/>
        <w:jc w:val="both"/>
        <w:rPr>
          <w:b/>
          <w:lang w:val="en-US" w:eastAsia="es-ES"/>
        </w:rPr>
      </w:pPr>
      <w:r w:rsidRPr="00025A5A">
        <w:rPr>
          <w:b/>
          <w:lang w:val="en-US" w:eastAsia="es-ES"/>
        </w:rPr>
        <w:t xml:space="preserve">Conclusions: </w:t>
      </w:r>
      <w:r w:rsidRPr="00025A5A">
        <w:rPr>
          <w:bCs/>
          <w:lang w:val="en-US" w:eastAsia="es-ES"/>
        </w:rPr>
        <w:t>Patients with chronic obstructive pulmonary disease admitted to the intensive care unit have high mortality and it is associated with three main direct causes of death: bacterial bronchopneumonia, pulmonary thromboembolism and septic shock.</w:t>
      </w:r>
    </w:p>
    <w:p w14:paraId="1B3B7DED" w14:textId="77777777" w:rsidR="00025A5A" w:rsidRPr="00025A5A" w:rsidRDefault="00025A5A" w:rsidP="00025A5A">
      <w:pPr>
        <w:autoSpaceDE w:val="0"/>
        <w:autoSpaceDN w:val="0"/>
        <w:adjustRightInd w:val="0"/>
        <w:spacing w:line="360" w:lineRule="auto"/>
        <w:jc w:val="both"/>
        <w:rPr>
          <w:lang w:val="en-US" w:eastAsia="es-ES"/>
        </w:rPr>
      </w:pPr>
      <w:r w:rsidRPr="00025A5A">
        <w:rPr>
          <w:b/>
          <w:lang w:val="en-US" w:eastAsia="es-ES"/>
        </w:rPr>
        <w:t xml:space="preserve">Keyword: </w:t>
      </w:r>
      <w:r w:rsidRPr="00025A5A">
        <w:rPr>
          <w:lang w:val="en-US" w:eastAsia="es-ES"/>
        </w:rPr>
        <w:t>chronic obstruct pulmonary disease; intensive care unit; mortality.</w:t>
      </w:r>
    </w:p>
    <w:p w14:paraId="545AB733" w14:textId="77777777" w:rsidR="00025A5A" w:rsidRPr="00025A5A" w:rsidRDefault="00025A5A" w:rsidP="00025A5A">
      <w:pPr>
        <w:autoSpaceDE w:val="0"/>
        <w:autoSpaceDN w:val="0"/>
        <w:adjustRightInd w:val="0"/>
        <w:spacing w:line="360" w:lineRule="auto"/>
        <w:jc w:val="both"/>
        <w:rPr>
          <w:lang w:val="en-US" w:eastAsia="es-ES"/>
        </w:rPr>
      </w:pPr>
    </w:p>
    <w:p w14:paraId="37331205" w14:textId="77777777" w:rsidR="00025A5A" w:rsidRPr="00025A5A" w:rsidRDefault="00025A5A" w:rsidP="00025A5A">
      <w:pPr>
        <w:autoSpaceDE w:val="0"/>
        <w:autoSpaceDN w:val="0"/>
        <w:adjustRightInd w:val="0"/>
        <w:spacing w:line="360" w:lineRule="auto"/>
        <w:jc w:val="both"/>
        <w:rPr>
          <w:lang w:val="en-US" w:eastAsia="es-ES"/>
        </w:rPr>
      </w:pPr>
    </w:p>
    <w:p w14:paraId="3D471246" w14:textId="77777777" w:rsidR="00025A5A" w:rsidRPr="00025A5A" w:rsidRDefault="00025A5A" w:rsidP="00025A5A">
      <w:pPr>
        <w:autoSpaceDE w:val="0"/>
        <w:autoSpaceDN w:val="0"/>
        <w:adjustRightInd w:val="0"/>
        <w:spacing w:line="360" w:lineRule="auto"/>
        <w:jc w:val="both"/>
        <w:rPr>
          <w:lang w:val="es-CU" w:eastAsia="es-ES"/>
        </w:rPr>
      </w:pPr>
      <w:r w:rsidRPr="00025A5A">
        <w:rPr>
          <w:lang w:val="es-CU" w:eastAsia="es-ES"/>
        </w:rPr>
        <w:t>Recibido: 04/05/2021</w:t>
      </w:r>
    </w:p>
    <w:p w14:paraId="6A94D3B4" w14:textId="77777777" w:rsidR="00025A5A" w:rsidRPr="00025A5A" w:rsidRDefault="00025A5A" w:rsidP="00025A5A">
      <w:pPr>
        <w:autoSpaceDE w:val="0"/>
        <w:autoSpaceDN w:val="0"/>
        <w:adjustRightInd w:val="0"/>
        <w:spacing w:line="360" w:lineRule="auto"/>
        <w:jc w:val="both"/>
        <w:rPr>
          <w:lang w:val="es-CU" w:eastAsia="es-ES"/>
        </w:rPr>
      </w:pPr>
      <w:r w:rsidRPr="00025A5A">
        <w:rPr>
          <w:lang w:val="es-CU" w:eastAsia="es-ES"/>
        </w:rPr>
        <w:t>Aprobado: 13/09/2021</w:t>
      </w:r>
    </w:p>
    <w:p w14:paraId="6A8A9D25" w14:textId="77777777" w:rsidR="00025A5A" w:rsidRPr="00025A5A" w:rsidRDefault="00025A5A" w:rsidP="00025A5A">
      <w:pPr>
        <w:autoSpaceDE w:val="0"/>
        <w:autoSpaceDN w:val="0"/>
        <w:adjustRightInd w:val="0"/>
        <w:spacing w:line="360" w:lineRule="auto"/>
        <w:jc w:val="both"/>
        <w:rPr>
          <w:lang w:val="es-CU" w:eastAsia="es-ES"/>
        </w:rPr>
      </w:pPr>
    </w:p>
    <w:p w14:paraId="62BB7ED6" w14:textId="77777777" w:rsidR="00025A5A" w:rsidRPr="00025A5A" w:rsidRDefault="00025A5A" w:rsidP="00025A5A">
      <w:pPr>
        <w:autoSpaceDE w:val="0"/>
        <w:autoSpaceDN w:val="0"/>
        <w:adjustRightInd w:val="0"/>
        <w:spacing w:line="360" w:lineRule="auto"/>
        <w:jc w:val="both"/>
        <w:rPr>
          <w:b/>
          <w:lang w:val="es-CU" w:eastAsia="es-ES"/>
        </w:rPr>
      </w:pPr>
    </w:p>
    <w:p w14:paraId="4DFDD53F" w14:textId="77777777" w:rsidR="00025A5A" w:rsidRPr="00025A5A" w:rsidRDefault="00025A5A" w:rsidP="00025A5A">
      <w:pPr>
        <w:autoSpaceDE w:val="0"/>
        <w:autoSpaceDN w:val="0"/>
        <w:adjustRightInd w:val="0"/>
        <w:spacing w:line="360" w:lineRule="auto"/>
        <w:jc w:val="center"/>
        <w:rPr>
          <w:b/>
          <w:snapToGrid w:val="0"/>
          <w:vanish/>
          <w:sz w:val="32"/>
          <w:szCs w:val="32"/>
          <w:u w:val="single"/>
          <w:lang w:eastAsia="en-US"/>
        </w:rPr>
      </w:pPr>
      <w:r w:rsidRPr="00025A5A">
        <w:rPr>
          <w:b/>
          <w:sz w:val="32"/>
          <w:szCs w:val="32"/>
          <w:lang w:eastAsia="es-ES"/>
        </w:rPr>
        <w:t>INTRODUCIÓN</w:t>
      </w:r>
    </w:p>
    <w:p w14:paraId="1DEAB53E" w14:textId="77777777" w:rsidR="00025A5A" w:rsidRPr="00025A5A" w:rsidRDefault="00025A5A" w:rsidP="00025A5A">
      <w:pPr>
        <w:autoSpaceDE w:val="0"/>
        <w:autoSpaceDN w:val="0"/>
        <w:adjustRightInd w:val="0"/>
        <w:spacing w:line="360" w:lineRule="auto"/>
        <w:jc w:val="center"/>
        <w:rPr>
          <w:rFonts w:eastAsia="Calibri"/>
          <w:sz w:val="32"/>
          <w:szCs w:val="32"/>
          <w:lang w:eastAsia="en-US"/>
        </w:rPr>
      </w:pPr>
    </w:p>
    <w:p w14:paraId="5037DFD1" w14:textId="77777777" w:rsidR="00025A5A" w:rsidRPr="00025A5A" w:rsidRDefault="00025A5A" w:rsidP="00025A5A">
      <w:pPr>
        <w:autoSpaceDE w:val="0"/>
        <w:autoSpaceDN w:val="0"/>
        <w:adjustRightInd w:val="0"/>
        <w:spacing w:line="360" w:lineRule="auto"/>
        <w:jc w:val="both"/>
        <w:rPr>
          <w:color w:val="FF0000"/>
          <w:lang w:eastAsia="es-ES"/>
        </w:rPr>
      </w:pPr>
      <w:r w:rsidRPr="00025A5A">
        <w:rPr>
          <w:rFonts w:eastAsia="Calibri"/>
          <w:lang w:eastAsia="en-US"/>
        </w:rPr>
        <w:t>La enfermedad pulmonar obstructiva crónica (EPOC), se define como un proceso prevenible y tratable, caracterizado por limitación del flujo aéreo, no completamente reversible (disminución del volumen inspiratorio forzado en el primer segundo FEV</w:t>
      </w:r>
      <w:r w:rsidRPr="00025A5A">
        <w:rPr>
          <w:rFonts w:eastAsia="Calibri"/>
          <w:vertAlign w:val="subscript"/>
          <w:lang w:eastAsia="en-US"/>
        </w:rPr>
        <w:t>1</w:t>
      </w:r>
      <w:r w:rsidRPr="00025A5A">
        <w:rPr>
          <w:rFonts w:eastAsia="Calibri"/>
          <w:lang w:eastAsia="en-US"/>
        </w:rPr>
        <w:t xml:space="preserve"> y de la relación FEV</w:t>
      </w:r>
      <w:r w:rsidRPr="00025A5A">
        <w:rPr>
          <w:rFonts w:eastAsia="Calibri"/>
          <w:vertAlign w:val="subscript"/>
          <w:lang w:eastAsia="en-US"/>
        </w:rPr>
        <w:t>1</w:t>
      </w:r>
      <w:r w:rsidRPr="00025A5A">
        <w:rPr>
          <w:rFonts w:eastAsia="Calibri"/>
          <w:lang w:eastAsia="en-US"/>
        </w:rPr>
        <w:t>/FVC capacidad vital forzada), generalmente progresiva y asociada a una respuesta inflamatoria anormal de los pulmones a partículas o gases nocivos, producidos fundamentalmemte por el hábito tabáquico. Aunque afecta primariamente a los pulmones, también produce consecuencias sistémicas significativas. Incluye el enfisema pulmonar y la bronquitis crónica.</w:t>
      </w:r>
      <w:r w:rsidRPr="00025A5A">
        <w:rPr>
          <w:rFonts w:eastAsia="Calibri"/>
          <w:vertAlign w:val="superscript"/>
          <w:lang w:eastAsia="en-US"/>
        </w:rPr>
        <w:t>(1,2,</w:t>
      </w:r>
      <w:r w:rsidRPr="00025A5A">
        <w:rPr>
          <w:vertAlign w:val="superscript"/>
        </w:rPr>
        <w:t>3)</w:t>
      </w:r>
    </w:p>
    <w:p w14:paraId="0A923C08" w14:textId="77777777" w:rsidR="00025A5A" w:rsidRPr="00025A5A" w:rsidRDefault="00025A5A" w:rsidP="00025A5A">
      <w:pPr>
        <w:spacing w:line="360" w:lineRule="auto"/>
        <w:contextualSpacing/>
        <w:jc w:val="both"/>
        <w:rPr>
          <w:rFonts w:eastAsia="Calibri"/>
          <w:lang w:eastAsia="en-US"/>
        </w:rPr>
      </w:pPr>
      <w:r w:rsidRPr="00025A5A">
        <w:rPr>
          <w:rFonts w:eastAsia="Calibri"/>
          <w:lang w:eastAsia="en-US"/>
        </w:rPr>
        <w:t xml:space="preserve">Está fundamentalmente asociada al tabaquismo, aunque existen otros factores de riesgo como: exposición a humos tóxicos, contaminación atmosférica en espacios interiores y exteriores, polvos y productos químicos del ambiente laboral, factores genéticos, </w:t>
      </w:r>
      <w:r w:rsidRPr="00025A5A">
        <w:rPr>
          <w:bCs/>
          <w:lang w:eastAsia="es-ES"/>
        </w:rPr>
        <w:t>asma e hiperreactividad de las vías aéreas,</w:t>
      </w:r>
      <w:r w:rsidRPr="00025A5A">
        <w:rPr>
          <w:rFonts w:eastAsia="Calibri"/>
          <w:lang w:eastAsia="en-US"/>
        </w:rPr>
        <w:t xml:space="preserve"> bronquitis crónica, edad y sexo,</w:t>
      </w:r>
      <w:r w:rsidRPr="00025A5A">
        <w:rPr>
          <w:bCs/>
          <w:lang w:eastAsia="es-ES"/>
        </w:rPr>
        <w:t xml:space="preserve"> crecimiento y desarrollo pulmonares,</w:t>
      </w:r>
      <w:r w:rsidRPr="00025A5A">
        <w:rPr>
          <w:rFonts w:eastAsia="Calibri"/>
          <w:lang w:eastAsia="en-US"/>
        </w:rPr>
        <w:t xml:space="preserve"> posición socioeconómica,</w:t>
      </w:r>
      <w:r w:rsidRPr="00025A5A">
        <w:rPr>
          <w:bCs/>
          <w:lang w:eastAsia="es-ES"/>
        </w:rPr>
        <w:t xml:space="preserve"> infecciones.</w:t>
      </w:r>
      <w:r w:rsidRPr="00025A5A">
        <w:rPr>
          <w:bCs/>
          <w:vertAlign w:val="superscript"/>
          <w:lang w:eastAsia="es-ES"/>
        </w:rPr>
        <w:t>(2</w:t>
      </w:r>
      <w:r w:rsidRPr="00025A5A">
        <w:rPr>
          <w:iCs/>
          <w:vertAlign w:val="superscript"/>
          <w:lang w:eastAsia="es-ES"/>
        </w:rPr>
        <w:t>,</w:t>
      </w:r>
      <w:r w:rsidRPr="00025A5A">
        <w:rPr>
          <w:vertAlign w:val="superscript"/>
        </w:rPr>
        <w:t>3,</w:t>
      </w:r>
      <w:r w:rsidRPr="00025A5A">
        <w:rPr>
          <w:rFonts w:eastAsia="Calibri"/>
          <w:vertAlign w:val="superscript"/>
          <w:lang w:eastAsia="en-US"/>
        </w:rPr>
        <w:t>4,5)</w:t>
      </w:r>
    </w:p>
    <w:p w14:paraId="2715AFFC" w14:textId="77777777" w:rsidR="00025A5A" w:rsidRPr="00025A5A" w:rsidRDefault="00025A5A" w:rsidP="00025A5A">
      <w:pPr>
        <w:autoSpaceDE w:val="0"/>
        <w:autoSpaceDN w:val="0"/>
        <w:adjustRightInd w:val="0"/>
        <w:spacing w:line="360" w:lineRule="auto"/>
        <w:contextualSpacing/>
        <w:jc w:val="both"/>
        <w:rPr>
          <w:rFonts w:eastAsia="Calibri"/>
          <w:lang w:eastAsia="en-US"/>
        </w:rPr>
      </w:pPr>
      <w:r w:rsidRPr="00025A5A">
        <w:rPr>
          <w:rFonts w:eastAsia="Calibri"/>
          <w:lang w:eastAsia="en-US"/>
        </w:rPr>
        <w:t>Se estima que en el mundo, 210 millones de personas la padecen y causa la muerte de alrededor de 3 millones por año. Para el 2030, ocupará el 7,8 % de todas las causas de muerte y representará el 27 % de las muertes relacionadas con el tabaquismo, solo superada por el cáncer (33 %) y las enfermedades cardiovasculares (29 %).</w:t>
      </w:r>
      <w:r w:rsidRPr="00025A5A">
        <w:rPr>
          <w:rFonts w:eastAsia="Calibri"/>
          <w:vertAlign w:val="superscript"/>
          <w:lang w:eastAsia="en-US"/>
        </w:rPr>
        <w:t>(5,6)</w:t>
      </w:r>
    </w:p>
    <w:p w14:paraId="060D2F6A" w14:textId="51D7A30A" w:rsidR="00025A5A" w:rsidRPr="00025A5A" w:rsidRDefault="00025A5A" w:rsidP="00025A5A">
      <w:pPr>
        <w:autoSpaceDE w:val="0"/>
        <w:autoSpaceDN w:val="0"/>
        <w:adjustRightInd w:val="0"/>
        <w:spacing w:line="360" w:lineRule="auto"/>
        <w:contextualSpacing/>
        <w:jc w:val="both"/>
        <w:rPr>
          <w:rFonts w:eastAsia="Calibri"/>
          <w:vertAlign w:val="superscript"/>
          <w:lang w:eastAsia="en-US"/>
        </w:rPr>
      </w:pPr>
      <w:r w:rsidRPr="00025A5A">
        <w:rPr>
          <w:rFonts w:eastAsia="Calibri"/>
          <w:lang w:eastAsia="en-US"/>
        </w:rPr>
        <w:lastRenderedPageBreak/>
        <w:t>Su prevalencia en Cuba es del 3 %, pero en mayores de 65 años es del 20 %.</w:t>
      </w:r>
      <w:r w:rsidRPr="00025A5A">
        <w:rPr>
          <w:rFonts w:eastAsia="Calibri"/>
          <w:vertAlign w:val="superscript"/>
          <w:lang w:eastAsia="en-US"/>
        </w:rPr>
        <w:t>(6)</w:t>
      </w:r>
      <w:r w:rsidRPr="00025A5A">
        <w:rPr>
          <w:rFonts w:eastAsia="Calibri"/>
          <w:lang w:eastAsia="en-US"/>
        </w:rPr>
        <w:t xml:space="preserve"> Además, según el anuario estadístico nacional, las enfermedades crónicas de las vías respiratorias inferiores constituyeron la séptima causa de muerte en el año 2018, con 4 079 defunciones y una tasa mortalidad de 17,1 por 100</w:t>
      </w:r>
      <w:r w:rsidR="001E0F43">
        <w:rPr>
          <w:rFonts w:eastAsia="Calibri"/>
          <w:lang w:eastAsia="en-US"/>
        </w:rPr>
        <w:t> </w:t>
      </w:r>
      <w:r w:rsidRPr="00025A5A">
        <w:rPr>
          <w:rFonts w:eastAsia="Calibri"/>
          <w:lang w:eastAsia="en-US"/>
        </w:rPr>
        <w:t>000 habitantes.</w:t>
      </w:r>
      <w:r w:rsidRPr="00025A5A">
        <w:rPr>
          <w:rFonts w:eastAsia="Calibri"/>
          <w:vertAlign w:val="superscript"/>
          <w:lang w:eastAsia="en-US"/>
        </w:rPr>
        <w:t>(7)</w:t>
      </w:r>
    </w:p>
    <w:p w14:paraId="42E0B951" w14:textId="77777777" w:rsidR="00025A5A" w:rsidRPr="00025A5A" w:rsidRDefault="00025A5A" w:rsidP="00025A5A">
      <w:pPr>
        <w:spacing w:line="360" w:lineRule="auto"/>
        <w:jc w:val="both"/>
        <w:rPr>
          <w:rFonts w:eastAsia="Calibri"/>
          <w:lang w:eastAsia="es-ES"/>
        </w:rPr>
      </w:pPr>
      <w:r w:rsidRPr="00025A5A">
        <w:rPr>
          <w:rFonts w:eastAsia="Calibri"/>
          <w:lang w:eastAsia="es-ES"/>
        </w:rPr>
        <w:t>Esta investigación se planteó conocer algunas características clínicas y epidemiológicas de los pacientes con antecedentes de EPOC que ingresan en la unidad de cuidados intensivos (UCI) con vista a disminuir su mortalidad, lo que permitirá elaborar estrategias en el manejo de ellos.</w:t>
      </w:r>
    </w:p>
    <w:p w14:paraId="42324107" w14:textId="77777777" w:rsidR="00025A5A" w:rsidRPr="00025A5A" w:rsidRDefault="00025A5A" w:rsidP="00025A5A">
      <w:pPr>
        <w:spacing w:line="360" w:lineRule="auto"/>
        <w:jc w:val="both"/>
        <w:rPr>
          <w:rFonts w:eastAsia="Calibri"/>
          <w:lang w:eastAsia="es-ES"/>
        </w:rPr>
      </w:pPr>
      <w:r w:rsidRPr="00025A5A">
        <w:rPr>
          <w:rFonts w:eastAsia="Calibri"/>
          <w:lang w:eastAsia="es-ES"/>
        </w:rPr>
        <w:t>El objetivo de este estudio es caracterizar los pacientes con antecedentes de EPOC, ingresados por cualquier causa en la UCI.</w:t>
      </w:r>
    </w:p>
    <w:p w14:paraId="1CF572E6" w14:textId="77777777" w:rsidR="00025A5A" w:rsidRPr="00025A5A" w:rsidRDefault="00025A5A" w:rsidP="00025A5A">
      <w:pPr>
        <w:spacing w:line="360" w:lineRule="auto"/>
        <w:jc w:val="both"/>
        <w:rPr>
          <w:rFonts w:eastAsia="Calibri"/>
          <w:b/>
          <w:lang w:eastAsia="en-US"/>
        </w:rPr>
      </w:pPr>
    </w:p>
    <w:p w14:paraId="0F45B4BA" w14:textId="77777777" w:rsidR="00025A5A" w:rsidRPr="00025A5A" w:rsidRDefault="00025A5A" w:rsidP="00025A5A">
      <w:pPr>
        <w:snapToGrid w:val="0"/>
        <w:spacing w:line="360" w:lineRule="auto"/>
        <w:jc w:val="center"/>
        <w:rPr>
          <w:b/>
          <w:lang w:eastAsia="en-US"/>
        </w:rPr>
      </w:pPr>
    </w:p>
    <w:p w14:paraId="00330EE1" w14:textId="77777777" w:rsidR="00025A5A" w:rsidRPr="00025A5A" w:rsidRDefault="00025A5A" w:rsidP="00025A5A">
      <w:pPr>
        <w:snapToGrid w:val="0"/>
        <w:spacing w:line="360" w:lineRule="auto"/>
        <w:jc w:val="center"/>
        <w:rPr>
          <w:b/>
          <w:sz w:val="32"/>
          <w:szCs w:val="32"/>
          <w:lang w:eastAsia="en-US"/>
        </w:rPr>
      </w:pPr>
      <w:r w:rsidRPr="00025A5A">
        <w:rPr>
          <w:b/>
          <w:sz w:val="32"/>
          <w:szCs w:val="32"/>
          <w:lang w:eastAsia="en-US"/>
        </w:rPr>
        <w:t>MÉTODOS</w:t>
      </w:r>
    </w:p>
    <w:p w14:paraId="41CE6FE8" w14:textId="77777777" w:rsidR="00025A5A" w:rsidRPr="00025A5A" w:rsidRDefault="00025A5A" w:rsidP="00025A5A">
      <w:pPr>
        <w:spacing w:line="360" w:lineRule="auto"/>
        <w:jc w:val="both"/>
        <w:rPr>
          <w:color w:val="000000"/>
        </w:rPr>
      </w:pPr>
      <w:r w:rsidRPr="00025A5A">
        <w:rPr>
          <w:lang w:eastAsia="x-none"/>
        </w:rPr>
        <w:t xml:space="preserve">Se realizó un estudio retrospectivo descriptivo, la información se recogió de la base de datos existente en el servicio </w:t>
      </w:r>
      <w:r w:rsidRPr="00025A5A">
        <w:rPr>
          <w:rFonts w:eastAsia="Calibri"/>
          <w:lang w:eastAsia="es-ES"/>
        </w:rPr>
        <w:t>UCI</w:t>
      </w:r>
      <w:r w:rsidRPr="00025A5A">
        <w:rPr>
          <w:lang w:eastAsia="x-none"/>
        </w:rPr>
        <w:t xml:space="preserve"> del Hospital Dr. “Carlos J. Finlay” durante el periodo de enero del 2011 a diciembre del 2020. Se seleccionaron todos los pacientes </w:t>
      </w:r>
      <w:r w:rsidRPr="00025A5A">
        <w:rPr>
          <w:rFonts w:eastAsia="Calibri"/>
          <w:lang w:eastAsia="es-ES"/>
        </w:rPr>
        <w:t>con antecedentes de EPOC</w:t>
      </w:r>
      <w:r w:rsidRPr="00025A5A">
        <w:rPr>
          <w:lang w:eastAsia="x-none"/>
        </w:rPr>
        <w:t xml:space="preserve"> ingresados, de</w:t>
      </w:r>
      <w:r w:rsidRPr="00025A5A">
        <w:rPr>
          <w:color w:val="000000"/>
        </w:rPr>
        <w:t xml:space="preserve"> ambos sexos, </w:t>
      </w:r>
      <w:r w:rsidRPr="00025A5A">
        <w:rPr>
          <w:lang w:eastAsia="x-none"/>
        </w:rPr>
        <w:t>por cualquier motivo de ingreso. Se excluyeron quienes tenían información incompleta en la base de datos.</w:t>
      </w:r>
      <w:r w:rsidRPr="00025A5A">
        <w:rPr>
          <w:color w:val="000000"/>
        </w:rPr>
        <w:t xml:space="preserve"> La serie quedó constituida por </w:t>
      </w:r>
      <w:r w:rsidRPr="00025A5A">
        <w:rPr>
          <w:lang w:eastAsia="x-none"/>
        </w:rPr>
        <w:t xml:space="preserve">347 </w:t>
      </w:r>
      <w:r w:rsidRPr="00025A5A">
        <w:rPr>
          <w:color w:val="000000"/>
        </w:rPr>
        <w:t xml:space="preserve">pacientes. </w:t>
      </w:r>
    </w:p>
    <w:p w14:paraId="27A7EA88" w14:textId="77777777" w:rsidR="00025A5A" w:rsidRPr="00025A5A" w:rsidRDefault="00025A5A" w:rsidP="00025A5A">
      <w:pPr>
        <w:spacing w:line="360" w:lineRule="auto"/>
        <w:jc w:val="both"/>
        <w:rPr>
          <w:lang w:eastAsia="x-none"/>
        </w:rPr>
      </w:pPr>
      <w:r w:rsidRPr="00025A5A">
        <w:rPr>
          <w:color w:val="000000"/>
        </w:rPr>
        <w:t>Las variables estudiadas fueron:</w:t>
      </w:r>
      <w:r w:rsidRPr="00025A5A">
        <w:rPr>
          <w:lang w:eastAsia="x-none"/>
        </w:rPr>
        <w:t xml:space="preserve"> edad, sexo, </w:t>
      </w:r>
      <w:r w:rsidRPr="00025A5A">
        <w:rPr>
          <w:snapToGrid w:val="0"/>
          <w:color w:val="000000"/>
          <w:lang w:eastAsia="x-none"/>
        </w:rPr>
        <w:t>causa</w:t>
      </w:r>
      <w:r w:rsidRPr="00025A5A">
        <w:rPr>
          <w:lang w:eastAsia="x-none"/>
        </w:rPr>
        <w:t xml:space="preserve"> de ingreso, estado al egreso, valor de la escala APACHE II al ingreso, ventilación mecánica</w:t>
      </w:r>
      <w:r w:rsidRPr="00025A5A">
        <w:rPr>
          <w:color w:val="FF0000"/>
          <w:lang w:eastAsia="x-none"/>
        </w:rPr>
        <w:t xml:space="preserve"> </w:t>
      </w:r>
      <w:r w:rsidRPr="00025A5A">
        <w:rPr>
          <w:lang w:eastAsia="x-none"/>
        </w:rPr>
        <w:t>invasiva</w:t>
      </w:r>
      <w:r w:rsidRPr="00025A5A">
        <w:rPr>
          <w:color w:val="FF0000"/>
          <w:lang w:eastAsia="x-none"/>
        </w:rPr>
        <w:t xml:space="preserve"> </w:t>
      </w:r>
      <w:r w:rsidRPr="00025A5A">
        <w:rPr>
          <w:lang w:eastAsia="x-none"/>
        </w:rPr>
        <w:t>(VMI), traqueostomía, y causa directa de muerte según necropsias realizadas.</w:t>
      </w:r>
    </w:p>
    <w:p w14:paraId="6FDD1DB3" w14:textId="77777777" w:rsidR="00025A5A" w:rsidRPr="00025A5A" w:rsidRDefault="00025A5A" w:rsidP="00025A5A">
      <w:pPr>
        <w:autoSpaceDE w:val="0"/>
        <w:autoSpaceDN w:val="0"/>
        <w:adjustRightInd w:val="0"/>
        <w:spacing w:line="360" w:lineRule="auto"/>
        <w:jc w:val="both"/>
        <w:rPr>
          <w:color w:val="000000"/>
        </w:rPr>
      </w:pPr>
      <w:r w:rsidRPr="00025A5A">
        <w:rPr>
          <w:color w:val="000000"/>
        </w:rPr>
        <w:t xml:space="preserve">Sobre la base de la enfermedad, se clasificaron las causas de ingreso como: </w:t>
      </w:r>
    </w:p>
    <w:p w14:paraId="10C94202" w14:textId="77777777" w:rsidR="00025A5A" w:rsidRPr="00025A5A" w:rsidRDefault="00025A5A" w:rsidP="00025A5A">
      <w:pPr>
        <w:autoSpaceDE w:val="0"/>
        <w:autoSpaceDN w:val="0"/>
        <w:adjustRightInd w:val="0"/>
        <w:spacing w:line="360" w:lineRule="auto"/>
        <w:jc w:val="both"/>
        <w:rPr>
          <w:color w:val="000000"/>
        </w:rPr>
      </w:pPr>
    </w:p>
    <w:p w14:paraId="13F60273" w14:textId="77777777" w:rsidR="00025A5A" w:rsidRPr="00025A5A" w:rsidRDefault="00025A5A" w:rsidP="00025A5A">
      <w:pPr>
        <w:numPr>
          <w:ilvl w:val="0"/>
          <w:numId w:val="29"/>
        </w:numPr>
        <w:autoSpaceDE w:val="0"/>
        <w:autoSpaceDN w:val="0"/>
        <w:adjustRightInd w:val="0"/>
        <w:spacing w:line="360" w:lineRule="auto"/>
        <w:jc w:val="both"/>
        <w:rPr>
          <w:color w:val="000000"/>
        </w:rPr>
      </w:pPr>
      <w:r w:rsidRPr="00025A5A">
        <w:rPr>
          <w:color w:val="000000"/>
        </w:rPr>
        <w:t xml:space="preserve">Clínicas: ingresados con entidades clínicas, no sometidos a intervención quirúrgica, ni con traumas. </w:t>
      </w:r>
    </w:p>
    <w:p w14:paraId="5FC8A056" w14:textId="77777777" w:rsidR="00025A5A" w:rsidRPr="00025A5A" w:rsidRDefault="00025A5A" w:rsidP="00025A5A">
      <w:pPr>
        <w:numPr>
          <w:ilvl w:val="0"/>
          <w:numId w:val="29"/>
        </w:numPr>
        <w:autoSpaceDE w:val="0"/>
        <w:autoSpaceDN w:val="0"/>
        <w:adjustRightInd w:val="0"/>
        <w:spacing w:line="360" w:lineRule="auto"/>
        <w:jc w:val="both"/>
        <w:rPr>
          <w:color w:val="000000"/>
        </w:rPr>
      </w:pPr>
      <w:r w:rsidRPr="00025A5A">
        <w:rPr>
          <w:color w:val="000000"/>
        </w:rPr>
        <w:t xml:space="preserve">Quirúrgicas: ingresados por entidades quirúrgicas, sometidos a intervenciones electivas o de urgencia, que no fueran de origen traumático. </w:t>
      </w:r>
    </w:p>
    <w:p w14:paraId="2EBBE3AD" w14:textId="77777777" w:rsidR="00025A5A" w:rsidRPr="00025A5A" w:rsidRDefault="00025A5A" w:rsidP="00025A5A">
      <w:pPr>
        <w:numPr>
          <w:ilvl w:val="0"/>
          <w:numId w:val="29"/>
        </w:numPr>
        <w:autoSpaceDE w:val="0"/>
        <w:autoSpaceDN w:val="0"/>
        <w:adjustRightInd w:val="0"/>
        <w:spacing w:line="360" w:lineRule="auto"/>
        <w:jc w:val="both"/>
        <w:rPr>
          <w:color w:val="000000"/>
        </w:rPr>
      </w:pPr>
      <w:r w:rsidRPr="00025A5A">
        <w:rPr>
          <w:color w:val="000000"/>
        </w:rPr>
        <w:t xml:space="preserve">Traumáticas: ingresados por cualquier tipo de traumatismo, operado o no. </w:t>
      </w:r>
    </w:p>
    <w:p w14:paraId="791A34EB" w14:textId="77777777" w:rsidR="00025A5A" w:rsidRPr="00025A5A" w:rsidRDefault="00025A5A" w:rsidP="00025A5A">
      <w:pPr>
        <w:autoSpaceDE w:val="0"/>
        <w:autoSpaceDN w:val="0"/>
        <w:adjustRightInd w:val="0"/>
        <w:spacing w:line="360" w:lineRule="auto"/>
        <w:jc w:val="both"/>
        <w:rPr>
          <w:color w:val="000000"/>
        </w:rPr>
      </w:pPr>
    </w:p>
    <w:p w14:paraId="7D6D09BD" w14:textId="77777777" w:rsidR="00025A5A" w:rsidRPr="00025A5A" w:rsidRDefault="00025A5A" w:rsidP="00025A5A">
      <w:pPr>
        <w:autoSpaceDE w:val="0"/>
        <w:autoSpaceDN w:val="0"/>
        <w:adjustRightInd w:val="0"/>
        <w:spacing w:line="360" w:lineRule="auto"/>
        <w:jc w:val="both"/>
        <w:rPr>
          <w:color w:val="000000"/>
        </w:rPr>
      </w:pPr>
      <w:r w:rsidRPr="00025A5A">
        <w:rPr>
          <w:color w:val="000000"/>
        </w:rPr>
        <w:lastRenderedPageBreak/>
        <w:t xml:space="preserve">Los valores de la escala de APACHE II se obtuvieron al ingreso en la UCI y se distribuyeron en dos grupos: ≤ de 15 puntos y &gt; 15 puntos. </w:t>
      </w:r>
    </w:p>
    <w:p w14:paraId="5B1B86ED" w14:textId="5FC280F7" w:rsidR="00025A5A" w:rsidRPr="00025A5A" w:rsidRDefault="00025A5A" w:rsidP="00025A5A">
      <w:pPr>
        <w:spacing w:line="360" w:lineRule="auto"/>
        <w:jc w:val="both"/>
        <w:rPr>
          <w:lang w:eastAsia="x-none"/>
        </w:rPr>
      </w:pPr>
      <w:r w:rsidRPr="00025A5A">
        <w:rPr>
          <w:lang w:eastAsia="x-none"/>
        </w:rPr>
        <w:t xml:space="preserve">Los datos se procesaron con el sistema STATISTICA. Se realizó un análisis estadístico univariado a todas las variables, se hallaron las distribuciones de frecuencias en las variables cualitativas y las medidas de tendencia central (razón, media aritmética y mediana) en las variables cuantitativas. Se realizó un análisis estadístico bivariado, para explorar relación entre variables, mediante tablas de contingencias, utilizando la prueba de </w:t>
      </w:r>
      <w:r w:rsidRPr="00025A5A">
        <w:rPr>
          <w:i/>
          <w:iCs/>
          <w:lang w:eastAsia="x-none"/>
        </w:rPr>
        <w:t>ji</w:t>
      </w:r>
      <w:r w:rsidRPr="00025A5A">
        <w:rPr>
          <w:lang w:eastAsia="x-none"/>
        </w:rPr>
        <w:t xml:space="preserve"> cuadrado (X</w:t>
      </w:r>
      <w:r w:rsidRPr="00025A5A">
        <w:rPr>
          <w:vertAlign w:val="superscript"/>
          <w:lang w:eastAsia="x-none"/>
        </w:rPr>
        <w:t>2</w:t>
      </w:r>
      <w:r w:rsidRPr="00025A5A">
        <w:rPr>
          <w:lang w:eastAsia="x-none"/>
        </w:rPr>
        <w:t xml:space="preserve">) (sexo, edad, </w:t>
      </w:r>
      <w:r w:rsidRPr="00025A5A">
        <w:rPr>
          <w:snapToGrid w:val="0"/>
          <w:color w:val="000000"/>
          <w:lang w:eastAsia="x-none"/>
        </w:rPr>
        <w:t>causa</w:t>
      </w:r>
      <w:r w:rsidRPr="00025A5A">
        <w:rPr>
          <w:lang w:eastAsia="x-none"/>
        </w:rPr>
        <w:t xml:space="preserve"> de ingreso, APACHE II al ingreso, VMI, traqueostomía y estado al egreso). Se compararon las medias mediante la prueba t de Student</w:t>
      </w:r>
      <w:r w:rsidRPr="00025A5A">
        <w:rPr>
          <w:lang w:val="es-ES" w:eastAsia="x-none"/>
        </w:rPr>
        <w:t xml:space="preserve"> (edad y el </w:t>
      </w:r>
      <w:r w:rsidRPr="00025A5A">
        <w:rPr>
          <w:lang w:eastAsia="x-none"/>
        </w:rPr>
        <w:t>valor de la escala APACHE II al ingreso</w:t>
      </w:r>
      <w:r w:rsidRPr="00025A5A">
        <w:rPr>
          <w:lang w:val="es-ES" w:eastAsia="x-none"/>
        </w:rPr>
        <w:t>)</w:t>
      </w:r>
      <w:r w:rsidRPr="00025A5A">
        <w:rPr>
          <w:lang w:eastAsia="x-none"/>
        </w:rPr>
        <w:t xml:space="preserve">. Se consideró un nivel de significación del 5 %. La cuantificación del riesgo de fallecer se hizo mediante el </w:t>
      </w:r>
      <w:r w:rsidRPr="00025A5A">
        <w:rPr>
          <w:i/>
          <w:iCs/>
          <w:lang w:eastAsia="x-none"/>
        </w:rPr>
        <w:t>o</w:t>
      </w:r>
      <w:r w:rsidRPr="00025A5A">
        <w:rPr>
          <w:i/>
          <w:lang w:eastAsia="x-none"/>
        </w:rPr>
        <w:t>dd ratio</w:t>
      </w:r>
      <w:r w:rsidRPr="00025A5A">
        <w:rPr>
          <w:iCs/>
          <w:lang w:eastAsia="x-none"/>
        </w:rPr>
        <w:t>,</w:t>
      </w:r>
      <w:r w:rsidRPr="00025A5A">
        <w:rPr>
          <w:lang w:eastAsia="x-none"/>
        </w:rPr>
        <w:t xml:space="preserve"> con un intervalo de confianza del 95</w:t>
      </w:r>
      <w:r w:rsidR="004C2543">
        <w:rPr>
          <w:lang w:eastAsia="x-none"/>
        </w:rPr>
        <w:t> </w:t>
      </w:r>
      <w:r w:rsidRPr="00025A5A">
        <w:rPr>
          <w:lang w:eastAsia="x-none"/>
        </w:rPr>
        <w:t xml:space="preserve">%, calculado por el método de </w:t>
      </w:r>
      <w:r w:rsidRPr="00025A5A">
        <w:rPr>
          <w:iCs/>
          <w:lang w:eastAsia="x-none"/>
        </w:rPr>
        <w:t>Woolf.</w:t>
      </w:r>
    </w:p>
    <w:p w14:paraId="4A142842" w14:textId="77777777" w:rsidR="00025A5A" w:rsidRPr="00025A5A" w:rsidRDefault="00025A5A" w:rsidP="00025A5A">
      <w:pPr>
        <w:spacing w:line="360" w:lineRule="auto"/>
        <w:jc w:val="both"/>
        <w:rPr>
          <w:lang w:eastAsia="x-none"/>
        </w:rPr>
      </w:pPr>
      <w:r w:rsidRPr="00025A5A">
        <w:rPr>
          <w:lang w:eastAsia="x-none"/>
        </w:rPr>
        <w:t xml:space="preserve">No se informan datos de identidad de los pacientes y se protegió la privacidad en el análisis e informe. El trabajo fue aprobado por el consejo científico del Hospital Militar Central “Dr. Carlos J. Finlay”. </w:t>
      </w:r>
    </w:p>
    <w:p w14:paraId="025956FA" w14:textId="77777777" w:rsidR="00025A5A" w:rsidRPr="00025A5A" w:rsidRDefault="00025A5A" w:rsidP="00025A5A">
      <w:pPr>
        <w:spacing w:line="360" w:lineRule="auto"/>
        <w:jc w:val="center"/>
        <w:rPr>
          <w:b/>
          <w:lang w:eastAsia="es-ES"/>
        </w:rPr>
      </w:pPr>
    </w:p>
    <w:p w14:paraId="386A76FC" w14:textId="77777777" w:rsidR="00025A5A" w:rsidRPr="00025A5A" w:rsidRDefault="00025A5A" w:rsidP="00025A5A">
      <w:pPr>
        <w:spacing w:line="360" w:lineRule="auto"/>
        <w:jc w:val="center"/>
        <w:rPr>
          <w:b/>
          <w:lang w:eastAsia="es-ES"/>
        </w:rPr>
      </w:pPr>
    </w:p>
    <w:p w14:paraId="676363EF" w14:textId="77777777" w:rsidR="00025A5A" w:rsidRPr="00025A5A" w:rsidRDefault="00025A5A" w:rsidP="00025A5A">
      <w:pPr>
        <w:spacing w:line="360" w:lineRule="auto"/>
        <w:jc w:val="center"/>
        <w:rPr>
          <w:b/>
          <w:sz w:val="32"/>
          <w:szCs w:val="32"/>
          <w:lang w:eastAsia="es-ES"/>
        </w:rPr>
      </w:pPr>
      <w:r w:rsidRPr="00025A5A">
        <w:rPr>
          <w:b/>
          <w:sz w:val="32"/>
          <w:szCs w:val="32"/>
          <w:lang w:eastAsia="es-ES"/>
        </w:rPr>
        <w:t>RESULTADOS</w:t>
      </w:r>
    </w:p>
    <w:p w14:paraId="6AFDB61E" w14:textId="30A52878" w:rsidR="00025A5A" w:rsidRPr="00025A5A" w:rsidRDefault="00025A5A" w:rsidP="00025A5A">
      <w:pPr>
        <w:spacing w:line="360" w:lineRule="auto"/>
        <w:jc w:val="both"/>
        <w:rPr>
          <w:lang w:eastAsia="es-ES"/>
        </w:rPr>
      </w:pPr>
      <w:r w:rsidRPr="00025A5A">
        <w:rPr>
          <w:lang w:eastAsia="es-ES"/>
        </w:rPr>
        <w:t>En la serie estudiada, predominó el estado al egreso fallecido</w:t>
      </w:r>
      <w:r w:rsidR="00DE5BD5">
        <w:rPr>
          <w:lang w:eastAsia="es-ES"/>
        </w:rPr>
        <w:t xml:space="preserve"> (tabla 1)</w:t>
      </w:r>
      <w:r w:rsidRPr="00025A5A">
        <w:rPr>
          <w:lang w:eastAsia="es-ES"/>
        </w:rPr>
        <w:t xml:space="preserve">. La razón sexo femenino/ masculino fue de 1:1 mujeres por cada hombre. El sexo femenino fue mayoría, sin embargo, presentó un porcentaje de fallecidos ligeramente superior al masculino, sin diferencias estadísticamente significativas (p = 0,36). </w:t>
      </w:r>
    </w:p>
    <w:p w14:paraId="22408520" w14:textId="77777777" w:rsidR="00025A5A" w:rsidRPr="00025A5A" w:rsidRDefault="00025A5A" w:rsidP="00025A5A">
      <w:pPr>
        <w:spacing w:line="360" w:lineRule="auto"/>
        <w:jc w:val="both"/>
        <w:rPr>
          <w:lang w:eastAsia="es-ES"/>
        </w:rPr>
      </w:pPr>
    </w:p>
    <w:p w14:paraId="203FE994" w14:textId="77777777" w:rsidR="00025A5A" w:rsidRPr="00025A5A" w:rsidRDefault="00025A5A" w:rsidP="00025A5A">
      <w:pPr>
        <w:autoSpaceDE w:val="0"/>
        <w:autoSpaceDN w:val="0"/>
        <w:adjustRightInd w:val="0"/>
        <w:spacing w:line="360" w:lineRule="auto"/>
        <w:jc w:val="center"/>
        <w:rPr>
          <w:bCs/>
          <w:sz w:val="22"/>
          <w:szCs w:val="22"/>
          <w:lang w:eastAsia="es-ES"/>
        </w:rPr>
      </w:pPr>
      <w:r w:rsidRPr="00025A5A">
        <w:rPr>
          <w:b/>
          <w:bCs/>
          <w:sz w:val="22"/>
          <w:szCs w:val="22"/>
          <w:lang w:eastAsia="es-ES"/>
        </w:rPr>
        <w:t xml:space="preserve">Tabla 1 - </w:t>
      </w:r>
      <w:r w:rsidRPr="00025A5A">
        <w:rPr>
          <w:bCs/>
          <w:sz w:val="22"/>
          <w:szCs w:val="22"/>
          <w:lang w:eastAsia="es-ES"/>
        </w:rPr>
        <w:t>Distribución según sexo, grupos de edades y estado al egreso</w:t>
      </w:r>
    </w:p>
    <w:p w14:paraId="177872C2" w14:textId="4BAD5751" w:rsidR="00025A5A" w:rsidRDefault="00662316" w:rsidP="00662316">
      <w:pPr>
        <w:spacing w:line="360" w:lineRule="auto"/>
        <w:jc w:val="center"/>
        <w:rPr>
          <w:lang w:eastAsia="es-ES"/>
        </w:rPr>
      </w:pPr>
      <w:r>
        <w:rPr>
          <w:noProof/>
          <w:lang w:eastAsia="es-ES"/>
        </w:rPr>
        <w:drawing>
          <wp:inline distT="0" distB="0" distL="0" distR="0" wp14:anchorId="53FBAAD9" wp14:editId="6B060749">
            <wp:extent cx="4524375" cy="18573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4">
                      <a:extLst>
                        <a:ext uri="{28A0092B-C50C-407E-A947-70E740481C1C}">
                          <a14:useLocalDpi xmlns:a14="http://schemas.microsoft.com/office/drawing/2010/main" val="0"/>
                        </a:ext>
                      </a:extLst>
                    </a:blip>
                    <a:stretch>
                      <a:fillRect/>
                    </a:stretch>
                  </pic:blipFill>
                  <pic:spPr>
                    <a:xfrm>
                      <a:off x="0" y="0"/>
                      <a:ext cx="4524375" cy="1857375"/>
                    </a:xfrm>
                    <a:prstGeom prst="rect">
                      <a:avLst/>
                    </a:prstGeom>
                  </pic:spPr>
                </pic:pic>
              </a:graphicData>
            </a:graphic>
          </wp:inline>
        </w:drawing>
      </w:r>
    </w:p>
    <w:p w14:paraId="47B49413" w14:textId="77777777" w:rsidR="00662316" w:rsidRPr="00025A5A" w:rsidRDefault="00662316" w:rsidP="00662316">
      <w:pPr>
        <w:spacing w:line="360" w:lineRule="auto"/>
        <w:jc w:val="center"/>
        <w:rPr>
          <w:lang w:eastAsia="es-ES"/>
        </w:rPr>
      </w:pPr>
    </w:p>
    <w:p w14:paraId="02D749BB" w14:textId="6728D05F" w:rsidR="00025A5A" w:rsidRDefault="00025A5A" w:rsidP="00025A5A">
      <w:pPr>
        <w:spacing w:line="360" w:lineRule="auto"/>
        <w:jc w:val="both"/>
        <w:rPr>
          <w:lang w:eastAsia="es-ES"/>
        </w:rPr>
      </w:pPr>
      <w:r w:rsidRPr="00025A5A">
        <w:rPr>
          <w:lang w:eastAsia="es-ES"/>
        </w:rPr>
        <w:t>La edad media de la serie fue de 68,5 ± 10,3 años, con una mediana de 69. En los fallecidos, 69,8 ± 10,1 con mediana de 71, mientras en los egresados vivos de 66,0 ± 10,4 años, con mediana de 67 años. La comparación entre las medias tuvo diferencias muy significativas (p = 0,001). El grupo de edad predominante fue de 60 a 79 años, con diferencias significativas al relacionar los grupos de edad con el estado de egreso. Los fallecidos predominaron a partir de los 60 años y más.</w:t>
      </w:r>
    </w:p>
    <w:p w14:paraId="4C013A27" w14:textId="4C7FC400" w:rsidR="00DE5BD5" w:rsidRPr="00025A5A" w:rsidRDefault="00DE5BD5" w:rsidP="00DE5BD5">
      <w:pPr>
        <w:autoSpaceDE w:val="0"/>
        <w:autoSpaceDN w:val="0"/>
        <w:adjustRightInd w:val="0"/>
        <w:spacing w:line="360" w:lineRule="auto"/>
        <w:jc w:val="both"/>
        <w:rPr>
          <w:lang w:eastAsia="es-ES"/>
        </w:rPr>
      </w:pPr>
      <w:r w:rsidRPr="00025A5A">
        <w:rPr>
          <w:lang w:eastAsia="es-ES"/>
        </w:rPr>
        <w:t>Las causas clínicas fueron la principal causa de ingreso y a su vez, aportaron más fallecidos; sin diferencias estadísticamente significativas</w:t>
      </w:r>
      <w:r>
        <w:rPr>
          <w:lang w:eastAsia="es-ES"/>
        </w:rPr>
        <w:t xml:space="preserve"> (tabla 2)</w:t>
      </w:r>
      <w:r w:rsidRPr="00025A5A">
        <w:rPr>
          <w:lang w:eastAsia="es-ES"/>
        </w:rPr>
        <w:t>. En esta serie la principal causa de ingreso en cada grupo fue, en las de tipo clínico, la bronconeumonía bacteriana extrahospitalaria; en las quirúrgicas, el neumotórax espontáneo y tumores en diferentes órganos; y en las traumáticas, la fractura de cadera.</w:t>
      </w:r>
    </w:p>
    <w:p w14:paraId="23CEB4F7" w14:textId="77777777" w:rsidR="00DE5BD5" w:rsidRPr="00025A5A" w:rsidRDefault="00DE5BD5" w:rsidP="00025A5A">
      <w:pPr>
        <w:spacing w:line="360" w:lineRule="auto"/>
        <w:jc w:val="both"/>
        <w:rPr>
          <w:lang w:eastAsia="es-ES"/>
        </w:rPr>
      </w:pPr>
    </w:p>
    <w:p w14:paraId="28DAA1D8" w14:textId="77777777" w:rsidR="00025A5A" w:rsidRPr="00025A5A" w:rsidRDefault="00025A5A" w:rsidP="00025A5A">
      <w:pPr>
        <w:autoSpaceDE w:val="0"/>
        <w:autoSpaceDN w:val="0"/>
        <w:adjustRightInd w:val="0"/>
        <w:spacing w:line="360" w:lineRule="auto"/>
        <w:jc w:val="center"/>
        <w:rPr>
          <w:sz w:val="22"/>
          <w:szCs w:val="22"/>
          <w:lang w:eastAsia="es-ES"/>
        </w:rPr>
      </w:pPr>
      <w:r w:rsidRPr="00025A5A">
        <w:rPr>
          <w:b/>
          <w:bCs/>
          <w:sz w:val="22"/>
          <w:szCs w:val="22"/>
          <w:lang w:eastAsia="es-ES"/>
        </w:rPr>
        <w:t>Tabla 2 -</w:t>
      </w:r>
      <w:r w:rsidRPr="00025A5A">
        <w:rPr>
          <w:sz w:val="22"/>
          <w:szCs w:val="22"/>
          <w:lang w:eastAsia="es-ES"/>
        </w:rPr>
        <w:t xml:space="preserve"> </w:t>
      </w:r>
      <w:r w:rsidRPr="00025A5A">
        <w:rPr>
          <w:bCs/>
          <w:sz w:val="22"/>
          <w:szCs w:val="22"/>
          <w:lang w:eastAsia="es-ES"/>
        </w:rPr>
        <w:t>Distribución según causa de ingreso y estado al egreso</w:t>
      </w:r>
    </w:p>
    <w:p w14:paraId="2D454C94" w14:textId="1D5B71EF" w:rsidR="00662316" w:rsidRDefault="00662316" w:rsidP="00025A5A">
      <w:pPr>
        <w:autoSpaceDE w:val="0"/>
        <w:autoSpaceDN w:val="0"/>
        <w:adjustRightInd w:val="0"/>
        <w:spacing w:line="360" w:lineRule="auto"/>
        <w:jc w:val="center"/>
        <w:rPr>
          <w:iCs/>
          <w:sz w:val="16"/>
          <w:szCs w:val="16"/>
          <w:lang w:eastAsia="es-ES"/>
        </w:rPr>
      </w:pPr>
      <w:r>
        <w:rPr>
          <w:iCs/>
          <w:noProof/>
          <w:sz w:val="16"/>
          <w:szCs w:val="16"/>
          <w:lang w:eastAsia="es-ES"/>
        </w:rPr>
        <w:drawing>
          <wp:inline distT="0" distB="0" distL="0" distR="0" wp14:anchorId="582E9A24" wp14:editId="543E3208">
            <wp:extent cx="3343275" cy="12477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5">
                      <a:extLst>
                        <a:ext uri="{28A0092B-C50C-407E-A947-70E740481C1C}">
                          <a14:useLocalDpi xmlns:a14="http://schemas.microsoft.com/office/drawing/2010/main" val="0"/>
                        </a:ext>
                      </a:extLst>
                    </a:blip>
                    <a:stretch>
                      <a:fillRect/>
                    </a:stretch>
                  </pic:blipFill>
                  <pic:spPr>
                    <a:xfrm>
                      <a:off x="0" y="0"/>
                      <a:ext cx="3343275" cy="1247775"/>
                    </a:xfrm>
                    <a:prstGeom prst="rect">
                      <a:avLst/>
                    </a:prstGeom>
                  </pic:spPr>
                </pic:pic>
              </a:graphicData>
            </a:graphic>
          </wp:inline>
        </w:drawing>
      </w:r>
    </w:p>
    <w:p w14:paraId="699AF7DC" w14:textId="120D8F76" w:rsidR="00025A5A" w:rsidRPr="00025A5A" w:rsidRDefault="00025A5A" w:rsidP="00025A5A">
      <w:pPr>
        <w:autoSpaceDE w:val="0"/>
        <w:autoSpaceDN w:val="0"/>
        <w:adjustRightInd w:val="0"/>
        <w:spacing w:line="360" w:lineRule="auto"/>
        <w:jc w:val="center"/>
        <w:rPr>
          <w:sz w:val="16"/>
          <w:szCs w:val="16"/>
          <w:lang w:eastAsia="es-ES"/>
        </w:rPr>
      </w:pPr>
      <w:r w:rsidRPr="00025A5A">
        <w:rPr>
          <w:iCs/>
          <w:sz w:val="16"/>
          <w:szCs w:val="16"/>
          <w:lang w:eastAsia="es-ES"/>
        </w:rPr>
        <w:t>X</w:t>
      </w:r>
      <w:r w:rsidRPr="00025A5A">
        <w:rPr>
          <w:iCs/>
          <w:sz w:val="16"/>
          <w:szCs w:val="16"/>
          <w:vertAlign w:val="superscript"/>
          <w:lang w:eastAsia="es-ES"/>
        </w:rPr>
        <w:t xml:space="preserve">2 </w:t>
      </w:r>
      <w:r w:rsidRPr="00025A5A">
        <w:rPr>
          <w:iCs/>
          <w:sz w:val="16"/>
          <w:szCs w:val="16"/>
          <w:lang w:eastAsia="es-ES"/>
        </w:rPr>
        <w:t>=</w:t>
      </w:r>
      <w:r w:rsidRPr="00025A5A">
        <w:rPr>
          <w:sz w:val="16"/>
          <w:szCs w:val="16"/>
          <w:lang w:eastAsia="es-ES"/>
        </w:rPr>
        <w:t xml:space="preserve"> 2,56; p = 0,27</w:t>
      </w:r>
    </w:p>
    <w:p w14:paraId="7923A842" w14:textId="4402E5B5" w:rsidR="00025A5A" w:rsidRDefault="00025A5A" w:rsidP="00025A5A">
      <w:pPr>
        <w:autoSpaceDE w:val="0"/>
        <w:autoSpaceDN w:val="0"/>
        <w:adjustRightInd w:val="0"/>
        <w:spacing w:line="360" w:lineRule="auto"/>
        <w:jc w:val="both"/>
        <w:rPr>
          <w:lang w:eastAsia="es-ES"/>
        </w:rPr>
      </w:pPr>
    </w:p>
    <w:p w14:paraId="3E3323A0" w14:textId="4FF83BB8" w:rsidR="00662A8E" w:rsidRPr="00025A5A" w:rsidRDefault="00662A8E" w:rsidP="00025A5A">
      <w:pPr>
        <w:autoSpaceDE w:val="0"/>
        <w:autoSpaceDN w:val="0"/>
        <w:adjustRightInd w:val="0"/>
        <w:spacing w:line="360" w:lineRule="auto"/>
        <w:jc w:val="both"/>
        <w:rPr>
          <w:lang w:eastAsia="es-ES"/>
        </w:rPr>
      </w:pPr>
      <w:r w:rsidRPr="00025A5A">
        <w:rPr>
          <w:lang w:eastAsia="es-ES"/>
        </w:rPr>
        <w:t>El valor de la media en la escala APACHE II, fue de 19,0 ± 6,2 puntos, con una mediana de 18</w:t>
      </w:r>
      <w:r>
        <w:rPr>
          <w:lang w:eastAsia="es-ES"/>
        </w:rPr>
        <w:t xml:space="preserve"> (tabla 3)</w:t>
      </w:r>
      <w:r w:rsidRPr="00025A5A">
        <w:rPr>
          <w:lang w:eastAsia="es-ES"/>
        </w:rPr>
        <w:t>. En los fallecidos, la media fue 21,0 ± 5,7, con una mediana de 21, mientras en los egresados vivos, la media fue 15,2 ± 5,3, con una mediana de 14. Hubo diferencias significativas al comparar ambas medias (p &lt; 0,0001). Hubo predominio de los pacientes con más de 15 puntos de valor del APACHE II, con más fallecidos. Egresaron vivos quienes presentaron 15 puntos o menos, con diferencias significativas entre las variables. Los pacientes con un valor en la escala APACHE II superior a los 15 puntos presentaron 12 veces más probabilidad de fallecer.</w:t>
      </w:r>
    </w:p>
    <w:p w14:paraId="1D18D6EE" w14:textId="77777777" w:rsidR="00025A5A" w:rsidRPr="00025A5A" w:rsidRDefault="00025A5A" w:rsidP="00025A5A">
      <w:pPr>
        <w:autoSpaceDE w:val="0"/>
        <w:autoSpaceDN w:val="0"/>
        <w:adjustRightInd w:val="0"/>
        <w:spacing w:line="360" w:lineRule="auto"/>
        <w:jc w:val="both"/>
        <w:rPr>
          <w:lang w:eastAsia="es-ES"/>
        </w:rPr>
      </w:pPr>
    </w:p>
    <w:p w14:paraId="48D77548" w14:textId="77777777" w:rsidR="00AB77F5" w:rsidRDefault="00AB77F5">
      <w:pPr>
        <w:rPr>
          <w:b/>
          <w:bCs/>
          <w:sz w:val="22"/>
          <w:szCs w:val="22"/>
          <w:lang w:eastAsia="es-ES"/>
        </w:rPr>
      </w:pPr>
      <w:r>
        <w:rPr>
          <w:b/>
          <w:bCs/>
          <w:sz w:val="22"/>
          <w:szCs w:val="22"/>
          <w:lang w:eastAsia="es-ES"/>
        </w:rPr>
        <w:br w:type="page"/>
      </w:r>
    </w:p>
    <w:p w14:paraId="5CFA2DB1" w14:textId="46E48BE4" w:rsidR="00025A5A" w:rsidRPr="00025A5A" w:rsidRDefault="00025A5A" w:rsidP="00025A5A">
      <w:pPr>
        <w:autoSpaceDE w:val="0"/>
        <w:autoSpaceDN w:val="0"/>
        <w:adjustRightInd w:val="0"/>
        <w:spacing w:line="360" w:lineRule="auto"/>
        <w:jc w:val="center"/>
        <w:rPr>
          <w:bCs/>
          <w:sz w:val="22"/>
          <w:szCs w:val="22"/>
          <w:lang w:eastAsia="es-ES"/>
        </w:rPr>
      </w:pPr>
      <w:r w:rsidRPr="00025A5A">
        <w:rPr>
          <w:b/>
          <w:bCs/>
          <w:sz w:val="22"/>
          <w:szCs w:val="22"/>
          <w:lang w:eastAsia="es-ES"/>
        </w:rPr>
        <w:lastRenderedPageBreak/>
        <w:t>Tabla 3 -</w:t>
      </w:r>
      <w:r w:rsidRPr="00025A5A">
        <w:rPr>
          <w:sz w:val="22"/>
          <w:szCs w:val="22"/>
          <w:lang w:eastAsia="es-ES"/>
        </w:rPr>
        <w:t xml:space="preserve"> </w:t>
      </w:r>
      <w:r w:rsidRPr="00025A5A">
        <w:rPr>
          <w:bCs/>
          <w:sz w:val="22"/>
          <w:szCs w:val="22"/>
          <w:lang w:eastAsia="es-ES"/>
        </w:rPr>
        <w:t>Distribución según valor en la escala APACHE II y estado al egreso</w:t>
      </w:r>
    </w:p>
    <w:p w14:paraId="193D9FFF" w14:textId="7C925D62" w:rsidR="00662316" w:rsidRDefault="00662316" w:rsidP="00025A5A">
      <w:pPr>
        <w:autoSpaceDE w:val="0"/>
        <w:autoSpaceDN w:val="0"/>
        <w:adjustRightInd w:val="0"/>
        <w:spacing w:line="360" w:lineRule="auto"/>
        <w:jc w:val="center"/>
        <w:rPr>
          <w:iCs/>
          <w:sz w:val="16"/>
          <w:szCs w:val="16"/>
          <w:lang w:eastAsia="es-ES"/>
        </w:rPr>
      </w:pPr>
      <w:r>
        <w:rPr>
          <w:iCs/>
          <w:noProof/>
          <w:sz w:val="16"/>
          <w:szCs w:val="16"/>
          <w:lang w:eastAsia="es-ES"/>
        </w:rPr>
        <w:drawing>
          <wp:inline distT="0" distB="0" distL="0" distR="0" wp14:anchorId="16157ECD" wp14:editId="3AE301BC">
            <wp:extent cx="3228975" cy="10382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6">
                      <a:extLst>
                        <a:ext uri="{28A0092B-C50C-407E-A947-70E740481C1C}">
                          <a14:useLocalDpi xmlns:a14="http://schemas.microsoft.com/office/drawing/2010/main" val="0"/>
                        </a:ext>
                      </a:extLst>
                    </a:blip>
                    <a:stretch>
                      <a:fillRect/>
                    </a:stretch>
                  </pic:blipFill>
                  <pic:spPr>
                    <a:xfrm>
                      <a:off x="0" y="0"/>
                      <a:ext cx="3228975" cy="1038225"/>
                    </a:xfrm>
                    <a:prstGeom prst="rect">
                      <a:avLst/>
                    </a:prstGeom>
                  </pic:spPr>
                </pic:pic>
              </a:graphicData>
            </a:graphic>
          </wp:inline>
        </w:drawing>
      </w:r>
    </w:p>
    <w:p w14:paraId="3FC97EB7" w14:textId="543F3E15" w:rsidR="00025A5A" w:rsidRPr="00025A5A" w:rsidRDefault="00025A5A" w:rsidP="00025A5A">
      <w:pPr>
        <w:autoSpaceDE w:val="0"/>
        <w:autoSpaceDN w:val="0"/>
        <w:adjustRightInd w:val="0"/>
        <w:spacing w:line="360" w:lineRule="auto"/>
        <w:jc w:val="center"/>
        <w:rPr>
          <w:sz w:val="16"/>
          <w:szCs w:val="16"/>
          <w:lang w:eastAsia="es-ES"/>
        </w:rPr>
      </w:pPr>
      <w:r w:rsidRPr="00025A5A">
        <w:rPr>
          <w:iCs/>
          <w:sz w:val="16"/>
          <w:szCs w:val="16"/>
          <w:lang w:eastAsia="es-ES"/>
        </w:rPr>
        <w:t>X</w:t>
      </w:r>
      <w:r w:rsidRPr="00025A5A">
        <w:rPr>
          <w:iCs/>
          <w:sz w:val="16"/>
          <w:szCs w:val="16"/>
          <w:vertAlign w:val="superscript"/>
          <w:lang w:eastAsia="es-ES"/>
        </w:rPr>
        <w:t xml:space="preserve">2 </w:t>
      </w:r>
      <w:r w:rsidRPr="00025A5A">
        <w:rPr>
          <w:iCs/>
          <w:sz w:val="16"/>
          <w:szCs w:val="16"/>
          <w:lang w:eastAsia="es-ES"/>
        </w:rPr>
        <w:t xml:space="preserve">= </w:t>
      </w:r>
      <w:r w:rsidRPr="00025A5A">
        <w:rPr>
          <w:sz w:val="16"/>
          <w:szCs w:val="16"/>
          <w:lang w:eastAsia="es-ES"/>
        </w:rPr>
        <w:t>97,37; OR = 12,00; IC 95 %:7,09 - 20,31; p &lt; 0,0001</w:t>
      </w:r>
    </w:p>
    <w:p w14:paraId="300EF851" w14:textId="2E1A5748" w:rsidR="00025A5A" w:rsidRDefault="00025A5A" w:rsidP="00025A5A">
      <w:pPr>
        <w:spacing w:line="360" w:lineRule="auto"/>
        <w:jc w:val="both"/>
        <w:rPr>
          <w:lang w:eastAsia="es-ES"/>
        </w:rPr>
      </w:pPr>
    </w:p>
    <w:p w14:paraId="006F0AA3" w14:textId="747BF780" w:rsidR="00AB77F5" w:rsidRPr="00025A5A" w:rsidRDefault="00AB77F5" w:rsidP="00AB77F5">
      <w:pPr>
        <w:spacing w:line="360" w:lineRule="auto"/>
        <w:jc w:val="both"/>
        <w:rPr>
          <w:lang w:eastAsia="es-ES"/>
        </w:rPr>
      </w:pPr>
      <w:r w:rsidRPr="00025A5A">
        <w:rPr>
          <w:lang w:eastAsia="es-ES"/>
        </w:rPr>
        <w:t>Más de la mitad de los pacientes requirieron VMI y en ellos predominaron los fallecidos</w:t>
      </w:r>
      <w:r>
        <w:rPr>
          <w:lang w:eastAsia="es-ES"/>
        </w:rPr>
        <w:t xml:space="preserve"> (tabla 4)</w:t>
      </w:r>
      <w:r w:rsidRPr="00025A5A">
        <w:rPr>
          <w:lang w:eastAsia="es-ES"/>
        </w:rPr>
        <w:t>. En quienes no hubo necesidad de esta, la mayoría egresaron vivo, con diferencias significativas. Los pacientes que requirieron VMI, presentaron 20 veces más probabilidad de fallecer.</w:t>
      </w:r>
    </w:p>
    <w:p w14:paraId="3EF7B009" w14:textId="77777777" w:rsidR="00AB77F5" w:rsidRPr="00025A5A" w:rsidRDefault="00AB77F5" w:rsidP="00AB77F5">
      <w:pPr>
        <w:spacing w:line="360" w:lineRule="auto"/>
        <w:jc w:val="both"/>
        <w:rPr>
          <w:lang w:eastAsia="es-ES"/>
        </w:rPr>
      </w:pPr>
      <w:r w:rsidRPr="00025A5A">
        <w:rPr>
          <w:lang w:eastAsia="es-ES"/>
        </w:rPr>
        <w:t xml:space="preserve">Los pacientes traqueostomizados, tuvieron un porcentaje inferior al 20 % de fallecidos, pero presentaron mayor la proporción, en contraste con quienes no se les efectuó (86,7 % vs. </w:t>
      </w:r>
      <w:r w:rsidRPr="00025A5A">
        <w:rPr>
          <w:color w:val="000000"/>
          <w:lang w:eastAsia="es-ES"/>
        </w:rPr>
        <w:t>60,3 %</w:t>
      </w:r>
      <w:r w:rsidRPr="00025A5A">
        <w:rPr>
          <w:lang w:eastAsia="es-ES"/>
        </w:rPr>
        <w:t>). Existió relación significativa entre la realización o no de traqueostomía y el estado al egreso. Los pacientes con traqueostomía presentaron 4 veces más probabilidad de fallecer.</w:t>
      </w:r>
    </w:p>
    <w:p w14:paraId="43932E96" w14:textId="3F29122D" w:rsidR="00AB77F5" w:rsidRPr="00025A5A" w:rsidRDefault="00AB77F5" w:rsidP="00AB77F5">
      <w:pPr>
        <w:spacing w:line="360" w:lineRule="auto"/>
        <w:jc w:val="both"/>
        <w:rPr>
          <w:lang w:eastAsia="es-ES"/>
        </w:rPr>
      </w:pPr>
      <w:r w:rsidRPr="00025A5A">
        <w:rPr>
          <w:lang w:eastAsia="es-ES"/>
        </w:rPr>
        <w:t>De los 225 fallecidos, al 59,6 % (134) se le realizó necropsia, de ellas 6 de tipo médico legal (no se pudo obtener el informe de necropsia). Las tres principales causas directas de muertes de los pacientes con EPOC fueron en orden decreciente: bronconeumonía bacteriana (67,2 %), tromboembolismo pulmonar (12,5 %) y el choque séptico (4,7 %).</w:t>
      </w:r>
    </w:p>
    <w:p w14:paraId="4958F9FE" w14:textId="36751066" w:rsidR="00025A5A" w:rsidRPr="00025A5A" w:rsidRDefault="00025A5A" w:rsidP="00025A5A">
      <w:pPr>
        <w:spacing w:line="360" w:lineRule="auto"/>
        <w:jc w:val="both"/>
        <w:rPr>
          <w:lang w:eastAsia="es-ES"/>
        </w:rPr>
      </w:pPr>
    </w:p>
    <w:p w14:paraId="1716E311" w14:textId="77777777" w:rsidR="00025A5A" w:rsidRPr="00025A5A" w:rsidRDefault="00025A5A" w:rsidP="00025A5A">
      <w:pPr>
        <w:autoSpaceDE w:val="0"/>
        <w:autoSpaceDN w:val="0"/>
        <w:adjustRightInd w:val="0"/>
        <w:spacing w:line="360" w:lineRule="auto"/>
        <w:jc w:val="center"/>
        <w:rPr>
          <w:bCs/>
          <w:sz w:val="22"/>
          <w:szCs w:val="22"/>
          <w:lang w:eastAsia="es-ES"/>
        </w:rPr>
      </w:pPr>
      <w:r w:rsidRPr="00025A5A">
        <w:rPr>
          <w:b/>
          <w:bCs/>
          <w:sz w:val="22"/>
          <w:szCs w:val="22"/>
          <w:lang w:eastAsia="es-ES"/>
        </w:rPr>
        <w:t>Tabla 4 -</w:t>
      </w:r>
      <w:r w:rsidRPr="00025A5A">
        <w:rPr>
          <w:sz w:val="22"/>
          <w:szCs w:val="22"/>
          <w:lang w:eastAsia="es-ES"/>
        </w:rPr>
        <w:t xml:space="preserve"> </w:t>
      </w:r>
      <w:r w:rsidRPr="00025A5A">
        <w:rPr>
          <w:bCs/>
          <w:sz w:val="22"/>
          <w:szCs w:val="22"/>
          <w:lang w:eastAsia="es-ES"/>
        </w:rPr>
        <w:t>Distribución según VMI,</w:t>
      </w:r>
      <w:r w:rsidRPr="00025A5A">
        <w:rPr>
          <w:sz w:val="22"/>
          <w:szCs w:val="22"/>
          <w:lang w:eastAsia="es-ES"/>
        </w:rPr>
        <w:t xml:space="preserve"> traqueostomía</w:t>
      </w:r>
      <w:r w:rsidRPr="00025A5A">
        <w:rPr>
          <w:bCs/>
          <w:sz w:val="22"/>
          <w:szCs w:val="22"/>
          <w:lang w:eastAsia="es-ES"/>
        </w:rPr>
        <w:t xml:space="preserve"> y estado al egreso</w:t>
      </w:r>
    </w:p>
    <w:p w14:paraId="4089B52C" w14:textId="741B4BF2" w:rsidR="00025A5A" w:rsidRDefault="000056F6" w:rsidP="000056F6">
      <w:pPr>
        <w:spacing w:line="360" w:lineRule="auto"/>
        <w:jc w:val="center"/>
        <w:rPr>
          <w:lang w:eastAsia="es-ES"/>
        </w:rPr>
      </w:pPr>
      <w:r>
        <w:rPr>
          <w:noProof/>
          <w:lang w:eastAsia="es-ES"/>
        </w:rPr>
        <w:drawing>
          <wp:inline distT="0" distB="0" distL="0" distR="0" wp14:anchorId="563D73AE" wp14:editId="54681B4E">
            <wp:extent cx="3667125" cy="205740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7">
                      <a:extLst>
                        <a:ext uri="{28A0092B-C50C-407E-A947-70E740481C1C}">
                          <a14:useLocalDpi xmlns:a14="http://schemas.microsoft.com/office/drawing/2010/main" val="0"/>
                        </a:ext>
                      </a:extLst>
                    </a:blip>
                    <a:stretch>
                      <a:fillRect/>
                    </a:stretch>
                  </pic:blipFill>
                  <pic:spPr>
                    <a:xfrm>
                      <a:off x="0" y="0"/>
                      <a:ext cx="3667125" cy="2057400"/>
                    </a:xfrm>
                    <a:prstGeom prst="rect">
                      <a:avLst/>
                    </a:prstGeom>
                  </pic:spPr>
                </pic:pic>
              </a:graphicData>
            </a:graphic>
          </wp:inline>
        </w:drawing>
      </w:r>
    </w:p>
    <w:p w14:paraId="58AEA56C" w14:textId="77777777" w:rsidR="000056F6" w:rsidRPr="00025A5A" w:rsidRDefault="000056F6" w:rsidP="000056F6">
      <w:pPr>
        <w:spacing w:line="360" w:lineRule="auto"/>
        <w:jc w:val="center"/>
        <w:rPr>
          <w:lang w:eastAsia="es-ES"/>
        </w:rPr>
      </w:pPr>
    </w:p>
    <w:p w14:paraId="7C24C75E" w14:textId="287F1376" w:rsidR="00025A5A" w:rsidRPr="00025A5A" w:rsidRDefault="00025A5A" w:rsidP="00025A5A">
      <w:pPr>
        <w:autoSpaceDE w:val="0"/>
        <w:autoSpaceDN w:val="0"/>
        <w:adjustRightInd w:val="0"/>
        <w:spacing w:line="360" w:lineRule="auto"/>
        <w:jc w:val="both"/>
        <w:rPr>
          <w:lang w:eastAsia="es-ES"/>
        </w:rPr>
      </w:pPr>
    </w:p>
    <w:p w14:paraId="7E974B54" w14:textId="38EC6E61" w:rsidR="00025A5A" w:rsidRPr="00025A5A" w:rsidRDefault="00025A5A" w:rsidP="00025A5A">
      <w:pPr>
        <w:autoSpaceDE w:val="0"/>
        <w:autoSpaceDN w:val="0"/>
        <w:adjustRightInd w:val="0"/>
        <w:spacing w:line="360" w:lineRule="auto"/>
        <w:jc w:val="center"/>
        <w:rPr>
          <w:b/>
          <w:color w:val="FF0000"/>
          <w:sz w:val="32"/>
          <w:szCs w:val="32"/>
          <w:lang w:eastAsia="es-ES"/>
        </w:rPr>
      </w:pPr>
      <w:r w:rsidRPr="00025A5A">
        <w:rPr>
          <w:b/>
          <w:sz w:val="32"/>
          <w:szCs w:val="32"/>
          <w:lang w:eastAsia="es-ES"/>
        </w:rPr>
        <w:lastRenderedPageBreak/>
        <w:t>DISCUSIÓN</w:t>
      </w:r>
    </w:p>
    <w:p w14:paraId="0D31D592" w14:textId="77777777" w:rsidR="00025A5A" w:rsidRPr="00025A5A" w:rsidRDefault="00025A5A" w:rsidP="00025A5A">
      <w:pPr>
        <w:spacing w:line="360" w:lineRule="auto"/>
        <w:jc w:val="both"/>
        <w:rPr>
          <w:color w:val="FF0000"/>
          <w:lang w:eastAsia="es-ES"/>
        </w:rPr>
      </w:pPr>
      <w:r w:rsidRPr="00025A5A">
        <w:rPr>
          <w:lang w:eastAsia="es-ES"/>
        </w:rPr>
        <w:t>En la bibliografía revisada, se halló que la mortalidad en pacientes con EPOC es inferior al de esta serie, lo cual puede ser explicado a que algunos estudios se refieren solo a exacerbación de EPOC, o se trata de UCI de casos respiratorios; en este fue por cualquier causa de ingreso, como se explica más adelante. En un estudio retrospectivo,</w:t>
      </w:r>
      <w:r w:rsidRPr="00025A5A">
        <w:rPr>
          <w:vertAlign w:val="superscript"/>
          <w:lang w:eastAsia="es-ES"/>
        </w:rPr>
        <w:t>(8)</w:t>
      </w:r>
      <w:r w:rsidRPr="00025A5A">
        <w:rPr>
          <w:lang w:eastAsia="es-ES"/>
        </w:rPr>
        <w:t xml:space="preserve"> se halló una mortalidad en la UCI del 25 % en pacientes con EPOC. </w:t>
      </w:r>
    </w:p>
    <w:p w14:paraId="4BDB05D9" w14:textId="77777777" w:rsidR="00025A5A" w:rsidRPr="00025A5A" w:rsidRDefault="00025A5A" w:rsidP="00025A5A">
      <w:pPr>
        <w:autoSpaceDE w:val="0"/>
        <w:autoSpaceDN w:val="0"/>
        <w:adjustRightInd w:val="0"/>
        <w:spacing w:line="360" w:lineRule="auto"/>
        <w:jc w:val="both"/>
        <w:rPr>
          <w:vertAlign w:val="superscript"/>
          <w:lang w:eastAsia="es-ES"/>
        </w:rPr>
      </w:pPr>
      <w:r w:rsidRPr="00025A5A">
        <w:rPr>
          <w:bCs/>
          <w:lang w:eastAsia="es-ES"/>
        </w:rPr>
        <w:t>Un análisis retrospectivo de la ventilación mecánica no invasiva (VNI) frente a la VMI</w:t>
      </w:r>
      <w:r w:rsidRPr="00025A5A">
        <w:rPr>
          <w:bCs/>
          <w:color w:val="FF0000"/>
          <w:lang w:eastAsia="es-ES"/>
        </w:rPr>
        <w:t xml:space="preserve"> </w:t>
      </w:r>
      <w:r w:rsidRPr="00025A5A">
        <w:rPr>
          <w:bCs/>
          <w:lang w:eastAsia="es-ES"/>
        </w:rPr>
        <w:t>en pacientes con exacerbación de la EPOC, la mortalidad fue de 7,8 % (11 de 141 pacientes),</w:t>
      </w:r>
      <w:r w:rsidRPr="00025A5A">
        <w:rPr>
          <w:bCs/>
          <w:vertAlign w:val="superscript"/>
          <w:lang w:eastAsia="es-ES"/>
        </w:rPr>
        <w:t>(9)</w:t>
      </w:r>
      <w:r w:rsidRPr="00025A5A">
        <w:rPr>
          <w:bCs/>
          <w:lang w:eastAsia="es-ES"/>
        </w:rPr>
        <w:t xml:space="preserve"> igual que en otro del mismo tipo realizado por </w:t>
      </w:r>
      <w:r w:rsidRPr="00025A5A">
        <w:rPr>
          <w:bCs/>
          <w:i/>
          <w:lang w:eastAsia="es-ES"/>
        </w:rPr>
        <w:t>Stefan MS</w:t>
      </w:r>
      <w:r w:rsidRPr="00025A5A">
        <w:rPr>
          <w:i/>
          <w:color w:val="000000"/>
          <w:lang w:eastAsia="es-ES"/>
        </w:rPr>
        <w:t xml:space="preserve"> </w:t>
      </w:r>
      <w:r w:rsidRPr="00025A5A">
        <w:rPr>
          <w:iCs/>
          <w:color w:val="000000"/>
          <w:lang w:eastAsia="es-ES"/>
        </w:rPr>
        <w:t>y otros</w:t>
      </w:r>
      <w:r w:rsidRPr="00025A5A">
        <w:rPr>
          <w:lang w:eastAsia="es-ES"/>
        </w:rPr>
        <w:t>,</w:t>
      </w:r>
      <w:r w:rsidRPr="00025A5A">
        <w:rPr>
          <w:vertAlign w:val="superscript"/>
          <w:lang w:eastAsia="es-ES"/>
        </w:rPr>
        <w:t>(10)</w:t>
      </w:r>
      <w:r w:rsidRPr="00025A5A">
        <w:rPr>
          <w:color w:val="000000"/>
          <w:lang w:eastAsia="es-ES"/>
        </w:rPr>
        <w:t xml:space="preserve"> con una mortalidad de 6,5 %</w:t>
      </w:r>
      <w:r w:rsidRPr="00025A5A">
        <w:rPr>
          <w:bCs/>
          <w:lang w:eastAsia="es-ES"/>
        </w:rPr>
        <w:t xml:space="preserve">, </w:t>
      </w:r>
      <w:r w:rsidRPr="00025A5A">
        <w:rPr>
          <w:lang w:eastAsia="es-ES"/>
        </w:rPr>
        <w:t xml:space="preserve">mientras una serie </w:t>
      </w:r>
      <w:r w:rsidRPr="00025A5A">
        <w:rPr>
          <w:bCs/>
          <w:lang w:eastAsia="es-ES"/>
        </w:rPr>
        <w:t>de carácter retrospectivo, de un año, en una UCI para pacientes respiratorios y con exacerbación de EPOC, tuvo una mortalidad de 45,2 %.</w:t>
      </w:r>
      <w:r w:rsidRPr="00025A5A">
        <w:rPr>
          <w:vertAlign w:val="superscript"/>
          <w:lang w:eastAsia="es-ES"/>
        </w:rPr>
        <w:t>(11)</w:t>
      </w:r>
    </w:p>
    <w:p w14:paraId="2C7C3E6F" w14:textId="77777777" w:rsidR="00025A5A" w:rsidRPr="00025A5A" w:rsidRDefault="00025A5A" w:rsidP="00025A5A">
      <w:pPr>
        <w:autoSpaceDE w:val="0"/>
        <w:autoSpaceDN w:val="0"/>
        <w:adjustRightInd w:val="0"/>
        <w:spacing w:line="360" w:lineRule="auto"/>
        <w:jc w:val="both"/>
        <w:rPr>
          <w:lang w:eastAsia="es-ES"/>
        </w:rPr>
      </w:pPr>
      <w:r w:rsidRPr="00025A5A">
        <w:rPr>
          <w:color w:val="221E1F"/>
          <w:lang w:eastAsia="es-ES"/>
        </w:rPr>
        <w:t>En China, una investigación</w:t>
      </w:r>
      <w:r w:rsidRPr="00025A5A">
        <w:rPr>
          <w:vertAlign w:val="superscript"/>
          <w:lang w:eastAsia="es-ES"/>
        </w:rPr>
        <w:t>(12)</w:t>
      </w:r>
      <w:r w:rsidRPr="00025A5A">
        <w:rPr>
          <w:color w:val="221E1F"/>
          <w:lang w:eastAsia="es-ES"/>
        </w:rPr>
        <w:t xml:space="preserve"> en una UCI de pacientes con enfermedades respiratorias, los pacientes con EPOC tuvieron una mortalidad global del 30 %, y en aquellos con neumonía adquirida en la comunidad </w:t>
      </w:r>
      <w:r w:rsidRPr="00025A5A">
        <w:rPr>
          <w:lang w:eastAsia="es-ES"/>
        </w:rPr>
        <w:t>(NAC)</w:t>
      </w:r>
      <w:r w:rsidRPr="00025A5A">
        <w:rPr>
          <w:color w:val="FF0000"/>
          <w:lang w:eastAsia="es-ES"/>
        </w:rPr>
        <w:t xml:space="preserve"> </w:t>
      </w:r>
      <w:r w:rsidRPr="00025A5A">
        <w:rPr>
          <w:color w:val="221E1F"/>
          <w:lang w:eastAsia="es-ES"/>
        </w:rPr>
        <w:t>fue mayor que quienes no la presentaron   (42,1 % vs. 19 %).</w:t>
      </w:r>
      <w:r w:rsidRPr="00025A5A">
        <w:rPr>
          <w:color w:val="FF0000"/>
          <w:lang w:eastAsia="es-ES"/>
        </w:rPr>
        <w:t xml:space="preserve"> </w:t>
      </w:r>
      <w:r w:rsidRPr="00025A5A">
        <w:rPr>
          <w:lang w:eastAsia="es-ES"/>
        </w:rPr>
        <w:t>En Cárdenas, Cuba, un análisis retrospectivo de pacientes con exacerbación de EPOC, presentó una mortalidad del 37,1 %.</w:t>
      </w:r>
      <w:r w:rsidRPr="00025A5A">
        <w:rPr>
          <w:vertAlign w:val="superscript"/>
          <w:lang w:eastAsia="es-ES"/>
        </w:rPr>
        <w:t>(13)</w:t>
      </w:r>
      <w:r w:rsidRPr="00025A5A">
        <w:rPr>
          <w:lang w:eastAsia="es-ES"/>
        </w:rPr>
        <w:t xml:space="preserve"> </w:t>
      </w:r>
    </w:p>
    <w:p w14:paraId="3573F1AE" w14:textId="77777777" w:rsidR="00025A5A" w:rsidRPr="00025A5A" w:rsidRDefault="00025A5A" w:rsidP="00025A5A">
      <w:pPr>
        <w:spacing w:line="360" w:lineRule="auto"/>
        <w:jc w:val="both"/>
        <w:rPr>
          <w:lang w:eastAsia="es-ES"/>
        </w:rPr>
      </w:pPr>
      <w:r w:rsidRPr="00025A5A">
        <w:rPr>
          <w:lang w:eastAsia="es-ES"/>
        </w:rPr>
        <w:t>En la revisión de varios artículos se encontró que hubo predominio del sexo masculino, en porcentajes que oscilaron desde 52 a 74,5 %</w:t>
      </w:r>
      <w:r w:rsidRPr="00025A5A">
        <w:rPr>
          <w:vertAlign w:val="superscript"/>
          <w:lang w:eastAsia="es-ES"/>
        </w:rPr>
        <w:t xml:space="preserve">(1,8,9,11,12) </w:t>
      </w:r>
      <w:r w:rsidRPr="00025A5A">
        <w:rPr>
          <w:bCs/>
        </w:rPr>
        <w:t>y</w:t>
      </w:r>
      <w:r w:rsidRPr="00025A5A">
        <w:rPr>
          <w:lang w:eastAsia="es-ES"/>
        </w:rPr>
        <w:t xml:space="preserve"> en uno, el sexo femenino, con un porcentaje del 53 %. Este último</w:t>
      </w:r>
      <w:r w:rsidRPr="00025A5A">
        <w:rPr>
          <w:vertAlign w:val="superscript"/>
          <w:lang w:eastAsia="es-ES"/>
        </w:rPr>
        <w:t xml:space="preserve"> (13)</w:t>
      </w:r>
      <w:r w:rsidRPr="00025A5A">
        <w:rPr>
          <w:lang w:eastAsia="es-ES"/>
        </w:rPr>
        <w:t xml:space="preserve"> coincide con esta serie, con un valor similar.</w:t>
      </w:r>
    </w:p>
    <w:p w14:paraId="3C0B7362" w14:textId="77777777" w:rsidR="00025A5A" w:rsidRPr="00025A5A" w:rsidRDefault="00025A5A" w:rsidP="00025A5A">
      <w:pPr>
        <w:spacing w:line="360" w:lineRule="auto"/>
        <w:jc w:val="both"/>
        <w:rPr>
          <w:color w:val="FF0000"/>
          <w:lang w:eastAsia="es-ES"/>
        </w:rPr>
      </w:pPr>
      <w:r w:rsidRPr="00025A5A">
        <w:rPr>
          <w:lang w:eastAsia="es-ES"/>
        </w:rPr>
        <w:t xml:space="preserve">Las investigaciones revisadas mostraron 2 grupos en comparación con esta serie, uno por debajo de los 70 años, como </w:t>
      </w:r>
      <w:r w:rsidRPr="00025A5A">
        <w:rPr>
          <w:i/>
          <w:lang w:eastAsia="es-ES"/>
        </w:rPr>
        <w:t xml:space="preserve">Gadre SK </w:t>
      </w:r>
      <w:r w:rsidRPr="00025A5A">
        <w:rPr>
          <w:iCs/>
          <w:color w:val="000000"/>
          <w:lang w:eastAsia="es-ES"/>
        </w:rPr>
        <w:t>y otros</w:t>
      </w:r>
      <w:r w:rsidRPr="00025A5A">
        <w:rPr>
          <w:vertAlign w:val="superscript"/>
          <w:lang w:eastAsia="es-ES"/>
        </w:rPr>
        <w:t>(8)</w:t>
      </w:r>
      <w:r w:rsidRPr="00025A5A">
        <w:rPr>
          <w:lang w:eastAsia="es-ES"/>
        </w:rPr>
        <w:t xml:space="preserve"> con 63,7 ± 12,4 años; </w:t>
      </w:r>
      <w:r w:rsidRPr="00025A5A">
        <w:rPr>
          <w:i/>
          <w:lang w:eastAsia="es-ES"/>
        </w:rPr>
        <w:t>Belenguer Muncharaz A</w:t>
      </w:r>
      <w:r w:rsidRPr="00025A5A">
        <w:rPr>
          <w:iCs/>
          <w:lang w:eastAsia="es-ES"/>
        </w:rPr>
        <w:t xml:space="preserve"> </w:t>
      </w:r>
      <w:r w:rsidRPr="00025A5A">
        <w:rPr>
          <w:iCs/>
          <w:color w:val="000000"/>
          <w:lang w:eastAsia="es-ES"/>
        </w:rPr>
        <w:t>y otros</w:t>
      </w:r>
      <w:r w:rsidRPr="00025A5A">
        <w:rPr>
          <w:bCs/>
          <w:vertAlign w:val="superscript"/>
          <w:lang w:eastAsia="es-ES"/>
        </w:rPr>
        <w:t>(9)</w:t>
      </w:r>
      <w:r w:rsidRPr="00025A5A">
        <w:rPr>
          <w:bCs/>
          <w:color w:val="FF0000"/>
          <w:lang w:eastAsia="es-ES"/>
        </w:rPr>
        <w:t xml:space="preserve"> </w:t>
      </w:r>
      <w:r w:rsidRPr="00025A5A">
        <w:rPr>
          <w:lang w:eastAsia="es-ES"/>
        </w:rPr>
        <w:t xml:space="preserve">con dos grupos, uno con VNI y media de edad 68 ± 10 años y otro grupo con VI y 69 ± 8 años de edad media; </w:t>
      </w:r>
      <w:r w:rsidRPr="00025A5A">
        <w:rPr>
          <w:i/>
          <w:lang w:eastAsia="es-ES"/>
        </w:rPr>
        <w:t xml:space="preserve">Pavliša G </w:t>
      </w:r>
      <w:r w:rsidRPr="00025A5A">
        <w:rPr>
          <w:iCs/>
          <w:color w:val="000000"/>
          <w:lang w:eastAsia="es-ES"/>
        </w:rPr>
        <w:t>y otros</w:t>
      </w:r>
      <w:r w:rsidRPr="00025A5A">
        <w:rPr>
          <w:vertAlign w:val="superscript"/>
          <w:lang w:eastAsia="es-ES"/>
        </w:rPr>
        <w:t>(11)</w:t>
      </w:r>
      <w:r w:rsidRPr="00025A5A">
        <w:rPr>
          <w:color w:val="FF0000"/>
          <w:lang w:eastAsia="es-ES"/>
        </w:rPr>
        <w:t xml:space="preserve"> </w:t>
      </w:r>
      <w:r w:rsidRPr="00025A5A">
        <w:rPr>
          <w:lang w:eastAsia="es-ES"/>
        </w:rPr>
        <w:t>con 68,4 ± 10,4 años;</w:t>
      </w:r>
      <w:r w:rsidRPr="00025A5A">
        <w:rPr>
          <w:i/>
          <w:lang w:eastAsia="es-ES"/>
        </w:rPr>
        <w:t xml:space="preserve"> Malpica Alonso E</w:t>
      </w:r>
      <w:r w:rsidRPr="00025A5A">
        <w:rPr>
          <w:iCs/>
          <w:lang w:eastAsia="es-ES"/>
        </w:rPr>
        <w:t xml:space="preserve"> </w:t>
      </w:r>
      <w:r w:rsidRPr="00025A5A">
        <w:rPr>
          <w:iCs/>
          <w:color w:val="000000"/>
          <w:lang w:eastAsia="es-ES"/>
        </w:rPr>
        <w:t>y otros</w:t>
      </w:r>
      <w:r w:rsidRPr="00025A5A">
        <w:rPr>
          <w:lang w:eastAsia="es-ES"/>
        </w:rPr>
        <w:t>,</w:t>
      </w:r>
      <w:r w:rsidRPr="00025A5A">
        <w:rPr>
          <w:vertAlign w:val="superscript"/>
          <w:lang w:eastAsia="es-ES"/>
        </w:rPr>
        <w:t>(13)</w:t>
      </w:r>
      <w:r w:rsidRPr="00025A5A">
        <w:rPr>
          <w:lang w:eastAsia="es-ES"/>
        </w:rPr>
        <w:t xml:space="preserve"> de 65,8 años y </w:t>
      </w:r>
      <w:r w:rsidRPr="00025A5A">
        <w:rPr>
          <w:i/>
          <w:lang w:eastAsia="es-ES"/>
        </w:rPr>
        <w:t xml:space="preserve">Cheng Mei  SW </w:t>
      </w:r>
      <w:r w:rsidRPr="00025A5A">
        <w:rPr>
          <w:iCs/>
          <w:color w:val="000000"/>
          <w:lang w:eastAsia="es-ES"/>
        </w:rPr>
        <w:t>y otros</w:t>
      </w:r>
      <w:r w:rsidRPr="00025A5A">
        <w:rPr>
          <w:vertAlign w:val="superscript"/>
          <w:lang w:eastAsia="es-ES"/>
        </w:rPr>
        <w:t>(14)</w:t>
      </w:r>
      <w:r w:rsidRPr="00025A5A">
        <w:rPr>
          <w:color w:val="FF0000"/>
          <w:lang w:eastAsia="es-ES"/>
        </w:rPr>
        <w:t xml:space="preserve"> </w:t>
      </w:r>
      <w:r w:rsidRPr="00025A5A">
        <w:rPr>
          <w:lang w:eastAsia="es-ES"/>
        </w:rPr>
        <w:t xml:space="preserve">con 62,6 ± 11,5 años. </w:t>
      </w:r>
      <w:r w:rsidRPr="00025A5A">
        <w:rPr>
          <w:i/>
          <w:lang w:eastAsia="es-ES"/>
        </w:rPr>
        <w:t xml:space="preserve">Kopitovic I </w:t>
      </w:r>
      <w:r w:rsidRPr="00025A5A">
        <w:rPr>
          <w:iCs/>
          <w:color w:val="000000"/>
          <w:lang w:eastAsia="es-ES"/>
        </w:rPr>
        <w:t>y otros</w:t>
      </w:r>
      <w:r w:rsidRPr="00025A5A">
        <w:rPr>
          <w:lang w:eastAsia="es-ES"/>
        </w:rPr>
        <w:t>,</w:t>
      </w:r>
      <w:r w:rsidRPr="00025A5A">
        <w:rPr>
          <w:vertAlign w:val="superscript"/>
          <w:lang w:eastAsia="es-ES"/>
        </w:rPr>
        <w:t>(15)</w:t>
      </w:r>
      <w:r w:rsidRPr="00025A5A">
        <w:rPr>
          <w:color w:val="FF0000"/>
          <w:lang w:eastAsia="es-ES"/>
        </w:rPr>
        <w:t xml:space="preserve"> </w:t>
      </w:r>
      <w:r w:rsidRPr="00025A5A">
        <w:rPr>
          <w:lang w:eastAsia="es-ES"/>
        </w:rPr>
        <w:t>hallaron una edad media de</w:t>
      </w:r>
      <w:r w:rsidRPr="00025A5A">
        <w:rPr>
          <w:color w:val="FF0000"/>
          <w:lang w:eastAsia="es-ES"/>
        </w:rPr>
        <w:t xml:space="preserve"> </w:t>
      </w:r>
      <w:r w:rsidRPr="00025A5A">
        <w:rPr>
          <w:lang w:eastAsia="es-ES"/>
        </w:rPr>
        <w:t xml:space="preserve">53,7 ± 5,1 años y otro grupo por encima de los 70 años, como </w:t>
      </w:r>
      <w:r w:rsidRPr="00025A5A">
        <w:rPr>
          <w:i/>
          <w:lang w:eastAsia="es-ES"/>
        </w:rPr>
        <w:t>Lu Z</w:t>
      </w:r>
      <w:r w:rsidRPr="00025A5A">
        <w:rPr>
          <w:iCs/>
          <w:lang w:eastAsia="es-ES"/>
        </w:rPr>
        <w:t xml:space="preserve"> y otros</w:t>
      </w:r>
      <w:r w:rsidRPr="00025A5A">
        <w:rPr>
          <w:vertAlign w:val="superscript"/>
          <w:lang w:eastAsia="es-ES"/>
        </w:rPr>
        <w:t>(12)</w:t>
      </w:r>
      <w:r w:rsidRPr="00025A5A">
        <w:rPr>
          <w:lang w:eastAsia="es-ES"/>
        </w:rPr>
        <w:t xml:space="preserve"> en dos grupos, uno con NAC</w:t>
      </w:r>
      <w:r w:rsidRPr="00025A5A">
        <w:rPr>
          <w:color w:val="FF0000"/>
          <w:lang w:eastAsia="es-ES"/>
        </w:rPr>
        <w:t xml:space="preserve"> </w:t>
      </w:r>
      <w:r w:rsidRPr="00025A5A">
        <w:rPr>
          <w:lang w:eastAsia="es-ES"/>
        </w:rPr>
        <w:t xml:space="preserve">y edad media de 74,11 ± 8,02 y otro sin ella, con edad media de 75,36 años ± 8,23 años; </w:t>
      </w:r>
      <w:r w:rsidRPr="00025A5A">
        <w:rPr>
          <w:i/>
          <w:lang w:eastAsia="es-ES"/>
        </w:rPr>
        <w:t>Olloquequi J</w:t>
      </w:r>
      <w:r w:rsidRPr="00025A5A">
        <w:rPr>
          <w:iCs/>
          <w:lang w:eastAsia="es-ES"/>
        </w:rPr>
        <w:t xml:space="preserve"> y otros</w:t>
      </w:r>
      <w:r w:rsidRPr="00025A5A">
        <w:rPr>
          <w:vertAlign w:val="superscript"/>
          <w:lang w:eastAsia="es-ES"/>
        </w:rPr>
        <w:t>(16)</w:t>
      </w:r>
      <w:r w:rsidRPr="00025A5A">
        <w:rPr>
          <w:color w:val="FF0000"/>
          <w:lang w:eastAsia="es-ES"/>
        </w:rPr>
        <w:t xml:space="preserve"> </w:t>
      </w:r>
      <w:r w:rsidRPr="00025A5A">
        <w:rPr>
          <w:lang w:eastAsia="es-ES"/>
        </w:rPr>
        <w:t xml:space="preserve">con edad media de </w:t>
      </w:r>
      <w:r w:rsidRPr="00025A5A">
        <w:rPr>
          <w:iCs/>
          <w:lang w:eastAsia="es-ES"/>
        </w:rPr>
        <w:t xml:space="preserve">71,4 años; </w:t>
      </w:r>
      <w:r w:rsidRPr="00025A5A">
        <w:rPr>
          <w:i/>
          <w:iCs/>
          <w:lang w:eastAsia="es-ES"/>
        </w:rPr>
        <w:t xml:space="preserve">Shawn Lee S </w:t>
      </w:r>
      <w:r w:rsidRPr="00025A5A">
        <w:rPr>
          <w:iCs/>
          <w:color w:val="000000"/>
          <w:lang w:eastAsia="es-ES"/>
        </w:rPr>
        <w:t>y otros</w:t>
      </w:r>
      <w:r w:rsidRPr="00025A5A">
        <w:rPr>
          <w:iCs/>
          <w:vertAlign w:val="superscript"/>
          <w:lang w:eastAsia="es-ES"/>
        </w:rPr>
        <w:t>(17)</w:t>
      </w:r>
      <w:r w:rsidRPr="00025A5A">
        <w:rPr>
          <w:iCs/>
          <w:lang w:eastAsia="es-ES"/>
        </w:rPr>
        <w:t xml:space="preserve"> con </w:t>
      </w:r>
      <w:r w:rsidRPr="00025A5A">
        <w:rPr>
          <w:lang w:eastAsia="es-ES"/>
        </w:rPr>
        <w:t>72,9 años, así como otros autores.</w:t>
      </w:r>
      <w:r w:rsidRPr="00025A5A">
        <w:rPr>
          <w:vertAlign w:val="superscript"/>
          <w:lang w:eastAsia="es-ES"/>
        </w:rPr>
        <w:t>(18,</w:t>
      </w:r>
      <w:r w:rsidRPr="00025A5A">
        <w:rPr>
          <w:iCs/>
          <w:vertAlign w:val="superscript"/>
        </w:rPr>
        <w:t>19,20</w:t>
      </w:r>
      <w:r w:rsidRPr="00025A5A">
        <w:rPr>
          <w:vertAlign w:val="superscript"/>
          <w:lang w:eastAsia="es-ES"/>
        </w:rPr>
        <w:t>)</w:t>
      </w:r>
    </w:p>
    <w:p w14:paraId="1E5641E8" w14:textId="77777777" w:rsidR="00025A5A" w:rsidRPr="00025A5A" w:rsidRDefault="00025A5A" w:rsidP="00025A5A">
      <w:pPr>
        <w:autoSpaceDE w:val="0"/>
        <w:autoSpaceDN w:val="0"/>
        <w:adjustRightInd w:val="0"/>
        <w:spacing w:line="360" w:lineRule="auto"/>
        <w:jc w:val="both"/>
        <w:rPr>
          <w:lang w:eastAsia="es-ES"/>
        </w:rPr>
      </w:pPr>
      <w:r w:rsidRPr="00025A5A">
        <w:rPr>
          <w:lang w:eastAsia="es-ES"/>
        </w:rPr>
        <w:t>En esta investigación, como en las series revisadas la principal causa de ingreso fue la de tipo clínico.</w:t>
      </w:r>
    </w:p>
    <w:p w14:paraId="6E2B29CF" w14:textId="77777777" w:rsidR="00025A5A" w:rsidRPr="00025A5A" w:rsidRDefault="00025A5A" w:rsidP="00025A5A">
      <w:pPr>
        <w:autoSpaceDE w:val="0"/>
        <w:autoSpaceDN w:val="0"/>
        <w:adjustRightInd w:val="0"/>
        <w:spacing w:line="360" w:lineRule="auto"/>
        <w:jc w:val="both"/>
        <w:rPr>
          <w:lang w:eastAsia="es-ES"/>
        </w:rPr>
      </w:pPr>
      <w:r w:rsidRPr="00025A5A">
        <w:rPr>
          <w:lang w:eastAsia="es-ES"/>
        </w:rPr>
        <w:t xml:space="preserve">En el estudio de </w:t>
      </w:r>
      <w:r w:rsidRPr="00025A5A">
        <w:rPr>
          <w:i/>
          <w:lang w:eastAsia="es-ES"/>
        </w:rPr>
        <w:t xml:space="preserve">Gadre SK </w:t>
      </w:r>
      <w:r w:rsidRPr="00025A5A">
        <w:rPr>
          <w:iCs/>
          <w:color w:val="000000"/>
          <w:lang w:eastAsia="es-ES"/>
        </w:rPr>
        <w:t>y otros</w:t>
      </w:r>
      <w:r w:rsidRPr="00025A5A">
        <w:rPr>
          <w:lang w:eastAsia="es-ES"/>
        </w:rPr>
        <w:t>,</w:t>
      </w:r>
      <w:r w:rsidRPr="00025A5A">
        <w:rPr>
          <w:vertAlign w:val="superscript"/>
          <w:lang w:eastAsia="es-ES"/>
        </w:rPr>
        <w:t>(8)</w:t>
      </w:r>
      <w:r w:rsidRPr="00025A5A">
        <w:rPr>
          <w:lang w:eastAsia="es-ES"/>
        </w:rPr>
        <w:t xml:space="preserve"> las causas que motivaron ingreso en la UCI fueron exacerbación de la EPOC, neumonía y sepsis. </w:t>
      </w:r>
    </w:p>
    <w:p w14:paraId="08EFE3D0" w14:textId="77777777" w:rsidR="00025A5A" w:rsidRPr="00025A5A" w:rsidRDefault="00025A5A" w:rsidP="00025A5A">
      <w:pPr>
        <w:autoSpaceDE w:val="0"/>
        <w:autoSpaceDN w:val="0"/>
        <w:adjustRightInd w:val="0"/>
        <w:spacing w:line="360" w:lineRule="auto"/>
        <w:jc w:val="both"/>
        <w:rPr>
          <w:color w:val="FF0000"/>
          <w:lang w:eastAsia="es-ES"/>
        </w:rPr>
      </w:pPr>
      <w:r w:rsidRPr="00025A5A">
        <w:rPr>
          <w:lang w:eastAsia="es-ES"/>
        </w:rPr>
        <w:lastRenderedPageBreak/>
        <w:t xml:space="preserve">La investigación llevada a cabo por </w:t>
      </w:r>
      <w:r w:rsidRPr="00025A5A">
        <w:rPr>
          <w:i/>
          <w:lang w:eastAsia="es-ES"/>
        </w:rPr>
        <w:t xml:space="preserve">Belenguer-Muncharaz A </w:t>
      </w:r>
      <w:r w:rsidRPr="00025A5A">
        <w:rPr>
          <w:iCs/>
          <w:color w:val="000000"/>
          <w:lang w:eastAsia="es-ES"/>
        </w:rPr>
        <w:t>y otros</w:t>
      </w:r>
      <w:r w:rsidRPr="00025A5A">
        <w:rPr>
          <w:lang w:eastAsia="es-ES"/>
        </w:rPr>
        <w:t>,</w:t>
      </w:r>
      <w:r w:rsidRPr="00025A5A">
        <w:rPr>
          <w:bCs/>
          <w:vertAlign w:val="superscript"/>
          <w:lang w:eastAsia="es-ES"/>
        </w:rPr>
        <w:t>(9)</w:t>
      </w:r>
      <w:r w:rsidRPr="00025A5A">
        <w:rPr>
          <w:lang w:eastAsia="es-ES"/>
        </w:rPr>
        <w:t xml:space="preserve"> encontró que las causas de la intubación en pacientes con EPOC fueron: 55 % pacientes por paro cardiorrespiratorio, 40 % por deterioro del nivel de conciencia y 5 % por hipoxemia resistente.</w:t>
      </w:r>
      <w:r w:rsidRPr="00025A5A">
        <w:rPr>
          <w:color w:val="FF0000"/>
          <w:lang w:eastAsia="es-ES"/>
        </w:rPr>
        <w:t xml:space="preserve"> </w:t>
      </w:r>
      <w:r w:rsidRPr="00025A5A">
        <w:rPr>
          <w:color w:val="000000"/>
          <w:lang w:eastAsia="es-ES"/>
        </w:rPr>
        <w:t>La causa desencadenante más frecuente, en un estudio realizado en Santiago de Cuba, fue la infección respiratoria, para un 83,1 %.</w:t>
      </w:r>
      <w:r w:rsidRPr="00025A5A">
        <w:rPr>
          <w:vertAlign w:val="superscript"/>
          <w:lang w:eastAsia="es-ES"/>
        </w:rPr>
        <w:t>(</w:t>
      </w:r>
      <w:r w:rsidRPr="00025A5A">
        <w:rPr>
          <w:bCs/>
          <w:vertAlign w:val="superscript"/>
          <w:lang w:eastAsia="es-ES"/>
        </w:rPr>
        <w:t>21)</w:t>
      </w:r>
    </w:p>
    <w:p w14:paraId="76034E8B" w14:textId="77777777" w:rsidR="00025A5A" w:rsidRPr="00025A5A" w:rsidRDefault="00025A5A" w:rsidP="00025A5A">
      <w:pPr>
        <w:autoSpaceDE w:val="0"/>
        <w:autoSpaceDN w:val="0"/>
        <w:adjustRightInd w:val="0"/>
        <w:spacing w:line="360" w:lineRule="auto"/>
        <w:jc w:val="both"/>
        <w:rPr>
          <w:lang w:eastAsia="es-ES"/>
        </w:rPr>
      </w:pPr>
      <w:r w:rsidRPr="00025A5A">
        <w:rPr>
          <w:lang w:eastAsia="es-ES"/>
        </w:rPr>
        <w:t xml:space="preserve">En la investigación realizada en China por </w:t>
      </w:r>
      <w:r w:rsidRPr="00025A5A">
        <w:rPr>
          <w:i/>
          <w:lang w:eastAsia="es-ES"/>
        </w:rPr>
        <w:t xml:space="preserve">Lu Z </w:t>
      </w:r>
      <w:r w:rsidRPr="00025A5A">
        <w:rPr>
          <w:iCs/>
          <w:color w:val="000000"/>
          <w:lang w:eastAsia="es-ES"/>
        </w:rPr>
        <w:t>y otros</w:t>
      </w:r>
      <w:r w:rsidRPr="00025A5A">
        <w:rPr>
          <w:lang w:eastAsia="es-ES"/>
        </w:rPr>
        <w:t>,</w:t>
      </w:r>
      <w:r w:rsidRPr="00025A5A">
        <w:rPr>
          <w:vertAlign w:val="superscript"/>
          <w:lang w:eastAsia="es-ES"/>
        </w:rPr>
        <w:t>(12)</w:t>
      </w:r>
      <w:r w:rsidRPr="00025A5A">
        <w:rPr>
          <w:lang w:eastAsia="es-ES"/>
        </w:rPr>
        <w:t xml:space="preserve"> el valor del APACHE II en pacientes con EPOC y NAC, fue de 18,53 ± 5,71 y en quienes no tenían NAC, de 18,55 ± 3,77. </w:t>
      </w:r>
    </w:p>
    <w:p w14:paraId="77E91C3C" w14:textId="77777777" w:rsidR="00025A5A" w:rsidRPr="00025A5A" w:rsidRDefault="00025A5A" w:rsidP="00025A5A">
      <w:pPr>
        <w:autoSpaceDE w:val="0"/>
        <w:autoSpaceDN w:val="0"/>
        <w:adjustRightInd w:val="0"/>
        <w:spacing w:line="360" w:lineRule="auto"/>
        <w:jc w:val="both"/>
        <w:rPr>
          <w:lang w:eastAsia="es-ES"/>
        </w:rPr>
      </w:pPr>
      <w:r w:rsidRPr="00025A5A">
        <w:rPr>
          <w:lang w:eastAsia="es-ES"/>
        </w:rPr>
        <w:t>Una serie de pacientes con EPOC en una UCI de Holguín, Cuba, mostró una media del valor de APACHE II de 21,3 ± 7,6 y en los fallecidos, mayor que en los egresados vivos (23,7 ± 8,9 vs. 19,4 ± 6,8).</w:t>
      </w:r>
      <w:r w:rsidRPr="00025A5A">
        <w:rPr>
          <w:bCs/>
          <w:vertAlign w:val="superscript"/>
          <w:lang w:eastAsia="es-ES"/>
        </w:rPr>
        <w:t>(6</w:t>
      </w:r>
      <w:r w:rsidRPr="00025A5A">
        <w:rPr>
          <w:vertAlign w:val="superscript"/>
          <w:lang w:eastAsia="es-ES"/>
        </w:rPr>
        <w:t>)</w:t>
      </w:r>
      <w:r w:rsidRPr="00025A5A">
        <w:rPr>
          <w:color w:val="FF0000"/>
          <w:lang w:eastAsia="es-ES"/>
        </w:rPr>
        <w:t xml:space="preserve"> </w:t>
      </w:r>
      <w:r w:rsidRPr="00025A5A">
        <w:rPr>
          <w:lang w:eastAsia="es-ES"/>
        </w:rPr>
        <w:t>Ambos similares al de esta investigación.</w:t>
      </w:r>
    </w:p>
    <w:p w14:paraId="44ED1FCF" w14:textId="77777777" w:rsidR="00025A5A" w:rsidRPr="00025A5A" w:rsidRDefault="00025A5A" w:rsidP="00025A5A">
      <w:pPr>
        <w:autoSpaceDE w:val="0"/>
        <w:autoSpaceDN w:val="0"/>
        <w:adjustRightInd w:val="0"/>
        <w:spacing w:line="360" w:lineRule="auto"/>
        <w:jc w:val="both"/>
        <w:rPr>
          <w:lang w:eastAsia="es-ES"/>
        </w:rPr>
      </w:pPr>
      <w:r w:rsidRPr="00025A5A">
        <w:rPr>
          <w:lang w:eastAsia="es-ES"/>
        </w:rPr>
        <w:t xml:space="preserve">En esta serie el porcentaje de pacientes con VMI, fue muy superior al de otros trabajos revisados, lo que puede estar en relación con el poco uso de la VNI, e influir también en la alta mortalidad presentada. </w:t>
      </w:r>
    </w:p>
    <w:p w14:paraId="57EA2555" w14:textId="77777777" w:rsidR="00025A5A" w:rsidRPr="00025A5A" w:rsidRDefault="00025A5A" w:rsidP="00025A5A">
      <w:pPr>
        <w:autoSpaceDE w:val="0"/>
        <w:autoSpaceDN w:val="0"/>
        <w:adjustRightInd w:val="0"/>
        <w:spacing w:line="360" w:lineRule="auto"/>
        <w:jc w:val="both"/>
        <w:rPr>
          <w:lang w:eastAsia="es-ES"/>
        </w:rPr>
      </w:pPr>
      <w:r w:rsidRPr="00025A5A">
        <w:rPr>
          <w:lang w:eastAsia="es-ES"/>
        </w:rPr>
        <w:t>El estudio</w:t>
      </w:r>
      <w:r w:rsidRPr="00025A5A">
        <w:rPr>
          <w:vertAlign w:val="superscript"/>
          <w:lang w:eastAsia="es-ES"/>
        </w:rPr>
        <w:t xml:space="preserve"> </w:t>
      </w:r>
      <w:r w:rsidRPr="00025A5A">
        <w:rPr>
          <w:lang w:eastAsia="es-ES"/>
        </w:rPr>
        <w:t>realizado en Cleveland, EE.UU,</w:t>
      </w:r>
      <w:r w:rsidRPr="00025A5A">
        <w:rPr>
          <w:vertAlign w:val="superscript"/>
          <w:lang w:eastAsia="es-ES"/>
        </w:rPr>
        <w:t>(8)</w:t>
      </w:r>
      <w:r w:rsidRPr="00025A5A">
        <w:rPr>
          <w:lang w:eastAsia="es-ES"/>
        </w:rPr>
        <w:t xml:space="preserve">  mostró que un 18 % de los pacientes recibió VNI antes de recibir VMI.</w:t>
      </w:r>
    </w:p>
    <w:p w14:paraId="4CA7259D" w14:textId="77777777" w:rsidR="00025A5A" w:rsidRPr="00025A5A" w:rsidRDefault="00025A5A" w:rsidP="00025A5A">
      <w:pPr>
        <w:autoSpaceDE w:val="0"/>
        <w:autoSpaceDN w:val="0"/>
        <w:adjustRightInd w:val="0"/>
        <w:spacing w:line="360" w:lineRule="auto"/>
        <w:jc w:val="both"/>
        <w:rPr>
          <w:lang w:eastAsia="es-ES"/>
        </w:rPr>
      </w:pPr>
      <w:r w:rsidRPr="00025A5A">
        <w:rPr>
          <w:lang w:eastAsia="es-ES"/>
        </w:rPr>
        <w:t>En la serie de España, un 14 % de los pacientes recibió VMI y el 86 % VNI</w:t>
      </w:r>
      <w:r w:rsidRPr="00025A5A">
        <w:rPr>
          <w:bCs/>
          <w:vertAlign w:val="superscript"/>
          <w:lang w:eastAsia="es-ES"/>
        </w:rPr>
        <w:t>(9)</w:t>
      </w:r>
      <w:r w:rsidRPr="00025A5A">
        <w:rPr>
          <w:b/>
          <w:bCs/>
          <w:color w:val="FF0000"/>
          <w:lang w:eastAsia="es-ES"/>
        </w:rPr>
        <w:t xml:space="preserve"> </w:t>
      </w:r>
      <w:r w:rsidRPr="00025A5A">
        <w:rPr>
          <w:bCs/>
          <w:lang w:eastAsia="es-ES"/>
        </w:rPr>
        <w:t xml:space="preserve">y en la de </w:t>
      </w:r>
      <w:r w:rsidRPr="00025A5A">
        <w:rPr>
          <w:i/>
          <w:lang w:eastAsia="es-ES"/>
        </w:rPr>
        <w:t xml:space="preserve">Pavliša G </w:t>
      </w:r>
      <w:r w:rsidRPr="00025A5A">
        <w:rPr>
          <w:iCs/>
          <w:color w:val="000000"/>
          <w:lang w:eastAsia="es-ES"/>
        </w:rPr>
        <w:t>y otros</w:t>
      </w:r>
      <w:r w:rsidRPr="00025A5A">
        <w:rPr>
          <w:lang w:eastAsia="es-ES"/>
        </w:rPr>
        <w:t>,</w:t>
      </w:r>
      <w:r w:rsidRPr="00025A5A">
        <w:rPr>
          <w:vertAlign w:val="superscript"/>
          <w:lang w:eastAsia="es-ES"/>
        </w:rPr>
        <w:t>(11)</w:t>
      </w:r>
      <w:r w:rsidRPr="00025A5A">
        <w:rPr>
          <w:color w:val="FF0000"/>
          <w:lang w:eastAsia="es-ES"/>
        </w:rPr>
        <w:t xml:space="preserve"> </w:t>
      </w:r>
      <w:r w:rsidRPr="00025A5A">
        <w:rPr>
          <w:lang w:eastAsia="es-ES"/>
        </w:rPr>
        <w:t xml:space="preserve">14 pacientes tuvieron VNI y 48 VMI y un 71,8 % de estos últimos falleció. </w:t>
      </w:r>
    </w:p>
    <w:p w14:paraId="435ADBEA" w14:textId="77777777" w:rsidR="00025A5A" w:rsidRPr="00025A5A" w:rsidRDefault="00025A5A" w:rsidP="00025A5A">
      <w:pPr>
        <w:autoSpaceDE w:val="0"/>
        <w:autoSpaceDN w:val="0"/>
        <w:adjustRightInd w:val="0"/>
        <w:spacing w:line="360" w:lineRule="auto"/>
        <w:jc w:val="both"/>
        <w:rPr>
          <w:lang w:eastAsia="es-ES"/>
        </w:rPr>
      </w:pPr>
      <w:r w:rsidRPr="00025A5A">
        <w:rPr>
          <w:lang w:eastAsia="es-ES"/>
        </w:rPr>
        <w:t>La investigación</w:t>
      </w:r>
      <w:r w:rsidRPr="00025A5A">
        <w:rPr>
          <w:vertAlign w:val="superscript"/>
          <w:lang w:eastAsia="es-ES"/>
        </w:rPr>
        <w:t>(12)</w:t>
      </w:r>
      <w:r w:rsidRPr="00025A5A">
        <w:rPr>
          <w:lang w:eastAsia="es-ES"/>
        </w:rPr>
        <w:t xml:space="preserve"> de China, mostró que el 38,8 % hubo fracaso de la VNI y de ellos 11 fallecieron después de aplicar VMI.</w:t>
      </w:r>
    </w:p>
    <w:p w14:paraId="0FB37EB8" w14:textId="2EF0716C" w:rsidR="00025A5A" w:rsidRPr="00025A5A" w:rsidRDefault="00025A5A" w:rsidP="00025A5A">
      <w:pPr>
        <w:autoSpaceDE w:val="0"/>
        <w:autoSpaceDN w:val="0"/>
        <w:adjustRightInd w:val="0"/>
        <w:spacing w:line="360" w:lineRule="auto"/>
        <w:jc w:val="both"/>
        <w:rPr>
          <w:color w:val="000000"/>
          <w:lang w:eastAsia="es-ES"/>
        </w:rPr>
      </w:pPr>
      <w:r w:rsidRPr="00025A5A">
        <w:rPr>
          <w:bCs/>
          <w:i/>
          <w:lang w:eastAsia="es-ES"/>
        </w:rPr>
        <w:t>Stefan MS</w:t>
      </w:r>
      <w:r w:rsidRPr="00025A5A">
        <w:rPr>
          <w:bCs/>
          <w:iCs/>
          <w:lang w:eastAsia="es-ES"/>
        </w:rPr>
        <w:t xml:space="preserve"> </w:t>
      </w:r>
      <w:r w:rsidRPr="00025A5A">
        <w:rPr>
          <w:iCs/>
          <w:color w:val="000000"/>
          <w:lang w:eastAsia="es-ES"/>
        </w:rPr>
        <w:t>y otros</w:t>
      </w:r>
      <w:r w:rsidRPr="00025A5A">
        <w:rPr>
          <w:vertAlign w:val="superscript"/>
          <w:lang w:eastAsia="es-ES"/>
        </w:rPr>
        <w:t>(10)</w:t>
      </w:r>
      <w:r w:rsidRPr="00025A5A">
        <w:rPr>
          <w:color w:val="FF0000"/>
          <w:lang w:eastAsia="es-ES"/>
        </w:rPr>
        <w:t xml:space="preserve"> </w:t>
      </w:r>
      <w:r w:rsidRPr="00025A5A">
        <w:rPr>
          <w:bCs/>
          <w:lang w:eastAsia="es-ES"/>
        </w:rPr>
        <w:t>recolectaron datos de 1359 pacientes con exacerbación de EPOC, de quienes el 27,7</w:t>
      </w:r>
      <w:r w:rsidR="004C2543">
        <w:rPr>
          <w:bCs/>
          <w:lang w:eastAsia="es-ES"/>
        </w:rPr>
        <w:t> </w:t>
      </w:r>
      <w:r w:rsidRPr="00025A5A">
        <w:rPr>
          <w:bCs/>
          <w:lang w:eastAsia="es-ES"/>
        </w:rPr>
        <w:t>% recibió VNI, 45,5 % VMI y el resto (26,8 %), ninguna de las dos.</w:t>
      </w:r>
      <w:r w:rsidRPr="00025A5A">
        <w:rPr>
          <w:color w:val="000000"/>
          <w:lang w:eastAsia="es-ES"/>
        </w:rPr>
        <w:t xml:space="preserve"> </w:t>
      </w:r>
    </w:p>
    <w:p w14:paraId="74112318" w14:textId="77777777" w:rsidR="00025A5A" w:rsidRPr="00025A5A" w:rsidRDefault="00025A5A" w:rsidP="00025A5A">
      <w:pPr>
        <w:autoSpaceDE w:val="0"/>
        <w:autoSpaceDN w:val="0"/>
        <w:adjustRightInd w:val="0"/>
        <w:spacing w:line="360" w:lineRule="auto"/>
        <w:jc w:val="both"/>
        <w:rPr>
          <w:color w:val="FF0000"/>
          <w:lang w:eastAsia="es-ES"/>
        </w:rPr>
      </w:pPr>
      <w:r w:rsidRPr="00025A5A">
        <w:rPr>
          <w:lang w:eastAsia="es-ES"/>
        </w:rPr>
        <w:t>En el trabajo</w:t>
      </w:r>
      <w:r w:rsidRPr="00025A5A">
        <w:rPr>
          <w:bCs/>
          <w:vertAlign w:val="superscript"/>
          <w:lang w:eastAsia="es-ES"/>
        </w:rPr>
        <w:t xml:space="preserve"> </w:t>
      </w:r>
      <w:r w:rsidRPr="00025A5A">
        <w:rPr>
          <w:lang w:eastAsia="es-ES"/>
        </w:rPr>
        <w:t>realizado en Holguín,</w:t>
      </w:r>
      <w:r w:rsidRPr="00025A5A">
        <w:rPr>
          <w:bCs/>
          <w:vertAlign w:val="superscript"/>
          <w:lang w:eastAsia="es-ES"/>
        </w:rPr>
        <w:t>(6</w:t>
      </w:r>
      <w:r w:rsidRPr="00025A5A">
        <w:rPr>
          <w:vertAlign w:val="superscript"/>
          <w:lang w:eastAsia="es-ES"/>
        </w:rPr>
        <w:t>)</w:t>
      </w:r>
      <w:r w:rsidRPr="00025A5A">
        <w:rPr>
          <w:lang w:eastAsia="es-ES"/>
        </w:rPr>
        <w:t xml:space="preserve"> los pacientes que recibieron VMI presentaron una mortalidad de 42,4 %. </w:t>
      </w:r>
      <w:r w:rsidRPr="00025A5A">
        <w:rPr>
          <w:color w:val="000000"/>
          <w:lang w:eastAsia="es-ES"/>
        </w:rPr>
        <w:t>En otra investigación,</w:t>
      </w:r>
      <w:r w:rsidRPr="00025A5A">
        <w:rPr>
          <w:vertAlign w:val="superscript"/>
          <w:lang w:eastAsia="es-ES"/>
        </w:rPr>
        <w:t>(22)</w:t>
      </w:r>
      <w:r w:rsidRPr="00025A5A">
        <w:rPr>
          <w:color w:val="FF0000"/>
          <w:lang w:eastAsia="es-ES"/>
        </w:rPr>
        <w:t xml:space="preserve"> </w:t>
      </w:r>
      <w:r w:rsidRPr="00025A5A">
        <w:rPr>
          <w:color w:val="000000"/>
          <w:lang w:eastAsia="es-ES"/>
        </w:rPr>
        <w:t>en Santiago de Cuba, el 56 % del total de los pacientes, no necesitaron VMI, pero existió un incremento de los fallecidos en quienes la utilizaron (76 %); y existió 23,2 veces más probabilidad de fallecer en los pacientes con VMI.</w:t>
      </w:r>
      <w:r w:rsidRPr="00025A5A">
        <w:rPr>
          <w:color w:val="FF0000"/>
          <w:lang w:eastAsia="es-ES"/>
        </w:rPr>
        <w:t xml:space="preserve"> </w:t>
      </w:r>
    </w:p>
    <w:p w14:paraId="507C5025" w14:textId="77777777" w:rsidR="00025A5A" w:rsidRPr="00025A5A" w:rsidRDefault="00025A5A" w:rsidP="00025A5A">
      <w:pPr>
        <w:autoSpaceDE w:val="0"/>
        <w:autoSpaceDN w:val="0"/>
        <w:adjustRightInd w:val="0"/>
        <w:spacing w:line="360" w:lineRule="auto"/>
        <w:jc w:val="both"/>
        <w:rPr>
          <w:lang w:eastAsia="es-ES"/>
        </w:rPr>
      </w:pPr>
      <w:r w:rsidRPr="00025A5A">
        <w:rPr>
          <w:i/>
          <w:lang w:eastAsia="es-ES"/>
        </w:rPr>
        <w:t xml:space="preserve">Malpica Alonso E </w:t>
      </w:r>
      <w:r w:rsidRPr="00025A5A">
        <w:rPr>
          <w:iCs/>
          <w:color w:val="000000"/>
          <w:lang w:eastAsia="es-ES"/>
        </w:rPr>
        <w:t>y otros</w:t>
      </w:r>
      <w:r w:rsidRPr="00025A5A">
        <w:rPr>
          <w:lang w:eastAsia="es-ES"/>
        </w:rPr>
        <w:t>,</w:t>
      </w:r>
      <w:r w:rsidRPr="00025A5A">
        <w:rPr>
          <w:vertAlign w:val="superscript"/>
          <w:lang w:eastAsia="es-ES"/>
        </w:rPr>
        <w:t>(13)</w:t>
      </w:r>
      <w:r w:rsidRPr="00025A5A">
        <w:rPr>
          <w:color w:val="FF0000"/>
          <w:lang w:eastAsia="es-ES"/>
        </w:rPr>
        <w:t xml:space="preserve"> </w:t>
      </w:r>
      <w:r w:rsidRPr="00025A5A">
        <w:rPr>
          <w:lang w:eastAsia="es-ES"/>
        </w:rPr>
        <w:t xml:space="preserve">reportan que fueron ventilados el 53,6 % de los pacientes. </w:t>
      </w:r>
    </w:p>
    <w:p w14:paraId="4C1B822B" w14:textId="77777777" w:rsidR="00025A5A" w:rsidRPr="00025A5A" w:rsidRDefault="00025A5A" w:rsidP="00025A5A">
      <w:pPr>
        <w:autoSpaceDE w:val="0"/>
        <w:autoSpaceDN w:val="0"/>
        <w:adjustRightInd w:val="0"/>
        <w:spacing w:line="360" w:lineRule="auto"/>
        <w:jc w:val="both"/>
        <w:rPr>
          <w:lang w:eastAsia="es-ES"/>
        </w:rPr>
      </w:pPr>
      <w:r w:rsidRPr="00025A5A">
        <w:rPr>
          <w:lang w:eastAsia="es-ES"/>
        </w:rPr>
        <w:t>En esta investigación hubo poca utilización de la traqueostomía, aunque el porcentaje fue superior al de otras series analizadas. En el trabajo antes citado,</w:t>
      </w:r>
      <w:r w:rsidRPr="00025A5A">
        <w:rPr>
          <w:bCs/>
          <w:vertAlign w:val="superscript"/>
          <w:lang w:eastAsia="es-ES"/>
        </w:rPr>
        <w:t xml:space="preserve">(9) </w:t>
      </w:r>
      <w:r w:rsidRPr="00025A5A">
        <w:rPr>
          <w:lang w:eastAsia="es-ES"/>
        </w:rPr>
        <w:t xml:space="preserve">el 2,8 % de los pacientes fueron traqueostomizados. </w:t>
      </w:r>
      <w:r w:rsidRPr="00025A5A">
        <w:rPr>
          <w:color w:val="000000"/>
          <w:lang w:eastAsia="es-ES"/>
        </w:rPr>
        <w:t>En la serie de Holguín,</w:t>
      </w:r>
      <w:r w:rsidRPr="00025A5A">
        <w:rPr>
          <w:bCs/>
          <w:vertAlign w:val="superscript"/>
          <w:lang w:eastAsia="es-ES"/>
        </w:rPr>
        <w:t>(6</w:t>
      </w:r>
      <w:r w:rsidRPr="00025A5A">
        <w:rPr>
          <w:vertAlign w:val="superscript"/>
          <w:lang w:eastAsia="es-ES"/>
        </w:rPr>
        <w:t>)</w:t>
      </w:r>
      <w:r w:rsidRPr="00025A5A">
        <w:rPr>
          <w:color w:val="000000"/>
          <w:lang w:eastAsia="es-ES"/>
        </w:rPr>
        <w:t xml:space="preserve"> al 9,6 % de los egresados vivos se les realiza traqueostomía y al 11, 5 % de los fallecidos</w:t>
      </w:r>
      <w:r w:rsidRPr="00025A5A">
        <w:rPr>
          <w:lang w:eastAsia="es-ES"/>
        </w:rPr>
        <w:t xml:space="preserve">. En otro trabajo realizado en España por </w:t>
      </w:r>
      <w:r w:rsidRPr="00025A5A">
        <w:rPr>
          <w:i/>
          <w:lang w:eastAsia="es-ES"/>
        </w:rPr>
        <w:t>Pedrosa Guerrero A</w:t>
      </w:r>
      <w:r w:rsidRPr="00025A5A">
        <w:rPr>
          <w:lang w:eastAsia="es-ES"/>
        </w:rPr>
        <w:t xml:space="preserve"> </w:t>
      </w:r>
      <w:r w:rsidRPr="00025A5A">
        <w:rPr>
          <w:iCs/>
          <w:color w:val="000000"/>
          <w:lang w:eastAsia="es-ES"/>
        </w:rPr>
        <w:t>y otros</w:t>
      </w:r>
      <w:r w:rsidRPr="00025A5A">
        <w:rPr>
          <w:i/>
          <w:lang w:eastAsia="es-ES"/>
        </w:rPr>
        <w:t>,</w:t>
      </w:r>
      <w:r w:rsidRPr="00025A5A">
        <w:rPr>
          <w:vertAlign w:val="superscript"/>
          <w:lang w:eastAsia="es-ES"/>
        </w:rPr>
        <w:t>(23)</w:t>
      </w:r>
      <w:r w:rsidRPr="00025A5A">
        <w:rPr>
          <w:lang w:eastAsia="es-ES"/>
        </w:rPr>
        <w:t xml:space="preserve"> 13,3 % de los pacientes se le realizó traqueostomía. </w:t>
      </w:r>
    </w:p>
    <w:p w14:paraId="565D8695" w14:textId="77777777" w:rsidR="00025A5A" w:rsidRPr="00025A5A" w:rsidRDefault="00025A5A" w:rsidP="00025A5A">
      <w:pPr>
        <w:autoSpaceDE w:val="0"/>
        <w:autoSpaceDN w:val="0"/>
        <w:adjustRightInd w:val="0"/>
        <w:spacing w:line="360" w:lineRule="auto"/>
        <w:jc w:val="both"/>
        <w:rPr>
          <w:b/>
          <w:lang w:eastAsia="es-ES"/>
        </w:rPr>
      </w:pPr>
      <w:r w:rsidRPr="00025A5A">
        <w:rPr>
          <w:lang w:eastAsia="es-ES"/>
        </w:rPr>
        <w:lastRenderedPageBreak/>
        <w:t>En una investigación sobre pacientes con VMI traqueostomizados,</w:t>
      </w:r>
      <w:r w:rsidRPr="00025A5A">
        <w:rPr>
          <w:bCs/>
          <w:vertAlign w:val="superscript"/>
          <w:lang w:eastAsia="es-ES"/>
        </w:rPr>
        <w:t>(24)</w:t>
      </w:r>
      <w:r w:rsidRPr="00025A5A">
        <w:rPr>
          <w:lang w:eastAsia="es-ES"/>
        </w:rPr>
        <w:t xml:space="preserve"> demuestra que no influyó sobre el tiempo de ventilación mecánica ni en la mortalidad global.</w:t>
      </w:r>
    </w:p>
    <w:p w14:paraId="5D00EF99" w14:textId="77777777" w:rsidR="00025A5A" w:rsidRPr="00025A5A" w:rsidRDefault="00025A5A" w:rsidP="00025A5A">
      <w:pPr>
        <w:autoSpaceDE w:val="0"/>
        <w:autoSpaceDN w:val="0"/>
        <w:adjustRightInd w:val="0"/>
        <w:spacing w:line="360" w:lineRule="auto"/>
        <w:jc w:val="both"/>
        <w:rPr>
          <w:lang w:eastAsia="es-ES"/>
        </w:rPr>
      </w:pPr>
      <w:r w:rsidRPr="00025A5A">
        <w:rPr>
          <w:lang w:eastAsia="es-ES"/>
        </w:rPr>
        <w:t>Las causas de muerte en pacientes con EPOC leve, son las enfermedades cardiovasculares y el cáncer de pulmón. Cuando la enfermedad es más grave, la principal causa de muerte es la propia evolución. Del 50 % al 80 % de los pacientes con EPOC, mueren de causa respiratoria, bien sea por agudización de la enfermedad (30 % al 50 %), por neoplasia de pulmón (8% al 13 %) o por otras causas de origen respiratorio. Las principales causas de muerte en pacientes con EPOC grave son: respiratorias (80,9 %), cardiacas (5,6 %), accidentes cerebrovasculares (12,4 %) y otras (6,7 %).</w:t>
      </w:r>
      <w:r w:rsidRPr="00025A5A">
        <w:rPr>
          <w:vertAlign w:val="superscript"/>
          <w:lang w:eastAsia="es-ES"/>
        </w:rPr>
        <w:t>(25)</w:t>
      </w:r>
    </w:p>
    <w:p w14:paraId="07F4A8E3" w14:textId="77777777" w:rsidR="00025A5A" w:rsidRPr="00025A5A" w:rsidRDefault="00025A5A" w:rsidP="00025A5A">
      <w:pPr>
        <w:autoSpaceDE w:val="0"/>
        <w:autoSpaceDN w:val="0"/>
        <w:adjustRightInd w:val="0"/>
        <w:spacing w:line="360" w:lineRule="auto"/>
        <w:jc w:val="both"/>
        <w:rPr>
          <w:color w:val="252525"/>
          <w:lang w:eastAsia="es-ES"/>
        </w:rPr>
      </w:pPr>
      <w:r w:rsidRPr="00025A5A">
        <w:rPr>
          <w:color w:val="252525"/>
          <w:lang w:eastAsia="es-ES"/>
        </w:rPr>
        <w:t>En una investigación</w:t>
      </w:r>
      <w:r w:rsidRPr="00025A5A">
        <w:rPr>
          <w:vertAlign w:val="superscript"/>
          <w:lang w:eastAsia="es-ES"/>
        </w:rPr>
        <w:t xml:space="preserve"> </w:t>
      </w:r>
      <w:r w:rsidRPr="00025A5A">
        <w:rPr>
          <w:color w:val="252525"/>
          <w:lang w:eastAsia="es-ES"/>
        </w:rPr>
        <w:t>en la UCI,</w:t>
      </w:r>
      <w:r w:rsidRPr="00025A5A">
        <w:rPr>
          <w:vertAlign w:val="superscript"/>
          <w:lang w:eastAsia="es-ES"/>
        </w:rPr>
        <w:t>(26</w:t>
      </w:r>
      <w:r w:rsidRPr="00025A5A">
        <w:rPr>
          <w:bCs/>
          <w:vertAlign w:val="superscript"/>
          <w:lang w:eastAsia="es-ES"/>
        </w:rPr>
        <w:t>)</w:t>
      </w:r>
      <w:r w:rsidRPr="00025A5A">
        <w:rPr>
          <w:color w:val="252525"/>
          <w:lang w:eastAsia="es-ES"/>
        </w:rPr>
        <w:t xml:space="preserve"> con todos los pacientes que requirieron VMI por 48 horas o más; l</w:t>
      </w:r>
      <w:r w:rsidRPr="00025A5A">
        <w:rPr>
          <w:color w:val="000000"/>
          <w:lang w:eastAsia="es-ES"/>
        </w:rPr>
        <w:t>a causa directa de muerte más registrada, fue la insuficiencia respiratoria, que representó el 57,89 %, seguida por la disfunción múltiple de órganos y el tromboembolismo pulmonar, y la causa básica de muerte más registrada fue la EPOC.</w:t>
      </w:r>
      <w:r w:rsidRPr="00025A5A">
        <w:rPr>
          <w:bCs/>
          <w:color w:val="FF0000"/>
          <w:lang w:eastAsia="es-ES"/>
        </w:rPr>
        <w:t xml:space="preserve"> </w:t>
      </w:r>
    </w:p>
    <w:p w14:paraId="4FFFB9F2" w14:textId="77777777" w:rsidR="00025A5A" w:rsidRPr="00025A5A" w:rsidRDefault="00025A5A" w:rsidP="00025A5A">
      <w:pPr>
        <w:autoSpaceDE w:val="0"/>
        <w:autoSpaceDN w:val="0"/>
        <w:adjustRightInd w:val="0"/>
        <w:spacing w:line="360" w:lineRule="auto"/>
        <w:jc w:val="both"/>
        <w:rPr>
          <w:rFonts w:ascii="Times New Roman PS" w:hAnsi="Times New Roman PS"/>
          <w:lang w:val="es-ES" w:eastAsia="es-ES"/>
        </w:rPr>
      </w:pPr>
      <w:r w:rsidRPr="00025A5A">
        <w:rPr>
          <w:color w:val="221E1F"/>
          <w:lang w:eastAsia="es-ES"/>
        </w:rPr>
        <w:t>En España, un estudio</w:t>
      </w:r>
      <w:r w:rsidRPr="00025A5A">
        <w:rPr>
          <w:vertAlign w:val="superscript"/>
          <w:lang w:eastAsia="es-ES"/>
        </w:rPr>
        <w:t>(27)</w:t>
      </w:r>
      <w:r w:rsidRPr="00025A5A">
        <w:rPr>
          <w:color w:val="FF0000"/>
          <w:lang w:eastAsia="es-ES"/>
        </w:rPr>
        <w:t xml:space="preserve"> </w:t>
      </w:r>
      <w:r w:rsidRPr="00025A5A">
        <w:rPr>
          <w:color w:val="221E1F"/>
          <w:lang w:eastAsia="es-ES"/>
        </w:rPr>
        <w:t xml:space="preserve"> realizado desde el 1 de enero al 30 de junio del 2011 halló como causas más frecuentes de muerte en pacientes con EPOC, la exacerbación aguda de la EPOC, neumonía, sepsis y el cáncer.</w:t>
      </w:r>
      <w:r w:rsidRPr="00025A5A">
        <w:rPr>
          <w:color w:val="FF0000"/>
          <w:lang w:eastAsia="es-ES"/>
        </w:rPr>
        <w:t xml:space="preserve"> </w:t>
      </w:r>
      <w:r w:rsidRPr="00025A5A">
        <w:rPr>
          <w:rFonts w:ascii="Times New Roman PS" w:hAnsi="Times New Roman PS"/>
          <w:lang w:val="es-ES" w:eastAsia="es-ES"/>
        </w:rPr>
        <w:t xml:space="preserve">Estas causas de muerte de pacientes con EPOC, se corresponden con los hallazgos de esta investigación. </w:t>
      </w:r>
    </w:p>
    <w:p w14:paraId="208D5C92" w14:textId="77777777" w:rsidR="00025A5A" w:rsidRPr="00025A5A" w:rsidRDefault="00025A5A" w:rsidP="00025A5A">
      <w:pPr>
        <w:autoSpaceDE w:val="0"/>
        <w:autoSpaceDN w:val="0"/>
        <w:adjustRightInd w:val="0"/>
        <w:spacing w:line="360" w:lineRule="auto"/>
        <w:jc w:val="both"/>
        <w:rPr>
          <w:lang w:eastAsia="es-ES"/>
        </w:rPr>
      </w:pPr>
      <w:r w:rsidRPr="00025A5A">
        <w:rPr>
          <w:lang w:eastAsia="es-ES"/>
        </w:rPr>
        <w:t>Predominó el estado al egreso fallecido, el sexo femenino y el grupo de edad de 60 a 79 años y los pacientes con más de 15 puntos en la escala APACHE II. Las causas clínicas fueron la principal causa de ingreso; más de la mitad de los pacientes requirieron ventilación mecánica y se realizó traqueostomía a un porcentaje. Las tres principales causas directas de muertes fueron: bronconeumonía bacteriana, tromboembolismo pulmonar y el choque séptico.</w:t>
      </w:r>
    </w:p>
    <w:p w14:paraId="6A2516D7" w14:textId="77777777" w:rsidR="00025A5A" w:rsidRPr="00025A5A" w:rsidRDefault="00025A5A" w:rsidP="00025A5A">
      <w:pPr>
        <w:spacing w:line="360" w:lineRule="auto"/>
        <w:jc w:val="center"/>
        <w:rPr>
          <w:b/>
          <w:snapToGrid w:val="0"/>
          <w:lang w:eastAsia="en-US"/>
        </w:rPr>
      </w:pPr>
    </w:p>
    <w:p w14:paraId="2BEA3316" w14:textId="77777777" w:rsidR="00025A5A" w:rsidRPr="00025A5A" w:rsidRDefault="00025A5A" w:rsidP="00025A5A">
      <w:pPr>
        <w:spacing w:line="360" w:lineRule="auto"/>
        <w:jc w:val="center"/>
        <w:rPr>
          <w:b/>
          <w:snapToGrid w:val="0"/>
          <w:lang w:eastAsia="en-US"/>
        </w:rPr>
      </w:pPr>
    </w:p>
    <w:p w14:paraId="52B6ABEE" w14:textId="77777777" w:rsidR="00025A5A" w:rsidRPr="00025A5A" w:rsidRDefault="00025A5A" w:rsidP="00025A5A">
      <w:pPr>
        <w:spacing w:line="360" w:lineRule="auto"/>
        <w:jc w:val="center"/>
        <w:rPr>
          <w:b/>
          <w:snapToGrid w:val="0"/>
          <w:sz w:val="32"/>
          <w:szCs w:val="32"/>
          <w:lang w:eastAsia="en-US"/>
        </w:rPr>
      </w:pPr>
      <w:r w:rsidRPr="00025A5A">
        <w:rPr>
          <w:b/>
          <w:snapToGrid w:val="0"/>
          <w:sz w:val="32"/>
          <w:szCs w:val="32"/>
          <w:lang w:eastAsia="en-US"/>
        </w:rPr>
        <w:t>REFERENCIAS BIBLIOGRÁFICAS</w:t>
      </w:r>
    </w:p>
    <w:p w14:paraId="44EEBA9A" w14:textId="77777777" w:rsidR="00025A5A" w:rsidRPr="00025A5A" w:rsidRDefault="00025A5A" w:rsidP="00025A5A">
      <w:pPr>
        <w:autoSpaceDE w:val="0"/>
        <w:autoSpaceDN w:val="0"/>
        <w:adjustRightInd w:val="0"/>
        <w:spacing w:line="360" w:lineRule="auto"/>
        <w:contextualSpacing/>
        <w:rPr>
          <w:rFonts w:eastAsia="Calibri"/>
          <w:lang w:eastAsia="en-US"/>
        </w:rPr>
      </w:pPr>
      <w:r w:rsidRPr="00025A5A">
        <w:rPr>
          <w:rFonts w:eastAsia="Calibri"/>
          <w:lang w:eastAsia="en-US"/>
        </w:rPr>
        <w:t xml:space="preserve">1. Pando Hernández EY, Miló Valdés CA, Díaz Fuentes MF, Herrera Suarez A, Díaz Alfonso H. Exacerbación aguda de la enfermedad pulmonar obstructiva crónica en el hospital "Dr. León Cuervo Rubio". Univ Méd Pinareña. 2018 [acceso: 27/03/2020]; 14(2): [aprox. 8 p.]. Disponible en:  </w:t>
      </w:r>
      <w:hyperlink r:id="rId18" w:history="1">
        <w:r w:rsidRPr="00025A5A">
          <w:rPr>
            <w:rFonts w:eastAsia="Calibri"/>
            <w:color w:val="0000FF"/>
            <w:u w:val="single"/>
            <w:lang w:eastAsia="en-US"/>
          </w:rPr>
          <w:t>http://www.revgaleno.sld.cu/index.php/ump/article/view/280/html</w:t>
        </w:r>
      </w:hyperlink>
      <w:r w:rsidRPr="00025A5A">
        <w:rPr>
          <w:rFonts w:eastAsia="Calibri"/>
          <w:lang w:eastAsia="en-US"/>
        </w:rPr>
        <w:t xml:space="preserve">  </w:t>
      </w:r>
    </w:p>
    <w:p w14:paraId="15798A6D" w14:textId="77777777" w:rsidR="00025A5A" w:rsidRPr="00025A5A" w:rsidRDefault="00025A5A" w:rsidP="00025A5A">
      <w:pPr>
        <w:autoSpaceDE w:val="0"/>
        <w:autoSpaceDN w:val="0"/>
        <w:adjustRightInd w:val="0"/>
        <w:spacing w:line="360" w:lineRule="auto"/>
        <w:contextualSpacing/>
        <w:rPr>
          <w:rFonts w:eastAsia="Calibri"/>
          <w:lang w:eastAsia="en-US"/>
        </w:rPr>
      </w:pPr>
      <w:r w:rsidRPr="00025A5A">
        <w:rPr>
          <w:rFonts w:eastAsia="Calibri"/>
          <w:lang w:val="en-US" w:eastAsia="en-US"/>
        </w:rPr>
        <w:lastRenderedPageBreak/>
        <w:t xml:space="preserve">2. Vogelmeier C, Agusti A, Anzueto A, Barnes P, Bourbeau J, Criner G, et al. Global initiative for chronic obstructive lung disease. Global strategy for diagnosis, management and prevention of chronic obstructive lung disease, 2020 Report. </w:t>
      </w:r>
      <w:r w:rsidRPr="00025A5A">
        <w:rPr>
          <w:rFonts w:eastAsia="Calibri"/>
          <w:lang w:val="es-ES" w:eastAsia="en-US"/>
        </w:rPr>
        <w:t xml:space="preserve">GOLD; 2020. [acceso: 27/03/2020]. </w:t>
      </w:r>
      <w:r w:rsidRPr="00025A5A">
        <w:rPr>
          <w:rFonts w:eastAsia="Calibri"/>
          <w:lang w:eastAsia="en-US"/>
        </w:rPr>
        <w:t xml:space="preserve">Disponible en: </w:t>
      </w:r>
      <w:hyperlink r:id="rId19" w:history="1">
        <w:r w:rsidRPr="00025A5A">
          <w:rPr>
            <w:rFonts w:eastAsia="Calibri"/>
            <w:color w:val="0000FF"/>
            <w:u w:val="single"/>
            <w:lang w:eastAsia="en-US"/>
          </w:rPr>
          <w:t>https://goldcopd.org/wp-content/uploads/2019/12/GOLD-2020-FINAL-ver1.2-03Dec19_WMV.pdf</w:t>
        </w:r>
      </w:hyperlink>
      <w:r w:rsidRPr="00025A5A">
        <w:rPr>
          <w:rFonts w:eastAsia="Calibri"/>
          <w:lang w:eastAsia="en-US"/>
        </w:rPr>
        <w:t xml:space="preserve"> </w:t>
      </w:r>
    </w:p>
    <w:p w14:paraId="72C04153" w14:textId="77777777" w:rsidR="00025A5A" w:rsidRPr="00025A5A" w:rsidRDefault="00025A5A" w:rsidP="00025A5A">
      <w:pPr>
        <w:autoSpaceDE w:val="0"/>
        <w:autoSpaceDN w:val="0"/>
        <w:adjustRightInd w:val="0"/>
        <w:spacing w:line="360" w:lineRule="auto"/>
        <w:contextualSpacing/>
        <w:rPr>
          <w:rFonts w:eastAsia="Calibri"/>
          <w:lang w:eastAsia="en-US"/>
        </w:rPr>
      </w:pPr>
      <w:r w:rsidRPr="00025A5A">
        <w:rPr>
          <w:rFonts w:eastAsia="Calibri"/>
          <w:lang w:val="en-US" w:eastAsia="en-US"/>
        </w:rPr>
        <w:t xml:space="preserve">3. Kauhl B, Maier W, Schweikart J, Keste A, Moskwyn M. Who is where at risk for Chronic Obstructive Pulmonary Disease? A spatial epidemiological analysis of health insurance claims for COPD in Northeastern Germany. </w:t>
      </w:r>
      <w:r w:rsidRPr="00025A5A">
        <w:rPr>
          <w:rFonts w:eastAsia="Calibri"/>
          <w:lang w:eastAsia="en-US"/>
        </w:rPr>
        <w:t>PLoS One. 2018 ;13(2):e0190865. DOI: 10.1371/journal.pone.0190865</w:t>
      </w:r>
    </w:p>
    <w:p w14:paraId="5497032A" w14:textId="77777777" w:rsidR="00025A5A" w:rsidRPr="00025A5A" w:rsidRDefault="00025A5A" w:rsidP="00025A5A">
      <w:pPr>
        <w:autoSpaceDE w:val="0"/>
        <w:autoSpaceDN w:val="0"/>
        <w:adjustRightInd w:val="0"/>
        <w:spacing w:line="360" w:lineRule="auto"/>
        <w:contextualSpacing/>
        <w:rPr>
          <w:rFonts w:eastAsia="Calibri"/>
          <w:lang w:eastAsia="en-US"/>
        </w:rPr>
      </w:pPr>
      <w:r w:rsidRPr="00025A5A">
        <w:rPr>
          <w:rFonts w:eastAsia="Calibri"/>
          <w:lang w:eastAsia="en-US"/>
        </w:rPr>
        <w:t>4. Caballero FJA, Caballero LA. Enfermedad Pulmonar Obstructiva Crónica. En: Caballero LA. Terapia Intensiva. La Habana: Editorial Ciencias Médicas; 2006. p. 615-34.</w:t>
      </w:r>
    </w:p>
    <w:p w14:paraId="40613F65" w14:textId="77777777" w:rsidR="00025A5A" w:rsidRPr="00025A5A" w:rsidRDefault="00025A5A" w:rsidP="00025A5A">
      <w:pPr>
        <w:autoSpaceDE w:val="0"/>
        <w:autoSpaceDN w:val="0"/>
        <w:adjustRightInd w:val="0"/>
        <w:spacing w:line="360" w:lineRule="auto"/>
        <w:contextualSpacing/>
        <w:rPr>
          <w:rFonts w:eastAsia="Calibri"/>
          <w:lang w:val="es-ES" w:eastAsia="en-US"/>
        </w:rPr>
      </w:pPr>
      <w:r w:rsidRPr="00025A5A">
        <w:rPr>
          <w:rFonts w:eastAsia="Calibri"/>
          <w:lang w:val="es-CU" w:eastAsia="en-US"/>
        </w:rPr>
        <w:t xml:space="preserve">5. Han MZ, Hsiue TR, Tsai SH, Huang TH, Liao XM, Chen CZ. </w:t>
      </w:r>
      <w:r w:rsidRPr="00025A5A">
        <w:rPr>
          <w:rFonts w:eastAsia="Calibri"/>
          <w:lang w:val="en-US" w:eastAsia="en-US"/>
        </w:rPr>
        <w:t xml:space="preserve">Validation of the GOLD 2017 and new 16 subgroups (1A-4D) classifications in predicting exacerbation and mortality in COPD patients. </w:t>
      </w:r>
      <w:r w:rsidRPr="00025A5A">
        <w:rPr>
          <w:rFonts w:eastAsia="Calibri"/>
          <w:lang w:val="es-CU" w:eastAsia="en-US"/>
        </w:rPr>
        <w:t xml:space="preserve">Int J Chron Obstruct Pulmon Dis. 2018 ; 13: 3425-3433. </w:t>
      </w:r>
      <w:r w:rsidRPr="00025A5A">
        <w:rPr>
          <w:rFonts w:eastAsia="Calibri"/>
          <w:lang w:eastAsia="en-US"/>
        </w:rPr>
        <w:t>DOI</w:t>
      </w:r>
      <w:r w:rsidRPr="00025A5A">
        <w:rPr>
          <w:rFonts w:eastAsia="Calibri"/>
          <w:lang w:val="es-ES" w:eastAsia="en-US"/>
        </w:rPr>
        <w:t>: 10.2147/COPD.S179048</w:t>
      </w:r>
    </w:p>
    <w:p w14:paraId="734C64B0" w14:textId="11B42FC6" w:rsidR="00025A5A" w:rsidRPr="00025A5A" w:rsidRDefault="00025A5A" w:rsidP="00025A5A">
      <w:pPr>
        <w:autoSpaceDE w:val="0"/>
        <w:autoSpaceDN w:val="0"/>
        <w:adjustRightInd w:val="0"/>
        <w:spacing w:line="360" w:lineRule="auto"/>
        <w:contextualSpacing/>
        <w:rPr>
          <w:rFonts w:eastAsia="Calibri"/>
          <w:lang w:eastAsia="en-US"/>
        </w:rPr>
      </w:pPr>
      <w:r w:rsidRPr="00025A5A">
        <w:rPr>
          <w:rFonts w:eastAsia="Calibri"/>
          <w:lang w:eastAsia="en-US"/>
        </w:rPr>
        <w:t>6. Figueredo Rojas Y, Fernández Chelala BE, Mari Fidalgo M, Gámez Ricardo JC, Durán Rodríguez Y. Enfermedad pulmonar obstructiva crónica agudizada. Letalidad al egreso de Cuidados Intensivos. CCM. 2017 [acceso: 27/03/2020]; 21(4): 1025-37. Disponible en:</w:t>
      </w:r>
      <w:r w:rsidR="00681E8E">
        <w:rPr>
          <w:rFonts w:eastAsia="Calibri"/>
          <w:lang w:eastAsia="en-US"/>
        </w:rPr>
        <w:t xml:space="preserve"> </w:t>
      </w:r>
      <w:hyperlink r:id="rId20" w:history="1">
        <w:r w:rsidR="008D40CB" w:rsidRPr="00025A5A">
          <w:rPr>
            <w:rStyle w:val="Hipervnculo"/>
            <w:rFonts w:eastAsia="Calibri"/>
            <w:lang w:eastAsia="en-US"/>
          </w:rPr>
          <w:t>http://scielo.sld.cu/scielo.php?script=sci_arttext&amp;pid=S1560-43812017000400008&amp;lng=es</w:t>
        </w:r>
      </w:hyperlink>
      <w:r w:rsidRPr="00025A5A">
        <w:rPr>
          <w:rFonts w:eastAsia="Calibri"/>
          <w:lang w:eastAsia="en-US"/>
        </w:rPr>
        <w:t xml:space="preserve">  </w:t>
      </w:r>
    </w:p>
    <w:p w14:paraId="54BFB916" w14:textId="77777777" w:rsidR="00025A5A" w:rsidRPr="00025A5A" w:rsidRDefault="00025A5A" w:rsidP="00025A5A">
      <w:pPr>
        <w:autoSpaceDE w:val="0"/>
        <w:autoSpaceDN w:val="0"/>
        <w:adjustRightInd w:val="0"/>
        <w:spacing w:line="360" w:lineRule="auto"/>
        <w:contextualSpacing/>
        <w:rPr>
          <w:rFonts w:eastAsia="Calibri"/>
          <w:lang w:eastAsia="en-US"/>
        </w:rPr>
      </w:pPr>
      <w:r w:rsidRPr="00025A5A">
        <w:rPr>
          <w:rFonts w:eastAsia="Calibri"/>
          <w:lang w:eastAsia="en-US"/>
        </w:rPr>
        <w:t xml:space="preserve">7. Ministerio de Salud Pública. Dirección de Registros médicos y estadísticas de Salud. Anuario estadístico de salud 2019. 48ed. La Habana: Editorial Ciencias Médicas; 2020. [acceso: 27/03/2020]. Disponible en: </w:t>
      </w:r>
      <w:hyperlink r:id="rId21" w:history="1">
        <w:r w:rsidRPr="00025A5A">
          <w:rPr>
            <w:rFonts w:eastAsia="Calibri"/>
            <w:color w:val="0000FF"/>
            <w:u w:val="single"/>
            <w:lang w:eastAsia="en-US"/>
          </w:rPr>
          <w:t>https://files.sld.cu/bvscuba/files/2020/05/Anuario-Electr%c3%b3nico-Espa%c3%b1ol-2019-ed-2020.pdf</w:t>
        </w:r>
      </w:hyperlink>
      <w:r w:rsidRPr="00025A5A">
        <w:rPr>
          <w:rFonts w:eastAsia="Calibri"/>
          <w:lang w:eastAsia="en-US"/>
        </w:rPr>
        <w:t xml:space="preserve"> </w:t>
      </w:r>
    </w:p>
    <w:p w14:paraId="5A2C524A" w14:textId="77777777" w:rsidR="00025A5A" w:rsidRPr="00025A5A" w:rsidRDefault="00025A5A" w:rsidP="00025A5A">
      <w:pPr>
        <w:autoSpaceDE w:val="0"/>
        <w:autoSpaceDN w:val="0"/>
        <w:adjustRightInd w:val="0"/>
        <w:spacing w:line="360" w:lineRule="auto"/>
        <w:contextualSpacing/>
        <w:rPr>
          <w:rFonts w:eastAsia="Calibri"/>
          <w:lang w:eastAsia="en-US"/>
        </w:rPr>
      </w:pPr>
      <w:r w:rsidRPr="00025A5A">
        <w:rPr>
          <w:rFonts w:eastAsia="Calibri"/>
          <w:lang w:val="en-US" w:eastAsia="en-US"/>
        </w:rPr>
        <w:t xml:space="preserve">8. Gadre SK, Duggal A, Mireles Cabodevila E, Krishnan S, Wang XF, Zell K, et al. Acute respiratory failure requiring mechanical ventilation in severe chronic obstructive pulmonary disease (COPD). </w:t>
      </w:r>
      <w:r w:rsidRPr="00025A5A">
        <w:rPr>
          <w:rFonts w:eastAsia="Calibri"/>
          <w:lang w:eastAsia="en-US"/>
        </w:rPr>
        <w:t xml:space="preserve">Medicine. 2018 [acceso: 27/03/2020]; 97(17): e0487. Disponible en: </w:t>
      </w:r>
      <w:hyperlink r:id="rId22" w:history="1">
        <w:r w:rsidRPr="00025A5A">
          <w:rPr>
            <w:rFonts w:eastAsia="Calibri"/>
            <w:color w:val="0000FF"/>
            <w:u w:val="single"/>
            <w:lang w:eastAsia="en-US"/>
          </w:rPr>
          <w:t>https://www.ncbi.nlm.nih.gov/pmc/articles/PMC5944543/pdf/medi-97-e0487.pdf</w:t>
        </w:r>
      </w:hyperlink>
      <w:r w:rsidRPr="00025A5A">
        <w:rPr>
          <w:rFonts w:eastAsia="Calibri"/>
          <w:lang w:eastAsia="en-US"/>
        </w:rPr>
        <w:t xml:space="preserve"> </w:t>
      </w:r>
    </w:p>
    <w:p w14:paraId="715DBDCB" w14:textId="77777777" w:rsidR="00025A5A" w:rsidRPr="00025A5A" w:rsidRDefault="00025A5A" w:rsidP="00025A5A">
      <w:pPr>
        <w:autoSpaceDE w:val="0"/>
        <w:autoSpaceDN w:val="0"/>
        <w:adjustRightInd w:val="0"/>
        <w:spacing w:line="360" w:lineRule="auto"/>
        <w:contextualSpacing/>
        <w:rPr>
          <w:rFonts w:eastAsia="Calibri"/>
          <w:lang w:eastAsia="en-US"/>
        </w:rPr>
      </w:pPr>
      <w:r w:rsidRPr="00025A5A">
        <w:rPr>
          <w:rFonts w:eastAsia="Calibri"/>
          <w:lang w:eastAsia="en-US"/>
        </w:rPr>
        <w:t xml:space="preserve">9. Belenguer-Muncharaz A, Mateu-Campos ML, Catalán-Monzón I, Rodríguez-Portillo J, Albert-Rodrigo L, Cebrián-Graullera G, et al. Análisis retrospectivo de la ventilación mecánica no invasiva frente a la ventilación mecánica invasiva en pacientes con exacerbación de la enfermedad pulmonar </w:t>
      </w:r>
      <w:r w:rsidRPr="00025A5A">
        <w:rPr>
          <w:rFonts w:eastAsia="Calibri"/>
          <w:lang w:eastAsia="en-US"/>
        </w:rPr>
        <w:lastRenderedPageBreak/>
        <w:t xml:space="preserve">obstructiva crónica, en una Unidad de Cuidados Intensivos. Rev Arg Ter Intens. 2017 [acceso: 27/03/2020]; 34(1): 4-16. Disponible en: </w:t>
      </w:r>
      <w:hyperlink r:id="rId23" w:history="1">
        <w:r w:rsidRPr="00025A5A">
          <w:rPr>
            <w:rFonts w:eastAsia="Calibri"/>
            <w:color w:val="0000FF"/>
            <w:u w:val="single"/>
            <w:lang w:eastAsia="en-US"/>
          </w:rPr>
          <w:t>https://revista.sati.org.ar/index.php/MI/article/view/481</w:t>
        </w:r>
      </w:hyperlink>
      <w:r w:rsidRPr="00025A5A">
        <w:rPr>
          <w:rFonts w:eastAsia="Calibri"/>
          <w:lang w:eastAsia="en-US"/>
        </w:rPr>
        <w:t xml:space="preserve"> </w:t>
      </w:r>
    </w:p>
    <w:p w14:paraId="3446F794" w14:textId="77777777" w:rsidR="00025A5A" w:rsidRPr="00025A5A" w:rsidRDefault="00025A5A" w:rsidP="00025A5A">
      <w:pPr>
        <w:autoSpaceDE w:val="0"/>
        <w:autoSpaceDN w:val="0"/>
        <w:adjustRightInd w:val="0"/>
        <w:spacing w:line="360" w:lineRule="auto"/>
        <w:contextualSpacing/>
        <w:rPr>
          <w:rFonts w:eastAsia="Calibri"/>
          <w:lang w:val="en-US" w:eastAsia="en-US"/>
        </w:rPr>
      </w:pPr>
      <w:r w:rsidRPr="00025A5A">
        <w:rPr>
          <w:rFonts w:eastAsia="Calibri"/>
          <w:lang w:val="en-US" w:eastAsia="en-US"/>
        </w:rPr>
        <w:t>10. Stefan MS, Nathanson BH, Higgins TL, Steingrub JS, Lagu T, Rothberg MB, et al. Comparative Effectiveness of Noninvasive and Invasive Ventilation in Critically Ill Patients with Acute Exacerbation of COPD. Crit Care Med. 2015; 43(7): 1386–94. DOI: 10.1097/CCM.0000000000000945</w:t>
      </w:r>
    </w:p>
    <w:p w14:paraId="2194B2B9" w14:textId="77777777" w:rsidR="00025A5A" w:rsidRPr="00025A5A" w:rsidRDefault="00025A5A" w:rsidP="00025A5A">
      <w:pPr>
        <w:autoSpaceDE w:val="0"/>
        <w:autoSpaceDN w:val="0"/>
        <w:adjustRightInd w:val="0"/>
        <w:spacing w:line="360" w:lineRule="auto"/>
        <w:contextualSpacing/>
        <w:rPr>
          <w:rFonts w:eastAsia="Calibri"/>
          <w:lang w:val="es-ES" w:eastAsia="en-US"/>
        </w:rPr>
      </w:pPr>
      <w:r w:rsidRPr="00025A5A">
        <w:rPr>
          <w:rFonts w:eastAsia="Calibri"/>
          <w:lang w:val="en-US" w:eastAsia="en-US"/>
        </w:rPr>
        <w:t xml:space="preserve">11. Pavliša G, Labor M, Puretić H, Hećimović A, Jakopović M, Samaržija M. Anemia, hypoalbuminemia, and elevated troponin levels as risk factors for respiratory failure in patients with severe exacerbations of chronic obstructive pulmonary disease requiring invasive mechanical ventilation. </w:t>
      </w:r>
      <w:r w:rsidRPr="00025A5A">
        <w:rPr>
          <w:rFonts w:eastAsia="Calibri"/>
          <w:lang w:val="es-CU" w:eastAsia="en-US"/>
        </w:rPr>
        <w:t xml:space="preserve">Croat Med J. 2017 [acceso: 27/03/2020]; 58(6):395-405. </w:t>
      </w:r>
      <w:r w:rsidRPr="00025A5A">
        <w:rPr>
          <w:rFonts w:eastAsia="Calibri"/>
          <w:lang w:val="es-ES" w:eastAsia="en-US"/>
        </w:rPr>
        <w:t xml:space="preserve">Disponible en: </w:t>
      </w:r>
      <w:hyperlink r:id="rId24" w:history="1">
        <w:r w:rsidRPr="00025A5A">
          <w:rPr>
            <w:rFonts w:eastAsia="Calibri"/>
            <w:color w:val="0000FF"/>
            <w:u w:val="single"/>
            <w:lang w:val="es-ES" w:eastAsia="en-US"/>
          </w:rPr>
          <w:t>https://doi.org/10.3325/cmj.2017.58.395</w:t>
        </w:r>
      </w:hyperlink>
      <w:r w:rsidRPr="00025A5A">
        <w:rPr>
          <w:rFonts w:eastAsia="Calibri"/>
          <w:lang w:val="es-ES" w:eastAsia="en-US"/>
        </w:rPr>
        <w:t xml:space="preserve"> </w:t>
      </w:r>
    </w:p>
    <w:p w14:paraId="60992165" w14:textId="77777777" w:rsidR="00025A5A" w:rsidRPr="00025A5A" w:rsidRDefault="00025A5A" w:rsidP="00025A5A">
      <w:pPr>
        <w:autoSpaceDE w:val="0"/>
        <w:autoSpaceDN w:val="0"/>
        <w:adjustRightInd w:val="0"/>
        <w:spacing w:line="360" w:lineRule="auto"/>
        <w:contextualSpacing/>
        <w:rPr>
          <w:rFonts w:eastAsia="Calibri"/>
          <w:lang w:val="en-US" w:eastAsia="en-US"/>
        </w:rPr>
      </w:pPr>
      <w:r w:rsidRPr="00025A5A">
        <w:rPr>
          <w:rFonts w:eastAsia="Calibri"/>
          <w:lang w:val="en-US" w:eastAsia="en-US"/>
        </w:rPr>
        <w:t xml:space="preserve">12. Lu Z, Cheng Y, Tu X, Chen L, Chen H, Yang J, et al. Community-acquired pneumonia and survival of critically ill acute exacerbation of COPD patients in respiratory intensive care units. Int J Chron Obstruct Pulmon Dis. 2016 [acceso: 27/03/2020]; 11:1867-72. Disponible en: </w:t>
      </w:r>
      <w:hyperlink r:id="rId25" w:history="1">
        <w:r w:rsidRPr="00025A5A">
          <w:rPr>
            <w:rFonts w:eastAsia="Calibri"/>
            <w:color w:val="0000FF"/>
            <w:u w:val="single"/>
            <w:lang w:val="en-US" w:eastAsia="en-US"/>
          </w:rPr>
          <w:t>https://www.ncbi.nlm.nih.gov/pmc/articles/PMC4984991/pdf/copd-11-1867.pdf</w:t>
        </w:r>
      </w:hyperlink>
      <w:r w:rsidRPr="00025A5A">
        <w:rPr>
          <w:rFonts w:eastAsia="Calibri"/>
          <w:lang w:val="en-US" w:eastAsia="en-US"/>
        </w:rPr>
        <w:t xml:space="preserve"> </w:t>
      </w:r>
    </w:p>
    <w:p w14:paraId="6DA316C0" w14:textId="77777777" w:rsidR="00025A5A" w:rsidRPr="00025A5A" w:rsidRDefault="00025A5A" w:rsidP="00025A5A">
      <w:pPr>
        <w:autoSpaceDE w:val="0"/>
        <w:autoSpaceDN w:val="0"/>
        <w:adjustRightInd w:val="0"/>
        <w:spacing w:line="360" w:lineRule="auto"/>
        <w:contextualSpacing/>
        <w:rPr>
          <w:rFonts w:eastAsia="Calibri"/>
          <w:lang w:eastAsia="en-US"/>
        </w:rPr>
      </w:pPr>
      <w:r w:rsidRPr="00025A5A">
        <w:rPr>
          <w:rFonts w:eastAsia="Calibri"/>
          <w:lang w:eastAsia="en-US"/>
        </w:rPr>
        <w:t xml:space="preserve">13. Malpica Alonso E, Pérez Silva M, García Malpica K. Comportamiento de la EPOC agudizada en la Unidad de Cuidados Intensivos de Cárdenas. Experiencia de 5 años. Rev Med Electron. 2008 [acceso: 27/03/2020]; 30(4): [aprox. 4 p.]. Disponible en: </w:t>
      </w:r>
      <w:hyperlink r:id="rId26" w:history="1">
        <w:r w:rsidRPr="00025A5A">
          <w:rPr>
            <w:rFonts w:eastAsia="Calibri"/>
            <w:color w:val="0000FF"/>
            <w:u w:val="single"/>
            <w:lang w:eastAsia="en-US"/>
          </w:rPr>
          <w:t>http://www.revmedicaelectronica.sld.cu/index.php/rme/article/view/522</w:t>
        </w:r>
      </w:hyperlink>
      <w:r w:rsidRPr="00025A5A">
        <w:rPr>
          <w:rFonts w:eastAsia="Calibri"/>
          <w:lang w:eastAsia="en-US"/>
        </w:rPr>
        <w:t xml:space="preserve"> </w:t>
      </w:r>
    </w:p>
    <w:p w14:paraId="24ACB5A5" w14:textId="77777777" w:rsidR="00025A5A" w:rsidRPr="00025A5A" w:rsidRDefault="00025A5A" w:rsidP="00025A5A">
      <w:pPr>
        <w:autoSpaceDE w:val="0"/>
        <w:autoSpaceDN w:val="0"/>
        <w:adjustRightInd w:val="0"/>
        <w:spacing w:line="360" w:lineRule="auto"/>
        <w:contextualSpacing/>
        <w:rPr>
          <w:rFonts w:eastAsia="Calibri"/>
          <w:lang w:val="en-US" w:eastAsia="en-US"/>
        </w:rPr>
      </w:pPr>
      <w:r w:rsidRPr="00025A5A">
        <w:rPr>
          <w:rFonts w:eastAsia="Calibri"/>
          <w:lang w:val="en-US" w:eastAsia="en-US"/>
        </w:rPr>
        <w:t xml:space="preserve">14. Cheng SWM, McKeough Z, Alison J, Dennis S, Hamer M, Stamatakis E. Associations of total and type-specific physical activity with mortality in chronic obstructive pulmonary disease: a population-based cohort study. BMC Public Health. 2018 [acceso: 27/03/2020]; 18:268. Disponible en: </w:t>
      </w:r>
      <w:hyperlink r:id="rId27" w:history="1">
        <w:r w:rsidRPr="00025A5A">
          <w:rPr>
            <w:rFonts w:eastAsia="Calibri"/>
            <w:color w:val="0000FF"/>
            <w:u w:val="single"/>
            <w:lang w:val="en-US" w:eastAsia="en-US"/>
          </w:rPr>
          <w:t>https://bmcpublichealth.biomedcentral.com/track/pdf/10.1186/s12889-018-5167-5</w:t>
        </w:r>
      </w:hyperlink>
      <w:r w:rsidRPr="00025A5A">
        <w:rPr>
          <w:rFonts w:eastAsia="Calibri"/>
          <w:lang w:val="en-US" w:eastAsia="en-US"/>
        </w:rPr>
        <w:t xml:space="preserve"> </w:t>
      </w:r>
    </w:p>
    <w:p w14:paraId="10C13204" w14:textId="77777777" w:rsidR="00025A5A" w:rsidRPr="00025A5A" w:rsidRDefault="00025A5A" w:rsidP="00025A5A">
      <w:pPr>
        <w:autoSpaceDE w:val="0"/>
        <w:autoSpaceDN w:val="0"/>
        <w:adjustRightInd w:val="0"/>
        <w:spacing w:line="360" w:lineRule="auto"/>
        <w:contextualSpacing/>
        <w:rPr>
          <w:rFonts w:eastAsia="Calibri"/>
          <w:lang w:eastAsia="en-US"/>
        </w:rPr>
      </w:pPr>
      <w:r w:rsidRPr="00025A5A">
        <w:rPr>
          <w:rFonts w:eastAsia="Calibri"/>
          <w:lang w:val="en-US" w:eastAsia="en-US"/>
        </w:rPr>
        <w:t xml:space="preserve">15. Olloquequi J, Jaime S, Parra V, Muñoz C, Muñoz A, Lastra F, et al. </w:t>
      </w:r>
      <w:r w:rsidRPr="00025A5A">
        <w:rPr>
          <w:rFonts w:eastAsia="Calibri"/>
          <w:lang w:eastAsia="en-US"/>
        </w:rPr>
        <w:t xml:space="preserve">Caracterización general de los pacientes con EPOC de la Región del Maule: resultados preliminares del estudio MaulEPOC. Rev Chil Enferm Respir. 2017 [acceso: 27/03/2020]; 33(4): 284-92. Disponible en: </w:t>
      </w:r>
      <w:hyperlink r:id="rId28" w:history="1">
        <w:r w:rsidRPr="00025A5A">
          <w:rPr>
            <w:rFonts w:eastAsia="Calibri"/>
            <w:color w:val="0000FF"/>
            <w:u w:val="single"/>
            <w:lang w:eastAsia="en-US"/>
          </w:rPr>
          <w:t>http://www.scielo.cl/scielo.php?script=sci_arttext&amp;pid=S0717-73482017000400284&amp;lng=es</w:t>
        </w:r>
      </w:hyperlink>
      <w:r w:rsidRPr="00025A5A">
        <w:rPr>
          <w:rFonts w:eastAsia="Calibri"/>
          <w:lang w:eastAsia="en-US"/>
        </w:rPr>
        <w:t xml:space="preserve"> </w:t>
      </w:r>
    </w:p>
    <w:p w14:paraId="02CFD8A4" w14:textId="6058AD16" w:rsidR="00025A5A" w:rsidRPr="00025A5A" w:rsidRDefault="00025A5A" w:rsidP="00025A5A">
      <w:pPr>
        <w:autoSpaceDE w:val="0"/>
        <w:autoSpaceDN w:val="0"/>
        <w:adjustRightInd w:val="0"/>
        <w:spacing w:line="360" w:lineRule="auto"/>
        <w:contextualSpacing/>
        <w:rPr>
          <w:rFonts w:eastAsia="Calibri"/>
          <w:lang w:eastAsia="en-US"/>
        </w:rPr>
      </w:pPr>
      <w:r w:rsidRPr="00025A5A">
        <w:rPr>
          <w:rFonts w:eastAsia="Calibri"/>
          <w:lang w:val="en-US" w:eastAsia="en-US"/>
        </w:rPr>
        <w:t xml:space="preserve">16. Shawn Lee S, Farid Gholitabar F, May Bakir M, Syed Ahsan S, Hosseini Dehkordi SH, Gongora C, et al. Chronic obstructive pulmonary disease is associated with worse mortality, increased length of </w:t>
      </w:r>
      <w:r w:rsidRPr="00025A5A">
        <w:rPr>
          <w:rFonts w:eastAsia="Calibri"/>
          <w:lang w:val="en-US" w:eastAsia="en-US"/>
        </w:rPr>
        <w:lastRenderedPageBreak/>
        <w:t xml:space="preserve">stay and increased hospital costs in patients with atrial fibrillation: a nationwide study. </w:t>
      </w:r>
      <w:r w:rsidRPr="00025A5A">
        <w:rPr>
          <w:rFonts w:eastAsia="Calibri"/>
          <w:lang w:eastAsia="en-US"/>
        </w:rPr>
        <w:t>J Am Coll Cardiol. 2018 [acceso: 27/03/2020]; 71(11 Supplement): A329. Disponible en:</w:t>
      </w:r>
      <w:r w:rsidR="008D40CB">
        <w:rPr>
          <w:rFonts w:eastAsia="Calibri"/>
          <w:lang w:eastAsia="en-US"/>
        </w:rPr>
        <w:t xml:space="preserve"> </w:t>
      </w:r>
      <w:r w:rsidRPr="00025A5A">
        <w:rPr>
          <w:rFonts w:eastAsia="Calibri"/>
          <w:lang w:eastAsia="en-US"/>
        </w:rPr>
        <w:t xml:space="preserve"> </w:t>
      </w:r>
      <w:hyperlink r:id="rId29" w:history="1">
        <w:r w:rsidRPr="00025A5A">
          <w:rPr>
            <w:rFonts w:eastAsia="Calibri"/>
            <w:color w:val="0000FF"/>
            <w:u w:val="single"/>
            <w:lang w:eastAsia="en-US"/>
          </w:rPr>
          <w:t>https://www.onlinejacc.org/content/71/11_Supplement/A329</w:t>
        </w:r>
      </w:hyperlink>
      <w:r w:rsidRPr="00025A5A">
        <w:rPr>
          <w:rFonts w:eastAsia="Calibri"/>
          <w:lang w:eastAsia="en-US"/>
        </w:rPr>
        <w:t xml:space="preserve"> </w:t>
      </w:r>
    </w:p>
    <w:p w14:paraId="7AB6C56B" w14:textId="77777777" w:rsidR="00025A5A" w:rsidRPr="00025A5A" w:rsidRDefault="00025A5A" w:rsidP="00025A5A">
      <w:pPr>
        <w:autoSpaceDE w:val="0"/>
        <w:autoSpaceDN w:val="0"/>
        <w:adjustRightInd w:val="0"/>
        <w:spacing w:line="360" w:lineRule="auto"/>
        <w:contextualSpacing/>
        <w:rPr>
          <w:rFonts w:eastAsia="Calibri"/>
          <w:lang w:eastAsia="en-US"/>
        </w:rPr>
      </w:pPr>
      <w:r w:rsidRPr="00025A5A">
        <w:rPr>
          <w:rFonts w:eastAsia="Calibri"/>
          <w:lang w:eastAsia="en-US"/>
        </w:rPr>
        <w:t xml:space="preserve">17. Divo MJ, Celli BR, Poblador-Plou B, Calderón-Larrañaga A, de-Torres JP, Gimeno-Feliu LA, et al. </w:t>
      </w:r>
      <w:r w:rsidRPr="00025A5A">
        <w:rPr>
          <w:rFonts w:eastAsia="Calibri"/>
          <w:lang w:val="en-US" w:eastAsia="en-US"/>
        </w:rPr>
        <w:t xml:space="preserve">Chronic Obstructive Pulmonary Disease (COPD) as a disease of early aging: Evidence from the EpiChron Cohort. </w:t>
      </w:r>
      <w:r w:rsidRPr="00025A5A">
        <w:rPr>
          <w:rFonts w:eastAsia="Calibri"/>
          <w:lang w:eastAsia="en-US"/>
        </w:rPr>
        <w:t xml:space="preserve">PLoS ONE. 2018 [acceso: 27/03/2020]; 13(2): e0193143. Disponible en: </w:t>
      </w:r>
      <w:hyperlink r:id="rId30" w:history="1">
        <w:r w:rsidRPr="00025A5A">
          <w:rPr>
            <w:rFonts w:eastAsia="Calibri"/>
            <w:color w:val="0000FF"/>
            <w:u w:val="single"/>
            <w:lang w:eastAsia="en-US"/>
          </w:rPr>
          <w:t>https://doi.org/10.1371/journal.pone.0193143</w:t>
        </w:r>
      </w:hyperlink>
      <w:r w:rsidRPr="00025A5A">
        <w:rPr>
          <w:rFonts w:eastAsia="Calibri"/>
          <w:lang w:eastAsia="en-US"/>
        </w:rPr>
        <w:t xml:space="preserve"> </w:t>
      </w:r>
    </w:p>
    <w:p w14:paraId="50C0A2C4" w14:textId="77777777" w:rsidR="00025A5A" w:rsidRPr="00025A5A" w:rsidRDefault="00025A5A" w:rsidP="00025A5A">
      <w:pPr>
        <w:autoSpaceDE w:val="0"/>
        <w:autoSpaceDN w:val="0"/>
        <w:adjustRightInd w:val="0"/>
        <w:spacing w:line="360" w:lineRule="auto"/>
        <w:contextualSpacing/>
        <w:rPr>
          <w:rFonts w:eastAsia="Calibri"/>
          <w:lang w:eastAsia="en-US"/>
        </w:rPr>
      </w:pPr>
      <w:r w:rsidRPr="00025A5A">
        <w:rPr>
          <w:rFonts w:eastAsia="Calibri"/>
          <w:lang w:val="en-US" w:eastAsia="en-US"/>
        </w:rPr>
        <w:t xml:space="preserve">18. Kopitovic I, Bokan A, Andrijevic I, Ilic M, Marinkovic S, Milicic D, et al. Frequency of COPD in health care workers who smoke. J Bras Pneumol. </w:t>
      </w:r>
      <w:r w:rsidRPr="00025A5A">
        <w:rPr>
          <w:rFonts w:eastAsia="Calibri"/>
          <w:lang w:eastAsia="en-US"/>
        </w:rPr>
        <w:t xml:space="preserve">2017 [acceso: 27/03/2020]; 43(5):351-6. Disponible en: </w:t>
      </w:r>
      <w:hyperlink r:id="rId31" w:history="1">
        <w:r w:rsidRPr="00025A5A">
          <w:rPr>
            <w:rFonts w:eastAsia="Calibri"/>
            <w:color w:val="0000FF"/>
            <w:u w:val="single"/>
            <w:lang w:eastAsia="en-US"/>
          </w:rPr>
          <w:t>http://dx.doi.org/10.1590/S1806-37562017000000028</w:t>
        </w:r>
      </w:hyperlink>
      <w:r w:rsidRPr="00025A5A">
        <w:rPr>
          <w:rFonts w:eastAsia="Calibri"/>
          <w:lang w:eastAsia="en-US"/>
        </w:rPr>
        <w:t xml:space="preserve"> </w:t>
      </w:r>
    </w:p>
    <w:p w14:paraId="09312494" w14:textId="77777777" w:rsidR="00025A5A" w:rsidRPr="00025A5A" w:rsidRDefault="00025A5A" w:rsidP="00025A5A">
      <w:pPr>
        <w:autoSpaceDE w:val="0"/>
        <w:autoSpaceDN w:val="0"/>
        <w:adjustRightInd w:val="0"/>
        <w:spacing w:line="360" w:lineRule="auto"/>
        <w:contextualSpacing/>
        <w:rPr>
          <w:rFonts w:eastAsia="Calibri"/>
          <w:lang w:val="es-CU" w:eastAsia="en-US"/>
        </w:rPr>
      </w:pPr>
      <w:r w:rsidRPr="00025A5A">
        <w:rPr>
          <w:rFonts w:eastAsia="Calibri"/>
          <w:lang w:eastAsia="en-US"/>
        </w:rPr>
        <w:t xml:space="preserve">19. Soler Cataluña JJ, Novella L, Soler C, Nieto NL, Esteban V, Sanchez Toril F, et al. Características clínicas y riesgo de agudizaciones asociados con diferentes criterios diagnósticos del solapamiento asma-EPOC. Arch Bronconeumol. 2020 [acceso: 27/03/2020]; 56(5): 282-90. </w:t>
      </w:r>
      <w:r w:rsidRPr="00025A5A">
        <w:rPr>
          <w:rFonts w:eastAsia="Calibri"/>
          <w:lang w:val="es-CU" w:eastAsia="en-US"/>
        </w:rPr>
        <w:t xml:space="preserve">Disponible en: </w:t>
      </w:r>
      <w:hyperlink r:id="rId32" w:history="1">
        <w:r w:rsidRPr="00025A5A">
          <w:rPr>
            <w:rFonts w:eastAsia="Calibri"/>
            <w:color w:val="0000FF"/>
            <w:u w:val="single"/>
            <w:lang w:val="es-CU" w:eastAsia="en-US"/>
          </w:rPr>
          <w:t>https://doi.org/10.1016/j.arbres.2019.08.023</w:t>
        </w:r>
      </w:hyperlink>
      <w:r w:rsidRPr="00025A5A">
        <w:rPr>
          <w:rFonts w:eastAsia="Calibri"/>
          <w:lang w:val="es-CU" w:eastAsia="en-US"/>
        </w:rPr>
        <w:t xml:space="preserve"> </w:t>
      </w:r>
    </w:p>
    <w:p w14:paraId="3D550068" w14:textId="77777777" w:rsidR="00025A5A" w:rsidRPr="00025A5A" w:rsidRDefault="00025A5A" w:rsidP="00025A5A">
      <w:pPr>
        <w:autoSpaceDE w:val="0"/>
        <w:autoSpaceDN w:val="0"/>
        <w:adjustRightInd w:val="0"/>
        <w:spacing w:line="360" w:lineRule="auto"/>
        <w:contextualSpacing/>
        <w:rPr>
          <w:rFonts w:eastAsia="Calibri"/>
          <w:lang w:eastAsia="en-US"/>
        </w:rPr>
      </w:pPr>
      <w:r w:rsidRPr="00025A5A">
        <w:rPr>
          <w:rFonts w:eastAsia="Calibri"/>
          <w:lang w:val="en-US" w:eastAsia="en-US"/>
        </w:rPr>
        <w:t xml:space="preserve">20. Janciauskiene S, DeLuca DS, Barrecheguren M, Welte T, Miravitlles M. Serum Levels of Alpha1-antitrypsin and Their Relationship With COPD in the General Spanish Population. </w:t>
      </w:r>
      <w:r w:rsidRPr="00025A5A">
        <w:rPr>
          <w:rFonts w:eastAsia="Calibri"/>
          <w:lang w:eastAsia="en-US"/>
        </w:rPr>
        <w:t xml:space="preserve">Arch Bronconeumol. 2020 [acceso: 27/03/2020]; 56(2):76–83. Disponible en: </w:t>
      </w:r>
      <w:hyperlink r:id="rId33" w:history="1">
        <w:r w:rsidRPr="00025A5A">
          <w:rPr>
            <w:rFonts w:eastAsia="Calibri"/>
            <w:color w:val="0000FF"/>
            <w:u w:val="single"/>
            <w:lang w:eastAsia="en-US"/>
          </w:rPr>
          <w:t>https://doi.org/10.1016/j.arbres.2019.03.001</w:t>
        </w:r>
      </w:hyperlink>
      <w:r w:rsidRPr="00025A5A">
        <w:rPr>
          <w:rFonts w:eastAsia="Calibri"/>
          <w:lang w:eastAsia="en-US"/>
        </w:rPr>
        <w:t xml:space="preserve"> </w:t>
      </w:r>
    </w:p>
    <w:p w14:paraId="00FD69EE" w14:textId="77777777" w:rsidR="00025A5A" w:rsidRPr="00025A5A" w:rsidRDefault="00025A5A" w:rsidP="00025A5A">
      <w:pPr>
        <w:autoSpaceDE w:val="0"/>
        <w:autoSpaceDN w:val="0"/>
        <w:adjustRightInd w:val="0"/>
        <w:spacing w:line="360" w:lineRule="auto"/>
        <w:contextualSpacing/>
        <w:rPr>
          <w:rFonts w:eastAsia="Calibri"/>
          <w:lang w:eastAsia="en-US"/>
        </w:rPr>
      </w:pPr>
      <w:r w:rsidRPr="00025A5A">
        <w:rPr>
          <w:rFonts w:eastAsia="Calibri"/>
          <w:lang w:eastAsia="en-US"/>
        </w:rPr>
        <w:t xml:space="preserve">21.  Díaz Moreno A, Velasco Santos M, Puente Maestu L, Girón Matute WI, Gallardo Bermejo MA. Seguimiento de una cohorte de pacientes EPOC multiingreso. Estudio de mortalidad y factores pronósticos. Rev Patol Respir. 2019 [acceso: 27/03/2020]; 22(2): 47-52. Disponible en: </w:t>
      </w:r>
      <w:hyperlink r:id="rId34" w:history="1">
        <w:r w:rsidRPr="00025A5A">
          <w:rPr>
            <w:rFonts w:eastAsia="Calibri"/>
            <w:color w:val="0000FF"/>
            <w:u w:val="single"/>
            <w:lang w:eastAsia="en-US"/>
          </w:rPr>
          <w:t>https://www.revistadepatologiarespiratoria.org/descargas/PR_22-2_47-52.pdf</w:t>
        </w:r>
      </w:hyperlink>
      <w:r w:rsidRPr="00025A5A">
        <w:rPr>
          <w:rFonts w:eastAsia="Calibri"/>
          <w:lang w:eastAsia="en-US"/>
        </w:rPr>
        <w:t xml:space="preserve">   </w:t>
      </w:r>
    </w:p>
    <w:p w14:paraId="14D58244" w14:textId="77777777" w:rsidR="00025A5A" w:rsidRPr="00025A5A" w:rsidRDefault="00025A5A" w:rsidP="00025A5A">
      <w:pPr>
        <w:autoSpaceDE w:val="0"/>
        <w:autoSpaceDN w:val="0"/>
        <w:adjustRightInd w:val="0"/>
        <w:spacing w:line="360" w:lineRule="auto"/>
        <w:contextualSpacing/>
        <w:rPr>
          <w:rFonts w:eastAsia="Calibri"/>
          <w:lang w:eastAsia="en-US"/>
        </w:rPr>
      </w:pPr>
      <w:r w:rsidRPr="00025A5A">
        <w:rPr>
          <w:rFonts w:eastAsia="Calibri"/>
          <w:lang w:eastAsia="en-US"/>
        </w:rPr>
        <w:t xml:space="preserve">22.  Fonseca Muñoz JC, Barzagas Moreno D, Frómeta Guerra A, González Aguilera JC, Rosales Almarales Y. Factores pronósticos de muerte en la Enfermedad Pulmonar Obstructiva Crónica. Rev Cub Med Int Emerg. 2012 [acceso: 27/03/2020]; 12(1): [aprox. 12 pag]. Disponible en: </w:t>
      </w:r>
      <w:hyperlink r:id="rId35" w:history="1">
        <w:r w:rsidRPr="00025A5A">
          <w:rPr>
            <w:rFonts w:eastAsia="Calibri"/>
            <w:color w:val="0000FF"/>
            <w:u w:val="single"/>
            <w:lang w:eastAsia="en-US"/>
          </w:rPr>
          <w:t>http://bvs.sld.cu/revistas/mie/Mie112%20HTML/mie04112.html</w:t>
        </w:r>
      </w:hyperlink>
      <w:r w:rsidRPr="00025A5A">
        <w:rPr>
          <w:rFonts w:eastAsia="Calibri"/>
          <w:lang w:eastAsia="en-US"/>
        </w:rPr>
        <w:t xml:space="preserve"> </w:t>
      </w:r>
    </w:p>
    <w:p w14:paraId="5DF32406" w14:textId="77777777" w:rsidR="00025A5A" w:rsidRPr="00025A5A" w:rsidRDefault="00025A5A" w:rsidP="00025A5A">
      <w:pPr>
        <w:autoSpaceDE w:val="0"/>
        <w:autoSpaceDN w:val="0"/>
        <w:adjustRightInd w:val="0"/>
        <w:spacing w:line="360" w:lineRule="auto"/>
        <w:contextualSpacing/>
        <w:rPr>
          <w:rFonts w:eastAsia="Calibri"/>
          <w:lang w:eastAsia="en-US"/>
        </w:rPr>
      </w:pPr>
      <w:r w:rsidRPr="00025A5A">
        <w:rPr>
          <w:rFonts w:eastAsia="Calibri"/>
          <w:lang w:eastAsia="en-US"/>
        </w:rPr>
        <w:t xml:space="preserve">23. Navarro Rodríguez Z, Torres Maceo JM, Romero García LI, Ortiz Zamora C. Factores predictivos de fracaso de la ventilación no invasiva en la enfermedad pulmonar obstructiva exacerbada. Rev Cub </w:t>
      </w:r>
      <w:r w:rsidRPr="00025A5A">
        <w:rPr>
          <w:rFonts w:eastAsia="Calibri"/>
          <w:lang w:eastAsia="en-US"/>
        </w:rPr>
        <w:lastRenderedPageBreak/>
        <w:t xml:space="preserve">Med Intens Emerg. 2017 [acceso: 27/03/2020]; 16(4):93-103. Disponible en: </w:t>
      </w:r>
      <w:hyperlink r:id="rId36" w:history="1">
        <w:r w:rsidRPr="00025A5A">
          <w:rPr>
            <w:rFonts w:eastAsia="Calibri"/>
            <w:color w:val="0000FF"/>
            <w:u w:val="single"/>
            <w:lang w:eastAsia="en-US"/>
          </w:rPr>
          <w:t>https://www.medigraphic.com/pdfs/revcubmedinteme/cie-2017/cie174i.pdf</w:t>
        </w:r>
      </w:hyperlink>
      <w:r w:rsidRPr="00025A5A">
        <w:rPr>
          <w:rFonts w:eastAsia="Calibri"/>
          <w:lang w:eastAsia="en-US"/>
        </w:rPr>
        <w:t xml:space="preserve"> </w:t>
      </w:r>
    </w:p>
    <w:p w14:paraId="53B9DDCC" w14:textId="77777777" w:rsidR="00025A5A" w:rsidRPr="00025A5A" w:rsidRDefault="00025A5A" w:rsidP="00025A5A">
      <w:pPr>
        <w:autoSpaceDE w:val="0"/>
        <w:autoSpaceDN w:val="0"/>
        <w:adjustRightInd w:val="0"/>
        <w:spacing w:line="360" w:lineRule="auto"/>
        <w:contextualSpacing/>
        <w:rPr>
          <w:rFonts w:eastAsia="Calibri"/>
          <w:lang w:eastAsia="en-US"/>
        </w:rPr>
      </w:pPr>
      <w:r w:rsidRPr="00025A5A">
        <w:rPr>
          <w:rFonts w:eastAsia="Calibri"/>
          <w:lang w:eastAsia="en-US"/>
        </w:rPr>
        <w:t xml:space="preserve">24. Despaigne Salazar R, Benítez Sánchez E, Guzmán Pérez N, Oliva Corujo L, Acosta Arafet N. Factores pronósticos de letalidad en pacientes con enfermedad pulmonar obstructiva crónica en cuidados intensivos. Rev Cub Med Mil. 2018 [acceso: 27/03/2020]; 47(3):231-43. Disponible en: </w:t>
      </w:r>
      <w:hyperlink r:id="rId37" w:history="1">
        <w:r w:rsidRPr="00025A5A">
          <w:rPr>
            <w:rFonts w:eastAsia="Calibri"/>
            <w:color w:val="0000FF"/>
            <w:u w:val="single"/>
            <w:lang w:eastAsia="en-US"/>
          </w:rPr>
          <w:t>http://scielo.sld.cu/scielo.php?script=sci_arttext&amp;pid=S0138-65572018000300004&amp;lng=es</w:t>
        </w:r>
      </w:hyperlink>
      <w:r w:rsidRPr="00025A5A">
        <w:rPr>
          <w:rFonts w:eastAsia="Calibri"/>
          <w:lang w:eastAsia="en-US"/>
        </w:rPr>
        <w:t xml:space="preserve"> </w:t>
      </w:r>
    </w:p>
    <w:p w14:paraId="1C7EB494" w14:textId="77777777" w:rsidR="00025A5A" w:rsidRPr="00025A5A" w:rsidRDefault="00025A5A" w:rsidP="00025A5A">
      <w:pPr>
        <w:spacing w:line="360" w:lineRule="auto"/>
        <w:rPr>
          <w:lang w:val="es-ES" w:eastAsia="es-ES"/>
        </w:rPr>
      </w:pPr>
      <w:r w:rsidRPr="00025A5A">
        <w:rPr>
          <w:lang w:val="es-ES" w:eastAsia="es-ES"/>
        </w:rPr>
        <w:t xml:space="preserve">25. Pedrosa Guerrero A. El incremento del diámetro efectivo de la vía aérea disminuye el tiempo de ventilación mecánica en pacientes traqueostomizados. Estudio aleatorizado. [Tesis doctoral]. 2016. Ciudad Real, España: Universidad de Castilla La Mancha; 2016. [acceso: 27/03/2020]. Disponible en: </w:t>
      </w:r>
      <w:hyperlink r:id="rId38" w:history="1">
        <w:r w:rsidRPr="00025A5A">
          <w:rPr>
            <w:color w:val="0000FF"/>
            <w:u w:val="single"/>
            <w:lang w:val="es-ES" w:eastAsia="es-ES"/>
          </w:rPr>
          <w:t>https://docplayer.es/51069962-El-incremento-del-diametro-efectivo-de-la-via-aerea-disminuye-el-tiempo-de-ventilacion-mecanica-en-pacientes-traqueostomizados-estudio-aleatorizado.html</w:t>
        </w:r>
      </w:hyperlink>
      <w:r w:rsidRPr="00025A5A">
        <w:rPr>
          <w:lang w:val="es-ES" w:eastAsia="es-ES"/>
        </w:rPr>
        <w:t xml:space="preserve"> </w:t>
      </w:r>
    </w:p>
    <w:p w14:paraId="43E24099" w14:textId="77777777" w:rsidR="00025A5A" w:rsidRPr="00025A5A" w:rsidRDefault="00025A5A" w:rsidP="00025A5A">
      <w:pPr>
        <w:autoSpaceDE w:val="0"/>
        <w:autoSpaceDN w:val="0"/>
        <w:adjustRightInd w:val="0"/>
        <w:spacing w:line="360" w:lineRule="auto"/>
        <w:contextualSpacing/>
        <w:rPr>
          <w:rFonts w:eastAsia="Calibri"/>
          <w:lang w:eastAsia="en-US"/>
        </w:rPr>
      </w:pPr>
      <w:r w:rsidRPr="00025A5A">
        <w:rPr>
          <w:rFonts w:eastAsia="Calibri"/>
          <w:lang w:eastAsia="en-US"/>
        </w:rPr>
        <w:t xml:space="preserve">26. García Gómez A, Gutiérrez Gutiérrez L, Goenaga Martínez N, Hernández Hernández I, Coca Machado JL. Pacientes en ventilación mecánica con traqueostomía. Rev Cub Med Mil. 2014 [acceso: 27/03/2020]; 43(4):421-32. Disponible en: </w:t>
      </w:r>
      <w:hyperlink r:id="rId39" w:history="1">
        <w:r w:rsidRPr="00025A5A">
          <w:rPr>
            <w:rFonts w:eastAsia="Calibri"/>
            <w:color w:val="0000FF"/>
            <w:u w:val="single"/>
            <w:lang w:eastAsia="en-US"/>
          </w:rPr>
          <w:t>http://scielo.sld.cu/scielo.php?script=sci_arttext&amp;pid=S0138-65572014000400002&amp;lng=es</w:t>
        </w:r>
      </w:hyperlink>
      <w:r w:rsidRPr="00025A5A">
        <w:rPr>
          <w:rFonts w:eastAsia="Calibri"/>
          <w:lang w:eastAsia="en-US"/>
        </w:rPr>
        <w:t xml:space="preserve"> </w:t>
      </w:r>
    </w:p>
    <w:p w14:paraId="59D00B55" w14:textId="44F50DD1" w:rsidR="00025A5A" w:rsidRPr="00025A5A" w:rsidRDefault="00025A5A" w:rsidP="00025A5A">
      <w:pPr>
        <w:autoSpaceDE w:val="0"/>
        <w:autoSpaceDN w:val="0"/>
        <w:adjustRightInd w:val="0"/>
        <w:spacing w:line="360" w:lineRule="auto"/>
        <w:contextualSpacing/>
        <w:rPr>
          <w:rFonts w:eastAsia="Calibri"/>
          <w:lang w:eastAsia="en-US"/>
        </w:rPr>
      </w:pPr>
      <w:r w:rsidRPr="00025A5A">
        <w:rPr>
          <w:rFonts w:eastAsia="Calibri"/>
          <w:lang w:eastAsia="en-US"/>
        </w:rPr>
        <w:t xml:space="preserve">27. de Granda-Orive JI, Solano Reina S. Mortalidad en la enfermedad pulmonar obstructiva crónica. Año SEPAR EPOC/Tabaco. Arch Bronconeumol. 2016 [acceso: 29/05/2020]; 52(8):407–8. Disponible en: </w:t>
      </w:r>
      <w:hyperlink r:id="rId40" w:history="1">
        <w:r w:rsidRPr="00025A5A">
          <w:rPr>
            <w:rFonts w:eastAsia="Calibri"/>
            <w:color w:val="0000FF"/>
            <w:u w:val="single"/>
            <w:lang w:eastAsia="en-US"/>
          </w:rPr>
          <w:t>https://www.archbronconeumol.org/es-mortalidad-enfermedad-pulmonar-obstructiva-cronica--articulo-S0300289616000363</w:t>
        </w:r>
      </w:hyperlink>
      <w:r w:rsidRPr="00025A5A">
        <w:rPr>
          <w:rFonts w:eastAsia="Calibri"/>
          <w:lang w:eastAsia="en-US"/>
        </w:rPr>
        <w:t xml:space="preserve">   </w:t>
      </w:r>
    </w:p>
    <w:p w14:paraId="11B69F71" w14:textId="5381069D" w:rsidR="00025A5A" w:rsidRPr="00025A5A" w:rsidRDefault="00025A5A" w:rsidP="00025A5A">
      <w:pPr>
        <w:autoSpaceDE w:val="0"/>
        <w:autoSpaceDN w:val="0"/>
        <w:adjustRightInd w:val="0"/>
        <w:spacing w:line="360" w:lineRule="auto"/>
        <w:contextualSpacing/>
        <w:rPr>
          <w:rFonts w:eastAsia="Calibri"/>
          <w:lang w:eastAsia="en-US"/>
        </w:rPr>
      </w:pPr>
      <w:r w:rsidRPr="00025A5A">
        <w:rPr>
          <w:rFonts w:eastAsia="Calibri"/>
          <w:lang w:eastAsia="en-US"/>
        </w:rPr>
        <w:t xml:space="preserve">28. Caballero Font JA, Caballero López A, Caballero Font AD. Mortalidad oculta en el paciente ventilado por 48 horas o más en terapia intensiva. Rev Cub Med Intens Emerg. 2017 [acceso: 29/05/2020]; 16(3): 71-90. Disponible en: </w:t>
      </w:r>
      <w:hyperlink r:id="rId41" w:history="1">
        <w:r w:rsidRPr="00025A5A">
          <w:rPr>
            <w:rFonts w:eastAsia="Calibri"/>
            <w:color w:val="0000FF"/>
            <w:u w:val="single"/>
            <w:lang w:eastAsia="en-US"/>
          </w:rPr>
          <w:t>http://www.revmie.sld.cu/index.php/mie/article/view/279</w:t>
        </w:r>
      </w:hyperlink>
      <w:r w:rsidRPr="00025A5A">
        <w:rPr>
          <w:rFonts w:eastAsia="Calibri"/>
          <w:lang w:eastAsia="en-US"/>
        </w:rPr>
        <w:t xml:space="preserve">  </w:t>
      </w:r>
    </w:p>
    <w:p w14:paraId="375DA1BA" w14:textId="2BD39CDB" w:rsidR="00025A5A" w:rsidRPr="00025A5A" w:rsidRDefault="00025A5A" w:rsidP="00025A5A">
      <w:pPr>
        <w:autoSpaceDE w:val="0"/>
        <w:autoSpaceDN w:val="0"/>
        <w:adjustRightInd w:val="0"/>
        <w:spacing w:line="360" w:lineRule="auto"/>
        <w:contextualSpacing/>
        <w:rPr>
          <w:rFonts w:eastAsia="Calibri"/>
          <w:lang w:eastAsia="en-US"/>
        </w:rPr>
      </w:pPr>
      <w:r w:rsidRPr="00025A5A">
        <w:rPr>
          <w:rFonts w:eastAsia="Calibri"/>
          <w:lang w:eastAsia="en-US"/>
        </w:rPr>
        <w:t xml:space="preserve">29. Hernández Vázquez J, Ali García I, Jiménez-García R, Álvaro Meca A, López de Andrés A, Matesanz Ruiz C, et al. </w:t>
      </w:r>
      <w:r w:rsidRPr="00025A5A">
        <w:rPr>
          <w:rFonts w:eastAsia="Calibri"/>
          <w:lang w:val="en-US" w:eastAsia="en-US"/>
        </w:rPr>
        <w:t xml:space="preserve">COPD phenotypes: differences in survival. Int J Chron Obstruct Pulmon Dis. 2018 [acceso: 29/05/2020]; 13:2245-51. </w:t>
      </w:r>
      <w:r w:rsidRPr="00025A5A">
        <w:rPr>
          <w:rFonts w:eastAsia="Calibri"/>
          <w:lang w:eastAsia="en-US"/>
        </w:rPr>
        <w:t>Disponible en:</w:t>
      </w:r>
      <w:r w:rsidR="00FE486D">
        <w:rPr>
          <w:rFonts w:eastAsia="Calibri"/>
          <w:lang w:eastAsia="en-US"/>
        </w:rPr>
        <w:t xml:space="preserve"> </w:t>
      </w:r>
      <w:r w:rsidRPr="00025A5A">
        <w:rPr>
          <w:rFonts w:eastAsia="Calibri"/>
          <w:lang w:eastAsia="en-US"/>
        </w:rPr>
        <w:t xml:space="preserve"> </w:t>
      </w:r>
      <w:hyperlink r:id="rId42" w:history="1">
        <w:r w:rsidRPr="00025A5A">
          <w:rPr>
            <w:rFonts w:eastAsia="Calibri"/>
            <w:color w:val="0000FF"/>
            <w:u w:val="single"/>
            <w:lang w:eastAsia="en-US"/>
          </w:rPr>
          <w:t>https://www.ncbi.nlm.nih.gov/pmc/articles/PMC6055897/pdf/copd-13-2245.pdf</w:t>
        </w:r>
      </w:hyperlink>
      <w:r w:rsidRPr="00025A5A">
        <w:rPr>
          <w:rFonts w:eastAsia="Calibri"/>
          <w:lang w:eastAsia="en-US"/>
        </w:rPr>
        <w:t xml:space="preserve"> </w:t>
      </w:r>
    </w:p>
    <w:p w14:paraId="1E121C43" w14:textId="77777777" w:rsidR="00025A5A" w:rsidRPr="00025A5A" w:rsidRDefault="00025A5A" w:rsidP="00025A5A">
      <w:pPr>
        <w:autoSpaceDE w:val="0"/>
        <w:autoSpaceDN w:val="0"/>
        <w:adjustRightInd w:val="0"/>
        <w:spacing w:line="360" w:lineRule="auto"/>
        <w:contextualSpacing/>
        <w:rPr>
          <w:rFonts w:eastAsia="Calibri"/>
          <w:lang w:eastAsia="en-US"/>
        </w:rPr>
      </w:pPr>
    </w:p>
    <w:p w14:paraId="37D2F8F4" w14:textId="77777777" w:rsidR="00025A5A" w:rsidRPr="00025A5A" w:rsidRDefault="00025A5A" w:rsidP="00025A5A">
      <w:pPr>
        <w:spacing w:line="360" w:lineRule="auto"/>
        <w:jc w:val="center"/>
        <w:rPr>
          <w:b/>
          <w:bCs/>
          <w:lang w:eastAsia="es-ES"/>
        </w:rPr>
      </w:pPr>
    </w:p>
    <w:p w14:paraId="3A9462F1" w14:textId="77777777" w:rsidR="00963E20" w:rsidRDefault="00963E20">
      <w:pPr>
        <w:rPr>
          <w:b/>
          <w:bCs/>
          <w:lang w:eastAsia="es-ES"/>
        </w:rPr>
      </w:pPr>
      <w:r>
        <w:rPr>
          <w:b/>
          <w:bCs/>
          <w:lang w:eastAsia="es-ES"/>
        </w:rPr>
        <w:br w:type="page"/>
      </w:r>
    </w:p>
    <w:p w14:paraId="33A56E7A" w14:textId="03C869ED" w:rsidR="00025A5A" w:rsidRPr="00025A5A" w:rsidRDefault="00025A5A" w:rsidP="00025A5A">
      <w:pPr>
        <w:spacing w:line="360" w:lineRule="auto"/>
        <w:jc w:val="center"/>
        <w:rPr>
          <w:b/>
          <w:bCs/>
          <w:lang w:eastAsia="es-ES"/>
        </w:rPr>
      </w:pPr>
      <w:r w:rsidRPr="00025A5A">
        <w:rPr>
          <w:b/>
          <w:bCs/>
          <w:lang w:eastAsia="es-ES"/>
        </w:rPr>
        <w:lastRenderedPageBreak/>
        <w:t>Conflictos de interés</w:t>
      </w:r>
    </w:p>
    <w:p w14:paraId="6C8BFCE2" w14:textId="77777777" w:rsidR="00025A5A" w:rsidRPr="00025A5A" w:rsidRDefault="00025A5A" w:rsidP="00025A5A">
      <w:pPr>
        <w:spacing w:line="360" w:lineRule="auto"/>
        <w:jc w:val="both"/>
        <w:rPr>
          <w:lang w:eastAsia="es-ES"/>
        </w:rPr>
      </w:pPr>
      <w:r w:rsidRPr="00025A5A">
        <w:rPr>
          <w:lang w:eastAsia="es-ES"/>
        </w:rPr>
        <w:t>Los autores declaran que no existen conflictos de interés en relación con el trabajo.</w:t>
      </w:r>
    </w:p>
    <w:p w14:paraId="51715DA4" w14:textId="77777777" w:rsidR="00025A5A" w:rsidRPr="00025A5A" w:rsidRDefault="00025A5A" w:rsidP="00025A5A">
      <w:pPr>
        <w:spacing w:line="360" w:lineRule="auto"/>
        <w:jc w:val="center"/>
        <w:rPr>
          <w:b/>
          <w:lang w:eastAsia="es-ES"/>
        </w:rPr>
      </w:pPr>
    </w:p>
    <w:p w14:paraId="05223A05" w14:textId="77777777" w:rsidR="00025A5A" w:rsidRPr="00025A5A" w:rsidRDefault="00025A5A" w:rsidP="00025A5A">
      <w:pPr>
        <w:spacing w:line="360" w:lineRule="auto"/>
        <w:jc w:val="center"/>
        <w:rPr>
          <w:b/>
          <w:lang w:eastAsia="es-ES"/>
        </w:rPr>
      </w:pPr>
      <w:r w:rsidRPr="00025A5A">
        <w:rPr>
          <w:b/>
          <w:lang w:eastAsia="es-ES"/>
        </w:rPr>
        <w:t>Contribución de los autores</w:t>
      </w:r>
    </w:p>
    <w:p w14:paraId="0D187257" w14:textId="77777777" w:rsidR="00025A5A" w:rsidRPr="00025A5A" w:rsidRDefault="00025A5A" w:rsidP="00025A5A">
      <w:pPr>
        <w:spacing w:line="360" w:lineRule="auto"/>
        <w:jc w:val="both"/>
        <w:rPr>
          <w:bCs/>
          <w:i/>
          <w:iCs/>
          <w:lang w:eastAsia="es-ES"/>
        </w:rPr>
      </w:pPr>
      <w:r w:rsidRPr="00025A5A">
        <w:rPr>
          <w:bCs/>
          <w:lang w:eastAsia="es-ES"/>
        </w:rPr>
        <w:t xml:space="preserve">1. Conceptualización: </w:t>
      </w:r>
      <w:r w:rsidRPr="00025A5A">
        <w:rPr>
          <w:bCs/>
          <w:i/>
          <w:iCs/>
          <w:lang w:eastAsia="es-ES"/>
        </w:rPr>
        <w:t xml:space="preserve">Alberto García Gómez. </w:t>
      </w:r>
    </w:p>
    <w:p w14:paraId="7DE720A2" w14:textId="77777777" w:rsidR="00025A5A" w:rsidRPr="00025A5A" w:rsidRDefault="00025A5A" w:rsidP="00025A5A">
      <w:pPr>
        <w:spacing w:line="360" w:lineRule="auto"/>
        <w:jc w:val="both"/>
        <w:rPr>
          <w:bCs/>
          <w:lang w:eastAsia="es-ES"/>
        </w:rPr>
      </w:pPr>
      <w:r w:rsidRPr="00025A5A">
        <w:rPr>
          <w:bCs/>
          <w:lang w:eastAsia="es-ES"/>
        </w:rPr>
        <w:t xml:space="preserve">2. Curación de datos: </w:t>
      </w:r>
      <w:r w:rsidRPr="00025A5A">
        <w:rPr>
          <w:bCs/>
          <w:i/>
          <w:iCs/>
          <w:lang w:eastAsia="es-ES"/>
        </w:rPr>
        <w:t xml:space="preserve">Narciso Ramírez Cruz. </w:t>
      </w:r>
    </w:p>
    <w:p w14:paraId="26DBED6D" w14:textId="77777777" w:rsidR="00025A5A" w:rsidRPr="00025A5A" w:rsidRDefault="00025A5A" w:rsidP="00025A5A">
      <w:pPr>
        <w:spacing w:line="360" w:lineRule="auto"/>
        <w:jc w:val="both"/>
        <w:rPr>
          <w:bCs/>
          <w:lang w:eastAsia="es-ES"/>
        </w:rPr>
      </w:pPr>
      <w:r w:rsidRPr="00025A5A">
        <w:rPr>
          <w:bCs/>
          <w:lang w:eastAsia="es-ES"/>
        </w:rPr>
        <w:t xml:space="preserve">3. Análisis formal: </w:t>
      </w:r>
      <w:r w:rsidRPr="00025A5A">
        <w:rPr>
          <w:bCs/>
          <w:i/>
          <w:iCs/>
          <w:lang w:eastAsia="es-ES"/>
        </w:rPr>
        <w:t>Alberto García Gómez.</w:t>
      </w:r>
      <w:r w:rsidRPr="00025A5A">
        <w:rPr>
          <w:bCs/>
          <w:lang w:eastAsia="es-ES"/>
        </w:rPr>
        <w:t xml:space="preserve"> </w:t>
      </w:r>
    </w:p>
    <w:p w14:paraId="5E302AC3" w14:textId="77777777" w:rsidR="00025A5A" w:rsidRPr="00025A5A" w:rsidRDefault="00025A5A" w:rsidP="00025A5A">
      <w:pPr>
        <w:spacing w:line="360" w:lineRule="auto"/>
        <w:jc w:val="both"/>
        <w:rPr>
          <w:bCs/>
          <w:lang w:eastAsia="es-ES"/>
        </w:rPr>
      </w:pPr>
      <w:r w:rsidRPr="00025A5A">
        <w:rPr>
          <w:bCs/>
          <w:lang w:eastAsia="es-ES"/>
        </w:rPr>
        <w:t xml:space="preserve">4. Investigación: </w:t>
      </w:r>
      <w:r w:rsidRPr="00025A5A">
        <w:rPr>
          <w:bCs/>
          <w:i/>
          <w:iCs/>
          <w:lang w:eastAsia="es-ES"/>
        </w:rPr>
        <w:t>Narciso Ramírez Cruz.</w:t>
      </w:r>
      <w:r w:rsidRPr="00025A5A">
        <w:rPr>
          <w:bCs/>
          <w:lang w:eastAsia="es-ES"/>
        </w:rPr>
        <w:t xml:space="preserve"> </w:t>
      </w:r>
    </w:p>
    <w:p w14:paraId="78E57592" w14:textId="77777777" w:rsidR="00025A5A" w:rsidRPr="00025A5A" w:rsidRDefault="00025A5A" w:rsidP="00025A5A">
      <w:pPr>
        <w:spacing w:line="360" w:lineRule="auto"/>
        <w:jc w:val="both"/>
        <w:rPr>
          <w:bCs/>
          <w:lang w:eastAsia="es-ES"/>
        </w:rPr>
      </w:pPr>
      <w:r w:rsidRPr="00025A5A">
        <w:rPr>
          <w:bCs/>
          <w:lang w:eastAsia="es-ES"/>
        </w:rPr>
        <w:t xml:space="preserve">5. Metodología: </w:t>
      </w:r>
      <w:r w:rsidRPr="00025A5A">
        <w:rPr>
          <w:bCs/>
          <w:i/>
          <w:iCs/>
          <w:lang w:eastAsia="es-ES"/>
        </w:rPr>
        <w:t>Yaqueline Agüero Carbonell.</w:t>
      </w:r>
      <w:r w:rsidRPr="00025A5A">
        <w:rPr>
          <w:bCs/>
          <w:lang w:eastAsia="es-ES"/>
        </w:rPr>
        <w:t xml:space="preserve"> </w:t>
      </w:r>
    </w:p>
    <w:p w14:paraId="15DC501D" w14:textId="77777777" w:rsidR="00025A5A" w:rsidRPr="00025A5A" w:rsidRDefault="00025A5A" w:rsidP="00025A5A">
      <w:pPr>
        <w:spacing w:line="360" w:lineRule="auto"/>
        <w:jc w:val="both"/>
        <w:rPr>
          <w:bCs/>
          <w:lang w:eastAsia="es-ES"/>
        </w:rPr>
      </w:pPr>
      <w:r w:rsidRPr="00025A5A">
        <w:rPr>
          <w:bCs/>
          <w:lang w:eastAsia="es-ES"/>
        </w:rPr>
        <w:t xml:space="preserve">6. Visualización: </w:t>
      </w:r>
      <w:r w:rsidRPr="00025A5A">
        <w:rPr>
          <w:bCs/>
          <w:i/>
          <w:iCs/>
          <w:lang w:eastAsia="es-ES"/>
        </w:rPr>
        <w:t>Alexis Hernández Torres.</w:t>
      </w:r>
      <w:r w:rsidRPr="00025A5A">
        <w:rPr>
          <w:bCs/>
          <w:lang w:eastAsia="es-ES"/>
        </w:rPr>
        <w:t xml:space="preserve"> </w:t>
      </w:r>
    </w:p>
    <w:p w14:paraId="3FFA1591" w14:textId="77777777" w:rsidR="00025A5A" w:rsidRPr="00025A5A" w:rsidRDefault="00025A5A" w:rsidP="00025A5A">
      <w:pPr>
        <w:spacing w:line="360" w:lineRule="auto"/>
        <w:jc w:val="both"/>
        <w:rPr>
          <w:bCs/>
          <w:lang w:eastAsia="es-ES"/>
        </w:rPr>
      </w:pPr>
      <w:r w:rsidRPr="00025A5A">
        <w:rPr>
          <w:bCs/>
          <w:lang w:eastAsia="es-ES"/>
        </w:rPr>
        <w:t xml:space="preserve">7. Redacción – borrador original: </w:t>
      </w:r>
      <w:r w:rsidRPr="00025A5A">
        <w:rPr>
          <w:bCs/>
          <w:i/>
          <w:iCs/>
          <w:lang w:eastAsia="es-ES"/>
        </w:rPr>
        <w:t>Yamilka Martínez Llano.</w:t>
      </w:r>
    </w:p>
    <w:p w14:paraId="781A3BE1" w14:textId="77777777" w:rsidR="00025A5A" w:rsidRPr="00025A5A" w:rsidRDefault="00025A5A" w:rsidP="00025A5A">
      <w:pPr>
        <w:spacing w:line="360" w:lineRule="auto"/>
        <w:jc w:val="both"/>
        <w:rPr>
          <w:bCs/>
          <w:lang w:eastAsia="es-ES"/>
        </w:rPr>
      </w:pPr>
      <w:r w:rsidRPr="00025A5A">
        <w:rPr>
          <w:bCs/>
          <w:lang w:eastAsia="es-ES"/>
        </w:rPr>
        <w:t xml:space="preserve">8. Redacción – revisión y edición: </w:t>
      </w:r>
      <w:r w:rsidRPr="00025A5A">
        <w:rPr>
          <w:bCs/>
          <w:i/>
          <w:iCs/>
          <w:lang w:eastAsia="es-ES"/>
        </w:rPr>
        <w:t>Yusel Massó Vicet.</w:t>
      </w:r>
    </w:p>
    <w:p w14:paraId="0B95EBFB" w14:textId="77777777" w:rsidR="00675476" w:rsidRPr="00391509" w:rsidRDefault="00675476" w:rsidP="00391509"/>
    <w:sectPr w:rsidR="00675476" w:rsidRPr="00391509" w:rsidSect="00486BFA">
      <w:headerReference w:type="default" r:id="rId43"/>
      <w:footerReference w:type="even" r:id="rId44"/>
      <w:footerReference w:type="default" r:id="rId45"/>
      <w:pgSz w:w="12242" w:h="15842" w:code="1"/>
      <w:pgMar w:top="1418" w:right="1134" w:bottom="1701" w:left="1134"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67FFF" w14:textId="77777777" w:rsidR="00C57C6A" w:rsidRDefault="00C57C6A">
      <w:r>
        <w:separator/>
      </w:r>
    </w:p>
  </w:endnote>
  <w:endnote w:type="continuationSeparator" w:id="0">
    <w:p w14:paraId="22C529CA" w14:textId="77777777" w:rsidR="00C57C6A" w:rsidRDefault="00C57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A915"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A7D4BD0"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EF124" w14:textId="032A9ACD" w:rsidR="000F3690" w:rsidRPr="00AE044C" w:rsidRDefault="00025A5A" w:rsidP="00391509">
    <w:pPr>
      <w:pStyle w:val="Piedepgina"/>
      <w:ind w:right="360"/>
      <w:rPr>
        <w:sz w:val="22"/>
        <w:szCs w:val="22"/>
      </w:rPr>
    </w:pPr>
    <w:r>
      <w:rPr>
        <w:noProof/>
      </w:rPr>
      <mc:AlternateContent>
        <mc:Choice Requires="wps">
          <w:drawing>
            <wp:anchor distT="0" distB="0" distL="114300" distR="114300" simplePos="0" relativeHeight="251658240" behindDoc="0" locked="0" layoutInCell="1" allowOverlap="1" wp14:anchorId="470EEAD5" wp14:editId="602B961C">
              <wp:simplePos x="0" y="0"/>
              <wp:positionH relativeFrom="column">
                <wp:posOffset>3810</wp:posOffset>
              </wp:positionH>
              <wp:positionV relativeFrom="paragraph">
                <wp:posOffset>50165</wp:posOffset>
              </wp:positionV>
              <wp:extent cx="6286500" cy="19050"/>
              <wp:effectExtent l="19050" t="1905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46E8611"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aND19McBAABuAwAADgAAAAAAAAAAAAAA&#10;AAAuAgAAZHJzL2Uyb0RvYy54bWxQSwECLQAUAAYACAAAACEAhoC+k9oAAAAFAQAADwAAAAAAAAAA&#10;AAAAAAAhBAAAZHJzL2Rvd25yZXYueG1sUEsFBgAAAAAEAAQA8wAAACgFAAAAAA==&#10;" strokecolor="blue" strokeweight="2.25pt"/>
          </w:pict>
        </mc:Fallback>
      </mc:AlternateContent>
    </w:r>
  </w:p>
  <w:p w14:paraId="62F5BF1A" w14:textId="77777777" w:rsidR="00675476" w:rsidRPr="00AE044C" w:rsidRDefault="00C57C6A" w:rsidP="00391509">
    <w:pPr>
      <w:pStyle w:val="Piedepgina"/>
      <w:ind w:right="360"/>
      <w:rPr>
        <w:sz w:val="22"/>
        <w:szCs w:val="22"/>
      </w:rPr>
    </w:pPr>
    <w:hyperlink r:id="rId1" w:history="1">
      <w:r w:rsidR="00391509" w:rsidRPr="00AE044C">
        <w:rPr>
          <w:rStyle w:val="Hipervnculo"/>
          <w:sz w:val="22"/>
          <w:szCs w:val="22"/>
        </w:rPr>
        <w:t>http://scielo.sld.cu</w:t>
      </w:r>
    </w:hyperlink>
  </w:p>
  <w:p w14:paraId="08B13E29" w14:textId="77777777" w:rsidR="00391509" w:rsidRPr="00AE044C" w:rsidRDefault="00C57C6A"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12AA6C16" w14:textId="7CF279AC"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025A5A" w:rsidRPr="00025A5A">
      <w:rPr>
        <w:rFonts w:ascii="Verdana" w:hAnsi="Verdana"/>
        <w:noProof/>
        <w:sz w:val="18"/>
        <w:szCs w:val="18"/>
        <w:lang w:val="en-US" w:eastAsia="en-US"/>
      </w:rPr>
      <w:drawing>
        <wp:inline distT="0" distB="0" distL="0" distR="0" wp14:anchorId="2253CBCA" wp14:editId="64D93C7D">
          <wp:extent cx="643890" cy="151130"/>
          <wp:effectExtent l="0" t="0" r="0" b="0"/>
          <wp:docPr id="1"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511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3BD9A" w14:textId="77777777" w:rsidR="00C57C6A" w:rsidRDefault="00C57C6A">
      <w:r>
        <w:separator/>
      </w:r>
    </w:p>
  </w:footnote>
  <w:footnote w:type="continuationSeparator" w:id="0">
    <w:p w14:paraId="505790D5" w14:textId="77777777" w:rsidR="00C57C6A" w:rsidRDefault="00C57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3C67" w14:textId="7198FFD5" w:rsidR="00CC376A" w:rsidRPr="00AE044C" w:rsidRDefault="00025A5A" w:rsidP="00180CE9">
    <w:pPr>
      <w:pStyle w:val="Encabezado"/>
      <w:tabs>
        <w:tab w:val="left" w:pos="420"/>
      </w:tabs>
      <w:jc w:val="center"/>
      <w:rPr>
        <w:sz w:val="22"/>
        <w:szCs w:val="22"/>
      </w:rPr>
    </w:pPr>
    <w:r>
      <w:rPr>
        <w:noProof/>
      </w:rPr>
      <w:drawing>
        <wp:anchor distT="0" distB="0" distL="114300" distR="114300" simplePos="0" relativeHeight="251662336" behindDoc="0" locked="0" layoutInCell="1" allowOverlap="1" wp14:anchorId="6515A08F" wp14:editId="116BDA0E">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Pr>
        <w:sz w:val="22"/>
        <w:szCs w:val="22"/>
      </w:rPr>
      <w:t>2021</w:t>
    </w:r>
    <w:r w:rsidR="003E03D5">
      <w:rPr>
        <w:sz w:val="22"/>
        <w:szCs w:val="22"/>
      </w:rPr>
      <w:t>;</w:t>
    </w:r>
    <w:r>
      <w:rPr>
        <w:sz w:val="22"/>
        <w:szCs w:val="22"/>
      </w:rPr>
      <w:t>50</w:t>
    </w:r>
    <w:r w:rsidR="00493701" w:rsidRPr="00AE044C">
      <w:rPr>
        <w:sz w:val="22"/>
        <w:szCs w:val="22"/>
      </w:rPr>
      <w:t>(</w:t>
    </w:r>
    <w:r>
      <w:rPr>
        <w:sz w:val="22"/>
        <w:szCs w:val="22"/>
      </w:rPr>
      <w:t>4</w:t>
    </w:r>
    <w:r w:rsidR="00493701" w:rsidRPr="00AE044C">
      <w:rPr>
        <w:sz w:val="22"/>
        <w:szCs w:val="22"/>
      </w:rPr>
      <w:t>)</w:t>
    </w:r>
    <w:r w:rsidR="00391509" w:rsidRPr="00AE044C">
      <w:rPr>
        <w:sz w:val="22"/>
        <w:szCs w:val="22"/>
      </w:rPr>
      <w:t>:</w:t>
    </w:r>
    <w:r>
      <w:rPr>
        <w:sz w:val="22"/>
        <w:szCs w:val="22"/>
      </w:rPr>
      <w:t xml:space="preserve"> e02101407</w:t>
    </w:r>
  </w:p>
  <w:p w14:paraId="7D3A19C0" w14:textId="320D7542" w:rsidR="00A477DE" w:rsidRDefault="00025A5A">
    <w:r>
      <w:rPr>
        <w:noProof/>
      </w:rPr>
      <mc:AlternateContent>
        <mc:Choice Requires="wps">
          <w:drawing>
            <wp:anchor distT="0" distB="0" distL="114300" distR="114300" simplePos="0" relativeHeight="251657216" behindDoc="0" locked="0" layoutInCell="1" allowOverlap="1" wp14:anchorId="09BD87C9" wp14:editId="2DA51B1A">
              <wp:simplePos x="0" y="0"/>
              <wp:positionH relativeFrom="column">
                <wp:posOffset>3810</wp:posOffset>
              </wp:positionH>
              <wp:positionV relativeFrom="paragraph">
                <wp:posOffset>44450</wp:posOffset>
              </wp:positionV>
              <wp:extent cx="6276975" cy="28575"/>
              <wp:effectExtent l="19050" t="19050" r="9525" b="952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3B562D0"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C75"/>
    <w:multiLevelType w:val="hybridMultilevel"/>
    <w:tmpl w:val="423ECB60"/>
    <w:lvl w:ilvl="0" w:tplc="C7EC61C8">
      <w:start w:val="1"/>
      <w:numFmt w:val="decimal"/>
      <w:lvlText w:val="%1."/>
      <w:lvlJc w:val="left"/>
      <w:pPr>
        <w:ind w:left="720" w:hanging="360"/>
      </w:pPr>
      <w:rPr>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43B6820"/>
    <w:multiLevelType w:val="multilevel"/>
    <w:tmpl w:val="50308FFA"/>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67B4A0C"/>
    <w:multiLevelType w:val="multilevel"/>
    <w:tmpl w:val="ED06C18A"/>
    <w:lvl w:ilvl="0">
      <w:start w:val="2"/>
      <w:numFmt w:val="bullet"/>
      <w:lvlText w:val="-"/>
      <w:lvlJc w:val="left"/>
      <w:pPr>
        <w:tabs>
          <w:tab w:val="num" w:pos="340"/>
        </w:tabs>
        <w:ind w:left="340" w:hanging="340"/>
      </w:pPr>
      <w:rPr>
        <w:rFonts w:ascii="Arial" w:eastAsia="Times New Roman"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E2EA9"/>
    <w:multiLevelType w:val="multilevel"/>
    <w:tmpl w:val="9B98BD84"/>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021DE9"/>
    <w:multiLevelType w:val="multilevel"/>
    <w:tmpl w:val="F7948680"/>
    <w:lvl w:ilvl="0">
      <w:start w:val="1"/>
      <w:numFmt w:val="decimal"/>
      <w:lvlText w:val="%1."/>
      <w:lvlJc w:val="left"/>
      <w:pPr>
        <w:tabs>
          <w:tab w:val="num" w:pos="340"/>
        </w:tabs>
        <w:ind w:left="340" w:hanging="340"/>
      </w:pPr>
      <w:rPr>
        <w:rFonts w:hint="default"/>
      </w:rPr>
    </w:lvl>
    <w:lvl w:ilvl="1">
      <w:start w:val="1"/>
      <w:numFmt w:val="decimal"/>
      <w:lvlText w:val="%2."/>
      <w:lvlJc w:val="left"/>
      <w:pPr>
        <w:tabs>
          <w:tab w:val="num" w:pos="1440"/>
        </w:tabs>
        <w:ind w:left="1440" w:hanging="360"/>
      </w:pPr>
      <w:rPr>
        <w:rFonts w:ascii="Arial" w:hAnsi="Arial" w:hint="default"/>
        <w:b w:val="0"/>
        <w:i w:val="0"/>
        <w:sz w:val="2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13876134"/>
    <w:multiLevelType w:val="hybridMultilevel"/>
    <w:tmpl w:val="A426E3F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35E0DE2"/>
    <w:multiLevelType w:val="multilevel"/>
    <w:tmpl w:val="BA46AE12"/>
    <w:lvl w:ilvl="0">
      <w:start w:val="3"/>
      <w:numFmt w:val="decimal"/>
      <w:lvlText w:val="%1."/>
      <w:lvlJc w:val="left"/>
      <w:pPr>
        <w:tabs>
          <w:tab w:val="num" w:pos="340"/>
        </w:tabs>
        <w:ind w:left="340" w:hanging="340"/>
      </w:pPr>
      <w:rPr>
        <w:rFonts w:ascii="Arial" w:hAnsi="Arial" w:hint="default"/>
        <w:b/>
        <w:i w:val="0"/>
        <w:sz w:val="24"/>
        <w:szCs w:val="24"/>
      </w:rPr>
    </w:lvl>
    <w:lvl w:ilvl="1">
      <w:start w:val="2"/>
      <w:numFmt w:val="bullet"/>
      <w:lvlText w:val="-"/>
      <w:lvlJc w:val="left"/>
      <w:pPr>
        <w:tabs>
          <w:tab w:val="num" w:pos="340"/>
        </w:tabs>
        <w:ind w:left="340" w:hanging="340"/>
      </w:pPr>
      <w:rPr>
        <w:rFonts w:ascii="Arial" w:eastAsia="Times New Roman" w:hAnsi="Arial" w:hint="default"/>
        <w:b/>
        <w:i w:val="0"/>
        <w:sz w:val="24"/>
        <w:szCs w:val="24"/>
      </w:r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7" w15:restartNumberingAfterBreak="0">
    <w:nsid w:val="237D23B7"/>
    <w:multiLevelType w:val="multilevel"/>
    <w:tmpl w:val="40161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F31D4A"/>
    <w:multiLevelType w:val="hybridMultilevel"/>
    <w:tmpl w:val="95DA7A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805CF4"/>
    <w:multiLevelType w:val="hybridMultilevel"/>
    <w:tmpl w:val="85E08A54"/>
    <w:lvl w:ilvl="0" w:tplc="0409000D">
      <w:start w:val="1"/>
      <w:numFmt w:val="bullet"/>
      <w:lvlText w:val=""/>
      <w:lvlJc w:val="left"/>
      <w:pPr>
        <w:tabs>
          <w:tab w:val="num" w:pos="757"/>
        </w:tabs>
        <w:ind w:left="757" w:hanging="397"/>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C8CC314"/>
    <w:multiLevelType w:val="hybridMultilevel"/>
    <w:tmpl w:val="2948259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31B4DB7"/>
    <w:multiLevelType w:val="hybridMultilevel"/>
    <w:tmpl w:val="DEB2F288"/>
    <w:lvl w:ilvl="0" w:tplc="26BA2CA4">
      <w:numFmt w:val="bullet"/>
      <w:lvlText w:val="•"/>
      <w:lvlJc w:val="left"/>
      <w:pPr>
        <w:ind w:left="720" w:hanging="360"/>
      </w:pPr>
      <w:rPr>
        <w:rFonts w:ascii="Times New Roman" w:eastAsia="Times New Roman" w:hAnsi="Times New Roman" w:cs="Times New Roman"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2" w15:restartNumberingAfterBreak="0">
    <w:nsid w:val="339B7A16"/>
    <w:multiLevelType w:val="hybridMultilevel"/>
    <w:tmpl w:val="F0E8A3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C0301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B5F5FC4"/>
    <w:multiLevelType w:val="multilevel"/>
    <w:tmpl w:val="6CB0F67A"/>
    <w:lvl w:ilvl="0">
      <w:start w:val="1"/>
      <w:numFmt w:val="decimal"/>
      <w:lvlText w:val="%1."/>
      <w:lvlJc w:val="left"/>
      <w:pPr>
        <w:tabs>
          <w:tab w:val="num" w:pos="340"/>
        </w:tabs>
        <w:ind w:left="340" w:hanging="340"/>
      </w:pPr>
      <w:rPr>
        <w:rFonts w:hint="default"/>
      </w:rPr>
    </w:lvl>
    <w:lvl w:ilvl="1">
      <w:start w:val="1"/>
      <w:numFmt w:val="bullet"/>
      <w:lvlText w:val=""/>
      <w:lvlJc w:val="left"/>
      <w:pPr>
        <w:tabs>
          <w:tab w:val="num" w:pos="1420"/>
        </w:tabs>
        <w:ind w:left="1420" w:hanging="340"/>
      </w:pPr>
      <w:rPr>
        <w:rFonts w:ascii="Wingdings 2" w:hAnsi="Wingdings 2"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B637554"/>
    <w:multiLevelType w:val="multilevel"/>
    <w:tmpl w:val="D422A5B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D9D5DC3"/>
    <w:multiLevelType w:val="multilevel"/>
    <w:tmpl w:val="E97266F6"/>
    <w:lvl w:ilvl="0">
      <w:start w:val="1"/>
      <w:numFmt w:val="decimal"/>
      <w:lvlText w:val="%1."/>
      <w:lvlJc w:val="left"/>
      <w:pPr>
        <w:tabs>
          <w:tab w:val="num" w:pos="340"/>
        </w:tabs>
        <w:ind w:left="340" w:hanging="3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404735B0"/>
    <w:multiLevelType w:val="multilevel"/>
    <w:tmpl w:val="CAA0FDF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CE3F2D"/>
    <w:multiLevelType w:val="hybridMultilevel"/>
    <w:tmpl w:val="9A5888F2"/>
    <w:lvl w:ilvl="0" w:tplc="0409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D057671"/>
    <w:multiLevelType w:val="hybridMultilevel"/>
    <w:tmpl w:val="5B5C6A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260280"/>
    <w:multiLevelType w:val="hybridMultilevel"/>
    <w:tmpl w:val="4C20D812"/>
    <w:lvl w:ilvl="0" w:tplc="52C260DE">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87C5F9A"/>
    <w:multiLevelType w:val="hybridMultilevel"/>
    <w:tmpl w:val="27728E66"/>
    <w:lvl w:ilvl="0" w:tplc="8A682FA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B063D1"/>
    <w:multiLevelType w:val="multilevel"/>
    <w:tmpl w:val="3842906E"/>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ind w:left="1440" w:hanging="360"/>
      </w:pPr>
      <w:rPr>
        <w:rFonts w:ascii="Arial" w:hAnsi="Arial" w:cs="Arial" w:hint="default"/>
        <w:color w:val="auto"/>
        <w:sz w:val="24"/>
      </w:rPr>
    </w:lvl>
    <w:lvl w:ilvl="2">
      <w:start w:val="60"/>
      <w:numFmt w:val="bullet"/>
      <w:lvlText w:val=""/>
      <w:lvlJc w:val="left"/>
      <w:pPr>
        <w:ind w:left="2160" w:hanging="360"/>
      </w:pPr>
      <w:rPr>
        <w:rFonts w:ascii="Wingdings" w:eastAsia="Times New Roman" w:hAnsi="Wingdings" w:cs="Aria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163C2D"/>
    <w:multiLevelType w:val="hybridMultilevel"/>
    <w:tmpl w:val="8E8E67C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DF07048"/>
    <w:multiLevelType w:val="hybridMultilevel"/>
    <w:tmpl w:val="7F821FA4"/>
    <w:lvl w:ilvl="0" w:tplc="0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5" w15:restartNumberingAfterBreak="0">
    <w:nsid w:val="739E4F5B"/>
    <w:multiLevelType w:val="hybridMultilevel"/>
    <w:tmpl w:val="C84473C0"/>
    <w:lvl w:ilvl="0" w:tplc="FC2A7A3C">
      <w:start w:val="1"/>
      <w:numFmt w:val="decimal"/>
      <w:lvlText w:val="%1-"/>
      <w:lvlJc w:val="left"/>
      <w:pPr>
        <w:ind w:left="360" w:hanging="36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5B90FA1"/>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7A637AAB"/>
    <w:multiLevelType w:val="hybridMultilevel"/>
    <w:tmpl w:val="94F058D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CDA16B1"/>
    <w:multiLevelType w:val="hybridMultilevel"/>
    <w:tmpl w:val="5484DE74"/>
    <w:lvl w:ilvl="0" w:tplc="0409000D">
      <w:start w:val="1"/>
      <w:numFmt w:val="bullet"/>
      <w:lvlText w:val=""/>
      <w:lvlJc w:val="left"/>
      <w:pPr>
        <w:tabs>
          <w:tab w:val="num" w:pos="757"/>
        </w:tabs>
        <w:ind w:left="757" w:hanging="397"/>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D5211BF"/>
    <w:multiLevelType w:val="multilevel"/>
    <w:tmpl w:val="36BAE326"/>
    <w:lvl w:ilvl="0">
      <w:start w:val="1"/>
      <w:numFmt w:val="decimal"/>
      <w:lvlText w:val="%1."/>
      <w:lvlJc w:val="left"/>
      <w:pPr>
        <w:tabs>
          <w:tab w:val="num" w:pos="340"/>
        </w:tabs>
        <w:ind w:left="340" w:hanging="340"/>
      </w:pPr>
      <w:rPr>
        <w:rFonts w:ascii="Arial" w:hAnsi="Arial" w:cs="Arial" w:hint="default"/>
      </w:rPr>
    </w:lvl>
    <w:lvl w:ilvl="1">
      <w:start w:val="1"/>
      <w:numFmt w:val="decimal"/>
      <w:lvlText w:val="%2."/>
      <w:lvlJc w:val="left"/>
      <w:pPr>
        <w:tabs>
          <w:tab w:val="num" w:pos="1440"/>
        </w:tabs>
        <w:ind w:left="1440" w:hanging="360"/>
      </w:pPr>
      <w:rPr>
        <w:rFonts w:ascii="Arial" w:hAnsi="Arial" w:hint="default"/>
        <w:b w:val="0"/>
        <w:i w:val="0"/>
        <w:sz w:val="2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
  </w:num>
  <w:num w:numId="2">
    <w:abstractNumId w:val="22"/>
  </w:num>
  <w:num w:numId="3">
    <w:abstractNumId w:val="17"/>
  </w:num>
  <w:num w:numId="4">
    <w:abstractNumId w:val="15"/>
  </w:num>
  <w:num w:numId="5">
    <w:abstractNumId w:val="16"/>
  </w:num>
  <w:num w:numId="6">
    <w:abstractNumId w:val="6"/>
  </w:num>
  <w:num w:numId="7">
    <w:abstractNumId w:val="14"/>
  </w:num>
  <w:num w:numId="8">
    <w:abstractNumId w:val="2"/>
  </w:num>
  <w:num w:numId="9">
    <w:abstractNumId w:val="26"/>
  </w:num>
  <w:num w:numId="10">
    <w:abstractNumId w:val="13"/>
  </w:num>
  <w:num w:numId="11">
    <w:abstractNumId w:val="7"/>
  </w:num>
  <w:num w:numId="12">
    <w:abstractNumId w:val="1"/>
  </w:num>
  <w:num w:numId="13">
    <w:abstractNumId w:val="29"/>
  </w:num>
  <w:num w:numId="14">
    <w:abstractNumId w:val="18"/>
  </w:num>
  <w:num w:numId="15">
    <w:abstractNumId w:val="9"/>
  </w:num>
  <w:num w:numId="16">
    <w:abstractNumId w:val="28"/>
  </w:num>
  <w:num w:numId="17">
    <w:abstractNumId w:val="19"/>
  </w:num>
  <w:num w:numId="18">
    <w:abstractNumId w:val="8"/>
  </w:num>
  <w:num w:numId="19">
    <w:abstractNumId w:val="21"/>
  </w:num>
  <w:num w:numId="20">
    <w:abstractNumId w:val="23"/>
  </w:num>
  <w:num w:numId="21">
    <w:abstractNumId w:val="12"/>
  </w:num>
  <w:num w:numId="22">
    <w:abstractNumId w:val="5"/>
  </w:num>
  <w:num w:numId="23">
    <w:abstractNumId w:val="0"/>
  </w:num>
  <w:num w:numId="24">
    <w:abstractNumId w:val="20"/>
  </w:num>
  <w:num w:numId="25">
    <w:abstractNumId w:val="25"/>
  </w:num>
  <w:num w:numId="26">
    <w:abstractNumId w:val="27"/>
  </w:num>
  <w:num w:numId="27">
    <w:abstractNumId w:val="10"/>
  </w:num>
  <w:num w:numId="28">
    <w:abstractNumId w:val="3"/>
  </w:num>
  <w:num w:numId="29">
    <w:abstractNumId w:val="24"/>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A5A"/>
    <w:rsid w:val="000056F6"/>
    <w:rsid w:val="00025A5A"/>
    <w:rsid w:val="000F3690"/>
    <w:rsid w:val="001221D1"/>
    <w:rsid w:val="00180CE9"/>
    <w:rsid w:val="001E0F43"/>
    <w:rsid w:val="00230DD5"/>
    <w:rsid w:val="00380D64"/>
    <w:rsid w:val="00391509"/>
    <w:rsid w:val="003E03D5"/>
    <w:rsid w:val="00486BFA"/>
    <w:rsid w:val="00493701"/>
    <w:rsid w:val="004C2543"/>
    <w:rsid w:val="004E2065"/>
    <w:rsid w:val="004E5DCC"/>
    <w:rsid w:val="005508A2"/>
    <w:rsid w:val="00566F71"/>
    <w:rsid w:val="005918BD"/>
    <w:rsid w:val="006173A6"/>
    <w:rsid w:val="00662316"/>
    <w:rsid w:val="00662A8E"/>
    <w:rsid w:val="00675476"/>
    <w:rsid w:val="00681E8E"/>
    <w:rsid w:val="007C430F"/>
    <w:rsid w:val="007D614D"/>
    <w:rsid w:val="008D40CB"/>
    <w:rsid w:val="00960D6A"/>
    <w:rsid w:val="00963E20"/>
    <w:rsid w:val="009A0560"/>
    <w:rsid w:val="009B0917"/>
    <w:rsid w:val="00A23C0C"/>
    <w:rsid w:val="00A477DE"/>
    <w:rsid w:val="00A71E65"/>
    <w:rsid w:val="00AB77F5"/>
    <w:rsid w:val="00AE044C"/>
    <w:rsid w:val="00B31971"/>
    <w:rsid w:val="00B320E7"/>
    <w:rsid w:val="00B4380A"/>
    <w:rsid w:val="00B66ECB"/>
    <w:rsid w:val="00C44D7A"/>
    <w:rsid w:val="00C57C6A"/>
    <w:rsid w:val="00C7523A"/>
    <w:rsid w:val="00CC1B6E"/>
    <w:rsid w:val="00CC376A"/>
    <w:rsid w:val="00CC48A1"/>
    <w:rsid w:val="00CF50E0"/>
    <w:rsid w:val="00D85951"/>
    <w:rsid w:val="00DE5BD5"/>
    <w:rsid w:val="00E62606"/>
    <w:rsid w:val="00EC5A6B"/>
    <w:rsid w:val="00EC6A19"/>
    <w:rsid w:val="00F91E3F"/>
    <w:rsid w:val="00FE40CB"/>
    <w:rsid w:val="00FE48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3F8B2D"/>
  <w15:docId w15:val="{DC87DA37-43E0-4164-BE42-D53683739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9"/>
    <w:qFormat/>
    <w:rsid w:val="00025A5A"/>
    <w:pPr>
      <w:keepNext/>
      <w:spacing w:line="360" w:lineRule="auto"/>
      <w:jc w:val="both"/>
      <w:outlineLvl w:val="0"/>
    </w:pPr>
    <w:rPr>
      <w:rFonts w:ascii="Arial" w:hAnsi="Arial"/>
      <w:b/>
      <w:szCs w:val="20"/>
      <w:lang w:val="x-none" w:eastAsia="x-none"/>
    </w:rPr>
  </w:style>
  <w:style w:type="paragraph" w:styleId="Ttulo2">
    <w:name w:val="heading 2"/>
    <w:basedOn w:val="Normal"/>
    <w:next w:val="Normal"/>
    <w:link w:val="Ttulo2Car"/>
    <w:qFormat/>
    <w:rsid w:val="00025A5A"/>
    <w:pPr>
      <w:keepNext/>
      <w:suppressAutoHyphens/>
      <w:outlineLvl w:val="1"/>
    </w:pPr>
    <w:rPr>
      <w:rFonts w:ascii="Arial" w:hAnsi="Arial"/>
      <w:snapToGrid w:val="0"/>
      <w:color w:val="000000"/>
      <w:szCs w:val="20"/>
      <w:lang w:eastAsia="es-ES"/>
    </w:rPr>
  </w:style>
  <w:style w:type="paragraph" w:styleId="Ttulo3">
    <w:name w:val="heading 3"/>
    <w:basedOn w:val="Normal"/>
    <w:next w:val="Normal"/>
    <w:link w:val="Ttulo3Car"/>
    <w:qFormat/>
    <w:rsid w:val="00025A5A"/>
    <w:pPr>
      <w:keepNext/>
      <w:suppressAutoHyphens/>
      <w:jc w:val="center"/>
      <w:outlineLvl w:val="2"/>
    </w:pPr>
    <w:rPr>
      <w:rFonts w:ascii="Arial" w:hAnsi="Arial"/>
      <w:snapToGrid w:val="0"/>
      <w:color w:val="000000"/>
      <w:szCs w:val="20"/>
      <w:lang w:eastAsia="es-ES"/>
    </w:rPr>
  </w:style>
  <w:style w:type="paragraph" w:styleId="Ttulo4">
    <w:name w:val="heading 4"/>
    <w:basedOn w:val="Normal"/>
    <w:next w:val="Normal"/>
    <w:link w:val="Ttulo4Car"/>
    <w:qFormat/>
    <w:rsid w:val="00025A5A"/>
    <w:pPr>
      <w:keepNext/>
      <w:outlineLvl w:val="3"/>
    </w:pPr>
    <w:rPr>
      <w:rFonts w:ascii="Arial" w:hAnsi="Arial"/>
      <w:szCs w:val="20"/>
      <w:u w:val="single"/>
      <w:lang w:eastAsia="es-ES"/>
    </w:rPr>
  </w:style>
  <w:style w:type="paragraph" w:styleId="Ttulo5">
    <w:name w:val="heading 5"/>
    <w:basedOn w:val="Normal"/>
    <w:next w:val="Normal"/>
    <w:link w:val="Ttulo5Car"/>
    <w:qFormat/>
    <w:rsid w:val="00025A5A"/>
    <w:pPr>
      <w:keepNext/>
      <w:jc w:val="center"/>
      <w:outlineLvl w:val="4"/>
    </w:pPr>
    <w:rPr>
      <w:rFonts w:ascii="Arial" w:hAnsi="Arial"/>
      <w:b/>
      <w:snapToGrid w:val="0"/>
      <w:color w:val="000000"/>
      <w:sz w:val="22"/>
      <w:szCs w:val="20"/>
      <w:lang w:eastAsia="es-ES"/>
    </w:rPr>
  </w:style>
  <w:style w:type="paragraph" w:styleId="Ttulo6">
    <w:name w:val="heading 6"/>
    <w:basedOn w:val="Normal"/>
    <w:next w:val="Normal"/>
    <w:link w:val="Ttulo6Car"/>
    <w:qFormat/>
    <w:rsid w:val="00025A5A"/>
    <w:pPr>
      <w:keepNext/>
      <w:jc w:val="center"/>
      <w:outlineLvl w:val="5"/>
    </w:pPr>
    <w:rPr>
      <w:rFonts w:ascii="Arial" w:hAnsi="Arial"/>
      <w:b/>
      <w:snapToGrid w:val="0"/>
      <w:sz w:val="22"/>
      <w:szCs w:val="20"/>
      <w:lang w:eastAsia="es-ES"/>
    </w:rPr>
  </w:style>
  <w:style w:type="paragraph" w:styleId="Ttulo7">
    <w:name w:val="heading 7"/>
    <w:basedOn w:val="Normal"/>
    <w:next w:val="Normal"/>
    <w:link w:val="Ttulo7Car"/>
    <w:qFormat/>
    <w:rsid w:val="00025A5A"/>
    <w:pPr>
      <w:keepNext/>
      <w:jc w:val="center"/>
      <w:outlineLvl w:val="6"/>
    </w:pPr>
    <w:rPr>
      <w:rFonts w:ascii="Arial" w:hAnsi="Arial"/>
      <w:b/>
      <w:snapToGrid w:val="0"/>
      <w:color w:val="000000"/>
      <w:sz w:val="20"/>
      <w:szCs w:val="20"/>
      <w:lang w:eastAsia="es-ES"/>
    </w:rPr>
  </w:style>
  <w:style w:type="paragraph" w:styleId="Ttulo8">
    <w:name w:val="heading 8"/>
    <w:basedOn w:val="Normal"/>
    <w:next w:val="Normal"/>
    <w:link w:val="Ttulo8Car"/>
    <w:qFormat/>
    <w:rsid w:val="00025A5A"/>
    <w:pPr>
      <w:keepNext/>
      <w:jc w:val="both"/>
      <w:outlineLvl w:val="7"/>
    </w:pPr>
    <w:rPr>
      <w:rFonts w:ascii="Arial" w:hAnsi="Arial"/>
      <w:snapToGrid w:val="0"/>
      <w:szCs w:val="20"/>
      <w:lang w:eastAsia="es-ES"/>
    </w:rPr>
  </w:style>
  <w:style w:type="paragraph" w:styleId="Ttulo9">
    <w:name w:val="heading 9"/>
    <w:basedOn w:val="Normal"/>
    <w:next w:val="Normal"/>
    <w:link w:val="Ttulo9Car"/>
    <w:qFormat/>
    <w:rsid w:val="00025A5A"/>
    <w:pPr>
      <w:spacing w:before="240" w:after="60"/>
      <w:outlineLvl w:val="8"/>
    </w:pPr>
    <w:rPr>
      <w:rFonts w:ascii="Arial" w:hAnsi="Arial"/>
      <w:sz w:val="22"/>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character" w:customStyle="1" w:styleId="Ttulo1Car">
    <w:name w:val="Título 1 Car"/>
    <w:basedOn w:val="Fuentedeprrafopredeter"/>
    <w:link w:val="Ttulo1"/>
    <w:uiPriority w:val="99"/>
    <w:rsid w:val="00025A5A"/>
    <w:rPr>
      <w:rFonts w:ascii="Arial" w:hAnsi="Arial"/>
      <w:b/>
      <w:sz w:val="24"/>
      <w:lang w:val="x-none" w:eastAsia="x-none"/>
    </w:rPr>
  </w:style>
  <w:style w:type="character" w:customStyle="1" w:styleId="Ttulo2Car">
    <w:name w:val="Título 2 Car"/>
    <w:basedOn w:val="Fuentedeprrafopredeter"/>
    <w:link w:val="Ttulo2"/>
    <w:rsid w:val="00025A5A"/>
    <w:rPr>
      <w:rFonts w:ascii="Arial" w:hAnsi="Arial"/>
      <w:snapToGrid w:val="0"/>
      <w:color w:val="000000"/>
      <w:sz w:val="24"/>
      <w:lang w:val="es-ES_tradnl" w:eastAsia="es-ES"/>
    </w:rPr>
  </w:style>
  <w:style w:type="character" w:customStyle="1" w:styleId="Ttulo3Car">
    <w:name w:val="Título 3 Car"/>
    <w:basedOn w:val="Fuentedeprrafopredeter"/>
    <w:link w:val="Ttulo3"/>
    <w:rsid w:val="00025A5A"/>
    <w:rPr>
      <w:rFonts w:ascii="Arial" w:hAnsi="Arial"/>
      <w:snapToGrid w:val="0"/>
      <w:color w:val="000000"/>
      <w:sz w:val="24"/>
      <w:lang w:val="es-ES_tradnl" w:eastAsia="es-ES"/>
    </w:rPr>
  </w:style>
  <w:style w:type="character" w:customStyle="1" w:styleId="Ttulo4Car">
    <w:name w:val="Título 4 Car"/>
    <w:basedOn w:val="Fuentedeprrafopredeter"/>
    <w:link w:val="Ttulo4"/>
    <w:rsid w:val="00025A5A"/>
    <w:rPr>
      <w:rFonts w:ascii="Arial" w:hAnsi="Arial"/>
      <w:sz w:val="24"/>
      <w:u w:val="single"/>
      <w:lang w:val="es-ES_tradnl" w:eastAsia="es-ES"/>
    </w:rPr>
  </w:style>
  <w:style w:type="character" w:customStyle="1" w:styleId="Ttulo5Car">
    <w:name w:val="Título 5 Car"/>
    <w:basedOn w:val="Fuentedeprrafopredeter"/>
    <w:link w:val="Ttulo5"/>
    <w:rsid w:val="00025A5A"/>
    <w:rPr>
      <w:rFonts w:ascii="Arial" w:hAnsi="Arial"/>
      <w:b/>
      <w:snapToGrid w:val="0"/>
      <w:color w:val="000000"/>
      <w:sz w:val="22"/>
      <w:lang w:val="es-ES_tradnl" w:eastAsia="es-ES"/>
    </w:rPr>
  </w:style>
  <w:style w:type="character" w:customStyle="1" w:styleId="Ttulo6Car">
    <w:name w:val="Título 6 Car"/>
    <w:basedOn w:val="Fuentedeprrafopredeter"/>
    <w:link w:val="Ttulo6"/>
    <w:rsid w:val="00025A5A"/>
    <w:rPr>
      <w:rFonts w:ascii="Arial" w:hAnsi="Arial"/>
      <w:b/>
      <w:snapToGrid w:val="0"/>
      <w:sz w:val="22"/>
      <w:lang w:val="es-ES_tradnl" w:eastAsia="es-ES"/>
    </w:rPr>
  </w:style>
  <w:style w:type="character" w:customStyle="1" w:styleId="Ttulo7Car">
    <w:name w:val="Título 7 Car"/>
    <w:basedOn w:val="Fuentedeprrafopredeter"/>
    <w:link w:val="Ttulo7"/>
    <w:rsid w:val="00025A5A"/>
    <w:rPr>
      <w:rFonts w:ascii="Arial" w:hAnsi="Arial"/>
      <w:b/>
      <w:snapToGrid w:val="0"/>
      <w:color w:val="000000"/>
      <w:lang w:val="es-ES_tradnl" w:eastAsia="es-ES"/>
    </w:rPr>
  </w:style>
  <w:style w:type="character" w:customStyle="1" w:styleId="Ttulo8Car">
    <w:name w:val="Título 8 Car"/>
    <w:basedOn w:val="Fuentedeprrafopredeter"/>
    <w:link w:val="Ttulo8"/>
    <w:rsid w:val="00025A5A"/>
    <w:rPr>
      <w:rFonts w:ascii="Arial" w:hAnsi="Arial"/>
      <w:snapToGrid w:val="0"/>
      <w:sz w:val="24"/>
      <w:lang w:val="es-ES_tradnl" w:eastAsia="es-ES"/>
    </w:rPr>
  </w:style>
  <w:style w:type="character" w:customStyle="1" w:styleId="Ttulo9Car">
    <w:name w:val="Título 9 Car"/>
    <w:basedOn w:val="Fuentedeprrafopredeter"/>
    <w:link w:val="Ttulo9"/>
    <w:rsid w:val="00025A5A"/>
    <w:rPr>
      <w:rFonts w:ascii="Arial" w:hAnsi="Arial"/>
      <w:sz w:val="22"/>
      <w:lang w:val="es-ES_tradnl" w:eastAsia="es-ES"/>
    </w:rPr>
  </w:style>
  <w:style w:type="numbering" w:customStyle="1" w:styleId="Sinlista1">
    <w:name w:val="Sin lista1"/>
    <w:next w:val="Sinlista"/>
    <w:uiPriority w:val="99"/>
    <w:semiHidden/>
    <w:unhideWhenUsed/>
    <w:rsid w:val="00025A5A"/>
  </w:style>
  <w:style w:type="paragraph" w:styleId="Textoindependiente2">
    <w:name w:val="Body Text 2"/>
    <w:basedOn w:val="Normal"/>
    <w:link w:val="Textoindependiente2Car"/>
    <w:uiPriority w:val="99"/>
    <w:semiHidden/>
    <w:rsid w:val="00025A5A"/>
    <w:rPr>
      <w:sz w:val="28"/>
      <w:szCs w:val="20"/>
      <w:lang w:eastAsia="x-none"/>
    </w:rPr>
  </w:style>
  <w:style w:type="character" w:customStyle="1" w:styleId="Textoindependiente2Car">
    <w:name w:val="Texto independiente 2 Car"/>
    <w:basedOn w:val="Fuentedeprrafopredeter"/>
    <w:link w:val="Textoindependiente2"/>
    <w:uiPriority w:val="99"/>
    <w:semiHidden/>
    <w:rsid w:val="00025A5A"/>
    <w:rPr>
      <w:sz w:val="28"/>
      <w:lang w:val="es-ES_tradnl" w:eastAsia="x-none"/>
    </w:rPr>
  </w:style>
  <w:style w:type="paragraph" w:styleId="Textoindependiente">
    <w:name w:val="Body Text"/>
    <w:basedOn w:val="Normal"/>
    <w:link w:val="TextoindependienteCar"/>
    <w:semiHidden/>
    <w:rsid w:val="00025A5A"/>
    <w:pPr>
      <w:spacing w:line="360" w:lineRule="auto"/>
      <w:jc w:val="both"/>
    </w:pPr>
    <w:rPr>
      <w:rFonts w:ascii="Arial" w:hAnsi="Arial"/>
      <w:szCs w:val="20"/>
      <w:lang w:eastAsia="es-ES"/>
    </w:rPr>
  </w:style>
  <w:style w:type="character" w:customStyle="1" w:styleId="TextoindependienteCar">
    <w:name w:val="Texto independiente Car"/>
    <w:basedOn w:val="Fuentedeprrafopredeter"/>
    <w:link w:val="Textoindependiente"/>
    <w:semiHidden/>
    <w:rsid w:val="00025A5A"/>
    <w:rPr>
      <w:rFonts w:ascii="Arial" w:hAnsi="Arial"/>
      <w:sz w:val="24"/>
      <w:lang w:val="es-ES_tradnl" w:eastAsia="es-ES"/>
    </w:rPr>
  </w:style>
  <w:style w:type="paragraph" w:customStyle="1" w:styleId="Default">
    <w:name w:val="Default"/>
    <w:rsid w:val="00025A5A"/>
    <w:pPr>
      <w:autoSpaceDE w:val="0"/>
      <w:autoSpaceDN w:val="0"/>
      <w:adjustRightInd w:val="0"/>
    </w:pPr>
    <w:rPr>
      <w:rFonts w:eastAsia="Calibri"/>
      <w:color w:val="000000"/>
      <w:sz w:val="24"/>
      <w:lang w:val="es-ES_tradnl" w:eastAsia="es-ES"/>
    </w:rPr>
  </w:style>
  <w:style w:type="paragraph" w:styleId="Textoindependiente3">
    <w:name w:val="Body Text 3"/>
    <w:basedOn w:val="Normal"/>
    <w:link w:val="Textoindependiente3Car"/>
    <w:semiHidden/>
    <w:rsid w:val="00025A5A"/>
    <w:pPr>
      <w:spacing w:after="120" w:line="276" w:lineRule="auto"/>
    </w:pPr>
    <w:rPr>
      <w:rFonts w:ascii="Calibri" w:eastAsia="Calibri" w:hAnsi="Calibri"/>
      <w:sz w:val="16"/>
      <w:szCs w:val="20"/>
      <w:lang w:eastAsia="es-ES"/>
    </w:rPr>
  </w:style>
  <w:style w:type="character" w:customStyle="1" w:styleId="Textoindependiente3Car">
    <w:name w:val="Texto independiente 3 Car"/>
    <w:basedOn w:val="Fuentedeprrafopredeter"/>
    <w:link w:val="Textoindependiente3"/>
    <w:semiHidden/>
    <w:rsid w:val="00025A5A"/>
    <w:rPr>
      <w:rFonts w:ascii="Calibri" w:eastAsia="Calibri" w:hAnsi="Calibri"/>
      <w:sz w:val="16"/>
      <w:lang w:val="es-ES_tradnl" w:eastAsia="es-ES"/>
    </w:rPr>
  </w:style>
  <w:style w:type="paragraph" w:customStyle="1" w:styleId="H4">
    <w:name w:val="H4"/>
    <w:basedOn w:val="Normal"/>
    <w:next w:val="Normal"/>
    <w:rsid w:val="00025A5A"/>
    <w:pPr>
      <w:keepNext/>
      <w:spacing w:before="100" w:after="100"/>
      <w:outlineLvl w:val="4"/>
    </w:pPr>
    <w:rPr>
      <w:b/>
      <w:snapToGrid w:val="0"/>
      <w:szCs w:val="20"/>
      <w:lang w:eastAsia="es-ES"/>
    </w:rPr>
  </w:style>
  <w:style w:type="paragraph" w:styleId="Textonotapie">
    <w:name w:val="footnote text"/>
    <w:basedOn w:val="Normal"/>
    <w:link w:val="TextonotapieCar"/>
    <w:semiHidden/>
    <w:unhideWhenUsed/>
    <w:rsid w:val="00025A5A"/>
    <w:rPr>
      <w:sz w:val="20"/>
      <w:szCs w:val="20"/>
      <w:lang w:eastAsia="es-ES"/>
    </w:rPr>
  </w:style>
  <w:style w:type="character" w:customStyle="1" w:styleId="TextonotapieCar">
    <w:name w:val="Texto nota pie Car"/>
    <w:basedOn w:val="Fuentedeprrafopredeter"/>
    <w:link w:val="Textonotapie"/>
    <w:semiHidden/>
    <w:rsid w:val="00025A5A"/>
    <w:rPr>
      <w:lang w:val="es-ES_tradnl" w:eastAsia="es-ES"/>
    </w:rPr>
  </w:style>
  <w:style w:type="character" w:styleId="Refdenotaalpie">
    <w:name w:val="footnote reference"/>
    <w:semiHidden/>
    <w:unhideWhenUsed/>
    <w:rsid w:val="00025A5A"/>
    <w:rPr>
      <w:vertAlign w:val="superscript"/>
    </w:rPr>
  </w:style>
  <w:style w:type="paragraph" w:customStyle="1" w:styleId="Estilo1">
    <w:name w:val="Estilo1"/>
    <w:basedOn w:val="Textoindependiente3"/>
    <w:qFormat/>
    <w:rsid w:val="00025A5A"/>
    <w:pPr>
      <w:spacing w:after="0" w:line="360" w:lineRule="auto"/>
      <w:jc w:val="both"/>
    </w:pPr>
    <w:rPr>
      <w:rFonts w:ascii="Arial" w:hAnsi="Arial"/>
      <w:sz w:val="24"/>
    </w:rPr>
  </w:style>
  <w:style w:type="paragraph" w:styleId="Ttulo">
    <w:name w:val="Title"/>
    <w:basedOn w:val="Normal"/>
    <w:link w:val="TtuloCar"/>
    <w:qFormat/>
    <w:rsid w:val="00025A5A"/>
    <w:pPr>
      <w:spacing w:line="360" w:lineRule="auto"/>
      <w:jc w:val="center"/>
    </w:pPr>
    <w:rPr>
      <w:rFonts w:ascii="Arial" w:hAnsi="Arial"/>
      <w:b/>
      <w:szCs w:val="20"/>
      <w:lang w:val="es-MX" w:eastAsia="es-ES"/>
    </w:rPr>
  </w:style>
  <w:style w:type="character" w:customStyle="1" w:styleId="TtuloCar">
    <w:name w:val="Título Car"/>
    <w:basedOn w:val="Fuentedeprrafopredeter"/>
    <w:link w:val="Ttulo"/>
    <w:rsid w:val="00025A5A"/>
    <w:rPr>
      <w:rFonts w:ascii="Arial" w:hAnsi="Arial"/>
      <w:b/>
      <w:sz w:val="24"/>
      <w:lang w:val="es-MX" w:eastAsia="es-ES"/>
    </w:rPr>
  </w:style>
  <w:style w:type="character" w:customStyle="1" w:styleId="Estilo1Car">
    <w:name w:val="Estilo1 Car"/>
    <w:rsid w:val="00025A5A"/>
    <w:rPr>
      <w:rFonts w:ascii="Arial" w:eastAsia="Calibri" w:hAnsi="Arial"/>
      <w:noProof w:val="0"/>
      <w:sz w:val="24"/>
      <w:lang w:val="es-ES_tradnl" w:eastAsia="es-ES"/>
    </w:rPr>
  </w:style>
  <w:style w:type="paragraph" w:customStyle="1" w:styleId="H1">
    <w:name w:val="H1"/>
    <w:basedOn w:val="Normal"/>
    <w:next w:val="Normal"/>
    <w:rsid w:val="00025A5A"/>
    <w:pPr>
      <w:keepNext/>
      <w:spacing w:before="100" w:after="100"/>
      <w:outlineLvl w:val="1"/>
    </w:pPr>
    <w:rPr>
      <w:b/>
      <w:snapToGrid w:val="0"/>
      <w:kern w:val="36"/>
      <w:sz w:val="48"/>
      <w:szCs w:val="20"/>
      <w:lang w:val="es-MX" w:eastAsia="es-ES"/>
    </w:rPr>
  </w:style>
  <w:style w:type="character" w:styleId="Textoennegrita">
    <w:name w:val="Strong"/>
    <w:uiPriority w:val="22"/>
    <w:qFormat/>
    <w:rsid w:val="00025A5A"/>
    <w:rPr>
      <w:b/>
      <w:bCs/>
    </w:rPr>
  </w:style>
  <w:style w:type="character" w:styleId="AcrnimoHTML">
    <w:name w:val="HTML Acronym"/>
    <w:basedOn w:val="Fuentedeprrafopredeter"/>
    <w:uiPriority w:val="99"/>
    <w:semiHidden/>
    <w:unhideWhenUsed/>
    <w:rsid w:val="00025A5A"/>
  </w:style>
  <w:style w:type="paragraph" w:customStyle="1" w:styleId="Estilo16ptNegritaCentrado">
    <w:name w:val="Estilo 16 pt Negrita Centrado"/>
    <w:basedOn w:val="Normal"/>
    <w:rsid w:val="00025A5A"/>
    <w:pPr>
      <w:jc w:val="center"/>
    </w:pPr>
    <w:rPr>
      <w:b/>
      <w:bCs/>
      <w:sz w:val="32"/>
      <w:szCs w:val="20"/>
      <w:lang w:eastAsia="es-ES"/>
    </w:rPr>
  </w:style>
  <w:style w:type="paragraph" w:styleId="Prrafodelista">
    <w:name w:val="List Paragraph"/>
    <w:basedOn w:val="Normal"/>
    <w:uiPriority w:val="34"/>
    <w:qFormat/>
    <w:rsid w:val="00025A5A"/>
    <w:pPr>
      <w:spacing w:after="160" w:line="259" w:lineRule="auto"/>
      <w:ind w:left="720"/>
      <w:contextualSpacing/>
    </w:pPr>
    <w:rPr>
      <w:rFonts w:ascii="Calibri" w:eastAsia="Calibri" w:hAnsi="Calibri"/>
      <w:sz w:val="22"/>
      <w:szCs w:val="22"/>
      <w:lang w:eastAsia="en-US"/>
    </w:rPr>
  </w:style>
  <w:style w:type="table" w:styleId="Tablaconcuadrcula">
    <w:name w:val="Table Grid"/>
    <w:basedOn w:val="Tablanormal"/>
    <w:uiPriority w:val="59"/>
    <w:rsid w:val="00025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Default"/>
    <w:next w:val="Default"/>
    <w:uiPriority w:val="99"/>
    <w:rsid w:val="00025A5A"/>
    <w:pPr>
      <w:spacing w:before="80" w:line="191" w:lineRule="atLeast"/>
    </w:pPr>
    <w:rPr>
      <w:rFonts w:ascii="Helvetica" w:eastAsia="Times New Roman" w:hAnsi="Helvetica"/>
      <w:color w:val="auto"/>
      <w:szCs w:val="24"/>
      <w:lang w:val="es-ES"/>
    </w:rPr>
  </w:style>
  <w:style w:type="paragraph" w:customStyle="1" w:styleId="Pa0">
    <w:name w:val="Pa0"/>
    <w:basedOn w:val="Default"/>
    <w:next w:val="Default"/>
    <w:uiPriority w:val="99"/>
    <w:rsid w:val="00025A5A"/>
    <w:pPr>
      <w:spacing w:line="240" w:lineRule="atLeast"/>
    </w:pPr>
    <w:rPr>
      <w:rFonts w:ascii="Helvetica" w:eastAsia="Times New Roman" w:hAnsi="Helvetica"/>
      <w:color w:val="auto"/>
      <w:szCs w:val="24"/>
      <w:lang w:val="es-ES"/>
    </w:rPr>
  </w:style>
  <w:style w:type="paragraph" w:customStyle="1" w:styleId="Pa2">
    <w:name w:val="Pa2"/>
    <w:basedOn w:val="Default"/>
    <w:next w:val="Default"/>
    <w:uiPriority w:val="99"/>
    <w:rsid w:val="00025A5A"/>
    <w:pPr>
      <w:spacing w:line="191" w:lineRule="atLeast"/>
    </w:pPr>
    <w:rPr>
      <w:rFonts w:ascii="Helvetica" w:eastAsia="Times New Roman" w:hAnsi="Helvetica"/>
      <w:color w:val="auto"/>
      <w:szCs w:val="24"/>
      <w:lang w:val="es-ES"/>
    </w:rPr>
  </w:style>
  <w:style w:type="character" w:customStyle="1" w:styleId="A3">
    <w:name w:val="A3"/>
    <w:uiPriority w:val="99"/>
    <w:rsid w:val="00025A5A"/>
    <w:rPr>
      <w:rFonts w:cs="Helvetica"/>
      <w:i/>
      <w:iCs/>
      <w:color w:val="221E1F"/>
      <w:sz w:val="19"/>
      <w:szCs w:val="19"/>
      <w:u w:val="single"/>
    </w:rPr>
  </w:style>
  <w:style w:type="paragraph" w:customStyle="1" w:styleId="Pa11">
    <w:name w:val="Pa11"/>
    <w:basedOn w:val="Default"/>
    <w:next w:val="Default"/>
    <w:uiPriority w:val="99"/>
    <w:rsid w:val="00025A5A"/>
    <w:pPr>
      <w:spacing w:line="181" w:lineRule="atLeast"/>
    </w:pPr>
    <w:rPr>
      <w:rFonts w:ascii="Times New Roman PS" w:eastAsia="Times New Roman" w:hAnsi="Times New Roman PS"/>
      <w:color w:val="auto"/>
      <w:szCs w:val="24"/>
      <w:lang w:val="es-ES"/>
    </w:rPr>
  </w:style>
  <w:style w:type="paragraph" w:customStyle="1" w:styleId="Pa1">
    <w:name w:val="Pa1"/>
    <w:basedOn w:val="Default"/>
    <w:next w:val="Default"/>
    <w:uiPriority w:val="99"/>
    <w:rsid w:val="00025A5A"/>
    <w:pPr>
      <w:spacing w:line="161" w:lineRule="atLeast"/>
    </w:pPr>
    <w:rPr>
      <w:rFonts w:ascii="Gill Sans MT" w:eastAsia="Times New Roman" w:hAnsi="Gill Sans MT"/>
      <w:color w:val="auto"/>
      <w:szCs w:val="24"/>
      <w:lang w:val="es-ES"/>
    </w:rPr>
  </w:style>
  <w:style w:type="paragraph" w:customStyle="1" w:styleId="Pa9">
    <w:name w:val="Pa9"/>
    <w:basedOn w:val="Default"/>
    <w:next w:val="Default"/>
    <w:uiPriority w:val="99"/>
    <w:rsid w:val="00025A5A"/>
    <w:pPr>
      <w:spacing w:line="221" w:lineRule="atLeast"/>
    </w:pPr>
    <w:rPr>
      <w:rFonts w:ascii="Gill Sans MT" w:eastAsia="Times New Roman" w:hAnsi="Gill Sans MT"/>
      <w:color w:val="auto"/>
      <w:szCs w:val="24"/>
      <w:lang w:val="es-ES"/>
    </w:rPr>
  </w:style>
  <w:style w:type="paragraph" w:customStyle="1" w:styleId="Pa15">
    <w:name w:val="Pa15"/>
    <w:basedOn w:val="Default"/>
    <w:next w:val="Default"/>
    <w:uiPriority w:val="99"/>
    <w:rsid w:val="00025A5A"/>
    <w:pPr>
      <w:spacing w:line="201" w:lineRule="atLeast"/>
    </w:pPr>
    <w:rPr>
      <w:rFonts w:ascii="Times New Roman PS" w:eastAsia="Times New Roman" w:hAnsi="Times New Roman PS"/>
      <w:color w:val="auto"/>
      <w:szCs w:val="24"/>
      <w:lang w:val="es-ES"/>
    </w:rPr>
  </w:style>
  <w:style w:type="character" w:customStyle="1" w:styleId="A7">
    <w:name w:val="A7"/>
    <w:uiPriority w:val="99"/>
    <w:rsid w:val="00025A5A"/>
    <w:rPr>
      <w:rFonts w:cs="Gill Sans MT"/>
      <w:color w:val="221E1F"/>
      <w:sz w:val="12"/>
      <w:szCs w:val="12"/>
    </w:rPr>
  </w:style>
  <w:style w:type="character" w:customStyle="1" w:styleId="A6">
    <w:name w:val="A6"/>
    <w:uiPriority w:val="99"/>
    <w:rsid w:val="00025A5A"/>
    <w:rPr>
      <w:rFonts w:cs="Trebuchet MS"/>
      <w:color w:val="221E1F"/>
      <w:sz w:val="10"/>
      <w:szCs w:val="10"/>
    </w:rPr>
  </w:style>
  <w:style w:type="paragraph" w:customStyle="1" w:styleId="Pa21">
    <w:name w:val="Pa21"/>
    <w:basedOn w:val="Default"/>
    <w:next w:val="Default"/>
    <w:uiPriority w:val="99"/>
    <w:rsid w:val="00025A5A"/>
    <w:pPr>
      <w:spacing w:line="161" w:lineRule="atLeast"/>
    </w:pPr>
    <w:rPr>
      <w:rFonts w:ascii="Trebuchet MS" w:eastAsia="Times New Roman" w:hAnsi="Trebuchet MS"/>
      <w:color w:val="auto"/>
      <w:szCs w:val="24"/>
      <w:lang w:val="es-ES"/>
    </w:rPr>
  </w:style>
  <w:style w:type="character" w:customStyle="1" w:styleId="title-text">
    <w:name w:val="title-text"/>
    <w:basedOn w:val="Fuentedeprrafopredeter"/>
    <w:rsid w:val="00025A5A"/>
  </w:style>
  <w:style w:type="character" w:customStyle="1" w:styleId="article-alt-title">
    <w:name w:val="article-alt-title"/>
    <w:basedOn w:val="Fuentedeprrafopredeter"/>
    <w:rsid w:val="00025A5A"/>
  </w:style>
  <w:style w:type="character" w:customStyle="1" w:styleId="text">
    <w:name w:val="text"/>
    <w:basedOn w:val="Fuentedeprrafopredeter"/>
    <w:rsid w:val="00025A5A"/>
  </w:style>
  <w:style w:type="character" w:customStyle="1" w:styleId="author-ref">
    <w:name w:val="author-ref"/>
    <w:basedOn w:val="Fuentedeprrafopredeter"/>
    <w:rsid w:val="00025A5A"/>
  </w:style>
  <w:style w:type="paragraph" w:customStyle="1" w:styleId="Pa5">
    <w:name w:val="Pa5"/>
    <w:basedOn w:val="Default"/>
    <w:next w:val="Default"/>
    <w:uiPriority w:val="99"/>
    <w:rsid w:val="00025A5A"/>
    <w:pPr>
      <w:spacing w:line="101" w:lineRule="atLeast"/>
    </w:pPr>
    <w:rPr>
      <w:rFonts w:ascii="Gill Sans MT" w:eastAsia="Times New Roman" w:hAnsi="Gill Sans MT"/>
      <w:color w:val="auto"/>
      <w:szCs w:val="24"/>
      <w:lang w:eastAsia="es-ES_tradnl"/>
    </w:rPr>
  </w:style>
  <w:style w:type="character" w:customStyle="1" w:styleId="highwire-cite-metadata-journal">
    <w:name w:val="highwire-cite-metadata-journal"/>
    <w:basedOn w:val="Fuentedeprrafopredeter"/>
    <w:rsid w:val="00025A5A"/>
  </w:style>
  <w:style w:type="character" w:customStyle="1" w:styleId="highwire-cite-metadata-date">
    <w:name w:val="highwire-cite-metadata-date"/>
    <w:basedOn w:val="Fuentedeprrafopredeter"/>
    <w:rsid w:val="00025A5A"/>
  </w:style>
  <w:style w:type="character" w:customStyle="1" w:styleId="highwire-cite-metadata-volume">
    <w:name w:val="highwire-cite-metadata-volume"/>
    <w:basedOn w:val="Fuentedeprrafopredeter"/>
    <w:rsid w:val="00025A5A"/>
  </w:style>
  <w:style w:type="character" w:customStyle="1" w:styleId="highwire-cite-metadata-issue">
    <w:name w:val="highwire-cite-metadata-issue"/>
    <w:basedOn w:val="Fuentedeprrafopredeter"/>
    <w:rsid w:val="00025A5A"/>
  </w:style>
  <w:style w:type="character" w:customStyle="1" w:styleId="highwire-cite-metadata-pages">
    <w:name w:val="highwire-cite-metadata-pages"/>
    <w:basedOn w:val="Fuentedeprrafopredeter"/>
    <w:rsid w:val="00025A5A"/>
  </w:style>
  <w:style w:type="character" w:customStyle="1" w:styleId="orcid-id-https">
    <w:name w:val="orcid-id-https"/>
    <w:rsid w:val="00025A5A"/>
  </w:style>
  <w:style w:type="paragraph" w:customStyle="1" w:styleId="style3">
    <w:name w:val="style3"/>
    <w:basedOn w:val="Normal"/>
    <w:rsid w:val="00025A5A"/>
    <w:pPr>
      <w:spacing w:before="100" w:beforeAutospacing="1" w:after="100" w:afterAutospacing="1"/>
    </w:pPr>
    <w:rPr>
      <w:lang w:eastAsia="es-ES"/>
    </w:rPr>
  </w:style>
  <w:style w:type="character" w:customStyle="1" w:styleId="docsum-journal-citation">
    <w:name w:val="docsum-journal-citation"/>
    <w:basedOn w:val="Fuentedeprrafopredeter"/>
    <w:rsid w:val="00025A5A"/>
  </w:style>
  <w:style w:type="character" w:styleId="Refdecomentario">
    <w:name w:val="annotation reference"/>
    <w:uiPriority w:val="99"/>
    <w:semiHidden/>
    <w:unhideWhenUsed/>
    <w:rsid w:val="00025A5A"/>
    <w:rPr>
      <w:sz w:val="16"/>
      <w:szCs w:val="16"/>
    </w:rPr>
  </w:style>
  <w:style w:type="paragraph" w:styleId="Textocomentario">
    <w:name w:val="annotation text"/>
    <w:basedOn w:val="Normal"/>
    <w:link w:val="TextocomentarioCar"/>
    <w:uiPriority w:val="99"/>
    <w:semiHidden/>
    <w:unhideWhenUsed/>
    <w:rsid w:val="00025A5A"/>
    <w:rPr>
      <w:sz w:val="20"/>
      <w:szCs w:val="20"/>
      <w:lang w:val="es-ES" w:eastAsia="es-ES"/>
    </w:rPr>
  </w:style>
  <w:style w:type="character" w:customStyle="1" w:styleId="TextocomentarioCar">
    <w:name w:val="Texto comentario Car"/>
    <w:basedOn w:val="Fuentedeprrafopredeter"/>
    <w:link w:val="Textocomentario"/>
    <w:uiPriority w:val="99"/>
    <w:semiHidden/>
    <w:rsid w:val="00025A5A"/>
    <w:rPr>
      <w:lang w:val="es-ES" w:eastAsia="es-ES"/>
    </w:rPr>
  </w:style>
  <w:style w:type="paragraph" w:styleId="Asuntodelcomentario">
    <w:name w:val="annotation subject"/>
    <w:basedOn w:val="Textocomentario"/>
    <w:next w:val="Textocomentario"/>
    <w:link w:val="AsuntodelcomentarioCar"/>
    <w:uiPriority w:val="99"/>
    <w:semiHidden/>
    <w:unhideWhenUsed/>
    <w:rsid w:val="00025A5A"/>
    <w:rPr>
      <w:b/>
      <w:bCs/>
    </w:rPr>
  </w:style>
  <w:style w:type="character" w:customStyle="1" w:styleId="AsuntodelcomentarioCar">
    <w:name w:val="Asunto del comentario Car"/>
    <w:basedOn w:val="TextocomentarioCar"/>
    <w:link w:val="Asuntodelcomentario"/>
    <w:uiPriority w:val="99"/>
    <w:semiHidden/>
    <w:rsid w:val="00025A5A"/>
    <w:rPr>
      <w:b/>
      <w:bCs/>
      <w:lang w:val="es-ES" w:eastAsia="es-ES"/>
    </w:rPr>
  </w:style>
  <w:style w:type="character" w:styleId="Mencinsinresolver">
    <w:name w:val="Unresolved Mention"/>
    <w:uiPriority w:val="99"/>
    <w:semiHidden/>
    <w:unhideWhenUsed/>
    <w:rsid w:val="00025A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0881-9072" TargetMode="External"/><Relationship Id="rId13" Type="http://schemas.openxmlformats.org/officeDocument/2006/relationships/hyperlink" Target="mailto:albertogarcia@infomed.sld.cu" TargetMode="External"/><Relationship Id="rId18" Type="http://schemas.openxmlformats.org/officeDocument/2006/relationships/hyperlink" Target="http://www.revgaleno.sld.cu/index.php/ump/article/view/280/html" TargetMode="External"/><Relationship Id="rId26" Type="http://schemas.openxmlformats.org/officeDocument/2006/relationships/hyperlink" Target="http://www.revmedicaelectronica.sld.cu/index.php/rme/article/view/522" TargetMode="External"/><Relationship Id="rId39" Type="http://schemas.openxmlformats.org/officeDocument/2006/relationships/hyperlink" Target="http://scielo.sld.cu/scielo.php?script=sci_arttext&amp;pid=S0138-65572014000400002&amp;lng=es" TargetMode="External"/><Relationship Id="rId3" Type="http://schemas.openxmlformats.org/officeDocument/2006/relationships/settings" Target="settings.xml"/><Relationship Id="rId21" Type="http://schemas.openxmlformats.org/officeDocument/2006/relationships/hyperlink" Target="https://files.sld.cu/bvscuba/files/2020/05/Anuario-Electr%c3%b3nico-Espa%c3%b1ol-2019-ed-2020.pdf" TargetMode="External"/><Relationship Id="rId34" Type="http://schemas.openxmlformats.org/officeDocument/2006/relationships/hyperlink" Target="https://www.revistadepatologiarespiratoria.org/descargas/PR_22-2_47-52.pdf" TargetMode="External"/><Relationship Id="rId42" Type="http://schemas.openxmlformats.org/officeDocument/2006/relationships/hyperlink" Target="https://www.ncbi.nlm.nih.gov/pmc/articles/PMC6055897/pdf/copd-13-2245.pdf" TargetMode="External"/><Relationship Id="rId47" Type="http://schemas.openxmlformats.org/officeDocument/2006/relationships/theme" Target="theme/theme1.xml"/><Relationship Id="rId7" Type="http://schemas.openxmlformats.org/officeDocument/2006/relationships/hyperlink" Target="https://orcid.org/0000-0001-7232-343X" TargetMode="External"/><Relationship Id="rId12" Type="http://schemas.openxmlformats.org/officeDocument/2006/relationships/hyperlink" Target="https://orcid.org/0000-0002-0561-156X" TargetMode="External"/><Relationship Id="rId17" Type="http://schemas.openxmlformats.org/officeDocument/2006/relationships/image" Target="media/image4.gif"/><Relationship Id="rId25" Type="http://schemas.openxmlformats.org/officeDocument/2006/relationships/hyperlink" Target="https://www.ncbi.nlm.nih.gov/pmc/articles/PMC4984991/pdf/copd-11-1867.pdf" TargetMode="External"/><Relationship Id="rId33" Type="http://schemas.openxmlformats.org/officeDocument/2006/relationships/hyperlink" Target="https://doi.org/10.1016/j.arbres.2019.03.001" TargetMode="External"/><Relationship Id="rId38" Type="http://schemas.openxmlformats.org/officeDocument/2006/relationships/hyperlink" Target="https://docplayer.es/51069962-El-incremento-del-diametro-efectivo-de-la-via-aerea-disminuye-el-tiempo-de-ventilacion-mecanica-en-pacientes-traqueostomizados-estudio-aleatorizado.html"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gif"/><Relationship Id="rId20" Type="http://schemas.openxmlformats.org/officeDocument/2006/relationships/hyperlink" Target="http://scielo.sld.cu/scielo.php?script=sci_arttext&amp;pid=S1560-43812017000400008&amp;lng=es" TargetMode="External"/><Relationship Id="rId29" Type="http://schemas.openxmlformats.org/officeDocument/2006/relationships/hyperlink" Target="https://www.onlinejacc.org/content/71/11_Supplement/A329" TargetMode="External"/><Relationship Id="rId41" Type="http://schemas.openxmlformats.org/officeDocument/2006/relationships/hyperlink" Target="http://www.revmie.sld.cu/index.php/mie/article/view/27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8070-6366" TargetMode="External"/><Relationship Id="rId24" Type="http://schemas.openxmlformats.org/officeDocument/2006/relationships/hyperlink" Target="https://doi.org/10.3325/cmj.2017.58.395" TargetMode="External"/><Relationship Id="rId32" Type="http://schemas.openxmlformats.org/officeDocument/2006/relationships/hyperlink" Target="https://doi.org/10.1016/j.arbres.2019.08.023" TargetMode="External"/><Relationship Id="rId37" Type="http://schemas.openxmlformats.org/officeDocument/2006/relationships/hyperlink" Target="http://scielo.sld.cu/scielo.php?script=sci_arttext&amp;pid=S0138-65572018000300004&amp;lng=es" TargetMode="External"/><Relationship Id="rId40" Type="http://schemas.openxmlformats.org/officeDocument/2006/relationships/hyperlink" Target="https://www.archbronconeumol.org/es-mortalidad-enfermedad-pulmonar-obstructiva-cronica--articulo-S0300289616000363"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gif"/><Relationship Id="rId23" Type="http://schemas.openxmlformats.org/officeDocument/2006/relationships/hyperlink" Target="https://revista.sati.org.ar/index.php/MI/article/view/481" TargetMode="External"/><Relationship Id="rId28" Type="http://schemas.openxmlformats.org/officeDocument/2006/relationships/hyperlink" Target="http://www.scielo.cl/scielo.php?script=sci_arttext&amp;pid=S0717-73482017000400284&amp;lng=es" TargetMode="External"/><Relationship Id="rId36" Type="http://schemas.openxmlformats.org/officeDocument/2006/relationships/hyperlink" Target="https://www.medigraphic.com/pdfs/revcubmedinteme/cie-2017/cie174i.pdf" TargetMode="External"/><Relationship Id="rId10" Type="http://schemas.openxmlformats.org/officeDocument/2006/relationships/hyperlink" Target="https://orcid.org/0000-0002-4289-1978" TargetMode="External"/><Relationship Id="rId19" Type="http://schemas.openxmlformats.org/officeDocument/2006/relationships/hyperlink" Target="https://goldcopd.org/wp-content/uploads/2019/12/GOLD-2020-FINAL-ver1.2-03Dec19_WMV.pdf" TargetMode="External"/><Relationship Id="rId31" Type="http://schemas.openxmlformats.org/officeDocument/2006/relationships/hyperlink" Target="http://dx.doi.org/10.1590/S1806-37562017000000028"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cid.org/0000-0003-0365-7756" TargetMode="External"/><Relationship Id="rId14" Type="http://schemas.openxmlformats.org/officeDocument/2006/relationships/image" Target="media/image1.gif"/><Relationship Id="rId22" Type="http://schemas.openxmlformats.org/officeDocument/2006/relationships/hyperlink" Target="https://www.ncbi.nlm.nih.gov/pmc/articles/PMC5944543/pdf/medi-97-e0487.pdf" TargetMode="External"/><Relationship Id="rId27" Type="http://schemas.openxmlformats.org/officeDocument/2006/relationships/hyperlink" Target="https://bmcpublichealth.biomedcentral.com/track/pdf/10.1186/s12889-018-5167-5" TargetMode="External"/><Relationship Id="rId30" Type="http://schemas.openxmlformats.org/officeDocument/2006/relationships/hyperlink" Target="https://doi.org/10.1371/journal.pone.0193143" TargetMode="External"/><Relationship Id="rId35" Type="http://schemas.openxmlformats.org/officeDocument/2006/relationships/hyperlink" Target="http://bvs.sld.cu/revistas/mie/Mie112%20HTML/mie04112.html" TargetMode="External"/><Relationship Id="rId43"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38</TotalTime>
  <Pages>15</Pages>
  <Words>4946</Words>
  <Characters>27205</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32087</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19</cp:revision>
  <cp:lastPrinted>2021-10-01T00:18:00Z</cp:lastPrinted>
  <dcterms:created xsi:type="dcterms:W3CDTF">2021-09-30T23:45:00Z</dcterms:created>
  <dcterms:modified xsi:type="dcterms:W3CDTF">2021-10-01T00:24:00Z</dcterms:modified>
</cp:coreProperties>
</file>