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394F3" w14:textId="77777777" w:rsidR="0038627D" w:rsidRPr="0038627D" w:rsidRDefault="0038627D" w:rsidP="0038627D">
      <w:pPr>
        <w:tabs>
          <w:tab w:val="left" w:pos="340"/>
          <w:tab w:val="left" w:pos="680"/>
        </w:tabs>
        <w:spacing w:line="360" w:lineRule="auto"/>
        <w:ind w:firstLine="227"/>
        <w:jc w:val="right"/>
        <w:rPr>
          <w:rFonts w:eastAsia="Batang"/>
          <w:sz w:val="20"/>
          <w:szCs w:val="20"/>
          <w:lang w:val="es-CU" w:eastAsia="de-DE"/>
        </w:rPr>
      </w:pPr>
      <w:r w:rsidRPr="0038627D">
        <w:rPr>
          <w:rFonts w:eastAsia="Batang"/>
          <w:sz w:val="20"/>
          <w:szCs w:val="20"/>
          <w:lang w:val="es-CU" w:eastAsia="de-DE"/>
        </w:rPr>
        <w:t>Editorial</w:t>
      </w:r>
    </w:p>
    <w:p w14:paraId="3D1603B2" w14:textId="77777777" w:rsidR="0038627D" w:rsidRPr="0038627D" w:rsidRDefault="0038627D" w:rsidP="0038627D">
      <w:pPr>
        <w:tabs>
          <w:tab w:val="left" w:pos="340"/>
          <w:tab w:val="left" w:pos="680"/>
        </w:tabs>
        <w:spacing w:line="360" w:lineRule="auto"/>
        <w:ind w:firstLine="227"/>
        <w:jc w:val="right"/>
        <w:rPr>
          <w:rFonts w:eastAsia="Batang"/>
          <w:sz w:val="20"/>
          <w:szCs w:val="20"/>
          <w:lang w:val="es-CU" w:eastAsia="de-DE"/>
        </w:rPr>
      </w:pPr>
    </w:p>
    <w:p w14:paraId="1098A034" w14:textId="77777777" w:rsidR="0038627D" w:rsidRPr="0038627D" w:rsidRDefault="0038627D" w:rsidP="0038627D">
      <w:pPr>
        <w:spacing w:line="360" w:lineRule="auto"/>
        <w:jc w:val="center"/>
        <w:rPr>
          <w:b/>
          <w:sz w:val="28"/>
          <w:szCs w:val="28"/>
          <w:lang w:val="es-ES" w:eastAsia="es-ES"/>
        </w:rPr>
      </w:pPr>
      <w:r w:rsidRPr="0038627D">
        <w:rPr>
          <w:b/>
          <w:sz w:val="28"/>
          <w:szCs w:val="28"/>
          <w:lang w:val="es-ES" w:eastAsia="es-ES"/>
        </w:rPr>
        <w:t>Recomendaciones para asegurar la calidad de los ensayos clínicos en situaciones de emergencia</w:t>
      </w:r>
    </w:p>
    <w:p w14:paraId="4A46AAE1" w14:textId="77777777" w:rsidR="0038627D" w:rsidRPr="0038627D" w:rsidRDefault="0038627D" w:rsidP="0038627D">
      <w:pPr>
        <w:spacing w:line="360" w:lineRule="auto"/>
        <w:jc w:val="center"/>
        <w:rPr>
          <w:bCs/>
          <w:sz w:val="28"/>
          <w:szCs w:val="28"/>
          <w:lang w:val="en-US" w:eastAsia="es-ES"/>
        </w:rPr>
      </w:pPr>
      <w:r w:rsidRPr="0038627D">
        <w:rPr>
          <w:bCs/>
          <w:sz w:val="28"/>
          <w:szCs w:val="28"/>
          <w:lang w:val="en-US" w:eastAsia="es-ES"/>
        </w:rPr>
        <w:t>Recommendations for quality assurance of clinical trials in emergency situations</w:t>
      </w:r>
    </w:p>
    <w:p w14:paraId="1416583A" w14:textId="77777777" w:rsidR="0038627D" w:rsidRPr="0038627D" w:rsidRDefault="0038627D" w:rsidP="0038627D">
      <w:pPr>
        <w:spacing w:line="360" w:lineRule="auto"/>
        <w:jc w:val="both"/>
        <w:rPr>
          <w:b/>
          <w:lang w:val="en-US" w:eastAsia="es-ES"/>
        </w:rPr>
      </w:pPr>
    </w:p>
    <w:p w14:paraId="38435E6C" w14:textId="77777777" w:rsidR="0038627D" w:rsidRPr="0038627D" w:rsidRDefault="0038627D" w:rsidP="00386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b/>
          <w:sz w:val="20"/>
          <w:szCs w:val="20"/>
          <w:lang w:val="en-US" w:eastAsia="es-ES"/>
        </w:rPr>
      </w:pPr>
    </w:p>
    <w:p w14:paraId="0B8A154D" w14:textId="643EB5CA" w:rsidR="0038627D" w:rsidRPr="0038627D" w:rsidRDefault="0038627D" w:rsidP="0038627D">
      <w:pPr>
        <w:spacing w:line="360" w:lineRule="auto"/>
        <w:jc w:val="both"/>
        <w:rPr>
          <w:i/>
          <w:iCs/>
          <w:lang w:val="es-ES" w:eastAsia="es-ES"/>
        </w:rPr>
      </w:pPr>
      <w:r w:rsidRPr="0038627D">
        <w:rPr>
          <w:i/>
          <w:iCs/>
          <w:lang w:val="es-ES" w:eastAsia="es-ES"/>
        </w:rPr>
        <w:t>El Centro Nacional Coordinador de Ensayos Clínicos (</w:t>
      </w:r>
      <w:proofErr w:type="spellStart"/>
      <w:r w:rsidR="0030478E">
        <w:rPr>
          <w:i/>
          <w:iCs/>
          <w:lang w:val="es-ES" w:eastAsia="es-ES"/>
        </w:rPr>
        <w:fldChar w:fldCharType="begin"/>
      </w:r>
      <w:r w:rsidR="0030478E">
        <w:rPr>
          <w:i/>
          <w:iCs/>
          <w:lang w:val="es-ES" w:eastAsia="es-ES"/>
        </w:rPr>
        <w:instrText>HYPERLINK "https://instituciones.sld.cu/cencec/"</w:instrText>
      </w:r>
      <w:r w:rsidR="0030478E">
        <w:rPr>
          <w:i/>
          <w:iCs/>
          <w:lang w:val="es-ES" w:eastAsia="es-ES"/>
        </w:rPr>
      </w:r>
      <w:r w:rsidR="0030478E">
        <w:rPr>
          <w:i/>
          <w:iCs/>
          <w:lang w:val="es-ES" w:eastAsia="es-ES"/>
        </w:rPr>
        <w:fldChar w:fldCharType="separate"/>
      </w:r>
      <w:r w:rsidRPr="0038627D">
        <w:rPr>
          <w:rStyle w:val="Hipervnculo"/>
          <w:i/>
          <w:iCs/>
          <w:lang w:val="es-ES" w:eastAsia="es-ES"/>
        </w:rPr>
        <w:t>CENCEC</w:t>
      </w:r>
      <w:proofErr w:type="spellEnd"/>
      <w:r w:rsidR="0030478E">
        <w:rPr>
          <w:i/>
          <w:iCs/>
          <w:lang w:val="es-ES" w:eastAsia="es-ES"/>
        </w:rPr>
        <w:fldChar w:fldCharType="end"/>
      </w:r>
      <w:r w:rsidRPr="0038627D">
        <w:rPr>
          <w:i/>
          <w:iCs/>
          <w:lang w:val="es-ES" w:eastAsia="es-ES"/>
        </w:rPr>
        <w:t xml:space="preserve">) es el centro metodológico rector de la investigación clínica en </w:t>
      </w:r>
      <w:proofErr w:type="gramStart"/>
      <w:r w:rsidRPr="0038627D">
        <w:rPr>
          <w:i/>
          <w:iCs/>
          <w:lang w:val="es-ES" w:eastAsia="es-ES"/>
        </w:rPr>
        <w:t>Cuba</w:t>
      </w:r>
      <w:r w:rsidRPr="0038627D">
        <w:rPr>
          <w:i/>
          <w:iCs/>
          <w:vertAlign w:val="superscript"/>
          <w:lang w:val="es-ES" w:eastAsia="es-ES"/>
        </w:rPr>
        <w:t>(</w:t>
      </w:r>
      <w:proofErr w:type="gramEnd"/>
      <w:r w:rsidRPr="0038627D">
        <w:rPr>
          <w:i/>
          <w:iCs/>
          <w:vertAlign w:val="superscript"/>
          <w:lang w:val="es-ES" w:eastAsia="es-ES"/>
        </w:rPr>
        <w:t>1)</w:t>
      </w:r>
      <w:r w:rsidRPr="0038627D">
        <w:rPr>
          <w:i/>
          <w:iCs/>
          <w:lang w:val="es-ES" w:eastAsia="es-ES"/>
        </w:rPr>
        <w:t xml:space="preserve"> Para asegurar la calidad de los ensayos, realiza auditorías basadas en las normas de buenas prácticas clínicas (</w:t>
      </w:r>
      <w:proofErr w:type="spellStart"/>
      <w:r w:rsidRPr="0038627D">
        <w:rPr>
          <w:i/>
          <w:iCs/>
          <w:lang w:val="es-ES" w:eastAsia="es-ES"/>
        </w:rPr>
        <w:t>BPC</w:t>
      </w:r>
      <w:proofErr w:type="spellEnd"/>
      <w:r w:rsidRPr="0038627D">
        <w:rPr>
          <w:i/>
          <w:iCs/>
          <w:lang w:val="es-ES" w:eastAsia="es-ES"/>
        </w:rPr>
        <w:t>).</w:t>
      </w:r>
      <w:r w:rsidRPr="0038627D">
        <w:rPr>
          <w:i/>
          <w:iCs/>
          <w:vertAlign w:val="superscript"/>
          <w:lang w:val="es-ES" w:eastAsia="es-ES"/>
        </w:rPr>
        <w:t>(2,3,4)</w:t>
      </w:r>
      <w:r w:rsidRPr="0038627D">
        <w:rPr>
          <w:i/>
          <w:iCs/>
          <w:lang w:val="es-ES" w:eastAsia="es-ES"/>
        </w:rPr>
        <w:t xml:space="preserve"> </w:t>
      </w:r>
    </w:p>
    <w:p w14:paraId="4B5FEA10" w14:textId="77777777" w:rsidR="0038627D" w:rsidRPr="0038627D" w:rsidRDefault="0038627D" w:rsidP="0038627D">
      <w:pPr>
        <w:spacing w:line="360" w:lineRule="auto"/>
        <w:jc w:val="both"/>
        <w:rPr>
          <w:i/>
          <w:iCs/>
          <w:lang w:val="es-ES" w:eastAsia="es-ES"/>
        </w:rPr>
      </w:pPr>
      <w:r w:rsidRPr="0038627D">
        <w:rPr>
          <w:i/>
          <w:iCs/>
          <w:lang w:val="es-ES" w:eastAsia="es-ES"/>
        </w:rPr>
        <w:t xml:space="preserve">La auditoría constituye un examen independiente y sistemático, de las actividades y documentos relacionados con la investigación, para: determinar si las actividades evaluadas fueron realizadas de manera adecuada; si los datos fueron registrados, analizados y comunicados correctamente, de acuerdo con el protocolo; los procedimientos normalizados de trabajo del promotor (individuo o entidad que dirige un ensayo clínico), las </w:t>
      </w:r>
      <w:proofErr w:type="spellStart"/>
      <w:r w:rsidRPr="0038627D">
        <w:rPr>
          <w:i/>
          <w:iCs/>
          <w:lang w:val="es-ES" w:eastAsia="es-ES"/>
        </w:rPr>
        <w:t>BPC</w:t>
      </w:r>
      <w:proofErr w:type="spellEnd"/>
      <w:r w:rsidRPr="0038627D">
        <w:rPr>
          <w:i/>
          <w:iCs/>
          <w:vertAlign w:val="superscript"/>
          <w:lang w:val="es-ES" w:eastAsia="es-ES"/>
        </w:rPr>
        <w:t>(2,3,4)</w:t>
      </w:r>
      <w:r w:rsidRPr="0038627D">
        <w:rPr>
          <w:i/>
          <w:iCs/>
          <w:lang w:val="es-ES" w:eastAsia="es-ES"/>
        </w:rPr>
        <w:t xml:space="preserve"> y los requisitos reguladores pertinentes.</w:t>
      </w:r>
      <w:r w:rsidRPr="0038627D">
        <w:rPr>
          <w:i/>
          <w:iCs/>
          <w:vertAlign w:val="superscript"/>
          <w:lang w:val="es-ES" w:eastAsia="es-ES"/>
        </w:rPr>
        <w:t>(2)</w:t>
      </w:r>
      <w:r w:rsidRPr="0038627D">
        <w:rPr>
          <w:i/>
          <w:iCs/>
          <w:lang w:val="es-ES" w:eastAsia="es-ES"/>
        </w:rPr>
        <w:t xml:space="preserve"> Esta forma de revisión contribuye a identificar deficiencias y trazar acciones que, permiten corregir los errores y trabajar con un enfoque de riesgo.</w:t>
      </w:r>
      <w:r w:rsidRPr="0038627D">
        <w:rPr>
          <w:i/>
          <w:iCs/>
          <w:vertAlign w:val="superscript"/>
          <w:lang w:val="es-ES" w:eastAsia="es-ES"/>
        </w:rPr>
        <w:t>(5)</w:t>
      </w:r>
    </w:p>
    <w:p w14:paraId="39A33F68" w14:textId="77777777" w:rsidR="0038627D" w:rsidRPr="0038627D" w:rsidRDefault="0038627D" w:rsidP="0038627D">
      <w:pPr>
        <w:spacing w:line="360" w:lineRule="auto"/>
        <w:jc w:val="both"/>
        <w:rPr>
          <w:i/>
          <w:iCs/>
          <w:lang w:val="es-ES" w:eastAsia="es-ES"/>
        </w:rPr>
      </w:pPr>
      <w:r w:rsidRPr="0038627D">
        <w:rPr>
          <w:i/>
          <w:iCs/>
          <w:lang w:val="es-ES" w:eastAsia="es-ES"/>
        </w:rPr>
        <w:t xml:space="preserve">En Cuba, la pandemia por el SARS-CoV-2, conllevó al desarrollo de nuevos ensayos clínicos con candidatos vacunales, para resolver ese problema de salud. En ese mismo contexto, fue necesario garantizar la continuidad de otros ensayos, llevados a cabo en un escenario con limitaciones de movilidad y acceso a las instituciones. En esa situación fue un reto mantener la calidad y cumplir con las </w:t>
      </w:r>
      <w:proofErr w:type="spellStart"/>
      <w:r w:rsidRPr="0038627D">
        <w:rPr>
          <w:i/>
          <w:iCs/>
          <w:lang w:val="es-ES" w:eastAsia="es-ES"/>
        </w:rPr>
        <w:t>BPC</w:t>
      </w:r>
      <w:proofErr w:type="spellEnd"/>
      <w:r w:rsidRPr="0038627D">
        <w:rPr>
          <w:i/>
          <w:iCs/>
          <w:lang w:val="es-ES" w:eastAsia="es-ES"/>
        </w:rPr>
        <w:t>;</w:t>
      </w:r>
      <w:r w:rsidRPr="0038627D">
        <w:rPr>
          <w:i/>
          <w:iCs/>
          <w:vertAlign w:val="superscript"/>
          <w:lang w:val="es-ES" w:eastAsia="es-ES"/>
        </w:rPr>
        <w:t>(2)</w:t>
      </w:r>
      <w:r w:rsidRPr="0038627D">
        <w:rPr>
          <w:i/>
          <w:iCs/>
          <w:lang w:val="es-ES" w:eastAsia="es-ES"/>
        </w:rPr>
        <w:t xml:space="preserve"> lo cual siempre estuvo presente, a pesar de no contar con pautas para trabajar en esas condiciones. </w:t>
      </w:r>
    </w:p>
    <w:p w14:paraId="46C43938" w14:textId="77777777" w:rsidR="0038627D" w:rsidRPr="0038627D" w:rsidRDefault="0038627D" w:rsidP="0038627D">
      <w:pPr>
        <w:spacing w:line="360" w:lineRule="auto"/>
        <w:jc w:val="both"/>
        <w:rPr>
          <w:i/>
          <w:iCs/>
          <w:lang w:val="es-ES" w:eastAsia="es-ES"/>
        </w:rPr>
      </w:pPr>
      <w:r w:rsidRPr="0038627D">
        <w:rPr>
          <w:i/>
          <w:iCs/>
          <w:lang w:val="es-ES" w:eastAsia="es-ES"/>
        </w:rPr>
        <w:t xml:space="preserve">Durante la pandemia (2022-2022), el </w:t>
      </w:r>
      <w:proofErr w:type="spellStart"/>
      <w:r w:rsidRPr="0038627D">
        <w:rPr>
          <w:i/>
          <w:iCs/>
          <w:lang w:val="es-ES" w:eastAsia="es-ES"/>
        </w:rPr>
        <w:t>CENCEC</w:t>
      </w:r>
      <w:proofErr w:type="spellEnd"/>
      <w:r w:rsidRPr="0038627D">
        <w:rPr>
          <w:i/>
          <w:iCs/>
          <w:lang w:val="es-ES" w:eastAsia="es-ES"/>
        </w:rPr>
        <w:t xml:space="preserve"> realizó auditorías, con la finalidad de verificar el cumplimiento del protocolo, las </w:t>
      </w:r>
      <w:proofErr w:type="spellStart"/>
      <w:proofErr w:type="gramStart"/>
      <w:r w:rsidRPr="0038627D">
        <w:rPr>
          <w:i/>
          <w:iCs/>
          <w:lang w:val="es-ES" w:eastAsia="es-ES"/>
        </w:rPr>
        <w:t>BPC</w:t>
      </w:r>
      <w:proofErr w:type="spellEnd"/>
      <w:r w:rsidRPr="0038627D">
        <w:rPr>
          <w:i/>
          <w:iCs/>
          <w:vertAlign w:val="superscript"/>
          <w:lang w:val="es-ES" w:eastAsia="es-ES"/>
        </w:rPr>
        <w:t>(</w:t>
      </w:r>
      <w:proofErr w:type="gramEnd"/>
      <w:r w:rsidRPr="0038627D">
        <w:rPr>
          <w:i/>
          <w:iCs/>
          <w:vertAlign w:val="superscript"/>
          <w:lang w:val="es-ES" w:eastAsia="es-ES"/>
        </w:rPr>
        <w:t>2)</w:t>
      </w:r>
      <w:r w:rsidRPr="0038627D">
        <w:rPr>
          <w:i/>
          <w:iCs/>
          <w:lang w:val="es-ES" w:eastAsia="es-ES"/>
        </w:rPr>
        <w:t xml:space="preserve"> y otras regulaciones aplicables en los ensayos conducidos por el propio </w:t>
      </w:r>
      <w:proofErr w:type="spellStart"/>
      <w:r w:rsidRPr="0038627D">
        <w:rPr>
          <w:i/>
          <w:iCs/>
          <w:lang w:val="es-ES" w:eastAsia="es-ES"/>
        </w:rPr>
        <w:t>CENCEC</w:t>
      </w:r>
      <w:proofErr w:type="spellEnd"/>
      <w:r w:rsidRPr="0038627D">
        <w:rPr>
          <w:i/>
          <w:iCs/>
          <w:lang w:val="es-ES" w:eastAsia="es-ES"/>
        </w:rPr>
        <w:t xml:space="preserve">. A partir de los resultados mostrados en los informes de las auditorías, se trabajó en establecer recomendaciones, que permitan asegurar la calidad en la realización de los ensayos clínicos que se lleven a cabo en situaciones similares en el futuro (situaciones de emergencia). Para las </w:t>
      </w:r>
      <w:r w:rsidRPr="0038627D">
        <w:rPr>
          <w:i/>
          <w:iCs/>
          <w:lang w:val="es-ES" w:eastAsia="es-ES"/>
        </w:rPr>
        <w:lastRenderedPageBreak/>
        <w:t xml:space="preserve">recomendaciones, se consideró el tipo y la cantidad de incumplimientos reflejados en los informes de las auditorías, enmarcados en los aspectos revisados: </w:t>
      </w:r>
    </w:p>
    <w:p w14:paraId="70D3FB46" w14:textId="77777777" w:rsidR="0038627D" w:rsidRPr="0038627D" w:rsidRDefault="0038627D" w:rsidP="0038627D">
      <w:pPr>
        <w:spacing w:line="360" w:lineRule="auto"/>
        <w:jc w:val="both"/>
        <w:rPr>
          <w:i/>
          <w:iCs/>
          <w:lang w:val="es-ES" w:eastAsia="es-ES"/>
        </w:rPr>
      </w:pPr>
    </w:p>
    <w:p w14:paraId="0F5B95C8" w14:textId="77777777" w:rsidR="0038627D" w:rsidRPr="0038627D" w:rsidRDefault="0038627D" w:rsidP="0038627D">
      <w:pPr>
        <w:numPr>
          <w:ilvl w:val="0"/>
          <w:numId w:val="2"/>
        </w:numPr>
        <w:tabs>
          <w:tab w:val="left" w:pos="680"/>
        </w:tabs>
        <w:spacing w:line="360" w:lineRule="auto"/>
        <w:ind w:left="284" w:hanging="284"/>
        <w:contextualSpacing/>
        <w:jc w:val="both"/>
        <w:textAlignment w:val="baseline"/>
        <w:rPr>
          <w:i/>
          <w:iCs/>
          <w:lang w:val="es-ES" w:eastAsia="es-ES"/>
        </w:rPr>
      </w:pPr>
      <w:r w:rsidRPr="0038627D">
        <w:rPr>
          <w:i/>
          <w:iCs/>
          <w:lang w:val="es-ES" w:eastAsia="es-ES"/>
        </w:rPr>
        <w:t>Dominio de las responsabilidades y los procedimientos establecidos en el protocolo.</w:t>
      </w:r>
    </w:p>
    <w:p w14:paraId="478DDC1E" w14:textId="77777777" w:rsidR="0038627D" w:rsidRPr="0038627D" w:rsidRDefault="0038627D" w:rsidP="0038627D">
      <w:pPr>
        <w:numPr>
          <w:ilvl w:val="0"/>
          <w:numId w:val="2"/>
        </w:numPr>
        <w:tabs>
          <w:tab w:val="left" w:pos="680"/>
        </w:tabs>
        <w:spacing w:line="360" w:lineRule="auto"/>
        <w:ind w:left="284" w:hanging="284"/>
        <w:contextualSpacing/>
        <w:jc w:val="both"/>
        <w:textAlignment w:val="baseline"/>
        <w:rPr>
          <w:i/>
          <w:iCs/>
          <w:lang w:val="es-ES" w:eastAsia="es-ES"/>
        </w:rPr>
      </w:pPr>
      <w:r w:rsidRPr="0038627D">
        <w:rPr>
          <w:i/>
          <w:iCs/>
          <w:lang w:val="es-ES" w:eastAsia="es-ES"/>
        </w:rPr>
        <w:t>Documentación de la carpeta del investigador.</w:t>
      </w:r>
    </w:p>
    <w:p w14:paraId="28424929" w14:textId="77777777" w:rsidR="0038627D" w:rsidRPr="0038627D" w:rsidRDefault="0038627D" w:rsidP="0038627D">
      <w:pPr>
        <w:numPr>
          <w:ilvl w:val="0"/>
          <w:numId w:val="2"/>
        </w:numPr>
        <w:tabs>
          <w:tab w:val="left" w:pos="680"/>
        </w:tabs>
        <w:spacing w:line="360" w:lineRule="auto"/>
        <w:ind w:left="284" w:hanging="284"/>
        <w:contextualSpacing/>
        <w:jc w:val="both"/>
        <w:textAlignment w:val="baseline"/>
        <w:rPr>
          <w:i/>
          <w:iCs/>
          <w:lang w:val="es-ES" w:eastAsia="es-ES"/>
        </w:rPr>
      </w:pPr>
      <w:r w:rsidRPr="0038627D">
        <w:rPr>
          <w:i/>
          <w:iCs/>
          <w:lang w:val="es-ES" w:eastAsia="es-ES"/>
        </w:rPr>
        <w:t>Llenado de los cuadernos de recogida de datos (</w:t>
      </w:r>
      <w:proofErr w:type="spellStart"/>
      <w:r w:rsidRPr="0038627D">
        <w:rPr>
          <w:i/>
          <w:iCs/>
          <w:lang w:val="es-ES" w:eastAsia="es-ES"/>
        </w:rPr>
        <w:t>CRD</w:t>
      </w:r>
      <w:proofErr w:type="spellEnd"/>
      <w:r w:rsidRPr="0038627D">
        <w:rPr>
          <w:i/>
          <w:iCs/>
          <w:lang w:val="es-ES" w:eastAsia="es-ES"/>
        </w:rPr>
        <w:t>) y de las historias clínicas.</w:t>
      </w:r>
    </w:p>
    <w:p w14:paraId="11FD70B4" w14:textId="77777777" w:rsidR="0038627D" w:rsidRPr="0038627D" w:rsidRDefault="0038627D" w:rsidP="0038627D">
      <w:pPr>
        <w:numPr>
          <w:ilvl w:val="0"/>
          <w:numId w:val="2"/>
        </w:numPr>
        <w:tabs>
          <w:tab w:val="left" w:pos="680"/>
        </w:tabs>
        <w:spacing w:line="360" w:lineRule="auto"/>
        <w:ind w:left="284" w:hanging="284"/>
        <w:contextualSpacing/>
        <w:jc w:val="both"/>
        <w:textAlignment w:val="baseline"/>
        <w:rPr>
          <w:i/>
          <w:iCs/>
          <w:lang w:val="es-ES" w:eastAsia="es-ES"/>
        </w:rPr>
      </w:pPr>
      <w:r w:rsidRPr="0038627D">
        <w:rPr>
          <w:i/>
          <w:iCs/>
          <w:lang w:val="es-ES" w:eastAsia="es-ES"/>
        </w:rPr>
        <w:t xml:space="preserve">Cumplimiento del procedimiento para el almacenamiento y dispensación del producto en estudio. </w:t>
      </w:r>
    </w:p>
    <w:p w14:paraId="42D975D1" w14:textId="77777777" w:rsidR="0038627D" w:rsidRPr="0038627D" w:rsidRDefault="0038627D" w:rsidP="0038627D">
      <w:pPr>
        <w:numPr>
          <w:ilvl w:val="0"/>
          <w:numId w:val="2"/>
        </w:numPr>
        <w:tabs>
          <w:tab w:val="left" w:pos="680"/>
        </w:tabs>
        <w:spacing w:line="360" w:lineRule="auto"/>
        <w:ind w:left="284" w:hanging="284"/>
        <w:contextualSpacing/>
        <w:jc w:val="both"/>
        <w:textAlignment w:val="baseline"/>
        <w:rPr>
          <w:i/>
          <w:iCs/>
          <w:lang w:val="es-ES" w:eastAsia="es-ES"/>
        </w:rPr>
      </w:pPr>
      <w:r w:rsidRPr="0038627D">
        <w:rPr>
          <w:i/>
          <w:iCs/>
          <w:lang w:val="es-ES" w:eastAsia="es-ES"/>
        </w:rPr>
        <w:t>Cumplimiento del procedimiento para conservar la documentación generada en el ensayo.</w:t>
      </w:r>
    </w:p>
    <w:p w14:paraId="2B89B742" w14:textId="77777777" w:rsidR="0038627D" w:rsidRPr="0038627D" w:rsidRDefault="0038627D" w:rsidP="0038627D">
      <w:pPr>
        <w:numPr>
          <w:ilvl w:val="0"/>
          <w:numId w:val="2"/>
        </w:numPr>
        <w:tabs>
          <w:tab w:val="left" w:pos="680"/>
        </w:tabs>
        <w:spacing w:line="360" w:lineRule="auto"/>
        <w:ind w:left="284" w:hanging="284"/>
        <w:contextualSpacing/>
        <w:jc w:val="both"/>
        <w:textAlignment w:val="baseline"/>
        <w:rPr>
          <w:i/>
          <w:iCs/>
          <w:lang w:val="es-ES" w:eastAsia="es-ES"/>
        </w:rPr>
      </w:pPr>
      <w:r w:rsidRPr="0038627D">
        <w:rPr>
          <w:i/>
          <w:iCs/>
          <w:lang w:val="es-ES" w:eastAsia="es-ES"/>
        </w:rPr>
        <w:t>Cumplimiento de los procedimientos de trabajo en otros departamentos participantes en el ensayo.</w:t>
      </w:r>
    </w:p>
    <w:p w14:paraId="5D481AC5" w14:textId="77777777" w:rsidR="0038627D" w:rsidRPr="0038627D" w:rsidRDefault="0038627D" w:rsidP="0038627D">
      <w:pPr>
        <w:spacing w:line="360" w:lineRule="auto"/>
        <w:jc w:val="both"/>
        <w:rPr>
          <w:i/>
          <w:iCs/>
          <w:lang w:val="es-ES" w:eastAsia="es-ES"/>
        </w:rPr>
      </w:pPr>
    </w:p>
    <w:p w14:paraId="3237CF75" w14:textId="77777777" w:rsidR="0038627D" w:rsidRPr="0038627D" w:rsidRDefault="0038627D" w:rsidP="0038627D">
      <w:pPr>
        <w:spacing w:line="360" w:lineRule="auto"/>
        <w:jc w:val="both"/>
        <w:rPr>
          <w:i/>
          <w:iCs/>
          <w:lang w:val="es-ES" w:eastAsia="es-ES"/>
        </w:rPr>
      </w:pPr>
      <w:r w:rsidRPr="0038627D">
        <w:rPr>
          <w:i/>
          <w:iCs/>
          <w:lang w:val="es-ES" w:eastAsia="es-ES"/>
        </w:rPr>
        <w:t xml:space="preserve">Se propusieron 6 recomendaciones para asegurar la calidad de los ensayos clínicos en situaciones de emergencia, que deben ejecutase de manera virtual o presencial, por los monitores del ensayo. Son las siguientes: </w:t>
      </w:r>
    </w:p>
    <w:p w14:paraId="221E97D1" w14:textId="77777777" w:rsidR="0038627D" w:rsidRPr="0038627D" w:rsidRDefault="0038627D" w:rsidP="0038627D">
      <w:pPr>
        <w:spacing w:line="360" w:lineRule="auto"/>
        <w:jc w:val="both"/>
        <w:rPr>
          <w:i/>
          <w:iCs/>
          <w:lang w:val="es-ES" w:eastAsia="es-ES"/>
        </w:rPr>
      </w:pPr>
    </w:p>
    <w:p w14:paraId="0AB2FE60" w14:textId="77777777" w:rsidR="0038627D" w:rsidRPr="0038627D" w:rsidRDefault="0038627D" w:rsidP="0038627D">
      <w:pPr>
        <w:numPr>
          <w:ilvl w:val="0"/>
          <w:numId w:val="3"/>
        </w:numPr>
        <w:tabs>
          <w:tab w:val="left" w:pos="680"/>
        </w:tabs>
        <w:spacing w:line="360" w:lineRule="auto"/>
        <w:ind w:left="284" w:hanging="284"/>
        <w:contextualSpacing/>
        <w:jc w:val="both"/>
        <w:rPr>
          <w:i/>
          <w:iCs/>
          <w:lang w:val="es-ES" w:eastAsia="es-ES"/>
        </w:rPr>
      </w:pPr>
      <w:r w:rsidRPr="0038627D">
        <w:rPr>
          <w:i/>
          <w:iCs/>
          <w:lang w:val="es-ES" w:eastAsia="es-ES"/>
        </w:rPr>
        <w:t xml:space="preserve">Elaborar una lista de verificación que contenga los documentos esenciales, requeridos por las </w:t>
      </w:r>
      <w:proofErr w:type="spellStart"/>
      <w:proofErr w:type="gramStart"/>
      <w:r w:rsidRPr="0038627D">
        <w:rPr>
          <w:i/>
          <w:iCs/>
          <w:lang w:val="es-ES" w:eastAsia="es-ES"/>
        </w:rPr>
        <w:t>BPC</w:t>
      </w:r>
      <w:proofErr w:type="spellEnd"/>
      <w:r w:rsidRPr="0038627D">
        <w:rPr>
          <w:i/>
          <w:iCs/>
          <w:lang w:val="es-ES" w:eastAsia="es-ES"/>
        </w:rPr>
        <w:t>,</w:t>
      </w:r>
      <w:r w:rsidRPr="0038627D">
        <w:rPr>
          <w:i/>
          <w:iCs/>
          <w:vertAlign w:val="superscript"/>
          <w:lang w:val="es-ES" w:eastAsia="es-ES"/>
        </w:rPr>
        <w:t>(</w:t>
      </w:r>
      <w:proofErr w:type="gramEnd"/>
      <w:r w:rsidRPr="0038627D">
        <w:rPr>
          <w:i/>
          <w:iCs/>
          <w:vertAlign w:val="superscript"/>
          <w:lang w:val="es-ES" w:eastAsia="es-ES"/>
        </w:rPr>
        <w:t>2)</w:t>
      </w:r>
      <w:r w:rsidRPr="0038627D">
        <w:rPr>
          <w:i/>
          <w:iCs/>
          <w:lang w:val="es-ES" w:eastAsia="es-ES"/>
        </w:rPr>
        <w:t xml:space="preserve"> que permita controlar sistemáticamente la documentación generada en el ensayo, en los archivos del promotor y del investigador en el sitio clínico.</w:t>
      </w:r>
    </w:p>
    <w:p w14:paraId="0FD56D5D" w14:textId="77777777" w:rsidR="0038627D" w:rsidRPr="0038627D" w:rsidRDefault="0038627D" w:rsidP="0038627D">
      <w:pPr>
        <w:numPr>
          <w:ilvl w:val="0"/>
          <w:numId w:val="3"/>
        </w:numPr>
        <w:tabs>
          <w:tab w:val="left" w:pos="680"/>
        </w:tabs>
        <w:spacing w:line="360" w:lineRule="auto"/>
        <w:ind w:left="284" w:hanging="284"/>
        <w:contextualSpacing/>
        <w:jc w:val="both"/>
        <w:rPr>
          <w:i/>
          <w:iCs/>
          <w:lang w:val="es-ES" w:eastAsia="es-ES"/>
        </w:rPr>
      </w:pPr>
      <w:r w:rsidRPr="0038627D">
        <w:rPr>
          <w:i/>
          <w:iCs/>
          <w:lang w:val="es-ES" w:eastAsia="es-ES"/>
        </w:rPr>
        <w:t xml:space="preserve">Gestionar con el sitio clínico, antes y durante el ensayo, las evidencias de formación de los integrantes del equipo de investigación del sitio, en </w:t>
      </w:r>
      <w:proofErr w:type="spellStart"/>
      <w:r w:rsidRPr="0038627D">
        <w:rPr>
          <w:i/>
          <w:iCs/>
          <w:lang w:val="es-ES" w:eastAsia="es-ES"/>
        </w:rPr>
        <w:t>BPC</w:t>
      </w:r>
      <w:proofErr w:type="spellEnd"/>
      <w:r w:rsidRPr="0038627D">
        <w:rPr>
          <w:i/>
          <w:iCs/>
          <w:lang w:val="es-ES" w:eastAsia="es-ES"/>
        </w:rPr>
        <w:t xml:space="preserve"> u otras. </w:t>
      </w:r>
    </w:p>
    <w:p w14:paraId="09D13D04" w14:textId="77777777" w:rsidR="0038627D" w:rsidRPr="0038627D" w:rsidRDefault="0038627D" w:rsidP="0038627D">
      <w:pPr>
        <w:numPr>
          <w:ilvl w:val="0"/>
          <w:numId w:val="3"/>
        </w:numPr>
        <w:tabs>
          <w:tab w:val="left" w:pos="680"/>
        </w:tabs>
        <w:spacing w:line="360" w:lineRule="auto"/>
        <w:ind w:left="284" w:hanging="284"/>
        <w:contextualSpacing/>
        <w:jc w:val="both"/>
        <w:rPr>
          <w:i/>
          <w:iCs/>
          <w:lang w:val="es-ES" w:eastAsia="es-ES"/>
        </w:rPr>
      </w:pPr>
      <w:r w:rsidRPr="0038627D">
        <w:rPr>
          <w:i/>
          <w:iCs/>
          <w:lang w:val="es-ES" w:eastAsia="es-ES"/>
        </w:rPr>
        <w:t xml:space="preserve">Capacitar, antes del inicio del ensayo, a los integrantes del equipo de investigación del sitio, en cómo garantizar la trazabilidad de los datos recogidos en el </w:t>
      </w:r>
      <w:proofErr w:type="spellStart"/>
      <w:r w:rsidRPr="0038627D">
        <w:rPr>
          <w:i/>
          <w:iCs/>
          <w:lang w:val="es-ES" w:eastAsia="es-ES"/>
        </w:rPr>
        <w:t>CRD</w:t>
      </w:r>
      <w:proofErr w:type="spellEnd"/>
      <w:r w:rsidRPr="0038627D">
        <w:rPr>
          <w:i/>
          <w:iCs/>
          <w:lang w:val="es-ES" w:eastAsia="es-ES"/>
        </w:rPr>
        <w:t>.</w:t>
      </w:r>
    </w:p>
    <w:p w14:paraId="3B1E66B8" w14:textId="77777777" w:rsidR="0038627D" w:rsidRPr="0038627D" w:rsidRDefault="0038627D" w:rsidP="0038627D">
      <w:pPr>
        <w:numPr>
          <w:ilvl w:val="0"/>
          <w:numId w:val="3"/>
        </w:numPr>
        <w:tabs>
          <w:tab w:val="left" w:pos="680"/>
        </w:tabs>
        <w:spacing w:line="360" w:lineRule="auto"/>
        <w:ind w:left="284" w:hanging="284"/>
        <w:contextualSpacing/>
        <w:jc w:val="both"/>
        <w:rPr>
          <w:i/>
          <w:iCs/>
          <w:lang w:val="es-ES" w:eastAsia="es-ES"/>
        </w:rPr>
      </w:pPr>
      <w:r w:rsidRPr="0038627D">
        <w:rPr>
          <w:i/>
          <w:iCs/>
          <w:lang w:val="es-ES" w:eastAsia="es-ES"/>
        </w:rPr>
        <w:t>Realizar un ejercicio práctico inicial con el equipo del sitio clínico, en cómo identificar, registrar y reportar todos los eventos adversos que puedan ocurrir.</w:t>
      </w:r>
    </w:p>
    <w:p w14:paraId="18577764" w14:textId="77777777" w:rsidR="0038627D" w:rsidRPr="0038627D" w:rsidRDefault="0038627D" w:rsidP="0038627D">
      <w:pPr>
        <w:numPr>
          <w:ilvl w:val="0"/>
          <w:numId w:val="3"/>
        </w:numPr>
        <w:tabs>
          <w:tab w:val="left" w:pos="680"/>
        </w:tabs>
        <w:spacing w:line="360" w:lineRule="auto"/>
        <w:ind w:left="284" w:hanging="284"/>
        <w:contextualSpacing/>
        <w:jc w:val="both"/>
        <w:rPr>
          <w:i/>
          <w:iCs/>
          <w:lang w:val="es-ES" w:eastAsia="es-ES"/>
        </w:rPr>
      </w:pPr>
      <w:r w:rsidRPr="0038627D">
        <w:rPr>
          <w:i/>
          <w:iCs/>
          <w:lang w:val="es-ES" w:eastAsia="es-ES"/>
        </w:rPr>
        <w:t>Verificar que el comité de ética de la investigación, antes del inicio del ensayo, domina cómo realizar y demostrar un correcto seguimiento del ensayo.</w:t>
      </w:r>
    </w:p>
    <w:p w14:paraId="6E8BE2EF" w14:textId="77777777" w:rsidR="0038627D" w:rsidRPr="0038627D" w:rsidRDefault="0038627D" w:rsidP="0038627D">
      <w:pPr>
        <w:numPr>
          <w:ilvl w:val="0"/>
          <w:numId w:val="3"/>
        </w:numPr>
        <w:tabs>
          <w:tab w:val="left" w:pos="680"/>
        </w:tabs>
        <w:spacing w:line="360" w:lineRule="auto"/>
        <w:ind w:left="284" w:hanging="284"/>
        <w:contextualSpacing/>
        <w:jc w:val="both"/>
        <w:rPr>
          <w:i/>
          <w:iCs/>
          <w:lang w:val="es-ES" w:eastAsia="es-ES"/>
        </w:rPr>
      </w:pPr>
      <w:r w:rsidRPr="0038627D">
        <w:rPr>
          <w:i/>
          <w:iCs/>
          <w:lang w:val="es-ES" w:eastAsia="es-ES"/>
        </w:rPr>
        <w:t>Confirmar, posterior a la capacitación, que el investigador principal o responsable, antes del inicio del ensayo, comprende sus responsabilidades.</w:t>
      </w:r>
    </w:p>
    <w:p w14:paraId="078DE017" w14:textId="77777777" w:rsidR="0038627D" w:rsidRPr="0038627D" w:rsidRDefault="0038627D" w:rsidP="00386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i/>
          <w:iCs/>
          <w:lang w:val="es-ES" w:eastAsia="es-ES"/>
        </w:rPr>
      </w:pPr>
    </w:p>
    <w:p w14:paraId="68DA902B" w14:textId="77777777" w:rsidR="0038627D" w:rsidRPr="0038627D" w:rsidRDefault="0038627D" w:rsidP="0038627D">
      <w:pPr>
        <w:spacing w:line="360" w:lineRule="auto"/>
        <w:jc w:val="both"/>
        <w:rPr>
          <w:rFonts w:ascii="Arial" w:hAnsi="Arial" w:cs="Arial"/>
          <w:i/>
          <w:iCs/>
          <w:sz w:val="20"/>
          <w:szCs w:val="20"/>
          <w:lang w:val="es-CU" w:eastAsia="es-ES"/>
        </w:rPr>
      </w:pPr>
      <w:r w:rsidRPr="0038627D">
        <w:rPr>
          <w:i/>
          <w:iCs/>
          <w:lang w:val="es-ES" w:eastAsia="es-ES"/>
        </w:rPr>
        <w:lastRenderedPageBreak/>
        <w:t>La aplicación de estas recomendaciones permitirá trabajar con un enfoque de riesgo, que conlleva mejor gestión de los procesos, se traduce en mayor eficiencia y calidad, las cuales, en situaciones de emergencia, son vitales para los ensayos clínicos</w:t>
      </w:r>
      <w:r w:rsidRPr="0038627D">
        <w:rPr>
          <w:rFonts w:ascii="Arial" w:hAnsi="Arial" w:cs="Arial"/>
          <w:i/>
          <w:iCs/>
          <w:sz w:val="20"/>
          <w:szCs w:val="20"/>
          <w:lang w:val="es-CU" w:eastAsia="es-ES"/>
        </w:rPr>
        <w:t>.</w:t>
      </w:r>
    </w:p>
    <w:p w14:paraId="23D9BC35" w14:textId="77777777" w:rsidR="0038627D" w:rsidRPr="0038627D" w:rsidRDefault="0038627D" w:rsidP="0038627D">
      <w:pPr>
        <w:tabs>
          <w:tab w:val="left" w:pos="340"/>
          <w:tab w:val="left" w:pos="680"/>
        </w:tabs>
        <w:spacing w:line="360" w:lineRule="auto"/>
        <w:ind w:right="-426" w:firstLine="227"/>
        <w:jc w:val="both"/>
        <w:rPr>
          <w:rFonts w:eastAsia="Batang"/>
          <w:b/>
          <w:sz w:val="20"/>
          <w:szCs w:val="20"/>
          <w:lang w:val="es-CU" w:eastAsia="de-DE"/>
        </w:rPr>
      </w:pPr>
    </w:p>
    <w:p w14:paraId="7315F705" w14:textId="77777777" w:rsidR="0038627D" w:rsidRPr="0038627D" w:rsidRDefault="0038627D" w:rsidP="0038627D">
      <w:pPr>
        <w:spacing w:line="360" w:lineRule="auto"/>
        <w:jc w:val="right"/>
        <w:rPr>
          <w:rFonts w:eastAsia="Calibri"/>
          <w:lang w:val="es-CU" w:eastAsia="en-US"/>
        </w:rPr>
      </w:pPr>
    </w:p>
    <w:p w14:paraId="2CB27CBE" w14:textId="77777777" w:rsidR="0038627D" w:rsidRPr="0038627D" w:rsidRDefault="0038627D" w:rsidP="0038627D">
      <w:pPr>
        <w:spacing w:line="360" w:lineRule="auto"/>
        <w:jc w:val="right"/>
        <w:rPr>
          <w:rFonts w:eastAsia="Calibri"/>
          <w:lang w:val="es-CU" w:eastAsia="en-US"/>
        </w:rPr>
      </w:pPr>
      <w:r w:rsidRPr="0038627D">
        <w:rPr>
          <w:rFonts w:eastAsia="Calibri"/>
          <w:lang w:val="es-CU" w:eastAsia="en-US"/>
        </w:rPr>
        <w:t xml:space="preserve">Sandra Álvarez </w:t>
      </w:r>
      <w:proofErr w:type="spellStart"/>
      <w:r w:rsidRPr="0038627D">
        <w:rPr>
          <w:rFonts w:eastAsia="Calibri"/>
          <w:lang w:val="es-CU" w:eastAsia="en-US"/>
        </w:rPr>
        <w:t>Guerra</w:t>
      </w:r>
      <w:r w:rsidRPr="0038627D">
        <w:rPr>
          <w:rFonts w:eastAsia="Calibri"/>
          <w:vertAlign w:val="superscript"/>
          <w:lang w:val="es-CU" w:eastAsia="en-US"/>
        </w:rPr>
        <w:t>1</w:t>
      </w:r>
      <w:proofErr w:type="spellEnd"/>
      <w:r w:rsidRPr="0038627D">
        <w:rPr>
          <w:rFonts w:eastAsia="Calibri"/>
          <w:lang w:val="es-CU" w:eastAsia="en-US"/>
        </w:rPr>
        <w:t xml:space="preserve">* </w:t>
      </w:r>
      <w:hyperlink r:id="rId7" w:history="1">
        <w:r w:rsidRPr="0038627D">
          <w:rPr>
            <w:rFonts w:eastAsia="Calibri"/>
            <w:color w:val="0563C1"/>
            <w:lang w:val="es-CU" w:eastAsia="en-US"/>
          </w:rPr>
          <w:t>https://orcid.org/0000-0002-4641-5557</w:t>
        </w:r>
      </w:hyperlink>
      <w:r w:rsidRPr="0038627D">
        <w:rPr>
          <w:rFonts w:eastAsia="Calibri"/>
          <w:lang w:val="es-CU" w:eastAsia="en-US"/>
        </w:rPr>
        <w:t xml:space="preserve">  </w:t>
      </w:r>
    </w:p>
    <w:p w14:paraId="56685DAA" w14:textId="77777777" w:rsidR="0038627D" w:rsidRPr="0038627D" w:rsidRDefault="0038627D" w:rsidP="0038627D">
      <w:pPr>
        <w:spacing w:line="360" w:lineRule="auto"/>
        <w:jc w:val="right"/>
        <w:rPr>
          <w:rFonts w:eastAsia="Calibri"/>
          <w:lang w:val="es-CU" w:eastAsia="en-US"/>
        </w:rPr>
      </w:pPr>
      <w:proofErr w:type="spellStart"/>
      <w:r w:rsidRPr="0038627D">
        <w:rPr>
          <w:rFonts w:eastAsia="Calibri"/>
          <w:lang w:val="es-CU" w:eastAsia="en-US"/>
        </w:rPr>
        <w:t>Zoe</w:t>
      </w:r>
      <w:proofErr w:type="spellEnd"/>
      <w:r w:rsidRPr="0038627D">
        <w:rPr>
          <w:rFonts w:eastAsia="Calibri"/>
          <w:lang w:val="es-CU" w:eastAsia="en-US"/>
        </w:rPr>
        <w:t xml:space="preserve"> González </w:t>
      </w:r>
      <w:proofErr w:type="spellStart"/>
      <w:r w:rsidRPr="0038627D">
        <w:rPr>
          <w:rFonts w:eastAsia="Calibri"/>
          <w:lang w:val="es-CU" w:eastAsia="en-US"/>
        </w:rPr>
        <w:t>Hernández</w:t>
      </w:r>
      <w:r w:rsidRPr="0038627D">
        <w:rPr>
          <w:rFonts w:eastAsia="Calibri"/>
          <w:vertAlign w:val="superscript"/>
          <w:lang w:val="es-CU" w:eastAsia="en-US"/>
        </w:rPr>
        <w:t>1</w:t>
      </w:r>
      <w:proofErr w:type="spellEnd"/>
      <w:r w:rsidRPr="0038627D">
        <w:rPr>
          <w:rFonts w:eastAsia="Calibri"/>
          <w:lang w:val="es-CU" w:eastAsia="en-US"/>
        </w:rPr>
        <w:t xml:space="preserve"> </w:t>
      </w:r>
      <w:hyperlink r:id="rId8" w:history="1">
        <w:r w:rsidRPr="0038627D">
          <w:rPr>
            <w:rFonts w:eastAsia="Calibri"/>
            <w:color w:val="0563C1"/>
            <w:lang w:val="es-CU" w:eastAsia="en-US"/>
          </w:rPr>
          <w:t>https://orcid.org/0009-0003-2766-3509</w:t>
        </w:r>
      </w:hyperlink>
      <w:r w:rsidRPr="0038627D">
        <w:rPr>
          <w:rFonts w:eastAsia="Calibri"/>
          <w:lang w:val="es-CU" w:eastAsia="en-US"/>
        </w:rPr>
        <w:t xml:space="preserve"> </w:t>
      </w:r>
    </w:p>
    <w:p w14:paraId="7CDE1806" w14:textId="77777777" w:rsidR="0038627D" w:rsidRPr="0038627D" w:rsidRDefault="0038627D" w:rsidP="0038627D">
      <w:pPr>
        <w:spacing w:line="360" w:lineRule="auto"/>
        <w:jc w:val="right"/>
        <w:rPr>
          <w:rFonts w:eastAsia="Batang"/>
          <w:lang w:val="es-CU" w:eastAsia="de-DE"/>
        </w:rPr>
      </w:pPr>
      <w:r w:rsidRPr="0038627D">
        <w:rPr>
          <w:rFonts w:eastAsia="Calibri"/>
          <w:lang w:val="es-CU" w:eastAsia="en-US"/>
        </w:rPr>
        <w:t xml:space="preserve">Lilia </w:t>
      </w:r>
      <w:proofErr w:type="spellStart"/>
      <w:r w:rsidRPr="0038627D">
        <w:rPr>
          <w:rFonts w:eastAsia="Calibri"/>
          <w:lang w:val="es-CU" w:eastAsia="en-US"/>
        </w:rPr>
        <w:t>Saborido</w:t>
      </w:r>
      <w:proofErr w:type="spellEnd"/>
      <w:r w:rsidRPr="0038627D">
        <w:rPr>
          <w:rFonts w:eastAsia="Calibri"/>
          <w:lang w:val="es-CU" w:eastAsia="en-US"/>
        </w:rPr>
        <w:t xml:space="preserve"> </w:t>
      </w:r>
      <w:proofErr w:type="spellStart"/>
      <w:r w:rsidRPr="0038627D">
        <w:rPr>
          <w:rFonts w:eastAsia="Calibri"/>
          <w:lang w:val="es-CU" w:eastAsia="en-US"/>
        </w:rPr>
        <w:t>Martín</w:t>
      </w:r>
      <w:r w:rsidRPr="0038627D">
        <w:rPr>
          <w:rFonts w:eastAsia="Calibri"/>
          <w:vertAlign w:val="superscript"/>
          <w:lang w:val="es-CU" w:eastAsia="en-US"/>
        </w:rPr>
        <w:t>1</w:t>
      </w:r>
      <w:proofErr w:type="spellEnd"/>
      <w:r w:rsidRPr="0038627D">
        <w:rPr>
          <w:rFonts w:eastAsia="Calibri"/>
          <w:vertAlign w:val="superscript"/>
          <w:lang w:val="es-CU" w:eastAsia="en-US"/>
        </w:rPr>
        <w:t xml:space="preserve"> </w:t>
      </w:r>
      <w:hyperlink r:id="rId9" w:history="1">
        <w:r w:rsidRPr="0038627D">
          <w:rPr>
            <w:rFonts w:eastAsia="Batang"/>
            <w:color w:val="0563C1"/>
            <w:lang w:val="es-CU" w:eastAsia="de-DE"/>
          </w:rPr>
          <w:t>https://orcid.org/0009-0006-6183-270X</w:t>
        </w:r>
      </w:hyperlink>
      <w:r w:rsidRPr="0038627D">
        <w:rPr>
          <w:rFonts w:eastAsia="Batang"/>
          <w:lang w:val="es-CU" w:eastAsia="de-DE"/>
        </w:rPr>
        <w:t xml:space="preserve"> </w:t>
      </w:r>
    </w:p>
    <w:p w14:paraId="6F4C9324" w14:textId="77777777" w:rsidR="0038627D" w:rsidRPr="0038627D" w:rsidRDefault="0038627D" w:rsidP="0038627D">
      <w:pPr>
        <w:spacing w:line="360" w:lineRule="auto"/>
        <w:jc w:val="right"/>
        <w:rPr>
          <w:rFonts w:eastAsia="Calibri"/>
          <w:lang w:val="es-CU" w:eastAsia="en-US"/>
        </w:rPr>
      </w:pPr>
      <w:r w:rsidRPr="0038627D">
        <w:rPr>
          <w:rFonts w:eastAsia="Calibri"/>
          <w:lang w:val="es-CU" w:eastAsia="en-US"/>
        </w:rPr>
        <w:t xml:space="preserve">Julián Rodríguez </w:t>
      </w:r>
      <w:proofErr w:type="spellStart"/>
      <w:r w:rsidRPr="0038627D">
        <w:rPr>
          <w:rFonts w:eastAsia="Calibri"/>
          <w:lang w:val="es-CU" w:eastAsia="en-US"/>
        </w:rPr>
        <w:t>Alvarez</w:t>
      </w:r>
      <w:r w:rsidRPr="0038627D">
        <w:rPr>
          <w:rFonts w:eastAsia="Calibri"/>
          <w:vertAlign w:val="superscript"/>
          <w:lang w:val="es-CU" w:eastAsia="en-US"/>
        </w:rPr>
        <w:t>1</w:t>
      </w:r>
      <w:proofErr w:type="spellEnd"/>
      <w:r w:rsidRPr="0038627D">
        <w:rPr>
          <w:rFonts w:eastAsia="Calibri"/>
          <w:vertAlign w:val="superscript"/>
          <w:lang w:val="es-CU" w:eastAsia="en-US"/>
        </w:rPr>
        <w:t xml:space="preserve"> </w:t>
      </w:r>
      <w:hyperlink r:id="rId10" w:history="1">
        <w:r w:rsidRPr="0038627D">
          <w:rPr>
            <w:rFonts w:eastAsia="Calibri"/>
            <w:color w:val="0563C1"/>
            <w:lang w:val="es-CU" w:eastAsia="en-US"/>
          </w:rPr>
          <w:t>https://orcid.org/0000-0003-3548-153X</w:t>
        </w:r>
      </w:hyperlink>
    </w:p>
    <w:p w14:paraId="67B5BABF" w14:textId="77777777" w:rsidR="0038627D" w:rsidRPr="0038627D" w:rsidRDefault="0038627D" w:rsidP="0038627D">
      <w:pPr>
        <w:spacing w:line="360" w:lineRule="auto"/>
        <w:jc w:val="right"/>
        <w:rPr>
          <w:rFonts w:eastAsia="Calibri"/>
          <w:lang w:val="es-CU" w:eastAsia="en-US"/>
        </w:rPr>
      </w:pPr>
      <w:r w:rsidRPr="0038627D">
        <w:rPr>
          <w:rFonts w:eastAsia="Batang"/>
          <w:lang w:val="es-CU" w:eastAsia="de-DE"/>
        </w:rPr>
        <w:t xml:space="preserve"> </w:t>
      </w:r>
    </w:p>
    <w:p w14:paraId="41CA162A" w14:textId="77777777" w:rsidR="0038627D" w:rsidRPr="0038627D" w:rsidRDefault="0038627D" w:rsidP="0038627D">
      <w:pPr>
        <w:spacing w:line="360" w:lineRule="auto"/>
        <w:jc w:val="right"/>
        <w:rPr>
          <w:rFonts w:eastAsia="Calibri"/>
          <w:lang w:val="es-ES" w:eastAsia="en-US"/>
        </w:rPr>
      </w:pPr>
      <w:proofErr w:type="spellStart"/>
      <w:r w:rsidRPr="0038627D">
        <w:rPr>
          <w:rFonts w:eastAsia="Calibri"/>
          <w:vertAlign w:val="superscript"/>
          <w:lang w:val="es-ES" w:eastAsia="en-US"/>
        </w:rPr>
        <w:t>1</w:t>
      </w:r>
      <w:r w:rsidRPr="0038627D">
        <w:rPr>
          <w:rFonts w:eastAsia="Calibri"/>
          <w:lang w:val="es-ES" w:eastAsia="en-US"/>
        </w:rPr>
        <w:t>Centro</w:t>
      </w:r>
      <w:proofErr w:type="spellEnd"/>
      <w:r w:rsidRPr="0038627D">
        <w:rPr>
          <w:rFonts w:eastAsia="Calibri"/>
          <w:lang w:val="es-ES" w:eastAsia="en-US"/>
        </w:rPr>
        <w:t xml:space="preserve"> Nacional Coordinador de Ensayos Clínicos. La Habana, Cuba.</w:t>
      </w:r>
    </w:p>
    <w:p w14:paraId="00C12EDD" w14:textId="77777777" w:rsidR="0038627D" w:rsidRPr="0038627D" w:rsidRDefault="0038627D" w:rsidP="0038627D">
      <w:pPr>
        <w:tabs>
          <w:tab w:val="left" w:pos="340"/>
          <w:tab w:val="left" w:pos="680"/>
        </w:tabs>
        <w:spacing w:line="360" w:lineRule="auto"/>
        <w:ind w:left="360"/>
        <w:jc w:val="right"/>
        <w:rPr>
          <w:rFonts w:eastAsia="Batang"/>
          <w:sz w:val="20"/>
          <w:szCs w:val="20"/>
          <w:lang w:val="es-CU" w:eastAsia="de-DE"/>
        </w:rPr>
      </w:pPr>
    </w:p>
    <w:p w14:paraId="0E2F9374" w14:textId="77777777" w:rsidR="0038627D" w:rsidRPr="0038627D" w:rsidRDefault="0038627D" w:rsidP="0038627D">
      <w:pPr>
        <w:tabs>
          <w:tab w:val="left" w:pos="340"/>
          <w:tab w:val="left" w:pos="680"/>
        </w:tabs>
        <w:spacing w:line="360" w:lineRule="auto"/>
        <w:ind w:left="360"/>
        <w:jc w:val="right"/>
        <w:rPr>
          <w:rFonts w:eastAsia="Calibri"/>
          <w:lang w:val="es-ES" w:eastAsia="en-US"/>
        </w:rPr>
      </w:pPr>
      <w:r w:rsidRPr="0038627D">
        <w:rPr>
          <w:rFonts w:eastAsia="Calibri"/>
          <w:lang w:val="es-ES" w:eastAsia="en-US"/>
        </w:rPr>
        <w:t xml:space="preserve">*Autor para la correspondencia: </w:t>
      </w:r>
      <w:hyperlink r:id="rId11" w:history="1">
        <w:r w:rsidRPr="0038627D">
          <w:rPr>
            <w:rFonts w:eastAsia="Calibri"/>
            <w:color w:val="0563C1"/>
            <w:lang w:val="es-ES" w:eastAsia="en-US"/>
          </w:rPr>
          <w:t>sandra@cencec.sld.cu</w:t>
        </w:r>
      </w:hyperlink>
      <w:r w:rsidRPr="0038627D">
        <w:rPr>
          <w:rFonts w:eastAsia="Calibri"/>
          <w:lang w:val="es-ES" w:eastAsia="en-US"/>
        </w:rPr>
        <w:t xml:space="preserve"> </w:t>
      </w:r>
    </w:p>
    <w:p w14:paraId="52388156" w14:textId="77777777" w:rsidR="0038627D" w:rsidRPr="0038627D" w:rsidRDefault="0038627D" w:rsidP="0038627D">
      <w:pPr>
        <w:tabs>
          <w:tab w:val="left" w:pos="340"/>
          <w:tab w:val="left" w:pos="680"/>
        </w:tabs>
        <w:spacing w:line="360" w:lineRule="auto"/>
        <w:ind w:right="-426" w:firstLine="227"/>
        <w:jc w:val="both"/>
        <w:rPr>
          <w:rFonts w:eastAsia="Batang"/>
          <w:b/>
          <w:lang w:val="es-ES" w:eastAsia="de-DE"/>
        </w:rPr>
      </w:pPr>
    </w:p>
    <w:p w14:paraId="5CC6AE6C" w14:textId="77777777" w:rsidR="0038627D" w:rsidRPr="0038627D" w:rsidRDefault="0038627D" w:rsidP="0038627D">
      <w:pPr>
        <w:spacing w:line="360" w:lineRule="auto"/>
        <w:ind w:right="-426" w:firstLine="227"/>
        <w:jc w:val="center"/>
        <w:rPr>
          <w:rFonts w:eastAsia="Batang"/>
          <w:b/>
          <w:sz w:val="32"/>
          <w:szCs w:val="32"/>
          <w:lang w:val="es-CU" w:eastAsia="de-DE"/>
        </w:rPr>
      </w:pPr>
    </w:p>
    <w:p w14:paraId="4D1E563A" w14:textId="77777777" w:rsidR="0038627D" w:rsidRPr="0038627D" w:rsidRDefault="0038627D" w:rsidP="0038627D">
      <w:pPr>
        <w:spacing w:line="360" w:lineRule="auto"/>
        <w:ind w:right="-426" w:firstLine="227"/>
        <w:jc w:val="center"/>
        <w:rPr>
          <w:rFonts w:eastAsia="Batang"/>
          <w:b/>
          <w:sz w:val="32"/>
          <w:szCs w:val="32"/>
          <w:lang w:val="es-CU" w:eastAsia="de-DE"/>
        </w:rPr>
      </w:pPr>
      <w:r w:rsidRPr="0038627D">
        <w:rPr>
          <w:rFonts w:eastAsia="Batang"/>
          <w:b/>
          <w:sz w:val="32"/>
          <w:szCs w:val="32"/>
          <w:lang w:val="es-CU" w:eastAsia="de-DE"/>
        </w:rPr>
        <w:t>REFERENCIAS BIBLIOGRÁFICAS</w:t>
      </w:r>
    </w:p>
    <w:p w14:paraId="1FDEC59D" w14:textId="77777777" w:rsidR="0038627D" w:rsidRPr="0038627D" w:rsidRDefault="0038627D" w:rsidP="0038627D">
      <w:pPr>
        <w:spacing w:line="360" w:lineRule="auto"/>
        <w:ind w:right="-426"/>
        <w:rPr>
          <w:rFonts w:eastAsia="Batang"/>
          <w:lang w:val="en-US" w:eastAsia="de-DE"/>
        </w:rPr>
      </w:pPr>
      <w:r w:rsidRPr="0038627D">
        <w:rPr>
          <w:rFonts w:eastAsia="Batang"/>
          <w:lang w:val="es-CU" w:eastAsia="de-DE"/>
        </w:rPr>
        <w:t xml:space="preserve">1. López MA, Rivero </w:t>
      </w:r>
      <w:proofErr w:type="spellStart"/>
      <w:r w:rsidRPr="0038627D">
        <w:rPr>
          <w:rFonts w:eastAsia="Batang"/>
          <w:lang w:val="es-CU" w:eastAsia="de-DE"/>
        </w:rPr>
        <w:t>GJ</w:t>
      </w:r>
      <w:proofErr w:type="spellEnd"/>
      <w:r w:rsidRPr="0038627D">
        <w:rPr>
          <w:rFonts w:eastAsia="Batang"/>
          <w:lang w:val="es-CU" w:eastAsia="de-DE"/>
        </w:rPr>
        <w:t xml:space="preserve">, </w:t>
      </w:r>
      <w:proofErr w:type="spellStart"/>
      <w:r w:rsidRPr="0038627D">
        <w:rPr>
          <w:rFonts w:eastAsia="Batang"/>
          <w:lang w:val="es-CU" w:eastAsia="de-DE"/>
        </w:rPr>
        <w:t>Pombert</w:t>
      </w:r>
      <w:proofErr w:type="spellEnd"/>
      <w:r w:rsidRPr="0038627D">
        <w:rPr>
          <w:rFonts w:eastAsia="Batang"/>
          <w:lang w:val="es-CU" w:eastAsia="de-DE"/>
        </w:rPr>
        <w:t xml:space="preserve"> AT, López MM, Zayas IL. </w:t>
      </w:r>
      <w:r w:rsidRPr="0038627D">
        <w:rPr>
          <w:rFonts w:eastAsia="Batang"/>
          <w:lang w:val="en-US" w:eastAsia="de-DE"/>
        </w:rPr>
        <w:t xml:space="preserve">Cuba's National Clinical Trials Coordinating Center: emergence, evolution, and main results. Translated from the Spanish and reprinted with permission from the </w:t>
      </w:r>
      <w:proofErr w:type="spellStart"/>
      <w:r w:rsidRPr="0038627D">
        <w:rPr>
          <w:rFonts w:eastAsia="Batang"/>
          <w:lang w:val="en-US" w:eastAsia="de-DE"/>
        </w:rPr>
        <w:t>Revista</w:t>
      </w:r>
      <w:proofErr w:type="spellEnd"/>
      <w:r w:rsidRPr="0038627D">
        <w:rPr>
          <w:rFonts w:eastAsia="Batang"/>
          <w:lang w:val="en-US" w:eastAsia="de-DE"/>
        </w:rPr>
        <w:t xml:space="preserve"> Cubana de </w:t>
      </w:r>
      <w:proofErr w:type="spellStart"/>
      <w:r w:rsidRPr="0038627D">
        <w:rPr>
          <w:rFonts w:eastAsia="Batang"/>
          <w:lang w:val="en-US" w:eastAsia="de-DE"/>
        </w:rPr>
        <w:t>Farmacia</w:t>
      </w:r>
      <w:proofErr w:type="spellEnd"/>
      <w:r w:rsidRPr="0038627D">
        <w:rPr>
          <w:rFonts w:eastAsia="Batang"/>
          <w:lang w:val="en-US" w:eastAsia="de-DE"/>
        </w:rPr>
        <w:t xml:space="preserve">. Vol. 44 No. 2 (special supplement), Apr-Jun 2010. </w:t>
      </w:r>
      <w:proofErr w:type="spellStart"/>
      <w:r w:rsidRPr="0038627D">
        <w:rPr>
          <w:rFonts w:eastAsia="Batang"/>
          <w:lang w:val="en-US" w:eastAsia="de-DE"/>
        </w:rPr>
        <w:t>MEDICC</w:t>
      </w:r>
      <w:proofErr w:type="spellEnd"/>
      <w:r w:rsidRPr="0038627D">
        <w:rPr>
          <w:rFonts w:eastAsia="Batang"/>
          <w:lang w:val="en-US" w:eastAsia="de-DE"/>
        </w:rPr>
        <w:t xml:space="preserve"> Review. 2011; 13(1):46-51. DOI: 10.37757/</w:t>
      </w:r>
      <w:proofErr w:type="spellStart"/>
      <w:r w:rsidRPr="0038627D">
        <w:rPr>
          <w:rFonts w:eastAsia="Batang"/>
          <w:lang w:val="en-US" w:eastAsia="de-DE"/>
        </w:rPr>
        <w:t>mr2011v13.n1.10</w:t>
      </w:r>
      <w:proofErr w:type="spellEnd"/>
    </w:p>
    <w:p w14:paraId="404FEA02" w14:textId="77777777" w:rsidR="0038627D" w:rsidRPr="0038627D" w:rsidRDefault="0038627D" w:rsidP="0038627D">
      <w:pPr>
        <w:spacing w:line="360" w:lineRule="auto"/>
        <w:ind w:right="-426"/>
        <w:rPr>
          <w:rFonts w:eastAsia="Batang"/>
          <w:lang w:val="es-CU" w:eastAsia="de-DE"/>
        </w:rPr>
      </w:pPr>
      <w:r w:rsidRPr="0038627D">
        <w:rPr>
          <w:rFonts w:eastAsia="Batang"/>
          <w:lang w:val="es-CU" w:eastAsia="de-DE"/>
        </w:rPr>
        <w:t xml:space="preserve">2. Centro para el Control Estatal de Medicamentos, Equipos y Dispositivos Médicos. Directrices sobre Buenas Prácticas Clínicas en Cuba. La Habana: </w:t>
      </w:r>
      <w:proofErr w:type="spellStart"/>
      <w:r w:rsidRPr="0038627D">
        <w:rPr>
          <w:rFonts w:eastAsia="Batang"/>
          <w:lang w:val="es-CU" w:eastAsia="de-DE"/>
        </w:rPr>
        <w:t>CECMED</w:t>
      </w:r>
      <w:proofErr w:type="spellEnd"/>
      <w:r w:rsidRPr="0038627D">
        <w:rPr>
          <w:rFonts w:eastAsia="Batang"/>
          <w:lang w:val="es-CU" w:eastAsia="de-DE"/>
        </w:rPr>
        <w:t xml:space="preserve">; 2000. [acceso: 25/04/2022]. Disponible en: </w:t>
      </w:r>
      <w:hyperlink r:id="rId12" w:history="1">
        <w:r w:rsidRPr="0038627D">
          <w:rPr>
            <w:rFonts w:eastAsia="Batang"/>
            <w:color w:val="0563C1"/>
            <w:lang w:val="es-CU" w:eastAsia="de-DE"/>
          </w:rPr>
          <w:t>https://www.cecmed.cu/sites/default/files/adjuntos/Reglamentacion/Dir_BPC.pdf</w:t>
        </w:r>
      </w:hyperlink>
      <w:r w:rsidRPr="0038627D">
        <w:rPr>
          <w:rFonts w:eastAsia="Batang"/>
          <w:lang w:val="es-CU" w:eastAsia="de-DE"/>
        </w:rPr>
        <w:t xml:space="preserve"> </w:t>
      </w:r>
    </w:p>
    <w:p w14:paraId="54D11DA0" w14:textId="77777777" w:rsidR="0038627D" w:rsidRPr="0038627D" w:rsidRDefault="0038627D" w:rsidP="0038627D">
      <w:pPr>
        <w:spacing w:line="360" w:lineRule="auto"/>
        <w:ind w:right="-426"/>
        <w:rPr>
          <w:rFonts w:eastAsia="Batang"/>
          <w:color w:val="0563C1"/>
          <w:sz w:val="20"/>
          <w:szCs w:val="20"/>
          <w:lang w:val="es-CU" w:eastAsia="de-DE"/>
        </w:rPr>
      </w:pPr>
      <w:r w:rsidRPr="0038627D">
        <w:rPr>
          <w:rFonts w:eastAsia="Batang"/>
          <w:lang w:val="en-US" w:eastAsia="de-DE"/>
        </w:rPr>
        <w:t xml:space="preserve">3. International Council for </w:t>
      </w:r>
      <w:proofErr w:type="spellStart"/>
      <w:r w:rsidRPr="0038627D">
        <w:rPr>
          <w:rFonts w:eastAsia="Batang"/>
          <w:lang w:val="en-US" w:eastAsia="de-DE"/>
        </w:rPr>
        <w:t>Harmonisation</w:t>
      </w:r>
      <w:proofErr w:type="spellEnd"/>
      <w:r w:rsidRPr="0038627D">
        <w:rPr>
          <w:rFonts w:eastAsia="Batang"/>
          <w:lang w:val="en-US" w:eastAsia="de-DE"/>
        </w:rPr>
        <w:t xml:space="preserve"> </w:t>
      </w:r>
      <w:proofErr w:type="gramStart"/>
      <w:r w:rsidRPr="0038627D">
        <w:rPr>
          <w:rFonts w:eastAsia="Batang"/>
          <w:lang w:val="en-US" w:eastAsia="de-DE"/>
        </w:rPr>
        <w:t>Of</w:t>
      </w:r>
      <w:proofErr w:type="gramEnd"/>
      <w:r w:rsidRPr="0038627D">
        <w:rPr>
          <w:rFonts w:eastAsia="Batang"/>
          <w:lang w:val="en-US" w:eastAsia="de-DE"/>
        </w:rPr>
        <w:t xml:space="preserve"> Technical Requirements for Pharmaceuticals for Human Use (Ich). ICH </w:t>
      </w:r>
      <w:proofErr w:type="spellStart"/>
      <w:r w:rsidRPr="0038627D">
        <w:rPr>
          <w:rFonts w:eastAsia="Batang"/>
          <w:lang w:val="en-US" w:eastAsia="de-DE"/>
        </w:rPr>
        <w:t>Harmonised</w:t>
      </w:r>
      <w:proofErr w:type="spellEnd"/>
      <w:r w:rsidRPr="0038627D">
        <w:rPr>
          <w:rFonts w:eastAsia="Batang"/>
          <w:lang w:val="en-US" w:eastAsia="de-DE"/>
        </w:rPr>
        <w:t xml:space="preserve"> Guideline Integrated Good Clinical Practice </w:t>
      </w:r>
      <w:proofErr w:type="spellStart"/>
      <w:r w:rsidRPr="0038627D">
        <w:rPr>
          <w:rFonts w:eastAsia="Batang"/>
          <w:lang w:val="en-US" w:eastAsia="de-DE"/>
        </w:rPr>
        <w:t>E6</w:t>
      </w:r>
      <w:proofErr w:type="spellEnd"/>
      <w:r w:rsidRPr="0038627D">
        <w:rPr>
          <w:rFonts w:eastAsia="Batang"/>
          <w:lang w:val="en-US" w:eastAsia="de-DE"/>
        </w:rPr>
        <w:t>(</w:t>
      </w:r>
      <w:proofErr w:type="spellStart"/>
      <w:r w:rsidRPr="0038627D">
        <w:rPr>
          <w:rFonts w:eastAsia="Batang"/>
          <w:lang w:val="en-US" w:eastAsia="de-DE"/>
        </w:rPr>
        <w:t>R3</w:t>
      </w:r>
      <w:proofErr w:type="spellEnd"/>
      <w:r w:rsidRPr="0038627D">
        <w:rPr>
          <w:rFonts w:eastAsia="Batang"/>
          <w:lang w:val="en-US" w:eastAsia="de-DE"/>
        </w:rPr>
        <w:t>). Draft version.</w:t>
      </w:r>
      <w:r w:rsidRPr="0038627D">
        <w:rPr>
          <w:rFonts w:ascii="Arial" w:eastAsia="Batang" w:hAnsi="Arial" w:cs="Arial"/>
          <w:sz w:val="20"/>
          <w:szCs w:val="20"/>
          <w:lang w:val="en-US" w:eastAsia="de-DE"/>
        </w:rPr>
        <w:t xml:space="preserve"> </w:t>
      </w:r>
      <w:proofErr w:type="spellStart"/>
      <w:r w:rsidRPr="0038627D">
        <w:rPr>
          <w:rFonts w:eastAsia="Batang"/>
          <w:lang w:val="es-CU" w:eastAsia="de-DE"/>
        </w:rPr>
        <w:t>Brusels</w:t>
      </w:r>
      <w:proofErr w:type="spellEnd"/>
      <w:r w:rsidRPr="0038627D">
        <w:rPr>
          <w:rFonts w:eastAsia="Batang"/>
          <w:lang w:val="es-CU" w:eastAsia="de-DE"/>
        </w:rPr>
        <w:t xml:space="preserve">: </w:t>
      </w:r>
      <w:proofErr w:type="spellStart"/>
      <w:r w:rsidRPr="0038627D">
        <w:rPr>
          <w:rFonts w:eastAsia="Batang"/>
          <w:lang w:val="es-CU" w:eastAsia="de-DE"/>
        </w:rPr>
        <w:t>ICH</w:t>
      </w:r>
      <w:proofErr w:type="spellEnd"/>
      <w:r w:rsidRPr="0038627D">
        <w:rPr>
          <w:rFonts w:eastAsia="Batang"/>
          <w:lang w:val="es-CU" w:eastAsia="de-DE"/>
        </w:rPr>
        <w:t xml:space="preserve">; 2023. [acceso: 19/07/2023]. Disponible en: </w:t>
      </w:r>
      <w:r w:rsidRPr="0038627D">
        <w:rPr>
          <w:rFonts w:eastAsia="Batang"/>
          <w:color w:val="0563C1"/>
          <w:lang w:val="es-CU" w:eastAsia="de-DE"/>
        </w:rPr>
        <w:t>https://database.ich.org/sites/default/files/ICH_E6%28R3%29_DraftGuideline_2023_0519.pdf</w:t>
      </w:r>
      <w:r w:rsidRPr="0038627D">
        <w:rPr>
          <w:rFonts w:eastAsia="Batang"/>
          <w:color w:val="0563C1"/>
          <w:sz w:val="20"/>
          <w:szCs w:val="20"/>
          <w:lang w:val="es-CU" w:eastAsia="de-DE"/>
        </w:rPr>
        <w:t xml:space="preserve">4 </w:t>
      </w:r>
    </w:p>
    <w:p w14:paraId="756A673A" w14:textId="77777777" w:rsidR="0038627D" w:rsidRPr="0038627D" w:rsidRDefault="0038627D" w:rsidP="0038627D">
      <w:pPr>
        <w:spacing w:line="360" w:lineRule="auto"/>
        <w:ind w:right="-426"/>
        <w:rPr>
          <w:rFonts w:eastAsia="Batang"/>
          <w:lang w:val="es-CU" w:eastAsia="de-DE"/>
        </w:rPr>
      </w:pPr>
      <w:r w:rsidRPr="0038627D">
        <w:rPr>
          <w:rFonts w:eastAsia="Batang"/>
          <w:lang w:val="es-CU" w:eastAsia="de-DE"/>
        </w:rPr>
        <w:lastRenderedPageBreak/>
        <w:t>4. Grupo de trabajo en Buenas Prácticas Clínicas (GT/</w:t>
      </w:r>
      <w:proofErr w:type="spellStart"/>
      <w:r w:rsidRPr="0038627D">
        <w:rPr>
          <w:rFonts w:eastAsia="Batang"/>
          <w:lang w:val="es-CU" w:eastAsia="de-DE"/>
        </w:rPr>
        <w:t>BPC</w:t>
      </w:r>
      <w:proofErr w:type="spellEnd"/>
      <w:r w:rsidRPr="0038627D">
        <w:rPr>
          <w:rFonts w:eastAsia="Batang"/>
          <w:lang w:val="es-CU" w:eastAsia="de-DE"/>
        </w:rPr>
        <w:t xml:space="preserve">).  Red </w:t>
      </w:r>
      <w:proofErr w:type="spellStart"/>
      <w:r w:rsidRPr="0038627D">
        <w:rPr>
          <w:rFonts w:eastAsia="Batang"/>
          <w:lang w:val="es-CU" w:eastAsia="de-DE"/>
        </w:rPr>
        <w:t>PARF</w:t>
      </w:r>
      <w:proofErr w:type="spellEnd"/>
      <w:r w:rsidRPr="0038627D">
        <w:rPr>
          <w:rFonts w:eastAsia="Batang"/>
          <w:lang w:val="es-CU" w:eastAsia="de-DE"/>
        </w:rPr>
        <w:t xml:space="preserve">. Buenas Prácticas Clínicas: documento de las Américas. Washington: </w:t>
      </w:r>
      <w:proofErr w:type="spellStart"/>
      <w:r w:rsidRPr="0038627D">
        <w:rPr>
          <w:rFonts w:eastAsia="Batang"/>
          <w:lang w:val="es-CU" w:eastAsia="de-DE"/>
        </w:rPr>
        <w:t>OPS</w:t>
      </w:r>
      <w:proofErr w:type="spellEnd"/>
      <w:r w:rsidRPr="0038627D">
        <w:rPr>
          <w:rFonts w:eastAsia="Batang"/>
          <w:lang w:val="es-CU" w:eastAsia="de-DE"/>
        </w:rPr>
        <w:t xml:space="preserve">; 2005. [acceso: 28/06/2023]. Disponible en: </w:t>
      </w:r>
      <w:hyperlink r:id="rId13" w:history="1">
        <w:r w:rsidRPr="0038627D">
          <w:rPr>
            <w:rFonts w:eastAsia="Batang"/>
            <w:color w:val="0563C1"/>
            <w:lang w:val="es-CU" w:eastAsia="de-DE"/>
          </w:rPr>
          <w:t>https://www3.paho.org/spanish/ad/ths/ev/BPC-doct-esp.doc</w:t>
        </w:r>
      </w:hyperlink>
      <w:r w:rsidRPr="0038627D">
        <w:rPr>
          <w:rFonts w:eastAsia="Batang"/>
          <w:lang w:val="es-CU" w:eastAsia="de-DE"/>
        </w:rPr>
        <w:t xml:space="preserve"> </w:t>
      </w:r>
    </w:p>
    <w:p w14:paraId="0E070FB0" w14:textId="77777777" w:rsidR="0038627D" w:rsidRPr="0038627D" w:rsidRDefault="0038627D" w:rsidP="0038627D">
      <w:pPr>
        <w:spacing w:line="360" w:lineRule="auto"/>
        <w:ind w:right="-426"/>
        <w:rPr>
          <w:rFonts w:eastAsia="Batang"/>
          <w:lang w:val="es-CU" w:eastAsia="de-DE"/>
        </w:rPr>
      </w:pPr>
      <w:r w:rsidRPr="0038627D">
        <w:rPr>
          <w:rFonts w:eastAsia="Batang"/>
          <w:lang w:val="es-CU" w:eastAsia="de-DE"/>
        </w:rPr>
        <w:t xml:space="preserve">5. Casal, Armando M. Importancia creciente de la auditoría interna y desafíos ante la crisis de COVID-19. Buenos Aires: Editorial </w:t>
      </w:r>
      <w:proofErr w:type="spellStart"/>
      <w:r w:rsidRPr="0038627D">
        <w:rPr>
          <w:rFonts w:eastAsia="Batang"/>
          <w:lang w:val="es-CU" w:eastAsia="de-DE"/>
        </w:rPr>
        <w:t>Errepar</w:t>
      </w:r>
      <w:proofErr w:type="spellEnd"/>
      <w:r w:rsidRPr="0038627D">
        <w:rPr>
          <w:rFonts w:eastAsia="Batang"/>
          <w:lang w:val="es-CU" w:eastAsia="de-DE"/>
        </w:rPr>
        <w:t xml:space="preserve">; 2021. [acceso: 28/06/2023]. Disponible en: </w:t>
      </w:r>
      <w:hyperlink r:id="rId14" w:history="1">
        <w:r w:rsidRPr="0038627D">
          <w:rPr>
            <w:rFonts w:eastAsia="Batang"/>
            <w:color w:val="0563C1"/>
            <w:lang w:val="es-CU" w:eastAsia="de-DE"/>
          </w:rPr>
          <w:t>https://www.consejosalta.org.ar/wp-content/uploads/IMPORTANCIA-CRECIENTE-DE-LA-AUDITORA%C2%8DA-INTERNA-Y-DESAFA%C2%8DOS-ANTE-LA-CRISIS-DE-COVID-19.pdf</w:t>
        </w:r>
      </w:hyperlink>
      <w:r w:rsidRPr="0038627D">
        <w:rPr>
          <w:rFonts w:eastAsia="Batang"/>
          <w:lang w:val="es-CU" w:eastAsia="de-DE"/>
        </w:rPr>
        <w:t xml:space="preserve"> </w:t>
      </w:r>
    </w:p>
    <w:p w14:paraId="2D0CCC28" w14:textId="77777777" w:rsidR="00675476" w:rsidRPr="0055115D" w:rsidRDefault="00675476" w:rsidP="00EA1FEF">
      <w:pPr>
        <w:pStyle w:val="PDFRevista"/>
      </w:pPr>
    </w:p>
    <w:sectPr w:rsidR="00675476" w:rsidRPr="0055115D" w:rsidSect="00FD3DF8">
      <w:headerReference w:type="default" r:id="rId15"/>
      <w:footerReference w:type="even" r:id="rId16"/>
      <w:footerReference w:type="default" r:id="rId17"/>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AD29F" w14:textId="77777777" w:rsidR="00707602" w:rsidRDefault="00707602">
      <w:r>
        <w:separator/>
      </w:r>
    </w:p>
  </w:endnote>
  <w:endnote w:type="continuationSeparator" w:id="0">
    <w:p w14:paraId="046EE5FF" w14:textId="77777777" w:rsidR="00707602" w:rsidRDefault="00707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D076A"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F724C98"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33B1A" w14:textId="7C2CA831" w:rsidR="000F3690" w:rsidRPr="00AE044C" w:rsidRDefault="0038627D"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101E5FC6" wp14:editId="03F22972">
              <wp:simplePos x="0" y="0"/>
              <wp:positionH relativeFrom="column">
                <wp:posOffset>3810</wp:posOffset>
              </wp:positionH>
              <wp:positionV relativeFrom="paragraph">
                <wp:posOffset>50165</wp:posOffset>
              </wp:positionV>
              <wp:extent cx="6286500" cy="19050"/>
              <wp:effectExtent l="19050" t="19050" r="0" b="0"/>
              <wp:wrapNone/>
              <wp:docPr id="19935958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6CB18E8"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3C5F1688"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26F04131" w14:textId="77777777" w:rsidR="00391509" w:rsidRPr="00AE044C" w:rsidRDefault="00000000"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6A01A9D9" w14:textId="045E3128"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38627D" w:rsidRPr="0038627D">
      <w:rPr>
        <w:rFonts w:ascii="Verdana" w:hAnsi="Verdana"/>
        <w:noProof/>
        <w:sz w:val="18"/>
        <w:szCs w:val="18"/>
        <w:lang w:val="en-US" w:eastAsia="en-US"/>
      </w:rPr>
      <w:drawing>
        <wp:inline distT="0" distB="0" distL="0" distR="0" wp14:anchorId="784CEA6B" wp14:editId="61CCAEE3">
          <wp:extent cx="641350" cy="14986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1350" cy="1498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2BE5B" w14:textId="77777777" w:rsidR="00707602" w:rsidRDefault="00707602">
      <w:r>
        <w:separator/>
      </w:r>
    </w:p>
  </w:footnote>
  <w:footnote w:type="continuationSeparator" w:id="0">
    <w:p w14:paraId="72C71FDD" w14:textId="77777777" w:rsidR="00707602" w:rsidRDefault="00707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E99BC" w14:textId="7CE1687A" w:rsidR="00CC376A" w:rsidRPr="00AE044C" w:rsidRDefault="0038627D"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3</w:t>
    </w:r>
    <w:r w:rsidR="007D2D0C" w:rsidRPr="00AE044C">
      <w:rPr>
        <w:sz w:val="22"/>
        <w:szCs w:val="22"/>
      </w:rPr>
      <w:t>):</w:t>
    </w:r>
    <w:r>
      <w:rPr>
        <w:sz w:val="22"/>
        <w:szCs w:val="22"/>
      </w:rPr>
      <w:t>14204</w:t>
    </w:r>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7F74913E" wp14:editId="6FD942B7">
          <wp:simplePos x="0" y="0"/>
          <wp:positionH relativeFrom="column">
            <wp:posOffset>2540</wp:posOffset>
          </wp:positionH>
          <wp:positionV relativeFrom="paragraph">
            <wp:posOffset>-598805</wp:posOffset>
          </wp:positionV>
          <wp:extent cx="6333490" cy="593725"/>
          <wp:effectExtent l="0" t="0" r="0" b="0"/>
          <wp:wrapNone/>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7C7825" w14:textId="3FA12499" w:rsidR="00A477DE" w:rsidRDefault="0038627D">
    <w:r>
      <w:rPr>
        <w:noProof/>
      </w:rPr>
      <mc:AlternateContent>
        <mc:Choice Requires="wps">
          <w:drawing>
            <wp:anchor distT="0" distB="0" distL="114300" distR="114300" simplePos="0" relativeHeight="251654144" behindDoc="0" locked="0" layoutInCell="1" allowOverlap="1" wp14:anchorId="35F4EC6A" wp14:editId="6E11E593">
              <wp:simplePos x="0" y="0"/>
              <wp:positionH relativeFrom="column">
                <wp:posOffset>635</wp:posOffset>
              </wp:positionH>
              <wp:positionV relativeFrom="paragraph">
                <wp:posOffset>42545</wp:posOffset>
              </wp:positionV>
              <wp:extent cx="6307455" cy="28575"/>
              <wp:effectExtent l="19050" t="19050" r="17145" b="9525"/>
              <wp:wrapNone/>
              <wp:docPr id="674298011"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30979A4"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7DDE"/>
    <w:multiLevelType w:val="hybridMultilevel"/>
    <w:tmpl w:val="9EC8CFA4"/>
    <w:lvl w:ilvl="0" w:tplc="5C0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7F23357B"/>
    <w:multiLevelType w:val="hybridMultilevel"/>
    <w:tmpl w:val="F4DC446C"/>
    <w:lvl w:ilvl="0" w:tplc="5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0291865">
    <w:abstractNumId w:val="1"/>
  </w:num>
  <w:num w:numId="2" w16cid:durableId="1375738653">
    <w:abstractNumId w:val="0"/>
  </w:num>
  <w:num w:numId="3" w16cid:durableId="1582107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27D"/>
    <w:rsid w:val="00057F45"/>
    <w:rsid w:val="000D3958"/>
    <w:rsid w:val="000F3690"/>
    <w:rsid w:val="001221D1"/>
    <w:rsid w:val="00165CB5"/>
    <w:rsid w:val="00180CE9"/>
    <w:rsid w:val="00230DD5"/>
    <w:rsid w:val="00250AE9"/>
    <w:rsid w:val="0030478E"/>
    <w:rsid w:val="00380D64"/>
    <w:rsid w:val="0038627D"/>
    <w:rsid w:val="00391509"/>
    <w:rsid w:val="003E03D5"/>
    <w:rsid w:val="00486BFA"/>
    <w:rsid w:val="00493701"/>
    <w:rsid w:val="004E2065"/>
    <w:rsid w:val="005508A2"/>
    <w:rsid w:val="0055115D"/>
    <w:rsid w:val="00566F71"/>
    <w:rsid w:val="005918BD"/>
    <w:rsid w:val="006173A6"/>
    <w:rsid w:val="00675476"/>
    <w:rsid w:val="00707602"/>
    <w:rsid w:val="007C430F"/>
    <w:rsid w:val="007D2D0C"/>
    <w:rsid w:val="007D614D"/>
    <w:rsid w:val="00915D3C"/>
    <w:rsid w:val="00960D6A"/>
    <w:rsid w:val="009A0560"/>
    <w:rsid w:val="009B0917"/>
    <w:rsid w:val="009D2215"/>
    <w:rsid w:val="009F0F96"/>
    <w:rsid w:val="00A23C0C"/>
    <w:rsid w:val="00A477DE"/>
    <w:rsid w:val="00A66186"/>
    <w:rsid w:val="00A71E65"/>
    <w:rsid w:val="00AE044C"/>
    <w:rsid w:val="00B31971"/>
    <w:rsid w:val="00B4380A"/>
    <w:rsid w:val="00B66ECB"/>
    <w:rsid w:val="00C7523A"/>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5F5AE9"/>
  <w15:docId w15:val="{D2AF525D-57C1-4A0D-A685-F0F25F356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uiPriority w:val="99"/>
    <w:semiHidden/>
    <w:unhideWhenUsed/>
    <w:rsid w:val="00A66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3-2766-3509" TargetMode="External"/><Relationship Id="rId13" Type="http://schemas.openxmlformats.org/officeDocument/2006/relationships/hyperlink" Target="https://www3.paho.org/spanish/ad/ths/ev/BPC-doct-esp.do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0000-0002-4641-5557" TargetMode="External"/><Relationship Id="rId12" Type="http://schemas.openxmlformats.org/officeDocument/2006/relationships/hyperlink" Target="https://www.cecmed.cu/sites/default/files/adjuntos/Reglamentacion/Dir_BPC.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ndra@cencec.sld.c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orcid.org/0000-0003-3548-153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cid.org/0009-0006-6183-270X" TargetMode="External"/><Relationship Id="rId14" Type="http://schemas.openxmlformats.org/officeDocument/2006/relationships/hyperlink" Target="https://www.consejosalta.org.ar/wp-content/uploads/IMPORTANCIA-CRECIENTE-DE-LA-AUDITORA%C2%8DA-INTERNA-Y-DESAFA%C2%8DOS-ANTE-LA-CRISIS-DE-COVID-19.pdf"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20</TotalTime>
  <Pages>4</Pages>
  <Words>1020</Words>
  <Characters>5817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6824</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3</cp:revision>
  <cp:lastPrinted>2023-07-20T19:20:00Z</cp:lastPrinted>
  <dcterms:created xsi:type="dcterms:W3CDTF">2023-07-20T19:01:00Z</dcterms:created>
  <dcterms:modified xsi:type="dcterms:W3CDTF">2023-07-20T19:21:00Z</dcterms:modified>
</cp:coreProperties>
</file>