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61D4C" w14:textId="77777777" w:rsidR="00903B01" w:rsidRPr="00903B01" w:rsidRDefault="00903B01" w:rsidP="00903B01">
      <w:pPr>
        <w:suppressAutoHyphens/>
        <w:autoSpaceDN w:val="0"/>
        <w:spacing w:line="360" w:lineRule="auto"/>
        <w:jc w:val="right"/>
        <w:textAlignment w:val="baseline"/>
        <w:rPr>
          <w:rFonts w:eastAsia="Calibri"/>
          <w:color w:val="000000"/>
          <w:sz w:val="20"/>
          <w:szCs w:val="20"/>
          <w:lang w:val="es-GT" w:eastAsia="es-GT"/>
        </w:rPr>
      </w:pPr>
      <w:bookmarkStart w:id="0" w:name="_Hlk127524128"/>
      <w:bookmarkStart w:id="1" w:name="_Hlk138685239"/>
      <w:bookmarkStart w:id="2" w:name="_Hlk140782803"/>
      <w:bookmarkStart w:id="3" w:name="_Hlk148179628"/>
      <w:r w:rsidRPr="00903B01">
        <w:rPr>
          <w:rFonts w:eastAsia="Calibri"/>
          <w:color w:val="000000"/>
          <w:sz w:val="20"/>
          <w:szCs w:val="20"/>
          <w:lang w:val="es-GT" w:eastAsia="es-GT"/>
        </w:rPr>
        <w:t>Artículo de investigación</w:t>
      </w:r>
    </w:p>
    <w:p w14:paraId="531EC6BF" w14:textId="77777777" w:rsidR="00903B01" w:rsidRPr="00903B01" w:rsidRDefault="00903B01" w:rsidP="00903B01">
      <w:pPr>
        <w:suppressAutoHyphens/>
        <w:autoSpaceDN w:val="0"/>
        <w:spacing w:line="360" w:lineRule="auto"/>
        <w:jc w:val="center"/>
        <w:textAlignment w:val="baseline"/>
        <w:rPr>
          <w:rFonts w:eastAsia="Calibri"/>
          <w:b/>
          <w:color w:val="000000"/>
          <w:sz w:val="28"/>
          <w:szCs w:val="28"/>
          <w:lang w:val="es-GT" w:eastAsia="es-GT"/>
        </w:rPr>
      </w:pPr>
    </w:p>
    <w:p w14:paraId="5EBB7AEE" w14:textId="77777777" w:rsidR="00903B01" w:rsidRPr="00903B01" w:rsidRDefault="00903B01" w:rsidP="00903B01">
      <w:pPr>
        <w:suppressAutoHyphens/>
        <w:autoSpaceDN w:val="0"/>
        <w:spacing w:line="360" w:lineRule="auto"/>
        <w:jc w:val="center"/>
        <w:textAlignment w:val="baseline"/>
        <w:rPr>
          <w:rFonts w:eastAsia="Calibri"/>
          <w:b/>
          <w:color w:val="000000"/>
          <w:sz w:val="28"/>
          <w:szCs w:val="28"/>
          <w:lang w:val="es-GT" w:eastAsia="en-US"/>
        </w:rPr>
      </w:pPr>
      <w:r w:rsidRPr="00903B01">
        <w:rPr>
          <w:rFonts w:eastAsia="Calibri"/>
          <w:b/>
          <w:color w:val="000000"/>
          <w:sz w:val="28"/>
          <w:szCs w:val="28"/>
          <w:lang w:val="es-GT" w:eastAsia="es-GT"/>
        </w:rPr>
        <w:t>Barrera de reparación de la base craneal en los abordajes endonasales endoscópicos</w:t>
      </w:r>
    </w:p>
    <w:p w14:paraId="5967EBBA" w14:textId="77777777" w:rsidR="00903B01" w:rsidRPr="00903B01" w:rsidRDefault="00903B01" w:rsidP="00903B01">
      <w:pPr>
        <w:suppressAutoHyphens/>
        <w:autoSpaceDN w:val="0"/>
        <w:spacing w:line="360" w:lineRule="auto"/>
        <w:jc w:val="center"/>
        <w:textAlignment w:val="baseline"/>
        <w:rPr>
          <w:rFonts w:eastAsia="Calibri"/>
          <w:color w:val="000000"/>
          <w:sz w:val="28"/>
          <w:szCs w:val="28"/>
          <w:lang w:val="en-US" w:eastAsia="en-US"/>
        </w:rPr>
      </w:pPr>
      <w:r w:rsidRPr="00903B01">
        <w:rPr>
          <w:rFonts w:eastAsia="Calibri"/>
          <w:color w:val="000000"/>
          <w:sz w:val="28"/>
          <w:szCs w:val="28"/>
          <w:lang w:val="en-US" w:eastAsia="en-US"/>
        </w:rPr>
        <w:t>Skull base reconstruction barrier in endoscopic endonasal approaches</w:t>
      </w:r>
    </w:p>
    <w:p w14:paraId="02CB34A9" w14:textId="77777777" w:rsidR="00903B01" w:rsidRPr="00903B01" w:rsidRDefault="00903B01" w:rsidP="00903B01">
      <w:pPr>
        <w:suppressAutoHyphens/>
        <w:autoSpaceDN w:val="0"/>
        <w:spacing w:line="360" w:lineRule="auto"/>
        <w:jc w:val="both"/>
        <w:textAlignment w:val="baseline"/>
        <w:rPr>
          <w:rFonts w:eastAsia="Calibri"/>
          <w:color w:val="000000"/>
          <w:lang w:val="en-US" w:eastAsia="en-US"/>
        </w:rPr>
      </w:pPr>
    </w:p>
    <w:p w14:paraId="48AFF50F" w14:textId="77777777" w:rsidR="00903B01" w:rsidRPr="00903B01" w:rsidRDefault="00903B01" w:rsidP="00903B01">
      <w:pPr>
        <w:suppressAutoHyphens/>
        <w:autoSpaceDN w:val="0"/>
        <w:spacing w:line="360" w:lineRule="auto"/>
        <w:jc w:val="both"/>
        <w:textAlignment w:val="baseline"/>
        <w:rPr>
          <w:rFonts w:eastAsia="Calibri"/>
          <w:color w:val="000000"/>
          <w:lang w:val="es-GT" w:eastAsia="en-US"/>
        </w:rPr>
      </w:pPr>
      <w:r w:rsidRPr="00903B01">
        <w:rPr>
          <w:rFonts w:eastAsia="Calibri"/>
          <w:color w:val="000000"/>
          <w:lang w:val="es-GT" w:eastAsia="en-US"/>
        </w:rPr>
        <w:t>Carlos Roberto Vargas Gálvez</w:t>
      </w:r>
      <w:r w:rsidRPr="00903B01">
        <w:rPr>
          <w:rFonts w:eastAsia="Calibri"/>
          <w:color w:val="000000"/>
          <w:vertAlign w:val="superscript"/>
          <w:lang w:val="es-GT" w:eastAsia="en-US"/>
        </w:rPr>
        <w:t>1</w:t>
      </w:r>
      <w:r w:rsidRPr="00903B01">
        <w:rPr>
          <w:rFonts w:eastAsia="Calibri"/>
          <w:color w:val="000000"/>
          <w:lang w:val="es-GT" w:eastAsia="en-US"/>
        </w:rPr>
        <w:t xml:space="preserve">* </w:t>
      </w:r>
      <w:hyperlink r:id="rId7" w:history="1">
        <w:r w:rsidRPr="00903B01">
          <w:rPr>
            <w:rFonts w:eastAsia="Calibri"/>
            <w:color w:val="0563C1"/>
            <w:lang w:val="es-GT" w:eastAsia="en-US"/>
          </w:rPr>
          <w:t>https://orcid.org/0000-0001-8471-0242</w:t>
        </w:r>
      </w:hyperlink>
      <w:r w:rsidRPr="00903B01">
        <w:rPr>
          <w:rFonts w:eastAsia="Calibri"/>
          <w:color w:val="000000"/>
          <w:lang w:val="es-GT" w:eastAsia="en-US"/>
        </w:rPr>
        <w:t xml:space="preserve">  </w:t>
      </w:r>
    </w:p>
    <w:p w14:paraId="21592D1A" w14:textId="77777777" w:rsidR="00903B01" w:rsidRPr="00903B01" w:rsidRDefault="00903B01" w:rsidP="00903B01">
      <w:pPr>
        <w:suppressAutoHyphens/>
        <w:autoSpaceDN w:val="0"/>
        <w:spacing w:line="360" w:lineRule="auto"/>
        <w:jc w:val="both"/>
        <w:textAlignment w:val="baseline"/>
        <w:rPr>
          <w:rFonts w:eastAsia="Calibri"/>
          <w:color w:val="000000"/>
          <w:lang w:val="es-GT" w:eastAsia="en-US"/>
        </w:rPr>
      </w:pPr>
      <w:r w:rsidRPr="00903B01">
        <w:rPr>
          <w:rFonts w:eastAsia="Calibri"/>
          <w:color w:val="000000"/>
          <w:lang w:val="es-GT" w:eastAsia="en-US"/>
        </w:rPr>
        <w:t>Omar López Arbolay</w:t>
      </w:r>
      <w:r w:rsidRPr="00903B01">
        <w:rPr>
          <w:rFonts w:eastAsia="Calibri"/>
          <w:color w:val="000000"/>
          <w:vertAlign w:val="superscript"/>
          <w:lang w:val="es-GT" w:eastAsia="en-US"/>
        </w:rPr>
        <w:t>1</w:t>
      </w:r>
      <w:r w:rsidRPr="00903B01">
        <w:rPr>
          <w:rFonts w:eastAsia="Calibri"/>
          <w:color w:val="000000"/>
          <w:lang w:val="es-GT" w:eastAsia="en-US"/>
        </w:rPr>
        <w:t xml:space="preserve"> </w:t>
      </w:r>
      <w:hyperlink r:id="rId8" w:history="1">
        <w:r w:rsidRPr="00903B01">
          <w:rPr>
            <w:rFonts w:eastAsia="Calibri"/>
            <w:color w:val="0563C1"/>
            <w:lang w:val="es-GT" w:eastAsia="en-US"/>
          </w:rPr>
          <w:t>https://orcid.org/0000-0001-7948-4287</w:t>
        </w:r>
      </w:hyperlink>
    </w:p>
    <w:p w14:paraId="7523F118" w14:textId="77777777" w:rsidR="00903B01" w:rsidRPr="00903B01" w:rsidRDefault="00903B01" w:rsidP="00903B01">
      <w:pPr>
        <w:suppressAutoHyphens/>
        <w:autoSpaceDE w:val="0"/>
        <w:autoSpaceDN w:val="0"/>
        <w:spacing w:line="360" w:lineRule="auto"/>
        <w:jc w:val="both"/>
        <w:textAlignment w:val="baseline"/>
        <w:rPr>
          <w:rFonts w:eastAsia="Calibri"/>
          <w:color w:val="000000"/>
          <w:lang w:val="es-GT" w:eastAsia="en-US"/>
        </w:rPr>
      </w:pPr>
      <w:r w:rsidRPr="00903B01">
        <w:rPr>
          <w:rFonts w:eastAsia="Calibri"/>
          <w:color w:val="000000"/>
          <w:lang w:val="es-GT" w:eastAsia="en-US"/>
        </w:rPr>
        <w:t>Marlon Manuel Ortiz Machín</w:t>
      </w:r>
      <w:r w:rsidRPr="00903B01">
        <w:rPr>
          <w:rFonts w:eastAsia="Calibri"/>
          <w:color w:val="000000"/>
          <w:vertAlign w:val="superscript"/>
          <w:lang w:val="es-GT" w:eastAsia="en-US"/>
        </w:rPr>
        <w:t>1</w:t>
      </w:r>
      <w:r w:rsidRPr="00903B01">
        <w:rPr>
          <w:rFonts w:eastAsia="Calibri"/>
          <w:color w:val="000000"/>
          <w:lang w:val="es-GT" w:eastAsia="en-US"/>
        </w:rPr>
        <w:t xml:space="preserve"> </w:t>
      </w:r>
      <w:hyperlink r:id="rId9" w:history="1">
        <w:r w:rsidRPr="00903B01">
          <w:rPr>
            <w:rFonts w:eastAsia="Calibri"/>
            <w:color w:val="0563C1"/>
            <w:lang w:val="es-GT" w:eastAsia="en-US"/>
          </w:rPr>
          <w:t>https://orcid.org/0000-0001-9483-7247</w:t>
        </w:r>
      </w:hyperlink>
    </w:p>
    <w:p w14:paraId="7EE51DD3" w14:textId="77777777" w:rsidR="00903B01" w:rsidRPr="00903B01" w:rsidRDefault="00903B01" w:rsidP="00903B01">
      <w:pPr>
        <w:suppressAutoHyphens/>
        <w:autoSpaceDE w:val="0"/>
        <w:autoSpaceDN w:val="0"/>
        <w:spacing w:line="360" w:lineRule="auto"/>
        <w:jc w:val="both"/>
        <w:textAlignment w:val="baseline"/>
        <w:rPr>
          <w:rFonts w:eastAsia="Calibri"/>
          <w:color w:val="000000"/>
          <w:lang w:val="es-GT" w:eastAsia="en-US"/>
        </w:rPr>
      </w:pPr>
      <w:r w:rsidRPr="00903B01">
        <w:rPr>
          <w:rFonts w:eastAsia="Calibri"/>
          <w:color w:val="000000"/>
          <w:lang w:val="es-GT" w:eastAsia="en-US"/>
        </w:rPr>
        <w:t xml:space="preserve">   </w:t>
      </w:r>
    </w:p>
    <w:p w14:paraId="36B62E73" w14:textId="77777777" w:rsidR="00903B01" w:rsidRPr="00903B01" w:rsidRDefault="00903B01" w:rsidP="00903B01">
      <w:pPr>
        <w:suppressAutoHyphens/>
        <w:autoSpaceDN w:val="0"/>
        <w:spacing w:line="360" w:lineRule="auto"/>
        <w:jc w:val="both"/>
        <w:textAlignment w:val="baseline"/>
        <w:rPr>
          <w:rFonts w:eastAsia="Calibri"/>
          <w:color w:val="000000"/>
          <w:lang w:val="es-GT" w:eastAsia="en-US"/>
        </w:rPr>
      </w:pPr>
      <w:r w:rsidRPr="00903B01">
        <w:rPr>
          <w:rFonts w:eastAsia="Calibri"/>
          <w:color w:val="000000"/>
          <w:vertAlign w:val="superscript"/>
          <w:lang w:val="es-GT" w:eastAsia="en-US"/>
        </w:rPr>
        <w:t>1</w:t>
      </w:r>
      <w:r w:rsidRPr="00903B01">
        <w:rPr>
          <w:rFonts w:eastAsia="Calibri"/>
          <w:color w:val="000000"/>
          <w:lang w:val="es-GT" w:eastAsia="en-US"/>
        </w:rPr>
        <w:t>Hospital Hermanos Ameijeiras. Servicio de Neurocirugía. La Habana, Cuba.</w:t>
      </w:r>
    </w:p>
    <w:p w14:paraId="0620C2EE" w14:textId="77777777" w:rsidR="00903B01" w:rsidRPr="00903B01" w:rsidRDefault="00903B01" w:rsidP="00903B01">
      <w:pPr>
        <w:suppressAutoHyphens/>
        <w:autoSpaceDN w:val="0"/>
        <w:spacing w:line="360" w:lineRule="auto"/>
        <w:jc w:val="both"/>
        <w:textAlignment w:val="baseline"/>
        <w:rPr>
          <w:rFonts w:eastAsia="Calibri"/>
          <w:color w:val="000000"/>
          <w:lang w:val="es-GT" w:eastAsia="en-US"/>
        </w:rPr>
      </w:pPr>
    </w:p>
    <w:p w14:paraId="31E2CD13" w14:textId="77777777" w:rsidR="00903B01" w:rsidRPr="00903B01" w:rsidRDefault="00903B01" w:rsidP="00903B01">
      <w:pPr>
        <w:suppressAutoHyphens/>
        <w:autoSpaceDN w:val="0"/>
        <w:spacing w:line="360" w:lineRule="auto"/>
        <w:jc w:val="both"/>
        <w:textAlignment w:val="baseline"/>
        <w:rPr>
          <w:rFonts w:eastAsia="Calibri"/>
          <w:color w:val="000000"/>
          <w:lang w:val="es-GT" w:eastAsia="en-US"/>
        </w:rPr>
      </w:pPr>
      <w:r w:rsidRPr="00903B01">
        <w:rPr>
          <w:rFonts w:eastAsia="Calibri"/>
          <w:color w:val="000000"/>
          <w:lang w:val="es-GT" w:eastAsia="en-US"/>
        </w:rPr>
        <w:t>*Autor para la correspondencia. Correo electrónico:</w:t>
      </w:r>
      <w:r w:rsidRPr="00903B01">
        <w:rPr>
          <w:rFonts w:eastAsia="Calibri"/>
          <w:sz w:val="22"/>
          <w:szCs w:val="22"/>
          <w:lang w:val="es-GT" w:eastAsia="en-US"/>
        </w:rPr>
        <w:t xml:space="preserve"> </w:t>
      </w:r>
      <w:hyperlink r:id="rId10" w:history="1">
        <w:r w:rsidRPr="00903B01">
          <w:rPr>
            <w:rFonts w:eastAsia="Calibri"/>
            <w:color w:val="0563C1"/>
            <w:lang w:val="es-GT" w:eastAsia="en-US"/>
          </w:rPr>
          <w:t>carlosvgg33@gmail.com</w:t>
        </w:r>
      </w:hyperlink>
    </w:p>
    <w:p w14:paraId="64E2169C" w14:textId="77777777" w:rsidR="00903B01" w:rsidRPr="00903B01" w:rsidRDefault="00903B01" w:rsidP="00903B01">
      <w:pPr>
        <w:suppressAutoHyphens/>
        <w:autoSpaceDN w:val="0"/>
        <w:spacing w:line="360" w:lineRule="auto"/>
        <w:jc w:val="both"/>
        <w:textAlignment w:val="baseline"/>
        <w:rPr>
          <w:rFonts w:eastAsia="Calibri"/>
          <w:color w:val="000000"/>
          <w:lang w:val="es-GT" w:eastAsia="en-US"/>
        </w:rPr>
      </w:pPr>
    </w:p>
    <w:p w14:paraId="508A4E2A" w14:textId="77777777" w:rsidR="00903B01" w:rsidRPr="00903B01" w:rsidRDefault="00903B01" w:rsidP="00903B01">
      <w:pPr>
        <w:suppressAutoHyphens/>
        <w:autoSpaceDN w:val="0"/>
        <w:spacing w:line="360" w:lineRule="auto"/>
        <w:jc w:val="both"/>
        <w:textAlignment w:val="baseline"/>
        <w:rPr>
          <w:rFonts w:eastAsia="Calibri"/>
          <w:b/>
          <w:color w:val="000000"/>
          <w:lang w:val="es-GT" w:eastAsia="en-US"/>
        </w:rPr>
      </w:pPr>
      <w:bookmarkStart w:id="4" w:name="_Hlk146824539"/>
      <w:bookmarkStart w:id="5" w:name="_Hlk146824445"/>
      <w:r w:rsidRPr="00903B01">
        <w:rPr>
          <w:rFonts w:eastAsia="Calibri"/>
          <w:b/>
          <w:color w:val="000000"/>
          <w:lang w:val="es-GT" w:eastAsia="en-US"/>
        </w:rPr>
        <w:t xml:space="preserve">RESUMEN </w:t>
      </w:r>
    </w:p>
    <w:p w14:paraId="64E585E2" w14:textId="77777777" w:rsidR="00903B01" w:rsidRPr="00903B01" w:rsidRDefault="00903B01" w:rsidP="00903B01">
      <w:pPr>
        <w:suppressAutoHyphens/>
        <w:autoSpaceDN w:val="0"/>
        <w:spacing w:line="360" w:lineRule="auto"/>
        <w:jc w:val="both"/>
        <w:textAlignment w:val="baseline"/>
        <w:rPr>
          <w:rFonts w:eastAsia="Calibri"/>
          <w:color w:val="000000"/>
          <w:lang w:val="es-GT" w:eastAsia="en-US"/>
        </w:rPr>
      </w:pPr>
      <w:bookmarkStart w:id="6" w:name="_Hlk138713201"/>
      <w:r w:rsidRPr="00903B01">
        <w:rPr>
          <w:rFonts w:eastAsia="Calibri"/>
          <w:b/>
          <w:color w:val="000000"/>
          <w:lang w:val="es-GT" w:eastAsia="en-US"/>
        </w:rPr>
        <w:t xml:space="preserve">Introducción: </w:t>
      </w:r>
      <w:r w:rsidRPr="00903B01">
        <w:rPr>
          <w:rFonts w:eastAsia="Calibri"/>
          <w:color w:val="000000"/>
          <w:lang w:val="es-GT" w:eastAsia="en-US"/>
        </w:rPr>
        <w:t xml:space="preserve">Los abordajes endonasales endoscópicos son los procedimientos de elección para tumores mediales en la base craneal por su seguridad y efectividad. La reparación de la base craneal constituye un elevado desafío. </w:t>
      </w:r>
    </w:p>
    <w:p w14:paraId="562638C2" w14:textId="1746BBF1" w:rsidR="00903B01" w:rsidRPr="00903B01" w:rsidRDefault="00903B01" w:rsidP="00903B01">
      <w:pPr>
        <w:suppressAutoHyphens/>
        <w:autoSpaceDN w:val="0"/>
        <w:spacing w:line="360" w:lineRule="auto"/>
        <w:jc w:val="both"/>
        <w:textAlignment w:val="baseline"/>
        <w:rPr>
          <w:rFonts w:eastAsia="Calibri"/>
          <w:color w:val="000000"/>
          <w:lang w:val="es-GT" w:eastAsia="en-US"/>
        </w:rPr>
      </w:pPr>
      <w:r w:rsidRPr="00903B01">
        <w:rPr>
          <w:rFonts w:eastAsia="Calibri"/>
          <w:b/>
          <w:color w:val="000000"/>
          <w:lang w:val="es-GT" w:eastAsia="en-US"/>
        </w:rPr>
        <w:t>Objetivo:</w:t>
      </w:r>
      <w:r w:rsidRPr="00903B01">
        <w:rPr>
          <w:rFonts w:eastAsia="Calibri"/>
          <w:color w:val="000000"/>
          <w:lang w:val="es-GT" w:eastAsia="en-US"/>
        </w:rPr>
        <w:t xml:space="preserve"> Evaluar la efectividad de la construcción de una barrera de reconstrucción de la base craneal en pacientes con tumores de la base craneal operados por procedimientos</w:t>
      </w:r>
      <w:r w:rsidR="00B9474B">
        <w:rPr>
          <w:rFonts w:eastAsia="Calibri"/>
          <w:color w:val="000000"/>
          <w:lang w:val="es-GT" w:eastAsia="en-US"/>
        </w:rPr>
        <w:t xml:space="preserve"> </w:t>
      </w:r>
      <w:r w:rsidRPr="00903B01">
        <w:rPr>
          <w:rFonts w:eastAsia="Calibri"/>
          <w:color w:val="000000"/>
          <w:lang w:val="es-GT" w:eastAsia="en-US"/>
        </w:rPr>
        <w:t>endonasales endoscópicos.</w:t>
      </w:r>
    </w:p>
    <w:p w14:paraId="135C484A" w14:textId="77777777" w:rsidR="00903B01" w:rsidRPr="00903B01" w:rsidRDefault="00903B01" w:rsidP="00903B01">
      <w:pPr>
        <w:suppressAutoHyphens/>
        <w:autoSpaceDN w:val="0"/>
        <w:spacing w:line="360" w:lineRule="auto"/>
        <w:jc w:val="both"/>
        <w:textAlignment w:val="baseline"/>
        <w:rPr>
          <w:rFonts w:eastAsia="Calibri"/>
          <w:color w:val="000000"/>
          <w:lang w:val="es-GT" w:eastAsia="en-US"/>
        </w:rPr>
      </w:pPr>
      <w:r w:rsidRPr="00903B01">
        <w:rPr>
          <w:rFonts w:eastAsia="Calibri"/>
          <w:b/>
          <w:color w:val="000000"/>
          <w:lang w:val="es-GT" w:eastAsia="en-US"/>
        </w:rPr>
        <w:t>Método:</w:t>
      </w:r>
      <w:r w:rsidRPr="00903B01">
        <w:rPr>
          <w:rFonts w:eastAsia="Calibri"/>
          <w:color w:val="000000"/>
          <w:lang w:val="es-GT" w:eastAsia="en-US"/>
        </w:rPr>
        <w:t xml:space="preserve"> Se realizó un estudio descriptivo, que incluyó a 70 pacientes del Hospital Hermanos Ameijeiras operados de tumores de la base craneal por procedimientos endonasales endoscópicos.  Se construyó una barrera de reparación de la base craneal para aislar el compartimiento nasosinusal del intracraneal. Se determinó la eficiencia de la barrera de reparación mediante aspectos clínicos y endoscópicos. Se definieron aspectos a evaluar en relación con la vitalidad de la barrera de reparación con el empleo de la fibrina rica en plaquetas y leucocitos.</w:t>
      </w:r>
      <w:r w:rsidRPr="00903B01">
        <w:rPr>
          <w:rFonts w:eastAsia="Calibri"/>
          <w:sz w:val="22"/>
          <w:szCs w:val="22"/>
          <w:lang w:val="es-GT" w:eastAsia="en-US"/>
        </w:rPr>
        <w:t xml:space="preserve">  </w:t>
      </w:r>
    </w:p>
    <w:p w14:paraId="564E023E" w14:textId="0883E8D0" w:rsidR="00903B01" w:rsidRPr="00903B01" w:rsidRDefault="00903B01" w:rsidP="00903B01">
      <w:pPr>
        <w:suppressAutoHyphens/>
        <w:autoSpaceDN w:val="0"/>
        <w:spacing w:line="360" w:lineRule="auto"/>
        <w:jc w:val="both"/>
        <w:textAlignment w:val="baseline"/>
        <w:rPr>
          <w:rFonts w:eastAsia="Calibri"/>
          <w:color w:val="000000"/>
          <w:lang w:val="es-GT" w:eastAsia="en-US"/>
        </w:rPr>
      </w:pPr>
      <w:r w:rsidRPr="00903B01">
        <w:rPr>
          <w:rFonts w:eastAsia="Calibri"/>
          <w:b/>
          <w:color w:val="000000"/>
          <w:lang w:val="es-GT" w:eastAsia="en-US"/>
        </w:rPr>
        <w:t>Resultados:</w:t>
      </w:r>
      <w:r w:rsidRPr="00903B01">
        <w:rPr>
          <w:rFonts w:eastAsia="Calibri"/>
          <w:color w:val="000000"/>
          <w:lang w:val="es-GT" w:eastAsia="en-US"/>
        </w:rPr>
        <w:t xml:space="preserve"> Se evidenció una barrera de reparación eficiente en el 98,6 %. En relación con estado de vitalidad de la barrera se apreció una adherencia, granulación en el 98,6 % de pacientes, mientras una </w:t>
      </w:r>
      <w:r w:rsidRPr="00903B01">
        <w:rPr>
          <w:rFonts w:eastAsia="Calibri"/>
          <w:color w:val="000000"/>
          <w:lang w:val="es-GT" w:eastAsia="en-US"/>
        </w:rPr>
        <w:lastRenderedPageBreak/>
        <w:t>angiogénesis de 97,1%. La incidencia de fístula de líquido cefalorraquídeo posoperatoria fue de solo 1,4</w:t>
      </w:r>
      <w:r w:rsidR="00F4503D">
        <w:rPr>
          <w:rFonts w:eastAsia="Calibri"/>
          <w:color w:val="000000"/>
          <w:lang w:val="es-GT" w:eastAsia="en-US"/>
        </w:rPr>
        <w:t> </w:t>
      </w:r>
      <w:r w:rsidRPr="00903B01">
        <w:rPr>
          <w:rFonts w:eastAsia="Calibri"/>
          <w:color w:val="000000"/>
          <w:lang w:val="es-GT" w:eastAsia="en-US"/>
        </w:rPr>
        <w:t xml:space="preserve">%. </w:t>
      </w:r>
    </w:p>
    <w:p w14:paraId="09B8E9AE" w14:textId="77777777" w:rsidR="00903B01" w:rsidRPr="00903B01" w:rsidRDefault="00903B01" w:rsidP="00903B01">
      <w:pPr>
        <w:suppressAutoHyphens/>
        <w:autoSpaceDN w:val="0"/>
        <w:spacing w:line="360" w:lineRule="auto"/>
        <w:jc w:val="both"/>
        <w:textAlignment w:val="baseline"/>
        <w:rPr>
          <w:rFonts w:eastAsia="Calibri"/>
          <w:color w:val="000000"/>
          <w:lang w:val="es-GT" w:eastAsia="en-US"/>
        </w:rPr>
      </w:pPr>
      <w:r w:rsidRPr="00903B01">
        <w:rPr>
          <w:rFonts w:eastAsia="Calibri"/>
          <w:b/>
          <w:color w:val="000000"/>
          <w:lang w:val="es-GT" w:eastAsia="en-US"/>
        </w:rPr>
        <w:t xml:space="preserve">Conclusiones: </w:t>
      </w:r>
      <w:r w:rsidRPr="00903B01">
        <w:rPr>
          <w:rFonts w:eastAsia="Calibri"/>
          <w:color w:val="000000"/>
          <w:lang w:val="es-GT" w:eastAsia="en-US"/>
        </w:rPr>
        <w:t>El presente estudio evidencia el efecto positivo de la construcción de una barrera de reparación eficiente de la base craneal por vía endonasal endoscópica con disminución significativa de fístula de líquido cefalorraquídeo y sus complicaciones.</w:t>
      </w:r>
    </w:p>
    <w:p w14:paraId="15E973EF" w14:textId="77777777" w:rsidR="00903B01" w:rsidRPr="00903B01" w:rsidRDefault="00903B01" w:rsidP="00903B01">
      <w:pPr>
        <w:suppressAutoHyphens/>
        <w:autoSpaceDN w:val="0"/>
        <w:spacing w:line="360" w:lineRule="auto"/>
        <w:jc w:val="both"/>
        <w:textAlignment w:val="baseline"/>
        <w:rPr>
          <w:color w:val="000000"/>
          <w:lang w:val="es-ES" w:eastAsia="es-ES"/>
        </w:rPr>
      </w:pPr>
      <w:r w:rsidRPr="00903B01">
        <w:rPr>
          <w:b/>
          <w:color w:val="000000"/>
          <w:lang w:val="es-ES" w:eastAsia="es-ES"/>
        </w:rPr>
        <w:t xml:space="preserve">Palabras clave: </w:t>
      </w:r>
      <w:r w:rsidRPr="00903B01">
        <w:rPr>
          <w:color w:val="000000"/>
          <w:lang w:val="es-ES" w:eastAsia="es-ES"/>
        </w:rPr>
        <w:t>base del cráneo; endoscopía; fibrina rica en plaquetas y leucocitos</w:t>
      </w:r>
      <w:r w:rsidRPr="00903B01">
        <w:rPr>
          <w:bCs/>
          <w:color w:val="000000"/>
          <w:shd w:val="clear" w:color="auto" w:fill="FFFFFF"/>
          <w:lang w:val="es-ES" w:eastAsia="es-ES"/>
        </w:rPr>
        <w:t>; pérdida de líquido cefalorraquídeo.</w:t>
      </w:r>
    </w:p>
    <w:bookmarkEnd w:id="4"/>
    <w:bookmarkEnd w:id="6"/>
    <w:p w14:paraId="38114262" w14:textId="77777777" w:rsidR="00903B01" w:rsidRPr="00903B01" w:rsidRDefault="00903B01" w:rsidP="00903B01">
      <w:pPr>
        <w:autoSpaceDN w:val="0"/>
        <w:spacing w:line="360" w:lineRule="auto"/>
        <w:textAlignment w:val="baseline"/>
        <w:rPr>
          <w:color w:val="000000"/>
          <w:lang w:val="es-GT" w:eastAsia="es-GT"/>
        </w:rPr>
      </w:pPr>
      <w:r w:rsidRPr="00903B01">
        <w:rPr>
          <w:rFonts w:eastAsia="Calibri"/>
          <w:color w:val="000000"/>
          <w:shd w:val="clear" w:color="auto" w:fill="FFFFFF"/>
          <w:lang w:val="es-GT" w:eastAsia="en-US"/>
        </w:rPr>
        <w:t xml:space="preserve"> </w:t>
      </w:r>
    </w:p>
    <w:bookmarkEnd w:id="5"/>
    <w:p w14:paraId="092C8A0A" w14:textId="77777777" w:rsidR="00903B01" w:rsidRPr="00903B01" w:rsidRDefault="00903B01" w:rsidP="00903B01">
      <w:pPr>
        <w:suppressAutoHyphens/>
        <w:autoSpaceDN w:val="0"/>
        <w:spacing w:line="360" w:lineRule="auto"/>
        <w:jc w:val="both"/>
        <w:textAlignment w:val="baseline"/>
        <w:rPr>
          <w:rFonts w:eastAsia="Calibri"/>
          <w:b/>
          <w:color w:val="000000"/>
          <w:lang w:val="en-US" w:eastAsia="en-US"/>
        </w:rPr>
      </w:pPr>
      <w:r w:rsidRPr="00903B01">
        <w:rPr>
          <w:rFonts w:eastAsia="Calibri"/>
          <w:b/>
          <w:color w:val="000000"/>
          <w:lang w:val="en-US" w:eastAsia="en-US"/>
        </w:rPr>
        <w:t xml:space="preserve">ABSTRACT    </w:t>
      </w:r>
    </w:p>
    <w:p w14:paraId="0CB84C58" w14:textId="77777777" w:rsidR="00903B01" w:rsidRPr="00903B01" w:rsidRDefault="00903B01" w:rsidP="00903B01">
      <w:pPr>
        <w:suppressAutoHyphens/>
        <w:autoSpaceDN w:val="0"/>
        <w:spacing w:line="360" w:lineRule="auto"/>
        <w:jc w:val="both"/>
        <w:textAlignment w:val="baseline"/>
        <w:rPr>
          <w:rFonts w:eastAsia="Calibri"/>
          <w:color w:val="000000"/>
          <w:lang w:val="en-US" w:eastAsia="en-US"/>
        </w:rPr>
      </w:pPr>
      <w:r w:rsidRPr="00903B01">
        <w:rPr>
          <w:rFonts w:eastAsia="Calibri"/>
          <w:b/>
          <w:color w:val="000000"/>
          <w:lang w:val="en-US" w:eastAsia="en-US"/>
        </w:rPr>
        <w:t xml:space="preserve">Introduction: </w:t>
      </w:r>
      <w:r w:rsidRPr="00903B01">
        <w:rPr>
          <w:rFonts w:eastAsia="Calibri"/>
          <w:color w:val="000000"/>
          <w:lang w:val="en-US" w:eastAsia="en-US"/>
        </w:rPr>
        <w:t>Endoscopic endonasal approaches are the procedures of choice for medial tumors in the cranial base given their safety and effectiveness. Repair of the cranial base constitutes a high challenge.</w:t>
      </w:r>
    </w:p>
    <w:p w14:paraId="155593FA" w14:textId="77777777" w:rsidR="00903B01" w:rsidRPr="00903B01" w:rsidRDefault="00903B01" w:rsidP="00903B01">
      <w:pPr>
        <w:suppressAutoHyphens/>
        <w:autoSpaceDN w:val="0"/>
        <w:spacing w:line="360" w:lineRule="auto"/>
        <w:jc w:val="both"/>
        <w:textAlignment w:val="baseline"/>
        <w:rPr>
          <w:rFonts w:eastAsia="Calibri"/>
          <w:lang w:val="en-US" w:eastAsia="en-US"/>
        </w:rPr>
      </w:pPr>
      <w:r w:rsidRPr="00903B01">
        <w:rPr>
          <w:rFonts w:eastAsia="Calibri"/>
          <w:b/>
          <w:lang w:val="en-US" w:eastAsia="en-US"/>
        </w:rPr>
        <w:t>Objective:</w:t>
      </w:r>
      <w:r w:rsidRPr="00903B01">
        <w:rPr>
          <w:rFonts w:eastAsia="Calibri"/>
          <w:lang w:val="en-US" w:eastAsia="en-US"/>
        </w:rPr>
        <w:t xml:space="preserve"> To evaluate the effectiveness of constructing a cranial base reconstruction barrier in patients with cranial base tumors operated on by endoscopic endonasal approaches.</w:t>
      </w:r>
    </w:p>
    <w:p w14:paraId="0F1AA6A7" w14:textId="77777777" w:rsidR="00903B01" w:rsidRPr="00903B01" w:rsidRDefault="00903B01" w:rsidP="00903B01">
      <w:pPr>
        <w:suppressAutoHyphens/>
        <w:autoSpaceDN w:val="0"/>
        <w:spacing w:line="360" w:lineRule="auto"/>
        <w:jc w:val="both"/>
        <w:textAlignment w:val="baseline"/>
        <w:rPr>
          <w:rFonts w:eastAsia="Calibri"/>
          <w:color w:val="000000"/>
          <w:lang w:val="en-US" w:eastAsia="en-US"/>
        </w:rPr>
      </w:pPr>
      <w:r w:rsidRPr="00903B01">
        <w:rPr>
          <w:rFonts w:eastAsia="Calibri"/>
          <w:b/>
          <w:color w:val="000000"/>
          <w:lang w:val="en-US" w:eastAsia="en-US"/>
        </w:rPr>
        <w:t xml:space="preserve">Method: </w:t>
      </w:r>
      <w:r w:rsidRPr="00903B01">
        <w:rPr>
          <w:rFonts w:eastAsia="Calibri"/>
          <w:color w:val="000000"/>
          <w:lang w:val="en-US" w:eastAsia="en-US"/>
        </w:rPr>
        <w:t>A descriptive study was carried out, which included 70 patients from the Hermanos Ameijeiras Hospital operated on for cranial base tumors using endoscopic endonasal approaches. A cranial base repair barrier was constructed to isolate the sinonasal and intracranial compartments. The efficiency of the repair barrier was determined through clinical and endoscopic aspects. Aspects were defined to be evaluated in relation to the vitality of the repair barrier with the use of fibrin rich in platelets and leukocytes.</w:t>
      </w:r>
    </w:p>
    <w:p w14:paraId="0C781D6D" w14:textId="77777777" w:rsidR="00903B01" w:rsidRPr="00903B01" w:rsidRDefault="00903B01" w:rsidP="00903B01">
      <w:pPr>
        <w:suppressAutoHyphens/>
        <w:autoSpaceDN w:val="0"/>
        <w:spacing w:line="360" w:lineRule="auto"/>
        <w:jc w:val="both"/>
        <w:textAlignment w:val="baseline"/>
        <w:rPr>
          <w:rFonts w:eastAsia="Calibri"/>
          <w:color w:val="000000"/>
          <w:lang w:val="en-US" w:eastAsia="en-US"/>
        </w:rPr>
      </w:pPr>
      <w:r w:rsidRPr="00903B01">
        <w:rPr>
          <w:rFonts w:eastAsia="Calibri"/>
          <w:b/>
          <w:color w:val="000000"/>
          <w:lang w:val="en-US" w:eastAsia="en-US"/>
        </w:rPr>
        <w:t>Results:</w:t>
      </w:r>
      <w:r w:rsidRPr="00903B01">
        <w:rPr>
          <w:rFonts w:eastAsia="Calibri"/>
          <w:color w:val="000000"/>
          <w:lang w:val="en-US" w:eastAsia="en-US"/>
        </w:rPr>
        <w:t xml:space="preserve"> An efficient repair barrier was evident in 98.6%. In relation to the state of vitality of the barrier, adhesion and granulation were observed in 98.6% of patients, while angiogenesis was observed in 97.1%. The incidence of postoperative cerebrospinal fluid leak was only 1.4%.</w:t>
      </w:r>
    </w:p>
    <w:p w14:paraId="770DA062" w14:textId="77777777" w:rsidR="00903B01" w:rsidRPr="00903B01" w:rsidRDefault="00903B01" w:rsidP="00903B01">
      <w:pPr>
        <w:suppressAutoHyphens/>
        <w:autoSpaceDN w:val="0"/>
        <w:spacing w:line="360" w:lineRule="auto"/>
        <w:jc w:val="both"/>
        <w:textAlignment w:val="baseline"/>
        <w:rPr>
          <w:rFonts w:eastAsia="Calibri"/>
          <w:color w:val="000000"/>
          <w:lang w:val="en-US" w:eastAsia="en-US"/>
        </w:rPr>
      </w:pPr>
      <w:r w:rsidRPr="00903B01">
        <w:rPr>
          <w:rFonts w:eastAsia="Calibri"/>
          <w:b/>
          <w:color w:val="000000"/>
          <w:lang w:val="en-US" w:eastAsia="en-US"/>
        </w:rPr>
        <w:t>Conclusions:</w:t>
      </w:r>
      <w:r w:rsidRPr="00903B01">
        <w:rPr>
          <w:rFonts w:eastAsia="Calibri"/>
          <w:color w:val="000000"/>
          <w:lang w:val="en-US" w:eastAsia="en-US"/>
        </w:rPr>
        <w:t xml:space="preserve"> The present study shows the positive effect of the construction of an efficient repair barrier of the cranial base in endoscopic endonasal approaches with a significant reduction in cerebrospinal fluid leak and its complications.</w:t>
      </w:r>
    </w:p>
    <w:p w14:paraId="60CEBBDF" w14:textId="77777777" w:rsidR="00903B01" w:rsidRPr="00903B01" w:rsidRDefault="00903B01" w:rsidP="00903B01">
      <w:pPr>
        <w:suppressAutoHyphens/>
        <w:autoSpaceDN w:val="0"/>
        <w:spacing w:line="360" w:lineRule="auto"/>
        <w:jc w:val="both"/>
        <w:textAlignment w:val="baseline"/>
        <w:rPr>
          <w:rFonts w:eastAsia="Calibri"/>
          <w:color w:val="000000"/>
          <w:lang w:val="en-US" w:eastAsia="en-US"/>
        </w:rPr>
      </w:pPr>
      <w:r w:rsidRPr="00903B01">
        <w:rPr>
          <w:rFonts w:eastAsia="Calibri"/>
          <w:b/>
          <w:color w:val="000000"/>
          <w:lang w:val="en-US" w:eastAsia="en-US"/>
        </w:rPr>
        <w:t>Keywords:</w:t>
      </w:r>
      <w:r w:rsidRPr="00903B01">
        <w:rPr>
          <w:rFonts w:eastAsia="Calibri"/>
          <w:color w:val="000000"/>
          <w:lang w:val="en-US" w:eastAsia="en-US"/>
        </w:rPr>
        <w:t xml:space="preserve"> cerebrospinal fluid leak; endoscopy; platelet-rich fibrin and leukocytes; skull base.</w:t>
      </w:r>
    </w:p>
    <w:p w14:paraId="760A45FB" w14:textId="77777777" w:rsidR="00903B01" w:rsidRPr="00903B01" w:rsidRDefault="00903B01" w:rsidP="00903B01">
      <w:pPr>
        <w:suppressAutoHyphens/>
        <w:autoSpaceDN w:val="0"/>
        <w:spacing w:line="360" w:lineRule="auto"/>
        <w:jc w:val="both"/>
        <w:textAlignment w:val="baseline"/>
        <w:rPr>
          <w:rFonts w:eastAsia="Calibri"/>
          <w:color w:val="000000"/>
          <w:lang w:val="en-US" w:eastAsia="en-US"/>
        </w:rPr>
      </w:pPr>
    </w:p>
    <w:p w14:paraId="032BA493" w14:textId="77777777" w:rsidR="00903B01" w:rsidRPr="00903B01" w:rsidRDefault="00903B01" w:rsidP="00903B01">
      <w:pPr>
        <w:suppressAutoHyphens/>
        <w:autoSpaceDN w:val="0"/>
        <w:spacing w:line="360" w:lineRule="auto"/>
        <w:jc w:val="both"/>
        <w:textAlignment w:val="baseline"/>
        <w:rPr>
          <w:rFonts w:eastAsia="Calibri"/>
          <w:color w:val="000000"/>
          <w:lang w:val="en-US" w:eastAsia="en-US"/>
        </w:rPr>
      </w:pPr>
    </w:p>
    <w:p w14:paraId="3C554E94" w14:textId="77777777" w:rsidR="00903B01" w:rsidRPr="00903B01" w:rsidRDefault="00903B01" w:rsidP="00903B01">
      <w:pPr>
        <w:suppressAutoHyphens/>
        <w:autoSpaceDN w:val="0"/>
        <w:spacing w:line="360" w:lineRule="auto"/>
        <w:jc w:val="both"/>
        <w:textAlignment w:val="baseline"/>
        <w:rPr>
          <w:rFonts w:eastAsia="Calibri"/>
          <w:color w:val="000000"/>
          <w:lang w:val="es-GT" w:eastAsia="en-US"/>
        </w:rPr>
      </w:pPr>
      <w:r w:rsidRPr="00903B01">
        <w:rPr>
          <w:rFonts w:eastAsia="Calibri"/>
          <w:color w:val="000000"/>
          <w:lang w:val="es-GT" w:eastAsia="en-US"/>
        </w:rPr>
        <w:lastRenderedPageBreak/>
        <w:t>Recibido: 05/09/2023</w:t>
      </w:r>
    </w:p>
    <w:p w14:paraId="2FB45FEE" w14:textId="77777777" w:rsidR="00903B01" w:rsidRPr="00903B01" w:rsidRDefault="00903B01" w:rsidP="00903B01">
      <w:pPr>
        <w:suppressAutoHyphens/>
        <w:autoSpaceDN w:val="0"/>
        <w:spacing w:line="360" w:lineRule="auto"/>
        <w:jc w:val="both"/>
        <w:textAlignment w:val="baseline"/>
        <w:rPr>
          <w:rFonts w:eastAsia="Calibri"/>
          <w:color w:val="000000"/>
          <w:lang w:val="es-GT" w:eastAsia="en-US"/>
        </w:rPr>
      </w:pPr>
      <w:r w:rsidRPr="00903B01">
        <w:rPr>
          <w:rFonts w:eastAsia="Calibri"/>
          <w:color w:val="000000"/>
          <w:lang w:val="es-GT" w:eastAsia="en-US"/>
        </w:rPr>
        <w:t>Aprobado: 20/10/2023</w:t>
      </w:r>
    </w:p>
    <w:p w14:paraId="35D107FA" w14:textId="77777777" w:rsidR="00903B01" w:rsidRPr="00903B01" w:rsidRDefault="00903B01" w:rsidP="00903B01">
      <w:pPr>
        <w:suppressAutoHyphens/>
        <w:autoSpaceDN w:val="0"/>
        <w:spacing w:line="360" w:lineRule="auto"/>
        <w:jc w:val="both"/>
        <w:textAlignment w:val="baseline"/>
        <w:rPr>
          <w:rFonts w:eastAsia="Calibri"/>
          <w:color w:val="000000"/>
          <w:lang w:val="es-GT" w:eastAsia="en-US"/>
        </w:rPr>
      </w:pPr>
    </w:p>
    <w:p w14:paraId="2F2BC57B" w14:textId="77777777" w:rsidR="00903B01" w:rsidRPr="00903B01" w:rsidRDefault="00903B01" w:rsidP="00903B01">
      <w:pPr>
        <w:suppressAutoHyphens/>
        <w:autoSpaceDN w:val="0"/>
        <w:spacing w:line="360" w:lineRule="auto"/>
        <w:jc w:val="center"/>
        <w:textAlignment w:val="baseline"/>
        <w:rPr>
          <w:rFonts w:eastAsia="Calibri"/>
          <w:b/>
          <w:color w:val="000000"/>
          <w:sz w:val="32"/>
          <w:szCs w:val="32"/>
          <w:lang w:val="es-GT" w:eastAsia="en-US"/>
        </w:rPr>
      </w:pPr>
    </w:p>
    <w:p w14:paraId="3D43DA59" w14:textId="77777777" w:rsidR="00903B01" w:rsidRPr="00903B01" w:rsidRDefault="00903B01" w:rsidP="00903B01">
      <w:pPr>
        <w:suppressAutoHyphens/>
        <w:autoSpaceDN w:val="0"/>
        <w:spacing w:line="360" w:lineRule="auto"/>
        <w:jc w:val="center"/>
        <w:textAlignment w:val="baseline"/>
        <w:rPr>
          <w:rFonts w:eastAsia="Calibri"/>
          <w:b/>
          <w:color w:val="000000"/>
          <w:sz w:val="32"/>
          <w:szCs w:val="32"/>
          <w:lang w:val="es-GT" w:eastAsia="en-US"/>
        </w:rPr>
      </w:pPr>
      <w:r w:rsidRPr="00903B01">
        <w:rPr>
          <w:rFonts w:eastAsia="Calibri"/>
          <w:b/>
          <w:color w:val="000000"/>
          <w:sz w:val="32"/>
          <w:szCs w:val="32"/>
          <w:lang w:val="es-GT" w:eastAsia="en-US"/>
        </w:rPr>
        <w:t>INTRODUCCIÓN</w:t>
      </w:r>
    </w:p>
    <w:p w14:paraId="6F1C59ED" w14:textId="77777777" w:rsidR="00903B01" w:rsidRPr="00903B01" w:rsidRDefault="00903B01" w:rsidP="00903B01">
      <w:pPr>
        <w:suppressAutoHyphens/>
        <w:autoSpaceDE w:val="0"/>
        <w:autoSpaceDN w:val="0"/>
        <w:spacing w:line="360" w:lineRule="auto"/>
        <w:jc w:val="both"/>
        <w:textAlignment w:val="baseline"/>
        <w:rPr>
          <w:rFonts w:eastAsia="Calibri"/>
          <w:color w:val="000000"/>
          <w:lang w:val="es-GT" w:eastAsia="en-US"/>
        </w:rPr>
      </w:pPr>
      <w:r w:rsidRPr="00903B01">
        <w:rPr>
          <w:rFonts w:eastAsia="Calibri"/>
          <w:color w:val="000000"/>
          <w:lang w:val="es-GT" w:eastAsia="en-US"/>
        </w:rPr>
        <w:t>Los abordajes endonasales endoscópicos (AEE) son los procedimientos de elección para tumores mediales de la base craneal debido a su seguridad y efectividad.</w:t>
      </w:r>
      <w:r w:rsidRPr="00903B01">
        <w:rPr>
          <w:rFonts w:eastAsia="Calibri"/>
          <w:color w:val="000000"/>
          <w:vertAlign w:val="superscript"/>
          <w:lang w:val="es-GT" w:eastAsia="en-US"/>
        </w:rPr>
        <w:t xml:space="preserve"> (1) </w:t>
      </w:r>
      <w:r w:rsidRPr="00903B01">
        <w:rPr>
          <w:rFonts w:eastAsia="Calibri"/>
          <w:color w:val="000000"/>
          <w:lang w:val="es-GT" w:eastAsia="en-US"/>
        </w:rPr>
        <w:t xml:space="preserve">Sin embargo, la reparación de la base craneal constituye un desafío y la fístula de líquido cefalorraquídeo (LCR) la complicación más temida. </w:t>
      </w:r>
    </w:p>
    <w:p w14:paraId="2DB2D1E2" w14:textId="77777777" w:rsidR="00903B01" w:rsidRPr="00903B01" w:rsidRDefault="00903B01" w:rsidP="00903B01">
      <w:pPr>
        <w:suppressAutoHyphens/>
        <w:autoSpaceDE w:val="0"/>
        <w:autoSpaceDN w:val="0"/>
        <w:spacing w:line="360" w:lineRule="auto"/>
        <w:jc w:val="both"/>
        <w:textAlignment w:val="baseline"/>
        <w:rPr>
          <w:rFonts w:eastAsia="Calibri"/>
          <w:color w:val="000000"/>
          <w:lang w:val="es-GT" w:eastAsia="en-US"/>
        </w:rPr>
      </w:pPr>
      <w:r w:rsidRPr="00903B01">
        <w:rPr>
          <w:rFonts w:eastAsia="Calibri"/>
          <w:color w:val="000000"/>
          <w:lang w:val="es-GT" w:eastAsia="en-US"/>
        </w:rPr>
        <w:t>En los AEE se utiliza el corredor transnasal para acceder al compartimiento intracraneal, sin embargo, este espacio posee una flora bacteriana que lo convierte en un área limpia contaminada, a diferencia del espacio estéril intracraneal.</w:t>
      </w:r>
      <w:r w:rsidRPr="00903B01">
        <w:rPr>
          <w:rFonts w:eastAsia="Calibri"/>
          <w:color w:val="000000"/>
          <w:vertAlign w:val="superscript"/>
          <w:lang w:val="es-GT" w:eastAsia="en-US"/>
        </w:rPr>
        <w:t xml:space="preserve">(2)  </w:t>
      </w:r>
      <w:r w:rsidRPr="00903B01">
        <w:rPr>
          <w:rFonts w:eastAsia="Calibri"/>
          <w:color w:val="000000"/>
          <w:lang w:val="es-GT" w:eastAsia="en-US"/>
        </w:rPr>
        <w:t>En este sentido es obligatorio el aislamiento de estos compartimientos durante la fase de reparación de la base craneal. Con estos fines, estudios de series de casos,</w:t>
      </w:r>
      <w:r w:rsidRPr="00903B01">
        <w:rPr>
          <w:rFonts w:eastAsia="Calibri"/>
          <w:color w:val="000000"/>
          <w:vertAlign w:val="superscript"/>
          <w:lang w:val="es-GT" w:eastAsia="en-US"/>
        </w:rPr>
        <w:t xml:space="preserve">(3,4) </w:t>
      </w:r>
      <w:r w:rsidRPr="00903B01">
        <w:rPr>
          <w:rFonts w:eastAsia="Calibri"/>
          <w:color w:val="000000"/>
          <w:lang w:val="es-GT" w:eastAsia="en-US"/>
        </w:rPr>
        <w:t>describen el empleo de disímiles elementos se destacan entre estos: autólogos, heterólogos, biomateriales y concentrados plaquetarios;</w:t>
      </w:r>
      <w:r w:rsidRPr="00903B01">
        <w:rPr>
          <w:rFonts w:eastAsia="Calibri"/>
          <w:color w:val="000000"/>
          <w:vertAlign w:val="superscript"/>
          <w:lang w:val="es-GT" w:eastAsia="en-US"/>
        </w:rPr>
        <w:t xml:space="preserve"> </w:t>
      </w:r>
      <w:r w:rsidRPr="00903B01">
        <w:rPr>
          <w:rFonts w:eastAsia="Calibri"/>
          <w:color w:val="000000"/>
          <w:lang w:val="es-GT" w:eastAsia="en-US"/>
        </w:rPr>
        <w:t xml:space="preserve">sin embargo, en la actualidad a pesar de los diversos elementos para la reconstrucción de la base craneal, existen inefectividad al momento del cierre dural y óseo. </w:t>
      </w:r>
      <w:r w:rsidRPr="00903B01">
        <w:rPr>
          <w:rFonts w:eastAsia="Calibri"/>
          <w:color w:val="040C28"/>
          <w:lang w:val="es-GT" w:eastAsia="en-US"/>
        </w:rPr>
        <w:t xml:space="preserve">En este aspecto </w:t>
      </w:r>
      <w:r w:rsidRPr="00903B01">
        <w:rPr>
          <w:rFonts w:eastAsia="Calibri"/>
          <w:color w:val="000000"/>
          <w:lang w:val="es-GT" w:eastAsia="en-US"/>
        </w:rPr>
        <w:t>es necesario un análisis y esfuerzos profundos con la finalidad de construir una barrera de reparación de la base craneal hermética, eficiente y estable en el tiempo que disminuya la incidencia de estas complicaciones.</w:t>
      </w:r>
    </w:p>
    <w:p w14:paraId="402A9D73" w14:textId="77777777" w:rsidR="00903B01" w:rsidRPr="00903B01" w:rsidRDefault="00903B01" w:rsidP="00903B01">
      <w:pPr>
        <w:suppressAutoHyphens/>
        <w:autoSpaceDN w:val="0"/>
        <w:spacing w:line="360" w:lineRule="auto"/>
        <w:jc w:val="both"/>
        <w:textAlignment w:val="baseline"/>
        <w:rPr>
          <w:rFonts w:eastAsia="Calibri"/>
          <w:szCs w:val="22"/>
          <w:lang w:val="es-GT" w:eastAsia="en-US"/>
        </w:rPr>
      </w:pPr>
      <w:r w:rsidRPr="00903B01">
        <w:rPr>
          <w:rFonts w:eastAsia="Calibri"/>
          <w:szCs w:val="22"/>
          <w:lang w:val="es-GT" w:eastAsia="en-US"/>
        </w:rPr>
        <w:t>El objetivo de la presente investigación es evaluar la efectividad de la construcción de una barrera de reconstrucción de la base craneal en pacientes con tumores de la base craneal operados por AEE.</w:t>
      </w:r>
    </w:p>
    <w:p w14:paraId="3DE71028" w14:textId="77777777" w:rsidR="00903B01" w:rsidRPr="00903B01" w:rsidRDefault="00903B01" w:rsidP="00903B01">
      <w:pPr>
        <w:suppressAutoHyphens/>
        <w:autoSpaceDE w:val="0"/>
        <w:autoSpaceDN w:val="0"/>
        <w:spacing w:line="360" w:lineRule="auto"/>
        <w:jc w:val="center"/>
        <w:textAlignment w:val="baseline"/>
        <w:rPr>
          <w:rFonts w:eastAsia="Calibri"/>
          <w:b/>
          <w:color w:val="000000"/>
          <w:lang w:val="es-GT" w:eastAsia="en-US"/>
        </w:rPr>
      </w:pPr>
    </w:p>
    <w:p w14:paraId="64639E07" w14:textId="77777777" w:rsidR="00903B01" w:rsidRPr="00903B01" w:rsidRDefault="00903B01" w:rsidP="00903B01">
      <w:pPr>
        <w:suppressAutoHyphens/>
        <w:autoSpaceDE w:val="0"/>
        <w:autoSpaceDN w:val="0"/>
        <w:spacing w:line="360" w:lineRule="auto"/>
        <w:jc w:val="center"/>
        <w:textAlignment w:val="baseline"/>
        <w:rPr>
          <w:rFonts w:eastAsia="Calibri"/>
          <w:b/>
          <w:color w:val="000000"/>
          <w:sz w:val="32"/>
          <w:szCs w:val="32"/>
          <w:lang w:val="es-GT" w:eastAsia="en-US"/>
        </w:rPr>
      </w:pPr>
    </w:p>
    <w:p w14:paraId="5CB26807" w14:textId="77777777" w:rsidR="00903B01" w:rsidRPr="00903B01" w:rsidRDefault="00903B01" w:rsidP="00903B01">
      <w:pPr>
        <w:suppressAutoHyphens/>
        <w:autoSpaceDE w:val="0"/>
        <w:autoSpaceDN w:val="0"/>
        <w:spacing w:line="360" w:lineRule="auto"/>
        <w:jc w:val="center"/>
        <w:textAlignment w:val="baseline"/>
        <w:rPr>
          <w:rFonts w:eastAsia="Calibri"/>
          <w:b/>
          <w:color w:val="000000"/>
          <w:sz w:val="32"/>
          <w:szCs w:val="32"/>
          <w:lang w:val="es-GT" w:eastAsia="en-US"/>
        </w:rPr>
      </w:pPr>
      <w:r w:rsidRPr="00903B01">
        <w:rPr>
          <w:rFonts w:eastAsia="Calibri"/>
          <w:b/>
          <w:color w:val="000000"/>
          <w:sz w:val="32"/>
          <w:szCs w:val="32"/>
          <w:lang w:val="es-GT" w:eastAsia="en-US"/>
        </w:rPr>
        <w:t>MÉTODOS</w:t>
      </w:r>
    </w:p>
    <w:p w14:paraId="434DCD8D" w14:textId="77777777" w:rsidR="00903B01" w:rsidRPr="00903B01" w:rsidRDefault="00903B01" w:rsidP="00903B01">
      <w:pPr>
        <w:suppressAutoHyphens/>
        <w:autoSpaceDN w:val="0"/>
        <w:spacing w:line="360" w:lineRule="auto"/>
        <w:jc w:val="both"/>
        <w:textAlignment w:val="baseline"/>
        <w:rPr>
          <w:rFonts w:eastAsia="Calibri"/>
          <w:sz w:val="22"/>
          <w:szCs w:val="22"/>
          <w:lang w:val="es-GT" w:eastAsia="en-US"/>
        </w:rPr>
      </w:pPr>
      <w:r w:rsidRPr="00903B01">
        <w:rPr>
          <w:rFonts w:eastAsia="Calibri"/>
          <w:color w:val="000000"/>
          <w:lang w:val="es-GT" w:eastAsia="en-US"/>
        </w:rPr>
        <w:t xml:space="preserve">Se realizó un estudio descriptivo retrospectivo entre enero del 2021 a junio del 2022 en 70 pacientes con lesiones tumorales de la base craneal con criterio para cirugía endonasal endoscópica a la base del cráneo (AEE), </w:t>
      </w:r>
      <w:r w:rsidRPr="00903B01">
        <w:rPr>
          <w:rFonts w:eastAsia="Calibri"/>
          <w:szCs w:val="22"/>
          <w:lang w:val="es-GT" w:eastAsia="en-US"/>
        </w:rPr>
        <w:t>en el Hospital Universitario Hermanos Ameijeiras, de la Habana, Cuba</w:t>
      </w:r>
      <w:r w:rsidRPr="00903B01">
        <w:rPr>
          <w:rFonts w:eastAsia="Calibri"/>
          <w:color w:val="000000"/>
          <w:lang w:val="es-GT" w:eastAsia="en-US"/>
        </w:rPr>
        <w:t xml:space="preserve">. Se realizaron AEE tanto </w:t>
      </w:r>
      <w:r w:rsidRPr="00903B01">
        <w:rPr>
          <w:rFonts w:eastAsia="Calibri"/>
          <w:color w:val="000000"/>
          <w:lang w:val="es-GT" w:eastAsia="en-US"/>
        </w:rPr>
        <w:lastRenderedPageBreak/>
        <w:t>en el plano coronal como sagital según la topografía y extensión de la lesión. La base de datos se obtuvo a partir del sistema de historias clínicas del establecimiento de salud durante el año 2021-2022.</w:t>
      </w:r>
    </w:p>
    <w:p w14:paraId="1AD3817A" w14:textId="77777777" w:rsidR="00903B01" w:rsidRPr="00903B01" w:rsidRDefault="00903B01" w:rsidP="00903B01">
      <w:pPr>
        <w:suppressAutoHyphens/>
        <w:autoSpaceDN w:val="0"/>
        <w:spacing w:line="360" w:lineRule="auto"/>
        <w:jc w:val="both"/>
        <w:textAlignment w:val="baseline"/>
        <w:rPr>
          <w:rFonts w:eastAsia="Calibri"/>
          <w:color w:val="000000"/>
          <w:lang w:val="es-GT" w:eastAsia="en-US"/>
        </w:rPr>
      </w:pPr>
      <w:r w:rsidRPr="00903B01">
        <w:rPr>
          <w:rFonts w:eastAsia="Calibri"/>
          <w:color w:val="000000"/>
          <w:lang w:val="es-GT" w:eastAsia="en-US"/>
        </w:rPr>
        <w:t>Se tuvo en cuenta como criterios de inclusión pacientes con sospecha clínica e imagenológica de tumor benigno en la base craneal, de 19 años y más, con criterio quirúrgico. Se excluyeron los pacientes con confirmación de tumor maligno de la base craneal.</w:t>
      </w:r>
    </w:p>
    <w:p w14:paraId="3F1AE456" w14:textId="77777777" w:rsidR="00903B01" w:rsidRPr="00903B01" w:rsidRDefault="00903B01" w:rsidP="00903B01">
      <w:pPr>
        <w:suppressAutoHyphens/>
        <w:autoSpaceDN w:val="0"/>
        <w:spacing w:line="360" w:lineRule="auto"/>
        <w:jc w:val="both"/>
        <w:textAlignment w:val="baseline"/>
        <w:rPr>
          <w:rFonts w:eastAsia="Calibri"/>
          <w:color w:val="000000"/>
          <w:lang w:val="es-GT" w:eastAsia="en-US"/>
        </w:rPr>
      </w:pPr>
      <w:r w:rsidRPr="00903B01">
        <w:rPr>
          <w:rFonts w:eastAsia="Calibri"/>
          <w:color w:val="000000"/>
          <w:lang w:val="es-GT" w:eastAsia="en-US"/>
        </w:rPr>
        <w:t>Con todos los pacientes se desarrolló un análisis detallado y personalizado según las características clínicas e imagenológicas. Se realizó una planificación quirúrgica para lesiones localizadas en línea media de la base craneal, teniendo como puntos de referencia en la base craneal anterior la pared medial de las órbitas, en la base craneal media las arterias carótidas internas y seno cavernoso y en la base craneal posterior el conducto auditivo interno. Se realizaron AEE a lesiones en la base del cráneo, tanto en el plano coronal como sagital según la topografía y extensión de la lesión.</w:t>
      </w:r>
    </w:p>
    <w:p w14:paraId="05B687DE" w14:textId="77777777" w:rsidR="00903B01" w:rsidRPr="00903B01" w:rsidRDefault="00903B01" w:rsidP="00903B01">
      <w:pPr>
        <w:suppressAutoHyphens/>
        <w:autoSpaceDN w:val="0"/>
        <w:spacing w:line="360" w:lineRule="auto"/>
        <w:jc w:val="both"/>
        <w:textAlignment w:val="baseline"/>
        <w:rPr>
          <w:rFonts w:eastAsia="Calibri"/>
          <w:color w:val="000000"/>
          <w:lang w:val="es-GT" w:eastAsia="en-US"/>
        </w:rPr>
      </w:pPr>
      <w:r w:rsidRPr="00903B01">
        <w:rPr>
          <w:rFonts w:eastAsia="Calibri"/>
          <w:color w:val="000000"/>
          <w:lang w:val="es-GT" w:eastAsia="en-US"/>
        </w:rPr>
        <w:t>Se aplicó como parte de la planificación quirúrgica un estudio de tomografía axial computarizada (TAC), para conocer detalles de la anatomía nasosinusal. Se estimaron las dimensiones nasales propias de cada paciente. De igual manera, se realizó una resonancia magnética (RM) simple y contrastada, con la finalidad de determinar características de la lesión como lo son: tamaño, relaciones neurovasculares, topografía en la base craneal.</w:t>
      </w:r>
    </w:p>
    <w:p w14:paraId="46871435" w14:textId="77777777" w:rsidR="00903B01" w:rsidRPr="00903B01" w:rsidRDefault="00903B01" w:rsidP="00903B01">
      <w:pPr>
        <w:suppressAutoHyphens/>
        <w:autoSpaceDN w:val="0"/>
        <w:spacing w:line="360" w:lineRule="auto"/>
        <w:jc w:val="center"/>
        <w:textAlignment w:val="baseline"/>
        <w:rPr>
          <w:rFonts w:eastAsia="Calibri"/>
          <w:b/>
          <w:color w:val="000000"/>
          <w:sz w:val="28"/>
          <w:szCs w:val="28"/>
          <w:lang w:val="es-GT" w:eastAsia="en-US"/>
        </w:rPr>
      </w:pPr>
      <w:r w:rsidRPr="00903B01">
        <w:rPr>
          <w:rFonts w:eastAsia="Calibri"/>
          <w:b/>
          <w:color w:val="000000"/>
          <w:sz w:val="28"/>
          <w:szCs w:val="28"/>
          <w:lang w:val="es-GT" w:eastAsia="en-US"/>
        </w:rPr>
        <w:t>Definición de barrera de reparación</w:t>
      </w:r>
    </w:p>
    <w:p w14:paraId="471F16CF" w14:textId="77777777" w:rsidR="00903B01" w:rsidRPr="00903B01" w:rsidRDefault="00903B01" w:rsidP="00903B01">
      <w:pPr>
        <w:suppressAutoHyphens/>
        <w:autoSpaceDE w:val="0"/>
        <w:autoSpaceDN w:val="0"/>
        <w:spacing w:line="360" w:lineRule="auto"/>
        <w:jc w:val="both"/>
        <w:textAlignment w:val="baseline"/>
        <w:rPr>
          <w:rFonts w:eastAsia="Calibri"/>
          <w:color w:val="000000"/>
          <w:lang w:val="es-GT" w:eastAsia="en-US"/>
        </w:rPr>
      </w:pPr>
      <w:r w:rsidRPr="00903B01">
        <w:rPr>
          <w:rFonts w:eastAsia="Calibri"/>
          <w:color w:val="000000"/>
          <w:lang w:val="es-GT" w:eastAsia="en-US"/>
        </w:rPr>
        <w:t xml:space="preserve">El grupo de trabajo de este estudio define el concepto de “barrera de reparación” en los procedimientos endonasales endoscópicos como: el conjunto de elementos aplicados de forma armónica para aislar la cavidad nasosinusal del compartimiento intracraneal, teniendo en cuenta principios matemáticos, físicos, arquitectónicos y biológicos, con la finalidad de resaltar esta estructura como parte fundamental para una reparación de la base craneal hermética, eficiente y estable en el tiempo. Todo esto encaminado a reducir la fístula de LCR y sus complicaciones.  </w:t>
      </w:r>
    </w:p>
    <w:p w14:paraId="0EBAF013" w14:textId="77777777" w:rsidR="00903B01" w:rsidRPr="00903B01" w:rsidRDefault="00903B01" w:rsidP="00903B01">
      <w:pPr>
        <w:suppressAutoHyphens/>
        <w:autoSpaceDN w:val="0"/>
        <w:spacing w:line="360" w:lineRule="auto"/>
        <w:jc w:val="center"/>
        <w:textAlignment w:val="baseline"/>
        <w:rPr>
          <w:rFonts w:eastAsia="Calibri"/>
          <w:b/>
          <w:bCs/>
          <w:color w:val="000000"/>
          <w:sz w:val="28"/>
          <w:szCs w:val="28"/>
          <w:lang w:val="es-GT" w:eastAsia="en-US"/>
        </w:rPr>
      </w:pPr>
      <w:r w:rsidRPr="00903B01">
        <w:rPr>
          <w:rFonts w:eastAsia="Calibri"/>
          <w:b/>
          <w:bCs/>
          <w:color w:val="000000"/>
          <w:sz w:val="28"/>
          <w:szCs w:val="28"/>
          <w:lang w:val="es-GT" w:eastAsia="en-US"/>
        </w:rPr>
        <w:t>Elementos empleados en la construcción de la barrera de reparación de la base craneal</w:t>
      </w:r>
    </w:p>
    <w:p w14:paraId="3498B975" w14:textId="77777777" w:rsidR="00903B01" w:rsidRPr="00903B01" w:rsidRDefault="00903B01" w:rsidP="00903B01">
      <w:pPr>
        <w:suppressAutoHyphens/>
        <w:autoSpaceDN w:val="0"/>
        <w:spacing w:line="360" w:lineRule="auto"/>
        <w:jc w:val="both"/>
        <w:textAlignment w:val="baseline"/>
        <w:rPr>
          <w:rFonts w:eastAsia="Calibri"/>
          <w:bCs/>
          <w:color w:val="000000"/>
          <w:lang w:val="es-GT" w:eastAsia="en-US"/>
        </w:rPr>
      </w:pPr>
      <w:r w:rsidRPr="00903B01">
        <w:rPr>
          <w:rFonts w:eastAsia="Calibri"/>
          <w:bCs/>
          <w:color w:val="000000"/>
          <w:lang w:val="es-GT" w:eastAsia="en-US"/>
        </w:rPr>
        <w:t xml:space="preserve">En los pacientes con tumor sin contacto con el sistema hidrodinámico cerebral (microadenomas hipofisarios y adenomas sin apertura de la aracnoides), la barrera de reparación se conformó con grasa intrudural y 2 capas de fibrina rica en plaquetas y leucocitos, así como por una sonda Foley nasal. </w:t>
      </w:r>
      <w:r w:rsidRPr="00903B01">
        <w:rPr>
          <w:rFonts w:eastAsia="Calibri"/>
          <w:bCs/>
          <w:color w:val="000000"/>
          <w:lang w:val="es-GT" w:eastAsia="en-US"/>
        </w:rPr>
        <w:lastRenderedPageBreak/>
        <w:t xml:space="preserve">Mientras que en los pacientes con un tumor en relación directa con el sistema hidrodinámico cerebral (meningiomas, craneofaringiomas, adenomas gigantes con apertura de la aracnoides) se utilizó como elementos en la barrera de reparación: </w:t>
      </w:r>
    </w:p>
    <w:p w14:paraId="620F8BF4" w14:textId="77777777" w:rsidR="00903B01" w:rsidRPr="00903B01" w:rsidRDefault="00903B01" w:rsidP="00890CCD">
      <w:pPr>
        <w:suppressAutoHyphens/>
        <w:autoSpaceDN w:val="0"/>
        <w:spacing w:line="360" w:lineRule="auto"/>
        <w:jc w:val="both"/>
        <w:textAlignment w:val="baseline"/>
        <w:rPr>
          <w:rFonts w:eastAsia="Calibri"/>
          <w:bCs/>
          <w:color w:val="000000"/>
          <w:lang w:val="es-GT" w:eastAsia="en-US"/>
        </w:rPr>
      </w:pPr>
    </w:p>
    <w:p w14:paraId="0978F04D" w14:textId="77777777" w:rsidR="00903B01" w:rsidRPr="00903B01" w:rsidRDefault="00903B01" w:rsidP="00890CCD">
      <w:pPr>
        <w:numPr>
          <w:ilvl w:val="0"/>
          <w:numId w:val="2"/>
        </w:numPr>
        <w:suppressAutoHyphens/>
        <w:autoSpaceDN w:val="0"/>
        <w:spacing w:line="360" w:lineRule="auto"/>
        <w:ind w:left="284" w:hanging="284"/>
        <w:jc w:val="both"/>
        <w:textAlignment w:val="baseline"/>
        <w:rPr>
          <w:rFonts w:eastAsia="Calibri"/>
          <w:color w:val="000000"/>
          <w:lang w:val="es-GT" w:eastAsia="en-US"/>
        </w:rPr>
      </w:pPr>
      <w:r w:rsidRPr="00903B01">
        <w:rPr>
          <w:rFonts w:eastAsia="Calibri"/>
          <w:bCs/>
          <w:color w:val="000000"/>
          <w:lang w:val="es-GT" w:eastAsia="en-US"/>
        </w:rPr>
        <w:t xml:space="preserve">Colgajo nasoseptal </w:t>
      </w:r>
      <w:r w:rsidRPr="00903B01">
        <w:rPr>
          <w:rFonts w:eastAsia="Calibri"/>
          <w:color w:val="000000"/>
          <w:lang w:val="es-GT" w:eastAsia="en-US"/>
        </w:rPr>
        <w:t xml:space="preserve">descrito por </w:t>
      </w:r>
      <w:r w:rsidRPr="00903B01">
        <w:rPr>
          <w:rFonts w:eastAsia="Calibri"/>
          <w:i/>
          <w:iCs/>
          <w:color w:val="000000"/>
          <w:lang w:val="es-GT" w:eastAsia="en-US"/>
        </w:rPr>
        <w:t>Hadad</w:t>
      </w:r>
      <w:r w:rsidRPr="00903B01">
        <w:rPr>
          <w:rFonts w:eastAsia="Calibri"/>
          <w:color w:val="000000"/>
          <w:lang w:val="es-GT" w:eastAsia="en-US"/>
        </w:rPr>
        <w:t xml:space="preserve"> y otros,</w:t>
      </w:r>
      <w:r w:rsidRPr="00903B01">
        <w:rPr>
          <w:rFonts w:eastAsia="Calibri"/>
          <w:color w:val="000000"/>
          <w:vertAlign w:val="superscript"/>
          <w:lang w:val="es-GT" w:eastAsia="en-US"/>
        </w:rPr>
        <w:t>(5)</w:t>
      </w:r>
      <w:r w:rsidRPr="00903B01">
        <w:rPr>
          <w:rFonts w:eastAsia="Calibri"/>
          <w:color w:val="000000"/>
          <w:lang w:val="es-GT" w:eastAsia="en-US"/>
        </w:rPr>
        <w:t xml:space="preserve"> con modificaciones diseñadas por el equipo de trabajo, un pedículo más inferolateral y por tanto más ancho. Se utilizaron 2 variantes: el colgajo de Hadad y Bassagasteguy estándar (CH-B) y el colgajo de Hadad y Bassagasteguy ampliado (CH-BA)</w:t>
      </w:r>
      <w:r w:rsidRPr="00903B01">
        <w:rPr>
          <w:rFonts w:eastAsia="Calibri"/>
          <w:color w:val="000000"/>
          <w:vertAlign w:val="superscript"/>
          <w:lang w:val="es-GT" w:eastAsia="en-US"/>
        </w:rPr>
        <w:t>(5)</w:t>
      </w:r>
      <w:r w:rsidRPr="00903B01">
        <w:rPr>
          <w:rFonts w:eastAsia="Calibri"/>
          <w:color w:val="000000"/>
          <w:lang w:val="es-GT" w:eastAsia="en-US"/>
        </w:rPr>
        <w:t xml:space="preserve"> al piso del meato inferior, el cual incrementa su anchura en sus segmentos medio-distal.  </w:t>
      </w:r>
    </w:p>
    <w:p w14:paraId="7FA77995" w14:textId="77777777" w:rsidR="00903B01" w:rsidRPr="00903B01" w:rsidRDefault="00903B01" w:rsidP="00890CCD">
      <w:pPr>
        <w:numPr>
          <w:ilvl w:val="0"/>
          <w:numId w:val="2"/>
        </w:numPr>
        <w:suppressAutoHyphens/>
        <w:autoSpaceDN w:val="0"/>
        <w:spacing w:line="360" w:lineRule="auto"/>
        <w:ind w:left="284" w:hanging="284"/>
        <w:jc w:val="both"/>
        <w:textAlignment w:val="baseline"/>
        <w:rPr>
          <w:rFonts w:eastAsia="Calibri"/>
          <w:color w:val="000000"/>
          <w:lang w:val="es-GT" w:eastAsia="en-US"/>
        </w:rPr>
      </w:pPr>
      <w:r w:rsidRPr="00903B01">
        <w:rPr>
          <w:rFonts w:eastAsia="Calibri"/>
          <w:color w:val="000000"/>
          <w:lang w:val="es-GT" w:eastAsia="en-US"/>
        </w:rPr>
        <w:t xml:space="preserve">Grasa (intradural), fascia muscular iliotibial (extadural). Tres capas de fibrina rica en plaquetas y leucocitos (L-PRF), una capa intradural, otra subdural y la última encima del colgajo nasoseptal. </w:t>
      </w:r>
    </w:p>
    <w:p w14:paraId="56F0517F" w14:textId="77777777" w:rsidR="00903B01" w:rsidRPr="00903B01" w:rsidRDefault="00903B01" w:rsidP="00890CCD">
      <w:pPr>
        <w:numPr>
          <w:ilvl w:val="0"/>
          <w:numId w:val="2"/>
        </w:numPr>
        <w:suppressAutoHyphens/>
        <w:autoSpaceDN w:val="0"/>
        <w:spacing w:line="360" w:lineRule="auto"/>
        <w:ind w:left="284" w:hanging="284"/>
        <w:jc w:val="both"/>
        <w:textAlignment w:val="baseline"/>
        <w:rPr>
          <w:rFonts w:eastAsia="Calibri"/>
          <w:color w:val="000000"/>
          <w:lang w:val="es-GT" w:eastAsia="en-US"/>
        </w:rPr>
      </w:pPr>
      <w:r w:rsidRPr="00903B01">
        <w:rPr>
          <w:rFonts w:eastAsia="Calibri"/>
          <w:color w:val="000000"/>
          <w:lang w:val="es-GT" w:eastAsia="en-US"/>
        </w:rPr>
        <w:t>Sonda Foley nasal.</w:t>
      </w:r>
    </w:p>
    <w:p w14:paraId="5C736574" w14:textId="77777777" w:rsidR="00903B01" w:rsidRPr="00903B01" w:rsidRDefault="00903B01" w:rsidP="00903B01">
      <w:pPr>
        <w:suppressAutoHyphens/>
        <w:autoSpaceDN w:val="0"/>
        <w:spacing w:line="360" w:lineRule="auto"/>
        <w:jc w:val="both"/>
        <w:textAlignment w:val="baseline"/>
        <w:rPr>
          <w:rFonts w:eastAsia="Calibri"/>
          <w:color w:val="000000"/>
          <w:lang w:val="es-GT" w:eastAsia="en-US"/>
        </w:rPr>
      </w:pPr>
    </w:p>
    <w:p w14:paraId="5207F7B2" w14:textId="77777777" w:rsidR="00903B01" w:rsidRPr="00903B01" w:rsidRDefault="00903B01" w:rsidP="00903B01">
      <w:pPr>
        <w:suppressAutoHyphens/>
        <w:autoSpaceDN w:val="0"/>
        <w:spacing w:line="360" w:lineRule="auto"/>
        <w:jc w:val="center"/>
        <w:textAlignment w:val="baseline"/>
        <w:rPr>
          <w:rFonts w:eastAsia="Calibri"/>
          <w:b/>
          <w:color w:val="000000"/>
          <w:sz w:val="28"/>
          <w:szCs w:val="28"/>
          <w:lang w:val="es-GT" w:eastAsia="en-US"/>
        </w:rPr>
      </w:pPr>
      <w:r w:rsidRPr="00903B01">
        <w:rPr>
          <w:rFonts w:eastAsia="Calibri"/>
          <w:b/>
          <w:color w:val="000000"/>
          <w:sz w:val="28"/>
          <w:szCs w:val="28"/>
          <w:lang w:val="es-GT" w:eastAsia="en-US"/>
        </w:rPr>
        <w:t>Evaluación posoperatoria</w:t>
      </w:r>
    </w:p>
    <w:p w14:paraId="16B6385D" w14:textId="77777777" w:rsidR="00903B01" w:rsidRPr="00903B01" w:rsidRDefault="00903B01" w:rsidP="00903B01">
      <w:pPr>
        <w:suppressAutoHyphens/>
        <w:autoSpaceDN w:val="0"/>
        <w:spacing w:line="360" w:lineRule="auto"/>
        <w:jc w:val="both"/>
        <w:textAlignment w:val="baseline"/>
        <w:rPr>
          <w:rFonts w:eastAsia="Calibri"/>
          <w:b/>
          <w:color w:val="000000"/>
          <w:lang w:val="es-GT" w:eastAsia="en-US"/>
        </w:rPr>
      </w:pPr>
      <w:r w:rsidRPr="00903B01">
        <w:rPr>
          <w:rFonts w:eastAsia="Calibri"/>
          <w:color w:val="000000"/>
          <w:lang w:val="es-GT" w:eastAsia="en-US"/>
        </w:rPr>
        <w:t>Para determinar la eficiencia de la barrera de reparación de la base craneal se tuvieron en cuenta aspectos clínicos y endoscópicos.</w:t>
      </w:r>
      <w:r w:rsidRPr="00903B01">
        <w:rPr>
          <w:rFonts w:eastAsia="Calibri"/>
          <w:b/>
          <w:color w:val="000000"/>
          <w:lang w:val="es-GT" w:eastAsia="en-US"/>
        </w:rPr>
        <w:t xml:space="preserve">  </w:t>
      </w:r>
    </w:p>
    <w:p w14:paraId="679D1350" w14:textId="77777777" w:rsidR="00903B01" w:rsidRPr="00903B01" w:rsidRDefault="00903B01" w:rsidP="00890CCD">
      <w:pPr>
        <w:suppressAutoHyphens/>
        <w:autoSpaceDN w:val="0"/>
        <w:spacing w:line="360" w:lineRule="auto"/>
        <w:jc w:val="both"/>
        <w:textAlignment w:val="baseline"/>
        <w:rPr>
          <w:rFonts w:eastAsia="Calibri"/>
          <w:color w:val="000000"/>
          <w:lang w:val="es-GT" w:eastAsia="en-US"/>
        </w:rPr>
      </w:pPr>
    </w:p>
    <w:p w14:paraId="0FFAC180" w14:textId="77777777" w:rsidR="00903B01" w:rsidRPr="00903B01" w:rsidRDefault="00903B01" w:rsidP="00890CCD">
      <w:pPr>
        <w:numPr>
          <w:ilvl w:val="0"/>
          <w:numId w:val="3"/>
        </w:numPr>
        <w:suppressAutoHyphens/>
        <w:autoSpaceDN w:val="0"/>
        <w:spacing w:line="360" w:lineRule="auto"/>
        <w:ind w:left="284" w:hanging="284"/>
        <w:jc w:val="both"/>
        <w:textAlignment w:val="baseline"/>
        <w:rPr>
          <w:rFonts w:eastAsia="Calibri"/>
          <w:bCs/>
          <w:color w:val="000000"/>
          <w:lang w:val="es-GT" w:eastAsia="en-US"/>
        </w:rPr>
      </w:pPr>
      <w:r w:rsidRPr="00903B01">
        <w:rPr>
          <w:rFonts w:eastAsia="Calibri"/>
          <w:bCs/>
          <w:color w:val="000000"/>
          <w:lang w:val="es-GT" w:eastAsia="en-US"/>
        </w:rPr>
        <w:t xml:space="preserve">Clínicos: se evaluó la </w:t>
      </w:r>
      <w:r w:rsidRPr="00903B01">
        <w:rPr>
          <w:rFonts w:eastAsia="Calibri"/>
          <w:bCs/>
          <w:iCs/>
          <w:color w:val="000000"/>
          <w:lang w:val="es-GT" w:eastAsia="en-US"/>
        </w:rPr>
        <w:t>presencia o no de fístula de LCR,</w:t>
      </w:r>
      <w:r w:rsidRPr="00903B01">
        <w:rPr>
          <w:rFonts w:eastAsia="Calibri"/>
          <w:bCs/>
          <w:color w:val="000000"/>
          <w:lang w:val="es-GT" w:eastAsia="en-US"/>
        </w:rPr>
        <w:t xml:space="preserve"> la cual se analizó al finalizar la cirugía, durante el tiempo de ingreso, al momento del alta y a los 3 meses de operados a través de una maniobra de descenso gravitacional de la cabeza. De igual manera se evaluó la presencia de síntomas o signos de sepsis del sistema nervioso central (SNC).</w:t>
      </w:r>
    </w:p>
    <w:p w14:paraId="21DE1262" w14:textId="77777777" w:rsidR="00903B01" w:rsidRPr="00903B01" w:rsidRDefault="00903B01" w:rsidP="00890CCD">
      <w:pPr>
        <w:numPr>
          <w:ilvl w:val="0"/>
          <w:numId w:val="3"/>
        </w:numPr>
        <w:suppressAutoHyphens/>
        <w:autoSpaceDN w:val="0"/>
        <w:spacing w:line="360" w:lineRule="auto"/>
        <w:ind w:left="284" w:hanging="284"/>
        <w:jc w:val="both"/>
        <w:textAlignment w:val="baseline"/>
        <w:rPr>
          <w:rFonts w:eastAsia="Calibri"/>
          <w:bCs/>
          <w:color w:val="000000"/>
          <w:lang w:val="es-GT" w:eastAsia="en-US"/>
        </w:rPr>
      </w:pPr>
      <w:r w:rsidRPr="00903B01">
        <w:rPr>
          <w:rFonts w:eastAsia="Calibri"/>
          <w:bCs/>
          <w:color w:val="000000"/>
          <w:lang w:val="es-GT" w:eastAsia="en-US"/>
        </w:rPr>
        <w:t xml:space="preserve">Endoscópicos: se realizó a través de una revisión endonasal endoscópica entre el quinto y séptimo día (posoperatorio mediato) y a los 3 meses de operados (posoperatorio tardío) con objetivos específicos: </w:t>
      </w:r>
    </w:p>
    <w:p w14:paraId="5F740CFF" w14:textId="77777777" w:rsidR="00903B01" w:rsidRPr="00903B01" w:rsidRDefault="00903B01" w:rsidP="00890CCD">
      <w:pPr>
        <w:suppressAutoHyphens/>
        <w:autoSpaceDN w:val="0"/>
        <w:spacing w:line="360" w:lineRule="auto"/>
        <w:jc w:val="both"/>
        <w:textAlignment w:val="baseline"/>
        <w:rPr>
          <w:rFonts w:eastAsia="Calibri"/>
          <w:color w:val="000000"/>
          <w:lang w:val="es-GT" w:eastAsia="en-US"/>
        </w:rPr>
      </w:pPr>
    </w:p>
    <w:p w14:paraId="022372D9" w14:textId="77777777" w:rsidR="00903B01" w:rsidRPr="00903B01" w:rsidRDefault="00903B01" w:rsidP="00903B01">
      <w:pPr>
        <w:suppressAutoHyphens/>
        <w:autoSpaceDN w:val="0"/>
        <w:spacing w:line="360" w:lineRule="auto"/>
        <w:jc w:val="both"/>
        <w:textAlignment w:val="baseline"/>
        <w:rPr>
          <w:rFonts w:eastAsia="Calibri"/>
          <w:iCs/>
          <w:color w:val="000000"/>
          <w:lang w:val="es-GT" w:eastAsia="en-US"/>
        </w:rPr>
      </w:pPr>
      <w:r w:rsidRPr="00903B01">
        <w:rPr>
          <w:rFonts w:eastAsia="Calibri"/>
          <w:iCs/>
          <w:color w:val="000000"/>
          <w:lang w:val="es-GT" w:eastAsia="en-US"/>
        </w:rPr>
        <w:t xml:space="preserve">Objetivos de la evaluación endoscópica mediata: </w:t>
      </w:r>
    </w:p>
    <w:p w14:paraId="24F9AB00" w14:textId="77777777" w:rsidR="00903B01" w:rsidRPr="00903B01" w:rsidRDefault="00903B01" w:rsidP="00903B01">
      <w:pPr>
        <w:suppressAutoHyphens/>
        <w:autoSpaceDN w:val="0"/>
        <w:spacing w:line="360" w:lineRule="auto"/>
        <w:jc w:val="both"/>
        <w:textAlignment w:val="baseline"/>
        <w:rPr>
          <w:rFonts w:eastAsia="Calibri"/>
          <w:iCs/>
          <w:color w:val="000000"/>
          <w:lang w:val="es-GT" w:eastAsia="en-US"/>
        </w:rPr>
      </w:pPr>
    </w:p>
    <w:p w14:paraId="1921F360" w14:textId="63A761F3" w:rsidR="00903B01" w:rsidRPr="00903B01" w:rsidRDefault="00903B01" w:rsidP="004113BC">
      <w:pPr>
        <w:numPr>
          <w:ilvl w:val="0"/>
          <w:numId w:val="4"/>
        </w:numPr>
        <w:suppressAutoHyphens/>
        <w:autoSpaceDN w:val="0"/>
        <w:spacing w:line="360" w:lineRule="auto"/>
        <w:ind w:hanging="357"/>
        <w:jc w:val="both"/>
        <w:textAlignment w:val="baseline"/>
        <w:rPr>
          <w:rFonts w:eastAsia="Calibri"/>
          <w:color w:val="000000"/>
          <w:lang w:val="es-GT" w:eastAsia="en-US"/>
        </w:rPr>
      </w:pPr>
      <w:r w:rsidRPr="00903B01">
        <w:rPr>
          <w:rFonts w:eastAsia="Calibri"/>
          <w:color w:val="000000"/>
          <w:lang w:val="es-GT" w:eastAsia="en-US"/>
        </w:rPr>
        <w:t>Evaluar la funcionabilidad de la barrera de reparación y se categorizó de la siguiente manera (Fig.</w:t>
      </w:r>
      <w:r w:rsidR="00890CCD">
        <w:rPr>
          <w:rFonts w:eastAsia="Calibri"/>
          <w:color w:val="000000"/>
          <w:lang w:val="es-GT" w:eastAsia="en-US"/>
        </w:rPr>
        <w:t> </w:t>
      </w:r>
      <w:r w:rsidRPr="00903B01">
        <w:rPr>
          <w:rFonts w:eastAsia="Calibri"/>
          <w:color w:val="000000"/>
          <w:lang w:val="es-GT" w:eastAsia="en-US"/>
        </w:rPr>
        <w:t>1).</w:t>
      </w:r>
    </w:p>
    <w:p w14:paraId="46826239" w14:textId="77777777" w:rsidR="00903B01" w:rsidRPr="00903B01" w:rsidRDefault="00903B01" w:rsidP="004113BC">
      <w:pPr>
        <w:numPr>
          <w:ilvl w:val="1"/>
          <w:numId w:val="4"/>
        </w:numPr>
        <w:suppressAutoHyphens/>
        <w:autoSpaceDN w:val="0"/>
        <w:spacing w:line="360" w:lineRule="auto"/>
        <w:ind w:hanging="357"/>
        <w:jc w:val="both"/>
        <w:textAlignment w:val="baseline"/>
        <w:rPr>
          <w:rFonts w:eastAsia="Calibri"/>
          <w:color w:val="000000"/>
          <w:lang w:val="es-GT" w:eastAsia="en-US"/>
        </w:rPr>
      </w:pPr>
      <w:r w:rsidRPr="00903B01">
        <w:rPr>
          <w:rFonts w:eastAsia="Calibri"/>
          <w:bCs/>
          <w:color w:val="000000"/>
          <w:lang w:val="es-GT" w:eastAsia="en-US"/>
        </w:rPr>
        <w:t>Eficiente:</w:t>
      </w:r>
      <w:r w:rsidRPr="00903B01">
        <w:rPr>
          <w:rFonts w:eastAsia="Calibri"/>
          <w:color w:val="000000"/>
          <w:lang w:val="es-GT" w:eastAsia="en-US"/>
        </w:rPr>
        <w:t xml:space="preserve"> no fístula de LCR, tejidos que cubren en su totalidad defecto dural y óseo. </w:t>
      </w:r>
    </w:p>
    <w:p w14:paraId="12FEEEF7" w14:textId="77777777" w:rsidR="00903B01" w:rsidRPr="00903B01" w:rsidRDefault="00903B01" w:rsidP="004113BC">
      <w:pPr>
        <w:numPr>
          <w:ilvl w:val="1"/>
          <w:numId w:val="4"/>
        </w:numPr>
        <w:suppressAutoHyphens/>
        <w:autoSpaceDN w:val="0"/>
        <w:spacing w:line="360" w:lineRule="auto"/>
        <w:ind w:hanging="357"/>
        <w:jc w:val="both"/>
        <w:textAlignment w:val="baseline"/>
        <w:rPr>
          <w:rFonts w:eastAsia="Calibri"/>
          <w:color w:val="000000"/>
          <w:lang w:val="es-GT" w:eastAsia="en-US"/>
        </w:rPr>
      </w:pPr>
      <w:r w:rsidRPr="00903B01">
        <w:rPr>
          <w:rFonts w:eastAsia="Calibri"/>
          <w:bCs/>
          <w:color w:val="000000"/>
          <w:lang w:val="es-GT" w:eastAsia="en-US"/>
        </w:rPr>
        <w:lastRenderedPageBreak/>
        <w:t>Ineficiente:</w:t>
      </w:r>
      <w:r w:rsidRPr="00903B01">
        <w:rPr>
          <w:rFonts w:eastAsia="Calibri"/>
          <w:b/>
          <w:color w:val="000000"/>
          <w:lang w:val="es-GT" w:eastAsia="en-US"/>
        </w:rPr>
        <w:t xml:space="preserve"> </w:t>
      </w:r>
      <w:r w:rsidRPr="00903B01">
        <w:rPr>
          <w:rFonts w:eastAsia="Calibri"/>
          <w:color w:val="000000"/>
          <w:lang w:val="es-GT" w:eastAsia="en-US"/>
        </w:rPr>
        <w:t xml:space="preserve">fístula de LCR, tejidos que no cubren en su totalidad defecto dural y óseo. </w:t>
      </w:r>
    </w:p>
    <w:p w14:paraId="59222D6E" w14:textId="77777777" w:rsidR="00903B01" w:rsidRPr="00903B01" w:rsidRDefault="00903B01" w:rsidP="00903B01">
      <w:pPr>
        <w:suppressAutoHyphens/>
        <w:autoSpaceDN w:val="0"/>
        <w:spacing w:line="360" w:lineRule="auto"/>
        <w:ind w:left="1440"/>
        <w:jc w:val="both"/>
        <w:textAlignment w:val="baseline"/>
        <w:rPr>
          <w:rFonts w:eastAsia="Calibri"/>
          <w:color w:val="000000"/>
          <w:lang w:val="es-GT" w:eastAsia="en-US"/>
        </w:rPr>
      </w:pPr>
    </w:p>
    <w:p w14:paraId="0F35BB8B" w14:textId="573A6F36" w:rsidR="00903B01" w:rsidRPr="00903B01" w:rsidRDefault="00903B01" w:rsidP="00903B01">
      <w:pPr>
        <w:suppressAutoHyphens/>
        <w:autoSpaceDN w:val="0"/>
        <w:spacing w:line="360" w:lineRule="auto"/>
        <w:ind w:left="720"/>
        <w:jc w:val="center"/>
        <w:textAlignment w:val="baseline"/>
        <w:rPr>
          <w:rFonts w:eastAsia="Calibri"/>
          <w:color w:val="000000"/>
          <w:lang w:val="es-GT" w:eastAsia="en-US"/>
        </w:rPr>
      </w:pPr>
      <w:r w:rsidRPr="00903B01">
        <w:rPr>
          <w:rFonts w:eastAsia="Calibri"/>
          <w:noProof/>
          <w:color w:val="000000"/>
          <w:lang w:val="es-GT" w:eastAsia="en-US"/>
        </w:rPr>
        <w:drawing>
          <wp:inline distT="0" distB="0" distL="0" distR="0" wp14:anchorId="7BC619C1" wp14:editId="7CF17C4C">
            <wp:extent cx="3416300" cy="3072130"/>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16300" cy="3072130"/>
                    </a:xfrm>
                    <a:prstGeom prst="rect">
                      <a:avLst/>
                    </a:prstGeom>
                    <a:noFill/>
                    <a:ln>
                      <a:noFill/>
                    </a:ln>
                  </pic:spPr>
                </pic:pic>
              </a:graphicData>
            </a:graphic>
          </wp:inline>
        </w:drawing>
      </w:r>
    </w:p>
    <w:p w14:paraId="1B686A29" w14:textId="77777777" w:rsidR="00903B01" w:rsidRPr="00903B01" w:rsidRDefault="00903B01" w:rsidP="00903B01">
      <w:pPr>
        <w:suppressAutoHyphens/>
        <w:autoSpaceDN w:val="0"/>
        <w:spacing w:line="360" w:lineRule="auto"/>
        <w:jc w:val="center"/>
        <w:textAlignment w:val="baseline"/>
        <w:rPr>
          <w:rFonts w:eastAsia="Calibri"/>
          <w:color w:val="000000"/>
          <w:sz w:val="22"/>
          <w:szCs w:val="22"/>
          <w:lang w:val="es-GT" w:eastAsia="en-US"/>
        </w:rPr>
      </w:pPr>
      <w:r w:rsidRPr="00903B01">
        <w:rPr>
          <w:rFonts w:eastAsia="Calibri"/>
          <w:b/>
          <w:color w:val="000000"/>
          <w:sz w:val="22"/>
          <w:szCs w:val="22"/>
          <w:lang w:val="es-GT" w:eastAsia="en-US"/>
        </w:rPr>
        <w:t>Fig. 1-</w:t>
      </w:r>
      <w:r w:rsidRPr="00903B01">
        <w:rPr>
          <w:rFonts w:eastAsia="Calibri"/>
          <w:color w:val="000000"/>
          <w:sz w:val="22"/>
          <w:szCs w:val="22"/>
          <w:lang w:val="es-GT" w:eastAsia="en-US"/>
        </w:rPr>
        <w:t xml:space="preserve"> A) Barrera de reparación eficiente; B) Barrera de reparación ineficiente.</w:t>
      </w:r>
    </w:p>
    <w:p w14:paraId="0FBD763F" w14:textId="77777777" w:rsidR="00903B01" w:rsidRPr="00903B01" w:rsidRDefault="00903B01" w:rsidP="00903B01">
      <w:pPr>
        <w:suppressAutoHyphens/>
        <w:autoSpaceDN w:val="0"/>
        <w:spacing w:line="360" w:lineRule="auto"/>
        <w:ind w:left="720"/>
        <w:jc w:val="both"/>
        <w:textAlignment w:val="baseline"/>
        <w:rPr>
          <w:rFonts w:eastAsia="Calibri"/>
          <w:color w:val="000000"/>
          <w:lang w:val="es-GT" w:eastAsia="en-US"/>
        </w:rPr>
      </w:pPr>
    </w:p>
    <w:p w14:paraId="726E1012" w14:textId="77777777" w:rsidR="00903B01" w:rsidRPr="00903B01" w:rsidRDefault="00903B01" w:rsidP="004113BC">
      <w:pPr>
        <w:numPr>
          <w:ilvl w:val="0"/>
          <w:numId w:val="4"/>
        </w:numPr>
        <w:suppressAutoHyphens/>
        <w:autoSpaceDN w:val="0"/>
        <w:spacing w:line="360" w:lineRule="auto"/>
        <w:jc w:val="both"/>
        <w:textAlignment w:val="baseline"/>
        <w:rPr>
          <w:rFonts w:eastAsia="Calibri"/>
          <w:color w:val="000000"/>
          <w:lang w:val="es-GT" w:eastAsia="en-US"/>
        </w:rPr>
      </w:pPr>
      <w:r w:rsidRPr="00903B01">
        <w:rPr>
          <w:rFonts w:eastAsia="Calibri"/>
          <w:color w:val="000000"/>
          <w:lang w:val="es-GT" w:eastAsia="en-US"/>
        </w:rPr>
        <w:t>Evaluar la vitalidad de la barrera de reparación y según los siguientes aspectos:</w:t>
      </w:r>
    </w:p>
    <w:p w14:paraId="036B83CB" w14:textId="77777777" w:rsidR="00903B01" w:rsidRPr="00903B01" w:rsidRDefault="00903B01" w:rsidP="004113BC">
      <w:pPr>
        <w:numPr>
          <w:ilvl w:val="1"/>
          <w:numId w:val="4"/>
        </w:numPr>
        <w:suppressAutoHyphens/>
        <w:autoSpaceDN w:val="0"/>
        <w:spacing w:line="360" w:lineRule="auto"/>
        <w:jc w:val="both"/>
        <w:textAlignment w:val="baseline"/>
        <w:rPr>
          <w:rFonts w:eastAsia="Calibri"/>
          <w:bCs/>
          <w:color w:val="000000"/>
          <w:lang w:val="es-GT" w:eastAsia="en-US"/>
        </w:rPr>
      </w:pPr>
      <w:r w:rsidRPr="00903B01">
        <w:rPr>
          <w:rFonts w:eastAsia="Calibri"/>
          <w:bCs/>
          <w:color w:val="000000"/>
          <w:lang w:val="es-GT" w:eastAsia="en-US"/>
        </w:rPr>
        <w:t>Adherencia de la barrera de reparación: Se determinó según el grado de adhesión de los tejidos y se categorizó de la siguiente manera.</w:t>
      </w:r>
    </w:p>
    <w:p w14:paraId="4EABC2F6" w14:textId="77777777" w:rsidR="00903B01" w:rsidRPr="00903B01" w:rsidRDefault="00903B01" w:rsidP="004113BC">
      <w:pPr>
        <w:numPr>
          <w:ilvl w:val="1"/>
          <w:numId w:val="4"/>
        </w:numPr>
        <w:suppressAutoHyphens/>
        <w:autoSpaceDN w:val="0"/>
        <w:spacing w:line="360" w:lineRule="auto"/>
        <w:jc w:val="both"/>
        <w:textAlignment w:val="baseline"/>
        <w:rPr>
          <w:rFonts w:eastAsia="Calibri"/>
          <w:bCs/>
          <w:color w:val="000000"/>
          <w:lang w:val="es-GT" w:eastAsia="en-US"/>
        </w:rPr>
      </w:pPr>
      <w:r w:rsidRPr="00903B01">
        <w:rPr>
          <w:rFonts w:eastAsia="Calibri"/>
          <w:bCs/>
          <w:color w:val="000000"/>
          <w:lang w:val="es-GT" w:eastAsia="en-US"/>
        </w:rPr>
        <w:t>De forma global: Adhesión entre los tejidos de la barrera de reparación y los bordes óseos de forma universal.</w:t>
      </w:r>
    </w:p>
    <w:p w14:paraId="2E632465" w14:textId="77777777" w:rsidR="00903B01" w:rsidRPr="00903B01" w:rsidRDefault="00903B01" w:rsidP="004113BC">
      <w:pPr>
        <w:numPr>
          <w:ilvl w:val="1"/>
          <w:numId w:val="4"/>
        </w:numPr>
        <w:suppressAutoHyphens/>
        <w:autoSpaceDN w:val="0"/>
        <w:spacing w:line="360" w:lineRule="auto"/>
        <w:jc w:val="both"/>
        <w:textAlignment w:val="baseline"/>
        <w:rPr>
          <w:rFonts w:eastAsia="Calibri"/>
          <w:color w:val="000000"/>
          <w:lang w:val="es-GT" w:eastAsia="en-US"/>
        </w:rPr>
      </w:pPr>
      <w:r w:rsidRPr="00903B01">
        <w:rPr>
          <w:rFonts w:eastAsia="Calibri"/>
          <w:bCs/>
          <w:color w:val="000000"/>
          <w:lang w:val="es-GT" w:eastAsia="en-US"/>
        </w:rPr>
        <w:t xml:space="preserve">De forma parcial: Presencia de tejidos de la barrera de reparación sin contacto </w:t>
      </w:r>
      <w:r w:rsidRPr="00903B01">
        <w:rPr>
          <w:rFonts w:eastAsia="Calibri"/>
          <w:color w:val="000000"/>
          <w:lang w:val="es-GT" w:eastAsia="en-US"/>
        </w:rPr>
        <w:t>con</w:t>
      </w:r>
      <w:r w:rsidRPr="00903B01">
        <w:rPr>
          <w:rFonts w:eastAsia="Calibri"/>
          <w:b/>
          <w:color w:val="000000"/>
          <w:lang w:val="es-GT" w:eastAsia="en-US"/>
        </w:rPr>
        <w:t xml:space="preserve"> </w:t>
      </w:r>
      <w:r w:rsidRPr="00903B01">
        <w:rPr>
          <w:rFonts w:eastAsia="Calibri"/>
          <w:color w:val="000000"/>
          <w:lang w:val="es-GT" w:eastAsia="en-US"/>
        </w:rPr>
        <w:t>los bordes óseos de la base craneal</w:t>
      </w:r>
    </w:p>
    <w:p w14:paraId="2C78060B" w14:textId="77777777" w:rsidR="00903B01" w:rsidRPr="00903B01" w:rsidRDefault="00903B01" w:rsidP="004113BC">
      <w:pPr>
        <w:suppressAutoHyphens/>
        <w:autoSpaceDN w:val="0"/>
        <w:spacing w:line="360" w:lineRule="auto"/>
        <w:ind w:left="360"/>
        <w:jc w:val="both"/>
        <w:textAlignment w:val="baseline"/>
        <w:rPr>
          <w:rFonts w:eastAsia="Calibri"/>
          <w:b/>
          <w:i/>
          <w:color w:val="000000"/>
          <w:u w:val="single"/>
          <w:lang w:val="es-GT" w:eastAsia="en-US"/>
        </w:rPr>
      </w:pPr>
    </w:p>
    <w:p w14:paraId="138C9530" w14:textId="77777777" w:rsidR="00903B01" w:rsidRPr="00903B01" w:rsidRDefault="00903B01" w:rsidP="004113BC">
      <w:pPr>
        <w:numPr>
          <w:ilvl w:val="0"/>
          <w:numId w:val="5"/>
        </w:numPr>
        <w:suppressAutoHyphens/>
        <w:autoSpaceDN w:val="0"/>
        <w:spacing w:line="360" w:lineRule="auto"/>
        <w:ind w:left="284" w:hanging="284"/>
        <w:jc w:val="both"/>
        <w:textAlignment w:val="baseline"/>
        <w:rPr>
          <w:rFonts w:eastAsia="Calibri"/>
          <w:color w:val="000000"/>
          <w:lang w:val="es-GT" w:eastAsia="en-US"/>
        </w:rPr>
      </w:pPr>
      <w:r w:rsidRPr="00903B01">
        <w:rPr>
          <w:rFonts w:eastAsia="Calibri"/>
          <w:bCs/>
          <w:color w:val="000000"/>
          <w:lang w:val="es-GT" w:eastAsia="en-US"/>
        </w:rPr>
        <w:t>Granulación de los tejidos de la barrera de reparación:</w:t>
      </w:r>
      <w:r w:rsidRPr="00903B01">
        <w:rPr>
          <w:rFonts w:eastAsia="Calibri"/>
          <w:bCs/>
          <w:i/>
          <w:color w:val="000000"/>
          <w:lang w:val="es-GT" w:eastAsia="en-US"/>
        </w:rPr>
        <w:t xml:space="preserve"> </w:t>
      </w:r>
      <w:r w:rsidRPr="00903B01">
        <w:rPr>
          <w:rFonts w:eastAsia="Calibri"/>
          <w:bCs/>
          <w:color w:val="000000"/>
          <w:lang w:val="es-GT" w:eastAsia="en-US"/>
        </w:rPr>
        <w:t>Se determinó según el grado de tejido de neoformación y se categorizó de la siguiente manera.</w:t>
      </w:r>
    </w:p>
    <w:p w14:paraId="134406F7" w14:textId="77777777" w:rsidR="00903B01" w:rsidRPr="00903B01" w:rsidRDefault="00903B01" w:rsidP="004113BC">
      <w:pPr>
        <w:numPr>
          <w:ilvl w:val="1"/>
          <w:numId w:val="5"/>
        </w:numPr>
        <w:suppressAutoHyphens/>
        <w:autoSpaceDN w:val="0"/>
        <w:spacing w:line="360" w:lineRule="auto"/>
        <w:ind w:left="567" w:hanging="283"/>
        <w:jc w:val="both"/>
        <w:textAlignment w:val="baseline"/>
        <w:rPr>
          <w:rFonts w:eastAsia="Calibri"/>
          <w:color w:val="000000"/>
          <w:lang w:val="es-GT" w:eastAsia="en-US"/>
        </w:rPr>
      </w:pPr>
      <w:r w:rsidRPr="00903B01">
        <w:rPr>
          <w:rFonts w:eastAsia="Calibri"/>
          <w:bCs/>
          <w:color w:val="000000"/>
          <w:lang w:val="es-GT" w:eastAsia="en-US"/>
        </w:rPr>
        <w:t xml:space="preserve">De forma global: Presencia de tejido de neoformación entre los tejidos de la </w:t>
      </w:r>
      <w:r w:rsidRPr="00903B01">
        <w:rPr>
          <w:rFonts w:eastAsia="Calibri"/>
          <w:color w:val="000000"/>
          <w:lang w:val="es-GT" w:eastAsia="en-US"/>
        </w:rPr>
        <w:t>barrera de reparación y los bordes óseos de forma universal.</w:t>
      </w:r>
    </w:p>
    <w:p w14:paraId="33CBF1DF" w14:textId="77777777" w:rsidR="00903B01" w:rsidRPr="00903B01" w:rsidRDefault="00903B01" w:rsidP="004113BC">
      <w:pPr>
        <w:numPr>
          <w:ilvl w:val="1"/>
          <w:numId w:val="5"/>
        </w:numPr>
        <w:suppressAutoHyphens/>
        <w:autoSpaceDN w:val="0"/>
        <w:spacing w:line="360" w:lineRule="auto"/>
        <w:ind w:left="567" w:hanging="283"/>
        <w:jc w:val="both"/>
        <w:textAlignment w:val="baseline"/>
        <w:rPr>
          <w:rFonts w:eastAsia="Calibri"/>
          <w:color w:val="000000"/>
          <w:lang w:val="es-GT" w:eastAsia="en-US"/>
        </w:rPr>
      </w:pPr>
      <w:r w:rsidRPr="00903B01">
        <w:rPr>
          <w:rFonts w:eastAsia="Calibri"/>
          <w:bCs/>
          <w:color w:val="000000"/>
          <w:lang w:val="es-GT" w:eastAsia="en-US"/>
        </w:rPr>
        <w:lastRenderedPageBreak/>
        <w:t xml:space="preserve">De forma parcial: Ausencia de tejidos de neoformación entre la barrera de </w:t>
      </w:r>
      <w:r w:rsidRPr="00903B01">
        <w:rPr>
          <w:rFonts w:eastAsia="Calibri"/>
          <w:color w:val="000000"/>
          <w:lang w:val="es-GT" w:eastAsia="en-US"/>
        </w:rPr>
        <w:t>reparación y los bordes óseos de la base craneal.</w:t>
      </w:r>
    </w:p>
    <w:p w14:paraId="320ABE12" w14:textId="77777777" w:rsidR="00903B01" w:rsidRPr="00903B01" w:rsidRDefault="00903B01" w:rsidP="004113BC">
      <w:pPr>
        <w:numPr>
          <w:ilvl w:val="0"/>
          <w:numId w:val="5"/>
        </w:numPr>
        <w:suppressAutoHyphens/>
        <w:autoSpaceDN w:val="0"/>
        <w:spacing w:line="360" w:lineRule="auto"/>
        <w:ind w:left="284" w:hanging="284"/>
        <w:jc w:val="both"/>
        <w:textAlignment w:val="baseline"/>
        <w:rPr>
          <w:rFonts w:eastAsia="Calibri"/>
          <w:color w:val="000000"/>
          <w:lang w:val="es-GT" w:eastAsia="en-US"/>
        </w:rPr>
      </w:pPr>
      <w:r w:rsidRPr="00903B01">
        <w:rPr>
          <w:rFonts w:eastAsia="Calibri"/>
          <w:bCs/>
          <w:color w:val="000000"/>
          <w:lang w:val="es-GT" w:eastAsia="en-US"/>
        </w:rPr>
        <w:t>Angiogénesis de los tejidos de la barrera de reparación:</w:t>
      </w:r>
      <w:r w:rsidRPr="00903B01">
        <w:rPr>
          <w:rFonts w:eastAsia="Calibri"/>
          <w:bCs/>
          <w:i/>
          <w:color w:val="000000"/>
          <w:lang w:val="es-GT" w:eastAsia="en-US"/>
        </w:rPr>
        <w:t xml:space="preserve"> </w:t>
      </w:r>
      <w:r w:rsidRPr="00903B01">
        <w:rPr>
          <w:rFonts w:eastAsia="Calibri"/>
          <w:bCs/>
          <w:color w:val="000000"/>
          <w:lang w:val="es-GT" w:eastAsia="en-US"/>
        </w:rPr>
        <w:t xml:space="preserve">Se determinó según la </w:t>
      </w:r>
      <w:r w:rsidRPr="00903B01">
        <w:rPr>
          <w:rFonts w:eastAsia="Calibri"/>
          <w:color w:val="000000"/>
          <w:lang w:val="es-GT" w:eastAsia="en-US"/>
        </w:rPr>
        <w:t>coloración entre los tejidos de la barrera de reparación y los bordes óseos de la base craneal, y se categorizó de la siguiente manera.</w:t>
      </w:r>
    </w:p>
    <w:p w14:paraId="612A8C02" w14:textId="77777777" w:rsidR="00903B01" w:rsidRPr="00903B01" w:rsidRDefault="00903B01" w:rsidP="004113BC">
      <w:pPr>
        <w:numPr>
          <w:ilvl w:val="0"/>
          <w:numId w:val="6"/>
        </w:numPr>
        <w:suppressAutoHyphens/>
        <w:autoSpaceDN w:val="0"/>
        <w:spacing w:line="360" w:lineRule="auto"/>
        <w:ind w:left="567" w:hanging="283"/>
        <w:jc w:val="both"/>
        <w:textAlignment w:val="baseline"/>
        <w:rPr>
          <w:rFonts w:eastAsia="Calibri"/>
          <w:bCs/>
          <w:color w:val="000000"/>
          <w:lang w:val="es-GT" w:eastAsia="en-US"/>
        </w:rPr>
      </w:pPr>
      <w:r w:rsidRPr="00903B01">
        <w:rPr>
          <w:rFonts w:eastAsia="Calibri"/>
          <w:bCs/>
          <w:color w:val="000000"/>
          <w:lang w:val="es-GT" w:eastAsia="en-US"/>
        </w:rPr>
        <w:t xml:space="preserve">De forma global: Presencia de coloración rojiza de los tejidos de la barrera de reparación y los bordes óseos de forma universal.  </w:t>
      </w:r>
    </w:p>
    <w:p w14:paraId="384A0FE7" w14:textId="77777777" w:rsidR="00903B01" w:rsidRPr="00903B01" w:rsidRDefault="00903B01" w:rsidP="004113BC">
      <w:pPr>
        <w:numPr>
          <w:ilvl w:val="0"/>
          <w:numId w:val="6"/>
        </w:numPr>
        <w:suppressAutoHyphens/>
        <w:autoSpaceDN w:val="0"/>
        <w:spacing w:line="360" w:lineRule="auto"/>
        <w:ind w:left="567" w:hanging="283"/>
        <w:jc w:val="both"/>
        <w:textAlignment w:val="baseline"/>
        <w:rPr>
          <w:rFonts w:eastAsia="Calibri"/>
          <w:bCs/>
          <w:color w:val="000000"/>
          <w:lang w:val="es-GT" w:eastAsia="en-US"/>
        </w:rPr>
      </w:pPr>
      <w:r w:rsidRPr="00903B01">
        <w:rPr>
          <w:rFonts w:eastAsia="Calibri"/>
          <w:bCs/>
          <w:color w:val="000000"/>
          <w:lang w:val="es-GT" w:eastAsia="en-US"/>
        </w:rPr>
        <w:t>De forma parcial: Presencia de coloración violácea o negra de los tejidos de la barrera de reparación y los bordes óseos de forma universal.</w:t>
      </w:r>
    </w:p>
    <w:p w14:paraId="0C50EF55" w14:textId="77777777" w:rsidR="00903B01" w:rsidRPr="00903B01" w:rsidRDefault="00903B01" w:rsidP="004113BC">
      <w:pPr>
        <w:numPr>
          <w:ilvl w:val="0"/>
          <w:numId w:val="7"/>
        </w:numPr>
        <w:suppressAutoHyphens/>
        <w:autoSpaceDN w:val="0"/>
        <w:spacing w:line="360" w:lineRule="auto"/>
        <w:ind w:left="284" w:hanging="284"/>
        <w:jc w:val="both"/>
        <w:textAlignment w:val="baseline"/>
        <w:rPr>
          <w:rFonts w:eastAsia="Calibri"/>
          <w:color w:val="000000"/>
          <w:lang w:val="es-GT" w:eastAsia="en-US"/>
        </w:rPr>
      </w:pPr>
      <w:r w:rsidRPr="00903B01">
        <w:rPr>
          <w:rFonts w:eastAsia="Calibri"/>
          <w:bCs/>
          <w:color w:val="000000"/>
          <w:lang w:val="es-GT" w:eastAsia="en-US"/>
        </w:rPr>
        <w:t>Costras de los tejidos de la barrera de reparación:</w:t>
      </w:r>
      <w:r w:rsidRPr="00903B01">
        <w:rPr>
          <w:rFonts w:eastAsia="Calibri"/>
          <w:bCs/>
          <w:i/>
          <w:color w:val="000000"/>
          <w:lang w:val="es-GT" w:eastAsia="en-US"/>
        </w:rPr>
        <w:t xml:space="preserve"> </w:t>
      </w:r>
      <w:r w:rsidRPr="00903B01">
        <w:rPr>
          <w:rFonts w:eastAsia="Calibri"/>
          <w:bCs/>
          <w:color w:val="000000"/>
          <w:lang w:val="es-GT" w:eastAsia="en-US"/>
        </w:rPr>
        <w:t xml:space="preserve">Se determinó según la </w:t>
      </w:r>
      <w:r w:rsidRPr="00903B01">
        <w:rPr>
          <w:rFonts w:eastAsia="Calibri"/>
          <w:color w:val="000000"/>
          <w:lang w:val="es-GT" w:eastAsia="en-US"/>
        </w:rPr>
        <w:t>presencia de costas entre los tejidos de la barrera de reparación y los bordes óseos de la base craneal, y se categorizó de la siguiente manera.</w:t>
      </w:r>
    </w:p>
    <w:p w14:paraId="17FA3E43" w14:textId="77777777" w:rsidR="00903B01" w:rsidRPr="00903B01" w:rsidRDefault="00903B01" w:rsidP="004113BC">
      <w:pPr>
        <w:numPr>
          <w:ilvl w:val="0"/>
          <w:numId w:val="8"/>
        </w:numPr>
        <w:suppressAutoHyphens/>
        <w:autoSpaceDN w:val="0"/>
        <w:spacing w:line="360" w:lineRule="auto"/>
        <w:ind w:left="567" w:hanging="283"/>
        <w:jc w:val="both"/>
        <w:textAlignment w:val="baseline"/>
        <w:rPr>
          <w:rFonts w:eastAsia="Calibri"/>
          <w:bCs/>
          <w:color w:val="000000"/>
          <w:lang w:val="es-GT" w:eastAsia="en-US"/>
        </w:rPr>
      </w:pPr>
      <w:r w:rsidRPr="00903B01">
        <w:rPr>
          <w:rFonts w:eastAsia="Calibri"/>
          <w:bCs/>
          <w:color w:val="000000"/>
          <w:lang w:val="es-GT" w:eastAsia="en-US"/>
        </w:rPr>
        <w:t xml:space="preserve">De forma global: Presencia de costras en los tejidos de la barrera de reparación y los bordes óseos de forma universal  </w:t>
      </w:r>
    </w:p>
    <w:p w14:paraId="76335486" w14:textId="77777777" w:rsidR="00903B01" w:rsidRPr="00903B01" w:rsidRDefault="00903B01" w:rsidP="004113BC">
      <w:pPr>
        <w:numPr>
          <w:ilvl w:val="0"/>
          <w:numId w:val="8"/>
        </w:numPr>
        <w:suppressAutoHyphens/>
        <w:autoSpaceDN w:val="0"/>
        <w:spacing w:line="360" w:lineRule="auto"/>
        <w:ind w:left="567" w:hanging="283"/>
        <w:jc w:val="both"/>
        <w:textAlignment w:val="baseline"/>
        <w:rPr>
          <w:rFonts w:eastAsia="Calibri"/>
          <w:color w:val="000000"/>
          <w:lang w:val="es-GT" w:eastAsia="en-US"/>
        </w:rPr>
      </w:pPr>
      <w:r w:rsidRPr="00903B01">
        <w:rPr>
          <w:rFonts w:eastAsia="Calibri"/>
          <w:bCs/>
          <w:color w:val="000000"/>
          <w:lang w:val="es-GT" w:eastAsia="en-US"/>
        </w:rPr>
        <w:t>De forma parcial: Presencia de costras de los tejidos de la barrera de reparación y los bordes óseos de forma localizada.</w:t>
      </w:r>
    </w:p>
    <w:p w14:paraId="2A3E7DC2" w14:textId="77777777" w:rsidR="00903B01" w:rsidRPr="00903B01" w:rsidRDefault="00903B01" w:rsidP="004113BC">
      <w:pPr>
        <w:numPr>
          <w:ilvl w:val="0"/>
          <w:numId w:val="9"/>
        </w:numPr>
        <w:suppressAutoHyphens/>
        <w:autoSpaceDN w:val="0"/>
        <w:spacing w:line="360" w:lineRule="auto"/>
        <w:ind w:left="284" w:hanging="284"/>
        <w:jc w:val="both"/>
        <w:textAlignment w:val="baseline"/>
        <w:rPr>
          <w:rFonts w:eastAsia="Calibri"/>
          <w:bCs/>
          <w:color w:val="000000"/>
          <w:lang w:val="es-GT" w:eastAsia="en-US"/>
        </w:rPr>
      </w:pPr>
      <w:r w:rsidRPr="00903B01">
        <w:rPr>
          <w:rFonts w:eastAsia="Calibri"/>
          <w:bCs/>
          <w:color w:val="000000"/>
          <w:lang w:val="es-GT" w:eastAsia="en-US"/>
        </w:rPr>
        <w:t>Infección de los tejidos de la barrera de reparación: Se determinó según la presencia signos flogísticos (rubor, inflamación, presencia de secreciones) entre los tejidos de la barrera de reparación y los bordes óseos de la base craneal, y se categorizó de la siguiente manera.</w:t>
      </w:r>
    </w:p>
    <w:p w14:paraId="3A6B56AA" w14:textId="77777777" w:rsidR="00903B01" w:rsidRPr="00903B01" w:rsidRDefault="00903B01" w:rsidP="004113BC">
      <w:pPr>
        <w:numPr>
          <w:ilvl w:val="0"/>
          <w:numId w:val="10"/>
        </w:numPr>
        <w:suppressAutoHyphens/>
        <w:autoSpaceDN w:val="0"/>
        <w:spacing w:line="360" w:lineRule="auto"/>
        <w:ind w:left="567" w:hanging="283"/>
        <w:jc w:val="both"/>
        <w:textAlignment w:val="baseline"/>
        <w:rPr>
          <w:rFonts w:eastAsia="Calibri"/>
          <w:bCs/>
          <w:color w:val="000000"/>
          <w:lang w:val="es-GT" w:eastAsia="en-US"/>
        </w:rPr>
      </w:pPr>
      <w:r w:rsidRPr="00903B01">
        <w:rPr>
          <w:rFonts w:eastAsia="Calibri"/>
          <w:bCs/>
          <w:color w:val="000000"/>
          <w:lang w:val="es-GT" w:eastAsia="en-US"/>
        </w:rPr>
        <w:t>Ausencia: No signos flogísticos en los tejidos de la barrera de reparación y los bordes óseos.</w:t>
      </w:r>
    </w:p>
    <w:p w14:paraId="42E893C5" w14:textId="77777777" w:rsidR="00903B01" w:rsidRPr="00903B01" w:rsidRDefault="00903B01" w:rsidP="004113BC">
      <w:pPr>
        <w:numPr>
          <w:ilvl w:val="0"/>
          <w:numId w:val="10"/>
        </w:numPr>
        <w:suppressAutoHyphens/>
        <w:autoSpaceDN w:val="0"/>
        <w:spacing w:line="360" w:lineRule="auto"/>
        <w:ind w:left="567" w:hanging="283"/>
        <w:jc w:val="both"/>
        <w:textAlignment w:val="baseline"/>
        <w:rPr>
          <w:rFonts w:eastAsia="Calibri"/>
          <w:color w:val="000000"/>
          <w:lang w:val="es-GT" w:eastAsia="en-US"/>
        </w:rPr>
      </w:pPr>
      <w:r w:rsidRPr="00903B01">
        <w:rPr>
          <w:rFonts w:eastAsia="Calibri"/>
          <w:bCs/>
          <w:color w:val="000000"/>
          <w:lang w:val="es-GT" w:eastAsia="en-US"/>
        </w:rPr>
        <w:t xml:space="preserve">Presencia: Existencia de signos flogísticos (rubor, inflamación, presencia de secreciones) entre los tejidos de la barrera de reparación y los bordes óseos. </w:t>
      </w:r>
    </w:p>
    <w:p w14:paraId="6F79C880" w14:textId="77777777" w:rsidR="00903B01" w:rsidRPr="00903B01" w:rsidRDefault="00903B01" w:rsidP="00903B01">
      <w:pPr>
        <w:suppressAutoHyphens/>
        <w:autoSpaceDN w:val="0"/>
        <w:spacing w:line="360" w:lineRule="auto"/>
        <w:ind w:left="360"/>
        <w:jc w:val="both"/>
        <w:textAlignment w:val="baseline"/>
        <w:rPr>
          <w:rFonts w:eastAsia="Calibri"/>
          <w:color w:val="000000"/>
          <w:lang w:val="es-GT" w:eastAsia="en-US"/>
        </w:rPr>
      </w:pPr>
    </w:p>
    <w:p w14:paraId="2E0DD1D5" w14:textId="04C78C96" w:rsidR="00903B01" w:rsidRPr="00903B01" w:rsidRDefault="00903B01" w:rsidP="00903B01">
      <w:pPr>
        <w:suppressAutoHyphens/>
        <w:autoSpaceDN w:val="0"/>
        <w:spacing w:line="360" w:lineRule="auto"/>
        <w:ind w:left="360"/>
        <w:jc w:val="center"/>
        <w:textAlignment w:val="baseline"/>
        <w:rPr>
          <w:rFonts w:eastAsia="Calibri"/>
          <w:color w:val="000000"/>
          <w:lang w:val="es-GT" w:eastAsia="en-US"/>
        </w:rPr>
      </w:pPr>
      <w:r w:rsidRPr="00903B01">
        <w:rPr>
          <w:rFonts w:eastAsia="Calibri"/>
          <w:noProof/>
          <w:color w:val="000000"/>
          <w:lang w:val="es-GT" w:eastAsia="en-US"/>
        </w:rPr>
        <w:lastRenderedPageBreak/>
        <w:drawing>
          <wp:inline distT="0" distB="0" distL="0" distR="0" wp14:anchorId="15A2FD13" wp14:editId="5802F6EB">
            <wp:extent cx="5076825" cy="3116580"/>
            <wp:effectExtent l="0" t="0" r="0" b="0"/>
            <wp:docPr id="140766250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76825" cy="3116580"/>
                    </a:xfrm>
                    <a:prstGeom prst="rect">
                      <a:avLst/>
                    </a:prstGeom>
                    <a:noFill/>
                    <a:ln>
                      <a:noFill/>
                    </a:ln>
                  </pic:spPr>
                </pic:pic>
              </a:graphicData>
            </a:graphic>
          </wp:inline>
        </w:drawing>
      </w:r>
    </w:p>
    <w:p w14:paraId="6337B19E" w14:textId="77777777" w:rsidR="00903B01" w:rsidRPr="00903B01" w:rsidRDefault="00903B01" w:rsidP="00903B01">
      <w:pPr>
        <w:suppressAutoHyphens/>
        <w:autoSpaceDN w:val="0"/>
        <w:spacing w:line="360" w:lineRule="auto"/>
        <w:jc w:val="center"/>
        <w:textAlignment w:val="baseline"/>
        <w:rPr>
          <w:rFonts w:eastAsia="Calibri"/>
          <w:color w:val="000000"/>
          <w:sz w:val="22"/>
          <w:szCs w:val="22"/>
          <w:lang w:val="es-GT" w:eastAsia="en-US"/>
        </w:rPr>
      </w:pPr>
      <w:r w:rsidRPr="00903B01">
        <w:rPr>
          <w:rFonts w:eastAsia="Calibri"/>
          <w:b/>
          <w:color w:val="000000"/>
          <w:sz w:val="22"/>
          <w:szCs w:val="22"/>
          <w:lang w:val="es-GT" w:eastAsia="en-US"/>
        </w:rPr>
        <w:t>Fig. 2 -</w:t>
      </w:r>
      <w:r w:rsidRPr="00903B01">
        <w:rPr>
          <w:rFonts w:eastAsia="Calibri"/>
          <w:color w:val="000000"/>
          <w:sz w:val="22"/>
          <w:szCs w:val="22"/>
          <w:lang w:val="es-GT" w:eastAsia="en-US"/>
        </w:rPr>
        <w:t xml:space="preserve"> A) Barrera de reparación (*barrera de reparación sin L-PRF); B) Barrera de reparación  (*empleo de fibrina rica en plaquetas y leucocitos sobre colgajo nasoseptal); C) Barrera de reparación (*Signos de adherencia del colgajo nasoseptal); D) Barrera de reparación (*signos de granulación del colgajo nasoseptal); E) Barrera de reparación (*signos de angiogénesis del colgajo nasoseptal), F) Barrera de reparación </w:t>
      </w:r>
      <w:bookmarkStart w:id="7" w:name="_Hlk142901913"/>
      <w:r w:rsidRPr="00903B01">
        <w:rPr>
          <w:rFonts w:eastAsia="Calibri"/>
          <w:color w:val="000000"/>
          <w:sz w:val="22"/>
          <w:szCs w:val="22"/>
          <w:lang w:val="es-GT" w:eastAsia="en-US"/>
        </w:rPr>
        <w:t>(*presencia de yemas capilares y signos de granulación - angiogénesis del colgajo nasoseptal</w:t>
      </w:r>
      <w:bookmarkEnd w:id="7"/>
      <w:r w:rsidRPr="00903B01">
        <w:rPr>
          <w:rFonts w:eastAsia="Calibri"/>
          <w:color w:val="000000"/>
          <w:sz w:val="22"/>
          <w:szCs w:val="22"/>
          <w:lang w:val="es-GT" w:eastAsia="en-US"/>
        </w:rPr>
        <w:t>).</w:t>
      </w:r>
    </w:p>
    <w:p w14:paraId="6AA5E10C" w14:textId="77777777" w:rsidR="00903B01" w:rsidRPr="00903B01" w:rsidRDefault="00903B01" w:rsidP="00903B01">
      <w:pPr>
        <w:suppressAutoHyphens/>
        <w:autoSpaceDN w:val="0"/>
        <w:spacing w:line="360" w:lineRule="auto"/>
        <w:ind w:left="360"/>
        <w:jc w:val="both"/>
        <w:textAlignment w:val="baseline"/>
        <w:rPr>
          <w:rFonts w:eastAsia="Calibri"/>
          <w:color w:val="000000"/>
          <w:lang w:val="es-GT" w:eastAsia="en-US"/>
        </w:rPr>
      </w:pPr>
    </w:p>
    <w:p w14:paraId="78B783B7" w14:textId="77777777" w:rsidR="00903B01" w:rsidRPr="00903B01" w:rsidRDefault="00903B01" w:rsidP="00903B01">
      <w:pPr>
        <w:suppressAutoHyphens/>
        <w:autoSpaceDN w:val="0"/>
        <w:spacing w:line="360" w:lineRule="auto"/>
        <w:jc w:val="both"/>
        <w:textAlignment w:val="baseline"/>
        <w:rPr>
          <w:rFonts w:eastAsia="Calibri"/>
          <w:color w:val="000000"/>
          <w:lang w:val="es-GT" w:eastAsia="en-US"/>
        </w:rPr>
      </w:pPr>
      <w:r w:rsidRPr="00903B01">
        <w:rPr>
          <w:rFonts w:eastAsia="Calibri"/>
          <w:color w:val="000000"/>
          <w:lang w:val="es-GT" w:eastAsia="en-US"/>
        </w:rPr>
        <w:t>De igual manera se identificaron los aspectos adversos relacionados con la barrera de reparación de la base craneal; se agruparon de la siguiente manera: fístula de LCR posoperatoria, infección del SNC, hidrocefalia, neumoencéfalo a tensión.</w:t>
      </w:r>
    </w:p>
    <w:p w14:paraId="3344F513" w14:textId="77777777" w:rsidR="00903B01" w:rsidRPr="00903B01" w:rsidRDefault="00903B01" w:rsidP="00903B01">
      <w:pPr>
        <w:suppressAutoHyphens/>
        <w:autoSpaceDN w:val="0"/>
        <w:spacing w:line="360" w:lineRule="auto"/>
        <w:jc w:val="center"/>
        <w:textAlignment w:val="baseline"/>
        <w:rPr>
          <w:b/>
          <w:color w:val="000000"/>
          <w:sz w:val="28"/>
          <w:szCs w:val="28"/>
          <w:lang w:val="es-ES" w:eastAsia="es-GT"/>
        </w:rPr>
      </w:pPr>
      <w:bookmarkStart w:id="8" w:name="_Hlk127569681"/>
      <w:r w:rsidRPr="00903B01">
        <w:rPr>
          <w:b/>
          <w:color w:val="000000"/>
          <w:sz w:val="28"/>
          <w:szCs w:val="28"/>
          <w:lang w:val="es-ES" w:eastAsia="es-GT"/>
        </w:rPr>
        <w:t>Consideraciones éticas</w:t>
      </w:r>
    </w:p>
    <w:p w14:paraId="777A9B76" w14:textId="77777777" w:rsidR="00903B01" w:rsidRPr="00903B01" w:rsidRDefault="00903B01" w:rsidP="00903B01">
      <w:pPr>
        <w:suppressAutoHyphens/>
        <w:autoSpaceDN w:val="0"/>
        <w:spacing w:line="360" w:lineRule="auto"/>
        <w:jc w:val="both"/>
        <w:textAlignment w:val="baseline"/>
        <w:rPr>
          <w:color w:val="000000"/>
          <w:lang w:val="es-ES" w:eastAsia="es-GT"/>
        </w:rPr>
      </w:pPr>
      <w:r w:rsidRPr="00903B01">
        <w:rPr>
          <w:color w:val="000000"/>
          <w:lang w:val="es-ES" w:eastAsia="es-GT"/>
        </w:rPr>
        <w:t xml:space="preserve">La realización del presente estudio fue avalada por el comité de ética y el consejo científico del Hospital Hermanos Ameijeiras. La participación fue voluntaria y certificada a través de consentimientos informados. Se cumplió </w:t>
      </w:r>
      <w:bookmarkEnd w:id="8"/>
      <w:r w:rsidRPr="00903B01">
        <w:rPr>
          <w:color w:val="000000"/>
          <w:lang w:val="es-ES" w:eastAsia="es-GT"/>
        </w:rPr>
        <w:t>con lo establecido en la Ley No. 41 de Salud Pública y según las normas de la investigación científica vigente, emanadas de la Declaración de Helsinki.</w:t>
      </w:r>
      <w:r w:rsidRPr="00903B01">
        <w:rPr>
          <w:color w:val="000000"/>
          <w:vertAlign w:val="superscript"/>
          <w:lang w:val="es-ES" w:eastAsia="es-GT"/>
        </w:rPr>
        <w:t>(6)</w:t>
      </w:r>
    </w:p>
    <w:p w14:paraId="35AAFB99" w14:textId="77777777" w:rsidR="00903B01" w:rsidRPr="00903B01" w:rsidRDefault="00903B01" w:rsidP="00903B01">
      <w:pPr>
        <w:suppressAutoHyphens/>
        <w:autoSpaceDN w:val="0"/>
        <w:spacing w:line="360" w:lineRule="auto"/>
        <w:jc w:val="both"/>
        <w:textAlignment w:val="baseline"/>
        <w:rPr>
          <w:color w:val="000000"/>
          <w:lang w:val="es-ES" w:eastAsia="es-GT"/>
        </w:rPr>
      </w:pPr>
    </w:p>
    <w:p w14:paraId="5D7C1549" w14:textId="77777777" w:rsidR="00335518" w:rsidRDefault="00335518">
      <w:pPr>
        <w:rPr>
          <w:rFonts w:eastAsia="Calibri"/>
          <w:b/>
          <w:color w:val="000000"/>
          <w:sz w:val="32"/>
          <w:szCs w:val="32"/>
          <w:lang w:val="es-GT" w:eastAsia="en-US"/>
        </w:rPr>
      </w:pPr>
      <w:r>
        <w:rPr>
          <w:rFonts w:eastAsia="Calibri"/>
          <w:b/>
          <w:color w:val="000000"/>
          <w:sz w:val="32"/>
          <w:szCs w:val="32"/>
          <w:lang w:val="es-GT" w:eastAsia="en-US"/>
        </w:rPr>
        <w:br w:type="page"/>
      </w:r>
    </w:p>
    <w:p w14:paraId="7B82EEA0" w14:textId="4A16886A" w:rsidR="00903B01" w:rsidRPr="00903B01" w:rsidRDefault="00903B01" w:rsidP="00903B01">
      <w:pPr>
        <w:suppressAutoHyphens/>
        <w:autoSpaceDN w:val="0"/>
        <w:spacing w:line="360" w:lineRule="auto"/>
        <w:jc w:val="center"/>
        <w:textAlignment w:val="baseline"/>
        <w:rPr>
          <w:rFonts w:eastAsia="Calibri"/>
          <w:b/>
          <w:color w:val="000000"/>
          <w:sz w:val="32"/>
          <w:szCs w:val="32"/>
          <w:lang w:val="es-GT" w:eastAsia="en-US"/>
        </w:rPr>
      </w:pPr>
      <w:r w:rsidRPr="00903B01">
        <w:rPr>
          <w:rFonts w:eastAsia="Calibri"/>
          <w:b/>
          <w:color w:val="000000"/>
          <w:sz w:val="32"/>
          <w:szCs w:val="32"/>
          <w:lang w:val="es-GT" w:eastAsia="en-US"/>
        </w:rPr>
        <w:lastRenderedPageBreak/>
        <w:t>RESULTADOS</w:t>
      </w:r>
    </w:p>
    <w:p w14:paraId="69096C5B" w14:textId="77777777" w:rsidR="00903B01" w:rsidRPr="00903B01" w:rsidRDefault="00903B01" w:rsidP="00903B01">
      <w:pPr>
        <w:suppressAutoHyphens/>
        <w:autoSpaceDN w:val="0"/>
        <w:spacing w:line="360" w:lineRule="auto"/>
        <w:jc w:val="both"/>
        <w:textAlignment w:val="baseline"/>
        <w:rPr>
          <w:rFonts w:eastAsia="Calibri"/>
          <w:color w:val="000000"/>
          <w:lang w:val="es-GT" w:eastAsia="en-US"/>
        </w:rPr>
      </w:pPr>
      <w:r w:rsidRPr="00903B01">
        <w:rPr>
          <w:rFonts w:eastAsia="Calibri"/>
          <w:color w:val="000000"/>
          <w:lang w:val="es-GT" w:eastAsia="en-US"/>
        </w:rPr>
        <w:t xml:space="preserve">En la tabla 1, se aprecia la distribución de pacientes según edad, sexo, diagnóstico histológico, tamaño tumoral, tipo de procedimiento quirúrgico y tipo de lecho quirúrgico. La edad promedio de los pacientes varió entre 19 – 69 años (media de 51,4 años). Existió un predominio del sexo femenino en el 58,6 % (41 pacientes). Las lesiones más frecuentes fueron los adenomas hipofisarios (55,7 %) meningiomas (34,3 %) y craneofaringiomas (10 %). El tamaño tumoral que predominó fue entre 31-60 mm para un 44,3 % (31 pacientes). El abordaje endonasal endoscópico extendido fue el más empleado en el 84,3 % (59 pacientes). </w:t>
      </w:r>
    </w:p>
    <w:p w14:paraId="298EBF31" w14:textId="77777777" w:rsidR="00903B01" w:rsidRPr="00903B01" w:rsidRDefault="00903B01" w:rsidP="00903B01">
      <w:pPr>
        <w:suppressAutoHyphens/>
        <w:autoSpaceDN w:val="0"/>
        <w:spacing w:line="360" w:lineRule="auto"/>
        <w:jc w:val="both"/>
        <w:textAlignment w:val="baseline"/>
        <w:rPr>
          <w:rFonts w:eastAsia="Calibri"/>
          <w:color w:val="000000"/>
          <w:lang w:val="es-GT" w:eastAsia="en-US"/>
        </w:rPr>
      </w:pPr>
    </w:p>
    <w:p w14:paraId="6449965C" w14:textId="77777777" w:rsidR="00903B01" w:rsidRPr="00903B01" w:rsidRDefault="00903B01" w:rsidP="00903B01">
      <w:pPr>
        <w:suppressAutoHyphens/>
        <w:autoSpaceDN w:val="0"/>
        <w:spacing w:line="360" w:lineRule="auto"/>
        <w:jc w:val="center"/>
        <w:textAlignment w:val="baseline"/>
        <w:rPr>
          <w:rFonts w:eastAsia="Calibri"/>
          <w:color w:val="000000"/>
          <w:sz w:val="22"/>
          <w:szCs w:val="22"/>
          <w:lang w:val="es-GT" w:eastAsia="en-US"/>
        </w:rPr>
      </w:pPr>
      <w:r w:rsidRPr="00903B01">
        <w:rPr>
          <w:rFonts w:eastAsia="Calibri"/>
          <w:b/>
          <w:color w:val="000000"/>
          <w:sz w:val="22"/>
          <w:szCs w:val="22"/>
          <w:lang w:val="es-GT" w:eastAsia="en-US"/>
        </w:rPr>
        <w:t>Tabla 1 -</w:t>
      </w:r>
      <w:r w:rsidRPr="00903B01">
        <w:rPr>
          <w:rFonts w:eastAsia="Calibri"/>
          <w:color w:val="000000"/>
          <w:sz w:val="22"/>
          <w:szCs w:val="22"/>
          <w:lang w:val="es-GT" w:eastAsia="en-US"/>
        </w:rPr>
        <w:t xml:space="preserve"> Distribución de los pacientes según características sociodemográfica, diagnóstico histopatológico, tamaño tumoral y tipo de procedimiento realizado</w:t>
      </w:r>
    </w:p>
    <w:p w14:paraId="412BDD83" w14:textId="637A49E3" w:rsidR="00903B01" w:rsidRDefault="00D22C23" w:rsidP="00903B01">
      <w:pPr>
        <w:tabs>
          <w:tab w:val="left" w:pos="6398"/>
        </w:tabs>
        <w:suppressAutoHyphens/>
        <w:autoSpaceDN w:val="0"/>
        <w:spacing w:line="360" w:lineRule="auto"/>
        <w:jc w:val="center"/>
        <w:textAlignment w:val="baseline"/>
        <w:rPr>
          <w:rFonts w:eastAsia="Calibri"/>
          <w:color w:val="000000"/>
          <w:lang w:val="es-GT" w:eastAsia="en-US"/>
        </w:rPr>
      </w:pPr>
      <w:r w:rsidRPr="002422E7">
        <w:rPr>
          <w:noProof/>
          <w:color w:val="000000"/>
          <w:lang w:val="es-ES" w:eastAsia="es-ES"/>
        </w:rPr>
        <w:drawing>
          <wp:inline distT="0" distB="0" distL="0" distR="0" wp14:anchorId="657170CA" wp14:editId="4C00E1BB">
            <wp:extent cx="4524375" cy="3114675"/>
            <wp:effectExtent l="0" t="0" r="9525" b="9525"/>
            <wp:docPr id="3" name="Imagen 3" descr="G:\28.10.23\Nueva carpeta\t01_1432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8.10.23\Nueva carpeta\t01_14321.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4375" cy="3114675"/>
                    </a:xfrm>
                    <a:prstGeom prst="rect">
                      <a:avLst/>
                    </a:prstGeom>
                    <a:noFill/>
                    <a:ln>
                      <a:noFill/>
                    </a:ln>
                  </pic:spPr>
                </pic:pic>
              </a:graphicData>
            </a:graphic>
          </wp:inline>
        </w:drawing>
      </w:r>
    </w:p>
    <w:p w14:paraId="543AD841" w14:textId="77777777" w:rsidR="00D22C23" w:rsidRPr="00903B01" w:rsidRDefault="00D22C23" w:rsidP="00903B01">
      <w:pPr>
        <w:tabs>
          <w:tab w:val="left" w:pos="6398"/>
        </w:tabs>
        <w:suppressAutoHyphens/>
        <w:autoSpaceDN w:val="0"/>
        <w:spacing w:line="360" w:lineRule="auto"/>
        <w:jc w:val="center"/>
        <w:textAlignment w:val="baseline"/>
        <w:rPr>
          <w:rFonts w:eastAsia="Calibri"/>
          <w:color w:val="000000"/>
          <w:lang w:val="es-GT" w:eastAsia="en-US"/>
        </w:rPr>
      </w:pPr>
    </w:p>
    <w:p w14:paraId="4ADDBC30" w14:textId="77777777" w:rsidR="00903B01" w:rsidRPr="00903B01" w:rsidRDefault="00903B01" w:rsidP="00903B01">
      <w:pPr>
        <w:suppressAutoHyphens/>
        <w:autoSpaceDN w:val="0"/>
        <w:spacing w:line="360" w:lineRule="auto"/>
        <w:jc w:val="both"/>
        <w:textAlignment w:val="baseline"/>
        <w:rPr>
          <w:rFonts w:eastAsia="Calibri"/>
          <w:color w:val="000000"/>
          <w:lang w:val="es-GT" w:eastAsia="en-US"/>
        </w:rPr>
      </w:pPr>
      <w:r w:rsidRPr="00903B01">
        <w:rPr>
          <w:rFonts w:eastAsia="Calibri"/>
          <w:color w:val="000000"/>
          <w:lang w:val="es-GT" w:eastAsia="en-US"/>
        </w:rPr>
        <w:t xml:space="preserve">En la tabla 2, se aprecia la distribución de los pacientes según elementos a considerar en la formación de la barrera de reparación. Teniendo en cuenta el estado funcional de la barrera de reparación posoperatoria se identificó que en su mayoría de las barreras fueron eficientes (69) (98,9 %) mientras que se identificó solo una barrera ineficiente (1,4 %) (Fig. 1.B). En relación con la vitalidad de la barrera de reparación, </w:t>
      </w:r>
      <w:r w:rsidRPr="00903B01">
        <w:rPr>
          <w:rFonts w:eastAsia="Calibri"/>
          <w:color w:val="000000"/>
          <w:lang w:val="es-GT" w:eastAsia="en-US"/>
        </w:rPr>
        <w:lastRenderedPageBreak/>
        <w:t>la adherencia y granulación presentó un comportamiento similar con un predominio de la adherencia global (69 barreras) (98,6 %), y solo una barrera de forma focal (1,4 %), respectivamente. Con respecto a la angiogénesis, se registra una alta frecuencia de signos de angiogénesis global (68) (97,1 %), y 2 barreras con signos de angiogénesis focal (2,3 %).  En cuanto a la presencia de costras, la mayoría fue de forma focal (65) (92,9 %) y el restante fue de forma global (5) (7,1 %).  Según la presencia de infección de la barrera, solo se identificó en una barrera de reparación (1,4 %). En relación con las complicaciones, en orden de frecuencia fueron la hidrocefalia y neumoencéfalo (2 pacientes) (2,9 %), respectivamente. Acerca de la fístula de LCR y la infección del SNC solo se identificaron en un paciente (1,4 %) cada una.</w:t>
      </w:r>
    </w:p>
    <w:p w14:paraId="37894FDC" w14:textId="77777777" w:rsidR="00903B01" w:rsidRPr="00903B01" w:rsidRDefault="00903B01" w:rsidP="00903B01">
      <w:pPr>
        <w:suppressAutoHyphens/>
        <w:autoSpaceDE w:val="0"/>
        <w:autoSpaceDN w:val="0"/>
        <w:spacing w:line="360" w:lineRule="auto"/>
        <w:textAlignment w:val="baseline"/>
        <w:rPr>
          <w:rFonts w:eastAsia="Calibri"/>
          <w:b/>
          <w:color w:val="000000"/>
          <w:lang w:val="es-GT" w:eastAsia="en-US"/>
        </w:rPr>
      </w:pPr>
    </w:p>
    <w:p w14:paraId="29C97D45" w14:textId="77777777" w:rsidR="00903B01" w:rsidRPr="00903B01" w:rsidRDefault="00903B01" w:rsidP="00903B01">
      <w:pPr>
        <w:suppressAutoHyphens/>
        <w:autoSpaceDN w:val="0"/>
        <w:spacing w:line="360" w:lineRule="auto"/>
        <w:jc w:val="center"/>
        <w:textAlignment w:val="baseline"/>
        <w:rPr>
          <w:rFonts w:eastAsia="Calibri"/>
          <w:color w:val="000000"/>
          <w:sz w:val="22"/>
          <w:szCs w:val="22"/>
          <w:lang w:val="es-GT" w:eastAsia="en-US"/>
        </w:rPr>
      </w:pPr>
      <w:r w:rsidRPr="00903B01">
        <w:rPr>
          <w:rFonts w:eastAsia="Calibri"/>
          <w:b/>
          <w:bCs/>
          <w:color w:val="000000"/>
          <w:sz w:val="22"/>
          <w:szCs w:val="22"/>
          <w:lang w:val="es-GT" w:eastAsia="en-US"/>
        </w:rPr>
        <w:t xml:space="preserve">Tabla 2 - </w:t>
      </w:r>
      <w:r w:rsidRPr="00903B01">
        <w:rPr>
          <w:rFonts w:eastAsia="Calibri"/>
          <w:color w:val="000000"/>
          <w:sz w:val="22"/>
          <w:szCs w:val="22"/>
          <w:lang w:val="es-GT" w:eastAsia="en-US"/>
        </w:rPr>
        <w:t>Distribución de los pacientes según estado funcional, estado de vitalidad de la barrera de reparación y complicaciones identificadas</w:t>
      </w:r>
    </w:p>
    <w:p w14:paraId="06636A22" w14:textId="2ECAA570" w:rsidR="00903B01" w:rsidRPr="00903B01" w:rsidRDefault="00D22C23" w:rsidP="00D22C23">
      <w:pPr>
        <w:suppressAutoHyphens/>
        <w:autoSpaceDN w:val="0"/>
        <w:spacing w:line="360" w:lineRule="auto"/>
        <w:jc w:val="center"/>
        <w:textAlignment w:val="baseline"/>
        <w:rPr>
          <w:rFonts w:eastAsia="Calibri"/>
          <w:color w:val="000000"/>
          <w:lang w:val="es-GT" w:eastAsia="en-US"/>
        </w:rPr>
      </w:pPr>
      <w:r w:rsidRPr="001E62D9">
        <w:rPr>
          <w:noProof/>
          <w:color w:val="000000"/>
          <w:lang w:val="es-ES" w:eastAsia="es-ES"/>
        </w:rPr>
        <w:drawing>
          <wp:inline distT="0" distB="0" distL="0" distR="0" wp14:anchorId="2F3981FF" wp14:editId="4C3CD1FA">
            <wp:extent cx="4467225" cy="3533775"/>
            <wp:effectExtent l="0" t="0" r="9525" b="9525"/>
            <wp:docPr id="5" name="Imagen 5" descr="G:\28.10.23\Nueva carpeta\t02_1432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8.10.23\Nueva carpeta\t02_14321.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67225" cy="3533775"/>
                    </a:xfrm>
                    <a:prstGeom prst="rect">
                      <a:avLst/>
                    </a:prstGeom>
                    <a:noFill/>
                    <a:ln>
                      <a:noFill/>
                    </a:ln>
                  </pic:spPr>
                </pic:pic>
              </a:graphicData>
            </a:graphic>
          </wp:inline>
        </w:drawing>
      </w:r>
    </w:p>
    <w:p w14:paraId="2EEB46A3" w14:textId="1C593A68" w:rsidR="00903B01" w:rsidRPr="00903B01" w:rsidRDefault="00903B01" w:rsidP="00903B01">
      <w:pPr>
        <w:suppressAutoHyphens/>
        <w:autoSpaceDN w:val="0"/>
        <w:spacing w:line="360" w:lineRule="auto"/>
        <w:jc w:val="center"/>
        <w:textAlignment w:val="baseline"/>
        <w:rPr>
          <w:rFonts w:eastAsia="Calibri"/>
          <w:color w:val="000000"/>
          <w:lang w:val="es-GT" w:eastAsia="en-US"/>
        </w:rPr>
      </w:pPr>
    </w:p>
    <w:p w14:paraId="1332B530" w14:textId="77777777" w:rsidR="003B4516" w:rsidRDefault="003B4516">
      <w:pPr>
        <w:rPr>
          <w:rFonts w:eastAsia="Calibri"/>
          <w:b/>
          <w:color w:val="000000"/>
          <w:sz w:val="32"/>
          <w:szCs w:val="32"/>
          <w:lang w:val="es-GT" w:eastAsia="en-US"/>
        </w:rPr>
      </w:pPr>
      <w:r>
        <w:rPr>
          <w:rFonts w:eastAsia="Calibri"/>
          <w:b/>
          <w:color w:val="000000"/>
          <w:sz w:val="32"/>
          <w:szCs w:val="32"/>
          <w:lang w:val="es-GT" w:eastAsia="en-US"/>
        </w:rPr>
        <w:br w:type="page"/>
      </w:r>
    </w:p>
    <w:p w14:paraId="13019C1B" w14:textId="262276C2" w:rsidR="00903B01" w:rsidRPr="00903B01" w:rsidRDefault="00903B01" w:rsidP="00903B01">
      <w:pPr>
        <w:suppressAutoHyphens/>
        <w:autoSpaceDE w:val="0"/>
        <w:autoSpaceDN w:val="0"/>
        <w:spacing w:line="360" w:lineRule="auto"/>
        <w:jc w:val="center"/>
        <w:textAlignment w:val="baseline"/>
        <w:rPr>
          <w:rFonts w:eastAsia="Calibri"/>
          <w:b/>
          <w:color w:val="000000"/>
          <w:sz w:val="32"/>
          <w:szCs w:val="32"/>
          <w:lang w:val="es-GT" w:eastAsia="en-US"/>
        </w:rPr>
      </w:pPr>
      <w:r w:rsidRPr="00903B01">
        <w:rPr>
          <w:rFonts w:eastAsia="Calibri"/>
          <w:b/>
          <w:color w:val="000000"/>
          <w:sz w:val="32"/>
          <w:szCs w:val="32"/>
          <w:lang w:val="es-GT" w:eastAsia="en-US"/>
        </w:rPr>
        <w:lastRenderedPageBreak/>
        <w:t>DISCUSIÓN</w:t>
      </w:r>
    </w:p>
    <w:p w14:paraId="3FCE76D3" w14:textId="77777777" w:rsidR="00903B01" w:rsidRPr="00903B01" w:rsidRDefault="00903B01" w:rsidP="00903B01">
      <w:pPr>
        <w:suppressAutoHyphens/>
        <w:autoSpaceDE w:val="0"/>
        <w:autoSpaceDN w:val="0"/>
        <w:spacing w:line="360" w:lineRule="auto"/>
        <w:jc w:val="both"/>
        <w:textAlignment w:val="baseline"/>
        <w:rPr>
          <w:rFonts w:eastAsia="Calibri"/>
          <w:color w:val="000000"/>
          <w:vertAlign w:val="superscript"/>
          <w:lang w:val="es-GT" w:eastAsia="en-US"/>
        </w:rPr>
      </w:pPr>
      <w:r w:rsidRPr="00903B01">
        <w:rPr>
          <w:rFonts w:eastAsia="Calibri"/>
          <w:color w:val="000000"/>
          <w:lang w:val="es-GT" w:eastAsia="en-US"/>
        </w:rPr>
        <w:t>Los AEE permiten el acceso eficiente a disímiles tumores de la base craneal, sin embargo, la reparación hermética y efectiva constituye un desafío.</w:t>
      </w:r>
      <w:r w:rsidRPr="00903B01">
        <w:rPr>
          <w:rFonts w:eastAsia="Calibri"/>
          <w:color w:val="000000"/>
          <w:vertAlign w:val="superscript"/>
          <w:lang w:val="es-GT" w:eastAsia="en-US"/>
        </w:rPr>
        <w:t xml:space="preserve">(7,8) </w:t>
      </w:r>
      <w:r w:rsidRPr="00903B01">
        <w:rPr>
          <w:rFonts w:eastAsia="Calibri"/>
          <w:color w:val="000000"/>
          <w:lang w:val="es-GT" w:eastAsia="en-US"/>
        </w:rPr>
        <w:t>A pesar de los diferentes métodos de reparación existentes, la fístula de LCR representa una frecuente complicación, la cual impacta en el incremento de la morbilidad y mortalidad.</w:t>
      </w:r>
      <w:r w:rsidRPr="00903B01">
        <w:rPr>
          <w:rFonts w:eastAsia="Calibri"/>
          <w:color w:val="000000"/>
          <w:vertAlign w:val="superscript"/>
          <w:lang w:val="es-GT" w:eastAsia="en-US"/>
        </w:rPr>
        <w:t>(9,10)</w:t>
      </w:r>
    </w:p>
    <w:p w14:paraId="6EB14D46" w14:textId="77777777" w:rsidR="00903B01" w:rsidRPr="00903B01" w:rsidRDefault="00903B01" w:rsidP="00903B01">
      <w:pPr>
        <w:suppressAutoHyphens/>
        <w:autoSpaceDE w:val="0"/>
        <w:autoSpaceDN w:val="0"/>
        <w:spacing w:line="360" w:lineRule="auto"/>
        <w:jc w:val="both"/>
        <w:textAlignment w:val="baseline"/>
        <w:rPr>
          <w:rFonts w:eastAsia="Calibri"/>
          <w:color w:val="000000"/>
          <w:lang w:val="es-GT" w:eastAsia="en-US"/>
        </w:rPr>
      </w:pPr>
      <w:r w:rsidRPr="00903B01">
        <w:rPr>
          <w:rFonts w:eastAsia="Calibri"/>
          <w:color w:val="000000"/>
          <w:lang w:val="es-GT" w:eastAsia="en-US"/>
        </w:rPr>
        <w:t>De forma tradicional la fase de reparación en los AEE se realiza con la colocación de materiales autólogos (colgajo nasoseptal vascularizado, grasa, hueso, fascia muscular) y materiales hemostáticos, adhesivos, sellantes y heterólogos (Gelfoam, SurgiSeal, Tisseel Evicel/Vistaseal). Los autores de la siguiente investigación consideran que, más que la colocación de elementos para producir el cierre de la osteotomía y durotomía, es necesario la construcción de una barrea de reparación que tenga en cuenta elementos autólogos como el colgajo nasoseptal vascularizado, grasa, fascia muscular y terapia regenerativa que favorezca la cicatrización y epitelización tisular (L-PRF).</w:t>
      </w:r>
    </w:p>
    <w:p w14:paraId="22EE615B" w14:textId="77777777" w:rsidR="00903B01" w:rsidRPr="00903B01" w:rsidRDefault="00903B01" w:rsidP="00903B01">
      <w:pPr>
        <w:suppressAutoHyphens/>
        <w:autoSpaceDN w:val="0"/>
        <w:spacing w:line="360" w:lineRule="auto"/>
        <w:jc w:val="both"/>
        <w:textAlignment w:val="baseline"/>
        <w:rPr>
          <w:rFonts w:eastAsia="Calibri"/>
          <w:color w:val="000000"/>
          <w:lang w:val="es-GT" w:eastAsia="en-US"/>
        </w:rPr>
      </w:pPr>
      <w:r w:rsidRPr="00903B01">
        <w:rPr>
          <w:rFonts w:eastAsia="Calibri"/>
          <w:color w:val="000000"/>
          <w:lang w:val="es-GT" w:eastAsia="en-US"/>
        </w:rPr>
        <w:t>Estudios de series de casos,</w:t>
      </w:r>
      <w:r w:rsidRPr="00903B01">
        <w:rPr>
          <w:rFonts w:eastAsia="Calibri"/>
          <w:color w:val="000000"/>
          <w:vertAlign w:val="superscript"/>
          <w:lang w:val="es-GT" w:eastAsia="en-US"/>
        </w:rPr>
        <w:t xml:space="preserve">(11,12)  </w:t>
      </w:r>
      <w:r w:rsidRPr="00903B01">
        <w:rPr>
          <w:rFonts w:eastAsia="Calibri"/>
          <w:color w:val="000000"/>
          <w:lang w:val="es-GT" w:eastAsia="en-US"/>
        </w:rPr>
        <w:t>reportan gran diversidad en relación con la edad y sexo en pacientes adultos con tumores de la base craneal son más frecuente entre los 40-60 años de edad y en el sexo femenino. Los resultados del presente estudio reportan una edad promedio de 50,6 años de edad y más frecuente en el sexo femenino (tabla 1). Estos resultados están en relación con la literatura revisada.</w:t>
      </w:r>
      <w:r w:rsidRPr="00903B01">
        <w:rPr>
          <w:rFonts w:eastAsia="Calibri"/>
          <w:color w:val="000000"/>
          <w:vertAlign w:val="superscript"/>
          <w:lang w:val="es-GT" w:eastAsia="en-US"/>
        </w:rPr>
        <w:t>(13,14)</w:t>
      </w:r>
    </w:p>
    <w:p w14:paraId="2E199B54" w14:textId="77777777" w:rsidR="00903B01" w:rsidRPr="00903B01" w:rsidRDefault="00903B01" w:rsidP="00903B01">
      <w:pPr>
        <w:suppressAutoHyphens/>
        <w:autoSpaceDN w:val="0"/>
        <w:spacing w:line="360" w:lineRule="auto"/>
        <w:jc w:val="both"/>
        <w:textAlignment w:val="baseline"/>
        <w:rPr>
          <w:rFonts w:eastAsia="Calibri"/>
          <w:color w:val="000000"/>
          <w:lang w:val="es-GT" w:eastAsia="en-US"/>
        </w:rPr>
      </w:pPr>
      <w:r w:rsidRPr="00903B01">
        <w:rPr>
          <w:rFonts w:eastAsia="Calibri"/>
          <w:color w:val="000000"/>
          <w:lang w:val="es-GT" w:eastAsia="en-US"/>
        </w:rPr>
        <w:t>Reportes descriptivos señalan</w:t>
      </w:r>
      <w:r w:rsidRPr="00903B01">
        <w:rPr>
          <w:rFonts w:eastAsia="Calibri"/>
          <w:color w:val="000000"/>
          <w:vertAlign w:val="superscript"/>
          <w:lang w:val="es-GT" w:eastAsia="en-US"/>
        </w:rPr>
        <w:t>(15,16)</w:t>
      </w:r>
      <w:r w:rsidRPr="00903B01">
        <w:rPr>
          <w:rFonts w:eastAsia="Calibri"/>
          <w:color w:val="000000"/>
          <w:lang w:val="es-GT" w:eastAsia="en-US"/>
        </w:rPr>
        <w:t xml:space="preserve"> que los tumores benignos más frecuentes de linea media son:  meningiomas, adenomas y craneofaringiomas.</w:t>
      </w:r>
      <w:r w:rsidRPr="00903B01">
        <w:rPr>
          <w:rFonts w:eastAsia="Calibri"/>
          <w:color w:val="000000"/>
          <w:vertAlign w:val="superscript"/>
          <w:lang w:val="es-GT" w:eastAsia="en-US"/>
        </w:rPr>
        <w:t xml:space="preserve"> </w:t>
      </w:r>
      <w:r w:rsidRPr="00903B01">
        <w:rPr>
          <w:rFonts w:eastAsia="Calibri"/>
          <w:color w:val="040C28"/>
          <w:lang w:val="es-GT" w:eastAsia="en-US"/>
        </w:rPr>
        <w:t>Del mismo modo</w:t>
      </w:r>
      <w:r w:rsidRPr="00903B01">
        <w:rPr>
          <w:rFonts w:eastAsia="Calibri"/>
          <w:color w:val="000000"/>
          <w:lang w:val="es-GT" w:eastAsia="en-US"/>
        </w:rPr>
        <w:t>, en la presente investigación, predominaron los adenomas hipofisiarios, meningiomas y craneofaringiomas (tabla 1), estos resultados se corresponden con la literatura consultada.</w:t>
      </w:r>
      <w:r w:rsidRPr="00903B01">
        <w:rPr>
          <w:rFonts w:eastAsia="Calibri"/>
          <w:color w:val="000000"/>
          <w:vertAlign w:val="superscript"/>
          <w:lang w:val="es-GT" w:eastAsia="en-US"/>
        </w:rPr>
        <w:t>(17,18)</w:t>
      </w:r>
    </w:p>
    <w:p w14:paraId="2768B2FE" w14:textId="77777777" w:rsidR="00903B01" w:rsidRPr="00903B01" w:rsidRDefault="00903B01" w:rsidP="00903B01">
      <w:pPr>
        <w:suppressAutoHyphens/>
        <w:autoSpaceDN w:val="0"/>
        <w:spacing w:line="360" w:lineRule="auto"/>
        <w:jc w:val="both"/>
        <w:textAlignment w:val="baseline"/>
        <w:rPr>
          <w:rFonts w:eastAsia="Calibri"/>
          <w:color w:val="000000"/>
          <w:lang w:val="es-GT" w:eastAsia="en-US"/>
        </w:rPr>
      </w:pPr>
      <w:r w:rsidRPr="00903B01">
        <w:rPr>
          <w:rFonts w:eastAsia="Calibri"/>
          <w:color w:val="000000"/>
          <w:lang w:val="es-GT" w:eastAsia="en-US"/>
        </w:rPr>
        <w:t>En el presente estudio, en relación con el tamaño tumoral, presentaron diversas dimensiones. Se presentaron más frecuente las lesiones con considerable tamaño (31-60 mm), (tabla 1). Estos resultados se refuerzan con la bibliografía relacionada con el tema.</w:t>
      </w:r>
      <w:r w:rsidRPr="00903B01">
        <w:rPr>
          <w:rFonts w:eastAsia="Calibri"/>
          <w:color w:val="000000"/>
          <w:vertAlign w:val="superscript"/>
          <w:lang w:val="es-GT" w:eastAsia="en-US"/>
        </w:rPr>
        <w:t>(19,20)</w:t>
      </w:r>
    </w:p>
    <w:p w14:paraId="76A78D11" w14:textId="77777777" w:rsidR="00903B01" w:rsidRPr="00903B01" w:rsidRDefault="00903B01" w:rsidP="00903B01">
      <w:pPr>
        <w:suppressAutoHyphens/>
        <w:autoSpaceDN w:val="0"/>
        <w:spacing w:line="360" w:lineRule="auto"/>
        <w:jc w:val="both"/>
        <w:textAlignment w:val="baseline"/>
        <w:rPr>
          <w:rFonts w:eastAsia="Calibri"/>
          <w:color w:val="000000"/>
          <w:lang w:val="es-GT" w:eastAsia="en-US"/>
        </w:rPr>
      </w:pPr>
      <w:r w:rsidRPr="00903B01">
        <w:rPr>
          <w:rFonts w:eastAsia="Calibri"/>
          <w:color w:val="000000"/>
          <w:lang w:val="es-GT" w:eastAsia="en-US"/>
        </w:rPr>
        <w:t xml:space="preserve">El procedimiento quirúrgico que predominó fue el extendido a la base craneal (tabla 1), esto está dado por el considerable tamaño de las lesiones en el estudio, razón por la cual, se requiere de una mayor disección de tejidos tanto óseos y durales con una reparación más desafiante. Estos resultados están en correspondencia con lo reportado por </w:t>
      </w:r>
      <w:r w:rsidRPr="00903B01">
        <w:rPr>
          <w:rFonts w:eastAsia="Calibri"/>
          <w:i/>
          <w:color w:val="000000"/>
          <w:lang w:val="es-GT" w:eastAsia="en-US"/>
        </w:rPr>
        <w:t>Kutlay M,</w:t>
      </w:r>
      <w:r w:rsidRPr="00903B01">
        <w:rPr>
          <w:rFonts w:eastAsia="Calibri"/>
          <w:color w:val="000000"/>
          <w:vertAlign w:val="superscript"/>
          <w:lang w:val="es-GT" w:eastAsia="en-US"/>
        </w:rPr>
        <w:t xml:space="preserve"> (21) </w:t>
      </w:r>
      <w:r w:rsidRPr="00903B01">
        <w:rPr>
          <w:rFonts w:eastAsia="Calibri"/>
          <w:color w:val="000000"/>
          <w:lang w:val="es-GT" w:eastAsia="en-US"/>
        </w:rPr>
        <w:t xml:space="preserve">y </w:t>
      </w:r>
      <w:r w:rsidRPr="00903B01">
        <w:rPr>
          <w:rFonts w:eastAsia="Calibri"/>
          <w:i/>
          <w:color w:val="000000"/>
          <w:lang w:val="es-GT" w:eastAsia="en-US"/>
        </w:rPr>
        <w:t>Tosaka M</w:t>
      </w:r>
      <w:r w:rsidRPr="00903B01">
        <w:rPr>
          <w:rFonts w:eastAsia="Calibri"/>
          <w:color w:val="000000"/>
          <w:lang w:val="es-GT" w:eastAsia="en-US"/>
        </w:rPr>
        <w:t xml:space="preserve"> y otros.</w:t>
      </w:r>
      <w:r w:rsidRPr="00903B01">
        <w:rPr>
          <w:rFonts w:eastAsia="Calibri"/>
          <w:color w:val="000000"/>
          <w:vertAlign w:val="superscript"/>
          <w:lang w:val="es-GT" w:eastAsia="en-US"/>
        </w:rPr>
        <w:t>(22)</w:t>
      </w:r>
    </w:p>
    <w:p w14:paraId="14DBBA5E" w14:textId="77777777" w:rsidR="00903B01" w:rsidRPr="00903B01" w:rsidRDefault="00903B01" w:rsidP="00903B01">
      <w:pPr>
        <w:suppressAutoHyphens/>
        <w:autoSpaceDN w:val="0"/>
        <w:spacing w:line="360" w:lineRule="auto"/>
        <w:jc w:val="both"/>
        <w:textAlignment w:val="baseline"/>
        <w:rPr>
          <w:rFonts w:eastAsia="Calibri"/>
          <w:color w:val="000000"/>
          <w:lang w:val="es-GT" w:eastAsia="en-US"/>
        </w:rPr>
      </w:pPr>
      <w:r w:rsidRPr="00903B01">
        <w:rPr>
          <w:rFonts w:eastAsia="Calibri"/>
          <w:color w:val="000000"/>
          <w:lang w:val="es-GT" w:eastAsia="en-US"/>
        </w:rPr>
        <w:lastRenderedPageBreak/>
        <w:t>En la presente investigación al evaluar el estado funcional de la barrera de reparación de manera mediata se identificó en casi la totalidad de las barreras de reparación como eficientes (tabla 2). Se evidenció solo un paciente con barrera de reparación ineficiente por fístula de LCR (1,4 %). Estos resultados refuerzan lo reportando en la literatura científica</w:t>
      </w:r>
      <w:r w:rsidRPr="00903B01">
        <w:rPr>
          <w:rFonts w:eastAsia="Calibri"/>
          <w:color w:val="000000"/>
          <w:vertAlign w:val="superscript"/>
          <w:lang w:val="es-GT" w:eastAsia="en-US"/>
        </w:rPr>
        <w:t xml:space="preserve">(23,24) </w:t>
      </w:r>
      <w:r w:rsidRPr="00903B01">
        <w:rPr>
          <w:rFonts w:eastAsia="Calibri"/>
          <w:color w:val="000000"/>
          <w:lang w:val="es-GT" w:eastAsia="en-US"/>
        </w:rPr>
        <w:t xml:space="preserve">en relación con la eficiencia de la barrera de reparacion en los AEE. </w:t>
      </w:r>
    </w:p>
    <w:p w14:paraId="4C895EEC" w14:textId="77777777" w:rsidR="00903B01" w:rsidRPr="00903B01" w:rsidRDefault="00903B01" w:rsidP="00903B01">
      <w:pPr>
        <w:suppressAutoHyphens/>
        <w:autoSpaceDN w:val="0"/>
        <w:spacing w:line="360" w:lineRule="auto"/>
        <w:jc w:val="both"/>
        <w:textAlignment w:val="baseline"/>
        <w:rPr>
          <w:rFonts w:eastAsia="Calibri"/>
          <w:color w:val="000000"/>
          <w:lang w:val="es-GT" w:eastAsia="en-US"/>
        </w:rPr>
      </w:pPr>
      <w:r w:rsidRPr="00903B01">
        <w:rPr>
          <w:rFonts w:eastAsia="Calibri"/>
          <w:color w:val="000000"/>
          <w:lang w:val="es-GT" w:eastAsia="en-US"/>
        </w:rPr>
        <w:t>Al realizar un análisis profundo del único paciente con barrera ineficiente, presentaba un diagnóstico histopatológico de meningioma del tubérculo selar, al sexto día de operado, se identifica cefalea de moderada intensidad y se realiza una TAC siempre de cráneo en la que se aprecia dilatación ventricular sugestiva de hidrocefalia. Se realiza una revisión endonasal endoscópica y se visualiza salida de LCR en extremo superior derecho del colgajo nasoseptal. Se realiza una derivación ventrículo peritoneal y reparación de la base craneal, el paciente evolucionó sin complicaciones.</w:t>
      </w:r>
    </w:p>
    <w:p w14:paraId="4D0B551B" w14:textId="77777777" w:rsidR="00903B01" w:rsidRPr="00903B01" w:rsidRDefault="00903B01" w:rsidP="00903B01">
      <w:pPr>
        <w:suppressAutoHyphens/>
        <w:autoSpaceDN w:val="0"/>
        <w:spacing w:line="360" w:lineRule="auto"/>
        <w:jc w:val="both"/>
        <w:textAlignment w:val="baseline"/>
        <w:rPr>
          <w:rFonts w:eastAsia="Calibri"/>
          <w:color w:val="000000"/>
          <w:lang w:val="es-GT" w:eastAsia="en-US"/>
        </w:rPr>
      </w:pPr>
      <w:r w:rsidRPr="00903B01">
        <w:rPr>
          <w:rFonts w:eastAsia="Calibri"/>
          <w:color w:val="000000"/>
          <w:lang w:val="es-GT" w:eastAsia="en-US"/>
        </w:rPr>
        <w:t>En relación con la presencia de signos de vitalidad de la barrera de reparación, en la mayoría de los pacientes se encontró la presencia de signos de vitalidad de manera global destacando aspectos como: la adherencia, granulación y angiogénesis en la totalidad de pacientes (tabla 2) (Fig. 1.A y Fig. 2).</w:t>
      </w:r>
    </w:p>
    <w:p w14:paraId="46CCD0B0" w14:textId="77777777" w:rsidR="00903B01" w:rsidRPr="00903B01" w:rsidRDefault="00903B01" w:rsidP="00903B01">
      <w:pPr>
        <w:tabs>
          <w:tab w:val="left" w:pos="720"/>
        </w:tabs>
        <w:suppressAutoHyphens/>
        <w:autoSpaceDN w:val="0"/>
        <w:spacing w:line="360" w:lineRule="auto"/>
        <w:jc w:val="both"/>
        <w:textAlignment w:val="baseline"/>
        <w:rPr>
          <w:rFonts w:eastAsia="Calibri"/>
          <w:color w:val="000000"/>
          <w:lang w:val="es-GT" w:eastAsia="en-US"/>
        </w:rPr>
      </w:pPr>
      <w:r w:rsidRPr="00903B01">
        <w:rPr>
          <w:rFonts w:eastAsia="Calibri"/>
          <w:color w:val="000000"/>
          <w:lang w:val="es-GT" w:eastAsia="en-US"/>
        </w:rPr>
        <w:t xml:space="preserve">Estos buenos resultados de la barrera de reparación, se deben debido al empleo de materiales autólogos y a los beneficios del L-PRF. Día a día, la terapia regenerativa se introduce en la medicina, y en la neurocirugía no es la excepción. Este tipo de concentrado plaquetario posee entre sus bondades: adhesivo, hemostático y sellante tisular, promueve la regeneración endotelial/epitelial, acelerando la curación de heridas, disminuye costras y cicatrices e inhibe las respuestas inflamatorias en los tejidos, efecto antimicrobiano por alta concentración de leucocitos, estimula la angiogénesis. Todas estas características tienen como finalizar impulsar y acelerar la cicatrización de los tejidos a nivel de la barrera de reparación. Autores como </w:t>
      </w:r>
      <w:r w:rsidRPr="00903B01">
        <w:rPr>
          <w:rFonts w:eastAsia="Calibri"/>
          <w:i/>
          <w:color w:val="000000"/>
          <w:shd w:val="clear" w:color="auto" w:fill="FFFFFF"/>
          <w:lang w:val="es-GT" w:eastAsia="en-US"/>
        </w:rPr>
        <w:t xml:space="preserve">Constanzo F </w:t>
      </w:r>
      <w:r w:rsidRPr="00903B01">
        <w:rPr>
          <w:rFonts w:eastAsia="Calibri"/>
          <w:iCs/>
          <w:color w:val="000000"/>
          <w:shd w:val="clear" w:color="auto" w:fill="FFFFFF"/>
          <w:lang w:val="es-GT" w:eastAsia="en-US"/>
        </w:rPr>
        <w:t>y otros</w:t>
      </w:r>
      <w:r w:rsidRPr="00903B01">
        <w:rPr>
          <w:rFonts w:eastAsia="Calibri"/>
          <w:i/>
          <w:color w:val="000000"/>
          <w:lang w:val="es-GT" w:eastAsia="en-US"/>
        </w:rPr>
        <w:t>,</w:t>
      </w:r>
      <w:r w:rsidRPr="00903B01">
        <w:rPr>
          <w:rFonts w:eastAsia="Calibri"/>
          <w:iCs/>
          <w:color w:val="000000"/>
          <w:vertAlign w:val="superscript"/>
          <w:lang w:val="es-GT" w:eastAsia="en-US"/>
        </w:rPr>
        <w:t>(25)</w:t>
      </w:r>
      <w:r w:rsidRPr="00903B01">
        <w:rPr>
          <w:rFonts w:eastAsia="Calibri"/>
          <w:i/>
          <w:color w:val="000000"/>
          <w:lang w:val="es-GT" w:eastAsia="en-US"/>
        </w:rPr>
        <w:t xml:space="preserve"> </w:t>
      </w:r>
      <w:r w:rsidRPr="00903B01">
        <w:rPr>
          <w:rFonts w:eastAsia="Calibri"/>
          <w:i/>
          <w:color w:val="000000"/>
          <w:shd w:val="clear" w:color="auto" w:fill="FFFFFF"/>
          <w:lang w:val="es-CU" w:eastAsia="en-US"/>
        </w:rPr>
        <w:t xml:space="preserve">Rasmussen J </w:t>
      </w:r>
      <w:r w:rsidRPr="00903B01">
        <w:rPr>
          <w:rFonts w:eastAsia="Calibri"/>
          <w:iCs/>
          <w:color w:val="000000"/>
          <w:shd w:val="clear" w:color="auto" w:fill="FFFFFF"/>
          <w:lang w:val="es-CU" w:eastAsia="en-US"/>
        </w:rPr>
        <w:t xml:space="preserve">y </w:t>
      </w:r>
      <w:r w:rsidRPr="00903B01">
        <w:rPr>
          <w:rFonts w:eastAsia="Calibri"/>
          <w:iCs/>
          <w:color w:val="000000"/>
          <w:lang w:val="es-GT" w:eastAsia="en-US"/>
        </w:rPr>
        <w:t>otros</w:t>
      </w:r>
      <w:r w:rsidRPr="00903B01">
        <w:rPr>
          <w:rFonts w:eastAsia="Calibri"/>
          <w:color w:val="000000"/>
          <w:lang w:val="es-GT" w:eastAsia="en-US"/>
        </w:rPr>
        <w:t>,</w:t>
      </w:r>
      <w:r w:rsidRPr="00903B01">
        <w:rPr>
          <w:rFonts w:eastAsia="Calibri"/>
          <w:color w:val="000000"/>
          <w:vertAlign w:val="superscript"/>
          <w:lang w:val="es-GT" w:eastAsia="en-US"/>
        </w:rPr>
        <w:t>(26)</w:t>
      </w:r>
      <w:r w:rsidRPr="00903B01">
        <w:rPr>
          <w:rFonts w:eastAsia="Calibri"/>
          <w:color w:val="000000"/>
          <w:shd w:val="clear" w:color="auto" w:fill="FFFFFF"/>
          <w:lang w:val="es-CU" w:eastAsia="en-US"/>
        </w:rPr>
        <w:t xml:space="preserve"> </w:t>
      </w:r>
      <w:r w:rsidRPr="00903B01">
        <w:rPr>
          <w:rFonts w:eastAsia="Calibri"/>
          <w:color w:val="000000"/>
          <w:lang w:val="es-GT" w:eastAsia="en-US"/>
        </w:rPr>
        <w:t>reportan buenos resultados con el empleo de L-PRF como elemento accesorio en la reparación de la base craneal.</w:t>
      </w:r>
      <w:r w:rsidRPr="00903B01">
        <w:rPr>
          <w:rFonts w:eastAsia="Calibri"/>
          <w:color w:val="000000"/>
          <w:vertAlign w:val="superscript"/>
          <w:lang w:val="es-GT" w:eastAsia="en-US"/>
        </w:rPr>
        <w:t>(25,26)</w:t>
      </w:r>
    </w:p>
    <w:p w14:paraId="3A6ECEA6" w14:textId="77777777" w:rsidR="00903B01" w:rsidRPr="00903B01" w:rsidRDefault="00903B01" w:rsidP="00903B01">
      <w:pPr>
        <w:suppressAutoHyphens/>
        <w:autoSpaceDN w:val="0"/>
        <w:spacing w:line="360" w:lineRule="auto"/>
        <w:jc w:val="both"/>
        <w:textAlignment w:val="baseline"/>
        <w:rPr>
          <w:rFonts w:eastAsia="ACaslonPro-Regular"/>
          <w:color w:val="000000"/>
          <w:lang w:val="es-ES" w:eastAsia="es-ES"/>
        </w:rPr>
      </w:pPr>
      <w:r w:rsidRPr="00903B01">
        <w:rPr>
          <w:rFonts w:eastAsia="ACaslonPro-Regular"/>
          <w:color w:val="000000"/>
          <w:lang w:val="es-ES" w:eastAsia="es-ES"/>
        </w:rPr>
        <w:t xml:space="preserve">La construcción de una barrera de reparación eficiente de la base craneal en los procedimientos endonasales endoscópicos es obligatorio en todos los pacientes, los elementos autólogos y la fibrina rica en plaquetas y leucocitos son fundamentales para lograrlo. Sin embargo, existen complicaciones que pueden alterar la hermetización y estabilidad, de no contemplarse, elevan de manera considerable la morbilidad y mortalidad en los pacientes. </w:t>
      </w:r>
    </w:p>
    <w:bookmarkEnd w:id="0"/>
    <w:p w14:paraId="016001AC" w14:textId="77777777" w:rsidR="00903B01" w:rsidRPr="00903B01" w:rsidRDefault="00903B01" w:rsidP="00903B01">
      <w:pPr>
        <w:suppressAutoHyphens/>
        <w:autoSpaceDN w:val="0"/>
        <w:spacing w:line="360" w:lineRule="auto"/>
        <w:jc w:val="center"/>
        <w:textAlignment w:val="baseline"/>
        <w:rPr>
          <w:rFonts w:eastAsia="Calibri"/>
          <w:b/>
          <w:color w:val="000000"/>
          <w:sz w:val="32"/>
          <w:szCs w:val="32"/>
          <w:lang w:val="es-GT" w:eastAsia="en-US"/>
        </w:rPr>
      </w:pPr>
      <w:r w:rsidRPr="00903B01">
        <w:rPr>
          <w:rFonts w:eastAsia="Calibri"/>
          <w:color w:val="000000"/>
          <w:sz w:val="32"/>
          <w:szCs w:val="32"/>
          <w:lang w:val="es-GT" w:eastAsia="en-US"/>
        </w:rPr>
        <w:lastRenderedPageBreak/>
        <w:t xml:space="preserve"> </w:t>
      </w:r>
      <w:r w:rsidRPr="00903B01">
        <w:rPr>
          <w:rFonts w:eastAsia="Calibri"/>
          <w:b/>
          <w:color w:val="000000"/>
          <w:sz w:val="32"/>
          <w:szCs w:val="32"/>
          <w:lang w:val="es-GT" w:eastAsia="en-US"/>
        </w:rPr>
        <w:t>REFERENCIAS BIBLIOGRÁFICAS</w:t>
      </w:r>
    </w:p>
    <w:p w14:paraId="5B2CCA39" w14:textId="77777777" w:rsidR="00903B01" w:rsidRPr="00903B01" w:rsidRDefault="00903B01" w:rsidP="00903B01">
      <w:pPr>
        <w:shd w:val="clear" w:color="auto" w:fill="FFFFFF"/>
        <w:suppressAutoHyphens/>
        <w:autoSpaceDN w:val="0"/>
        <w:spacing w:line="360" w:lineRule="auto"/>
        <w:textAlignment w:val="baseline"/>
        <w:rPr>
          <w:rFonts w:eastAsia="Calibri"/>
          <w:color w:val="000000"/>
          <w:lang w:val="en-US" w:eastAsia="en-US"/>
        </w:rPr>
      </w:pPr>
      <w:r w:rsidRPr="00903B01">
        <w:rPr>
          <w:rFonts w:eastAsia="Calibri"/>
          <w:color w:val="000000"/>
          <w:lang w:val="es-GT" w:eastAsia="en-US"/>
        </w:rPr>
        <w:t xml:space="preserve">1. Özer Mİ, Kutlay AM, Durmaz MO, Kirik A, Yaşar S, Tehli Ö, et al. Extended endonasal endoscopic approach for anterior midline skull base lesions. </w:t>
      </w:r>
      <w:r w:rsidRPr="00903B01">
        <w:rPr>
          <w:rFonts w:eastAsia="Calibri"/>
          <w:color w:val="000000"/>
          <w:lang w:val="en-US" w:eastAsia="en-US"/>
        </w:rPr>
        <w:t xml:space="preserve">Clin Neurol Neurosurg. 2020; 196:106024. DOI: 10.1016/j.clineuro.2020.106024 </w:t>
      </w:r>
    </w:p>
    <w:p w14:paraId="6056C306" w14:textId="77777777" w:rsidR="00903B01" w:rsidRPr="00903B01" w:rsidRDefault="00903B01" w:rsidP="00903B01">
      <w:pPr>
        <w:shd w:val="clear" w:color="auto" w:fill="FFFFFF"/>
        <w:suppressAutoHyphens/>
        <w:autoSpaceDN w:val="0"/>
        <w:spacing w:line="360" w:lineRule="auto"/>
        <w:textAlignment w:val="baseline"/>
        <w:rPr>
          <w:rFonts w:eastAsia="Calibri"/>
          <w:color w:val="000000"/>
          <w:lang w:val="en-US" w:eastAsia="en-US"/>
        </w:rPr>
      </w:pPr>
      <w:r w:rsidRPr="00903B01">
        <w:rPr>
          <w:rFonts w:eastAsia="Calibri"/>
          <w:color w:val="000000"/>
          <w:lang w:val="en-US" w:eastAsia="en-US"/>
        </w:rPr>
        <w:t xml:space="preserve">2. Mårtensson A, Cervin-Hoberg C, Huygens F, Lindstedt M, Sakellariou C, Greiff L, et al. Upper airway microbiome transplantation for patients with chronic rhinosinusitis. Int Forum Allergy Rhinol. 2023;13(6):979-988. DOI:  10.1002/alr.23122   </w:t>
      </w:r>
    </w:p>
    <w:p w14:paraId="7B84AC12" w14:textId="77777777" w:rsidR="00903B01" w:rsidRPr="00903B01" w:rsidRDefault="00903B01" w:rsidP="00903B01">
      <w:pPr>
        <w:shd w:val="clear" w:color="auto" w:fill="FFFFFF"/>
        <w:suppressAutoHyphens/>
        <w:autoSpaceDN w:val="0"/>
        <w:spacing w:line="360" w:lineRule="auto"/>
        <w:textAlignment w:val="baseline"/>
        <w:rPr>
          <w:rFonts w:eastAsia="Calibri"/>
          <w:color w:val="000000"/>
          <w:lang w:val="en-US" w:eastAsia="en-US"/>
        </w:rPr>
      </w:pPr>
      <w:r w:rsidRPr="00903B01">
        <w:rPr>
          <w:rFonts w:eastAsia="Calibri"/>
          <w:color w:val="000000"/>
          <w:lang w:val="en-US" w:eastAsia="en-US"/>
        </w:rPr>
        <w:t xml:space="preserve">3. Hannan CJ, Kelleher E, Javadpour M. Methods of Skull Base Repair Following Endoscopic Endonasal Tumor Resection: A Review. Front Oncol. 2020; 10:1614. DOI: 10.3389/fonc.2020.01614  </w:t>
      </w:r>
    </w:p>
    <w:p w14:paraId="2BCA2826" w14:textId="77777777" w:rsidR="00903B01" w:rsidRPr="00903B01" w:rsidRDefault="00903B01" w:rsidP="00903B01">
      <w:pPr>
        <w:shd w:val="clear" w:color="auto" w:fill="FFFFFF"/>
        <w:suppressAutoHyphens/>
        <w:autoSpaceDN w:val="0"/>
        <w:spacing w:line="360" w:lineRule="auto"/>
        <w:textAlignment w:val="baseline"/>
        <w:rPr>
          <w:rFonts w:eastAsia="Calibri"/>
          <w:color w:val="000000"/>
          <w:lang w:val="en-US" w:eastAsia="en-US"/>
        </w:rPr>
      </w:pPr>
      <w:r w:rsidRPr="00903B01">
        <w:rPr>
          <w:rFonts w:eastAsia="Calibri"/>
          <w:color w:val="000000"/>
          <w:lang w:val="en-US" w:eastAsia="en-US"/>
        </w:rPr>
        <w:t xml:space="preserve">4. Kessler RA, Garzon-Muvdi T, Kim E, Ramanathan M, Lim M. Utilization of the Nasoseptal Flap for Repair of Cerebrospinal Fluid Leak after Endoscopic Endonasal Approach for Resection of Pituitary Tumors. Brain Tumor Res Treat. 2019; 7(1):10-15. DOI: 10.14791/btrt.2019.7.e19 </w:t>
      </w:r>
    </w:p>
    <w:p w14:paraId="05730C28" w14:textId="77777777" w:rsidR="00903B01" w:rsidRPr="00903B01" w:rsidRDefault="00903B01" w:rsidP="00903B01">
      <w:pPr>
        <w:shd w:val="clear" w:color="auto" w:fill="FFFFFF"/>
        <w:suppressAutoHyphens/>
        <w:autoSpaceDN w:val="0"/>
        <w:spacing w:line="360" w:lineRule="auto"/>
        <w:textAlignment w:val="baseline"/>
        <w:rPr>
          <w:rFonts w:eastAsia="Calibri"/>
          <w:color w:val="000000"/>
          <w:lang w:val="en-US" w:eastAsia="en-US"/>
        </w:rPr>
      </w:pPr>
      <w:r w:rsidRPr="00903B01">
        <w:rPr>
          <w:rFonts w:eastAsia="Calibri"/>
          <w:color w:val="000000"/>
          <w:lang w:val="en-US" w:eastAsia="en-US"/>
        </w:rPr>
        <w:t xml:space="preserve">5. Hadad G, Bassagasteguy L, Carrau RL, Mataza JC, Kassam A, Snyderman CH, et al. A novel reconstructive technique after endoscopic expanded endonasal approaches: vascular pedicle nasoseptal flap. Laryngoscope. 2006; 116(10):1882-6.  DOI: 10.1097/01.mlg.0000234933.37779.e4. </w:t>
      </w:r>
    </w:p>
    <w:p w14:paraId="29A5FF8C" w14:textId="77777777" w:rsidR="00903B01" w:rsidRPr="00903B01" w:rsidRDefault="00903B01" w:rsidP="00903B01">
      <w:pPr>
        <w:shd w:val="clear" w:color="auto" w:fill="FFFFFF"/>
        <w:suppressAutoHyphens/>
        <w:autoSpaceDN w:val="0"/>
        <w:spacing w:line="360" w:lineRule="auto"/>
        <w:textAlignment w:val="baseline"/>
        <w:rPr>
          <w:rFonts w:eastAsia="Calibri"/>
          <w:color w:val="000000"/>
          <w:lang w:val="en-US" w:eastAsia="en-US"/>
        </w:rPr>
      </w:pPr>
      <w:r w:rsidRPr="00903B01">
        <w:rPr>
          <w:rFonts w:eastAsia="Calibri"/>
          <w:color w:val="000000"/>
          <w:lang w:val="en-US" w:eastAsia="en-US"/>
        </w:rPr>
        <w:t xml:space="preserve">6. Issue Information-Declaration of Helsinki. J Bone Miner Res. 2019; 34(3): BMi-BMii. DOI: 10.1002/jbmr.3492  </w:t>
      </w:r>
    </w:p>
    <w:p w14:paraId="60496D5B" w14:textId="77777777" w:rsidR="00903B01" w:rsidRPr="00903B01" w:rsidRDefault="00903B01" w:rsidP="00903B01">
      <w:pPr>
        <w:shd w:val="clear" w:color="auto" w:fill="FFFFFF"/>
        <w:suppressAutoHyphens/>
        <w:autoSpaceDN w:val="0"/>
        <w:spacing w:line="360" w:lineRule="auto"/>
        <w:textAlignment w:val="baseline"/>
        <w:rPr>
          <w:rFonts w:eastAsia="Calibri"/>
          <w:color w:val="000000"/>
          <w:lang w:val="en-US" w:eastAsia="en-US"/>
        </w:rPr>
      </w:pPr>
      <w:r w:rsidRPr="00903B01">
        <w:rPr>
          <w:rFonts w:eastAsia="Calibri"/>
          <w:color w:val="000000"/>
          <w:lang w:val="en-US" w:eastAsia="en-US"/>
        </w:rPr>
        <w:t xml:space="preserve">7. Ein L, Sargi Z, Nicolli EA. Update on anterior skull base reconstruction. Curr Opin Otolaryngol Head Neck Surg. 2019; 27(5):426-430. DOI: 10.1097/MOO.0000000000000572   </w:t>
      </w:r>
    </w:p>
    <w:p w14:paraId="7BF5318B" w14:textId="77777777" w:rsidR="00903B01" w:rsidRPr="00903B01" w:rsidRDefault="00903B01" w:rsidP="00903B01">
      <w:pPr>
        <w:shd w:val="clear" w:color="auto" w:fill="FFFFFF"/>
        <w:suppressAutoHyphens/>
        <w:autoSpaceDN w:val="0"/>
        <w:spacing w:line="360" w:lineRule="auto"/>
        <w:textAlignment w:val="baseline"/>
        <w:rPr>
          <w:rFonts w:eastAsia="Calibri"/>
          <w:color w:val="000000"/>
          <w:lang w:val="en-US" w:eastAsia="en-US"/>
        </w:rPr>
      </w:pPr>
      <w:r w:rsidRPr="00903B01">
        <w:rPr>
          <w:rFonts w:eastAsia="Calibri"/>
          <w:color w:val="000000"/>
          <w:lang w:val="en-US" w:eastAsia="en-US"/>
        </w:rPr>
        <w:t xml:space="preserve">8. Ringel B, Abergel A, Horowitz G, Safadi A, Zaretski A, Yanko R, et al. Skull Base Reconstruction with Multilayered Fascia Lata: A Single-Center 17 Years Experience. J Neurol Surg B Skull Base. 2021; 82(Suppl 3):e217-e223. DOI: 10.1055/s-0039-3402013 </w:t>
      </w:r>
    </w:p>
    <w:p w14:paraId="087A9A82" w14:textId="77777777" w:rsidR="00903B01" w:rsidRPr="00903B01" w:rsidRDefault="00903B01" w:rsidP="00903B01">
      <w:pPr>
        <w:shd w:val="clear" w:color="auto" w:fill="FFFFFF"/>
        <w:suppressAutoHyphens/>
        <w:autoSpaceDN w:val="0"/>
        <w:spacing w:line="360" w:lineRule="auto"/>
        <w:textAlignment w:val="baseline"/>
        <w:rPr>
          <w:rFonts w:eastAsia="Calibri"/>
          <w:color w:val="000000"/>
          <w:lang w:val="en-US" w:eastAsia="en-US"/>
        </w:rPr>
      </w:pPr>
      <w:r w:rsidRPr="00903B01">
        <w:rPr>
          <w:rFonts w:eastAsia="Calibri"/>
          <w:color w:val="000000"/>
          <w:lang w:val="en-US" w:eastAsia="en-US"/>
        </w:rPr>
        <w:t xml:space="preserve">9. Namvar M, Iranmehr A, Fathi MR, Sadrhosseini SM, Tabari A, Shirzad N, et al. Complications in Endoscopic Endonasal Pituitary Adenoma Surgery: An Institution Experience in 310 Patients. J Neurol Surg B Skull Base. 2022; 84(3):255-265. DOI: 10.1055/a-1838-5897 </w:t>
      </w:r>
    </w:p>
    <w:p w14:paraId="62862E30" w14:textId="77777777" w:rsidR="00903B01" w:rsidRPr="00903B01" w:rsidRDefault="00903B01" w:rsidP="00903B01">
      <w:pPr>
        <w:shd w:val="clear" w:color="auto" w:fill="FFFFFF"/>
        <w:suppressAutoHyphens/>
        <w:autoSpaceDN w:val="0"/>
        <w:spacing w:line="360" w:lineRule="auto"/>
        <w:textAlignment w:val="baseline"/>
        <w:rPr>
          <w:rFonts w:eastAsia="Calibri"/>
          <w:color w:val="000000"/>
          <w:lang w:val="en-US" w:eastAsia="en-US"/>
        </w:rPr>
      </w:pPr>
      <w:r w:rsidRPr="00903B01">
        <w:rPr>
          <w:rFonts w:eastAsia="Calibri"/>
          <w:color w:val="000000"/>
          <w:lang w:val="en-US" w:eastAsia="en-US"/>
        </w:rPr>
        <w:t xml:space="preserve">10. Abhinav K, Tyler M, Dale OT, Mohyeldin A, Fernandez-Miranda JC, Katznelson L. Managing complications of endoscopic transsphenoidal surgery in pituitary adenomas. Expert Rev Endocrinol Metab. 2020;15(5):311-319. DOI: 10.1080/17446651.2020.1800452 </w:t>
      </w:r>
    </w:p>
    <w:p w14:paraId="50A6D3C8" w14:textId="77777777" w:rsidR="00903B01" w:rsidRPr="00903B01" w:rsidRDefault="00903B01" w:rsidP="00903B01">
      <w:pPr>
        <w:shd w:val="clear" w:color="auto" w:fill="FFFFFF"/>
        <w:suppressAutoHyphens/>
        <w:autoSpaceDN w:val="0"/>
        <w:spacing w:line="360" w:lineRule="auto"/>
        <w:textAlignment w:val="baseline"/>
        <w:rPr>
          <w:rFonts w:eastAsia="Calibri"/>
          <w:color w:val="000000"/>
          <w:lang w:val="en-US" w:eastAsia="en-US"/>
        </w:rPr>
      </w:pPr>
      <w:r w:rsidRPr="00903B01">
        <w:rPr>
          <w:rFonts w:eastAsia="Calibri"/>
          <w:color w:val="000000"/>
          <w:lang w:val="en-US" w:eastAsia="en-US"/>
        </w:rPr>
        <w:lastRenderedPageBreak/>
        <w:t xml:space="preserve">11. Silveira-Bertazzo G, Manjila S, Carrau RL, Prevedello DM. Expanded endoscopic endonasal approach for extending suprasellar and third ventricular lesions. Acta Neurochir (Wien). 2020; 162(10):2403-2408. DOI: 10.1007/s00701-020-04368-9 </w:t>
      </w:r>
    </w:p>
    <w:p w14:paraId="2B179286" w14:textId="77777777" w:rsidR="00903B01" w:rsidRPr="00903B01" w:rsidRDefault="00903B01" w:rsidP="00903B01">
      <w:pPr>
        <w:shd w:val="clear" w:color="auto" w:fill="FFFFFF"/>
        <w:suppressAutoHyphens/>
        <w:autoSpaceDN w:val="0"/>
        <w:spacing w:line="360" w:lineRule="auto"/>
        <w:textAlignment w:val="baseline"/>
        <w:rPr>
          <w:rFonts w:eastAsia="Calibri"/>
          <w:color w:val="000000"/>
          <w:lang w:val="en-US" w:eastAsia="en-US"/>
        </w:rPr>
      </w:pPr>
      <w:r w:rsidRPr="00903B01">
        <w:rPr>
          <w:rFonts w:eastAsia="Calibri"/>
          <w:color w:val="000000"/>
          <w:lang w:val="en-US" w:eastAsia="en-US"/>
        </w:rPr>
        <w:t xml:space="preserve">12. Khalil W, Salle L, Bresson D, Salle H. Extended endoscopic transsphenoidal approach for suprasellar craniopharyngiomas. Acta Neurochir (Wien). 2023 ;165(3):677-683. DOI:  10.1007/s00701-022-05423-3 </w:t>
      </w:r>
    </w:p>
    <w:p w14:paraId="425CE39D" w14:textId="77777777" w:rsidR="00903B01" w:rsidRPr="00903B01" w:rsidRDefault="00903B01" w:rsidP="00903B01">
      <w:pPr>
        <w:shd w:val="clear" w:color="auto" w:fill="FFFFFF"/>
        <w:suppressAutoHyphens/>
        <w:autoSpaceDN w:val="0"/>
        <w:spacing w:line="360" w:lineRule="auto"/>
        <w:textAlignment w:val="baseline"/>
        <w:rPr>
          <w:rFonts w:eastAsia="Calibri"/>
          <w:color w:val="000000"/>
          <w:lang w:val="en-US" w:eastAsia="en-US"/>
        </w:rPr>
      </w:pPr>
      <w:r w:rsidRPr="00903B01">
        <w:rPr>
          <w:rFonts w:eastAsia="Calibri"/>
          <w:color w:val="000000"/>
          <w:lang w:val="en-US" w:eastAsia="en-US"/>
        </w:rPr>
        <w:t xml:space="preserve">13. Bernat AL, Priola SM, Elsawy A, Farrash F, Pasarikovski CR, Almeida JP, et al. Recurrence of Anterior Skull Base Meningiomas After Endoscopic Endonasal Resection: 10 Years' Experience in a Series of 52 Endoscopic and Transcranial Cases. World Neurosurg. 2018; 120:e107-e113. DOI: 10.1016/j.wneu.2018.07.210 </w:t>
      </w:r>
    </w:p>
    <w:p w14:paraId="0094DC13" w14:textId="77777777" w:rsidR="00903B01" w:rsidRPr="00903B01" w:rsidRDefault="00903B01" w:rsidP="00903B01">
      <w:pPr>
        <w:shd w:val="clear" w:color="auto" w:fill="FFFFFF"/>
        <w:suppressAutoHyphens/>
        <w:autoSpaceDN w:val="0"/>
        <w:spacing w:line="360" w:lineRule="auto"/>
        <w:textAlignment w:val="baseline"/>
        <w:rPr>
          <w:rFonts w:eastAsia="Calibri"/>
          <w:color w:val="000000"/>
          <w:lang w:val="en-US" w:eastAsia="en-US"/>
        </w:rPr>
      </w:pPr>
      <w:r w:rsidRPr="00903B01">
        <w:rPr>
          <w:rFonts w:eastAsia="Calibri"/>
          <w:color w:val="000000"/>
          <w:lang w:val="en-US" w:eastAsia="en-US"/>
        </w:rPr>
        <w:t xml:space="preserve">14. Nakao N. Endoscopic endonasal extended transsphenoidal approach for parasellar tumors. No Shinkei Geka. 2015; 43(4):297-307. Neurological surgery. DOI: 10.11477/mf.1436203011 </w:t>
      </w:r>
    </w:p>
    <w:p w14:paraId="69CB76CD" w14:textId="77777777" w:rsidR="00903B01" w:rsidRPr="00903B01" w:rsidRDefault="00903B01" w:rsidP="00903B01">
      <w:pPr>
        <w:shd w:val="clear" w:color="auto" w:fill="FFFFFF"/>
        <w:suppressAutoHyphens/>
        <w:autoSpaceDN w:val="0"/>
        <w:spacing w:line="360" w:lineRule="auto"/>
        <w:textAlignment w:val="baseline"/>
        <w:rPr>
          <w:rFonts w:eastAsia="Calibri"/>
          <w:color w:val="000000"/>
          <w:lang w:val="en-US" w:eastAsia="en-US"/>
        </w:rPr>
      </w:pPr>
      <w:r w:rsidRPr="00903B01">
        <w:rPr>
          <w:rFonts w:eastAsia="Calibri"/>
          <w:color w:val="000000"/>
          <w:lang w:val="en-US" w:eastAsia="en-US"/>
        </w:rPr>
        <w:t xml:space="preserve">15. Yang K, Ellenbogen Y, Dong S, Kim J, Larrazabal R, Rodriguez AR, et al. The expanded endoscopic endonasal approach for suprasellar meningiomas: long-term outcomes in a single-center series of 27 patients. Acta Neurochir (Wien). 2020; 162(3):623-629. DOI:  10.1007/s00701-019-04113-x   </w:t>
      </w:r>
    </w:p>
    <w:p w14:paraId="3D9995A1" w14:textId="77777777" w:rsidR="00903B01" w:rsidRPr="00903B01" w:rsidRDefault="00903B01" w:rsidP="00903B01">
      <w:pPr>
        <w:shd w:val="clear" w:color="auto" w:fill="FFFFFF"/>
        <w:suppressAutoHyphens/>
        <w:autoSpaceDN w:val="0"/>
        <w:spacing w:line="360" w:lineRule="auto"/>
        <w:textAlignment w:val="baseline"/>
        <w:rPr>
          <w:rFonts w:eastAsia="Calibri"/>
          <w:color w:val="000000"/>
          <w:lang w:val="en-US" w:eastAsia="en-US"/>
        </w:rPr>
      </w:pPr>
      <w:r w:rsidRPr="00903B01">
        <w:rPr>
          <w:rFonts w:eastAsia="Calibri"/>
          <w:color w:val="000000"/>
          <w:lang w:val="en-US" w:eastAsia="en-US"/>
        </w:rPr>
        <w:t xml:space="preserve">16. Solari D, D'Avella E, Bove I, Cappabianca P, Cavallo LM. Extended endonasal approaches for pituitary adenomas. J Neurosurg Sci. 2021; 65(2):160-168. DOI: 10.23736/S0390-5616.20.05120-6  </w:t>
      </w:r>
    </w:p>
    <w:p w14:paraId="480E09CB" w14:textId="77777777" w:rsidR="00903B01" w:rsidRPr="00903B01" w:rsidRDefault="00903B01" w:rsidP="00903B01">
      <w:pPr>
        <w:shd w:val="clear" w:color="auto" w:fill="FFFFFF"/>
        <w:suppressAutoHyphens/>
        <w:autoSpaceDN w:val="0"/>
        <w:spacing w:line="360" w:lineRule="auto"/>
        <w:textAlignment w:val="baseline"/>
        <w:rPr>
          <w:rFonts w:eastAsia="Calibri"/>
          <w:color w:val="000000"/>
          <w:lang w:val="en-US" w:eastAsia="en-US"/>
        </w:rPr>
      </w:pPr>
      <w:r w:rsidRPr="00903B01">
        <w:rPr>
          <w:rFonts w:eastAsia="Calibri"/>
          <w:color w:val="000000"/>
          <w:lang w:val="en-US" w:eastAsia="en-US"/>
        </w:rPr>
        <w:t xml:space="preserve">17. Chibbaro S, Signorelli F, Milani D, Cebula H, Scibilia A, Bozzi MT, et al. Primary Endoscopic Endonasal Management of Giant Pituitary Adenomas: Outcome and Pitfalls from a Large Prospective Multicenter Experience. Cancers (Basel). 2021 ;13(14):3603.  DOI: 10.3390/cancers13143603   </w:t>
      </w:r>
    </w:p>
    <w:p w14:paraId="5D9A9573" w14:textId="77777777" w:rsidR="00903B01" w:rsidRPr="00903B01" w:rsidRDefault="00903B01" w:rsidP="00903B01">
      <w:pPr>
        <w:shd w:val="clear" w:color="auto" w:fill="FFFFFF"/>
        <w:suppressAutoHyphens/>
        <w:autoSpaceDN w:val="0"/>
        <w:spacing w:line="360" w:lineRule="auto"/>
        <w:textAlignment w:val="baseline"/>
        <w:rPr>
          <w:rFonts w:eastAsia="Calibri"/>
          <w:color w:val="000000"/>
          <w:lang w:val="en-US" w:eastAsia="en-US"/>
        </w:rPr>
      </w:pPr>
      <w:r w:rsidRPr="00903B01">
        <w:rPr>
          <w:rFonts w:eastAsia="Calibri"/>
          <w:color w:val="000000"/>
          <w:lang w:val="en-US" w:eastAsia="en-US"/>
        </w:rPr>
        <w:t xml:space="preserve">18. Özer Mİ, Kutlay AM, Durmaz MO, Kirik A, Yaşar S, Tehli Ö, et al. Extended endonasal endoscopic approach for anterior midline skull base lesions. Clin Neurol Neurosurg. 2020; 196:106024. DOI:  10.1016/j.clineuro.2020.106024   </w:t>
      </w:r>
    </w:p>
    <w:p w14:paraId="0E643B6A" w14:textId="77777777" w:rsidR="00903B01" w:rsidRPr="00903B01" w:rsidRDefault="00903B01" w:rsidP="00903B01">
      <w:pPr>
        <w:shd w:val="clear" w:color="auto" w:fill="FFFFFF"/>
        <w:suppressAutoHyphens/>
        <w:autoSpaceDN w:val="0"/>
        <w:spacing w:line="360" w:lineRule="auto"/>
        <w:textAlignment w:val="baseline"/>
        <w:rPr>
          <w:rFonts w:eastAsia="Calibri"/>
          <w:color w:val="000000"/>
          <w:lang w:val="en-US" w:eastAsia="en-US"/>
        </w:rPr>
      </w:pPr>
      <w:r w:rsidRPr="00903B01">
        <w:rPr>
          <w:rFonts w:eastAsia="Calibri"/>
          <w:color w:val="000000"/>
          <w:lang w:val="en-US" w:eastAsia="en-US"/>
        </w:rPr>
        <w:t xml:space="preserve">19. Fallah N, Taghvaei M, Sadaghiani S, Sadrhosseini SM, Esfahanian F, Zeinalizadeh M. Surgical Outcome of Endoscopic Endonasal Surgery of Large and Giant Pituitary Adenomas: An Institutional Experience from the Middle East. World Neurosurg. 2019; 132:e802-e811. DOI: 10.1016/j.wneu.2019.08.004   </w:t>
      </w:r>
    </w:p>
    <w:p w14:paraId="364814CB" w14:textId="77777777" w:rsidR="00903B01" w:rsidRPr="00903B01" w:rsidRDefault="00903B01" w:rsidP="00903B01">
      <w:pPr>
        <w:shd w:val="clear" w:color="auto" w:fill="FFFFFF"/>
        <w:suppressAutoHyphens/>
        <w:autoSpaceDN w:val="0"/>
        <w:spacing w:line="360" w:lineRule="auto"/>
        <w:textAlignment w:val="baseline"/>
        <w:rPr>
          <w:rFonts w:eastAsia="Calibri"/>
          <w:color w:val="000000"/>
          <w:lang w:val="en-US" w:eastAsia="en-US"/>
        </w:rPr>
      </w:pPr>
      <w:r w:rsidRPr="00903B01">
        <w:rPr>
          <w:rFonts w:eastAsia="Calibri"/>
          <w:color w:val="000000"/>
          <w:lang w:val="en-US" w:eastAsia="en-US"/>
        </w:rPr>
        <w:lastRenderedPageBreak/>
        <w:t xml:space="preserve">20. Pezzutti DL, Magill ST, Albonette-Felicio T, Hardesty DA, Carrau RL, Otto BA, et al. Endoscopic Endonasal Transtubercular Approach for Resection of Giant Pituitary Adenomas With Subarachnoid Extension: The "Second Floor" Strategy to Avoid Postoperative Apoplexy. World Neurosurg. 2021; 153:e464-e472. DOI: 10.1016/j.wneu.2021.06.142   </w:t>
      </w:r>
    </w:p>
    <w:p w14:paraId="06528DEF" w14:textId="77777777" w:rsidR="00903B01" w:rsidRPr="00903B01" w:rsidRDefault="00903B01" w:rsidP="00903B01">
      <w:pPr>
        <w:suppressAutoHyphens/>
        <w:autoSpaceDN w:val="0"/>
        <w:spacing w:line="360" w:lineRule="auto"/>
        <w:textAlignment w:val="baseline"/>
        <w:rPr>
          <w:rFonts w:eastAsia="Calibri"/>
          <w:color w:val="000000"/>
          <w:lang w:val="en-US" w:eastAsia="en-US"/>
        </w:rPr>
      </w:pPr>
      <w:r w:rsidRPr="00903B01">
        <w:rPr>
          <w:rFonts w:eastAsia="Calibri"/>
          <w:color w:val="000000"/>
          <w:lang w:val="en-US" w:eastAsia="en-US"/>
        </w:rPr>
        <w:t xml:space="preserve">21. Kutlay M, Durmaz A, Özer İ, Kural C, Temiz Ç, Kaya S, et al. Extended endoscopic endonasal approach to the ventral skull base lesions. Clin Neurol Neurosurg. 2018; 167:129-140. DOI: 10.1016/j.clineuro.2018.02.032. </w:t>
      </w:r>
    </w:p>
    <w:p w14:paraId="281BC9AA" w14:textId="77777777" w:rsidR="00903B01" w:rsidRPr="00903B01" w:rsidRDefault="00903B01" w:rsidP="00903B01">
      <w:pPr>
        <w:shd w:val="clear" w:color="auto" w:fill="FFFFFF"/>
        <w:suppressAutoHyphens/>
        <w:autoSpaceDN w:val="0"/>
        <w:spacing w:line="360" w:lineRule="auto"/>
        <w:textAlignment w:val="baseline"/>
        <w:rPr>
          <w:rFonts w:eastAsia="Calibri"/>
          <w:color w:val="000000"/>
          <w:lang w:val="en-US" w:eastAsia="en-US"/>
        </w:rPr>
      </w:pPr>
      <w:r w:rsidRPr="00903B01">
        <w:rPr>
          <w:rFonts w:eastAsia="Calibri"/>
          <w:color w:val="000000"/>
          <w:lang w:val="en-US" w:eastAsia="en-US"/>
        </w:rPr>
        <w:t xml:space="preserve">22. Tosaka M, Prevedello DM, Yamaguchi R, Fukuhara N, Miyagishima T, Tanaka Y, et al. Single-Layer Fascia Patchwork Closure for the Extended Endoscopic Transsphenoidal Transtuberculum Transplanum Approach: Deep Suturing Technique and Preliminary Results. World Neurosurg. 2021; 155:e271-e284. DOI10.1016/j.wneu.2021.08.051.  </w:t>
      </w:r>
    </w:p>
    <w:p w14:paraId="4D144F4E" w14:textId="77777777" w:rsidR="00903B01" w:rsidRPr="00903B01" w:rsidRDefault="00903B01" w:rsidP="00903B01">
      <w:pPr>
        <w:shd w:val="clear" w:color="auto" w:fill="FFFFFF"/>
        <w:suppressAutoHyphens/>
        <w:autoSpaceDN w:val="0"/>
        <w:spacing w:line="360" w:lineRule="auto"/>
        <w:textAlignment w:val="baseline"/>
        <w:rPr>
          <w:rFonts w:eastAsia="Calibri"/>
          <w:color w:val="000000"/>
          <w:lang w:val="en-US" w:eastAsia="en-US"/>
        </w:rPr>
      </w:pPr>
      <w:r w:rsidRPr="00903B01">
        <w:rPr>
          <w:rFonts w:eastAsia="Calibri"/>
          <w:color w:val="000000"/>
          <w:lang w:val="en-US" w:eastAsia="en-US"/>
        </w:rPr>
        <w:t xml:space="preserve">23. Chabot JD, Patel CR, Hughes MA, Wang EW, Snyderman CH, Gardner PA, et al. Nasoseptal flap necrosis: a rare complication of endoscopic endonasal surgery. J Neurosurg. 2018; 128(5):1463-1472. DOI:  10.3171/2017.2.JNS161582 </w:t>
      </w:r>
    </w:p>
    <w:p w14:paraId="1F33474B" w14:textId="77777777" w:rsidR="00903B01" w:rsidRPr="00903B01" w:rsidRDefault="00903B01" w:rsidP="00903B01">
      <w:pPr>
        <w:shd w:val="clear" w:color="auto" w:fill="FFFFFF"/>
        <w:suppressAutoHyphens/>
        <w:autoSpaceDN w:val="0"/>
        <w:spacing w:line="360" w:lineRule="auto"/>
        <w:textAlignment w:val="baseline"/>
        <w:rPr>
          <w:rFonts w:eastAsia="Calibri"/>
          <w:color w:val="000000"/>
          <w:lang w:val="en-US" w:eastAsia="en-US"/>
        </w:rPr>
      </w:pPr>
      <w:r w:rsidRPr="00903B01">
        <w:rPr>
          <w:rFonts w:eastAsia="Calibri"/>
          <w:color w:val="000000"/>
          <w:lang w:val="en-US" w:eastAsia="en-US"/>
        </w:rPr>
        <w:t xml:space="preserve">24. Park W, Nam DH, Kong DS, Lee KE, Park SI, Kim HY, et al. Learning curve and technical nuances of endoscopic skull base reconstruction with nasoseptal flap to control high-flow cerebrospinal fluid leakage: reconstruction after endoscopic skull base surgery other than pituitary surgery. Eur Arch Otorhinolaryngol. 2022; 279(3):1335-1340. DOI: 10.1007/s00405-021-06877-4 </w:t>
      </w:r>
    </w:p>
    <w:p w14:paraId="0D42C790" w14:textId="77777777" w:rsidR="00903B01" w:rsidRPr="00903B01" w:rsidRDefault="00903B01" w:rsidP="00903B01">
      <w:pPr>
        <w:shd w:val="clear" w:color="auto" w:fill="FFFFFF"/>
        <w:suppressAutoHyphens/>
        <w:autoSpaceDN w:val="0"/>
        <w:spacing w:line="360" w:lineRule="auto"/>
        <w:textAlignment w:val="baseline"/>
        <w:rPr>
          <w:rFonts w:eastAsia="Calibri"/>
          <w:color w:val="000000"/>
          <w:lang w:val="en-US" w:eastAsia="en-US"/>
        </w:rPr>
      </w:pPr>
      <w:r w:rsidRPr="00903B01">
        <w:rPr>
          <w:rFonts w:eastAsia="Calibri"/>
          <w:color w:val="000000"/>
          <w:lang w:val="en-US" w:eastAsia="en-US"/>
        </w:rPr>
        <w:t xml:space="preserve">25. Constanzo F, Pinto J, Ledermann C, Schmidt T. Leukocyte-Rich and Platelet-Rich Fibrin for Skull Base Reconstruction After Endoscopic Endonasal Skull Base Surgery. Neurosurgery. 2023; 92(4):787-794. DOI: 10.1227/neu.0000000000002270  </w:t>
      </w:r>
    </w:p>
    <w:p w14:paraId="55EEA572" w14:textId="77777777" w:rsidR="00903B01" w:rsidRPr="00903B01" w:rsidRDefault="00903B01" w:rsidP="00903B01">
      <w:pPr>
        <w:suppressAutoHyphens/>
        <w:autoSpaceDE w:val="0"/>
        <w:autoSpaceDN w:val="0"/>
        <w:spacing w:line="360" w:lineRule="auto"/>
        <w:textAlignment w:val="baseline"/>
        <w:rPr>
          <w:rFonts w:eastAsia="Calibri"/>
          <w:b/>
          <w:color w:val="000000"/>
          <w:lang w:val="es-CU" w:eastAsia="en-US"/>
        </w:rPr>
      </w:pPr>
      <w:r w:rsidRPr="00903B01">
        <w:rPr>
          <w:rFonts w:eastAsia="Calibri"/>
          <w:color w:val="000000"/>
          <w:lang w:val="en-US" w:eastAsia="en-US"/>
        </w:rPr>
        <w:t xml:space="preserve">26. Rasmussen J, Ruggeri C, Ciraolo C, Baccanelli M, Yampolsky C, Ajler P. Application of Fibrin Rich in Leukocytes and Platelets in the Reconstruction of Endoscopic Approaches to the Skull Base. </w:t>
      </w:r>
      <w:r w:rsidRPr="00903B01">
        <w:rPr>
          <w:rFonts w:eastAsia="Calibri"/>
          <w:color w:val="000000"/>
          <w:lang w:val="es-CU" w:eastAsia="en-US"/>
        </w:rPr>
        <w:t>World Neurosurg. 2018; 118:32-41. DOI:  10.1016/j.wneu.2018.06.180</w:t>
      </w:r>
    </w:p>
    <w:p w14:paraId="3F4DE0DA" w14:textId="77777777" w:rsidR="00903B01" w:rsidRPr="00903B01" w:rsidRDefault="00903B01" w:rsidP="00903B01">
      <w:pPr>
        <w:suppressAutoHyphens/>
        <w:autoSpaceDE w:val="0"/>
        <w:autoSpaceDN w:val="0"/>
        <w:spacing w:line="360" w:lineRule="auto"/>
        <w:ind w:left="720"/>
        <w:jc w:val="center"/>
        <w:textAlignment w:val="baseline"/>
        <w:rPr>
          <w:rFonts w:eastAsia="Calibri"/>
          <w:b/>
          <w:lang w:val="es-CU" w:eastAsia="en-US"/>
        </w:rPr>
      </w:pPr>
    </w:p>
    <w:p w14:paraId="29B7EE41" w14:textId="77777777" w:rsidR="00903B01" w:rsidRPr="00903B01" w:rsidRDefault="00903B01" w:rsidP="00903B01">
      <w:pPr>
        <w:suppressAutoHyphens/>
        <w:autoSpaceDE w:val="0"/>
        <w:autoSpaceDN w:val="0"/>
        <w:spacing w:line="360" w:lineRule="auto"/>
        <w:ind w:left="720"/>
        <w:jc w:val="center"/>
        <w:textAlignment w:val="baseline"/>
        <w:rPr>
          <w:rFonts w:eastAsia="Calibri"/>
          <w:b/>
          <w:lang w:val="es-CU" w:eastAsia="en-US"/>
        </w:rPr>
      </w:pPr>
    </w:p>
    <w:p w14:paraId="103BEC0A" w14:textId="77777777" w:rsidR="00903B01" w:rsidRPr="00903B01" w:rsidRDefault="00903B01" w:rsidP="00903B01">
      <w:pPr>
        <w:suppressAutoHyphens/>
        <w:autoSpaceDE w:val="0"/>
        <w:autoSpaceDN w:val="0"/>
        <w:spacing w:line="360" w:lineRule="auto"/>
        <w:ind w:left="720"/>
        <w:jc w:val="center"/>
        <w:textAlignment w:val="baseline"/>
        <w:rPr>
          <w:rFonts w:eastAsia="Calibri"/>
          <w:b/>
          <w:lang w:val="es-CU" w:eastAsia="en-US"/>
        </w:rPr>
      </w:pPr>
      <w:r w:rsidRPr="00903B01">
        <w:rPr>
          <w:rFonts w:eastAsia="Calibri"/>
          <w:b/>
          <w:lang w:val="es-CU" w:eastAsia="en-US"/>
        </w:rPr>
        <w:t>Conflictos de interés</w:t>
      </w:r>
    </w:p>
    <w:p w14:paraId="65DAE67D" w14:textId="77777777" w:rsidR="00903B01" w:rsidRPr="00903B01" w:rsidRDefault="00903B01" w:rsidP="00903B01">
      <w:pPr>
        <w:suppressAutoHyphens/>
        <w:autoSpaceDE w:val="0"/>
        <w:autoSpaceDN w:val="0"/>
        <w:spacing w:line="360" w:lineRule="auto"/>
        <w:ind w:left="720"/>
        <w:jc w:val="both"/>
        <w:textAlignment w:val="baseline"/>
        <w:rPr>
          <w:rFonts w:eastAsia="Calibri"/>
          <w:lang w:val="es-GT" w:eastAsia="en-US"/>
        </w:rPr>
      </w:pPr>
      <w:r w:rsidRPr="00903B01">
        <w:rPr>
          <w:rFonts w:eastAsia="Calibri"/>
          <w:lang w:val="es-GT" w:eastAsia="en-US"/>
        </w:rPr>
        <w:t>Los autores no refieren conflictos de interés.</w:t>
      </w:r>
    </w:p>
    <w:p w14:paraId="19C945B8" w14:textId="77777777" w:rsidR="00903B01" w:rsidRPr="00903B01" w:rsidRDefault="00903B01" w:rsidP="00903B01">
      <w:pPr>
        <w:suppressAutoHyphens/>
        <w:autoSpaceDE w:val="0"/>
        <w:autoSpaceDN w:val="0"/>
        <w:spacing w:line="360" w:lineRule="auto"/>
        <w:ind w:left="720"/>
        <w:jc w:val="both"/>
        <w:textAlignment w:val="baseline"/>
        <w:rPr>
          <w:rFonts w:eastAsia="Calibri"/>
          <w:lang w:val="es-GT" w:eastAsia="en-US"/>
        </w:rPr>
      </w:pPr>
    </w:p>
    <w:p w14:paraId="5984646E" w14:textId="77777777" w:rsidR="00903B01" w:rsidRPr="00903B01" w:rsidRDefault="00903B01" w:rsidP="00903B01">
      <w:pPr>
        <w:suppressAutoHyphens/>
        <w:autoSpaceDE w:val="0"/>
        <w:autoSpaceDN w:val="0"/>
        <w:spacing w:line="360" w:lineRule="auto"/>
        <w:ind w:left="720"/>
        <w:jc w:val="center"/>
        <w:textAlignment w:val="baseline"/>
        <w:rPr>
          <w:rFonts w:eastAsia="Calibri"/>
          <w:b/>
          <w:lang w:val="es-GT" w:eastAsia="en-US"/>
        </w:rPr>
      </w:pPr>
      <w:r w:rsidRPr="00903B01">
        <w:rPr>
          <w:rFonts w:eastAsia="Calibri"/>
          <w:b/>
          <w:lang w:val="es-GT" w:eastAsia="en-US"/>
        </w:rPr>
        <w:t>Contribuciones de los autores</w:t>
      </w:r>
    </w:p>
    <w:p w14:paraId="470DBFD4" w14:textId="77777777" w:rsidR="00903B01" w:rsidRPr="00903B01" w:rsidRDefault="00903B01" w:rsidP="00903B01">
      <w:pPr>
        <w:suppressAutoHyphens/>
        <w:autoSpaceDE w:val="0"/>
        <w:autoSpaceDN w:val="0"/>
        <w:spacing w:line="360" w:lineRule="auto"/>
        <w:jc w:val="both"/>
        <w:textAlignment w:val="baseline"/>
        <w:rPr>
          <w:rFonts w:eastAsia="Calibri"/>
          <w:i/>
          <w:lang w:val="es-GT" w:eastAsia="en-US"/>
        </w:rPr>
      </w:pPr>
      <w:r w:rsidRPr="00903B01">
        <w:rPr>
          <w:rFonts w:eastAsia="Calibri"/>
          <w:lang w:val="es-GT" w:eastAsia="en-US"/>
        </w:rPr>
        <w:t xml:space="preserve">Conceptualización: </w:t>
      </w:r>
      <w:r w:rsidRPr="00903B01">
        <w:rPr>
          <w:rFonts w:eastAsia="Calibri"/>
          <w:i/>
          <w:lang w:val="es-GT" w:eastAsia="en-US"/>
        </w:rPr>
        <w:t>Carlos Roberto Vargas Gálvez, Marlon Manuel Ortiz Machín, Omar López Arbolay.</w:t>
      </w:r>
    </w:p>
    <w:p w14:paraId="7585091F" w14:textId="77777777" w:rsidR="00903B01" w:rsidRPr="00903B01" w:rsidRDefault="00903B01" w:rsidP="00903B01">
      <w:pPr>
        <w:suppressAutoHyphens/>
        <w:autoSpaceDE w:val="0"/>
        <w:autoSpaceDN w:val="0"/>
        <w:spacing w:line="360" w:lineRule="auto"/>
        <w:jc w:val="both"/>
        <w:textAlignment w:val="baseline"/>
        <w:rPr>
          <w:rFonts w:eastAsia="Calibri"/>
          <w:i/>
          <w:lang w:val="es-GT" w:eastAsia="en-US"/>
        </w:rPr>
      </w:pPr>
      <w:r w:rsidRPr="00903B01">
        <w:rPr>
          <w:rFonts w:eastAsia="Calibri"/>
          <w:lang w:val="es-GT" w:eastAsia="en-US"/>
        </w:rPr>
        <w:t xml:space="preserve">Curación de datos: </w:t>
      </w:r>
      <w:r w:rsidRPr="00903B01">
        <w:rPr>
          <w:rFonts w:eastAsia="Calibri"/>
          <w:i/>
          <w:lang w:val="es-GT" w:eastAsia="en-US"/>
        </w:rPr>
        <w:t xml:space="preserve">Carlos Roberto Vargas Gálvez, Marlon Manuel Ortiz Machín. </w:t>
      </w:r>
    </w:p>
    <w:p w14:paraId="0BBBD3B0" w14:textId="77777777" w:rsidR="00903B01" w:rsidRPr="00903B01" w:rsidRDefault="00903B01" w:rsidP="00903B01">
      <w:pPr>
        <w:suppressAutoHyphens/>
        <w:autoSpaceDE w:val="0"/>
        <w:autoSpaceDN w:val="0"/>
        <w:spacing w:line="360" w:lineRule="auto"/>
        <w:jc w:val="both"/>
        <w:textAlignment w:val="baseline"/>
        <w:rPr>
          <w:rFonts w:eastAsia="Calibri"/>
          <w:i/>
          <w:lang w:val="es-GT" w:eastAsia="en-US"/>
        </w:rPr>
      </w:pPr>
      <w:r w:rsidRPr="00903B01">
        <w:rPr>
          <w:rFonts w:eastAsia="Calibri"/>
          <w:i/>
          <w:lang w:val="es-GT" w:eastAsia="en-US"/>
        </w:rPr>
        <w:t>Análisis formal: Carlos Roberto Vargas Gálvez, Marlon Manuel Ortiz Machín, Omar López Arbolay.</w:t>
      </w:r>
    </w:p>
    <w:p w14:paraId="3FB4D04B" w14:textId="77777777" w:rsidR="00903B01" w:rsidRPr="00903B01" w:rsidRDefault="00903B01" w:rsidP="00903B01">
      <w:pPr>
        <w:suppressAutoHyphens/>
        <w:autoSpaceDE w:val="0"/>
        <w:autoSpaceDN w:val="0"/>
        <w:spacing w:line="360" w:lineRule="auto"/>
        <w:jc w:val="both"/>
        <w:textAlignment w:val="baseline"/>
        <w:rPr>
          <w:rFonts w:eastAsia="Calibri"/>
          <w:i/>
          <w:lang w:val="es-GT" w:eastAsia="en-US"/>
        </w:rPr>
      </w:pPr>
      <w:r w:rsidRPr="00903B01">
        <w:rPr>
          <w:rFonts w:eastAsia="Calibri"/>
          <w:lang w:val="es-GT" w:eastAsia="en-US"/>
        </w:rPr>
        <w:t xml:space="preserve">Investigación: </w:t>
      </w:r>
      <w:r w:rsidRPr="00903B01">
        <w:rPr>
          <w:rFonts w:eastAsia="Calibri"/>
          <w:i/>
          <w:lang w:val="es-GT" w:eastAsia="en-US"/>
        </w:rPr>
        <w:t>Carlos Roberto Vargas Gálvez, Marlon Manuel Ortiz Machín.</w:t>
      </w:r>
    </w:p>
    <w:p w14:paraId="16A7A06B" w14:textId="77777777" w:rsidR="00903B01" w:rsidRPr="00903B01" w:rsidRDefault="00903B01" w:rsidP="00903B01">
      <w:pPr>
        <w:suppressAutoHyphens/>
        <w:autoSpaceDE w:val="0"/>
        <w:autoSpaceDN w:val="0"/>
        <w:spacing w:line="360" w:lineRule="auto"/>
        <w:jc w:val="both"/>
        <w:textAlignment w:val="baseline"/>
        <w:rPr>
          <w:rFonts w:eastAsia="Calibri"/>
          <w:i/>
          <w:lang w:val="es-GT" w:eastAsia="en-US"/>
        </w:rPr>
      </w:pPr>
      <w:r w:rsidRPr="00903B01">
        <w:rPr>
          <w:rFonts w:eastAsia="Calibri"/>
          <w:i/>
          <w:lang w:val="es-GT" w:eastAsia="en-US"/>
        </w:rPr>
        <w:t>Metodología: Carlos Roberto Vargas Gálvez, Marlon Manuel Ortiz Machín, Omar López Arbolay.</w:t>
      </w:r>
    </w:p>
    <w:p w14:paraId="37C1F42D" w14:textId="77777777" w:rsidR="00903B01" w:rsidRPr="00903B01" w:rsidRDefault="00903B01" w:rsidP="00903B01">
      <w:pPr>
        <w:suppressAutoHyphens/>
        <w:autoSpaceDE w:val="0"/>
        <w:autoSpaceDN w:val="0"/>
        <w:spacing w:line="360" w:lineRule="auto"/>
        <w:jc w:val="both"/>
        <w:textAlignment w:val="baseline"/>
        <w:rPr>
          <w:rFonts w:eastAsia="Calibri"/>
          <w:i/>
          <w:lang w:val="es-GT" w:eastAsia="en-US"/>
        </w:rPr>
      </w:pPr>
      <w:r w:rsidRPr="00903B01">
        <w:rPr>
          <w:rFonts w:eastAsia="Calibri"/>
          <w:lang w:val="es-GT" w:eastAsia="en-US"/>
        </w:rPr>
        <w:t xml:space="preserve">Administración del proyecto: </w:t>
      </w:r>
      <w:r w:rsidRPr="00903B01">
        <w:rPr>
          <w:rFonts w:eastAsia="Calibri"/>
          <w:i/>
          <w:lang w:val="es-GT" w:eastAsia="en-US"/>
        </w:rPr>
        <w:t>Carlos Roberto Vargas Gálvez, Marlon Manuel Ortiz Machín, Omar López Arbolay.</w:t>
      </w:r>
    </w:p>
    <w:p w14:paraId="26C12AE1" w14:textId="77777777" w:rsidR="00903B01" w:rsidRPr="00903B01" w:rsidRDefault="00903B01" w:rsidP="00903B01">
      <w:pPr>
        <w:suppressAutoHyphens/>
        <w:autoSpaceDN w:val="0"/>
        <w:spacing w:line="360" w:lineRule="auto"/>
        <w:textAlignment w:val="baseline"/>
        <w:rPr>
          <w:rFonts w:eastAsia="Calibri"/>
          <w:sz w:val="22"/>
          <w:szCs w:val="22"/>
          <w:lang w:val="es-GT" w:eastAsia="en-US"/>
        </w:rPr>
      </w:pPr>
      <w:r w:rsidRPr="00903B01">
        <w:rPr>
          <w:rFonts w:eastAsia="Calibri"/>
          <w:lang w:val="es-GT" w:eastAsia="en-US"/>
        </w:rPr>
        <w:t xml:space="preserve">Recursos: </w:t>
      </w:r>
      <w:r w:rsidRPr="00903B01">
        <w:rPr>
          <w:rFonts w:eastAsia="Calibri"/>
          <w:i/>
          <w:lang w:val="es-GT" w:eastAsia="en-US"/>
        </w:rPr>
        <w:t>Carlos Roberto Vargas Gálvez, Marlon Manuel Ortiz Machín, Omar López Arbolay.</w:t>
      </w:r>
      <w:r w:rsidRPr="00903B01">
        <w:rPr>
          <w:rFonts w:eastAsia="Calibri"/>
          <w:color w:val="000000"/>
          <w:lang w:val="es-GT" w:eastAsia="en-US"/>
        </w:rPr>
        <w:t xml:space="preserve">                      </w:t>
      </w:r>
    </w:p>
    <w:p w14:paraId="5B96CCFB" w14:textId="77777777" w:rsidR="00903B01" w:rsidRPr="00903B01" w:rsidRDefault="00903B01" w:rsidP="00903B01">
      <w:pPr>
        <w:suppressAutoHyphens/>
        <w:autoSpaceDE w:val="0"/>
        <w:autoSpaceDN w:val="0"/>
        <w:spacing w:line="360" w:lineRule="auto"/>
        <w:jc w:val="both"/>
        <w:textAlignment w:val="baseline"/>
        <w:rPr>
          <w:rFonts w:eastAsia="Calibri"/>
          <w:lang w:val="es-GT" w:eastAsia="en-US"/>
        </w:rPr>
      </w:pPr>
      <w:r w:rsidRPr="00903B01">
        <w:rPr>
          <w:rFonts w:eastAsia="Calibri"/>
          <w:lang w:val="es-GT" w:eastAsia="en-US"/>
        </w:rPr>
        <w:t xml:space="preserve">Supervisión: </w:t>
      </w:r>
      <w:r w:rsidRPr="00903B01">
        <w:rPr>
          <w:rFonts w:eastAsia="Calibri"/>
          <w:i/>
          <w:lang w:val="es-GT" w:eastAsia="en-US"/>
        </w:rPr>
        <w:t>Carlos Roberto Vargas Gálvez, Marlon Manuel Ortiz Machín, Omar López Arbolay</w:t>
      </w:r>
      <w:r w:rsidRPr="00903B01">
        <w:rPr>
          <w:rFonts w:eastAsia="Calibri"/>
          <w:i/>
          <w:color w:val="000000"/>
          <w:lang w:val="es-GT" w:eastAsia="en-US"/>
        </w:rPr>
        <w:t>.</w:t>
      </w:r>
      <w:r w:rsidRPr="00903B01">
        <w:rPr>
          <w:rFonts w:eastAsia="Calibri"/>
          <w:color w:val="000000"/>
          <w:lang w:val="es-GT" w:eastAsia="en-US"/>
        </w:rPr>
        <w:t xml:space="preserve">                      </w:t>
      </w:r>
    </w:p>
    <w:p w14:paraId="4342B1D1" w14:textId="77777777" w:rsidR="00903B01" w:rsidRPr="00903B01" w:rsidRDefault="00903B01" w:rsidP="00903B01">
      <w:pPr>
        <w:suppressAutoHyphens/>
        <w:autoSpaceDE w:val="0"/>
        <w:autoSpaceDN w:val="0"/>
        <w:spacing w:line="360" w:lineRule="auto"/>
        <w:jc w:val="both"/>
        <w:textAlignment w:val="baseline"/>
        <w:rPr>
          <w:rFonts w:eastAsia="Calibri"/>
          <w:i/>
          <w:lang w:val="es-GT" w:eastAsia="en-US"/>
        </w:rPr>
      </w:pPr>
      <w:r w:rsidRPr="00903B01">
        <w:rPr>
          <w:rFonts w:eastAsia="Calibri"/>
          <w:lang w:val="es-GT" w:eastAsia="en-US"/>
        </w:rPr>
        <w:t xml:space="preserve">Validación: </w:t>
      </w:r>
      <w:r w:rsidRPr="00903B01">
        <w:rPr>
          <w:rFonts w:eastAsia="Calibri"/>
          <w:i/>
          <w:lang w:val="es-GT" w:eastAsia="en-US"/>
        </w:rPr>
        <w:t>Carlos Roberto Vargas Gálvez, Marlon Manuel Ortiz Machín, Omar López Arbolay.</w:t>
      </w:r>
    </w:p>
    <w:p w14:paraId="70AC89B2" w14:textId="77777777" w:rsidR="00903B01" w:rsidRPr="00903B01" w:rsidRDefault="00903B01" w:rsidP="00903B01">
      <w:pPr>
        <w:suppressAutoHyphens/>
        <w:autoSpaceDE w:val="0"/>
        <w:autoSpaceDN w:val="0"/>
        <w:spacing w:line="360" w:lineRule="auto"/>
        <w:jc w:val="both"/>
        <w:textAlignment w:val="baseline"/>
        <w:rPr>
          <w:rFonts w:eastAsia="Calibri"/>
          <w:i/>
          <w:lang w:val="es-GT" w:eastAsia="en-US"/>
        </w:rPr>
      </w:pPr>
      <w:r w:rsidRPr="00903B01">
        <w:rPr>
          <w:rFonts w:eastAsia="Calibri"/>
          <w:lang w:val="es-GT" w:eastAsia="en-US"/>
        </w:rPr>
        <w:t xml:space="preserve">Visualización: </w:t>
      </w:r>
      <w:r w:rsidRPr="00903B01">
        <w:rPr>
          <w:rFonts w:eastAsia="Calibri"/>
          <w:i/>
          <w:lang w:val="es-GT" w:eastAsia="en-US"/>
        </w:rPr>
        <w:t>Carlos Roberto Vargas Gálvez, Marlon Manuel Ortiz Machín, Omar López Arbolay.</w:t>
      </w:r>
    </w:p>
    <w:p w14:paraId="262B6BA6" w14:textId="77777777" w:rsidR="00903B01" w:rsidRPr="00903B01" w:rsidRDefault="00903B01" w:rsidP="00903B01">
      <w:pPr>
        <w:suppressAutoHyphens/>
        <w:autoSpaceDE w:val="0"/>
        <w:autoSpaceDN w:val="0"/>
        <w:spacing w:line="360" w:lineRule="auto"/>
        <w:jc w:val="both"/>
        <w:textAlignment w:val="baseline"/>
        <w:rPr>
          <w:rFonts w:eastAsia="Calibri"/>
          <w:i/>
          <w:lang w:val="es-GT" w:eastAsia="en-US"/>
        </w:rPr>
      </w:pPr>
      <w:r w:rsidRPr="00903B01">
        <w:rPr>
          <w:rFonts w:eastAsia="Calibri"/>
          <w:lang w:val="es-GT" w:eastAsia="en-US"/>
        </w:rPr>
        <w:t xml:space="preserve">Redacción – borrador original: </w:t>
      </w:r>
      <w:r w:rsidRPr="00903B01">
        <w:rPr>
          <w:rFonts w:eastAsia="Calibri"/>
          <w:i/>
          <w:lang w:val="es-GT" w:eastAsia="en-US"/>
        </w:rPr>
        <w:t>Carlos Roberto Vargas Gálvez, Marlon Manuel Ortiz Machín, Omar López Arbolay.</w:t>
      </w:r>
    </w:p>
    <w:p w14:paraId="6ACD8E0D" w14:textId="77777777" w:rsidR="00903B01" w:rsidRPr="00903B01" w:rsidRDefault="00903B01" w:rsidP="00903B01">
      <w:pPr>
        <w:suppressAutoHyphens/>
        <w:autoSpaceDE w:val="0"/>
        <w:autoSpaceDN w:val="0"/>
        <w:spacing w:line="360" w:lineRule="auto"/>
        <w:jc w:val="both"/>
        <w:textAlignment w:val="baseline"/>
        <w:rPr>
          <w:rFonts w:eastAsia="Calibri"/>
          <w:lang w:val="es-GT" w:eastAsia="en-US"/>
        </w:rPr>
      </w:pPr>
      <w:r w:rsidRPr="00903B01">
        <w:rPr>
          <w:rFonts w:eastAsia="Calibri"/>
          <w:lang w:val="es-GT" w:eastAsia="en-US"/>
        </w:rPr>
        <w:t xml:space="preserve">Redacción – revisión y edición: </w:t>
      </w:r>
      <w:r w:rsidRPr="00903B01">
        <w:rPr>
          <w:rFonts w:eastAsia="Calibri"/>
          <w:i/>
          <w:lang w:val="es-GT" w:eastAsia="en-US"/>
        </w:rPr>
        <w:t>Carlos Roberto Vargas Gálvez, Marlon Manuel Ortiz Machín, Omar López Arbolay.</w:t>
      </w:r>
      <w:bookmarkEnd w:id="1"/>
      <w:bookmarkEnd w:id="2"/>
      <w:bookmarkEnd w:id="3"/>
    </w:p>
    <w:p w14:paraId="1107DA0C" w14:textId="77777777" w:rsidR="00675476" w:rsidRPr="00903B01" w:rsidRDefault="00675476" w:rsidP="00EA1FEF">
      <w:pPr>
        <w:pStyle w:val="PDFRevista"/>
        <w:rPr>
          <w:lang w:val="es-GT"/>
        </w:rPr>
      </w:pPr>
    </w:p>
    <w:sectPr w:rsidR="00675476" w:rsidRPr="00903B01" w:rsidSect="00FD3DF8">
      <w:headerReference w:type="default" r:id="rId15"/>
      <w:footerReference w:type="even" r:id="rId16"/>
      <w:footerReference w:type="default" r:id="rId1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363ED" w14:textId="77777777" w:rsidR="00527738" w:rsidRDefault="00527738">
      <w:r>
        <w:separator/>
      </w:r>
    </w:p>
  </w:endnote>
  <w:endnote w:type="continuationSeparator" w:id="0">
    <w:p w14:paraId="6B3A0C7C" w14:textId="77777777" w:rsidR="00527738" w:rsidRDefault="00527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slonPro-Regular">
    <w:charset w:val="00"/>
    <w:family w:val="roman"/>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9E92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7C1CD24"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C409F" w14:textId="113F2EBC" w:rsidR="000F3690" w:rsidRPr="00AE044C" w:rsidRDefault="00903B01"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D5C7590" wp14:editId="450CA5BD">
              <wp:simplePos x="0" y="0"/>
              <wp:positionH relativeFrom="column">
                <wp:posOffset>3810</wp:posOffset>
              </wp:positionH>
              <wp:positionV relativeFrom="paragraph">
                <wp:posOffset>50165</wp:posOffset>
              </wp:positionV>
              <wp:extent cx="6286500" cy="19050"/>
              <wp:effectExtent l="19050" t="19050" r="0" b="0"/>
              <wp:wrapNone/>
              <wp:docPr id="1438335022"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E60393"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5B18098C"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4332E61"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7A871601" w14:textId="4E430339"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903B01" w:rsidRPr="00903B01">
      <w:rPr>
        <w:rFonts w:ascii="Verdana" w:hAnsi="Verdana"/>
        <w:noProof/>
        <w:sz w:val="18"/>
        <w:szCs w:val="18"/>
        <w:lang w:val="en-US" w:eastAsia="en-US"/>
      </w:rPr>
      <w:drawing>
        <wp:inline distT="0" distB="0" distL="0" distR="0" wp14:anchorId="2F16CC63" wp14:editId="28E0AC69">
          <wp:extent cx="643890" cy="14605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46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CECEA" w14:textId="77777777" w:rsidR="00527738" w:rsidRDefault="00527738">
      <w:r>
        <w:separator/>
      </w:r>
    </w:p>
  </w:footnote>
  <w:footnote w:type="continuationSeparator" w:id="0">
    <w:p w14:paraId="3218687F" w14:textId="77777777" w:rsidR="00527738" w:rsidRDefault="00527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228B4" w14:textId="14ABBB9F" w:rsidR="00CC376A" w:rsidRPr="00AE044C" w:rsidRDefault="00903B01"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r w:rsidR="007D2D0C" w:rsidRPr="00AE044C">
      <w:rPr>
        <w:sz w:val="22"/>
        <w:szCs w:val="22"/>
      </w:rPr>
      <w:t>):</w:t>
    </w:r>
    <w:r>
      <w:rPr>
        <w:sz w:val="22"/>
        <w:szCs w:val="22"/>
      </w:rPr>
      <w:t>e023014321</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5AAE608C" wp14:editId="2F6D7199">
          <wp:simplePos x="0" y="0"/>
          <wp:positionH relativeFrom="column">
            <wp:posOffset>2540</wp:posOffset>
          </wp:positionH>
          <wp:positionV relativeFrom="paragraph">
            <wp:posOffset>-598805</wp:posOffset>
          </wp:positionV>
          <wp:extent cx="6333490" cy="593725"/>
          <wp:effectExtent l="0" t="0" r="0" b="0"/>
          <wp:wrapNone/>
          <wp:docPr id="140167600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3077ED" w14:textId="475460FC" w:rsidR="00A477DE" w:rsidRDefault="00903B01">
    <w:r>
      <w:rPr>
        <w:noProof/>
      </w:rPr>
      <mc:AlternateContent>
        <mc:Choice Requires="wps">
          <w:drawing>
            <wp:anchor distT="0" distB="0" distL="114300" distR="114300" simplePos="0" relativeHeight="251654144" behindDoc="0" locked="0" layoutInCell="1" allowOverlap="1" wp14:anchorId="6EBABFC9" wp14:editId="7E3B6310">
              <wp:simplePos x="0" y="0"/>
              <wp:positionH relativeFrom="column">
                <wp:posOffset>635</wp:posOffset>
              </wp:positionH>
              <wp:positionV relativeFrom="paragraph">
                <wp:posOffset>42545</wp:posOffset>
              </wp:positionV>
              <wp:extent cx="6307455" cy="28575"/>
              <wp:effectExtent l="19050" t="19050" r="17145" b="9525"/>
              <wp:wrapNone/>
              <wp:docPr id="720335985"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A34EFDA"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7D2E"/>
    <w:multiLevelType w:val="hybridMultilevel"/>
    <w:tmpl w:val="127EC750"/>
    <w:lvl w:ilvl="0" w:tplc="5C0A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484484B"/>
    <w:multiLevelType w:val="hybridMultilevel"/>
    <w:tmpl w:val="6DA01DD8"/>
    <w:lvl w:ilvl="0" w:tplc="5C0A0003">
      <w:start w:val="1"/>
      <w:numFmt w:val="bullet"/>
      <w:lvlText w:val="o"/>
      <w:lvlJc w:val="left"/>
      <w:pPr>
        <w:ind w:left="1428" w:hanging="360"/>
      </w:pPr>
      <w:rPr>
        <w:rFonts w:ascii="Courier New" w:hAnsi="Courier New" w:cs="Courier New"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 w15:restartNumberingAfterBreak="0">
    <w:nsid w:val="23233333"/>
    <w:multiLevelType w:val="hybridMultilevel"/>
    <w:tmpl w:val="D98A45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8C4163"/>
    <w:multiLevelType w:val="hybridMultilevel"/>
    <w:tmpl w:val="4D24E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5B15039A"/>
    <w:multiLevelType w:val="hybridMultilevel"/>
    <w:tmpl w:val="BBB460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DFC497E"/>
    <w:multiLevelType w:val="hybridMultilevel"/>
    <w:tmpl w:val="3A007296"/>
    <w:lvl w:ilvl="0" w:tplc="5C0A0003">
      <w:start w:val="1"/>
      <w:numFmt w:val="bullet"/>
      <w:lvlText w:val="o"/>
      <w:lvlJc w:val="left"/>
      <w:pPr>
        <w:ind w:left="1428" w:hanging="360"/>
      </w:pPr>
      <w:rPr>
        <w:rFonts w:ascii="Courier New" w:hAnsi="Courier New" w:cs="Courier New"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 w15:restartNumberingAfterBreak="0">
    <w:nsid w:val="72D7613B"/>
    <w:multiLevelType w:val="hybridMultilevel"/>
    <w:tmpl w:val="EA5E9DFC"/>
    <w:lvl w:ilvl="0" w:tplc="5C0A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78896852"/>
    <w:multiLevelType w:val="hybridMultilevel"/>
    <w:tmpl w:val="B4E41BFE"/>
    <w:lvl w:ilvl="0" w:tplc="04090001">
      <w:start w:val="1"/>
      <w:numFmt w:val="bullet"/>
      <w:lvlText w:val=""/>
      <w:lvlJc w:val="left"/>
      <w:pPr>
        <w:ind w:left="720" w:hanging="360"/>
      </w:pPr>
      <w:rPr>
        <w:rFonts w:ascii="Symbol" w:hAnsi="Symbol" w:hint="default"/>
      </w:rPr>
    </w:lvl>
    <w:lvl w:ilvl="1" w:tplc="5EBE292C">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D42A07"/>
    <w:multiLevelType w:val="hybridMultilevel"/>
    <w:tmpl w:val="F72255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90291865">
    <w:abstractNumId w:val="4"/>
  </w:num>
  <w:num w:numId="2" w16cid:durableId="664549810">
    <w:abstractNumId w:val="8"/>
  </w:num>
  <w:num w:numId="3" w16cid:durableId="237784956">
    <w:abstractNumId w:val="3"/>
  </w:num>
  <w:num w:numId="4" w16cid:durableId="142280529">
    <w:abstractNumId w:val="2"/>
  </w:num>
  <w:num w:numId="5" w16cid:durableId="1709987879">
    <w:abstractNumId w:val="9"/>
  </w:num>
  <w:num w:numId="6" w16cid:durableId="586957747">
    <w:abstractNumId w:val="0"/>
  </w:num>
  <w:num w:numId="7" w16cid:durableId="1917745767">
    <w:abstractNumId w:val="7"/>
  </w:num>
  <w:num w:numId="8" w16cid:durableId="85419051">
    <w:abstractNumId w:val="6"/>
  </w:num>
  <w:num w:numId="9" w16cid:durableId="425924600">
    <w:abstractNumId w:val="5"/>
  </w:num>
  <w:num w:numId="10" w16cid:durableId="1153258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B01"/>
    <w:rsid w:val="00057F45"/>
    <w:rsid w:val="000D3958"/>
    <w:rsid w:val="000F3690"/>
    <w:rsid w:val="001221D1"/>
    <w:rsid w:val="00165CB5"/>
    <w:rsid w:val="00180CE9"/>
    <w:rsid w:val="00230DD5"/>
    <w:rsid w:val="00250AE9"/>
    <w:rsid w:val="00335518"/>
    <w:rsid w:val="00380D64"/>
    <w:rsid w:val="00391509"/>
    <w:rsid w:val="003A15E8"/>
    <w:rsid w:val="003B4516"/>
    <w:rsid w:val="003E03D5"/>
    <w:rsid w:val="004113BC"/>
    <w:rsid w:val="00486BFA"/>
    <w:rsid w:val="00493701"/>
    <w:rsid w:val="004E2065"/>
    <w:rsid w:val="00527738"/>
    <w:rsid w:val="005508A2"/>
    <w:rsid w:val="0055115D"/>
    <w:rsid w:val="00566F71"/>
    <w:rsid w:val="005918BD"/>
    <w:rsid w:val="006173A6"/>
    <w:rsid w:val="00675476"/>
    <w:rsid w:val="007C430F"/>
    <w:rsid w:val="007D2D0C"/>
    <w:rsid w:val="007D614D"/>
    <w:rsid w:val="00890CCD"/>
    <w:rsid w:val="00903B01"/>
    <w:rsid w:val="00915D3C"/>
    <w:rsid w:val="00960D6A"/>
    <w:rsid w:val="009A0560"/>
    <w:rsid w:val="009B0917"/>
    <w:rsid w:val="009F0F96"/>
    <w:rsid w:val="00A23C0C"/>
    <w:rsid w:val="00A477DE"/>
    <w:rsid w:val="00A66186"/>
    <w:rsid w:val="00A71E65"/>
    <w:rsid w:val="00AE044C"/>
    <w:rsid w:val="00B31971"/>
    <w:rsid w:val="00B4380A"/>
    <w:rsid w:val="00B66ECB"/>
    <w:rsid w:val="00B9474B"/>
    <w:rsid w:val="00C7523A"/>
    <w:rsid w:val="00CC1B6E"/>
    <w:rsid w:val="00CC376A"/>
    <w:rsid w:val="00CC48A1"/>
    <w:rsid w:val="00CF50E0"/>
    <w:rsid w:val="00D22C23"/>
    <w:rsid w:val="00D85951"/>
    <w:rsid w:val="00E62606"/>
    <w:rsid w:val="00EA1FEF"/>
    <w:rsid w:val="00EC5A6B"/>
    <w:rsid w:val="00EE301D"/>
    <w:rsid w:val="00F4503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F303B"/>
  <w15:docId w15:val="{53EE418B-8400-47F3-999F-F09C1EA0B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948-4287"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1-8471-0242" TargetMode="Externa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carlosvgg33@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1-9483-7247" TargetMode="External"/><Relationship Id="rId14"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TotalTime>
  <Pages>16</Pages>
  <Words>4310</Words>
  <Characters>24568</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28821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5</cp:revision>
  <cp:lastPrinted>2023-11-09T00:46:00Z</cp:lastPrinted>
  <dcterms:created xsi:type="dcterms:W3CDTF">2023-11-09T00:44:00Z</dcterms:created>
  <dcterms:modified xsi:type="dcterms:W3CDTF">2023-11-09T00:48:00Z</dcterms:modified>
</cp:coreProperties>
</file>