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5268DA" w14:textId="77777777" w:rsidR="0071468F" w:rsidRPr="0071468F" w:rsidRDefault="0071468F" w:rsidP="0071468F">
      <w:pPr>
        <w:spacing w:line="360" w:lineRule="auto"/>
        <w:jc w:val="right"/>
        <w:rPr>
          <w:rFonts w:eastAsia="Calibri"/>
          <w:sz w:val="20"/>
          <w:szCs w:val="20"/>
          <w:lang w:val="es-PE" w:eastAsia="en-US"/>
        </w:rPr>
      </w:pPr>
      <w:r w:rsidRPr="0071468F">
        <w:rPr>
          <w:rFonts w:eastAsia="Calibri"/>
          <w:sz w:val="20"/>
          <w:szCs w:val="20"/>
          <w:lang w:val="es-PE" w:eastAsia="en-US"/>
        </w:rPr>
        <w:t>Artículo de investigación</w:t>
      </w:r>
    </w:p>
    <w:p w14:paraId="748D1A61" w14:textId="77777777" w:rsidR="0071468F" w:rsidRPr="0071468F" w:rsidRDefault="0071468F" w:rsidP="0071468F">
      <w:pPr>
        <w:spacing w:line="360" w:lineRule="auto"/>
        <w:jc w:val="right"/>
        <w:rPr>
          <w:rFonts w:eastAsia="Calibri"/>
          <w:b/>
          <w:bCs/>
          <w:lang w:val="es-PE" w:eastAsia="en-US"/>
        </w:rPr>
      </w:pPr>
    </w:p>
    <w:p w14:paraId="6439FB5E" w14:textId="77777777" w:rsidR="0071468F" w:rsidRPr="0071468F" w:rsidRDefault="0071468F" w:rsidP="0071468F">
      <w:pPr>
        <w:spacing w:line="360" w:lineRule="auto"/>
        <w:jc w:val="center"/>
        <w:rPr>
          <w:rFonts w:eastAsia="Calibri"/>
          <w:b/>
          <w:bCs/>
          <w:sz w:val="28"/>
          <w:szCs w:val="28"/>
          <w:lang w:val="es-PE" w:eastAsia="en-US"/>
        </w:rPr>
      </w:pPr>
      <w:r w:rsidRPr="0071468F">
        <w:rPr>
          <w:rFonts w:eastAsia="Calibri"/>
          <w:b/>
          <w:bCs/>
          <w:sz w:val="28"/>
          <w:szCs w:val="28"/>
          <w:lang w:val="es-PE" w:eastAsia="en-US"/>
        </w:rPr>
        <w:t>Análisis de redes de las conductas suicidas en adultos peruanos</w:t>
      </w:r>
    </w:p>
    <w:p w14:paraId="1F6D1E3E" w14:textId="77777777" w:rsidR="0071468F" w:rsidRPr="0071468F" w:rsidRDefault="0071468F" w:rsidP="0071468F">
      <w:pPr>
        <w:spacing w:line="360" w:lineRule="auto"/>
        <w:jc w:val="center"/>
        <w:rPr>
          <w:rFonts w:eastAsia="Calibri"/>
          <w:sz w:val="28"/>
          <w:szCs w:val="28"/>
          <w:lang w:val="en-US" w:eastAsia="en-US"/>
        </w:rPr>
      </w:pPr>
      <w:r w:rsidRPr="0071468F">
        <w:rPr>
          <w:rFonts w:eastAsia="Calibri"/>
          <w:sz w:val="28"/>
          <w:szCs w:val="28"/>
          <w:lang w:val="en-US" w:eastAsia="en-US"/>
        </w:rPr>
        <w:t>Network analysis of the suicidal behaviors in Peruvian adults</w:t>
      </w:r>
    </w:p>
    <w:p w14:paraId="382DE2E0" w14:textId="77777777" w:rsidR="0071468F" w:rsidRPr="0071468F" w:rsidRDefault="0071468F" w:rsidP="0071468F">
      <w:pPr>
        <w:spacing w:line="360" w:lineRule="auto"/>
        <w:jc w:val="both"/>
        <w:rPr>
          <w:rFonts w:eastAsia="Calibri"/>
          <w:b/>
          <w:bCs/>
          <w:lang w:val="en-US" w:eastAsia="en-US"/>
        </w:rPr>
      </w:pPr>
    </w:p>
    <w:p w14:paraId="5365879C" w14:textId="77777777" w:rsidR="0071468F" w:rsidRPr="0071468F" w:rsidRDefault="0071468F" w:rsidP="0071468F">
      <w:pPr>
        <w:spacing w:line="360" w:lineRule="auto"/>
        <w:jc w:val="both"/>
        <w:rPr>
          <w:rFonts w:eastAsia="Calibri"/>
          <w:lang w:val="es-CU" w:eastAsia="en-US"/>
        </w:rPr>
      </w:pPr>
      <w:r w:rsidRPr="0071468F">
        <w:rPr>
          <w:rFonts w:eastAsia="Calibri"/>
          <w:lang w:val="es-CU" w:eastAsia="en-US"/>
        </w:rPr>
        <w:t>Jonatan Baños-Chaparro</w:t>
      </w:r>
      <w:r w:rsidRPr="0071468F">
        <w:rPr>
          <w:rFonts w:eastAsia="Calibri"/>
          <w:vertAlign w:val="superscript"/>
          <w:lang w:val="es-CU" w:eastAsia="en-US"/>
        </w:rPr>
        <w:t>1</w:t>
      </w:r>
      <w:r w:rsidRPr="0071468F">
        <w:rPr>
          <w:rFonts w:eastAsia="Calibri"/>
          <w:lang w:val="es-CU" w:eastAsia="en-US"/>
        </w:rPr>
        <w:t xml:space="preserve"> </w:t>
      </w:r>
      <w:hyperlink r:id="rId7" w:history="1">
        <w:r w:rsidRPr="0071468F">
          <w:rPr>
            <w:rFonts w:eastAsia="Calibri"/>
            <w:color w:val="0563C1"/>
            <w:u w:val="single"/>
            <w:lang w:val="es-CU" w:eastAsia="en-US"/>
          </w:rPr>
          <w:t>https://orcid.org/0000-0002-2604-7822</w:t>
        </w:r>
      </w:hyperlink>
      <w:r w:rsidRPr="0071468F">
        <w:rPr>
          <w:rFonts w:eastAsia="Calibri"/>
          <w:lang w:val="es-CU" w:eastAsia="en-US"/>
        </w:rPr>
        <w:t xml:space="preserve"> </w:t>
      </w:r>
    </w:p>
    <w:p w14:paraId="79105C83" w14:textId="77777777" w:rsidR="0071468F" w:rsidRPr="0071468F" w:rsidRDefault="0071468F" w:rsidP="0071468F">
      <w:pPr>
        <w:spacing w:line="360" w:lineRule="auto"/>
        <w:jc w:val="both"/>
        <w:rPr>
          <w:rFonts w:eastAsia="Calibri"/>
          <w:lang w:val="es-CU" w:eastAsia="en-US"/>
        </w:rPr>
      </w:pPr>
      <w:r w:rsidRPr="0071468F">
        <w:rPr>
          <w:rFonts w:eastAsia="Calibri"/>
          <w:lang w:val="es-CU" w:eastAsia="en-US"/>
        </w:rPr>
        <w:t>Paul Ynquillay-Lima</w:t>
      </w:r>
      <w:r w:rsidRPr="0071468F">
        <w:rPr>
          <w:rFonts w:eastAsia="Calibri"/>
          <w:vertAlign w:val="superscript"/>
          <w:lang w:val="es-CU" w:eastAsia="en-US"/>
        </w:rPr>
        <w:t>1</w:t>
      </w:r>
      <w:r w:rsidRPr="0071468F">
        <w:rPr>
          <w:rFonts w:eastAsia="Calibri"/>
          <w:lang w:val="es-CU" w:eastAsia="en-US"/>
        </w:rPr>
        <w:t xml:space="preserve"> </w:t>
      </w:r>
      <w:hyperlink r:id="rId8" w:history="1">
        <w:r w:rsidRPr="0071468F">
          <w:rPr>
            <w:rFonts w:eastAsia="Calibri"/>
            <w:color w:val="0563C1"/>
            <w:u w:val="single"/>
            <w:lang w:val="es-CU" w:eastAsia="en-US"/>
          </w:rPr>
          <w:t>https://orcid.org/0000-0002-8101-3932</w:t>
        </w:r>
      </w:hyperlink>
      <w:r w:rsidRPr="0071468F">
        <w:rPr>
          <w:rFonts w:eastAsia="Calibri"/>
          <w:lang w:val="es-CU" w:eastAsia="en-US"/>
        </w:rPr>
        <w:t xml:space="preserve"> </w:t>
      </w:r>
    </w:p>
    <w:p w14:paraId="03B9FC90" w14:textId="77777777" w:rsidR="0071468F" w:rsidRPr="0071468F" w:rsidRDefault="0071468F" w:rsidP="0071468F">
      <w:pPr>
        <w:spacing w:line="360" w:lineRule="auto"/>
        <w:jc w:val="both"/>
        <w:rPr>
          <w:rFonts w:eastAsia="Calibri"/>
          <w:lang w:val="es-CU" w:eastAsia="en-US"/>
        </w:rPr>
      </w:pPr>
      <w:r w:rsidRPr="0071468F">
        <w:rPr>
          <w:rFonts w:eastAsia="Calibri"/>
          <w:lang w:val="es-CU" w:eastAsia="en-US"/>
        </w:rPr>
        <w:t>Fernando Lamas Delgado</w:t>
      </w:r>
      <w:r w:rsidRPr="0071468F">
        <w:rPr>
          <w:rFonts w:eastAsia="Calibri"/>
          <w:vertAlign w:val="superscript"/>
          <w:lang w:val="es-CU" w:eastAsia="en-US"/>
        </w:rPr>
        <w:t>2</w:t>
      </w:r>
      <w:r w:rsidRPr="0071468F">
        <w:rPr>
          <w:rFonts w:eastAsia="Calibri"/>
          <w:lang w:val="es-CU" w:eastAsia="en-US"/>
        </w:rPr>
        <w:t xml:space="preserve"> </w:t>
      </w:r>
      <w:hyperlink r:id="rId9" w:history="1">
        <w:r w:rsidRPr="0071468F">
          <w:rPr>
            <w:rFonts w:eastAsia="Calibri"/>
            <w:color w:val="0563C1"/>
            <w:u w:val="single"/>
            <w:lang w:val="es-CU" w:eastAsia="en-US"/>
          </w:rPr>
          <w:t>https://orcid.org/0000-0001-6025-8415</w:t>
        </w:r>
      </w:hyperlink>
      <w:r w:rsidRPr="0071468F">
        <w:rPr>
          <w:rFonts w:eastAsia="Calibri"/>
          <w:lang w:val="es-CU" w:eastAsia="en-US"/>
        </w:rPr>
        <w:t xml:space="preserve"> </w:t>
      </w:r>
    </w:p>
    <w:p w14:paraId="111AD43E" w14:textId="77777777" w:rsidR="0071468F" w:rsidRPr="0071468F" w:rsidRDefault="0071468F" w:rsidP="0071468F">
      <w:pPr>
        <w:spacing w:line="360" w:lineRule="auto"/>
        <w:jc w:val="both"/>
        <w:rPr>
          <w:rFonts w:eastAsia="Calibri"/>
          <w:lang w:val="es-CU" w:eastAsia="en-US"/>
        </w:rPr>
      </w:pPr>
      <w:r w:rsidRPr="0071468F">
        <w:rPr>
          <w:rFonts w:eastAsia="Calibri"/>
          <w:lang w:val="es-CU" w:eastAsia="en-US"/>
        </w:rPr>
        <w:t>Fiorella Gaby Fuster Guillen</w:t>
      </w:r>
      <w:r w:rsidRPr="0071468F">
        <w:rPr>
          <w:rFonts w:eastAsia="Calibri"/>
          <w:vertAlign w:val="superscript"/>
          <w:lang w:val="es-CU" w:eastAsia="en-US"/>
        </w:rPr>
        <w:t>3</w:t>
      </w:r>
      <w:r w:rsidRPr="0071468F">
        <w:rPr>
          <w:rFonts w:eastAsia="Calibri"/>
          <w:lang w:val="es-CU" w:eastAsia="en-US"/>
        </w:rPr>
        <w:t xml:space="preserve"> </w:t>
      </w:r>
      <w:hyperlink r:id="rId10" w:history="1">
        <w:r w:rsidRPr="0071468F">
          <w:rPr>
            <w:rFonts w:eastAsia="Calibri"/>
            <w:color w:val="0563C1"/>
            <w:u w:val="single"/>
            <w:lang w:val="es-CU" w:eastAsia="en-US"/>
          </w:rPr>
          <w:t>https://orcid.org/0000-0003-3756-1541</w:t>
        </w:r>
      </w:hyperlink>
    </w:p>
    <w:p w14:paraId="4D4CFD47" w14:textId="77777777" w:rsidR="0071468F" w:rsidRPr="0071468F" w:rsidRDefault="0071468F" w:rsidP="0071468F">
      <w:pPr>
        <w:spacing w:line="360" w:lineRule="auto"/>
        <w:jc w:val="both"/>
        <w:rPr>
          <w:rFonts w:eastAsia="Calibri"/>
          <w:lang w:val="es-CU" w:eastAsia="en-US"/>
        </w:rPr>
      </w:pPr>
    </w:p>
    <w:p w14:paraId="1D9D73D2" w14:textId="77777777" w:rsidR="0071468F" w:rsidRPr="0071468F" w:rsidRDefault="0071468F" w:rsidP="0071468F">
      <w:pPr>
        <w:spacing w:line="360" w:lineRule="auto"/>
        <w:jc w:val="both"/>
        <w:rPr>
          <w:rFonts w:eastAsia="Calibri"/>
          <w:lang w:val="es-CU" w:eastAsia="en-US"/>
        </w:rPr>
      </w:pPr>
      <w:r w:rsidRPr="0071468F">
        <w:rPr>
          <w:rFonts w:eastAsia="Calibri"/>
          <w:vertAlign w:val="superscript"/>
          <w:lang w:val="es-CU" w:eastAsia="en-US"/>
        </w:rPr>
        <w:t>1</w:t>
      </w:r>
      <w:r w:rsidRPr="0071468F">
        <w:rPr>
          <w:rFonts w:eastAsia="Calibri"/>
          <w:lang w:val="es-CU" w:eastAsia="en-US"/>
        </w:rPr>
        <w:t>Universidad Norbert Wiener. Facultad de Ciencias de la Salud. Lima, Perú.</w:t>
      </w:r>
    </w:p>
    <w:p w14:paraId="3C710FC3" w14:textId="77777777" w:rsidR="0071468F" w:rsidRPr="0071468F" w:rsidRDefault="0071468F" w:rsidP="0071468F">
      <w:pPr>
        <w:spacing w:line="360" w:lineRule="auto"/>
        <w:jc w:val="both"/>
        <w:rPr>
          <w:rFonts w:eastAsia="Calibri"/>
          <w:lang w:val="es-CU" w:eastAsia="en-US"/>
        </w:rPr>
      </w:pPr>
      <w:r w:rsidRPr="0071468F">
        <w:rPr>
          <w:rFonts w:eastAsia="Calibri"/>
          <w:vertAlign w:val="superscript"/>
          <w:lang w:val="es-CU" w:eastAsia="en-US"/>
        </w:rPr>
        <w:t>2</w:t>
      </w:r>
      <w:r w:rsidRPr="0071468F">
        <w:rPr>
          <w:rFonts w:eastAsia="Calibri"/>
          <w:lang w:val="es-CU" w:eastAsia="en-US"/>
        </w:rPr>
        <w:t>Universidad Ricardo Palma. Escuela de Posgrado. Lima, Perú.</w:t>
      </w:r>
    </w:p>
    <w:p w14:paraId="587688D3" w14:textId="77777777" w:rsidR="0071468F" w:rsidRPr="0071468F" w:rsidRDefault="0071468F" w:rsidP="0071468F">
      <w:pPr>
        <w:spacing w:line="360" w:lineRule="auto"/>
        <w:jc w:val="both"/>
        <w:rPr>
          <w:rFonts w:eastAsia="Calibri"/>
          <w:lang w:val="es-CU" w:eastAsia="en-US"/>
        </w:rPr>
      </w:pPr>
      <w:r w:rsidRPr="0071468F">
        <w:rPr>
          <w:rFonts w:eastAsia="Calibri"/>
          <w:vertAlign w:val="superscript"/>
          <w:lang w:val="es-CU" w:eastAsia="en-US"/>
        </w:rPr>
        <w:t>3</w:t>
      </w:r>
      <w:r w:rsidRPr="0071468F">
        <w:rPr>
          <w:rFonts w:eastAsia="Calibri"/>
          <w:lang w:val="es-CU" w:eastAsia="en-US"/>
        </w:rPr>
        <w:t>Universidad César Vallejo. Facultad de Ciencias Empresariales. Lima, Perú.</w:t>
      </w:r>
    </w:p>
    <w:p w14:paraId="566BF073" w14:textId="77777777" w:rsidR="0071468F" w:rsidRPr="0071468F" w:rsidRDefault="0071468F" w:rsidP="0071468F">
      <w:pPr>
        <w:spacing w:line="360" w:lineRule="auto"/>
        <w:jc w:val="both"/>
        <w:rPr>
          <w:rFonts w:eastAsia="Calibri"/>
          <w:lang w:val="es-CU" w:eastAsia="en-US"/>
        </w:rPr>
      </w:pPr>
    </w:p>
    <w:p w14:paraId="05F457E7" w14:textId="77777777" w:rsidR="0071468F" w:rsidRPr="0071468F" w:rsidRDefault="0071468F" w:rsidP="0071468F">
      <w:pPr>
        <w:spacing w:line="360" w:lineRule="auto"/>
        <w:jc w:val="both"/>
        <w:rPr>
          <w:rFonts w:eastAsia="Calibri"/>
          <w:lang w:val="es-CU" w:eastAsia="en-US"/>
        </w:rPr>
      </w:pPr>
      <w:r w:rsidRPr="0071468F">
        <w:rPr>
          <w:rFonts w:eastAsia="Calibri"/>
          <w:lang w:val="es-CU" w:eastAsia="en-US"/>
        </w:rPr>
        <w:t xml:space="preserve">*Autor para la correspondencia. Correo electrónico: </w:t>
      </w:r>
      <w:hyperlink r:id="rId11" w:history="1">
        <w:r w:rsidRPr="0071468F">
          <w:rPr>
            <w:rFonts w:eastAsia="Calibri"/>
            <w:color w:val="0563C1"/>
            <w:u w:val="single"/>
            <w:lang w:val="es-CU" w:eastAsia="en-US"/>
          </w:rPr>
          <w:t>banos.jhc@gmail.com</w:t>
        </w:r>
      </w:hyperlink>
      <w:r w:rsidRPr="0071468F">
        <w:rPr>
          <w:rFonts w:eastAsia="Calibri"/>
          <w:lang w:val="es-CU" w:eastAsia="en-US"/>
        </w:rPr>
        <w:t xml:space="preserve"> </w:t>
      </w:r>
    </w:p>
    <w:p w14:paraId="09DCF085" w14:textId="77777777" w:rsidR="0071468F" w:rsidRPr="0071468F" w:rsidRDefault="0071468F" w:rsidP="0071468F">
      <w:pPr>
        <w:spacing w:line="360" w:lineRule="auto"/>
        <w:jc w:val="both"/>
        <w:rPr>
          <w:rFonts w:eastAsia="Calibri"/>
          <w:b/>
          <w:bCs/>
          <w:lang w:val="es-PE" w:eastAsia="en-US"/>
        </w:rPr>
      </w:pPr>
    </w:p>
    <w:p w14:paraId="7C03C93F" w14:textId="77777777" w:rsidR="0071468F" w:rsidRPr="0071468F" w:rsidRDefault="0071468F" w:rsidP="0071468F">
      <w:pPr>
        <w:spacing w:line="360" w:lineRule="auto"/>
        <w:jc w:val="both"/>
        <w:rPr>
          <w:rFonts w:eastAsia="Calibri"/>
          <w:b/>
          <w:bCs/>
          <w:lang w:val="es-PE" w:eastAsia="en-US"/>
        </w:rPr>
      </w:pPr>
      <w:r w:rsidRPr="0071468F">
        <w:rPr>
          <w:rFonts w:eastAsia="Calibri"/>
          <w:b/>
          <w:bCs/>
          <w:lang w:val="es-PE" w:eastAsia="en-US"/>
        </w:rPr>
        <w:t xml:space="preserve">RESUMEN </w:t>
      </w:r>
    </w:p>
    <w:p w14:paraId="384C7929" w14:textId="77777777" w:rsidR="0071468F" w:rsidRPr="0071468F" w:rsidRDefault="0071468F" w:rsidP="0071468F">
      <w:pPr>
        <w:spacing w:line="360" w:lineRule="auto"/>
        <w:jc w:val="both"/>
        <w:rPr>
          <w:rFonts w:eastAsia="Calibri"/>
          <w:lang w:val="es-PE" w:eastAsia="en-US"/>
        </w:rPr>
      </w:pPr>
      <w:r w:rsidRPr="0071468F">
        <w:rPr>
          <w:rFonts w:eastAsia="Calibri"/>
          <w:b/>
          <w:bCs/>
          <w:lang w:val="es-PE" w:eastAsia="en-US"/>
        </w:rPr>
        <w:t>Introducción</w:t>
      </w:r>
      <w:r w:rsidRPr="0071468F">
        <w:rPr>
          <w:rFonts w:eastAsia="Calibri"/>
          <w:lang w:val="es-PE" w:eastAsia="en-US"/>
        </w:rPr>
        <w:t>: En el estudio de la conducta humana, el suicidio es un problema de salud pública emergente. Dado que la mayoría de las personas que presentan conductas suicidas no lo comunican, es necesario explorar las conductas que son determinantes.</w:t>
      </w:r>
    </w:p>
    <w:p w14:paraId="68D0FCB9" w14:textId="77777777" w:rsidR="0071468F" w:rsidRPr="0071468F" w:rsidRDefault="0071468F" w:rsidP="0071468F">
      <w:pPr>
        <w:spacing w:line="360" w:lineRule="auto"/>
        <w:jc w:val="both"/>
        <w:rPr>
          <w:rFonts w:eastAsia="Calibri"/>
          <w:lang w:val="es-PE" w:eastAsia="en-US"/>
        </w:rPr>
      </w:pPr>
      <w:r w:rsidRPr="0071468F">
        <w:rPr>
          <w:rFonts w:eastAsia="Calibri"/>
          <w:b/>
          <w:bCs/>
          <w:lang w:val="es-PE" w:eastAsia="en-US"/>
        </w:rPr>
        <w:t>Objetivo</w:t>
      </w:r>
      <w:r w:rsidRPr="0071468F">
        <w:rPr>
          <w:rFonts w:eastAsia="Calibri"/>
          <w:lang w:val="es-PE" w:eastAsia="en-US"/>
        </w:rPr>
        <w:t>: Analizar las conductas suicidas mediante el análisis de redes en la población general de adultos peruanos.</w:t>
      </w:r>
    </w:p>
    <w:p w14:paraId="347C3573" w14:textId="77777777" w:rsidR="0071468F" w:rsidRPr="0071468F" w:rsidRDefault="0071468F" w:rsidP="0071468F">
      <w:pPr>
        <w:spacing w:line="360" w:lineRule="auto"/>
        <w:jc w:val="both"/>
        <w:rPr>
          <w:rFonts w:eastAsia="Calibri"/>
          <w:lang w:val="es-PE" w:eastAsia="en-US"/>
        </w:rPr>
      </w:pPr>
      <w:r w:rsidRPr="0071468F">
        <w:rPr>
          <w:rFonts w:eastAsia="Calibri"/>
          <w:b/>
          <w:bCs/>
          <w:lang w:val="es-PE" w:eastAsia="en-US"/>
        </w:rPr>
        <w:t>Métodos</w:t>
      </w:r>
      <w:r w:rsidRPr="0071468F">
        <w:rPr>
          <w:rFonts w:eastAsia="Calibri"/>
          <w:lang w:val="es-PE" w:eastAsia="en-US"/>
        </w:rPr>
        <w:t xml:space="preserve">: Estudio transversal y de enfoque cuantitativo. Participaron 408 adultos peruanos seleccionados mediante muestreo por conveniencia y criterios de inclusión. Se aplicó un instrumento para evaluar la conducta suicida y se estimó una red de correlación parcial regularizada. Asimismo, se analizaron los índices de centralidad (fuerza e influencia esperada) y la predictibilidad de los nodos. También se evaluó la estabilidad y precisión de la red. </w:t>
      </w:r>
    </w:p>
    <w:p w14:paraId="1C1B5A5E" w14:textId="77777777" w:rsidR="0071468F" w:rsidRPr="0071468F" w:rsidRDefault="0071468F" w:rsidP="0071468F">
      <w:pPr>
        <w:spacing w:line="360" w:lineRule="auto"/>
        <w:jc w:val="both"/>
        <w:rPr>
          <w:rFonts w:eastAsia="Calibri"/>
          <w:lang w:val="es-PE" w:eastAsia="en-US"/>
        </w:rPr>
      </w:pPr>
      <w:r w:rsidRPr="0071468F">
        <w:rPr>
          <w:rFonts w:eastAsia="Calibri"/>
          <w:b/>
          <w:bCs/>
          <w:lang w:val="es-PE" w:eastAsia="en-US"/>
        </w:rPr>
        <w:t>Resultados</w:t>
      </w:r>
      <w:r w:rsidRPr="0071468F">
        <w:rPr>
          <w:rFonts w:eastAsia="Calibri"/>
          <w:lang w:val="es-PE" w:eastAsia="en-US"/>
        </w:rPr>
        <w:t xml:space="preserve">: El modelo de red de conducta suicida estuvo conformado por bordes positivos. Las correlaciones más fuertes surgieron entre pensamientos suicidas e intención de suicidio. El nodo con </w:t>
      </w:r>
      <w:r w:rsidRPr="0071468F">
        <w:rPr>
          <w:rFonts w:eastAsia="Calibri"/>
          <w:lang w:val="es-PE" w:eastAsia="en-US"/>
        </w:rPr>
        <w:lastRenderedPageBreak/>
        <w:t xml:space="preserve">mayor fuerza e influencia esperada fue considerar quitarse la vida. La predictibilidad promedio fue 42 % y el nodo con mayor predicción fue desear estar muerto. La precisión de la red fue adecuada y su estabilidad también (CS = 0,596). </w:t>
      </w:r>
    </w:p>
    <w:p w14:paraId="6066769A" w14:textId="77777777" w:rsidR="0071468F" w:rsidRPr="0071468F" w:rsidRDefault="0071468F" w:rsidP="0071468F">
      <w:pPr>
        <w:spacing w:line="360" w:lineRule="auto"/>
        <w:jc w:val="both"/>
        <w:rPr>
          <w:rFonts w:eastAsia="Calibri"/>
          <w:lang w:val="es-PE" w:eastAsia="en-US"/>
        </w:rPr>
      </w:pPr>
      <w:r w:rsidRPr="0071468F">
        <w:rPr>
          <w:rFonts w:eastAsia="Calibri"/>
          <w:b/>
          <w:bCs/>
          <w:lang w:val="es-PE" w:eastAsia="en-US"/>
        </w:rPr>
        <w:t>Conclusiones</w:t>
      </w:r>
      <w:r w:rsidRPr="0071468F">
        <w:rPr>
          <w:rFonts w:eastAsia="Calibri"/>
          <w:lang w:val="es-PE" w:eastAsia="en-US"/>
        </w:rPr>
        <w:t xml:space="preserve">: Los resultados indican que los pensamientos suicidas y la intención de suicidarse son aspectos importantes para comprender las conductas suicidas en población general de adultos peruanos. Por ello, identificar estas conductas mediante los instrumentos de evaluación y entrevista clínica, es una práctica recomendable para la detección de personas en riesgo de conductas suicidas y prevención del suicidio. </w:t>
      </w:r>
    </w:p>
    <w:p w14:paraId="55E0E376" w14:textId="77777777" w:rsidR="0071468F" w:rsidRPr="0071468F" w:rsidRDefault="0071468F" w:rsidP="0071468F">
      <w:pPr>
        <w:spacing w:line="360" w:lineRule="auto"/>
        <w:jc w:val="both"/>
        <w:rPr>
          <w:rFonts w:eastAsia="Calibri"/>
          <w:lang w:val="es-PE" w:eastAsia="en-US"/>
        </w:rPr>
      </w:pPr>
      <w:r w:rsidRPr="0071468F">
        <w:rPr>
          <w:rFonts w:eastAsia="Calibri"/>
          <w:b/>
          <w:bCs/>
          <w:lang w:val="es-PE" w:eastAsia="en-US"/>
        </w:rPr>
        <w:t>Palabra clave</w:t>
      </w:r>
      <w:r w:rsidRPr="0071468F">
        <w:rPr>
          <w:rFonts w:eastAsia="Calibri"/>
          <w:lang w:val="es-PE" w:eastAsia="en-US"/>
        </w:rPr>
        <w:t>: suicidio; intento de suicidio; ideación suicida; salud mental; conductas relacionadas con la salud.</w:t>
      </w:r>
    </w:p>
    <w:p w14:paraId="2F8306D3" w14:textId="77777777" w:rsidR="0071468F" w:rsidRPr="0071468F" w:rsidRDefault="0071468F" w:rsidP="0071468F">
      <w:pPr>
        <w:spacing w:line="360" w:lineRule="auto"/>
        <w:jc w:val="both"/>
        <w:rPr>
          <w:rFonts w:eastAsia="Calibri"/>
          <w:lang w:val="es-PE" w:eastAsia="en-US"/>
        </w:rPr>
      </w:pPr>
    </w:p>
    <w:p w14:paraId="50A9A824" w14:textId="77777777" w:rsidR="0071468F" w:rsidRPr="0071468F" w:rsidRDefault="0071468F" w:rsidP="0071468F">
      <w:pPr>
        <w:spacing w:line="360" w:lineRule="auto"/>
        <w:jc w:val="both"/>
        <w:rPr>
          <w:rFonts w:eastAsia="Calibri"/>
          <w:b/>
          <w:bCs/>
          <w:lang w:val="en-US" w:eastAsia="en-US"/>
        </w:rPr>
      </w:pPr>
      <w:r w:rsidRPr="0071468F">
        <w:rPr>
          <w:rFonts w:eastAsia="Calibri"/>
          <w:b/>
          <w:bCs/>
          <w:lang w:val="en-US" w:eastAsia="en-US"/>
        </w:rPr>
        <w:t xml:space="preserve">ABSTRACT </w:t>
      </w:r>
    </w:p>
    <w:p w14:paraId="17A43E9A" w14:textId="77777777" w:rsidR="0071468F" w:rsidRPr="0071468F" w:rsidRDefault="0071468F" w:rsidP="0071468F">
      <w:pPr>
        <w:spacing w:line="360" w:lineRule="auto"/>
        <w:jc w:val="both"/>
        <w:rPr>
          <w:rFonts w:eastAsia="Calibri"/>
          <w:lang w:val="en-US" w:eastAsia="en-US"/>
        </w:rPr>
      </w:pPr>
      <w:r w:rsidRPr="0071468F">
        <w:rPr>
          <w:rFonts w:eastAsia="Calibri"/>
          <w:b/>
          <w:bCs/>
          <w:lang w:val="en-US" w:eastAsia="en-US"/>
        </w:rPr>
        <w:t>Introduction</w:t>
      </w:r>
      <w:r w:rsidRPr="0071468F">
        <w:rPr>
          <w:rFonts w:eastAsia="Calibri"/>
          <w:lang w:val="en-US" w:eastAsia="en-US"/>
        </w:rPr>
        <w:t>: In the study of human behavior, suicide is an emerging public health problem. Given that the majority of people who present suicidal behavior do not communicate it, it is necessary to explore the behaviors that are decisive.</w:t>
      </w:r>
    </w:p>
    <w:p w14:paraId="13026567" w14:textId="77777777" w:rsidR="0071468F" w:rsidRPr="0071468F" w:rsidRDefault="0071468F" w:rsidP="0071468F">
      <w:pPr>
        <w:spacing w:line="360" w:lineRule="auto"/>
        <w:jc w:val="both"/>
        <w:rPr>
          <w:rFonts w:eastAsia="Calibri"/>
          <w:lang w:val="en-US" w:eastAsia="en-US"/>
        </w:rPr>
      </w:pPr>
      <w:r w:rsidRPr="0071468F">
        <w:rPr>
          <w:rFonts w:eastAsia="Calibri"/>
          <w:b/>
          <w:bCs/>
          <w:lang w:val="en-US" w:eastAsia="en-US"/>
        </w:rPr>
        <w:t>Objective</w:t>
      </w:r>
      <w:r w:rsidRPr="0071468F">
        <w:rPr>
          <w:rFonts w:eastAsia="Calibri"/>
          <w:lang w:val="en-US" w:eastAsia="en-US"/>
        </w:rPr>
        <w:t>: To analyze the suicidal behaviors by means of the analysis of networks in general population of Peruvian adults.</w:t>
      </w:r>
    </w:p>
    <w:p w14:paraId="5DF8D085" w14:textId="77777777" w:rsidR="0071468F" w:rsidRPr="0071468F" w:rsidRDefault="0071468F" w:rsidP="0071468F">
      <w:pPr>
        <w:spacing w:line="360" w:lineRule="auto"/>
        <w:jc w:val="both"/>
        <w:rPr>
          <w:rFonts w:eastAsia="Calibri"/>
          <w:lang w:val="en-US" w:eastAsia="en-US"/>
        </w:rPr>
      </w:pPr>
      <w:r w:rsidRPr="0071468F">
        <w:rPr>
          <w:rFonts w:eastAsia="Calibri"/>
          <w:b/>
          <w:bCs/>
          <w:lang w:val="en-US" w:eastAsia="en-US"/>
        </w:rPr>
        <w:t>Methods</w:t>
      </w:r>
      <w:r w:rsidRPr="0071468F">
        <w:rPr>
          <w:rFonts w:eastAsia="Calibri"/>
          <w:lang w:val="en-US" w:eastAsia="en-US"/>
        </w:rPr>
        <w:t>: Cross-sectional study and of quantitative approach. 408 Peruvian adults selected by means of convenience sampling and inclusion criteria participated. An instrument was applied to evaluate suicidal behavior and a regularized partial correlation network was estimated. Likewise, the centrality indices (strength and expected influence) and the predictability of the nodes were analyzed. The stability and precision of the network was also evaluated.</w:t>
      </w:r>
    </w:p>
    <w:p w14:paraId="2D646FAF" w14:textId="77777777" w:rsidR="0071468F" w:rsidRPr="0071468F" w:rsidRDefault="0071468F" w:rsidP="0071468F">
      <w:pPr>
        <w:spacing w:line="360" w:lineRule="auto"/>
        <w:jc w:val="both"/>
        <w:rPr>
          <w:rFonts w:eastAsia="Calibri"/>
          <w:lang w:val="en-US" w:eastAsia="en-US"/>
        </w:rPr>
      </w:pPr>
      <w:r w:rsidRPr="0071468F">
        <w:rPr>
          <w:rFonts w:eastAsia="Calibri"/>
          <w:b/>
          <w:bCs/>
          <w:lang w:val="en-US" w:eastAsia="en-US"/>
        </w:rPr>
        <w:t>Results</w:t>
      </w:r>
      <w:r w:rsidRPr="0071468F">
        <w:rPr>
          <w:rFonts w:eastAsia="Calibri"/>
          <w:lang w:val="en-US" w:eastAsia="en-US"/>
        </w:rPr>
        <w:t>: The network model of suicidal behavior was made up of positive edges. The strongest correlations emerged between suicidal thoughts and suicide intention. The node with greatest strength and influence expected was considering taking his own life. The average predictability was 42% and the node with greatest was prediction was wishing to be dead. The precision of the network was adequate and its stability as well (CS=0,596).</w:t>
      </w:r>
    </w:p>
    <w:p w14:paraId="011D5F99" w14:textId="77777777" w:rsidR="0071468F" w:rsidRPr="0071468F" w:rsidRDefault="0071468F" w:rsidP="0071468F">
      <w:pPr>
        <w:spacing w:line="360" w:lineRule="auto"/>
        <w:jc w:val="both"/>
        <w:rPr>
          <w:rFonts w:eastAsia="Calibri"/>
          <w:lang w:val="en-US" w:eastAsia="en-US"/>
        </w:rPr>
      </w:pPr>
      <w:r w:rsidRPr="0071468F">
        <w:rPr>
          <w:rFonts w:eastAsia="Calibri"/>
          <w:b/>
          <w:bCs/>
          <w:lang w:val="en-US" w:eastAsia="en-US"/>
        </w:rPr>
        <w:t>Conclusions</w:t>
      </w:r>
      <w:r w:rsidRPr="0071468F">
        <w:rPr>
          <w:rFonts w:eastAsia="Calibri"/>
          <w:lang w:val="en-US" w:eastAsia="en-US"/>
        </w:rPr>
        <w:t xml:space="preserve">: The results indicate that suicidal thoughts and the intention to commit suicide are important aspects to understand suicidal behaviors in general population of Peruvian adults. For it, identifying these </w:t>
      </w:r>
      <w:r w:rsidRPr="0071468F">
        <w:rPr>
          <w:rFonts w:eastAsia="Calibri"/>
          <w:lang w:val="en-US" w:eastAsia="en-US"/>
        </w:rPr>
        <w:lastRenderedPageBreak/>
        <w:t>behaviors be means of the evaluation instruments and clinical interview is a recommended practice for detecting people at risk of suicidal behaviors and suicide prevention.</w:t>
      </w:r>
    </w:p>
    <w:p w14:paraId="5EE92DF2" w14:textId="77777777" w:rsidR="0071468F" w:rsidRPr="0071468F" w:rsidRDefault="0071468F" w:rsidP="0071468F">
      <w:pPr>
        <w:spacing w:line="360" w:lineRule="auto"/>
        <w:jc w:val="both"/>
        <w:rPr>
          <w:rFonts w:eastAsia="Calibri"/>
          <w:lang w:val="en-US" w:eastAsia="en-US"/>
        </w:rPr>
      </w:pPr>
      <w:r w:rsidRPr="0071468F">
        <w:rPr>
          <w:rFonts w:eastAsia="Calibri"/>
          <w:b/>
          <w:bCs/>
          <w:lang w:val="en-US" w:eastAsia="en-US"/>
        </w:rPr>
        <w:t>Keywords</w:t>
      </w:r>
      <w:r w:rsidRPr="0071468F">
        <w:rPr>
          <w:rFonts w:eastAsia="Calibri"/>
          <w:lang w:val="en-US" w:eastAsia="en-US"/>
        </w:rPr>
        <w:t xml:space="preserve">: suicide; suicide attempted; suicidal ideation; mental health; health behavior.  </w:t>
      </w:r>
    </w:p>
    <w:p w14:paraId="3294940D" w14:textId="77777777" w:rsidR="0071468F" w:rsidRPr="0071468F" w:rsidRDefault="0071468F" w:rsidP="0071468F">
      <w:pPr>
        <w:spacing w:line="360" w:lineRule="auto"/>
        <w:jc w:val="both"/>
        <w:rPr>
          <w:rFonts w:eastAsia="Calibri"/>
          <w:lang w:val="en-US" w:eastAsia="en-US"/>
        </w:rPr>
      </w:pPr>
    </w:p>
    <w:p w14:paraId="090094B0" w14:textId="77777777" w:rsidR="0071468F" w:rsidRPr="0071468F" w:rsidRDefault="0071468F" w:rsidP="0071468F">
      <w:pPr>
        <w:spacing w:line="360" w:lineRule="auto"/>
        <w:jc w:val="both"/>
        <w:rPr>
          <w:rFonts w:eastAsia="Calibri"/>
          <w:lang w:val="en-US" w:eastAsia="en-US"/>
        </w:rPr>
      </w:pPr>
    </w:p>
    <w:p w14:paraId="7654CEDE" w14:textId="77777777" w:rsidR="0071468F" w:rsidRPr="0071468F" w:rsidRDefault="0071468F" w:rsidP="0071468F">
      <w:pPr>
        <w:spacing w:line="360" w:lineRule="auto"/>
        <w:jc w:val="both"/>
        <w:rPr>
          <w:rFonts w:eastAsia="Calibri"/>
          <w:lang w:val="es-ES" w:eastAsia="en-US"/>
        </w:rPr>
      </w:pPr>
      <w:r w:rsidRPr="0071468F">
        <w:rPr>
          <w:rFonts w:eastAsia="Calibri"/>
          <w:lang w:val="es-ES" w:eastAsia="en-US"/>
        </w:rPr>
        <w:t>Recibido: 21/05/2021</w:t>
      </w:r>
    </w:p>
    <w:p w14:paraId="2E911DED" w14:textId="77777777" w:rsidR="0071468F" w:rsidRPr="0071468F" w:rsidRDefault="0071468F" w:rsidP="0071468F">
      <w:pPr>
        <w:spacing w:line="360" w:lineRule="auto"/>
        <w:jc w:val="both"/>
        <w:rPr>
          <w:rFonts w:eastAsia="Calibri"/>
          <w:lang w:val="es-ES" w:eastAsia="en-US"/>
        </w:rPr>
      </w:pPr>
      <w:r w:rsidRPr="0071468F">
        <w:rPr>
          <w:rFonts w:eastAsia="Calibri"/>
          <w:lang w:val="es-ES" w:eastAsia="en-US"/>
        </w:rPr>
        <w:t>Aprobado: 09/08/2021</w:t>
      </w:r>
    </w:p>
    <w:p w14:paraId="1035C991" w14:textId="77777777" w:rsidR="0071468F" w:rsidRPr="0071468F" w:rsidRDefault="0071468F" w:rsidP="0071468F">
      <w:pPr>
        <w:spacing w:line="360" w:lineRule="auto"/>
        <w:jc w:val="both"/>
        <w:rPr>
          <w:rFonts w:eastAsia="Calibri"/>
          <w:lang w:val="es-ES" w:eastAsia="en-US"/>
        </w:rPr>
      </w:pPr>
    </w:p>
    <w:p w14:paraId="7A82898D" w14:textId="77777777" w:rsidR="0071468F" w:rsidRPr="0071468F" w:rsidRDefault="0071468F" w:rsidP="0071468F">
      <w:pPr>
        <w:spacing w:line="360" w:lineRule="auto"/>
        <w:jc w:val="both"/>
        <w:rPr>
          <w:rFonts w:eastAsia="Calibri"/>
          <w:lang w:val="es-ES" w:eastAsia="en-US"/>
        </w:rPr>
      </w:pPr>
    </w:p>
    <w:p w14:paraId="7CE3EA2B" w14:textId="77777777" w:rsidR="0071468F" w:rsidRPr="0071468F" w:rsidRDefault="0071468F" w:rsidP="0071468F">
      <w:pPr>
        <w:spacing w:line="360" w:lineRule="auto"/>
        <w:jc w:val="center"/>
        <w:rPr>
          <w:rFonts w:eastAsia="Calibri"/>
          <w:b/>
          <w:bCs/>
          <w:sz w:val="32"/>
          <w:szCs w:val="32"/>
          <w:lang w:val="es-PE" w:eastAsia="en-US"/>
        </w:rPr>
      </w:pPr>
      <w:r w:rsidRPr="0071468F">
        <w:rPr>
          <w:rFonts w:eastAsia="Calibri"/>
          <w:b/>
          <w:bCs/>
          <w:sz w:val="32"/>
          <w:szCs w:val="32"/>
          <w:lang w:val="es-PE" w:eastAsia="en-US"/>
        </w:rPr>
        <w:t>INTRODUCCIÓN</w:t>
      </w:r>
    </w:p>
    <w:p w14:paraId="4E9B6EE1" w14:textId="77777777" w:rsidR="0071468F" w:rsidRPr="0071468F" w:rsidRDefault="0071468F" w:rsidP="0071468F">
      <w:pPr>
        <w:spacing w:line="360" w:lineRule="auto"/>
        <w:jc w:val="both"/>
        <w:rPr>
          <w:rFonts w:eastAsia="Calibri"/>
          <w:lang w:val="es-PE" w:eastAsia="en-US"/>
        </w:rPr>
      </w:pPr>
      <w:r w:rsidRPr="0071468F">
        <w:rPr>
          <w:rFonts w:eastAsia="Calibri"/>
          <w:lang w:val="es-PE" w:eastAsia="en-US"/>
        </w:rPr>
        <w:t xml:space="preserve">Comprender la conducta humana y los factores que </w:t>
      </w:r>
      <w:r w:rsidRPr="0071468F">
        <w:rPr>
          <w:rFonts w:eastAsia="Calibri"/>
          <w:color w:val="000000"/>
          <w:lang w:val="es-PE" w:eastAsia="en-US"/>
        </w:rPr>
        <w:t>la</w:t>
      </w:r>
      <w:r w:rsidRPr="0071468F">
        <w:rPr>
          <w:rFonts w:eastAsia="Calibri"/>
          <w:lang w:val="es-PE" w:eastAsia="en-US"/>
        </w:rPr>
        <w:t xml:space="preserve"> determinan, es uno de los principales objetivos de la investigación científica, mayormente en el campo de la salud basada en evidencias. En el estudio de la conducta humana, el suicidio es un problema de salud pública emergente. En particular, las conductas suicidas son acciones que incluyen conductas observables (autolesiones no suicidas, gestos, amenazas, métodos e intentos de suicidio) o conductas encubiertas (ideación suicida, pensamientos y creencias acerca de la muerte), que dan como resultado un alto riesgo para la integridad física y psicológica de un </w:t>
      </w:r>
      <w:proofErr w:type="gramStart"/>
      <w:r w:rsidRPr="0071468F">
        <w:rPr>
          <w:rFonts w:eastAsia="Calibri"/>
          <w:lang w:val="es-PE" w:eastAsia="en-US"/>
        </w:rPr>
        <w:t>individuo.</w:t>
      </w:r>
      <w:r w:rsidRPr="0071468F">
        <w:rPr>
          <w:rFonts w:eastAsia="Calibri"/>
          <w:vertAlign w:val="superscript"/>
          <w:lang w:val="es-PE" w:eastAsia="en-US"/>
        </w:rPr>
        <w:t>(</w:t>
      </w:r>
      <w:proofErr w:type="gramEnd"/>
      <w:r w:rsidRPr="0071468F">
        <w:rPr>
          <w:rFonts w:eastAsia="Calibri"/>
          <w:vertAlign w:val="superscript"/>
          <w:lang w:val="es-PE" w:eastAsia="en-US"/>
        </w:rPr>
        <w:t>1,2)</w:t>
      </w:r>
      <w:r w:rsidRPr="0071468F">
        <w:rPr>
          <w:rFonts w:eastAsia="Calibri"/>
          <w:lang w:val="es-PE" w:eastAsia="en-US"/>
        </w:rPr>
        <w:t xml:space="preserve"> </w:t>
      </w:r>
    </w:p>
    <w:p w14:paraId="3BF97FEF" w14:textId="77777777" w:rsidR="0071468F" w:rsidRPr="0071468F" w:rsidRDefault="0071468F" w:rsidP="0071468F">
      <w:pPr>
        <w:spacing w:line="360" w:lineRule="auto"/>
        <w:jc w:val="both"/>
        <w:rPr>
          <w:rFonts w:eastAsia="Calibri"/>
          <w:lang w:val="es-PE" w:eastAsia="en-US"/>
        </w:rPr>
      </w:pPr>
      <w:r w:rsidRPr="0071468F">
        <w:rPr>
          <w:rFonts w:eastAsia="Calibri"/>
          <w:lang w:val="es-PE" w:eastAsia="en-US"/>
        </w:rPr>
        <w:t xml:space="preserve">Dado que el suicidio no sucede por una causa común, sino por el contrario, debido a la interacción entre factores psicológicos, sociales y contextuales, </w:t>
      </w:r>
      <w:r w:rsidRPr="0071468F">
        <w:rPr>
          <w:rFonts w:eastAsia="Calibri"/>
          <w:color w:val="000000"/>
          <w:lang w:val="es-PE" w:eastAsia="en-US"/>
        </w:rPr>
        <w:t>se</w:t>
      </w:r>
      <w:r w:rsidRPr="0071468F">
        <w:rPr>
          <w:rFonts w:eastAsia="Calibri"/>
          <w:lang w:val="es-PE" w:eastAsia="en-US"/>
        </w:rPr>
        <w:t xml:space="preserve"> destaca como un problema complejo y dinámico, es decir, es complejo debido a una serie de variables que interactúan de manera no lineal y es dinámico, porque estas interacciones cambian en el tiempo.</w:t>
      </w:r>
      <w:r w:rsidRPr="0071468F">
        <w:rPr>
          <w:rFonts w:eastAsia="Calibri"/>
          <w:vertAlign w:val="superscript"/>
          <w:lang w:val="es-PE" w:eastAsia="en-US"/>
        </w:rPr>
        <w:t>(2)</w:t>
      </w:r>
      <w:r w:rsidRPr="0071468F">
        <w:rPr>
          <w:rFonts w:eastAsia="Calibri"/>
          <w:lang w:val="es-PE" w:eastAsia="en-US"/>
        </w:rPr>
        <w:t xml:space="preserve"> Comprender la naturaleza del suicidio no solo es difícil para los investigadores en el campo de la </w:t>
      </w:r>
      <w:proofErr w:type="spellStart"/>
      <w:r w:rsidRPr="0071468F">
        <w:rPr>
          <w:rFonts w:eastAsia="Calibri"/>
          <w:lang w:val="es-PE" w:eastAsia="en-US"/>
        </w:rPr>
        <w:t>suicidología</w:t>
      </w:r>
      <w:proofErr w:type="spellEnd"/>
      <w:r w:rsidRPr="0071468F">
        <w:rPr>
          <w:rFonts w:eastAsia="Calibri"/>
          <w:lang w:val="es-PE" w:eastAsia="en-US"/>
        </w:rPr>
        <w:t xml:space="preserve"> y los profesionales de la salud, sino también para las personas que manifiestan estas conductas, el entorno familiar y social del individuo. </w:t>
      </w:r>
    </w:p>
    <w:p w14:paraId="6DADD7A0" w14:textId="77777777" w:rsidR="0071468F" w:rsidRPr="0071468F" w:rsidRDefault="0071468F" w:rsidP="0071468F">
      <w:pPr>
        <w:spacing w:line="360" w:lineRule="auto"/>
        <w:jc w:val="both"/>
        <w:rPr>
          <w:rFonts w:eastAsia="Calibri"/>
          <w:vertAlign w:val="superscript"/>
          <w:lang w:val="es-PE" w:eastAsia="en-US"/>
        </w:rPr>
      </w:pPr>
      <w:r w:rsidRPr="0071468F">
        <w:rPr>
          <w:rFonts w:eastAsia="Calibri"/>
          <w:color w:val="000000"/>
          <w:lang w:val="es-PE" w:eastAsia="en-US"/>
        </w:rPr>
        <w:t xml:space="preserve">Debido a esta </w:t>
      </w:r>
      <w:r w:rsidRPr="0071468F">
        <w:rPr>
          <w:rFonts w:eastAsia="Calibri"/>
          <w:lang w:val="es-PE" w:eastAsia="en-US"/>
        </w:rPr>
        <w:t xml:space="preserve">complejidad, en la última década, la adaptación y desarrollo de modelos teóricos contemporáneos y el avance de los softwares y técnicas estadísticas, ha permitido abordar los problemas psicopatológicos desde una perspectiva diferente. De manera específica, la teoría de redes plantea la hipótesis de que los síntomas (o signos, rasgos, entre otros) </w:t>
      </w:r>
      <w:bookmarkStart w:id="0" w:name="_Hlk71078304"/>
      <w:r w:rsidRPr="0071468F">
        <w:rPr>
          <w:rFonts w:eastAsia="Calibri"/>
          <w:lang w:val="es-PE" w:eastAsia="en-US"/>
        </w:rPr>
        <w:t xml:space="preserve">interactúan entre ellos mismos, independientemente del modelo biomédico de causa latente común, en el cual los signos y síntomas (alucinaciones, ideas delirantes) explican una causa común subyacente (esquizofrenia), clasificada por </w:t>
      </w:r>
      <w:r w:rsidRPr="0071468F">
        <w:rPr>
          <w:rFonts w:eastAsia="Calibri"/>
          <w:lang w:val="es-PE" w:eastAsia="en-US"/>
        </w:rPr>
        <w:lastRenderedPageBreak/>
        <w:t>los manuales diagnósticos clínicos tradicionales.</w:t>
      </w:r>
      <w:r w:rsidRPr="0071468F">
        <w:rPr>
          <w:rFonts w:eastAsia="Calibri"/>
          <w:vertAlign w:val="superscript"/>
          <w:lang w:val="es-PE" w:eastAsia="en-US"/>
        </w:rPr>
        <w:t>(3)</w:t>
      </w:r>
      <w:r w:rsidRPr="0071468F">
        <w:rPr>
          <w:rFonts w:eastAsia="Calibri"/>
          <w:lang w:val="es-PE" w:eastAsia="en-US"/>
        </w:rPr>
        <w:t xml:space="preserve"> Desde esta perspectiva, los trastornos psicopatológicos se conceptualizan como sistemas dinámicos complejos de síntomas, que interactúan y se agrupan mutuamente, y no es debido a una causa específica subyacente,</w:t>
      </w:r>
      <w:r w:rsidRPr="0071468F">
        <w:rPr>
          <w:rFonts w:eastAsia="Calibri"/>
          <w:vertAlign w:val="superscript"/>
          <w:lang w:val="es-PE" w:eastAsia="en-US"/>
        </w:rPr>
        <w:t>(4)</w:t>
      </w:r>
      <w:r w:rsidRPr="0071468F">
        <w:rPr>
          <w:rFonts w:eastAsia="Calibri"/>
          <w:lang w:val="es-PE" w:eastAsia="en-US"/>
        </w:rPr>
        <w:t xml:space="preserve"> para los cuales algunos síntomas individuales desempeñan un papel único y central en relación con otros síntomas. Particularmente, los síntomas son en sí mismo el problema, presentan una naturaleza e identidad propia y son objetivos principales de </w:t>
      </w:r>
      <w:proofErr w:type="gramStart"/>
      <w:r w:rsidRPr="0071468F">
        <w:rPr>
          <w:rFonts w:eastAsia="Calibri"/>
          <w:lang w:val="es-PE" w:eastAsia="en-US"/>
        </w:rPr>
        <w:t>intervención</w:t>
      </w:r>
      <w:r w:rsidRPr="0071468F">
        <w:rPr>
          <w:rFonts w:eastAsia="Calibri"/>
          <w:noProof/>
          <w:lang w:val="es-PE" w:eastAsia="en-US"/>
        </w:rPr>
        <w:t>.</w:t>
      </w:r>
      <w:r w:rsidRPr="0071468F">
        <w:rPr>
          <w:rFonts w:eastAsia="Calibri"/>
          <w:noProof/>
          <w:vertAlign w:val="superscript"/>
          <w:lang w:val="es-PE" w:eastAsia="en-US"/>
        </w:rPr>
        <w:t>(</w:t>
      </w:r>
      <w:bookmarkEnd w:id="0"/>
      <w:proofErr w:type="gramEnd"/>
      <w:r w:rsidRPr="0071468F">
        <w:rPr>
          <w:rFonts w:eastAsia="Calibri"/>
          <w:noProof/>
          <w:vertAlign w:val="superscript"/>
          <w:lang w:val="es-PE" w:eastAsia="en-US"/>
        </w:rPr>
        <w:t>2,3,4)</w:t>
      </w:r>
    </w:p>
    <w:p w14:paraId="4136133B" w14:textId="77777777" w:rsidR="0071468F" w:rsidRPr="0071468F" w:rsidRDefault="0071468F" w:rsidP="0071468F">
      <w:pPr>
        <w:spacing w:line="360" w:lineRule="auto"/>
        <w:jc w:val="both"/>
        <w:rPr>
          <w:rFonts w:eastAsia="Calibri"/>
          <w:noProof/>
          <w:lang w:val="es-PE" w:eastAsia="en-US"/>
        </w:rPr>
      </w:pPr>
      <w:r w:rsidRPr="0071468F">
        <w:rPr>
          <w:rFonts w:eastAsia="Calibri"/>
          <w:lang w:val="es-PE" w:eastAsia="en-US"/>
        </w:rPr>
        <w:t>Estas aproximaciones recientes sobre los trastornos psicopatológicos probablemente contribuyan a comprender y estudiar en detalle la complejidad de algunos fenómenos psicológicos, entre ellos el suicidio. De hecho, investigaciones recientes sobre las conductas suicidas mediante el análisis de redes informan resultados prometedores. Por ejemplo, un estudio de análisis de redes basado en la teoría psicológica interpersonal de la conducta suicida (IPTS) y el modelo integrado motivacional volitivo (IMV), evidenció que el atrapamiento interno (dolor desencadenado por pensamientos y sentimientos) y la carga percibida (sentirse una carga para los demás) se relacionaron con la ideación suicida</w:t>
      </w:r>
      <w:r w:rsidRPr="0071468F">
        <w:rPr>
          <w:rFonts w:eastAsia="Calibri"/>
          <w:noProof/>
          <w:lang w:val="es-PE" w:eastAsia="en-US"/>
        </w:rPr>
        <w:t>.</w:t>
      </w:r>
      <w:r w:rsidRPr="0071468F">
        <w:rPr>
          <w:rFonts w:eastAsia="Calibri"/>
          <w:noProof/>
          <w:vertAlign w:val="superscript"/>
          <w:lang w:val="es-PE" w:eastAsia="en-US"/>
        </w:rPr>
        <w:t>(5)</w:t>
      </w:r>
      <w:r w:rsidRPr="0071468F">
        <w:rPr>
          <w:rFonts w:eastAsia="Calibri"/>
          <w:noProof/>
          <w:lang w:val="es-PE" w:eastAsia="en-US"/>
        </w:rPr>
        <w:t xml:space="preserve"> Mientras que otra investigación reciente informa que la carga percibida (IPTS), el dolor psicológico (3ST, teoría de los tres pasos) y la derrota (IMV), se relacionan directamente con el desarrollo de pensamientos suicidas, además de que la derrota es una variable central e influyente en la estructura de red de adultos jóvenes.</w:t>
      </w:r>
      <w:r w:rsidRPr="0071468F">
        <w:rPr>
          <w:rFonts w:eastAsia="Calibri"/>
          <w:noProof/>
          <w:vertAlign w:val="superscript"/>
          <w:lang w:val="es-PE" w:eastAsia="en-US"/>
        </w:rPr>
        <w:t>(6)</w:t>
      </w:r>
      <w:r w:rsidRPr="0071468F">
        <w:rPr>
          <w:rFonts w:eastAsia="Calibri"/>
          <w:noProof/>
          <w:lang w:val="es-PE" w:eastAsia="en-US"/>
        </w:rPr>
        <w:t xml:space="preserve"> Estos resultados apuntan hacia la importancia de los análisis de redes para interpretar estadísticamente y teóricamente, los síntomas centrales, conductas y factores implicados durante el desarrollo de una conducta suicida. </w:t>
      </w:r>
    </w:p>
    <w:p w14:paraId="528C8CE2" w14:textId="77777777" w:rsidR="0071468F" w:rsidRPr="0071468F" w:rsidRDefault="0071468F" w:rsidP="0071468F">
      <w:pPr>
        <w:spacing w:line="360" w:lineRule="auto"/>
        <w:jc w:val="both"/>
        <w:rPr>
          <w:rFonts w:eastAsia="Calibri"/>
          <w:noProof/>
          <w:lang w:val="es-PE" w:eastAsia="en-US"/>
        </w:rPr>
      </w:pPr>
      <w:r w:rsidRPr="0071468F">
        <w:rPr>
          <w:rFonts w:eastAsia="Calibri"/>
          <w:lang w:val="es-PE" w:eastAsia="en-US"/>
        </w:rPr>
        <w:t>Por otro lado, los análisis de redes no solo permiten explorar las relaciones de las conductas suicidas vinculadas a un intento o suicidio consumado, sino también la relación de los factores de riesgo y de protección. Por ejemplo, los modelos de red que examinaron la interacción de las conductas suicidas y factores de riesgo, encontraron que la ansiedad, desesperanza, síntomas depresivos y afectividad negativa, fueron las relaciones más fuertes,</w:t>
      </w:r>
      <w:r w:rsidRPr="0071468F">
        <w:rPr>
          <w:rFonts w:eastAsia="Calibri"/>
          <w:vertAlign w:val="superscript"/>
          <w:lang w:val="es-PE" w:eastAsia="en-US"/>
        </w:rPr>
        <w:t>(7,8,9)</w:t>
      </w:r>
      <w:r w:rsidRPr="0071468F">
        <w:rPr>
          <w:rFonts w:eastAsia="Calibri"/>
          <w:lang w:val="es-PE" w:eastAsia="en-US"/>
        </w:rPr>
        <w:t xml:space="preserve"> mientras que la afectividad positiva y autoestima se relacionaron de manera negativa, siendo factores protectores principales en las conductas suicidas.</w:t>
      </w:r>
      <w:r w:rsidRPr="0071468F">
        <w:rPr>
          <w:rFonts w:eastAsia="Calibri"/>
          <w:vertAlign w:val="superscript"/>
          <w:lang w:val="es-PE" w:eastAsia="en-US"/>
        </w:rPr>
        <w:t>(10)</w:t>
      </w:r>
      <w:r w:rsidRPr="0071468F">
        <w:rPr>
          <w:rFonts w:eastAsia="Calibri"/>
          <w:lang w:val="es-PE" w:eastAsia="en-US"/>
        </w:rPr>
        <w:t xml:space="preserve"> En particular, todo ello va de acuerdo con la teoría de redes, la cual indica que además de las variables de los síntomas, muchas otras variables podrían desempeñar un papel importante en la complejidad de un fenómeno.</w:t>
      </w:r>
      <w:r w:rsidRPr="0071468F">
        <w:rPr>
          <w:rFonts w:eastAsia="Calibri"/>
          <w:vertAlign w:val="superscript"/>
          <w:lang w:val="es-PE" w:eastAsia="en-US"/>
        </w:rPr>
        <w:t>(3)</w:t>
      </w:r>
      <w:r w:rsidRPr="0071468F">
        <w:rPr>
          <w:rFonts w:eastAsia="Calibri"/>
          <w:lang w:val="es-PE" w:eastAsia="en-US"/>
        </w:rPr>
        <w:t xml:space="preserve"> Además, otras variables que no son síntomas, como un historial de trauma infantil y los rasgos de personalidad, ocupan también un lugar en la comprensión de las conductas suicidas</w:t>
      </w:r>
      <w:r w:rsidRPr="0071468F">
        <w:rPr>
          <w:rFonts w:eastAsia="Calibri"/>
          <w:noProof/>
          <w:lang w:val="es-PE" w:eastAsia="en-US"/>
        </w:rPr>
        <w:t>.</w:t>
      </w:r>
      <w:r w:rsidRPr="0071468F">
        <w:rPr>
          <w:rFonts w:eastAsia="Calibri"/>
          <w:noProof/>
          <w:vertAlign w:val="superscript"/>
          <w:lang w:val="es-PE" w:eastAsia="en-US"/>
        </w:rPr>
        <w:t>(5,11)</w:t>
      </w:r>
    </w:p>
    <w:p w14:paraId="75059AC2" w14:textId="77777777" w:rsidR="0071468F" w:rsidRPr="0071468F" w:rsidRDefault="0071468F" w:rsidP="0071468F">
      <w:pPr>
        <w:spacing w:line="360" w:lineRule="auto"/>
        <w:jc w:val="both"/>
        <w:rPr>
          <w:rFonts w:eastAsia="Calibri"/>
          <w:lang w:val="es-PE" w:eastAsia="en-US"/>
        </w:rPr>
      </w:pPr>
      <w:r w:rsidRPr="0071468F">
        <w:rPr>
          <w:rFonts w:eastAsia="Calibri"/>
          <w:lang w:val="es-PE" w:eastAsia="en-US"/>
        </w:rPr>
        <w:lastRenderedPageBreak/>
        <w:t>Dado el potencial de los análisis de redes para comprender los problemas psicológicos y en ausencia de este tipo de estudios sobre las conductas suicidas en población peruana, el objetivo principal de la investigación fue analizar las conductas suicidas mediante el análisis de redes en adultos peruanos. En específico, se analizaron los siguientes puntos: a) analizar la estructura de red de conductas suicidas, b) identificar las conductas más importantes mediante los índices de centralidad y predictibilidad, y c) evaluar la precisión y estabilidad de la red.</w:t>
      </w:r>
    </w:p>
    <w:p w14:paraId="730EEA74" w14:textId="77777777" w:rsidR="0071468F" w:rsidRPr="0071468F" w:rsidRDefault="0071468F" w:rsidP="0071468F">
      <w:pPr>
        <w:spacing w:line="360" w:lineRule="auto"/>
        <w:jc w:val="both"/>
        <w:rPr>
          <w:rFonts w:eastAsia="Calibri"/>
          <w:lang w:val="es-PE" w:eastAsia="en-US"/>
        </w:rPr>
      </w:pPr>
    </w:p>
    <w:p w14:paraId="1E454639" w14:textId="77777777" w:rsidR="0071468F" w:rsidRPr="0071468F" w:rsidRDefault="0071468F" w:rsidP="0071468F">
      <w:pPr>
        <w:spacing w:line="360" w:lineRule="auto"/>
        <w:jc w:val="both"/>
        <w:rPr>
          <w:rFonts w:eastAsia="Calibri"/>
          <w:b/>
          <w:bCs/>
          <w:lang w:val="es-PE" w:eastAsia="en-US"/>
        </w:rPr>
      </w:pPr>
    </w:p>
    <w:p w14:paraId="62A3C9B4" w14:textId="77777777" w:rsidR="0071468F" w:rsidRPr="0071468F" w:rsidRDefault="0071468F" w:rsidP="0071468F">
      <w:pPr>
        <w:spacing w:line="360" w:lineRule="auto"/>
        <w:jc w:val="center"/>
        <w:rPr>
          <w:rFonts w:eastAsia="Calibri"/>
          <w:b/>
          <w:bCs/>
          <w:sz w:val="32"/>
          <w:szCs w:val="32"/>
          <w:lang w:val="es-PE" w:eastAsia="en-US"/>
        </w:rPr>
      </w:pPr>
      <w:r w:rsidRPr="0071468F">
        <w:rPr>
          <w:rFonts w:eastAsia="Calibri"/>
          <w:b/>
          <w:bCs/>
          <w:sz w:val="32"/>
          <w:szCs w:val="32"/>
          <w:lang w:val="es-PE" w:eastAsia="en-US"/>
        </w:rPr>
        <w:t>MÉTODOS</w:t>
      </w:r>
    </w:p>
    <w:p w14:paraId="407DE5CB" w14:textId="77777777" w:rsidR="0071468F" w:rsidRPr="0071468F" w:rsidRDefault="0071468F" w:rsidP="0071468F">
      <w:pPr>
        <w:spacing w:line="360" w:lineRule="auto"/>
        <w:jc w:val="both"/>
        <w:rPr>
          <w:rFonts w:eastAsia="Calibri"/>
          <w:lang w:val="es-PE" w:eastAsia="en-US"/>
        </w:rPr>
      </w:pPr>
      <w:r w:rsidRPr="0071468F">
        <w:rPr>
          <w:rFonts w:eastAsia="Calibri"/>
          <w:lang w:val="es-PE" w:eastAsia="en-US"/>
        </w:rPr>
        <w:t xml:space="preserve">Se realizó un diseño de investigación transversal y de enfoque cuantitativo. Los participantes del estudio fueron adultos peruanos de población general residentes en Lima Metropolitana, capital de Perú. Fueron seleccionados mediante un muestreo no probabilístico, por conveniencia. </w:t>
      </w:r>
    </w:p>
    <w:p w14:paraId="38E569B3" w14:textId="77777777" w:rsidR="0071468F" w:rsidRPr="0071468F" w:rsidRDefault="0071468F" w:rsidP="0071468F">
      <w:pPr>
        <w:spacing w:line="360" w:lineRule="auto"/>
        <w:jc w:val="both"/>
        <w:rPr>
          <w:rFonts w:eastAsia="Calibri"/>
          <w:lang w:val="es-PE" w:eastAsia="en-US"/>
        </w:rPr>
      </w:pPr>
      <w:r w:rsidRPr="0071468F">
        <w:rPr>
          <w:rFonts w:eastAsia="Calibri"/>
          <w:lang w:val="es-PE" w:eastAsia="en-US"/>
        </w:rPr>
        <w:t xml:space="preserve">Dado que en el Perú aún se mantiene el estado de emergencia y las medidas de restricción para contrarrestar el SARS-CoV-2, la recolección de los datos se realizó de manera </w:t>
      </w:r>
      <w:r w:rsidRPr="0071468F">
        <w:rPr>
          <w:rFonts w:eastAsia="Calibri"/>
          <w:i/>
          <w:iCs/>
          <w:lang w:val="es-PE" w:eastAsia="en-US"/>
        </w:rPr>
        <w:t>online</w:t>
      </w:r>
      <w:r w:rsidRPr="0071468F">
        <w:rPr>
          <w:rFonts w:eastAsia="Calibri"/>
          <w:lang w:val="es-PE" w:eastAsia="en-US"/>
        </w:rPr>
        <w:t xml:space="preserve"> mediante un formulario de Google. El enlace se publicó en las cuentas personales de redes sociales (Facebook y WhatsApp) de cada autor y el acceso estuvo disponible desde el 1 hasta el 14 de abril del 2021. En la descripción del cuestionario en línea se indicaba el objetivo de la investigación, la confidencialidad de las respuestas, la utilidad de la información para fines académicos y su anonimato. Asimismo, al final de tal descripción se les preguntaba si deseaban participar voluntariamente en el estudio brindando su consentimiento. Los participantes que aceptaban, accedían a las preguntas de la encuesta en línea. Por el contrario, si no aceptaba, no accedía a estas preguntas y se daba por culminada su participación. La investigación cumple con los lineamientos de la declaración de Helsinki.</w:t>
      </w:r>
    </w:p>
    <w:p w14:paraId="5414C068" w14:textId="77777777" w:rsidR="0071468F" w:rsidRPr="0071468F" w:rsidRDefault="0071468F" w:rsidP="0071468F">
      <w:pPr>
        <w:spacing w:line="360" w:lineRule="auto"/>
        <w:jc w:val="both"/>
        <w:rPr>
          <w:rFonts w:eastAsia="Calibri"/>
          <w:lang w:val="es-PE" w:eastAsia="en-US"/>
        </w:rPr>
      </w:pPr>
      <w:r w:rsidRPr="0071468F">
        <w:rPr>
          <w:rFonts w:eastAsia="Calibri"/>
          <w:lang w:val="es-PE" w:eastAsia="en-US"/>
        </w:rPr>
        <w:t xml:space="preserve">Los criterios de inclusión fueron los siguientes: a) tener una edad entre 18 a 64 años, b) lugar de residencia en Lima Metropolitana y c) haber aceptado el consentimiento informado. De un total de 450 adultos que respondieron el cuestionario, solo cumplieron los criterios de inclusión 408, dado que 40 no residían en Lima Metropolitana y 2 no estaban en el rango de edad establecido. </w:t>
      </w:r>
    </w:p>
    <w:p w14:paraId="3B264174" w14:textId="77777777" w:rsidR="0071468F" w:rsidRPr="0071468F" w:rsidRDefault="0071468F" w:rsidP="0071468F">
      <w:pPr>
        <w:spacing w:line="360" w:lineRule="auto"/>
        <w:jc w:val="both"/>
        <w:rPr>
          <w:rFonts w:eastAsia="Calibri"/>
          <w:lang w:val="es-PE" w:eastAsia="en-US"/>
        </w:rPr>
      </w:pPr>
      <w:r w:rsidRPr="0071468F">
        <w:rPr>
          <w:rFonts w:eastAsia="Calibri"/>
          <w:lang w:val="es-PE" w:eastAsia="en-US"/>
        </w:rPr>
        <w:t xml:space="preserve">Para cumplir los objetivos de la investigación, se utilizó la escala de un instrumento psicométrico de acceso libre y con fuentes de evidencias de validez en población peruana; la Escala </w:t>
      </w:r>
      <w:proofErr w:type="spellStart"/>
      <w:r w:rsidRPr="0071468F">
        <w:rPr>
          <w:rFonts w:eastAsia="Calibri"/>
          <w:lang w:val="es-PE" w:eastAsia="en-US"/>
        </w:rPr>
        <w:t>Paykel</w:t>
      </w:r>
      <w:proofErr w:type="spellEnd"/>
      <w:r w:rsidRPr="0071468F">
        <w:rPr>
          <w:rFonts w:eastAsia="Calibri"/>
          <w:lang w:val="es-PE" w:eastAsia="en-US"/>
        </w:rPr>
        <w:t xml:space="preserve"> de Suicidio, que evalúa la conducta suicida mediante cinco ítems; el primero y segundo están orientados hacia los </w:t>
      </w:r>
      <w:r w:rsidRPr="0071468F">
        <w:rPr>
          <w:rFonts w:eastAsia="Calibri"/>
          <w:lang w:val="es-PE" w:eastAsia="en-US"/>
        </w:rPr>
        <w:lastRenderedPageBreak/>
        <w:t xml:space="preserve">pensamientos de muerte, el tercero y cuarto valora la ideación suicida, mientras que el quinto analiza el intento de suicidio. La respuesta a cada ítem es dicotómica (si o no) con valores de 1 y 0, respectivamente. La puntuación total se encuentra en el rango de 0 a 5 y puntuaciones altas indican mayor riesgo. En este estudio se utilizó la validación </w:t>
      </w:r>
      <w:proofErr w:type="gramStart"/>
      <w:r w:rsidRPr="0071468F">
        <w:rPr>
          <w:rFonts w:eastAsia="Calibri"/>
          <w:lang w:val="es-PE" w:eastAsia="en-US"/>
        </w:rPr>
        <w:t>peruana.</w:t>
      </w:r>
      <w:r w:rsidRPr="0071468F">
        <w:rPr>
          <w:rFonts w:eastAsia="Calibri"/>
          <w:vertAlign w:val="superscript"/>
          <w:lang w:val="es-PE" w:eastAsia="en-US"/>
        </w:rPr>
        <w:t>(</w:t>
      </w:r>
      <w:proofErr w:type="gramEnd"/>
      <w:r w:rsidRPr="0071468F">
        <w:rPr>
          <w:rFonts w:eastAsia="Calibri"/>
          <w:vertAlign w:val="superscript"/>
          <w:lang w:val="es-PE" w:eastAsia="en-US"/>
        </w:rPr>
        <w:t>12)</w:t>
      </w:r>
      <w:r w:rsidRPr="0071468F">
        <w:rPr>
          <w:rFonts w:eastAsia="Calibri"/>
          <w:lang w:val="es-PE" w:eastAsia="en-US"/>
        </w:rPr>
        <w:t xml:space="preserve"> No obstante, se estimó la consistencia interna mediante el coeficiente omega (ω) e intervalos de confianza (IC) del 95 % basados en mil muestras </w:t>
      </w:r>
      <w:proofErr w:type="spellStart"/>
      <w:r w:rsidRPr="0071468F">
        <w:rPr>
          <w:rFonts w:eastAsia="Calibri"/>
          <w:i/>
          <w:iCs/>
          <w:lang w:val="es-PE" w:eastAsia="en-US"/>
        </w:rPr>
        <w:t>bootstrap</w:t>
      </w:r>
      <w:proofErr w:type="spellEnd"/>
      <w:r w:rsidRPr="0071468F">
        <w:rPr>
          <w:rFonts w:eastAsia="Calibri"/>
          <w:lang w:val="es-PE" w:eastAsia="en-US"/>
        </w:rPr>
        <w:t xml:space="preserve"> sesgo corregido (</w:t>
      </w:r>
      <w:proofErr w:type="spellStart"/>
      <w:r w:rsidRPr="0071468F">
        <w:rPr>
          <w:rFonts w:eastAsia="Calibri"/>
          <w:i/>
          <w:iCs/>
          <w:lang w:val="es-PE" w:eastAsia="en-US"/>
        </w:rPr>
        <w:t>bias-corrected</w:t>
      </w:r>
      <w:proofErr w:type="spellEnd"/>
      <w:r w:rsidRPr="0071468F">
        <w:rPr>
          <w:rFonts w:eastAsia="Calibri"/>
          <w:lang w:val="es-PE" w:eastAsia="en-US"/>
        </w:rPr>
        <w:t>) y acelerado (</w:t>
      </w:r>
      <w:proofErr w:type="spellStart"/>
      <w:r w:rsidRPr="0071468F">
        <w:rPr>
          <w:rFonts w:eastAsia="Calibri"/>
          <w:lang w:val="es-PE" w:eastAsia="en-US"/>
        </w:rPr>
        <w:t>BCa</w:t>
      </w:r>
      <w:proofErr w:type="spellEnd"/>
      <w:r w:rsidRPr="0071468F">
        <w:rPr>
          <w:rFonts w:eastAsia="Calibri"/>
          <w:lang w:val="es-PE" w:eastAsia="en-US"/>
        </w:rPr>
        <w:t>), en el cual se obtiene un valor aceptable para la presente investigación, ω = 0,82 (IC del 95 %: 0,78 - 0,85).</w:t>
      </w:r>
    </w:p>
    <w:p w14:paraId="45A9D9A7" w14:textId="77777777" w:rsidR="0071468F" w:rsidRPr="0071468F" w:rsidRDefault="0071468F" w:rsidP="0071468F">
      <w:pPr>
        <w:spacing w:line="360" w:lineRule="auto"/>
        <w:jc w:val="both"/>
        <w:rPr>
          <w:rFonts w:eastAsia="Calibri"/>
          <w:lang w:val="es-PE" w:eastAsia="en-US"/>
        </w:rPr>
      </w:pPr>
      <w:r w:rsidRPr="0071468F">
        <w:rPr>
          <w:rFonts w:eastAsia="Calibri"/>
          <w:lang w:val="es-PE" w:eastAsia="en-US"/>
        </w:rPr>
        <w:t>Los análisis estadísticos se realizaron por etapas. En la primera se examinaron las medidas de tendencia central y dispersión de todos los ítems, como también su confiabilidad. En la segunda etapa, se estimó una estructura de red no dirigida y ponderada de la conducta suicida, la cual está compuesta por nodos (variables) y bordes (correlaciones entre nodos), en la cual los bordes azules indican correlaciones positivas, los bordes rojos correlaciones negativas y el grosor de los bordes, su magnitud.</w:t>
      </w:r>
      <w:r w:rsidRPr="0071468F">
        <w:rPr>
          <w:rFonts w:eastAsia="Calibri"/>
          <w:vertAlign w:val="superscript"/>
          <w:lang w:val="es-PE" w:eastAsia="en-US"/>
        </w:rPr>
        <w:t>(13)</w:t>
      </w:r>
      <w:r w:rsidRPr="0071468F">
        <w:rPr>
          <w:rFonts w:eastAsia="Calibri"/>
          <w:lang w:val="es-PE" w:eastAsia="en-US"/>
        </w:rPr>
        <w:t xml:space="preserve">  Dado que los ítems del instrumento utilizado son dicotómicos, se estimó el modelamiento de red con el modelo de Ising, el cual es recomendable para variables dicotómicas y que, además, integra regresiones logísticas regularizadas (LASSO) con la selección del modelo basado en el parámetro de ajuste del criterio de información bayesiano extendido (EBIC, por sus siglas en inglés), que permite una estructura de red más conservadora y dispersa</w:t>
      </w:r>
      <w:r w:rsidRPr="0071468F">
        <w:rPr>
          <w:rFonts w:eastAsia="Calibri"/>
          <w:noProof/>
          <w:lang w:val="es-PE" w:eastAsia="en-US"/>
        </w:rPr>
        <w:t>.</w:t>
      </w:r>
      <w:r w:rsidRPr="0071468F">
        <w:rPr>
          <w:rFonts w:eastAsia="Calibri"/>
          <w:noProof/>
          <w:vertAlign w:val="superscript"/>
          <w:lang w:val="es-PE" w:eastAsia="en-US"/>
        </w:rPr>
        <w:t>(14)</w:t>
      </w:r>
      <w:r w:rsidRPr="0071468F">
        <w:rPr>
          <w:rFonts w:eastAsia="Calibri"/>
          <w:lang w:val="es-PE" w:eastAsia="en-US"/>
        </w:rPr>
        <w:t xml:space="preserve"> Se utilizó el algoritmo </w:t>
      </w:r>
      <w:bookmarkStart w:id="1" w:name="_Hlk71090189"/>
      <w:proofErr w:type="spellStart"/>
      <w:r w:rsidRPr="0071468F">
        <w:rPr>
          <w:rFonts w:eastAsia="Calibri"/>
          <w:lang w:val="es-PE" w:eastAsia="en-US"/>
        </w:rPr>
        <w:t>Fruchterman</w:t>
      </w:r>
      <w:proofErr w:type="spellEnd"/>
      <w:r w:rsidRPr="0071468F">
        <w:rPr>
          <w:rFonts w:eastAsia="Calibri"/>
          <w:lang w:val="es-PE" w:eastAsia="en-US"/>
        </w:rPr>
        <w:t xml:space="preserve"> - </w:t>
      </w:r>
      <w:proofErr w:type="spellStart"/>
      <w:r w:rsidRPr="0071468F">
        <w:rPr>
          <w:rFonts w:eastAsia="Calibri"/>
          <w:lang w:val="es-PE" w:eastAsia="en-US"/>
        </w:rPr>
        <w:t>Reingold</w:t>
      </w:r>
      <w:proofErr w:type="spellEnd"/>
      <w:r w:rsidRPr="0071468F">
        <w:rPr>
          <w:rFonts w:eastAsia="Calibri"/>
          <w:lang w:val="es-PE" w:eastAsia="en-US"/>
        </w:rPr>
        <w:t xml:space="preserve"> </w:t>
      </w:r>
      <w:bookmarkEnd w:id="1"/>
      <w:r w:rsidRPr="0071468F">
        <w:rPr>
          <w:rFonts w:eastAsia="Calibri"/>
          <w:lang w:val="es-PE" w:eastAsia="en-US"/>
        </w:rPr>
        <w:t>para visualizar el modelo de red, en el cual se ubican preferentemente en el centro las correlaciones más fuertes, mientras que las menos fuertes o ausencia de correlación, se ubican en la parte periférica de la red.</w:t>
      </w:r>
      <w:r w:rsidRPr="0071468F">
        <w:rPr>
          <w:rFonts w:eastAsia="Calibri"/>
          <w:vertAlign w:val="superscript"/>
          <w:lang w:val="es-PE" w:eastAsia="en-US"/>
        </w:rPr>
        <w:t>(15)</w:t>
      </w:r>
    </w:p>
    <w:p w14:paraId="200FC5B2" w14:textId="77777777" w:rsidR="0071468F" w:rsidRPr="0071468F" w:rsidRDefault="0071468F" w:rsidP="0071468F">
      <w:pPr>
        <w:spacing w:line="360" w:lineRule="auto"/>
        <w:jc w:val="both"/>
        <w:rPr>
          <w:rFonts w:eastAsia="Calibri"/>
          <w:lang w:val="es-PE" w:eastAsia="en-US"/>
        </w:rPr>
      </w:pPr>
      <w:r w:rsidRPr="0071468F">
        <w:rPr>
          <w:rFonts w:eastAsia="Calibri"/>
          <w:lang w:val="es-PE" w:eastAsia="en-US"/>
        </w:rPr>
        <w:t>En la tercera etapa, se estimó la centralidad de la red mediante las medidas de fuerza, influencia esperada y predictibilidad. La primera se refiere a la suma de los pesos absolutos del borde que conecta un nodo con los demás, el segundo es la suma de todos los bordes de un nodo (no en valor absoluto) y el tercero es el porcentaje de varianza explicada de cada nodo con el resto de los nodos de la red.</w:t>
      </w:r>
      <w:r w:rsidRPr="0071468F">
        <w:rPr>
          <w:rFonts w:eastAsia="Calibri"/>
          <w:vertAlign w:val="superscript"/>
          <w:lang w:val="es-PE" w:eastAsia="en-US"/>
        </w:rPr>
        <w:t>(13,16)</w:t>
      </w:r>
      <w:r w:rsidRPr="0071468F">
        <w:rPr>
          <w:rFonts w:eastAsia="Calibri"/>
          <w:lang w:val="es-PE" w:eastAsia="en-US"/>
        </w:rPr>
        <w:t xml:space="preserve"> Por último, en la cuarta etapa, se analizó la estabilidad y precisión de la estructura de red, adoptando un enfoque doble: a) examinar la estabilidad de centralidad de fuerza utilizando el coeficiente de estabilidad de correlación (CS), que representa la proporción máxima de participantes que se pueden descartar mientras se mantiene el 95 % de probabilidad de que la correlación entre las métricas de centralidad del conjunto de datos original y los datos de la submuestra, sea superior a 0,50 y preferiblemente mayor a 0,70</w:t>
      </w:r>
      <w:r w:rsidRPr="0071468F">
        <w:rPr>
          <w:rFonts w:eastAsia="Calibri"/>
          <w:vertAlign w:val="superscript"/>
          <w:lang w:val="es-PE" w:eastAsia="en-US"/>
        </w:rPr>
        <w:t>(13)</w:t>
      </w:r>
      <w:r w:rsidRPr="0071468F">
        <w:rPr>
          <w:rFonts w:eastAsia="Calibri"/>
          <w:lang w:val="es-PE" w:eastAsia="en-US"/>
        </w:rPr>
        <w:t xml:space="preserve"> y b) precisión de los bordes mediante el método </w:t>
      </w:r>
      <w:proofErr w:type="spellStart"/>
      <w:r w:rsidRPr="0071468F">
        <w:rPr>
          <w:rFonts w:eastAsia="Calibri"/>
          <w:i/>
          <w:iCs/>
          <w:lang w:val="es-PE" w:eastAsia="en-US"/>
        </w:rPr>
        <w:t>bootstrapping</w:t>
      </w:r>
      <w:proofErr w:type="spellEnd"/>
      <w:r w:rsidRPr="0071468F">
        <w:rPr>
          <w:rFonts w:eastAsia="Calibri"/>
          <w:lang w:val="es-PE" w:eastAsia="en-US"/>
        </w:rPr>
        <w:t xml:space="preserve"> basado en 1000 muestras para calcular los IC </w:t>
      </w:r>
      <w:r w:rsidRPr="0071468F">
        <w:rPr>
          <w:rFonts w:eastAsia="Calibri"/>
          <w:lang w:val="es-PE" w:eastAsia="en-US"/>
        </w:rPr>
        <w:lastRenderedPageBreak/>
        <w:t xml:space="preserve">del 95 % desde un enfoque no paramétrico. Todos los análisis estadísticos se realizaron en el software R, con los paquetes </w:t>
      </w:r>
      <w:proofErr w:type="spellStart"/>
      <w:r w:rsidRPr="0071468F">
        <w:rPr>
          <w:rFonts w:eastAsia="Calibri"/>
          <w:lang w:val="es-PE" w:eastAsia="en-US"/>
        </w:rPr>
        <w:t>bootnet</w:t>
      </w:r>
      <w:proofErr w:type="spellEnd"/>
      <w:r w:rsidRPr="0071468F">
        <w:rPr>
          <w:rFonts w:eastAsia="Calibri"/>
          <w:lang w:val="es-PE" w:eastAsia="en-US"/>
        </w:rPr>
        <w:t xml:space="preserve">, </w:t>
      </w:r>
      <w:proofErr w:type="spellStart"/>
      <w:r w:rsidRPr="0071468F">
        <w:rPr>
          <w:rFonts w:eastAsia="Calibri"/>
          <w:lang w:val="es-PE" w:eastAsia="en-US"/>
        </w:rPr>
        <w:t>qgraph</w:t>
      </w:r>
      <w:proofErr w:type="spellEnd"/>
      <w:r w:rsidRPr="0071468F">
        <w:rPr>
          <w:rFonts w:eastAsia="Calibri"/>
          <w:lang w:val="es-PE" w:eastAsia="en-US"/>
        </w:rPr>
        <w:t xml:space="preserve">, </w:t>
      </w:r>
      <w:proofErr w:type="spellStart"/>
      <w:r w:rsidRPr="0071468F">
        <w:rPr>
          <w:rFonts w:eastAsia="Calibri"/>
          <w:lang w:val="es-PE" w:eastAsia="en-US"/>
        </w:rPr>
        <w:t>mgm</w:t>
      </w:r>
      <w:proofErr w:type="spellEnd"/>
      <w:r w:rsidRPr="0071468F">
        <w:rPr>
          <w:rFonts w:eastAsia="Calibri"/>
          <w:lang w:val="es-PE" w:eastAsia="en-US"/>
        </w:rPr>
        <w:t xml:space="preserve">, MBESS y </w:t>
      </w:r>
      <w:proofErr w:type="spellStart"/>
      <w:r w:rsidRPr="0071468F">
        <w:rPr>
          <w:rFonts w:eastAsia="Calibri"/>
          <w:lang w:val="es-PE" w:eastAsia="en-US"/>
        </w:rPr>
        <w:t>psych</w:t>
      </w:r>
      <w:proofErr w:type="spellEnd"/>
      <w:r w:rsidRPr="0071468F">
        <w:rPr>
          <w:rFonts w:eastAsia="Calibri"/>
          <w:lang w:val="es-PE" w:eastAsia="en-US"/>
        </w:rPr>
        <w:t xml:space="preserve">. Dado que las investigaciones deben ser replicables, transparentes y orientadas a una ciencia abierta, la base de datos y los códigos de programación para los análisis estadísticos están disponibles en línea en el repositorio </w:t>
      </w:r>
      <w:r w:rsidRPr="0071468F">
        <w:rPr>
          <w:rFonts w:eastAsia="Calibri"/>
          <w:i/>
          <w:iCs/>
          <w:lang w:val="es-PE" w:eastAsia="en-US"/>
        </w:rPr>
        <w:t xml:space="preserve">Open </w:t>
      </w:r>
      <w:proofErr w:type="spellStart"/>
      <w:r w:rsidRPr="0071468F">
        <w:rPr>
          <w:rFonts w:eastAsia="Calibri"/>
          <w:i/>
          <w:iCs/>
          <w:lang w:val="es-PE" w:eastAsia="en-US"/>
        </w:rPr>
        <w:t>Science</w:t>
      </w:r>
      <w:proofErr w:type="spellEnd"/>
      <w:r w:rsidRPr="0071468F">
        <w:rPr>
          <w:rFonts w:eastAsia="Calibri"/>
          <w:i/>
          <w:iCs/>
          <w:lang w:val="es-PE" w:eastAsia="en-US"/>
        </w:rPr>
        <w:t xml:space="preserve"> Framework</w:t>
      </w:r>
      <w:r w:rsidRPr="0071468F">
        <w:rPr>
          <w:rFonts w:eastAsia="Calibri"/>
          <w:lang w:val="es-PE" w:eastAsia="en-US"/>
        </w:rPr>
        <w:t xml:space="preserve"> (</w:t>
      </w:r>
      <w:hyperlink r:id="rId12" w:history="1">
        <w:r w:rsidRPr="0071468F">
          <w:rPr>
            <w:rFonts w:eastAsia="Calibri"/>
            <w:color w:val="0563C1"/>
            <w:u w:val="single"/>
            <w:lang w:val="es-PE" w:eastAsia="en-US"/>
          </w:rPr>
          <w:t>https://osf.io/v954z/</w:t>
        </w:r>
      </w:hyperlink>
      <w:r w:rsidRPr="0071468F">
        <w:rPr>
          <w:rFonts w:eastAsia="Calibri"/>
          <w:lang w:val="es-PE" w:eastAsia="en-US"/>
        </w:rPr>
        <w:t>).</w:t>
      </w:r>
    </w:p>
    <w:p w14:paraId="181FF1F7" w14:textId="77777777" w:rsidR="0071468F" w:rsidRPr="0071468F" w:rsidRDefault="0071468F" w:rsidP="0071468F">
      <w:pPr>
        <w:spacing w:line="360" w:lineRule="auto"/>
        <w:jc w:val="both"/>
        <w:rPr>
          <w:rFonts w:eastAsia="Calibri"/>
          <w:b/>
          <w:bCs/>
          <w:lang w:val="es-PE" w:eastAsia="en-US"/>
        </w:rPr>
      </w:pPr>
    </w:p>
    <w:p w14:paraId="1C926254" w14:textId="77777777" w:rsidR="0071468F" w:rsidRPr="0071468F" w:rsidRDefault="0071468F" w:rsidP="0071468F">
      <w:pPr>
        <w:spacing w:line="360" w:lineRule="auto"/>
        <w:jc w:val="both"/>
        <w:rPr>
          <w:rFonts w:eastAsia="Calibri"/>
          <w:b/>
          <w:bCs/>
          <w:lang w:val="es-PE" w:eastAsia="en-US"/>
        </w:rPr>
      </w:pPr>
    </w:p>
    <w:p w14:paraId="36D302F0" w14:textId="77777777" w:rsidR="0071468F" w:rsidRPr="0071468F" w:rsidRDefault="0071468F" w:rsidP="0071468F">
      <w:pPr>
        <w:spacing w:line="360" w:lineRule="auto"/>
        <w:jc w:val="center"/>
        <w:rPr>
          <w:rFonts w:eastAsia="Calibri"/>
          <w:b/>
          <w:bCs/>
          <w:sz w:val="32"/>
          <w:szCs w:val="32"/>
          <w:lang w:val="es-PE" w:eastAsia="en-US"/>
        </w:rPr>
      </w:pPr>
      <w:r w:rsidRPr="0071468F">
        <w:rPr>
          <w:rFonts w:eastAsia="Calibri"/>
          <w:b/>
          <w:bCs/>
          <w:sz w:val="32"/>
          <w:szCs w:val="32"/>
          <w:lang w:val="es-PE" w:eastAsia="en-US"/>
        </w:rPr>
        <w:t>RESULTADOS</w:t>
      </w:r>
    </w:p>
    <w:p w14:paraId="58248388" w14:textId="77777777" w:rsidR="0071468F" w:rsidRPr="0071468F" w:rsidRDefault="0071468F" w:rsidP="0071468F">
      <w:pPr>
        <w:spacing w:line="360" w:lineRule="auto"/>
        <w:jc w:val="both"/>
        <w:rPr>
          <w:rFonts w:eastAsia="Calibri"/>
          <w:noProof/>
          <w:lang w:val="es-PE" w:eastAsia="en-US"/>
        </w:rPr>
      </w:pPr>
      <w:r w:rsidRPr="0071468F">
        <w:rPr>
          <w:rFonts w:eastAsia="Calibri"/>
          <w:noProof/>
          <w:lang w:val="es-PE" w:eastAsia="en-US"/>
        </w:rPr>
        <w:t xml:space="preserve">El estudio estuvo conformado por 231 mujeres (56,6 %) y 177  hombres (43,4 %), con una edad promedio de 29 años y una desviación estándar (DE) de 9,55. Además, se indagó sobre variables demográficas, por ejemplo, respecto al estado civil, la mayoría se encontraba soltero (75,7 %) y casado (20,3 %), aunque otros participantes indicaron la condición de divorciado (3,2 %) y viudo (0,8 %). Mientras que la situación laboral fue relativamente equivalente, el 36 % indicó que se encontraba desempleado, el 33,4 % tenía un trabajo temporal y el 30,6 % tenía un trabajo fijo. </w:t>
      </w:r>
    </w:p>
    <w:p w14:paraId="0BD6EA27" w14:textId="77777777" w:rsidR="0071468F" w:rsidRPr="0071468F" w:rsidRDefault="0071468F" w:rsidP="0071468F">
      <w:pPr>
        <w:spacing w:line="360" w:lineRule="auto"/>
        <w:jc w:val="both"/>
        <w:rPr>
          <w:rFonts w:eastAsia="Calibri"/>
          <w:noProof/>
          <w:lang w:val="es-PE" w:eastAsia="en-US"/>
        </w:rPr>
      </w:pPr>
      <w:r w:rsidRPr="0071468F">
        <w:rPr>
          <w:rFonts w:eastAsia="Calibri"/>
          <w:noProof/>
          <w:lang w:val="es-PE" w:eastAsia="en-US"/>
        </w:rPr>
        <w:t xml:space="preserve">Los análisis descriptivos y la estructura de red se presentan en la tabla 1 y la figura 1, respectivamente. El promedio de todos los ítems fue de 0,26. El ítem 2 presentó la mayor desviación estándar y el ítem 5, la menor. Respecto a la estructura de red, todos los bordes fueron positivos; esto se evidencia en la matriz de correlaciones regularizadas (tabla 1). Las relaciones más fuertes surgieron entre pensar en quitarse la vida (P3) y considerar quitarse la vida (P4; 3,94). Además, existieron fuertes conexiones entre intentar quitarse la vida (P5) y considerar quitarse la vida (P4; 2,25). La predictibilidad (Pred) promedio fue 42 % y los nodos con mayor Pred fueron desear estar muerto (P2; 53 %) y pensar en quitarse la vida (P3; 51 %). La Pred se puede visualizar en la figura 1, el cual es el círculo de color rojo que rodea a cada nodo. </w:t>
      </w:r>
    </w:p>
    <w:p w14:paraId="4EE1834E" w14:textId="77777777" w:rsidR="0071468F" w:rsidRPr="0071468F" w:rsidRDefault="0071468F" w:rsidP="0071468F">
      <w:pPr>
        <w:spacing w:line="360" w:lineRule="auto"/>
        <w:jc w:val="both"/>
        <w:rPr>
          <w:rFonts w:eastAsia="Calibri"/>
          <w:noProof/>
          <w:lang w:val="es-PE" w:eastAsia="en-US"/>
        </w:rPr>
      </w:pPr>
      <w:r w:rsidRPr="0071468F">
        <w:rPr>
          <w:rFonts w:eastAsia="Calibri"/>
          <w:noProof/>
          <w:lang w:val="es-PE" w:eastAsia="en-US"/>
        </w:rPr>
        <w:t xml:space="preserve">Los nodos con mayor fuerza e influencia esperada fueron considerar quitarse la vida (P4; 8,52) y pensar en quitarse la vida (P3; 8,37). Los valores de influencia esperada no se presentan en la tabla 1 debido a que son iguales a los valores de fuerza; esto se debe a que las correlaciones de la estructura de red en general fueron positivas. </w:t>
      </w:r>
    </w:p>
    <w:p w14:paraId="3C771676" w14:textId="77777777" w:rsidR="0071468F" w:rsidRPr="0071468F" w:rsidRDefault="0071468F" w:rsidP="0071468F">
      <w:pPr>
        <w:spacing w:line="360" w:lineRule="auto"/>
        <w:jc w:val="both"/>
        <w:rPr>
          <w:rFonts w:eastAsia="Calibri"/>
          <w:noProof/>
          <w:lang w:val="es-PE" w:eastAsia="en-US"/>
        </w:rPr>
      </w:pPr>
    </w:p>
    <w:p w14:paraId="70E26B22" w14:textId="77777777" w:rsidR="00763B90" w:rsidRDefault="00763B90">
      <w:pPr>
        <w:rPr>
          <w:rFonts w:eastAsia="Calibri"/>
          <w:b/>
          <w:bCs/>
          <w:noProof/>
          <w:sz w:val="22"/>
          <w:szCs w:val="22"/>
          <w:lang w:val="es-PE" w:eastAsia="en-US"/>
        </w:rPr>
      </w:pPr>
      <w:r>
        <w:rPr>
          <w:rFonts w:eastAsia="Calibri"/>
          <w:b/>
          <w:bCs/>
          <w:noProof/>
          <w:sz w:val="22"/>
          <w:szCs w:val="22"/>
          <w:lang w:val="es-PE" w:eastAsia="en-US"/>
        </w:rPr>
        <w:br w:type="page"/>
      </w:r>
    </w:p>
    <w:p w14:paraId="3FA57F83" w14:textId="78019C9F" w:rsidR="0071468F" w:rsidRPr="0071468F" w:rsidRDefault="0071468F" w:rsidP="0071468F">
      <w:pPr>
        <w:spacing w:line="360" w:lineRule="auto"/>
        <w:jc w:val="center"/>
        <w:rPr>
          <w:rFonts w:eastAsia="Calibri"/>
          <w:noProof/>
          <w:sz w:val="22"/>
          <w:szCs w:val="22"/>
          <w:lang w:val="es-PE" w:eastAsia="en-US"/>
        </w:rPr>
      </w:pPr>
      <w:r w:rsidRPr="0071468F">
        <w:rPr>
          <w:rFonts w:eastAsia="Calibri"/>
          <w:b/>
          <w:bCs/>
          <w:noProof/>
          <w:sz w:val="22"/>
          <w:szCs w:val="22"/>
          <w:lang w:val="es-PE" w:eastAsia="en-US"/>
        </w:rPr>
        <w:lastRenderedPageBreak/>
        <w:t xml:space="preserve">Tabla 1 – </w:t>
      </w:r>
      <w:r w:rsidRPr="0071468F">
        <w:rPr>
          <w:rFonts w:eastAsia="Calibri"/>
          <w:noProof/>
          <w:sz w:val="22"/>
          <w:szCs w:val="22"/>
          <w:lang w:val="es-PE" w:eastAsia="en-US"/>
        </w:rPr>
        <w:t>Análisis descriptivo, predictibilidad, fuerza y matriz de correlaciones regularizadas</w:t>
      </w:r>
    </w:p>
    <w:tbl>
      <w:tblPr>
        <w:tblStyle w:val="Tablaconcuadrcula1"/>
        <w:tblW w:w="8359" w:type="dxa"/>
        <w:jc w:val="center"/>
        <w:tblLook w:val="04A0" w:firstRow="1" w:lastRow="0" w:firstColumn="1" w:lastColumn="0" w:noHBand="0" w:noVBand="1"/>
      </w:tblPr>
      <w:tblGrid>
        <w:gridCol w:w="844"/>
        <w:gridCol w:w="708"/>
        <w:gridCol w:w="707"/>
        <w:gridCol w:w="855"/>
        <w:gridCol w:w="990"/>
        <w:gridCol w:w="817"/>
        <w:gridCol w:w="850"/>
        <w:gridCol w:w="851"/>
        <w:gridCol w:w="850"/>
        <w:gridCol w:w="887"/>
      </w:tblGrid>
      <w:tr w:rsidR="0071468F" w:rsidRPr="0071468F" w14:paraId="17BEEC0E" w14:textId="77777777" w:rsidTr="0088346C">
        <w:trPr>
          <w:jc w:val="center"/>
        </w:trPr>
        <w:tc>
          <w:tcPr>
            <w:tcW w:w="844" w:type="dxa"/>
            <w:vAlign w:val="center"/>
          </w:tcPr>
          <w:p w14:paraId="4B19ABD7" w14:textId="77777777" w:rsidR="0071468F" w:rsidRPr="0071468F" w:rsidRDefault="0071468F" w:rsidP="0071468F">
            <w:pPr>
              <w:spacing w:line="360" w:lineRule="auto"/>
              <w:jc w:val="center"/>
              <w:rPr>
                <w:b/>
                <w:bCs/>
                <w:noProof/>
                <w:sz w:val="18"/>
                <w:szCs w:val="18"/>
                <w:lang w:val="es-PE" w:eastAsia="en-US"/>
              </w:rPr>
            </w:pPr>
            <w:r w:rsidRPr="0071468F">
              <w:rPr>
                <w:b/>
                <w:bCs/>
                <w:noProof/>
                <w:sz w:val="18"/>
                <w:szCs w:val="18"/>
                <w:lang w:val="es-PE" w:eastAsia="en-US"/>
              </w:rPr>
              <w:t>Ítems</w:t>
            </w:r>
          </w:p>
        </w:tc>
        <w:tc>
          <w:tcPr>
            <w:tcW w:w="708" w:type="dxa"/>
            <w:vAlign w:val="center"/>
          </w:tcPr>
          <w:p w14:paraId="32E23C7C" w14:textId="77777777" w:rsidR="0071468F" w:rsidRPr="0071468F" w:rsidRDefault="0071468F" w:rsidP="0071468F">
            <w:pPr>
              <w:spacing w:line="360" w:lineRule="auto"/>
              <w:jc w:val="center"/>
              <w:rPr>
                <w:b/>
                <w:bCs/>
                <w:noProof/>
                <w:sz w:val="18"/>
                <w:szCs w:val="18"/>
                <w:lang w:val="es-PE" w:eastAsia="en-US"/>
              </w:rPr>
            </w:pPr>
            <w:r w:rsidRPr="0071468F">
              <w:rPr>
                <w:b/>
                <w:bCs/>
                <w:noProof/>
                <w:sz w:val="18"/>
                <w:szCs w:val="18"/>
                <w:lang w:val="es-PE" w:eastAsia="en-US"/>
              </w:rPr>
              <w:t>M</w:t>
            </w:r>
          </w:p>
        </w:tc>
        <w:tc>
          <w:tcPr>
            <w:tcW w:w="707" w:type="dxa"/>
            <w:vAlign w:val="center"/>
          </w:tcPr>
          <w:p w14:paraId="2C3731AC" w14:textId="77777777" w:rsidR="0071468F" w:rsidRPr="0071468F" w:rsidRDefault="0071468F" w:rsidP="0071468F">
            <w:pPr>
              <w:spacing w:line="360" w:lineRule="auto"/>
              <w:jc w:val="center"/>
              <w:rPr>
                <w:b/>
                <w:bCs/>
                <w:noProof/>
                <w:sz w:val="18"/>
                <w:szCs w:val="18"/>
                <w:lang w:val="es-PE" w:eastAsia="en-US"/>
              </w:rPr>
            </w:pPr>
            <w:r w:rsidRPr="0071468F">
              <w:rPr>
                <w:b/>
                <w:bCs/>
                <w:noProof/>
                <w:sz w:val="18"/>
                <w:szCs w:val="18"/>
                <w:lang w:val="es-PE" w:eastAsia="en-US"/>
              </w:rPr>
              <w:t>DE</w:t>
            </w:r>
          </w:p>
        </w:tc>
        <w:tc>
          <w:tcPr>
            <w:tcW w:w="855" w:type="dxa"/>
            <w:vAlign w:val="center"/>
          </w:tcPr>
          <w:p w14:paraId="5C79580B" w14:textId="77777777" w:rsidR="0071468F" w:rsidRPr="0071468F" w:rsidRDefault="0071468F" w:rsidP="0071468F">
            <w:pPr>
              <w:spacing w:line="360" w:lineRule="auto"/>
              <w:jc w:val="center"/>
              <w:rPr>
                <w:b/>
                <w:bCs/>
                <w:noProof/>
                <w:sz w:val="18"/>
                <w:szCs w:val="18"/>
                <w:lang w:val="es-PE" w:eastAsia="en-US"/>
              </w:rPr>
            </w:pPr>
            <w:r w:rsidRPr="0071468F">
              <w:rPr>
                <w:b/>
                <w:bCs/>
                <w:noProof/>
                <w:sz w:val="18"/>
                <w:szCs w:val="18"/>
                <w:lang w:val="es-PE" w:eastAsia="en-US"/>
              </w:rPr>
              <w:t>Pred</w:t>
            </w:r>
          </w:p>
        </w:tc>
        <w:tc>
          <w:tcPr>
            <w:tcW w:w="990" w:type="dxa"/>
            <w:vAlign w:val="center"/>
          </w:tcPr>
          <w:p w14:paraId="36337F8E" w14:textId="77777777" w:rsidR="0071468F" w:rsidRPr="0071468F" w:rsidRDefault="0071468F" w:rsidP="0071468F">
            <w:pPr>
              <w:spacing w:line="360" w:lineRule="auto"/>
              <w:jc w:val="center"/>
              <w:rPr>
                <w:b/>
                <w:bCs/>
                <w:noProof/>
                <w:sz w:val="18"/>
                <w:szCs w:val="18"/>
                <w:lang w:val="es-PE" w:eastAsia="en-US"/>
              </w:rPr>
            </w:pPr>
            <w:r w:rsidRPr="0071468F">
              <w:rPr>
                <w:b/>
                <w:bCs/>
                <w:noProof/>
                <w:sz w:val="18"/>
                <w:szCs w:val="18"/>
                <w:lang w:val="es-PE" w:eastAsia="en-US"/>
              </w:rPr>
              <w:t>Fuerza</w:t>
            </w:r>
          </w:p>
        </w:tc>
        <w:tc>
          <w:tcPr>
            <w:tcW w:w="817" w:type="dxa"/>
            <w:vAlign w:val="center"/>
          </w:tcPr>
          <w:p w14:paraId="70B13117" w14:textId="77777777" w:rsidR="0071468F" w:rsidRPr="0071468F" w:rsidRDefault="0071468F" w:rsidP="0071468F">
            <w:pPr>
              <w:spacing w:line="360" w:lineRule="auto"/>
              <w:jc w:val="center"/>
              <w:rPr>
                <w:b/>
                <w:bCs/>
                <w:noProof/>
                <w:sz w:val="18"/>
                <w:szCs w:val="18"/>
                <w:lang w:val="es-PE" w:eastAsia="en-US"/>
              </w:rPr>
            </w:pPr>
            <w:r w:rsidRPr="0071468F">
              <w:rPr>
                <w:b/>
                <w:bCs/>
                <w:noProof/>
                <w:sz w:val="18"/>
                <w:szCs w:val="18"/>
                <w:lang w:val="es-PE" w:eastAsia="en-US"/>
              </w:rPr>
              <w:t>1</w:t>
            </w:r>
          </w:p>
        </w:tc>
        <w:tc>
          <w:tcPr>
            <w:tcW w:w="850" w:type="dxa"/>
            <w:vAlign w:val="center"/>
          </w:tcPr>
          <w:p w14:paraId="58B53CA2" w14:textId="77777777" w:rsidR="0071468F" w:rsidRPr="0071468F" w:rsidRDefault="0071468F" w:rsidP="0071468F">
            <w:pPr>
              <w:spacing w:line="360" w:lineRule="auto"/>
              <w:jc w:val="center"/>
              <w:rPr>
                <w:b/>
                <w:bCs/>
                <w:noProof/>
                <w:sz w:val="18"/>
                <w:szCs w:val="18"/>
                <w:lang w:val="es-PE" w:eastAsia="en-US"/>
              </w:rPr>
            </w:pPr>
            <w:r w:rsidRPr="0071468F">
              <w:rPr>
                <w:b/>
                <w:bCs/>
                <w:noProof/>
                <w:sz w:val="18"/>
                <w:szCs w:val="18"/>
                <w:lang w:val="es-PE" w:eastAsia="en-US"/>
              </w:rPr>
              <w:t>2</w:t>
            </w:r>
          </w:p>
        </w:tc>
        <w:tc>
          <w:tcPr>
            <w:tcW w:w="851" w:type="dxa"/>
            <w:vAlign w:val="center"/>
          </w:tcPr>
          <w:p w14:paraId="3BE407AA" w14:textId="77777777" w:rsidR="0071468F" w:rsidRPr="0071468F" w:rsidRDefault="0071468F" w:rsidP="0071468F">
            <w:pPr>
              <w:spacing w:line="360" w:lineRule="auto"/>
              <w:jc w:val="center"/>
              <w:rPr>
                <w:b/>
                <w:bCs/>
                <w:noProof/>
                <w:sz w:val="18"/>
                <w:szCs w:val="18"/>
                <w:lang w:val="es-PE" w:eastAsia="en-US"/>
              </w:rPr>
            </w:pPr>
            <w:r w:rsidRPr="0071468F">
              <w:rPr>
                <w:b/>
                <w:bCs/>
                <w:noProof/>
                <w:sz w:val="18"/>
                <w:szCs w:val="18"/>
                <w:lang w:val="es-PE" w:eastAsia="en-US"/>
              </w:rPr>
              <w:t>3</w:t>
            </w:r>
          </w:p>
        </w:tc>
        <w:tc>
          <w:tcPr>
            <w:tcW w:w="850" w:type="dxa"/>
            <w:vAlign w:val="center"/>
          </w:tcPr>
          <w:p w14:paraId="3606E56B" w14:textId="77777777" w:rsidR="0071468F" w:rsidRPr="0071468F" w:rsidRDefault="0071468F" w:rsidP="0071468F">
            <w:pPr>
              <w:spacing w:line="360" w:lineRule="auto"/>
              <w:jc w:val="center"/>
              <w:rPr>
                <w:b/>
                <w:bCs/>
                <w:noProof/>
                <w:sz w:val="18"/>
                <w:szCs w:val="18"/>
                <w:lang w:val="es-PE" w:eastAsia="en-US"/>
              </w:rPr>
            </w:pPr>
            <w:r w:rsidRPr="0071468F">
              <w:rPr>
                <w:b/>
                <w:bCs/>
                <w:noProof/>
                <w:sz w:val="18"/>
                <w:szCs w:val="18"/>
                <w:lang w:val="es-PE" w:eastAsia="en-US"/>
              </w:rPr>
              <w:t>4</w:t>
            </w:r>
          </w:p>
        </w:tc>
        <w:tc>
          <w:tcPr>
            <w:tcW w:w="887" w:type="dxa"/>
            <w:vAlign w:val="center"/>
          </w:tcPr>
          <w:p w14:paraId="419BF97C" w14:textId="77777777" w:rsidR="0071468F" w:rsidRPr="0071468F" w:rsidRDefault="0071468F" w:rsidP="0071468F">
            <w:pPr>
              <w:spacing w:line="360" w:lineRule="auto"/>
              <w:jc w:val="center"/>
              <w:rPr>
                <w:b/>
                <w:bCs/>
                <w:noProof/>
                <w:sz w:val="18"/>
                <w:szCs w:val="18"/>
                <w:lang w:val="es-PE" w:eastAsia="en-US"/>
              </w:rPr>
            </w:pPr>
            <w:r w:rsidRPr="0071468F">
              <w:rPr>
                <w:b/>
                <w:bCs/>
                <w:noProof/>
                <w:sz w:val="18"/>
                <w:szCs w:val="18"/>
                <w:lang w:val="es-PE" w:eastAsia="en-US"/>
              </w:rPr>
              <w:t>5</w:t>
            </w:r>
          </w:p>
        </w:tc>
      </w:tr>
      <w:tr w:rsidR="0071468F" w:rsidRPr="0071468F" w14:paraId="1AEA4BBE" w14:textId="77777777" w:rsidTr="0088346C">
        <w:trPr>
          <w:jc w:val="center"/>
        </w:trPr>
        <w:tc>
          <w:tcPr>
            <w:tcW w:w="844" w:type="dxa"/>
            <w:vAlign w:val="center"/>
          </w:tcPr>
          <w:p w14:paraId="12729F0B" w14:textId="77777777" w:rsidR="0071468F" w:rsidRPr="0071468F" w:rsidRDefault="0071468F" w:rsidP="0071468F">
            <w:pPr>
              <w:spacing w:line="360" w:lineRule="auto"/>
              <w:jc w:val="center"/>
              <w:rPr>
                <w:noProof/>
                <w:sz w:val="18"/>
                <w:szCs w:val="18"/>
                <w:lang w:val="es-PE" w:eastAsia="en-US"/>
              </w:rPr>
            </w:pPr>
            <w:r w:rsidRPr="0071468F">
              <w:rPr>
                <w:noProof/>
                <w:sz w:val="18"/>
                <w:szCs w:val="18"/>
                <w:lang w:val="es-PE" w:eastAsia="en-US"/>
              </w:rPr>
              <w:t>1</w:t>
            </w:r>
          </w:p>
        </w:tc>
        <w:tc>
          <w:tcPr>
            <w:tcW w:w="708" w:type="dxa"/>
            <w:vAlign w:val="center"/>
          </w:tcPr>
          <w:p w14:paraId="524C2730" w14:textId="77777777" w:rsidR="0071468F" w:rsidRPr="0071468F" w:rsidRDefault="0071468F" w:rsidP="0071468F">
            <w:pPr>
              <w:spacing w:line="360" w:lineRule="auto"/>
              <w:jc w:val="center"/>
              <w:rPr>
                <w:noProof/>
                <w:sz w:val="18"/>
                <w:szCs w:val="18"/>
                <w:lang w:val="es-PE" w:eastAsia="en-US"/>
              </w:rPr>
            </w:pPr>
            <w:r w:rsidRPr="0071468F">
              <w:rPr>
                <w:noProof/>
                <w:sz w:val="18"/>
                <w:szCs w:val="18"/>
                <w:lang w:val="es-PE" w:eastAsia="en-US"/>
              </w:rPr>
              <w:t>0,30</w:t>
            </w:r>
          </w:p>
        </w:tc>
        <w:tc>
          <w:tcPr>
            <w:tcW w:w="707" w:type="dxa"/>
            <w:vAlign w:val="center"/>
          </w:tcPr>
          <w:p w14:paraId="4E882D22" w14:textId="77777777" w:rsidR="0071468F" w:rsidRPr="0071468F" w:rsidRDefault="0071468F" w:rsidP="0071468F">
            <w:pPr>
              <w:spacing w:line="360" w:lineRule="auto"/>
              <w:jc w:val="center"/>
              <w:rPr>
                <w:noProof/>
                <w:sz w:val="18"/>
                <w:szCs w:val="18"/>
                <w:lang w:val="es-PE" w:eastAsia="en-US"/>
              </w:rPr>
            </w:pPr>
            <w:r w:rsidRPr="0071468F">
              <w:rPr>
                <w:noProof/>
                <w:sz w:val="18"/>
                <w:szCs w:val="18"/>
                <w:lang w:val="es-PE" w:eastAsia="en-US"/>
              </w:rPr>
              <w:t>0,46</w:t>
            </w:r>
          </w:p>
        </w:tc>
        <w:tc>
          <w:tcPr>
            <w:tcW w:w="855" w:type="dxa"/>
            <w:vAlign w:val="center"/>
          </w:tcPr>
          <w:p w14:paraId="5938633E" w14:textId="77777777" w:rsidR="0071468F" w:rsidRPr="0071468F" w:rsidRDefault="0071468F" w:rsidP="0071468F">
            <w:pPr>
              <w:spacing w:line="360" w:lineRule="auto"/>
              <w:jc w:val="center"/>
              <w:rPr>
                <w:noProof/>
                <w:sz w:val="18"/>
                <w:szCs w:val="18"/>
                <w:lang w:val="es-PE" w:eastAsia="en-US"/>
              </w:rPr>
            </w:pPr>
            <w:r w:rsidRPr="0071468F">
              <w:rPr>
                <w:noProof/>
                <w:sz w:val="18"/>
                <w:szCs w:val="18"/>
                <w:lang w:val="es-PE" w:eastAsia="en-US"/>
              </w:rPr>
              <w:t>38 %</w:t>
            </w:r>
          </w:p>
        </w:tc>
        <w:tc>
          <w:tcPr>
            <w:tcW w:w="990" w:type="dxa"/>
            <w:vAlign w:val="center"/>
          </w:tcPr>
          <w:p w14:paraId="63441EF5" w14:textId="77777777" w:rsidR="0071468F" w:rsidRPr="0071468F" w:rsidRDefault="0071468F" w:rsidP="0071468F">
            <w:pPr>
              <w:spacing w:line="360" w:lineRule="auto"/>
              <w:jc w:val="center"/>
              <w:rPr>
                <w:noProof/>
                <w:sz w:val="18"/>
                <w:szCs w:val="18"/>
                <w:lang w:val="es-PE" w:eastAsia="en-US"/>
              </w:rPr>
            </w:pPr>
            <w:r w:rsidRPr="0071468F">
              <w:rPr>
                <w:noProof/>
                <w:sz w:val="18"/>
                <w:szCs w:val="18"/>
                <w:lang w:val="es-PE" w:eastAsia="en-US"/>
              </w:rPr>
              <w:t>3,87</w:t>
            </w:r>
          </w:p>
        </w:tc>
        <w:tc>
          <w:tcPr>
            <w:tcW w:w="817" w:type="dxa"/>
            <w:vAlign w:val="center"/>
          </w:tcPr>
          <w:p w14:paraId="47648A40" w14:textId="77777777" w:rsidR="0071468F" w:rsidRPr="0071468F" w:rsidRDefault="0071468F" w:rsidP="0071468F">
            <w:pPr>
              <w:spacing w:line="360" w:lineRule="auto"/>
              <w:jc w:val="center"/>
              <w:rPr>
                <w:noProof/>
                <w:sz w:val="18"/>
                <w:szCs w:val="18"/>
                <w:lang w:val="es-PE" w:eastAsia="en-US"/>
              </w:rPr>
            </w:pPr>
            <w:r w:rsidRPr="0071468F">
              <w:rPr>
                <w:noProof/>
                <w:sz w:val="18"/>
                <w:szCs w:val="18"/>
                <w:lang w:val="es-PE" w:eastAsia="en-US"/>
              </w:rPr>
              <w:t>-</w:t>
            </w:r>
          </w:p>
        </w:tc>
        <w:tc>
          <w:tcPr>
            <w:tcW w:w="850" w:type="dxa"/>
            <w:vAlign w:val="center"/>
          </w:tcPr>
          <w:p w14:paraId="77188CA4" w14:textId="77777777" w:rsidR="0071468F" w:rsidRPr="0071468F" w:rsidRDefault="0071468F" w:rsidP="0071468F">
            <w:pPr>
              <w:spacing w:line="360" w:lineRule="auto"/>
              <w:jc w:val="center"/>
              <w:rPr>
                <w:noProof/>
                <w:sz w:val="18"/>
                <w:szCs w:val="18"/>
                <w:lang w:val="es-PE" w:eastAsia="en-US"/>
              </w:rPr>
            </w:pPr>
            <w:r w:rsidRPr="0071468F">
              <w:rPr>
                <w:noProof/>
                <w:sz w:val="18"/>
                <w:szCs w:val="18"/>
                <w:lang w:val="es-PE" w:eastAsia="en-US"/>
              </w:rPr>
              <w:t>-</w:t>
            </w:r>
          </w:p>
        </w:tc>
        <w:tc>
          <w:tcPr>
            <w:tcW w:w="851" w:type="dxa"/>
            <w:vAlign w:val="center"/>
          </w:tcPr>
          <w:p w14:paraId="03D87627" w14:textId="77777777" w:rsidR="0071468F" w:rsidRPr="0071468F" w:rsidRDefault="0071468F" w:rsidP="0071468F">
            <w:pPr>
              <w:spacing w:line="360" w:lineRule="auto"/>
              <w:jc w:val="center"/>
              <w:rPr>
                <w:noProof/>
                <w:sz w:val="18"/>
                <w:szCs w:val="18"/>
                <w:lang w:val="es-PE" w:eastAsia="en-US"/>
              </w:rPr>
            </w:pPr>
            <w:r w:rsidRPr="0071468F">
              <w:rPr>
                <w:noProof/>
                <w:sz w:val="18"/>
                <w:szCs w:val="18"/>
                <w:lang w:val="es-PE" w:eastAsia="en-US"/>
              </w:rPr>
              <w:t>-</w:t>
            </w:r>
          </w:p>
        </w:tc>
        <w:tc>
          <w:tcPr>
            <w:tcW w:w="850" w:type="dxa"/>
            <w:vAlign w:val="center"/>
          </w:tcPr>
          <w:p w14:paraId="22397256" w14:textId="77777777" w:rsidR="0071468F" w:rsidRPr="0071468F" w:rsidRDefault="0071468F" w:rsidP="0071468F">
            <w:pPr>
              <w:spacing w:line="360" w:lineRule="auto"/>
              <w:jc w:val="center"/>
              <w:rPr>
                <w:noProof/>
                <w:sz w:val="18"/>
                <w:szCs w:val="18"/>
                <w:lang w:val="es-PE" w:eastAsia="en-US"/>
              </w:rPr>
            </w:pPr>
            <w:r w:rsidRPr="0071468F">
              <w:rPr>
                <w:noProof/>
                <w:sz w:val="18"/>
                <w:szCs w:val="18"/>
                <w:lang w:val="es-PE" w:eastAsia="en-US"/>
              </w:rPr>
              <w:t>-</w:t>
            </w:r>
          </w:p>
        </w:tc>
        <w:tc>
          <w:tcPr>
            <w:tcW w:w="887" w:type="dxa"/>
            <w:vAlign w:val="center"/>
          </w:tcPr>
          <w:p w14:paraId="10E4219D" w14:textId="77777777" w:rsidR="0071468F" w:rsidRPr="0071468F" w:rsidRDefault="0071468F" w:rsidP="0071468F">
            <w:pPr>
              <w:spacing w:line="360" w:lineRule="auto"/>
              <w:jc w:val="center"/>
              <w:rPr>
                <w:noProof/>
                <w:sz w:val="18"/>
                <w:szCs w:val="18"/>
                <w:lang w:val="es-PE" w:eastAsia="en-US"/>
              </w:rPr>
            </w:pPr>
            <w:r w:rsidRPr="0071468F">
              <w:rPr>
                <w:noProof/>
                <w:sz w:val="18"/>
                <w:szCs w:val="18"/>
                <w:lang w:val="es-PE" w:eastAsia="en-US"/>
              </w:rPr>
              <w:t>-</w:t>
            </w:r>
          </w:p>
        </w:tc>
      </w:tr>
      <w:tr w:rsidR="0071468F" w:rsidRPr="0071468F" w14:paraId="5EC0A5F2" w14:textId="77777777" w:rsidTr="0088346C">
        <w:trPr>
          <w:jc w:val="center"/>
        </w:trPr>
        <w:tc>
          <w:tcPr>
            <w:tcW w:w="844" w:type="dxa"/>
            <w:vAlign w:val="center"/>
          </w:tcPr>
          <w:p w14:paraId="29688B58" w14:textId="77777777" w:rsidR="0071468F" w:rsidRPr="0071468F" w:rsidRDefault="0071468F" w:rsidP="0071468F">
            <w:pPr>
              <w:spacing w:line="360" w:lineRule="auto"/>
              <w:jc w:val="center"/>
              <w:rPr>
                <w:noProof/>
                <w:sz w:val="18"/>
                <w:szCs w:val="18"/>
                <w:lang w:val="es-PE" w:eastAsia="en-US"/>
              </w:rPr>
            </w:pPr>
            <w:r w:rsidRPr="0071468F">
              <w:rPr>
                <w:noProof/>
                <w:sz w:val="18"/>
                <w:szCs w:val="18"/>
                <w:lang w:val="es-PE" w:eastAsia="en-US"/>
              </w:rPr>
              <w:t>2</w:t>
            </w:r>
          </w:p>
        </w:tc>
        <w:tc>
          <w:tcPr>
            <w:tcW w:w="708" w:type="dxa"/>
            <w:vAlign w:val="center"/>
          </w:tcPr>
          <w:p w14:paraId="2AB68836" w14:textId="77777777" w:rsidR="0071468F" w:rsidRPr="0071468F" w:rsidRDefault="0071468F" w:rsidP="0071468F">
            <w:pPr>
              <w:spacing w:line="360" w:lineRule="auto"/>
              <w:jc w:val="center"/>
              <w:rPr>
                <w:noProof/>
                <w:sz w:val="18"/>
                <w:szCs w:val="18"/>
                <w:lang w:val="es-PE" w:eastAsia="en-US"/>
              </w:rPr>
            </w:pPr>
            <w:r w:rsidRPr="0071468F">
              <w:rPr>
                <w:noProof/>
                <w:sz w:val="18"/>
                <w:szCs w:val="18"/>
                <w:lang w:val="es-PE" w:eastAsia="en-US"/>
              </w:rPr>
              <w:t>0,42</w:t>
            </w:r>
          </w:p>
        </w:tc>
        <w:tc>
          <w:tcPr>
            <w:tcW w:w="707" w:type="dxa"/>
            <w:vAlign w:val="center"/>
          </w:tcPr>
          <w:p w14:paraId="37943FE8" w14:textId="77777777" w:rsidR="0071468F" w:rsidRPr="0071468F" w:rsidRDefault="0071468F" w:rsidP="0071468F">
            <w:pPr>
              <w:spacing w:line="360" w:lineRule="auto"/>
              <w:jc w:val="center"/>
              <w:rPr>
                <w:noProof/>
                <w:sz w:val="18"/>
                <w:szCs w:val="18"/>
                <w:lang w:val="es-PE" w:eastAsia="en-US"/>
              </w:rPr>
            </w:pPr>
            <w:r w:rsidRPr="0071468F">
              <w:rPr>
                <w:noProof/>
                <w:sz w:val="18"/>
                <w:szCs w:val="18"/>
                <w:lang w:val="es-PE" w:eastAsia="en-US"/>
              </w:rPr>
              <w:t>0,49</w:t>
            </w:r>
          </w:p>
        </w:tc>
        <w:tc>
          <w:tcPr>
            <w:tcW w:w="855" w:type="dxa"/>
            <w:vAlign w:val="center"/>
          </w:tcPr>
          <w:p w14:paraId="4D647B46" w14:textId="77777777" w:rsidR="0071468F" w:rsidRPr="0071468F" w:rsidRDefault="0071468F" w:rsidP="0071468F">
            <w:pPr>
              <w:spacing w:line="360" w:lineRule="auto"/>
              <w:jc w:val="center"/>
              <w:rPr>
                <w:noProof/>
                <w:sz w:val="18"/>
                <w:szCs w:val="18"/>
                <w:lang w:val="es-PE" w:eastAsia="en-US"/>
              </w:rPr>
            </w:pPr>
            <w:r w:rsidRPr="0071468F">
              <w:rPr>
                <w:noProof/>
                <w:sz w:val="18"/>
                <w:szCs w:val="18"/>
                <w:lang w:val="es-PE" w:eastAsia="en-US"/>
              </w:rPr>
              <w:t>53 %</w:t>
            </w:r>
          </w:p>
        </w:tc>
        <w:tc>
          <w:tcPr>
            <w:tcW w:w="990" w:type="dxa"/>
            <w:vAlign w:val="center"/>
          </w:tcPr>
          <w:p w14:paraId="22DA1E06" w14:textId="77777777" w:rsidR="0071468F" w:rsidRPr="0071468F" w:rsidRDefault="0071468F" w:rsidP="0071468F">
            <w:pPr>
              <w:spacing w:line="360" w:lineRule="auto"/>
              <w:jc w:val="center"/>
              <w:rPr>
                <w:noProof/>
                <w:sz w:val="18"/>
                <w:szCs w:val="18"/>
                <w:lang w:val="es-PE" w:eastAsia="en-US"/>
              </w:rPr>
            </w:pPr>
            <w:r w:rsidRPr="0071468F">
              <w:rPr>
                <w:noProof/>
                <w:sz w:val="18"/>
                <w:szCs w:val="18"/>
                <w:lang w:val="es-PE" w:eastAsia="en-US"/>
              </w:rPr>
              <w:t>4,38</w:t>
            </w:r>
          </w:p>
        </w:tc>
        <w:tc>
          <w:tcPr>
            <w:tcW w:w="817" w:type="dxa"/>
            <w:vAlign w:val="center"/>
          </w:tcPr>
          <w:p w14:paraId="24BE8DBE" w14:textId="77777777" w:rsidR="0071468F" w:rsidRPr="0071468F" w:rsidRDefault="0071468F" w:rsidP="0071468F">
            <w:pPr>
              <w:spacing w:line="360" w:lineRule="auto"/>
              <w:jc w:val="center"/>
              <w:rPr>
                <w:noProof/>
                <w:sz w:val="18"/>
                <w:szCs w:val="18"/>
                <w:lang w:val="es-PE" w:eastAsia="en-US"/>
              </w:rPr>
            </w:pPr>
            <w:r w:rsidRPr="0071468F">
              <w:rPr>
                <w:noProof/>
                <w:sz w:val="18"/>
                <w:szCs w:val="18"/>
                <w:lang w:val="es-PE" w:eastAsia="en-US"/>
              </w:rPr>
              <w:t>1,521</w:t>
            </w:r>
          </w:p>
        </w:tc>
        <w:tc>
          <w:tcPr>
            <w:tcW w:w="850" w:type="dxa"/>
            <w:vAlign w:val="center"/>
          </w:tcPr>
          <w:p w14:paraId="3D508964" w14:textId="77777777" w:rsidR="0071468F" w:rsidRPr="0071468F" w:rsidRDefault="0071468F" w:rsidP="0071468F">
            <w:pPr>
              <w:spacing w:line="360" w:lineRule="auto"/>
              <w:jc w:val="center"/>
              <w:rPr>
                <w:noProof/>
                <w:sz w:val="18"/>
                <w:szCs w:val="18"/>
                <w:lang w:val="es-PE" w:eastAsia="en-US"/>
              </w:rPr>
            </w:pPr>
            <w:r w:rsidRPr="0071468F">
              <w:rPr>
                <w:noProof/>
                <w:sz w:val="18"/>
                <w:szCs w:val="18"/>
                <w:lang w:val="es-PE" w:eastAsia="en-US"/>
              </w:rPr>
              <w:t>-</w:t>
            </w:r>
          </w:p>
        </w:tc>
        <w:tc>
          <w:tcPr>
            <w:tcW w:w="851" w:type="dxa"/>
            <w:vAlign w:val="center"/>
          </w:tcPr>
          <w:p w14:paraId="55B39339" w14:textId="77777777" w:rsidR="0071468F" w:rsidRPr="0071468F" w:rsidRDefault="0071468F" w:rsidP="0071468F">
            <w:pPr>
              <w:spacing w:line="360" w:lineRule="auto"/>
              <w:jc w:val="center"/>
              <w:rPr>
                <w:noProof/>
                <w:sz w:val="18"/>
                <w:szCs w:val="18"/>
                <w:lang w:val="es-PE" w:eastAsia="en-US"/>
              </w:rPr>
            </w:pPr>
            <w:r w:rsidRPr="0071468F">
              <w:rPr>
                <w:noProof/>
                <w:sz w:val="18"/>
                <w:szCs w:val="18"/>
                <w:lang w:val="es-PE" w:eastAsia="en-US"/>
              </w:rPr>
              <w:t>-</w:t>
            </w:r>
          </w:p>
        </w:tc>
        <w:tc>
          <w:tcPr>
            <w:tcW w:w="850" w:type="dxa"/>
            <w:vAlign w:val="center"/>
          </w:tcPr>
          <w:p w14:paraId="6523E000" w14:textId="77777777" w:rsidR="0071468F" w:rsidRPr="0071468F" w:rsidRDefault="0071468F" w:rsidP="0071468F">
            <w:pPr>
              <w:spacing w:line="360" w:lineRule="auto"/>
              <w:jc w:val="center"/>
              <w:rPr>
                <w:noProof/>
                <w:sz w:val="18"/>
                <w:szCs w:val="18"/>
                <w:lang w:val="es-PE" w:eastAsia="en-US"/>
              </w:rPr>
            </w:pPr>
            <w:r w:rsidRPr="0071468F">
              <w:rPr>
                <w:noProof/>
                <w:sz w:val="18"/>
                <w:szCs w:val="18"/>
                <w:lang w:val="es-PE" w:eastAsia="en-US"/>
              </w:rPr>
              <w:t>-</w:t>
            </w:r>
          </w:p>
        </w:tc>
        <w:tc>
          <w:tcPr>
            <w:tcW w:w="887" w:type="dxa"/>
            <w:vAlign w:val="center"/>
          </w:tcPr>
          <w:p w14:paraId="2C55483A" w14:textId="77777777" w:rsidR="0071468F" w:rsidRPr="0071468F" w:rsidRDefault="0071468F" w:rsidP="0071468F">
            <w:pPr>
              <w:spacing w:line="360" w:lineRule="auto"/>
              <w:jc w:val="center"/>
              <w:rPr>
                <w:noProof/>
                <w:sz w:val="18"/>
                <w:szCs w:val="18"/>
                <w:lang w:val="es-PE" w:eastAsia="en-US"/>
              </w:rPr>
            </w:pPr>
            <w:r w:rsidRPr="0071468F">
              <w:rPr>
                <w:noProof/>
                <w:sz w:val="18"/>
                <w:szCs w:val="18"/>
                <w:lang w:val="es-PE" w:eastAsia="en-US"/>
              </w:rPr>
              <w:t>-</w:t>
            </w:r>
          </w:p>
        </w:tc>
      </w:tr>
      <w:tr w:rsidR="0071468F" w:rsidRPr="0071468F" w14:paraId="1183CD22" w14:textId="77777777" w:rsidTr="0088346C">
        <w:trPr>
          <w:jc w:val="center"/>
        </w:trPr>
        <w:tc>
          <w:tcPr>
            <w:tcW w:w="844" w:type="dxa"/>
            <w:vAlign w:val="center"/>
          </w:tcPr>
          <w:p w14:paraId="1FAB1CB1" w14:textId="77777777" w:rsidR="0071468F" w:rsidRPr="0071468F" w:rsidRDefault="0071468F" w:rsidP="0071468F">
            <w:pPr>
              <w:spacing w:line="360" w:lineRule="auto"/>
              <w:jc w:val="center"/>
              <w:rPr>
                <w:noProof/>
                <w:sz w:val="18"/>
                <w:szCs w:val="18"/>
                <w:lang w:val="es-PE" w:eastAsia="en-US"/>
              </w:rPr>
            </w:pPr>
            <w:r w:rsidRPr="0071468F">
              <w:rPr>
                <w:noProof/>
                <w:sz w:val="18"/>
                <w:szCs w:val="18"/>
                <w:lang w:val="es-PE" w:eastAsia="en-US"/>
              </w:rPr>
              <w:t>3</w:t>
            </w:r>
          </w:p>
        </w:tc>
        <w:tc>
          <w:tcPr>
            <w:tcW w:w="708" w:type="dxa"/>
            <w:vAlign w:val="center"/>
          </w:tcPr>
          <w:p w14:paraId="02787BBC" w14:textId="77777777" w:rsidR="0071468F" w:rsidRPr="0071468F" w:rsidRDefault="0071468F" w:rsidP="0071468F">
            <w:pPr>
              <w:spacing w:line="360" w:lineRule="auto"/>
              <w:jc w:val="center"/>
              <w:rPr>
                <w:noProof/>
                <w:sz w:val="18"/>
                <w:szCs w:val="18"/>
                <w:lang w:val="es-PE" w:eastAsia="en-US"/>
              </w:rPr>
            </w:pPr>
            <w:r w:rsidRPr="0071468F">
              <w:rPr>
                <w:noProof/>
                <w:sz w:val="18"/>
                <w:szCs w:val="18"/>
                <w:lang w:val="es-PE" w:eastAsia="en-US"/>
              </w:rPr>
              <w:t>0,32</w:t>
            </w:r>
          </w:p>
        </w:tc>
        <w:tc>
          <w:tcPr>
            <w:tcW w:w="707" w:type="dxa"/>
            <w:vAlign w:val="center"/>
          </w:tcPr>
          <w:p w14:paraId="632F8F12" w14:textId="77777777" w:rsidR="0071468F" w:rsidRPr="0071468F" w:rsidRDefault="0071468F" w:rsidP="0071468F">
            <w:pPr>
              <w:spacing w:line="360" w:lineRule="auto"/>
              <w:jc w:val="center"/>
              <w:rPr>
                <w:noProof/>
                <w:sz w:val="18"/>
                <w:szCs w:val="18"/>
                <w:lang w:val="es-PE" w:eastAsia="en-US"/>
              </w:rPr>
            </w:pPr>
            <w:r w:rsidRPr="0071468F">
              <w:rPr>
                <w:noProof/>
                <w:sz w:val="18"/>
                <w:szCs w:val="18"/>
                <w:lang w:val="es-PE" w:eastAsia="en-US"/>
              </w:rPr>
              <w:t>0,47</w:t>
            </w:r>
          </w:p>
        </w:tc>
        <w:tc>
          <w:tcPr>
            <w:tcW w:w="855" w:type="dxa"/>
            <w:vAlign w:val="center"/>
          </w:tcPr>
          <w:p w14:paraId="32909316" w14:textId="77777777" w:rsidR="0071468F" w:rsidRPr="0071468F" w:rsidRDefault="0071468F" w:rsidP="0071468F">
            <w:pPr>
              <w:spacing w:line="360" w:lineRule="auto"/>
              <w:jc w:val="center"/>
              <w:rPr>
                <w:noProof/>
                <w:sz w:val="18"/>
                <w:szCs w:val="18"/>
                <w:lang w:val="es-PE" w:eastAsia="en-US"/>
              </w:rPr>
            </w:pPr>
            <w:r w:rsidRPr="0071468F">
              <w:rPr>
                <w:noProof/>
                <w:sz w:val="18"/>
                <w:szCs w:val="18"/>
                <w:lang w:val="es-PE" w:eastAsia="en-US"/>
              </w:rPr>
              <w:t>51 %</w:t>
            </w:r>
          </w:p>
        </w:tc>
        <w:tc>
          <w:tcPr>
            <w:tcW w:w="990" w:type="dxa"/>
            <w:vAlign w:val="center"/>
          </w:tcPr>
          <w:p w14:paraId="6F6792E6" w14:textId="77777777" w:rsidR="0071468F" w:rsidRPr="0071468F" w:rsidRDefault="0071468F" w:rsidP="0071468F">
            <w:pPr>
              <w:spacing w:line="360" w:lineRule="auto"/>
              <w:jc w:val="center"/>
              <w:rPr>
                <w:noProof/>
                <w:sz w:val="18"/>
                <w:szCs w:val="18"/>
                <w:lang w:val="es-PE" w:eastAsia="en-US"/>
              </w:rPr>
            </w:pPr>
            <w:r w:rsidRPr="0071468F">
              <w:rPr>
                <w:noProof/>
                <w:sz w:val="18"/>
                <w:szCs w:val="18"/>
                <w:lang w:val="es-PE" w:eastAsia="en-US"/>
              </w:rPr>
              <w:t>8,37</w:t>
            </w:r>
          </w:p>
        </w:tc>
        <w:tc>
          <w:tcPr>
            <w:tcW w:w="817" w:type="dxa"/>
            <w:vAlign w:val="center"/>
          </w:tcPr>
          <w:p w14:paraId="737B6E93" w14:textId="77777777" w:rsidR="0071468F" w:rsidRPr="0071468F" w:rsidRDefault="0071468F" w:rsidP="0071468F">
            <w:pPr>
              <w:spacing w:line="360" w:lineRule="auto"/>
              <w:jc w:val="center"/>
              <w:rPr>
                <w:noProof/>
                <w:sz w:val="18"/>
                <w:szCs w:val="18"/>
                <w:lang w:val="es-PE" w:eastAsia="en-US"/>
              </w:rPr>
            </w:pPr>
            <w:r w:rsidRPr="0071468F">
              <w:rPr>
                <w:noProof/>
                <w:sz w:val="18"/>
                <w:szCs w:val="18"/>
                <w:lang w:val="es-PE" w:eastAsia="en-US"/>
              </w:rPr>
              <w:t>1,018</w:t>
            </w:r>
          </w:p>
        </w:tc>
        <w:tc>
          <w:tcPr>
            <w:tcW w:w="850" w:type="dxa"/>
            <w:vAlign w:val="center"/>
          </w:tcPr>
          <w:p w14:paraId="614DE254" w14:textId="77777777" w:rsidR="0071468F" w:rsidRPr="0071468F" w:rsidRDefault="0071468F" w:rsidP="0071468F">
            <w:pPr>
              <w:spacing w:line="360" w:lineRule="auto"/>
              <w:jc w:val="center"/>
              <w:rPr>
                <w:noProof/>
                <w:sz w:val="18"/>
                <w:szCs w:val="18"/>
                <w:lang w:val="es-PE" w:eastAsia="en-US"/>
              </w:rPr>
            </w:pPr>
            <w:r w:rsidRPr="0071468F">
              <w:rPr>
                <w:noProof/>
                <w:sz w:val="18"/>
                <w:szCs w:val="18"/>
                <w:lang w:val="es-PE" w:eastAsia="en-US"/>
              </w:rPr>
              <w:t>1,870</w:t>
            </w:r>
          </w:p>
        </w:tc>
        <w:tc>
          <w:tcPr>
            <w:tcW w:w="851" w:type="dxa"/>
            <w:vAlign w:val="center"/>
          </w:tcPr>
          <w:p w14:paraId="03F0A422" w14:textId="77777777" w:rsidR="0071468F" w:rsidRPr="0071468F" w:rsidRDefault="0071468F" w:rsidP="0071468F">
            <w:pPr>
              <w:spacing w:line="360" w:lineRule="auto"/>
              <w:jc w:val="center"/>
              <w:rPr>
                <w:noProof/>
                <w:sz w:val="18"/>
                <w:szCs w:val="18"/>
                <w:lang w:val="es-PE" w:eastAsia="en-US"/>
              </w:rPr>
            </w:pPr>
            <w:r w:rsidRPr="0071468F">
              <w:rPr>
                <w:noProof/>
                <w:sz w:val="18"/>
                <w:szCs w:val="18"/>
                <w:lang w:val="es-PE" w:eastAsia="en-US"/>
              </w:rPr>
              <w:t>-</w:t>
            </w:r>
          </w:p>
        </w:tc>
        <w:tc>
          <w:tcPr>
            <w:tcW w:w="850" w:type="dxa"/>
            <w:vAlign w:val="center"/>
          </w:tcPr>
          <w:p w14:paraId="41D56A3E" w14:textId="77777777" w:rsidR="0071468F" w:rsidRPr="0071468F" w:rsidRDefault="0071468F" w:rsidP="0071468F">
            <w:pPr>
              <w:spacing w:line="360" w:lineRule="auto"/>
              <w:jc w:val="center"/>
              <w:rPr>
                <w:noProof/>
                <w:sz w:val="18"/>
                <w:szCs w:val="18"/>
                <w:lang w:val="es-PE" w:eastAsia="en-US"/>
              </w:rPr>
            </w:pPr>
            <w:r w:rsidRPr="0071468F">
              <w:rPr>
                <w:noProof/>
                <w:sz w:val="18"/>
                <w:szCs w:val="18"/>
                <w:lang w:val="es-PE" w:eastAsia="en-US"/>
              </w:rPr>
              <w:t>-</w:t>
            </w:r>
          </w:p>
        </w:tc>
        <w:tc>
          <w:tcPr>
            <w:tcW w:w="887" w:type="dxa"/>
            <w:vAlign w:val="center"/>
          </w:tcPr>
          <w:p w14:paraId="3359A7B6" w14:textId="77777777" w:rsidR="0071468F" w:rsidRPr="0071468F" w:rsidRDefault="0071468F" w:rsidP="0071468F">
            <w:pPr>
              <w:spacing w:line="360" w:lineRule="auto"/>
              <w:jc w:val="center"/>
              <w:rPr>
                <w:noProof/>
                <w:sz w:val="18"/>
                <w:szCs w:val="18"/>
                <w:lang w:val="es-PE" w:eastAsia="en-US"/>
              </w:rPr>
            </w:pPr>
            <w:r w:rsidRPr="0071468F">
              <w:rPr>
                <w:noProof/>
                <w:sz w:val="18"/>
                <w:szCs w:val="18"/>
                <w:lang w:val="es-PE" w:eastAsia="en-US"/>
              </w:rPr>
              <w:t>-</w:t>
            </w:r>
          </w:p>
        </w:tc>
      </w:tr>
      <w:tr w:rsidR="0071468F" w:rsidRPr="0071468F" w14:paraId="545B7DF6" w14:textId="77777777" w:rsidTr="0088346C">
        <w:trPr>
          <w:jc w:val="center"/>
        </w:trPr>
        <w:tc>
          <w:tcPr>
            <w:tcW w:w="844" w:type="dxa"/>
            <w:vAlign w:val="center"/>
          </w:tcPr>
          <w:p w14:paraId="086146EE" w14:textId="77777777" w:rsidR="0071468F" w:rsidRPr="0071468F" w:rsidRDefault="0071468F" w:rsidP="0071468F">
            <w:pPr>
              <w:spacing w:line="360" w:lineRule="auto"/>
              <w:jc w:val="center"/>
              <w:rPr>
                <w:noProof/>
                <w:sz w:val="18"/>
                <w:szCs w:val="18"/>
                <w:lang w:val="es-PE" w:eastAsia="en-US"/>
              </w:rPr>
            </w:pPr>
            <w:r w:rsidRPr="0071468F">
              <w:rPr>
                <w:noProof/>
                <w:sz w:val="18"/>
                <w:szCs w:val="18"/>
                <w:lang w:val="es-PE" w:eastAsia="en-US"/>
              </w:rPr>
              <w:t>4</w:t>
            </w:r>
          </w:p>
        </w:tc>
        <w:tc>
          <w:tcPr>
            <w:tcW w:w="708" w:type="dxa"/>
            <w:vAlign w:val="center"/>
          </w:tcPr>
          <w:p w14:paraId="16EAC712" w14:textId="77777777" w:rsidR="0071468F" w:rsidRPr="0071468F" w:rsidRDefault="0071468F" w:rsidP="0071468F">
            <w:pPr>
              <w:spacing w:line="360" w:lineRule="auto"/>
              <w:jc w:val="center"/>
              <w:rPr>
                <w:noProof/>
                <w:sz w:val="18"/>
                <w:szCs w:val="18"/>
                <w:lang w:val="es-PE" w:eastAsia="en-US"/>
              </w:rPr>
            </w:pPr>
            <w:r w:rsidRPr="0071468F">
              <w:rPr>
                <w:noProof/>
                <w:sz w:val="18"/>
                <w:szCs w:val="18"/>
                <w:lang w:val="es-PE" w:eastAsia="en-US"/>
              </w:rPr>
              <w:t>0,15</w:t>
            </w:r>
          </w:p>
        </w:tc>
        <w:tc>
          <w:tcPr>
            <w:tcW w:w="707" w:type="dxa"/>
            <w:vAlign w:val="center"/>
          </w:tcPr>
          <w:p w14:paraId="47E3B044" w14:textId="77777777" w:rsidR="0071468F" w:rsidRPr="0071468F" w:rsidRDefault="0071468F" w:rsidP="0071468F">
            <w:pPr>
              <w:spacing w:line="360" w:lineRule="auto"/>
              <w:jc w:val="center"/>
              <w:rPr>
                <w:noProof/>
                <w:sz w:val="18"/>
                <w:szCs w:val="18"/>
                <w:lang w:val="es-PE" w:eastAsia="en-US"/>
              </w:rPr>
            </w:pPr>
            <w:r w:rsidRPr="0071468F">
              <w:rPr>
                <w:noProof/>
                <w:sz w:val="18"/>
                <w:szCs w:val="18"/>
                <w:lang w:val="es-PE" w:eastAsia="en-US"/>
              </w:rPr>
              <w:t>0,35</w:t>
            </w:r>
          </w:p>
        </w:tc>
        <w:tc>
          <w:tcPr>
            <w:tcW w:w="855" w:type="dxa"/>
            <w:vAlign w:val="center"/>
          </w:tcPr>
          <w:p w14:paraId="04EDF96C" w14:textId="77777777" w:rsidR="0071468F" w:rsidRPr="0071468F" w:rsidRDefault="0071468F" w:rsidP="0071468F">
            <w:pPr>
              <w:spacing w:line="360" w:lineRule="auto"/>
              <w:jc w:val="center"/>
              <w:rPr>
                <w:noProof/>
                <w:sz w:val="18"/>
                <w:szCs w:val="18"/>
                <w:lang w:val="es-PE" w:eastAsia="en-US"/>
              </w:rPr>
            </w:pPr>
            <w:r w:rsidRPr="0071468F">
              <w:rPr>
                <w:noProof/>
                <w:sz w:val="18"/>
                <w:szCs w:val="18"/>
                <w:lang w:val="es-PE" w:eastAsia="en-US"/>
              </w:rPr>
              <w:t>47 %</w:t>
            </w:r>
          </w:p>
        </w:tc>
        <w:tc>
          <w:tcPr>
            <w:tcW w:w="990" w:type="dxa"/>
            <w:vAlign w:val="center"/>
          </w:tcPr>
          <w:p w14:paraId="38865A1C" w14:textId="77777777" w:rsidR="0071468F" w:rsidRPr="0071468F" w:rsidRDefault="0071468F" w:rsidP="0071468F">
            <w:pPr>
              <w:spacing w:line="360" w:lineRule="auto"/>
              <w:jc w:val="center"/>
              <w:rPr>
                <w:noProof/>
                <w:sz w:val="18"/>
                <w:szCs w:val="18"/>
                <w:lang w:val="es-PE" w:eastAsia="en-US"/>
              </w:rPr>
            </w:pPr>
            <w:r w:rsidRPr="0071468F">
              <w:rPr>
                <w:noProof/>
                <w:sz w:val="18"/>
                <w:szCs w:val="18"/>
                <w:lang w:val="es-PE" w:eastAsia="en-US"/>
              </w:rPr>
              <w:t>8,52</w:t>
            </w:r>
          </w:p>
        </w:tc>
        <w:tc>
          <w:tcPr>
            <w:tcW w:w="817" w:type="dxa"/>
            <w:vAlign w:val="center"/>
          </w:tcPr>
          <w:p w14:paraId="153BAEA7" w14:textId="77777777" w:rsidR="0071468F" w:rsidRPr="0071468F" w:rsidRDefault="0071468F" w:rsidP="0071468F">
            <w:pPr>
              <w:spacing w:line="360" w:lineRule="auto"/>
              <w:jc w:val="center"/>
              <w:rPr>
                <w:noProof/>
                <w:sz w:val="18"/>
                <w:szCs w:val="18"/>
                <w:lang w:val="es-PE" w:eastAsia="en-US"/>
              </w:rPr>
            </w:pPr>
            <w:r w:rsidRPr="0071468F">
              <w:rPr>
                <w:noProof/>
                <w:sz w:val="18"/>
                <w:szCs w:val="18"/>
                <w:lang w:val="es-PE" w:eastAsia="en-US"/>
              </w:rPr>
              <w:t>1,334</w:t>
            </w:r>
          </w:p>
        </w:tc>
        <w:tc>
          <w:tcPr>
            <w:tcW w:w="850" w:type="dxa"/>
            <w:vAlign w:val="center"/>
          </w:tcPr>
          <w:p w14:paraId="2DA80546" w14:textId="77777777" w:rsidR="0071468F" w:rsidRPr="0071468F" w:rsidRDefault="0071468F" w:rsidP="0071468F">
            <w:pPr>
              <w:spacing w:line="360" w:lineRule="auto"/>
              <w:jc w:val="center"/>
              <w:rPr>
                <w:noProof/>
                <w:sz w:val="18"/>
                <w:szCs w:val="18"/>
                <w:lang w:val="es-PE" w:eastAsia="en-US"/>
              </w:rPr>
            </w:pPr>
            <w:r w:rsidRPr="0071468F">
              <w:rPr>
                <w:noProof/>
                <w:sz w:val="18"/>
                <w:szCs w:val="18"/>
                <w:lang w:val="es-PE" w:eastAsia="en-US"/>
              </w:rPr>
              <w:t>0,989</w:t>
            </w:r>
          </w:p>
        </w:tc>
        <w:tc>
          <w:tcPr>
            <w:tcW w:w="851" w:type="dxa"/>
            <w:vAlign w:val="center"/>
          </w:tcPr>
          <w:p w14:paraId="21DF28A5" w14:textId="77777777" w:rsidR="0071468F" w:rsidRPr="0071468F" w:rsidRDefault="0071468F" w:rsidP="0071468F">
            <w:pPr>
              <w:spacing w:line="360" w:lineRule="auto"/>
              <w:jc w:val="center"/>
              <w:rPr>
                <w:noProof/>
                <w:sz w:val="18"/>
                <w:szCs w:val="18"/>
                <w:lang w:val="es-PE" w:eastAsia="en-US"/>
              </w:rPr>
            </w:pPr>
            <w:r w:rsidRPr="0071468F">
              <w:rPr>
                <w:noProof/>
                <w:sz w:val="18"/>
                <w:szCs w:val="18"/>
                <w:lang w:val="es-PE" w:eastAsia="en-US"/>
              </w:rPr>
              <w:t>3,942</w:t>
            </w:r>
          </w:p>
        </w:tc>
        <w:tc>
          <w:tcPr>
            <w:tcW w:w="850" w:type="dxa"/>
            <w:vAlign w:val="center"/>
          </w:tcPr>
          <w:p w14:paraId="09271018" w14:textId="77777777" w:rsidR="0071468F" w:rsidRPr="0071468F" w:rsidRDefault="0071468F" w:rsidP="0071468F">
            <w:pPr>
              <w:spacing w:line="360" w:lineRule="auto"/>
              <w:jc w:val="center"/>
              <w:rPr>
                <w:noProof/>
                <w:sz w:val="18"/>
                <w:szCs w:val="18"/>
                <w:lang w:val="es-PE" w:eastAsia="en-US"/>
              </w:rPr>
            </w:pPr>
            <w:r w:rsidRPr="0071468F">
              <w:rPr>
                <w:noProof/>
                <w:sz w:val="18"/>
                <w:szCs w:val="18"/>
                <w:lang w:val="es-PE" w:eastAsia="en-US"/>
              </w:rPr>
              <w:t>-</w:t>
            </w:r>
          </w:p>
        </w:tc>
        <w:tc>
          <w:tcPr>
            <w:tcW w:w="887" w:type="dxa"/>
            <w:vAlign w:val="center"/>
          </w:tcPr>
          <w:p w14:paraId="3AA12D81" w14:textId="77777777" w:rsidR="0071468F" w:rsidRPr="0071468F" w:rsidRDefault="0071468F" w:rsidP="0071468F">
            <w:pPr>
              <w:spacing w:line="360" w:lineRule="auto"/>
              <w:jc w:val="center"/>
              <w:rPr>
                <w:noProof/>
                <w:sz w:val="18"/>
                <w:szCs w:val="18"/>
                <w:lang w:val="es-PE" w:eastAsia="en-US"/>
              </w:rPr>
            </w:pPr>
            <w:r w:rsidRPr="0071468F">
              <w:rPr>
                <w:noProof/>
                <w:sz w:val="18"/>
                <w:szCs w:val="18"/>
                <w:lang w:val="es-PE" w:eastAsia="en-US"/>
              </w:rPr>
              <w:t>-</w:t>
            </w:r>
          </w:p>
        </w:tc>
      </w:tr>
      <w:tr w:rsidR="0071468F" w:rsidRPr="0071468F" w14:paraId="2DF0C11F" w14:textId="77777777" w:rsidTr="0088346C">
        <w:trPr>
          <w:jc w:val="center"/>
        </w:trPr>
        <w:tc>
          <w:tcPr>
            <w:tcW w:w="844" w:type="dxa"/>
            <w:vAlign w:val="center"/>
          </w:tcPr>
          <w:p w14:paraId="54FC26E0" w14:textId="77777777" w:rsidR="0071468F" w:rsidRPr="0071468F" w:rsidRDefault="0071468F" w:rsidP="0071468F">
            <w:pPr>
              <w:spacing w:line="360" w:lineRule="auto"/>
              <w:jc w:val="center"/>
              <w:rPr>
                <w:noProof/>
                <w:sz w:val="18"/>
                <w:szCs w:val="18"/>
                <w:lang w:val="es-PE" w:eastAsia="en-US"/>
              </w:rPr>
            </w:pPr>
            <w:r w:rsidRPr="0071468F">
              <w:rPr>
                <w:noProof/>
                <w:sz w:val="18"/>
                <w:szCs w:val="18"/>
                <w:lang w:val="es-PE" w:eastAsia="en-US"/>
              </w:rPr>
              <w:t>5</w:t>
            </w:r>
          </w:p>
        </w:tc>
        <w:tc>
          <w:tcPr>
            <w:tcW w:w="708" w:type="dxa"/>
            <w:vAlign w:val="center"/>
          </w:tcPr>
          <w:p w14:paraId="686C376A" w14:textId="77777777" w:rsidR="0071468F" w:rsidRPr="0071468F" w:rsidRDefault="0071468F" w:rsidP="0071468F">
            <w:pPr>
              <w:spacing w:line="360" w:lineRule="auto"/>
              <w:jc w:val="center"/>
              <w:rPr>
                <w:noProof/>
                <w:sz w:val="18"/>
                <w:szCs w:val="18"/>
                <w:lang w:val="es-PE" w:eastAsia="en-US"/>
              </w:rPr>
            </w:pPr>
            <w:r w:rsidRPr="0071468F">
              <w:rPr>
                <w:noProof/>
                <w:sz w:val="18"/>
                <w:szCs w:val="18"/>
                <w:lang w:val="es-PE" w:eastAsia="en-US"/>
              </w:rPr>
              <w:t>0,13</w:t>
            </w:r>
          </w:p>
        </w:tc>
        <w:tc>
          <w:tcPr>
            <w:tcW w:w="707" w:type="dxa"/>
            <w:vAlign w:val="center"/>
          </w:tcPr>
          <w:p w14:paraId="1A96C7C2" w14:textId="77777777" w:rsidR="0071468F" w:rsidRPr="0071468F" w:rsidRDefault="0071468F" w:rsidP="0071468F">
            <w:pPr>
              <w:spacing w:line="360" w:lineRule="auto"/>
              <w:jc w:val="center"/>
              <w:rPr>
                <w:noProof/>
                <w:sz w:val="18"/>
                <w:szCs w:val="18"/>
                <w:lang w:val="es-PE" w:eastAsia="en-US"/>
              </w:rPr>
            </w:pPr>
            <w:r w:rsidRPr="0071468F">
              <w:rPr>
                <w:noProof/>
                <w:sz w:val="18"/>
                <w:szCs w:val="18"/>
                <w:lang w:val="es-PE" w:eastAsia="en-US"/>
              </w:rPr>
              <w:t>0,33</w:t>
            </w:r>
          </w:p>
        </w:tc>
        <w:tc>
          <w:tcPr>
            <w:tcW w:w="855" w:type="dxa"/>
            <w:vAlign w:val="center"/>
          </w:tcPr>
          <w:p w14:paraId="257A26AF" w14:textId="77777777" w:rsidR="0071468F" w:rsidRPr="0071468F" w:rsidRDefault="0071468F" w:rsidP="0071468F">
            <w:pPr>
              <w:spacing w:line="360" w:lineRule="auto"/>
              <w:jc w:val="center"/>
              <w:rPr>
                <w:noProof/>
                <w:sz w:val="18"/>
                <w:szCs w:val="18"/>
                <w:lang w:val="es-PE" w:eastAsia="en-US"/>
              </w:rPr>
            </w:pPr>
            <w:r w:rsidRPr="0071468F">
              <w:rPr>
                <w:noProof/>
                <w:sz w:val="18"/>
                <w:szCs w:val="18"/>
                <w:lang w:val="es-PE" w:eastAsia="en-US"/>
              </w:rPr>
              <w:t>21 %</w:t>
            </w:r>
          </w:p>
        </w:tc>
        <w:tc>
          <w:tcPr>
            <w:tcW w:w="990" w:type="dxa"/>
            <w:vAlign w:val="center"/>
          </w:tcPr>
          <w:p w14:paraId="5A2ACCCF" w14:textId="77777777" w:rsidR="0071468F" w:rsidRPr="0071468F" w:rsidRDefault="0071468F" w:rsidP="0071468F">
            <w:pPr>
              <w:spacing w:line="360" w:lineRule="auto"/>
              <w:jc w:val="center"/>
              <w:rPr>
                <w:noProof/>
                <w:sz w:val="18"/>
                <w:szCs w:val="18"/>
                <w:lang w:val="es-PE" w:eastAsia="en-US"/>
              </w:rPr>
            </w:pPr>
            <w:r w:rsidRPr="0071468F">
              <w:rPr>
                <w:noProof/>
                <w:sz w:val="18"/>
                <w:szCs w:val="18"/>
                <w:lang w:val="es-PE" w:eastAsia="en-US"/>
              </w:rPr>
              <w:t>3,78</w:t>
            </w:r>
          </w:p>
        </w:tc>
        <w:tc>
          <w:tcPr>
            <w:tcW w:w="817" w:type="dxa"/>
            <w:vAlign w:val="center"/>
          </w:tcPr>
          <w:p w14:paraId="36FFF4BF" w14:textId="77777777" w:rsidR="0071468F" w:rsidRPr="0071468F" w:rsidRDefault="0071468F" w:rsidP="0071468F">
            <w:pPr>
              <w:spacing w:line="360" w:lineRule="auto"/>
              <w:jc w:val="center"/>
              <w:rPr>
                <w:noProof/>
                <w:sz w:val="18"/>
                <w:szCs w:val="18"/>
                <w:lang w:val="es-PE" w:eastAsia="en-US"/>
              </w:rPr>
            </w:pPr>
            <w:r w:rsidRPr="0071468F">
              <w:rPr>
                <w:noProof/>
                <w:sz w:val="18"/>
                <w:szCs w:val="18"/>
                <w:lang w:val="es-PE" w:eastAsia="en-US"/>
              </w:rPr>
              <w:t>0,000</w:t>
            </w:r>
          </w:p>
        </w:tc>
        <w:tc>
          <w:tcPr>
            <w:tcW w:w="850" w:type="dxa"/>
            <w:vAlign w:val="center"/>
          </w:tcPr>
          <w:p w14:paraId="145D0B2C" w14:textId="77777777" w:rsidR="0071468F" w:rsidRPr="0071468F" w:rsidRDefault="0071468F" w:rsidP="0071468F">
            <w:pPr>
              <w:spacing w:line="360" w:lineRule="auto"/>
              <w:jc w:val="center"/>
              <w:rPr>
                <w:noProof/>
                <w:sz w:val="18"/>
                <w:szCs w:val="18"/>
                <w:lang w:val="es-PE" w:eastAsia="en-US"/>
              </w:rPr>
            </w:pPr>
            <w:r w:rsidRPr="0071468F">
              <w:rPr>
                <w:noProof/>
                <w:sz w:val="18"/>
                <w:szCs w:val="18"/>
                <w:lang w:val="es-PE" w:eastAsia="en-US"/>
              </w:rPr>
              <w:t>0,000</w:t>
            </w:r>
          </w:p>
        </w:tc>
        <w:tc>
          <w:tcPr>
            <w:tcW w:w="851" w:type="dxa"/>
            <w:vAlign w:val="center"/>
          </w:tcPr>
          <w:p w14:paraId="50824AE9" w14:textId="77777777" w:rsidR="0071468F" w:rsidRPr="0071468F" w:rsidRDefault="0071468F" w:rsidP="0071468F">
            <w:pPr>
              <w:spacing w:line="360" w:lineRule="auto"/>
              <w:jc w:val="center"/>
              <w:rPr>
                <w:noProof/>
                <w:sz w:val="18"/>
                <w:szCs w:val="18"/>
                <w:lang w:val="es-PE" w:eastAsia="en-US"/>
              </w:rPr>
            </w:pPr>
            <w:r w:rsidRPr="0071468F">
              <w:rPr>
                <w:noProof/>
                <w:sz w:val="18"/>
                <w:szCs w:val="18"/>
                <w:lang w:val="es-PE" w:eastAsia="en-US"/>
              </w:rPr>
              <w:t>1,532</w:t>
            </w:r>
          </w:p>
        </w:tc>
        <w:tc>
          <w:tcPr>
            <w:tcW w:w="850" w:type="dxa"/>
            <w:vAlign w:val="center"/>
          </w:tcPr>
          <w:p w14:paraId="3180A1C4" w14:textId="77777777" w:rsidR="0071468F" w:rsidRPr="0071468F" w:rsidRDefault="0071468F" w:rsidP="0071468F">
            <w:pPr>
              <w:spacing w:line="360" w:lineRule="auto"/>
              <w:jc w:val="center"/>
              <w:rPr>
                <w:noProof/>
                <w:sz w:val="18"/>
                <w:szCs w:val="18"/>
                <w:lang w:val="es-PE" w:eastAsia="en-US"/>
              </w:rPr>
            </w:pPr>
            <w:r w:rsidRPr="0071468F">
              <w:rPr>
                <w:noProof/>
                <w:sz w:val="18"/>
                <w:szCs w:val="18"/>
                <w:lang w:val="es-PE" w:eastAsia="en-US"/>
              </w:rPr>
              <w:t>2,249</w:t>
            </w:r>
          </w:p>
        </w:tc>
        <w:tc>
          <w:tcPr>
            <w:tcW w:w="887" w:type="dxa"/>
            <w:vAlign w:val="center"/>
          </w:tcPr>
          <w:p w14:paraId="2ECA9CDE" w14:textId="77777777" w:rsidR="0071468F" w:rsidRPr="0071468F" w:rsidRDefault="0071468F" w:rsidP="0071468F">
            <w:pPr>
              <w:spacing w:line="360" w:lineRule="auto"/>
              <w:jc w:val="center"/>
              <w:rPr>
                <w:noProof/>
                <w:sz w:val="18"/>
                <w:szCs w:val="18"/>
                <w:lang w:val="es-PE" w:eastAsia="en-US"/>
              </w:rPr>
            </w:pPr>
            <w:r w:rsidRPr="0071468F">
              <w:rPr>
                <w:noProof/>
                <w:sz w:val="18"/>
                <w:szCs w:val="18"/>
                <w:lang w:val="es-PE" w:eastAsia="en-US"/>
              </w:rPr>
              <w:t>-</w:t>
            </w:r>
          </w:p>
        </w:tc>
      </w:tr>
    </w:tbl>
    <w:p w14:paraId="082D9F40" w14:textId="77777777" w:rsidR="0071468F" w:rsidRPr="0071468F" w:rsidRDefault="0071468F" w:rsidP="0071468F">
      <w:pPr>
        <w:spacing w:line="360" w:lineRule="auto"/>
        <w:jc w:val="center"/>
        <w:rPr>
          <w:rFonts w:eastAsia="Calibri"/>
          <w:noProof/>
          <w:sz w:val="16"/>
          <w:szCs w:val="16"/>
          <w:lang w:val="es-PE" w:eastAsia="en-US"/>
        </w:rPr>
      </w:pPr>
      <w:r w:rsidRPr="0071468F">
        <w:rPr>
          <w:rFonts w:eastAsia="Calibri"/>
          <w:noProof/>
          <w:sz w:val="16"/>
          <w:szCs w:val="16"/>
          <w:lang w:val="es-PE" w:eastAsia="en-US"/>
        </w:rPr>
        <w:t>M: media. DE: desviación estándar. Pred: predictibilidad.</w:t>
      </w:r>
    </w:p>
    <w:p w14:paraId="59431DAF" w14:textId="77777777" w:rsidR="0071468F" w:rsidRPr="0071468F" w:rsidRDefault="0071468F" w:rsidP="0071468F">
      <w:pPr>
        <w:spacing w:line="360" w:lineRule="auto"/>
        <w:jc w:val="center"/>
        <w:rPr>
          <w:rFonts w:eastAsia="Calibri"/>
          <w:noProof/>
          <w:sz w:val="16"/>
          <w:szCs w:val="16"/>
          <w:lang w:val="es-PE" w:eastAsia="en-US"/>
        </w:rPr>
      </w:pPr>
    </w:p>
    <w:p w14:paraId="7ED6AEB1" w14:textId="0EF3B863" w:rsidR="0071468F" w:rsidRPr="0071468F" w:rsidRDefault="0071468F" w:rsidP="0071468F">
      <w:pPr>
        <w:spacing w:line="360" w:lineRule="auto"/>
        <w:jc w:val="center"/>
        <w:rPr>
          <w:rFonts w:eastAsia="Calibri"/>
          <w:lang w:val="es-PE" w:eastAsia="en-US"/>
        </w:rPr>
      </w:pPr>
      <w:r w:rsidRPr="0071468F">
        <w:rPr>
          <w:rFonts w:eastAsia="Calibri"/>
          <w:noProof/>
          <w:lang w:val="es-PE" w:eastAsia="en-US"/>
        </w:rPr>
        <w:drawing>
          <wp:inline distT="0" distB="0" distL="0" distR="0" wp14:anchorId="26283856" wp14:editId="713EBD5E">
            <wp:extent cx="3769995" cy="2959100"/>
            <wp:effectExtent l="0" t="0" r="0" b="0"/>
            <wp:docPr id="1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769995" cy="2959100"/>
                    </a:xfrm>
                    <a:prstGeom prst="rect">
                      <a:avLst/>
                    </a:prstGeom>
                    <a:noFill/>
                    <a:ln>
                      <a:noFill/>
                    </a:ln>
                  </pic:spPr>
                </pic:pic>
              </a:graphicData>
            </a:graphic>
          </wp:inline>
        </w:drawing>
      </w:r>
    </w:p>
    <w:p w14:paraId="0CF8C0A1" w14:textId="77777777" w:rsidR="0071468F" w:rsidRPr="0071468F" w:rsidRDefault="0071468F" w:rsidP="0071468F">
      <w:pPr>
        <w:spacing w:line="360" w:lineRule="auto"/>
        <w:jc w:val="center"/>
        <w:rPr>
          <w:rFonts w:eastAsia="Calibri"/>
          <w:sz w:val="22"/>
          <w:szCs w:val="22"/>
          <w:lang w:val="es-PE" w:eastAsia="en-US"/>
        </w:rPr>
      </w:pPr>
      <w:r w:rsidRPr="0071468F">
        <w:rPr>
          <w:rFonts w:eastAsia="Calibri"/>
          <w:b/>
          <w:bCs/>
          <w:sz w:val="22"/>
          <w:szCs w:val="22"/>
          <w:lang w:val="es-PE" w:eastAsia="en-US"/>
        </w:rPr>
        <w:t>Fig. 1</w:t>
      </w:r>
      <w:r w:rsidRPr="0071468F">
        <w:rPr>
          <w:rFonts w:eastAsia="Calibri"/>
          <w:sz w:val="22"/>
          <w:szCs w:val="22"/>
          <w:lang w:val="es-PE" w:eastAsia="en-US"/>
        </w:rPr>
        <w:t xml:space="preserve"> – Estructura de red de las conductas suicidas en adultos peruanos.</w:t>
      </w:r>
    </w:p>
    <w:p w14:paraId="3E028B93" w14:textId="77777777" w:rsidR="0071468F" w:rsidRPr="0071468F" w:rsidRDefault="0071468F" w:rsidP="0071468F">
      <w:pPr>
        <w:spacing w:line="360" w:lineRule="auto"/>
        <w:jc w:val="both"/>
        <w:rPr>
          <w:rFonts w:eastAsia="Calibri"/>
          <w:lang w:val="es-PE" w:eastAsia="en-US"/>
        </w:rPr>
      </w:pPr>
    </w:p>
    <w:p w14:paraId="02B14AE4" w14:textId="77777777" w:rsidR="0071468F" w:rsidRPr="0071468F" w:rsidRDefault="0071468F" w:rsidP="0071468F">
      <w:pPr>
        <w:spacing w:line="360" w:lineRule="auto"/>
        <w:jc w:val="both"/>
        <w:rPr>
          <w:rFonts w:eastAsia="Calibri"/>
          <w:lang w:val="es-PE" w:eastAsia="en-US"/>
        </w:rPr>
      </w:pPr>
      <w:r w:rsidRPr="0071468F">
        <w:rPr>
          <w:rFonts w:eastAsia="Calibri"/>
          <w:lang w:val="es-PE" w:eastAsia="en-US"/>
        </w:rPr>
        <w:t xml:space="preserve">Por otro lado, se estimó la estabilidad y precisión de la estructura de red de conductas suicidas. Los resultados del </w:t>
      </w:r>
      <w:proofErr w:type="spellStart"/>
      <w:r w:rsidRPr="0071468F">
        <w:rPr>
          <w:rFonts w:eastAsia="Calibri"/>
          <w:i/>
          <w:iCs/>
          <w:lang w:val="es-PE" w:eastAsia="en-US"/>
        </w:rPr>
        <w:t>bootstrapping</w:t>
      </w:r>
      <w:proofErr w:type="spellEnd"/>
      <w:r w:rsidRPr="0071468F">
        <w:rPr>
          <w:rFonts w:eastAsia="Calibri"/>
          <w:lang w:val="es-PE" w:eastAsia="en-US"/>
        </w:rPr>
        <w:t xml:space="preserve"> de los bordes muestran que el modelo de red se estimó con bastante precisión. La mayoría de los bordes no se superponen con otros bordes y en general, los IC del 95 % no incluyen el 0 (Fig. 2). El análisis de estabilidad para el índice de centralidad de fuerza, fue adecuado (CS = 0,596), que puede considerarse un orden de estabilidad moderadamente estable (Fig. 3).</w:t>
      </w:r>
    </w:p>
    <w:p w14:paraId="6692C10D" w14:textId="77777777" w:rsidR="0071468F" w:rsidRPr="0071468F" w:rsidRDefault="0071468F" w:rsidP="0071468F">
      <w:pPr>
        <w:spacing w:line="360" w:lineRule="auto"/>
        <w:jc w:val="both"/>
        <w:rPr>
          <w:rFonts w:eastAsia="Calibri"/>
          <w:lang w:val="es-PE" w:eastAsia="en-US"/>
        </w:rPr>
      </w:pPr>
    </w:p>
    <w:p w14:paraId="270500B8" w14:textId="20163383" w:rsidR="0071468F" w:rsidRPr="0071468F" w:rsidRDefault="0071468F" w:rsidP="0071468F">
      <w:pPr>
        <w:spacing w:line="360" w:lineRule="auto"/>
        <w:jc w:val="center"/>
        <w:rPr>
          <w:rFonts w:eastAsia="Calibri"/>
          <w:lang w:val="es-PE" w:eastAsia="en-US"/>
        </w:rPr>
      </w:pPr>
      <w:r w:rsidRPr="0071468F">
        <w:rPr>
          <w:rFonts w:eastAsia="Calibri"/>
          <w:noProof/>
          <w:lang w:val="es-PE" w:eastAsia="en-US"/>
        </w:rPr>
        <w:lastRenderedPageBreak/>
        <w:drawing>
          <wp:inline distT="0" distB="0" distL="0" distR="0" wp14:anchorId="1BAD3939" wp14:editId="3C263042">
            <wp:extent cx="4744720" cy="3502025"/>
            <wp:effectExtent l="0" t="0" r="0" b="0"/>
            <wp:docPr id="9"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44720" cy="3502025"/>
                    </a:xfrm>
                    <a:prstGeom prst="rect">
                      <a:avLst/>
                    </a:prstGeom>
                    <a:noFill/>
                    <a:ln>
                      <a:noFill/>
                    </a:ln>
                  </pic:spPr>
                </pic:pic>
              </a:graphicData>
            </a:graphic>
          </wp:inline>
        </w:drawing>
      </w:r>
    </w:p>
    <w:p w14:paraId="05F95A08" w14:textId="77777777" w:rsidR="0071468F" w:rsidRPr="0071468F" w:rsidRDefault="0071468F" w:rsidP="0071468F">
      <w:pPr>
        <w:spacing w:line="360" w:lineRule="auto"/>
        <w:jc w:val="center"/>
        <w:rPr>
          <w:rFonts w:eastAsia="Calibri"/>
          <w:sz w:val="22"/>
          <w:szCs w:val="22"/>
          <w:lang w:val="es-PE" w:eastAsia="en-US"/>
        </w:rPr>
      </w:pPr>
      <w:r w:rsidRPr="0071468F">
        <w:rPr>
          <w:rFonts w:eastAsia="Calibri"/>
          <w:b/>
          <w:bCs/>
          <w:sz w:val="22"/>
          <w:szCs w:val="22"/>
          <w:lang w:val="es-PE" w:eastAsia="en-US"/>
        </w:rPr>
        <w:t>Fig. 2</w:t>
      </w:r>
      <w:r w:rsidRPr="0071468F">
        <w:rPr>
          <w:rFonts w:eastAsia="Calibri"/>
          <w:sz w:val="22"/>
          <w:szCs w:val="22"/>
          <w:lang w:val="es-PE" w:eastAsia="en-US"/>
        </w:rPr>
        <w:t xml:space="preserve"> – Intervalos de confianza </w:t>
      </w:r>
      <w:proofErr w:type="spellStart"/>
      <w:r w:rsidRPr="0071468F">
        <w:rPr>
          <w:rFonts w:eastAsia="Calibri"/>
          <w:i/>
          <w:iCs/>
          <w:sz w:val="22"/>
          <w:szCs w:val="22"/>
          <w:lang w:val="es-PE" w:eastAsia="en-US"/>
        </w:rPr>
        <w:t>bootstrap</w:t>
      </w:r>
      <w:proofErr w:type="spellEnd"/>
      <w:r w:rsidRPr="0071468F">
        <w:rPr>
          <w:rFonts w:eastAsia="Calibri"/>
          <w:sz w:val="22"/>
          <w:szCs w:val="22"/>
          <w:lang w:val="es-PE" w:eastAsia="en-US"/>
        </w:rPr>
        <w:t xml:space="preserve"> no paramétricos de bordes estimados para conductas suicidas.</w:t>
      </w:r>
    </w:p>
    <w:p w14:paraId="49FF8773" w14:textId="77777777" w:rsidR="0071468F" w:rsidRPr="0071468F" w:rsidRDefault="0071468F" w:rsidP="0071468F">
      <w:pPr>
        <w:spacing w:line="360" w:lineRule="auto"/>
        <w:jc w:val="center"/>
        <w:rPr>
          <w:rFonts w:eastAsia="Calibri"/>
          <w:sz w:val="22"/>
          <w:szCs w:val="22"/>
          <w:lang w:val="es-PE" w:eastAsia="en-US"/>
        </w:rPr>
      </w:pPr>
    </w:p>
    <w:p w14:paraId="6AFC1680" w14:textId="0E3B9C43" w:rsidR="0071468F" w:rsidRPr="0071468F" w:rsidRDefault="0071468F" w:rsidP="0071468F">
      <w:pPr>
        <w:spacing w:line="360" w:lineRule="auto"/>
        <w:jc w:val="center"/>
        <w:rPr>
          <w:rFonts w:eastAsia="Calibri"/>
          <w:lang w:val="es-PE" w:eastAsia="en-US"/>
        </w:rPr>
      </w:pPr>
      <w:r w:rsidRPr="0071468F">
        <w:rPr>
          <w:rFonts w:eastAsia="Calibri"/>
          <w:noProof/>
          <w:lang w:val="es-PE" w:eastAsia="en-US"/>
        </w:rPr>
        <w:drawing>
          <wp:inline distT="0" distB="0" distL="0" distR="0" wp14:anchorId="0CBA3DE2" wp14:editId="51C5041D">
            <wp:extent cx="4752975" cy="2941320"/>
            <wp:effectExtent l="0" t="0" r="0" b="0"/>
            <wp:docPr id="8"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752975" cy="2941320"/>
                    </a:xfrm>
                    <a:prstGeom prst="rect">
                      <a:avLst/>
                    </a:prstGeom>
                    <a:noFill/>
                    <a:ln>
                      <a:noFill/>
                    </a:ln>
                  </pic:spPr>
                </pic:pic>
              </a:graphicData>
            </a:graphic>
          </wp:inline>
        </w:drawing>
      </w:r>
    </w:p>
    <w:p w14:paraId="63F81087" w14:textId="77777777" w:rsidR="0071468F" w:rsidRPr="0071468F" w:rsidRDefault="0071468F" w:rsidP="0071468F">
      <w:pPr>
        <w:spacing w:line="360" w:lineRule="auto"/>
        <w:jc w:val="center"/>
        <w:rPr>
          <w:rFonts w:eastAsia="Calibri"/>
          <w:sz w:val="22"/>
          <w:szCs w:val="22"/>
          <w:lang w:val="es-PE" w:eastAsia="en-US"/>
        </w:rPr>
      </w:pPr>
      <w:r w:rsidRPr="0071468F">
        <w:rPr>
          <w:rFonts w:eastAsia="Calibri"/>
          <w:b/>
          <w:bCs/>
          <w:sz w:val="22"/>
          <w:szCs w:val="22"/>
          <w:lang w:val="es-PE" w:eastAsia="en-US"/>
        </w:rPr>
        <w:t>Fig. 3</w:t>
      </w:r>
      <w:r w:rsidRPr="0071468F">
        <w:rPr>
          <w:rFonts w:eastAsia="Calibri"/>
          <w:sz w:val="22"/>
          <w:szCs w:val="22"/>
          <w:lang w:val="es-PE" w:eastAsia="en-US"/>
        </w:rPr>
        <w:t xml:space="preserve"> – Estabilidad del índice de centralidad de fuerza.</w:t>
      </w:r>
    </w:p>
    <w:p w14:paraId="3E9EF7C4" w14:textId="77777777" w:rsidR="0071468F" w:rsidRPr="0071468F" w:rsidRDefault="0071468F" w:rsidP="0071468F">
      <w:pPr>
        <w:spacing w:line="360" w:lineRule="auto"/>
        <w:jc w:val="both"/>
        <w:rPr>
          <w:rFonts w:eastAsia="Calibri"/>
          <w:b/>
          <w:bCs/>
          <w:lang w:val="es-PE" w:eastAsia="en-US"/>
        </w:rPr>
      </w:pPr>
    </w:p>
    <w:p w14:paraId="7393E32E" w14:textId="77777777" w:rsidR="0071468F" w:rsidRPr="0071468F" w:rsidRDefault="0071468F" w:rsidP="0071468F">
      <w:pPr>
        <w:spacing w:line="360" w:lineRule="auto"/>
        <w:jc w:val="both"/>
        <w:rPr>
          <w:rFonts w:eastAsia="Calibri"/>
          <w:b/>
          <w:bCs/>
          <w:lang w:val="es-PE" w:eastAsia="en-US"/>
        </w:rPr>
      </w:pPr>
    </w:p>
    <w:p w14:paraId="0B7F58C5" w14:textId="77777777" w:rsidR="0071468F" w:rsidRPr="0071468F" w:rsidRDefault="0071468F" w:rsidP="0071468F">
      <w:pPr>
        <w:spacing w:line="360" w:lineRule="auto"/>
        <w:jc w:val="center"/>
        <w:rPr>
          <w:rFonts w:eastAsia="Calibri"/>
          <w:b/>
          <w:bCs/>
          <w:sz w:val="32"/>
          <w:szCs w:val="32"/>
          <w:lang w:val="es-PE" w:eastAsia="en-US"/>
        </w:rPr>
      </w:pPr>
      <w:r w:rsidRPr="0071468F">
        <w:rPr>
          <w:rFonts w:eastAsia="Calibri"/>
          <w:b/>
          <w:bCs/>
          <w:sz w:val="32"/>
          <w:szCs w:val="32"/>
          <w:lang w:val="es-PE" w:eastAsia="en-US"/>
        </w:rPr>
        <w:lastRenderedPageBreak/>
        <w:t>DISCUSIÓN</w:t>
      </w:r>
    </w:p>
    <w:p w14:paraId="2F7D3730" w14:textId="77777777" w:rsidR="0071468F" w:rsidRPr="0071468F" w:rsidRDefault="0071468F" w:rsidP="0071468F">
      <w:pPr>
        <w:spacing w:line="360" w:lineRule="auto"/>
        <w:jc w:val="both"/>
        <w:rPr>
          <w:rFonts w:eastAsia="Calibri"/>
          <w:lang w:val="es-PE" w:eastAsia="en-US"/>
        </w:rPr>
      </w:pPr>
      <w:r w:rsidRPr="0071468F">
        <w:rPr>
          <w:rFonts w:eastAsia="Calibri"/>
          <w:lang w:val="es-PE" w:eastAsia="en-US"/>
        </w:rPr>
        <w:t xml:space="preserve">Para cumplir los objetivos de este estudio, se empleó el análisis de redes. Este enfoque, novedoso y aún en desarrollo, permite aproximarse de manera dinámica al campo de la psicopatología y específicamente, la </w:t>
      </w:r>
      <w:proofErr w:type="spellStart"/>
      <w:r w:rsidRPr="0071468F">
        <w:rPr>
          <w:rFonts w:eastAsia="Calibri"/>
          <w:lang w:val="es-PE" w:eastAsia="en-US"/>
        </w:rPr>
        <w:t>suicidología</w:t>
      </w:r>
      <w:proofErr w:type="spellEnd"/>
      <w:r w:rsidRPr="0071468F">
        <w:rPr>
          <w:rFonts w:eastAsia="Calibri"/>
          <w:lang w:val="es-PE" w:eastAsia="en-US"/>
        </w:rPr>
        <w:t xml:space="preserve">. Los profesionales de la salud e investigadores, conceptualizan las conductas suicidas como el resultado de la interacción compleja entre muchos factores de </w:t>
      </w:r>
      <w:proofErr w:type="gramStart"/>
      <w:r w:rsidRPr="0071468F">
        <w:rPr>
          <w:rFonts w:eastAsia="Calibri"/>
          <w:lang w:val="es-PE" w:eastAsia="en-US"/>
        </w:rPr>
        <w:t>riesgo.</w:t>
      </w:r>
      <w:r w:rsidRPr="0071468F">
        <w:rPr>
          <w:rFonts w:eastAsia="Calibri"/>
          <w:vertAlign w:val="superscript"/>
          <w:lang w:val="es-PE" w:eastAsia="en-US"/>
        </w:rPr>
        <w:t>(</w:t>
      </w:r>
      <w:proofErr w:type="gramEnd"/>
      <w:r w:rsidRPr="0071468F">
        <w:rPr>
          <w:rFonts w:eastAsia="Calibri"/>
          <w:vertAlign w:val="superscript"/>
          <w:lang w:val="es-PE" w:eastAsia="en-US"/>
        </w:rPr>
        <w:t>2)</w:t>
      </w:r>
      <w:r w:rsidRPr="0071468F">
        <w:rPr>
          <w:rFonts w:eastAsia="Calibri"/>
          <w:lang w:val="es-PE" w:eastAsia="en-US"/>
        </w:rPr>
        <w:t xml:space="preserve"> El avance de nuevas técnicas estadísticas, como el análisis de redes, pueden ayudar a comprender mejor esta complejidad. </w:t>
      </w:r>
    </w:p>
    <w:p w14:paraId="71BAFA0F" w14:textId="77777777" w:rsidR="0071468F" w:rsidRPr="0071468F" w:rsidRDefault="0071468F" w:rsidP="0071468F">
      <w:pPr>
        <w:spacing w:line="360" w:lineRule="auto"/>
        <w:jc w:val="both"/>
        <w:rPr>
          <w:rFonts w:eastAsia="Calibri"/>
          <w:lang w:val="es-PE" w:eastAsia="en-US"/>
        </w:rPr>
      </w:pPr>
      <w:r w:rsidRPr="0071468F">
        <w:rPr>
          <w:rFonts w:eastAsia="Calibri"/>
          <w:lang w:val="es-PE" w:eastAsia="en-US"/>
        </w:rPr>
        <w:t>La estructura de red de la conducta suicida evidenció una correlación positiva, es decir, todos los nodos estaban correlacionados de manera positiva entre sí mismos. Por lo tanto, las correlaciones más fuertes estaban orientadas a un mayor riesgo, por ejemplo, ideas o intención de quitarse la vida (pensamientos) y considerar realmente quitarse la vida (intención). Asimismo, los índices de centralidad de fuerza e influencia esperada, revelaron que el nodo más central de la red fue considerar quitarse la vida. Estos resultados concuerdan con otro estudio de análisis de redes en población española adolescente, en el cual se encontró que pensar e intentar quitarse la vida y considerar hacerlo, fueron los que presentaron mayor correlación, además que este último también fue un nodo central de la red.</w:t>
      </w:r>
      <w:r w:rsidRPr="0071468F">
        <w:rPr>
          <w:rFonts w:eastAsia="Calibri"/>
          <w:vertAlign w:val="superscript"/>
          <w:lang w:val="es-PE" w:eastAsia="en-US"/>
        </w:rPr>
        <w:t>(10)</w:t>
      </w:r>
      <w:r w:rsidRPr="0071468F">
        <w:rPr>
          <w:rFonts w:eastAsia="Calibri"/>
          <w:lang w:val="es-PE" w:eastAsia="en-US"/>
        </w:rPr>
        <w:t xml:space="preserve"> Este estudio también utilizó el mismo instrumento de medición empleado en esta investigación, lo que sugiere que a pesar de que ambos contextos y participantes son diferentes, los resultados y conclusiones derivados de los análisis de redes son replicables. </w:t>
      </w:r>
    </w:p>
    <w:p w14:paraId="2D18188C" w14:textId="77777777" w:rsidR="0071468F" w:rsidRPr="0071468F" w:rsidRDefault="0071468F" w:rsidP="0071468F">
      <w:pPr>
        <w:spacing w:line="360" w:lineRule="auto"/>
        <w:jc w:val="both"/>
        <w:rPr>
          <w:rFonts w:eastAsia="Calibri"/>
          <w:lang w:val="es-PE" w:eastAsia="en-US"/>
        </w:rPr>
      </w:pPr>
      <w:r w:rsidRPr="0071468F">
        <w:rPr>
          <w:rFonts w:eastAsia="Calibri"/>
          <w:lang w:val="es-PE" w:eastAsia="en-US"/>
        </w:rPr>
        <w:t xml:space="preserve">Adicionalmente, estudios anteriores han demostrado que el desarrollo de ideas suicidas, es el resultado de la interacción de diversos factores, los cuales tienen una relación directa e indirecta, por ejemplo, un historial previo de pensamientos o intención suicida son predictores </w:t>
      </w:r>
      <w:proofErr w:type="gramStart"/>
      <w:r w:rsidRPr="0071468F">
        <w:rPr>
          <w:rFonts w:eastAsia="Calibri"/>
          <w:lang w:val="es-PE" w:eastAsia="en-US"/>
        </w:rPr>
        <w:t>importantes,</w:t>
      </w:r>
      <w:r w:rsidRPr="0071468F">
        <w:rPr>
          <w:rFonts w:eastAsia="Calibri"/>
          <w:vertAlign w:val="superscript"/>
          <w:lang w:val="es-PE" w:eastAsia="en-US"/>
        </w:rPr>
        <w:t>(</w:t>
      </w:r>
      <w:proofErr w:type="gramEnd"/>
      <w:r w:rsidRPr="0071468F">
        <w:rPr>
          <w:rFonts w:eastAsia="Calibri"/>
          <w:vertAlign w:val="superscript"/>
          <w:lang w:val="es-PE" w:eastAsia="en-US"/>
        </w:rPr>
        <w:t>5)</w:t>
      </w:r>
      <w:r w:rsidRPr="0071468F">
        <w:rPr>
          <w:rFonts w:eastAsia="Calibri"/>
          <w:lang w:val="es-PE" w:eastAsia="en-US"/>
        </w:rPr>
        <w:t xml:space="preserve"> lo cual concuerda con los hallazgos en este estudio, en el cual las correlaciones más fuertes de la estructura de red, fueron los pensamientos o intención de quitarse la vida. Por otra parte, la alta centralidad de considerar realmente quitarse la vida, está en línea con estudios recientes en población no </w:t>
      </w:r>
      <w:proofErr w:type="gramStart"/>
      <w:r w:rsidRPr="0071468F">
        <w:rPr>
          <w:rFonts w:eastAsia="Calibri"/>
          <w:lang w:val="es-PE" w:eastAsia="en-US"/>
        </w:rPr>
        <w:t>clínica</w:t>
      </w:r>
      <w:r w:rsidRPr="0071468F">
        <w:rPr>
          <w:rFonts w:eastAsia="Calibri"/>
          <w:noProof/>
          <w:lang w:val="es-PE" w:eastAsia="en-US"/>
        </w:rPr>
        <w:t>.</w:t>
      </w:r>
      <w:r w:rsidRPr="0071468F">
        <w:rPr>
          <w:rFonts w:eastAsia="Calibri"/>
          <w:noProof/>
          <w:vertAlign w:val="superscript"/>
          <w:lang w:val="es-PE" w:eastAsia="en-US"/>
        </w:rPr>
        <w:t>(</w:t>
      </w:r>
      <w:proofErr w:type="gramEnd"/>
      <w:r w:rsidRPr="0071468F">
        <w:rPr>
          <w:rFonts w:eastAsia="Calibri"/>
          <w:noProof/>
          <w:vertAlign w:val="superscript"/>
          <w:lang w:val="es-PE" w:eastAsia="en-US"/>
        </w:rPr>
        <w:t>10)</w:t>
      </w:r>
      <w:r w:rsidRPr="0071468F">
        <w:rPr>
          <w:rFonts w:eastAsia="Calibri"/>
          <w:noProof/>
          <w:lang w:val="es-PE" w:eastAsia="en-US"/>
        </w:rPr>
        <w:t xml:space="preserve"> El hecho de considerar quitarse la vida probablemente se debe a varios factores. Como se explicó anteriormente, el desarrollo de pensamientos suicidas es la consecuencia de la interacción de varios factores de riesgo.</w:t>
      </w:r>
      <w:r w:rsidRPr="0071468F">
        <w:rPr>
          <w:rFonts w:eastAsia="Calibri"/>
          <w:noProof/>
          <w:vertAlign w:val="superscript"/>
          <w:lang w:val="es-PE" w:eastAsia="en-US"/>
        </w:rPr>
        <w:t>(5)</w:t>
      </w:r>
      <w:r w:rsidRPr="0071468F">
        <w:rPr>
          <w:rFonts w:eastAsia="Calibri"/>
          <w:noProof/>
          <w:lang w:val="es-PE" w:eastAsia="en-US"/>
        </w:rPr>
        <w:t xml:space="preserve"> Varios resultados de investigación indican que la soledad y los síntomas depresivos, son uno de los factores que más contribuyen a la ideación suicida.</w:t>
      </w:r>
      <w:r w:rsidRPr="0071468F">
        <w:rPr>
          <w:rFonts w:eastAsia="Calibri"/>
          <w:noProof/>
          <w:vertAlign w:val="superscript"/>
          <w:lang w:val="es-PE" w:eastAsia="en-US"/>
        </w:rPr>
        <w:t>(9,17)</w:t>
      </w:r>
      <w:r w:rsidRPr="0071468F">
        <w:rPr>
          <w:rFonts w:eastAsia="Calibri"/>
          <w:noProof/>
          <w:lang w:val="es-PE" w:eastAsia="en-US"/>
        </w:rPr>
        <w:t xml:space="preserve"> El problema de este desarrollo de pensamientos es que probablemente puede contribuir a un mayor riesgo de suicidio, por esta razón, en la actualidad se recomienda la intervención clínica en la regulación emocional, puesto que estabilizar las emociones, </w:t>
      </w:r>
      <w:r w:rsidRPr="0071468F">
        <w:rPr>
          <w:rFonts w:eastAsia="Calibri"/>
          <w:noProof/>
          <w:lang w:val="es-PE" w:eastAsia="en-US"/>
        </w:rPr>
        <w:lastRenderedPageBreak/>
        <w:t>brindar herramientas para la solución de problemas y el apoyo social, es uno de los objetivos principales en individuos con o sin intención de suicidio.</w:t>
      </w:r>
      <w:r w:rsidRPr="0071468F">
        <w:rPr>
          <w:rFonts w:eastAsia="Calibri"/>
          <w:noProof/>
          <w:vertAlign w:val="superscript"/>
          <w:lang w:val="es-PE" w:eastAsia="en-US"/>
        </w:rPr>
        <w:t>(7,18)</w:t>
      </w:r>
      <w:r w:rsidRPr="0071468F">
        <w:rPr>
          <w:rFonts w:eastAsia="Calibri"/>
          <w:noProof/>
          <w:lang w:val="es-PE" w:eastAsia="en-US"/>
        </w:rPr>
        <w:t xml:space="preserve"> </w:t>
      </w:r>
    </w:p>
    <w:p w14:paraId="10727985" w14:textId="77777777" w:rsidR="0071468F" w:rsidRPr="0071468F" w:rsidRDefault="0071468F" w:rsidP="0071468F">
      <w:pPr>
        <w:spacing w:line="360" w:lineRule="auto"/>
        <w:jc w:val="both"/>
        <w:rPr>
          <w:rFonts w:eastAsia="Calibri"/>
          <w:lang w:val="es-PE" w:eastAsia="en-US"/>
        </w:rPr>
      </w:pPr>
      <w:r w:rsidRPr="0071468F">
        <w:rPr>
          <w:rFonts w:eastAsia="Calibri"/>
          <w:lang w:val="es-PE" w:eastAsia="en-US"/>
        </w:rPr>
        <w:t xml:space="preserve">Finalmente, otro resultado interesante de este estudio se basó en medir la predictibilidad del nodo. La predictibilidad promedio fue de 42 % y los nodos con mayor predictibilidad fueron desear estar muerto y pensar en quitarse la vida. Estos resultados concuerdan con otro estudio de análisis de redes que también informó sobre la predictibilidad e identificó que pensar en quitarse la vida, era el nodo con mayor varianza compartida en toda la estructura de </w:t>
      </w:r>
      <w:proofErr w:type="gramStart"/>
      <w:r w:rsidRPr="0071468F">
        <w:rPr>
          <w:rFonts w:eastAsia="Calibri"/>
          <w:lang w:val="es-PE" w:eastAsia="en-US"/>
        </w:rPr>
        <w:t>red.</w:t>
      </w:r>
      <w:r w:rsidRPr="0071468F">
        <w:rPr>
          <w:rFonts w:eastAsia="Calibri"/>
          <w:vertAlign w:val="superscript"/>
          <w:lang w:val="es-PE" w:eastAsia="en-US"/>
        </w:rPr>
        <w:t>(</w:t>
      </w:r>
      <w:proofErr w:type="gramEnd"/>
      <w:r w:rsidRPr="0071468F">
        <w:rPr>
          <w:rFonts w:eastAsia="Calibri"/>
          <w:vertAlign w:val="superscript"/>
          <w:lang w:val="es-PE" w:eastAsia="en-US"/>
        </w:rPr>
        <w:t>10)</w:t>
      </w:r>
      <w:r w:rsidRPr="0071468F">
        <w:rPr>
          <w:rFonts w:eastAsia="Calibri"/>
          <w:lang w:val="es-PE" w:eastAsia="en-US"/>
        </w:rPr>
        <w:t xml:space="preserve"> Como se describió anteriormente, la predictibilidad de los nodos puede proporcionar información sobre la relevancia clínica de las correlaciones entre los nodos.</w:t>
      </w:r>
      <w:r w:rsidRPr="0071468F">
        <w:rPr>
          <w:rFonts w:eastAsia="Calibri"/>
          <w:vertAlign w:val="superscript"/>
          <w:lang w:val="es-PE" w:eastAsia="en-US"/>
        </w:rPr>
        <w:t>(16)</w:t>
      </w:r>
      <w:r w:rsidRPr="0071468F">
        <w:rPr>
          <w:rFonts w:eastAsia="Calibri"/>
          <w:lang w:val="es-PE" w:eastAsia="en-US"/>
        </w:rPr>
        <w:t xml:space="preserve"> </w:t>
      </w:r>
    </w:p>
    <w:p w14:paraId="12ACA1CF" w14:textId="77777777" w:rsidR="0071468F" w:rsidRPr="0071468F" w:rsidRDefault="0071468F" w:rsidP="0071468F">
      <w:pPr>
        <w:spacing w:line="360" w:lineRule="auto"/>
        <w:jc w:val="both"/>
        <w:rPr>
          <w:rFonts w:eastAsia="Calibri"/>
          <w:lang w:val="es-PE" w:eastAsia="en-US"/>
        </w:rPr>
      </w:pPr>
      <w:r w:rsidRPr="0071468F">
        <w:rPr>
          <w:rFonts w:eastAsia="Calibri"/>
          <w:lang w:val="es-PE" w:eastAsia="en-US"/>
        </w:rPr>
        <w:t>Este análisis demuestra que los pensamientos suicidas (desear estar muerto y pensar en quitarse la vida), podrían ser indicadores clínicamente relevantes al diseñar una intervención clínica, dado que son más predichos por todos los demás nodos de la red. En ese sentido, un aporte relevante de los resultados del estudio para el tratamiento clínico de las conductas suicidas, está relacionado con modificar estos pensamientos. Esto sugiere que los adultos peruanos que manifiesten este tipo de pensamientos, podrían beneficiarse de tratamientos psicológicos diseñados para intervenir pensamientos suicidas. Por ejemplo, una revisión sistemática basada en quince estudios de ensayos controlados aleatorios en población adulta con intervención en pensamientos y conductas suicidas, concluyó que la terapia cognitiva conductual es una terapia recomendable para la prevención y tratamiento de pensamientos y conductas suicidas.</w:t>
      </w:r>
      <w:r w:rsidRPr="0071468F">
        <w:rPr>
          <w:rFonts w:eastAsia="Calibri"/>
          <w:vertAlign w:val="superscript"/>
          <w:lang w:val="es-PE" w:eastAsia="en-US"/>
        </w:rPr>
        <w:t>(19)</w:t>
      </w:r>
      <w:r w:rsidRPr="0071468F">
        <w:rPr>
          <w:rFonts w:eastAsia="Calibri"/>
          <w:lang w:val="es-PE" w:eastAsia="en-US"/>
        </w:rPr>
        <w:t xml:space="preserve"> Asimismo, recientes estudios indican que la terapia cognitiva basada en la atención plena, también puede disminuir estos pensamientos y aumentar la autocompasión.</w:t>
      </w:r>
      <w:r w:rsidRPr="0071468F">
        <w:rPr>
          <w:rFonts w:eastAsia="Calibri"/>
          <w:vertAlign w:val="superscript"/>
          <w:lang w:val="es-PE" w:eastAsia="en-US"/>
        </w:rPr>
        <w:t>(20)</w:t>
      </w:r>
      <w:r w:rsidRPr="0071468F">
        <w:rPr>
          <w:rFonts w:eastAsia="Calibri"/>
          <w:lang w:val="es-PE" w:eastAsia="en-US"/>
        </w:rPr>
        <w:t xml:space="preserve"> Por lo tanto, este tipo de terapias pueden ser estrategias útiles para reducir estos pensamientos luego de identificar a individuos en situaciones de riesgo, siendo relevantes para la comprensión y el tratamiento psicológico de las conductas suicidas.</w:t>
      </w:r>
    </w:p>
    <w:p w14:paraId="03C84869" w14:textId="77777777" w:rsidR="0071468F" w:rsidRPr="0071468F" w:rsidRDefault="0071468F" w:rsidP="0071468F">
      <w:pPr>
        <w:spacing w:line="360" w:lineRule="auto"/>
        <w:jc w:val="both"/>
        <w:rPr>
          <w:rFonts w:eastAsia="Calibri"/>
          <w:lang w:val="es-PE" w:eastAsia="en-US"/>
        </w:rPr>
      </w:pPr>
      <w:r w:rsidRPr="0071468F">
        <w:rPr>
          <w:rFonts w:eastAsia="Calibri"/>
          <w:lang w:val="es-PE" w:eastAsia="en-US"/>
        </w:rPr>
        <w:t xml:space="preserve">A pesar de las contribuciones que presenta el estudio, varias cuestiones metodológicas deben mencionarse. En este aspecto, una limitación importante es el diseño de investigación transversal, que no proporciona información de causalidad de los nodos; es recomendable que las próximas investigaciones realicen un análisis de series de tiempo, para examinar la dirección de la influencia de los nodos centrales reportados en este estudio. Si se logra establecer que estos nodos tienen precedencia temporal, estos resultados podrían ser un primer paso hacia la identificación de conductas suicidas centrales para la terapia psicológica. Otra limitación es que el estudio actual solo incluyó una muestra de </w:t>
      </w:r>
      <w:r w:rsidRPr="0071468F">
        <w:rPr>
          <w:rFonts w:eastAsia="Calibri"/>
          <w:lang w:val="es-PE" w:eastAsia="en-US"/>
        </w:rPr>
        <w:lastRenderedPageBreak/>
        <w:t xml:space="preserve">adultos peruanos de población general, lo que no permite generalizar los resultados a otras etapas de vida y condición clínica. Es probable que las conductas suicidas centrales sean diferentes en adultos con un historial de intento de suicidio y comorbilidad psiquiátrica, por ejemplo, diagnóstico clínico de trastorno depresivo mayor o trastorno por consumo de </w:t>
      </w:r>
      <w:proofErr w:type="gramStart"/>
      <w:r w:rsidRPr="0071468F">
        <w:rPr>
          <w:rFonts w:eastAsia="Calibri"/>
          <w:lang w:val="es-PE" w:eastAsia="en-US"/>
        </w:rPr>
        <w:t>alcohol</w:t>
      </w:r>
      <w:r w:rsidRPr="0071468F">
        <w:rPr>
          <w:rFonts w:eastAsia="Calibri"/>
          <w:noProof/>
          <w:lang w:val="es-PE" w:eastAsia="en-US"/>
        </w:rPr>
        <w:t>.</w:t>
      </w:r>
      <w:r w:rsidRPr="0071468F">
        <w:rPr>
          <w:rFonts w:eastAsia="Calibri"/>
          <w:noProof/>
          <w:vertAlign w:val="superscript"/>
          <w:lang w:val="es-PE" w:eastAsia="en-US"/>
        </w:rPr>
        <w:t>(</w:t>
      </w:r>
      <w:proofErr w:type="gramEnd"/>
      <w:r w:rsidRPr="0071468F">
        <w:rPr>
          <w:rFonts w:eastAsia="Calibri"/>
          <w:noProof/>
          <w:vertAlign w:val="superscript"/>
          <w:lang w:val="es-PE" w:eastAsia="en-US"/>
        </w:rPr>
        <w:t>7,8)</w:t>
      </w:r>
    </w:p>
    <w:p w14:paraId="358E9F30" w14:textId="77777777" w:rsidR="0071468F" w:rsidRPr="0071468F" w:rsidRDefault="0071468F" w:rsidP="0071468F">
      <w:pPr>
        <w:spacing w:line="360" w:lineRule="auto"/>
        <w:jc w:val="both"/>
        <w:rPr>
          <w:rFonts w:eastAsia="Calibri"/>
          <w:lang w:val="es-PE" w:eastAsia="en-US"/>
        </w:rPr>
      </w:pPr>
      <w:r w:rsidRPr="0071468F">
        <w:rPr>
          <w:rFonts w:eastAsia="Calibri"/>
          <w:lang w:val="es-PE" w:eastAsia="en-US"/>
        </w:rPr>
        <w:t xml:space="preserve">Finalmente, se concluye que los hallazgos del estudio refieren que los pensamientos suicidas y la intención de suicidarse son características claves en los adultos peruanos. Identificar estas conductas mediante los instrumentos de evaluación y entrevista clínica, es importante para la detección de personas en riesgo y prevención del suicidio. Diseñar un tratamiento psicológico para la modificación y reducción de pensamientos suicidas o conductas de intención de suicidio, probablemente contribuya a la disminución de estas acciones y desarrolle una regulación emocional más adaptativa y efectiva. </w:t>
      </w:r>
    </w:p>
    <w:p w14:paraId="3B7DD35F" w14:textId="77777777" w:rsidR="0071468F" w:rsidRPr="0071468F" w:rsidRDefault="0071468F" w:rsidP="0071468F">
      <w:pPr>
        <w:spacing w:line="360" w:lineRule="auto"/>
        <w:jc w:val="both"/>
        <w:rPr>
          <w:rFonts w:eastAsia="Calibri"/>
          <w:lang w:val="es-PE" w:eastAsia="en-US"/>
        </w:rPr>
      </w:pPr>
    </w:p>
    <w:p w14:paraId="6522C2AB" w14:textId="77777777" w:rsidR="0071468F" w:rsidRPr="0071468F" w:rsidRDefault="0071468F" w:rsidP="0071468F">
      <w:pPr>
        <w:spacing w:line="360" w:lineRule="auto"/>
        <w:jc w:val="both"/>
        <w:rPr>
          <w:rFonts w:eastAsia="Calibri"/>
          <w:b/>
          <w:bCs/>
          <w:lang w:val="es-PE" w:eastAsia="en-US"/>
        </w:rPr>
      </w:pPr>
    </w:p>
    <w:p w14:paraId="01930E30" w14:textId="77777777" w:rsidR="0071468F" w:rsidRPr="0071468F" w:rsidRDefault="0071468F" w:rsidP="0071468F">
      <w:pPr>
        <w:spacing w:line="360" w:lineRule="auto"/>
        <w:jc w:val="center"/>
        <w:rPr>
          <w:rFonts w:eastAsia="Calibri"/>
          <w:b/>
          <w:bCs/>
          <w:sz w:val="32"/>
          <w:szCs w:val="32"/>
          <w:lang w:val="es-PE" w:eastAsia="en-US"/>
        </w:rPr>
      </w:pPr>
      <w:r w:rsidRPr="0071468F">
        <w:rPr>
          <w:rFonts w:eastAsia="Calibri"/>
          <w:b/>
          <w:bCs/>
          <w:sz w:val="32"/>
          <w:szCs w:val="32"/>
          <w:lang w:val="es-PE" w:eastAsia="en-US"/>
        </w:rPr>
        <w:t>REFERENCIAS BIBLIOGRÁFICAS</w:t>
      </w:r>
    </w:p>
    <w:p w14:paraId="019408C7" w14:textId="77777777" w:rsidR="0071468F" w:rsidRPr="0071468F" w:rsidRDefault="0071468F" w:rsidP="0071468F">
      <w:pPr>
        <w:spacing w:line="360" w:lineRule="auto"/>
        <w:rPr>
          <w:rFonts w:eastAsia="Calibri"/>
          <w:lang w:val="es-PE" w:eastAsia="en-US"/>
        </w:rPr>
      </w:pPr>
      <w:r w:rsidRPr="0071468F">
        <w:rPr>
          <w:rFonts w:eastAsia="Calibri"/>
          <w:lang w:val="es-PE" w:eastAsia="en-US"/>
        </w:rPr>
        <w:t xml:space="preserve">1. Baños-Chaparro J. Suicidio por arma de fuego: un problema de salud pública. </w:t>
      </w:r>
      <w:proofErr w:type="spellStart"/>
      <w:r w:rsidRPr="0071468F">
        <w:rPr>
          <w:rFonts w:eastAsia="Calibri"/>
          <w:lang w:val="es-PE" w:eastAsia="en-US"/>
        </w:rPr>
        <w:t>Medisur</w:t>
      </w:r>
      <w:proofErr w:type="spellEnd"/>
      <w:r w:rsidRPr="0071468F">
        <w:rPr>
          <w:rFonts w:eastAsia="Calibri"/>
          <w:lang w:val="es-PE" w:eastAsia="en-US"/>
        </w:rPr>
        <w:t xml:space="preserve">. 2021 [acceso: 01/04/2021]; 19(2):1-4. Disponible en: </w:t>
      </w:r>
      <w:hyperlink r:id="rId16" w:history="1">
        <w:r w:rsidRPr="0071468F">
          <w:rPr>
            <w:rFonts w:eastAsia="Calibri"/>
            <w:color w:val="0563C1"/>
            <w:u w:val="single"/>
            <w:lang w:val="es-PE" w:eastAsia="en-US"/>
          </w:rPr>
          <w:t>http://www.medisur.sld.cu/index.php/medisur/article/view/4973</w:t>
        </w:r>
      </w:hyperlink>
      <w:r w:rsidRPr="0071468F">
        <w:rPr>
          <w:rFonts w:eastAsia="Calibri"/>
          <w:lang w:val="es-PE" w:eastAsia="en-US"/>
        </w:rPr>
        <w:t xml:space="preserve">   </w:t>
      </w:r>
    </w:p>
    <w:p w14:paraId="27217CC2" w14:textId="77777777" w:rsidR="0071468F" w:rsidRPr="0071468F" w:rsidRDefault="0071468F" w:rsidP="0071468F">
      <w:pPr>
        <w:spacing w:line="360" w:lineRule="auto"/>
        <w:rPr>
          <w:rFonts w:eastAsia="Calibri"/>
          <w:lang w:val="en-US" w:eastAsia="en-US"/>
        </w:rPr>
      </w:pPr>
      <w:r w:rsidRPr="0071468F">
        <w:rPr>
          <w:rFonts w:eastAsia="Calibri"/>
          <w:lang w:val="en-US" w:eastAsia="en-US"/>
        </w:rPr>
        <w:t xml:space="preserve">2. De </w:t>
      </w:r>
      <w:proofErr w:type="spellStart"/>
      <w:r w:rsidRPr="0071468F">
        <w:rPr>
          <w:rFonts w:eastAsia="Calibri"/>
          <w:lang w:val="en-US" w:eastAsia="en-US"/>
        </w:rPr>
        <w:t>Beurs</w:t>
      </w:r>
      <w:proofErr w:type="spellEnd"/>
      <w:r w:rsidRPr="0071468F">
        <w:rPr>
          <w:rFonts w:eastAsia="Calibri"/>
          <w:lang w:val="en-US" w:eastAsia="en-US"/>
        </w:rPr>
        <w:t xml:space="preserve"> D, </w:t>
      </w:r>
      <w:proofErr w:type="spellStart"/>
      <w:r w:rsidRPr="0071468F">
        <w:rPr>
          <w:rFonts w:eastAsia="Calibri"/>
          <w:lang w:val="en-US" w:eastAsia="en-US"/>
        </w:rPr>
        <w:t>Bockting</w:t>
      </w:r>
      <w:proofErr w:type="spellEnd"/>
      <w:r w:rsidRPr="0071468F">
        <w:rPr>
          <w:rFonts w:eastAsia="Calibri"/>
          <w:lang w:val="en-US" w:eastAsia="en-US"/>
        </w:rPr>
        <w:t xml:space="preserve"> C, Kerkhof A, Scheepers F, O'Connor R, </w:t>
      </w:r>
      <w:proofErr w:type="spellStart"/>
      <w:r w:rsidRPr="0071468F">
        <w:rPr>
          <w:rFonts w:eastAsia="Calibri"/>
          <w:lang w:val="en-US" w:eastAsia="en-US"/>
        </w:rPr>
        <w:t>Penninx</w:t>
      </w:r>
      <w:proofErr w:type="spellEnd"/>
      <w:r w:rsidRPr="0071468F">
        <w:rPr>
          <w:rFonts w:eastAsia="Calibri"/>
          <w:lang w:val="en-US" w:eastAsia="en-US"/>
        </w:rPr>
        <w:t xml:space="preserve"> B, et al. A network perspective on suicidal behavior: Understanding suicidality as a complex system. Suicide Life Threat </w:t>
      </w:r>
      <w:proofErr w:type="spellStart"/>
      <w:r w:rsidRPr="0071468F">
        <w:rPr>
          <w:rFonts w:eastAsia="Calibri"/>
          <w:lang w:val="en-US" w:eastAsia="en-US"/>
        </w:rPr>
        <w:t>Behav</w:t>
      </w:r>
      <w:proofErr w:type="spellEnd"/>
      <w:r w:rsidRPr="0071468F">
        <w:rPr>
          <w:rFonts w:eastAsia="Calibri"/>
          <w:lang w:val="en-US" w:eastAsia="en-US"/>
        </w:rPr>
        <w:t xml:space="preserve">. 2021; 51(1):115-26. DOI: 10.1111/sltb.12676 </w:t>
      </w:r>
    </w:p>
    <w:p w14:paraId="4ABBE1DF" w14:textId="77777777" w:rsidR="0071468F" w:rsidRPr="0071468F" w:rsidRDefault="0071468F" w:rsidP="0071468F">
      <w:pPr>
        <w:spacing w:line="360" w:lineRule="auto"/>
        <w:rPr>
          <w:rFonts w:eastAsia="Calibri"/>
          <w:lang w:val="es-CU" w:eastAsia="en-US"/>
        </w:rPr>
      </w:pPr>
      <w:r w:rsidRPr="0071468F">
        <w:rPr>
          <w:rFonts w:eastAsia="Calibri"/>
          <w:lang w:val="en-US" w:eastAsia="en-US"/>
        </w:rPr>
        <w:t xml:space="preserve">3. </w:t>
      </w:r>
      <w:proofErr w:type="spellStart"/>
      <w:r w:rsidRPr="0071468F">
        <w:rPr>
          <w:rFonts w:eastAsia="Calibri"/>
          <w:lang w:val="en-US" w:eastAsia="en-US"/>
        </w:rPr>
        <w:t>Borsboom</w:t>
      </w:r>
      <w:proofErr w:type="spellEnd"/>
      <w:r w:rsidRPr="0071468F">
        <w:rPr>
          <w:rFonts w:eastAsia="Calibri"/>
          <w:lang w:val="en-US" w:eastAsia="en-US"/>
        </w:rPr>
        <w:t xml:space="preserve"> D. A network theory of mental disorders. </w:t>
      </w:r>
      <w:proofErr w:type="spellStart"/>
      <w:r w:rsidRPr="0071468F">
        <w:rPr>
          <w:rFonts w:eastAsia="Calibri"/>
          <w:lang w:val="es-CU" w:eastAsia="en-US"/>
        </w:rPr>
        <w:t>World</w:t>
      </w:r>
      <w:proofErr w:type="spellEnd"/>
      <w:r w:rsidRPr="0071468F">
        <w:rPr>
          <w:rFonts w:eastAsia="Calibri"/>
          <w:lang w:val="es-CU" w:eastAsia="en-US"/>
        </w:rPr>
        <w:t xml:space="preserve"> </w:t>
      </w:r>
      <w:proofErr w:type="spellStart"/>
      <w:r w:rsidRPr="0071468F">
        <w:rPr>
          <w:rFonts w:eastAsia="Calibri"/>
          <w:lang w:val="es-CU" w:eastAsia="en-US"/>
        </w:rPr>
        <w:t>Psychiatry</w:t>
      </w:r>
      <w:proofErr w:type="spellEnd"/>
      <w:r w:rsidRPr="0071468F">
        <w:rPr>
          <w:rFonts w:eastAsia="Calibri"/>
          <w:lang w:val="es-CU" w:eastAsia="en-US"/>
        </w:rPr>
        <w:t>. 2017; 16(1):5-13. DOI: 10.1002/wps.20375</w:t>
      </w:r>
    </w:p>
    <w:p w14:paraId="24D50CD4" w14:textId="77777777" w:rsidR="0071468F" w:rsidRPr="0071468F" w:rsidRDefault="0071468F" w:rsidP="0071468F">
      <w:pPr>
        <w:spacing w:line="360" w:lineRule="auto"/>
        <w:rPr>
          <w:rFonts w:eastAsia="Calibri"/>
          <w:lang w:val="en-US" w:eastAsia="en-US"/>
        </w:rPr>
      </w:pPr>
      <w:r w:rsidRPr="0071468F">
        <w:rPr>
          <w:rFonts w:eastAsia="Calibri"/>
          <w:lang w:val="es-PE" w:eastAsia="en-US"/>
        </w:rPr>
        <w:t xml:space="preserve">4. Vázquez Valverde C, Roca Morales P, Poyato Vega N, Pascual Nicolás T. Teoría de redes en psicopatología: Una alternativa radical a los sistemas diagnósticos. En: Fernández Ballesteros R, Baños Rivera R. Progresos y crisis en psicología clínica: tratamientos basados en la evidencia y crisis del diagnóstico. </w:t>
      </w:r>
      <w:r w:rsidRPr="0071468F">
        <w:rPr>
          <w:rFonts w:eastAsia="Calibri"/>
          <w:lang w:val="en-US" w:eastAsia="en-US"/>
        </w:rPr>
        <w:t xml:space="preserve">España: </w:t>
      </w:r>
      <w:proofErr w:type="spellStart"/>
      <w:r w:rsidRPr="0071468F">
        <w:rPr>
          <w:rFonts w:eastAsia="Calibri"/>
          <w:lang w:val="en-US" w:eastAsia="en-US"/>
        </w:rPr>
        <w:t>Pirámide</w:t>
      </w:r>
      <w:proofErr w:type="spellEnd"/>
      <w:r w:rsidRPr="0071468F">
        <w:rPr>
          <w:rFonts w:eastAsia="Calibri"/>
          <w:lang w:val="en-US" w:eastAsia="en-US"/>
        </w:rPr>
        <w:t>; 2017. p. 65-89.</w:t>
      </w:r>
    </w:p>
    <w:p w14:paraId="1C59F6E3" w14:textId="77777777" w:rsidR="0071468F" w:rsidRPr="0071468F" w:rsidRDefault="0071468F" w:rsidP="0071468F">
      <w:pPr>
        <w:spacing w:line="360" w:lineRule="auto"/>
        <w:rPr>
          <w:rFonts w:eastAsia="Calibri"/>
          <w:lang w:val="es-PE" w:eastAsia="en-US"/>
        </w:rPr>
      </w:pPr>
      <w:r w:rsidRPr="0071468F">
        <w:rPr>
          <w:rFonts w:eastAsia="Calibri"/>
          <w:lang w:val="en-US" w:eastAsia="en-US"/>
        </w:rPr>
        <w:t xml:space="preserve">5. De </w:t>
      </w:r>
      <w:proofErr w:type="spellStart"/>
      <w:r w:rsidRPr="0071468F">
        <w:rPr>
          <w:rFonts w:eastAsia="Calibri"/>
          <w:lang w:val="en-US" w:eastAsia="en-US"/>
        </w:rPr>
        <w:t>Beurs</w:t>
      </w:r>
      <w:proofErr w:type="spellEnd"/>
      <w:r w:rsidRPr="0071468F">
        <w:rPr>
          <w:rFonts w:eastAsia="Calibri"/>
          <w:lang w:val="en-US" w:eastAsia="en-US"/>
        </w:rPr>
        <w:t xml:space="preserve"> D, Fried EI, </w:t>
      </w:r>
      <w:proofErr w:type="spellStart"/>
      <w:r w:rsidRPr="0071468F">
        <w:rPr>
          <w:rFonts w:eastAsia="Calibri"/>
          <w:lang w:val="en-US" w:eastAsia="en-US"/>
        </w:rPr>
        <w:t>Wetherall</w:t>
      </w:r>
      <w:proofErr w:type="spellEnd"/>
      <w:r w:rsidRPr="0071468F">
        <w:rPr>
          <w:rFonts w:eastAsia="Calibri"/>
          <w:lang w:val="en-US" w:eastAsia="en-US"/>
        </w:rPr>
        <w:t xml:space="preserve"> K, </w:t>
      </w:r>
      <w:proofErr w:type="spellStart"/>
      <w:r w:rsidRPr="0071468F">
        <w:rPr>
          <w:rFonts w:eastAsia="Calibri"/>
          <w:lang w:val="en-US" w:eastAsia="en-US"/>
        </w:rPr>
        <w:t>Cleare</w:t>
      </w:r>
      <w:proofErr w:type="spellEnd"/>
      <w:r w:rsidRPr="0071468F">
        <w:rPr>
          <w:rFonts w:eastAsia="Calibri"/>
          <w:lang w:val="en-US" w:eastAsia="en-US"/>
        </w:rPr>
        <w:t xml:space="preserve"> S, O'Connor DB, Ferguson E, et al. Exploring the psychology of suicidal ideation: A theory driven network analysis. </w:t>
      </w:r>
      <w:proofErr w:type="spellStart"/>
      <w:r w:rsidRPr="0071468F">
        <w:rPr>
          <w:rFonts w:eastAsia="Calibri"/>
          <w:lang w:val="es-PE" w:eastAsia="en-US"/>
        </w:rPr>
        <w:t>Behav</w:t>
      </w:r>
      <w:proofErr w:type="spellEnd"/>
      <w:r w:rsidRPr="0071468F">
        <w:rPr>
          <w:rFonts w:eastAsia="Calibri"/>
          <w:lang w:val="es-PE" w:eastAsia="en-US"/>
        </w:rPr>
        <w:t xml:space="preserve"> Res </w:t>
      </w:r>
      <w:proofErr w:type="spellStart"/>
      <w:r w:rsidRPr="0071468F">
        <w:rPr>
          <w:rFonts w:eastAsia="Calibri"/>
          <w:lang w:val="es-PE" w:eastAsia="en-US"/>
        </w:rPr>
        <w:t>Ther</w:t>
      </w:r>
      <w:proofErr w:type="spellEnd"/>
      <w:r w:rsidRPr="0071468F">
        <w:rPr>
          <w:rFonts w:eastAsia="Calibri"/>
          <w:lang w:val="es-PE" w:eastAsia="en-US"/>
        </w:rPr>
        <w:t>. 2019; 120:103419. DOI: 10.1016/j.brat.2019.103419</w:t>
      </w:r>
    </w:p>
    <w:p w14:paraId="42611C16" w14:textId="77777777" w:rsidR="0071468F" w:rsidRPr="0071468F" w:rsidRDefault="0071468F" w:rsidP="0071468F">
      <w:pPr>
        <w:spacing w:line="360" w:lineRule="auto"/>
        <w:rPr>
          <w:rFonts w:eastAsia="Calibri"/>
          <w:lang w:val="en-US" w:eastAsia="en-US"/>
        </w:rPr>
      </w:pPr>
      <w:r w:rsidRPr="0071468F">
        <w:rPr>
          <w:rFonts w:eastAsia="Calibri"/>
          <w:lang w:val="es-PE" w:eastAsia="en-US"/>
        </w:rPr>
        <w:lastRenderedPageBreak/>
        <w:t xml:space="preserve">6. Ordóñez-Carrasco JL, Sayans-Jiménez P, Rojas-Tejada AJ. </w:t>
      </w:r>
      <w:r w:rsidRPr="0071468F">
        <w:rPr>
          <w:rFonts w:eastAsia="Calibri"/>
          <w:lang w:val="en-US" w:eastAsia="en-US"/>
        </w:rPr>
        <w:t xml:space="preserve">Ideation-to-action framework variables involved in the development of suicidal ideation: A network analysis. </w:t>
      </w:r>
      <w:proofErr w:type="spellStart"/>
      <w:r w:rsidRPr="0071468F">
        <w:rPr>
          <w:rFonts w:eastAsia="Calibri"/>
          <w:lang w:val="en-US" w:eastAsia="en-US"/>
        </w:rPr>
        <w:t>Curr</w:t>
      </w:r>
      <w:proofErr w:type="spellEnd"/>
      <w:r w:rsidRPr="0071468F">
        <w:rPr>
          <w:rFonts w:eastAsia="Calibri"/>
          <w:lang w:val="en-US" w:eastAsia="en-US"/>
        </w:rPr>
        <w:t xml:space="preserve"> Psychol. 2021; 40:1-12. DOI: 10.1007/s12144-021-01765-w</w:t>
      </w:r>
    </w:p>
    <w:p w14:paraId="227F459F" w14:textId="77777777" w:rsidR="0071468F" w:rsidRPr="0071468F" w:rsidRDefault="0071468F" w:rsidP="0071468F">
      <w:pPr>
        <w:spacing w:line="360" w:lineRule="auto"/>
        <w:rPr>
          <w:rFonts w:eastAsia="Calibri"/>
          <w:lang w:val="en-US" w:eastAsia="en-US"/>
        </w:rPr>
      </w:pPr>
      <w:r w:rsidRPr="0071468F">
        <w:rPr>
          <w:rFonts w:eastAsia="Calibri"/>
          <w:lang w:val="en-US" w:eastAsia="en-US"/>
        </w:rPr>
        <w:t xml:space="preserve">7. </w:t>
      </w:r>
      <w:proofErr w:type="spellStart"/>
      <w:r w:rsidRPr="0071468F">
        <w:rPr>
          <w:rFonts w:eastAsia="Calibri"/>
          <w:lang w:val="en-US" w:eastAsia="en-US"/>
        </w:rPr>
        <w:t>Núñez</w:t>
      </w:r>
      <w:proofErr w:type="spellEnd"/>
      <w:r w:rsidRPr="0071468F">
        <w:rPr>
          <w:rFonts w:eastAsia="Calibri"/>
          <w:lang w:val="en-US" w:eastAsia="en-US"/>
        </w:rPr>
        <w:t xml:space="preserve"> D, Ulloa JL, Guillaume S, </w:t>
      </w:r>
      <w:proofErr w:type="spellStart"/>
      <w:r w:rsidRPr="0071468F">
        <w:rPr>
          <w:rFonts w:eastAsia="Calibri"/>
          <w:lang w:val="en-US" w:eastAsia="en-US"/>
        </w:rPr>
        <w:t>Olué</w:t>
      </w:r>
      <w:proofErr w:type="spellEnd"/>
      <w:r w:rsidRPr="0071468F">
        <w:rPr>
          <w:rFonts w:eastAsia="Calibri"/>
          <w:lang w:val="en-US" w:eastAsia="en-US"/>
        </w:rPr>
        <w:t xml:space="preserve"> E, </w:t>
      </w:r>
      <w:proofErr w:type="spellStart"/>
      <w:r w:rsidRPr="0071468F">
        <w:rPr>
          <w:rFonts w:eastAsia="Calibri"/>
          <w:lang w:val="en-US" w:eastAsia="en-US"/>
        </w:rPr>
        <w:t>Alacreu</w:t>
      </w:r>
      <w:proofErr w:type="spellEnd"/>
      <w:r w:rsidRPr="0071468F">
        <w:rPr>
          <w:rFonts w:eastAsia="Calibri"/>
          <w:lang w:val="en-US" w:eastAsia="en-US"/>
        </w:rPr>
        <w:t xml:space="preserve">-Crespo A, </w:t>
      </w:r>
      <w:proofErr w:type="spellStart"/>
      <w:r w:rsidRPr="0071468F">
        <w:rPr>
          <w:rFonts w:eastAsia="Calibri"/>
          <w:lang w:val="en-US" w:eastAsia="en-US"/>
        </w:rPr>
        <w:t>Courtet</w:t>
      </w:r>
      <w:proofErr w:type="spellEnd"/>
      <w:r w:rsidRPr="0071468F">
        <w:rPr>
          <w:rFonts w:eastAsia="Calibri"/>
          <w:lang w:val="en-US" w:eastAsia="en-US"/>
        </w:rPr>
        <w:t xml:space="preserve"> P. Suicidal ideation and affect lability in single and multiple suicidal attempters with Major Depressive Disorder: An exploratory network analysis. J Affect </w:t>
      </w:r>
      <w:proofErr w:type="spellStart"/>
      <w:r w:rsidRPr="0071468F">
        <w:rPr>
          <w:rFonts w:eastAsia="Calibri"/>
          <w:lang w:val="en-US" w:eastAsia="en-US"/>
        </w:rPr>
        <w:t>Disord</w:t>
      </w:r>
      <w:proofErr w:type="spellEnd"/>
      <w:r w:rsidRPr="0071468F">
        <w:rPr>
          <w:rFonts w:eastAsia="Calibri"/>
          <w:lang w:val="en-US" w:eastAsia="en-US"/>
        </w:rPr>
        <w:t>. 2020; 272:371-79. DOI: 10.1016/j.jad.2020.04.004</w:t>
      </w:r>
    </w:p>
    <w:p w14:paraId="079E9F22" w14:textId="77777777" w:rsidR="0071468F" w:rsidRPr="0071468F" w:rsidRDefault="0071468F" w:rsidP="0071468F">
      <w:pPr>
        <w:spacing w:line="360" w:lineRule="auto"/>
        <w:rPr>
          <w:rFonts w:eastAsia="Calibri"/>
          <w:lang w:val="en-US" w:eastAsia="en-US"/>
        </w:rPr>
      </w:pPr>
      <w:r w:rsidRPr="0071468F">
        <w:rPr>
          <w:rFonts w:eastAsia="Calibri"/>
          <w:lang w:val="en-US" w:eastAsia="en-US"/>
        </w:rPr>
        <w:t xml:space="preserve">8. Shim EJ, Ha H, Park JE, Kim BS, Chang SM, Hong JP, et al. Gender-based examination of the association between individual symptoms of alcohol use disorder, major depressive disorder, and suicidal behaviors: a network analysis of data from the Korean Epidemiologic Catchment Area Study. J Affect </w:t>
      </w:r>
      <w:proofErr w:type="spellStart"/>
      <w:r w:rsidRPr="0071468F">
        <w:rPr>
          <w:rFonts w:eastAsia="Calibri"/>
          <w:lang w:val="en-US" w:eastAsia="en-US"/>
        </w:rPr>
        <w:t>Disord</w:t>
      </w:r>
      <w:proofErr w:type="spellEnd"/>
      <w:r w:rsidRPr="0071468F">
        <w:rPr>
          <w:rFonts w:eastAsia="Calibri"/>
          <w:lang w:val="en-US" w:eastAsia="en-US"/>
        </w:rPr>
        <w:t>. 2020; 272:432-39. DOI: 10.1016/j.jad.2020.03.162</w:t>
      </w:r>
    </w:p>
    <w:p w14:paraId="6B4BA1EF" w14:textId="77777777" w:rsidR="0071468F" w:rsidRPr="0071468F" w:rsidRDefault="0071468F" w:rsidP="0071468F">
      <w:pPr>
        <w:spacing w:line="360" w:lineRule="auto"/>
        <w:rPr>
          <w:rFonts w:eastAsia="Calibri"/>
          <w:lang w:val="es-PE" w:eastAsia="en-US"/>
        </w:rPr>
      </w:pPr>
      <w:r w:rsidRPr="0071468F">
        <w:rPr>
          <w:rFonts w:eastAsia="Calibri"/>
          <w:lang w:val="en-US" w:eastAsia="en-US"/>
        </w:rPr>
        <w:t xml:space="preserve">9. De </w:t>
      </w:r>
      <w:proofErr w:type="spellStart"/>
      <w:r w:rsidRPr="0071468F">
        <w:rPr>
          <w:rFonts w:eastAsia="Calibri"/>
          <w:lang w:val="en-US" w:eastAsia="en-US"/>
        </w:rPr>
        <w:t>Beurs</w:t>
      </w:r>
      <w:proofErr w:type="spellEnd"/>
      <w:r w:rsidRPr="0071468F">
        <w:rPr>
          <w:rFonts w:eastAsia="Calibri"/>
          <w:lang w:val="en-US" w:eastAsia="en-US"/>
        </w:rPr>
        <w:t xml:space="preserve"> D, ten Have M, </w:t>
      </w:r>
      <w:proofErr w:type="spellStart"/>
      <w:r w:rsidRPr="0071468F">
        <w:rPr>
          <w:rFonts w:eastAsia="Calibri"/>
          <w:lang w:val="en-US" w:eastAsia="en-US"/>
        </w:rPr>
        <w:t>Cuijpers</w:t>
      </w:r>
      <w:proofErr w:type="spellEnd"/>
      <w:r w:rsidRPr="0071468F">
        <w:rPr>
          <w:rFonts w:eastAsia="Calibri"/>
          <w:lang w:val="en-US" w:eastAsia="en-US"/>
        </w:rPr>
        <w:t xml:space="preserve"> P, De Graaf R. The longitudinal association between lifetime mental disorders and first onset or recurrent suicide ideation. </w:t>
      </w:r>
      <w:r w:rsidRPr="0071468F">
        <w:rPr>
          <w:rFonts w:eastAsia="Calibri"/>
          <w:lang w:val="es-PE" w:eastAsia="en-US"/>
        </w:rPr>
        <w:t xml:space="preserve">BMC </w:t>
      </w:r>
      <w:proofErr w:type="spellStart"/>
      <w:r w:rsidRPr="0071468F">
        <w:rPr>
          <w:rFonts w:eastAsia="Calibri"/>
          <w:lang w:val="es-PE" w:eastAsia="en-US"/>
        </w:rPr>
        <w:t>Psychiatry</w:t>
      </w:r>
      <w:proofErr w:type="spellEnd"/>
      <w:r w:rsidRPr="0071468F">
        <w:rPr>
          <w:rFonts w:eastAsia="Calibri"/>
          <w:lang w:val="es-PE" w:eastAsia="en-US"/>
        </w:rPr>
        <w:t>. 2019; 19:345. DOI: 10.1186/s12888-019-2328-8</w:t>
      </w:r>
    </w:p>
    <w:p w14:paraId="4F902BB5" w14:textId="77777777" w:rsidR="0071468F" w:rsidRPr="0071468F" w:rsidRDefault="0071468F" w:rsidP="0071468F">
      <w:pPr>
        <w:spacing w:line="360" w:lineRule="auto"/>
        <w:rPr>
          <w:rFonts w:eastAsia="Calibri"/>
          <w:lang w:val="es-PE" w:eastAsia="en-US"/>
        </w:rPr>
      </w:pPr>
      <w:r w:rsidRPr="0071468F">
        <w:rPr>
          <w:rFonts w:eastAsia="Calibri"/>
          <w:lang w:val="es-PE" w:eastAsia="en-US"/>
        </w:rPr>
        <w:t xml:space="preserve">10. Fonseca-Pedrero E, Díez-Gómez A, De la Barrera U, </w:t>
      </w:r>
      <w:proofErr w:type="spellStart"/>
      <w:r w:rsidRPr="0071468F">
        <w:rPr>
          <w:rFonts w:eastAsia="Calibri"/>
          <w:lang w:val="es-PE" w:eastAsia="en-US"/>
        </w:rPr>
        <w:t>Sebastian-Enesco</w:t>
      </w:r>
      <w:proofErr w:type="spellEnd"/>
      <w:r w:rsidRPr="0071468F">
        <w:rPr>
          <w:rFonts w:eastAsia="Calibri"/>
          <w:lang w:val="es-PE" w:eastAsia="en-US"/>
        </w:rPr>
        <w:t xml:space="preserve"> C, Ortuño-Sierra J, Montoya-Castilla I, et al. Conducta suicida en adolescentes: un análisis de redes. </w:t>
      </w:r>
      <w:proofErr w:type="spellStart"/>
      <w:r w:rsidRPr="0071468F">
        <w:rPr>
          <w:rFonts w:eastAsia="Calibri"/>
          <w:lang w:val="es-PE" w:eastAsia="en-US"/>
        </w:rPr>
        <w:t>Rev</w:t>
      </w:r>
      <w:proofErr w:type="spellEnd"/>
      <w:r w:rsidRPr="0071468F">
        <w:rPr>
          <w:rFonts w:eastAsia="Calibri"/>
          <w:lang w:val="es-PE" w:eastAsia="en-US"/>
        </w:rPr>
        <w:t xml:space="preserve"> </w:t>
      </w:r>
      <w:proofErr w:type="spellStart"/>
      <w:r w:rsidRPr="0071468F">
        <w:rPr>
          <w:rFonts w:eastAsia="Calibri"/>
          <w:lang w:val="es-PE" w:eastAsia="en-US"/>
        </w:rPr>
        <w:t>Psiquiatr</w:t>
      </w:r>
      <w:proofErr w:type="spellEnd"/>
      <w:r w:rsidRPr="0071468F">
        <w:rPr>
          <w:rFonts w:eastAsia="Calibri"/>
          <w:lang w:val="es-PE" w:eastAsia="en-US"/>
        </w:rPr>
        <w:t xml:space="preserve"> Salud </w:t>
      </w:r>
      <w:proofErr w:type="spellStart"/>
      <w:r w:rsidRPr="0071468F">
        <w:rPr>
          <w:rFonts w:eastAsia="Calibri"/>
          <w:lang w:val="es-PE" w:eastAsia="en-US"/>
        </w:rPr>
        <w:t>Ment</w:t>
      </w:r>
      <w:proofErr w:type="spellEnd"/>
      <w:r w:rsidRPr="0071468F">
        <w:rPr>
          <w:rFonts w:eastAsia="Calibri"/>
          <w:lang w:val="es-PE" w:eastAsia="en-US"/>
        </w:rPr>
        <w:t>. 2020; 13:1-11. DOI: 10.1016/j.rpsm.2020.04.007</w:t>
      </w:r>
    </w:p>
    <w:p w14:paraId="68E9AF85" w14:textId="77777777" w:rsidR="0071468F" w:rsidRPr="0071468F" w:rsidRDefault="0071468F" w:rsidP="0071468F">
      <w:pPr>
        <w:spacing w:line="360" w:lineRule="auto"/>
        <w:rPr>
          <w:rFonts w:eastAsia="Calibri"/>
          <w:lang w:val="es-PE" w:eastAsia="en-US"/>
        </w:rPr>
      </w:pPr>
      <w:r w:rsidRPr="0071468F">
        <w:rPr>
          <w:rFonts w:eastAsia="Calibri"/>
          <w:lang w:val="es-PE" w:eastAsia="en-US"/>
        </w:rPr>
        <w:t xml:space="preserve">11. Graziano RC, </w:t>
      </w:r>
      <w:proofErr w:type="spellStart"/>
      <w:r w:rsidRPr="0071468F">
        <w:rPr>
          <w:rFonts w:eastAsia="Calibri"/>
          <w:lang w:val="es-PE" w:eastAsia="en-US"/>
        </w:rPr>
        <w:t>Aunon</w:t>
      </w:r>
      <w:proofErr w:type="spellEnd"/>
      <w:r w:rsidRPr="0071468F">
        <w:rPr>
          <w:rFonts w:eastAsia="Calibri"/>
          <w:lang w:val="es-PE" w:eastAsia="en-US"/>
        </w:rPr>
        <w:t xml:space="preserve"> FM, </w:t>
      </w:r>
      <w:proofErr w:type="spellStart"/>
      <w:r w:rsidRPr="0071468F">
        <w:rPr>
          <w:rFonts w:eastAsia="Calibri"/>
          <w:lang w:val="es-PE" w:eastAsia="en-US"/>
        </w:rPr>
        <w:t>LoSavio</w:t>
      </w:r>
      <w:proofErr w:type="spellEnd"/>
      <w:r w:rsidRPr="0071468F">
        <w:rPr>
          <w:rFonts w:eastAsia="Calibri"/>
          <w:lang w:val="es-PE" w:eastAsia="en-US"/>
        </w:rPr>
        <w:t xml:space="preserve"> ST, </w:t>
      </w:r>
      <w:proofErr w:type="spellStart"/>
      <w:r w:rsidRPr="0071468F">
        <w:rPr>
          <w:rFonts w:eastAsia="Calibri"/>
          <w:lang w:val="es-PE" w:eastAsia="en-US"/>
        </w:rPr>
        <w:t>Elbogen</w:t>
      </w:r>
      <w:proofErr w:type="spellEnd"/>
      <w:r w:rsidRPr="0071468F">
        <w:rPr>
          <w:rFonts w:eastAsia="Calibri"/>
          <w:lang w:val="es-PE" w:eastAsia="en-US"/>
        </w:rPr>
        <w:t xml:space="preserve"> EB, Beckham JC. </w:t>
      </w:r>
      <w:r w:rsidRPr="0071468F">
        <w:rPr>
          <w:rFonts w:eastAsia="Calibri"/>
          <w:lang w:val="en-US" w:eastAsia="en-US"/>
        </w:rPr>
        <w:t xml:space="preserve">A network analysis of risk factors for suicide in Iraq/Afghanistan-era veterans. </w:t>
      </w:r>
      <w:r w:rsidRPr="0071468F">
        <w:rPr>
          <w:rFonts w:eastAsia="Calibri"/>
          <w:lang w:val="es-PE" w:eastAsia="en-US"/>
        </w:rPr>
        <w:t xml:space="preserve">J </w:t>
      </w:r>
      <w:proofErr w:type="spellStart"/>
      <w:r w:rsidRPr="0071468F">
        <w:rPr>
          <w:rFonts w:eastAsia="Calibri"/>
          <w:lang w:val="es-PE" w:eastAsia="en-US"/>
        </w:rPr>
        <w:t>Psychiatr</w:t>
      </w:r>
      <w:proofErr w:type="spellEnd"/>
      <w:r w:rsidRPr="0071468F">
        <w:rPr>
          <w:rFonts w:eastAsia="Calibri"/>
          <w:lang w:val="es-PE" w:eastAsia="en-US"/>
        </w:rPr>
        <w:t xml:space="preserve"> Res. 2021; 138:264-71. DOI: 10.1016/j.jpsychires.2021.03.065</w:t>
      </w:r>
    </w:p>
    <w:p w14:paraId="67FF6951" w14:textId="77777777" w:rsidR="0071468F" w:rsidRPr="0071468F" w:rsidRDefault="0071468F" w:rsidP="0071468F">
      <w:pPr>
        <w:spacing w:line="360" w:lineRule="auto"/>
        <w:rPr>
          <w:rFonts w:eastAsia="Calibri"/>
          <w:lang w:val="en-US" w:eastAsia="en-US"/>
        </w:rPr>
      </w:pPr>
      <w:r w:rsidRPr="0071468F">
        <w:rPr>
          <w:rFonts w:eastAsia="Calibri"/>
          <w:lang w:val="es-PE" w:eastAsia="en-US"/>
        </w:rPr>
        <w:t xml:space="preserve">12. Baños-Chaparro J, Ramos-Vera C. Validez e invarianza según sexo y edad de la Escala </w:t>
      </w:r>
      <w:proofErr w:type="spellStart"/>
      <w:r w:rsidRPr="0071468F">
        <w:rPr>
          <w:rFonts w:eastAsia="Calibri"/>
          <w:lang w:val="es-PE" w:eastAsia="en-US"/>
        </w:rPr>
        <w:t>Paykel</w:t>
      </w:r>
      <w:proofErr w:type="spellEnd"/>
      <w:r w:rsidRPr="0071468F">
        <w:rPr>
          <w:rFonts w:eastAsia="Calibri"/>
          <w:lang w:val="es-PE" w:eastAsia="en-US"/>
        </w:rPr>
        <w:t xml:space="preserve"> de Ideación Suicida en adolescentes peruanos. </w:t>
      </w:r>
      <w:proofErr w:type="spellStart"/>
      <w:r w:rsidRPr="0071468F">
        <w:rPr>
          <w:rFonts w:eastAsia="Calibri"/>
          <w:lang w:val="en-US" w:eastAsia="en-US"/>
        </w:rPr>
        <w:t>Interacciones</w:t>
      </w:r>
      <w:proofErr w:type="spellEnd"/>
      <w:r w:rsidRPr="0071468F">
        <w:rPr>
          <w:rFonts w:eastAsia="Calibri"/>
          <w:lang w:val="en-US" w:eastAsia="en-US"/>
        </w:rPr>
        <w:t>. 2020; 6(1): e225. DOI: 10.24016/2020.v6n1.225</w:t>
      </w:r>
    </w:p>
    <w:p w14:paraId="4C7826C3" w14:textId="77777777" w:rsidR="0071468F" w:rsidRPr="0071468F" w:rsidRDefault="0071468F" w:rsidP="0071468F">
      <w:pPr>
        <w:spacing w:line="360" w:lineRule="auto"/>
        <w:rPr>
          <w:rFonts w:eastAsia="Calibri"/>
          <w:lang w:val="en-US" w:eastAsia="en-US"/>
        </w:rPr>
      </w:pPr>
      <w:r w:rsidRPr="0071468F">
        <w:rPr>
          <w:rFonts w:eastAsia="Calibri"/>
          <w:lang w:val="en-US" w:eastAsia="en-US"/>
        </w:rPr>
        <w:t xml:space="preserve">13. </w:t>
      </w:r>
      <w:proofErr w:type="spellStart"/>
      <w:r w:rsidRPr="0071468F">
        <w:rPr>
          <w:rFonts w:eastAsia="Calibri"/>
          <w:lang w:val="en-US" w:eastAsia="en-US"/>
        </w:rPr>
        <w:t>Epskamp</w:t>
      </w:r>
      <w:proofErr w:type="spellEnd"/>
      <w:r w:rsidRPr="0071468F">
        <w:rPr>
          <w:rFonts w:eastAsia="Calibri"/>
          <w:lang w:val="en-US" w:eastAsia="en-US"/>
        </w:rPr>
        <w:t xml:space="preserve"> S, </w:t>
      </w:r>
      <w:proofErr w:type="spellStart"/>
      <w:r w:rsidRPr="0071468F">
        <w:rPr>
          <w:rFonts w:eastAsia="Calibri"/>
          <w:lang w:val="en-US" w:eastAsia="en-US"/>
        </w:rPr>
        <w:t>Borsboom</w:t>
      </w:r>
      <w:proofErr w:type="spellEnd"/>
      <w:r w:rsidRPr="0071468F">
        <w:rPr>
          <w:rFonts w:eastAsia="Calibri"/>
          <w:lang w:val="en-US" w:eastAsia="en-US"/>
        </w:rPr>
        <w:t xml:space="preserve"> D, Fried EI. Estimating psychological networks and their accuracy: A tutorial paper. </w:t>
      </w:r>
      <w:proofErr w:type="spellStart"/>
      <w:r w:rsidRPr="0071468F">
        <w:rPr>
          <w:rFonts w:eastAsia="Calibri"/>
          <w:lang w:val="en-US" w:eastAsia="en-US"/>
        </w:rPr>
        <w:t>Behav</w:t>
      </w:r>
      <w:proofErr w:type="spellEnd"/>
      <w:r w:rsidRPr="0071468F">
        <w:rPr>
          <w:rFonts w:eastAsia="Calibri"/>
          <w:lang w:val="en-US" w:eastAsia="en-US"/>
        </w:rPr>
        <w:t xml:space="preserve"> Res. 2018; 50:195-212. DOI: 10.3758/s13428-017-0862-1</w:t>
      </w:r>
    </w:p>
    <w:p w14:paraId="3873D49E" w14:textId="77777777" w:rsidR="0071468F" w:rsidRPr="0071468F" w:rsidRDefault="0071468F" w:rsidP="0071468F">
      <w:pPr>
        <w:spacing w:line="360" w:lineRule="auto"/>
        <w:rPr>
          <w:rFonts w:eastAsia="Calibri"/>
          <w:lang w:val="en-US" w:eastAsia="en-US"/>
        </w:rPr>
      </w:pPr>
      <w:r w:rsidRPr="0071468F">
        <w:rPr>
          <w:rFonts w:eastAsia="Calibri"/>
          <w:lang w:val="en-US" w:eastAsia="en-US"/>
        </w:rPr>
        <w:t xml:space="preserve">14. van </w:t>
      </w:r>
      <w:proofErr w:type="spellStart"/>
      <w:r w:rsidRPr="0071468F">
        <w:rPr>
          <w:rFonts w:eastAsia="Calibri"/>
          <w:lang w:val="en-US" w:eastAsia="en-US"/>
        </w:rPr>
        <w:t>Borkulo</w:t>
      </w:r>
      <w:proofErr w:type="spellEnd"/>
      <w:r w:rsidRPr="0071468F">
        <w:rPr>
          <w:rFonts w:eastAsia="Calibri"/>
          <w:lang w:val="en-US" w:eastAsia="en-US"/>
        </w:rPr>
        <w:t xml:space="preserve"> CD, </w:t>
      </w:r>
      <w:proofErr w:type="spellStart"/>
      <w:r w:rsidRPr="0071468F">
        <w:rPr>
          <w:rFonts w:eastAsia="Calibri"/>
          <w:lang w:val="en-US" w:eastAsia="en-US"/>
        </w:rPr>
        <w:t>Borsboom</w:t>
      </w:r>
      <w:proofErr w:type="spellEnd"/>
      <w:r w:rsidRPr="0071468F">
        <w:rPr>
          <w:rFonts w:eastAsia="Calibri"/>
          <w:lang w:val="en-US" w:eastAsia="en-US"/>
        </w:rPr>
        <w:t xml:space="preserve"> D, </w:t>
      </w:r>
      <w:proofErr w:type="spellStart"/>
      <w:r w:rsidRPr="0071468F">
        <w:rPr>
          <w:rFonts w:eastAsia="Calibri"/>
          <w:lang w:val="en-US" w:eastAsia="en-US"/>
        </w:rPr>
        <w:t>Epskamp</w:t>
      </w:r>
      <w:proofErr w:type="spellEnd"/>
      <w:r w:rsidRPr="0071468F">
        <w:rPr>
          <w:rFonts w:eastAsia="Calibri"/>
          <w:lang w:val="en-US" w:eastAsia="en-US"/>
        </w:rPr>
        <w:t xml:space="preserve"> S, </w:t>
      </w:r>
      <w:proofErr w:type="spellStart"/>
      <w:r w:rsidRPr="0071468F">
        <w:rPr>
          <w:rFonts w:eastAsia="Calibri"/>
          <w:lang w:val="en-US" w:eastAsia="en-US"/>
        </w:rPr>
        <w:t>Blanken</w:t>
      </w:r>
      <w:proofErr w:type="spellEnd"/>
      <w:r w:rsidRPr="0071468F">
        <w:rPr>
          <w:rFonts w:eastAsia="Calibri"/>
          <w:lang w:val="en-US" w:eastAsia="en-US"/>
        </w:rPr>
        <w:t xml:space="preserve"> TF, </w:t>
      </w:r>
      <w:proofErr w:type="spellStart"/>
      <w:r w:rsidRPr="0071468F">
        <w:rPr>
          <w:rFonts w:eastAsia="Calibri"/>
          <w:lang w:val="en-US" w:eastAsia="en-US"/>
        </w:rPr>
        <w:t>Boschloo</w:t>
      </w:r>
      <w:proofErr w:type="spellEnd"/>
      <w:r w:rsidRPr="0071468F">
        <w:rPr>
          <w:rFonts w:eastAsia="Calibri"/>
          <w:lang w:val="en-US" w:eastAsia="en-US"/>
        </w:rPr>
        <w:t xml:space="preserve"> L, </w:t>
      </w:r>
      <w:proofErr w:type="spellStart"/>
      <w:r w:rsidRPr="0071468F">
        <w:rPr>
          <w:rFonts w:eastAsia="Calibri"/>
          <w:lang w:val="en-US" w:eastAsia="en-US"/>
        </w:rPr>
        <w:t>Schoevers</w:t>
      </w:r>
      <w:proofErr w:type="spellEnd"/>
      <w:r w:rsidRPr="0071468F">
        <w:rPr>
          <w:rFonts w:eastAsia="Calibri"/>
          <w:lang w:val="en-US" w:eastAsia="en-US"/>
        </w:rPr>
        <w:t xml:space="preserve"> RA, et al. A new method for constructing networks from binary data. Sci Rep. 2014; 4:5918. DOI: 10.1038/srep05918</w:t>
      </w:r>
    </w:p>
    <w:p w14:paraId="4EB079B4" w14:textId="77777777" w:rsidR="0071468F" w:rsidRPr="0071468F" w:rsidRDefault="0071468F" w:rsidP="0071468F">
      <w:pPr>
        <w:spacing w:line="360" w:lineRule="auto"/>
        <w:rPr>
          <w:rFonts w:eastAsia="Calibri"/>
          <w:lang w:val="en-US" w:eastAsia="en-US"/>
        </w:rPr>
      </w:pPr>
      <w:r w:rsidRPr="0071468F">
        <w:rPr>
          <w:rFonts w:eastAsia="Calibri"/>
          <w:lang w:val="en-US" w:eastAsia="en-US"/>
        </w:rPr>
        <w:t xml:space="preserve">15. </w:t>
      </w:r>
      <w:proofErr w:type="spellStart"/>
      <w:r w:rsidRPr="0071468F">
        <w:rPr>
          <w:rFonts w:eastAsia="Calibri"/>
          <w:lang w:val="en-US" w:eastAsia="en-US"/>
        </w:rPr>
        <w:t>Fruchterman</w:t>
      </w:r>
      <w:proofErr w:type="spellEnd"/>
      <w:r w:rsidRPr="0071468F">
        <w:rPr>
          <w:rFonts w:eastAsia="Calibri"/>
          <w:lang w:val="en-US" w:eastAsia="en-US"/>
        </w:rPr>
        <w:t xml:space="preserve"> TM, </w:t>
      </w:r>
      <w:proofErr w:type="spellStart"/>
      <w:r w:rsidRPr="0071468F">
        <w:rPr>
          <w:rFonts w:eastAsia="Calibri"/>
          <w:lang w:val="en-US" w:eastAsia="en-US"/>
        </w:rPr>
        <w:t>Reingold</w:t>
      </w:r>
      <w:proofErr w:type="spellEnd"/>
      <w:r w:rsidRPr="0071468F">
        <w:rPr>
          <w:rFonts w:eastAsia="Calibri"/>
          <w:lang w:val="en-US" w:eastAsia="en-US"/>
        </w:rPr>
        <w:t xml:space="preserve"> EM. Graph Drawing by Force-directed Placement. </w:t>
      </w:r>
      <w:proofErr w:type="spellStart"/>
      <w:r w:rsidRPr="0071468F">
        <w:rPr>
          <w:rFonts w:eastAsia="Calibri"/>
          <w:lang w:val="en-US" w:eastAsia="en-US"/>
        </w:rPr>
        <w:t>Softw</w:t>
      </w:r>
      <w:proofErr w:type="spellEnd"/>
      <w:r w:rsidRPr="0071468F">
        <w:rPr>
          <w:rFonts w:eastAsia="Calibri"/>
          <w:lang w:val="en-US" w:eastAsia="en-US"/>
        </w:rPr>
        <w:t xml:space="preserve"> </w:t>
      </w:r>
      <w:proofErr w:type="spellStart"/>
      <w:r w:rsidRPr="0071468F">
        <w:rPr>
          <w:rFonts w:eastAsia="Calibri"/>
          <w:lang w:val="en-US" w:eastAsia="en-US"/>
        </w:rPr>
        <w:t>Pract</w:t>
      </w:r>
      <w:proofErr w:type="spellEnd"/>
      <w:r w:rsidRPr="0071468F">
        <w:rPr>
          <w:rFonts w:eastAsia="Calibri"/>
          <w:lang w:val="en-US" w:eastAsia="en-US"/>
        </w:rPr>
        <w:t xml:space="preserve"> Exp. 1991; 21(11):1129-64. DOI: 10.1002/spe.4380211102</w:t>
      </w:r>
    </w:p>
    <w:p w14:paraId="6339D318" w14:textId="77777777" w:rsidR="0071468F" w:rsidRPr="0071468F" w:rsidRDefault="0071468F" w:rsidP="0071468F">
      <w:pPr>
        <w:spacing w:line="360" w:lineRule="auto"/>
        <w:rPr>
          <w:rFonts w:eastAsia="Calibri"/>
          <w:lang w:val="en-US" w:eastAsia="en-US"/>
        </w:rPr>
      </w:pPr>
      <w:r w:rsidRPr="0071468F">
        <w:rPr>
          <w:rFonts w:eastAsia="Calibri"/>
          <w:lang w:val="en-US" w:eastAsia="en-US"/>
        </w:rPr>
        <w:lastRenderedPageBreak/>
        <w:t xml:space="preserve">16. </w:t>
      </w:r>
      <w:proofErr w:type="spellStart"/>
      <w:r w:rsidRPr="0071468F">
        <w:rPr>
          <w:rFonts w:eastAsia="Calibri"/>
          <w:lang w:val="en-US" w:eastAsia="en-US"/>
        </w:rPr>
        <w:t>Haslbeck</w:t>
      </w:r>
      <w:proofErr w:type="spellEnd"/>
      <w:r w:rsidRPr="0071468F">
        <w:rPr>
          <w:rFonts w:eastAsia="Calibri"/>
          <w:lang w:val="en-US" w:eastAsia="en-US"/>
        </w:rPr>
        <w:t xml:space="preserve"> JM, </w:t>
      </w:r>
      <w:proofErr w:type="spellStart"/>
      <w:r w:rsidRPr="0071468F">
        <w:rPr>
          <w:rFonts w:eastAsia="Calibri"/>
          <w:lang w:val="en-US" w:eastAsia="en-US"/>
        </w:rPr>
        <w:t>Waldorp</w:t>
      </w:r>
      <w:proofErr w:type="spellEnd"/>
      <w:r w:rsidRPr="0071468F">
        <w:rPr>
          <w:rFonts w:eastAsia="Calibri"/>
          <w:lang w:val="en-US" w:eastAsia="en-US"/>
        </w:rPr>
        <w:t xml:space="preserve"> LJ. How well do network models predict observations? On the importance of predictability in network models. </w:t>
      </w:r>
      <w:proofErr w:type="spellStart"/>
      <w:r w:rsidRPr="0071468F">
        <w:rPr>
          <w:rFonts w:eastAsia="Calibri"/>
          <w:lang w:val="en-US" w:eastAsia="en-US"/>
        </w:rPr>
        <w:t>Behav</w:t>
      </w:r>
      <w:proofErr w:type="spellEnd"/>
      <w:r w:rsidRPr="0071468F">
        <w:rPr>
          <w:rFonts w:eastAsia="Calibri"/>
          <w:lang w:val="en-US" w:eastAsia="en-US"/>
        </w:rPr>
        <w:t xml:space="preserve"> Res. 2018; 50:853-61. DOI: 10.3758/s13428-017-0910-x</w:t>
      </w:r>
    </w:p>
    <w:p w14:paraId="3C641E5B" w14:textId="77777777" w:rsidR="0071468F" w:rsidRPr="0071468F" w:rsidRDefault="0071468F" w:rsidP="0071468F">
      <w:pPr>
        <w:spacing w:line="360" w:lineRule="auto"/>
        <w:rPr>
          <w:rFonts w:eastAsia="Calibri"/>
          <w:lang w:val="en-US" w:eastAsia="en-US"/>
        </w:rPr>
      </w:pPr>
      <w:r w:rsidRPr="0071468F">
        <w:rPr>
          <w:rFonts w:eastAsia="Calibri"/>
          <w:lang w:val="en-US" w:eastAsia="en-US"/>
        </w:rPr>
        <w:t xml:space="preserve">17. </w:t>
      </w:r>
      <w:proofErr w:type="spellStart"/>
      <w:r w:rsidRPr="0071468F">
        <w:rPr>
          <w:rFonts w:eastAsia="Calibri"/>
          <w:lang w:val="en-US" w:eastAsia="en-US"/>
        </w:rPr>
        <w:t>Gijzen</w:t>
      </w:r>
      <w:proofErr w:type="spellEnd"/>
      <w:r w:rsidRPr="0071468F">
        <w:rPr>
          <w:rFonts w:eastAsia="Calibri"/>
          <w:lang w:val="en-US" w:eastAsia="en-US"/>
        </w:rPr>
        <w:t xml:space="preserve"> MW, </w:t>
      </w:r>
      <w:proofErr w:type="spellStart"/>
      <w:r w:rsidRPr="0071468F">
        <w:rPr>
          <w:rFonts w:eastAsia="Calibri"/>
          <w:lang w:val="en-US" w:eastAsia="en-US"/>
        </w:rPr>
        <w:t>Rasing</w:t>
      </w:r>
      <w:proofErr w:type="spellEnd"/>
      <w:r w:rsidRPr="0071468F">
        <w:rPr>
          <w:rFonts w:eastAsia="Calibri"/>
          <w:lang w:val="en-US" w:eastAsia="en-US"/>
        </w:rPr>
        <w:t xml:space="preserve"> SP, </w:t>
      </w:r>
      <w:proofErr w:type="spellStart"/>
      <w:r w:rsidRPr="0071468F">
        <w:rPr>
          <w:rFonts w:eastAsia="Calibri"/>
          <w:lang w:val="en-US" w:eastAsia="en-US"/>
        </w:rPr>
        <w:t>Creemers</w:t>
      </w:r>
      <w:proofErr w:type="spellEnd"/>
      <w:r w:rsidRPr="0071468F">
        <w:rPr>
          <w:rFonts w:eastAsia="Calibri"/>
          <w:lang w:val="en-US" w:eastAsia="en-US"/>
        </w:rPr>
        <w:t xml:space="preserve"> DH, Smit F, Engels RC, De </w:t>
      </w:r>
      <w:proofErr w:type="spellStart"/>
      <w:r w:rsidRPr="0071468F">
        <w:rPr>
          <w:rFonts w:eastAsia="Calibri"/>
          <w:lang w:val="en-US" w:eastAsia="en-US"/>
        </w:rPr>
        <w:t>Beurs</w:t>
      </w:r>
      <w:proofErr w:type="spellEnd"/>
      <w:r w:rsidRPr="0071468F">
        <w:rPr>
          <w:rFonts w:eastAsia="Calibri"/>
          <w:lang w:val="en-US" w:eastAsia="en-US"/>
        </w:rPr>
        <w:t xml:space="preserve"> D. Suicide ideation as a symptom of adolescent depression. A network analysis. J Affect </w:t>
      </w:r>
      <w:proofErr w:type="spellStart"/>
      <w:r w:rsidRPr="0071468F">
        <w:rPr>
          <w:rFonts w:eastAsia="Calibri"/>
          <w:lang w:val="en-US" w:eastAsia="en-US"/>
        </w:rPr>
        <w:t>Disord</w:t>
      </w:r>
      <w:proofErr w:type="spellEnd"/>
      <w:r w:rsidRPr="0071468F">
        <w:rPr>
          <w:rFonts w:eastAsia="Calibri"/>
          <w:lang w:val="en-US" w:eastAsia="en-US"/>
        </w:rPr>
        <w:t>. 2021; 278:68-77. DOI: 10.1016/j.jad.2020.09.029</w:t>
      </w:r>
    </w:p>
    <w:p w14:paraId="67ED4C58" w14:textId="77777777" w:rsidR="0071468F" w:rsidRPr="0071468F" w:rsidRDefault="0071468F" w:rsidP="0071468F">
      <w:pPr>
        <w:spacing w:line="360" w:lineRule="auto"/>
        <w:rPr>
          <w:rFonts w:eastAsia="Calibri"/>
          <w:lang w:val="en-US" w:eastAsia="en-US"/>
        </w:rPr>
      </w:pPr>
      <w:r w:rsidRPr="0071468F">
        <w:rPr>
          <w:rFonts w:eastAsia="Calibri"/>
          <w:lang w:val="en-US" w:eastAsia="en-US"/>
        </w:rPr>
        <w:t xml:space="preserve">18. Vasudeva N, Singh H. A study of emotional regulation process among patients with current suicide attempt. Minerva </w:t>
      </w:r>
      <w:proofErr w:type="spellStart"/>
      <w:r w:rsidRPr="0071468F">
        <w:rPr>
          <w:rFonts w:eastAsia="Calibri"/>
          <w:lang w:val="en-US" w:eastAsia="en-US"/>
        </w:rPr>
        <w:t>Psichiatr</w:t>
      </w:r>
      <w:proofErr w:type="spellEnd"/>
      <w:r w:rsidRPr="0071468F">
        <w:rPr>
          <w:rFonts w:eastAsia="Calibri"/>
          <w:lang w:val="en-US" w:eastAsia="en-US"/>
        </w:rPr>
        <w:t xml:space="preserve">. 2017; 58:113-7. DOI: 10.23736/S0391-1772.17.01932-X </w:t>
      </w:r>
    </w:p>
    <w:p w14:paraId="1596AA28" w14:textId="77777777" w:rsidR="0071468F" w:rsidRPr="0071468F" w:rsidRDefault="0071468F" w:rsidP="0071468F">
      <w:pPr>
        <w:spacing w:line="360" w:lineRule="auto"/>
        <w:rPr>
          <w:rFonts w:eastAsia="Calibri"/>
          <w:lang w:val="en-US" w:eastAsia="en-US"/>
        </w:rPr>
      </w:pPr>
      <w:r w:rsidRPr="0071468F">
        <w:rPr>
          <w:rFonts w:eastAsia="Calibri"/>
          <w:lang w:val="en-US" w:eastAsia="en-US"/>
        </w:rPr>
        <w:t xml:space="preserve">19. </w:t>
      </w:r>
      <w:proofErr w:type="spellStart"/>
      <w:r w:rsidRPr="0071468F">
        <w:rPr>
          <w:rFonts w:eastAsia="Calibri"/>
          <w:lang w:val="en-US" w:eastAsia="en-US"/>
        </w:rPr>
        <w:t>Mewton</w:t>
      </w:r>
      <w:proofErr w:type="spellEnd"/>
      <w:r w:rsidRPr="0071468F">
        <w:rPr>
          <w:rFonts w:eastAsia="Calibri"/>
          <w:lang w:val="en-US" w:eastAsia="en-US"/>
        </w:rPr>
        <w:t xml:space="preserve"> L, Andrews G. Cognitive behavioral therapy for suicidal behaviors: improving patient outcomes. Psychol Res </w:t>
      </w:r>
      <w:proofErr w:type="spellStart"/>
      <w:r w:rsidRPr="0071468F">
        <w:rPr>
          <w:rFonts w:eastAsia="Calibri"/>
          <w:lang w:val="en-US" w:eastAsia="en-US"/>
        </w:rPr>
        <w:t>Behav</w:t>
      </w:r>
      <w:proofErr w:type="spellEnd"/>
      <w:r w:rsidRPr="0071468F">
        <w:rPr>
          <w:rFonts w:eastAsia="Calibri"/>
          <w:lang w:val="en-US" w:eastAsia="en-US"/>
        </w:rPr>
        <w:t xml:space="preserve"> </w:t>
      </w:r>
      <w:proofErr w:type="spellStart"/>
      <w:r w:rsidRPr="0071468F">
        <w:rPr>
          <w:rFonts w:eastAsia="Calibri"/>
          <w:lang w:val="en-US" w:eastAsia="en-US"/>
        </w:rPr>
        <w:t>Manag</w:t>
      </w:r>
      <w:proofErr w:type="spellEnd"/>
      <w:r w:rsidRPr="0071468F">
        <w:rPr>
          <w:rFonts w:eastAsia="Calibri"/>
          <w:lang w:val="en-US" w:eastAsia="en-US"/>
        </w:rPr>
        <w:t>. 2016; 9:21-9. DOI: 10.2147/PRBM.S84589</w:t>
      </w:r>
    </w:p>
    <w:p w14:paraId="500A805F" w14:textId="77777777" w:rsidR="0071468F" w:rsidRPr="0071468F" w:rsidRDefault="0071468F" w:rsidP="0071468F">
      <w:pPr>
        <w:spacing w:line="360" w:lineRule="auto"/>
        <w:rPr>
          <w:rFonts w:eastAsia="Calibri"/>
          <w:lang w:val="es-PE" w:eastAsia="en-US"/>
        </w:rPr>
      </w:pPr>
      <w:r w:rsidRPr="0071468F">
        <w:rPr>
          <w:rFonts w:eastAsia="Calibri"/>
          <w:lang w:val="en-US" w:eastAsia="en-US"/>
        </w:rPr>
        <w:t xml:space="preserve">20. </w:t>
      </w:r>
      <w:proofErr w:type="spellStart"/>
      <w:r w:rsidRPr="0071468F">
        <w:rPr>
          <w:rFonts w:eastAsia="Calibri"/>
          <w:lang w:val="en-US" w:eastAsia="en-US"/>
        </w:rPr>
        <w:t>Hajialiani</w:t>
      </w:r>
      <w:proofErr w:type="spellEnd"/>
      <w:r w:rsidRPr="0071468F">
        <w:rPr>
          <w:rFonts w:eastAsia="Calibri"/>
          <w:lang w:val="en-US" w:eastAsia="en-US"/>
        </w:rPr>
        <w:t xml:space="preserve"> V, </w:t>
      </w:r>
      <w:proofErr w:type="spellStart"/>
      <w:r w:rsidRPr="0071468F">
        <w:rPr>
          <w:rFonts w:eastAsia="Calibri"/>
          <w:lang w:val="en-US" w:eastAsia="en-US"/>
        </w:rPr>
        <w:t>Bahrami</w:t>
      </w:r>
      <w:proofErr w:type="spellEnd"/>
      <w:r w:rsidRPr="0071468F">
        <w:rPr>
          <w:rFonts w:eastAsia="Calibri"/>
          <w:lang w:val="en-US" w:eastAsia="en-US"/>
        </w:rPr>
        <w:t xml:space="preserve"> H, </w:t>
      </w:r>
      <w:proofErr w:type="spellStart"/>
      <w:r w:rsidRPr="0071468F">
        <w:rPr>
          <w:rFonts w:eastAsia="Calibri"/>
          <w:lang w:val="en-US" w:eastAsia="en-US"/>
        </w:rPr>
        <w:t>Noferesti</w:t>
      </w:r>
      <w:proofErr w:type="spellEnd"/>
      <w:r w:rsidRPr="0071468F">
        <w:rPr>
          <w:rFonts w:eastAsia="Calibri"/>
          <w:lang w:val="en-US" w:eastAsia="en-US"/>
        </w:rPr>
        <w:t xml:space="preserve"> A. The Effect of Mindfulness-Based Cognitive Therapy on Reducing Suicidal Ideations and Increasing Self-Compassion in Students. </w:t>
      </w:r>
      <w:proofErr w:type="spellStart"/>
      <w:r w:rsidRPr="0071468F">
        <w:rPr>
          <w:rFonts w:eastAsia="Calibri"/>
          <w:lang w:val="es-PE" w:eastAsia="en-US"/>
        </w:rPr>
        <w:t>Rooyesh</w:t>
      </w:r>
      <w:proofErr w:type="spellEnd"/>
      <w:r w:rsidRPr="0071468F">
        <w:rPr>
          <w:rFonts w:eastAsia="Calibri"/>
          <w:lang w:val="es-PE" w:eastAsia="en-US"/>
        </w:rPr>
        <w:t xml:space="preserve">. 2020 [acceso: 05/04/2021]; 9(5):147-54. Disponible en: </w:t>
      </w:r>
      <w:hyperlink r:id="rId17" w:history="1">
        <w:r w:rsidRPr="0071468F">
          <w:rPr>
            <w:rFonts w:eastAsia="Calibri"/>
            <w:color w:val="0563C1"/>
            <w:u w:val="single"/>
            <w:lang w:val="es-PE" w:eastAsia="en-US"/>
          </w:rPr>
          <w:t>http://frooyesh.ir/article-1-1956-en.html</w:t>
        </w:r>
      </w:hyperlink>
      <w:r w:rsidRPr="0071468F">
        <w:rPr>
          <w:rFonts w:eastAsia="Calibri"/>
          <w:lang w:val="es-PE" w:eastAsia="en-US"/>
        </w:rPr>
        <w:t xml:space="preserve">  </w:t>
      </w:r>
    </w:p>
    <w:p w14:paraId="3DEB8D0F" w14:textId="64FE9E55" w:rsidR="0071468F" w:rsidRPr="0071468F" w:rsidRDefault="0071468F" w:rsidP="0071468F">
      <w:pPr>
        <w:spacing w:line="360" w:lineRule="auto"/>
        <w:rPr>
          <w:rFonts w:eastAsia="Calibri"/>
          <w:lang w:val="es-ES" w:eastAsia="en-US"/>
        </w:rPr>
      </w:pPr>
    </w:p>
    <w:p w14:paraId="108F5C68" w14:textId="77777777" w:rsidR="0071468F" w:rsidRPr="0071468F" w:rsidRDefault="0071468F" w:rsidP="0071468F">
      <w:pPr>
        <w:spacing w:line="360" w:lineRule="auto"/>
        <w:jc w:val="both"/>
        <w:rPr>
          <w:rFonts w:eastAsia="Calibri"/>
          <w:b/>
          <w:bCs/>
          <w:lang w:val="es-PE" w:eastAsia="en-US"/>
        </w:rPr>
      </w:pPr>
    </w:p>
    <w:p w14:paraId="66D8C118" w14:textId="77777777" w:rsidR="0071468F" w:rsidRPr="0071468F" w:rsidRDefault="0071468F" w:rsidP="0071468F">
      <w:pPr>
        <w:spacing w:line="360" w:lineRule="auto"/>
        <w:jc w:val="center"/>
        <w:rPr>
          <w:rFonts w:eastAsia="Calibri"/>
          <w:b/>
          <w:bCs/>
          <w:lang w:val="es-PE" w:eastAsia="en-US"/>
        </w:rPr>
      </w:pPr>
      <w:r w:rsidRPr="0071468F">
        <w:rPr>
          <w:rFonts w:eastAsia="Calibri"/>
          <w:b/>
          <w:bCs/>
          <w:lang w:val="es-PE" w:eastAsia="en-US"/>
        </w:rPr>
        <w:t>Conflicto de intereses</w:t>
      </w:r>
    </w:p>
    <w:p w14:paraId="2474A238" w14:textId="77777777" w:rsidR="0071468F" w:rsidRPr="0071468F" w:rsidRDefault="0071468F" w:rsidP="0071468F">
      <w:pPr>
        <w:spacing w:line="360" w:lineRule="auto"/>
        <w:jc w:val="both"/>
        <w:rPr>
          <w:rFonts w:eastAsia="Calibri"/>
          <w:lang w:val="es-PE" w:eastAsia="en-US"/>
        </w:rPr>
      </w:pPr>
      <w:r w:rsidRPr="0071468F">
        <w:rPr>
          <w:rFonts w:eastAsia="Calibri"/>
          <w:lang w:val="es-PE" w:eastAsia="en-US"/>
        </w:rPr>
        <w:t>Los autores declaran no tener ningún conflicto de interés económico, laboral o personal al realizar este artículo.</w:t>
      </w:r>
    </w:p>
    <w:p w14:paraId="297FF26C" w14:textId="77777777" w:rsidR="0071468F" w:rsidRPr="0071468F" w:rsidRDefault="0071468F" w:rsidP="0071468F">
      <w:pPr>
        <w:spacing w:line="360" w:lineRule="auto"/>
        <w:jc w:val="both"/>
        <w:rPr>
          <w:rFonts w:eastAsia="Calibri"/>
          <w:lang w:val="es-PE" w:eastAsia="en-US"/>
        </w:rPr>
      </w:pPr>
    </w:p>
    <w:p w14:paraId="2C83D5EE" w14:textId="77777777" w:rsidR="0071468F" w:rsidRPr="0071468F" w:rsidRDefault="0071468F" w:rsidP="0071468F">
      <w:pPr>
        <w:spacing w:line="360" w:lineRule="auto"/>
        <w:jc w:val="center"/>
        <w:rPr>
          <w:rFonts w:eastAsia="Calibri"/>
          <w:b/>
          <w:bCs/>
          <w:lang w:val="es-PE" w:eastAsia="en-US"/>
        </w:rPr>
      </w:pPr>
      <w:r w:rsidRPr="0071468F">
        <w:rPr>
          <w:rFonts w:eastAsia="Calibri"/>
          <w:b/>
          <w:bCs/>
          <w:lang w:val="es-PE" w:eastAsia="en-US"/>
        </w:rPr>
        <w:t>Contribuciones de los autores</w:t>
      </w:r>
    </w:p>
    <w:p w14:paraId="58B2C3E1" w14:textId="77777777" w:rsidR="0071468F" w:rsidRPr="0071468F" w:rsidRDefault="0071468F" w:rsidP="0071468F">
      <w:pPr>
        <w:spacing w:line="360" w:lineRule="auto"/>
        <w:rPr>
          <w:rFonts w:eastAsia="Calibri"/>
          <w:lang w:val="es-PE" w:eastAsia="en-US"/>
        </w:rPr>
      </w:pPr>
      <w:r w:rsidRPr="0071468F">
        <w:rPr>
          <w:rFonts w:eastAsia="Calibri"/>
          <w:lang w:val="es-PE" w:eastAsia="en-US"/>
        </w:rPr>
        <w:t xml:space="preserve">Conceptualización: </w:t>
      </w:r>
      <w:r w:rsidRPr="0071468F">
        <w:rPr>
          <w:rFonts w:eastAsia="Calibri"/>
          <w:i/>
          <w:iCs/>
          <w:lang w:val="es-CU" w:eastAsia="en-US"/>
        </w:rPr>
        <w:t>Jonatan Baños-Chaparro.</w:t>
      </w:r>
      <w:r w:rsidRPr="0071468F">
        <w:rPr>
          <w:rFonts w:eastAsia="Calibri"/>
          <w:lang w:val="es-CU" w:eastAsia="en-US"/>
        </w:rPr>
        <w:t xml:space="preserve"> </w:t>
      </w:r>
    </w:p>
    <w:p w14:paraId="5D118653" w14:textId="77777777" w:rsidR="0071468F" w:rsidRPr="0071468F" w:rsidRDefault="0071468F" w:rsidP="0071468F">
      <w:pPr>
        <w:spacing w:line="360" w:lineRule="auto"/>
        <w:jc w:val="both"/>
        <w:rPr>
          <w:rFonts w:eastAsia="Calibri"/>
          <w:lang w:val="es-PE" w:eastAsia="en-US"/>
        </w:rPr>
      </w:pPr>
      <w:r w:rsidRPr="0071468F">
        <w:rPr>
          <w:rFonts w:eastAsia="Calibri"/>
          <w:lang w:val="es-PE" w:eastAsia="en-US"/>
        </w:rPr>
        <w:t xml:space="preserve">Curación de datos: </w:t>
      </w:r>
      <w:r w:rsidRPr="0071468F">
        <w:rPr>
          <w:rFonts w:eastAsia="Calibri"/>
          <w:i/>
          <w:iCs/>
          <w:lang w:val="es-CU" w:eastAsia="en-US"/>
        </w:rPr>
        <w:t xml:space="preserve">Paul </w:t>
      </w:r>
      <w:proofErr w:type="spellStart"/>
      <w:r w:rsidRPr="0071468F">
        <w:rPr>
          <w:rFonts w:eastAsia="Calibri"/>
          <w:i/>
          <w:iCs/>
          <w:lang w:val="es-CU" w:eastAsia="en-US"/>
        </w:rPr>
        <w:t>Ynquillay</w:t>
      </w:r>
      <w:proofErr w:type="spellEnd"/>
      <w:r w:rsidRPr="0071468F">
        <w:rPr>
          <w:rFonts w:eastAsia="Calibri"/>
          <w:i/>
          <w:iCs/>
          <w:lang w:val="es-CU" w:eastAsia="en-US"/>
        </w:rPr>
        <w:t>-Lima.</w:t>
      </w:r>
    </w:p>
    <w:p w14:paraId="045AF419" w14:textId="77777777" w:rsidR="0071468F" w:rsidRPr="0071468F" w:rsidRDefault="0071468F" w:rsidP="0071468F">
      <w:pPr>
        <w:spacing w:line="360" w:lineRule="auto"/>
        <w:rPr>
          <w:rFonts w:eastAsia="Calibri"/>
          <w:lang w:val="es-PE" w:eastAsia="en-US"/>
        </w:rPr>
      </w:pPr>
      <w:r w:rsidRPr="0071468F">
        <w:rPr>
          <w:rFonts w:eastAsia="Calibri"/>
          <w:lang w:val="es-PE" w:eastAsia="en-US"/>
        </w:rPr>
        <w:t xml:space="preserve">Análisis formal: </w:t>
      </w:r>
      <w:r w:rsidRPr="0071468F">
        <w:rPr>
          <w:rFonts w:eastAsia="Calibri"/>
          <w:i/>
          <w:iCs/>
          <w:lang w:val="es-CU" w:eastAsia="en-US"/>
        </w:rPr>
        <w:t>Jonatan Baños-Chaparro.</w:t>
      </w:r>
    </w:p>
    <w:p w14:paraId="305323AC" w14:textId="77777777" w:rsidR="0071468F" w:rsidRPr="0071468F" w:rsidRDefault="0071468F" w:rsidP="0071468F">
      <w:pPr>
        <w:spacing w:line="360" w:lineRule="auto"/>
        <w:rPr>
          <w:rFonts w:eastAsia="Calibri"/>
          <w:lang w:val="es-PE" w:eastAsia="en-US"/>
        </w:rPr>
      </w:pPr>
      <w:r w:rsidRPr="0071468F">
        <w:rPr>
          <w:rFonts w:eastAsia="Calibri"/>
          <w:lang w:val="es-PE" w:eastAsia="en-US"/>
        </w:rPr>
        <w:t xml:space="preserve">Investigación: </w:t>
      </w:r>
      <w:r w:rsidRPr="0071468F">
        <w:rPr>
          <w:rFonts w:eastAsia="Calibri"/>
          <w:i/>
          <w:iCs/>
          <w:lang w:val="es-CU" w:eastAsia="en-US"/>
        </w:rPr>
        <w:t xml:space="preserve">Jonatan Baños-Chaparro, Paul </w:t>
      </w:r>
      <w:proofErr w:type="spellStart"/>
      <w:r w:rsidRPr="0071468F">
        <w:rPr>
          <w:rFonts w:eastAsia="Calibri"/>
          <w:i/>
          <w:iCs/>
          <w:lang w:val="es-CU" w:eastAsia="en-US"/>
        </w:rPr>
        <w:t>Ynquillay</w:t>
      </w:r>
      <w:proofErr w:type="spellEnd"/>
      <w:r w:rsidRPr="0071468F">
        <w:rPr>
          <w:rFonts w:eastAsia="Calibri"/>
          <w:i/>
          <w:iCs/>
          <w:lang w:val="es-CU" w:eastAsia="en-US"/>
        </w:rPr>
        <w:t>-Lima, Fernando Lamas Delgado, Fiorella Gaby Fuster Guillen.</w:t>
      </w:r>
    </w:p>
    <w:p w14:paraId="008C46FE" w14:textId="77777777" w:rsidR="0071468F" w:rsidRPr="0071468F" w:rsidRDefault="0071468F" w:rsidP="0071468F">
      <w:pPr>
        <w:spacing w:line="360" w:lineRule="auto"/>
        <w:rPr>
          <w:rFonts w:eastAsia="Calibri"/>
          <w:lang w:val="es-PE" w:eastAsia="en-US"/>
        </w:rPr>
      </w:pPr>
      <w:r w:rsidRPr="0071468F">
        <w:rPr>
          <w:rFonts w:eastAsia="Calibri"/>
          <w:lang w:val="es-PE" w:eastAsia="en-US"/>
        </w:rPr>
        <w:t xml:space="preserve">Metodología: </w:t>
      </w:r>
      <w:r w:rsidRPr="0071468F">
        <w:rPr>
          <w:rFonts w:eastAsia="Calibri"/>
          <w:i/>
          <w:iCs/>
          <w:lang w:val="es-CU" w:eastAsia="en-US"/>
        </w:rPr>
        <w:t>Jonatan Baños-Chaparro.</w:t>
      </w:r>
    </w:p>
    <w:p w14:paraId="208C3905" w14:textId="77777777" w:rsidR="0071468F" w:rsidRPr="0071468F" w:rsidRDefault="0071468F" w:rsidP="0071468F">
      <w:pPr>
        <w:spacing w:line="360" w:lineRule="auto"/>
        <w:rPr>
          <w:rFonts w:eastAsia="Calibri"/>
          <w:lang w:val="es-PE" w:eastAsia="en-US"/>
        </w:rPr>
      </w:pPr>
      <w:r w:rsidRPr="0071468F">
        <w:rPr>
          <w:rFonts w:eastAsia="Calibri"/>
          <w:lang w:val="es-PE" w:eastAsia="en-US"/>
        </w:rPr>
        <w:t xml:space="preserve">Administración del proyecto: </w:t>
      </w:r>
      <w:r w:rsidRPr="0071468F">
        <w:rPr>
          <w:rFonts w:eastAsia="Calibri"/>
          <w:i/>
          <w:iCs/>
          <w:lang w:val="es-CU" w:eastAsia="en-US"/>
        </w:rPr>
        <w:t>Jonatan Baños-Chaparro.</w:t>
      </w:r>
    </w:p>
    <w:p w14:paraId="3E7437E1" w14:textId="77777777" w:rsidR="0071468F" w:rsidRPr="0071468F" w:rsidRDefault="0071468F" w:rsidP="0071468F">
      <w:pPr>
        <w:spacing w:line="360" w:lineRule="auto"/>
        <w:rPr>
          <w:rFonts w:eastAsia="Calibri"/>
          <w:lang w:val="es-PE" w:eastAsia="en-US"/>
        </w:rPr>
      </w:pPr>
      <w:r w:rsidRPr="0071468F">
        <w:rPr>
          <w:rFonts w:eastAsia="Calibri"/>
          <w:lang w:val="es-PE" w:eastAsia="en-US"/>
        </w:rPr>
        <w:t xml:space="preserve">Supervisión: </w:t>
      </w:r>
      <w:r w:rsidRPr="0071468F">
        <w:rPr>
          <w:rFonts w:eastAsia="Calibri"/>
          <w:i/>
          <w:iCs/>
          <w:lang w:val="es-CU" w:eastAsia="en-US"/>
        </w:rPr>
        <w:t>Jonatan Baños-Chaparro.</w:t>
      </w:r>
    </w:p>
    <w:p w14:paraId="0B908786" w14:textId="77777777" w:rsidR="0071468F" w:rsidRPr="0071468F" w:rsidRDefault="0071468F" w:rsidP="0071468F">
      <w:pPr>
        <w:spacing w:line="360" w:lineRule="auto"/>
        <w:rPr>
          <w:rFonts w:eastAsia="Calibri"/>
          <w:lang w:val="es-PE" w:eastAsia="en-US"/>
        </w:rPr>
      </w:pPr>
      <w:r w:rsidRPr="0071468F">
        <w:rPr>
          <w:rFonts w:eastAsia="Calibri"/>
          <w:lang w:val="es-PE" w:eastAsia="en-US"/>
        </w:rPr>
        <w:t xml:space="preserve">Validación: </w:t>
      </w:r>
      <w:r w:rsidRPr="0071468F">
        <w:rPr>
          <w:rFonts w:eastAsia="Calibri"/>
          <w:i/>
          <w:iCs/>
          <w:lang w:val="es-CU" w:eastAsia="en-US"/>
        </w:rPr>
        <w:t xml:space="preserve">Paul </w:t>
      </w:r>
      <w:proofErr w:type="spellStart"/>
      <w:r w:rsidRPr="0071468F">
        <w:rPr>
          <w:rFonts w:eastAsia="Calibri"/>
          <w:i/>
          <w:iCs/>
          <w:lang w:val="es-CU" w:eastAsia="en-US"/>
        </w:rPr>
        <w:t>Ynquillay</w:t>
      </w:r>
      <w:proofErr w:type="spellEnd"/>
      <w:r w:rsidRPr="0071468F">
        <w:rPr>
          <w:rFonts w:eastAsia="Calibri"/>
          <w:i/>
          <w:iCs/>
          <w:lang w:val="es-CU" w:eastAsia="en-US"/>
        </w:rPr>
        <w:t>-Lima.</w:t>
      </w:r>
    </w:p>
    <w:p w14:paraId="42ABD421" w14:textId="77777777" w:rsidR="0071468F" w:rsidRPr="0071468F" w:rsidRDefault="0071468F" w:rsidP="0071468F">
      <w:pPr>
        <w:spacing w:line="360" w:lineRule="auto"/>
        <w:rPr>
          <w:rFonts w:eastAsia="Calibri"/>
          <w:lang w:val="es-PE" w:eastAsia="en-US"/>
        </w:rPr>
      </w:pPr>
      <w:r w:rsidRPr="0071468F">
        <w:rPr>
          <w:rFonts w:eastAsia="Calibri"/>
          <w:lang w:val="es-PE" w:eastAsia="en-US"/>
        </w:rPr>
        <w:t xml:space="preserve">Visualización: </w:t>
      </w:r>
      <w:r w:rsidRPr="0071468F">
        <w:rPr>
          <w:rFonts w:eastAsia="Calibri"/>
          <w:i/>
          <w:iCs/>
          <w:lang w:val="es-CU" w:eastAsia="en-US"/>
        </w:rPr>
        <w:t>Jonatan Baños-Chaparro.</w:t>
      </w:r>
    </w:p>
    <w:p w14:paraId="54F5D585" w14:textId="77777777" w:rsidR="0071468F" w:rsidRPr="0071468F" w:rsidRDefault="0071468F" w:rsidP="0071468F">
      <w:pPr>
        <w:spacing w:line="360" w:lineRule="auto"/>
        <w:rPr>
          <w:rFonts w:eastAsia="Calibri"/>
          <w:i/>
          <w:iCs/>
          <w:lang w:val="es-PE" w:eastAsia="en-US"/>
        </w:rPr>
      </w:pPr>
      <w:r w:rsidRPr="0071468F">
        <w:rPr>
          <w:rFonts w:eastAsia="Calibri"/>
          <w:lang w:val="es-PE" w:eastAsia="en-US"/>
        </w:rPr>
        <w:lastRenderedPageBreak/>
        <w:t xml:space="preserve">Redacción – borrador original: </w:t>
      </w:r>
      <w:r w:rsidRPr="0071468F">
        <w:rPr>
          <w:rFonts w:eastAsia="Calibri"/>
          <w:i/>
          <w:iCs/>
          <w:lang w:val="es-CU" w:eastAsia="en-US"/>
        </w:rPr>
        <w:t xml:space="preserve">Jonatan Baños-Chaparro, Paul </w:t>
      </w:r>
      <w:proofErr w:type="spellStart"/>
      <w:r w:rsidRPr="0071468F">
        <w:rPr>
          <w:rFonts w:eastAsia="Calibri"/>
          <w:i/>
          <w:iCs/>
          <w:lang w:val="es-CU" w:eastAsia="en-US"/>
        </w:rPr>
        <w:t>Ynquillay</w:t>
      </w:r>
      <w:proofErr w:type="spellEnd"/>
      <w:r w:rsidRPr="0071468F">
        <w:rPr>
          <w:rFonts w:eastAsia="Calibri"/>
          <w:i/>
          <w:iCs/>
          <w:lang w:val="es-CU" w:eastAsia="en-US"/>
        </w:rPr>
        <w:t>-Lima, Fernando Lamas Delgado, Fiorella Gaby Fuster Guillen.</w:t>
      </w:r>
    </w:p>
    <w:p w14:paraId="760D3FDB" w14:textId="77777777" w:rsidR="0071468F" w:rsidRPr="0071468F" w:rsidRDefault="0071468F" w:rsidP="0071468F">
      <w:pPr>
        <w:spacing w:line="360" w:lineRule="auto"/>
        <w:rPr>
          <w:rFonts w:eastAsia="Calibri"/>
          <w:lang w:val="es-PE" w:eastAsia="en-US"/>
        </w:rPr>
      </w:pPr>
      <w:r w:rsidRPr="0071468F">
        <w:rPr>
          <w:rFonts w:eastAsia="Calibri"/>
          <w:lang w:val="es-PE" w:eastAsia="en-US"/>
        </w:rPr>
        <w:t xml:space="preserve">Redacción – revisión y edición: </w:t>
      </w:r>
      <w:r w:rsidRPr="0071468F">
        <w:rPr>
          <w:rFonts w:eastAsia="Calibri"/>
          <w:i/>
          <w:iCs/>
          <w:lang w:val="es-CU" w:eastAsia="en-US"/>
        </w:rPr>
        <w:t>Jonatan Baños-Chaparro</w:t>
      </w:r>
      <w:r w:rsidRPr="0071468F">
        <w:rPr>
          <w:rFonts w:eastAsia="Calibri"/>
          <w:i/>
          <w:iCs/>
          <w:lang w:val="es-PE" w:eastAsia="en-US"/>
        </w:rPr>
        <w:t xml:space="preserve">, </w:t>
      </w:r>
      <w:r w:rsidRPr="0071468F">
        <w:rPr>
          <w:rFonts w:eastAsia="Calibri"/>
          <w:i/>
          <w:iCs/>
          <w:lang w:val="es-CU" w:eastAsia="en-US"/>
        </w:rPr>
        <w:t xml:space="preserve">Paul </w:t>
      </w:r>
      <w:proofErr w:type="spellStart"/>
      <w:r w:rsidRPr="0071468F">
        <w:rPr>
          <w:rFonts w:eastAsia="Calibri"/>
          <w:i/>
          <w:iCs/>
          <w:lang w:val="es-CU" w:eastAsia="en-US"/>
        </w:rPr>
        <w:t>Ynquillay</w:t>
      </w:r>
      <w:proofErr w:type="spellEnd"/>
      <w:r w:rsidRPr="0071468F">
        <w:rPr>
          <w:rFonts w:eastAsia="Calibri"/>
          <w:i/>
          <w:iCs/>
          <w:lang w:val="es-CU" w:eastAsia="en-US"/>
        </w:rPr>
        <w:t>-Lima, Fernando Lamas Delgado</w:t>
      </w:r>
      <w:r w:rsidRPr="0071468F">
        <w:rPr>
          <w:rFonts w:eastAsia="Calibri"/>
          <w:i/>
          <w:iCs/>
          <w:lang w:val="es-PE" w:eastAsia="en-US"/>
        </w:rPr>
        <w:t xml:space="preserve">, </w:t>
      </w:r>
      <w:r w:rsidRPr="0071468F">
        <w:rPr>
          <w:rFonts w:eastAsia="Calibri"/>
          <w:i/>
          <w:iCs/>
          <w:lang w:val="es-CU" w:eastAsia="en-US"/>
        </w:rPr>
        <w:t>Fiorella Gaby Fuster Guillen</w:t>
      </w:r>
      <w:r w:rsidRPr="0071468F">
        <w:rPr>
          <w:rFonts w:eastAsia="Calibri"/>
          <w:i/>
          <w:iCs/>
          <w:lang w:val="es-PE" w:eastAsia="en-US"/>
        </w:rPr>
        <w:t>.</w:t>
      </w:r>
    </w:p>
    <w:p w14:paraId="77D29E50" w14:textId="77777777" w:rsidR="00675476" w:rsidRPr="0071468F" w:rsidRDefault="00675476" w:rsidP="00391509">
      <w:pPr>
        <w:rPr>
          <w:lang w:val="es-PE"/>
        </w:rPr>
      </w:pPr>
    </w:p>
    <w:sectPr w:rsidR="00675476" w:rsidRPr="0071468F" w:rsidSect="00486BFA">
      <w:headerReference w:type="default" r:id="rId18"/>
      <w:footerReference w:type="even" r:id="rId19"/>
      <w:footerReference w:type="default" r:id="rId20"/>
      <w:pgSz w:w="12242" w:h="15842" w:code="1"/>
      <w:pgMar w:top="1418" w:right="1134" w:bottom="1701" w:left="1134" w:header="851" w:footer="113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E88E55" w14:textId="77777777" w:rsidR="00C72FBB" w:rsidRDefault="00C72FBB">
      <w:r>
        <w:separator/>
      </w:r>
    </w:p>
  </w:endnote>
  <w:endnote w:type="continuationSeparator" w:id="0">
    <w:p w14:paraId="0C64F4B2" w14:textId="77777777" w:rsidR="00C72FBB" w:rsidRDefault="00C72F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9A98B"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029F24C"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1CF9E" w14:textId="21C1D86B" w:rsidR="000F3690" w:rsidRPr="00AE044C" w:rsidRDefault="0071468F" w:rsidP="00391509">
    <w:pPr>
      <w:pStyle w:val="Piedepgina"/>
      <w:ind w:right="360"/>
      <w:rPr>
        <w:sz w:val="22"/>
        <w:szCs w:val="22"/>
      </w:rPr>
    </w:pPr>
    <w:r>
      <w:rPr>
        <w:noProof/>
      </w:rPr>
      <mc:AlternateContent>
        <mc:Choice Requires="wps">
          <w:drawing>
            <wp:anchor distT="0" distB="0" distL="114300" distR="114300" simplePos="0" relativeHeight="251658240" behindDoc="0" locked="0" layoutInCell="1" allowOverlap="1" wp14:anchorId="540F18DD" wp14:editId="2BF2EED9">
              <wp:simplePos x="0" y="0"/>
              <wp:positionH relativeFrom="column">
                <wp:posOffset>3810</wp:posOffset>
              </wp:positionH>
              <wp:positionV relativeFrom="paragraph">
                <wp:posOffset>50165</wp:posOffset>
              </wp:positionV>
              <wp:extent cx="6286500" cy="19050"/>
              <wp:effectExtent l="19050" t="19050" r="0" b="0"/>
              <wp:wrapNone/>
              <wp:docPr id="4"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215B21A" id="Line 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" strokecolor="blue" strokeweight="2.25pt"/>
          </w:pict>
        </mc:Fallback>
      </mc:AlternateContent>
    </w:r>
  </w:p>
  <w:p w14:paraId="4F86A2DC" w14:textId="77777777" w:rsidR="00675476" w:rsidRPr="00AE044C" w:rsidRDefault="00C72FBB" w:rsidP="00391509">
    <w:pPr>
      <w:pStyle w:val="Piedepgina"/>
      <w:ind w:right="360"/>
      <w:rPr>
        <w:sz w:val="22"/>
        <w:szCs w:val="22"/>
      </w:rPr>
    </w:pPr>
    <w:hyperlink r:id="rId1" w:history="1">
      <w:r w:rsidR="00391509" w:rsidRPr="00AE044C">
        <w:rPr>
          <w:rStyle w:val="Hipervnculo"/>
          <w:sz w:val="22"/>
          <w:szCs w:val="22"/>
        </w:rPr>
        <w:t>http://scielo.sld.cu</w:t>
      </w:r>
    </w:hyperlink>
  </w:p>
  <w:p w14:paraId="7B22B02E" w14:textId="77777777" w:rsidR="00391509" w:rsidRPr="00AE044C" w:rsidRDefault="00C72FBB" w:rsidP="00AE044C">
    <w:pPr>
      <w:pStyle w:val="Piedepgina"/>
      <w:tabs>
        <w:tab w:val="clear" w:pos="4252"/>
        <w:tab w:val="left" w:pos="8504"/>
      </w:tabs>
      <w:ind w:right="360"/>
      <w:rPr>
        <w:sz w:val="22"/>
        <w:szCs w:val="22"/>
      </w:rPr>
    </w:pPr>
    <w:hyperlink r:id="rId2" w:history="1">
      <w:r w:rsidR="00391509" w:rsidRPr="00AE044C">
        <w:rPr>
          <w:rStyle w:val="Hipervnculo"/>
          <w:sz w:val="22"/>
          <w:szCs w:val="22"/>
        </w:rPr>
        <w:t>http://www.revmedmilitar.sld.cu</w:t>
      </w:r>
    </w:hyperlink>
    <w:r w:rsidR="00391509" w:rsidRPr="00AE044C">
      <w:rPr>
        <w:sz w:val="22"/>
        <w:szCs w:val="22"/>
      </w:rPr>
      <w:t xml:space="preserve"> </w:t>
    </w:r>
    <w:r w:rsidR="00AE044C">
      <w:rPr>
        <w:sz w:val="22"/>
        <w:szCs w:val="22"/>
      </w:rPr>
      <w:tab/>
    </w:r>
  </w:p>
  <w:p w14:paraId="7CCDC1E1" w14:textId="0A71B30B" w:rsidR="00180CE9" w:rsidRPr="00CC376A" w:rsidRDefault="00180CE9" w:rsidP="00180CE9">
    <w:pPr>
      <w:pStyle w:val="Piedepgina"/>
      <w:ind w:right="360"/>
      <w:jc w:val="center"/>
      <w:rPr>
        <w:rFonts w:ascii="Verdana" w:hAnsi="Verdana"/>
        <w:sz w:val="18"/>
        <w:szCs w:val="18"/>
      </w:rPr>
    </w:pPr>
    <w:r w:rsidRPr="00AE044C">
      <w:rPr>
        <w:sz w:val="22"/>
        <w:szCs w:val="22"/>
      </w:rPr>
      <w:t xml:space="preserve">Bajo licencia </w:t>
    </w:r>
    <w:proofErr w:type="spellStart"/>
    <w:r w:rsidRPr="00AE044C">
      <w:rPr>
        <w:sz w:val="22"/>
        <w:szCs w:val="22"/>
      </w:rPr>
      <w:t>Creative</w:t>
    </w:r>
    <w:proofErr w:type="spellEnd"/>
    <w:r w:rsidRPr="00AE044C">
      <w:rPr>
        <w:sz w:val="22"/>
        <w:szCs w:val="22"/>
      </w:rPr>
      <w:t xml:space="preserve"> </w:t>
    </w:r>
    <w:proofErr w:type="spellStart"/>
    <w:r w:rsidRPr="00AE044C">
      <w:rPr>
        <w:sz w:val="22"/>
        <w:szCs w:val="22"/>
      </w:rPr>
      <w:t>Commons</w:t>
    </w:r>
    <w:proofErr w:type="spellEnd"/>
    <w:r>
      <w:rPr>
        <w:rFonts w:ascii="Verdana" w:hAnsi="Verdana"/>
        <w:sz w:val="18"/>
        <w:szCs w:val="18"/>
      </w:rPr>
      <w:t xml:space="preserve"> </w:t>
    </w:r>
    <w:r w:rsidR="0071468F" w:rsidRPr="0071468F">
      <w:rPr>
        <w:rFonts w:ascii="Verdana" w:hAnsi="Verdana"/>
        <w:noProof/>
        <w:sz w:val="18"/>
        <w:szCs w:val="18"/>
        <w:lang w:val="en-US" w:eastAsia="en-US"/>
      </w:rPr>
      <w:drawing>
        <wp:inline distT="0" distB="0" distL="0" distR="0" wp14:anchorId="6239B657" wp14:editId="6A063024">
          <wp:extent cx="638175" cy="146685"/>
          <wp:effectExtent l="0" t="0" r="0" b="0"/>
          <wp:docPr id="3" name="Imagen 3">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8175" cy="14668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F7201B" w14:textId="77777777" w:rsidR="00C72FBB" w:rsidRDefault="00C72FBB">
      <w:r>
        <w:separator/>
      </w:r>
    </w:p>
  </w:footnote>
  <w:footnote w:type="continuationSeparator" w:id="0">
    <w:p w14:paraId="334AFED7" w14:textId="77777777" w:rsidR="00C72FBB" w:rsidRDefault="00C72F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B0E3E" w14:textId="5B509637" w:rsidR="00CC376A" w:rsidRPr="00AE044C" w:rsidRDefault="0071468F" w:rsidP="00180CE9">
    <w:pPr>
      <w:pStyle w:val="Encabezado"/>
      <w:tabs>
        <w:tab w:val="left" w:pos="420"/>
      </w:tabs>
      <w:jc w:val="center"/>
      <w:rPr>
        <w:sz w:val="22"/>
        <w:szCs w:val="22"/>
      </w:rPr>
    </w:pPr>
    <w:r>
      <w:rPr>
        <w:noProof/>
      </w:rPr>
      <w:drawing>
        <wp:anchor distT="0" distB="0" distL="114300" distR="114300" simplePos="0" relativeHeight="251662336" behindDoc="0" locked="0" layoutInCell="1" allowOverlap="1" wp14:anchorId="31F8EA81" wp14:editId="62AE7F25">
          <wp:simplePos x="0" y="0"/>
          <wp:positionH relativeFrom="column">
            <wp:posOffset>6029325</wp:posOffset>
          </wp:positionH>
          <wp:positionV relativeFrom="paragraph">
            <wp:posOffset>-276225</wp:posOffset>
          </wp:positionV>
          <wp:extent cx="238125" cy="269875"/>
          <wp:effectExtent l="0" t="0" r="0" b="0"/>
          <wp:wrapThrough wrapText="bothSides">
            <wp:wrapPolygon edited="0">
              <wp:start x="0" y="0"/>
              <wp:lineTo x="0" y="19821"/>
              <wp:lineTo x="20736" y="19821"/>
              <wp:lineTo x="20736" y="0"/>
              <wp:lineTo x="0" y="0"/>
            </wp:wrapPolygon>
          </wp:wrapThrough>
          <wp:docPr id="7"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125" cy="269875"/>
                  </a:xfrm>
                  <a:prstGeom prst="rect">
                    <a:avLst/>
                  </a:prstGeom>
                  <a:noFill/>
                  <a:ln>
                    <a:noFill/>
                  </a:ln>
                </pic:spPr>
              </pic:pic>
            </a:graphicData>
          </a:graphic>
          <wp14:sizeRelH relativeFrom="page">
            <wp14:pctWidth>0</wp14:pctWidth>
          </wp14:sizeRelH>
          <wp14:sizeRelV relativeFrom="page">
            <wp14:pctHeight>0</wp14:pctHeight>
          </wp14:sizeRelV>
        </wp:anchor>
      </w:drawing>
    </w:r>
    <w:r w:rsidR="00FE40CB" w:rsidRPr="00AE044C">
      <w:rPr>
        <w:sz w:val="22"/>
        <w:szCs w:val="22"/>
      </w:rPr>
      <w:t xml:space="preserve">Revista </w:t>
    </w:r>
    <w:r w:rsidR="00380D64" w:rsidRPr="00AE044C">
      <w:rPr>
        <w:sz w:val="22"/>
        <w:szCs w:val="22"/>
      </w:rPr>
      <w:t>Cubana de Medicina Militar.</w:t>
    </w:r>
    <w:r w:rsidR="00D85951" w:rsidRPr="00AE044C">
      <w:rPr>
        <w:sz w:val="22"/>
        <w:szCs w:val="22"/>
      </w:rPr>
      <w:t xml:space="preserve"> </w:t>
    </w:r>
    <w:r>
      <w:rPr>
        <w:sz w:val="22"/>
        <w:szCs w:val="22"/>
      </w:rPr>
      <w:t>2021</w:t>
    </w:r>
    <w:r w:rsidR="003E03D5">
      <w:rPr>
        <w:sz w:val="22"/>
        <w:szCs w:val="22"/>
      </w:rPr>
      <w:t>;</w:t>
    </w:r>
    <w:r>
      <w:rPr>
        <w:sz w:val="22"/>
        <w:szCs w:val="22"/>
      </w:rPr>
      <w:t>50</w:t>
    </w:r>
    <w:r w:rsidR="00493701" w:rsidRPr="00AE044C">
      <w:rPr>
        <w:sz w:val="22"/>
        <w:szCs w:val="22"/>
      </w:rPr>
      <w:t>(</w:t>
    </w:r>
    <w:r>
      <w:rPr>
        <w:sz w:val="22"/>
        <w:szCs w:val="22"/>
      </w:rPr>
      <w:t>3</w:t>
    </w:r>
    <w:r w:rsidR="00493701" w:rsidRPr="00AE044C">
      <w:rPr>
        <w:sz w:val="22"/>
        <w:szCs w:val="22"/>
      </w:rPr>
      <w:t>)</w:t>
    </w:r>
    <w:r w:rsidR="00391509" w:rsidRPr="00AE044C">
      <w:rPr>
        <w:sz w:val="22"/>
        <w:szCs w:val="22"/>
      </w:rPr>
      <w:t>:</w:t>
    </w:r>
    <w:r>
      <w:rPr>
        <w:sz w:val="22"/>
        <w:szCs w:val="22"/>
      </w:rPr>
      <w:t xml:space="preserve"> e02101450</w:t>
    </w:r>
  </w:p>
  <w:p w14:paraId="345E26BB" w14:textId="52DD5090" w:rsidR="00A477DE" w:rsidRDefault="0071468F">
    <w:r>
      <w:rPr>
        <w:noProof/>
      </w:rPr>
      <mc:AlternateContent>
        <mc:Choice Requires="wps">
          <w:drawing>
            <wp:anchor distT="0" distB="0" distL="114300" distR="114300" simplePos="0" relativeHeight="251657216" behindDoc="0" locked="0" layoutInCell="1" allowOverlap="1" wp14:anchorId="354931FA" wp14:editId="030E3393">
              <wp:simplePos x="0" y="0"/>
              <wp:positionH relativeFrom="column">
                <wp:posOffset>3810</wp:posOffset>
              </wp:positionH>
              <wp:positionV relativeFrom="paragraph">
                <wp:posOffset>44450</wp:posOffset>
              </wp:positionV>
              <wp:extent cx="6276975" cy="28575"/>
              <wp:effectExtent l="19050" t="19050" r="9525" b="9525"/>
              <wp:wrapNone/>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6975" cy="28575"/>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8F6EEDF" id="Line 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5pt" to="494.5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" strokecolor="blue" strokeweight="2.25p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68F"/>
    <w:rsid w:val="000F3690"/>
    <w:rsid w:val="001221D1"/>
    <w:rsid w:val="00180CE9"/>
    <w:rsid w:val="00230DD5"/>
    <w:rsid w:val="00380D64"/>
    <w:rsid w:val="00391509"/>
    <w:rsid w:val="003E03D5"/>
    <w:rsid w:val="00486BFA"/>
    <w:rsid w:val="00493701"/>
    <w:rsid w:val="004E2065"/>
    <w:rsid w:val="005508A2"/>
    <w:rsid w:val="00566F71"/>
    <w:rsid w:val="005918BD"/>
    <w:rsid w:val="006173A6"/>
    <w:rsid w:val="00675476"/>
    <w:rsid w:val="0071468F"/>
    <w:rsid w:val="00763B90"/>
    <w:rsid w:val="007C430F"/>
    <w:rsid w:val="007D614D"/>
    <w:rsid w:val="00960D6A"/>
    <w:rsid w:val="009A0560"/>
    <w:rsid w:val="009B0917"/>
    <w:rsid w:val="00A23C0C"/>
    <w:rsid w:val="00A477DE"/>
    <w:rsid w:val="00A71E65"/>
    <w:rsid w:val="00AE044C"/>
    <w:rsid w:val="00B31971"/>
    <w:rsid w:val="00B4380A"/>
    <w:rsid w:val="00B66ECB"/>
    <w:rsid w:val="00C72FBB"/>
    <w:rsid w:val="00C7523A"/>
    <w:rsid w:val="00CC1B6E"/>
    <w:rsid w:val="00CC376A"/>
    <w:rsid w:val="00CC48A1"/>
    <w:rsid w:val="00CF50E0"/>
    <w:rsid w:val="00D85951"/>
    <w:rsid w:val="00E62606"/>
    <w:rsid w:val="00EC5A6B"/>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DBCAEC"/>
  <w15:docId w15:val="{56154B6A-CD91-4F0B-A282-5279A81F6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U" w:eastAsia="es-C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rsid w:val="00A71E65"/>
    <w:rPr>
      <w:rFonts w:ascii="Tahoma" w:hAnsi="Tahoma" w:cs="Tahoma"/>
      <w:sz w:val="16"/>
      <w:szCs w:val="16"/>
    </w:rPr>
  </w:style>
  <w:style w:type="character" w:customStyle="1" w:styleId="TextodegloboCar">
    <w:name w:val="Texto de globo Car"/>
    <w:link w:val="Textodeglobo"/>
    <w:rsid w:val="00A71E65"/>
    <w:rPr>
      <w:rFonts w:ascii="Tahoma" w:hAnsi="Tahoma" w:cs="Tahoma"/>
      <w:sz w:val="16"/>
      <w:szCs w:val="16"/>
      <w:lang w:val="es-ES_tradnl" w:eastAsia="es-ES_tradnl"/>
    </w:rPr>
  </w:style>
  <w:style w:type="table" w:customStyle="1" w:styleId="Tablaconcuadrcula1">
    <w:name w:val="Tabla con cuadrícula1"/>
    <w:basedOn w:val="Tablanormal"/>
    <w:next w:val="Tablaconcuadrcula"/>
    <w:uiPriority w:val="39"/>
    <w:rsid w:val="0071468F"/>
    <w:rPr>
      <w:rFonts w:ascii="Calibri" w:eastAsia="Calibri" w:hAnsi="Calibri"/>
      <w:sz w:val="22"/>
      <w:szCs w:val="22"/>
      <w:lang w:val="es-P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rsid w:val="007146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8101-3932" TargetMode="External"/><Relationship Id="rId13" Type="http://schemas.openxmlformats.org/officeDocument/2006/relationships/image" Target="media/image1.jpeg"/><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orcid.org/0000-0002-2604-7822" TargetMode="External"/><Relationship Id="rId12" Type="http://schemas.openxmlformats.org/officeDocument/2006/relationships/hyperlink" Target="https://osf.io/v954z/" TargetMode="External"/><Relationship Id="rId17" Type="http://schemas.openxmlformats.org/officeDocument/2006/relationships/hyperlink" Target="http://frooyesh.ir/article-1-1956-en.html" TargetMode="External"/><Relationship Id="rId2" Type="http://schemas.openxmlformats.org/officeDocument/2006/relationships/styles" Target="styles.xml"/><Relationship Id="rId16" Type="http://schemas.openxmlformats.org/officeDocument/2006/relationships/hyperlink" Target="http://www.medisur.sld.cu/index.php/medisur/article/view/4973"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banos.jhc@gmail.com" TargetMode="External"/><Relationship Id="rId5" Type="http://schemas.openxmlformats.org/officeDocument/2006/relationships/footnotes" Target="footnotes.xml"/><Relationship Id="rId15" Type="http://schemas.openxmlformats.org/officeDocument/2006/relationships/image" Target="media/image3.jpeg"/><Relationship Id="rId10" Type="http://schemas.openxmlformats.org/officeDocument/2006/relationships/hyperlink" Target="https://orcid.org/0000-0003-3756-1541"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orcid.org/0000-0001-6025-8415" TargetMode="External"/><Relationship Id="rId14" Type="http://schemas.openxmlformats.org/officeDocument/2006/relationships/image" Target="media/image2.jpeg"/><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gif"/></Relationships>
</file>

<file path=word/_rels/settings.xml.rels><?xml version="1.0" encoding="UTF-8" standalone="yes"?>
<Relationships xmlns="http://schemas.openxmlformats.org/package/2006/relationships"><Relationship Id="rId1" Type="http://schemas.openxmlformats.org/officeDocument/2006/relationships/attachedTemplate" Target="file:///D:\Revista%20CMM\NORMAS\PLANTILLA%20PDF\OK_art&#237;cul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Bañ201</b:Tag>
    <b:SourceType>JournalArticle</b:SourceType>
    <b:Guid>{CB783709-8C9F-40EB-8202-F0A82C08F248}</b:Guid>
    <b:Author>
      <b:Author>
        <b:NameList>
          <b:Person>
            <b:Last>Baños-Chaparro</b:Last>
            <b:First>J.</b:First>
          </b:Person>
          <b:Person>
            <b:Last>Ramos-Vera</b:Last>
            <b:First>C.</b:First>
          </b:Person>
        </b:NameList>
      </b:Author>
    </b:Author>
    <b:Title>Validez e invarianza según sexo y edad de la Escala Paykel de Ideación Suicida en adolescentes peruanos</b:Title>
    <b:JournalName>Interacciones</b:JournalName>
    <b:Year>2020</b:Year>
    <b:Pages>e225</b:Pages>
    <b:Volume>6</b:Volume>
    <b:Issue>1</b:Issue>
    <b:DOI>https://doi.org/10.24016/2020.v6n1.225</b:DOI>
    <b:RefOrder>1</b:RefOrder>
  </b:Source>
  <b:Source>
    <b:Tag>van14</b:Tag>
    <b:SourceType>JournalArticle</b:SourceType>
    <b:Guid>{F2D160A6-DA26-416E-98EC-D03BA58CD957}</b:Guid>
    <b:Author>
      <b:Author>
        <b:NameList>
          <b:Person>
            <b:Last>van Borkulo</b:Last>
            <b:First>C.</b:First>
            <b:Middle>D.</b:Middle>
          </b:Person>
          <b:Person>
            <b:Last>Borsboom</b:Last>
            <b:First>D.</b:First>
          </b:Person>
          <b:Person>
            <b:Last>Epskamp</b:Last>
            <b:First>S.</b:First>
          </b:Person>
          <b:Person>
            <b:Last>Blanken</b:Last>
            <b:First>T.</b:First>
            <b:Middle>F.</b:Middle>
          </b:Person>
          <b:Person>
            <b:Last>Boschloo</b:Last>
            <b:First>L.</b:First>
          </b:Person>
          <b:Person>
            <b:Last>Schoevers</b:Last>
            <b:First>R.</b:First>
            <b:Middle>A.</b:Middle>
          </b:Person>
          <b:Person>
            <b:Last>Waldorp</b:Last>
            <b:First>L.</b:First>
            <b:Middle>J.</b:Middle>
          </b:Person>
        </b:NameList>
      </b:Author>
    </b:Author>
    <b:Title>A new method for constructing networks from binary data</b:Title>
    <b:JournalName>Sci Rep</b:JournalName>
    <b:Year>2014</b:Year>
    <b:Pages>5918</b:Pages>
    <b:Volume>4</b:Volume>
    <b:URL>https://www.nature.com/articles/srep05918</b:URL>
    <b:RefOrder>2</b:RefOrder>
  </b:Source>
  <b:Source>
    <b:Tag>Fru91</b:Tag>
    <b:SourceType>JournalArticle</b:SourceType>
    <b:Guid>{970FA355-7AA4-48A6-AF83-DD33C581F635}</b:Guid>
    <b:Author>
      <b:Author>
        <b:NameList>
          <b:Person>
            <b:Last>Fruchterman</b:Last>
            <b:First>T.</b:First>
            <b:Middle>M. J.</b:Middle>
          </b:Person>
          <b:Person>
            <b:Last>Reingold</b:Last>
            <b:First>E.</b:First>
            <b:Middle>M.</b:Middle>
          </b:Person>
        </b:NameList>
      </b:Author>
    </b:Author>
    <b:Title>Graph Drawing by Force-directed Placement</b:Title>
    <b:JournalName>Softw Pract Exp</b:JournalName>
    <b:Year>1991</b:Year>
    <b:Pages>1129-64</b:Pages>
    <b:Volume>21</b:Volume>
    <b:Issue>11</b:Issue>
    <b:URL>https://onlinelibrary.wiley.com/doi/abs/10.1002/spe.4380211102</b:URL>
    <b:DOI>https://doi.org/10.1002/spe.4380211102</b:DOI>
    <b:RefOrder>3</b:RefOrder>
  </b:Source>
  <b:Source>
    <b:Tag>Váz17</b:Tag>
    <b:SourceType>BookSection</b:SourceType>
    <b:Guid>{D1C7D151-B75F-4B5E-9192-B3EBA47C4653}</b:Guid>
    <b:Title>Teoría de redes en psicopatología: Una alternativa radical a los sistemas diagnósticos</b:Title>
    <b:Year>2017</b:Year>
    <b:Pages>65-89</b:Pages>
    <b:Author>
      <b:Author>
        <b:NameList>
          <b:Person>
            <b:Last>Vázquez Valverde</b:Last>
            <b:First>C.</b:First>
          </b:Person>
          <b:Person>
            <b:Last>Roca Morales</b:Last>
            <b:First>P.</b:First>
          </b:Person>
          <b:Person>
            <b:Last>Poyato Vega</b:Last>
            <b:First>N.</b:First>
          </b:Person>
          <b:Person>
            <b:Last>Pascual Nicolás</b:Last>
            <b:First>T.</b:First>
          </b:Person>
        </b:NameList>
      </b:Author>
      <b:BookAuthor>
        <b:NameList>
          <b:Person>
            <b:Last>Fernández Ballesteros</b:Last>
            <b:First>R.</b:First>
          </b:Person>
          <b:Person>
            <b:Last>Baños Rivera</b:Last>
            <b:First>R.</b:First>
          </b:Person>
        </b:NameList>
      </b:BookAuthor>
    </b:Author>
    <b:BookTitle>Progresos y crisis en psicología clínica: tratamientos basados en la evidencia y crisis del diagnóstico</b:BookTitle>
    <b:City>España</b:City>
    <b:Publisher>Pirámide</b:Publisher>
    <b:RefOrder>4</b:RefOrder>
  </b:Source>
  <b:Source>
    <b:Tag>Bor17</b:Tag>
    <b:SourceType>JournalArticle</b:SourceType>
    <b:Guid>{AC6A17B6-2441-4E62-B57E-A48FE8747D7F}</b:Guid>
    <b:Author>
      <b:Author>
        <b:NameList>
          <b:Person>
            <b:Last>Borsboom</b:Last>
            <b:First>D.</b:First>
          </b:Person>
        </b:NameList>
      </b:Author>
    </b:Author>
    <b:Title>A network theory of mental disorders</b:Title>
    <b:JournalName>World Psychiatry</b:JournalName>
    <b:Year>2017</b:Year>
    <b:Pages>5-13</b:Pages>
    <b:Volume>16</b:Volume>
    <b:Issue>1</b:Issue>
    <b:URL>https://www.ncbi.nlm.nih.gov/pmc/articles/PMC5269502/</b:URL>
    <b:DOI>10.1002/wps.20375</b:DOI>
    <b:RefOrder>5</b:RefOrder>
  </b:Source>
  <b:Source>
    <b:Tag>Bañ21</b:Tag>
    <b:SourceType>JournalArticle</b:SourceType>
    <b:Guid>{212AD59E-D152-4FF0-A4D1-6902CF9E3421}</b:Guid>
    <b:Author>
      <b:Author>
        <b:NameList>
          <b:Person>
            <b:Last>Baños-Chaparro</b:Last>
            <b:First>J.</b:First>
          </b:Person>
        </b:NameList>
      </b:Author>
    </b:Author>
    <b:Title>Suicidio por arma de fuego: un problema de salud pública</b:Title>
    <b:JournalName>Medisur</b:JournalName>
    <b:Year>2021</b:Year>
    <b:Pages>1-4</b:Pages>
    <b:Volume>19</b:Volume>
    <b:Issue>2</b:Issue>
    <b:URL>http://www.medisur.sld.cu/index.php/medisur/article/view/4973</b:URL>
    <b:RefOrder>6</b:RefOrder>
  </b:Source>
  <b:Source>
    <b:Tag>DeB19</b:Tag>
    <b:SourceType>JournalArticle</b:SourceType>
    <b:Guid>{661DB305-1492-4705-A6D6-B688BF8DF2C8}</b:Guid>
    <b:Author>
      <b:Author>
        <b:NameList>
          <b:Person>
            <b:Last>De Beurs</b:Last>
            <b:First>D.</b:First>
          </b:Person>
          <b:Person>
            <b:Last>Fried</b:Last>
            <b:First>E.</b:First>
            <b:Middle>I.</b:Middle>
          </b:Person>
          <b:Person>
            <b:Last>Wetherall</b:Last>
            <b:First>K.</b:First>
          </b:Person>
          <b:Person>
            <b:Last>Cleare</b:Last>
            <b:First>S.</b:First>
          </b:Person>
          <b:Person>
            <b:Last>O'Connor</b:Last>
            <b:First>D.</b:First>
            <b:Middle>B.</b:Middle>
          </b:Person>
          <b:Person>
            <b:Last>Ferguson</b:Last>
            <b:First>E.</b:First>
          </b:Person>
          <b:Person>
            <b:Last>O'Carroll</b:Last>
            <b:First>R.</b:First>
            <b:Middle>E.</b:Middle>
          </b:Person>
          <b:Person>
            <b:Last>O'Connor</b:Last>
            <b:First>R.</b:First>
            <b:Middle>C.</b:Middle>
          </b:Person>
        </b:NameList>
      </b:Author>
    </b:Author>
    <b:Title>Exploring the psychology of suicidal ideation: A theory driven network analysis</b:Title>
    <b:JournalName>Behav Res Ther</b:JournalName>
    <b:Year>2019</b:Year>
    <b:Pages>103419</b:Pages>
    <b:Volume>120</b:Volume>
    <b:URL>https://www.sciencedirect.com/science/article/pii/S0005796719301056</b:URL>
    <b:DOI>https://doi.org/10.1016/j.brat.2019.103419</b:DOI>
    <b:RefOrder>7</b:RefOrder>
  </b:Source>
  <b:Source>
    <b:Tag>deB21</b:Tag>
    <b:SourceType>JournalArticle</b:SourceType>
    <b:Guid>{F11EB735-C229-463F-8A60-B9502729A77B}</b:Guid>
    <b:Author>
      <b:Author>
        <b:NameList>
          <b:Person>
            <b:Last>De Beurs</b:Last>
            <b:First>D.</b:First>
          </b:Person>
          <b:Person>
            <b:Last>Bockting</b:Last>
            <b:First>C.</b:First>
          </b:Person>
          <b:Person>
            <b:Last>Kerkhof</b:Last>
            <b:First>A.</b:First>
          </b:Person>
          <b:Person>
            <b:Last>Scheepers</b:Last>
            <b:First>F.</b:First>
          </b:Person>
          <b:Person>
            <b:Last>O'Connor</b:Last>
            <b:First>R.</b:First>
          </b:Person>
          <b:Person>
            <b:Last>Penninx</b:Last>
            <b:First>B.</b:First>
          </b:Person>
          <b:Person>
            <b:Last>van de Leemput</b:Last>
            <b:First>I.</b:First>
          </b:Person>
        </b:NameList>
      </b:Author>
    </b:Author>
    <b:Title>A network perspective on suicidal behavior: Understanding suicidality as a complex system</b:Title>
    <b:JournalName>Suicide Life Threat Behav</b:JournalName>
    <b:Year>2021</b:Year>
    <b:Pages>115-26</b:Pages>
    <b:Volume>51</b:Volume>
    <b:Issue>1</b:Issue>
    <b:URL>https://onlinelibrary.wiley.com/doi/full/10.1111/sltb.12676</b:URL>
    <b:DOI>https://doi.org/10.1111/sltb.12676</b:DOI>
    <b:RefOrder>8</b:RefOrder>
  </b:Source>
  <b:Source>
    <b:Tag>Ord21</b:Tag>
    <b:SourceType>JournalArticle</b:SourceType>
    <b:Guid>{51F95F5C-C99E-449A-ACBF-097F93E9B192}</b:Guid>
    <b:Author>
      <b:Author>
        <b:NameList>
          <b:Person>
            <b:Last>Ordóñez-Carrasco</b:Last>
            <b:First>J.</b:First>
            <b:Middle>L.</b:Middle>
          </b:Person>
          <b:Person>
            <b:Last>Sayans-Jiménez</b:Last>
            <b:First>P.</b:First>
          </b:Person>
          <b:Person>
            <b:Last>Rojas-Tejada</b:Last>
            <b:First>A.</b:First>
            <b:Middle>J.</b:Middle>
          </b:Person>
        </b:NameList>
      </b:Author>
    </b:Author>
    <b:Title>Ideation-to-action framework variables involved in the development of suicidal ideation: A network analysis</b:Title>
    <b:JournalName>Curr Psychol</b:JournalName>
    <b:Year>2021</b:Year>
    <b:URL>https://link.springer.com/article/10.1007/s12144-021-01765-w</b:URL>
    <b:DOI>https://doi.org/10.1007/s12144-021-01765-w</b:DOI>
    <b:RefOrder>9</b:RefOrder>
  </b:Source>
  <b:Source>
    <b:Tag>Núñ20</b:Tag>
    <b:SourceType>JournalArticle</b:SourceType>
    <b:Guid>{92E8FDFD-EA0D-4362-B2CA-2843084BBB16}</b:Guid>
    <b:Author>
      <b:Author>
        <b:NameList>
          <b:Person>
            <b:Last>Núñez</b:Last>
            <b:First>D.</b:First>
          </b:Person>
          <b:Person>
            <b:Last>Ulloa</b:Last>
            <b:First>J.</b:First>
            <b:Middle>L.</b:Middle>
          </b:Person>
          <b:Person>
            <b:Last>Guillaume</b:Last>
            <b:First>S.</b:First>
          </b:Person>
          <b:Person>
            <b:Last>Olué</b:Last>
            <b:First>E.</b:First>
          </b:Person>
          <b:Person>
            <b:Last>Alacreu-Crespo</b:Last>
            <b:First>A.</b:First>
          </b:Person>
          <b:Person>
            <b:Last>Courtet</b:Last>
            <b:First>P.</b:First>
          </b:Person>
        </b:NameList>
      </b:Author>
    </b:Author>
    <b:Title>Suicidal ideation and affect lability in single and multiple suicidal attempters with Major Depressive Disorder: An exploratory network analysis</b:Title>
    <b:JournalName>J Affect Disord</b:JournalName>
    <b:Year>2020</b:Year>
    <b:Pages>371-79</b:Pages>
    <b:Volume>272</b:Volume>
    <b:URL>https://www.sciencedirect.com/science/article/abs/pii/S0165032720303177</b:URL>
    <b:DOI>https://doi.org/10.1016/j.jad.2020.04.004</b:DOI>
    <b:RefOrder>10</b:RefOrder>
  </b:Source>
  <b:Source>
    <b:Tag>Shi20</b:Tag>
    <b:SourceType>JournalArticle</b:SourceType>
    <b:Guid>{274C98A2-B7AF-4FB3-9730-678C6C104D39}</b:Guid>
    <b:Author>
      <b:Author>
        <b:NameList>
          <b:Person>
            <b:Last>Shim</b:Last>
            <b:First>E.</b:First>
            <b:Middle>J.</b:Middle>
          </b:Person>
          <b:Person>
            <b:Last>Ha</b:Last>
            <b:First>H.</b:First>
          </b:Person>
          <b:Person>
            <b:Last>Park</b:Last>
            <b:First>J.</b:First>
            <b:Middle>E.</b:Middle>
          </b:Person>
          <b:Person>
            <b:Last>Kim</b:Last>
            <b:First>B.</b:First>
            <b:Middle>S.</b:Middle>
          </b:Person>
          <b:Person>
            <b:Last>Chang</b:Last>
            <b:First>S.</b:First>
            <b:Middle>M.</b:Middle>
          </b:Person>
          <b:Person>
            <b:Last>Hong</b:Last>
            <b:First>J.</b:First>
            <b:Middle>P.</b:Middle>
          </b:Person>
          <b:Person>
            <b:Last>Cho</b:Last>
            <b:First>M.</b:First>
            <b:Middle>J.</b:Middle>
          </b:Person>
          <b:Person>
            <b:Last>Hahm</b:Last>
            <b:First>B.</b:First>
            <b:Middle>J.</b:Middle>
          </b:Person>
        </b:NameList>
      </b:Author>
    </b:Author>
    <b:Title>Gender-based examination of the association between individual symptoms of alcohol use disorder, major depressive disorder, and suicidal behaviors: a network analysis of data from the Korean Epidemiologic Catchment Area Study</b:Title>
    <b:JournalName>J Affect Disord</b:JournalName>
    <b:Year>2020</b:Year>
    <b:Pages>432-39</b:Pages>
    <b:Volume>272</b:Volume>
    <b:URL>https://www.sciencedirect.com/science/article/abs/pii/S0165032719330897</b:URL>
    <b:DOI>https://doi.org/10.1016/j.jad.2020.03.162</b:DOI>
    <b:RefOrder>11</b:RefOrder>
  </b:Source>
  <b:Source>
    <b:Tag>DeB191</b:Tag>
    <b:SourceType>JournalArticle</b:SourceType>
    <b:Guid>{0EB4A21F-6A27-45A9-B9C4-1E8AD86A88E3}</b:Guid>
    <b:Author>
      <b:Author>
        <b:NameList>
          <b:Person>
            <b:Last>De Beurs</b:Last>
            <b:First>D.</b:First>
          </b:Person>
          <b:Person>
            <b:Last>ten Have</b:Last>
            <b:First>M.</b:First>
          </b:Person>
          <b:Person>
            <b:Last>Cuijpers</b:Last>
            <b:First>P.</b:First>
          </b:Person>
          <b:Person>
            <b:Last>De Graaf</b:Last>
            <b:First>R.</b:First>
          </b:Person>
        </b:NameList>
      </b:Author>
    </b:Author>
    <b:Title>The longitudinal association between lifetime mental disorders and first onset or recurrent suicide ideation</b:Title>
    <b:JournalName>BMC Psychiatry</b:JournalName>
    <b:Year>2019</b:Year>
    <b:Pages>345</b:Pages>
    <b:Volume>19</b:Volume>
    <b:URL>https://bmcpsychiatry.biomedcentral.com/articles/10.1186/s12888-019-2328-8</b:URL>
    <b:DOI>https://doi.org/10.1186/s12888-019-2328-8</b:DOI>
    <b:RefOrder>12</b:RefOrder>
  </b:Source>
  <b:Source>
    <b:Tag>Fon20</b:Tag>
    <b:SourceType>JournalArticle</b:SourceType>
    <b:Guid>{6045A6C1-4F14-452A-B123-B76D635C69FF}</b:Guid>
    <b:Author>
      <b:Author>
        <b:NameList>
          <b:Person>
            <b:Last>Fonseca-Pedrero</b:Last>
            <b:First>E.</b:First>
          </b:Person>
          <b:Person>
            <b:Last>Díez-Gómez</b:Last>
            <b:First>A.</b:First>
          </b:Person>
          <b:Person>
            <b:Last>de la Barrera</b:Last>
            <b:First>U.</b:First>
          </b:Person>
          <b:Person>
            <b:Last>Sebastian-Enesco</b:Last>
            <b:First>C.</b:First>
          </b:Person>
          <b:Person>
            <b:Last>Ortuño-Sierra</b:Last>
            <b:First>J.</b:First>
          </b:Person>
          <b:Person>
            <b:Last>Montoya-Castilla</b:Last>
            <b:First>I.</b:First>
          </b:Person>
          <b:Person>
            <b:Last>Lucas-Molina</b:Last>
            <b:First>B.</b:First>
          </b:Person>
          <b:Person>
            <b:Last>Inchausti</b:Last>
            <b:First>F.</b:First>
          </b:Person>
          <b:Person>
            <b:Last>Pérez-Albéniz</b:Last>
            <b:First>A.</b:First>
          </b:Person>
        </b:NameList>
      </b:Author>
    </b:Author>
    <b:Title>Conducta suicida en adolescentes: un análisis de redes</b:Title>
    <b:JournalName>Rev Psiquiatr Salud Ment</b:JournalName>
    <b:Year>2020</b:Year>
    <b:URL>https://www.sciencedirect.com/science/article/abs/pii/S188898912030032X</b:URL>
    <b:DOI>https://doi.org/10.1016/j.rpsm.2020.04.007</b:DOI>
    <b:RefOrder>13</b:RefOrder>
  </b:Source>
  <b:Source>
    <b:Tag>Fri17</b:Tag>
    <b:SourceType>JournalArticle</b:SourceType>
    <b:Guid>{6F668566-2D33-40E7-875F-3913E2B365DE}</b:Guid>
    <b:Title>Moving Forward: Challenges and Directions for Psychopathological Network Theory and Methodology</b:Title>
    <b:JournalName>Perspect Psychol Sci</b:JournalName>
    <b:Year>2017</b:Year>
    <b:Pages>999-1020</b:Pages>
    <b:Volume>12</b:Volume>
    <b:Issue>6</b:Issue>
    <b:URL>https://journals.sagepub.com/doi/abs/10.1177/1745691617705892</b:URL>
    <b:DOI>10.1177/1745691617705892</b:DOI>
    <b:Author>
      <b:Author>
        <b:NameList>
          <b:Person>
            <b:Last>Fried</b:Last>
            <b:First>E.</b:First>
            <b:Middle>I.</b:Middle>
          </b:Person>
          <b:Person>
            <b:Last>Cramer</b:Last>
            <b:First>A.</b:First>
            <b:Middle>O. J.</b:Middle>
          </b:Person>
        </b:NameList>
      </b:Author>
    </b:Author>
    <b:RefOrder>14</b:RefOrder>
  </b:Source>
  <b:Source>
    <b:Tag>Gra21</b:Tag>
    <b:SourceType>JournalArticle</b:SourceType>
    <b:Guid>{FC907F43-2B7C-462A-9C46-9B080D74D6A5}</b:Guid>
    <b:Author>
      <b:Author>
        <b:NameList>
          <b:Person>
            <b:Last>Graziano</b:Last>
            <b:First>R.</b:First>
            <b:Middle>C.</b:Middle>
          </b:Person>
          <b:Person>
            <b:Last>Aunon</b:Last>
            <b:First>F.</b:First>
            <b:Middle>M.</b:Middle>
          </b:Person>
          <b:Person>
            <b:Last>LoSavio</b:Last>
            <b:First>S.</b:First>
            <b:Middle>T.</b:Middle>
          </b:Person>
          <b:Person>
            <b:Last>Elbogen</b:Last>
            <b:First>E.</b:First>
            <b:Middle>B.</b:Middle>
          </b:Person>
          <b:Person>
            <b:Last>Beckham</b:Last>
            <b:First>J.</b:First>
            <b:Middle>C.</b:Middle>
          </b:Person>
        </b:NameList>
      </b:Author>
    </b:Author>
    <b:Title>A network analysis of risk factors for suicide in Iraq/Afghanistan-era veterans</b:Title>
    <b:JournalName>J Psychiatr Res</b:JournalName>
    <b:Year>2021</b:Year>
    <b:Pages>264-71</b:Pages>
    <b:Volume>138</b:Volume>
    <b:URL>https://www.sciencedirect.com/science/article/abs/pii/S002239562100217X</b:URL>
    <b:DOI>https://doi.org/10.1016/j.jpsychires.2021.03.065</b:DOI>
    <b:RefOrder>15</b:RefOrder>
  </b:Source>
  <b:Source>
    <b:Tag>Gij21</b:Tag>
    <b:SourceType>JournalArticle</b:SourceType>
    <b:Guid>{2CE7F214-E0B7-4280-8B67-463BA6BF6EF2}</b:Guid>
    <b:Author>
      <b:Author>
        <b:NameList>
          <b:Person>
            <b:Last>Gijzen</b:Last>
            <b:First>M.</b:First>
            <b:Middle>W. M.</b:Middle>
          </b:Person>
          <b:Person>
            <b:Last>Rasing</b:Last>
            <b:First>S.</b:First>
            <b:Middle>P. A.</b:Middle>
          </b:Person>
          <b:Person>
            <b:Last>Creemers</b:Last>
            <b:First>D.</b:First>
            <b:Middle>H. M.</b:Middle>
          </b:Person>
          <b:Person>
            <b:Last>Smit</b:Last>
            <b:First>F.</b:First>
          </b:Person>
          <b:Person>
            <b:Last>Engels</b:Last>
            <b:First>R.</b:First>
            <b:Middle>C. M.</b:Middle>
          </b:Person>
          <b:Person>
            <b:Last>De Beurs</b:Last>
            <b:First>D.</b:First>
          </b:Person>
        </b:NameList>
      </b:Author>
    </b:Author>
    <b:Title>Suicide ideation as a symptom of adolescent depression. A network analysis</b:Title>
    <b:JournalName>J Affect Disord</b:JournalName>
    <b:Year>2021</b:Year>
    <b:Pages>68-77</b:Pages>
    <b:Volume>278</b:Volume>
    <b:DOI>https://doi.org/10.1016/j.jad.2020.09.029</b:DOI>
    <b:URL>https://www.sciencedirect.com/science/article/pii/S0165032720327245</b:URL>
    <b:RefOrder>16</b:RefOrder>
  </b:Source>
  <b:Source>
    <b:Tag>Vas17</b:Tag>
    <b:SourceType>JournalArticle</b:SourceType>
    <b:Guid>{50A46EB7-CEDC-4A5B-B04D-01B4B46174AD}</b:Guid>
    <b:Author>
      <b:Author>
        <b:NameList>
          <b:Person>
            <b:Last>Vasudeva</b:Last>
            <b:First>N.</b:First>
          </b:Person>
          <b:Person>
            <b:Last>Singh</b:Last>
            <b:First>H.</b:First>
          </b:Person>
        </b:NameList>
      </b:Author>
    </b:Author>
    <b:Title>A study of emotional regulation process among patients with current suicide attempt</b:Title>
    <b:JournalName>Minerva Psichiatr</b:JournalName>
    <b:Year>2017</b:Year>
    <b:Pages>113-7</b:Pages>
    <b:Volume>58</b:Volume>
    <b:URL>https://www.minervamedica.it/en/journals/minerva-psychiatry/article.php?cod=R17Y2017N03A0113</b:URL>
    <b:DOI>10.23736/S0391-1772.17.01932-X</b:DOI>
    <b:RefOrder>17</b:RefOrder>
  </b:Source>
  <b:Source>
    <b:Tag>Mew16</b:Tag>
    <b:SourceType>JournalArticle</b:SourceType>
    <b:Guid>{5439D8BA-4629-423F-930D-30090E109D4F}</b:Guid>
    <b:Author>
      <b:Author>
        <b:NameList>
          <b:Person>
            <b:Last>Mewton</b:Last>
            <b:First>L.</b:First>
          </b:Person>
          <b:Person>
            <b:Last>Andrews</b:Last>
            <b:First>G.</b:First>
          </b:Person>
        </b:NameList>
      </b:Author>
    </b:Author>
    <b:Title>Cognitive behavioral therapy for suicidal behaviors: improving patient outcomes</b:Title>
    <b:JournalName>Psychol Res Behav Manag</b:JournalName>
    <b:Year>2016</b:Year>
    <b:Pages>21-9</b:Pages>
    <b:Volume>9</b:Volume>
    <b:URL>https://www.ncbi.nlm.nih.gov/pmc/articles/PMC4780394/</b:URL>
    <b:DOI>10.2147/PRBM.S84589</b:DOI>
    <b:RefOrder>18</b:RefOrder>
  </b:Source>
  <b:Source>
    <b:Tag>Haj20</b:Tag>
    <b:SourceType>JournalArticle</b:SourceType>
    <b:Guid>{D34CA862-2B15-4F56-8153-F644B71E5A65}</b:Guid>
    <b:Author>
      <b:Author>
        <b:NameList>
          <b:Person>
            <b:Last>Hajialiani</b:Last>
            <b:First>V.</b:First>
          </b:Person>
          <b:Person>
            <b:Last>Bahrami Ehsan</b:Last>
            <b:First>H.</b:First>
          </b:Person>
          <b:Person>
            <b:Last>Noferesti</b:Last>
            <b:First>A.</b:First>
          </b:Person>
        </b:NameList>
      </b:Author>
    </b:Author>
    <b:Title>The Effect of Mindfulness-Based Cognitive Therapy on Reducing Suicidal Ideations and Increasing Self-Compassion in Students</b:Title>
    <b:JournalName>Rooyesh</b:JournalName>
    <b:Year>2020</b:Year>
    <b:Pages>147-54</b:Pages>
    <b:Volume>9</b:Volume>
    <b:Issue>5</b:Issue>
    <b:URL>http://frooyesh.ir/article-1-1956-en.html</b:URL>
    <b:RefOrder>19</b:RefOrder>
  </b:Source>
  <b:Source>
    <b:Tag>Eps181</b:Tag>
    <b:SourceType>JournalArticle</b:SourceType>
    <b:Guid>{1B7B8E0E-2153-4D62-8EFE-0AFD9F8B91DA}</b:Guid>
    <b:Author>
      <b:Author>
        <b:NameList>
          <b:Person>
            <b:Last>Epskamp</b:Last>
            <b:First>S.</b:First>
          </b:Person>
          <b:Person>
            <b:Last>Borsboom</b:Last>
            <b:First>D.</b:First>
          </b:Person>
          <b:Person>
            <b:Last>Fried</b:Last>
            <b:First>E.</b:First>
            <b:Middle>I.</b:Middle>
          </b:Person>
        </b:NameList>
      </b:Author>
    </b:Author>
    <b:Title>Estimating psychological networks and their accuracy: A tutorial paper</b:Title>
    <b:JournalName>Behav Res</b:JournalName>
    <b:Year>2018</b:Year>
    <b:Pages>195-212</b:Pages>
    <b:Volume>50</b:Volume>
    <b:DOI>https://doi.org/10.3758/s13428-017-0862-1</b:DOI>
    <b:URL>https://link.springer.com/article/10.3758/s13428-017-0862-1</b:URL>
    <b:RefOrder>20</b:RefOrder>
  </b:Source>
  <b:Source>
    <b:Tag>Has18</b:Tag>
    <b:SourceType>JournalArticle</b:SourceType>
    <b:Guid>{83B401D5-1F31-406E-BBD5-1B5B07B92430}</b:Guid>
    <b:Author>
      <b:Author>
        <b:NameList>
          <b:Person>
            <b:Last>Haslbeck</b:Last>
            <b:First>J.</b:First>
            <b:Middle>M. B.</b:Middle>
          </b:Person>
          <b:Person>
            <b:Last>Waldorp</b:Last>
            <b:First>L.</b:First>
            <b:Middle>J.</b:Middle>
          </b:Person>
        </b:NameList>
      </b:Author>
    </b:Author>
    <b:Title>How well do network models predict observations? On the importance of predictability in network models</b:Title>
    <b:JournalName>Behav Res</b:JournalName>
    <b:Year>2018</b:Year>
    <b:Pages>853-861</b:Pages>
    <b:Volume>50</b:Volume>
    <b:DOI>https://doi.org/10.3758/s13428-017-0910-x</b:DOI>
    <b:URL>https://link.springer.com/article/10.3758/s13428-017-0910-x</b:URL>
    <b:RefOrder>21</b:RefOrder>
  </b:Source>
</b:Sources>
</file>

<file path=customXml/itemProps1.xml><?xml version="1.0" encoding="utf-8"?>
<ds:datastoreItem xmlns:ds="http://schemas.openxmlformats.org/officeDocument/2006/customXml" ds:itemID="{948F7CE1-07A2-463E-8B03-AB6D1B46EF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OK_artículo.dotx</Template>
  <TotalTime>2</TotalTime>
  <Pages>15</Pages>
  <Words>4650</Words>
  <Characters>25581</Characters>
  <Application>Microsoft Office Word</Application>
  <DocSecurity>0</DocSecurity>
  <Lines>213</Lines>
  <Paragraphs>60</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30171</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SG</dc:creator>
  <cp:lastModifiedBy>SG</cp:lastModifiedBy>
  <cp:revision>2</cp:revision>
  <cp:lastPrinted>2010-09-13T21:29:00Z</cp:lastPrinted>
  <dcterms:created xsi:type="dcterms:W3CDTF">2021-08-25T22:33:00Z</dcterms:created>
  <dcterms:modified xsi:type="dcterms:W3CDTF">2021-08-25T22:36:00Z</dcterms:modified>
</cp:coreProperties>
</file>