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9263" w14:textId="77777777" w:rsidR="0033346E" w:rsidRPr="0033346E" w:rsidRDefault="0033346E" w:rsidP="0033346E">
      <w:pPr>
        <w:keepNext/>
        <w:spacing w:after="0" w:line="360" w:lineRule="auto"/>
        <w:ind w:left="900"/>
        <w:jc w:val="right"/>
        <w:outlineLvl w:val="2"/>
        <w:rPr>
          <w:color w:val="000000"/>
          <w:sz w:val="20"/>
          <w:lang w:val="es-ES_tradnl" w:eastAsia="es-ES_tradnl"/>
        </w:rPr>
      </w:pPr>
      <w:r w:rsidRPr="0033346E">
        <w:rPr>
          <w:color w:val="000000"/>
          <w:sz w:val="20"/>
          <w:lang w:val="es-ES_tradnl" w:eastAsia="es-ES_tradnl"/>
        </w:rPr>
        <w:t>Artículo de investigación</w:t>
      </w:r>
    </w:p>
    <w:p w14:paraId="0072D60E" w14:textId="77777777" w:rsidR="0033346E" w:rsidRPr="0033346E" w:rsidRDefault="0033346E" w:rsidP="0033346E">
      <w:pPr>
        <w:spacing w:after="0" w:line="360" w:lineRule="auto"/>
        <w:jc w:val="both"/>
        <w:rPr>
          <w:b/>
          <w:sz w:val="24"/>
          <w:szCs w:val="24"/>
          <w:lang w:val="es-US"/>
        </w:rPr>
      </w:pPr>
    </w:p>
    <w:p w14:paraId="508A94C0" w14:textId="4D96CE42" w:rsidR="0033346E" w:rsidRPr="0033346E" w:rsidRDefault="0033346E" w:rsidP="0033346E">
      <w:pPr>
        <w:spacing w:after="0" w:line="360" w:lineRule="auto"/>
        <w:jc w:val="center"/>
        <w:rPr>
          <w:b/>
          <w:sz w:val="28"/>
          <w:szCs w:val="28"/>
          <w:lang w:val="es-US"/>
        </w:rPr>
      </w:pPr>
      <w:r w:rsidRPr="0033346E">
        <w:rPr>
          <w:b/>
          <w:sz w:val="28"/>
          <w:szCs w:val="28"/>
          <w:lang w:val="es-US"/>
        </w:rPr>
        <w:t>Características epidemiológicas y clínicas de pacientes con cirrosis hepática</w:t>
      </w:r>
    </w:p>
    <w:p w14:paraId="6F797665" w14:textId="1AF575A1" w:rsidR="0033346E" w:rsidRPr="0033346E" w:rsidRDefault="0033346E" w:rsidP="0033346E">
      <w:pPr>
        <w:spacing w:after="0" w:line="360" w:lineRule="auto"/>
        <w:jc w:val="center"/>
        <w:rPr>
          <w:sz w:val="24"/>
          <w:szCs w:val="24"/>
        </w:rPr>
      </w:pPr>
      <w:r w:rsidRPr="0033346E">
        <w:rPr>
          <w:sz w:val="28"/>
          <w:szCs w:val="28"/>
        </w:rPr>
        <w:t>Epidemiological and clinical characteristics of patients with liver cirrhosis</w:t>
      </w:r>
    </w:p>
    <w:p w14:paraId="21BFF488" w14:textId="77777777" w:rsidR="0033346E" w:rsidRPr="0033346E" w:rsidRDefault="0033346E" w:rsidP="0033346E">
      <w:pPr>
        <w:spacing w:after="0" w:line="360" w:lineRule="auto"/>
        <w:jc w:val="both"/>
        <w:rPr>
          <w:rFonts w:eastAsia="Calibri"/>
          <w:color w:val="000000"/>
          <w:sz w:val="24"/>
          <w:szCs w:val="24"/>
        </w:rPr>
      </w:pPr>
    </w:p>
    <w:p w14:paraId="5C14D85A" w14:textId="77777777" w:rsidR="0033346E" w:rsidRPr="0033346E" w:rsidRDefault="0033346E" w:rsidP="0033346E">
      <w:pPr>
        <w:spacing w:after="0" w:line="360" w:lineRule="auto"/>
        <w:jc w:val="both"/>
        <w:rPr>
          <w:rFonts w:eastAsia="Calibri"/>
          <w:color w:val="0563C1"/>
          <w:sz w:val="24"/>
          <w:szCs w:val="24"/>
          <w:u w:val="single"/>
          <w:lang w:val="es-ES_tradnl"/>
        </w:rPr>
      </w:pPr>
      <w:r w:rsidRPr="0033346E">
        <w:rPr>
          <w:rFonts w:eastAsia="Calibri"/>
          <w:color w:val="000000"/>
          <w:sz w:val="24"/>
          <w:szCs w:val="24"/>
          <w:lang w:val="es-ES_tradnl"/>
        </w:rPr>
        <w:t>Ludmila Martínez Leyva</w:t>
      </w:r>
      <w:r w:rsidRPr="0033346E">
        <w:rPr>
          <w:rFonts w:eastAsia="Calibri"/>
          <w:color w:val="000000"/>
          <w:sz w:val="24"/>
          <w:szCs w:val="24"/>
          <w:vertAlign w:val="superscript"/>
          <w:lang w:val="es-ES_tradnl"/>
        </w:rPr>
        <w:t>1</w:t>
      </w:r>
      <w:r w:rsidRPr="0033346E">
        <w:rPr>
          <w:rFonts w:eastAsia="Calibri"/>
          <w:color w:val="000000"/>
          <w:sz w:val="24"/>
          <w:szCs w:val="24"/>
          <w:lang w:val="es-ES_tradnl"/>
        </w:rPr>
        <w:t xml:space="preserve">* </w:t>
      </w:r>
      <w:hyperlink r:id="rId7" w:history="1">
        <w:r w:rsidRPr="0033346E">
          <w:rPr>
            <w:rStyle w:val="Hipervnculo"/>
            <w:rFonts w:eastAsia="Calibri"/>
            <w:color w:val="0563C1"/>
            <w:sz w:val="24"/>
            <w:szCs w:val="24"/>
            <w:lang w:val="es-ES_tradnl"/>
          </w:rPr>
          <w:t>https://orcid.org/0000-0002-9217-5646</w:t>
        </w:r>
      </w:hyperlink>
    </w:p>
    <w:p w14:paraId="26BCD175" w14:textId="77777777" w:rsidR="0033346E" w:rsidRPr="0033346E" w:rsidRDefault="0033346E" w:rsidP="0033346E">
      <w:pPr>
        <w:spacing w:after="0" w:line="360" w:lineRule="auto"/>
        <w:jc w:val="both"/>
        <w:rPr>
          <w:rFonts w:eastAsia="Calibri"/>
          <w:sz w:val="24"/>
          <w:szCs w:val="24"/>
          <w:vertAlign w:val="superscript"/>
          <w:lang w:val="es-US"/>
        </w:rPr>
      </w:pPr>
      <w:r w:rsidRPr="0033346E">
        <w:rPr>
          <w:rFonts w:eastAsia="Calibri"/>
          <w:sz w:val="24"/>
          <w:szCs w:val="24"/>
          <w:lang w:val="es-ES_tradnl"/>
        </w:rPr>
        <w:t>Amada Belquis Palomino Besada</w:t>
      </w:r>
      <w:r w:rsidRPr="0033346E">
        <w:rPr>
          <w:rFonts w:eastAsia="Calibri"/>
          <w:sz w:val="24"/>
          <w:szCs w:val="24"/>
          <w:vertAlign w:val="superscript"/>
          <w:lang w:val="es-ES_tradnl"/>
        </w:rPr>
        <w:t>1</w:t>
      </w:r>
      <w:r w:rsidRPr="0033346E">
        <w:rPr>
          <w:rFonts w:eastAsia="Calibri"/>
          <w:sz w:val="24"/>
          <w:szCs w:val="24"/>
          <w:lang w:val="es-US"/>
        </w:rPr>
        <w:t> </w:t>
      </w:r>
      <w:hyperlink r:id="rId8" w:tgtFrame="_blank" w:history="1">
        <w:r w:rsidRPr="0033346E">
          <w:rPr>
            <w:rStyle w:val="Hipervnculo"/>
            <w:rFonts w:eastAsia="Calibri"/>
            <w:sz w:val="24"/>
            <w:szCs w:val="24"/>
            <w:lang w:val="es-US"/>
          </w:rPr>
          <w:t>https://orcid.org/0000-0002-4581-7693</w:t>
        </w:r>
      </w:hyperlink>
    </w:p>
    <w:p w14:paraId="34BC4A66" w14:textId="77777777" w:rsidR="0033346E" w:rsidRPr="0033346E" w:rsidRDefault="0033346E" w:rsidP="0033346E">
      <w:pPr>
        <w:spacing w:after="0" w:line="360" w:lineRule="auto"/>
        <w:jc w:val="both"/>
        <w:rPr>
          <w:rFonts w:eastAsia="Calibri"/>
          <w:sz w:val="24"/>
          <w:szCs w:val="24"/>
          <w:lang w:val="es-ES_tradnl"/>
        </w:rPr>
      </w:pPr>
      <w:r w:rsidRPr="0033346E">
        <w:rPr>
          <w:rFonts w:eastAsia="Calibri"/>
          <w:sz w:val="24"/>
          <w:szCs w:val="24"/>
          <w:lang w:val="es-ES_tradnl"/>
        </w:rPr>
        <w:t>Evelyn Quesada Meneses</w:t>
      </w:r>
      <w:r w:rsidRPr="0033346E">
        <w:rPr>
          <w:rFonts w:eastAsia="Calibri"/>
          <w:sz w:val="24"/>
          <w:szCs w:val="24"/>
          <w:vertAlign w:val="superscript"/>
          <w:lang w:val="es-ES_tradnl"/>
        </w:rPr>
        <w:t xml:space="preserve">1 </w:t>
      </w:r>
      <w:hyperlink r:id="rId9" w:history="1">
        <w:r w:rsidRPr="0033346E">
          <w:rPr>
            <w:rStyle w:val="Hipervnculo"/>
            <w:rFonts w:eastAsia="Calibri"/>
            <w:sz w:val="24"/>
            <w:szCs w:val="24"/>
            <w:lang w:val="es-ES_tradnl"/>
          </w:rPr>
          <w:t>https://orcid.org/0000-0002-6092-8439</w:t>
        </w:r>
      </w:hyperlink>
    </w:p>
    <w:p w14:paraId="367EFD2D" w14:textId="28D99625" w:rsidR="0033346E" w:rsidRPr="0033346E" w:rsidRDefault="0033346E" w:rsidP="0033346E">
      <w:pPr>
        <w:spacing w:after="0" w:line="360" w:lineRule="auto"/>
        <w:rPr>
          <w:rFonts w:eastAsia="Calibri"/>
          <w:color w:val="000000"/>
          <w:sz w:val="24"/>
          <w:szCs w:val="24"/>
          <w:lang w:val="es-ES_tradnl"/>
        </w:rPr>
      </w:pPr>
      <w:r w:rsidRPr="0033346E">
        <w:rPr>
          <w:rFonts w:eastAsia="Calibri"/>
          <w:color w:val="000000"/>
          <w:sz w:val="24"/>
          <w:szCs w:val="24"/>
          <w:lang w:val="es-ES_tradnl"/>
        </w:rPr>
        <w:t>Juan Carlos Oliva Rey</w:t>
      </w:r>
      <w:r w:rsidRPr="0033346E">
        <w:rPr>
          <w:rFonts w:eastAsia="Calibri"/>
          <w:color w:val="000000"/>
          <w:sz w:val="24"/>
          <w:szCs w:val="24"/>
          <w:vertAlign w:val="superscript"/>
          <w:lang w:val="es-ES_tradnl"/>
        </w:rPr>
        <w:t>1</w:t>
      </w:r>
      <w:r w:rsidR="00F34EE4">
        <w:rPr>
          <w:rFonts w:eastAsia="Calibri"/>
          <w:color w:val="000000"/>
          <w:sz w:val="24"/>
          <w:szCs w:val="24"/>
          <w:vertAlign w:val="superscript"/>
          <w:lang w:val="es-ES_tradnl"/>
        </w:rPr>
        <w:t xml:space="preserve"> </w:t>
      </w:r>
      <w:hyperlink r:id="rId10" w:history="1">
        <w:r w:rsidR="00F34EE4" w:rsidRPr="002C343E">
          <w:rPr>
            <w:rStyle w:val="Hipervnculo"/>
            <w:rFonts w:eastAsia="Calibri"/>
            <w:sz w:val="24"/>
            <w:szCs w:val="24"/>
            <w:lang w:val="es-ES_tradnl"/>
          </w:rPr>
          <w:t>https://orcid.org/0000-0002-2571-4275</w:t>
        </w:r>
      </w:hyperlink>
    </w:p>
    <w:p w14:paraId="40C3842F" w14:textId="77777777" w:rsidR="0033346E" w:rsidRPr="0033346E" w:rsidRDefault="0033346E" w:rsidP="0033346E">
      <w:pPr>
        <w:spacing w:after="0" w:line="360" w:lineRule="auto"/>
        <w:rPr>
          <w:rFonts w:eastAsia="Calibri"/>
          <w:color w:val="000000"/>
          <w:sz w:val="24"/>
          <w:szCs w:val="24"/>
          <w:lang w:val="es-US"/>
        </w:rPr>
      </w:pPr>
      <w:r w:rsidRPr="0033346E">
        <w:rPr>
          <w:rFonts w:eastAsia="Calibri"/>
          <w:color w:val="000000"/>
          <w:sz w:val="24"/>
          <w:szCs w:val="24"/>
          <w:lang w:val="es-ES_tradnl"/>
        </w:rPr>
        <w:t>Alicia Yanes Cicard</w:t>
      </w:r>
      <w:r w:rsidRPr="0033346E">
        <w:rPr>
          <w:rFonts w:eastAsia="Calibri"/>
          <w:color w:val="000000"/>
          <w:sz w:val="24"/>
          <w:szCs w:val="24"/>
          <w:vertAlign w:val="superscript"/>
          <w:lang w:val="es-ES_tradnl"/>
        </w:rPr>
        <w:t xml:space="preserve">1 </w:t>
      </w:r>
      <w:hyperlink r:id="rId11" w:history="1">
        <w:r w:rsidRPr="0033346E">
          <w:rPr>
            <w:rStyle w:val="Hipervnculo"/>
            <w:rFonts w:eastAsia="Calibri"/>
            <w:sz w:val="24"/>
            <w:szCs w:val="24"/>
            <w:lang w:val="es-US"/>
          </w:rPr>
          <w:t>https://orcid.org/0000-0002-8451-1371</w:t>
        </w:r>
      </w:hyperlink>
    </w:p>
    <w:p w14:paraId="27B2DAF0" w14:textId="724EDBA0" w:rsidR="0033346E" w:rsidRPr="0033346E" w:rsidRDefault="0033346E" w:rsidP="0033346E">
      <w:pPr>
        <w:spacing w:after="0" w:line="360" w:lineRule="auto"/>
        <w:rPr>
          <w:rFonts w:eastAsia="Calibri"/>
          <w:color w:val="000000"/>
          <w:sz w:val="24"/>
          <w:szCs w:val="24"/>
          <w:vertAlign w:val="superscript"/>
          <w:lang w:val="es-ES_tradnl"/>
        </w:rPr>
      </w:pPr>
      <w:r w:rsidRPr="0033346E">
        <w:rPr>
          <w:rFonts w:eastAsia="Calibri"/>
          <w:color w:val="000000"/>
          <w:sz w:val="24"/>
          <w:szCs w:val="24"/>
          <w:lang w:val="es-ES_tradnl"/>
        </w:rPr>
        <w:t>Yesael Descalzo García</w:t>
      </w:r>
      <w:r w:rsidRPr="0033346E">
        <w:rPr>
          <w:rFonts w:eastAsia="Calibri"/>
          <w:color w:val="000000"/>
          <w:sz w:val="24"/>
          <w:szCs w:val="24"/>
          <w:vertAlign w:val="superscript"/>
          <w:lang w:val="es-ES_tradnl"/>
        </w:rPr>
        <w:t>1</w:t>
      </w:r>
      <w:r w:rsidR="00F34EE4">
        <w:rPr>
          <w:rFonts w:eastAsia="Calibri"/>
          <w:color w:val="000000"/>
          <w:sz w:val="24"/>
          <w:szCs w:val="24"/>
          <w:vertAlign w:val="superscript"/>
          <w:lang w:val="es-ES_tradnl"/>
        </w:rPr>
        <w:t xml:space="preserve"> </w:t>
      </w:r>
      <w:hyperlink r:id="rId12" w:history="1">
        <w:r w:rsidR="00D033A8" w:rsidRPr="002C343E">
          <w:rPr>
            <w:rStyle w:val="Hipervnculo"/>
            <w:rFonts w:eastAsia="Calibri"/>
            <w:sz w:val="24"/>
            <w:szCs w:val="24"/>
            <w:lang w:val="es-US"/>
          </w:rPr>
          <w:t>https://orcid.org/0000-0001-5358-161X</w:t>
        </w:r>
      </w:hyperlink>
    </w:p>
    <w:p w14:paraId="1385F731" w14:textId="77777777" w:rsidR="0033346E" w:rsidRPr="0033346E" w:rsidRDefault="0033346E" w:rsidP="0033346E">
      <w:pPr>
        <w:spacing w:after="0" w:line="360" w:lineRule="auto"/>
        <w:rPr>
          <w:rStyle w:val="orcid-id-https"/>
          <w:color w:val="494A4C"/>
          <w:sz w:val="24"/>
          <w:szCs w:val="24"/>
          <w:shd w:val="clear" w:color="auto" w:fill="FFFFFF"/>
          <w:lang w:val="es-US"/>
        </w:rPr>
      </w:pPr>
    </w:p>
    <w:p w14:paraId="1568C9A7" w14:textId="77777777" w:rsidR="0033346E" w:rsidRPr="0033346E" w:rsidRDefault="0033346E" w:rsidP="0033346E">
      <w:pPr>
        <w:spacing w:after="0" w:line="360" w:lineRule="auto"/>
        <w:rPr>
          <w:rFonts w:eastAsia="Calibri"/>
          <w:color w:val="000000"/>
          <w:sz w:val="24"/>
          <w:szCs w:val="24"/>
          <w:lang w:val="es-ES_tradnl"/>
        </w:rPr>
      </w:pPr>
      <w:r w:rsidRPr="0033346E">
        <w:rPr>
          <w:rFonts w:eastAsia="Calibri"/>
          <w:color w:val="000000"/>
          <w:sz w:val="24"/>
          <w:szCs w:val="24"/>
          <w:vertAlign w:val="superscript"/>
          <w:lang w:val="es-ES_tradnl"/>
        </w:rPr>
        <w:t>1</w:t>
      </w:r>
      <w:r w:rsidRPr="0033346E">
        <w:rPr>
          <w:rFonts w:eastAsia="Calibri"/>
          <w:color w:val="000000"/>
          <w:sz w:val="24"/>
          <w:szCs w:val="24"/>
          <w:lang w:val="es-ES_tradnl"/>
        </w:rPr>
        <w:t>Hospital Militar Central "Dr. Carlos J. Finlay". La Habana, Cuba.</w:t>
      </w:r>
    </w:p>
    <w:p w14:paraId="700CBDA4" w14:textId="77777777" w:rsidR="0033346E" w:rsidRPr="0033346E" w:rsidRDefault="0033346E" w:rsidP="0033346E">
      <w:pPr>
        <w:spacing w:after="0" w:line="360" w:lineRule="auto"/>
        <w:rPr>
          <w:rFonts w:eastAsia="Calibri"/>
          <w:color w:val="000000"/>
          <w:sz w:val="24"/>
          <w:szCs w:val="24"/>
          <w:lang w:val="es-ES_tradnl"/>
        </w:rPr>
      </w:pPr>
    </w:p>
    <w:p w14:paraId="33D442B3" w14:textId="77777777" w:rsidR="0033346E" w:rsidRPr="0033346E" w:rsidRDefault="0033346E" w:rsidP="0033346E">
      <w:pPr>
        <w:spacing w:after="0" w:line="360" w:lineRule="auto"/>
        <w:rPr>
          <w:rFonts w:eastAsia="Calibri"/>
          <w:color w:val="0563C1"/>
          <w:sz w:val="24"/>
          <w:szCs w:val="24"/>
          <w:u w:val="single"/>
          <w:lang w:val="es-ES_tradnl"/>
        </w:rPr>
      </w:pPr>
      <w:r w:rsidRPr="0033346E">
        <w:rPr>
          <w:rFonts w:eastAsia="Calibri"/>
          <w:sz w:val="24"/>
          <w:szCs w:val="24"/>
          <w:lang w:val="es-ES_tradnl"/>
        </w:rPr>
        <w:t xml:space="preserve">*Autor para la correspondencia. Correo electrónico: </w:t>
      </w:r>
      <w:hyperlink r:id="rId13" w:history="1">
        <w:r w:rsidRPr="0033346E">
          <w:rPr>
            <w:rStyle w:val="Hipervnculo"/>
            <w:rFonts w:eastAsia="Calibri"/>
            <w:color w:val="0563C1"/>
            <w:sz w:val="24"/>
            <w:szCs w:val="24"/>
            <w:lang w:val="es-ES_tradnl"/>
          </w:rPr>
          <w:t>ludmila@infomed.sld.cu</w:t>
        </w:r>
      </w:hyperlink>
    </w:p>
    <w:p w14:paraId="710FAC42" w14:textId="77777777" w:rsidR="0033346E" w:rsidRPr="0033346E" w:rsidRDefault="0033346E" w:rsidP="0033346E">
      <w:pPr>
        <w:spacing w:after="0" w:line="360" w:lineRule="auto"/>
        <w:jc w:val="both"/>
        <w:rPr>
          <w:rFonts w:eastAsia="MS Mincho"/>
          <w:b/>
          <w:sz w:val="24"/>
          <w:szCs w:val="24"/>
          <w:lang w:val="es-ES"/>
        </w:rPr>
      </w:pPr>
    </w:p>
    <w:p w14:paraId="01505B03" w14:textId="77777777" w:rsidR="0033346E" w:rsidRPr="0033346E" w:rsidRDefault="0033346E" w:rsidP="0033346E">
      <w:pPr>
        <w:spacing w:after="0" w:line="360" w:lineRule="auto"/>
        <w:jc w:val="both"/>
        <w:rPr>
          <w:rFonts w:eastAsia="MS Mincho"/>
          <w:b/>
          <w:sz w:val="24"/>
          <w:szCs w:val="24"/>
          <w:lang w:val="es-ES"/>
        </w:rPr>
      </w:pPr>
      <w:r w:rsidRPr="0033346E">
        <w:rPr>
          <w:rFonts w:eastAsia="MS Mincho"/>
          <w:b/>
          <w:sz w:val="24"/>
          <w:szCs w:val="24"/>
          <w:lang w:val="es-ES"/>
        </w:rPr>
        <w:t>RESUMEN</w:t>
      </w:r>
    </w:p>
    <w:p w14:paraId="02C03F76" w14:textId="77777777" w:rsidR="0033346E" w:rsidRPr="0033346E" w:rsidRDefault="0033346E" w:rsidP="0033346E">
      <w:pPr>
        <w:spacing w:after="0" w:line="360" w:lineRule="auto"/>
        <w:jc w:val="both"/>
        <w:rPr>
          <w:sz w:val="24"/>
          <w:szCs w:val="24"/>
          <w:lang w:val="es-US"/>
        </w:rPr>
      </w:pPr>
      <w:r w:rsidRPr="0033346E">
        <w:rPr>
          <w:b/>
          <w:sz w:val="24"/>
          <w:szCs w:val="24"/>
          <w:lang w:val="es-US"/>
        </w:rPr>
        <w:t>Introducción</w:t>
      </w:r>
      <w:r w:rsidRPr="0033346E">
        <w:rPr>
          <w:b/>
          <w:bCs/>
          <w:sz w:val="24"/>
          <w:szCs w:val="24"/>
          <w:lang w:val="es-US"/>
        </w:rPr>
        <w:t>:</w:t>
      </w:r>
      <w:r w:rsidRPr="0033346E">
        <w:rPr>
          <w:sz w:val="24"/>
          <w:szCs w:val="24"/>
          <w:lang w:val="es-US"/>
        </w:rPr>
        <w:t xml:space="preserve"> La cirrosis hepática constituye la etapa final de muchas enfermedades del hígado. </w:t>
      </w:r>
    </w:p>
    <w:p w14:paraId="244F3C48" w14:textId="064FB833" w:rsidR="0033346E" w:rsidRPr="0033346E" w:rsidRDefault="0033346E" w:rsidP="0033346E">
      <w:pPr>
        <w:spacing w:after="0" w:line="360" w:lineRule="auto"/>
        <w:jc w:val="both"/>
        <w:rPr>
          <w:sz w:val="24"/>
          <w:szCs w:val="24"/>
          <w:lang w:val="es-US"/>
        </w:rPr>
      </w:pPr>
      <w:r w:rsidRPr="0033346E">
        <w:rPr>
          <w:b/>
          <w:sz w:val="24"/>
          <w:szCs w:val="24"/>
          <w:lang w:val="es-US"/>
        </w:rPr>
        <w:t>Objetivo</w:t>
      </w:r>
      <w:r w:rsidRPr="0033346E">
        <w:rPr>
          <w:b/>
          <w:bCs/>
          <w:sz w:val="24"/>
          <w:szCs w:val="24"/>
          <w:lang w:val="es-US"/>
        </w:rPr>
        <w:t>:</w:t>
      </w:r>
      <w:r w:rsidRPr="0033346E">
        <w:rPr>
          <w:sz w:val="24"/>
          <w:szCs w:val="24"/>
          <w:lang w:val="es-US"/>
        </w:rPr>
        <w:t xml:space="preserve"> Determinar las características epidemiológicas y clínicas de pacientes con cirrosis hepática.</w:t>
      </w:r>
    </w:p>
    <w:p w14:paraId="0EC84DCB" w14:textId="54E5EAD6" w:rsidR="0033346E" w:rsidRPr="0033346E" w:rsidRDefault="0033346E" w:rsidP="0033346E">
      <w:pPr>
        <w:spacing w:after="0" w:line="360" w:lineRule="auto"/>
        <w:jc w:val="both"/>
        <w:rPr>
          <w:sz w:val="24"/>
          <w:szCs w:val="24"/>
          <w:lang w:val="es-US"/>
        </w:rPr>
      </w:pPr>
      <w:r w:rsidRPr="0033346E">
        <w:rPr>
          <w:b/>
          <w:sz w:val="24"/>
          <w:szCs w:val="24"/>
          <w:lang w:val="es-US"/>
        </w:rPr>
        <w:t>Métodos</w:t>
      </w:r>
      <w:r w:rsidRPr="0033346E">
        <w:rPr>
          <w:b/>
          <w:bCs/>
          <w:sz w:val="24"/>
          <w:szCs w:val="24"/>
          <w:lang w:val="es-US"/>
        </w:rPr>
        <w:t>:</w:t>
      </w:r>
      <w:r w:rsidRPr="0033346E">
        <w:rPr>
          <w:sz w:val="24"/>
          <w:szCs w:val="24"/>
          <w:lang w:val="es-US"/>
        </w:rPr>
        <w:t xml:space="preserve"> Se realizó una investigación descriptiva, retrospectiva, con datos de archivo, de 57 pacientes cirróticos. Se excluyeron aquellos con datos insuficientes en la historia clínica. Las variables analizadas fueron: edad, sexo, etiología, modo de diagnóstico, comorbilidades, manifestaciones endoscópicas de la hipertensión portal, complicaciones, estad</w:t>
      </w:r>
      <w:r w:rsidR="00D033A8">
        <w:rPr>
          <w:sz w:val="24"/>
          <w:szCs w:val="24"/>
          <w:lang w:val="es-US"/>
        </w:rPr>
        <w:t>i</w:t>
      </w:r>
      <w:r w:rsidRPr="0033346E">
        <w:rPr>
          <w:sz w:val="24"/>
          <w:szCs w:val="24"/>
          <w:lang w:val="es-US"/>
        </w:rPr>
        <w:t>os de la enfermedad según D’</w:t>
      </w:r>
      <w:r w:rsidR="00B50507">
        <w:rPr>
          <w:sz w:val="24"/>
          <w:szCs w:val="24"/>
          <w:lang w:val="es-US"/>
        </w:rPr>
        <w:t>A</w:t>
      </w:r>
      <w:r w:rsidRPr="0033346E">
        <w:rPr>
          <w:sz w:val="24"/>
          <w:szCs w:val="24"/>
          <w:lang w:val="es-US"/>
        </w:rPr>
        <w:t xml:space="preserve">mico y </w:t>
      </w:r>
      <w:r w:rsidRPr="0033346E">
        <w:rPr>
          <w:rFonts w:eastAsia="PlantinStd"/>
          <w:sz w:val="24"/>
          <w:szCs w:val="24"/>
          <w:lang w:val="es-US"/>
        </w:rPr>
        <w:t>clasificación de Child-Pugh</w:t>
      </w:r>
      <w:r w:rsidRPr="0033346E">
        <w:rPr>
          <w:sz w:val="24"/>
          <w:szCs w:val="24"/>
          <w:lang w:val="es-US"/>
        </w:rPr>
        <w:t>. Para el análisis de los resultados se emplearon técnicas de la estadística descriptiva.</w:t>
      </w:r>
    </w:p>
    <w:p w14:paraId="355D0F58" w14:textId="6CBF7E8F" w:rsidR="0033346E" w:rsidRPr="0033346E" w:rsidRDefault="0033346E" w:rsidP="0033346E">
      <w:pPr>
        <w:spacing w:after="0" w:line="360" w:lineRule="auto"/>
        <w:jc w:val="both"/>
        <w:rPr>
          <w:sz w:val="24"/>
          <w:szCs w:val="24"/>
          <w:lang w:val="es-US"/>
        </w:rPr>
      </w:pPr>
      <w:r w:rsidRPr="0033346E">
        <w:rPr>
          <w:b/>
          <w:sz w:val="24"/>
          <w:szCs w:val="24"/>
          <w:lang w:val="es-US"/>
        </w:rPr>
        <w:t>Resultados</w:t>
      </w:r>
      <w:r w:rsidRPr="0033346E">
        <w:rPr>
          <w:b/>
          <w:bCs/>
          <w:sz w:val="24"/>
          <w:szCs w:val="24"/>
          <w:lang w:val="es-US"/>
        </w:rPr>
        <w:t>:</w:t>
      </w:r>
      <w:r w:rsidRPr="0033346E">
        <w:rPr>
          <w:sz w:val="24"/>
          <w:szCs w:val="24"/>
          <w:lang w:val="es-US"/>
        </w:rPr>
        <w:t xml:space="preserve"> Hubo 19 pacientes (33,3 %) en el grupo de edad entre 60 y 69 años; 31 (54,4 %) mujeres y 26 (45,6 %) hombres. El virus de la hepatitis C fue encontrado en 21 pacientes (36,8 %). El 96,4 % de los enfermos se diagnosticaron mediante ecografía</w:t>
      </w:r>
      <w:r w:rsidR="00D033A8">
        <w:rPr>
          <w:sz w:val="24"/>
          <w:szCs w:val="24"/>
          <w:lang w:val="es-US"/>
        </w:rPr>
        <w:t xml:space="preserve"> </w:t>
      </w:r>
      <w:r w:rsidRPr="0033346E">
        <w:rPr>
          <w:sz w:val="24"/>
          <w:szCs w:val="24"/>
          <w:lang w:val="es-US"/>
        </w:rPr>
        <w:t>abdominal; 12 (21,1 %) presentaron ascitis y 38 (66,6 %) manifestaciones endoscópicas de hipertensión portal. En estadio 4 de D</w:t>
      </w:r>
      <w:r w:rsidR="00F12EE6">
        <w:rPr>
          <w:sz w:val="24"/>
          <w:szCs w:val="24"/>
          <w:lang w:val="es-US"/>
        </w:rPr>
        <w:t>’</w:t>
      </w:r>
      <w:r w:rsidRPr="0033346E">
        <w:rPr>
          <w:sz w:val="24"/>
          <w:szCs w:val="24"/>
          <w:lang w:val="es-US"/>
        </w:rPr>
        <w:t xml:space="preserve">Amico estaban 20 </w:t>
      </w:r>
      <w:r w:rsidRPr="0033346E">
        <w:rPr>
          <w:sz w:val="24"/>
          <w:szCs w:val="24"/>
          <w:lang w:val="es-US"/>
        </w:rPr>
        <w:lastRenderedPageBreak/>
        <w:t>(35 %) enfermos y 26 (45,6 %) en estadio de Child-Pugh</w:t>
      </w:r>
      <w:r w:rsidR="00F12EE6">
        <w:rPr>
          <w:sz w:val="24"/>
          <w:szCs w:val="24"/>
          <w:lang w:val="es-US"/>
        </w:rPr>
        <w:t xml:space="preserve"> </w:t>
      </w:r>
      <w:r w:rsidRPr="0033346E">
        <w:rPr>
          <w:sz w:val="24"/>
          <w:szCs w:val="24"/>
          <w:lang w:val="es-US"/>
        </w:rPr>
        <w:t>A; 24 (42,1 %) en Child-Pugh B y 7 (12,3 %) en Child-Pugh C.</w:t>
      </w:r>
    </w:p>
    <w:p w14:paraId="4E2273B4" w14:textId="77777777" w:rsidR="0033346E" w:rsidRPr="0033346E" w:rsidRDefault="0033346E" w:rsidP="0033346E">
      <w:pPr>
        <w:spacing w:after="0" w:line="360" w:lineRule="auto"/>
        <w:jc w:val="both"/>
        <w:rPr>
          <w:sz w:val="24"/>
          <w:szCs w:val="24"/>
          <w:lang w:val="es-US"/>
        </w:rPr>
      </w:pPr>
      <w:r w:rsidRPr="0033346E">
        <w:rPr>
          <w:b/>
          <w:sz w:val="24"/>
          <w:szCs w:val="24"/>
          <w:lang w:val="es-US"/>
        </w:rPr>
        <w:t>Conclusiones</w:t>
      </w:r>
      <w:r w:rsidRPr="0033346E">
        <w:rPr>
          <w:b/>
          <w:bCs/>
          <w:sz w:val="24"/>
          <w:szCs w:val="24"/>
          <w:lang w:val="es-US"/>
        </w:rPr>
        <w:t xml:space="preserve">: </w:t>
      </w:r>
      <w:r w:rsidRPr="0033346E">
        <w:rPr>
          <w:sz w:val="24"/>
          <w:szCs w:val="24"/>
          <w:lang w:val="es-US"/>
        </w:rPr>
        <w:t xml:space="preserve">La cirrosis hepática predomina en la séptima década de la vida, en el sexo femenino. Prevalece el ultrasonido abdominal como modo de diagnóstico. Las causas más frecuentes son el virus de hepatitis C y el alcoholismo. La ascitis es la complicación que más se presenta. La mayoría de los pacientes muestran signos de hipertensión portal. Predominan las formas no compensadas de la enfermedad.  </w:t>
      </w:r>
    </w:p>
    <w:p w14:paraId="1ABDA296" w14:textId="77777777" w:rsidR="0033346E" w:rsidRPr="0033346E" w:rsidRDefault="0033346E" w:rsidP="0033346E">
      <w:pPr>
        <w:spacing w:after="0" w:line="360" w:lineRule="auto"/>
        <w:jc w:val="both"/>
        <w:rPr>
          <w:rFonts w:eastAsia="Calibri"/>
          <w:color w:val="000000"/>
          <w:sz w:val="24"/>
          <w:szCs w:val="24"/>
          <w:lang w:val="es-ES_tradnl"/>
        </w:rPr>
      </w:pPr>
      <w:r w:rsidRPr="0033346E">
        <w:rPr>
          <w:rFonts w:eastAsia="Calibri"/>
          <w:b/>
          <w:color w:val="000000"/>
          <w:sz w:val="24"/>
          <w:szCs w:val="24"/>
          <w:lang w:val="es-ES_tradnl"/>
        </w:rPr>
        <w:t>Palabras clave</w:t>
      </w:r>
      <w:r w:rsidRPr="0033346E">
        <w:rPr>
          <w:rFonts w:eastAsia="Calibri"/>
          <w:b/>
          <w:bCs/>
          <w:color w:val="000000"/>
          <w:sz w:val="24"/>
          <w:szCs w:val="24"/>
          <w:lang w:val="es-ES_tradnl"/>
        </w:rPr>
        <w:t>:</w:t>
      </w:r>
      <w:r w:rsidRPr="0033346E">
        <w:rPr>
          <w:rFonts w:eastAsia="Calibri"/>
          <w:color w:val="000000"/>
          <w:sz w:val="24"/>
          <w:szCs w:val="24"/>
          <w:lang w:val="es-ES_tradnl"/>
        </w:rPr>
        <w:t xml:space="preserve"> cirrosis hepática; hepatitis B; hepatitis C; hepatitis autoinmune; cirrosis biliar primaria; colangitis esclerosante primaria.</w:t>
      </w:r>
    </w:p>
    <w:p w14:paraId="78131CB8" w14:textId="77777777" w:rsidR="0033346E" w:rsidRPr="0033346E" w:rsidRDefault="0033346E" w:rsidP="0033346E">
      <w:pPr>
        <w:spacing w:after="0" w:line="360" w:lineRule="auto"/>
        <w:jc w:val="both"/>
        <w:rPr>
          <w:rFonts w:eastAsia="Calibri"/>
          <w:b/>
          <w:sz w:val="24"/>
          <w:szCs w:val="24"/>
          <w:lang w:val="es-US"/>
        </w:rPr>
      </w:pPr>
    </w:p>
    <w:p w14:paraId="1041C2F2" w14:textId="77777777" w:rsidR="0033346E" w:rsidRPr="0033346E" w:rsidRDefault="0033346E" w:rsidP="0033346E">
      <w:pPr>
        <w:spacing w:after="0" w:line="360" w:lineRule="auto"/>
        <w:jc w:val="both"/>
        <w:rPr>
          <w:rFonts w:eastAsia="Calibri"/>
          <w:sz w:val="24"/>
          <w:szCs w:val="24"/>
        </w:rPr>
      </w:pPr>
      <w:r w:rsidRPr="0033346E">
        <w:rPr>
          <w:rFonts w:eastAsia="Calibri"/>
          <w:b/>
          <w:sz w:val="24"/>
          <w:szCs w:val="24"/>
        </w:rPr>
        <w:t>ABSTRACT</w:t>
      </w:r>
    </w:p>
    <w:p w14:paraId="45E07A62" w14:textId="77777777" w:rsidR="0033346E" w:rsidRPr="0033346E" w:rsidRDefault="0033346E" w:rsidP="0033346E">
      <w:pPr>
        <w:pStyle w:val="HTMLconformatoprevio"/>
        <w:spacing w:line="360" w:lineRule="auto"/>
        <w:jc w:val="both"/>
        <w:rPr>
          <w:rFonts w:ascii="Times New Roman" w:eastAsia="Calibri" w:hAnsi="Times New Roman" w:cs="Times New Roman"/>
          <w:sz w:val="24"/>
          <w:szCs w:val="24"/>
          <w:lang w:val="en-US" w:eastAsia="en-US"/>
        </w:rPr>
      </w:pPr>
      <w:r w:rsidRPr="0033346E">
        <w:rPr>
          <w:rFonts w:ascii="Times New Roman" w:eastAsia="Calibri" w:hAnsi="Times New Roman" w:cs="Times New Roman"/>
          <w:b/>
          <w:sz w:val="24"/>
          <w:szCs w:val="24"/>
          <w:lang w:val="en-US" w:eastAsia="en-US"/>
        </w:rPr>
        <w:t>Introduction:</w:t>
      </w:r>
      <w:r w:rsidRPr="0033346E">
        <w:rPr>
          <w:rFonts w:ascii="Times New Roman" w:eastAsia="Calibri" w:hAnsi="Times New Roman" w:cs="Times New Roman"/>
          <w:sz w:val="24"/>
          <w:szCs w:val="24"/>
          <w:lang w:val="en-US" w:eastAsia="en-US"/>
        </w:rPr>
        <w:t xml:space="preserve"> Liver cirrhosis is the end stage of many liver diseases. </w:t>
      </w:r>
    </w:p>
    <w:p w14:paraId="4FC3CB7B" w14:textId="3B5A33E6" w:rsidR="0033346E" w:rsidRPr="0033346E" w:rsidRDefault="0033346E" w:rsidP="0033346E">
      <w:pPr>
        <w:pStyle w:val="HTMLconformatoprevio"/>
        <w:spacing w:line="360" w:lineRule="auto"/>
        <w:jc w:val="both"/>
        <w:rPr>
          <w:rFonts w:ascii="Times New Roman" w:eastAsia="Calibri" w:hAnsi="Times New Roman" w:cs="Times New Roman"/>
          <w:sz w:val="24"/>
          <w:szCs w:val="24"/>
          <w:lang w:val="en-US" w:eastAsia="en-US"/>
        </w:rPr>
      </w:pPr>
      <w:r w:rsidRPr="0033346E">
        <w:rPr>
          <w:rFonts w:ascii="Times New Roman" w:eastAsia="Calibri" w:hAnsi="Times New Roman" w:cs="Times New Roman"/>
          <w:b/>
          <w:sz w:val="24"/>
          <w:szCs w:val="24"/>
          <w:lang w:val="en-US" w:eastAsia="en-US"/>
        </w:rPr>
        <w:t>Objective:</w:t>
      </w:r>
      <w:r w:rsidRPr="0033346E">
        <w:rPr>
          <w:rFonts w:ascii="Times New Roman" w:eastAsia="Calibri" w:hAnsi="Times New Roman" w:cs="Times New Roman"/>
          <w:sz w:val="24"/>
          <w:szCs w:val="24"/>
          <w:lang w:val="en-US" w:eastAsia="en-US"/>
        </w:rPr>
        <w:t xml:space="preserve"> To determine the epidemiological and clinical characteristics of patients with liver cirrhosis. </w:t>
      </w:r>
    </w:p>
    <w:p w14:paraId="25620B45" w14:textId="6CE3182E" w:rsidR="0033346E" w:rsidRPr="0033346E" w:rsidRDefault="0033346E" w:rsidP="0033346E">
      <w:pPr>
        <w:pStyle w:val="HTMLconformatoprevio"/>
        <w:spacing w:line="360" w:lineRule="auto"/>
        <w:jc w:val="both"/>
        <w:rPr>
          <w:rFonts w:ascii="Times New Roman" w:eastAsia="Calibri" w:hAnsi="Times New Roman" w:cs="Times New Roman"/>
          <w:sz w:val="24"/>
          <w:szCs w:val="24"/>
          <w:lang w:val="en-US" w:eastAsia="en-US"/>
        </w:rPr>
      </w:pPr>
      <w:r w:rsidRPr="0033346E">
        <w:rPr>
          <w:rFonts w:ascii="Times New Roman" w:eastAsia="Calibri" w:hAnsi="Times New Roman" w:cs="Times New Roman"/>
          <w:b/>
          <w:sz w:val="24"/>
          <w:szCs w:val="24"/>
          <w:lang w:val="en-US" w:eastAsia="en-US"/>
        </w:rPr>
        <w:t>Results:</w:t>
      </w:r>
      <w:r w:rsidRPr="0033346E">
        <w:rPr>
          <w:rFonts w:ascii="Times New Roman" w:eastAsia="Calibri" w:hAnsi="Times New Roman" w:cs="Times New Roman"/>
          <w:sz w:val="24"/>
          <w:szCs w:val="24"/>
          <w:lang w:val="en-US" w:eastAsia="en-US"/>
        </w:rPr>
        <w:t xml:space="preserve"> There were 19 patients (33.3%) in the age group between 60 and 69 years; 31 (54,4 %) women and 26 (45,6 %) men. Hepatitis C virus was found in 21 patients (36,8 %). 96,4 % of the patients were diagnosed by abdominal ultrasound; 12 (21,1 %) presented ascites and 38 (66,6 %) endoscopic manifestations of portal hypertension. In D'Amico stage 4 there were 20 (35 %) patients and 26 (45,6 %) in Child-Pugh</w:t>
      </w:r>
      <w:r w:rsidR="0032233F">
        <w:rPr>
          <w:rFonts w:ascii="Times New Roman" w:eastAsia="Calibri" w:hAnsi="Times New Roman" w:cs="Times New Roman"/>
          <w:sz w:val="24"/>
          <w:szCs w:val="24"/>
          <w:lang w:val="en-US" w:eastAsia="en-US"/>
        </w:rPr>
        <w:t xml:space="preserve"> </w:t>
      </w:r>
      <w:r w:rsidRPr="0033346E">
        <w:rPr>
          <w:rFonts w:ascii="Times New Roman" w:eastAsia="Calibri" w:hAnsi="Times New Roman" w:cs="Times New Roman"/>
          <w:sz w:val="24"/>
          <w:szCs w:val="24"/>
          <w:lang w:val="en-US" w:eastAsia="en-US"/>
        </w:rPr>
        <w:t xml:space="preserve">A stage; 24 (42,1 %) in Child-Pugh B and 7 (12,3 %) in Child-Pugh C. </w:t>
      </w:r>
    </w:p>
    <w:p w14:paraId="3D572AE3" w14:textId="77777777" w:rsidR="0033346E" w:rsidRPr="0033346E" w:rsidRDefault="0033346E" w:rsidP="0033346E">
      <w:pPr>
        <w:pStyle w:val="HTMLconformatoprevio"/>
        <w:spacing w:line="360" w:lineRule="auto"/>
        <w:jc w:val="both"/>
        <w:rPr>
          <w:rFonts w:ascii="Times New Roman" w:eastAsia="Calibri" w:hAnsi="Times New Roman" w:cs="Times New Roman"/>
          <w:sz w:val="24"/>
          <w:szCs w:val="24"/>
          <w:lang w:val="en-US" w:eastAsia="en-US"/>
        </w:rPr>
      </w:pPr>
      <w:r w:rsidRPr="0033346E">
        <w:rPr>
          <w:rFonts w:ascii="Times New Roman" w:eastAsia="Calibri" w:hAnsi="Times New Roman" w:cs="Times New Roman"/>
          <w:b/>
          <w:sz w:val="24"/>
          <w:szCs w:val="24"/>
          <w:lang w:val="en-US" w:eastAsia="en-US"/>
        </w:rPr>
        <w:t>Conclusions:</w:t>
      </w:r>
      <w:r w:rsidRPr="0033346E">
        <w:rPr>
          <w:rFonts w:ascii="Times New Roman" w:eastAsia="Calibri" w:hAnsi="Times New Roman" w:cs="Times New Roman"/>
          <w:sz w:val="24"/>
          <w:szCs w:val="24"/>
          <w:lang w:val="en-US" w:eastAsia="en-US"/>
        </w:rPr>
        <w:t xml:space="preserve"> Liver cirrhosis predominates in the seventh decade of life, in females. Abdominal ultrasound prevails as a diagnostic mode. The most common causes are hepatitis C virus and alcoholism. Ascites is the most common complication. Most patients present with signs of portal hypertension. Uncompensated forms of the disease predominate. </w:t>
      </w:r>
    </w:p>
    <w:p w14:paraId="5415119E" w14:textId="1D0F52B5" w:rsidR="0033346E" w:rsidRPr="0033346E" w:rsidRDefault="0033346E" w:rsidP="0033346E">
      <w:pPr>
        <w:pStyle w:val="HTMLconformatoprevio"/>
        <w:spacing w:line="360" w:lineRule="auto"/>
        <w:jc w:val="both"/>
        <w:rPr>
          <w:rStyle w:val="y2iqfc"/>
          <w:rFonts w:ascii="Times New Roman" w:hAnsi="Times New Roman" w:cs="Times New Roman"/>
          <w:sz w:val="24"/>
          <w:szCs w:val="24"/>
          <w:lang w:val="en-US"/>
        </w:rPr>
      </w:pPr>
      <w:r w:rsidRPr="0033346E">
        <w:rPr>
          <w:rFonts w:ascii="Times New Roman" w:eastAsia="Calibri" w:hAnsi="Times New Roman" w:cs="Times New Roman"/>
          <w:b/>
          <w:sz w:val="24"/>
          <w:szCs w:val="24"/>
          <w:lang w:val="en-US"/>
        </w:rPr>
        <w:t>Keywords</w:t>
      </w:r>
      <w:r w:rsidRPr="0033346E">
        <w:rPr>
          <w:rFonts w:ascii="Times New Roman" w:eastAsia="Calibri" w:hAnsi="Times New Roman" w:cs="Times New Roman"/>
          <w:sz w:val="24"/>
          <w:szCs w:val="24"/>
          <w:lang w:val="en-US"/>
        </w:rPr>
        <w:t xml:space="preserve">: </w:t>
      </w:r>
      <w:r w:rsidR="0032233F">
        <w:rPr>
          <w:rFonts w:ascii="Times New Roman" w:eastAsia="Calibri" w:hAnsi="Times New Roman" w:cs="Times New Roman"/>
          <w:color w:val="000000"/>
          <w:sz w:val="24"/>
          <w:szCs w:val="24"/>
          <w:lang w:val="en-US"/>
        </w:rPr>
        <w:t>l</w:t>
      </w:r>
      <w:r w:rsidRPr="0033346E">
        <w:rPr>
          <w:rFonts w:ascii="Times New Roman" w:eastAsia="Calibri" w:hAnsi="Times New Roman" w:cs="Times New Roman"/>
          <w:color w:val="000000"/>
          <w:sz w:val="24"/>
          <w:szCs w:val="24"/>
          <w:lang w:val="en-US"/>
        </w:rPr>
        <w:t xml:space="preserve">iver </w:t>
      </w:r>
      <w:r w:rsidR="006327D5" w:rsidRPr="0033346E">
        <w:rPr>
          <w:rFonts w:ascii="Times New Roman" w:eastAsia="Calibri" w:hAnsi="Times New Roman" w:cs="Times New Roman"/>
          <w:color w:val="000000"/>
          <w:sz w:val="24"/>
          <w:szCs w:val="24"/>
          <w:lang w:val="en-US"/>
        </w:rPr>
        <w:t>cirrhosis</w:t>
      </w:r>
      <w:r w:rsidRPr="0033346E">
        <w:rPr>
          <w:rFonts w:ascii="Times New Roman" w:eastAsia="Calibri" w:hAnsi="Times New Roman" w:cs="Times New Roman"/>
          <w:color w:val="000000"/>
          <w:sz w:val="24"/>
          <w:szCs w:val="24"/>
          <w:lang w:val="en-US"/>
        </w:rPr>
        <w:t xml:space="preserve">; hepatitis B; hepatitis C; autoimmune hepatitis; </w:t>
      </w:r>
      <w:r w:rsidRPr="0033346E">
        <w:rPr>
          <w:rFonts w:ascii="Times New Roman" w:hAnsi="Times New Roman" w:cs="Times New Roman"/>
          <w:sz w:val="24"/>
          <w:szCs w:val="24"/>
          <w:lang w:val="en-US"/>
        </w:rPr>
        <w:t xml:space="preserve">primary biliary cirrhosis; </w:t>
      </w:r>
      <w:r w:rsidRPr="0033346E">
        <w:rPr>
          <w:rStyle w:val="y2iqfc"/>
          <w:rFonts w:ascii="Times New Roman" w:hAnsi="Times New Roman" w:cs="Times New Roman"/>
          <w:sz w:val="24"/>
          <w:szCs w:val="24"/>
          <w:lang w:val="en-US"/>
        </w:rPr>
        <w:t>primary sclerosing cholangitis.</w:t>
      </w:r>
    </w:p>
    <w:p w14:paraId="4751BB5B" w14:textId="77777777" w:rsidR="0033346E" w:rsidRPr="0033346E" w:rsidRDefault="0033346E" w:rsidP="0033346E">
      <w:pPr>
        <w:pStyle w:val="HTMLconformatoprevio"/>
        <w:spacing w:line="360" w:lineRule="auto"/>
        <w:jc w:val="both"/>
        <w:rPr>
          <w:rStyle w:val="y2iqfc"/>
          <w:rFonts w:ascii="Times New Roman" w:hAnsi="Times New Roman" w:cs="Times New Roman"/>
          <w:sz w:val="24"/>
          <w:szCs w:val="24"/>
          <w:lang w:val="en-US"/>
        </w:rPr>
      </w:pPr>
    </w:p>
    <w:p w14:paraId="258D6D8C" w14:textId="77777777" w:rsidR="0033346E" w:rsidRPr="0033346E" w:rsidRDefault="0033346E" w:rsidP="0033346E">
      <w:pPr>
        <w:pStyle w:val="HTMLconformatoprevio"/>
        <w:spacing w:line="360" w:lineRule="auto"/>
        <w:jc w:val="both"/>
        <w:rPr>
          <w:rStyle w:val="y2iqfc"/>
          <w:rFonts w:ascii="Times New Roman" w:hAnsi="Times New Roman" w:cs="Times New Roman"/>
          <w:sz w:val="24"/>
          <w:szCs w:val="24"/>
          <w:lang w:val="en-US"/>
        </w:rPr>
      </w:pPr>
    </w:p>
    <w:p w14:paraId="3DB06562" w14:textId="77777777" w:rsidR="0033346E" w:rsidRPr="0033346E" w:rsidRDefault="0033346E" w:rsidP="0033346E">
      <w:pPr>
        <w:pStyle w:val="HTMLconformatoprevio"/>
        <w:spacing w:line="360" w:lineRule="auto"/>
        <w:jc w:val="both"/>
        <w:rPr>
          <w:rStyle w:val="y2iqfc"/>
          <w:rFonts w:ascii="Times New Roman" w:hAnsi="Times New Roman" w:cs="Times New Roman"/>
          <w:sz w:val="24"/>
          <w:szCs w:val="24"/>
        </w:rPr>
      </w:pPr>
      <w:r w:rsidRPr="0033346E">
        <w:rPr>
          <w:rStyle w:val="y2iqfc"/>
          <w:rFonts w:ascii="Times New Roman" w:hAnsi="Times New Roman" w:cs="Times New Roman"/>
          <w:sz w:val="24"/>
          <w:szCs w:val="24"/>
        </w:rPr>
        <w:t>Recibido: 24/06/2021</w:t>
      </w:r>
    </w:p>
    <w:p w14:paraId="332E2C0E" w14:textId="77777777" w:rsidR="0033346E" w:rsidRPr="0033346E" w:rsidRDefault="0033346E" w:rsidP="0033346E">
      <w:pPr>
        <w:pStyle w:val="HTMLconformatoprevio"/>
        <w:spacing w:line="360" w:lineRule="auto"/>
        <w:jc w:val="both"/>
        <w:rPr>
          <w:rFonts w:ascii="Times New Roman" w:hAnsi="Times New Roman" w:cs="Times New Roman"/>
          <w:sz w:val="24"/>
          <w:szCs w:val="24"/>
        </w:rPr>
      </w:pPr>
      <w:r w:rsidRPr="0033346E">
        <w:rPr>
          <w:rStyle w:val="y2iqfc"/>
          <w:rFonts w:ascii="Times New Roman" w:hAnsi="Times New Roman" w:cs="Times New Roman"/>
          <w:sz w:val="24"/>
          <w:szCs w:val="24"/>
        </w:rPr>
        <w:t>Aprobado: 13/10/2021</w:t>
      </w:r>
    </w:p>
    <w:p w14:paraId="0D5CEB8E" w14:textId="77777777" w:rsidR="0033346E" w:rsidRPr="0033346E" w:rsidRDefault="0033346E" w:rsidP="0033346E">
      <w:pPr>
        <w:spacing w:after="0" w:line="360" w:lineRule="auto"/>
        <w:jc w:val="both"/>
        <w:rPr>
          <w:sz w:val="24"/>
          <w:szCs w:val="24"/>
          <w:lang w:val="es-ES"/>
        </w:rPr>
      </w:pPr>
    </w:p>
    <w:p w14:paraId="0D33F1A9" w14:textId="77777777" w:rsidR="00DA6942" w:rsidRDefault="00DA6942" w:rsidP="0033346E">
      <w:pPr>
        <w:spacing w:after="0" w:line="360" w:lineRule="auto"/>
        <w:jc w:val="center"/>
        <w:rPr>
          <w:rFonts w:eastAsia="Calibri"/>
          <w:b/>
          <w:color w:val="000000"/>
          <w:sz w:val="32"/>
          <w:szCs w:val="32"/>
          <w:lang w:val="es-ES_tradnl"/>
        </w:rPr>
      </w:pPr>
    </w:p>
    <w:p w14:paraId="40C57197" w14:textId="15E855E5" w:rsidR="0033346E" w:rsidRPr="0033346E" w:rsidRDefault="0033346E" w:rsidP="0033346E">
      <w:pPr>
        <w:spacing w:after="0" w:line="360" w:lineRule="auto"/>
        <w:jc w:val="center"/>
        <w:rPr>
          <w:rFonts w:eastAsia="Calibri"/>
          <w:b/>
          <w:color w:val="000000"/>
          <w:sz w:val="32"/>
          <w:szCs w:val="32"/>
          <w:lang w:val="es-ES_tradnl"/>
        </w:rPr>
      </w:pPr>
      <w:r w:rsidRPr="0033346E">
        <w:rPr>
          <w:rFonts w:eastAsia="Calibri"/>
          <w:b/>
          <w:color w:val="000000"/>
          <w:sz w:val="32"/>
          <w:szCs w:val="32"/>
          <w:lang w:val="es-ES_tradnl"/>
        </w:rPr>
        <w:t>INTRODUCCIÓN</w:t>
      </w:r>
    </w:p>
    <w:p w14:paraId="71A380E0" w14:textId="79FDC269" w:rsidR="0033346E" w:rsidRPr="0033346E" w:rsidRDefault="0033346E" w:rsidP="0033346E">
      <w:pPr>
        <w:spacing w:after="0" w:line="360" w:lineRule="auto"/>
        <w:jc w:val="both"/>
        <w:rPr>
          <w:rFonts w:eastAsia="PlantinStd"/>
          <w:sz w:val="24"/>
          <w:szCs w:val="24"/>
          <w:lang w:val="es-US"/>
        </w:rPr>
      </w:pPr>
      <w:r w:rsidRPr="0033346E">
        <w:rPr>
          <w:sz w:val="24"/>
          <w:szCs w:val="24"/>
          <w:lang w:val="es-US"/>
        </w:rPr>
        <w:t>La cirrosis hepática es la etapa final de muchas enfermedades hepáticas. Habitualmente, cursa de forma asintomática y se diagnostica cuando se presentan sus complicaciones. La evolución clínica de esta enfermedad está en relación con el aumento progresivo de la hipertensión portal (HTP) y la insuficiencia hepatocelular.</w:t>
      </w:r>
      <w:r w:rsidRPr="0033346E">
        <w:rPr>
          <w:sz w:val="24"/>
          <w:szCs w:val="24"/>
          <w:vertAlign w:val="superscript"/>
          <w:lang w:val="es-US"/>
        </w:rPr>
        <w:t>(1)</w:t>
      </w:r>
      <w:r w:rsidR="00B349F8">
        <w:rPr>
          <w:sz w:val="24"/>
          <w:szCs w:val="24"/>
          <w:vertAlign w:val="superscript"/>
          <w:lang w:val="es-US"/>
        </w:rPr>
        <w:t xml:space="preserve"> </w:t>
      </w:r>
      <w:r w:rsidRPr="0033346E">
        <w:rPr>
          <w:sz w:val="24"/>
          <w:szCs w:val="24"/>
          <w:lang w:val="es-US"/>
        </w:rPr>
        <w:t>Se presenta con mayor frecuencia entre las cuarta y quinta décadas de la vida. El sexo masculino es el más afectado.</w:t>
      </w:r>
      <w:r w:rsidRPr="0033346E">
        <w:rPr>
          <w:sz w:val="24"/>
          <w:szCs w:val="24"/>
          <w:vertAlign w:val="superscript"/>
          <w:lang w:val="es-US"/>
        </w:rPr>
        <w:t>(2)</w:t>
      </w:r>
    </w:p>
    <w:p w14:paraId="2893F51B" w14:textId="2690ADB7" w:rsidR="0033346E" w:rsidRPr="0033346E" w:rsidRDefault="0033346E" w:rsidP="0033346E">
      <w:pPr>
        <w:spacing w:after="0" w:line="360" w:lineRule="auto"/>
        <w:jc w:val="both"/>
        <w:rPr>
          <w:sz w:val="24"/>
          <w:szCs w:val="24"/>
          <w:lang w:val="es-US"/>
        </w:rPr>
      </w:pPr>
      <w:r w:rsidRPr="0033346E">
        <w:rPr>
          <w:sz w:val="24"/>
          <w:szCs w:val="24"/>
          <w:lang w:val="es-US"/>
        </w:rPr>
        <w:t>Aproximadamente, el 40-60 % de los casos en Europa y Norteamérica son ocasionados por el consumo de alcohol e hígado graso no alcohólico, mientras que el 25-30 % es el resultado de virus que causan hepatitis crónica: virus de las hepatitis B (VHB) y virus de la hepatitis C (VHC). Por otra parte, en Latinoamérica el abuso de alcohol ha causado el 16,7 % de los casos de cirrosis hepática.</w:t>
      </w:r>
      <w:r w:rsidRPr="0033346E">
        <w:rPr>
          <w:sz w:val="24"/>
          <w:szCs w:val="24"/>
          <w:vertAlign w:val="superscript"/>
          <w:lang w:val="es-US"/>
        </w:rPr>
        <w:t>(3)</w:t>
      </w:r>
      <w:r w:rsidR="0060349E">
        <w:rPr>
          <w:sz w:val="24"/>
          <w:szCs w:val="24"/>
          <w:vertAlign w:val="superscript"/>
          <w:lang w:val="es-US"/>
        </w:rPr>
        <w:t xml:space="preserve"> </w:t>
      </w:r>
      <w:r w:rsidRPr="0033346E">
        <w:rPr>
          <w:sz w:val="24"/>
          <w:szCs w:val="24"/>
          <w:lang w:val="es-US"/>
        </w:rPr>
        <w:t xml:space="preserve">Otras causas son: </w:t>
      </w:r>
      <w:r w:rsidRPr="0033346E">
        <w:rPr>
          <w:rFonts w:eastAsia="PlantinStd"/>
          <w:sz w:val="24"/>
          <w:szCs w:val="24"/>
          <w:lang w:val="es-US"/>
        </w:rPr>
        <w:t>hepatitis autoinmune, colangitis biliar primaria, colangitis esclerosante primaria, fármacos,</w:t>
      </w:r>
      <w:r w:rsidR="0060349E">
        <w:rPr>
          <w:rFonts w:eastAsia="PlantinStd"/>
          <w:sz w:val="24"/>
          <w:szCs w:val="24"/>
          <w:lang w:val="es-US"/>
        </w:rPr>
        <w:t xml:space="preserve"> </w:t>
      </w:r>
      <w:r w:rsidRPr="0033346E">
        <w:rPr>
          <w:rFonts w:eastAsia="PlantinStd"/>
          <w:sz w:val="24"/>
          <w:szCs w:val="24"/>
          <w:lang w:val="es-US"/>
        </w:rPr>
        <w:t>hemocromatosis,</w:t>
      </w:r>
      <w:r w:rsidR="0060349E">
        <w:rPr>
          <w:rFonts w:eastAsia="PlantinStd"/>
          <w:sz w:val="24"/>
          <w:szCs w:val="24"/>
          <w:lang w:val="es-US"/>
        </w:rPr>
        <w:t xml:space="preserve"> </w:t>
      </w:r>
      <w:r w:rsidRPr="0033346E">
        <w:rPr>
          <w:rFonts w:eastAsia="PlantinStd"/>
          <w:sz w:val="24"/>
          <w:szCs w:val="24"/>
          <w:lang w:val="es-US"/>
        </w:rPr>
        <w:t>enfermedad de Wilson y la deficiencia de alfa-1 antitripsina. Los pacientes con insuficiencia cardíaca, pueden desarrollar cirrosis cardiaca.</w:t>
      </w:r>
      <w:r w:rsidRPr="0033346E">
        <w:rPr>
          <w:rFonts w:eastAsia="PlantinStd"/>
          <w:sz w:val="24"/>
          <w:szCs w:val="24"/>
          <w:vertAlign w:val="superscript"/>
          <w:lang w:val="es-US"/>
        </w:rPr>
        <w:t>(4)</w:t>
      </w:r>
    </w:p>
    <w:p w14:paraId="4F2EDDA8" w14:textId="0DE56E49" w:rsidR="0033346E" w:rsidRPr="0033346E" w:rsidRDefault="0033346E" w:rsidP="0033346E">
      <w:pPr>
        <w:spacing w:after="0" w:line="360" w:lineRule="auto"/>
        <w:jc w:val="both"/>
        <w:rPr>
          <w:rFonts w:eastAsia="PlantinStd"/>
          <w:sz w:val="24"/>
          <w:szCs w:val="24"/>
          <w:lang w:val="es-US"/>
        </w:rPr>
      </w:pPr>
      <w:r w:rsidRPr="0033346E">
        <w:rPr>
          <w:sz w:val="24"/>
          <w:szCs w:val="24"/>
          <w:lang w:val="es-US"/>
        </w:rPr>
        <w:t>Entre las complicaciones de la enfermedad figuran: ascitis</w:t>
      </w:r>
      <w:r w:rsidRPr="0033346E">
        <w:rPr>
          <w:rFonts w:eastAsia="PlantinStd"/>
          <w:sz w:val="24"/>
          <w:szCs w:val="24"/>
          <w:lang w:val="es-US"/>
        </w:rPr>
        <w:t>, síndrome hepatopulmonar (SHP), hidrotórax hepático, síndrome hepatorrenal (SHR), encefalopatía hep</w:t>
      </w:r>
      <w:r w:rsidR="0060349E">
        <w:rPr>
          <w:rFonts w:eastAsia="PlantinStd"/>
          <w:sz w:val="24"/>
          <w:szCs w:val="24"/>
          <w:lang w:val="es-US"/>
        </w:rPr>
        <w:t>á</w:t>
      </w:r>
      <w:r w:rsidRPr="0033346E">
        <w:rPr>
          <w:rFonts w:eastAsia="PlantinStd"/>
          <w:sz w:val="24"/>
          <w:szCs w:val="24"/>
          <w:lang w:val="es-US"/>
        </w:rPr>
        <w:t>tica (EH), hemorragia digestiva alta (HDA), peritonitis bacteriana espontánea (PBE), carcinoma hepatocelular (CHC), miocardiopatía cirrótica e</w:t>
      </w:r>
      <w:r w:rsidR="002A3C79">
        <w:rPr>
          <w:rFonts w:eastAsia="PlantinStd"/>
          <w:sz w:val="24"/>
          <w:szCs w:val="24"/>
          <w:lang w:val="es-US"/>
        </w:rPr>
        <w:t xml:space="preserve"> </w:t>
      </w:r>
      <w:r w:rsidRPr="0033346E">
        <w:rPr>
          <w:rFonts w:eastAsia="PlantinStd"/>
          <w:sz w:val="24"/>
          <w:szCs w:val="24"/>
          <w:lang w:val="es-US"/>
        </w:rPr>
        <w:t>infecciones.</w:t>
      </w:r>
      <w:r w:rsidRPr="0033346E">
        <w:rPr>
          <w:rFonts w:eastAsia="PlantinStd"/>
          <w:sz w:val="24"/>
          <w:szCs w:val="24"/>
          <w:vertAlign w:val="superscript"/>
          <w:lang w:val="es-US"/>
        </w:rPr>
        <w:t>(5)</w:t>
      </w:r>
    </w:p>
    <w:p w14:paraId="53FA4F7F" w14:textId="77777777" w:rsidR="0033346E" w:rsidRPr="0033346E" w:rsidRDefault="0033346E" w:rsidP="0033346E">
      <w:pPr>
        <w:spacing w:after="0" w:line="360" w:lineRule="auto"/>
        <w:jc w:val="both"/>
        <w:rPr>
          <w:rFonts w:eastAsia="PlantinStd"/>
          <w:sz w:val="24"/>
          <w:szCs w:val="24"/>
          <w:vertAlign w:val="superscript"/>
          <w:lang w:val="es-US"/>
        </w:rPr>
      </w:pPr>
      <w:r w:rsidRPr="0033346E">
        <w:rPr>
          <w:rFonts w:eastAsia="PlantinStd"/>
          <w:sz w:val="24"/>
          <w:szCs w:val="24"/>
          <w:lang w:val="es-US"/>
        </w:rPr>
        <w:t>Para clasificar el grado de disfunción hepática en hepatopatías, se emplea la clasificación de Child-Pugh. Una puntuación total de 5 a 6 es considerada grado A (enfermedad bien compensada); de 7 a 9 es grado B (compromiso funcional significativo) y de 10-15 es grado C (enfermedad descompensada).</w:t>
      </w:r>
      <w:r w:rsidRPr="0033346E">
        <w:rPr>
          <w:rFonts w:eastAsia="PlantinStd"/>
          <w:sz w:val="24"/>
          <w:szCs w:val="24"/>
          <w:vertAlign w:val="superscript"/>
          <w:lang w:val="es-US"/>
        </w:rPr>
        <w:t>(6)</w:t>
      </w:r>
    </w:p>
    <w:p w14:paraId="44C89055" w14:textId="10626CAD" w:rsidR="0033346E" w:rsidRPr="0033346E" w:rsidRDefault="0033346E" w:rsidP="0033346E">
      <w:pPr>
        <w:spacing w:after="0" w:line="360" w:lineRule="auto"/>
        <w:jc w:val="both"/>
        <w:rPr>
          <w:rFonts w:eastAsia="PlantinStd"/>
          <w:bCs/>
          <w:sz w:val="24"/>
          <w:szCs w:val="24"/>
          <w:lang w:val="es-US"/>
        </w:rPr>
      </w:pPr>
      <w:r w:rsidRPr="0033346E">
        <w:rPr>
          <w:rFonts w:eastAsia="PlantinStd"/>
          <w:sz w:val="24"/>
          <w:szCs w:val="24"/>
          <w:lang w:val="es-US"/>
        </w:rPr>
        <w:t>Se han establecido estadios clínicos de la enfermedad que han permitido clasificar a los pacientes de acuerdo al incremento de su riesgo de mortalidad. La clasificación más actual ha sido publicada por la Asociación Europea para el Estudio del Hígado (estadios de D</w:t>
      </w:r>
      <w:r w:rsidR="00D66011">
        <w:rPr>
          <w:rFonts w:eastAsia="PlantinStd"/>
          <w:sz w:val="24"/>
          <w:szCs w:val="24"/>
          <w:lang w:val="es-US"/>
        </w:rPr>
        <w:t>’A</w:t>
      </w:r>
      <w:r w:rsidRPr="0033346E">
        <w:rPr>
          <w:rFonts w:eastAsia="PlantinStd"/>
          <w:sz w:val="24"/>
          <w:szCs w:val="24"/>
          <w:lang w:val="es-US"/>
        </w:rPr>
        <w:t>mico).</w:t>
      </w:r>
      <w:r w:rsidRPr="0033346E">
        <w:rPr>
          <w:rFonts w:eastAsia="PlantinStd"/>
          <w:sz w:val="24"/>
          <w:szCs w:val="24"/>
          <w:vertAlign w:val="superscript"/>
          <w:lang w:val="es-US"/>
        </w:rPr>
        <w:t>(7)</w:t>
      </w:r>
      <w:r w:rsidR="00A81731">
        <w:rPr>
          <w:rFonts w:eastAsia="PlantinStd"/>
          <w:sz w:val="24"/>
          <w:szCs w:val="24"/>
          <w:vertAlign w:val="superscript"/>
          <w:lang w:val="es-US"/>
        </w:rPr>
        <w:t xml:space="preserve"> </w:t>
      </w:r>
      <w:r w:rsidRPr="0033346E">
        <w:rPr>
          <w:rFonts w:eastAsia="PlantinStd"/>
          <w:sz w:val="24"/>
          <w:szCs w:val="24"/>
          <w:lang w:val="es-US"/>
        </w:rPr>
        <w:t xml:space="preserve">Se ha sugerido la existencia de dos estadios diferenciados dentro de la fase compensada de la enfermedad: </w:t>
      </w:r>
      <w:r w:rsidRPr="0033346E">
        <w:rPr>
          <w:rFonts w:eastAsia="PlantinStd"/>
          <w:bCs/>
          <w:sz w:val="24"/>
          <w:szCs w:val="24"/>
          <w:lang w:val="es-US"/>
        </w:rPr>
        <w:t xml:space="preserve">la cirrosis compensada sin várices </w:t>
      </w:r>
      <w:r w:rsidRPr="0033346E">
        <w:rPr>
          <w:rFonts w:eastAsia="PlantinStd"/>
          <w:sz w:val="24"/>
          <w:szCs w:val="24"/>
          <w:lang w:val="es-US"/>
        </w:rPr>
        <w:t>(e</w:t>
      </w:r>
      <w:r w:rsidRPr="0033346E">
        <w:rPr>
          <w:rFonts w:eastAsia="PlantinStd"/>
          <w:bCs/>
          <w:sz w:val="24"/>
          <w:szCs w:val="24"/>
          <w:lang w:val="es-US"/>
        </w:rPr>
        <w:t>stadio 1</w:t>
      </w:r>
      <w:r w:rsidRPr="0033346E">
        <w:rPr>
          <w:rFonts w:eastAsia="PlantinStd"/>
          <w:sz w:val="24"/>
          <w:szCs w:val="24"/>
          <w:lang w:val="es-US"/>
        </w:rPr>
        <w:t xml:space="preserve">) y la </w:t>
      </w:r>
      <w:r w:rsidRPr="0033346E">
        <w:rPr>
          <w:rFonts w:eastAsia="PlantinStd"/>
          <w:bCs/>
          <w:sz w:val="24"/>
          <w:szCs w:val="24"/>
          <w:lang w:val="es-US"/>
        </w:rPr>
        <w:t xml:space="preserve">cirrosis compensada con várices </w:t>
      </w:r>
      <w:r w:rsidRPr="0033346E">
        <w:rPr>
          <w:rFonts w:eastAsia="PlantinStd"/>
          <w:sz w:val="24"/>
          <w:szCs w:val="24"/>
          <w:lang w:val="es-US"/>
        </w:rPr>
        <w:t>(e</w:t>
      </w:r>
      <w:r w:rsidRPr="0033346E">
        <w:rPr>
          <w:rFonts w:eastAsia="PlantinStd"/>
          <w:bCs/>
          <w:sz w:val="24"/>
          <w:szCs w:val="24"/>
          <w:lang w:val="es-US"/>
        </w:rPr>
        <w:t>stadio 2</w:t>
      </w:r>
      <w:r w:rsidRPr="0033346E">
        <w:rPr>
          <w:rFonts w:eastAsia="PlantinStd"/>
          <w:sz w:val="24"/>
          <w:szCs w:val="24"/>
          <w:lang w:val="es-US"/>
        </w:rPr>
        <w:t>). El estadio 3 corresponde a la c</w:t>
      </w:r>
      <w:r w:rsidRPr="0033346E">
        <w:rPr>
          <w:rFonts w:eastAsia="PlantinStd"/>
          <w:bCs/>
          <w:sz w:val="24"/>
          <w:szCs w:val="24"/>
          <w:lang w:val="es-US"/>
        </w:rPr>
        <w:t>irrosis descompensada con hemorragia varicosa.</w:t>
      </w:r>
      <w:r w:rsidRPr="0033346E">
        <w:rPr>
          <w:rFonts w:eastAsia="PlantinStd"/>
          <w:bCs/>
          <w:sz w:val="24"/>
          <w:szCs w:val="24"/>
          <w:vertAlign w:val="superscript"/>
          <w:lang w:val="es-US"/>
        </w:rPr>
        <w:t>(7)</w:t>
      </w:r>
    </w:p>
    <w:p w14:paraId="5D55D482" w14:textId="77777777" w:rsidR="0033346E" w:rsidRPr="0033346E" w:rsidRDefault="0033346E" w:rsidP="0033346E">
      <w:pPr>
        <w:spacing w:after="0" w:line="360" w:lineRule="auto"/>
        <w:jc w:val="both"/>
        <w:rPr>
          <w:rFonts w:eastAsia="PlantinStd"/>
          <w:bCs/>
          <w:sz w:val="24"/>
          <w:szCs w:val="24"/>
          <w:lang w:val="es-US"/>
        </w:rPr>
      </w:pPr>
      <w:r w:rsidRPr="0033346E">
        <w:rPr>
          <w:rFonts w:eastAsia="PlantinStd"/>
          <w:bCs/>
          <w:sz w:val="24"/>
          <w:szCs w:val="24"/>
          <w:lang w:val="es-US"/>
        </w:rPr>
        <w:lastRenderedPageBreak/>
        <w:t>En el estadio 4 se encuentra la cirrosis descompensada sin hemorragia. En este grupo, la ascitis representa la primera descompensación, es considerada la más frecuente y característica de este estadio ya que la EH y la ictericia son los eventos clínicos que con menor frecuencia se presentan como primera descompensación de la hepatopatía.</w:t>
      </w:r>
      <w:r w:rsidRPr="0033346E">
        <w:rPr>
          <w:rFonts w:eastAsia="PlantinStd"/>
          <w:bCs/>
          <w:sz w:val="24"/>
          <w:szCs w:val="24"/>
          <w:vertAlign w:val="superscript"/>
          <w:lang w:val="es-US"/>
        </w:rPr>
        <w:t>(7)</w:t>
      </w:r>
    </w:p>
    <w:p w14:paraId="40C671F1" w14:textId="77777777" w:rsidR="0033346E" w:rsidRPr="0033346E" w:rsidRDefault="0033346E" w:rsidP="0033346E">
      <w:pPr>
        <w:spacing w:after="0" w:line="360" w:lineRule="auto"/>
        <w:jc w:val="both"/>
        <w:rPr>
          <w:rFonts w:eastAsia="PlantinStd"/>
          <w:bCs/>
          <w:sz w:val="24"/>
          <w:szCs w:val="24"/>
          <w:lang w:val="es-US"/>
        </w:rPr>
      </w:pPr>
      <w:r w:rsidRPr="0033346E">
        <w:rPr>
          <w:rFonts w:eastAsia="PlantinStd"/>
          <w:bCs/>
          <w:sz w:val="24"/>
          <w:szCs w:val="24"/>
          <w:lang w:val="es-US"/>
        </w:rPr>
        <w:t>En la cirrosis descompensada avanzada (estadio 5), posterior a una primera descompensación, la mayoría de los pacientes presentan alguna otra descompensación antes de morir.</w:t>
      </w:r>
      <w:r w:rsidRPr="0033346E">
        <w:rPr>
          <w:rFonts w:eastAsia="PlantinStd"/>
          <w:bCs/>
          <w:sz w:val="24"/>
          <w:szCs w:val="24"/>
          <w:vertAlign w:val="superscript"/>
          <w:lang w:val="es-US"/>
        </w:rPr>
        <w:t>(7)</w:t>
      </w:r>
    </w:p>
    <w:p w14:paraId="180E07EA" w14:textId="77777777" w:rsidR="0033346E" w:rsidRPr="0033346E" w:rsidRDefault="0033346E" w:rsidP="0033346E">
      <w:pPr>
        <w:spacing w:after="0" w:line="360" w:lineRule="auto"/>
        <w:jc w:val="both"/>
        <w:rPr>
          <w:rFonts w:eastAsia="PlantinStd"/>
          <w:bCs/>
          <w:sz w:val="24"/>
          <w:szCs w:val="24"/>
          <w:lang w:val="es-US"/>
        </w:rPr>
      </w:pPr>
      <w:r w:rsidRPr="0033346E">
        <w:rPr>
          <w:rFonts w:eastAsia="PlantinStd"/>
          <w:bCs/>
          <w:sz w:val="24"/>
          <w:szCs w:val="24"/>
          <w:lang w:val="es-US"/>
        </w:rPr>
        <w:t>En el estadio 6 (cirrosis descompensada con fallo multiorgánico) existe incremento progresivo de la vasodilatación esplácnica, la circulación hiperdinámica, la translocación bacteriana y la inflamación sistémica que dan como resultado un estadio de descompensación en el que la disfunción multiorgánica se vuelve clínicamente evidente.</w:t>
      </w:r>
      <w:r w:rsidRPr="0033346E">
        <w:rPr>
          <w:rFonts w:eastAsia="PlantinStd"/>
          <w:bCs/>
          <w:sz w:val="24"/>
          <w:szCs w:val="24"/>
          <w:vertAlign w:val="superscript"/>
          <w:lang w:val="es-US"/>
        </w:rPr>
        <w:t>(7)</w:t>
      </w:r>
    </w:p>
    <w:p w14:paraId="6D525BEB" w14:textId="4F833413" w:rsidR="0033346E" w:rsidRPr="0033346E" w:rsidRDefault="0033346E" w:rsidP="0033346E">
      <w:pPr>
        <w:spacing w:after="0" w:line="360" w:lineRule="auto"/>
        <w:jc w:val="both"/>
        <w:rPr>
          <w:sz w:val="24"/>
          <w:szCs w:val="24"/>
          <w:vertAlign w:val="superscript"/>
          <w:lang w:val="es-US"/>
        </w:rPr>
      </w:pPr>
      <w:r w:rsidRPr="0033346E">
        <w:rPr>
          <w:sz w:val="24"/>
          <w:szCs w:val="24"/>
          <w:lang w:val="es-US"/>
        </w:rPr>
        <w:t>En Cuba, la cirrosis hepática ocupó el noveno lugar entre las principales causas de muerte en todas las edades, en los años 2018 y 2019; causó</w:t>
      </w:r>
      <w:r w:rsidR="00F92C36">
        <w:rPr>
          <w:sz w:val="24"/>
          <w:szCs w:val="24"/>
          <w:lang w:val="es-US"/>
        </w:rPr>
        <w:t xml:space="preserve"> </w:t>
      </w:r>
      <w:r w:rsidRPr="0033346E">
        <w:rPr>
          <w:sz w:val="24"/>
          <w:szCs w:val="24"/>
          <w:lang w:val="es-US"/>
        </w:rPr>
        <w:t>1 777 defunciones en el año 2018 y 1939 en el 2019.</w:t>
      </w:r>
      <w:r w:rsidRPr="0033346E">
        <w:rPr>
          <w:sz w:val="24"/>
          <w:szCs w:val="24"/>
          <w:vertAlign w:val="superscript"/>
          <w:lang w:val="es-US"/>
        </w:rPr>
        <w:t>(8)</w:t>
      </w:r>
      <w:r w:rsidR="00D66011">
        <w:rPr>
          <w:sz w:val="24"/>
          <w:szCs w:val="24"/>
          <w:vertAlign w:val="superscript"/>
          <w:lang w:val="es-US"/>
        </w:rPr>
        <w:t xml:space="preserve"> </w:t>
      </w:r>
      <w:r w:rsidRPr="0033346E">
        <w:rPr>
          <w:sz w:val="24"/>
          <w:szCs w:val="24"/>
          <w:lang w:val="es-US"/>
        </w:rPr>
        <w:t>El estudio de las características demográficas y clínicas del paciente con cirrosis</w:t>
      </w:r>
      <w:r w:rsidR="00D66011">
        <w:rPr>
          <w:sz w:val="24"/>
          <w:szCs w:val="24"/>
          <w:lang w:val="es-US"/>
        </w:rPr>
        <w:t xml:space="preserve"> </w:t>
      </w:r>
      <w:r w:rsidRPr="0033346E">
        <w:rPr>
          <w:sz w:val="24"/>
          <w:szCs w:val="24"/>
          <w:lang w:val="es-US"/>
        </w:rPr>
        <w:t>que acude al hospital,</w:t>
      </w:r>
      <w:r w:rsidR="00D66011">
        <w:rPr>
          <w:sz w:val="24"/>
          <w:szCs w:val="24"/>
          <w:lang w:val="es-US"/>
        </w:rPr>
        <w:t xml:space="preserve"> </w:t>
      </w:r>
      <w:r w:rsidRPr="0033346E">
        <w:rPr>
          <w:sz w:val="24"/>
          <w:szCs w:val="24"/>
          <w:lang w:val="es-US"/>
        </w:rPr>
        <w:t>permite trazar estrategias para la organización de los recursos de diagnóstico y tratamiento, lo que puede repercutir positivamente en su historia natural.</w:t>
      </w:r>
      <w:r w:rsidRPr="0033346E">
        <w:rPr>
          <w:sz w:val="24"/>
          <w:szCs w:val="24"/>
          <w:vertAlign w:val="superscript"/>
          <w:lang w:val="es-US"/>
        </w:rPr>
        <w:t>(1)</w:t>
      </w:r>
    </w:p>
    <w:p w14:paraId="0B9D4441" w14:textId="392D5480" w:rsidR="0033346E" w:rsidRPr="0033346E" w:rsidRDefault="0033346E" w:rsidP="0033346E">
      <w:pPr>
        <w:spacing w:after="0" w:line="360" w:lineRule="auto"/>
        <w:jc w:val="both"/>
        <w:rPr>
          <w:sz w:val="24"/>
          <w:szCs w:val="24"/>
          <w:lang w:val="es-US"/>
        </w:rPr>
      </w:pPr>
      <w:r w:rsidRPr="0033346E">
        <w:rPr>
          <w:sz w:val="24"/>
          <w:szCs w:val="24"/>
          <w:lang w:val="es-US"/>
        </w:rPr>
        <w:t>El objetivo de esta investigación es determinar las características epidemiológicas y clínicas de pacientes con cirrosis hepática.</w:t>
      </w:r>
    </w:p>
    <w:p w14:paraId="2B502B16" w14:textId="77777777" w:rsidR="0033346E" w:rsidRPr="0033346E" w:rsidRDefault="0033346E" w:rsidP="0033346E">
      <w:pPr>
        <w:spacing w:after="0" w:line="360" w:lineRule="auto"/>
        <w:jc w:val="both"/>
        <w:rPr>
          <w:sz w:val="24"/>
          <w:szCs w:val="24"/>
          <w:lang w:val="es-US"/>
        </w:rPr>
      </w:pPr>
    </w:p>
    <w:p w14:paraId="2C65A6AB" w14:textId="63153861" w:rsidR="00D66011" w:rsidRDefault="00D66011">
      <w:pPr>
        <w:spacing w:after="0" w:line="240" w:lineRule="auto"/>
        <w:rPr>
          <w:rFonts w:eastAsia="Calibri"/>
          <w:b/>
          <w:sz w:val="32"/>
          <w:szCs w:val="32"/>
          <w:lang w:val="es-ES_tradnl"/>
        </w:rPr>
      </w:pPr>
      <w:bookmarkStart w:id="0" w:name="_Toc56448088"/>
    </w:p>
    <w:p w14:paraId="245224FF" w14:textId="6ABE94F7" w:rsidR="0033346E" w:rsidRPr="0033346E" w:rsidRDefault="0033346E" w:rsidP="0033346E">
      <w:pPr>
        <w:spacing w:after="0" w:line="360" w:lineRule="auto"/>
        <w:jc w:val="center"/>
        <w:rPr>
          <w:rFonts w:eastAsia="Calibri"/>
          <w:b/>
          <w:sz w:val="32"/>
          <w:szCs w:val="32"/>
          <w:lang w:val="es-ES_tradnl"/>
        </w:rPr>
      </w:pPr>
      <w:r w:rsidRPr="0033346E">
        <w:rPr>
          <w:rFonts w:eastAsia="Calibri"/>
          <w:b/>
          <w:sz w:val="32"/>
          <w:szCs w:val="32"/>
          <w:lang w:val="es-ES_tradnl"/>
        </w:rPr>
        <w:t>MÉTODOS</w:t>
      </w:r>
    </w:p>
    <w:p w14:paraId="7E6217E2" w14:textId="77777777" w:rsidR="0033346E" w:rsidRPr="0033346E" w:rsidRDefault="0033346E" w:rsidP="0033346E">
      <w:pPr>
        <w:spacing w:after="0" w:line="360" w:lineRule="auto"/>
        <w:jc w:val="both"/>
        <w:rPr>
          <w:sz w:val="24"/>
          <w:szCs w:val="24"/>
          <w:lang w:val="es-US"/>
        </w:rPr>
      </w:pPr>
      <w:r w:rsidRPr="0033346E">
        <w:rPr>
          <w:sz w:val="24"/>
          <w:szCs w:val="24"/>
          <w:lang w:val="es-US"/>
        </w:rPr>
        <w:t xml:space="preserve">Se realizó un estudio </w:t>
      </w:r>
      <w:bookmarkEnd w:id="0"/>
      <w:r w:rsidRPr="0033346E">
        <w:rPr>
          <w:sz w:val="24"/>
          <w:szCs w:val="24"/>
          <w:lang w:val="es-US"/>
        </w:rPr>
        <w:t xml:space="preserve">descriptivo, con datos de archivo, en el Hospital Militar Central “Dr. Carlos J. Finlay”, entre enero del 2017 y diciembre del 2019. </w:t>
      </w:r>
    </w:p>
    <w:p w14:paraId="143B43B9" w14:textId="3A00A975" w:rsidR="0033346E" w:rsidRDefault="0033346E" w:rsidP="0033346E">
      <w:pPr>
        <w:spacing w:after="0" w:line="360" w:lineRule="auto"/>
        <w:jc w:val="both"/>
        <w:rPr>
          <w:sz w:val="24"/>
          <w:szCs w:val="24"/>
          <w:lang w:val="es-US"/>
        </w:rPr>
      </w:pPr>
      <w:r w:rsidRPr="0033346E">
        <w:rPr>
          <w:sz w:val="24"/>
          <w:szCs w:val="24"/>
          <w:lang w:val="es-US"/>
        </w:rPr>
        <w:t>Fueron estudiados pacientes mayores de 18 años, de ambos sexos, atendidos en consulta externa de Medicina Interna o Gastroenterología, con diagnóstico de cirrosis hepática. Se revisaron 79 historias clínicas y fueron excluidas 22, por presentar datos insuficientes para la investigación. La serie quedó constituida por 57 pacientes.</w:t>
      </w:r>
      <w:bookmarkStart w:id="1" w:name="_Toc56448093"/>
      <w:r w:rsidRPr="0033346E">
        <w:rPr>
          <w:sz w:val="24"/>
          <w:szCs w:val="24"/>
          <w:lang w:val="es-US"/>
        </w:rPr>
        <w:t xml:space="preserve"> Las variables analizadas fueron:</w:t>
      </w:r>
      <w:bookmarkEnd w:id="1"/>
    </w:p>
    <w:p w14:paraId="4671D282" w14:textId="77777777" w:rsidR="009B3CF7" w:rsidRPr="0033346E" w:rsidRDefault="009B3CF7" w:rsidP="0033346E">
      <w:pPr>
        <w:spacing w:after="0" w:line="360" w:lineRule="auto"/>
        <w:jc w:val="both"/>
        <w:rPr>
          <w:sz w:val="24"/>
          <w:szCs w:val="24"/>
          <w:lang w:val="es-US"/>
        </w:rPr>
      </w:pPr>
    </w:p>
    <w:p w14:paraId="40A1C52E" w14:textId="77777777" w:rsidR="0033346E" w:rsidRPr="0033346E" w:rsidRDefault="0033346E" w:rsidP="0033346E">
      <w:pPr>
        <w:pStyle w:val="Prrafodelista"/>
        <w:numPr>
          <w:ilvl w:val="0"/>
          <w:numId w:val="2"/>
        </w:numPr>
        <w:spacing w:after="0" w:line="360" w:lineRule="auto"/>
        <w:ind w:left="360" w:firstLine="0"/>
        <w:jc w:val="both"/>
        <w:rPr>
          <w:sz w:val="24"/>
          <w:szCs w:val="24"/>
          <w:lang w:val="es-US"/>
        </w:rPr>
      </w:pPr>
      <w:r w:rsidRPr="0033346E">
        <w:rPr>
          <w:sz w:val="24"/>
          <w:szCs w:val="24"/>
          <w:lang w:val="es-US"/>
        </w:rPr>
        <w:t>Edad: según años cumplidos.</w:t>
      </w:r>
    </w:p>
    <w:p w14:paraId="19165FAA" w14:textId="77777777" w:rsidR="0033346E" w:rsidRPr="0033346E" w:rsidRDefault="0033346E" w:rsidP="0033346E">
      <w:pPr>
        <w:pStyle w:val="Prrafodelista"/>
        <w:numPr>
          <w:ilvl w:val="0"/>
          <w:numId w:val="43"/>
        </w:numPr>
        <w:spacing w:after="0" w:line="360" w:lineRule="auto"/>
        <w:jc w:val="both"/>
        <w:rPr>
          <w:sz w:val="24"/>
          <w:szCs w:val="24"/>
          <w:lang w:val="es-US"/>
        </w:rPr>
      </w:pPr>
      <w:r w:rsidRPr="0033346E">
        <w:rPr>
          <w:sz w:val="24"/>
          <w:szCs w:val="24"/>
          <w:lang w:val="es-US"/>
        </w:rPr>
        <w:t>Sexo: según género.</w:t>
      </w:r>
    </w:p>
    <w:p w14:paraId="0A60AA18" w14:textId="77777777" w:rsidR="0033346E" w:rsidRPr="0033346E" w:rsidRDefault="0033346E" w:rsidP="0033346E">
      <w:pPr>
        <w:pStyle w:val="Prrafodelista"/>
        <w:numPr>
          <w:ilvl w:val="0"/>
          <w:numId w:val="43"/>
        </w:numPr>
        <w:spacing w:after="0" w:line="360" w:lineRule="auto"/>
        <w:jc w:val="both"/>
        <w:rPr>
          <w:sz w:val="24"/>
          <w:szCs w:val="24"/>
          <w:lang w:val="es-US"/>
        </w:rPr>
      </w:pPr>
      <w:r w:rsidRPr="0033346E">
        <w:rPr>
          <w:sz w:val="24"/>
          <w:szCs w:val="24"/>
          <w:lang w:val="es-US"/>
        </w:rPr>
        <w:lastRenderedPageBreak/>
        <w:t xml:space="preserve">Etiología: </w:t>
      </w:r>
    </w:p>
    <w:p w14:paraId="396A0A13" w14:textId="17A59960" w:rsidR="0033346E" w:rsidRPr="0033346E" w:rsidRDefault="0033346E" w:rsidP="0033346E">
      <w:pPr>
        <w:pStyle w:val="Prrafodelista"/>
        <w:numPr>
          <w:ilvl w:val="0"/>
          <w:numId w:val="4"/>
        </w:numPr>
        <w:autoSpaceDE w:val="0"/>
        <w:autoSpaceDN w:val="0"/>
        <w:adjustRightInd w:val="0"/>
        <w:spacing w:after="0" w:line="360" w:lineRule="auto"/>
        <w:ind w:left="1080"/>
        <w:jc w:val="both"/>
        <w:rPr>
          <w:sz w:val="24"/>
          <w:szCs w:val="24"/>
          <w:lang w:val="es-US"/>
        </w:rPr>
      </w:pPr>
      <w:r w:rsidRPr="0033346E">
        <w:rPr>
          <w:sz w:val="24"/>
          <w:szCs w:val="24"/>
          <w:lang w:val="es-US"/>
        </w:rPr>
        <w:t xml:space="preserve">Alcohólica: según el antecedente y los datos del </w:t>
      </w:r>
      <w:r w:rsidRPr="0033346E">
        <w:rPr>
          <w:sz w:val="24"/>
          <w:szCs w:val="24"/>
          <w:lang w:val="es-ES"/>
        </w:rPr>
        <w:t>interrogatorio al paciente y la familia sobre frecuencia, tipo y</w:t>
      </w:r>
      <w:r w:rsidR="009B3CF7">
        <w:rPr>
          <w:sz w:val="24"/>
          <w:szCs w:val="24"/>
          <w:lang w:val="es-ES"/>
        </w:rPr>
        <w:t xml:space="preserve"> </w:t>
      </w:r>
      <w:r w:rsidRPr="0033346E">
        <w:rPr>
          <w:sz w:val="24"/>
          <w:szCs w:val="24"/>
          <w:lang w:val="es-ES"/>
        </w:rPr>
        <w:t>cantidad diaria de consumo de alcohol.</w:t>
      </w:r>
      <w:r w:rsidRPr="0033346E">
        <w:rPr>
          <w:sz w:val="24"/>
          <w:szCs w:val="24"/>
          <w:vertAlign w:val="superscript"/>
          <w:lang w:val="es-ES"/>
        </w:rPr>
        <w:t>(9)</w:t>
      </w:r>
    </w:p>
    <w:p w14:paraId="34114CF3" w14:textId="376E5876" w:rsidR="0033346E" w:rsidRPr="0033346E" w:rsidRDefault="0033346E" w:rsidP="0033346E">
      <w:pPr>
        <w:pStyle w:val="Prrafodelista"/>
        <w:numPr>
          <w:ilvl w:val="0"/>
          <w:numId w:val="4"/>
        </w:numPr>
        <w:spacing w:after="0" w:line="360" w:lineRule="auto"/>
        <w:ind w:left="1080"/>
        <w:jc w:val="both"/>
        <w:rPr>
          <w:sz w:val="24"/>
          <w:szCs w:val="24"/>
          <w:lang w:val="es-US"/>
        </w:rPr>
      </w:pPr>
      <w:r w:rsidRPr="0033346E">
        <w:rPr>
          <w:sz w:val="24"/>
          <w:szCs w:val="24"/>
          <w:lang w:val="es-US"/>
        </w:rPr>
        <w:t>Hepatitis viral (infección por el VHB o por el VHC): pruebas de serología positiva (AgsHB, anti-VHC, PCR-VHC).</w:t>
      </w:r>
    </w:p>
    <w:p w14:paraId="16C1DC26" w14:textId="77777777" w:rsidR="0033346E" w:rsidRPr="0033346E" w:rsidRDefault="0033346E" w:rsidP="0033346E">
      <w:pPr>
        <w:pStyle w:val="Prrafodelista"/>
        <w:numPr>
          <w:ilvl w:val="0"/>
          <w:numId w:val="4"/>
        </w:numPr>
        <w:spacing w:after="0" w:line="360" w:lineRule="auto"/>
        <w:ind w:left="1080"/>
        <w:jc w:val="both"/>
        <w:rPr>
          <w:sz w:val="24"/>
          <w:szCs w:val="24"/>
          <w:lang w:val="es-US"/>
        </w:rPr>
      </w:pPr>
      <w:r w:rsidRPr="0033346E">
        <w:rPr>
          <w:sz w:val="24"/>
          <w:szCs w:val="24"/>
          <w:lang w:val="es-US"/>
        </w:rPr>
        <w:t>Inmunológica: colangitis biliar primaria (CBP), hepatitis (HAI) y colangitis esclerosante primaria (CEP). De acuerdo con los antecedentes del paciente y los estudios realizados (histología obtenida por biopsia hepática, exámenes de laboratorio y presencia de autoanticuerpos, según correspondan para cada una de estas enfermedades).</w:t>
      </w:r>
    </w:p>
    <w:p w14:paraId="2627576D" w14:textId="77777777" w:rsidR="0033346E" w:rsidRPr="0033346E" w:rsidRDefault="0033346E" w:rsidP="0033346E">
      <w:pPr>
        <w:pStyle w:val="Prrafodelista"/>
        <w:numPr>
          <w:ilvl w:val="0"/>
          <w:numId w:val="4"/>
        </w:numPr>
        <w:spacing w:after="0" w:line="360" w:lineRule="auto"/>
        <w:ind w:left="1080"/>
        <w:jc w:val="both"/>
        <w:rPr>
          <w:sz w:val="24"/>
          <w:szCs w:val="24"/>
          <w:lang w:val="es-US"/>
        </w:rPr>
      </w:pPr>
      <w:r w:rsidRPr="0033346E">
        <w:rPr>
          <w:sz w:val="24"/>
          <w:szCs w:val="24"/>
          <w:lang w:val="es-US"/>
        </w:rPr>
        <w:t>Enfermedad por hígado graso no alcohólico (EHGNA): el antecedente, ausencia de causas secundarias para la acumulación de grasa hepática (como consumo excesivo de alcohol, uso de medicamentos esteatogénicos o enfermedades hereditarias) y presencia de obesidad, diabetes mellitus o ambas, en ausencia de consumo de alcohol.</w:t>
      </w:r>
    </w:p>
    <w:p w14:paraId="4E51BE39" w14:textId="77777777" w:rsidR="0033346E" w:rsidRPr="0033346E" w:rsidRDefault="0033346E" w:rsidP="0033346E">
      <w:pPr>
        <w:pStyle w:val="Prrafodelista"/>
        <w:numPr>
          <w:ilvl w:val="0"/>
          <w:numId w:val="4"/>
        </w:numPr>
        <w:spacing w:after="0" w:line="360" w:lineRule="auto"/>
        <w:ind w:left="1080"/>
        <w:jc w:val="both"/>
        <w:rPr>
          <w:sz w:val="24"/>
          <w:szCs w:val="24"/>
          <w:lang w:val="es-US"/>
        </w:rPr>
      </w:pPr>
      <w:r w:rsidRPr="0033346E">
        <w:rPr>
          <w:sz w:val="24"/>
          <w:szCs w:val="24"/>
          <w:lang w:val="es-US"/>
        </w:rPr>
        <w:t>Cirrosis criptogénica: cuando no se encontró causa definida.</w:t>
      </w:r>
    </w:p>
    <w:p w14:paraId="30FB7171" w14:textId="77777777" w:rsidR="0033346E" w:rsidRPr="0033346E" w:rsidRDefault="0033346E" w:rsidP="0033346E">
      <w:pPr>
        <w:pStyle w:val="Prrafodelista"/>
        <w:numPr>
          <w:ilvl w:val="0"/>
          <w:numId w:val="4"/>
        </w:numPr>
        <w:spacing w:after="0" w:line="360" w:lineRule="auto"/>
        <w:ind w:left="1080"/>
        <w:jc w:val="both"/>
        <w:rPr>
          <w:sz w:val="24"/>
          <w:szCs w:val="24"/>
          <w:lang w:val="es-US"/>
        </w:rPr>
      </w:pPr>
      <w:r w:rsidRPr="0033346E">
        <w:rPr>
          <w:sz w:val="24"/>
          <w:szCs w:val="24"/>
          <w:lang w:val="es-US"/>
        </w:rPr>
        <w:t>Etiología mixta: pacientes con más de una causa de cirrosis hepática.</w:t>
      </w:r>
    </w:p>
    <w:p w14:paraId="393BC2A2" w14:textId="77777777" w:rsidR="0033346E" w:rsidRPr="0033346E" w:rsidRDefault="0033346E" w:rsidP="0033346E">
      <w:pPr>
        <w:pStyle w:val="Prrafodelista"/>
        <w:numPr>
          <w:ilvl w:val="0"/>
          <w:numId w:val="39"/>
        </w:numPr>
        <w:spacing w:after="0" w:line="360" w:lineRule="auto"/>
        <w:ind w:left="567" w:hanging="283"/>
        <w:jc w:val="both"/>
        <w:rPr>
          <w:sz w:val="24"/>
          <w:szCs w:val="24"/>
          <w:lang w:val="es-US"/>
        </w:rPr>
      </w:pPr>
      <w:r w:rsidRPr="0033346E">
        <w:rPr>
          <w:sz w:val="24"/>
          <w:szCs w:val="24"/>
          <w:lang w:val="es-US"/>
        </w:rPr>
        <w:t>Modo</w:t>
      </w:r>
      <w:r>
        <w:rPr>
          <w:sz w:val="24"/>
          <w:szCs w:val="24"/>
          <w:lang w:val="es-US"/>
        </w:rPr>
        <w:t xml:space="preserve"> </w:t>
      </w:r>
      <w:r w:rsidRPr="0033346E">
        <w:rPr>
          <w:sz w:val="24"/>
          <w:szCs w:val="24"/>
          <w:lang w:val="es-US"/>
        </w:rPr>
        <w:t>de diagnóstico: clínico, por ultrasonido abdominal, durante una cirugía electiva o laparoscopia por otra causa, biopsia hepática o ET.</w:t>
      </w:r>
    </w:p>
    <w:p w14:paraId="44A69EBD" w14:textId="77777777" w:rsidR="0033346E" w:rsidRPr="0033346E" w:rsidRDefault="0033346E" w:rsidP="0033346E">
      <w:pPr>
        <w:pStyle w:val="Prrafodelista"/>
        <w:numPr>
          <w:ilvl w:val="0"/>
          <w:numId w:val="2"/>
        </w:numPr>
        <w:spacing w:after="0" w:line="360" w:lineRule="auto"/>
        <w:ind w:left="567" w:hanging="283"/>
        <w:jc w:val="both"/>
        <w:rPr>
          <w:sz w:val="24"/>
          <w:szCs w:val="24"/>
          <w:lang w:val="es-US"/>
        </w:rPr>
      </w:pPr>
      <w:r w:rsidRPr="0033346E">
        <w:rPr>
          <w:sz w:val="24"/>
          <w:szCs w:val="24"/>
          <w:lang w:val="es-US"/>
        </w:rPr>
        <w:t>Comorbilidades: hipertensión arterial (HTA), diabetes mellitus, litiasis vesicular, obesidad, asma bronquial y cardiopatía isquémica.</w:t>
      </w:r>
    </w:p>
    <w:p w14:paraId="472482FD" w14:textId="77777777" w:rsidR="0033346E" w:rsidRPr="0033346E" w:rsidRDefault="0033346E" w:rsidP="0033346E">
      <w:pPr>
        <w:pStyle w:val="Prrafodelista"/>
        <w:numPr>
          <w:ilvl w:val="0"/>
          <w:numId w:val="2"/>
        </w:numPr>
        <w:spacing w:after="0" w:line="360" w:lineRule="auto"/>
        <w:ind w:left="567" w:hanging="283"/>
        <w:jc w:val="both"/>
        <w:rPr>
          <w:sz w:val="24"/>
          <w:szCs w:val="24"/>
          <w:lang w:val="es-US"/>
        </w:rPr>
      </w:pPr>
      <w:r w:rsidRPr="0033346E">
        <w:rPr>
          <w:sz w:val="24"/>
          <w:szCs w:val="24"/>
          <w:lang w:val="es-ES"/>
        </w:rPr>
        <w:t>Manifestaciones endoscópicas de la HTP.</w:t>
      </w:r>
    </w:p>
    <w:p w14:paraId="5EC204F1" w14:textId="77777777" w:rsidR="0033346E" w:rsidRPr="0033346E" w:rsidRDefault="0033346E" w:rsidP="0033346E">
      <w:pPr>
        <w:pStyle w:val="Prrafodelista"/>
        <w:numPr>
          <w:ilvl w:val="0"/>
          <w:numId w:val="12"/>
        </w:numPr>
        <w:autoSpaceDE w:val="0"/>
        <w:autoSpaceDN w:val="0"/>
        <w:adjustRightInd w:val="0"/>
        <w:spacing w:after="0" w:line="360" w:lineRule="auto"/>
        <w:ind w:left="1080"/>
        <w:jc w:val="both"/>
        <w:rPr>
          <w:bCs/>
          <w:sz w:val="24"/>
          <w:szCs w:val="24"/>
          <w:lang w:val="es-US"/>
        </w:rPr>
      </w:pPr>
      <w:r w:rsidRPr="0033346E">
        <w:rPr>
          <w:sz w:val="24"/>
          <w:szCs w:val="24"/>
          <w:lang w:val="es-US"/>
        </w:rPr>
        <w:t>Várices esofágicas (clasificación de Baveno):</w:t>
      </w:r>
      <w:r w:rsidRPr="0033346E">
        <w:rPr>
          <w:sz w:val="24"/>
          <w:szCs w:val="24"/>
          <w:vertAlign w:val="superscript"/>
          <w:lang w:val="es-US"/>
        </w:rPr>
        <w:t>(10)</w:t>
      </w:r>
      <w:r w:rsidRPr="0033346E">
        <w:rPr>
          <w:sz w:val="24"/>
          <w:szCs w:val="24"/>
          <w:lang w:val="es-US"/>
        </w:rPr>
        <w:t xml:space="preserve"> pequeñas (menores de 5 mm) y grandes (mayores de 5 mm).</w:t>
      </w:r>
    </w:p>
    <w:p w14:paraId="54447401" w14:textId="77777777" w:rsidR="0033346E" w:rsidRPr="0033346E" w:rsidRDefault="0033346E" w:rsidP="0033346E">
      <w:pPr>
        <w:pStyle w:val="Prrafodelista"/>
        <w:numPr>
          <w:ilvl w:val="0"/>
          <w:numId w:val="12"/>
        </w:numPr>
        <w:spacing w:after="0" w:line="360" w:lineRule="auto"/>
        <w:ind w:left="1080"/>
        <w:jc w:val="both"/>
        <w:rPr>
          <w:sz w:val="24"/>
          <w:szCs w:val="24"/>
          <w:lang w:val="es-US"/>
        </w:rPr>
      </w:pPr>
      <w:r w:rsidRPr="0033346E">
        <w:rPr>
          <w:sz w:val="24"/>
          <w:szCs w:val="24"/>
          <w:lang w:val="es-US"/>
        </w:rPr>
        <w:t>Várices gastroesofágicas (clasificación de Sarín):</w:t>
      </w:r>
      <w:r w:rsidRPr="0033346E">
        <w:rPr>
          <w:sz w:val="24"/>
          <w:szCs w:val="24"/>
          <w:vertAlign w:val="superscript"/>
          <w:lang w:val="es-US"/>
        </w:rPr>
        <w:t>(10)</w:t>
      </w:r>
      <w:r w:rsidRPr="0033346E">
        <w:rPr>
          <w:sz w:val="24"/>
          <w:szCs w:val="24"/>
          <w:lang w:val="es-US"/>
        </w:rPr>
        <w:t xml:space="preserve"> várices gastroesofágicas (tipo 1 y tipo 2) y várices gástricas aisladas (tipo 1 y tipo 2).</w:t>
      </w:r>
    </w:p>
    <w:p w14:paraId="61233E20" w14:textId="73158E87" w:rsidR="0033346E" w:rsidRPr="0033346E" w:rsidRDefault="0033346E" w:rsidP="0033346E">
      <w:pPr>
        <w:pStyle w:val="Prrafodelista"/>
        <w:numPr>
          <w:ilvl w:val="0"/>
          <w:numId w:val="12"/>
        </w:numPr>
        <w:spacing w:after="0" w:line="360" w:lineRule="auto"/>
        <w:ind w:left="1080"/>
        <w:jc w:val="both"/>
        <w:rPr>
          <w:sz w:val="24"/>
          <w:szCs w:val="24"/>
          <w:lang w:val="es-US"/>
        </w:rPr>
      </w:pPr>
      <w:r w:rsidRPr="0033346E">
        <w:rPr>
          <w:sz w:val="24"/>
          <w:szCs w:val="24"/>
          <w:lang w:val="es-US"/>
        </w:rPr>
        <w:t>Gastropatía portal (clasificación de BavenoIII):</w:t>
      </w:r>
      <w:r w:rsidRPr="0033346E">
        <w:rPr>
          <w:sz w:val="24"/>
          <w:szCs w:val="24"/>
          <w:vertAlign w:val="superscript"/>
          <w:lang w:val="es-US"/>
        </w:rPr>
        <w:t>(11)</w:t>
      </w:r>
      <w:r w:rsidR="009B3CF7">
        <w:rPr>
          <w:sz w:val="24"/>
          <w:szCs w:val="24"/>
          <w:vertAlign w:val="superscript"/>
          <w:lang w:val="es-US"/>
        </w:rPr>
        <w:t xml:space="preserve"> </w:t>
      </w:r>
      <w:r w:rsidRPr="0033346E">
        <w:rPr>
          <w:sz w:val="24"/>
          <w:szCs w:val="24"/>
          <w:lang w:val="es-US"/>
        </w:rPr>
        <w:t>leve (patrón en mosaico, sin enrojecimiento de areola) y grave (cuando al patrón en mosaico se superponen signos de enrojecimiento de la areola o si se observa cualquier otro signo rojo).</w:t>
      </w:r>
    </w:p>
    <w:p w14:paraId="201343D1" w14:textId="77777777" w:rsidR="0033346E" w:rsidRPr="0033346E" w:rsidRDefault="0033346E" w:rsidP="0033346E">
      <w:pPr>
        <w:pStyle w:val="Prrafodelista"/>
        <w:numPr>
          <w:ilvl w:val="0"/>
          <w:numId w:val="2"/>
        </w:numPr>
        <w:autoSpaceDE w:val="0"/>
        <w:autoSpaceDN w:val="0"/>
        <w:adjustRightInd w:val="0"/>
        <w:spacing w:after="0" w:line="360" w:lineRule="auto"/>
        <w:ind w:left="567" w:hanging="283"/>
        <w:jc w:val="both"/>
        <w:rPr>
          <w:sz w:val="24"/>
          <w:szCs w:val="24"/>
          <w:lang w:val="es-US"/>
        </w:rPr>
      </w:pPr>
      <w:r w:rsidRPr="0033346E">
        <w:rPr>
          <w:sz w:val="24"/>
          <w:szCs w:val="24"/>
          <w:lang w:val="es-US"/>
        </w:rPr>
        <w:t>Complicaciones:</w:t>
      </w:r>
    </w:p>
    <w:p w14:paraId="1E1D7BE0" w14:textId="77777777" w:rsidR="0033346E" w:rsidRPr="0033346E" w:rsidRDefault="0033346E" w:rsidP="0033346E">
      <w:pPr>
        <w:pStyle w:val="Prrafodelista"/>
        <w:numPr>
          <w:ilvl w:val="0"/>
          <w:numId w:val="18"/>
        </w:numPr>
        <w:spacing w:after="0" w:line="360" w:lineRule="auto"/>
        <w:ind w:left="1080"/>
        <w:jc w:val="both"/>
        <w:rPr>
          <w:sz w:val="24"/>
          <w:szCs w:val="24"/>
          <w:lang w:val="es-US"/>
        </w:rPr>
      </w:pPr>
      <w:r w:rsidRPr="0033346E">
        <w:rPr>
          <w:sz w:val="24"/>
          <w:szCs w:val="24"/>
          <w:lang w:val="es-US"/>
        </w:rPr>
        <w:t xml:space="preserve">Ascitis. </w:t>
      </w:r>
    </w:p>
    <w:p w14:paraId="6C25F6C5" w14:textId="77777777" w:rsidR="0033346E" w:rsidRPr="0033346E" w:rsidRDefault="0033346E" w:rsidP="0033346E">
      <w:pPr>
        <w:pStyle w:val="Prrafodelista"/>
        <w:numPr>
          <w:ilvl w:val="0"/>
          <w:numId w:val="18"/>
        </w:numPr>
        <w:spacing w:after="0" w:line="360" w:lineRule="auto"/>
        <w:ind w:left="1080"/>
        <w:jc w:val="both"/>
        <w:rPr>
          <w:sz w:val="24"/>
          <w:szCs w:val="24"/>
          <w:lang w:val="es-US"/>
        </w:rPr>
      </w:pPr>
      <w:r w:rsidRPr="0033346E">
        <w:rPr>
          <w:sz w:val="24"/>
          <w:szCs w:val="24"/>
          <w:lang w:val="es-US"/>
        </w:rPr>
        <w:lastRenderedPageBreak/>
        <w:t xml:space="preserve">PBE: infección bacteriana del líquido ascítico en ausencia de foco infeccioso intrabdominal. </w:t>
      </w:r>
    </w:p>
    <w:p w14:paraId="0778DED4" w14:textId="77777777" w:rsidR="0033346E" w:rsidRPr="0033346E" w:rsidRDefault="0033346E" w:rsidP="0033346E">
      <w:pPr>
        <w:pStyle w:val="Prrafodelista"/>
        <w:numPr>
          <w:ilvl w:val="0"/>
          <w:numId w:val="18"/>
        </w:numPr>
        <w:spacing w:after="0" w:line="360" w:lineRule="auto"/>
        <w:ind w:left="1080"/>
        <w:jc w:val="both"/>
        <w:rPr>
          <w:sz w:val="24"/>
          <w:szCs w:val="24"/>
          <w:lang w:val="es-US"/>
        </w:rPr>
      </w:pPr>
      <w:r w:rsidRPr="0033346E">
        <w:rPr>
          <w:sz w:val="24"/>
          <w:szCs w:val="24"/>
          <w:lang w:val="es-US"/>
        </w:rPr>
        <w:t>EH: presencia de síntomas y signos neuropsiquiátricos por disfunción hepática grave.</w:t>
      </w:r>
    </w:p>
    <w:p w14:paraId="430916D9" w14:textId="77777777" w:rsidR="0033346E" w:rsidRPr="0033346E" w:rsidRDefault="0033346E" w:rsidP="0033346E">
      <w:pPr>
        <w:pStyle w:val="Prrafodelista"/>
        <w:numPr>
          <w:ilvl w:val="0"/>
          <w:numId w:val="18"/>
        </w:numPr>
        <w:spacing w:after="0" w:line="360" w:lineRule="auto"/>
        <w:ind w:left="1080"/>
        <w:jc w:val="both"/>
        <w:rPr>
          <w:sz w:val="24"/>
          <w:szCs w:val="24"/>
          <w:lang w:val="es-US"/>
        </w:rPr>
      </w:pPr>
      <w:r w:rsidRPr="0033346E">
        <w:rPr>
          <w:sz w:val="24"/>
          <w:szCs w:val="24"/>
          <w:lang w:val="es-US"/>
        </w:rPr>
        <w:t>HDA: presencia de hematemesis o melena.</w:t>
      </w:r>
    </w:p>
    <w:p w14:paraId="4EBE66A3" w14:textId="77777777" w:rsidR="0033346E" w:rsidRPr="0033346E" w:rsidRDefault="0033346E" w:rsidP="0033346E">
      <w:pPr>
        <w:pStyle w:val="Prrafodelista"/>
        <w:numPr>
          <w:ilvl w:val="0"/>
          <w:numId w:val="18"/>
        </w:numPr>
        <w:spacing w:after="0" w:line="360" w:lineRule="auto"/>
        <w:ind w:left="1080"/>
        <w:jc w:val="both"/>
        <w:rPr>
          <w:sz w:val="24"/>
          <w:szCs w:val="24"/>
          <w:lang w:val="es-US"/>
        </w:rPr>
      </w:pPr>
      <w:r w:rsidRPr="0033346E">
        <w:rPr>
          <w:sz w:val="24"/>
          <w:szCs w:val="24"/>
          <w:lang w:val="es-US"/>
        </w:rPr>
        <w:t xml:space="preserve">SHR: insuficiencia renal aguda en pacientes con cirrosis. </w:t>
      </w:r>
    </w:p>
    <w:p w14:paraId="797452F4" w14:textId="77777777" w:rsidR="0033346E" w:rsidRPr="0033346E" w:rsidRDefault="0033346E" w:rsidP="0033346E">
      <w:pPr>
        <w:pStyle w:val="Prrafodelista"/>
        <w:numPr>
          <w:ilvl w:val="0"/>
          <w:numId w:val="18"/>
        </w:numPr>
        <w:spacing w:after="0" w:line="360" w:lineRule="auto"/>
        <w:ind w:left="1080"/>
        <w:jc w:val="both"/>
        <w:rPr>
          <w:sz w:val="24"/>
          <w:szCs w:val="24"/>
          <w:lang w:val="es-US"/>
        </w:rPr>
      </w:pPr>
      <w:r w:rsidRPr="0033346E">
        <w:rPr>
          <w:sz w:val="24"/>
          <w:szCs w:val="24"/>
          <w:lang w:val="es-US"/>
        </w:rPr>
        <w:t>SHP: disnea e hipoxemia causado por la vasodilatación de los vasos sanguíneos del pulmón en pacientes con enfermedad hepática.</w:t>
      </w:r>
    </w:p>
    <w:p w14:paraId="7E9F4F60" w14:textId="1C6B1289" w:rsidR="0033346E" w:rsidRPr="0033346E" w:rsidRDefault="0033346E" w:rsidP="0033346E">
      <w:pPr>
        <w:pStyle w:val="Prrafodelista"/>
        <w:numPr>
          <w:ilvl w:val="0"/>
          <w:numId w:val="20"/>
        </w:numPr>
        <w:spacing w:after="0" w:line="360" w:lineRule="auto"/>
        <w:ind w:left="567" w:hanging="283"/>
        <w:jc w:val="both"/>
        <w:rPr>
          <w:sz w:val="24"/>
          <w:szCs w:val="24"/>
          <w:lang w:val="es-US"/>
        </w:rPr>
      </w:pPr>
      <w:r w:rsidRPr="0033346E">
        <w:rPr>
          <w:sz w:val="24"/>
          <w:szCs w:val="24"/>
          <w:lang w:val="es-US"/>
        </w:rPr>
        <w:t>Estad</w:t>
      </w:r>
      <w:r w:rsidR="00D033A8">
        <w:rPr>
          <w:sz w:val="24"/>
          <w:szCs w:val="24"/>
          <w:lang w:val="es-US"/>
        </w:rPr>
        <w:t>i</w:t>
      </w:r>
      <w:r w:rsidRPr="0033346E">
        <w:rPr>
          <w:sz w:val="24"/>
          <w:szCs w:val="24"/>
          <w:lang w:val="es-US"/>
        </w:rPr>
        <w:t>os de la evolución clínica de la enfermedad según D’</w:t>
      </w:r>
      <w:r w:rsidR="009B3CF7">
        <w:rPr>
          <w:sz w:val="24"/>
          <w:szCs w:val="24"/>
          <w:lang w:val="es-US"/>
        </w:rPr>
        <w:t>A</w:t>
      </w:r>
      <w:r w:rsidRPr="0033346E">
        <w:rPr>
          <w:sz w:val="24"/>
          <w:szCs w:val="24"/>
          <w:lang w:val="es-US"/>
        </w:rPr>
        <w:t>mico.</w:t>
      </w:r>
    </w:p>
    <w:p w14:paraId="40B51614" w14:textId="77777777" w:rsidR="0033346E" w:rsidRPr="0033346E" w:rsidRDefault="0033346E" w:rsidP="0033346E">
      <w:pPr>
        <w:pStyle w:val="Prrafodelista"/>
        <w:numPr>
          <w:ilvl w:val="0"/>
          <w:numId w:val="2"/>
        </w:numPr>
        <w:spacing w:after="0" w:line="360" w:lineRule="auto"/>
        <w:ind w:left="567" w:hanging="283"/>
        <w:jc w:val="both"/>
        <w:rPr>
          <w:sz w:val="24"/>
          <w:szCs w:val="24"/>
          <w:lang w:val="es-US"/>
        </w:rPr>
      </w:pPr>
      <w:r w:rsidRPr="0033346E">
        <w:rPr>
          <w:rFonts w:eastAsia="PlantinStd"/>
          <w:sz w:val="24"/>
          <w:szCs w:val="24"/>
          <w:lang w:val="es-US"/>
        </w:rPr>
        <w:t>Grado de disfunción hepática según clasificación de Child-Pugh</w:t>
      </w:r>
      <w:r w:rsidRPr="0033346E">
        <w:rPr>
          <w:sz w:val="24"/>
          <w:szCs w:val="24"/>
          <w:lang w:val="es-US"/>
        </w:rPr>
        <w:t>.</w:t>
      </w:r>
    </w:p>
    <w:p w14:paraId="7E1CCF02" w14:textId="77777777" w:rsidR="0033346E" w:rsidRPr="0033346E" w:rsidRDefault="0033346E" w:rsidP="0033346E">
      <w:pPr>
        <w:spacing w:after="0" w:line="360" w:lineRule="auto"/>
        <w:rPr>
          <w:b/>
          <w:sz w:val="24"/>
          <w:szCs w:val="24"/>
          <w:lang w:val="es-US"/>
        </w:rPr>
      </w:pPr>
      <w:bookmarkStart w:id="2" w:name="_Toc56448094"/>
    </w:p>
    <w:bookmarkEnd w:id="2"/>
    <w:p w14:paraId="323E8673" w14:textId="77777777" w:rsidR="0033346E" w:rsidRPr="0033346E" w:rsidRDefault="0033346E" w:rsidP="0033346E">
      <w:pPr>
        <w:spacing w:after="0" w:line="360" w:lineRule="auto"/>
        <w:jc w:val="both"/>
        <w:rPr>
          <w:sz w:val="24"/>
          <w:szCs w:val="24"/>
          <w:lang w:val="es-US"/>
        </w:rPr>
      </w:pPr>
      <w:r w:rsidRPr="0033346E">
        <w:rPr>
          <w:sz w:val="24"/>
          <w:szCs w:val="24"/>
          <w:lang w:val="es-US"/>
        </w:rPr>
        <w:t>La investigación se realizó según los preceptos establecidos en el Código Internacional de Ética Médica y los que competen a las investigaciones biomédicas en humanos contemplados en la Declaración de Helsinki.</w:t>
      </w:r>
      <w:r w:rsidRPr="0033346E">
        <w:rPr>
          <w:sz w:val="24"/>
          <w:szCs w:val="24"/>
          <w:vertAlign w:val="superscript"/>
          <w:lang w:val="es-US"/>
        </w:rPr>
        <w:t>(12)</w:t>
      </w:r>
      <w:r w:rsidRPr="0033346E">
        <w:rPr>
          <w:sz w:val="24"/>
          <w:szCs w:val="24"/>
          <w:lang w:val="es-US"/>
        </w:rPr>
        <w:t xml:space="preserve"> La información obtenida solo se utilizó con fines científicos.</w:t>
      </w:r>
    </w:p>
    <w:p w14:paraId="23B8B409" w14:textId="77777777" w:rsidR="0033346E" w:rsidRPr="004B7D58" w:rsidRDefault="0033346E" w:rsidP="0033346E">
      <w:pPr>
        <w:spacing w:after="0" w:line="360" w:lineRule="auto"/>
        <w:jc w:val="both"/>
        <w:rPr>
          <w:sz w:val="24"/>
          <w:szCs w:val="24"/>
          <w:lang w:val="es-US"/>
        </w:rPr>
      </w:pPr>
      <w:r w:rsidRPr="0033346E">
        <w:rPr>
          <w:sz w:val="24"/>
          <w:szCs w:val="24"/>
          <w:lang w:val="es-US"/>
        </w:rPr>
        <w:t xml:space="preserve">Las variables cuantitativas se caracterizaron mediante la media aritmética y la desviación estándar. Las variables cualitativas se caracterizaron mediante la distribución de frecuencias y porcentajes. Los </w:t>
      </w:r>
      <w:r w:rsidRPr="004B7D58">
        <w:rPr>
          <w:sz w:val="24"/>
          <w:szCs w:val="24"/>
          <w:lang w:val="es-US"/>
        </w:rPr>
        <w:t>resultados se presentaron en forma de textual y mediante tablas y gráficos.</w:t>
      </w:r>
    </w:p>
    <w:p w14:paraId="7FDF70F7" w14:textId="77777777" w:rsidR="0033346E" w:rsidRPr="004B7D58" w:rsidRDefault="0033346E" w:rsidP="0033346E">
      <w:pPr>
        <w:autoSpaceDE w:val="0"/>
        <w:autoSpaceDN w:val="0"/>
        <w:adjustRightInd w:val="0"/>
        <w:spacing w:after="0" w:line="360" w:lineRule="auto"/>
        <w:jc w:val="center"/>
        <w:rPr>
          <w:rFonts w:eastAsia="Calibri"/>
          <w:b/>
          <w:sz w:val="24"/>
          <w:szCs w:val="24"/>
          <w:lang w:val="es-US" w:eastAsia="zh-CN"/>
        </w:rPr>
      </w:pPr>
    </w:p>
    <w:p w14:paraId="39FDC0AC" w14:textId="77777777" w:rsidR="0033346E" w:rsidRPr="004B7D58" w:rsidRDefault="0033346E" w:rsidP="0033346E">
      <w:pPr>
        <w:autoSpaceDE w:val="0"/>
        <w:autoSpaceDN w:val="0"/>
        <w:adjustRightInd w:val="0"/>
        <w:spacing w:after="0" w:line="360" w:lineRule="auto"/>
        <w:jc w:val="center"/>
        <w:rPr>
          <w:rFonts w:eastAsia="Calibri"/>
          <w:b/>
          <w:sz w:val="24"/>
          <w:szCs w:val="24"/>
          <w:lang w:val="es-ES_tradnl" w:eastAsia="zh-CN"/>
        </w:rPr>
      </w:pPr>
    </w:p>
    <w:p w14:paraId="56D55396" w14:textId="77777777" w:rsidR="0033346E" w:rsidRPr="0033346E" w:rsidRDefault="0033346E" w:rsidP="0033346E">
      <w:pPr>
        <w:autoSpaceDE w:val="0"/>
        <w:autoSpaceDN w:val="0"/>
        <w:adjustRightInd w:val="0"/>
        <w:spacing w:after="0" w:line="360" w:lineRule="auto"/>
        <w:jc w:val="center"/>
        <w:rPr>
          <w:rFonts w:eastAsia="Calibri"/>
          <w:b/>
          <w:sz w:val="32"/>
          <w:szCs w:val="32"/>
          <w:lang w:val="es-ES_tradnl" w:eastAsia="zh-CN"/>
        </w:rPr>
      </w:pPr>
      <w:r w:rsidRPr="0033346E">
        <w:rPr>
          <w:rFonts w:eastAsia="Calibri"/>
          <w:b/>
          <w:sz w:val="32"/>
          <w:szCs w:val="32"/>
          <w:lang w:val="es-ES_tradnl" w:eastAsia="zh-CN"/>
        </w:rPr>
        <w:t>RESULTADOS</w:t>
      </w:r>
    </w:p>
    <w:p w14:paraId="50F477CF" w14:textId="08D072A6" w:rsidR="0033346E" w:rsidRPr="0033346E" w:rsidRDefault="0033346E" w:rsidP="0033346E">
      <w:pPr>
        <w:spacing w:after="0" w:line="360" w:lineRule="auto"/>
        <w:jc w:val="both"/>
        <w:rPr>
          <w:sz w:val="24"/>
          <w:szCs w:val="24"/>
          <w:lang w:val="es-US"/>
        </w:rPr>
      </w:pPr>
      <w:r w:rsidRPr="0033346E">
        <w:rPr>
          <w:sz w:val="24"/>
          <w:szCs w:val="24"/>
          <w:lang w:val="es-US"/>
        </w:rPr>
        <w:t>El promedio de edad fue de 62,8 años con desviación estándar de 10,7. La edad mínima fue 32 años y la máxima 84. El mayor número de enfermos estuvo ubicado entre los 60 y 69 años con 19 pacientes (33,3 %), seguido por el grupo de 70 y más con 18 (31,6 %) y el de 50 a 59 con 14 (24,6 %). Menor representación existió en el grupo entre 40 y 49 años con 5 (8,8 %) pacientes y en el grupo</w:t>
      </w:r>
      <w:r w:rsidR="00EE19EF">
        <w:rPr>
          <w:sz w:val="24"/>
          <w:szCs w:val="24"/>
          <w:lang w:val="es-US"/>
        </w:rPr>
        <w:t xml:space="preserve"> </w:t>
      </w:r>
      <w:r w:rsidRPr="0033346E">
        <w:rPr>
          <w:sz w:val="24"/>
          <w:szCs w:val="24"/>
          <w:lang w:val="es-US"/>
        </w:rPr>
        <w:t>entre</w:t>
      </w:r>
      <w:r w:rsidR="00EE19EF">
        <w:rPr>
          <w:sz w:val="24"/>
          <w:szCs w:val="24"/>
          <w:lang w:val="es-US"/>
        </w:rPr>
        <w:t xml:space="preserve"> </w:t>
      </w:r>
      <w:r w:rsidRPr="0033346E">
        <w:rPr>
          <w:sz w:val="24"/>
          <w:szCs w:val="24"/>
          <w:lang w:val="es-US"/>
        </w:rPr>
        <w:t>30 y 39añossolo un paciente (1,7 %).</w:t>
      </w:r>
      <w:r w:rsidR="00FF45EE">
        <w:rPr>
          <w:sz w:val="24"/>
          <w:szCs w:val="24"/>
          <w:lang w:val="es-US"/>
        </w:rPr>
        <w:t xml:space="preserve"> </w:t>
      </w:r>
      <w:r w:rsidRPr="0033346E">
        <w:rPr>
          <w:sz w:val="24"/>
          <w:szCs w:val="24"/>
          <w:lang w:val="es-US"/>
        </w:rPr>
        <w:t xml:space="preserve">De los 57 pacientes, 31 (54,3 %) fueron mujeres y 26 (45,6 %) hombres. En el caso de las mujeres, el mayor número se diagnosticó entre los 60 y 69 años de edad, con 12 (21,0 %) y en los hombres entre los 70 y más años con 12 (21,1 %). </w:t>
      </w:r>
    </w:p>
    <w:p w14:paraId="4DA523A1" w14:textId="77777777" w:rsidR="0033346E" w:rsidRPr="0033346E" w:rsidRDefault="0033346E" w:rsidP="0033346E">
      <w:pPr>
        <w:spacing w:after="0" w:line="360" w:lineRule="auto"/>
        <w:jc w:val="both"/>
        <w:rPr>
          <w:sz w:val="24"/>
          <w:szCs w:val="24"/>
          <w:lang w:val="es-US"/>
        </w:rPr>
      </w:pPr>
      <w:r w:rsidRPr="0033346E">
        <w:rPr>
          <w:sz w:val="24"/>
          <w:szCs w:val="24"/>
          <w:lang w:val="es-US"/>
        </w:rPr>
        <w:t xml:space="preserve">La etiología más frecuente fue la infección por el VHC con 21 pacientes (36,8 %), seguido por la alcohólica en 18 (31,6 %), la criptogénica en 8 (14 %), la EHGNA en 5 (8,7 %), la mixta en 2 (3,5 %) y la inmunológica en 2 (3,5 %). La infección por el VHB solo se presentó en 1 (1,8 %) (tabla 1). </w:t>
      </w:r>
    </w:p>
    <w:p w14:paraId="5354B2C0" w14:textId="77777777" w:rsidR="0033346E" w:rsidRPr="0033346E" w:rsidRDefault="0033346E" w:rsidP="0033346E">
      <w:pPr>
        <w:spacing w:after="0" w:line="360" w:lineRule="auto"/>
        <w:jc w:val="both"/>
        <w:rPr>
          <w:sz w:val="24"/>
          <w:szCs w:val="24"/>
          <w:lang w:val="es-US"/>
        </w:rPr>
      </w:pPr>
    </w:p>
    <w:p w14:paraId="78444617" w14:textId="77777777" w:rsidR="0033346E" w:rsidRPr="0033346E" w:rsidRDefault="0033346E" w:rsidP="0033346E">
      <w:pPr>
        <w:spacing w:after="0" w:line="360" w:lineRule="auto"/>
        <w:jc w:val="center"/>
        <w:rPr>
          <w:szCs w:val="22"/>
          <w:lang w:val="es-US"/>
        </w:rPr>
      </w:pPr>
      <w:r w:rsidRPr="0033346E">
        <w:rPr>
          <w:b/>
          <w:szCs w:val="22"/>
          <w:lang w:val="es-US"/>
        </w:rPr>
        <w:lastRenderedPageBreak/>
        <w:t>Tabla 1 -</w:t>
      </w:r>
      <w:r w:rsidRPr="0033346E">
        <w:rPr>
          <w:szCs w:val="22"/>
          <w:lang w:val="es-US"/>
        </w:rPr>
        <w:t xml:space="preserve"> Etiología de la cirrosis hepática en los pacientes estudiados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93"/>
        <w:gridCol w:w="1134"/>
      </w:tblGrid>
      <w:tr w:rsidR="0033346E" w:rsidRPr="005C22F4" w14:paraId="745B14DF" w14:textId="77777777" w:rsidTr="007507A3">
        <w:trPr>
          <w:jc w:val="center"/>
        </w:trPr>
        <w:tc>
          <w:tcPr>
            <w:tcW w:w="2830" w:type="dxa"/>
            <w:shd w:val="clear" w:color="auto" w:fill="auto"/>
            <w:vAlign w:val="center"/>
          </w:tcPr>
          <w:p w14:paraId="6E41DC5C" w14:textId="77777777" w:rsidR="0033346E" w:rsidRPr="005C22F4" w:rsidRDefault="0033346E" w:rsidP="007507A3">
            <w:pPr>
              <w:spacing w:after="0" w:line="360" w:lineRule="auto"/>
              <w:jc w:val="center"/>
              <w:rPr>
                <w:b/>
                <w:sz w:val="18"/>
                <w:szCs w:val="18"/>
                <w:lang w:val="es-CU"/>
              </w:rPr>
            </w:pPr>
            <w:r w:rsidRPr="005C22F4">
              <w:rPr>
                <w:rFonts w:eastAsia="Calibri"/>
                <w:b/>
                <w:sz w:val="18"/>
                <w:szCs w:val="18"/>
                <w:lang w:val="es-CU"/>
              </w:rPr>
              <w:t>Etiología de la cirrosis hepática</w:t>
            </w:r>
          </w:p>
        </w:tc>
        <w:tc>
          <w:tcPr>
            <w:tcW w:w="993" w:type="dxa"/>
            <w:shd w:val="clear" w:color="auto" w:fill="auto"/>
            <w:vAlign w:val="center"/>
          </w:tcPr>
          <w:p w14:paraId="6FAFA6F0" w14:textId="77777777" w:rsidR="0033346E" w:rsidRPr="005C22F4" w:rsidRDefault="0033346E" w:rsidP="007507A3">
            <w:pPr>
              <w:spacing w:after="0" w:line="360" w:lineRule="auto"/>
              <w:jc w:val="center"/>
              <w:rPr>
                <w:b/>
                <w:sz w:val="18"/>
                <w:szCs w:val="18"/>
                <w:lang w:val="es-CU"/>
              </w:rPr>
            </w:pPr>
            <w:r w:rsidRPr="005C22F4">
              <w:rPr>
                <w:rFonts w:eastAsia="Calibri"/>
                <w:b/>
                <w:sz w:val="18"/>
                <w:szCs w:val="18"/>
                <w:lang w:val="es-CU"/>
              </w:rPr>
              <w:t>n</w:t>
            </w:r>
          </w:p>
        </w:tc>
        <w:tc>
          <w:tcPr>
            <w:tcW w:w="1134" w:type="dxa"/>
            <w:shd w:val="clear" w:color="auto" w:fill="auto"/>
            <w:vAlign w:val="center"/>
          </w:tcPr>
          <w:p w14:paraId="40A42638" w14:textId="77777777" w:rsidR="0033346E" w:rsidRPr="005C22F4" w:rsidRDefault="0033346E" w:rsidP="007507A3">
            <w:pPr>
              <w:spacing w:after="0" w:line="360" w:lineRule="auto"/>
              <w:jc w:val="center"/>
              <w:rPr>
                <w:b/>
                <w:sz w:val="18"/>
                <w:szCs w:val="18"/>
                <w:lang w:val="es-CU"/>
              </w:rPr>
            </w:pPr>
            <w:r w:rsidRPr="005C22F4">
              <w:rPr>
                <w:rFonts w:eastAsia="Calibri"/>
                <w:b/>
                <w:sz w:val="18"/>
                <w:szCs w:val="18"/>
                <w:lang w:val="es-CU"/>
              </w:rPr>
              <w:t>%</w:t>
            </w:r>
          </w:p>
        </w:tc>
      </w:tr>
      <w:tr w:rsidR="0033346E" w:rsidRPr="005C22F4" w14:paraId="235E94A8" w14:textId="77777777" w:rsidTr="007507A3">
        <w:trPr>
          <w:jc w:val="center"/>
        </w:trPr>
        <w:tc>
          <w:tcPr>
            <w:tcW w:w="2830" w:type="dxa"/>
            <w:shd w:val="clear" w:color="auto" w:fill="auto"/>
            <w:vAlign w:val="center"/>
          </w:tcPr>
          <w:p w14:paraId="653CA9BE" w14:textId="77777777" w:rsidR="0033346E" w:rsidRPr="005C22F4" w:rsidRDefault="0033346E" w:rsidP="007507A3">
            <w:pPr>
              <w:spacing w:after="0" w:line="360" w:lineRule="auto"/>
              <w:rPr>
                <w:sz w:val="18"/>
                <w:szCs w:val="18"/>
                <w:lang w:val="es-CU"/>
              </w:rPr>
            </w:pPr>
            <w:r w:rsidRPr="005C22F4">
              <w:rPr>
                <w:rFonts w:eastAsia="Calibri"/>
                <w:sz w:val="18"/>
                <w:szCs w:val="18"/>
                <w:lang w:val="es-CU"/>
              </w:rPr>
              <w:t>VHC</w:t>
            </w:r>
          </w:p>
        </w:tc>
        <w:tc>
          <w:tcPr>
            <w:tcW w:w="993" w:type="dxa"/>
            <w:shd w:val="clear" w:color="auto" w:fill="auto"/>
            <w:vAlign w:val="center"/>
          </w:tcPr>
          <w:p w14:paraId="6348CC3E"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21</w:t>
            </w:r>
          </w:p>
        </w:tc>
        <w:tc>
          <w:tcPr>
            <w:tcW w:w="1134" w:type="dxa"/>
            <w:shd w:val="clear" w:color="auto" w:fill="auto"/>
            <w:vAlign w:val="center"/>
          </w:tcPr>
          <w:p w14:paraId="7AD047C7"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36,8</w:t>
            </w:r>
          </w:p>
        </w:tc>
      </w:tr>
      <w:tr w:rsidR="0033346E" w:rsidRPr="005C22F4" w14:paraId="5E7A070B" w14:textId="77777777" w:rsidTr="007507A3">
        <w:trPr>
          <w:jc w:val="center"/>
        </w:trPr>
        <w:tc>
          <w:tcPr>
            <w:tcW w:w="2830" w:type="dxa"/>
            <w:shd w:val="clear" w:color="auto" w:fill="auto"/>
            <w:vAlign w:val="center"/>
          </w:tcPr>
          <w:p w14:paraId="7E79B224" w14:textId="77777777" w:rsidR="0033346E" w:rsidRPr="005C22F4" w:rsidRDefault="0033346E" w:rsidP="007507A3">
            <w:pPr>
              <w:spacing w:after="0" w:line="360" w:lineRule="auto"/>
              <w:rPr>
                <w:sz w:val="18"/>
                <w:szCs w:val="18"/>
                <w:lang w:val="es-CU"/>
              </w:rPr>
            </w:pPr>
            <w:r w:rsidRPr="005C22F4">
              <w:rPr>
                <w:rFonts w:eastAsia="Calibri"/>
                <w:sz w:val="18"/>
                <w:szCs w:val="18"/>
                <w:lang w:val="es-CU"/>
              </w:rPr>
              <w:t>Alcohol</w:t>
            </w:r>
          </w:p>
        </w:tc>
        <w:tc>
          <w:tcPr>
            <w:tcW w:w="993" w:type="dxa"/>
            <w:shd w:val="clear" w:color="auto" w:fill="auto"/>
            <w:vAlign w:val="center"/>
          </w:tcPr>
          <w:p w14:paraId="1DB4095D"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18</w:t>
            </w:r>
          </w:p>
        </w:tc>
        <w:tc>
          <w:tcPr>
            <w:tcW w:w="1134" w:type="dxa"/>
            <w:shd w:val="clear" w:color="auto" w:fill="auto"/>
            <w:vAlign w:val="center"/>
          </w:tcPr>
          <w:p w14:paraId="1ED7F90C"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31,6</w:t>
            </w:r>
          </w:p>
        </w:tc>
      </w:tr>
      <w:tr w:rsidR="0033346E" w:rsidRPr="005C22F4" w14:paraId="33D3BA13" w14:textId="77777777" w:rsidTr="007507A3">
        <w:trPr>
          <w:jc w:val="center"/>
        </w:trPr>
        <w:tc>
          <w:tcPr>
            <w:tcW w:w="2830" w:type="dxa"/>
            <w:shd w:val="clear" w:color="auto" w:fill="auto"/>
            <w:vAlign w:val="center"/>
          </w:tcPr>
          <w:p w14:paraId="0A6D07FE" w14:textId="77777777" w:rsidR="0033346E" w:rsidRPr="005C22F4" w:rsidRDefault="0033346E" w:rsidP="007507A3">
            <w:pPr>
              <w:spacing w:after="0" w:line="360" w:lineRule="auto"/>
              <w:rPr>
                <w:sz w:val="18"/>
                <w:szCs w:val="18"/>
                <w:lang w:val="es-CU"/>
              </w:rPr>
            </w:pPr>
            <w:r w:rsidRPr="005C22F4">
              <w:rPr>
                <w:rFonts w:eastAsia="Calibri"/>
                <w:sz w:val="18"/>
                <w:szCs w:val="18"/>
                <w:lang w:val="es-CU"/>
              </w:rPr>
              <w:t>Criptogénica</w:t>
            </w:r>
          </w:p>
        </w:tc>
        <w:tc>
          <w:tcPr>
            <w:tcW w:w="993" w:type="dxa"/>
            <w:shd w:val="clear" w:color="auto" w:fill="auto"/>
            <w:vAlign w:val="center"/>
          </w:tcPr>
          <w:p w14:paraId="13D84A55"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8</w:t>
            </w:r>
          </w:p>
        </w:tc>
        <w:tc>
          <w:tcPr>
            <w:tcW w:w="1134" w:type="dxa"/>
            <w:shd w:val="clear" w:color="auto" w:fill="auto"/>
            <w:vAlign w:val="center"/>
          </w:tcPr>
          <w:p w14:paraId="6BA8550D"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14</w:t>
            </w:r>
          </w:p>
        </w:tc>
      </w:tr>
      <w:tr w:rsidR="0033346E" w:rsidRPr="005C22F4" w14:paraId="6E7F1049" w14:textId="77777777" w:rsidTr="007507A3">
        <w:trPr>
          <w:jc w:val="center"/>
        </w:trPr>
        <w:tc>
          <w:tcPr>
            <w:tcW w:w="2830" w:type="dxa"/>
            <w:shd w:val="clear" w:color="auto" w:fill="auto"/>
            <w:vAlign w:val="center"/>
          </w:tcPr>
          <w:p w14:paraId="5C964989" w14:textId="77777777" w:rsidR="0033346E" w:rsidRPr="005C22F4" w:rsidRDefault="0033346E" w:rsidP="007507A3">
            <w:pPr>
              <w:spacing w:after="0" w:line="360" w:lineRule="auto"/>
              <w:rPr>
                <w:sz w:val="18"/>
                <w:szCs w:val="18"/>
                <w:lang w:val="es-CU"/>
              </w:rPr>
            </w:pPr>
            <w:r w:rsidRPr="005C22F4">
              <w:rPr>
                <w:rFonts w:eastAsia="Calibri"/>
                <w:sz w:val="18"/>
                <w:szCs w:val="18"/>
                <w:lang w:val="es-CU"/>
              </w:rPr>
              <w:t>EHGNA</w:t>
            </w:r>
          </w:p>
        </w:tc>
        <w:tc>
          <w:tcPr>
            <w:tcW w:w="993" w:type="dxa"/>
            <w:shd w:val="clear" w:color="auto" w:fill="auto"/>
            <w:vAlign w:val="center"/>
          </w:tcPr>
          <w:p w14:paraId="0C8FF66C"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5</w:t>
            </w:r>
          </w:p>
        </w:tc>
        <w:tc>
          <w:tcPr>
            <w:tcW w:w="1134" w:type="dxa"/>
            <w:shd w:val="clear" w:color="auto" w:fill="auto"/>
            <w:vAlign w:val="center"/>
          </w:tcPr>
          <w:p w14:paraId="09ED450F"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8,7</w:t>
            </w:r>
          </w:p>
        </w:tc>
      </w:tr>
      <w:tr w:rsidR="0033346E" w:rsidRPr="005C22F4" w14:paraId="50AC181C" w14:textId="77777777" w:rsidTr="007507A3">
        <w:trPr>
          <w:jc w:val="center"/>
        </w:trPr>
        <w:tc>
          <w:tcPr>
            <w:tcW w:w="2830" w:type="dxa"/>
            <w:shd w:val="clear" w:color="auto" w:fill="auto"/>
            <w:vAlign w:val="center"/>
          </w:tcPr>
          <w:p w14:paraId="1BA0B76F" w14:textId="25EFDA31" w:rsidR="0033346E" w:rsidRPr="005C22F4" w:rsidRDefault="0033346E" w:rsidP="007507A3">
            <w:pPr>
              <w:spacing w:after="0" w:line="360" w:lineRule="auto"/>
              <w:rPr>
                <w:sz w:val="18"/>
                <w:szCs w:val="18"/>
                <w:lang w:val="es-CU"/>
              </w:rPr>
            </w:pPr>
            <w:r w:rsidRPr="005C22F4">
              <w:rPr>
                <w:rFonts w:eastAsia="Calibri"/>
                <w:sz w:val="18"/>
                <w:szCs w:val="18"/>
                <w:lang w:val="es-CU"/>
              </w:rPr>
              <w:t>Mixta (VHC</w:t>
            </w:r>
            <w:r w:rsidR="005C22F4" w:rsidRPr="005C22F4">
              <w:rPr>
                <w:rFonts w:eastAsia="Calibri"/>
                <w:sz w:val="18"/>
                <w:szCs w:val="18"/>
                <w:lang w:val="es-CU"/>
              </w:rPr>
              <w:t xml:space="preserve"> </w:t>
            </w:r>
            <w:r w:rsidRPr="005C22F4">
              <w:rPr>
                <w:rFonts w:eastAsia="Calibri"/>
                <w:sz w:val="18"/>
                <w:szCs w:val="18"/>
                <w:lang w:val="es-CU"/>
              </w:rPr>
              <w:t>+</w:t>
            </w:r>
            <w:r w:rsidR="005C22F4" w:rsidRPr="005C22F4">
              <w:rPr>
                <w:rFonts w:eastAsia="Calibri"/>
                <w:sz w:val="18"/>
                <w:szCs w:val="18"/>
                <w:lang w:val="es-CU"/>
              </w:rPr>
              <w:t xml:space="preserve"> </w:t>
            </w:r>
            <w:r w:rsidRPr="005C22F4">
              <w:rPr>
                <w:rFonts w:eastAsia="Calibri"/>
                <w:sz w:val="18"/>
                <w:szCs w:val="18"/>
                <w:lang w:val="es-CU"/>
              </w:rPr>
              <w:t>alcohol)</w:t>
            </w:r>
          </w:p>
        </w:tc>
        <w:tc>
          <w:tcPr>
            <w:tcW w:w="993" w:type="dxa"/>
            <w:shd w:val="clear" w:color="auto" w:fill="auto"/>
            <w:vAlign w:val="center"/>
          </w:tcPr>
          <w:p w14:paraId="7FA9DAFD"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2</w:t>
            </w:r>
          </w:p>
        </w:tc>
        <w:tc>
          <w:tcPr>
            <w:tcW w:w="1134" w:type="dxa"/>
            <w:shd w:val="clear" w:color="auto" w:fill="auto"/>
            <w:vAlign w:val="center"/>
          </w:tcPr>
          <w:p w14:paraId="3243088F"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3,5</w:t>
            </w:r>
          </w:p>
        </w:tc>
      </w:tr>
      <w:tr w:rsidR="0033346E" w:rsidRPr="005C22F4" w14:paraId="63DA9FE1" w14:textId="77777777" w:rsidTr="007507A3">
        <w:trPr>
          <w:jc w:val="center"/>
        </w:trPr>
        <w:tc>
          <w:tcPr>
            <w:tcW w:w="2830" w:type="dxa"/>
            <w:shd w:val="clear" w:color="auto" w:fill="auto"/>
            <w:vAlign w:val="center"/>
          </w:tcPr>
          <w:p w14:paraId="7525D2EB" w14:textId="71AF7726" w:rsidR="0033346E" w:rsidRPr="005C22F4" w:rsidRDefault="0033346E" w:rsidP="007507A3">
            <w:pPr>
              <w:spacing w:after="0" w:line="360" w:lineRule="auto"/>
              <w:rPr>
                <w:sz w:val="18"/>
                <w:szCs w:val="18"/>
                <w:lang w:val="es-CU"/>
              </w:rPr>
            </w:pPr>
            <w:r w:rsidRPr="005C22F4">
              <w:rPr>
                <w:rFonts w:eastAsia="Calibri"/>
                <w:sz w:val="18"/>
                <w:szCs w:val="18"/>
                <w:lang w:val="es-CU"/>
              </w:rPr>
              <w:t>Inmunológica</w:t>
            </w:r>
            <w:r w:rsidR="005C22F4" w:rsidRPr="005C22F4">
              <w:rPr>
                <w:rFonts w:eastAsia="Calibri"/>
                <w:sz w:val="18"/>
                <w:szCs w:val="18"/>
                <w:lang w:val="es-CU"/>
              </w:rPr>
              <w:t xml:space="preserve"> </w:t>
            </w:r>
            <w:r w:rsidRPr="005C22F4">
              <w:rPr>
                <w:rFonts w:eastAsia="Calibri"/>
                <w:sz w:val="18"/>
                <w:szCs w:val="18"/>
                <w:lang w:val="es-CU"/>
              </w:rPr>
              <w:t>(CBP,</w:t>
            </w:r>
            <w:r w:rsidR="005C22F4">
              <w:rPr>
                <w:rFonts w:eastAsia="Calibri"/>
                <w:sz w:val="18"/>
                <w:szCs w:val="18"/>
                <w:lang w:val="es-CU"/>
              </w:rPr>
              <w:t xml:space="preserve"> </w:t>
            </w:r>
            <w:r w:rsidRPr="005C22F4">
              <w:rPr>
                <w:rFonts w:eastAsia="Calibri"/>
                <w:sz w:val="18"/>
                <w:szCs w:val="18"/>
                <w:lang w:val="es-CU"/>
              </w:rPr>
              <w:t>HAI)</w:t>
            </w:r>
          </w:p>
        </w:tc>
        <w:tc>
          <w:tcPr>
            <w:tcW w:w="993" w:type="dxa"/>
            <w:shd w:val="clear" w:color="auto" w:fill="auto"/>
            <w:vAlign w:val="center"/>
          </w:tcPr>
          <w:p w14:paraId="47197F07"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2</w:t>
            </w:r>
          </w:p>
        </w:tc>
        <w:tc>
          <w:tcPr>
            <w:tcW w:w="1134" w:type="dxa"/>
            <w:shd w:val="clear" w:color="auto" w:fill="auto"/>
            <w:vAlign w:val="center"/>
          </w:tcPr>
          <w:p w14:paraId="382AFA8C"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3,5</w:t>
            </w:r>
          </w:p>
        </w:tc>
      </w:tr>
      <w:tr w:rsidR="0033346E" w:rsidRPr="005C22F4" w14:paraId="3B9BDD42" w14:textId="77777777" w:rsidTr="007507A3">
        <w:trPr>
          <w:jc w:val="center"/>
        </w:trPr>
        <w:tc>
          <w:tcPr>
            <w:tcW w:w="2830" w:type="dxa"/>
            <w:shd w:val="clear" w:color="auto" w:fill="auto"/>
            <w:vAlign w:val="center"/>
          </w:tcPr>
          <w:p w14:paraId="55345E78" w14:textId="77777777" w:rsidR="0033346E" w:rsidRPr="005C22F4" w:rsidRDefault="0033346E" w:rsidP="007507A3">
            <w:pPr>
              <w:spacing w:after="0" w:line="360" w:lineRule="auto"/>
              <w:rPr>
                <w:sz w:val="18"/>
                <w:szCs w:val="18"/>
                <w:lang w:val="es-CU"/>
              </w:rPr>
            </w:pPr>
            <w:r w:rsidRPr="005C22F4">
              <w:rPr>
                <w:rFonts w:eastAsia="Calibri"/>
                <w:sz w:val="18"/>
                <w:szCs w:val="18"/>
                <w:lang w:val="es-CU"/>
              </w:rPr>
              <w:t>VHB</w:t>
            </w:r>
          </w:p>
        </w:tc>
        <w:tc>
          <w:tcPr>
            <w:tcW w:w="993" w:type="dxa"/>
            <w:shd w:val="clear" w:color="auto" w:fill="auto"/>
            <w:vAlign w:val="center"/>
          </w:tcPr>
          <w:p w14:paraId="5518F25E"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1</w:t>
            </w:r>
          </w:p>
        </w:tc>
        <w:tc>
          <w:tcPr>
            <w:tcW w:w="1134" w:type="dxa"/>
            <w:shd w:val="clear" w:color="auto" w:fill="auto"/>
            <w:vAlign w:val="center"/>
          </w:tcPr>
          <w:p w14:paraId="3916D2A5" w14:textId="77777777" w:rsidR="0033346E" w:rsidRPr="005C22F4" w:rsidRDefault="0033346E" w:rsidP="007507A3">
            <w:pPr>
              <w:spacing w:after="0" w:line="360" w:lineRule="auto"/>
              <w:jc w:val="center"/>
              <w:rPr>
                <w:sz w:val="18"/>
                <w:szCs w:val="18"/>
                <w:lang w:val="es-CU"/>
              </w:rPr>
            </w:pPr>
            <w:r w:rsidRPr="005C22F4">
              <w:rPr>
                <w:rFonts w:eastAsia="Calibri"/>
                <w:sz w:val="18"/>
                <w:szCs w:val="18"/>
                <w:lang w:val="es-CU"/>
              </w:rPr>
              <w:t>1,8</w:t>
            </w:r>
          </w:p>
        </w:tc>
      </w:tr>
      <w:tr w:rsidR="0033346E" w:rsidRPr="005C22F4" w14:paraId="2F69F366" w14:textId="77777777" w:rsidTr="007507A3">
        <w:trPr>
          <w:jc w:val="center"/>
        </w:trPr>
        <w:tc>
          <w:tcPr>
            <w:tcW w:w="2830" w:type="dxa"/>
            <w:shd w:val="clear" w:color="auto" w:fill="auto"/>
            <w:vAlign w:val="center"/>
          </w:tcPr>
          <w:p w14:paraId="6583F43B" w14:textId="77777777" w:rsidR="0033346E" w:rsidRPr="005C22F4" w:rsidRDefault="0033346E" w:rsidP="007507A3">
            <w:pPr>
              <w:spacing w:after="0" w:line="360" w:lineRule="auto"/>
              <w:rPr>
                <w:bCs/>
                <w:sz w:val="18"/>
                <w:szCs w:val="18"/>
                <w:lang w:val="es-CU"/>
              </w:rPr>
            </w:pPr>
            <w:r w:rsidRPr="005C22F4">
              <w:rPr>
                <w:rFonts w:eastAsia="Calibri"/>
                <w:bCs/>
                <w:sz w:val="18"/>
                <w:szCs w:val="18"/>
                <w:lang w:val="es-CU"/>
              </w:rPr>
              <w:t>Total</w:t>
            </w:r>
          </w:p>
        </w:tc>
        <w:tc>
          <w:tcPr>
            <w:tcW w:w="993" w:type="dxa"/>
            <w:shd w:val="clear" w:color="auto" w:fill="auto"/>
            <w:vAlign w:val="center"/>
          </w:tcPr>
          <w:p w14:paraId="123D71AC" w14:textId="77777777" w:rsidR="0033346E" w:rsidRPr="005C22F4" w:rsidRDefault="0033346E" w:rsidP="007507A3">
            <w:pPr>
              <w:spacing w:after="0" w:line="360" w:lineRule="auto"/>
              <w:jc w:val="center"/>
              <w:rPr>
                <w:bCs/>
                <w:sz w:val="18"/>
                <w:szCs w:val="18"/>
                <w:lang w:val="es-CU"/>
              </w:rPr>
            </w:pPr>
            <w:r w:rsidRPr="005C22F4">
              <w:rPr>
                <w:rFonts w:eastAsia="Calibri"/>
                <w:bCs/>
                <w:sz w:val="18"/>
                <w:szCs w:val="18"/>
                <w:lang w:val="es-CU"/>
              </w:rPr>
              <w:t>57</w:t>
            </w:r>
          </w:p>
        </w:tc>
        <w:tc>
          <w:tcPr>
            <w:tcW w:w="1134" w:type="dxa"/>
            <w:shd w:val="clear" w:color="auto" w:fill="auto"/>
            <w:vAlign w:val="center"/>
          </w:tcPr>
          <w:p w14:paraId="5A3E9F16" w14:textId="77777777" w:rsidR="0033346E" w:rsidRPr="005C22F4" w:rsidRDefault="0033346E" w:rsidP="007507A3">
            <w:pPr>
              <w:spacing w:after="0" w:line="360" w:lineRule="auto"/>
              <w:jc w:val="center"/>
              <w:rPr>
                <w:bCs/>
                <w:sz w:val="18"/>
                <w:szCs w:val="18"/>
                <w:lang w:val="es-CU"/>
              </w:rPr>
            </w:pPr>
            <w:r w:rsidRPr="005C22F4">
              <w:rPr>
                <w:rFonts w:eastAsia="Calibri"/>
                <w:bCs/>
                <w:sz w:val="18"/>
                <w:szCs w:val="18"/>
                <w:lang w:val="es-CU"/>
              </w:rPr>
              <w:t>100</w:t>
            </w:r>
          </w:p>
        </w:tc>
      </w:tr>
    </w:tbl>
    <w:p w14:paraId="0EAB52D2" w14:textId="5AC16F2B" w:rsidR="0033346E" w:rsidRPr="0033346E" w:rsidRDefault="0033346E" w:rsidP="0033346E">
      <w:pPr>
        <w:spacing w:after="0" w:line="360" w:lineRule="auto"/>
        <w:jc w:val="center"/>
        <w:rPr>
          <w:bCs/>
          <w:sz w:val="16"/>
          <w:szCs w:val="16"/>
          <w:lang w:val="es-US"/>
        </w:rPr>
      </w:pPr>
      <w:r w:rsidRPr="0033346E">
        <w:rPr>
          <w:bCs/>
          <w:sz w:val="16"/>
          <w:szCs w:val="16"/>
          <w:lang w:val="es-US"/>
        </w:rPr>
        <w:t xml:space="preserve">Leyenda: VHC (virus de hepatitis C), EHGNA (enfermedad por hígado graso no alcohólico), </w:t>
      </w:r>
      <w:r w:rsidR="005F6AA2">
        <w:rPr>
          <w:bCs/>
          <w:sz w:val="16"/>
          <w:szCs w:val="16"/>
          <w:lang w:val="es-US"/>
        </w:rPr>
        <w:br/>
      </w:r>
      <w:r w:rsidRPr="0033346E">
        <w:rPr>
          <w:bCs/>
          <w:sz w:val="16"/>
          <w:szCs w:val="16"/>
          <w:lang w:val="es-US"/>
        </w:rPr>
        <w:t>CBP (colangitis biliar primaria), HAI (hepatitis autoinmune), VHB (virus de hepatitis B).</w:t>
      </w:r>
    </w:p>
    <w:p w14:paraId="5D94EFB2" w14:textId="77777777" w:rsidR="0033346E" w:rsidRPr="0033346E" w:rsidRDefault="0033346E" w:rsidP="0033346E">
      <w:pPr>
        <w:spacing w:after="0" w:line="360" w:lineRule="auto"/>
        <w:jc w:val="both"/>
        <w:rPr>
          <w:sz w:val="24"/>
          <w:szCs w:val="24"/>
          <w:lang w:val="es-US"/>
        </w:rPr>
      </w:pPr>
    </w:p>
    <w:p w14:paraId="35BC5C5A" w14:textId="5E38B36C" w:rsidR="0033346E" w:rsidRPr="0033346E" w:rsidRDefault="0033346E" w:rsidP="0033346E">
      <w:pPr>
        <w:spacing w:after="0" w:line="360" w:lineRule="auto"/>
        <w:jc w:val="both"/>
        <w:rPr>
          <w:sz w:val="24"/>
          <w:szCs w:val="24"/>
          <w:lang w:val="es-US"/>
        </w:rPr>
      </w:pPr>
      <w:r w:rsidRPr="0033346E">
        <w:rPr>
          <w:sz w:val="24"/>
          <w:szCs w:val="24"/>
          <w:lang w:val="es-US"/>
        </w:rPr>
        <w:t>En 55 pacientes</w:t>
      </w:r>
      <w:r w:rsidR="000B1342">
        <w:rPr>
          <w:sz w:val="24"/>
          <w:szCs w:val="24"/>
          <w:lang w:val="es-US"/>
        </w:rPr>
        <w:t xml:space="preserve"> </w:t>
      </w:r>
      <w:r w:rsidRPr="0033346E">
        <w:rPr>
          <w:sz w:val="24"/>
          <w:szCs w:val="24"/>
          <w:lang w:val="es-US"/>
        </w:rPr>
        <w:t>el diagnóstico se realizó mediante ecografía abdominal, lo que representó el 96,4 %; mientras que 2</w:t>
      </w:r>
      <w:r w:rsidR="000B1342">
        <w:rPr>
          <w:sz w:val="24"/>
          <w:szCs w:val="24"/>
          <w:lang w:val="es-US"/>
        </w:rPr>
        <w:t xml:space="preserve"> </w:t>
      </w:r>
      <w:r w:rsidRPr="0033346E">
        <w:rPr>
          <w:sz w:val="24"/>
          <w:szCs w:val="24"/>
          <w:lang w:val="es-US"/>
        </w:rPr>
        <w:t>enfermos fueron diagnosticados durante una cirugía electiva por otras causas, para un 3,5 %. No se encontraron pacientes diagnosticados mediante biopsia hepática, laparoscopia o ET.</w:t>
      </w:r>
    </w:p>
    <w:p w14:paraId="162FB6A0" w14:textId="77777777" w:rsidR="0033346E" w:rsidRPr="0033346E" w:rsidRDefault="0033346E" w:rsidP="0033346E">
      <w:pPr>
        <w:spacing w:after="0" w:line="360" w:lineRule="auto"/>
        <w:jc w:val="both"/>
        <w:rPr>
          <w:sz w:val="24"/>
          <w:szCs w:val="24"/>
          <w:lang w:val="es-US"/>
        </w:rPr>
      </w:pPr>
      <w:r w:rsidRPr="0033346E">
        <w:rPr>
          <w:sz w:val="24"/>
          <w:szCs w:val="24"/>
          <w:lang w:val="es-US"/>
        </w:rPr>
        <w:t>La HTA y la diabetes mellitus fueron las enfermedades asociadas más predominantes en 22 (38,5 %) y 13 (22,8 %) pacientes respectivamente, seguidas por la litiasis vesicular en 9 (15,7 %) y la obesidad en 6 (10,5 %). El asma y la cardiopatía isquémica fueron las comorbilidades menos frecuentes con 5 (8,7 %) pacientes cada una.</w:t>
      </w:r>
    </w:p>
    <w:p w14:paraId="3F7DC801" w14:textId="77777777" w:rsidR="0033346E" w:rsidRPr="0033346E" w:rsidRDefault="0033346E" w:rsidP="0033346E">
      <w:pPr>
        <w:spacing w:after="0" w:line="360" w:lineRule="auto"/>
        <w:jc w:val="both"/>
        <w:rPr>
          <w:sz w:val="24"/>
          <w:szCs w:val="24"/>
          <w:lang w:val="es-US"/>
        </w:rPr>
      </w:pPr>
      <w:r w:rsidRPr="0033346E">
        <w:rPr>
          <w:sz w:val="24"/>
          <w:szCs w:val="24"/>
          <w:lang w:val="es-US"/>
        </w:rPr>
        <w:t>De los 57 enfermos, 38 (66,6 %) presentaron manifestaciones endoscópicas de HTP, como se muestra en la tabla 2. Muchos presentaban más de una manifestación endoscópica de HTP.</w:t>
      </w:r>
    </w:p>
    <w:p w14:paraId="576EAAD3" w14:textId="77777777" w:rsidR="0033346E" w:rsidRPr="0033346E" w:rsidRDefault="0033346E" w:rsidP="0033346E">
      <w:pPr>
        <w:spacing w:after="0" w:line="360" w:lineRule="auto"/>
        <w:jc w:val="both"/>
        <w:rPr>
          <w:sz w:val="24"/>
          <w:szCs w:val="24"/>
          <w:lang w:val="es-US"/>
        </w:rPr>
      </w:pPr>
    </w:p>
    <w:p w14:paraId="4B9C4009" w14:textId="77777777" w:rsidR="0033346E" w:rsidRPr="0033346E" w:rsidRDefault="0033346E" w:rsidP="0033346E">
      <w:pPr>
        <w:spacing w:after="0" w:line="360" w:lineRule="auto"/>
        <w:jc w:val="center"/>
        <w:rPr>
          <w:szCs w:val="22"/>
          <w:lang w:val="es-US"/>
        </w:rPr>
      </w:pPr>
      <w:r w:rsidRPr="0033346E">
        <w:rPr>
          <w:b/>
          <w:szCs w:val="22"/>
          <w:lang w:val="es-US"/>
        </w:rPr>
        <w:t>Tabla 2 -</w:t>
      </w:r>
      <w:r w:rsidRPr="0033346E">
        <w:rPr>
          <w:szCs w:val="22"/>
          <w:lang w:val="es-US"/>
        </w:rPr>
        <w:t xml:space="preserve"> Manifestaciones endoscópicas de la hipertensión portal en los pacientes estudiados (n= 57)</w:t>
      </w:r>
    </w:p>
    <w:tbl>
      <w:tblPr>
        <w:tblStyle w:val="Tablaconcuadrcula"/>
        <w:tblW w:w="0" w:type="auto"/>
        <w:jc w:val="center"/>
        <w:tblLook w:val="04A0" w:firstRow="1" w:lastRow="0" w:firstColumn="1" w:lastColumn="0" w:noHBand="0" w:noVBand="1"/>
      </w:tblPr>
      <w:tblGrid>
        <w:gridCol w:w="4637"/>
        <w:gridCol w:w="681"/>
        <w:gridCol w:w="709"/>
      </w:tblGrid>
      <w:tr w:rsidR="0033346E" w:rsidRPr="000B1342" w14:paraId="7FA702DE" w14:textId="77777777" w:rsidTr="00DC2B2C">
        <w:trPr>
          <w:jc w:val="center"/>
        </w:trPr>
        <w:tc>
          <w:tcPr>
            <w:tcW w:w="4637" w:type="dxa"/>
            <w:vAlign w:val="center"/>
          </w:tcPr>
          <w:p w14:paraId="44517BE0" w14:textId="316283D7" w:rsidR="0033346E" w:rsidRPr="00DC2B2C" w:rsidRDefault="00DB42E7" w:rsidP="007507A3">
            <w:pPr>
              <w:spacing w:after="0" w:line="360" w:lineRule="auto"/>
              <w:jc w:val="center"/>
              <w:rPr>
                <w:b/>
                <w:sz w:val="18"/>
                <w:szCs w:val="18"/>
                <w:lang w:val="es-US"/>
              </w:rPr>
            </w:pPr>
            <w:r>
              <w:rPr>
                <w:b/>
                <w:sz w:val="18"/>
                <w:szCs w:val="18"/>
                <w:lang w:val="es-US"/>
              </w:rPr>
              <w:t>Manifestaciones endoscópicas de hipertensión portal</w:t>
            </w:r>
          </w:p>
        </w:tc>
        <w:tc>
          <w:tcPr>
            <w:tcW w:w="681" w:type="dxa"/>
            <w:vAlign w:val="center"/>
          </w:tcPr>
          <w:p w14:paraId="050A1BB7" w14:textId="77777777" w:rsidR="0033346E" w:rsidRPr="00DC2B2C" w:rsidRDefault="0033346E" w:rsidP="007507A3">
            <w:pPr>
              <w:spacing w:after="0" w:line="360" w:lineRule="auto"/>
              <w:jc w:val="center"/>
              <w:rPr>
                <w:b/>
                <w:sz w:val="18"/>
                <w:szCs w:val="18"/>
                <w:lang w:val="es-US"/>
              </w:rPr>
            </w:pPr>
            <w:r w:rsidRPr="00DC2B2C">
              <w:rPr>
                <w:rFonts w:eastAsia="Calibri"/>
                <w:b/>
                <w:sz w:val="18"/>
                <w:szCs w:val="18"/>
                <w:lang w:val="es-US"/>
              </w:rPr>
              <w:t>n</w:t>
            </w:r>
          </w:p>
        </w:tc>
        <w:tc>
          <w:tcPr>
            <w:tcW w:w="709" w:type="dxa"/>
            <w:vAlign w:val="center"/>
          </w:tcPr>
          <w:p w14:paraId="6FD5FF10" w14:textId="77777777" w:rsidR="0033346E" w:rsidRPr="00DC2B2C" w:rsidRDefault="0033346E" w:rsidP="007507A3">
            <w:pPr>
              <w:spacing w:after="0" w:line="360" w:lineRule="auto"/>
              <w:jc w:val="center"/>
              <w:rPr>
                <w:b/>
                <w:sz w:val="18"/>
                <w:szCs w:val="18"/>
                <w:lang w:val="es-US"/>
              </w:rPr>
            </w:pPr>
            <w:r w:rsidRPr="00DC2B2C">
              <w:rPr>
                <w:rFonts w:eastAsia="Calibri"/>
                <w:b/>
                <w:sz w:val="18"/>
                <w:szCs w:val="18"/>
                <w:lang w:val="es-US"/>
              </w:rPr>
              <w:t>%</w:t>
            </w:r>
          </w:p>
        </w:tc>
      </w:tr>
      <w:tr w:rsidR="00DB42E7" w:rsidRPr="00DB42E7" w14:paraId="46DA3ADB" w14:textId="77777777" w:rsidTr="00DC2B2C">
        <w:trPr>
          <w:jc w:val="center"/>
        </w:trPr>
        <w:tc>
          <w:tcPr>
            <w:tcW w:w="4637" w:type="dxa"/>
            <w:vAlign w:val="center"/>
          </w:tcPr>
          <w:p w14:paraId="556D14EC" w14:textId="0594F52E" w:rsidR="00DB42E7" w:rsidRPr="00DB42E7" w:rsidRDefault="00DB42E7" w:rsidP="005D0C26">
            <w:pPr>
              <w:spacing w:after="0" w:line="360" w:lineRule="auto"/>
              <w:ind w:left="147"/>
              <w:rPr>
                <w:bCs/>
                <w:sz w:val="18"/>
                <w:szCs w:val="18"/>
                <w:lang w:val="es-US"/>
              </w:rPr>
            </w:pPr>
            <w:r w:rsidRPr="00DB42E7">
              <w:rPr>
                <w:rFonts w:eastAsia="Calibri"/>
                <w:bCs/>
                <w:sz w:val="18"/>
                <w:szCs w:val="18"/>
                <w:lang w:val="es-US"/>
              </w:rPr>
              <w:t>Con manifestaciones endoscópicas de hipertensión portal</w:t>
            </w:r>
          </w:p>
        </w:tc>
        <w:tc>
          <w:tcPr>
            <w:tcW w:w="681" w:type="dxa"/>
            <w:vAlign w:val="center"/>
          </w:tcPr>
          <w:p w14:paraId="54C880AB" w14:textId="7E6A22FF" w:rsidR="00DB42E7" w:rsidRPr="00DB42E7" w:rsidRDefault="00DB42E7" w:rsidP="00DB42E7">
            <w:pPr>
              <w:spacing w:after="0" w:line="360" w:lineRule="auto"/>
              <w:jc w:val="center"/>
              <w:rPr>
                <w:bCs/>
                <w:sz w:val="18"/>
                <w:szCs w:val="18"/>
                <w:lang w:val="es-US"/>
              </w:rPr>
            </w:pPr>
            <w:r w:rsidRPr="00DB42E7">
              <w:rPr>
                <w:bCs/>
                <w:sz w:val="18"/>
                <w:szCs w:val="18"/>
                <w:lang w:val="es-US"/>
              </w:rPr>
              <w:t>38</w:t>
            </w:r>
          </w:p>
        </w:tc>
        <w:tc>
          <w:tcPr>
            <w:tcW w:w="709" w:type="dxa"/>
            <w:vAlign w:val="center"/>
          </w:tcPr>
          <w:p w14:paraId="2AFCFF48" w14:textId="48CD9509" w:rsidR="00DB42E7" w:rsidRPr="00DB42E7" w:rsidRDefault="00DB42E7" w:rsidP="00DB42E7">
            <w:pPr>
              <w:spacing w:after="0" w:line="360" w:lineRule="auto"/>
              <w:jc w:val="center"/>
              <w:rPr>
                <w:rFonts w:eastAsia="Calibri"/>
                <w:bCs/>
                <w:sz w:val="18"/>
                <w:szCs w:val="18"/>
                <w:lang w:val="es-US"/>
              </w:rPr>
            </w:pPr>
            <w:r w:rsidRPr="00DB42E7">
              <w:rPr>
                <w:rFonts w:eastAsia="Calibri"/>
                <w:bCs/>
                <w:sz w:val="18"/>
                <w:szCs w:val="18"/>
                <w:lang w:val="es-US"/>
              </w:rPr>
              <w:t>66,6</w:t>
            </w:r>
          </w:p>
        </w:tc>
      </w:tr>
      <w:tr w:rsidR="00DB42E7" w:rsidRPr="000B1342" w14:paraId="3C79A199" w14:textId="77777777" w:rsidTr="00DC2B2C">
        <w:trPr>
          <w:jc w:val="center"/>
        </w:trPr>
        <w:tc>
          <w:tcPr>
            <w:tcW w:w="4637" w:type="dxa"/>
            <w:vAlign w:val="center"/>
          </w:tcPr>
          <w:p w14:paraId="3381F6F4" w14:textId="77777777" w:rsidR="00DB42E7" w:rsidRPr="000B1342" w:rsidRDefault="00DB42E7" w:rsidP="005D0C26">
            <w:pPr>
              <w:spacing w:after="0" w:line="360" w:lineRule="auto"/>
              <w:ind w:left="147"/>
              <w:rPr>
                <w:bCs/>
                <w:sz w:val="18"/>
                <w:szCs w:val="18"/>
                <w:lang w:val="es-US"/>
              </w:rPr>
            </w:pPr>
            <w:r w:rsidRPr="000B1342">
              <w:rPr>
                <w:bCs/>
                <w:sz w:val="18"/>
                <w:szCs w:val="18"/>
                <w:lang w:val="es-US"/>
              </w:rPr>
              <w:t>Várices esofágicas</w:t>
            </w:r>
          </w:p>
        </w:tc>
        <w:tc>
          <w:tcPr>
            <w:tcW w:w="681" w:type="dxa"/>
            <w:vAlign w:val="center"/>
          </w:tcPr>
          <w:p w14:paraId="1BEBB740"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30</w:t>
            </w:r>
          </w:p>
        </w:tc>
        <w:tc>
          <w:tcPr>
            <w:tcW w:w="709" w:type="dxa"/>
            <w:vAlign w:val="center"/>
          </w:tcPr>
          <w:p w14:paraId="3CE1C61A"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52,6</w:t>
            </w:r>
          </w:p>
        </w:tc>
      </w:tr>
      <w:tr w:rsidR="00DB42E7" w:rsidRPr="000B1342" w14:paraId="0FFFE8BC" w14:textId="77777777" w:rsidTr="00DC2B2C">
        <w:trPr>
          <w:jc w:val="center"/>
        </w:trPr>
        <w:tc>
          <w:tcPr>
            <w:tcW w:w="4637" w:type="dxa"/>
            <w:vAlign w:val="center"/>
          </w:tcPr>
          <w:p w14:paraId="21392F5E" w14:textId="3D279C0B" w:rsidR="00DB42E7" w:rsidRPr="000B1342" w:rsidRDefault="005D0C26" w:rsidP="005D0C26">
            <w:pPr>
              <w:pStyle w:val="Prrafodelista"/>
              <w:spacing w:after="0" w:line="360" w:lineRule="auto"/>
              <w:ind w:left="147"/>
              <w:rPr>
                <w:bCs/>
                <w:sz w:val="18"/>
                <w:szCs w:val="18"/>
                <w:lang w:val="es-US"/>
              </w:rPr>
            </w:pPr>
            <w:r>
              <w:rPr>
                <w:bCs/>
                <w:sz w:val="18"/>
                <w:szCs w:val="18"/>
                <w:lang w:val="es-US"/>
              </w:rPr>
              <w:tab/>
            </w:r>
            <w:r w:rsidR="00DB42E7" w:rsidRPr="000B1342">
              <w:rPr>
                <w:bCs/>
                <w:sz w:val="18"/>
                <w:szCs w:val="18"/>
                <w:lang w:val="es-US"/>
              </w:rPr>
              <w:t>Pequeñas</w:t>
            </w:r>
          </w:p>
        </w:tc>
        <w:tc>
          <w:tcPr>
            <w:tcW w:w="681" w:type="dxa"/>
            <w:vAlign w:val="center"/>
          </w:tcPr>
          <w:p w14:paraId="29DAF940"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20</w:t>
            </w:r>
          </w:p>
        </w:tc>
        <w:tc>
          <w:tcPr>
            <w:tcW w:w="709" w:type="dxa"/>
            <w:vAlign w:val="center"/>
          </w:tcPr>
          <w:p w14:paraId="5098C665"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35,0</w:t>
            </w:r>
          </w:p>
        </w:tc>
      </w:tr>
      <w:tr w:rsidR="00DB42E7" w:rsidRPr="000B1342" w14:paraId="5D8B4EDF" w14:textId="77777777" w:rsidTr="00DC2B2C">
        <w:trPr>
          <w:jc w:val="center"/>
        </w:trPr>
        <w:tc>
          <w:tcPr>
            <w:tcW w:w="4637" w:type="dxa"/>
            <w:vAlign w:val="center"/>
          </w:tcPr>
          <w:p w14:paraId="6790382E" w14:textId="339A1702" w:rsidR="00DB42E7" w:rsidRPr="000B1342" w:rsidRDefault="005D0C26" w:rsidP="005D0C26">
            <w:pPr>
              <w:pStyle w:val="Prrafodelista"/>
              <w:spacing w:after="0" w:line="360" w:lineRule="auto"/>
              <w:ind w:left="147"/>
              <w:rPr>
                <w:bCs/>
                <w:sz w:val="18"/>
                <w:szCs w:val="18"/>
                <w:lang w:val="es-US"/>
              </w:rPr>
            </w:pPr>
            <w:r>
              <w:rPr>
                <w:bCs/>
                <w:sz w:val="18"/>
                <w:szCs w:val="18"/>
                <w:lang w:val="es-US"/>
              </w:rPr>
              <w:tab/>
            </w:r>
            <w:r w:rsidR="00DB42E7" w:rsidRPr="000B1342">
              <w:rPr>
                <w:bCs/>
                <w:sz w:val="18"/>
                <w:szCs w:val="18"/>
                <w:lang w:val="es-US"/>
              </w:rPr>
              <w:t>Grandes</w:t>
            </w:r>
          </w:p>
        </w:tc>
        <w:tc>
          <w:tcPr>
            <w:tcW w:w="681" w:type="dxa"/>
            <w:vAlign w:val="center"/>
          </w:tcPr>
          <w:p w14:paraId="22C82C48"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6</w:t>
            </w:r>
          </w:p>
        </w:tc>
        <w:tc>
          <w:tcPr>
            <w:tcW w:w="709" w:type="dxa"/>
            <w:vAlign w:val="center"/>
          </w:tcPr>
          <w:p w14:paraId="74578B63"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10,5</w:t>
            </w:r>
          </w:p>
        </w:tc>
      </w:tr>
      <w:tr w:rsidR="00DB42E7" w:rsidRPr="000B1342" w14:paraId="27BEC903" w14:textId="77777777" w:rsidTr="00DC2B2C">
        <w:trPr>
          <w:jc w:val="center"/>
        </w:trPr>
        <w:tc>
          <w:tcPr>
            <w:tcW w:w="4637" w:type="dxa"/>
            <w:vAlign w:val="center"/>
          </w:tcPr>
          <w:p w14:paraId="445DAF3B" w14:textId="77777777" w:rsidR="00DB42E7" w:rsidRPr="000B1342" w:rsidRDefault="00DB42E7" w:rsidP="005D0C26">
            <w:pPr>
              <w:spacing w:after="0" w:line="360" w:lineRule="auto"/>
              <w:ind w:left="147"/>
              <w:rPr>
                <w:bCs/>
                <w:sz w:val="18"/>
                <w:szCs w:val="18"/>
                <w:lang w:val="es-US"/>
              </w:rPr>
            </w:pPr>
            <w:r w:rsidRPr="000B1342">
              <w:rPr>
                <w:bCs/>
                <w:sz w:val="18"/>
                <w:szCs w:val="18"/>
                <w:lang w:val="es-US"/>
              </w:rPr>
              <w:t>Várices gastroesofágicas tipo 1</w:t>
            </w:r>
          </w:p>
        </w:tc>
        <w:tc>
          <w:tcPr>
            <w:tcW w:w="681" w:type="dxa"/>
            <w:vAlign w:val="center"/>
          </w:tcPr>
          <w:p w14:paraId="59184BB0"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4</w:t>
            </w:r>
          </w:p>
        </w:tc>
        <w:tc>
          <w:tcPr>
            <w:tcW w:w="709" w:type="dxa"/>
            <w:vAlign w:val="center"/>
          </w:tcPr>
          <w:p w14:paraId="141C964D"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7,0</w:t>
            </w:r>
          </w:p>
        </w:tc>
      </w:tr>
      <w:tr w:rsidR="00DB42E7" w:rsidRPr="000B1342" w14:paraId="700EE272" w14:textId="77777777" w:rsidTr="00DC2B2C">
        <w:trPr>
          <w:jc w:val="center"/>
        </w:trPr>
        <w:tc>
          <w:tcPr>
            <w:tcW w:w="4637" w:type="dxa"/>
            <w:vAlign w:val="center"/>
          </w:tcPr>
          <w:p w14:paraId="5D32450A" w14:textId="77777777" w:rsidR="00DB42E7" w:rsidRPr="000B1342" w:rsidRDefault="00DB42E7" w:rsidP="005D0C26">
            <w:pPr>
              <w:spacing w:after="0" w:line="360" w:lineRule="auto"/>
              <w:ind w:left="147"/>
              <w:rPr>
                <w:bCs/>
                <w:sz w:val="18"/>
                <w:szCs w:val="18"/>
                <w:lang w:val="es-US"/>
              </w:rPr>
            </w:pPr>
            <w:r w:rsidRPr="000B1342">
              <w:rPr>
                <w:bCs/>
                <w:sz w:val="18"/>
                <w:szCs w:val="18"/>
                <w:lang w:val="es-US"/>
              </w:rPr>
              <w:t>Gastropatía hipertensiva portal</w:t>
            </w:r>
          </w:p>
        </w:tc>
        <w:tc>
          <w:tcPr>
            <w:tcW w:w="681" w:type="dxa"/>
            <w:vAlign w:val="center"/>
          </w:tcPr>
          <w:p w14:paraId="6C8F7F60"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24</w:t>
            </w:r>
          </w:p>
        </w:tc>
        <w:tc>
          <w:tcPr>
            <w:tcW w:w="709" w:type="dxa"/>
            <w:vAlign w:val="center"/>
          </w:tcPr>
          <w:p w14:paraId="5816718C"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42,1</w:t>
            </w:r>
          </w:p>
        </w:tc>
      </w:tr>
      <w:tr w:rsidR="00DB42E7" w:rsidRPr="000B1342" w14:paraId="33720087" w14:textId="77777777" w:rsidTr="00DC2B2C">
        <w:trPr>
          <w:jc w:val="center"/>
        </w:trPr>
        <w:tc>
          <w:tcPr>
            <w:tcW w:w="4637" w:type="dxa"/>
            <w:vAlign w:val="center"/>
          </w:tcPr>
          <w:p w14:paraId="06122069" w14:textId="3971665E" w:rsidR="00DB42E7" w:rsidRPr="000B1342" w:rsidRDefault="005D0C26" w:rsidP="005D0C26">
            <w:pPr>
              <w:pStyle w:val="Prrafodelista"/>
              <w:spacing w:after="0" w:line="360" w:lineRule="auto"/>
              <w:ind w:left="147"/>
              <w:rPr>
                <w:bCs/>
                <w:sz w:val="18"/>
                <w:szCs w:val="18"/>
                <w:lang w:val="es-US"/>
              </w:rPr>
            </w:pPr>
            <w:r>
              <w:rPr>
                <w:bCs/>
                <w:sz w:val="18"/>
                <w:szCs w:val="18"/>
                <w:lang w:val="es-US"/>
              </w:rPr>
              <w:tab/>
            </w:r>
            <w:r w:rsidR="00DB42E7" w:rsidRPr="000B1342">
              <w:rPr>
                <w:bCs/>
                <w:sz w:val="18"/>
                <w:szCs w:val="18"/>
                <w:lang w:val="es-US"/>
              </w:rPr>
              <w:t>Leve</w:t>
            </w:r>
          </w:p>
        </w:tc>
        <w:tc>
          <w:tcPr>
            <w:tcW w:w="681" w:type="dxa"/>
            <w:vAlign w:val="center"/>
          </w:tcPr>
          <w:p w14:paraId="00720C54"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17</w:t>
            </w:r>
          </w:p>
        </w:tc>
        <w:tc>
          <w:tcPr>
            <w:tcW w:w="709" w:type="dxa"/>
            <w:vAlign w:val="center"/>
          </w:tcPr>
          <w:p w14:paraId="324F9E20"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29,8</w:t>
            </w:r>
          </w:p>
        </w:tc>
      </w:tr>
      <w:tr w:rsidR="00DB42E7" w:rsidRPr="000B1342" w14:paraId="47F53F09" w14:textId="77777777" w:rsidTr="00DC2B2C">
        <w:trPr>
          <w:jc w:val="center"/>
        </w:trPr>
        <w:tc>
          <w:tcPr>
            <w:tcW w:w="4637" w:type="dxa"/>
            <w:vAlign w:val="center"/>
          </w:tcPr>
          <w:p w14:paraId="378B0449" w14:textId="7B645523" w:rsidR="00DB42E7" w:rsidRPr="000B1342" w:rsidRDefault="005D0C26" w:rsidP="005D0C26">
            <w:pPr>
              <w:pStyle w:val="Prrafodelista"/>
              <w:spacing w:after="0" w:line="360" w:lineRule="auto"/>
              <w:ind w:left="147"/>
              <w:rPr>
                <w:bCs/>
                <w:sz w:val="18"/>
                <w:szCs w:val="18"/>
                <w:lang w:val="es-US"/>
              </w:rPr>
            </w:pPr>
            <w:r>
              <w:rPr>
                <w:bCs/>
                <w:sz w:val="18"/>
                <w:szCs w:val="18"/>
                <w:lang w:val="es-US"/>
              </w:rPr>
              <w:tab/>
            </w:r>
            <w:r w:rsidR="00DB42E7" w:rsidRPr="000B1342">
              <w:rPr>
                <w:bCs/>
                <w:sz w:val="18"/>
                <w:szCs w:val="18"/>
                <w:lang w:val="es-US"/>
              </w:rPr>
              <w:t>Grave</w:t>
            </w:r>
          </w:p>
        </w:tc>
        <w:tc>
          <w:tcPr>
            <w:tcW w:w="681" w:type="dxa"/>
            <w:vAlign w:val="center"/>
          </w:tcPr>
          <w:p w14:paraId="6B30406B"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7</w:t>
            </w:r>
          </w:p>
        </w:tc>
        <w:tc>
          <w:tcPr>
            <w:tcW w:w="709" w:type="dxa"/>
            <w:vAlign w:val="center"/>
          </w:tcPr>
          <w:p w14:paraId="35242D93"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12,3</w:t>
            </w:r>
          </w:p>
        </w:tc>
      </w:tr>
      <w:tr w:rsidR="00DB42E7" w:rsidRPr="000B1342" w14:paraId="68EDA4EE" w14:textId="77777777" w:rsidTr="00DC2B2C">
        <w:trPr>
          <w:jc w:val="center"/>
        </w:trPr>
        <w:tc>
          <w:tcPr>
            <w:tcW w:w="4637" w:type="dxa"/>
            <w:vAlign w:val="center"/>
          </w:tcPr>
          <w:p w14:paraId="268025EC" w14:textId="77777777" w:rsidR="00DB42E7" w:rsidRPr="000B1342" w:rsidRDefault="00DB42E7" w:rsidP="005D0C26">
            <w:pPr>
              <w:spacing w:after="0" w:line="360" w:lineRule="auto"/>
              <w:ind w:left="147"/>
              <w:rPr>
                <w:bCs/>
                <w:sz w:val="18"/>
                <w:szCs w:val="18"/>
                <w:lang w:val="es-US"/>
              </w:rPr>
            </w:pPr>
            <w:r w:rsidRPr="000B1342">
              <w:rPr>
                <w:bCs/>
                <w:sz w:val="18"/>
                <w:szCs w:val="18"/>
                <w:lang w:val="es-US"/>
              </w:rPr>
              <w:t>Sin manifestaciones endoscópicas de hipertensión portal</w:t>
            </w:r>
          </w:p>
        </w:tc>
        <w:tc>
          <w:tcPr>
            <w:tcW w:w="681" w:type="dxa"/>
            <w:vAlign w:val="center"/>
          </w:tcPr>
          <w:p w14:paraId="1D3B868F"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19</w:t>
            </w:r>
          </w:p>
        </w:tc>
        <w:tc>
          <w:tcPr>
            <w:tcW w:w="709" w:type="dxa"/>
            <w:vAlign w:val="center"/>
          </w:tcPr>
          <w:p w14:paraId="0FA5DBCB" w14:textId="77777777" w:rsidR="00DB42E7" w:rsidRPr="000B1342" w:rsidRDefault="00DB42E7" w:rsidP="00DB42E7">
            <w:pPr>
              <w:spacing w:after="0" w:line="360" w:lineRule="auto"/>
              <w:jc w:val="center"/>
              <w:rPr>
                <w:bCs/>
                <w:sz w:val="18"/>
                <w:szCs w:val="18"/>
                <w:lang w:val="es-US"/>
              </w:rPr>
            </w:pPr>
            <w:r w:rsidRPr="000B1342">
              <w:rPr>
                <w:bCs/>
                <w:sz w:val="18"/>
                <w:szCs w:val="18"/>
                <w:lang w:val="es-US"/>
              </w:rPr>
              <w:t>33,3</w:t>
            </w:r>
          </w:p>
        </w:tc>
      </w:tr>
    </w:tbl>
    <w:p w14:paraId="7FDD2269" w14:textId="77777777" w:rsidR="0033346E" w:rsidRPr="0033346E" w:rsidRDefault="0033346E" w:rsidP="0033346E">
      <w:pPr>
        <w:spacing w:after="0" w:line="360" w:lineRule="auto"/>
        <w:jc w:val="both"/>
        <w:rPr>
          <w:sz w:val="24"/>
          <w:szCs w:val="24"/>
          <w:lang w:val="es-US"/>
        </w:rPr>
      </w:pPr>
    </w:p>
    <w:p w14:paraId="617E222F" w14:textId="2A91B80C" w:rsidR="0033346E" w:rsidRPr="0033346E" w:rsidRDefault="0033346E" w:rsidP="0033346E">
      <w:pPr>
        <w:spacing w:after="0" w:line="360" w:lineRule="auto"/>
        <w:jc w:val="both"/>
        <w:rPr>
          <w:sz w:val="24"/>
          <w:szCs w:val="24"/>
          <w:lang w:val="es-US"/>
        </w:rPr>
      </w:pPr>
      <w:r w:rsidRPr="0033346E">
        <w:rPr>
          <w:sz w:val="24"/>
          <w:szCs w:val="24"/>
          <w:lang w:val="es-US"/>
        </w:rPr>
        <w:t>La ascitis fue la complicación más frecuente en 21 pacientes (36,8 %), seguida por la HDA en 7 (12,2 %) y la EH en 5 (8,7 %) (tabla 3).</w:t>
      </w:r>
    </w:p>
    <w:p w14:paraId="3EF251A5" w14:textId="77777777" w:rsidR="0033346E" w:rsidRPr="0033346E" w:rsidRDefault="0033346E" w:rsidP="0033346E">
      <w:pPr>
        <w:spacing w:after="0" w:line="360" w:lineRule="auto"/>
        <w:jc w:val="center"/>
        <w:rPr>
          <w:b/>
          <w:sz w:val="24"/>
          <w:szCs w:val="24"/>
          <w:lang w:val="es-US"/>
        </w:rPr>
      </w:pPr>
    </w:p>
    <w:p w14:paraId="71330858" w14:textId="1D341A59" w:rsidR="0033346E" w:rsidRPr="0033346E" w:rsidRDefault="0033346E" w:rsidP="0033346E">
      <w:pPr>
        <w:spacing w:after="0" w:line="360" w:lineRule="auto"/>
        <w:jc w:val="center"/>
        <w:rPr>
          <w:szCs w:val="22"/>
          <w:lang w:val="es-US"/>
        </w:rPr>
      </w:pPr>
      <w:r w:rsidRPr="0033346E">
        <w:rPr>
          <w:b/>
          <w:szCs w:val="22"/>
          <w:lang w:val="es-US"/>
        </w:rPr>
        <w:t>Tabla 3 -</w:t>
      </w:r>
      <w:r w:rsidRPr="0033346E">
        <w:rPr>
          <w:szCs w:val="22"/>
          <w:lang w:val="es-US"/>
        </w:rPr>
        <w:t xml:space="preserve"> Complicaciones de la cirrosis hepática en los pacientes estudiados</w:t>
      </w:r>
    </w:p>
    <w:tbl>
      <w:tblPr>
        <w:tblW w:w="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850"/>
        <w:gridCol w:w="851"/>
      </w:tblGrid>
      <w:tr w:rsidR="0033346E" w:rsidRPr="0033346E" w14:paraId="5903CC23" w14:textId="77777777" w:rsidTr="002E3BC9">
        <w:trPr>
          <w:jc w:val="center"/>
        </w:trPr>
        <w:tc>
          <w:tcPr>
            <w:tcW w:w="3233" w:type="dxa"/>
            <w:shd w:val="clear" w:color="auto" w:fill="auto"/>
            <w:vAlign w:val="center"/>
          </w:tcPr>
          <w:p w14:paraId="4DD41D44" w14:textId="77777777" w:rsidR="0033346E" w:rsidRPr="0033346E" w:rsidRDefault="0033346E" w:rsidP="007507A3">
            <w:pPr>
              <w:spacing w:after="0" w:line="360" w:lineRule="auto"/>
              <w:jc w:val="center"/>
              <w:rPr>
                <w:b/>
                <w:sz w:val="18"/>
                <w:szCs w:val="18"/>
                <w:lang w:val="es-US"/>
              </w:rPr>
            </w:pPr>
            <w:r w:rsidRPr="0033346E">
              <w:rPr>
                <w:rFonts w:eastAsia="Calibri"/>
                <w:b/>
                <w:sz w:val="18"/>
                <w:szCs w:val="18"/>
                <w:lang w:val="es-US"/>
              </w:rPr>
              <w:t>Complicaciones de la cirrosis hepática</w:t>
            </w:r>
          </w:p>
        </w:tc>
        <w:tc>
          <w:tcPr>
            <w:tcW w:w="850" w:type="dxa"/>
            <w:shd w:val="clear" w:color="auto" w:fill="auto"/>
            <w:vAlign w:val="center"/>
          </w:tcPr>
          <w:p w14:paraId="5D7398EF" w14:textId="77777777" w:rsidR="0033346E" w:rsidRPr="0033346E" w:rsidRDefault="0033346E" w:rsidP="007507A3">
            <w:pPr>
              <w:spacing w:after="0" w:line="360" w:lineRule="auto"/>
              <w:jc w:val="center"/>
              <w:rPr>
                <w:b/>
                <w:sz w:val="18"/>
                <w:szCs w:val="18"/>
                <w:lang w:val="es-US"/>
              </w:rPr>
            </w:pPr>
            <w:r w:rsidRPr="0033346E">
              <w:rPr>
                <w:rFonts w:eastAsia="Calibri"/>
                <w:b/>
                <w:sz w:val="18"/>
                <w:szCs w:val="18"/>
                <w:lang w:val="es-US"/>
              </w:rPr>
              <w:t>n</w:t>
            </w:r>
          </w:p>
        </w:tc>
        <w:tc>
          <w:tcPr>
            <w:tcW w:w="851" w:type="dxa"/>
            <w:shd w:val="clear" w:color="auto" w:fill="auto"/>
            <w:vAlign w:val="center"/>
          </w:tcPr>
          <w:p w14:paraId="36BF03DB" w14:textId="77777777" w:rsidR="0033346E" w:rsidRPr="0033346E" w:rsidRDefault="0033346E" w:rsidP="007507A3">
            <w:pPr>
              <w:spacing w:after="0" w:line="360" w:lineRule="auto"/>
              <w:rPr>
                <w:b/>
                <w:sz w:val="18"/>
                <w:szCs w:val="18"/>
                <w:lang w:val="es-US"/>
              </w:rPr>
            </w:pPr>
            <w:r w:rsidRPr="0033346E">
              <w:rPr>
                <w:rFonts w:eastAsia="Calibri"/>
                <w:b/>
                <w:sz w:val="18"/>
                <w:szCs w:val="18"/>
                <w:lang w:val="es-US"/>
              </w:rPr>
              <w:t>%</w:t>
            </w:r>
          </w:p>
        </w:tc>
      </w:tr>
      <w:tr w:rsidR="0033346E" w:rsidRPr="0033346E" w14:paraId="3D0A82EF" w14:textId="77777777" w:rsidTr="002E3BC9">
        <w:trPr>
          <w:jc w:val="center"/>
        </w:trPr>
        <w:tc>
          <w:tcPr>
            <w:tcW w:w="3233" w:type="dxa"/>
            <w:shd w:val="clear" w:color="auto" w:fill="auto"/>
            <w:vAlign w:val="center"/>
          </w:tcPr>
          <w:p w14:paraId="01BB43EB" w14:textId="77777777" w:rsidR="0033346E" w:rsidRPr="0033346E" w:rsidRDefault="0033346E" w:rsidP="007507A3">
            <w:pPr>
              <w:spacing w:after="0" w:line="360" w:lineRule="auto"/>
              <w:rPr>
                <w:sz w:val="18"/>
                <w:szCs w:val="18"/>
                <w:lang w:val="es-US"/>
              </w:rPr>
            </w:pPr>
            <w:r w:rsidRPr="0033346E">
              <w:rPr>
                <w:rFonts w:eastAsia="Calibri"/>
                <w:sz w:val="18"/>
                <w:szCs w:val="18"/>
                <w:lang w:val="es-US"/>
              </w:rPr>
              <w:t>Ascitis</w:t>
            </w:r>
          </w:p>
        </w:tc>
        <w:tc>
          <w:tcPr>
            <w:tcW w:w="850" w:type="dxa"/>
            <w:shd w:val="clear" w:color="auto" w:fill="auto"/>
            <w:vAlign w:val="center"/>
          </w:tcPr>
          <w:p w14:paraId="082942C0" w14:textId="77777777" w:rsidR="0033346E" w:rsidRPr="0033346E" w:rsidRDefault="0033346E" w:rsidP="007507A3">
            <w:pPr>
              <w:spacing w:after="0" w:line="360" w:lineRule="auto"/>
              <w:jc w:val="center"/>
              <w:rPr>
                <w:sz w:val="18"/>
                <w:szCs w:val="18"/>
                <w:lang w:val="es-US"/>
              </w:rPr>
            </w:pPr>
            <w:r w:rsidRPr="0033346E">
              <w:rPr>
                <w:rFonts w:eastAsia="Calibri"/>
                <w:sz w:val="18"/>
                <w:szCs w:val="18"/>
                <w:lang w:val="es-US"/>
              </w:rPr>
              <w:t>21</w:t>
            </w:r>
          </w:p>
        </w:tc>
        <w:tc>
          <w:tcPr>
            <w:tcW w:w="851" w:type="dxa"/>
            <w:shd w:val="clear" w:color="auto" w:fill="auto"/>
            <w:vAlign w:val="center"/>
          </w:tcPr>
          <w:p w14:paraId="31F271F5" w14:textId="77777777" w:rsidR="0033346E" w:rsidRPr="0033346E" w:rsidRDefault="0033346E" w:rsidP="007507A3">
            <w:pPr>
              <w:spacing w:after="0" w:line="360" w:lineRule="auto"/>
              <w:rPr>
                <w:sz w:val="18"/>
                <w:szCs w:val="18"/>
                <w:lang w:val="es-US"/>
              </w:rPr>
            </w:pPr>
            <w:r w:rsidRPr="0033346E">
              <w:rPr>
                <w:rFonts w:eastAsia="Calibri"/>
                <w:sz w:val="18"/>
                <w:szCs w:val="18"/>
                <w:lang w:val="es-US"/>
              </w:rPr>
              <w:t>36,8</w:t>
            </w:r>
          </w:p>
        </w:tc>
      </w:tr>
      <w:tr w:rsidR="0033346E" w:rsidRPr="0033346E" w14:paraId="0F6548BC" w14:textId="77777777" w:rsidTr="002E3BC9">
        <w:trPr>
          <w:jc w:val="center"/>
        </w:trPr>
        <w:tc>
          <w:tcPr>
            <w:tcW w:w="3233" w:type="dxa"/>
            <w:shd w:val="clear" w:color="auto" w:fill="auto"/>
            <w:vAlign w:val="center"/>
          </w:tcPr>
          <w:p w14:paraId="574DEB98" w14:textId="77777777" w:rsidR="0033346E" w:rsidRPr="0033346E" w:rsidRDefault="0033346E" w:rsidP="007507A3">
            <w:pPr>
              <w:spacing w:after="0" w:line="360" w:lineRule="auto"/>
              <w:rPr>
                <w:sz w:val="18"/>
                <w:szCs w:val="18"/>
                <w:lang w:val="es-US"/>
              </w:rPr>
            </w:pPr>
            <w:r w:rsidRPr="0033346E">
              <w:rPr>
                <w:rFonts w:eastAsia="Calibri"/>
                <w:sz w:val="18"/>
                <w:szCs w:val="18"/>
                <w:lang w:val="es-US"/>
              </w:rPr>
              <w:t>HDA</w:t>
            </w:r>
          </w:p>
        </w:tc>
        <w:tc>
          <w:tcPr>
            <w:tcW w:w="850" w:type="dxa"/>
            <w:shd w:val="clear" w:color="auto" w:fill="auto"/>
            <w:vAlign w:val="center"/>
          </w:tcPr>
          <w:p w14:paraId="6354036D" w14:textId="77777777" w:rsidR="0033346E" w:rsidRPr="0033346E" w:rsidRDefault="0033346E" w:rsidP="007507A3">
            <w:pPr>
              <w:spacing w:after="0" w:line="360" w:lineRule="auto"/>
              <w:jc w:val="center"/>
              <w:rPr>
                <w:sz w:val="18"/>
                <w:szCs w:val="18"/>
                <w:lang w:val="es-US"/>
              </w:rPr>
            </w:pPr>
            <w:r w:rsidRPr="0033346E">
              <w:rPr>
                <w:rFonts w:eastAsia="Calibri"/>
                <w:sz w:val="18"/>
                <w:szCs w:val="18"/>
                <w:lang w:val="es-US"/>
              </w:rPr>
              <w:t>7</w:t>
            </w:r>
          </w:p>
        </w:tc>
        <w:tc>
          <w:tcPr>
            <w:tcW w:w="851" w:type="dxa"/>
            <w:shd w:val="clear" w:color="auto" w:fill="auto"/>
            <w:vAlign w:val="center"/>
          </w:tcPr>
          <w:p w14:paraId="29146B4E" w14:textId="77777777" w:rsidR="0033346E" w:rsidRPr="0033346E" w:rsidRDefault="0033346E" w:rsidP="007507A3">
            <w:pPr>
              <w:spacing w:after="0" w:line="360" w:lineRule="auto"/>
              <w:rPr>
                <w:sz w:val="18"/>
                <w:szCs w:val="18"/>
                <w:lang w:val="es-US"/>
              </w:rPr>
            </w:pPr>
            <w:r w:rsidRPr="0033346E">
              <w:rPr>
                <w:rFonts w:eastAsia="Calibri"/>
                <w:sz w:val="18"/>
                <w:szCs w:val="18"/>
                <w:lang w:val="es-US"/>
              </w:rPr>
              <w:t>12,2</w:t>
            </w:r>
          </w:p>
        </w:tc>
      </w:tr>
      <w:tr w:rsidR="0033346E" w:rsidRPr="0033346E" w14:paraId="3D8400A9" w14:textId="77777777" w:rsidTr="002E3BC9">
        <w:trPr>
          <w:jc w:val="center"/>
        </w:trPr>
        <w:tc>
          <w:tcPr>
            <w:tcW w:w="3233" w:type="dxa"/>
            <w:shd w:val="clear" w:color="auto" w:fill="auto"/>
            <w:vAlign w:val="center"/>
          </w:tcPr>
          <w:p w14:paraId="3BA40D05" w14:textId="77777777" w:rsidR="0033346E" w:rsidRPr="0033346E" w:rsidRDefault="0033346E" w:rsidP="007507A3">
            <w:pPr>
              <w:spacing w:after="0" w:line="360" w:lineRule="auto"/>
              <w:rPr>
                <w:sz w:val="18"/>
                <w:szCs w:val="18"/>
                <w:lang w:val="es-US"/>
              </w:rPr>
            </w:pPr>
            <w:r w:rsidRPr="0033346E">
              <w:rPr>
                <w:rFonts w:eastAsia="Calibri"/>
                <w:sz w:val="18"/>
                <w:szCs w:val="18"/>
                <w:lang w:val="es-US"/>
              </w:rPr>
              <w:t>EH</w:t>
            </w:r>
          </w:p>
        </w:tc>
        <w:tc>
          <w:tcPr>
            <w:tcW w:w="850" w:type="dxa"/>
            <w:shd w:val="clear" w:color="auto" w:fill="auto"/>
            <w:vAlign w:val="center"/>
          </w:tcPr>
          <w:p w14:paraId="1F943F8D" w14:textId="77777777" w:rsidR="0033346E" w:rsidRPr="0033346E" w:rsidRDefault="0033346E" w:rsidP="007507A3">
            <w:pPr>
              <w:spacing w:after="0" w:line="360" w:lineRule="auto"/>
              <w:jc w:val="center"/>
              <w:rPr>
                <w:sz w:val="18"/>
                <w:szCs w:val="18"/>
                <w:lang w:val="es-US"/>
              </w:rPr>
            </w:pPr>
            <w:r w:rsidRPr="0033346E">
              <w:rPr>
                <w:rFonts w:eastAsia="Calibri"/>
                <w:sz w:val="18"/>
                <w:szCs w:val="18"/>
                <w:lang w:val="es-US"/>
              </w:rPr>
              <w:t>5</w:t>
            </w:r>
          </w:p>
        </w:tc>
        <w:tc>
          <w:tcPr>
            <w:tcW w:w="851" w:type="dxa"/>
            <w:shd w:val="clear" w:color="auto" w:fill="auto"/>
            <w:vAlign w:val="center"/>
          </w:tcPr>
          <w:p w14:paraId="1556C9AF" w14:textId="77777777" w:rsidR="0033346E" w:rsidRPr="0033346E" w:rsidRDefault="0033346E" w:rsidP="007507A3">
            <w:pPr>
              <w:spacing w:after="0" w:line="360" w:lineRule="auto"/>
              <w:rPr>
                <w:sz w:val="18"/>
                <w:szCs w:val="18"/>
                <w:lang w:val="es-US"/>
              </w:rPr>
            </w:pPr>
            <w:r w:rsidRPr="0033346E">
              <w:rPr>
                <w:rFonts w:eastAsia="Calibri"/>
                <w:sz w:val="18"/>
                <w:szCs w:val="18"/>
                <w:lang w:val="es-US"/>
              </w:rPr>
              <w:t>8,7</w:t>
            </w:r>
          </w:p>
        </w:tc>
      </w:tr>
      <w:tr w:rsidR="0033346E" w:rsidRPr="0033346E" w14:paraId="7C143343" w14:textId="77777777" w:rsidTr="002E3BC9">
        <w:trPr>
          <w:jc w:val="center"/>
        </w:trPr>
        <w:tc>
          <w:tcPr>
            <w:tcW w:w="3233" w:type="dxa"/>
            <w:shd w:val="clear" w:color="auto" w:fill="auto"/>
            <w:vAlign w:val="center"/>
          </w:tcPr>
          <w:p w14:paraId="0C1A352E" w14:textId="77777777" w:rsidR="0033346E" w:rsidRPr="0033346E" w:rsidRDefault="0033346E" w:rsidP="007507A3">
            <w:pPr>
              <w:spacing w:after="0" w:line="360" w:lineRule="auto"/>
              <w:rPr>
                <w:sz w:val="18"/>
                <w:szCs w:val="18"/>
              </w:rPr>
            </w:pPr>
            <w:r w:rsidRPr="0033346E">
              <w:rPr>
                <w:rFonts w:eastAsia="Calibri"/>
                <w:sz w:val="18"/>
                <w:szCs w:val="18"/>
                <w:lang w:val="es-US"/>
              </w:rPr>
              <w:t>PBE</w:t>
            </w:r>
          </w:p>
        </w:tc>
        <w:tc>
          <w:tcPr>
            <w:tcW w:w="850" w:type="dxa"/>
            <w:shd w:val="clear" w:color="auto" w:fill="auto"/>
            <w:vAlign w:val="center"/>
          </w:tcPr>
          <w:p w14:paraId="6476DAC2" w14:textId="77777777" w:rsidR="0033346E" w:rsidRPr="0033346E" w:rsidRDefault="0033346E" w:rsidP="007507A3">
            <w:pPr>
              <w:spacing w:after="0" w:line="360" w:lineRule="auto"/>
              <w:jc w:val="center"/>
              <w:rPr>
                <w:sz w:val="18"/>
                <w:szCs w:val="18"/>
              </w:rPr>
            </w:pPr>
            <w:r w:rsidRPr="0033346E">
              <w:rPr>
                <w:rFonts w:eastAsia="Calibri"/>
                <w:sz w:val="18"/>
                <w:szCs w:val="18"/>
              </w:rPr>
              <w:t>2</w:t>
            </w:r>
          </w:p>
        </w:tc>
        <w:tc>
          <w:tcPr>
            <w:tcW w:w="851" w:type="dxa"/>
            <w:shd w:val="clear" w:color="auto" w:fill="auto"/>
            <w:vAlign w:val="center"/>
          </w:tcPr>
          <w:p w14:paraId="3EB33565" w14:textId="77777777" w:rsidR="0033346E" w:rsidRPr="0033346E" w:rsidRDefault="0033346E" w:rsidP="007507A3">
            <w:pPr>
              <w:spacing w:after="0" w:line="360" w:lineRule="auto"/>
              <w:rPr>
                <w:sz w:val="18"/>
                <w:szCs w:val="18"/>
              </w:rPr>
            </w:pPr>
            <w:r w:rsidRPr="0033346E">
              <w:rPr>
                <w:rFonts w:eastAsia="Calibri"/>
                <w:sz w:val="18"/>
                <w:szCs w:val="18"/>
              </w:rPr>
              <w:t>3,5</w:t>
            </w:r>
          </w:p>
        </w:tc>
      </w:tr>
      <w:tr w:rsidR="0033346E" w:rsidRPr="0033346E" w14:paraId="28CF6B12" w14:textId="77777777" w:rsidTr="002E3BC9">
        <w:trPr>
          <w:jc w:val="center"/>
        </w:trPr>
        <w:tc>
          <w:tcPr>
            <w:tcW w:w="3233" w:type="dxa"/>
            <w:shd w:val="clear" w:color="auto" w:fill="auto"/>
            <w:vAlign w:val="center"/>
          </w:tcPr>
          <w:p w14:paraId="2DFF8DCC" w14:textId="77777777" w:rsidR="0033346E" w:rsidRPr="0033346E" w:rsidRDefault="0033346E" w:rsidP="007507A3">
            <w:pPr>
              <w:spacing w:after="0" w:line="360" w:lineRule="auto"/>
              <w:rPr>
                <w:sz w:val="18"/>
                <w:szCs w:val="18"/>
              </w:rPr>
            </w:pPr>
            <w:r w:rsidRPr="0033346E">
              <w:rPr>
                <w:rFonts w:eastAsia="Calibri"/>
                <w:sz w:val="18"/>
                <w:szCs w:val="18"/>
              </w:rPr>
              <w:t>SHR</w:t>
            </w:r>
          </w:p>
        </w:tc>
        <w:tc>
          <w:tcPr>
            <w:tcW w:w="850" w:type="dxa"/>
            <w:shd w:val="clear" w:color="auto" w:fill="auto"/>
            <w:vAlign w:val="center"/>
          </w:tcPr>
          <w:p w14:paraId="3FEF99B6" w14:textId="77777777" w:rsidR="0033346E" w:rsidRPr="0033346E" w:rsidRDefault="0033346E" w:rsidP="007507A3">
            <w:pPr>
              <w:spacing w:after="0" w:line="360" w:lineRule="auto"/>
              <w:jc w:val="center"/>
              <w:rPr>
                <w:sz w:val="18"/>
                <w:szCs w:val="18"/>
              </w:rPr>
            </w:pPr>
            <w:r w:rsidRPr="0033346E">
              <w:rPr>
                <w:rFonts w:eastAsia="Calibri"/>
                <w:sz w:val="18"/>
                <w:szCs w:val="18"/>
              </w:rPr>
              <w:t>2</w:t>
            </w:r>
          </w:p>
        </w:tc>
        <w:tc>
          <w:tcPr>
            <w:tcW w:w="851" w:type="dxa"/>
            <w:shd w:val="clear" w:color="auto" w:fill="auto"/>
            <w:vAlign w:val="center"/>
          </w:tcPr>
          <w:p w14:paraId="65E8A359" w14:textId="77777777" w:rsidR="0033346E" w:rsidRPr="0033346E" w:rsidRDefault="0033346E" w:rsidP="007507A3">
            <w:pPr>
              <w:spacing w:after="0" w:line="360" w:lineRule="auto"/>
              <w:rPr>
                <w:sz w:val="18"/>
                <w:szCs w:val="18"/>
              </w:rPr>
            </w:pPr>
            <w:r w:rsidRPr="0033346E">
              <w:rPr>
                <w:rFonts w:eastAsia="Calibri"/>
                <w:sz w:val="18"/>
                <w:szCs w:val="18"/>
              </w:rPr>
              <w:t>3,5</w:t>
            </w:r>
          </w:p>
        </w:tc>
      </w:tr>
      <w:tr w:rsidR="0033346E" w:rsidRPr="0033346E" w14:paraId="5855FCCE" w14:textId="77777777" w:rsidTr="002E3BC9">
        <w:trPr>
          <w:jc w:val="center"/>
        </w:trPr>
        <w:tc>
          <w:tcPr>
            <w:tcW w:w="3233" w:type="dxa"/>
            <w:shd w:val="clear" w:color="auto" w:fill="auto"/>
            <w:vAlign w:val="center"/>
          </w:tcPr>
          <w:p w14:paraId="384B4DEF" w14:textId="77777777" w:rsidR="0033346E" w:rsidRPr="0033346E" w:rsidRDefault="0033346E" w:rsidP="007507A3">
            <w:pPr>
              <w:spacing w:after="0" w:line="360" w:lineRule="auto"/>
              <w:rPr>
                <w:sz w:val="18"/>
                <w:szCs w:val="18"/>
              </w:rPr>
            </w:pPr>
            <w:r w:rsidRPr="0033346E">
              <w:rPr>
                <w:rFonts w:eastAsia="Calibri"/>
                <w:sz w:val="18"/>
                <w:szCs w:val="18"/>
              </w:rPr>
              <w:t>SHP</w:t>
            </w:r>
          </w:p>
        </w:tc>
        <w:tc>
          <w:tcPr>
            <w:tcW w:w="850" w:type="dxa"/>
            <w:shd w:val="clear" w:color="auto" w:fill="auto"/>
            <w:vAlign w:val="center"/>
          </w:tcPr>
          <w:p w14:paraId="3BF98CBC" w14:textId="77777777" w:rsidR="0033346E" w:rsidRPr="0033346E" w:rsidRDefault="0033346E" w:rsidP="007507A3">
            <w:pPr>
              <w:spacing w:after="0" w:line="360" w:lineRule="auto"/>
              <w:jc w:val="center"/>
              <w:rPr>
                <w:sz w:val="18"/>
                <w:szCs w:val="18"/>
              </w:rPr>
            </w:pPr>
            <w:r w:rsidRPr="0033346E">
              <w:rPr>
                <w:rFonts w:eastAsia="Calibri"/>
                <w:sz w:val="18"/>
                <w:szCs w:val="18"/>
              </w:rPr>
              <w:t>1</w:t>
            </w:r>
          </w:p>
        </w:tc>
        <w:tc>
          <w:tcPr>
            <w:tcW w:w="851" w:type="dxa"/>
            <w:shd w:val="clear" w:color="auto" w:fill="auto"/>
            <w:vAlign w:val="center"/>
          </w:tcPr>
          <w:p w14:paraId="6F98EA00" w14:textId="77777777" w:rsidR="0033346E" w:rsidRPr="0033346E" w:rsidRDefault="0033346E" w:rsidP="007507A3">
            <w:pPr>
              <w:spacing w:after="0" w:line="360" w:lineRule="auto"/>
              <w:rPr>
                <w:sz w:val="18"/>
                <w:szCs w:val="18"/>
              </w:rPr>
            </w:pPr>
            <w:r w:rsidRPr="0033346E">
              <w:rPr>
                <w:rFonts w:eastAsia="Calibri"/>
                <w:sz w:val="18"/>
                <w:szCs w:val="18"/>
              </w:rPr>
              <w:t>1,75</w:t>
            </w:r>
          </w:p>
        </w:tc>
      </w:tr>
    </w:tbl>
    <w:p w14:paraId="75D05FF2" w14:textId="77777777" w:rsidR="0033346E" w:rsidRPr="0033346E" w:rsidRDefault="0033346E" w:rsidP="0033346E">
      <w:pPr>
        <w:spacing w:after="0" w:line="360" w:lineRule="auto"/>
        <w:jc w:val="center"/>
        <w:rPr>
          <w:bCs/>
          <w:sz w:val="16"/>
          <w:szCs w:val="16"/>
          <w:lang w:val="es-US"/>
        </w:rPr>
      </w:pPr>
      <w:r w:rsidRPr="0033346E">
        <w:rPr>
          <w:bCs/>
          <w:sz w:val="16"/>
          <w:szCs w:val="16"/>
          <w:lang w:val="es-US"/>
        </w:rPr>
        <w:t>Leyenda: HDA (hemorragia digestiva alta), EH (encefalopatía hepática), PBE (peritonitis bacteriana espontánea), SHR (síndrome hepatorrenal), SHP (síndrome hepatopulmonar).</w:t>
      </w:r>
    </w:p>
    <w:p w14:paraId="55FDC372" w14:textId="77777777" w:rsidR="0033346E" w:rsidRPr="0033346E" w:rsidRDefault="0033346E" w:rsidP="0033346E">
      <w:pPr>
        <w:spacing w:after="0" w:line="360" w:lineRule="auto"/>
        <w:jc w:val="both"/>
        <w:rPr>
          <w:sz w:val="24"/>
          <w:szCs w:val="24"/>
          <w:lang w:val="es-US"/>
        </w:rPr>
      </w:pPr>
    </w:p>
    <w:p w14:paraId="033FC210" w14:textId="37B4B72D" w:rsidR="0033346E" w:rsidRPr="0033346E" w:rsidRDefault="0033346E" w:rsidP="0033346E">
      <w:pPr>
        <w:spacing w:after="0" w:line="360" w:lineRule="auto"/>
        <w:jc w:val="both"/>
        <w:rPr>
          <w:sz w:val="24"/>
          <w:szCs w:val="24"/>
          <w:lang w:val="es-US"/>
        </w:rPr>
      </w:pPr>
      <w:r w:rsidRPr="0033346E">
        <w:rPr>
          <w:sz w:val="24"/>
          <w:szCs w:val="24"/>
          <w:lang w:val="es-US"/>
        </w:rPr>
        <w:t>En la tabla 4 se observan los estadios de la evolución clínica de la cirrosis hepática según D’Amico. Hubo 26</w:t>
      </w:r>
      <w:r w:rsidR="00763C16">
        <w:rPr>
          <w:sz w:val="24"/>
          <w:szCs w:val="24"/>
          <w:lang w:val="es-US"/>
        </w:rPr>
        <w:t xml:space="preserve"> </w:t>
      </w:r>
      <w:r w:rsidRPr="0033346E">
        <w:rPr>
          <w:sz w:val="24"/>
          <w:szCs w:val="24"/>
          <w:lang w:val="es-US"/>
        </w:rPr>
        <w:t xml:space="preserve">(45,2 %) pacientes con cirrosis compensada: 19 (33 %) en estadio 1 y 7 (12,2 %) en estadio 2. El resto de los pacientes presentaban descompensación de la cirrosis: 4 (7,0 %) en estadio 3; 20 (35 %) en estadio 4; 6 (11 %) en estadio 5 y 1 (1,8 %) en estadio 6. </w:t>
      </w:r>
    </w:p>
    <w:p w14:paraId="40048487" w14:textId="77777777" w:rsidR="0033346E" w:rsidRPr="0033346E" w:rsidRDefault="0033346E" w:rsidP="0033346E">
      <w:pPr>
        <w:spacing w:after="0" w:line="360" w:lineRule="auto"/>
        <w:jc w:val="center"/>
        <w:rPr>
          <w:b/>
          <w:sz w:val="24"/>
          <w:szCs w:val="24"/>
          <w:lang w:val="es-US"/>
        </w:rPr>
      </w:pPr>
    </w:p>
    <w:p w14:paraId="085D090A" w14:textId="0E45E7A4" w:rsidR="0033346E" w:rsidRPr="0033346E" w:rsidRDefault="0033346E" w:rsidP="0033346E">
      <w:pPr>
        <w:spacing w:after="0" w:line="360" w:lineRule="auto"/>
        <w:jc w:val="center"/>
        <w:rPr>
          <w:szCs w:val="22"/>
          <w:lang w:val="es-US"/>
        </w:rPr>
      </w:pPr>
      <w:r w:rsidRPr="0033346E">
        <w:rPr>
          <w:b/>
          <w:szCs w:val="22"/>
          <w:lang w:val="es-US"/>
        </w:rPr>
        <w:t>Tabla 4 -</w:t>
      </w:r>
      <w:r w:rsidRPr="0033346E">
        <w:rPr>
          <w:szCs w:val="22"/>
          <w:lang w:val="es-US"/>
        </w:rPr>
        <w:t xml:space="preserve"> Estadios de la evolución clínica de los pacientes con cirrosis hepática según D’</w:t>
      </w:r>
      <w:r w:rsidR="007A00C8">
        <w:rPr>
          <w:szCs w:val="22"/>
          <w:lang w:val="es-US"/>
        </w:rPr>
        <w:t>A</w:t>
      </w:r>
      <w:r w:rsidRPr="0033346E">
        <w:rPr>
          <w:szCs w:val="22"/>
          <w:lang w:val="es-US"/>
        </w:rPr>
        <w:t>mico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9"/>
        <w:gridCol w:w="992"/>
      </w:tblGrid>
      <w:tr w:rsidR="0033346E" w:rsidRPr="0033346E" w14:paraId="21E719F0" w14:textId="77777777" w:rsidTr="007507A3">
        <w:trPr>
          <w:jc w:val="center"/>
        </w:trPr>
        <w:tc>
          <w:tcPr>
            <w:tcW w:w="2405" w:type="dxa"/>
            <w:shd w:val="clear" w:color="auto" w:fill="auto"/>
            <w:vAlign w:val="center"/>
          </w:tcPr>
          <w:p w14:paraId="74306E84" w14:textId="77777777" w:rsidR="0033346E" w:rsidRPr="0033346E" w:rsidRDefault="0033346E" w:rsidP="007507A3">
            <w:pPr>
              <w:spacing w:after="0" w:line="360" w:lineRule="auto"/>
              <w:jc w:val="center"/>
              <w:rPr>
                <w:b/>
                <w:sz w:val="18"/>
                <w:szCs w:val="18"/>
                <w:lang w:val="es-US"/>
              </w:rPr>
            </w:pPr>
            <w:r w:rsidRPr="0033346E">
              <w:rPr>
                <w:rFonts w:eastAsia="Calibri"/>
                <w:b/>
                <w:sz w:val="18"/>
                <w:szCs w:val="18"/>
                <w:lang w:val="es-US"/>
              </w:rPr>
              <w:t>Estadios de la enfermedad</w:t>
            </w:r>
          </w:p>
        </w:tc>
        <w:tc>
          <w:tcPr>
            <w:tcW w:w="709" w:type="dxa"/>
            <w:shd w:val="clear" w:color="auto" w:fill="auto"/>
            <w:vAlign w:val="center"/>
          </w:tcPr>
          <w:p w14:paraId="010CAC67" w14:textId="77777777" w:rsidR="0033346E" w:rsidRPr="0033346E" w:rsidRDefault="0033346E" w:rsidP="007507A3">
            <w:pPr>
              <w:spacing w:after="0" w:line="360" w:lineRule="auto"/>
              <w:jc w:val="center"/>
              <w:rPr>
                <w:b/>
                <w:sz w:val="18"/>
                <w:szCs w:val="18"/>
                <w:lang w:val="es-US"/>
              </w:rPr>
            </w:pPr>
            <w:r w:rsidRPr="0033346E">
              <w:rPr>
                <w:rFonts w:eastAsia="Calibri"/>
                <w:b/>
                <w:sz w:val="18"/>
                <w:szCs w:val="18"/>
                <w:lang w:val="es-US"/>
              </w:rPr>
              <w:t>n</w:t>
            </w:r>
          </w:p>
        </w:tc>
        <w:tc>
          <w:tcPr>
            <w:tcW w:w="992" w:type="dxa"/>
            <w:shd w:val="clear" w:color="auto" w:fill="auto"/>
            <w:vAlign w:val="center"/>
          </w:tcPr>
          <w:p w14:paraId="5E3E9500" w14:textId="77777777" w:rsidR="0033346E" w:rsidRPr="0033346E" w:rsidRDefault="0033346E" w:rsidP="007507A3">
            <w:pPr>
              <w:spacing w:after="0" w:line="360" w:lineRule="auto"/>
              <w:jc w:val="center"/>
              <w:rPr>
                <w:b/>
                <w:sz w:val="18"/>
                <w:szCs w:val="18"/>
                <w:lang w:val="es-US"/>
              </w:rPr>
            </w:pPr>
            <w:r w:rsidRPr="0033346E">
              <w:rPr>
                <w:rFonts w:eastAsia="Calibri"/>
                <w:b/>
                <w:sz w:val="18"/>
                <w:szCs w:val="18"/>
                <w:lang w:val="es-US"/>
              </w:rPr>
              <w:t>%</w:t>
            </w:r>
          </w:p>
        </w:tc>
      </w:tr>
      <w:tr w:rsidR="0033346E" w:rsidRPr="0033346E" w14:paraId="628CAA61" w14:textId="77777777" w:rsidTr="007507A3">
        <w:trPr>
          <w:jc w:val="center"/>
        </w:trPr>
        <w:tc>
          <w:tcPr>
            <w:tcW w:w="2405" w:type="dxa"/>
            <w:shd w:val="clear" w:color="auto" w:fill="auto"/>
            <w:vAlign w:val="center"/>
          </w:tcPr>
          <w:p w14:paraId="39DAD192" w14:textId="77777777" w:rsidR="0033346E" w:rsidRPr="0033346E" w:rsidRDefault="0033346E" w:rsidP="007507A3">
            <w:pPr>
              <w:spacing w:after="0" w:line="360" w:lineRule="auto"/>
              <w:rPr>
                <w:sz w:val="18"/>
                <w:szCs w:val="18"/>
                <w:lang w:val="es-US"/>
              </w:rPr>
            </w:pPr>
            <w:r w:rsidRPr="0033346E">
              <w:rPr>
                <w:rFonts w:eastAsia="Calibri"/>
                <w:sz w:val="18"/>
                <w:szCs w:val="18"/>
                <w:lang w:val="es-US"/>
              </w:rPr>
              <w:t>Estadio 1</w:t>
            </w:r>
          </w:p>
        </w:tc>
        <w:tc>
          <w:tcPr>
            <w:tcW w:w="709" w:type="dxa"/>
            <w:shd w:val="clear" w:color="auto" w:fill="auto"/>
            <w:vAlign w:val="center"/>
          </w:tcPr>
          <w:p w14:paraId="1AA6AF86" w14:textId="77777777" w:rsidR="0033346E" w:rsidRPr="0033346E" w:rsidRDefault="0033346E" w:rsidP="007507A3">
            <w:pPr>
              <w:spacing w:after="0" w:line="360" w:lineRule="auto"/>
              <w:jc w:val="center"/>
              <w:rPr>
                <w:sz w:val="18"/>
                <w:szCs w:val="18"/>
                <w:lang w:val="es-US"/>
              </w:rPr>
            </w:pPr>
            <w:r w:rsidRPr="0033346E">
              <w:rPr>
                <w:rFonts w:eastAsia="Calibri"/>
                <w:sz w:val="18"/>
                <w:szCs w:val="18"/>
                <w:lang w:val="es-US"/>
              </w:rPr>
              <w:t>19</w:t>
            </w:r>
          </w:p>
        </w:tc>
        <w:tc>
          <w:tcPr>
            <w:tcW w:w="992" w:type="dxa"/>
            <w:shd w:val="clear" w:color="auto" w:fill="auto"/>
            <w:vAlign w:val="center"/>
          </w:tcPr>
          <w:p w14:paraId="07A86739" w14:textId="77777777" w:rsidR="0033346E" w:rsidRPr="0033346E" w:rsidRDefault="0033346E" w:rsidP="007507A3">
            <w:pPr>
              <w:spacing w:after="0" w:line="360" w:lineRule="auto"/>
              <w:jc w:val="center"/>
              <w:rPr>
                <w:sz w:val="18"/>
                <w:szCs w:val="18"/>
                <w:lang w:val="es-US"/>
              </w:rPr>
            </w:pPr>
            <w:r w:rsidRPr="0033346E">
              <w:rPr>
                <w:rFonts w:eastAsia="Calibri"/>
                <w:sz w:val="18"/>
                <w:szCs w:val="18"/>
                <w:lang w:val="es-US"/>
              </w:rPr>
              <w:t>33,3</w:t>
            </w:r>
          </w:p>
        </w:tc>
      </w:tr>
      <w:tr w:rsidR="0033346E" w:rsidRPr="0033346E" w14:paraId="3CA9CCF9" w14:textId="77777777" w:rsidTr="007507A3">
        <w:trPr>
          <w:jc w:val="center"/>
        </w:trPr>
        <w:tc>
          <w:tcPr>
            <w:tcW w:w="2405" w:type="dxa"/>
            <w:shd w:val="clear" w:color="auto" w:fill="auto"/>
            <w:vAlign w:val="center"/>
          </w:tcPr>
          <w:p w14:paraId="49713FAD" w14:textId="77777777" w:rsidR="0033346E" w:rsidRPr="0033346E" w:rsidRDefault="0033346E" w:rsidP="007507A3">
            <w:pPr>
              <w:spacing w:after="0" w:line="360" w:lineRule="auto"/>
              <w:rPr>
                <w:sz w:val="18"/>
                <w:szCs w:val="18"/>
              </w:rPr>
            </w:pPr>
            <w:r w:rsidRPr="0033346E">
              <w:rPr>
                <w:rFonts w:eastAsia="Calibri"/>
                <w:sz w:val="18"/>
                <w:szCs w:val="18"/>
              </w:rPr>
              <w:t>Estadio 2</w:t>
            </w:r>
          </w:p>
        </w:tc>
        <w:tc>
          <w:tcPr>
            <w:tcW w:w="709" w:type="dxa"/>
            <w:shd w:val="clear" w:color="auto" w:fill="auto"/>
            <w:vAlign w:val="center"/>
          </w:tcPr>
          <w:p w14:paraId="18A4B408" w14:textId="77777777" w:rsidR="0033346E" w:rsidRPr="0033346E" w:rsidRDefault="0033346E" w:rsidP="007507A3">
            <w:pPr>
              <w:spacing w:after="0" w:line="360" w:lineRule="auto"/>
              <w:jc w:val="center"/>
              <w:rPr>
                <w:sz w:val="18"/>
                <w:szCs w:val="18"/>
              </w:rPr>
            </w:pPr>
            <w:r w:rsidRPr="0033346E">
              <w:rPr>
                <w:rFonts w:eastAsia="Calibri"/>
                <w:sz w:val="18"/>
                <w:szCs w:val="18"/>
              </w:rPr>
              <w:t>7</w:t>
            </w:r>
          </w:p>
        </w:tc>
        <w:tc>
          <w:tcPr>
            <w:tcW w:w="992" w:type="dxa"/>
            <w:shd w:val="clear" w:color="auto" w:fill="auto"/>
            <w:vAlign w:val="center"/>
          </w:tcPr>
          <w:p w14:paraId="019B44C4" w14:textId="77777777" w:rsidR="0033346E" w:rsidRPr="0033346E" w:rsidRDefault="0033346E" w:rsidP="007507A3">
            <w:pPr>
              <w:spacing w:after="0" w:line="360" w:lineRule="auto"/>
              <w:jc w:val="center"/>
              <w:rPr>
                <w:sz w:val="18"/>
                <w:szCs w:val="18"/>
              </w:rPr>
            </w:pPr>
            <w:r w:rsidRPr="0033346E">
              <w:rPr>
                <w:rFonts w:eastAsia="Calibri"/>
                <w:sz w:val="18"/>
                <w:szCs w:val="18"/>
              </w:rPr>
              <w:t>12,3</w:t>
            </w:r>
          </w:p>
        </w:tc>
      </w:tr>
      <w:tr w:rsidR="0033346E" w:rsidRPr="0033346E" w14:paraId="077B7906" w14:textId="77777777" w:rsidTr="007507A3">
        <w:trPr>
          <w:jc w:val="center"/>
        </w:trPr>
        <w:tc>
          <w:tcPr>
            <w:tcW w:w="2405" w:type="dxa"/>
            <w:shd w:val="clear" w:color="auto" w:fill="auto"/>
            <w:vAlign w:val="center"/>
          </w:tcPr>
          <w:p w14:paraId="59294805" w14:textId="77777777" w:rsidR="0033346E" w:rsidRPr="0033346E" w:rsidRDefault="0033346E" w:rsidP="007507A3">
            <w:pPr>
              <w:spacing w:after="0" w:line="360" w:lineRule="auto"/>
              <w:rPr>
                <w:sz w:val="18"/>
                <w:szCs w:val="18"/>
              </w:rPr>
            </w:pPr>
            <w:r w:rsidRPr="0033346E">
              <w:rPr>
                <w:rFonts w:eastAsia="Calibri"/>
                <w:sz w:val="18"/>
                <w:szCs w:val="18"/>
              </w:rPr>
              <w:t>Estadio 3</w:t>
            </w:r>
          </w:p>
        </w:tc>
        <w:tc>
          <w:tcPr>
            <w:tcW w:w="709" w:type="dxa"/>
            <w:shd w:val="clear" w:color="auto" w:fill="auto"/>
            <w:vAlign w:val="center"/>
          </w:tcPr>
          <w:p w14:paraId="1FBCCBC6" w14:textId="77777777" w:rsidR="0033346E" w:rsidRPr="0033346E" w:rsidRDefault="0033346E" w:rsidP="007507A3">
            <w:pPr>
              <w:spacing w:after="0" w:line="360" w:lineRule="auto"/>
              <w:jc w:val="center"/>
              <w:rPr>
                <w:sz w:val="18"/>
                <w:szCs w:val="18"/>
              </w:rPr>
            </w:pPr>
            <w:r w:rsidRPr="0033346E">
              <w:rPr>
                <w:rFonts w:eastAsia="Calibri"/>
                <w:sz w:val="18"/>
                <w:szCs w:val="18"/>
              </w:rPr>
              <w:t>4</w:t>
            </w:r>
          </w:p>
        </w:tc>
        <w:tc>
          <w:tcPr>
            <w:tcW w:w="992" w:type="dxa"/>
            <w:shd w:val="clear" w:color="auto" w:fill="auto"/>
            <w:vAlign w:val="center"/>
          </w:tcPr>
          <w:p w14:paraId="28E22A3F" w14:textId="77777777" w:rsidR="0033346E" w:rsidRPr="0033346E" w:rsidRDefault="0033346E" w:rsidP="007507A3">
            <w:pPr>
              <w:spacing w:after="0" w:line="360" w:lineRule="auto"/>
              <w:jc w:val="center"/>
              <w:rPr>
                <w:sz w:val="18"/>
                <w:szCs w:val="18"/>
              </w:rPr>
            </w:pPr>
            <w:r w:rsidRPr="0033346E">
              <w:rPr>
                <w:rFonts w:eastAsia="Calibri"/>
                <w:sz w:val="18"/>
                <w:szCs w:val="18"/>
              </w:rPr>
              <w:t>7,0</w:t>
            </w:r>
          </w:p>
        </w:tc>
      </w:tr>
      <w:tr w:rsidR="0033346E" w:rsidRPr="0033346E" w14:paraId="06D3C682" w14:textId="77777777" w:rsidTr="007507A3">
        <w:trPr>
          <w:jc w:val="center"/>
        </w:trPr>
        <w:tc>
          <w:tcPr>
            <w:tcW w:w="2405" w:type="dxa"/>
            <w:shd w:val="clear" w:color="auto" w:fill="auto"/>
            <w:vAlign w:val="center"/>
          </w:tcPr>
          <w:p w14:paraId="26DE8F42" w14:textId="77777777" w:rsidR="0033346E" w:rsidRPr="0033346E" w:rsidRDefault="0033346E" w:rsidP="007507A3">
            <w:pPr>
              <w:spacing w:after="0" w:line="360" w:lineRule="auto"/>
              <w:rPr>
                <w:sz w:val="18"/>
                <w:szCs w:val="18"/>
              </w:rPr>
            </w:pPr>
            <w:r w:rsidRPr="0033346E">
              <w:rPr>
                <w:rFonts w:eastAsia="Calibri"/>
                <w:sz w:val="18"/>
                <w:szCs w:val="18"/>
              </w:rPr>
              <w:t>Estadio 4</w:t>
            </w:r>
          </w:p>
        </w:tc>
        <w:tc>
          <w:tcPr>
            <w:tcW w:w="709" w:type="dxa"/>
            <w:shd w:val="clear" w:color="auto" w:fill="auto"/>
            <w:vAlign w:val="center"/>
          </w:tcPr>
          <w:p w14:paraId="432A93AB" w14:textId="77777777" w:rsidR="0033346E" w:rsidRPr="0033346E" w:rsidRDefault="0033346E" w:rsidP="007507A3">
            <w:pPr>
              <w:spacing w:after="0" w:line="360" w:lineRule="auto"/>
              <w:jc w:val="center"/>
              <w:rPr>
                <w:sz w:val="18"/>
                <w:szCs w:val="18"/>
              </w:rPr>
            </w:pPr>
            <w:r w:rsidRPr="0033346E">
              <w:rPr>
                <w:rFonts w:eastAsia="Calibri"/>
                <w:sz w:val="18"/>
                <w:szCs w:val="18"/>
              </w:rPr>
              <w:t>20</w:t>
            </w:r>
          </w:p>
        </w:tc>
        <w:tc>
          <w:tcPr>
            <w:tcW w:w="992" w:type="dxa"/>
            <w:shd w:val="clear" w:color="auto" w:fill="auto"/>
            <w:vAlign w:val="center"/>
          </w:tcPr>
          <w:p w14:paraId="536FE5E8" w14:textId="77777777" w:rsidR="0033346E" w:rsidRPr="0033346E" w:rsidRDefault="0033346E" w:rsidP="007507A3">
            <w:pPr>
              <w:spacing w:after="0" w:line="360" w:lineRule="auto"/>
              <w:jc w:val="center"/>
              <w:rPr>
                <w:sz w:val="18"/>
                <w:szCs w:val="18"/>
              </w:rPr>
            </w:pPr>
            <w:r w:rsidRPr="0033346E">
              <w:rPr>
                <w:rFonts w:eastAsia="Calibri"/>
                <w:sz w:val="18"/>
                <w:szCs w:val="18"/>
              </w:rPr>
              <w:t>35</w:t>
            </w:r>
          </w:p>
        </w:tc>
      </w:tr>
      <w:tr w:rsidR="0033346E" w:rsidRPr="0033346E" w14:paraId="4CB52092" w14:textId="77777777" w:rsidTr="007507A3">
        <w:trPr>
          <w:jc w:val="center"/>
        </w:trPr>
        <w:tc>
          <w:tcPr>
            <w:tcW w:w="2405" w:type="dxa"/>
            <w:shd w:val="clear" w:color="auto" w:fill="auto"/>
            <w:vAlign w:val="center"/>
          </w:tcPr>
          <w:p w14:paraId="057318CF" w14:textId="77777777" w:rsidR="0033346E" w:rsidRPr="0033346E" w:rsidRDefault="0033346E" w:rsidP="007507A3">
            <w:pPr>
              <w:spacing w:after="0" w:line="360" w:lineRule="auto"/>
              <w:rPr>
                <w:sz w:val="18"/>
                <w:szCs w:val="18"/>
              </w:rPr>
            </w:pPr>
            <w:r w:rsidRPr="0033346E">
              <w:rPr>
                <w:rFonts w:eastAsia="Calibri"/>
                <w:sz w:val="18"/>
                <w:szCs w:val="18"/>
              </w:rPr>
              <w:t>Estadio 5</w:t>
            </w:r>
          </w:p>
        </w:tc>
        <w:tc>
          <w:tcPr>
            <w:tcW w:w="709" w:type="dxa"/>
            <w:shd w:val="clear" w:color="auto" w:fill="auto"/>
            <w:vAlign w:val="center"/>
          </w:tcPr>
          <w:p w14:paraId="2B8B7DCA" w14:textId="77777777" w:rsidR="0033346E" w:rsidRPr="0033346E" w:rsidRDefault="0033346E" w:rsidP="007507A3">
            <w:pPr>
              <w:spacing w:after="0" w:line="360" w:lineRule="auto"/>
              <w:jc w:val="center"/>
              <w:rPr>
                <w:sz w:val="18"/>
                <w:szCs w:val="18"/>
              </w:rPr>
            </w:pPr>
            <w:r w:rsidRPr="0033346E">
              <w:rPr>
                <w:rFonts w:eastAsia="Calibri"/>
                <w:sz w:val="18"/>
                <w:szCs w:val="18"/>
              </w:rPr>
              <w:t>6</w:t>
            </w:r>
          </w:p>
        </w:tc>
        <w:tc>
          <w:tcPr>
            <w:tcW w:w="992" w:type="dxa"/>
            <w:shd w:val="clear" w:color="auto" w:fill="auto"/>
            <w:vAlign w:val="center"/>
          </w:tcPr>
          <w:p w14:paraId="216577E4" w14:textId="77777777" w:rsidR="0033346E" w:rsidRPr="0033346E" w:rsidRDefault="0033346E" w:rsidP="007507A3">
            <w:pPr>
              <w:spacing w:after="0" w:line="360" w:lineRule="auto"/>
              <w:jc w:val="center"/>
              <w:rPr>
                <w:sz w:val="18"/>
                <w:szCs w:val="18"/>
              </w:rPr>
            </w:pPr>
            <w:r w:rsidRPr="0033346E">
              <w:rPr>
                <w:rFonts w:eastAsia="Calibri"/>
                <w:sz w:val="18"/>
                <w:szCs w:val="18"/>
              </w:rPr>
              <w:t>11</w:t>
            </w:r>
          </w:p>
        </w:tc>
      </w:tr>
      <w:tr w:rsidR="0033346E" w:rsidRPr="0033346E" w14:paraId="410DF43F" w14:textId="77777777" w:rsidTr="007507A3">
        <w:trPr>
          <w:jc w:val="center"/>
        </w:trPr>
        <w:tc>
          <w:tcPr>
            <w:tcW w:w="2405" w:type="dxa"/>
            <w:shd w:val="clear" w:color="auto" w:fill="auto"/>
            <w:vAlign w:val="center"/>
          </w:tcPr>
          <w:p w14:paraId="5BAF6A76" w14:textId="77777777" w:rsidR="0033346E" w:rsidRPr="0033346E" w:rsidRDefault="0033346E" w:rsidP="007507A3">
            <w:pPr>
              <w:spacing w:after="0" w:line="360" w:lineRule="auto"/>
              <w:rPr>
                <w:sz w:val="18"/>
                <w:szCs w:val="18"/>
              </w:rPr>
            </w:pPr>
            <w:r w:rsidRPr="0033346E">
              <w:rPr>
                <w:rFonts w:eastAsia="Calibri"/>
                <w:sz w:val="18"/>
                <w:szCs w:val="18"/>
              </w:rPr>
              <w:t>Estadio 6</w:t>
            </w:r>
          </w:p>
        </w:tc>
        <w:tc>
          <w:tcPr>
            <w:tcW w:w="709" w:type="dxa"/>
            <w:shd w:val="clear" w:color="auto" w:fill="auto"/>
            <w:vAlign w:val="center"/>
          </w:tcPr>
          <w:p w14:paraId="73942082" w14:textId="77777777" w:rsidR="0033346E" w:rsidRPr="0033346E" w:rsidRDefault="0033346E" w:rsidP="007507A3">
            <w:pPr>
              <w:spacing w:after="0" w:line="360" w:lineRule="auto"/>
              <w:jc w:val="center"/>
              <w:rPr>
                <w:sz w:val="18"/>
                <w:szCs w:val="18"/>
              </w:rPr>
            </w:pPr>
            <w:r w:rsidRPr="0033346E">
              <w:rPr>
                <w:rFonts w:eastAsia="Calibri"/>
                <w:sz w:val="18"/>
                <w:szCs w:val="18"/>
              </w:rPr>
              <w:t>1</w:t>
            </w:r>
          </w:p>
        </w:tc>
        <w:tc>
          <w:tcPr>
            <w:tcW w:w="992" w:type="dxa"/>
            <w:shd w:val="clear" w:color="auto" w:fill="auto"/>
            <w:vAlign w:val="center"/>
          </w:tcPr>
          <w:p w14:paraId="14B00DCB" w14:textId="77777777" w:rsidR="0033346E" w:rsidRPr="0033346E" w:rsidRDefault="0033346E" w:rsidP="007507A3">
            <w:pPr>
              <w:spacing w:after="0" w:line="360" w:lineRule="auto"/>
              <w:jc w:val="center"/>
              <w:rPr>
                <w:sz w:val="18"/>
                <w:szCs w:val="18"/>
              </w:rPr>
            </w:pPr>
            <w:r w:rsidRPr="0033346E">
              <w:rPr>
                <w:rFonts w:eastAsia="Calibri"/>
                <w:sz w:val="18"/>
                <w:szCs w:val="18"/>
              </w:rPr>
              <w:t>1,8</w:t>
            </w:r>
          </w:p>
        </w:tc>
      </w:tr>
      <w:tr w:rsidR="0033346E" w:rsidRPr="0033346E" w14:paraId="793B683C" w14:textId="77777777" w:rsidTr="007507A3">
        <w:trPr>
          <w:jc w:val="center"/>
        </w:trPr>
        <w:tc>
          <w:tcPr>
            <w:tcW w:w="2405" w:type="dxa"/>
            <w:shd w:val="clear" w:color="auto" w:fill="auto"/>
            <w:vAlign w:val="center"/>
          </w:tcPr>
          <w:p w14:paraId="4F5FE403" w14:textId="77777777" w:rsidR="0033346E" w:rsidRPr="0033346E" w:rsidRDefault="0033346E" w:rsidP="007507A3">
            <w:pPr>
              <w:spacing w:after="0" w:line="360" w:lineRule="auto"/>
              <w:rPr>
                <w:bCs/>
                <w:sz w:val="18"/>
                <w:szCs w:val="18"/>
              </w:rPr>
            </w:pPr>
            <w:r w:rsidRPr="0033346E">
              <w:rPr>
                <w:rFonts w:eastAsia="Calibri"/>
                <w:bCs/>
                <w:sz w:val="18"/>
                <w:szCs w:val="18"/>
              </w:rPr>
              <w:t>Total</w:t>
            </w:r>
          </w:p>
        </w:tc>
        <w:tc>
          <w:tcPr>
            <w:tcW w:w="709" w:type="dxa"/>
            <w:shd w:val="clear" w:color="auto" w:fill="auto"/>
            <w:vAlign w:val="center"/>
          </w:tcPr>
          <w:p w14:paraId="2CBB19BD" w14:textId="77777777" w:rsidR="0033346E" w:rsidRPr="0033346E" w:rsidRDefault="0033346E" w:rsidP="007507A3">
            <w:pPr>
              <w:spacing w:after="0" w:line="360" w:lineRule="auto"/>
              <w:jc w:val="center"/>
              <w:rPr>
                <w:bCs/>
                <w:sz w:val="18"/>
                <w:szCs w:val="18"/>
              </w:rPr>
            </w:pPr>
            <w:r w:rsidRPr="0033346E">
              <w:rPr>
                <w:rFonts w:eastAsia="Calibri"/>
                <w:bCs/>
                <w:sz w:val="18"/>
                <w:szCs w:val="18"/>
              </w:rPr>
              <w:t>57</w:t>
            </w:r>
          </w:p>
        </w:tc>
        <w:tc>
          <w:tcPr>
            <w:tcW w:w="992" w:type="dxa"/>
            <w:shd w:val="clear" w:color="auto" w:fill="auto"/>
            <w:vAlign w:val="center"/>
          </w:tcPr>
          <w:p w14:paraId="20D7288D" w14:textId="77777777" w:rsidR="0033346E" w:rsidRPr="0033346E" w:rsidRDefault="0033346E" w:rsidP="007507A3">
            <w:pPr>
              <w:spacing w:after="0" w:line="360" w:lineRule="auto"/>
              <w:jc w:val="center"/>
              <w:rPr>
                <w:bCs/>
                <w:sz w:val="18"/>
                <w:szCs w:val="18"/>
              </w:rPr>
            </w:pPr>
            <w:r w:rsidRPr="0033346E">
              <w:rPr>
                <w:rFonts w:eastAsia="Calibri"/>
                <w:bCs/>
                <w:sz w:val="18"/>
                <w:szCs w:val="18"/>
              </w:rPr>
              <w:t>100</w:t>
            </w:r>
          </w:p>
        </w:tc>
      </w:tr>
    </w:tbl>
    <w:p w14:paraId="771ABCC8" w14:textId="77777777" w:rsidR="0033346E" w:rsidRPr="0033346E" w:rsidRDefault="0033346E" w:rsidP="0033346E">
      <w:pPr>
        <w:spacing w:after="0" w:line="360" w:lineRule="auto"/>
        <w:rPr>
          <w:sz w:val="24"/>
          <w:szCs w:val="24"/>
          <w:lang w:val="es-US"/>
        </w:rPr>
      </w:pPr>
    </w:p>
    <w:p w14:paraId="57C92F94" w14:textId="592F84E1" w:rsidR="0033346E" w:rsidRPr="0033346E" w:rsidRDefault="0033346E" w:rsidP="0033346E">
      <w:pPr>
        <w:spacing w:after="0" w:line="360" w:lineRule="auto"/>
        <w:jc w:val="both"/>
        <w:rPr>
          <w:sz w:val="24"/>
          <w:szCs w:val="24"/>
          <w:lang w:val="es-US"/>
        </w:rPr>
      </w:pPr>
      <w:r w:rsidRPr="0033346E">
        <w:rPr>
          <w:sz w:val="24"/>
          <w:szCs w:val="24"/>
          <w:lang w:val="es-US"/>
        </w:rPr>
        <w:t>En relación con los estadios de Child-Pugh, hubo 31 pacientes con cirrosis descompensada: 24 (42,1 %) con Child-Pugh B y 7 (12,3 %) con Child-Puhg C; mientras que 26 (45,6 %) se encontraban compensados (Child-Pugh A), como se muestra en la figura</w:t>
      </w:r>
      <w:r w:rsidR="0024335C">
        <w:rPr>
          <w:sz w:val="24"/>
          <w:szCs w:val="24"/>
          <w:lang w:val="es-US"/>
        </w:rPr>
        <w:t xml:space="preserve"> </w:t>
      </w:r>
      <w:r w:rsidRPr="0033346E">
        <w:rPr>
          <w:sz w:val="24"/>
          <w:szCs w:val="24"/>
          <w:lang w:val="es-US"/>
        </w:rPr>
        <w:t>1.</w:t>
      </w:r>
    </w:p>
    <w:p w14:paraId="5C332265" w14:textId="77777777" w:rsidR="0033346E" w:rsidRPr="0033346E" w:rsidRDefault="0033346E" w:rsidP="0033346E">
      <w:pPr>
        <w:spacing w:after="0" w:line="360" w:lineRule="auto"/>
        <w:jc w:val="both"/>
        <w:rPr>
          <w:sz w:val="24"/>
          <w:szCs w:val="24"/>
          <w:lang w:val="es-US"/>
        </w:rPr>
      </w:pPr>
    </w:p>
    <w:p w14:paraId="30BB7088" w14:textId="7A8EB931" w:rsidR="0033346E" w:rsidRDefault="0033346E" w:rsidP="0033346E">
      <w:pPr>
        <w:spacing w:after="0" w:line="360" w:lineRule="auto"/>
        <w:jc w:val="center"/>
        <w:rPr>
          <w:noProof/>
          <w:sz w:val="16"/>
          <w:szCs w:val="16"/>
          <w:lang w:val="es-ES" w:eastAsia="es-ES"/>
        </w:rPr>
      </w:pPr>
    </w:p>
    <w:p w14:paraId="50638A74" w14:textId="75F062D4" w:rsidR="008002D9" w:rsidRPr="0033346E" w:rsidRDefault="008002D9" w:rsidP="0033346E">
      <w:pPr>
        <w:spacing w:after="0" w:line="360" w:lineRule="auto"/>
        <w:jc w:val="center"/>
        <w:rPr>
          <w:color w:val="0070C0"/>
          <w:sz w:val="24"/>
          <w:szCs w:val="24"/>
          <w:lang w:val="es-US"/>
        </w:rPr>
      </w:pPr>
      <w:r>
        <w:rPr>
          <w:noProof/>
          <w:color w:val="0070C0"/>
          <w:sz w:val="24"/>
          <w:szCs w:val="24"/>
          <w:lang w:val="es-US"/>
        </w:rPr>
        <w:drawing>
          <wp:inline distT="0" distB="0" distL="0" distR="0" wp14:anchorId="220C64FD" wp14:editId="43EAF74F">
            <wp:extent cx="2838450" cy="25050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2838450" cy="2505075"/>
                    </a:xfrm>
                    <a:prstGeom prst="rect">
                      <a:avLst/>
                    </a:prstGeom>
                  </pic:spPr>
                </pic:pic>
              </a:graphicData>
            </a:graphic>
          </wp:inline>
        </w:drawing>
      </w:r>
    </w:p>
    <w:p w14:paraId="21D8E434" w14:textId="77777777" w:rsidR="0033346E" w:rsidRPr="0033346E" w:rsidRDefault="0033346E" w:rsidP="0033346E">
      <w:pPr>
        <w:spacing w:after="0" w:line="360" w:lineRule="auto"/>
        <w:jc w:val="center"/>
        <w:rPr>
          <w:szCs w:val="22"/>
          <w:lang w:val="es-US"/>
        </w:rPr>
      </w:pPr>
      <w:r w:rsidRPr="0033346E">
        <w:rPr>
          <w:b/>
          <w:szCs w:val="22"/>
          <w:lang w:val="es-US"/>
        </w:rPr>
        <w:t>Fig. 1 -</w:t>
      </w:r>
      <w:r w:rsidRPr="0033346E">
        <w:rPr>
          <w:szCs w:val="22"/>
          <w:lang w:val="es-US"/>
        </w:rPr>
        <w:t xml:space="preserve"> Estadios de Child-Pugh en los pacientes cirróticos estudiados.</w:t>
      </w:r>
    </w:p>
    <w:p w14:paraId="18B76DB8" w14:textId="77777777" w:rsidR="0033346E" w:rsidRPr="0033346E" w:rsidRDefault="0033346E" w:rsidP="0033346E">
      <w:pPr>
        <w:autoSpaceDE w:val="0"/>
        <w:autoSpaceDN w:val="0"/>
        <w:adjustRightInd w:val="0"/>
        <w:spacing w:after="0" w:line="360" w:lineRule="auto"/>
        <w:jc w:val="center"/>
        <w:rPr>
          <w:rFonts w:eastAsia="Calibri"/>
          <w:b/>
          <w:sz w:val="24"/>
          <w:szCs w:val="24"/>
          <w:lang w:val="es-ES_tradnl"/>
        </w:rPr>
      </w:pPr>
    </w:p>
    <w:p w14:paraId="4FF8E29E" w14:textId="77777777" w:rsidR="0033346E" w:rsidRPr="0033346E" w:rsidRDefault="0033346E" w:rsidP="0033346E">
      <w:pPr>
        <w:autoSpaceDE w:val="0"/>
        <w:autoSpaceDN w:val="0"/>
        <w:adjustRightInd w:val="0"/>
        <w:spacing w:after="0" w:line="360" w:lineRule="auto"/>
        <w:jc w:val="center"/>
        <w:rPr>
          <w:rFonts w:eastAsia="Calibri"/>
          <w:b/>
          <w:sz w:val="24"/>
          <w:szCs w:val="24"/>
          <w:lang w:val="es-ES_tradnl"/>
        </w:rPr>
      </w:pPr>
    </w:p>
    <w:p w14:paraId="1A1A98C6" w14:textId="77777777" w:rsidR="0033346E" w:rsidRPr="0033346E" w:rsidRDefault="0033346E" w:rsidP="0033346E">
      <w:pPr>
        <w:autoSpaceDE w:val="0"/>
        <w:autoSpaceDN w:val="0"/>
        <w:adjustRightInd w:val="0"/>
        <w:spacing w:after="0" w:line="360" w:lineRule="auto"/>
        <w:jc w:val="center"/>
        <w:rPr>
          <w:rFonts w:eastAsia="Calibri"/>
          <w:b/>
          <w:sz w:val="32"/>
          <w:szCs w:val="32"/>
          <w:lang w:val="es-ES_tradnl"/>
        </w:rPr>
      </w:pPr>
      <w:r w:rsidRPr="0033346E">
        <w:rPr>
          <w:rFonts w:eastAsia="Calibri"/>
          <w:b/>
          <w:sz w:val="32"/>
          <w:szCs w:val="32"/>
          <w:lang w:val="es-ES_tradnl"/>
        </w:rPr>
        <w:t>DISCUSIÓN</w:t>
      </w:r>
    </w:p>
    <w:p w14:paraId="0963A173" w14:textId="6D31C6DC" w:rsidR="0033346E" w:rsidRPr="0033346E" w:rsidRDefault="0033346E" w:rsidP="0033346E">
      <w:pPr>
        <w:spacing w:after="0" w:line="360" w:lineRule="auto"/>
        <w:jc w:val="both"/>
        <w:rPr>
          <w:sz w:val="24"/>
          <w:szCs w:val="24"/>
          <w:lang w:val="es-US"/>
        </w:rPr>
      </w:pPr>
      <w:r w:rsidRPr="0033346E">
        <w:rPr>
          <w:sz w:val="24"/>
          <w:szCs w:val="24"/>
          <w:lang w:val="es-US"/>
        </w:rPr>
        <w:t xml:space="preserve">Una investigación realizada por </w:t>
      </w:r>
      <w:r w:rsidRPr="0033346E">
        <w:rPr>
          <w:i/>
          <w:sz w:val="24"/>
          <w:szCs w:val="24"/>
          <w:lang w:val="es-US"/>
        </w:rPr>
        <w:t>More</w:t>
      </w:r>
      <w:r w:rsidRPr="0033346E">
        <w:rPr>
          <w:sz w:val="24"/>
          <w:szCs w:val="24"/>
          <w:vertAlign w:val="superscript"/>
          <w:lang w:val="es-US"/>
        </w:rPr>
        <w:t>(13)</w:t>
      </w:r>
      <w:r w:rsidRPr="0033346E">
        <w:rPr>
          <w:sz w:val="24"/>
          <w:szCs w:val="24"/>
          <w:lang w:val="es-US"/>
        </w:rPr>
        <w:t xml:space="preserve"> reporta un promedio de edad de 62 años, similar a otra de </w:t>
      </w:r>
      <w:r w:rsidRPr="0033346E">
        <w:rPr>
          <w:i/>
          <w:sz w:val="24"/>
          <w:szCs w:val="24"/>
          <w:lang w:val="es-US"/>
        </w:rPr>
        <w:t>Larico</w:t>
      </w:r>
      <w:r w:rsidRPr="0033346E">
        <w:rPr>
          <w:iCs/>
          <w:sz w:val="24"/>
          <w:szCs w:val="24"/>
          <w:lang w:val="es-US"/>
        </w:rPr>
        <w:t>,</w:t>
      </w:r>
      <w:r w:rsidRPr="0033346E">
        <w:rPr>
          <w:sz w:val="24"/>
          <w:szCs w:val="24"/>
          <w:vertAlign w:val="superscript"/>
          <w:lang w:val="es-US"/>
        </w:rPr>
        <w:t>(14)</w:t>
      </w:r>
      <w:r w:rsidRPr="0033346E">
        <w:rPr>
          <w:sz w:val="24"/>
          <w:szCs w:val="24"/>
          <w:lang w:val="es-US"/>
        </w:rPr>
        <w:t xml:space="preserve"> con un promedio de edad mayor a 60 años. </w:t>
      </w:r>
      <w:r w:rsidRPr="0033346E">
        <w:rPr>
          <w:i/>
          <w:sz w:val="24"/>
          <w:szCs w:val="24"/>
          <w:lang w:val="es-US"/>
        </w:rPr>
        <w:t>Castellanos</w:t>
      </w:r>
      <w:r w:rsidRPr="0033346E">
        <w:rPr>
          <w:sz w:val="24"/>
          <w:szCs w:val="24"/>
          <w:lang w:val="es-US"/>
        </w:rPr>
        <w:t xml:space="preserve"> y otros</w:t>
      </w:r>
      <w:r w:rsidRPr="0033346E">
        <w:rPr>
          <w:sz w:val="24"/>
          <w:szCs w:val="24"/>
          <w:vertAlign w:val="superscript"/>
          <w:lang w:val="es-US"/>
        </w:rPr>
        <w:t>(15)</w:t>
      </w:r>
      <w:r w:rsidRPr="0033346E">
        <w:rPr>
          <w:sz w:val="24"/>
          <w:szCs w:val="24"/>
          <w:lang w:val="es-US"/>
        </w:rPr>
        <w:t xml:space="preserve"> informan una media de edad de 55,8 años, cifra un poco menor con respecto a esta investigación. En el trabajo de </w:t>
      </w:r>
      <w:r w:rsidRPr="0033346E">
        <w:rPr>
          <w:i/>
          <w:sz w:val="24"/>
          <w:szCs w:val="24"/>
          <w:lang w:val="es-US"/>
        </w:rPr>
        <w:t>Samad</w:t>
      </w:r>
      <w:r w:rsidRPr="0033346E">
        <w:rPr>
          <w:i/>
          <w:iCs/>
          <w:sz w:val="24"/>
          <w:szCs w:val="24"/>
          <w:lang w:val="es-US"/>
        </w:rPr>
        <w:t>a</w:t>
      </w:r>
      <w:r w:rsidRPr="0033346E">
        <w:rPr>
          <w:sz w:val="24"/>
          <w:szCs w:val="24"/>
          <w:lang w:val="es-US"/>
        </w:rPr>
        <w:t>,</w:t>
      </w:r>
      <w:r w:rsidRPr="0033346E">
        <w:rPr>
          <w:sz w:val="24"/>
          <w:szCs w:val="24"/>
          <w:vertAlign w:val="superscript"/>
          <w:lang w:val="es-US"/>
        </w:rPr>
        <w:t>(9)</w:t>
      </w:r>
      <w:r w:rsidRPr="0033346E">
        <w:rPr>
          <w:sz w:val="24"/>
          <w:szCs w:val="24"/>
          <w:lang w:val="es-US"/>
        </w:rPr>
        <w:t xml:space="preserve"> la década con mayor número de pacientes fue la quinta, seguido por la sexta. Otra investigación</w:t>
      </w:r>
      <w:r w:rsidRPr="0033346E">
        <w:rPr>
          <w:sz w:val="24"/>
          <w:szCs w:val="24"/>
          <w:vertAlign w:val="superscript"/>
          <w:lang w:val="es-US"/>
        </w:rPr>
        <w:t>(16)</w:t>
      </w:r>
      <w:r w:rsidR="009805A2">
        <w:rPr>
          <w:sz w:val="24"/>
          <w:szCs w:val="24"/>
          <w:vertAlign w:val="superscript"/>
          <w:lang w:val="es-US"/>
        </w:rPr>
        <w:t xml:space="preserve"> </w:t>
      </w:r>
      <w:r w:rsidRPr="0033346E">
        <w:rPr>
          <w:sz w:val="24"/>
          <w:szCs w:val="24"/>
          <w:lang w:val="es-US"/>
        </w:rPr>
        <w:t>realizada en el Hospital Clínico Quirúrgico “Julio Trigo”, encuentra un predominio de la edad entre las cuarta y quinta décadas de la vida.</w:t>
      </w:r>
    </w:p>
    <w:p w14:paraId="4E35711F" w14:textId="77777777" w:rsidR="0033346E" w:rsidRPr="0033346E" w:rsidRDefault="0033346E" w:rsidP="0033346E">
      <w:pPr>
        <w:spacing w:after="0" w:line="360" w:lineRule="auto"/>
        <w:jc w:val="both"/>
        <w:rPr>
          <w:sz w:val="24"/>
          <w:szCs w:val="24"/>
          <w:lang w:val="es-US"/>
        </w:rPr>
      </w:pPr>
      <w:r w:rsidRPr="0033346E">
        <w:rPr>
          <w:sz w:val="24"/>
          <w:szCs w:val="24"/>
          <w:lang w:val="es-US"/>
        </w:rPr>
        <w:t>La mayoría de la literatura médica consultada señala que la edad promedio en que se presenta la cirrosis hepática, se encuentra entre los 40 y los 60 años. Probablemente se debe a que es una enfermedad crónica, de curso asintomático en estadios precoces, que requiere de muchos años para manifestarse y por eso su alta incidencia en edades avanzadas.</w:t>
      </w:r>
    </w:p>
    <w:p w14:paraId="7341A2E0" w14:textId="7F8451A6" w:rsidR="0033346E" w:rsidRPr="0033346E" w:rsidRDefault="0033346E" w:rsidP="0033346E">
      <w:pPr>
        <w:spacing w:after="0" w:line="360" w:lineRule="auto"/>
        <w:jc w:val="both"/>
        <w:rPr>
          <w:sz w:val="24"/>
          <w:szCs w:val="24"/>
          <w:lang w:val="es-US"/>
        </w:rPr>
      </w:pPr>
      <w:r w:rsidRPr="0033346E">
        <w:rPr>
          <w:sz w:val="24"/>
          <w:szCs w:val="24"/>
          <w:lang w:val="es-US"/>
        </w:rPr>
        <w:t xml:space="preserve">En el trabajo de </w:t>
      </w:r>
      <w:r w:rsidRPr="0033346E">
        <w:rPr>
          <w:i/>
          <w:sz w:val="24"/>
          <w:szCs w:val="24"/>
          <w:lang w:val="es-US"/>
        </w:rPr>
        <w:t>Samad</w:t>
      </w:r>
      <w:r w:rsidRPr="0033346E">
        <w:rPr>
          <w:sz w:val="24"/>
          <w:szCs w:val="24"/>
          <w:vertAlign w:val="superscript"/>
          <w:lang w:val="es-US"/>
        </w:rPr>
        <w:t>(9)</w:t>
      </w:r>
      <w:r w:rsidRPr="0033346E">
        <w:rPr>
          <w:sz w:val="24"/>
          <w:szCs w:val="24"/>
          <w:lang w:val="es-US"/>
        </w:rPr>
        <w:t xml:space="preserve"> el sexo masculino es más frecuente, similar a otro estudio,</w:t>
      </w:r>
      <w:r w:rsidR="009805A2">
        <w:rPr>
          <w:sz w:val="24"/>
          <w:szCs w:val="24"/>
          <w:lang w:val="es-US"/>
        </w:rPr>
        <w:t xml:space="preserve"> </w:t>
      </w:r>
      <w:r w:rsidRPr="0033346E">
        <w:rPr>
          <w:sz w:val="24"/>
          <w:szCs w:val="24"/>
          <w:lang w:val="es-US"/>
        </w:rPr>
        <w:t>realizado en Ciego de Ávila.</w:t>
      </w:r>
      <w:r w:rsidRPr="0033346E">
        <w:rPr>
          <w:sz w:val="24"/>
          <w:szCs w:val="24"/>
          <w:vertAlign w:val="superscript"/>
          <w:lang w:val="es-US"/>
        </w:rPr>
        <w:t>(17)</w:t>
      </w:r>
      <w:r w:rsidR="009805A2">
        <w:rPr>
          <w:sz w:val="24"/>
          <w:szCs w:val="24"/>
          <w:vertAlign w:val="superscript"/>
          <w:lang w:val="es-US"/>
        </w:rPr>
        <w:t xml:space="preserve"> </w:t>
      </w:r>
      <w:r w:rsidRPr="0033346E">
        <w:rPr>
          <w:sz w:val="24"/>
          <w:szCs w:val="24"/>
          <w:lang w:val="es-US"/>
        </w:rPr>
        <w:t xml:space="preserve">Sin embargo, </w:t>
      </w:r>
      <w:r w:rsidRPr="0033346E">
        <w:rPr>
          <w:i/>
          <w:sz w:val="24"/>
          <w:szCs w:val="24"/>
          <w:lang w:val="es-US"/>
        </w:rPr>
        <w:t>Escorcia</w:t>
      </w:r>
      <w:r w:rsidRPr="0033346E">
        <w:rPr>
          <w:sz w:val="24"/>
          <w:szCs w:val="24"/>
          <w:lang w:val="es-US"/>
        </w:rPr>
        <w:t xml:space="preserve"> y </w:t>
      </w:r>
      <w:r w:rsidRPr="0033346E">
        <w:rPr>
          <w:i/>
          <w:sz w:val="24"/>
          <w:szCs w:val="24"/>
          <w:lang w:val="es-US"/>
        </w:rPr>
        <w:t>Marrugo</w:t>
      </w:r>
      <w:r w:rsidRPr="0033346E">
        <w:rPr>
          <w:sz w:val="24"/>
          <w:szCs w:val="24"/>
          <w:vertAlign w:val="superscript"/>
          <w:lang w:val="es-US"/>
        </w:rPr>
        <w:t>(18)</w:t>
      </w:r>
      <w:r w:rsidRPr="0033346E">
        <w:rPr>
          <w:sz w:val="24"/>
          <w:szCs w:val="24"/>
          <w:lang w:val="es-US"/>
        </w:rPr>
        <w:t xml:space="preserve"> reportan predominio del sexo femenino, al igual que en este estudio.</w:t>
      </w:r>
    </w:p>
    <w:p w14:paraId="38126BCE" w14:textId="77777777" w:rsidR="0033346E" w:rsidRPr="0033346E" w:rsidRDefault="0033346E" w:rsidP="0033346E">
      <w:pPr>
        <w:spacing w:after="0" w:line="360" w:lineRule="auto"/>
        <w:jc w:val="both"/>
        <w:rPr>
          <w:sz w:val="24"/>
          <w:szCs w:val="24"/>
          <w:lang w:val="es-US"/>
        </w:rPr>
      </w:pPr>
      <w:r w:rsidRPr="0033346E">
        <w:rPr>
          <w:sz w:val="24"/>
          <w:szCs w:val="24"/>
          <w:lang w:val="es-US"/>
        </w:rPr>
        <w:lastRenderedPageBreak/>
        <w:t>El consumo de alcohol es un factor de riesgo para las enfermedades hepáticas crónicas.</w:t>
      </w:r>
      <w:r w:rsidRPr="0033346E">
        <w:rPr>
          <w:sz w:val="24"/>
          <w:szCs w:val="24"/>
          <w:vertAlign w:val="superscript"/>
          <w:lang w:val="es-US"/>
        </w:rPr>
        <w:t>(19)</w:t>
      </w:r>
      <w:r w:rsidRPr="0033346E">
        <w:rPr>
          <w:sz w:val="24"/>
          <w:szCs w:val="24"/>
          <w:lang w:val="es-US"/>
        </w:rPr>
        <w:t xml:space="preserve"> El predominio de las cirrosis en varones, quizás se deba a que en este sexo es más frecuente el alcoholismo, lo cual contrasta con la etiología más frecuente encontrada en este estudio, que fue la infección por el VHC. Los pacientes con cirrosis hepática de origen viral, están expuestos a otros factores propios de la infección viral e independientes de la cirrosis, que afectan su calidad de vida. </w:t>
      </w:r>
    </w:p>
    <w:p w14:paraId="35BE7E33" w14:textId="7586198B" w:rsidR="0033346E" w:rsidRPr="0033346E" w:rsidRDefault="0033346E" w:rsidP="0033346E">
      <w:pPr>
        <w:spacing w:after="0" w:line="360" w:lineRule="auto"/>
        <w:jc w:val="both"/>
        <w:rPr>
          <w:sz w:val="24"/>
          <w:szCs w:val="24"/>
          <w:lang w:val="es-US"/>
        </w:rPr>
      </w:pPr>
      <w:r w:rsidRPr="0033346E">
        <w:rPr>
          <w:sz w:val="24"/>
          <w:szCs w:val="24"/>
          <w:lang w:val="es-US"/>
        </w:rPr>
        <w:t xml:space="preserve">Similar a los resultados de </w:t>
      </w:r>
      <w:r w:rsidRPr="0033346E">
        <w:rPr>
          <w:i/>
          <w:sz w:val="24"/>
          <w:szCs w:val="24"/>
          <w:lang w:val="es-US"/>
        </w:rPr>
        <w:t>Samada</w:t>
      </w:r>
      <w:r w:rsidRPr="0033346E">
        <w:rPr>
          <w:iCs/>
          <w:sz w:val="24"/>
          <w:szCs w:val="24"/>
          <w:lang w:val="es-US"/>
        </w:rPr>
        <w:t>,</w:t>
      </w:r>
      <w:r w:rsidRPr="0033346E">
        <w:rPr>
          <w:sz w:val="24"/>
          <w:szCs w:val="24"/>
          <w:vertAlign w:val="superscript"/>
          <w:lang w:val="es-US"/>
        </w:rPr>
        <w:t>(9)</w:t>
      </w:r>
      <w:r w:rsidR="009805A2">
        <w:rPr>
          <w:sz w:val="24"/>
          <w:szCs w:val="24"/>
          <w:vertAlign w:val="superscript"/>
          <w:lang w:val="es-US"/>
        </w:rPr>
        <w:t xml:space="preserve"> </w:t>
      </w:r>
      <w:r w:rsidRPr="0033346E">
        <w:rPr>
          <w:sz w:val="24"/>
          <w:szCs w:val="24"/>
          <w:lang w:val="es-US"/>
        </w:rPr>
        <w:t xml:space="preserve">la infección por el VHC fue la etiología más frecuente, seguida por la alcohólica. </w:t>
      </w:r>
      <w:r w:rsidRPr="0033346E">
        <w:rPr>
          <w:i/>
          <w:sz w:val="24"/>
          <w:szCs w:val="24"/>
          <w:lang w:val="es-US"/>
        </w:rPr>
        <w:t>Martínez</w:t>
      </w:r>
      <w:r w:rsidRPr="0033346E">
        <w:rPr>
          <w:sz w:val="24"/>
          <w:szCs w:val="24"/>
          <w:lang w:val="es-US"/>
        </w:rPr>
        <w:t xml:space="preserve"> y otros,</w:t>
      </w:r>
      <w:r w:rsidRPr="0033346E">
        <w:rPr>
          <w:sz w:val="24"/>
          <w:szCs w:val="24"/>
          <w:vertAlign w:val="superscript"/>
          <w:lang w:val="es-US"/>
        </w:rPr>
        <w:t>(19)</w:t>
      </w:r>
      <w:r w:rsidRPr="0033346E">
        <w:rPr>
          <w:sz w:val="24"/>
          <w:szCs w:val="24"/>
          <w:lang w:val="es-US"/>
        </w:rPr>
        <w:t xml:space="preserve"> señalan a la infección por el VHC como la primera causa etiológica; así fue también en un estudio realizado por </w:t>
      </w:r>
      <w:r w:rsidRPr="0033346E">
        <w:rPr>
          <w:i/>
          <w:sz w:val="24"/>
          <w:szCs w:val="24"/>
          <w:lang w:val="es-US"/>
        </w:rPr>
        <w:t>Castellanos</w:t>
      </w:r>
      <w:r w:rsidR="009805A2">
        <w:rPr>
          <w:i/>
          <w:sz w:val="24"/>
          <w:szCs w:val="24"/>
          <w:lang w:val="es-US"/>
        </w:rPr>
        <w:t xml:space="preserve"> </w:t>
      </w:r>
      <w:r w:rsidRPr="0033346E">
        <w:rPr>
          <w:sz w:val="24"/>
          <w:szCs w:val="24"/>
          <w:lang w:val="es-US"/>
        </w:rPr>
        <w:t>y</w:t>
      </w:r>
      <w:r w:rsidR="009805A2">
        <w:rPr>
          <w:sz w:val="24"/>
          <w:szCs w:val="24"/>
          <w:lang w:val="es-US"/>
        </w:rPr>
        <w:t xml:space="preserve"> </w:t>
      </w:r>
      <w:r w:rsidRPr="0033346E">
        <w:rPr>
          <w:sz w:val="24"/>
          <w:szCs w:val="24"/>
          <w:lang w:val="es-US"/>
        </w:rPr>
        <w:t>otros,</w:t>
      </w:r>
      <w:r w:rsidRPr="0033346E">
        <w:rPr>
          <w:sz w:val="24"/>
          <w:szCs w:val="24"/>
          <w:vertAlign w:val="superscript"/>
          <w:lang w:val="es-US"/>
        </w:rPr>
        <w:t>(15)</w:t>
      </w:r>
      <w:r w:rsidRPr="0033346E">
        <w:rPr>
          <w:sz w:val="24"/>
          <w:szCs w:val="24"/>
          <w:lang w:val="es-US"/>
        </w:rPr>
        <w:t xml:space="preserve"> en tanto para </w:t>
      </w:r>
      <w:r w:rsidRPr="0033346E">
        <w:rPr>
          <w:i/>
          <w:sz w:val="24"/>
          <w:szCs w:val="24"/>
          <w:lang w:val="es-US"/>
        </w:rPr>
        <w:t>Giraldo</w:t>
      </w:r>
      <w:r w:rsidRPr="0033346E">
        <w:rPr>
          <w:sz w:val="24"/>
          <w:szCs w:val="24"/>
          <w:lang w:val="es-US"/>
        </w:rPr>
        <w:t xml:space="preserve"> y otros,</w:t>
      </w:r>
      <w:r w:rsidRPr="0033346E">
        <w:rPr>
          <w:sz w:val="24"/>
          <w:szCs w:val="24"/>
          <w:vertAlign w:val="superscript"/>
          <w:lang w:val="es-US"/>
        </w:rPr>
        <w:t>(20)</w:t>
      </w:r>
      <w:r w:rsidRPr="0033346E">
        <w:rPr>
          <w:sz w:val="24"/>
          <w:szCs w:val="24"/>
          <w:lang w:val="es-US"/>
        </w:rPr>
        <w:t xml:space="preserve"> fue la tercera causa. </w:t>
      </w:r>
    </w:p>
    <w:p w14:paraId="67FC457D" w14:textId="339D591B" w:rsidR="0033346E" w:rsidRPr="0033346E" w:rsidRDefault="0033346E" w:rsidP="0033346E">
      <w:pPr>
        <w:spacing w:after="0" w:line="360" w:lineRule="auto"/>
        <w:jc w:val="both"/>
        <w:rPr>
          <w:sz w:val="24"/>
          <w:szCs w:val="24"/>
          <w:lang w:val="es-US"/>
        </w:rPr>
      </w:pPr>
      <w:r w:rsidRPr="0033346E">
        <w:rPr>
          <w:sz w:val="24"/>
          <w:szCs w:val="24"/>
          <w:lang w:val="es-US"/>
        </w:rPr>
        <w:t xml:space="preserve">La cirrosis es una de las enfermedades que más se ha relacionado con el consumo de alcohol, como reportan </w:t>
      </w:r>
      <w:r w:rsidRPr="0033346E">
        <w:rPr>
          <w:i/>
          <w:sz w:val="24"/>
          <w:szCs w:val="24"/>
          <w:lang w:val="es-US"/>
        </w:rPr>
        <w:t>Bustios</w:t>
      </w:r>
      <w:r w:rsidRPr="0033346E">
        <w:rPr>
          <w:sz w:val="24"/>
          <w:szCs w:val="24"/>
          <w:lang w:val="es-US"/>
        </w:rPr>
        <w:t xml:space="preserve"> y otros.</w:t>
      </w:r>
      <w:r w:rsidRPr="0033346E">
        <w:rPr>
          <w:sz w:val="24"/>
          <w:szCs w:val="24"/>
          <w:vertAlign w:val="superscript"/>
          <w:lang w:val="es-US"/>
        </w:rPr>
        <w:t>(21)</w:t>
      </w:r>
      <w:r w:rsidR="000C3330">
        <w:rPr>
          <w:sz w:val="24"/>
          <w:szCs w:val="24"/>
          <w:vertAlign w:val="superscript"/>
          <w:lang w:val="es-US"/>
        </w:rPr>
        <w:t xml:space="preserve"> </w:t>
      </w:r>
      <w:r w:rsidRPr="0033346E">
        <w:rPr>
          <w:i/>
          <w:sz w:val="24"/>
          <w:szCs w:val="24"/>
          <w:lang w:val="es-US"/>
        </w:rPr>
        <w:t>Samada</w:t>
      </w:r>
      <w:r w:rsidRPr="0033346E">
        <w:rPr>
          <w:iCs/>
          <w:sz w:val="24"/>
          <w:szCs w:val="24"/>
          <w:lang w:val="es-US"/>
        </w:rPr>
        <w:t>,</w:t>
      </w:r>
      <w:r w:rsidRPr="0033346E">
        <w:rPr>
          <w:sz w:val="24"/>
          <w:szCs w:val="24"/>
          <w:vertAlign w:val="superscript"/>
          <w:lang w:val="es-US"/>
        </w:rPr>
        <w:t xml:space="preserve"> (9)</w:t>
      </w:r>
      <w:r w:rsidRPr="0033346E">
        <w:rPr>
          <w:sz w:val="24"/>
          <w:szCs w:val="24"/>
          <w:lang w:val="es-US"/>
        </w:rPr>
        <w:t xml:space="preserve"> en su tesis doctoral, describe que el sexo masculino, en el grupo de cirrosis por alcohol, fue el más frecuente, similar a estos resultados; sin embargo, en su investigación, este sexo también predominó en el grupo de virus a diferencia de este</w:t>
      </w:r>
      <w:r w:rsidR="000C3330">
        <w:rPr>
          <w:sz w:val="24"/>
          <w:szCs w:val="24"/>
          <w:lang w:val="es-US"/>
        </w:rPr>
        <w:t xml:space="preserve"> </w:t>
      </w:r>
      <w:r w:rsidRPr="0033346E">
        <w:rPr>
          <w:sz w:val="24"/>
          <w:szCs w:val="24"/>
          <w:lang w:val="es-US"/>
        </w:rPr>
        <w:t>estudio, en el cual la etiología viral fue más frecuente en el sexo femenino.</w:t>
      </w:r>
      <w:r w:rsidR="000C3330">
        <w:rPr>
          <w:sz w:val="24"/>
          <w:szCs w:val="24"/>
          <w:lang w:val="es-US"/>
        </w:rPr>
        <w:t xml:space="preserve"> </w:t>
      </w:r>
      <w:r w:rsidRPr="0033346E">
        <w:rPr>
          <w:sz w:val="24"/>
          <w:szCs w:val="24"/>
          <w:lang w:val="es-US"/>
        </w:rPr>
        <w:t>Esto pudiera estar relacionado con el reducido número de pacientes de esta serie. La asociación del alcoholismo y la infección por virus, incrementa la probabilidad de padecer de cirrosis hepática y tener peor pronóstico.</w:t>
      </w:r>
      <w:r w:rsidRPr="0033346E">
        <w:rPr>
          <w:sz w:val="24"/>
          <w:szCs w:val="24"/>
          <w:vertAlign w:val="superscript"/>
          <w:lang w:val="es-US"/>
        </w:rPr>
        <w:t>(17)</w:t>
      </w:r>
    </w:p>
    <w:p w14:paraId="5402B9E1" w14:textId="7C78E1E1" w:rsidR="0033346E" w:rsidRPr="0033346E" w:rsidRDefault="0033346E" w:rsidP="0033346E">
      <w:pPr>
        <w:spacing w:after="0" w:line="360" w:lineRule="auto"/>
        <w:jc w:val="both"/>
        <w:rPr>
          <w:sz w:val="24"/>
          <w:szCs w:val="24"/>
          <w:lang w:val="es-US"/>
        </w:rPr>
      </w:pPr>
      <w:r w:rsidRPr="0033346E">
        <w:rPr>
          <w:sz w:val="24"/>
          <w:szCs w:val="24"/>
          <w:lang w:val="es-US"/>
        </w:rPr>
        <w:t>A nivel mundial, la causa principal de cirrosis es el consumo crónico de alcohol, a diferencia de EE.UU. y España, donde la infección por VHC es la etiología más frecuente,</w:t>
      </w:r>
      <w:r w:rsidRPr="0033346E">
        <w:rPr>
          <w:sz w:val="24"/>
          <w:szCs w:val="24"/>
          <w:vertAlign w:val="superscript"/>
          <w:lang w:val="es-US"/>
        </w:rPr>
        <w:t>(21)</w:t>
      </w:r>
      <w:r w:rsidRPr="0033346E">
        <w:rPr>
          <w:sz w:val="24"/>
          <w:szCs w:val="24"/>
          <w:lang w:val="es-US"/>
        </w:rPr>
        <w:t xml:space="preserve"> similar a lo encontrado en esta investigación. La infección crónica por el VHC es la principal causa de enfermedad hepática crónica y de indicación de TH en Europa Occidental y América del Norte.</w:t>
      </w:r>
      <w:r w:rsidR="005C55C6">
        <w:rPr>
          <w:sz w:val="24"/>
          <w:szCs w:val="24"/>
          <w:lang w:val="es-US"/>
        </w:rPr>
        <w:t xml:space="preserve"> </w:t>
      </w:r>
      <w:r w:rsidRPr="0033346E">
        <w:rPr>
          <w:sz w:val="24"/>
          <w:szCs w:val="24"/>
          <w:lang w:val="es-US"/>
        </w:rPr>
        <w:t>Se</w:t>
      </w:r>
      <w:r w:rsidR="005C55C6">
        <w:rPr>
          <w:sz w:val="24"/>
          <w:szCs w:val="24"/>
          <w:lang w:val="es-US"/>
        </w:rPr>
        <w:t xml:space="preserve"> </w:t>
      </w:r>
      <w:r w:rsidRPr="0033346E">
        <w:rPr>
          <w:sz w:val="24"/>
          <w:szCs w:val="24"/>
          <w:lang w:val="es-US"/>
        </w:rPr>
        <w:t>estima que el VHC infecta cada año de 3 a 4 millones de personas y anualmente mueren de 350 000 a 500 000 personas por enfermedades hepáticas relacionadas con este virus. Los antivirales de acción directa, han modificado de manera considerable las tasas de curación, a más del 90 % de las personas infectadas y son eficaces contra genotipos que antes eran difíciles de tratar.</w:t>
      </w:r>
      <w:r w:rsidRPr="0033346E">
        <w:rPr>
          <w:sz w:val="24"/>
          <w:szCs w:val="24"/>
          <w:vertAlign w:val="superscript"/>
          <w:lang w:val="es-US"/>
        </w:rPr>
        <w:t>(22)</w:t>
      </w:r>
    </w:p>
    <w:p w14:paraId="07A1D50B" w14:textId="77777777" w:rsidR="0033346E" w:rsidRPr="0033346E" w:rsidRDefault="0033346E" w:rsidP="0033346E">
      <w:pPr>
        <w:spacing w:after="0" w:line="360" w:lineRule="auto"/>
        <w:jc w:val="both"/>
        <w:rPr>
          <w:sz w:val="24"/>
          <w:szCs w:val="24"/>
          <w:lang w:val="es-US"/>
        </w:rPr>
      </w:pPr>
      <w:r w:rsidRPr="0033346E">
        <w:rPr>
          <w:sz w:val="24"/>
          <w:szCs w:val="24"/>
          <w:lang w:val="es-US"/>
        </w:rPr>
        <w:t>Por otro lado, el aumento del consumo de alcohol se relaciona con frecuencia, con un inadecuado cumplimiento del tratamiento. En un estudio peruano, el consumo de alcohol fue la etiología más frecuente de la cirrosis hepática.</w:t>
      </w:r>
      <w:r w:rsidRPr="0033346E">
        <w:rPr>
          <w:sz w:val="24"/>
          <w:szCs w:val="24"/>
          <w:vertAlign w:val="superscript"/>
          <w:lang w:val="es-US"/>
        </w:rPr>
        <w:t>(23)</w:t>
      </w:r>
    </w:p>
    <w:p w14:paraId="6676B47A" w14:textId="37E5759F" w:rsidR="0033346E" w:rsidRPr="0033346E" w:rsidRDefault="0033346E" w:rsidP="0033346E">
      <w:pPr>
        <w:autoSpaceDE w:val="0"/>
        <w:autoSpaceDN w:val="0"/>
        <w:adjustRightInd w:val="0"/>
        <w:spacing w:after="0" w:line="360" w:lineRule="auto"/>
        <w:jc w:val="both"/>
        <w:rPr>
          <w:sz w:val="24"/>
          <w:szCs w:val="24"/>
          <w:lang w:val="es-US"/>
        </w:rPr>
      </w:pPr>
      <w:r w:rsidRPr="0033346E">
        <w:rPr>
          <w:sz w:val="24"/>
          <w:szCs w:val="24"/>
          <w:lang w:val="es-US"/>
        </w:rPr>
        <w:t xml:space="preserve">La causa criptogénica ocupó el tercer lugar. </w:t>
      </w:r>
      <w:r w:rsidRPr="0033346E">
        <w:rPr>
          <w:color w:val="333333"/>
          <w:sz w:val="24"/>
          <w:szCs w:val="24"/>
          <w:lang w:val="es-ES"/>
        </w:rPr>
        <w:t xml:space="preserve">Generalmente, se diagnostica cuando todas las otras causas de cirrosis se han descartado. Muchos casos de cirrosis criptogénica son probablemente debidos a una </w:t>
      </w:r>
      <w:r w:rsidRPr="0033346E">
        <w:rPr>
          <w:color w:val="333333"/>
          <w:sz w:val="24"/>
          <w:szCs w:val="24"/>
          <w:lang w:val="es-ES"/>
        </w:rPr>
        <w:lastRenderedPageBreak/>
        <w:t>EHGNA.</w:t>
      </w:r>
      <w:r w:rsidRPr="0033346E">
        <w:rPr>
          <w:color w:val="333333"/>
          <w:sz w:val="24"/>
          <w:szCs w:val="24"/>
          <w:vertAlign w:val="superscript"/>
          <w:lang w:val="es-ES"/>
        </w:rPr>
        <w:t>(24)</w:t>
      </w:r>
      <w:r w:rsidR="00E35BE4">
        <w:rPr>
          <w:color w:val="333333"/>
          <w:sz w:val="24"/>
          <w:szCs w:val="24"/>
          <w:vertAlign w:val="superscript"/>
          <w:lang w:val="es-ES"/>
        </w:rPr>
        <w:t xml:space="preserve"> </w:t>
      </w:r>
      <w:r w:rsidRPr="0033346E">
        <w:rPr>
          <w:sz w:val="24"/>
          <w:szCs w:val="24"/>
          <w:lang w:val="es-US"/>
        </w:rPr>
        <w:t>La EHGNA fue la cuarta causa etiológica de cirrosis en esta serie de casos. El aumento de la frecuencia de esa entidad puede estar relacionado con el incremento de los hábitos de vida más occidentales; y que la población se está viendo afectada por el síndrome metabólico. En un estudio colombiano, el consumo de alcohol fue la etiología más frecuente, acorde a la literatura mundial; el tercer lugar correspondió a la EHGNA.</w:t>
      </w:r>
      <w:r w:rsidRPr="0033346E">
        <w:rPr>
          <w:sz w:val="24"/>
          <w:szCs w:val="24"/>
          <w:vertAlign w:val="superscript"/>
          <w:lang w:val="es-US"/>
        </w:rPr>
        <w:t>(25)</w:t>
      </w:r>
    </w:p>
    <w:p w14:paraId="72F68FF9" w14:textId="77777777" w:rsidR="0033346E" w:rsidRPr="0033346E" w:rsidRDefault="0033346E" w:rsidP="0033346E">
      <w:pPr>
        <w:spacing w:after="0" w:line="360" w:lineRule="auto"/>
        <w:jc w:val="both"/>
        <w:rPr>
          <w:sz w:val="24"/>
          <w:szCs w:val="24"/>
          <w:lang w:val="es-US"/>
        </w:rPr>
      </w:pPr>
      <w:r w:rsidRPr="0033346E">
        <w:rPr>
          <w:sz w:val="24"/>
          <w:szCs w:val="24"/>
          <w:lang w:val="es-US"/>
        </w:rPr>
        <w:t xml:space="preserve">El diagnóstico mediante ecografía abdominal fue el más frecuente. </w:t>
      </w:r>
      <w:r w:rsidRPr="0033346E">
        <w:rPr>
          <w:i/>
          <w:sz w:val="24"/>
          <w:szCs w:val="24"/>
          <w:lang w:val="es-US"/>
        </w:rPr>
        <w:t>Escorcia</w:t>
      </w:r>
      <w:r w:rsidRPr="0033346E">
        <w:rPr>
          <w:sz w:val="24"/>
          <w:szCs w:val="24"/>
          <w:lang w:val="es-US"/>
        </w:rPr>
        <w:t xml:space="preserve"> y </w:t>
      </w:r>
      <w:r w:rsidRPr="0033346E">
        <w:rPr>
          <w:i/>
          <w:sz w:val="24"/>
          <w:szCs w:val="24"/>
          <w:lang w:val="es-US"/>
        </w:rPr>
        <w:t>Marrugo</w:t>
      </w:r>
      <w:r w:rsidRPr="0033346E">
        <w:rPr>
          <w:sz w:val="24"/>
          <w:szCs w:val="24"/>
          <w:vertAlign w:val="superscript"/>
          <w:lang w:val="es-US"/>
        </w:rPr>
        <w:t>(18)</w:t>
      </w:r>
      <w:r w:rsidRPr="0033346E">
        <w:rPr>
          <w:sz w:val="24"/>
          <w:szCs w:val="24"/>
          <w:lang w:val="es-US"/>
        </w:rPr>
        <w:t xml:space="preserve"> también reportan que la alteración de la arquitectura hepática en la ecografía abdominal, fue el principal modo de diagnóstico.</w:t>
      </w:r>
    </w:p>
    <w:p w14:paraId="77FE339F" w14:textId="501C95D0" w:rsidR="0033346E" w:rsidRPr="0033346E" w:rsidRDefault="0033346E" w:rsidP="0033346E">
      <w:pPr>
        <w:spacing w:after="0" w:line="360" w:lineRule="auto"/>
        <w:jc w:val="both"/>
        <w:rPr>
          <w:sz w:val="24"/>
          <w:szCs w:val="24"/>
          <w:lang w:val="es-US"/>
        </w:rPr>
      </w:pPr>
      <w:r w:rsidRPr="0033346E">
        <w:rPr>
          <w:sz w:val="24"/>
          <w:szCs w:val="24"/>
          <w:lang w:val="es-US"/>
        </w:rPr>
        <w:t>Con respecto a las comorbilidades, los resultados son controversiales, pues diferentes autores reportan diferencias en cuanto al predominio de una u otra. Esto se debe a</w:t>
      </w:r>
      <w:r w:rsidR="00C660DA">
        <w:rPr>
          <w:sz w:val="24"/>
          <w:szCs w:val="24"/>
          <w:lang w:val="es-US"/>
        </w:rPr>
        <w:t xml:space="preserve"> </w:t>
      </w:r>
      <w:r w:rsidRPr="0033346E">
        <w:rPr>
          <w:sz w:val="24"/>
          <w:szCs w:val="24"/>
          <w:lang w:val="es-US"/>
        </w:rPr>
        <w:t>las</w:t>
      </w:r>
      <w:r w:rsidR="00C660DA">
        <w:rPr>
          <w:sz w:val="24"/>
          <w:szCs w:val="24"/>
          <w:lang w:val="es-US"/>
        </w:rPr>
        <w:t xml:space="preserve"> </w:t>
      </w:r>
      <w:r w:rsidRPr="0033346E">
        <w:rPr>
          <w:sz w:val="24"/>
          <w:szCs w:val="24"/>
          <w:lang w:val="es-US"/>
        </w:rPr>
        <w:t xml:space="preserve">características variables de cada entidad, según la región de origen y factores de riesgo presentes en la población. </w:t>
      </w:r>
    </w:p>
    <w:p w14:paraId="6E0F57D1" w14:textId="2FA01FB4" w:rsidR="0033346E" w:rsidRPr="0033346E" w:rsidRDefault="0033346E" w:rsidP="0033346E">
      <w:pPr>
        <w:spacing w:after="0" w:line="360" w:lineRule="auto"/>
        <w:jc w:val="both"/>
        <w:rPr>
          <w:sz w:val="24"/>
          <w:szCs w:val="24"/>
          <w:lang w:val="es-US"/>
        </w:rPr>
      </w:pPr>
      <w:r w:rsidRPr="0033346E">
        <w:rPr>
          <w:sz w:val="24"/>
          <w:szCs w:val="24"/>
          <w:lang w:val="es-US"/>
        </w:rPr>
        <w:t>Resultados similares a los obtenidos fueron encontrados por Z</w:t>
      </w:r>
      <w:r w:rsidRPr="0033346E">
        <w:rPr>
          <w:i/>
          <w:sz w:val="24"/>
          <w:szCs w:val="24"/>
          <w:lang w:val="es-US"/>
        </w:rPr>
        <w:t>ambrano</w:t>
      </w:r>
      <w:r w:rsidRPr="0033346E">
        <w:rPr>
          <w:sz w:val="24"/>
          <w:szCs w:val="24"/>
          <w:lang w:val="es-US"/>
        </w:rPr>
        <w:t>.</w:t>
      </w:r>
      <w:r w:rsidRPr="0033346E">
        <w:rPr>
          <w:sz w:val="24"/>
          <w:szCs w:val="24"/>
          <w:vertAlign w:val="superscript"/>
          <w:lang w:val="es-US"/>
        </w:rPr>
        <w:t>(25)</w:t>
      </w:r>
      <w:r w:rsidRPr="0033346E">
        <w:rPr>
          <w:sz w:val="24"/>
          <w:szCs w:val="24"/>
          <w:lang w:val="es-US"/>
        </w:rPr>
        <w:t xml:space="preserve"> Dentro de los antecedentes patológicos más frecuentes encontrados en su investigación están la HTA y la diabetes mellit</w:t>
      </w:r>
      <w:r w:rsidR="00C660DA">
        <w:rPr>
          <w:sz w:val="24"/>
          <w:szCs w:val="24"/>
          <w:lang w:val="es-US"/>
        </w:rPr>
        <w:t>u</w:t>
      </w:r>
      <w:r w:rsidRPr="0033346E">
        <w:rPr>
          <w:sz w:val="24"/>
          <w:szCs w:val="24"/>
          <w:lang w:val="es-US"/>
        </w:rPr>
        <w:t xml:space="preserve">s. </w:t>
      </w:r>
      <w:r w:rsidRPr="0033346E">
        <w:rPr>
          <w:i/>
          <w:sz w:val="24"/>
          <w:szCs w:val="24"/>
          <w:lang w:val="es-US"/>
        </w:rPr>
        <w:t>More,</w:t>
      </w:r>
      <w:r w:rsidRPr="0033346E">
        <w:rPr>
          <w:sz w:val="24"/>
          <w:szCs w:val="24"/>
          <w:vertAlign w:val="superscript"/>
          <w:lang w:val="es-US"/>
        </w:rPr>
        <w:t>(13)</w:t>
      </w:r>
      <w:r w:rsidRPr="0033346E">
        <w:rPr>
          <w:sz w:val="24"/>
          <w:szCs w:val="24"/>
          <w:lang w:val="es-US"/>
        </w:rPr>
        <w:t xml:space="preserve"> encontró la obesidad como el antecedente más común. </w:t>
      </w:r>
    </w:p>
    <w:p w14:paraId="5DA8CCE8" w14:textId="77777777" w:rsidR="0033346E" w:rsidRPr="0033346E" w:rsidRDefault="0033346E" w:rsidP="0033346E">
      <w:pPr>
        <w:spacing w:after="0" w:line="360" w:lineRule="auto"/>
        <w:jc w:val="both"/>
        <w:rPr>
          <w:sz w:val="24"/>
          <w:szCs w:val="24"/>
          <w:lang w:val="es-US"/>
        </w:rPr>
      </w:pPr>
      <w:r w:rsidRPr="0033346E">
        <w:rPr>
          <w:sz w:val="24"/>
          <w:szCs w:val="24"/>
          <w:lang w:val="es-US"/>
        </w:rPr>
        <w:t>En la endoscopia digestiva alta, la mayoría de los pacientes presentan manifestaciones de HTP, lo que puede estar relacionado con el diagnóstico tardío de la enfermedad, quizás por la evolución silente de la cirrosis en estadios tempranos.</w:t>
      </w:r>
    </w:p>
    <w:p w14:paraId="2FC9D459" w14:textId="77777777" w:rsidR="0033346E" w:rsidRPr="0033346E" w:rsidRDefault="0033346E" w:rsidP="0033346E">
      <w:pPr>
        <w:spacing w:after="0" w:line="360" w:lineRule="auto"/>
        <w:jc w:val="both"/>
        <w:rPr>
          <w:sz w:val="24"/>
          <w:szCs w:val="24"/>
          <w:lang w:val="es-US"/>
        </w:rPr>
      </w:pPr>
      <w:r w:rsidRPr="0033346E">
        <w:rPr>
          <w:sz w:val="24"/>
          <w:szCs w:val="24"/>
          <w:lang w:val="es-US"/>
        </w:rPr>
        <w:t>La ascitis fue la complicación más frecuente, similar a otro estudio cubano.</w:t>
      </w:r>
      <w:r w:rsidRPr="0033346E">
        <w:rPr>
          <w:sz w:val="24"/>
          <w:szCs w:val="24"/>
          <w:vertAlign w:val="superscript"/>
          <w:lang w:val="es-US"/>
        </w:rPr>
        <w:t>(26)</w:t>
      </w:r>
      <w:r w:rsidRPr="0033346E">
        <w:rPr>
          <w:sz w:val="24"/>
          <w:szCs w:val="24"/>
          <w:lang w:val="es-US"/>
        </w:rPr>
        <w:t xml:space="preserve"> La PBE tuvo menos representatividad. Este resultado puede estar relacionado con el uso de antibióticos profilácticos, que conlleva a que no se desarrolle este tipo de complicación.</w:t>
      </w:r>
    </w:p>
    <w:p w14:paraId="6CE41BAB" w14:textId="36ECA7EA" w:rsidR="0033346E" w:rsidRPr="0033346E" w:rsidRDefault="0033346E" w:rsidP="0033346E">
      <w:pPr>
        <w:spacing w:after="0" w:line="360" w:lineRule="auto"/>
        <w:jc w:val="both"/>
        <w:rPr>
          <w:sz w:val="24"/>
          <w:szCs w:val="24"/>
          <w:lang w:val="es-US"/>
        </w:rPr>
      </w:pPr>
      <w:r w:rsidRPr="0033346E">
        <w:rPr>
          <w:sz w:val="24"/>
          <w:szCs w:val="24"/>
          <w:lang w:val="es-US"/>
        </w:rPr>
        <w:t>La HDA fue la segunda complicación más frecuente, al igual que en un estudio colombiano.</w:t>
      </w:r>
      <w:r w:rsidRPr="0033346E">
        <w:rPr>
          <w:sz w:val="24"/>
          <w:szCs w:val="24"/>
          <w:vertAlign w:val="superscript"/>
          <w:lang w:val="es-US"/>
        </w:rPr>
        <w:t>(20)</w:t>
      </w:r>
      <w:r w:rsidRPr="0033346E">
        <w:rPr>
          <w:sz w:val="24"/>
          <w:szCs w:val="24"/>
          <w:lang w:val="es-US"/>
        </w:rPr>
        <w:t xml:space="preserve"> En la muestra estudiada los autores encontraron poca representatividad del SHP. Este síndrome es una complicación poco frecuente de la cirrosis hepática, que disminuye la calidad de vida de las personas que la padecen. </w:t>
      </w:r>
    </w:p>
    <w:p w14:paraId="060657F3" w14:textId="2FF29A32" w:rsidR="0033346E" w:rsidRPr="0033346E" w:rsidRDefault="0033346E" w:rsidP="0033346E">
      <w:pPr>
        <w:spacing w:after="0" w:line="360" w:lineRule="auto"/>
        <w:jc w:val="both"/>
        <w:rPr>
          <w:sz w:val="24"/>
          <w:szCs w:val="24"/>
          <w:lang w:val="es-US"/>
        </w:rPr>
      </w:pPr>
      <w:r w:rsidRPr="0033346E">
        <w:rPr>
          <w:i/>
          <w:sz w:val="24"/>
          <w:szCs w:val="24"/>
          <w:lang w:val="es-US"/>
        </w:rPr>
        <w:t>Gómez</w:t>
      </w:r>
      <w:r w:rsidRPr="0033346E">
        <w:rPr>
          <w:sz w:val="24"/>
          <w:szCs w:val="24"/>
          <w:lang w:val="es-US"/>
        </w:rPr>
        <w:t xml:space="preserve"> y otros,</w:t>
      </w:r>
      <w:r w:rsidRPr="0033346E">
        <w:rPr>
          <w:sz w:val="24"/>
          <w:szCs w:val="24"/>
          <w:vertAlign w:val="superscript"/>
          <w:lang w:val="es-US"/>
        </w:rPr>
        <w:t>(17)</w:t>
      </w:r>
      <w:r w:rsidRPr="0033346E">
        <w:rPr>
          <w:sz w:val="24"/>
          <w:szCs w:val="24"/>
          <w:lang w:val="es-US"/>
        </w:rPr>
        <w:t xml:space="preserve"> encuentran predominio del estadio de Child A, seguido por el B y el C. En el estudio de </w:t>
      </w:r>
      <w:r w:rsidRPr="0033346E">
        <w:rPr>
          <w:i/>
          <w:sz w:val="24"/>
          <w:szCs w:val="24"/>
          <w:lang w:val="es-US"/>
        </w:rPr>
        <w:t>Escorcia</w:t>
      </w:r>
      <w:r w:rsidRPr="0033346E">
        <w:rPr>
          <w:sz w:val="24"/>
          <w:szCs w:val="24"/>
          <w:lang w:val="es-US"/>
        </w:rPr>
        <w:t xml:space="preserve"> y </w:t>
      </w:r>
      <w:r w:rsidRPr="0033346E">
        <w:rPr>
          <w:i/>
          <w:sz w:val="24"/>
          <w:szCs w:val="24"/>
          <w:lang w:val="es-US"/>
        </w:rPr>
        <w:t>Marruego</w:t>
      </w:r>
      <w:r w:rsidRPr="0033346E">
        <w:rPr>
          <w:sz w:val="24"/>
          <w:szCs w:val="24"/>
          <w:lang w:val="es-US"/>
        </w:rPr>
        <w:t>,</w:t>
      </w:r>
      <w:r w:rsidRPr="0033346E">
        <w:rPr>
          <w:sz w:val="24"/>
          <w:szCs w:val="24"/>
          <w:vertAlign w:val="superscript"/>
          <w:lang w:val="es-US"/>
        </w:rPr>
        <w:t>(18)</w:t>
      </w:r>
      <w:r w:rsidR="00C676FA">
        <w:rPr>
          <w:sz w:val="24"/>
          <w:szCs w:val="24"/>
          <w:vertAlign w:val="superscript"/>
          <w:lang w:val="es-US"/>
        </w:rPr>
        <w:t xml:space="preserve"> </w:t>
      </w:r>
      <w:r w:rsidRPr="0033346E">
        <w:rPr>
          <w:sz w:val="24"/>
          <w:szCs w:val="24"/>
          <w:lang w:val="es-US"/>
        </w:rPr>
        <w:t xml:space="preserve">también son más frecuentes los pacientes con Child A, seguidos por el B y el C. En esta investigación, de manera independiente, predominó el estadio de Chil-Pugh A; pero fueron más frecuentes las formas no compensadas de la enfermedad (sumatoria de B y C). </w:t>
      </w:r>
    </w:p>
    <w:p w14:paraId="3C68BD40" w14:textId="77777777" w:rsidR="0033346E" w:rsidRPr="0033346E" w:rsidRDefault="0033346E" w:rsidP="0033346E">
      <w:pPr>
        <w:spacing w:after="0" w:line="360" w:lineRule="auto"/>
        <w:jc w:val="both"/>
        <w:rPr>
          <w:sz w:val="24"/>
          <w:szCs w:val="24"/>
          <w:lang w:val="es-US"/>
        </w:rPr>
      </w:pPr>
      <w:r w:rsidRPr="0033346E">
        <w:rPr>
          <w:sz w:val="24"/>
          <w:szCs w:val="24"/>
          <w:lang w:val="es-US"/>
        </w:rPr>
        <w:lastRenderedPageBreak/>
        <w:t>Las principales limitaciones de este estudio son el escaso número de pacientes estudiados; además, se trata de un estudio retrospectivo basado en la revisión de historias clínicas y hubo información que no se pudo obtener.</w:t>
      </w:r>
    </w:p>
    <w:p w14:paraId="19310E07" w14:textId="77777777" w:rsidR="0033346E" w:rsidRPr="0033346E" w:rsidRDefault="0033346E" w:rsidP="0033346E">
      <w:pPr>
        <w:spacing w:after="0" w:line="360" w:lineRule="auto"/>
        <w:jc w:val="both"/>
        <w:rPr>
          <w:b/>
          <w:sz w:val="24"/>
          <w:szCs w:val="24"/>
          <w:lang w:val="es-US"/>
        </w:rPr>
      </w:pPr>
      <w:r w:rsidRPr="0033346E">
        <w:rPr>
          <w:sz w:val="24"/>
          <w:szCs w:val="24"/>
          <w:lang w:val="es-US"/>
        </w:rPr>
        <w:t xml:space="preserve">La cirrosis hepática es más frecuente en la séptima década de la vida, en el sexo femenino. El ultrasonido abdominal es el modo de diagnóstico predominante. Las causas más frecuentes son el VHC y el alcoholismo. La HTA y la diabetes mellitus son las comorbilidades más frecuentes y la ascitis es la complicación que más se presenta. La mayoría de los pacientes presentan signos de hipertensión portal. Predominan las formas no compensadas de la enfermedad, según la clasificación de Child-Pugh y D´Amico.  </w:t>
      </w:r>
    </w:p>
    <w:p w14:paraId="09F3EADA" w14:textId="77777777" w:rsidR="0033346E" w:rsidRPr="0033346E" w:rsidRDefault="0033346E" w:rsidP="0033346E">
      <w:pPr>
        <w:spacing w:after="0" w:line="360" w:lineRule="auto"/>
        <w:jc w:val="center"/>
        <w:rPr>
          <w:rFonts w:eastAsia="MS Mincho"/>
          <w:b/>
          <w:sz w:val="24"/>
          <w:szCs w:val="24"/>
          <w:lang w:val="es-ES_tradnl"/>
        </w:rPr>
      </w:pPr>
    </w:p>
    <w:p w14:paraId="6D856B88" w14:textId="77777777" w:rsidR="0033346E" w:rsidRPr="0033346E" w:rsidRDefault="0033346E" w:rsidP="0033346E">
      <w:pPr>
        <w:spacing w:after="0" w:line="360" w:lineRule="auto"/>
        <w:jc w:val="center"/>
        <w:rPr>
          <w:rFonts w:eastAsia="MS Mincho"/>
          <w:b/>
          <w:sz w:val="24"/>
          <w:szCs w:val="24"/>
          <w:lang w:val="es-ES_tradnl"/>
        </w:rPr>
      </w:pPr>
    </w:p>
    <w:p w14:paraId="327B4568" w14:textId="77777777" w:rsidR="0033346E" w:rsidRPr="0033346E" w:rsidRDefault="0033346E" w:rsidP="0033346E">
      <w:pPr>
        <w:spacing w:after="0" w:line="360" w:lineRule="auto"/>
        <w:jc w:val="center"/>
        <w:rPr>
          <w:rFonts w:eastAsia="MS Mincho"/>
          <w:b/>
          <w:sz w:val="32"/>
          <w:szCs w:val="32"/>
          <w:lang w:val="es-ES_tradnl"/>
        </w:rPr>
      </w:pPr>
      <w:r w:rsidRPr="0033346E">
        <w:rPr>
          <w:rFonts w:eastAsia="MS Mincho"/>
          <w:b/>
          <w:sz w:val="32"/>
          <w:szCs w:val="32"/>
          <w:lang w:val="es-ES_tradnl"/>
        </w:rPr>
        <w:t>REFERENCIAS BIBLIOGRÁFICAS</w:t>
      </w:r>
    </w:p>
    <w:p w14:paraId="3E226A24" w14:textId="77777777" w:rsidR="0033346E" w:rsidRPr="0033346E" w:rsidRDefault="0033346E" w:rsidP="0033346E">
      <w:pPr>
        <w:spacing w:after="0" w:line="360" w:lineRule="auto"/>
        <w:rPr>
          <w:rFonts w:eastAsia="DengXian"/>
          <w:sz w:val="24"/>
          <w:szCs w:val="24"/>
          <w:lang w:val="es-US" w:eastAsia="zh-CN"/>
        </w:rPr>
      </w:pPr>
      <w:r w:rsidRPr="00862F1C">
        <w:rPr>
          <w:rFonts w:eastAsia="DengXian"/>
          <w:sz w:val="24"/>
          <w:szCs w:val="24"/>
          <w:lang w:eastAsia="zh-CN"/>
        </w:rPr>
        <w:t xml:space="preserve">1.Tsochatzis EA, Bosh J, Burroughs AK. </w:t>
      </w:r>
      <w:r w:rsidRPr="0033346E">
        <w:rPr>
          <w:rFonts w:eastAsia="DengXian"/>
          <w:sz w:val="24"/>
          <w:szCs w:val="24"/>
          <w:lang w:eastAsia="zh-CN"/>
        </w:rPr>
        <w:t xml:space="preserve">Liver cirrhosis. The Lancet Gastroenterology of Hepatology. </w:t>
      </w:r>
      <w:r w:rsidRPr="0033346E">
        <w:rPr>
          <w:rFonts w:eastAsia="DengXian"/>
          <w:sz w:val="24"/>
          <w:szCs w:val="24"/>
          <w:lang w:val="es-US" w:eastAsia="zh-CN"/>
        </w:rPr>
        <w:t xml:space="preserve">2014 [acceso: 21/01/2020]; 383(9930): 1749- 61. Disponible en: </w:t>
      </w:r>
      <w:hyperlink r:id="rId15" w:history="1">
        <w:r w:rsidRPr="0033346E">
          <w:rPr>
            <w:rFonts w:eastAsia="DengXian"/>
            <w:color w:val="0563C1"/>
            <w:sz w:val="24"/>
            <w:szCs w:val="24"/>
            <w:u w:val="single"/>
            <w:lang w:val="es-US" w:eastAsia="zh-CN"/>
          </w:rPr>
          <w:t>https://www.thelancet.com/article/S0140-6736(14)60121-5/fulltext</w:t>
        </w:r>
      </w:hyperlink>
    </w:p>
    <w:p w14:paraId="494ECC3B" w14:textId="77777777" w:rsidR="0033346E" w:rsidRPr="0033346E" w:rsidRDefault="0033346E" w:rsidP="0033346E">
      <w:pPr>
        <w:spacing w:after="0" w:line="360" w:lineRule="auto"/>
        <w:rPr>
          <w:rFonts w:eastAsia="DengXian"/>
          <w:sz w:val="24"/>
          <w:szCs w:val="24"/>
          <w:u w:val="single"/>
          <w:lang w:val="es-US" w:eastAsia="zh-CN"/>
        </w:rPr>
      </w:pPr>
      <w:r w:rsidRPr="0033346E">
        <w:rPr>
          <w:rFonts w:eastAsia="DengXian"/>
          <w:sz w:val="24"/>
          <w:szCs w:val="24"/>
          <w:lang w:val="es-US" w:eastAsia="zh-CN"/>
        </w:rPr>
        <w:t xml:space="preserve">2. Prieto J, Sánchez S, Prieto R, Rojas E, Gonzáles L, Mendivelso F. Características clínicas y descompensación en pacientes con cirrosis hepática atendidos en dos centros de hepatología en la ciudad de Bogotá D.C., 2010-2014. Rev Col Gastro. 2016 [acceso: 21/01/2020]; 31(1): 1- 8. Disponible en: </w:t>
      </w:r>
      <w:hyperlink r:id="rId16" w:history="1">
        <w:r w:rsidRPr="0033346E">
          <w:rPr>
            <w:rFonts w:eastAsia="DengXian"/>
            <w:color w:val="0563C1"/>
            <w:sz w:val="24"/>
            <w:szCs w:val="24"/>
            <w:u w:val="single"/>
            <w:lang w:val="es-US" w:eastAsia="zh-CN"/>
          </w:rPr>
          <w:t>https://doi.org/10.22516/25007440.66</w:t>
        </w:r>
      </w:hyperlink>
    </w:p>
    <w:p w14:paraId="6EFDD583" w14:textId="4507DA65" w:rsidR="0033346E" w:rsidRPr="0033346E" w:rsidRDefault="0033346E" w:rsidP="0033346E">
      <w:pPr>
        <w:spacing w:after="0" w:line="360" w:lineRule="auto"/>
        <w:rPr>
          <w:rFonts w:eastAsia="DengXian"/>
          <w:sz w:val="24"/>
          <w:szCs w:val="24"/>
          <w:u w:val="single"/>
          <w:lang w:val="es-US" w:eastAsia="zh-CN"/>
        </w:rPr>
      </w:pPr>
      <w:r w:rsidRPr="0033346E">
        <w:rPr>
          <w:rFonts w:eastAsia="DengXian"/>
          <w:sz w:val="24"/>
          <w:szCs w:val="24"/>
          <w:lang w:val="es-US" w:eastAsia="zh-CN"/>
        </w:rPr>
        <w:t>3. Santos O, Londoño M, Marín J, Muñoz O, Mena A, Guzmán C, et al. Retlasplante hepático: experiencia de 6 años del Hospital Pablo Tobón Uribe. Rev</w:t>
      </w:r>
      <w:r w:rsidR="00C210D4">
        <w:rPr>
          <w:rFonts w:eastAsia="DengXian"/>
          <w:sz w:val="24"/>
          <w:szCs w:val="24"/>
          <w:lang w:val="es-US" w:eastAsia="zh-CN"/>
        </w:rPr>
        <w:t xml:space="preserve"> </w:t>
      </w:r>
      <w:r w:rsidRPr="0033346E">
        <w:rPr>
          <w:rFonts w:eastAsia="DengXian"/>
          <w:sz w:val="24"/>
          <w:szCs w:val="24"/>
          <w:lang w:val="es-US" w:eastAsia="zh-CN"/>
        </w:rPr>
        <w:t xml:space="preserve">Colombiana de Gastro. 2014 [acceso: 21/01/2020];29(1): 96- 100. Disponible en: </w:t>
      </w:r>
      <w:hyperlink r:id="rId17" w:history="1">
        <w:r w:rsidRPr="0033346E">
          <w:rPr>
            <w:rFonts w:eastAsia="DengXian"/>
            <w:color w:val="0563C1"/>
            <w:sz w:val="24"/>
            <w:szCs w:val="24"/>
            <w:u w:val="single"/>
            <w:lang w:val="es-US" w:eastAsia="zh-CN"/>
          </w:rPr>
          <w:t>http://www.redalyc.org/articulo.oa?id=337731614002</w:t>
        </w:r>
      </w:hyperlink>
    </w:p>
    <w:p w14:paraId="1AF4F9E1" w14:textId="77777777" w:rsidR="0033346E" w:rsidRPr="0033346E" w:rsidRDefault="0033346E" w:rsidP="0033346E">
      <w:pPr>
        <w:spacing w:after="0" w:line="360" w:lineRule="auto"/>
        <w:rPr>
          <w:color w:val="000000"/>
          <w:sz w:val="24"/>
          <w:szCs w:val="24"/>
          <w:lang w:val="es-US"/>
        </w:rPr>
      </w:pPr>
      <w:r w:rsidRPr="0033346E">
        <w:rPr>
          <w:rFonts w:eastAsia="DengXian"/>
          <w:sz w:val="24"/>
          <w:szCs w:val="24"/>
          <w:lang w:val="es-US" w:eastAsia="zh-CN"/>
        </w:rPr>
        <w:t xml:space="preserve">4. </w:t>
      </w:r>
      <w:r w:rsidRPr="0033346E">
        <w:rPr>
          <w:color w:val="000000"/>
          <w:sz w:val="24"/>
          <w:szCs w:val="24"/>
          <w:lang w:val="es-US"/>
        </w:rPr>
        <w:t xml:space="preserve">Castellanos Fernández MI, Rogel Marroquín BI, Rodríguez Martorell F, Arjona Rodríguez IA, Lazo del Vallin S. Disfunción cardiaca en la cirrosis hepática. Rev cubana med. 2014 [acceso: 26/07/2021]; 53(2): 189-200. Disponible en: </w:t>
      </w:r>
      <w:hyperlink r:id="rId18" w:history="1">
        <w:r w:rsidRPr="0033346E">
          <w:rPr>
            <w:rStyle w:val="Hipervnculo"/>
            <w:sz w:val="24"/>
            <w:szCs w:val="24"/>
            <w:lang w:val="es-US"/>
          </w:rPr>
          <w:t>http://scielo.sld.cu/scielo.php?script=sci_arttext&amp;pid=S0034-75232014000200008&amp;lng=es</w:t>
        </w:r>
      </w:hyperlink>
    </w:p>
    <w:p w14:paraId="4322E6CF" w14:textId="41F51BE3"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 xml:space="preserve">5. Kimova K, Padilla C, Ávila JC, Clemente G, Ochoa A. Epidemiología de las infecciones bacterianas en pacientes con cirrosis hepática, experiencia de un centro español de atención </w:t>
      </w:r>
      <w:r w:rsidR="00C210D4" w:rsidRPr="0033346E">
        <w:rPr>
          <w:rFonts w:eastAsia="DengXian"/>
          <w:sz w:val="24"/>
          <w:szCs w:val="24"/>
          <w:lang w:val="es-US" w:eastAsia="zh-CN"/>
        </w:rPr>
        <w:t>terciaria</w:t>
      </w:r>
      <w:r w:rsidRPr="0033346E">
        <w:rPr>
          <w:rFonts w:eastAsia="DengXian"/>
          <w:sz w:val="24"/>
          <w:szCs w:val="24"/>
          <w:lang w:val="es-US" w:eastAsia="zh-CN"/>
        </w:rPr>
        <w:t xml:space="preserve">. Biomédica. </w:t>
      </w:r>
      <w:r w:rsidRPr="0033346E">
        <w:rPr>
          <w:rFonts w:eastAsia="DengXian"/>
          <w:sz w:val="24"/>
          <w:szCs w:val="24"/>
          <w:lang w:val="es-US" w:eastAsia="zh-CN"/>
        </w:rPr>
        <w:lastRenderedPageBreak/>
        <w:t xml:space="preserve">2016 [acceso: 18/10/2020]; 36(1): 121- 32. Disponible en: </w:t>
      </w:r>
      <w:hyperlink r:id="rId19" w:history="1">
        <w:r w:rsidRPr="0033346E">
          <w:rPr>
            <w:rFonts w:eastAsia="DengXian"/>
            <w:color w:val="0563C1"/>
            <w:sz w:val="24"/>
            <w:szCs w:val="24"/>
            <w:u w:val="single"/>
            <w:lang w:val="es-US" w:eastAsia="zh-CN"/>
          </w:rPr>
          <w:t>https://www.redalyc.org/pdf/843/84344266013.pdf</w:t>
        </w:r>
      </w:hyperlink>
    </w:p>
    <w:p w14:paraId="2CFD6446" w14:textId="53A258F0" w:rsidR="0033346E" w:rsidRPr="0033346E" w:rsidRDefault="0033346E" w:rsidP="0033346E">
      <w:pPr>
        <w:spacing w:after="0" w:line="360" w:lineRule="auto"/>
        <w:rPr>
          <w:rFonts w:eastAsia="DengXian"/>
          <w:color w:val="0563C1"/>
          <w:sz w:val="24"/>
          <w:szCs w:val="24"/>
          <w:u w:val="single"/>
          <w:lang w:val="es-US" w:eastAsia="zh-CN"/>
        </w:rPr>
      </w:pPr>
      <w:r w:rsidRPr="0033346E">
        <w:rPr>
          <w:rFonts w:eastAsia="DengXian"/>
          <w:sz w:val="24"/>
          <w:szCs w:val="24"/>
          <w:lang w:val="es-US" w:eastAsia="zh-CN"/>
        </w:rPr>
        <w:t xml:space="preserve">6. Flores Poveda KA, Morante Arias JE, Flores Subia DL, Méndez Castro AM. Cirrosis </w:t>
      </w:r>
      <w:r w:rsidR="00C210D4" w:rsidRPr="0033346E">
        <w:rPr>
          <w:rFonts w:eastAsia="DengXian"/>
          <w:sz w:val="24"/>
          <w:szCs w:val="24"/>
          <w:lang w:val="es-US" w:eastAsia="zh-CN"/>
        </w:rPr>
        <w:t>hepática</w:t>
      </w:r>
      <w:r w:rsidRPr="0033346E">
        <w:rPr>
          <w:rFonts w:eastAsia="DengXian"/>
          <w:sz w:val="24"/>
          <w:szCs w:val="24"/>
          <w:lang w:val="es-US" w:eastAsia="zh-CN"/>
        </w:rPr>
        <w:t xml:space="preserve">: perfil epidemiológico y calidad de vida. Hospital Teodoro Maldonado Carbo. 2014- 2015. Ciencia Digital. 2019 [acceso: 18/10/2020]; 3(4): 6-21. Disponible en: </w:t>
      </w:r>
      <w:hyperlink r:id="rId20" w:history="1">
        <w:r w:rsidRPr="0033346E">
          <w:rPr>
            <w:rFonts w:eastAsia="DengXian"/>
            <w:color w:val="0563C1"/>
            <w:sz w:val="24"/>
            <w:szCs w:val="24"/>
            <w:u w:val="single"/>
            <w:lang w:val="es-US" w:eastAsia="zh-CN"/>
          </w:rPr>
          <w:t>https://doi.org/10.33262/cienciadigital.v3i4.936</w:t>
        </w:r>
      </w:hyperlink>
    </w:p>
    <w:p w14:paraId="0FFC9970" w14:textId="77777777" w:rsidR="0033346E" w:rsidRPr="0033346E" w:rsidRDefault="0033346E" w:rsidP="0033346E">
      <w:pPr>
        <w:spacing w:after="0" w:line="360" w:lineRule="auto"/>
        <w:rPr>
          <w:rFonts w:eastAsia="DengXian"/>
          <w:color w:val="0563C1"/>
          <w:sz w:val="24"/>
          <w:szCs w:val="24"/>
          <w:u w:val="single"/>
          <w:lang w:val="es-US" w:eastAsia="zh-CN"/>
        </w:rPr>
      </w:pPr>
      <w:r w:rsidRPr="0033346E">
        <w:rPr>
          <w:rFonts w:eastAsia="DengXian"/>
          <w:sz w:val="24"/>
          <w:szCs w:val="24"/>
          <w:lang w:val="es-US" w:eastAsia="zh-CN"/>
        </w:rPr>
        <w:t xml:space="preserve">7. Alvarado E, Villanueva C. Estadio compensado y descompensado de la cirrosis: implicaciones pronósticas y factores relacionados con la progresión de la enfermedad. [Tesis doctoral]. Barcelona: Universidad Autónoma de Barcelona; 2018[acceso: 18/10/2020]. Disponible en: </w:t>
      </w:r>
      <w:hyperlink r:id="rId21" w:history="1">
        <w:r w:rsidRPr="0033346E">
          <w:rPr>
            <w:rFonts w:eastAsia="DengXian"/>
            <w:color w:val="0563C1"/>
            <w:sz w:val="24"/>
            <w:szCs w:val="24"/>
            <w:u w:val="single"/>
            <w:lang w:val="es-US" w:eastAsia="zh-CN"/>
          </w:rPr>
          <w:t>https://ddd.uab.cat/pub/tesis/2018/hdl_10803_664228/eat1de1.pdf</w:t>
        </w:r>
      </w:hyperlink>
    </w:p>
    <w:p w14:paraId="68972684" w14:textId="77777777" w:rsidR="0033346E" w:rsidRPr="0033346E" w:rsidRDefault="0033346E" w:rsidP="0033346E">
      <w:pPr>
        <w:spacing w:after="0" w:line="360" w:lineRule="auto"/>
        <w:rPr>
          <w:sz w:val="24"/>
          <w:szCs w:val="24"/>
          <w:lang w:val="es-ES"/>
        </w:rPr>
      </w:pPr>
      <w:r w:rsidRPr="0033346E">
        <w:rPr>
          <w:rFonts w:eastAsia="DengXian"/>
          <w:sz w:val="24"/>
          <w:szCs w:val="24"/>
          <w:lang w:val="es-US" w:eastAsia="zh-CN"/>
        </w:rPr>
        <w:t xml:space="preserve">8. Dirección de registros médicos y estadísticos de salud. Anuario estadístico de Salud, 2019. La Habana: Ministerio de Salud Pública; 2019[acceso: 18/10/2020]. Disponible en: </w:t>
      </w:r>
      <w:hyperlink r:id="rId22" w:history="1">
        <w:r w:rsidRPr="0033346E">
          <w:rPr>
            <w:rFonts w:eastAsia="DengXian"/>
            <w:color w:val="0563C1"/>
            <w:sz w:val="24"/>
            <w:szCs w:val="24"/>
            <w:u w:val="single"/>
            <w:lang w:val="es-US" w:eastAsia="zh-CN"/>
          </w:rPr>
          <w:t>http://www.sld.cu/anuncio/2020/05/09/publicado-el-anuario-estadistico-de-salud-2019</w:t>
        </w:r>
      </w:hyperlink>
    </w:p>
    <w:p w14:paraId="09AD8513" w14:textId="77777777"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 xml:space="preserve">9. Samada M. Factores pronósticos de supervivencia en pacientes con cirrosis hepática evaluados para trasplante hepático. [Tesis doctoral]. Cuba: Instituto Superior de Ciencias Médicas de La Habana; 2008[acceso: 18/10/2020]. Disponible en: </w:t>
      </w:r>
      <w:hyperlink r:id="rId23" w:history="1">
        <w:r w:rsidRPr="0033346E">
          <w:rPr>
            <w:rFonts w:eastAsia="DengXian"/>
            <w:color w:val="0563C1"/>
            <w:sz w:val="24"/>
            <w:szCs w:val="24"/>
            <w:u w:val="single"/>
            <w:lang w:val="es-US" w:eastAsia="zh-CN"/>
          </w:rPr>
          <w:t>http://eduniv.reduniv.edu.cu/index.php?page=13&amp;id=1065&amp;db=1</w:t>
        </w:r>
      </w:hyperlink>
    </w:p>
    <w:p w14:paraId="60D6EBB0" w14:textId="69D1511B"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10. Casillas Guzmán GB, Saraiba Reyes M, Higuera de la Tijera F, Serralde Zúñiga A, Pérez Hernández JL, Pérez Torres E. Manifestaciones de hipertensión portal diagnosticadas por endoscopía en pacientes cirróticos del Hospital General de México. Rev</w:t>
      </w:r>
      <w:r w:rsidR="00C210D4">
        <w:rPr>
          <w:rFonts w:eastAsia="DengXian"/>
          <w:sz w:val="24"/>
          <w:szCs w:val="24"/>
          <w:lang w:val="es-US" w:eastAsia="zh-CN"/>
        </w:rPr>
        <w:t xml:space="preserve"> </w:t>
      </w:r>
      <w:r w:rsidRPr="0033346E">
        <w:rPr>
          <w:rFonts w:eastAsia="DengXian"/>
          <w:sz w:val="24"/>
          <w:szCs w:val="24"/>
          <w:lang w:val="es-US" w:eastAsia="zh-CN"/>
        </w:rPr>
        <w:t>Med</w:t>
      </w:r>
      <w:r w:rsidR="00C210D4">
        <w:rPr>
          <w:rFonts w:eastAsia="DengXian"/>
          <w:sz w:val="24"/>
          <w:szCs w:val="24"/>
          <w:lang w:val="es-US" w:eastAsia="zh-CN"/>
        </w:rPr>
        <w:t xml:space="preserve"> </w:t>
      </w:r>
      <w:r w:rsidRPr="0033346E">
        <w:rPr>
          <w:rFonts w:eastAsia="DengXian"/>
          <w:sz w:val="24"/>
          <w:szCs w:val="24"/>
          <w:lang w:val="es-US" w:eastAsia="zh-CN"/>
        </w:rPr>
        <w:t xml:space="preserve">Hosp Gen Méx. 2011 [acceso: 18/10/2020]; 74(3): 126-31. Disponible en: </w:t>
      </w:r>
      <w:hyperlink r:id="rId24" w:history="1">
        <w:r w:rsidRPr="0033346E">
          <w:rPr>
            <w:rStyle w:val="Hipervnculo"/>
            <w:rFonts w:eastAsia="DengXian"/>
            <w:sz w:val="24"/>
            <w:szCs w:val="24"/>
            <w:lang w:val="es-US" w:eastAsia="zh-CN"/>
          </w:rPr>
          <w:t>https://www.imbiomed.com.mx/articulo.php?id=80530</w:t>
        </w:r>
      </w:hyperlink>
    </w:p>
    <w:p w14:paraId="301CAB36" w14:textId="03EF77BB"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 xml:space="preserve">11. Pérez Lorenzo M, Infante </w:t>
      </w:r>
      <w:r w:rsidR="00C210D4" w:rsidRPr="0033346E">
        <w:rPr>
          <w:rFonts w:eastAsia="DengXian"/>
          <w:sz w:val="24"/>
          <w:szCs w:val="24"/>
          <w:lang w:val="es-US" w:eastAsia="zh-CN"/>
        </w:rPr>
        <w:t>Velázquez</w:t>
      </w:r>
      <w:r w:rsidRPr="0033346E">
        <w:rPr>
          <w:rFonts w:eastAsia="DengXian"/>
          <w:sz w:val="24"/>
          <w:szCs w:val="24"/>
          <w:lang w:val="es-US" w:eastAsia="zh-CN"/>
        </w:rPr>
        <w:t xml:space="preserve"> M, Ávalos </w:t>
      </w:r>
      <w:r w:rsidR="00C210D4" w:rsidRPr="0033346E">
        <w:rPr>
          <w:rFonts w:eastAsia="DengXian"/>
          <w:sz w:val="24"/>
          <w:szCs w:val="24"/>
          <w:lang w:val="es-US" w:eastAsia="zh-CN"/>
        </w:rPr>
        <w:t>Rodríguez</w:t>
      </w:r>
      <w:r w:rsidRPr="0033346E">
        <w:rPr>
          <w:rFonts w:eastAsia="DengXian"/>
          <w:sz w:val="24"/>
          <w:szCs w:val="24"/>
          <w:lang w:val="es-US" w:eastAsia="zh-CN"/>
        </w:rPr>
        <w:t xml:space="preserve"> M, Guerrero González Y, Román Martínez Y, Rodríguez Álvarez D. Caracterización clínica de pacientes </w:t>
      </w:r>
      <w:r w:rsidR="00C210D4" w:rsidRPr="0033346E">
        <w:rPr>
          <w:rFonts w:eastAsia="DengXian"/>
          <w:sz w:val="24"/>
          <w:szCs w:val="24"/>
          <w:lang w:val="es-US" w:eastAsia="zh-CN"/>
        </w:rPr>
        <w:t>cirróticos</w:t>
      </w:r>
      <w:r w:rsidRPr="0033346E">
        <w:rPr>
          <w:rFonts w:eastAsia="DengXian"/>
          <w:sz w:val="24"/>
          <w:szCs w:val="24"/>
          <w:lang w:val="es-US" w:eastAsia="zh-CN"/>
        </w:rPr>
        <w:t xml:space="preserve"> con gastropatía portal hipertensiva. Rev</w:t>
      </w:r>
      <w:r w:rsidR="00C210D4">
        <w:rPr>
          <w:rFonts w:eastAsia="DengXian"/>
          <w:sz w:val="24"/>
          <w:szCs w:val="24"/>
          <w:lang w:val="es-US" w:eastAsia="zh-CN"/>
        </w:rPr>
        <w:t xml:space="preserve"> </w:t>
      </w:r>
      <w:r w:rsidRPr="0033346E">
        <w:rPr>
          <w:rFonts w:eastAsia="DengXian"/>
          <w:sz w:val="24"/>
          <w:szCs w:val="24"/>
          <w:lang w:val="es-US" w:eastAsia="zh-CN"/>
        </w:rPr>
        <w:t>Cub</w:t>
      </w:r>
      <w:r w:rsidR="00C210D4">
        <w:rPr>
          <w:rFonts w:eastAsia="DengXian"/>
          <w:sz w:val="24"/>
          <w:szCs w:val="24"/>
          <w:lang w:val="es-US" w:eastAsia="zh-CN"/>
        </w:rPr>
        <w:t xml:space="preserve"> </w:t>
      </w:r>
      <w:r w:rsidRPr="0033346E">
        <w:rPr>
          <w:rFonts w:eastAsia="DengXian"/>
          <w:sz w:val="24"/>
          <w:szCs w:val="24"/>
          <w:lang w:val="es-US" w:eastAsia="zh-CN"/>
        </w:rPr>
        <w:t xml:space="preserve">Med Militar. 2016 [acceso: 18/10/2020]; 45(2): 172- 82. Disponible en: </w:t>
      </w:r>
      <w:hyperlink r:id="rId25" w:history="1">
        <w:r w:rsidRPr="0033346E">
          <w:rPr>
            <w:rFonts w:eastAsia="DengXian"/>
            <w:color w:val="0563C1"/>
            <w:sz w:val="24"/>
            <w:szCs w:val="24"/>
            <w:u w:val="single"/>
            <w:lang w:val="es-US" w:eastAsia="zh-CN"/>
          </w:rPr>
          <w:t>http://scielo.sld.cu/scielo.php?script=sci_arttext&amp;pid=S0138-65572016000200006</w:t>
        </w:r>
      </w:hyperlink>
    </w:p>
    <w:p w14:paraId="56E0FC26" w14:textId="77777777" w:rsidR="0033346E" w:rsidRPr="0033346E" w:rsidRDefault="0033346E" w:rsidP="0033346E">
      <w:pPr>
        <w:spacing w:after="0" w:line="360" w:lineRule="auto"/>
        <w:rPr>
          <w:rFonts w:eastAsia="DengXian"/>
          <w:color w:val="FF0000"/>
          <w:sz w:val="24"/>
          <w:szCs w:val="24"/>
          <w:lang w:val="es-US" w:eastAsia="zh-CN"/>
        </w:rPr>
      </w:pPr>
      <w:r w:rsidRPr="0033346E">
        <w:rPr>
          <w:rFonts w:eastAsia="DengXian"/>
          <w:sz w:val="24"/>
          <w:szCs w:val="24"/>
          <w:lang w:val="es-US" w:eastAsia="zh-CN"/>
        </w:rPr>
        <w:t xml:space="preserve">12. Asociación Médica Mundial AMM. Declaración de Helsinki de la AMM - Principios éticos para las investigaciones médicas en seres humanos. 64ª Asamblea General; 2013. Fortaleza, Brasil: Asociación Médica Mundial (AMM); 2013[acceso: 18/10/2020]. Disponible en: </w:t>
      </w:r>
      <w:hyperlink r:id="rId26" w:history="1">
        <w:r w:rsidRPr="0033346E">
          <w:rPr>
            <w:rFonts w:eastAsia="DengXian"/>
            <w:color w:val="0563C1"/>
            <w:sz w:val="24"/>
            <w:szCs w:val="24"/>
            <w:u w:val="single"/>
            <w:lang w:val="es-US" w:eastAsia="zh-CN"/>
          </w:rPr>
          <w:t>https://www.wma.net/es/policies-post/declaracion-de-helsinki-de-la-amm-principios-eticos-para-las-investigaciones-medicas-en-seres-humanos/</w:t>
        </w:r>
      </w:hyperlink>
    </w:p>
    <w:p w14:paraId="10362D3A" w14:textId="14D0F071"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lastRenderedPageBreak/>
        <w:t>13. More E.  Características clínicas y epidemiológicas</w:t>
      </w:r>
      <w:r w:rsidR="00C210D4">
        <w:rPr>
          <w:rFonts w:eastAsia="DengXian"/>
          <w:sz w:val="24"/>
          <w:szCs w:val="24"/>
          <w:lang w:val="es-US" w:eastAsia="zh-CN"/>
        </w:rPr>
        <w:t xml:space="preserve"> </w:t>
      </w:r>
      <w:r w:rsidRPr="0033346E">
        <w:rPr>
          <w:rFonts w:eastAsia="DengXian"/>
          <w:sz w:val="24"/>
          <w:szCs w:val="24"/>
          <w:lang w:val="es-US" w:eastAsia="zh-CN"/>
        </w:rPr>
        <w:t xml:space="preserve">de la cirrosis hepática en un hospital de la ciudad de Lima.[Tesis de grado]. Perú. Universidad San Martín de Porres; 2015[acceso: 18/10/2020]. Disponible en: </w:t>
      </w:r>
      <w:hyperlink r:id="rId27" w:history="1">
        <w:r w:rsidRPr="0033346E">
          <w:rPr>
            <w:rFonts w:eastAsia="DengXian"/>
            <w:color w:val="0563C1"/>
            <w:sz w:val="24"/>
            <w:szCs w:val="24"/>
            <w:u w:val="single"/>
            <w:lang w:val="es-US" w:eastAsia="zh-CN"/>
          </w:rPr>
          <w:t>http://repositorio.unap.edu.pe/bitstream/handle/UNAP/9459/Roberto_Torres_Lerma.pdf?sequence=3&amp;isAllowed=y</w:t>
        </w:r>
      </w:hyperlink>
    </w:p>
    <w:p w14:paraId="0971C15F" w14:textId="6F7A2AF8"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 xml:space="preserve">14. Larico M.  Características clínicas, complicaciones y evaluación de sobrevida de los pacientes con cirrosis hepática del Hospital </w:t>
      </w:r>
      <w:r w:rsidR="00C96D5A" w:rsidRPr="0033346E">
        <w:rPr>
          <w:rFonts w:eastAsia="DengXian"/>
          <w:sz w:val="24"/>
          <w:szCs w:val="24"/>
          <w:lang w:val="es-US" w:eastAsia="zh-CN"/>
        </w:rPr>
        <w:t>Hipólito</w:t>
      </w:r>
      <w:r w:rsidR="00CE0DD0">
        <w:rPr>
          <w:rFonts w:eastAsia="DengXian"/>
          <w:sz w:val="24"/>
          <w:szCs w:val="24"/>
          <w:lang w:val="es-US" w:eastAsia="zh-CN"/>
        </w:rPr>
        <w:t xml:space="preserve"> </w:t>
      </w:r>
      <w:r w:rsidRPr="0033346E">
        <w:rPr>
          <w:rFonts w:eastAsia="DengXian"/>
          <w:sz w:val="24"/>
          <w:szCs w:val="24"/>
          <w:lang w:val="es-US" w:eastAsia="zh-CN"/>
        </w:rPr>
        <w:t>Unanue de Tacna 2010-2012.</w:t>
      </w:r>
      <w:r w:rsidR="00CE0DD0">
        <w:rPr>
          <w:rFonts w:eastAsia="DengXian"/>
          <w:sz w:val="24"/>
          <w:szCs w:val="24"/>
          <w:lang w:val="es-US" w:eastAsia="zh-CN"/>
        </w:rPr>
        <w:t xml:space="preserve"> </w:t>
      </w:r>
      <w:r w:rsidRPr="0033346E">
        <w:rPr>
          <w:rFonts w:eastAsia="DengXian"/>
          <w:sz w:val="24"/>
          <w:szCs w:val="24"/>
          <w:lang w:val="es-US" w:eastAsia="zh-CN"/>
        </w:rPr>
        <w:t>[</w:t>
      </w:r>
      <w:r w:rsidR="00CE0DD0">
        <w:rPr>
          <w:rFonts w:eastAsia="DengXian"/>
          <w:sz w:val="24"/>
          <w:szCs w:val="24"/>
          <w:lang w:val="es-US" w:eastAsia="zh-CN"/>
        </w:rPr>
        <w:t>T</w:t>
      </w:r>
      <w:r w:rsidRPr="0033346E">
        <w:rPr>
          <w:rFonts w:eastAsia="DengXian"/>
          <w:sz w:val="24"/>
          <w:szCs w:val="24"/>
          <w:lang w:val="es-US" w:eastAsia="zh-CN"/>
        </w:rPr>
        <w:t xml:space="preserve">esis de grado]. Lima, Perú: Universidad San Martin de Porres; 2015[acceso: 18/10/2020]. Disponible en: </w:t>
      </w:r>
      <w:hyperlink r:id="rId28" w:history="1">
        <w:r w:rsidRPr="0033346E">
          <w:rPr>
            <w:rFonts w:eastAsia="DengXian"/>
            <w:color w:val="0563C1"/>
            <w:sz w:val="24"/>
            <w:szCs w:val="24"/>
            <w:u w:val="single"/>
            <w:lang w:val="es-US" w:eastAsia="zh-CN"/>
          </w:rPr>
          <w:t>http://repositorio.unjbg.edu.pe/handle/UNJBG/2388</w:t>
        </w:r>
      </w:hyperlink>
    </w:p>
    <w:p w14:paraId="6C140EEF" w14:textId="128A527C"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15. Castellanos M, Santana S, García E, Rodríguez A, Barreto</w:t>
      </w:r>
      <w:r w:rsidR="000425E8">
        <w:rPr>
          <w:rFonts w:eastAsia="DengXian"/>
          <w:sz w:val="24"/>
          <w:szCs w:val="24"/>
          <w:lang w:val="es-US" w:eastAsia="zh-CN"/>
        </w:rPr>
        <w:t xml:space="preserve"> </w:t>
      </w:r>
      <w:r w:rsidRPr="0033346E">
        <w:rPr>
          <w:rFonts w:eastAsia="DengXian"/>
          <w:sz w:val="24"/>
          <w:szCs w:val="24"/>
          <w:lang w:val="es-US" w:eastAsia="zh-CN"/>
        </w:rPr>
        <w:t>J, López</w:t>
      </w:r>
      <w:r w:rsidR="000425E8">
        <w:rPr>
          <w:rFonts w:eastAsia="DengXian"/>
          <w:sz w:val="24"/>
          <w:szCs w:val="24"/>
          <w:lang w:val="es-US" w:eastAsia="zh-CN"/>
        </w:rPr>
        <w:t xml:space="preserve"> </w:t>
      </w:r>
      <w:r w:rsidRPr="0033346E">
        <w:rPr>
          <w:rFonts w:eastAsia="DengXian"/>
          <w:sz w:val="24"/>
          <w:szCs w:val="24"/>
          <w:lang w:val="es-US" w:eastAsia="zh-CN"/>
        </w:rPr>
        <w:t>Y, Martínez C. Influencia de la desnutrición en la aparición de</w:t>
      </w:r>
      <w:r w:rsidR="000425E8">
        <w:rPr>
          <w:rFonts w:eastAsia="DengXian"/>
          <w:sz w:val="24"/>
          <w:szCs w:val="24"/>
          <w:lang w:val="es-US" w:eastAsia="zh-CN"/>
        </w:rPr>
        <w:t xml:space="preserve"> </w:t>
      </w:r>
      <w:r w:rsidRPr="0033346E">
        <w:rPr>
          <w:rFonts w:eastAsia="DengXian"/>
          <w:sz w:val="24"/>
          <w:szCs w:val="24"/>
          <w:lang w:val="es-US" w:eastAsia="zh-CN"/>
        </w:rPr>
        <w:t>complicaciones y mortalidad en pacientes cirróticos. Nutr</w:t>
      </w:r>
      <w:r w:rsidR="000425E8">
        <w:rPr>
          <w:rFonts w:eastAsia="DengXian"/>
          <w:sz w:val="24"/>
          <w:szCs w:val="24"/>
          <w:lang w:val="es-US" w:eastAsia="zh-CN"/>
        </w:rPr>
        <w:t xml:space="preserve"> </w:t>
      </w:r>
      <w:r w:rsidRPr="0033346E">
        <w:rPr>
          <w:rFonts w:eastAsia="DengXian"/>
          <w:sz w:val="24"/>
          <w:szCs w:val="24"/>
          <w:lang w:val="es-US" w:eastAsia="zh-CN"/>
        </w:rPr>
        <w:t>Hosp. 2008 [acceso: 18/10/2020];23(1):54-60. Disponible en:</w:t>
      </w:r>
      <w:hyperlink r:id="rId29" w:history="1">
        <w:r w:rsidRPr="0033346E">
          <w:rPr>
            <w:rStyle w:val="Hipervnculo"/>
            <w:rFonts w:eastAsia="DengXian"/>
            <w:sz w:val="24"/>
            <w:szCs w:val="24"/>
            <w:lang w:val="es-US" w:eastAsia="zh-CN"/>
          </w:rPr>
          <w:t>http://scielo.isciii.es/scielo.php?script=sci_arttext&amp;pid=S0212-16112008000100011</w:t>
        </w:r>
      </w:hyperlink>
    </w:p>
    <w:p w14:paraId="588DD438" w14:textId="5F8B23AE"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16. Roque Lozano JA, Sauchay Romero L, Rodríguez Chala HE. Caracterización de mortalidad por Cirrosis Hepática en el Hospital “Julio Trigo López”. 2012-2016. Revista Cubana de Tecnología de la Salud. 2019 [acceso: 30/05/2021];10(2):</w:t>
      </w:r>
      <w:r w:rsidR="000425E8">
        <w:rPr>
          <w:rFonts w:eastAsia="DengXian"/>
          <w:sz w:val="24"/>
          <w:szCs w:val="24"/>
          <w:lang w:val="es-US" w:eastAsia="zh-CN"/>
        </w:rPr>
        <w:t xml:space="preserve"> </w:t>
      </w:r>
      <w:r w:rsidRPr="0033346E">
        <w:rPr>
          <w:rFonts w:eastAsia="DengXian"/>
          <w:sz w:val="24"/>
          <w:szCs w:val="24"/>
          <w:lang w:val="es-US" w:eastAsia="zh-CN"/>
        </w:rPr>
        <w:t>[aprox. 8 p.]. Disponible en: </w:t>
      </w:r>
      <w:hyperlink r:id="rId30" w:history="1">
        <w:r w:rsidRPr="0033346E">
          <w:rPr>
            <w:rStyle w:val="Hipervnculo"/>
            <w:rFonts w:eastAsia="DengXian"/>
            <w:sz w:val="24"/>
            <w:szCs w:val="24"/>
            <w:lang w:val="es-US" w:eastAsia="zh-CN"/>
          </w:rPr>
          <w:t>http://www.revtecnologia.sld.cu/index.php/tec/article/view/1310</w:t>
        </w:r>
      </w:hyperlink>
    </w:p>
    <w:p w14:paraId="541349AD" w14:textId="77777777"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 xml:space="preserve">17. Gómez Mantilla N, Camacho Assef JA, Roque Pérez L, Martínez Sarmiento A, Roque Morgado M, Porbén Cao N. Factores clínicos y bioquímicos predictores de supervivencia al año en pacientes con diagnóstico de cirrosis hepática. MEDICIEGO. 2016 [acceso: 18/10/2020]; 22(3): 43-55. Disponible en: </w:t>
      </w:r>
      <w:hyperlink r:id="rId31" w:history="1">
        <w:r w:rsidRPr="0033346E">
          <w:rPr>
            <w:rFonts w:eastAsia="DengXian"/>
            <w:color w:val="0563C1"/>
            <w:sz w:val="24"/>
            <w:szCs w:val="24"/>
            <w:u w:val="single"/>
            <w:lang w:val="es-US" w:eastAsia="zh-CN"/>
          </w:rPr>
          <w:t>http://www.revmediciego.sld.cu/index.php/mediciego/rt/captureCite/527/1012</w:t>
        </w:r>
      </w:hyperlink>
    </w:p>
    <w:p w14:paraId="02FE49D1" w14:textId="5AE041E7"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18. Escorcia</w:t>
      </w:r>
      <w:r w:rsidR="00635DA1">
        <w:rPr>
          <w:rFonts w:eastAsia="DengXian"/>
          <w:sz w:val="24"/>
          <w:szCs w:val="24"/>
          <w:lang w:val="es-US" w:eastAsia="zh-CN"/>
        </w:rPr>
        <w:t xml:space="preserve"> </w:t>
      </w:r>
      <w:r w:rsidRPr="0033346E">
        <w:rPr>
          <w:rFonts w:eastAsia="DengXian"/>
          <w:sz w:val="24"/>
          <w:szCs w:val="24"/>
          <w:lang w:val="es-US" w:eastAsia="zh-CN"/>
        </w:rPr>
        <w:t>Charris EJ, Marrugo</w:t>
      </w:r>
      <w:r w:rsidR="00635DA1">
        <w:rPr>
          <w:rFonts w:eastAsia="DengXian"/>
          <w:sz w:val="24"/>
          <w:szCs w:val="24"/>
          <w:lang w:val="es-US" w:eastAsia="zh-CN"/>
        </w:rPr>
        <w:t xml:space="preserve"> </w:t>
      </w:r>
      <w:r w:rsidRPr="0033346E">
        <w:rPr>
          <w:rFonts w:eastAsia="DengXian"/>
          <w:sz w:val="24"/>
          <w:szCs w:val="24"/>
          <w:lang w:val="es-US" w:eastAsia="zh-CN"/>
        </w:rPr>
        <w:t xml:space="preserve">Balceiro WR. Caracterización epidemiológica y clínica de la cirrosis </w:t>
      </w:r>
      <w:r w:rsidR="00635DA1" w:rsidRPr="0033346E">
        <w:rPr>
          <w:rFonts w:eastAsia="DengXian"/>
          <w:sz w:val="24"/>
          <w:szCs w:val="24"/>
          <w:lang w:val="es-US" w:eastAsia="zh-CN"/>
        </w:rPr>
        <w:t>hepática</w:t>
      </w:r>
      <w:r w:rsidRPr="0033346E">
        <w:rPr>
          <w:rFonts w:eastAsia="DengXian"/>
          <w:sz w:val="24"/>
          <w:szCs w:val="24"/>
          <w:lang w:val="es-US" w:eastAsia="zh-CN"/>
        </w:rPr>
        <w:t xml:space="preserve"> en un centro regional del Caribe colombiano: clínica general del norte. Enero 2012 a marzo 2017. Revista Biociencias. 2018 [acceso: 18/10/2020]; 13(2): 31-5. Disponible en: </w:t>
      </w:r>
      <w:hyperlink r:id="rId32" w:history="1">
        <w:r w:rsidRPr="0033346E">
          <w:rPr>
            <w:rFonts w:eastAsia="DengXian"/>
            <w:color w:val="0563C1"/>
            <w:sz w:val="24"/>
            <w:szCs w:val="24"/>
            <w:u w:val="single"/>
            <w:lang w:val="es-US" w:eastAsia="zh-CN"/>
          </w:rPr>
          <w:t>https://revistas.unilibre.edu.co/index.php/biociencias/article/view/2242</w:t>
        </w:r>
      </w:hyperlink>
    </w:p>
    <w:p w14:paraId="706293D7" w14:textId="77777777"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 xml:space="preserve">19. Martínez A, Valdivia F, Cárdenas M. Principales factores de riesgo presentes en pacientes con cirrosis hepática en la provincia de Ciego de Ávila. Mediciego. 2013 [acceso: 18/10/2020]; 17(2): [aprox. 8 p.]. Disponible en: </w:t>
      </w:r>
      <w:hyperlink r:id="rId33" w:history="1">
        <w:r w:rsidRPr="0033346E">
          <w:rPr>
            <w:rFonts w:eastAsia="DengXian"/>
            <w:color w:val="0563C1"/>
            <w:sz w:val="24"/>
            <w:szCs w:val="24"/>
            <w:u w:val="single"/>
            <w:lang w:val="es-US" w:eastAsia="zh-CN"/>
          </w:rPr>
          <w:t>http://bvs.sld.cu/revistas/mciego/vol19_supl2_2013/articulos/t-8.html</w:t>
        </w:r>
      </w:hyperlink>
    </w:p>
    <w:p w14:paraId="10CE92CD" w14:textId="77777777" w:rsidR="0033346E" w:rsidRPr="0033346E" w:rsidRDefault="0033346E" w:rsidP="0033346E">
      <w:pPr>
        <w:spacing w:after="0" w:line="360" w:lineRule="auto"/>
        <w:rPr>
          <w:sz w:val="24"/>
          <w:szCs w:val="24"/>
          <w:lang w:val="es-ES"/>
        </w:rPr>
      </w:pPr>
      <w:r w:rsidRPr="0033346E">
        <w:rPr>
          <w:rFonts w:eastAsia="DengXian"/>
          <w:sz w:val="24"/>
          <w:szCs w:val="24"/>
          <w:lang w:val="es-US" w:eastAsia="zh-CN"/>
        </w:rPr>
        <w:lastRenderedPageBreak/>
        <w:t xml:space="preserve">20. </w:t>
      </w:r>
      <w:r w:rsidRPr="0033346E">
        <w:rPr>
          <w:sz w:val="24"/>
          <w:szCs w:val="24"/>
          <w:lang w:val="es-ES"/>
        </w:rPr>
        <w:t xml:space="preserve">Calderón Gerstein W, Ascanio Paredes M, Yarinsueca Mata PR. Características clínicas y complicaciones de la cirrosis hepática en una población de altura (Huancayo, 3250 m s. n. m.). Horiz. Med. 2020 [acceso: 07/10/2021]; 20(2): e1186. Disponible en:  </w:t>
      </w:r>
      <w:hyperlink r:id="rId34" w:history="1">
        <w:r w:rsidRPr="0033346E">
          <w:rPr>
            <w:rStyle w:val="Hipervnculo"/>
            <w:sz w:val="24"/>
            <w:szCs w:val="24"/>
            <w:lang w:val="es-ES"/>
          </w:rPr>
          <w:t>http://dx.doi.org/10.24265/horizmed.2020.v20n2.08</w:t>
        </w:r>
      </w:hyperlink>
    </w:p>
    <w:p w14:paraId="5FE2780B" w14:textId="5C05FE4E"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 xml:space="preserve">21. Bustíos C, Dávalos M, Román R, Zumaeta E. </w:t>
      </w:r>
      <w:r w:rsidR="0069398D" w:rsidRPr="0033346E">
        <w:rPr>
          <w:rFonts w:eastAsia="DengXian"/>
          <w:sz w:val="24"/>
          <w:szCs w:val="24"/>
          <w:lang w:val="es-US" w:eastAsia="zh-CN"/>
        </w:rPr>
        <w:t>Características</w:t>
      </w:r>
      <w:r w:rsidRPr="0033346E">
        <w:rPr>
          <w:rFonts w:eastAsia="DengXian"/>
          <w:sz w:val="24"/>
          <w:szCs w:val="24"/>
          <w:lang w:val="es-US" w:eastAsia="zh-CN"/>
        </w:rPr>
        <w:t xml:space="preserve"> epidemiológicas y clínicas de la cirrosis hepática en la Unidad de Hígado del HNERM. Rev</w:t>
      </w:r>
      <w:r w:rsidR="0069398D">
        <w:rPr>
          <w:rFonts w:eastAsia="DengXian"/>
          <w:sz w:val="24"/>
          <w:szCs w:val="24"/>
          <w:lang w:val="es-US" w:eastAsia="zh-CN"/>
        </w:rPr>
        <w:t xml:space="preserve"> </w:t>
      </w:r>
      <w:r w:rsidRPr="0033346E">
        <w:rPr>
          <w:rFonts w:eastAsia="DengXian"/>
          <w:sz w:val="24"/>
          <w:szCs w:val="24"/>
          <w:lang w:val="es-US" w:eastAsia="zh-CN"/>
        </w:rPr>
        <w:t xml:space="preserve">Gastroenterol Perú. 2007 [acceso: 18/10/2020]; 27(3):238-45. Disponible en: </w:t>
      </w:r>
      <w:hyperlink r:id="rId35" w:history="1">
        <w:r w:rsidRPr="0033346E">
          <w:rPr>
            <w:rFonts w:eastAsia="DengXian"/>
            <w:color w:val="0563C1"/>
            <w:sz w:val="24"/>
            <w:szCs w:val="24"/>
            <w:u w:val="single"/>
            <w:lang w:val="es-US" w:eastAsia="zh-CN"/>
          </w:rPr>
          <w:t>http://www.scielo.org.pe/scielo.php?pid=S1022-51292007000300003&amp;script=sci_abstract</w:t>
        </w:r>
      </w:hyperlink>
    </w:p>
    <w:p w14:paraId="0E243955" w14:textId="77777777"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 xml:space="preserve">22. Juanbeltz R, Zozaya JM, Repáraz J, Castilla J, Sarobe MT, Úriz Otano JI, et al. Efectividad de los antivirales de acción directa de segunda generación en el tratamiento de la hepatitis C crónica. Anales Sis San Navarra. 2017 [acceso: 18/10/2020]; 40(1):57-66. Disponible en: </w:t>
      </w:r>
      <w:hyperlink r:id="rId36" w:history="1">
        <w:r w:rsidRPr="0033346E">
          <w:rPr>
            <w:rFonts w:eastAsia="DengXian"/>
            <w:color w:val="0563C1"/>
            <w:sz w:val="24"/>
            <w:szCs w:val="24"/>
            <w:u w:val="single"/>
            <w:lang w:val="es-US" w:eastAsia="zh-CN"/>
          </w:rPr>
          <w:t>http://dx.doi.org/10.23938/assn.0006</w:t>
        </w:r>
      </w:hyperlink>
    </w:p>
    <w:p w14:paraId="1EB8249C" w14:textId="6CF9E142" w:rsidR="0033346E" w:rsidRPr="0033346E" w:rsidRDefault="0033346E" w:rsidP="0033346E">
      <w:pPr>
        <w:autoSpaceDE w:val="0"/>
        <w:autoSpaceDN w:val="0"/>
        <w:adjustRightInd w:val="0"/>
        <w:spacing w:after="0" w:line="360" w:lineRule="auto"/>
        <w:rPr>
          <w:rFonts w:eastAsia="DengXian"/>
          <w:sz w:val="24"/>
          <w:szCs w:val="24"/>
          <w:lang w:val="es-US" w:eastAsia="zh-CN"/>
        </w:rPr>
      </w:pPr>
      <w:r w:rsidRPr="0033346E">
        <w:rPr>
          <w:rFonts w:eastAsia="DengXian"/>
          <w:sz w:val="24"/>
          <w:szCs w:val="24"/>
          <w:lang w:val="es-US" w:eastAsia="zh-CN"/>
        </w:rPr>
        <w:t>23. Caballeria Ll, Augustin S, Broquetas T, Morillas RM, Vergara M, Virolés S, et al. Recomendaciones para la detección, diagnóstico y seguimiento de los pacientes con enfermedad por hígado graso no alcohólico en atención primaria y hospitalaria. Med</w:t>
      </w:r>
      <w:r w:rsidR="0069398D">
        <w:rPr>
          <w:rFonts w:eastAsia="DengXian"/>
          <w:sz w:val="24"/>
          <w:szCs w:val="24"/>
          <w:lang w:val="es-US" w:eastAsia="zh-CN"/>
        </w:rPr>
        <w:t xml:space="preserve"> </w:t>
      </w:r>
      <w:r w:rsidRPr="0033346E">
        <w:rPr>
          <w:rFonts w:eastAsia="DengXian"/>
          <w:sz w:val="24"/>
          <w:szCs w:val="24"/>
          <w:lang w:val="es-US" w:eastAsia="zh-CN"/>
        </w:rPr>
        <w:t>Clin (Barc). 2019 [acceso: 31/10/2020];</w:t>
      </w:r>
      <w:r w:rsidRPr="0033346E">
        <w:rPr>
          <w:rFonts w:eastAsia="PKCCN D+ Gulliver BI"/>
          <w:sz w:val="24"/>
          <w:szCs w:val="24"/>
          <w:lang w:val="es-US" w:eastAsia="zh-CN"/>
        </w:rPr>
        <w:t xml:space="preserve"> 153(4)</w:t>
      </w:r>
      <w:r w:rsidRPr="0033346E">
        <w:rPr>
          <w:rFonts w:eastAsia="DengXian"/>
          <w:sz w:val="24"/>
          <w:szCs w:val="24"/>
          <w:lang w:val="es-US" w:eastAsia="zh-CN"/>
        </w:rPr>
        <w:t xml:space="preserve">:169–77. Disponible en: </w:t>
      </w:r>
      <w:hyperlink r:id="rId37" w:history="1">
        <w:r w:rsidRPr="0033346E">
          <w:rPr>
            <w:rFonts w:eastAsia="DengXian"/>
            <w:color w:val="0563C1"/>
            <w:sz w:val="24"/>
            <w:szCs w:val="24"/>
            <w:u w:val="single"/>
            <w:lang w:val="es-US" w:eastAsia="zh-CN"/>
          </w:rPr>
          <w:t>https://doi.org/10.1016/j.medcli.2019.01.030</w:t>
        </w:r>
      </w:hyperlink>
    </w:p>
    <w:p w14:paraId="19612707" w14:textId="77777777" w:rsidR="0033346E" w:rsidRPr="0033346E" w:rsidRDefault="0033346E" w:rsidP="0033346E">
      <w:pPr>
        <w:spacing w:after="0" w:line="360" w:lineRule="auto"/>
        <w:rPr>
          <w:rFonts w:eastAsia="DengXian"/>
          <w:sz w:val="24"/>
          <w:szCs w:val="24"/>
          <w:lang w:val="es-US" w:eastAsia="zh-CN"/>
        </w:rPr>
      </w:pPr>
      <w:r w:rsidRPr="0033346E">
        <w:rPr>
          <w:rFonts w:eastAsia="DengXian"/>
          <w:sz w:val="24"/>
          <w:szCs w:val="24"/>
          <w:lang w:val="es-US" w:eastAsia="zh-CN"/>
        </w:rPr>
        <w:t xml:space="preserve">24. Palacio N, Hoyos SI, Navas MC. Factores sociodemográficos, clínicos y estilos de vida asociados a cirrosis hepática y carcinoma hepatocelular en pacientes atendidos en Medellín. [Tesis de grado]: Universidad CES MEDELLÍN; 2017[acceso: 18/10/2020]. Disponible en: </w:t>
      </w:r>
      <w:hyperlink r:id="rId38" w:history="1">
        <w:r w:rsidRPr="0033346E">
          <w:rPr>
            <w:rFonts w:eastAsia="DengXian"/>
            <w:color w:val="0563C1"/>
            <w:sz w:val="24"/>
            <w:szCs w:val="24"/>
            <w:u w:val="single"/>
            <w:lang w:val="es-US" w:eastAsia="zh-CN"/>
          </w:rPr>
          <w:t>http://repository.ces.edu.co/bitstream/10946/3456/1/Factores%20Sociodemograficos%20Clinicos%20Estilos%20Vida.pdf</w:t>
        </w:r>
      </w:hyperlink>
    </w:p>
    <w:p w14:paraId="3F22ED6B" w14:textId="77777777" w:rsidR="0033346E" w:rsidRPr="0033346E" w:rsidRDefault="0033346E" w:rsidP="0033346E">
      <w:pPr>
        <w:spacing w:after="0" w:line="360" w:lineRule="auto"/>
        <w:rPr>
          <w:rFonts w:eastAsia="DengXian"/>
          <w:color w:val="0563C1"/>
          <w:sz w:val="24"/>
          <w:szCs w:val="24"/>
          <w:u w:val="single"/>
          <w:lang w:val="es-US" w:eastAsia="zh-CN"/>
        </w:rPr>
      </w:pPr>
      <w:r w:rsidRPr="0033346E">
        <w:rPr>
          <w:rFonts w:eastAsia="DengXian"/>
          <w:sz w:val="24"/>
          <w:szCs w:val="24"/>
          <w:lang w:val="es-US" w:eastAsia="zh-CN"/>
        </w:rPr>
        <w:t xml:space="preserve">25. Zambrano CA, Ontaneda EJ. Perfil epidemiológico en pacientes con cirrosis hepática en el Hospital Abel Gilbert Ponton entre 2014-2015. [Tesis de grado]: Guayaquil: Universidad de Guayaquil; 2017[acceso: 18/10/2020]. Disponible en: </w:t>
      </w:r>
      <w:hyperlink r:id="rId39" w:history="1">
        <w:r w:rsidRPr="0033346E">
          <w:rPr>
            <w:rFonts w:eastAsia="DengXian"/>
            <w:color w:val="0563C1"/>
            <w:sz w:val="24"/>
            <w:szCs w:val="24"/>
            <w:u w:val="single"/>
            <w:lang w:val="es-US" w:eastAsia="zh-CN"/>
          </w:rPr>
          <w:t>http://repositorio.ug.edu.ec/bitstream/redug/33255/1/CD%202101-%20ZAMBRANO%20CAMPOZANO%20CARLOS%20ANDR%C3%89S%2C%20ONTANEDA%20QUIJIJE%20ESTEBAN%20JOAO.pdf</w:t>
        </w:r>
      </w:hyperlink>
    </w:p>
    <w:p w14:paraId="39FAEC5A" w14:textId="32F60259" w:rsidR="0033346E" w:rsidRPr="0033346E" w:rsidRDefault="0033346E" w:rsidP="0033346E">
      <w:pPr>
        <w:spacing w:after="0" w:line="360" w:lineRule="auto"/>
        <w:rPr>
          <w:rStyle w:val="Hipervnculo"/>
          <w:rFonts w:eastAsia="DengXian"/>
          <w:sz w:val="24"/>
          <w:szCs w:val="24"/>
          <w:lang w:val="es-US" w:eastAsia="zh-CN"/>
        </w:rPr>
      </w:pPr>
      <w:r w:rsidRPr="0033346E">
        <w:rPr>
          <w:rFonts w:eastAsia="DengXian"/>
          <w:sz w:val="24"/>
          <w:szCs w:val="24"/>
          <w:lang w:val="es-US" w:eastAsia="zh-CN"/>
        </w:rPr>
        <w:lastRenderedPageBreak/>
        <w:t>26. Velbes</w:t>
      </w:r>
      <w:r w:rsidR="0069398D">
        <w:rPr>
          <w:rFonts w:eastAsia="DengXian"/>
          <w:sz w:val="24"/>
          <w:szCs w:val="24"/>
          <w:lang w:val="es-US" w:eastAsia="zh-CN"/>
        </w:rPr>
        <w:t xml:space="preserve"> </w:t>
      </w:r>
      <w:r w:rsidRPr="0033346E">
        <w:rPr>
          <w:rFonts w:eastAsia="DengXian"/>
          <w:sz w:val="24"/>
          <w:szCs w:val="24"/>
          <w:lang w:val="es-US" w:eastAsia="zh-CN"/>
        </w:rPr>
        <w:t>Marquetti PE, Mas Martínez MZ, Nodarse</w:t>
      </w:r>
      <w:r w:rsidR="0069398D">
        <w:rPr>
          <w:rFonts w:eastAsia="DengXian"/>
          <w:sz w:val="24"/>
          <w:szCs w:val="24"/>
          <w:lang w:val="es-US" w:eastAsia="zh-CN"/>
        </w:rPr>
        <w:t xml:space="preserve"> </w:t>
      </w:r>
      <w:r w:rsidRPr="0033346E">
        <w:rPr>
          <w:rFonts w:eastAsia="DengXian"/>
          <w:sz w:val="24"/>
          <w:szCs w:val="24"/>
          <w:lang w:val="es-US" w:eastAsia="zh-CN"/>
        </w:rPr>
        <w:t>Cuni H. Evolución terapéutica de la hepatitis crónica por virus C. Rev</w:t>
      </w:r>
      <w:r w:rsidR="0069398D">
        <w:rPr>
          <w:rFonts w:eastAsia="DengXian"/>
          <w:sz w:val="24"/>
          <w:szCs w:val="24"/>
          <w:lang w:val="es-US" w:eastAsia="zh-CN"/>
        </w:rPr>
        <w:t xml:space="preserve"> </w:t>
      </w:r>
      <w:r w:rsidRPr="0033346E">
        <w:rPr>
          <w:rFonts w:eastAsia="DengXian"/>
          <w:sz w:val="24"/>
          <w:szCs w:val="24"/>
          <w:lang w:val="es-US" w:eastAsia="zh-CN"/>
        </w:rPr>
        <w:t>cub</w:t>
      </w:r>
      <w:r w:rsidR="0069398D">
        <w:rPr>
          <w:rFonts w:eastAsia="DengXian"/>
          <w:sz w:val="24"/>
          <w:szCs w:val="24"/>
          <w:lang w:val="es-US" w:eastAsia="zh-CN"/>
        </w:rPr>
        <w:t xml:space="preserve"> </w:t>
      </w:r>
      <w:r w:rsidRPr="0033346E">
        <w:rPr>
          <w:rFonts w:eastAsia="DengXian"/>
          <w:sz w:val="24"/>
          <w:szCs w:val="24"/>
          <w:lang w:val="es-US" w:eastAsia="zh-CN"/>
        </w:rPr>
        <w:t xml:space="preserve">med. 2018 [acceso: 18/10/2020]; 57(4): e406. Disponible en: </w:t>
      </w:r>
      <w:hyperlink r:id="rId40" w:history="1">
        <w:r w:rsidRPr="0033346E">
          <w:rPr>
            <w:rStyle w:val="Hipervnculo"/>
            <w:rFonts w:eastAsia="DengXian"/>
            <w:sz w:val="24"/>
            <w:szCs w:val="24"/>
            <w:lang w:val="es-US" w:eastAsia="zh-CN"/>
          </w:rPr>
          <w:t>http://scielo.sld.cu/scielo.php?script=sci_arttext&amp;pid=S0034-75232018000400005&amp;lng=es</w:t>
        </w:r>
      </w:hyperlink>
    </w:p>
    <w:p w14:paraId="6A4A014C" w14:textId="77777777" w:rsidR="0033346E" w:rsidRPr="0033346E" w:rsidRDefault="0033346E" w:rsidP="0033346E">
      <w:pPr>
        <w:autoSpaceDE w:val="0"/>
        <w:autoSpaceDN w:val="0"/>
        <w:adjustRightInd w:val="0"/>
        <w:spacing w:after="0" w:line="360" w:lineRule="auto"/>
        <w:jc w:val="center"/>
        <w:rPr>
          <w:rFonts w:eastAsia="Calibri"/>
          <w:b/>
          <w:sz w:val="24"/>
          <w:szCs w:val="24"/>
          <w:lang w:val="es-ES_tradnl" w:eastAsia="zh-CN"/>
        </w:rPr>
      </w:pPr>
    </w:p>
    <w:p w14:paraId="3420C130" w14:textId="77777777" w:rsidR="0033346E" w:rsidRPr="0033346E" w:rsidRDefault="0033346E" w:rsidP="0033346E">
      <w:pPr>
        <w:autoSpaceDE w:val="0"/>
        <w:autoSpaceDN w:val="0"/>
        <w:adjustRightInd w:val="0"/>
        <w:spacing w:after="0" w:line="360" w:lineRule="auto"/>
        <w:jc w:val="center"/>
        <w:rPr>
          <w:rFonts w:eastAsia="Calibri"/>
          <w:b/>
          <w:sz w:val="24"/>
          <w:szCs w:val="24"/>
          <w:lang w:val="es-ES_tradnl" w:eastAsia="zh-CN"/>
        </w:rPr>
      </w:pPr>
    </w:p>
    <w:p w14:paraId="67A01C96" w14:textId="77777777" w:rsidR="0033346E" w:rsidRPr="0033346E" w:rsidRDefault="0033346E" w:rsidP="0033346E">
      <w:pPr>
        <w:autoSpaceDE w:val="0"/>
        <w:autoSpaceDN w:val="0"/>
        <w:adjustRightInd w:val="0"/>
        <w:spacing w:after="0" w:line="360" w:lineRule="auto"/>
        <w:jc w:val="center"/>
        <w:rPr>
          <w:rFonts w:eastAsia="Calibri"/>
          <w:b/>
          <w:sz w:val="24"/>
          <w:szCs w:val="24"/>
          <w:lang w:val="es-ES_tradnl" w:eastAsia="zh-CN"/>
        </w:rPr>
      </w:pPr>
      <w:r w:rsidRPr="0033346E">
        <w:rPr>
          <w:rFonts w:eastAsia="Calibri"/>
          <w:b/>
          <w:sz w:val="24"/>
          <w:szCs w:val="24"/>
          <w:lang w:val="es-ES_tradnl" w:eastAsia="zh-CN"/>
        </w:rPr>
        <w:t>Conflictos de intereses</w:t>
      </w:r>
    </w:p>
    <w:p w14:paraId="047591A5" w14:textId="77777777" w:rsidR="0033346E" w:rsidRPr="0033346E" w:rsidRDefault="0033346E" w:rsidP="0033346E">
      <w:pPr>
        <w:autoSpaceDE w:val="0"/>
        <w:autoSpaceDN w:val="0"/>
        <w:adjustRightInd w:val="0"/>
        <w:spacing w:after="0" w:line="360" w:lineRule="auto"/>
        <w:jc w:val="both"/>
        <w:rPr>
          <w:rFonts w:eastAsia="Calibri"/>
          <w:sz w:val="24"/>
          <w:szCs w:val="24"/>
          <w:lang w:val="es-ES_tradnl" w:eastAsia="zh-CN"/>
        </w:rPr>
      </w:pPr>
      <w:r w:rsidRPr="0033346E">
        <w:rPr>
          <w:rFonts w:eastAsia="Calibri"/>
          <w:sz w:val="24"/>
          <w:szCs w:val="24"/>
          <w:lang w:val="es-ES_tradnl" w:eastAsia="zh-CN"/>
        </w:rPr>
        <w:t xml:space="preserve">         No existen conflictos de intereses.</w:t>
      </w:r>
    </w:p>
    <w:p w14:paraId="2D6110AE" w14:textId="77777777" w:rsidR="0033346E" w:rsidRPr="0033346E" w:rsidRDefault="0033346E" w:rsidP="0033346E">
      <w:pPr>
        <w:spacing w:after="0" w:line="360" w:lineRule="auto"/>
        <w:ind w:left="720"/>
        <w:jc w:val="center"/>
        <w:rPr>
          <w:b/>
          <w:sz w:val="24"/>
          <w:szCs w:val="24"/>
          <w:lang w:val="es-ES_tradnl" w:eastAsia="es-ES_tradnl"/>
        </w:rPr>
      </w:pPr>
    </w:p>
    <w:p w14:paraId="7FC99D5A" w14:textId="77777777" w:rsidR="0033346E" w:rsidRPr="0033346E" w:rsidRDefault="0033346E" w:rsidP="0033346E">
      <w:pPr>
        <w:spacing w:after="0" w:line="360" w:lineRule="auto"/>
        <w:ind w:left="720"/>
        <w:jc w:val="center"/>
        <w:rPr>
          <w:b/>
          <w:sz w:val="24"/>
          <w:szCs w:val="24"/>
          <w:lang w:val="es-ES_tradnl" w:eastAsia="es-ES_tradnl"/>
        </w:rPr>
      </w:pPr>
      <w:r w:rsidRPr="0033346E">
        <w:rPr>
          <w:b/>
          <w:sz w:val="24"/>
          <w:szCs w:val="24"/>
          <w:lang w:val="es-ES_tradnl" w:eastAsia="es-ES_tradnl"/>
        </w:rPr>
        <w:t>Contribuciones de los autores</w:t>
      </w:r>
    </w:p>
    <w:p w14:paraId="74A68419" w14:textId="77777777" w:rsidR="0033346E" w:rsidRPr="0033346E" w:rsidRDefault="0033346E" w:rsidP="0033346E">
      <w:pPr>
        <w:tabs>
          <w:tab w:val="left" w:pos="0"/>
        </w:tabs>
        <w:spacing w:after="0" w:line="360" w:lineRule="auto"/>
        <w:rPr>
          <w:sz w:val="24"/>
          <w:szCs w:val="24"/>
          <w:lang w:val="es-ES_tradnl" w:eastAsia="es-ES_tradnl"/>
        </w:rPr>
      </w:pPr>
      <w:r w:rsidRPr="0033346E">
        <w:rPr>
          <w:sz w:val="24"/>
          <w:szCs w:val="24"/>
          <w:lang w:val="es-ES_tradnl" w:eastAsia="es-ES_tradnl"/>
        </w:rPr>
        <w:t xml:space="preserve">1. Conceptualización: </w:t>
      </w:r>
      <w:r w:rsidRPr="0033346E">
        <w:rPr>
          <w:i/>
          <w:iCs/>
          <w:sz w:val="24"/>
          <w:szCs w:val="24"/>
          <w:lang w:val="es-ES_tradnl" w:eastAsia="es-ES_tradnl"/>
        </w:rPr>
        <w:t>Ludmila Martínez Leyva, Amada Belquis Palomino Besada.</w:t>
      </w:r>
    </w:p>
    <w:p w14:paraId="33269D68" w14:textId="77777777" w:rsidR="0033346E" w:rsidRPr="0033346E" w:rsidRDefault="0033346E" w:rsidP="0033346E">
      <w:pPr>
        <w:tabs>
          <w:tab w:val="left" w:pos="0"/>
        </w:tabs>
        <w:spacing w:after="0" w:line="360" w:lineRule="auto"/>
        <w:rPr>
          <w:i/>
          <w:iCs/>
          <w:sz w:val="24"/>
          <w:szCs w:val="24"/>
          <w:lang w:val="es-ES_tradnl" w:eastAsia="es-ES_tradnl"/>
        </w:rPr>
      </w:pPr>
      <w:r w:rsidRPr="0033346E">
        <w:rPr>
          <w:sz w:val="24"/>
          <w:szCs w:val="24"/>
          <w:lang w:val="es-ES_tradnl" w:eastAsia="es-ES_tradnl"/>
        </w:rPr>
        <w:t xml:space="preserve">2. Curación de datos: </w:t>
      </w:r>
      <w:r w:rsidRPr="0033346E">
        <w:rPr>
          <w:i/>
          <w:iCs/>
          <w:sz w:val="24"/>
          <w:szCs w:val="24"/>
          <w:lang w:val="es-ES_tradnl" w:eastAsia="es-ES_tradnl"/>
        </w:rPr>
        <w:t>Evelyn Quesada Meneses.</w:t>
      </w:r>
    </w:p>
    <w:p w14:paraId="6B716F07" w14:textId="77777777" w:rsidR="0033346E" w:rsidRPr="0033346E" w:rsidRDefault="0033346E" w:rsidP="0033346E">
      <w:pPr>
        <w:tabs>
          <w:tab w:val="left" w:pos="0"/>
        </w:tabs>
        <w:spacing w:after="0" w:line="360" w:lineRule="auto"/>
        <w:rPr>
          <w:sz w:val="24"/>
          <w:szCs w:val="24"/>
          <w:lang w:val="es-ES_tradnl" w:eastAsia="es-ES_tradnl"/>
        </w:rPr>
      </w:pPr>
      <w:r w:rsidRPr="0033346E">
        <w:rPr>
          <w:sz w:val="24"/>
          <w:szCs w:val="24"/>
          <w:lang w:val="es-ES_tradnl" w:eastAsia="es-ES_tradnl"/>
        </w:rPr>
        <w:t xml:space="preserve">3. Análisis formal: </w:t>
      </w:r>
      <w:r w:rsidRPr="0033346E">
        <w:rPr>
          <w:i/>
          <w:iCs/>
          <w:sz w:val="24"/>
          <w:szCs w:val="24"/>
          <w:lang w:val="es-ES_tradnl" w:eastAsia="es-ES_tradnl"/>
        </w:rPr>
        <w:t>Ludmila Martínez Leyva, Amada Belquis Palomino Besada.</w:t>
      </w:r>
    </w:p>
    <w:p w14:paraId="79BD4DFC" w14:textId="77777777" w:rsidR="0033346E" w:rsidRPr="0033346E" w:rsidRDefault="0033346E" w:rsidP="0033346E">
      <w:pPr>
        <w:tabs>
          <w:tab w:val="left" w:pos="0"/>
        </w:tabs>
        <w:spacing w:after="0" w:line="360" w:lineRule="auto"/>
        <w:rPr>
          <w:sz w:val="24"/>
          <w:szCs w:val="24"/>
          <w:lang w:val="es-ES_tradnl" w:eastAsia="es-ES_tradnl"/>
        </w:rPr>
      </w:pPr>
      <w:r w:rsidRPr="0033346E">
        <w:rPr>
          <w:sz w:val="24"/>
          <w:szCs w:val="24"/>
          <w:lang w:val="es-ES_tradnl" w:eastAsia="es-ES_tradnl"/>
        </w:rPr>
        <w:t xml:space="preserve">4. Investigación: </w:t>
      </w:r>
      <w:r w:rsidRPr="0033346E">
        <w:rPr>
          <w:i/>
          <w:iCs/>
          <w:sz w:val="24"/>
          <w:szCs w:val="24"/>
          <w:lang w:val="es-ES_tradnl" w:eastAsia="es-ES_tradnl"/>
        </w:rPr>
        <w:t>Evelyn Quesada Meneses.</w:t>
      </w:r>
    </w:p>
    <w:p w14:paraId="6E65B2DB" w14:textId="77777777" w:rsidR="0033346E" w:rsidRPr="0033346E" w:rsidRDefault="0033346E" w:rsidP="0033346E">
      <w:pPr>
        <w:tabs>
          <w:tab w:val="left" w:pos="0"/>
        </w:tabs>
        <w:spacing w:after="0" w:line="360" w:lineRule="auto"/>
        <w:rPr>
          <w:i/>
          <w:iCs/>
          <w:sz w:val="24"/>
          <w:szCs w:val="24"/>
          <w:lang w:val="es-ES_tradnl" w:eastAsia="es-ES_tradnl"/>
        </w:rPr>
      </w:pPr>
      <w:r w:rsidRPr="0033346E">
        <w:rPr>
          <w:sz w:val="24"/>
          <w:szCs w:val="24"/>
          <w:lang w:val="es-ES_tradnl" w:eastAsia="es-ES_tradnl"/>
        </w:rPr>
        <w:t xml:space="preserve">5. Metodología: </w:t>
      </w:r>
      <w:r w:rsidRPr="0033346E">
        <w:rPr>
          <w:i/>
          <w:iCs/>
          <w:sz w:val="24"/>
          <w:szCs w:val="24"/>
          <w:lang w:val="es-ES_tradnl" w:eastAsia="es-ES_tradnl"/>
        </w:rPr>
        <w:t>Ludmila Martínez Leyva, Amada Belquis Palomino Besada.</w:t>
      </w:r>
    </w:p>
    <w:p w14:paraId="4E8B7491" w14:textId="77777777" w:rsidR="0033346E" w:rsidRPr="0033346E" w:rsidRDefault="0033346E" w:rsidP="0033346E">
      <w:pPr>
        <w:tabs>
          <w:tab w:val="left" w:pos="0"/>
        </w:tabs>
        <w:spacing w:after="0" w:line="360" w:lineRule="auto"/>
        <w:rPr>
          <w:sz w:val="24"/>
          <w:szCs w:val="24"/>
          <w:lang w:val="es-ES_tradnl" w:eastAsia="es-ES_tradnl"/>
        </w:rPr>
      </w:pPr>
      <w:r w:rsidRPr="0033346E">
        <w:rPr>
          <w:sz w:val="24"/>
          <w:szCs w:val="24"/>
          <w:lang w:val="es-ES_tradnl" w:eastAsia="es-ES_tradnl"/>
        </w:rPr>
        <w:t xml:space="preserve">6. Supervisión: </w:t>
      </w:r>
      <w:r w:rsidRPr="0033346E">
        <w:rPr>
          <w:i/>
          <w:iCs/>
          <w:sz w:val="24"/>
          <w:szCs w:val="24"/>
          <w:lang w:val="es-ES_tradnl" w:eastAsia="es-ES_tradnl"/>
        </w:rPr>
        <w:t>Ludmila Martínez Leyva.</w:t>
      </w:r>
    </w:p>
    <w:p w14:paraId="5703C600" w14:textId="06AF64A6" w:rsidR="0033346E" w:rsidRPr="0033346E" w:rsidRDefault="0033346E" w:rsidP="0033346E">
      <w:pPr>
        <w:tabs>
          <w:tab w:val="left" w:pos="0"/>
        </w:tabs>
        <w:spacing w:after="0" w:line="360" w:lineRule="auto"/>
        <w:rPr>
          <w:sz w:val="24"/>
          <w:szCs w:val="24"/>
          <w:lang w:val="es-ES_tradnl" w:eastAsia="es-ES_tradnl"/>
        </w:rPr>
      </w:pPr>
      <w:r w:rsidRPr="0033346E">
        <w:rPr>
          <w:sz w:val="24"/>
          <w:szCs w:val="24"/>
          <w:lang w:val="es-ES_tradnl" w:eastAsia="es-ES_tradnl"/>
        </w:rPr>
        <w:t xml:space="preserve">7. Redacción – borrador original: </w:t>
      </w:r>
      <w:r w:rsidRPr="0033346E">
        <w:rPr>
          <w:i/>
          <w:iCs/>
          <w:sz w:val="24"/>
          <w:szCs w:val="24"/>
          <w:lang w:val="es-ES_tradnl" w:eastAsia="es-ES_tradnl"/>
        </w:rPr>
        <w:t>Evelyn Quesada Meneses, Juan Carlos Oliva Rey,</w:t>
      </w:r>
      <w:r w:rsidR="00357F37">
        <w:rPr>
          <w:i/>
          <w:iCs/>
          <w:sz w:val="24"/>
          <w:szCs w:val="24"/>
          <w:lang w:val="es-ES_tradnl" w:eastAsia="es-ES_tradnl"/>
        </w:rPr>
        <w:t xml:space="preserve"> </w:t>
      </w:r>
      <w:r w:rsidRPr="0033346E">
        <w:rPr>
          <w:i/>
          <w:iCs/>
          <w:sz w:val="24"/>
          <w:szCs w:val="24"/>
          <w:lang w:val="es-ES_tradnl" w:eastAsia="es-ES_tradnl"/>
        </w:rPr>
        <w:t>Yesael Descalzo García.</w:t>
      </w:r>
    </w:p>
    <w:p w14:paraId="46CFDA59" w14:textId="77777777" w:rsidR="0033346E" w:rsidRPr="0033346E" w:rsidRDefault="0033346E" w:rsidP="0033346E">
      <w:pPr>
        <w:tabs>
          <w:tab w:val="left" w:pos="0"/>
        </w:tabs>
        <w:spacing w:after="0" w:line="360" w:lineRule="auto"/>
        <w:rPr>
          <w:rFonts w:eastAsia="DengXian"/>
          <w:sz w:val="24"/>
          <w:szCs w:val="24"/>
          <w:lang w:val="es-ES_tradnl" w:eastAsia="zh-CN"/>
        </w:rPr>
      </w:pPr>
      <w:r w:rsidRPr="0033346E">
        <w:rPr>
          <w:sz w:val="24"/>
          <w:szCs w:val="24"/>
          <w:lang w:val="es-ES_tradnl" w:eastAsia="es-ES_tradnl"/>
        </w:rPr>
        <w:t xml:space="preserve">8. Redacción – revisión y edición: </w:t>
      </w:r>
      <w:r w:rsidRPr="0033346E">
        <w:rPr>
          <w:i/>
          <w:iCs/>
          <w:sz w:val="24"/>
          <w:szCs w:val="24"/>
          <w:lang w:val="es-ES_tradnl" w:eastAsia="es-ES_tradnl"/>
        </w:rPr>
        <w:t>Ludmila Martínez Leyva, Evelyn Quesada Meneses, Alicia Yanes Cicard.</w:t>
      </w:r>
    </w:p>
    <w:p w14:paraId="2EF854D6" w14:textId="77777777" w:rsidR="00675476" w:rsidRPr="0033346E" w:rsidRDefault="00675476" w:rsidP="00391509">
      <w:pPr>
        <w:rPr>
          <w:lang w:val="es-ES"/>
        </w:rPr>
      </w:pPr>
    </w:p>
    <w:sectPr w:rsidR="00675476" w:rsidRPr="0033346E" w:rsidSect="000F3690">
      <w:headerReference w:type="default" r:id="rId41"/>
      <w:footerReference w:type="even" r:id="rId42"/>
      <w:footerReference w:type="default" r:id="rId43"/>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6924" w14:textId="77777777" w:rsidR="00B42F38" w:rsidRDefault="00B42F38">
      <w:r>
        <w:separator/>
      </w:r>
    </w:p>
  </w:endnote>
  <w:endnote w:type="continuationSeparator" w:id="0">
    <w:p w14:paraId="17C4BA8F" w14:textId="77777777" w:rsidR="00B42F38" w:rsidRDefault="00B4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antinStd">
    <w:altName w:val="MS Mincho"/>
    <w:panose1 w:val="00000000000000000000"/>
    <w:charset w:val="80"/>
    <w:family w:val="roman"/>
    <w:notTrueType/>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KCCN D+ Gulliver BI">
    <w:altName w:val="Malgun Gothic Semilight"/>
    <w:panose1 w:val="00000000000000000000"/>
    <w:charset w:val="86"/>
    <w:family w:val="swiss"/>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D8F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E5827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AF6A" w14:textId="77777777" w:rsidR="000F3690" w:rsidRPr="00AE044C" w:rsidRDefault="000F3690" w:rsidP="00AA0798">
    <w:pPr>
      <w:pStyle w:val="Piedepgina"/>
      <w:spacing w:after="0" w:line="240" w:lineRule="auto"/>
      <w:ind w:right="357"/>
      <w:rPr>
        <w:szCs w:val="22"/>
      </w:rPr>
    </w:pPr>
    <w:r>
      <w:rPr>
        <w:noProof/>
        <w:lang w:val="es-ES" w:eastAsia="es-ES"/>
      </w:rPr>
      <mc:AlternateContent>
        <mc:Choice Requires="wps">
          <w:drawing>
            <wp:anchor distT="0" distB="0" distL="114300" distR="114300" simplePos="0" relativeHeight="251658240" behindDoc="0" locked="0" layoutInCell="1" allowOverlap="1" wp14:anchorId="48867310" wp14:editId="68F8FB56">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2BB1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CFD25C4" w14:textId="77777777" w:rsidR="00675476" w:rsidRPr="00AE044C" w:rsidRDefault="00B42F38" w:rsidP="00AA0798">
    <w:pPr>
      <w:pStyle w:val="Piedepgina"/>
      <w:spacing w:after="0" w:line="240" w:lineRule="auto"/>
      <w:ind w:right="357"/>
      <w:rPr>
        <w:szCs w:val="22"/>
      </w:rPr>
    </w:pPr>
    <w:hyperlink r:id="rId1" w:history="1">
      <w:r w:rsidR="00391509" w:rsidRPr="00AE044C">
        <w:rPr>
          <w:rStyle w:val="Hipervnculo"/>
          <w:szCs w:val="22"/>
        </w:rPr>
        <w:t>http://scielo.sld.cu</w:t>
      </w:r>
    </w:hyperlink>
  </w:p>
  <w:p w14:paraId="669E82C7" w14:textId="77777777" w:rsidR="00391509" w:rsidRPr="00AE044C" w:rsidRDefault="00B42F38" w:rsidP="00AA0798">
    <w:pPr>
      <w:pStyle w:val="Piedepgina"/>
      <w:tabs>
        <w:tab w:val="clear" w:pos="4252"/>
        <w:tab w:val="left" w:pos="8504"/>
      </w:tabs>
      <w:spacing w:after="0" w:line="240" w:lineRule="auto"/>
      <w:ind w:right="357"/>
      <w:rPr>
        <w:szCs w:val="22"/>
      </w:rPr>
    </w:pPr>
    <w:hyperlink r:id="rId2" w:history="1">
      <w:r w:rsidR="00391509" w:rsidRPr="00AE044C">
        <w:rPr>
          <w:rStyle w:val="Hipervnculo"/>
          <w:szCs w:val="22"/>
        </w:rPr>
        <w:t>http://www.revmedmilitar.sld.cu</w:t>
      </w:r>
    </w:hyperlink>
    <w:r w:rsidR="00391509" w:rsidRPr="00AE044C">
      <w:rPr>
        <w:szCs w:val="22"/>
      </w:rPr>
      <w:t xml:space="preserve"> </w:t>
    </w:r>
    <w:r w:rsidR="00AE044C">
      <w:rPr>
        <w:szCs w:val="22"/>
      </w:rPr>
      <w:tab/>
    </w:r>
  </w:p>
  <w:p w14:paraId="6A0BFD6F" w14:textId="77777777" w:rsidR="00180CE9" w:rsidRPr="00CC376A" w:rsidRDefault="00180CE9" w:rsidP="00AA0798">
    <w:pPr>
      <w:pStyle w:val="Piedepgina"/>
      <w:spacing w:after="0" w:line="240" w:lineRule="auto"/>
      <w:ind w:right="357"/>
      <w:jc w:val="center"/>
      <w:rPr>
        <w:rFonts w:ascii="Verdana" w:hAnsi="Verdana"/>
        <w:sz w:val="18"/>
        <w:szCs w:val="18"/>
      </w:rPr>
    </w:pPr>
    <w:r w:rsidRPr="00AE044C">
      <w:rPr>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32CEF9DF" wp14:editId="49549B81">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AF75" w14:textId="77777777" w:rsidR="00B42F38" w:rsidRDefault="00B42F38">
      <w:r>
        <w:separator/>
      </w:r>
    </w:p>
  </w:footnote>
  <w:footnote w:type="continuationSeparator" w:id="0">
    <w:p w14:paraId="14962B0D" w14:textId="77777777" w:rsidR="00B42F38" w:rsidRDefault="00B42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3D64" w14:textId="174BEDE1" w:rsidR="00CC376A" w:rsidRPr="0033346E" w:rsidRDefault="00B31971" w:rsidP="00AA0798">
    <w:pPr>
      <w:pStyle w:val="Encabezado"/>
      <w:tabs>
        <w:tab w:val="left" w:pos="420"/>
      </w:tabs>
      <w:spacing w:after="0" w:line="240" w:lineRule="auto"/>
      <w:jc w:val="center"/>
      <w:rPr>
        <w:szCs w:val="22"/>
        <w:lang w:val="es-ES"/>
      </w:rPr>
    </w:pPr>
    <w:r w:rsidRPr="00AE044C">
      <w:rPr>
        <w:b/>
        <w:noProof/>
        <w:color w:val="00FFFF"/>
        <w:szCs w:val="22"/>
        <w:lang w:val="es-ES" w:eastAsia="es-ES"/>
      </w:rPr>
      <w:drawing>
        <wp:anchor distT="0" distB="0" distL="114300" distR="114300" simplePos="0" relativeHeight="251688960" behindDoc="0" locked="0" layoutInCell="1" allowOverlap="1" wp14:anchorId="7BEEB952" wp14:editId="10488237">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33346E">
      <w:rPr>
        <w:szCs w:val="22"/>
        <w:lang w:val="es-ES"/>
      </w:rPr>
      <w:t xml:space="preserve">Revista </w:t>
    </w:r>
    <w:r w:rsidR="00380D64" w:rsidRPr="0033346E">
      <w:rPr>
        <w:szCs w:val="22"/>
        <w:lang w:val="es-ES"/>
      </w:rPr>
      <w:t>Cubana de Medicina Militar.</w:t>
    </w:r>
    <w:r w:rsidR="00D85951" w:rsidRPr="0033346E">
      <w:rPr>
        <w:szCs w:val="22"/>
        <w:lang w:val="es-ES"/>
      </w:rPr>
      <w:t xml:space="preserve"> </w:t>
    </w:r>
    <w:r w:rsidR="00862F1C">
      <w:rPr>
        <w:szCs w:val="22"/>
        <w:lang w:val="es-ES"/>
      </w:rPr>
      <w:t>2021</w:t>
    </w:r>
    <w:r w:rsidR="003E03D5" w:rsidRPr="0033346E">
      <w:rPr>
        <w:szCs w:val="22"/>
        <w:lang w:val="es-ES"/>
      </w:rPr>
      <w:t>;</w:t>
    </w:r>
    <w:r w:rsidR="00862F1C">
      <w:rPr>
        <w:szCs w:val="22"/>
        <w:lang w:val="es-ES"/>
      </w:rPr>
      <w:t xml:space="preserve"> 50</w:t>
    </w:r>
    <w:r w:rsidR="00493701" w:rsidRPr="0033346E">
      <w:rPr>
        <w:szCs w:val="22"/>
        <w:lang w:val="es-ES"/>
      </w:rPr>
      <w:t>(</w:t>
    </w:r>
    <w:r w:rsidR="00862F1C">
      <w:rPr>
        <w:szCs w:val="22"/>
        <w:lang w:val="es-ES"/>
      </w:rPr>
      <w:t>4</w:t>
    </w:r>
    <w:r w:rsidR="00493701" w:rsidRPr="0033346E">
      <w:rPr>
        <w:szCs w:val="22"/>
        <w:lang w:val="es-ES"/>
      </w:rPr>
      <w:t>)</w:t>
    </w:r>
    <w:r w:rsidR="00391509" w:rsidRPr="0033346E">
      <w:rPr>
        <w:szCs w:val="22"/>
        <w:lang w:val="es-ES"/>
      </w:rPr>
      <w:t>:</w:t>
    </w:r>
    <w:r w:rsidR="00862F1C">
      <w:rPr>
        <w:szCs w:val="22"/>
        <w:lang w:val="es-ES"/>
      </w:rPr>
      <w:t xml:space="preserve"> e02101479</w:t>
    </w:r>
  </w:p>
  <w:p w14:paraId="3DB1004B"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48B84289" wp14:editId="5FDD5157">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561B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FA2"/>
    <w:multiLevelType w:val="hybridMultilevel"/>
    <w:tmpl w:val="F3606332"/>
    <w:lvl w:ilvl="0" w:tplc="6130CAF6">
      <w:start w:val="7"/>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F2021"/>
    <w:multiLevelType w:val="hybridMultilevel"/>
    <w:tmpl w:val="97448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846262"/>
    <w:multiLevelType w:val="multilevel"/>
    <w:tmpl w:val="4912A004"/>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3" w15:restartNumberingAfterBreak="0">
    <w:nsid w:val="15FE5CC4"/>
    <w:multiLevelType w:val="multilevel"/>
    <w:tmpl w:val="45DA4BF6"/>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4" w15:restartNumberingAfterBreak="0">
    <w:nsid w:val="1617320E"/>
    <w:multiLevelType w:val="hybridMultilevel"/>
    <w:tmpl w:val="E3527546"/>
    <w:lvl w:ilvl="0" w:tplc="64E4098E">
      <w:start w:val="28"/>
      <w:numFmt w:val="bullet"/>
      <w:lvlText w:val=""/>
      <w:lvlJc w:val="left"/>
      <w:pPr>
        <w:ind w:left="720" w:hanging="360"/>
      </w:pPr>
      <w:rPr>
        <w:rFonts w:ascii="Wingdings" w:eastAsia="PlantinStd"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9F18C8"/>
    <w:multiLevelType w:val="hybridMultilevel"/>
    <w:tmpl w:val="C63A11E8"/>
    <w:lvl w:ilvl="0" w:tplc="85385896">
      <w:start w:val="28"/>
      <w:numFmt w:val="bullet"/>
      <w:lvlText w:val=""/>
      <w:lvlJc w:val="left"/>
      <w:pPr>
        <w:ind w:left="720" w:hanging="360"/>
      </w:pPr>
      <w:rPr>
        <w:rFonts w:ascii="Wingdings" w:eastAsia="PlantinStd"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C47FB9"/>
    <w:multiLevelType w:val="multilevel"/>
    <w:tmpl w:val="3BC2E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D141B0"/>
    <w:multiLevelType w:val="multilevel"/>
    <w:tmpl w:val="3BC2E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713518"/>
    <w:multiLevelType w:val="hybridMultilevel"/>
    <w:tmpl w:val="7DEE81B2"/>
    <w:lvl w:ilvl="0" w:tplc="84D42262">
      <w:start w:val="28"/>
      <w:numFmt w:val="bullet"/>
      <w:lvlText w:val=""/>
      <w:lvlJc w:val="left"/>
      <w:pPr>
        <w:ind w:left="720" w:hanging="360"/>
      </w:pPr>
      <w:rPr>
        <w:rFonts w:ascii="Wingdings" w:eastAsia="PlantinStd"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7151E9"/>
    <w:multiLevelType w:val="hybridMultilevel"/>
    <w:tmpl w:val="5436F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9C0512"/>
    <w:multiLevelType w:val="hybridMultilevel"/>
    <w:tmpl w:val="D9485722"/>
    <w:lvl w:ilvl="0" w:tplc="D266306A">
      <w:start w:val="28"/>
      <w:numFmt w:val="bullet"/>
      <w:lvlText w:val=""/>
      <w:lvlJc w:val="left"/>
      <w:pPr>
        <w:ind w:left="720" w:hanging="360"/>
      </w:pPr>
      <w:rPr>
        <w:rFonts w:ascii="Wingdings" w:eastAsia="PlantinStd"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E72116"/>
    <w:multiLevelType w:val="multilevel"/>
    <w:tmpl w:val="1E1C925C"/>
    <w:lvl w:ilvl="0">
      <w:numFmt w:val="bullet"/>
      <w:lvlText w:val="•"/>
      <w:lvlJc w:val="left"/>
      <w:pPr>
        <w:ind w:left="1065" w:hanging="705"/>
      </w:pPr>
      <w:rPr>
        <w:rFonts w:ascii="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24EE043A"/>
    <w:multiLevelType w:val="multilevel"/>
    <w:tmpl w:val="9632744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26F54756"/>
    <w:multiLevelType w:val="multilevel"/>
    <w:tmpl w:val="E91EA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EA0F8C"/>
    <w:multiLevelType w:val="hybridMultilevel"/>
    <w:tmpl w:val="41D4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204B7"/>
    <w:multiLevelType w:val="multilevel"/>
    <w:tmpl w:val="19BC85E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6" w15:restartNumberingAfterBreak="0">
    <w:nsid w:val="2F2B4F88"/>
    <w:multiLevelType w:val="hybridMultilevel"/>
    <w:tmpl w:val="8138CCB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15:restartNumberingAfterBreak="0">
    <w:nsid w:val="30BF58D6"/>
    <w:multiLevelType w:val="multilevel"/>
    <w:tmpl w:val="C1E02A40"/>
    <w:lvl w:ilvl="0">
      <w:start w:val="1"/>
      <w:numFmt w:val="bullet"/>
      <w:lvlText w:val=""/>
      <w:lvlJc w:val="left"/>
      <w:pPr>
        <w:ind w:left="1065" w:hanging="705"/>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8" w15:restartNumberingAfterBreak="0">
    <w:nsid w:val="31B9394E"/>
    <w:multiLevelType w:val="multilevel"/>
    <w:tmpl w:val="5A0E3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AC4D66"/>
    <w:multiLevelType w:val="hybridMultilevel"/>
    <w:tmpl w:val="12EAF6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AD947B3"/>
    <w:multiLevelType w:val="hybridMultilevel"/>
    <w:tmpl w:val="BDE82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7371BE"/>
    <w:multiLevelType w:val="hybridMultilevel"/>
    <w:tmpl w:val="B248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B4EDB"/>
    <w:multiLevelType w:val="hybridMultilevel"/>
    <w:tmpl w:val="8DEC0CCE"/>
    <w:lvl w:ilvl="0" w:tplc="ACC6D64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A7E6F"/>
    <w:multiLevelType w:val="hybridMultilevel"/>
    <w:tmpl w:val="9C3E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F4E84"/>
    <w:multiLevelType w:val="hybridMultilevel"/>
    <w:tmpl w:val="C1789A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B417C6"/>
    <w:multiLevelType w:val="hybridMultilevel"/>
    <w:tmpl w:val="66F8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40F40"/>
    <w:multiLevelType w:val="hybridMultilevel"/>
    <w:tmpl w:val="712C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A50D8A"/>
    <w:multiLevelType w:val="hybridMultilevel"/>
    <w:tmpl w:val="D8AA9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A641CD4"/>
    <w:multiLevelType w:val="hybridMultilevel"/>
    <w:tmpl w:val="601CA5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212F4"/>
    <w:multiLevelType w:val="hybridMultilevel"/>
    <w:tmpl w:val="85A0B94C"/>
    <w:lvl w:ilvl="0" w:tplc="D266306A">
      <w:start w:val="28"/>
      <w:numFmt w:val="bullet"/>
      <w:lvlText w:val=""/>
      <w:lvlJc w:val="left"/>
      <w:pPr>
        <w:ind w:left="720" w:hanging="360"/>
      </w:pPr>
      <w:rPr>
        <w:rFonts w:ascii="Wingdings" w:eastAsia="PlantinStd"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1A71B3"/>
    <w:multiLevelType w:val="hybridMultilevel"/>
    <w:tmpl w:val="4A5C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32388"/>
    <w:multiLevelType w:val="multilevel"/>
    <w:tmpl w:val="9E860EBE"/>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32" w15:restartNumberingAfterBreak="0">
    <w:nsid w:val="542F4614"/>
    <w:multiLevelType w:val="hybridMultilevel"/>
    <w:tmpl w:val="BB0AEA0C"/>
    <w:lvl w:ilvl="0" w:tplc="C10430A6">
      <w:start w:val="7"/>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D72D6E"/>
    <w:multiLevelType w:val="multilevel"/>
    <w:tmpl w:val="1272E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1C265D"/>
    <w:multiLevelType w:val="multilevel"/>
    <w:tmpl w:val="10C82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5" w15:restartNumberingAfterBreak="0">
    <w:nsid w:val="586C6BDA"/>
    <w:multiLevelType w:val="hybridMultilevel"/>
    <w:tmpl w:val="7CF07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6221D1"/>
    <w:multiLevelType w:val="hybridMultilevel"/>
    <w:tmpl w:val="A5506246"/>
    <w:lvl w:ilvl="0" w:tplc="8E0AA1F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896E3D"/>
    <w:multiLevelType w:val="multilevel"/>
    <w:tmpl w:val="C9F2E81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8" w15:restartNumberingAfterBreak="0">
    <w:nsid w:val="5C5A39DC"/>
    <w:multiLevelType w:val="multilevel"/>
    <w:tmpl w:val="E6AAAD0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9" w15:restartNumberingAfterBreak="0">
    <w:nsid w:val="648F15BC"/>
    <w:multiLevelType w:val="hybridMultilevel"/>
    <w:tmpl w:val="F140D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332CC0"/>
    <w:multiLevelType w:val="multilevel"/>
    <w:tmpl w:val="FF90EE74"/>
    <w:lvl w:ilvl="0">
      <w:start w:val="1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EC70A0"/>
    <w:multiLevelType w:val="hybridMultilevel"/>
    <w:tmpl w:val="110A3420"/>
    <w:lvl w:ilvl="0" w:tplc="D266306A">
      <w:start w:val="28"/>
      <w:numFmt w:val="bullet"/>
      <w:lvlText w:val=""/>
      <w:lvlJc w:val="left"/>
      <w:pPr>
        <w:ind w:left="1080" w:hanging="360"/>
      </w:pPr>
      <w:rPr>
        <w:rFonts w:ascii="Wingdings" w:eastAsia="PlantinStd" w:hAnsi="Wingdings"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514627A"/>
    <w:multiLevelType w:val="multilevel"/>
    <w:tmpl w:val="801C375E"/>
    <w:lvl w:ilvl="0">
      <w:start w:val="1"/>
      <w:numFmt w:val="bullet"/>
      <w:lvlText w:val=""/>
      <w:lvlJc w:val="left"/>
      <w:pPr>
        <w:ind w:left="1065" w:hanging="705"/>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78DE354A"/>
    <w:multiLevelType w:val="hybridMultilevel"/>
    <w:tmpl w:val="42B81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6"/>
  </w:num>
  <w:num w:numId="4">
    <w:abstractNumId w:val="38"/>
  </w:num>
  <w:num w:numId="5">
    <w:abstractNumId w:val="37"/>
  </w:num>
  <w:num w:numId="6">
    <w:abstractNumId w:val="15"/>
  </w:num>
  <w:num w:numId="7">
    <w:abstractNumId w:val="33"/>
  </w:num>
  <w:num w:numId="8">
    <w:abstractNumId w:val="3"/>
  </w:num>
  <w:num w:numId="9">
    <w:abstractNumId w:val="31"/>
  </w:num>
  <w:num w:numId="10">
    <w:abstractNumId w:val="2"/>
  </w:num>
  <w:num w:numId="11">
    <w:abstractNumId w:val="12"/>
  </w:num>
  <w:num w:numId="12">
    <w:abstractNumId w:val="13"/>
  </w:num>
  <w:num w:numId="13">
    <w:abstractNumId w:val="42"/>
  </w:num>
  <w:num w:numId="14">
    <w:abstractNumId w:val="18"/>
  </w:num>
  <w:num w:numId="15">
    <w:abstractNumId w:val="40"/>
  </w:num>
  <w:num w:numId="16">
    <w:abstractNumId w:val="14"/>
  </w:num>
  <w:num w:numId="17">
    <w:abstractNumId w:val="30"/>
  </w:num>
  <w:num w:numId="18">
    <w:abstractNumId w:val="7"/>
  </w:num>
  <w:num w:numId="19">
    <w:abstractNumId w:val="26"/>
  </w:num>
  <w:num w:numId="20">
    <w:abstractNumId w:val="21"/>
  </w:num>
  <w:num w:numId="21">
    <w:abstractNumId w:val="20"/>
  </w:num>
  <w:num w:numId="22">
    <w:abstractNumId w:val="36"/>
  </w:num>
  <w:num w:numId="23">
    <w:abstractNumId w:val="43"/>
  </w:num>
  <w:num w:numId="24">
    <w:abstractNumId w:val="24"/>
  </w:num>
  <w:num w:numId="25">
    <w:abstractNumId w:val="5"/>
  </w:num>
  <w:num w:numId="26">
    <w:abstractNumId w:val="8"/>
  </w:num>
  <w:num w:numId="27">
    <w:abstractNumId w:val="4"/>
  </w:num>
  <w:num w:numId="28">
    <w:abstractNumId w:val="10"/>
  </w:num>
  <w:num w:numId="29">
    <w:abstractNumId w:val="41"/>
  </w:num>
  <w:num w:numId="30">
    <w:abstractNumId w:val="29"/>
  </w:num>
  <w:num w:numId="31">
    <w:abstractNumId w:val="19"/>
  </w:num>
  <w:num w:numId="32">
    <w:abstractNumId w:val="27"/>
  </w:num>
  <w:num w:numId="33">
    <w:abstractNumId w:val="23"/>
  </w:num>
  <w:num w:numId="34">
    <w:abstractNumId w:val="28"/>
  </w:num>
  <w:num w:numId="35">
    <w:abstractNumId w:val="1"/>
  </w:num>
  <w:num w:numId="36">
    <w:abstractNumId w:val="35"/>
  </w:num>
  <w:num w:numId="37">
    <w:abstractNumId w:val="16"/>
  </w:num>
  <w:num w:numId="38">
    <w:abstractNumId w:val="39"/>
  </w:num>
  <w:num w:numId="39">
    <w:abstractNumId w:val="25"/>
  </w:num>
  <w:num w:numId="40">
    <w:abstractNumId w:val="0"/>
  </w:num>
  <w:num w:numId="41">
    <w:abstractNumId w:val="32"/>
  </w:num>
  <w:num w:numId="42">
    <w:abstractNumId w:val="22"/>
  </w:num>
  <w:num w:numId="43">
    <w:abstractNumId w:val="3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46E"/>
    <w:rsid w:val="00023CEA"/>
    <w:rsid w:val="000425E8"/>
    <w:rsid w:val="000B1342"/>
    <w:rsid w:val="000C3330"/>
    <w:rsid w:val="000E6763"/>
    <w:rsid w:val="000F3690"/>
    <w:rsid w:val="00114F5C"/>
    <w:rsid w:val="001221D1"/>
    <w:rsid w:val="00180CE9"/>
    <w:rsid w:val="001E14A6"/>
    <w:rsid w:val="00230DD5"/>
    <w:rsid w:val="0024335C"/>
    <w:rsid w:val="002825BC"/>
    <w:rsid w:val="002877D0"/>
    <w:rsid w:val="002A3C79"/>
    <w:rsid w:val="002E3BC9"/>
    <w:rsid w:val="0032233F"/>
    <w:rsid w:val="00326B6E"/>
    <w:rsid w:val="0033346E"/>
    <w:rsid w:val="00357F37"/>
    <w:rsid w:val="00380D64"/>
    <w:rsid w:val="00391509"/>
    <w:rsid w:val="003E03D5"/>
    <w:rsid w:val="00493701"/>
    <w:rsid w:val="004B7D58"/>
    <w:rsid w:val="004E2065"/>
    <w:rsid w:val="00533326"/>
    <w:rsid w:val="005508A2"/>
    <w:rsid w:val="0055644F"/>
    <w:rsid w:val="00566F71"/>
    <w:rsid w:val="005B1143"/>
    <w:rsid w:val="005C22F4"/>
    <w:rsid w:val="005C55C6"/>
    <w:rsid w:val="005D0C26"/>
    <w:rsid w:val="005F6AA2"/>
    <w:rsid w:val="0060349E"/>
    <w:rsid w:val="006327D5"/>
    <w:rsid w:val="00635DA1"/>
    <w:rsid w:val="00675476"/>
    <w:rsid w:val="0069398D"/>
    <w:rsid w:val="00763C16"/>
    <w:rsid w:val="007A00C8"/>
    <w:rsid w:val="007C430F"/>
    <w:rsid w:val="007D614D"/>
    <w:rsid w:val="008002D9"/>
    <w:rsid w:val="00862F1C"/>
    <w:rsid w:val="00863B29"/>
    <w:rsid w:val="00906260"/>
    <w:rsid w:val="00952C9A"/>
    <w:rsid w:val="00960D6A"/>
    <w:rsid w:val="009805A2"/>
    <w:rsid w:val="009A0560"/>
    <w:rsid w:val="009B0917"/>
    <w:rsid w:val="009B3CF7"/>
    <w:rsid w:val="00A23C0C"/>
    <w:rsid w:val="00A477DE"/>
    <w:rsid w:val="00A71E65"/>
    <w:rsid w:val="00A81731"/>
    <w:rsid w:val="00A82C62"/>
    <w:rsid w:val="00AA0798"/>
    <w:rsid w:val="00AE044C"/>
    <w:rsid w:val="00B31971"/>
    <w:rsid w:val="00B3393E"/>
    <w:rsid w:val="00B349F8"/>
    <w:rsid w:val="00B42F38"/>
    <w:rsid w:val="00B4380A"/>
    <w:rsid w:val="00B50507"/>
    <w:rsid w:val="00B66ECB"/>
    <w:rsid w:val="00C210D4"/>
    <w:rsid w:val="00C660DA"/>
    <w:rsid w:val="00C676FA"/>
    <w:rsid w:val="00C7523A"/>
    <w:rsid w:val="00C96D5A"/>
    <w:rsid w:val="00CC1B6E"/>
    <w:rsid w:val="00CC376A"/>
    <w:rsid w:val="00CC48A1"/>
    <w:rsid w:val="00CE0DD0"/>
    <w:rsid w:val="00D033A8"/>
    <w:rsid w:val="00D66011"/>
    <w:rsid w:val="00D85951"/>
    <w:rsid w:val="00DA6942"/>
    <w:rsid w:val="00DB3142"/>
    <w:rsid w:val="00DB42E7"/>
    <w:rsid w:val="00DC2B2C"/>
    <w:rsid w:val="00DC604F"/>
    <w:rsid w:val="00DE01FC"/>
    <w:rsid w:val="00DE4E85"/>
    <w:rsid w:val="00E31F9A"/>
    <w:rsid w:val="00E35BE4"/>
    <w:rsid w:val="00E4485C"/>
    <w:rsid w:val="00E62606"/>
    <w:rsid w:val="00EE19EF"/>
    <w:rsid w:val="00F001B6"/>
    <w:rsid w:val="00F12EE6"/>
    <w:rsid w:val="00F34EE4"/>
    <w:rsid w:val="00F607F7"/>
    <w:rsid w:val="00F92C36"/>
    <w:rsid w:val="00FE40CB"/>
    <w:rsid w:val="00FF45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6E1C7"/>
  <w15:docId w15:val="{0586974B-F798-4B78-840A-6E218D20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46E"/>
    <w:pPr>
      <w:spacing w:after="160" w:line="259" w:lineRule="auto"/>
    </w:pPr>
    <w:rPr>
      <w:sz w:val="22"/>
      <w:lang w:val="en-US" w:eastAsia="en-US"/>
    </w:rPr>
  </w:style>
  <w:style w:type="paragraph" w:styleId="Ttulo1">
    <w:name w:val="heading 1"/>
    <w:basedOn w:val="Normal"/>
    <w:next w:val="Normal"/>
    <w:link w:val="Ttulo1Car"/>
    <w:qFormat/>
    <w:rsid w:val="0033346E"/>
    <w:pPr>
      <w:keepNext/>
      <w:keepLines/>
      <w:spacing w:before="240" w:after="0"/>
      <w:outlineLvl w:val="0"/>
    </w:pPr>
    <w:rPr>
      <w:rFonts w:ascii="Calibri Light" w:eastAsia="SimSun" w:hAnsi="Calibri Light"/>
      <w:color w:val="5B9BD5"/>
      <w:sz w:val="32"/>
    </w:rPr>
  </w:style>
  <w:style w:type="paragraph" w:styleId="Ttulo2">
    <w:name w:val="heading 2"/>
    <w:basedOn w:val="Normal"/>
    <w:next w:val="Normal"/>
    <w:link w:val="Ttulo2Car"/>
    <w:qFormat/>
    <w:rsid w:val="0033346E"/>
    <w:pPr>
      <w:keepNext/>
      <w:keepLines/>
      <w:spacing w:before="40" w:after="0"/>
      <w:outlineLvl w:val="1"/>
    </w:pPr>
    <w:rPr>
      <w:rFonts w:ascii="Calibri Light" w:eastAsia="SimSun" w:hAnsi="Calibri Light"/>
      <w:color w:val="5B9BD5"/>
      <w:sz w:val="26"/>
    </w:rPr>
  </w:style>
  <w:style w:type="paragraph" w:styleId="Ttulo3">
    <w:name w:val="heading 3"/>
    <w:basedOn w:val="Normal"/>
    <w:next w:val="Normal"/>
    <w:link w:val="Ttulo3Car"/>
    <w:qFormat/>
    <w:rsid w:val="0033346E"/>
    <w:pPr>
      <w:keepNext/>
      <w:keepLines/>
      <w:spacing w:before="200" w:after="0" w:line="276" w:lineRule="auto"/>
      <w:outlineLvl w:val="2"/>
    </w:pPr>
    <w:rPr>
      <w:rFonts w:ascii="Cambria" w:eastAsia="Malgun Gothic" w:hAnsi="Cambria"/>
      <w:b/>
      <w:color w:val="4F81BD"/>
    </w:rPr>
  </w:style>
  <w:style w:type="paragraph" w:styleId="Ttulo4">
    <w:name w:val="heading 4"/>
    <w:basedOn w:val="Normal"/>
    <w:next w:val="Normal"/>
    <w:link w:val="Ttulo4Car"/>
    <w:qFormat/>
    <w:rsid w:val="0033346E"/>
    <w:pPr>
      <w:keepNext/>
      <w:keepLines/>
      <w:spacing w:before="240" w:after="60" w:line="276" w:lineRule="auto"/>
      <w:outlineLvl w:val="3"/>
    </w:pPr>
    <w:rPr>
      <w:rFonts w:ascii="Cambria" w:eastAsia="Malgun Gothic" w:hAnsi="Cambria"/>
      <w:b/>
      <w:color w:val="4F81BD"/>
    </w:rPr>
  </w:style>
  <w:style w:type="paragraph" w:styleId="Ttulo5">
    <w:name w:val="heading 5"/>
    <w:basedOn w:val="Normal"/>
    <w:next w:val="Normal"/>
    <w:link w:val="Ttulo5Car"/>
    <w:qFormat/>
    <w:rsid w:val="0033346E"/>
    <w:pPr>
      <w:keepNext/>
      <w:keepLines/>
      <w:spacing w:before="240" w:after="60" w:line="276" w:lineRule="auto"/>
      <w:outlineLvl w:val="4"/>
    </w:pPr>
    <w:rPr>
      <w:rFonts w:ascii="Cambria" w:eastAsia="Malgun Gothic" w:hAnsi="Cambria"/>
      <w:b/>
      <w:color w:val="4F81BD"/>
    </w:rPr>
  </w:style>
  <w:style w:type="paragraph" w:styleId="Ttulo6">
    <w:name w:val="heading 6"/>
    <w:basedOn w:val="Normal"/>
    <w:next w:val="Normal"/>
    <w:link w:val="Ttulo6Car"/>
    <w:qFormat/>
    <w:rsid w:val="0033346E"/>
    <w:pPr>
      <w:keepNext/>
      <w:keepLines/>
      <w:spacing w:before="240" w:after="60" w:line="276" w:lineRule="auto"/>
      <w:outlineLvl w:val="5"/>
    </w:pPr>
    <w:rPr>
      <w:rFonts w:ascii="Cambria" w:eastAsia="Malgun Gothic" w:hAnsi="Cambria"/>
      <w:b/>
      <w:color w:val="4F81BD"/>
    </w:rPr>
  </w:style>
  <w:style w:type="paragraph" w:styleId="Ttulo7">
    <w:name w:val="heading 7"/>
    <w:basedOn w:val="Normal"/>
    <w:next w:val="Normal"/>
    <w:link w:val="Ttulo7Car"/>
    <w:qFormat/>
    <w:rsid w:val="0033346E"/>
    <w:pPr>
      <w:keepNext/>
      <w:keepLines/>
      <w:spacing w:before="240" w:after="60" w:line="276" w:lineRule="auto"/>
      <w:outlineLvl w:val="6"/>
    </w:pPr>
    <w:rPr>
      <w:rFonts w:ascii="Cambria" w:eastAsia="Malgun Gothic" w:hAnsi="Cambria"/>
      <w:b/>
      <w:color w:val="4F81BD"/>
    </w:rPr>
  </w:style>
  <w:style w:type="paragraph" w:styleId="Ttulo8">
    <w:name w:val="heading 8"/>
    <w:basedOn w:val="Normal"/>
    <w:next w:val="Normal"/>
    <w:link w:val="Ttulo8Car"/>
    <w:qFormat/>
    <w:rsid w:val="0033346E"/>
    <w:pPr>
      <w:keepNext/>
      <w:keepLines/>
      <w:spacing w:before="240" w:after="60" w:line="276" w:lineRule="auto"/>
      <w:outlineLvl w:val="7"/>
    </w:pPr>
    <w:rPr>
      <w:rFonts w:ascii="Cambria" w:eastAsia="Malgun Gothic" w:hAnsi="Cambria"/>
      <w:b/>
      <w:color w:val="4F81BD"/>
    </w:rPr>
  </w:style>
  <w:style w:type="paragraph" w:styleId="Ttulo9">
    <w:name w:val="heading 9"/>
    <w:basedOn w:val="Normal"/>
    <w:next w:val="Normal"/>
    <w:link w:val="Ttulo9Car"/>
    <w:qFormat/>
    <w:rsid w:val="0033346E"/>
    <w:pPr>
      <w:keepNext/>
      <w:keepLines/>
      <w:spacing w:before="240" w:after="60" w:line="276" w:lineRule="auto"/>
      <w:outlineLvl w:val="8"/>
    </w:pPr>
    <w:rPr>
      <w:rFonts w:ascii="Cambria" w:eastAsia="Malgun Gothic" w:hAnsi="Cambria"/>
      <w:b/>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rsid w:val="0033346E"/>
    <w:rPr>
      <w:rFonts w:ascii="Calibri Light" w:eastAsia="SimSun" w:hAnsi="Calibri Light"/>
      <w:color w:val="5B9BD5"/>
      <w:sz w:val="32"/>
      <w:lang w:val="en-US" w:eastAsia="en-US"/>
    </w:rPr>
  </w:style>
  <w:style w:type="character" w:customStyle="1" w:styleId="Ttulo2Car">
    <w:name w:val="Título 2 Car"/>
    <w:basedOn w:val="Fuentedeprrafopredeter"/>
    <w:link w:val="Ttulo2"/>
    <w:rsid w:val="0033346E"/>
    <w:rPr>
      <w:rFonts w:ascii="Calibri Light" w:eastAsia="SimSun" w:hAnsi="Calibri Light"/>
      <w:color w:val="5B9BD5"/>
      <w:sz w:val="26"/>
      <w:lang w:val="en-US" w:eastAsia="en-US"/>
    </w:rPr>
  </w:style>
  <w:style w:type="character" w:customStyle="1" w:styleId="Ttulo3Car">
    <w:name w:val="Título 3 Car"/>
    <w:basedOn w:val="Fuentedeprrafopredeter"/>
    <w:link w:val="Ttulo3"/>
    <w:rsid w:val="0033346E"/>
    <w:rPr>
      <w:rFonts w:ascii="Cambria" w:eastAsia="Malgun Gothic" w:hAnsi="Cambria"/>
      <w:b/>
      <w:color w:val="4F81BD"/>
      <w:sz w:val="22"/>
      <w:lang w:val="en-US" w:eastAsia="en-US"/>
    </w:rPr>
  </w:style>
  <w:style w:type="character" w:customStyle="1" w:styleId="Ttulo4Car">
    <w:name w:val="Título 4 Car"/>
    <w:basedOn w:val="Fuentedeprrafopredeter"/>
    <w:link w:val="Ttulo4"/>
    <w:rsid w:val="0033346E"/>
    <w:rPr>
      <w:rFonts w:ascii="Cambria" w:eastAsia="Malgun Gothic" w:hAnsi="Cambria"/>
      <w:b/>
      <w:color w:val="4F81BD"/>
      <w:sz w:val="22"/>
      <w:lang w:val="en-US" w:eastAsia="en-US"/>
    </w:rPr>
  </w:style>
  <w:style w:type="character" w:customStyle="1" w:styleId="Ttulo5Car">
    <w:name w:val="Título 5 Car"/>
    <w:basedOn w:val="Fuentedeprrafopredeter"/>
    <w:link w:val="Ttulo5"/>
    <w:rsid w:val="0033346E"/>
    <w:rPr>
      <w:rFonts w:ascii="Cambria" w:eastAsia="Malgun Gothic" w:hAnsi="Cambria"/>
      <w:b/>
      <w:color w:val="4F81BD"/>
      <w:sz w:val="22"/>
      <w:lang w:val="en-US" w:eastAsia="en-US"/>
    </w:rPr>
  </w:style>
  <w:style w:type="character" w:customStyle="1" w:styleId="Ttulo6Car">
    <w:name w:val="Título 6 Car"/>
    <w:basedOn w:val="Fuentedeprrafopredeter"/>
    <w:link w:val="Ttulo6"/>
    <w:rsid w:val="0033346E"/>
    <w:rPr>
      <w:rFonts w:ascii="Cambria" w:eastAsia="Malgun Gothic" w:hAnsi="Cambria"/>
      <w:b/>
      <w:color w:val="4F81BD"/>
      <w:sz w:val="22"/>
      <w:lang w:val="en-US" w:eastAsia="en-US"/>
    </w:rPr>
  </w:style>
  <w:style w:type="character" w:customStyle="1" w:styleId="Ttulo7Car">
    <w:name w:val="Título 7 Car"/>
    <w:basedOn w:val="Fuentedeprrafopredeter"/>
    <w:link w:val="Ttulo7"/>
    <w:rsid w:val="0033346E"/>
    <w:rPr>
      <w:rFonts w:ascii="Cambria" w:eastAsia="Malgun Gothic" w:hAnsi="Cambria"/>
      <w:b/>
      <w:color w:val="4F81BD"/>
      <w:sz w:val="22"/>
      <w:lang w:val="en-US" w:eastAsia="en-US"/>
    </w:rPr>
  </w:style>
  <w:style w:type="character" w:customStyle="1" w:styleId="Ttulo8Car">
    <w:name w:val="Título 8 Car"/>
    <w:basedOn w:val="Fuentedeprrafopredeter"/>
    <w:link w:val="Ttulo8"/>
    <w:rsid w:val="0033346E"/>
    <w:rPr>
      <w:rFonts w:ascii="Cambria" w:eastAsia="Malgun Gothic" w:hAnsi="Cambria"/>
      <w:b/>
      <w:color w:val="4F81BD"/>
      <w:sz w:val="22"/>
      <w:lang w:val="en-US" w:eastAsia="en-US"/>
    </w:rPr>
  </w:style>
  <w:style w:type="character" w:customStyle="1" w:styleId="Ttulo9Car">
    <w:name w:val="Título 9 Car"/>
    <w:basedOn w:val="Fuentedeprrafopredeter"/>
    <w:link w:val="Ttulo9"/>
    <w:rsid w:val="0033346E"/>
    <w:rPr>
      <w:rFonts w:ascii="Cambria" w:eastAsia="Malgun Gothic" w:hAnsi="Cambria"/>
      <w:b/>
      <w:color w:val="4F81BD"/>
      <w:sz w:val="22"/>
      <w:lang w:val="en-US" w:eastAsia="en-US"/>
    </w:rPr>
  </w:style>
  <w:style w:type="paragraph" w:styleId="TDC1">
    <w:name w:val="toc 1"/>
    <w:basedOn w:val="Normal"/>
    <w:next w:val="Normal"/>
    <w:uiPriority w:val="39"/>
    <w:rsid w:val="0033346E"/>
    <w:pPr>
      <w:tabs>
        <w:tab w:val="right" w:leader="dot" w:pos="8494"/>
      </w:tabs>
      <w:spacing w:after="100"/>
      <w:ind w:firstLine="1440"/>
      <w:jc w:val="both"/>
    </w:pPr>
  </w:style>
  <w:style w:type="paragraph" w:styleId="TDC2">
    <w:name w:val="toc 2"/>
    <w:basedOn w:val="Normal"/>
    <w:next w:val="Normal"/>
    <w:uiPriority w:val="39"/>
    <w:rsid w:val="0033346E"/>
    <w:pPr>
      <w:tabs>
        <w:tab w:val="right" w:leader="dot" w:pos="8494"/>
      </w:tabs>
      <w:spacing w:after="100"/>
      <w:ind w:left="220" w:firstLine="1220"/>
    </w:pPr>
  </w:style>
  <w:style w:type="table" w:styleId="Tablaconcuadrcula">
    <w:name w:val="Table Grid"/>
    <w:basedOn w:val="Tablanormal"/>
    <w:rsid w:val="0033346E"/>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rrafodelista">
    <w:name w:val="List Paragraph"/>
    <w:basedOn w:val="Normal"/>
    <w:qFormat/>
    <w:rsid w:val="0033346E"/>
    <w:pPr>
      <w:ind w:left="720"/>
    </w:pPr>
  </w:style>
  <w:style w:type="paragraph" w:styleId="TtuloTDC">
    <w:name w:val="TOC Heading"/>
    <w:basedOn w:val="Ttulo1"/>
    <w:next w:val="Normal"/>
    <w:qFormat/>
    <w:rsid w:val="0033346E"/>
  </w:style>
  <w:style w:type="table" w:customStyle="1" w:styleId="Tablaconcuadrcula1">
    <w:name w:val="Tabla con cuadrícula1"/>
    <w:basedOn w:val="Tablanormal"/>
    <w:rsid w:val="0033346E"/>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ref-journal">
    <w:name w:val="ref-journal"/>
    <w:basedOn w:val="Fuentedeprrafopredeter"/>
    <w:rsid w:val="0033346E"/>
    <w:rPr>
      <w:sz w:val="22"/>
    </w:rPr>
  </w:style>
  <w:style w:type="character" w:customStyle="1" w:styleId="ref-vol">
    <w:name w:val="ref-vol"/>
    <w:basedOn w:val="Fuentedeprrafopredeter"/>
    <w:rsid w:val="0033346E"/>
    <w:rPr>
      <w:sz w:val="22"/>
    </w:rPr>
  </w:style>
  <w:style w:type="character" w:styleId="Refdenotaalpie">
    <w:name w:val="footnote reference"/>
    <w:basedOn w:val="Fuentedeprrafopredeter"/>
    <w:uiPriority w:val="99"/>
    <w:rsid w:val="0033346E"/>
    <w:rPr>
      <w:vertAlign w:val="superscript"/>
    </w:rPr>
  </w:style>
  <w:style w:type="character" w:styleId="Refdenotaalfinal">
    <w:name w:val="endnote reference"/>
    <w:basedOn w:val="Fuentedeprrafopredeter"/>
    <w:uiPriority w:val="99"/>
    <w:rsid w:val="0033346E"/>
    <w:rPr>
      <w:vertAlign w:val="superscript"/>
    </w:rPr>
  </w:style>
  <w:style w:type="character" w:styleId="Hipervnculovisitado">
    <w:name w:val="FollowedHyperlink"/>
    <w:basedOn w:val="Fuentedeprrafopredeter"/>
    <w:uiPriority w:val="99"/>
    <w:semiHidden/>
    <w:unhideWhenUsed/>
    <w:rsid w:val="0033346E"/>
    <w:rPr>
      <w:color w:val="800080" w:themeColor="followedHyperlink"/>
      <w:u w:val="single"/>
    </w:rPr>
  </w:style>
  <w:style w:type="table" w:customStyle="1" w:styleId="Tablaconcuadrcula2">
    <w:name w:val="Tabla con cuadrícula2"/>
    <w:basedOn w:val="Tablanormal"/>
    <w:next w:val="Tablaconcuadrcula"/>
    <w:uiPriority w:val="59"/>
    <w:rsid w:val="003334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46E"/>
    <w:pPr>
      <w:autoSpaceDE w:val="0"/>
      <w:autoSpaceDN w:val="0"/>
      <w:adjustRightInd w:val="0"/>
    </w:pPr>
    <w:rPr>
      <w:rFonts w:ascii="Roboto" w:eastAsia="Roboto" w:cs="Roboto"/>
      <w:color w:val="000000"/>
      <w:sz w:val="24"/>
      <w:szCs w:val="24"/>
      <w:lang w:val="en-US" w:eastAsia="en-US"/>
    </w:rPr>
  </w:style>
  <w:style w:type="paragraph" w:customStyle="1" w:styleId="Pa0">
    <w:name w:val="Pa0"/>
    <w:basedOn w:val="Default"/>
    <w:next w:val="Default"/>
    <w:uiPriority w:val="99"/>
    <w:rsid w:val="0033346E"/>
    <w:pPr>
      <w:spacing w:line="441" w:lineRule="atLeast"/>
    </w:pPr>
    <w:rPr>
      <w:rFonts w:cs="Times New Roman"/>
      <w:color w:val="auto"/>
    </w:rPr>
  </w:style>
  <w:style w:type="character" w:customStyle="1" w:styleId="A1">
    <w:name w:val="A1"/>
    <w:uiPriority w:val="99"/>
    <w:rsid w:val="0033346E"/>
    <w:rPr>
      <w:rFonts w:cs="Roboto"/>
      <w:color w:val="000000"/>
    </w:rPr>
  </w:style>
  <w:style w:type="character" w:styleId="Textoennegrita">
    <w:name w:val="Strong"/>
    <w:basedOn w:val="Fuentedeprrafopredeter"/>
    <w:uiPriority w:val="22"/>
    <w:qFormat/>
    <w:rsid w:val="0033346E"/>
    <w:rPr>
      <w:b/>
      <w:bCs/>
    </w:rPr>
  </w:style>
  <w:style w:type="table" w:customStyle="1" w:styleId="Tablaconcuadrcula3">
    <w:name w:val="Tabla con cuadrícula3"/>
    <w:basedOn w:val="Tablanormal"/>
    <w:next w:val="Tablaconcuadrcula"/>
    <w:uiPriority w:val="59"/>
    <w:rsid w:val="003334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334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33346E"/>
  </w:style>
  <w:style w:type="character" w:styleId="Refdecomentario">
    <w:name w:val="annotation reference"/>
    <w:basedOn w:val="Fuentedeprrafopredeter"/>
    <w:uiPriority w:val="99"/>
    <w:semiHidden/>
    <w:unhideWhenUsed/>
    <w:rsid w:val="0033346E"/>
    <w:rPr>
      <w:sz w:val="16"/>
      <w:szCs w:val="16"/>
    </w:rPr>
  </w:style>
  <w:style w:type="paragraph" w:styleId="Textocomentario">
    <w:name w:val="annotation text"/>
    <w:basedOn w:val="Normal"/>
    <w:link w:val="TextocomentarioCar"/>
    <w:uiPriority w:val="99"/>
    <w:semiHidden/>
    <w:unhideWhenUsed/>
    <w:rsid w:val="0033346E"/>
    <w:pPr>
      <w:spacing w:line="240" w:lineRule="auto"/>
    </w:pPr>
    <w:rPr>
      <w:sz w:val="20"/>
    </w:rPr>
  </w:style>
  <w:style w:type="character" w:customStyle="1" w:styleId="TextocomentarioCar">
    <w:name w:val="Texto comentario Car"/>
    <w:basedOn w:val="Fuentedeprrafopredeter"/>
    <w:link w:val="Textocomentario"/>
    <w:uiPriority w:val="99"/>
    <w:semiHidden/>
    <w:rsid w:val="0033346E"/>
    <w:rPr>
      <w:lang w:val="en-US" w:eastAsia="en-US"/>
    </w:rPr>
  </w:style>
  <w:style w:type="paragraph" w:styleId="Asuntodelcomentario">
    <w:name w:val="annotation subject"/>
    <w:basedOn w:val="Textocomentario"/>
    <w:next w:val="Textocomentario"/>
    <w:link w:val="AsuntodelcomentarioCar"/>
    <w:uiPriority w:val="99"/>
    <w:semiHidden/>
    <w:unhideWhenUsed/>
    <w:rsid w:val="0033346E"/>
    <w:rPr>
      <w:b/>
      <w:bCs/>
    </w:rPr>
  </w:style>
  <w:style w:type="character" w:customStyle="1" w:styleId="AsuntodelcomentarioCar">
    <w:name w:val="Asunto del comentario Car"/>
    <w:basedOn w:val="TextocomentarioCar"/>
    <w:link w:val="Asuntodelcomentario"/>
    <w:uiPriority w:val="99"/>
    <w:semiHidden/>
    <w:rsid w:val="0033346E"/>
    <w:rPr>
      <w:b/>
      <w:bCs/>
      <w:lang w:val="en-US" w:eastAsia="en-US"/>
    </w:rPr>
  </w:style>
  <w:style w:type="character" w:customStyle="1" w:styleId="Mencinsinresolver1">
    <w:name w:val="Mención sin resolver1"/>
    <w:basedOn w:val="Fuentedeprrafopredeter"/>
    <w:uiPriority w:val="99"/>
    <w:semiHidden/>
    <w:unhideWhenUsed/>
    <w:rsid w:val="0033346E"/>
    <w:rPr>
      <w:color w:val="605E5C"/>
      <w:shd w:val="clear" w:color="auto" w:fill="E1DFDD"/>
    </w:rPr>
  </w:style>
  <w:style w:type="paragraph" w:styleId="HTMLconformatoprevio">
    <w:name w:val="HTML Preformatted"/>
    <w:basedOn w:val="Normal"/>
    <w:link w:val="HTMLconformatoprevioCar"/>
    <w:uiPriority w:val="99"/>
    <w:semiHidden/>
    <w:unhideWhenUsed/>
    <w:rsid w:val="00333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s-ES" w:eastAsia="es-ES"/>
    </w:rPr>
  </w:style>
  <w:style w:type="character" w:customStyle="1" w:styleId="HTMLconformatoprevioCar">
    <w:name w:val="HTML con formato previo Car"/>
    <w:basedOn w:val="Fuentedeprrafopredeter"/>
    <w:link w:val="HTMLconformatoprevio"/>
    <w:uiPriority w:val="99"/>
    <w:semiHidden/>
    <w:rsid w:val="0033346E"/>
    <w:rPr>
      <w:rFonts w:ascii="Courier New" w:hAnsi="Courier New" w:cs="Courier New"/>
    </w:rPr>
  </w:style>
  <w:style w:type="character" w:customStyle="1" w:styleId="y2iqfc">
    <w:name w:val="y2iqfc"/>
    <w:basedOn w:val="Fuentedeprrafopredeter"/>
    <w:rsid w:val="0033346E"/>
  </w:style>
  <w:style w:type="character" w:customStyle="1" w:styleId="Mencinsinresolver2">
    <w:name w:val="Mención sin resolver2"/>
    <w:basedOn w:val="Fuentedeprrafopredeter"/>
    <w:uiPriority w:val="99"/>
    <w:semiHidden/>
    <w:unhideWhenUsed/>
    <w:rsid w:val="0033346E"/>
    <w:rPr>
      <w:color w:val="605E5C"/>
      <w:shd w:val="clear" w:color="auto" w:fill="E1DFDD"/>
    </w:rPr>
  </w:style>
  <w:style w:type="character" w:styleId="Mencinsinresolver">
    <w:name w:val="Unresolved Mention"/>
    <w:basedOn w:val="Fuentedeprrafopredeter"/>
    <w:uiPriority w:val="99"/>
    <w:semiHidden/>
    <w:unhideWhenUsed/>
    <w:rsid w:val="00F34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581-7693" TargetMode="External"/><Relationship Id="rId13" Type="http://schemas.openxmlformats.org/officeDocument/2006/relationships/hyperlink" Target="mailto:ludmila@infomed.sld.cu" TargetMode="External"/><Relationship Id="rId18" Type="http://schemas.openxmlformats.org/officeDocument/2006/relationships/hyperlink" Target="http://scielo.sld.cu/scielo.php?script=sci_arttext&amp;pid=S0034-75232014000200008&amp;lng=es" TargetMode="External"/><Relationship Id="rId26" Type="http://schemas.openxmlformats.org/officeDocument/2006/relationships/hyperlink" Target="https://www.wma.net/es/policies-post/declaracion-de-helsinki-de-la-amm-principios-eticos-para-las-investigaciones-medicas-en-seres-humanos/" TargetMode="External"/><Relationship Id="rId39" Type="http://schemas.openxmlformats.org/officeDocument/2006/relationships/hyperlink" Target="http://repositorio.ug.edu.ec/bitstream/redug/33255/1/CD%202101-%20ZAMBRANO%20CAMPOZANO%20CARLOS%20ANDR%C3%89S%2C%20ONTANEDA%20QUIJIJE%20ESTEBAN%20JOAO.pdf" TargetMode="External"/><Relationship Id="rId3" Type="http://schemas.openxmlformats.org/officeDocument/2006/relationships/settings" Target="settings.xml"/><Relationship Id="rId21" Type="http://schemas.openxmlformats.org/officeDocument/2006/relationships/hyperlink" Target="https://ddd.uab.cat/pub/tesis/2018/hdl_10803_664228/eat1de1.pdf" TargetMode="External"/><Relationship Id="rId34" Type="http://schemas.openxmlformats.org/officeDocument/2006/relationships/hyperlink" Target="http://dx.doi.org/10.24265/horizmed.2020.v20n2.08" TargetMode="External"/><Relationship Id="rId42" Type="http://schemas.openxmlformats.org/officeDocument/2006/relationships/footer" Target="footer1.xml"/><Relationship Id="rId7" Type="http://schemas.openxmlformats.org/officeDocument/2006/relationships/hyperlink" Target="https://orcid.org/0000-0002-9217-5646" TargetMode="External"/><Relationship Id="rId12" Type="http://schemas.openxmlformats.org/officeDocument/2006/relationships/hyperlink" Target="https://orcid.org/0000-0001-5358-161X" TargetMode="External"/><Relationship Id="rId17" Type="http://schemas.openxmlformats.org/officeDocument/2006/relationships/hyperlink" Target="http://www.redalyc.org/articulo.oa?id=337731614002" TargetMode="External"/><Relationship Id="rId25" Type="http://schemas.openxmlformats.org/officeDocument/2006/relationships/hyperlink" Target="http://scielo.sld.cu/scielo.php?script=sci_arttext&amp;pid=S0138-65572016000200006" TargetMode="External"/><Relationship Id="rId33" Type="http://schemas.openxmlformats.org/officeDocument/2006/relationships/hyperlink" Target="http://bvs.sld.cu/revistas/mciego/vol19_supl2_2013/articulos/t-8.html" TargetMode="External"/><Relationship Id="rId38" Type="http://schemas.openxmlformats.org/officeDocument/2006/relationships/hyperlink" Target="http://repository.ces.edu.co/bitstream/10946/3456/1/Factores%20Sociodemograficos%20Clinicos%20Estilos%20Vida.pdf" TargetMode="External"/><Relationship Id="rId2" Type="http://schemas.openxmlformats.org/officeDocument/2006/relationships/styles" Target="styles.xml"/><Relationship Id="rId16" Type="http://schemas.openxmlformats.org/officeDocument/2006/relationships/hyperlink" Target="https://doi.org/10.22516/25007440.66" TargetMode="External"/><Relationship Id="rId20" Type="http://schemas.openxmlformats.org/officeDocument/2006/relationships/hyperlink" Target="https://doi.org/10.33262/cienciadigital.v3i4.936" TargetMode="External"/><Relationship Id="rId29" Type="http://schemas.openxmlformats.org/officeDocument/2006/relationships/hyperlink" Target="http://scielo.isciii.es/scielo.php?script=sci_arttext&amp;pid=S0212-16112008000100011"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451-1371" TargetMode="External"/><Relationship Id="rId24" Type="http://schemas.openxmlformats.org/officeDocument/2006/relationships/hyperlink" Target="https://www.imbiomed.com.mx/articulo.php?id=80530" TargetMode="External"/><Relationship Id="rId32" Type="http://schemas.openxmlformats.org/officeDocument/2006/relationships/hyperlink" Target="https://revistas.unilibre.edu.co/index.php/biociencias/article/view/2242" TargetMode="External"/><Relationship Id="rId37" Type="http://schemas.openxmlformats.org/officeDocument/2006/relationships/hyperlink" Target="https://doi.org/10.1016/j.medcli.2019.01.030" TargetMode="External"/><Relationship Id="rId40" Type="http://schemas.openxmlformats.org/officeDocument/2006/relationships/hyperlink" Target="http://scielo.sld.cu/scielo.php?script=sci_arttext&amp;pid=S0034-75232018000400005&amp;lng=e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helancet.com/article/S0140-6736(14)60121-5/fulltext" TargetMode="External"/><Relationship Id="rId23" Type="http://schemas.openxmlformats.org/officeDocument/2006/relationships/hyperlink" Target="http://eduniv.reduniv.edu.cu/index.php?page=13&amp;id=1065&amp;db=1" TargetMode="External"/><Relationship Id="rId28" Type="http://schemas.openxmlformats.org/officeDocument/2006/relationships/hyperlink" Target="http://repositorio.unjbg.edu.pe/handle/UNJBG/2388" TargetMode="External"/><Relationship Id="rId36" Type="http://schemas.openxmlformats.org/officeDocument/2006/relationships/hyperlink" Target="http://dx.doi.org/10.23938/assn.0006" TargetMode="External"/><Relationship Id="rId10" Type="http://schemas.openxmlformats.org/officeDocument/2006/relationships/hyperlink" Target="https://orcid.org/0000-0002-2571-4275" TargetMode="External"/><Relationship Id="rId19" Type="http://schemas.openxmlformats.org/officeDocument/2006/relationships/hyperlink" Target="https://www.redalyc.org/pdf/843/84344266013.pdf" TargetMode="External"/><Relationship Id="rId31" Type="http://schemas.openxmlformats.org/officeDocument/2006/relationships/hyperlink" Target="http://www.revmediciego.sld.cu/index.php/mediciego/rt/captureCite/527/101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6092-8439" TargetMode="External"/><Relationship Id="rId14" Type="http://schemas.openxmlformats.org/officeDocument/2006/relationships/image" Target="media/image1.jpg"/><Relationship Id="rId22" Type="http://schemas.openxmlformats.org/officeDocument/2006/relationships/hyperlink" Target="http://www.sld.cu/anuncio/2020/05/09/publicado-el-anuario-estadistico-de-salud-2019" TargetMode="External"/><Relationship Id="rId27" Type="http://schemas.openxmlformats.org/officeDocument/2006/relationships/hyperlink" Target="http://repositorio.unap.edu.pe/bitstream/handle/UNAP/9459/Roberto_Torres_Lerma.pdf?sequence=3&amp;isAllowed=y" TargetMode="External"/><Relationship Id="rId30" Type="http://schemas.openxmlformats.org/officeDocument/2006/relationships/hyperlink" Target="http://www.revtecnologia.sld.cu/index.php/tec/article/view/1310" TargetMode="External"/><Relationship Id="rId35" Type="http://schemas.openxmlformats.org/officeDocument/2006/relationships/hyperlink" Target="http://www.scielo.org.pe/scielo.php?pid=S1022-51292007000300003&amp;script=sci_abstract"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174</TotalTime>
  <Pages>16</Pages>
  <Words>5229</Words>
  <Characters>28760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33922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72</cp:revision>
  <cp:lastPrinted>2021-10-19T18:42:00Z</cp:lastPrinted>
  <dcterms:created xsi:type="dcterms:W3CDTF">2021-10-18T20:06:00Z</dcterms:created>
  <dcterms:modified xsi:type="dcterms:W3CDTF">2021-10-19T18:45:00Z</dcterms:modified>
</cp:coreProperties>
</file>