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FA893" w14:textId="77777777" w:rsidR="00BF0A93" w:rsidRPr="00BF0A93" w:rsidRDefault="00BF0A93" w:rsidP="00BF0A93">
      <w:pPr>
        <w:keepNext/>
        <w:spacing w:line="360" w:lineRule="auto"/>
        <w:ind w:firstLine="720"/>
        <w:contextualSpacing/>
        <w:jc w:val="right"/>
        <w:outlineLvl w:val="7"/>
        <w:rPr>
          <w:bCs/>
          <w:sz w:val="20"/>
          <w:szCs w:val="20"/>
          <w:lang w:val="es-ES" w:eastAsia="es-ES"/>
        </w:rPr>
      </w:pPr>
      <w:r w:rsidRPr="00BF0A93">
        <w:rPr>
          <w:bCs/>
          <w:sz w:val="20"/>
          <w:szCs w:val="20"/>
          <w:lang w:val="es-ES" w:eastAsia="es-ES"/>
        </w:rPr>
        <w:t>Artículo de investigación</w:t>
      </w:r>
    </w:p>
    <w:p w14:paraId="5842D742" w14:textId="77777777" w:rsidR="00BF0A93" w:rsidRPr="00BF0A93" w:rsidRDefault="00BF0A93" w:rsidP="00BF0A93">
      <w:pPr>
        <w:spacing w:line="360" w:lineRule="auto"/>
        <w:ind w:left="142" w:right="-285"/>
        <w:contextualSpacing/>
        <w:jc w:val="center"/>
        <w:rPr>
          <w:b/>
          <w:lang w:eastAsia="es-ES"/>
        </w:rPr>
      </w:pPr>
    </w:p>
    <w:p w14:paraId="1748E03C" w14:textId="0B5C7A0F" w:rsidR="00BF0A93" w:rsidRPr="00BF0A93" w:rsidRDefault="00BF0A93" w:rsidP="00BF0A93">
      <w:pPr>
        <w:spacing w:line="360" w:lineRule="auto"/>
        <w:ind w:left="142" w:right="-285"/>
        <w:contextualSpacing/>
        <w:jc w:val="center"/>
        <w:rPr>
          <w:b/>
          <w:bCs/>
          <w:sz w:val="28"/>
          <w:szCs w:val="28"/>
          <w:lang w:eastAsia="es-ES"/>
        </w:rPr>
      </w:pPr>
      <w:r w:rsidRPr="00BF0A93">
        <w:rPr>
          <w:b/>
          <w:sz w:val="28"/>
          <w:szCs w:val="28"/>
          <w:lang w:eastAsia="es-ES"/>
        </w:rPr>
        <w:t>Caracterización de pacientes con infecciones bacterianas</w:t>
      </w:r>
      <w:r w:rsidRPr="00BF0A93">
        <w:rPr>
          <w:b/>
          <w:sz w:val="28"/>
          <w:szCs w:val="28"/>
          <w:lang w:val="es-CU" w:eastAsia="es-ES"/>
        </w:rPr>
        <w:t xml:space="preserve"> </w:t>
      </w:r>
      <w:r w:rsidRPr="00BF0A93">
        <w:rPr>
          <w:b/>
          <w:sz w:val="28"/>
          <w:szCs w:val="28"/>
          <w:lang w:eastAsia="es-ES"/>
        </w:rPr>
        <w:t>asociadas a</w:t>
      </w:r>
      <w:r w:rsidR="00F93CAB">
        <w:rPr>
          <w:b/>
          <w:sz w:val="28"/>
          <w:szCs w:val="28"/>
          <w:lang w:eastAsia="es-ES"/>
        </w:rPr>
        <w:t>l</w:t>
      </w:r>
      <w:r w:rsidRPr="00BF0A93">
        <w:rPr>
          <w:b/>
          <w:sz w:val="28"/>
          <w:szCs w:val="28"/>
          <w:lang w:eastAsia="es-ES"/>
        </w:rPr>
        <w:t xml:space="preserve"> catéter para hemodiálisis</w:t>
      </w:r>
    </w:p>
    <w:p w14:paraId="61CF2ECB" w14:textId="77777777" w:rsidR="00BF0A93" w:rsidRPr="00BF0A93" w:rsidRDefault="00BF0A93" w:rsidP="00BF0A93">
      <w:pPr>
        <w:spacing w:line="360" w:lineRule="auto"/>
        <w:ind w:left="142" w:right="-284"/>
        <w:contextualSpacing/>
        <w:jc w:val="center"/>
        <w:rPr>
          <w:bCs/>
          <w:lang w:val="en-US" w:eastAsia="es-ES"/>
        </w:rPr>
      </w:pPr>
      <w:r w:rsidRPr="00BF0A93">
        <w:rPr>
          <w:bCs/>
          <w:sz w:val="28"/>
          <w:szCs w:val="28"/>
          <w:lang w:val="en-US" w:eastAsia="es-ES"/>
        </w:rPr>
        <w:t>Characterization of patient with bacterial infections associated with hemodialysis catheters</w:t>
      </w:r>
    </w:p>
    <w:p w14:paraId="64430925" w14:textId="77777777" w:rsidR="00BF0A93" w:rsidRPr="00BF0A93" w:rsidRDefault="00BF0A93" w:rsidP="00BF0A93">
      <w:pPr>
        <w:spacing w:line="360" w:lineRule="auto"/>
        <w:contextualSpacing/>
        <w:jc w:val="both"/>
        <w:rPr>
          <w:bCs/>
          <w:lang w:val="en-US" w:eastAsia="es-ES"/>
        </w:rPr>
      </w:pPr>
    </w:p>
    <w:p w14:paraId="7AC2C3C1" w14:textId="77777777" w:rsidR="00BF0A93" w:rsidRPr="00BF0A93" w:rsidRDefault="00BF0A93" w:rsidP="00BF0A93">
      <w:pPr>
        <w:spacing w:line="360" w:lineRule="auto"/>
        <w:contextualSpacing/>
        <w:jc w:val="both"/>
        <w:rPr>
          <w:bCs/>
          <w:lang w:val="es-CU" w:eastAsia="es-ES"/>
        </w:rPr>
      </w:pPr>
      <w:r w:rsidRPr="00BF0A93">
        <w:rPr>
          <w:bCs/>
          <w:lang w:val="es-CU" w:eastAsia="es-ES"/>
        </w:rPr>
        <w:t>Pascual de Jesús López Escudero</w:t>
      </w:r>
      <w:r w:rsidRPr="00BF0A93">
        <w:rPr>
          <w:bCs/>
          <w:vertAlign w:val="superscript"/>
          <w:lang w:val="es-CU" w:eastAsia="es-ES"/>
        </w:rPr>
        <w:t>1</w:t>
      </w:r>
      <w:r w:rsidRPr="00BF0A93">
        <w:rPr>
          <w:bCs/>
          <w:lang w:val="es-CU" w:eastAsia="es-ES"/>
        </w:rPr>
        <w:t>*</w:t>
      </w:r>
      <w:r w:rsidRPr="00BF0A93">
        <w:rPr>
          <w:bCs/>
          <w:vertAlign w:val="superscript"/>
          <w:lang w:val="es-CU" w:eastAsia="es-ES"/>
        </w:rPr>
        <w:t xml:space="preserve"> </w:t>
      </w:r>
      <w:hyperlink r:id="rId7" w:history="1">
        <w:r w:rsidRPr="00BF0A93">
          <w:rPr>
            <w:bCs/>
            <w:color w:val="0563C1"/>
            <w:u w:val="single"/>
            <w:lang w:val="es-CU" w:eastAsia="es-ES"/>
          </w:rPr>
          <w:t>https://orcid.org/0000-0002-1054-4859</w:t>
        </w:r>
      </w:hyperlink>
      <w:r w:rsidRPr="00BF0A93">
        <w:rPr>
          <w:bCs/>
          <w:lang w:val="es-CU" w:eastAsia="es-ES"/>
        </w:rPr>
        <w:t xml:space="preserve"> </w:t>
      </w:r>
    </w:p>
    <w:p w14:paraId="1CDCB1DC" w14:textId="77777777" w:rsidR="00BF0A93" w:rsidRPr="00BF0A93" w:rsidRDefault="00BF0A93" w:rsidP="00BF0A93">
      <w:pPr>
        <w:spacing w:line="360" w:lineRule="auto"/>
        <w:contextualSpacing/>
        <w:jc w:val="both"/>
        <w:rPr>
          <w:lang w:val="es-MX" w:eastAsia="es-ES"/>
        </w:rPr>
      </w:pPr>
      <w:r w:rsidRPr="00BF0A93">
        <w:rPr>
          <w:lang w:val="es-MX" w:eastAsia="es-ES"/>
        </w:rPr>
        <w:t>Zurelis Pompa Gutiérrez</w:t>
      </w:r>
      <w:r w:rsidRPr="00BF0A93">
        <w:rPr>
          <w:vertAlign w:val="superscript"/>
          <w:lang w:val="es-MX" w:eastAsia="es-ES"/>
        </w:rPr>
        <w:t>1</w:t>
      </w:r>
      <w:r w:rsidRPr="00BF0A93">
        <w:rPr>
          <w:lang w:val="es-MX" w:eastAsia="es-ES"/>
        </w:rPr>
        <w:t xml:space="preserve"> </w:t>
      </w:r>
      <w:hyperlink r:id="rId8" w:history="1">
        <w:r w:rsidRPr="00BF0A93">
          <w:rPr>
            <w:color w:val="0563C1"/>
            <w:u w:val="single"/>
            <w:lang w:val="es-MX" w:eastAsia="es-ES"/>
          </w:rPr>
          <w:t>https://orcid.org/0000-0001-9525-0173</w:t>
        </w:r>
      </w:hyperlink>
      <w:r w:rsidRPr="00BF0A93">
        <w:rPr>
          <w:lang w:val="es-MX" w:eastAsia="es-ES"/>
        </w:rPr>
        <w:t xml:space="preserve"> </w:t>
      </w:r>
    </w:p>
    <w:p w14:paraId="59A00A61" w14:textId="77777777" w:rsidR="00BF0A93" w:rsidRPr="00BF0A93" w:rsidRDefault="00BF0A93" w:rsidP="00BF0A93">
      <w:pPr>
        <w:spacing w:line="360" w:lineRule="auto"/>
        <w:contextualSpacing/>
        <w:jc w:val="both"/>
        <w:rPr>
          <w:lang w:val="es-MX" w:eastAsia="es-ES"/>
        </w:rPr>
      </w:pPr>
      <w:r w:rsidRPr="00BF0A93">
        <w:rPr>
          <w:lang w:val="es-MX" w:eastAsia="es-ES"/>
        </w:rPr>
        <w:t>Betsy Álvarez Vázquez</w:t>
      </w:r>
      <w:r w:rsidRPr="00BF0A93">
        <w:rPr>
          <w:vertAlign w:val="superscript"/>
          <w:lang w:val="es-MX" w:eastAsia="es-ES"/>
        </w:rPr>
        <w:t>1</w:t>
      </w:r>
      <w:r w:rsidRPr="00BF0A93">
        <w:rPr>
          <w:lang w:val="es-MX" w:eastAsia="es-ES"/>
        </w:rPr>
        <w:t xml:space="preserve"> </w:t>
      </w:r>
      <w:hyperlink r:id="rId9" w:history="1">
        <w:r w:rsidRPr="00BF0A93">
          <w:rPr>
            <w:color w:val="0563C1"/>
            <w:u w:val="single"/>
            <w:lang w:val="es-MX" w:eastAsia="es-ES"/>
          </w:rPr>
          <w:t>https://orcid.org/0000-0002-8738-2018</w:t>
        </w:r>
      </w:hyperlink>
      <w:r w:rsidRPr="00BF0A93">
        <w:rPr>
          <w:lang w:val="es-MX" w:eastAsia="es-ES"/>
        </w:rPr>
        <w:t xml:space="preserve"> </w:t>
      </w:r>
    </w:p>
    <w:p w14:paraId="6BBB13B0" w14:textId="77777777" w:rsidR="00BF0A93" w:rsidRPr="00BF0A93" w:rsidRDefault="00BF0A93" w:rsidP="00BF0A93">
      <w:pPr>
        <w:spacing w:line="360" w:lineRule="auto"/>
        <w:contextualSpacing/>
        <w:jc w:val="both"/>
        <w:rPr>
          <w:bCs/>
          <w:vertAlign w:val="superscript"/>
          <w:lang w:val="es-CU" w:eastAsia="es-ES"/>
        </w:rPr>
      </w:pPr>
    </w:p>
    <w:p w14:paraId="02EF28B9" w14:textId="77777777" w:rsidR="00BF0A93" w:rsidRPr="00BF0A93" w:rsidRDefault="00BF0A93" w:rsidP="00BF0A93">
      <w:pPr>
        <w:spacing w:line="360" w:lineRule="auto"/>
        <w:contextualSpacing/>
        <w:jc w:val="both"/>
        <w:rPr>
          <w:bCs/>
          <w:lang w:val="es-CU" w:eastAsia="es-ES"/>
        </w:rPr>
      </w:pPr>
      <w:r w:rsidRPr="00BF0A93">
        <w:rPr>
          <w:bCs/>
          <w:vertAlign w:val="superscript"/>
          <w:lang w:val="es-CU" w:eastAsia="es-ES"/>
        </w:rPr>
        <w:t>1</w:t>
      </w:r>
      <w:r w:rsidRPr="00BF0A93">
        <w:rPr>
          <w:bCs/>
          <w:lang w:val="es-CU" w:eastAsia="es-ES"/>
        </w:rPr>
        <w:t>Hospital Provincial “Celia Sánchez Manduley”. Manzanillo, Granma.</w:t>
      </w:r>
    </w:p>
    <w:p w14:paraId="2BF9F655" w14:textId="77777777" w:rsidR="00BF0A93" w:rsidRPr="00BF0A93" w:rsidRDefault="00BF0A93" w:rsidP="00BF0A93">
      <w:pPr>
        <w:spacing w:line="360" w:lineRule="auto"/>
        <w:contextualSpacing/>
        <w:jc w:val="both"/>
        <w:rPr>
          <w:bCs/>
          <w:lang w:val="es-CU" w:eastAsia="es-ES"/>
        </w:rPr>
      </w:pPr>
    </w:p>
    <w:p w14:paraId="2F6BEC68" w14:textId="77777777" w:rsidR="00BF0A93" w:rsidRPr="00BF0A93" w:rsidRDefault="00BF0A93" w:rsidP="00BF0A93">
      <w:pPr>
        <w:tabs>
          <w:tab w:val="left" w:pos="7851"/>
        </w:tabs>
        <w:spacing w:line="360" w:lineRule="auto"/>
        <w:contextualSpacing/>
        <w:jc w:val="both"/>
        <w:rPr>
          <w:bCs/>
          <w:lang w:val="es-CU" w:eastAsia="es-ES"/>
        </w:rPr>
      </w:pPr>
      <w:r w:rsidRPr="00BF0A93">
        <w:rPr>
          <w:bCs/>
          <w:lang w:val="es-CU" w:eastAsia="es-ES"/>
        </w:rPr>
        <w:t xml:space="preserve">*Correspondencia. Correo electrónico: </w:t>
      </w:r>
      <w:hyperlink r:id="rId10" w:history="1">
        <w:r w:rsidRPr="00BF0A93">
          <w:rPr>
            <w:bCs/>
            <w:color w:val="0563C1"/>
            <w:u w:val="single"/>
            <w:lang w:val="es-CU" w:eastAsia="es-ES"/>
          </w:rPr>
          <w:t>plopez@infomed.sld.cu</w:t>
        </w:r>
      </w:hyperlink>
      <w:r w:rsidRPr="00BF0A93">
        <w:rPr>
          <w:bCs/>
          <w:lang w:val="es-CU" w:eastAsia="es-ES"/>
        </w:rPr>
        <w:t xml:space="preserve"> </w:t>
      </w:r>
      <w:r w:rsidRPr="00BF0A93">
        <w:rPr>
          <w:bCs/>
          <w:lang w:val="es-CU" w:eastAsia="es-ES"/>
        </w:rPr>
        <w:tab/>
      </w:r>
    </w:p>
    <w:p w14:paraId="5A590DDF" w14:textId="77777777" w:rsidR="00BF0A93" w:rsidRPr="00BF0A93" w:rsidRDefault="00BF0A93" w:rsidP="00BF0A93">
      <w:pPr>
        <w:spacing w:line="360" w:lineRule="auto"/>
        <w:contextualSpacing/>
        <w:jc w:val="both"/>
        <w:rPr>
          <w:b/>
          <w:lang w:val="es-CU" w:eastAsia="es-ES"/>
        </w:rPr>
      </w:pPr>
    </w:p>
    <w:p w14:paraId="257617C7" w14:textId="77777777" w:rsidR="00BF0A93" w:rsidRPr="00BF0A93" w:rsidRDefault="00BF0A93" w:rsidP="00BF0A93">
      <w:pPr>
        <w:spacing w:line="360" w:lineRule="auto"/>
        <w:contextualSpacing/>
        <w:jc w:val="both"/>
        <w:rPr>
          <w:b/>
          <w:lang w:eastAsia="es-ES"/>
        </w:rPr>
      </w:pPr>
      <w:r w:rsidRPr="00BF0A93">
        <w:rPr>
          <w:b/>
          <w:lang w:eastAsia="es-ES"/>
        </w:rPr>
        <w:t xml:space="preserve">RESUMEN </w:t>
      </w:r>
    </w:p>
    <w:p w14:paraId="3E7AF91F" w14:textId="77777777" w:rsidR="00BF0A93" w:rsidRPr="00BF0A93" w:rsidRDefault="00BF0A93" w:rsidP="00BF0A93">
      <w:pPr>
        <w:spacing w:line="360" w:lineRule="auto"/>
        <w:contextualSpacing/>
        <w:jc w:val="both"/>
        <w:rPr>
          <w:lang w:eastAsia="es-ES"/>
        </w:rPr>
      </w:pPr>
      <w:r w:rsidRPr="00BF0A93">
        <w:rPr>
          <w:b/>
          <w:lang w:eastAsia="es-ES"/>
        </w:rPr>
        <w:t xml:space="preserve">Introducción: </w:t>
      </w:r>
      <w:r w:rsidRPr="00BF0A93">
        <w:rPr>
          <w:lang w:eastAsia="es-ES"/>
        </w:rPr>
        <w:t>La infección asociada a catéter es la complicación séptica más frecuente en pacientes con insuficiencia renal crónica en régimen de hemodiálisis.</w:t>
      </w:r>
    </w:p>
    <w:p w14:paraId="0EB3ED36" w14:textId="77777777" w:rsidR="00BF0A93" w:rsidRPr="00BF0A93" w:rsidRDefault="00BF0A93" w:rsidP="00BF0A93">
      <w:pPr>
        <w:autoSpaceDE w:val="0"/>
        <w:spacing w:line="360" w:lineRule="auto"/>
        <w:contextualSpacing/>
        <w:jc w:val="both"/>
        <w:rPr>
          <w:lang w:eastAsia="es-ES"/>
        </w:rPr>
      </w:pPr>
      <w:r w:rsidRPr="00BF0A93">
        <w:rPr>
          <w:b/>
        </w:rPr>
        <w:t>Objetivo:</w:t>
      </w:r>
      <w:r w:rsidRPr="00BF0A93">
        <w:rPr>
          <w:bCs/>
        </w:rPr>
        <w:t xml:space="preserve"> Carac</w:t>
      </w:r>
      <w:r w:rsidRPr="00BF0A93">
        <w:rPr>
          <w:bCs/>
          <w:iCs/>
          <w:lang w:eastAsia="es-ES"/>
        </w:rPr>
        <w:t>terizar a los pacientes con insuficiencia renal crónica terminal, con infecciones bacterianas asociadas al uso de catéter para hemodiálisis.</w:t>
      </w:r>
    </w:p>
    <w:p w14:paraId="279FE704" w14:textId="77777777" w:rsidR="00BF0A93" w:rsidRPr="00BF0A93" w:rsidRDefault="00BF0A93" w:rsidP="00BF0A93">
      <w:pPr>
        <w:spacing w:line="360" w:lineRule="auto"/>
        <w:jc w:val="both"/>
        <w:rPr>
          <w:lang w:val="x-none" w:eastAsia="es-ES"/>
        </w:rPr>
      </w:pPr>
      <w:r w:rsidRPr="00BF0A93">
        <w:rPr>
          <w:b/>
          <w:lang w:eastAsia="es-ES"/>
        </w:rPr>
        <w:t xml:space="preserve">Métodos: </w:t>
      </w:r>
      <w:r w:rsidRPr="00BF0A93">
        <w:rPr>
          <w:lang w:eastAsia="x-none"/>
        </w:rPr>
        <w:t>Se realizó un estudio d</w:t>
      </w:r>
      <w:r w:rsidRPr="00BF0A93">
        <w:rPr>
          <w:lang w:eastAsia="es-ES"/>
        </w:rPr>
        <w:t xml:space="preserve">escriptivo, observacional, de corte transversal, entre </w:t>
      </w:r>
      <w:r w:rsidRPr="00BF0A93">
        <w:rPr>
          <w:lang w:eastAsia="x-none"/>
        </w:rPr>
        <w:t>enero de 2016 y diciembre de 2017</w:t>
      </w:r>
      <w:r w:rsidRPr="00BF0A93">
        <w:rPr>
          <w:lang w:eastAsia="es-ES"/>
        </w:rPr>
        <w:t xml:space="preserve">. </w:t>
      </w:r>
      <w:r w:rsidRPr="00BF0A93">
        <w:rPr>
          <w:lang w:eastAsia="x-none"/>
        </w:rPr>
        <w:t xml:space="preserve">El universo estuvo integrado por el total de pacientes (83) con infección bacteriana. </w:t>
      </w:r>
      <w:r w:rsidRPr="00BF0A93">
        <w:rPr>
          <w:lang w:eastAsia="es-ES"/>
        </w:rPr>
        <w:t>Las variables estudiadas incluyen la forma de presentación de la sepsis, la edad, sexo, etiología de la insuficiencia renal crónica, complicaciones, síntomas, signos y gérmenes aislados con mayor frecuencia. Como medidas de resumen se utilizaron frecuencias absolutas y porcentajes, fueron utilizados además las medidas: media, mediana y moda.</w:t>
      </w:r>
    </w:p>
    <w:p w14:paraId="3C6E5959" w14:textId="56B4DC63" w:rsidR="00BF0A93" w:rsidRPr="00BF0A93" w:rsidRDefault="00BF0A93" w:rsidP="00BF0A93">
      <w:pPr>
        <w:spacing w:line="360" w:lineRule="auto"/>
        <w:contextualSpacing/>
        <w:jc w:val="both"/>
        <w:rPr>
          <w:lang w:eastAsia="es-ES"/>
        </w:rPr>
      </w:pPr>
      <w:r w:rsidRPr="00BF0A93">
        <w:rPr>
          <w:b/>
          <w:lang w:eastAsia="es-ES"/>
        </w:rPr>
        <w:t xml:space="preserve">Resultados: </w:t>
      </w:r>
      <w:r w:rsidRPr="00BF0A93">
        <w:rPr>
          <w:lang w:eastAsia="es-ES"/>
        </w:rPr>
        <w:t xml:space="preserve">El 90,36 % de los pacientes presentó bacteriemia y el 9,64 % infección del sitio de inserción del catéter. Predominó el sexo masculino y la insuficiencia renal secundaria a diabetes mellitus, con el 49,39 %. La edad media fue de 65,84 años. Prevalecen como síntomas y signos el temblor, escalofríos y </w:t>
      </w:r>
      <w:r w:rsidRPr="00BF0A93">
        <w:rPr>
          <w:lang w:eastAsia="es-ES"/>
        </w:rPr>
        <w:lastRenderedPageBreak/>
        <w:t>decaimiento. La pérdida del acceso vascular fue la complicación más frecuente (43,37 %). En el 86,75</w:t>
      </w:r>
      <w:r w:rsidR="004D72E7">
        <w:rPr>
          <w:lang w:eastAsia="es-ES"/>
        </w:rPr>
        <w:t> </w:t>
      </w:r>
      <w:r w:rsidRPr="00BF0A93">
        <w:rPr>
          <w:lang w:eastAsia="es-ES"/>
        </w:rPr>
        <w:t xml:space="preserve">% de los casos se aisló </w:t>
      </w:r>
      <w:bookmarkStart w:id="0" w:name="_Hlk55310458"/>
      <w:r w:rsidRPr="00BF0A93">
        <w:rPr>
          <w:i/>
          <w:lang w:eastAsia="es-ES"/>
        </w:rPr>
        <w:t>Staphylococcus aureus</w:t>
      </w:r>
      <w:bookmarkEnd w:id="0"/>
      <w:r w:rsidRPr="00BF0A93">
        <w:rPr>
          <w:lang w:eastAsia="es-ES"/>
        </w:rPr>
        <w:t xml:space="preserve">. </w:t>
      </w:r>
    </w:p>
    <w:p w14:paraId="70667D73" w14:textId="77777777" w:rsidR="00BF0A93" w:rsidRPr="00BF0A93" w:rsidRDefault="00BF0A93" w:rsidP="00BF0A93">
      <w:pPr>
        <w:tabs>
          <w:tab w:val="left" w:pos="0"/>
        </w:tabs>
        <w:spacing w:line="360" w:lineRule="auto"/>
        <w:contextualSpacing/>
        <w:jc w:val="both"/>
        <w:rPr>
          <w:lang w:eastAsia="es-ES"/>
        </w:rPr>
      </w:pPr>
      <w:r w:rsidRPr="00BF0A93">
        <w:rPr>
          <w:b/>
        </w:rPr>
        <w:t>Conclusiones:</w:t>
      </w:r>
      <w:r w:rsidRPr="00BF0A93">
        <w:rPr>
          <w:lang w:eastAsia="es-ES"/>
        </w:rPr>
        <w:t xml:space="preserve"> La mayoría de los pacientes presentó bacteriemia, predominó el sexo masculino y la insuficiencia renal secundaria a diabetes mellitus. La media de la edad fue por encima de los 65 años. Prevalecen como síntomas y signos más frecuentes, el temblor, escalofríos y decaimiento. La pérdida del acceso vascular fue la complicación más frecuente. En más del 85 % de los casos se aisló Staphylococcus aureus.</w:t>
      </w:r>
    </w:p>
    <w:p w14:paraId="26E7A7FB" w14:textId="77777777" w:rsidR="00BF0A93" w:rsidRPr="00BF0A93" w:rsidRDefault="00BF0A93" w:rsidP="00BF0A93">
      <w:pPr>
        <w:spacing w:line="360" w:lineRule="auto"/>
        <w:contextualSpacing/>
        <w:jc w:val="both"/>
        <w:rPr>
          <w:lang w:eastAsia="es-ES"/>
        </w:rPr>
      </w:pPr>
      <w:r w:rsidRPr="00BF0A93">
        <w:rPr>
          <w:b/>
          <w:lang w:eastAsia="es-ES"/>
        </w:rPr>
        <w:t>Palabras clave:</w:t>
      </w:r>
      <w:r w:rsidRPr="00BF0A93">
        <w:rPr>
          <w:lang w:eastAsia="es-ES"/>
        </w:rPr>
        <w:t xml:space="preserve"> hemodiálisis; infección relacionada con catéter; enfermedad renal; epidemiología.</w:t>
      </w:r>
    </w:p>
    <w:p w14:paraId="2023FDC2" w14:textId="77777777" w:rsidR="00BF0A93" w:rsidRPr="00BF0A93" w:rsidRDefault="00BF0A93" w:rsidP="00BF0A93">
      <w:pPr>
        <w:autoSpaceDE w:val="0"/>
        <w:autoSpaceDN w:val="0"/>
        <w:adjustRightInd w:val="0"/>
        <w:spacing w:line="360" w:lineRule="auto"/>
        <w:contextualSpacing/>
        <w:jc w:val="both"/>
        <w:rPr>
          <w:rFonts w:eastAsia="Calibri"/>
          <w:lang w:eastAsia="en-US"/>
        </w:rPr>
      </w:pPr>
    </w:p>
    <w:p w14:paraId="1FCAD073" w14:textId="77777777" w:rsidR="00BF0A93" w:rsidRPr="00BF0A93" w:rsidRDefault="00BF0A93" w:rsidP="00BF0A93">
      <w:pPr>
        <w:autoSpaceDE w:val="0"/>
        <w:autoSpaceDN w:val="0"/>
        <w:adjustRightInd w:val="0"/>
        <w:spacing w:line="360" w:lineRule="auto"/>
        <w:contextualSpacing/>
        <w:jc w:val="both"/>
        <w:rPr>
          <w:rFonts w:eastAsia="Calibri"/>
          <w:b/>
          <w:bCs/>
          <w:lang w:val="en-US" w:eastAsia="en-US"/>
        </w:rPr>
      </w:pPr>
      <w:r w:rsidRPr="00BF0A93">
        <w:rPr>
          <w:rFonts w:eastAsia="Calibri"/>
          <w:b/>
          <w:bCs/>
          <w:lang w:val="en-US" w:eastAsia="en-US"/>
        </w:rPr>
        <w:t>ABSTRACT</w:t>
      </w:r>
    </w:p>
    <w:p w14:paraId="42AB7E81" w14:textId="77777777" w:rsidR="00BF0A93" w:rsidRPr="00BF0A93" w:rsidRDefault="00BF0A93" w:rsidP="00BF0A93">
      <w:pPr>
        <w:spacing w:line="360" w:lineRule="auto"/>
        <w:contextualSpacing/>
        <w:jc w:val="both"/>
        <w:rPr>
          <w:lang w:val="en-US" w:eastAsia="es-ES"/>
        </w:rPr>
      </w:pPr>
      <w:r w:rsidRPr="00BF0A93">
        <w:rPr>
          <w:b/>
          <w:lang w:val="en-US" w:eastAsia="es-ES"/>
        </w:rPr>
        <w:t>Introduction:</w:t>
      </w:r>
      <w:r w:rsidRPr="00BF0A93">
        <w:rPr>
          <w:lang w:val="en-US" w:eastAsia="es-ES"/>
        </w:rPr>
        <w:t xml:space="preserve"> Catheter-associated infection is the most frequent septic complication in patients with chronic renal failure on hemodialysis.</w:t>
      </w:r>
    </w:p>
    <w:p w14:paraId="4820F394" w14:textId="77777777" w:rsidR="00BF0A93" w:rsidRPr="00BF0A93" w:rsidRDefault="00BF0A93" w:rsidP="00BF0A93">
      <w:pPr>
        <w:spacing w:line="360" w:lineRule="auto"/>
        <w:contextualSpacing/>
        <w:jc w:val="both"/>
        <w:rPr>
          <w:lang w:val="en-US" w:eastAsia="es-ES"/>
        </w:rPr>
      </w:pPr>
      <w:r w:rsidRPr="00BF0A93">
        <w:rPr>
          <w:b/>
          <w:lang w:val="en-US" w:eastAsia="es-ES"/>
        </w:rPr>
        <w:t>Objective:</w:t>
      </w:r>
      <w:r w:rsidRPr="00BF0A93">
        <w:rPr>
          <w:lang w:val="en-US" w:eastAsia="es-ES"/>
        </w:rPr>
        <w:t xml:space="preserve"> Characterize patients with end-stage chronic kidney disease, with bacterial infections associated with the use of a catheter for hemodialysis.</w:t>
      </w:r>
    </w:p>
    <w:p w14:paraId="332D5101" w14:textId="77777777" w:rsidR="00BF0A93" w:rsidRPr="00BF0A93" w:rsidRDefault="00BF0A93" w:rsidP="00BF0A93">
      <w:pPr>
        <w:spacing w:line="360" w:lineRule="auto"/>
        <w:contextualSpacing/>
        <w:jc w:val="both"/>
        <w:rPr>
          <w:lang w:val="en-US" w:eastAsia="es-ES"/>
        </w:rPr>
      </w:pPr>
      <w:r w:rsidRPr="00BF0A93">
        <w:rPr>
          <w:b/>
          <w:lang w:val="en-US" w:eastAsia="es-ES"/>
        </w:rPr>
        <w:t>Methods:</w:t>
      </w:r>
      <w:r w:rsidRPr="00BF0A93">
        <w:rPr>
          <w:lang w:val="en-US" w:eastAsia="es-ES"/>
        </w:rPr>
        <w:t xml:space="preserve"> A descriptive, observational, cross-sectional study was conducted between January 2016 and December 2017. The universe consisted of the total number of patients (83) with bacterial infection. The variables studied included the form of presentation of sepsis, age, sex, etiology of chronic renal failure, complications, symptoms, signs and most frequently isolated germs. Absolute frequencies and percentages were used as summary measures; mean, median and mode were also used.</w:t>
      </w:r>
    </w:p>
    <w:p w14:paraId="6C895DD7" w14:textId="77777777" w:rsidR="00BF0A93" w:rsidRPr="00BF0A93" w:rsidRDefault="00BF0A93" w:rsidP="00BF0A93">
      <w:pPr>
        <w:spacing w:line="360" w:lineRule="auto"/>
        <w:contextualSpacing/>
        <w:jc w:val="both"/>
        <w:rPr>
          <w:lang w:val="en-US" w:eastAsia="es-ES"/>
        </w:rPr>
      </w:pPr>
      <w:r w:rsidRPr="00BF0A93">
        <w:rPr>
          <w:b/>
          <w:lang w:val="en-US" w:eastAsia="es-ES"/>
        </w:rPr>
        <w:t>Results:</w:t>
      </w:r>
      <w:r w:rsidRPr="00BF0A93">
        <w:rPr>
          <w:lang w:val="en-US" w:eastAsia="es-ES"/>
        </w:rPr>
        <w:t xml:space="preserve"> 90.36% of the patients presented bacteremia and 9.64% infection of the catheter insertion site. Male sex and renal failure secondary to diabetes mellitus predominated, with 49.39 %. The mean age was 65.84 years. Prevalent symptoms and signs were tremor, shivering and decay. Loss of vascular access was the most frequent complication (43.37%).    </w:t>
      </w:r>
      <w:r w:rsidRPr="00BF0A93">
        <w:rPr>
          <w:i/>
          <w:iCs/>
          <w:lang w:val="en-US" w:eastAsia="es-ES"/>
        </w:rPr>
        <w:t>Staphylococcus aureus</w:t>
      </w:r>
      <w:r w:rsidRPr="00BF0A93">
        <w:rPr>
          <w:lang w:val="en-US" w:eastAsia="es-ES"/>
        </w:rPr>
        <w:t xml:space="preserve"> was isolated in 86.75 % of cases. </w:t>
      </w:r>
    </w:p>
    <w:p w14:paraId="6CE1F012" w14:textId="77777777" w:rsidR="00BF0A93" w:rsidRPr="00BF0A93" w:rsidRDefault="00BF0A93" w:rsidP="00BF0A93">
      <w:pPr>
        <w:spacing w:line="360" w:lineRule="auto"/>
        <w:contextualSpacing/>
        <w:jc w:val="both"/>
        <w:rPr>
          <w:lang w:val="en-US" w:eastAsia="es-ES"/>
        </w:rPr>
      </w:pPr>
      <w:r w:rsidRPr="00BF0A93">
        <w:rPr>
          <w:b/>
          <w:lang w:val="en-US" w:eastAsia="es-ES"/>
        </w:rPr>
        <w:t>Conclusions:</w:t>
      </w:r>
      <w:r w:rsidRPr="00BF0A93">
        <w:rPr>
          <w:lang w:val="en-US" w:eastAsia="es-ES"/>
        </w:rPr>
        <w:t xml:space="preserve"> Most of the patients presented bacteremia, male sex predominated, and renal failure secondary to diabetes mellitus. The mean age was over 65 years. The most frequent symptoms and signs were, tremor, chills and decay. Loss of vascular access was the most frequent complication. </w:t>
      </w:r>
      <w:r w:rsidRPr="00BF0A93">
        <w:rPr>
          <w:i/>
          <w:iCs/>
          <w:lang w:val="en-US" w:eastAsia="es-ES"/>
        </w:rPr>
        <w:t>Staphylococcus aureus</w:t>
      </w:r>
      <w:r w:rsidRPr="00BF0A93">
        <w:rPr>
          <w:lang w:val="en-US" w:eastAsia="es-ES"/>
        </w:rPr>
        <w:t xml:space="preserve"> was isolated in more than 85% of the cases.</w:t>
      </w:r>
    </w:p>
    <w:p w14:paraId="32C3E331" w14:textId="77777777" w:rsidR="00BF0A93" w:rsidRPr="00BF0A93" w:rsidRDefault="00BF0A93" w:rsidP="00BF0A93">
      <w:pPr>
        <w:spacing w:line="360" w:lineRule="auto"/>
        <w:contextualSpacing/>
        <w:jc w:val="both"/>
        <w:rPr>
          <w:lang w:val="en-US" w:eastAsia="es-ES"/>
        </w:rPr>
      </w:pPr>
      <w:r w:rsidRPr="00BF0A93">
        <w:rPr>
          <w:b/>
          <w:lang w:val="en-US" w:eastAsia="es-ES"/>
        </w:rPr>
        <w:t xml:space="preserve">Keywords: </w:t>
      </w:r>
      <w:r w:rsidRPr="00BF0A93">
        <w:rPr>
          <w:lang w:val="en-US" w:eastAsia="es-ES"/>
        </w:rPr>
        <w:t>hemodialysis; catheter-related infection; renal disease; epidemiology.</w:t>
      </w:r>
    </w:p>
    <w:p w14:paraId="1FEFA3FF" w14:textId="77777777" w:rsidR="00BF0A93" w:rsidRPr="00BF0A93" w:rsidRDefault="00BF0A93" w:rsidP="00BF0A93">
      <w:pPr>
        <w:spacing w:line="360" w:lineRule="auto"/>
        <w:contextualSpacing/>
        <w:jc w:val="both"/>
        <w:rPr>
          <w:lang w:val="en-US" w:eastAsia="es-ES"/>
        </w:rPr>
      </w:pPr>
    </w:p>
    <w:p w14:paraId="47733545" w14:textId="77777777" w:rsidR="00BF0A93" w:rsidRPr="00BF0A93" w:rsidRDefault="00BF0A93" w:rsidP="00BF0A93">
      <w:pPr>
        <w:spacing w:line="360" w:lineRule="auto"/>
        <w:contextualSpacing/>
        <w:jc w:val="both"/>
        <w:rPr>
          <w:lang w:val="en-US" w:eastAsia="es-ES"/>
        </w:rPr>
      </w:pPr>
    </w:p>
    <w:p w14:paraId="29CF646C" w14:textId="77777777" w:rsidR="00BF0A93" w:rsidRPr="00BF0A93" w:rsidRDefault="00BF0A93" w:rsidP="00BF0A93">
      <w:pPr>
        <w:spacing w:line="360" w:lineRule="auto"/>
        <w:ind w:left="720" w:hanging="720"/>
        <w:contextualSpacing/>
        <w:jc w:val="both"/>
        <w:rPr>
          <w:lang w:val="es-CU" w:eastAsia="es-ES"/>
        </w:rPr>
      </w:pPr>
      <w:r w:rsidRPr="00BF0A93">
        <w:rPr>
          <w:lang w:val="es-CU" w:eastAsia="es-ES"/>
        </w:rPr>
        <w:t>Recibido: 24/06/2021</w:t>
      </w:r>
    </w:p>
    <w:p w14:paraId="144C3A3C" w14:textId="77777777" w:rsidR="00BF0A93" w:rsidRPr="00BF0A93" w:rsidRDefault="00BF0A93" w:rsidP="00BF0A93">
      <w:pPr>
        <w:spacing w:line="360" w:lineRule="auto"/>
        <w:contextualSpacing/>
        <w:jc w:val="both"/>
        <w:rPr>
          <w:lang w:val="es-CU" w:eastAsia="es-ES"/>
        </w:rPr>
      </w:pPr>
      <w:r w:rsidRPr="00BF0A93">
        <w:rPr>
          <w:lang w:val="es-CU" w:eastAsia="es-ES"/>
        </w:rPr>
        <w:t>Aprobado: 17/09/2021</w:t>
      </w:r>
    </w:p>
    <w:p w14:paraId="4B62CFB6" w14:textId="77777777" w:rsidR="00BF0A93" w:rsidRPr="00BF0A93" w:rsidRDefault="00BF0A93" w:rsidP="00BF0A93">
      <w:pPr>
        <w:spacing w:line="360" w:lineRule="auto"/>
        <w:contextualSpacing/>
        <w:jc w:val="both"/>
        <w:rPr>
          <w:b/>
          <w:lang w:val="es-CU" w:eastAsia="es-ES"/>
        </w:rPr>
      </w:pPr>
    </w:p>
    <w:p w14:paraId="28C750A3" w14:textId="77777777" w:rsidR="00BF0A93" w:rsidRPr="00BF0A93" w:rsidRDefault="00BF0A93" w:rsidP="00BF0A93">
      <w:pPr>
        <w:spacing w:line="360" w:lineRule="auto"/>
        <w:contextualSpacing/>
        <w:jc w:val="both"/>
        <w:rPr>
          <w:b/>
          <w:lang w:val="es-CU" w:eastAsia="es-ES"/>
        </w:rPr>
      </w:pPr>
    </w:p>
    <w:p w14:paraId="016D36B0" w14:textId="77777777" w:rsidR="00BF0A93" w:rsidRPr="00BF0A93" w:rsidRDefault="00BF0A93" w:rsidP="00BF0A93">
      <w:pPr>
        <w:spacing w:line="360" w:lineRule="auto"/>
        <w:contextualSpacing/>
        <w:jc w:val="center"/>
        <w:rPr>
          <w:b/>
          <w:sz w:val="32"/>
          <w:szCs w:val="32"/>
          <w:lang w:eastAsia="es-ES"/>
        </w:rPr>
      </w:pPr>
      <w:r w:rsidRPr="00BF0A93">
        <w:rPr>
          <w:b/>
          <w:sz w:val="32"/>
          <w:szCs w:val="32"/>
          <w:lang w:eastAsia="es-ES"/>
        </w:rPr>
        <w:t>INTRODUCCION</w:t>
      </w:r>
    </w:p>
    <w:p w14:paraId="55D7BDA0" w14:textId="77777777" w:rsidR="00BF0A93" w:rsidRPr="00BF0A93" w:rsidRDefault="00BF0A93" w:rsidP="00BF0A93">
      <w:pPr>
        <w:spacing w:line="360" w:lineRule="auto"/>
        <w:jc w:val="both"/>
        <w:rPr>
          <w:lang w:eastAsia="es-ES"/>
        </w:rPr>
      </w:pPr>
      <w:r w:rsidRPr="00BF0A93">
        <w:rPr>
          <w:iCs/>
          <w:lang w:eastAsia="es-ES"/>
        </w:rPr>
        <w:t xml:space="preserve">Según </w:t>
      </w:r>
      <w:r w:rsidRPr="00BF0A93">
        <w:rPr>
          <w:i/>
          <w:lang w:eastAsia="es-ES"/>
        </w:rPr>
        <w:t xml:space="preserve">Serra Valdés </w:t>
      </w:r>
      <w:r w:rsidRPr="00BF0A93">
        <w:rPr>
          <w:i/>
          <w:iCs/>
          <w:lang w:eastAsia="es-ES"/>
        </w:rPr>
        <w:t>y otros</w:t>
      </w:r>
      <w:r w:rsidRPr="00BF0A93">
        <w:rPr>
          <w:iCs/>
          <w:lang w:eastAsia="es-ES"/>
        </w:rPr>
        <w:t>,</w:t>
      </w:r>
      <w:r w:rsidRPr="00BF0A93">
        <w:rPr>
          <w:vertAlign w:val="superscript"/>
          <w:lang w:eastAsia="es-ES"/>
        </w:rPr>
        <w:t>(1)</w:t>
      </w:r>
      <w:r w:rsidRPr="00BF0A93">
        <w:rPr>
          <w:lang w:eastAsia="es-ES"/>
        </w:rPr>
        <w:t xml:space="preserve"> las enfermedades crónicas no transmisibles son un enorme reto para los sistemas de salud, debido al gran número de casos afectados, incidencia creciente y su contribución a la mortalidad general. También como causa de discapacidad y el costo elevado de hospitalización, tratamiento médico y rehabilitación.</w:t>
      </w:r>
    </w:p>
    <w:p w14:paraId="50928C1A" w14:textId="77777777" w:rsidR="00BF0A93" w:rsidRPr="00BF0A93" w:rsidRDefault="00BF0A93" w:rsidP="00BF0A93">
      <w:pPr>
        <w:spacing w:line="360" w:lineRule="auto"/>
        <w:jc w:val="both"/>
        <w:rPr>
          <w:lang w:eastAsia="es-ES"/>
        </w:rPr>
      </w:pPr>
      <w:r w:rsidRPr="00BF0A93">
        <w:rPr>
          <w:lang w:eastAsia="es-ES"/>
        </w:rPr>
        <w:t>Dentro de la gran gama de enfermedades crónicas no transmisibles, se encuentra la enfermedad renal crónica avanzada, considerada como una de las epidemias más importantes del siglo XXI, por su aporte significativo a la morbilidad y mortalidad.</w:t>
      </w:r>
      <w:r w:rsidRPr="00BF0A93">
        <w:rPr>
          <w:vertAlign w:val="superscript"/>
          <w:lang w:eastAsia="es-ES"/>
        </w:rPr>
        <w:t>(2)</w:t>
      </w:r>
    </w:p>
    <w:p w14:paraId="211592BF" w14:textId="77777777" w:rsidR="00BF0A93" w:rsidRPr="00BF0A93" w:rsidRDefault="00BF0A93" w:rsidP="00BF0A93">
      <w:pPr>
        <w:spacing w:line="360" w:lineRule="auto"/>
        <w:jc w:val="both"/>
        <w:rPr>
          <w:b/>
          <w:bCs/>
          <w:lang w:eastAsia="es-ES"/>
        </w:rPr>
      </w:pPr>
      <w:r w:rsidRPr="00BF0A93">
        <w:rPr>
          <w:lang w:eastAsia="es-ES"/>
        </w:rPr>
        <w:t xml:space="preserve">Las nuevas guías internacionales del consorcio </w:t>
      </w:r>
      <w:r w:rsidRPr="00BF0A93">
        <w:rPr>
          <w:iCs/>
          <w:lang w:eastAsia="es-ES"/>
        </w:rPr>
        <w:t>KDIGO</w:t>
      </w:r>
      <w:r w:rsidRPr="00BF0A93">
        <w:rPr>
          <w:i/>
          <w:lang w:eastAsia="es-ES"/>
        </w:rPr>
        <w:t xml:space="preserve"> (Kidney Disease: Improving Global Outcomes)</w:t>
      </w:r>
      <w:r w:rsidRPr="00BF0A93">
        <w:rPr>
          <w:lang w:eastAsia="es-ES"/>
        </w:rPr>
        <w:t xml:space="preserve"> sobre la enfermedad renal crónica (ERC) y sobre el tratamiento de la presión arterial en pacientes con ERC, constituyen la actualización de las correspondientes guías KDOQI </w:t>
      </w:r>
      <w:r w:rsidRPr="00BF0A93">
        <w:rPr>
          <w:i/>
          <w:lang w:eastAsia="es-ES"/>
        </w:rPr>
        <w:t>(Kidney Disease Outcomes Quality Initiative)</w:t>
      </w:r>
      <w:r w:rsidRPr="00BF0A93">
        <w:rPr>
          <w:lang w:eastAsia="es-ES"/>
        </w:rPr>
        <w:t xml:space="preserve"> de 2002 y 2004</w:t>
      </w:r>
      <w:r w:rsidRPr="00BF0A93">
        <w:rPr>
          <w:b/>
          <w:bCs/>
          <w:lang w:eastAsia="es-ES"/>
        </w:rPr>
        <w:t xml:space="preserve">. </w:t>
      </w:r>
      <w:r w:rsidRPr="00BF0A93">
        <w:rPr>
          <w:bCs/>
          <w:i/>
          <w:lang w:eastAsia="es-ES"/>
        </w:rPr>
        <w:t xml:space="preserve">Manuel Gorostidi </w:t>
      </w:r>
      <w:r w:rsidRPr="00BF0A93">
        <w:rPr>
          <w:bCs/>
          <w:iCs/>
          <w:lang w:eastAsia="es-ES"/>
        </w:rPr>
        <w:t>y otros</w:t>
      </w:r>
      <w:r w:rsidRPr="00BF0A93">
        <w:rPr>
          <w:bCs/>
          <w:vertAlign w:val="superscript"/>
          <w:lang w:eastAsia="es-ES"/>
        </w:rPr>
        <w:t xml:space="preserve">(3) </w:t>
      </w:r>
      <w:r w:rsidRPr="00BF0A93">
        <w:rPr>
          <w:bCs/>
          <w:lang w:eastAsia="es-ES"/>
        </w:rPr>
        <w:t xml:space="preserve">hacen referencia en su estudio a los diferentes conceptos y categorías o grados de la IRC, expresan que </w:t>
      </w:r>
      <w:r w:rsidRPr="00BF0A93">
        <w:rPr>
          <w:lang w:eastAsia="es-ES"/>
        </w:rPr>
        <w:t>es aquella situación anatomoclínica, que surge como consecuencia de una pérdida progresiva e irreversible de la capacidad de los riñones para mantener sus funciones habituales. Después que ocurre la IRC terminal, se requiere la terapia de reemplazo renal, en la forma de diálisis o trasplante.</w:t>
      </w:r>
    </w:p>
    <w:p w14:paraId="53AB5FEF" w14:textId="77777777" w:rsidR="00BF0A93" w:rsidRPr="00BF0A93" w:rsidRDefault="00BF0A93" w:rsidP="00BF0A93">
      <w:pPr>
        <w:spacing w:line="360" w:lineRule="auto"/>
        <w:jc w:val="both"/>
        <w:rPr>
          <w:lang w:eastAsia="es-ES"/>
        </w:rPr>
      </w:pPr>
      <w:r w:rsidRPr="00BF0A93">
        <w:rPr>
          <w:lang w:eastAsia="es-ES"/>
        </w:rPr>
        <w:t>Para el estudio de desenlaces en pacientes con diálisis, existen iniciativas que consideran la presencia de infecciones relacionadas con catéteres, como una complicación devastadora, al ser la causa más común de morbilidad y la segunda de mortalidad. El riesgo de una sepsis atribuible a esta condición es 100 veces mayor que la de la población general.</w:t>
      </w:r>
      <w:r w:rsidRPr="00BF0A93">
        <w:rPr>
          <w:vertAlign w:val="superscript"/>
          <w:lang w:eastAsia="es-ES"/>
        </w:rPr>
        <w:t xml:space="preserve">(4) </w:t>
      </w:r>
      <w:r w:rsidRPr="00BF0A93">
        <w:rPr>
          <w:lang w:eastAsia="es-ES"/>
        </w:rPr>
        <w:t>Otros autores</w:t>
      </w:r>
      <w:r w:rsidRPr="00BF0A93">
        <w:rPr>
          <w:vertAlign w:val="superscript"/>
          <w:lang w:eastAsia="es-ES"/>
        </w:rPr>
        <w:t>(5,6,7)</w:t>
      </w:r>
      <w:r w:rsidRPr="00BF0A93">
        <w:rPr>
          <w:lang w:eastAsia="es-ES"/>
        </w:rPr>
        <w:t xml:space="preserve"> coinciden en afirmar que las infecciones, solo precedidas por los eventos cardiovasculares, representan en los pacientes en hemodiálisis la segunda causa de muerte, con una mortalidad atribuible del 14 % y las infecciones de los accesos vasculares, la primera causa de bacteriemias. </w:t>
      </w:r>
    </w:p>
    <w:p w14:paraId="708C36A7" w14:textId="77777777" w:rsidR="00BF0A93" w:rsidRPr="00BF0A93" w:rsidRDefault="00BF0A93" w:rsidP="00BF0A93">
      <w:pPr>
        <w:spacing w:line="360" w:lineRule="auto"/>
        <w:jc w:val="both"/>
        <w:rPr>
          <w:rFonts w:eastAsia="Calibri"/>
          <w:lang w:eastAsia="es-ES"/>
        </w:rPr>
      </w:pPr>
      <w:r w:rsidRPr="00BF0A93">
        <w:rPr>
          <w:rFonts w:eastAsia="Calibri"/>
          <w:lang w:eastAsia="es-ES"/>
        </w:rPr>
        <w:lastRenderedPageBreak/>
        <w:t>Desde el punto de vista clínico, se ha definido como sepsis a la respuesta inflamatoria sistémica frente a una infección. En los últimos años, a medida que se ha dilucidado la patogenia, han surgido nuevos términos para describir sus diferentes estadios, que ha resultado en denominaciones confusas, al comprender cuándo se está frente a un paciente con sepsis. Según el Grupo de Trabajo de las Definiciones de Sepsis, se trata de una disfunción orgánica que puede ser mortal, causada por una respuesta disregulada del huésped a la infección.</w:t>
      </w:r>
      <w:r w:rsidRPr="00BF0A93">
        <w:rPr>
          <w:rFonts w:eastAsia="Calibri"/>
          <w:vertAlign w:val="superscript"/>
          <w:lang w:eastAsia="es-ES"/>
        </w:rPr>
        <w:t>(8)</w:t>
      </w:r>
      <w:r w:rsidRPr="00BF0A93">
        <w:rPr>
          <w:rFonts w:eastAsia="Calibri"/>
          <w:color w:val="EEECE1"/>
          <w:vertAlign w:val="superscript"/>
          <w:lang w:eastAsia="es-ES"/>
        </w:rPr>
        <w:t>)</w:t>
      </w:r>
    </w:p>
    <w:p w14:paraId="4E1994E9" w14:textId="77777777" w:rsidR="00BF0A93" w:rsidRPr="00BF0A93" w:rsidRDefault="00BF0A93" w:rsidP="00BF0A93">
      <w:pPr>
        <w:spacing w:line="360" w:lineRule="auto"/>
        <w:contextualSpacing/>
        <w:jc w:val="both"/>
        <w:rPr>
          <w:rFonts w:eastAsia="Calibri"/>
          <w:lang w:eastAsia="es-ES"/>
        </w:rPr>
      </w:pPr>
      <w:r w:rsidRPr="00BF0A93">
        <w:rPr>
          <w:rFonts w:eastAsia="Calibri"/>
          <w:lang w:eastAsia="es-ES"/>
        </w:rPr>
        <w:t xml:space="preserve">Para </w:t>
      </w:r>
      <w:r w:rsidRPr="00BF0A93">
        <w:rPr>
          <w:i/>
          <w:lang w:eastAsia="es-ES"/>
        </w:rPr>
        <w:t>Molina Alfonso S</w:t>
      </w:r>
      <w:r w:rsidRPr="00BF0A93">
        <w:rPr>
          <w:rFonts w:eastAsia="Calibri"/>
          <w:iCs/>
          <w:lang w:eastAsia="es-ES"/>
        </w:rPr>
        <w:t xml:space="preserve"> y otros,</w:t>
      </w:r>
      <w:r w:rsidRPr="00BF0A93">
        <w:rPr>
          <w:rFonts w:eastAsia="Calibri"/>
          <w:vertAlign w:val="superscript"/>
          <w:lang w:eastAsia="es-ES"/>
        </w:rPr>
        <w:t>(9)</w:t>
      </w:r>
      <w:r w:rsidRPr="00BF0A93">
        <w:rPr>
          <w:rFonts w:eastAsia="Calibri"/>
          <w:lang w:eastAsia="es-ES"/>
        </w:rPr>
        <w:t xml:space="preserve"> la edad cada vez más avanzada de la población en hemodiálisis, dificulta la obtención de accesos vasculares autólogos idóneos para un tratamiento efectivo; esta situación conlleva a un mayor riesgo de complicaciones trombolíticas y de infección. La literatura científica, coincide en que los organismos grampositivos son los responsables de la mayoría de las bacteriemias relacionadas con catéter (BRC) en hemodiálisis. Dentro de estos gérmenes, </w:t>
      </w:r>
      <w:r w:rsidRPr="00BF0A93">
        <w:rPr>
          <w:rFonts w:eastAsia="Calibri"/>
          <w:i/>
          <w:lang w:eastAsia="es-ES"/>
        </w:rPr>
        <w:t>Staphylococcus aureus</w:t>
      </w:r>
      <w:r w:rsidRPr="00BF0A93">
        <w:rPr>
          <w:rFonts w:eastAsia="Calibri"/>
          <w:lang w:eastAsia="es-ES"/>
        </w:rPr>
        <w:t xml:space="preserve"> se sitúa como el microorganismo que causa más BRC, seguidos por estafilococos coagulasa negativos y en menor medida por los bacilos gramnegativos aerobios, </w:t>
      </w:r>
      <w:r w:rsidRPr="00BF0A93">
        <w:rPr>
          <w:rFonts w:eastAsia="Calibri"/>
          <w:i/>
          <w:lang w:eastAsia="es-ES"/>
        </w:rPr>
        <w:t xml:space="preserve">Cándida </w:t>
      </w:r>
      <w:r w:rsidRPr="00BF0A93">
        <w:rPr>
          <w:rFonts w:eastAsia="Calibri"/>
          <w:iCs/>
          <w:lang w:eastAsia="es-ES"/>
        </w:rPr>
        <w:t xml:space="preserve">sp </w:t>
      </w:r>
      <w:r w:rsidRPr="00BF0A93">
        <w:rPr>
          <w:rFonts w:eastAsia="Calibri"/>
          <w:lang w:eastAsia="es-ES"/>
        </w:rPr>
        <w:t>así como los</w:t>
      </w:r>
      <w:r w:rsidRPr="00BF0A93">
        <w:rPr>
          <w:rFonts w:eastAsia="Calibri"/>
          <w:i/>
          <w:lang w:eastAsia="es-ES"/>
        </w:rPr>
        <w:t xml:space="preserve"> enterococos.</w:t>
      </w:r>
      <w:r w:rsidRPr="00BF0A93">
        <w:rPr>
          <w:rFonts w:eastAsia="Calibri"/>
          <w:vertAlign w:val="superscript"/>
          <w:lang w:eastAsia="es-ES"/>
        </w:rPr>
        <w:t xml:space="preserve">(10,11) </w:t>
      </w:r>
    </w:p>
    <w:p w14:paraId="46728C61" w14:textId="77777777" w:rsidR="00BF0A93" w:rsidRPr="00BF0A93" w:rsidRDefault="00BF0A93" w:rsidP="00BF0A93">
      <w:pPr>
        <w:spacing w:line="360" w:lineRule="auto"/>
        <w:contextualSpacing/>
        <w:jc w:val="both"/>
        <w:rPr>
          <w:lang w:eastAsia="es-ES"/>
        </w:rPr>
      </w:pPr>
      <w:r w:rsidRPr="00BF0A93">
        <w:rPr>
          <w:lang w:eastAsia="es-ES"/>
        </w:rPr>
        <w:t xml:space="preserve">La infección asociada a catéter es la complicación séptica más frecuente en pacientes en régimen de hemodiálisis iterada. La novedad del estudio radica en la identificación de gérmenes que producen infección bacteriana en pacientes con catéter transitorio de hemodiálisis, en este caso </w:t>
      </w:r>
      <w:r w:rsidRPr="00BF0A93">
        <w:rPr>
          <w:i/>
          <w:iCs/>
          <w:lang w:eastAsia="es-ES"/>
        </w:rPr>
        <w:t>Staphilococcus aureus</w:t>
      </w:r>
      <w:r w:rsidRPr="00BF0A93">
        <w:rPr>
          <w:lang w:eastAsia="es-ES"/>
        </w:rPr>
        <w:t xml:space="preserve"> es el prevalente.</w:t>
      </w:r>
    </w:p>
    <w:p w14:paraId="338047FF" w14:textId="77777777" w:rsidR="00BF0A93" w:rsidRPr="00BF0A93" w:rsidRDefault="00BF0A93" w:rsidP="00BF0A93">
      <w:pPr>
        <w:spacing w:line="360" w:lineRule="auto"/>
        <w:contextualSpacing/>
        <w:jc w:val="both"/>
        <w:rPr>
          <w:lang w:eastAsia="es-ES"/>
        </w:rPr>
      </w:pPr>
      <w:r w:rsidRPr="00BF0A93">
        <w:rPr>
          <w:lang w:eastAsia="es-ES"/>
        </w:rPr>
        <w:t>Para la práctica clínica radica en precisar el conocimiento de los gérmenes capaces de producir infección bacteriana, lo cual permite optimizar tratamiento, reducir la pérdida del acceso vascular y con ello la morbimortalidad.</w:t>
      </w:r>
    </w:p>
    <w:p w14:paraId="5B56C48C" w14:textId="77777777" w:rsidR="00BF0A93" w:rsidRPr="00BF0A93" w:rsidRDefault="00BF0A93" w:rsidP="00BF0A93">
      <w:pPr>
        <w:autoSpaceDE w:val="0"/>
        <w:spacing w:line="360" w:lineRule="auto"/>
        <w:contextualSpacing/>
        <w:jc w:val="both"/>
        <w:rPr>
          <w:lang w:eastAsia="es-ES"/>
        </w:rPr>
      </w:pPr>
      <w:r w:rsidRPr="00BF0A93">
        <w:rPr>
          <w:bCs/>
          <w:iCs/>
          <w:lang w:eastAsia="es-ES"/>
        </w:rPr>
        <w:t>El objetivo de este trabajo es c</w:t>
      </w:r>
      <w:r w:rsidRPr="00BF0A93">
        <w:rPr>
          <w:bCs/>
        </w:rPr>
        <w:t>arac</w:t>
      </w:r>
      <w:r w:rsidRPr="00BF0A93">
        <w:rPr>
          <w:bCs/>
          <w:iCs/>
          <w:lang w:eastAsia="es-ES"/>
        </w:rPr>
        <w:t>terizar a los pacientes con insuficiencia renal crónica terminal, con infecciones bacterianas asociadas al uso de catéter para hemodiálisis.</w:t>
      </w:r>
    </w:p>
    <w:p w14:paraId="2ABF1091" w14:textId="77777777" w:rsidR="00BF0A93" w:rsidRPr="00BF0A93" w:rsidRDefault="00BF0A93" w:rsidP="00BF0A93">
      <w:pPr>
        <w:spacing w:line="360" w:lineRule="auto"/>
        <w:contextualSpacing/>
        <w:jc w:val="both"/>
        <w:rPr>
          <w:lang w:eastAsia="es-ES"/>
        </w:rPr>
      </w:pPr>
    </w:p>
    <w:p w14:paraId="7EEB5F1E" w14:textId="77777777" w:rsidR="00BF0A93" w:rsidRPr="00BF0A93" w:rsidRDefault="00BF0A93" w:rsidP="00BF0A93">
      <w:pPr>
        <w:spacing w:line="360" w:lineRule="auto"/>
        <w:contextualSpacing/>
        <w:jc w:val="both"/>
        <w:rPr>
          <w:b/>
          <w:lang w:eastAsia="es-ES"/>
        </w:rPr>
      </w:pPr>
    </w:p>
    <w:p w14:paraId="26ACF6F0" w14:textId="77777777" w:rsidR="00BF0A93" w:rsidRPr="00BF0A93" w:rsidRDefault="00BF0A93" w:rsidP="00BF0A93">
      <w:pPr>
        <w:spacing w:line="360" w:lineRule="auto"/>
        <w:contextualSpacing/>
        <w:jc w:val="center"/>
        <w:rPr>
          <w:b/>
          <w:sz w:val="32"/>
          <w:szCs w:val="32"/>
          <w:lang w:eastAsia="es-ES"/>
        </w:rPr>
      </w:pPr>
      <w:r w:rsidRPr="00BF0A93">
        <w:rPr>
          <w:b/>
          <w:sz w:val="32"/>
          <w:szCs w:val="32"/>
          <w:lang w:eastAsia="es-ES"/>
        </w:rPr>
        <w:t>MÉTODOS</w:t>
      </w:r>
    </w:p>
    <w:p w14:paraId="548A2489" w14:textId="77777777" w:rsidR="00BF0A93" w:rsidRPr="00BF0A93" w:rsidRDefault="00BF0A93" w:rsidP="00BF0A93">
      <w:pPr>
        <w:spacing w:line="360" w:lineRule="auto"/>
        <w:jc w:val="both"/>
        <w:rPr>
          <w:lang w:eastAsia="es-ES"/>
        </w:rPr>
      </w:pPr>
      <w:r w:rsidRPr="00BF0A93">
        <w:rPr>
          <w:bCs/>
          <w:lang w:eastAsia="es-ES"/>
        </w:rPr>
        <w:t>S</w:t>
      </w:r>
      <w:r w:rsidRPr="00BF0A93">
        <w:rPr>
          <w:bCs/>
          <w:lang w:eastAsia="x-none"/>
        </w:rPr>
        <w:t xml:space="preserve">e </w:t>
      </w:r>
      <w:r w:rsidRPr="00BF0A93">
        <w:rPr>
          <w:lang w:eastAsia="x-none"/>
        </w:rPr>
        <w:t>realizó un estudio d</w:t>
      </w:r>
      <w:r w:rsidRPr="00BF0A93">
        <w:rPr>
          <w:lang w:eastAsia="es-ES"/>
        </w:rPr>
        <w:t xml:space="preserve">escriptivo, observacional de corte transversal, entre </w:t>
      </w:r>
      <w:r w:rsidRPr="00BF0A93">
        <w:rPr>
          <w:lang w:eastAsia="x-none"/>
        </w:rPr>
        <w:t xml:space="preserve">enero de 2016 y diciembre de 2017, en el </w:t>
      </w:r>
      <w:r w:rsidRPr="00BF0A93">
        <w:rPr>
          <w:lang w:eastAsia="es-ES"/>
        </w:rPr>
        <w:t xml:space="preserve">servicio de Nefrología del Hospital Provincial “Celia Sánchez Manduley”, de Manzanillo, Granma. </w:t>
      </w:r>
    </w:p>
    <w:p w14:paraId="52A88352" w14:textId="77777777" w:rsidR="00BF0A93" w:rsidRPr="00BF0A93" w:rsidRDefault="00BF0A93" w:rsidP="00BF0A93">
      <w:pPr>
        <w:spacing w:line="360" w:lineRule="auto"/>
        <w:jc w:val="both"/>
        <w:rPr>
          <w:lang w:eastAsia="x-none"/>
        </w:rPr>
      </w:pPr>
      <w:r w:rsidRPr="00BF0A93">
        <w:rPr>
          <w:lang w:val="es-CL" w:eastAsia="es-ES"/>
        </w:rPr>
        <w:lastRenderedPageBreak/>
        <w:t xml:space="preserve">Fueron incluidos todos los pacientes con diagnóstico de IRC terminal, con tratamiento de hemodiálisis e infección bacteriana asociada al catéter; resultaron </w:t>
      </w:r>
      <w:r w:rsidRPr="00BF0A93">
        <w:rPr>
          <w:lang w:eastAsia="x-none"/>
        </w:rPr>
        <w:t>83 pacientes.</w:t>
      </w:r>
    </w:p>
    <w:p w14:paraId="25C2BBAE" w14:textId="77777777" w:rsidR="00BF0A93" w:rsidRPr="00BF0A93" w:rsidRDefault="00BF0A93" w:rsidP="00BF0A93">
      <w:pPr>
        <w:tabs>
          <w:tab w:val="left" w:pos="2835"/>
        </w:tabs>
        <w:spacing w:line="360" w:lineRule="auto"/>
        <w:contextualSpacing/>
        <w:jc w:val="both"/>
        <w:outlineLvl w:val="0"/>
        <w:rPr>
          <w:lang w:eastAsia="es-ES"/>
        </w:rPr>
      </w:pPr>
      <w:r w:rsidRPr="00BF0A93">
        <w:rPr>
          <w:lang w:eastAsia="es-ES"/>
        </w:rPr>
        <w:t xml:space="preserve">Las variables estudiadas fueron: </w:t>
      </w:r>
    </w:p>
    <w:p w14:paraId="3AA6C25A" w14:textId="77777777" w:rsidR="00BF0A93" w:rsidRPr="00BF0A93" w:rsidRDefault="00BF0A93" w:rsidP="00BF0A93">
      <w:pPr>
        <w:tabs>
          <w:tab w:val="left" w:pos="2835"/>
        </w:tabs>
        <w:spacing w:line="360" w:lineRule="auto"/>
        <w:contextualSpacing/>
        <w:jc w:val="both"/>
        <w:outlineLvl w:val="0"/>
        <w:rPr>
          <w:lang w:eastAsia="es-ES"/>
        </w:rPr>
      </w:pPr>
    </w:p>
    <w:p w14:paraId="2A7ABCC1" w14:textId="77777777" w:rsidR="00BF0A93" w:rsidRPr="00BF0A93" w:rsidRDefault="00BF0A93" w:rsidP="00BF0A93">
      <w:pPr>
        <w:numPr>
          <w:ilvl w:val="0"/>
          <w:numId w:val="20"/>
        </w:numPr>
        <w:spacing w:line="360" w:lineRule="auto"/>
        <w:contextualSpacing/>
        <w:jc w:val="both"/>
        <w:outlineLvl w:val="0"/>
        <w:rPr>
          <w:lang w:eastAsia="es-ES"/>
        </w:rPr>
      </w:pPr>
      <w:r w:rsidRPr="00BF0A93">
        <w:rPr>
          <w:lang w:eastAsia="es-ES"/>
        </w:rPr>
        <w:t>Forma de presentación de la sepsis.</w:t>
      </w:r>
    </w:p>
    <w:p w14:paraId="41A80B95" w14:textId="77777777" w:rsidR="00BF0A93" w:rsidRPr="00BF0A93" w:rsidRDefault="00BF0A93" w:rsidP="00BF0A93">
      <w:pPr>
        <w:numPr>
          <w:ilvl w:val="0"/>
          <w:numId w:val="20"/>
        </w:numPr>
        <w:spacing w:line="360" w:lineRule="auto"/>
        <w:contextualSpacing/>
        <w:jc w:val="both"/>
        <w:outlineLvl w:val="0"/>
        <w:rPr>
          <w:lang w:eastAsia="es-ES"/>
        </w:rPr>
      </w:pPr>
      <w:r w:rsidRPr="00BF0A93">
        <w:rPr>
          <w:lang w:eastAsia="es-ES"/>
        </w:rPr>
        <w:t>Edad (agrupada en 18 a 40 años; 41 a 50; 51 a 60; 61 a 70; 71 a 80 y 81 a 90).</w:t>
      </w:r>
    </w:p>
    <w:p w14:paraId="66D13A4E" w14:textId="77777777" w:rsidR="00BF0A93" w:rsidRPr="00BF0A93" w:rsidRDefault="00BF0A93" w:rsidP="00BF0A93">
      <w:pPr>
        <w:numPr>
          <w:ilvl w:val="0"/>
          <w:numId w:val="20"/>
        </w:numPr>
        <w:spacing w:line="360" w:lineRule="auto"/>
        <w:contextualSpacing/>
        <w:jc w:val="both"/>
        <w:outlineLvl w:val="0"/>
        <w:rPr>
          <w:lang w:eastAsia="es-ES"/>
        </w:rPr>
      </w:pPr>
      <w:r w:rsidRPr="00BF0A93">
        <w:rPr>
          <w:lang w:eastAsia="es-ES"/>
        </w:rPr>
        <w:t>Sexo.</w:t>
      </w:r>
    </w:p>
    <w:p w14:paraId="03B6A0C0" w14:textId="77777777" w:rsidR="00BF0A93" w:rsidRPr="00BF0A93" w:rsidRDefault="00BF0A93" w:rsidP="00BF0A93">
      <w:pPr>
        <w:numPr>
          <w:ilvl w:val="0"/>
          <w:numId w:val="20"/>
        </w:numPr>
        <w:spacing w:line="360" w:lineRule="auto"/>
        <w:contextualSpacing/>
        <w:jc w:val="both"/>
        <w:outlineLvl w:val="0"/>
        <w:rPr>
          <w:lang w:eastAsia="es-ES"/>
        </w:rPr>
      </w:pPr>
      <w:r w:rsidRPr="00BF0A93">
        <w:rPr>
          <w:lang w:eastAsia="es-ES"/>
        </w:rPr>
        <w:t>Etiología de la IRC terminal.</w:t>
      </w:r>
    </w:p>
    <w:p w14:paraId="10419422" w14:textId="77777777" w:rsidR="00BF0A93" w:rsidRPr="00BF0A93" w:rsidRDefault="00BF0A93" w:rsidP="00BF0A93">
      <w:pPr>
        <w:numPr>
          <w:ilvl w:val="0"/>
          <w:numId w:val="20"/>
        </w:numPr>
        <w:spacing w:line="360" w:lineRule="auto"/>
        <w:contextualSpacing/>
        <w:jc w:val="both"/>
        <w:outlineLvl w:val="0"/>
        <w:rPr>
          <w:lang w:eastAsia="es-ES"/>
        </w:rPr>
      </w:pPr>
      <w:r w:rsidRPr="00BF0A93">
        <w:rPr>
          <w:lang w:eastAsia="es-ES"/>
        </w:rPr>
        <w:t>Síntomas y signos más frecuentes durante el evento séptico.</w:t>
      </w:r>
    </w:p>
    <w:p w14:paraId="3EDCA089" w14:textId="77777777" w:rsidR="00BF0A93" w:rsidRPr="00BF0A93" w:rsidRDefault="00BF0A93" w:rsidP="00BF0A93">
      <w:pPr>
        <w:numPr>
          <w:ilvl w:val="0"/>
          <w:numId w:val="20"/>
        </w:numPr>
        <w:spacing w:line="360" w:lineRule="auto"/>
        <w:contextualSpacing/>
        <w:jc w:val="both"/>
        <w:outlineLvl w:val="0"/>
        <w:rPr>
          <w:lang w:eastAsia="es-ES"/>
        </w:rPr>
      </w:pPr>
      <w:r w:rsidRPr="00BF0A93">
        <w:rPr>
          <w:lang w:eastAsia="es-ES"/>
        </w:rPr>
        <w:t>Complicaciones.</w:t>
      </w:r>
    </w:p>
    <w:p w14:paraId="31078CD9" w14:textId="77777777" w:rsidR="00BF0A93" w:rsidRPr="00BF0A93" w:rsidRDefault="00BF0A93" w:rsidP="00BF0A93">
      <w:pPr>
        <w:numPr>
          <w:ilvl w:val="0"/>
          <w:numId w:val="20"/>
        </w:numPr>
        <w:spacing w:line="360" w:lineRule="auto"/>
        <w:contextualSpacing/>
        <w:jc w:val="both"/>
        <w:outlineLvl w:val="0"/>
        <w:rPr>
          <w:lang w:eastAsia="es-ES"/>
        </w:rPr>
      </w:pPr>
      <w:r w:rsidRPr="00BF0A93">
        <w:rPr>
          <w:lang w:eastAsia="es-ES"/>
        </w:rPr>
        <w:t xml:space="preserve">Gérmenes aislados con mayor frecuencia, según estudio microbiológico a través del hemocultivo (no fue posible realizar siempre cultivo de la punta del catéter). </w:t>
      </w:r>
    </w:p>
    <w:p w14:paraId="09B33BF3" w14:textId="77777777" w:rsidR="00BF0A93" w:rsidRPr="00BF0A93" w:rsidRDefault="00BF0A93" w:rsidP="00BF0A93">
      <w:pPr>
        <w:tabs>
          <w:tab w:val="left" w:pos="2835"/>
        </w:tabs>
        <w:spacing w:line="360" w:lineRule="auto"/>
        <w:contextualSpacing/>
        <w:jc w:val="both"/>
        <w:outlineLvl w:val="0"/>
        <w:rPr>
          <w:lang w:eastAsia="es-ES"/>
        </w:rPr>
      </w:pPr>
    </w:p>
    <w:p w14:paraId="3C0F87F5" w14:textId="77777777" w:rsidR="00BF0A93" w:rsidRPr="00BF0A93" w:rsidRDefault="00BF0A93" w:rsidP="00BF0A93">
      <w:pPr>
        <w:tabs>
          <w:tab w:val="left" w:pos="2835"/>
        </w:tabs>
        <w:spacing w:line="360" w:lineRule="auto"/>
        <w:contextualSpacing/>
        <w:jc w:val="both"/>
        <w:outlineLvl w:val="0"/>
        <w:rPr>
          <w:lang w:val="x-none" w:eastAsia="es-ES"/>
        </w:rPr>
      </w:pPr>
      <w:r w:rsidRPr="00BF0A93">
        <w:rPr>
          <w:lang w:eastAsia="es-ES"/>
        </w:rPr>
        <w:t xml:space="preserve">Se confeccionó una ficha de recolección de datos; fueron extraídos de las historias clínicas. Como medidas de resumen se utilizaron frecuencias absolutas y porcentajes. Se utilizaron la media, moda y mediana para describir la variable edad. Para procesamiento </w:t>
      </w:r>
      <w:r w:rsidRPr="00BF0A93">
        <w:rPr>
          <w:lang w:val="es-MX" w:eastAsia="es-MX"/>
        </w:rPr>
        <w:t xml:space="preserve">se utilizó el SPSS v. 21. </w:t>
      </w:r>
    </w:p>
    <w:p w14:paraId="3ADFA210" w14:textId="77777777" w:rsidR="00BF0A93" w:rsidRPr="00BF0A93" w:rsidRDefault="00BF0A93" w:rsidP="00BF0A93">
      <w:pPr>
        <w:spacing w:line="360" w:lineRule="auto"/>
        <w:contextualSpacing/>
        <w:jc w:val="both"/>
        <w:rPr>
          <w:lang w:eastAsia="es-ES"/>
        </w:rPr>
      </w:pPr>
      <w:r w:rsidRPr="00BF0A93">
        <w:rPr>
          <w:lang w:eastAsia="es-ES"/>
        </w:rPr>
        <w:t>Desde el punto de vista ético, se mantiene la confidencialidad en la identidad de los pacientes, solo se emplean para el análisis como grupo.</w:t>
      </w:r>
    </w:p>
    <w:p w14:paraId="30591468" w14:textId="77777777" w:rsidR="00BF0A93" w:rsidRPr="00BF0A93" w:rsidRDefault="00BF0A93" w:rsidP="00BF0A93">
      <w:pPr>
        <w:spacing w:line="360" w:lineRule="auto"/>
        <w:contextualSpacing/>
        <w:outlineLvl w:val="0"/>
        <w:rPr>
          <w:b/>
          <w:lang w:eastAsia="es-ES"/>
        </w:rPr>
      </w:pPr>
    </w:p>
    <w:p w14:paraId="6470B664" w14:textId="77777777" w:rsidR="00BF0A93" w:rsidRPr="00BF0A93" w:rsidRDefault="00BF0A93" w:rsidP="00BF0A93">
      <w:pPr>
        <w:spacing w:line="360" w:lineRule="auto"/>
        <w:contextualSpacing/>
        <w:jc w:val="center"/>
        <w:outlineLvl w:val="0"/>
        <w:rPr>
          <w:b/>
          <w:lang w:eastAsia="es-ES"/>
        </w:rPr>
      </w:pPr>
    </w:p>
    <w:p w14:paraId="531207A6" w14:textId="77777777" w:rsidR="00BF0A93" w:rsidRPr="00BF0A93" w:rsidRDefault="00BF0A93" w:rsidP="00BF0A93">
      <w:pPr>
        <w:spacing w:line="360" w:lineRule="auto"/>
        <w:contextualSpacing/>
        <w:jc w:val="center"/>
        <w:outlineLvl w:val="0"/>
        <w:rPr>
          <w:b/>
          <w:sz w:val="32"/>
          <w:szCs w:val="32"/>
          <w:lang w:eastAsia="es-ES"/>
        </w:rPr>
      </w:pPr>
      <w:r w:rsidRPr="00BF0A93">
        <w:rPr>
          <w:b/>
          <w:sz w:val="32"/>
          <w:szCs w:val="32"/>
          <w:lang w:eastAsia="es-ES"/>
        </w:rPr>
        <w:t>RESULTADOS</w:t>
      </w:r>
    </w:p>
    <w:p w14:paraId="75BC45AA" w14:textId="77777777" w:rsidR="00BF0A93" w:rsidRPr="00BF0A93" w:rsidRDefault="00BF0A93" w:rsidP="00BF0A93">
      <w:pPr>
        <w:spacing w:line="360" w:lineRule="auto"/>
        <w:contextualSpacing/>
        <w:jc w:val="both"/>
        <w:rPr>
          <w:bCs/>
          <w:color w:val="000000"/>
          <w:lang w:eastAsia="es-ES"/>
        </w:rPr>
      </w:pPr>
      <w:r w:rsidRPr="00BF0A93">
        <w:rPr>
          <w:bCs/>
          <w:color w:val="000000"/>
          <w:lang w:eastAsia="es-ES"/>
        </w:rPr>
        <w:t>La principal forma de presentación fue la bacteriemia, en más del 90 % de los casos (tabla 1).</w:t>
      </w:r>
    </w:p>
    <w:p w14:paraId="52C98D35" w14:textId="77777777" w:rsidR="00BF0A93" w:rsidRPr="00BF0A93" w:rsidRDefault="00BF0A93" w:rsidP="00BF0A93">
      <w:pPr>
        <w:spacing w:line="360" w:lineRule="auto"/>
        <w:contextualSpacing/>
        <w:jc w:val="both"/>
        <w:rPr>
          <w:bCs/>
          <w:color w:val="000000"/>
          <w:lang w:eastAsia="es-ES"/>
        </w:rPr>
      </w:pPr>
    </w:p>
    <w:p w14:paraId="193B0D3D" w14:textId="77777777" w:rsidR="00BF0A93" w:rsidRPr="00BF0A93" w:rsidRDefault="00BF0A93" w:rsidP="00BF0A93">
      <w:pPr>
        <w:spacing w:line="360" w:lineRule="auto"/>
        <w:contextualSpacing/>
        <w:jc w:val="center"/>
        <w:rPr>
          <w:color w:val="000000"/>
          <w:sz w:val="22"/>
          <w:szCs w:val="22"/>
          <w:lang w:eastAsia="es-ES"/>
        </w:rPr>
      </w:pPr>
      <w:r w:rsidRPr="00BF0A93">
        <w:rPr>
          <w:b/>
          <w:color w:val="000000"/>
          <w:sz w:val="22"/>
          <w:szCs w:val="22"/>
          <w:lang w:eastAsia="es-ES"/>
        </w:rPr>
        <w:t xml:space="preserve">Tabla 1 – </w:t>
      </w:r>
      <w:r w:rsidRPr="00BF0A93">
        <w:rPr>
          <w:color w:val="000000"/>
          <w:sz w:val="22"/>
          <w:szCs w:val="22"/>
          <w:lang w:eastAsia="es-ES"/>
        </w:rPr>
        <w:t>Distribución de los pacientes según forma de presentación de la infección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51"/>
        <w:gridCol w:w="992"/>
      </w:tblGrid>
      <w:tr w:rsidR="00BF0A93" w:rsidRPr="00BF0A93" w14:paraId="6FCEF14E" w14:textId="77777777" w:rsidTr="005F5E98">
        <w:trPr>
          <w:trHeight w:val="155"/>
          <w:jc w:val="center"/>
        </w:trPr>
        <w:tc>
          <w:tcPr>
            <w:tcW w:w="2755" w:type="dxa"/>
            <w:shd w:val="clear" w:color="auto" w:fill="auto"/>
            <w:vAlign w:val="center"/>
          </w:tcPr>
          <w:p w14:paraId="09778E9E" w14:textId="77777777" w:rsidR="00BF0A93" w:rsidRPr="00BF0A93" w:rsidRDefault="00BF0A93" w:rsidP="00BF0A93">
            <w:pPr>
              <w:spacing w:line="360" w:lineRule="auto"/>
              <w:jc w:val="center"/>
              <w:rPr>
                <w:b/>
                <w:bCs/>
                <w:color w:val="000000"/>
                <w:sz w:val="18"/>
                <w:szCs w:val="18"/>
                <w:lang w:eastAsia="es-ES"/>
              </w:rPr>
            </w:pPr>
            <w:r w:rsidRPr="00BF0A93">
              <w:rPr>
                <w:b/>
                <w:bCs/>
                <w:color w:val="000000"/>
                <w:sz w:val="18"/>
                <w:szCs w:val="18"/>
                <w:lang w:eastAsia="es-ES"/>
              </w:rPr>
              <w:t>Forma de presentación</w:t>
            </w:r>
          </w:p>
        </w:tc>
        <w:tc>
          <w:tcPr>
            <w:tcW w:w="851" w:type="dxa"/>
            <w:shd w:val="clear" w:color="auto" w:fill="auto"/>
            <w:vAlign w:val="center"/>
          </w:tcPr>
          <w:p w14:paraId="4AA6F261" w14:textId="77777777" w:rsidR="00BF0A93" w:rsidRPr="00BF0A93" w:rsidRDefault="00BF0A93" w:rsidP="00BF0A93">
            <w:pPr>
              <w:spacing w:line="360" w:lineRule="auto"/>
              <w:jc w:val="center"/>
              <w:rPr>
                <w:b/>
                <w:bCs/>
                <w:color w:val="000000"/>
                <w:sz w:val="18"/>
                <w:szCs w:val="18"/>
                <w:lang w:eastAsia="es-ES"/>
              </w:rPr>
            </w:pPr>
            <w:r w:rsidRPr="00BF0A93">
              <w:rPr>
                <w:b/>
                <w:bCs/>
                <w:color w:val="000000"/>
                <w:sz w:val="18"/>
                <w:szCs w:val="18"/>
                <w:lang w:eastAsia="es-ES"/>
              </w:rPr>
              <w:t>n</w:t>
            </w:r>
          </w:p>
        </w:tc>
        <w:tc>
          <w:tcPr>
            <w:tcW w:w="992" w:type="dxa"/>
            <w:shd w:val="clear" w:color="auto" w:fill="auto"/>
            <w:vAlign w:val="center"/>
          </w:tcPr>
          <w:p w14:paraId="01AD48CF" w14:textId="77777777" w:rsidR="00BF0A93" w:rsidRPr="00BF0A93" w:rsidRDefault="00BF0A93" w:rsidP="00BF0A93">
            <w:pPr>
              <w:spacing w:line="360" w:lineRule="auto"/>
              <w:jc w:val="center"/>
              <w:rPr>
                <w:b/>
                <w:bCs/>
                <w:color w:val="000000"/>
                <w:sz w:val="18"/>
                <w:szCs w:val="18"/>
                <w:lang w:eastAsia="es-ES"/>
              </w:rPr>
            </w:pPr>
            <w:r w:rsidRPr="00BF0A93">
              <w:rPr>
                <w:b/>
                <w:bCs/>
                <w:color w:val="000000"/>
                <w:sz w:val="18"/>
                <w:szCs w:val="18"/>
                <w:lang w:eastAsia="es-ES"/>
              </w:rPr>
              <w:t>%</w:t>
            </w:r>
          </w:p>
        </w:tc>
      </w:tr>
      <w:tr w:rsidR="00BF0A93" w:rsidRPr="00BF0A93" w14:paraId="34F46120" w14:textId="77777777" w:rsidTr="005F5E98">
        <w:trPr>
          <w:trHeight w:val="116"/>
          <w:jc w:val="center"/>
        </w:trPr>
        <w:tc>
          <w:tcPr>
            <w:tcW w:w="2755" w:type="dxa"/>
            <w:shd w:val="clear" w:color="auto" w:fill="auto"/>
            <w:vAlign w:val="center"/>
          </w:tcPr>
          <w:p w14:paraId="710C41CF" w14:textId="77777777" w:rsidR="00BF0A93" w:rsidRPr="00BF0A93" w:rsidRDefault="00BF0A93" w:rsidP="00BF0A93">
            <w:pPr>
              <w:spacing w:line="360" w:lineRule="auto"/>
              <w:jc w:val="both"/>
              <w:rPr>
                <w:bCs/>
                <w:color w:val="000000"/>
                <w:sz w:val="18"/>
                <w:szCs w:val="18"/>
                <w:lang w:eastAsia="es-ES"/>
              </w:rPr>
            </w:pPr>
            <w:r w:rsidRPr="00BF0A93">
              <w:rPr>
                <w:bCs/>
                <w:color w:val="000000"/>
                <w:sz w:val="18"/>
                <w:szCs w:val="18"/>
                <w:lang w:eastAsia="es-ES"/>
              </w:rPr>
              <w:t xml:space="preserve">Bacteriemias </w:t>
            </w:r>
          </w:p>
        </w:tc>
        <w:tc>
          <w:tcPr>
            <w:tcW w:w="851" w:type="dxa"/>
            <w:shd w:val="clear" w:color="auto" w:fill="auto"/>
            <w:vAlign w:val="center"/>
          </w:tcPr>
          <w:p w14:paraId="7E459882" w14:textId="77777777" w:rsidR="00BF0A93" w:rsidRPr="00BF0A93" w:rsidRDefault="00BF0A93" w:rsidP="00BF0A93">
            <w:pPr>
              <w:spacing w:line="360" w:lineRule="auto"/>
              <w:jc w:val="center"/>
              <w:rPr>
                <w:sz w:val="18"/>
                <w:szCs w:val="18"/>
                <w:lang w:eastAsia="es-ES"/>
              </w:rPr>
            </w:pPr>
            <w:r w:rsidRPr="00BF0A93">
              <w:rPr>
                <w:sz w:val="18"/>
                <w:szCs w:val="18"/>
                <w:lang w:eastAsia="es-ES"/>
              </w:rPr>
              <w:t>75</w:t>
            </w:r>
          </w:p>
        </w:tc>
        <w:tc>
          <w:tcPr>
            <w:tcW w:w="992" w:type="dxa"/>
            <w:shd w:val="clear" w:color="auto" w:fill="auto"/>
            <w:vAlign w:val="center"/>
          </w:tcPr>
          <w:p w14:paraId="4EF8AC3C" w14:textId="77777777" w:rsidR="00BF0A93" w:rsidRPr="00BF0A93" w:rsidRDefault="00BF0A93" w:rsidP="00BF0A93">
            <w:pPr>
              <w:spacing w:line="360" w:lineRule="auto"/>
              <w:jc w:val="center"/>
              <w:rPr>
                <w:sz w:val="18"/>
                <w:szCs w:val="18"/>
                <w:lang w:eastAsia="es-ES"/>
              </w:rPr>
            </w:pPr>
            <w:r w:rsidRPr="00BF0A93">
              <w:rPr>
                <w:sz w:val="18"/>
                <w:szCs w:val="18"/>
                <w:lang w:eastAsia="es-ES"/>
              </w:rPr>
              <w:t>90,36</w:t>
            </w:r>
          </w:p>
        </w:tc>
      </w:tr>
      <w:tr w:rsidR="00BF0A93" w:rsidRPr="00BF0A93" w14:paraId="606A9A31" w14:textId="77777777" w:rsidTr="005F5E98">
        <w:trPr>
          <w:trHeight w:val="178"/>
          <w:jc w:val="center"/>
        </w:trPr>
        <w:tc>
          <w:tcPr>
            <w:tcW w:w="2755" w:type="dxa"/>
            <w:shd w:val="clear" w:color="auto" w:fill="auto"/>
            <w:vAlign w:val="center"/>
          </w:tcPr>
          <w:p w14:paraId="1E3ECE9C" w14:textId="77777777" w:rsidR="00BF0A93" w:rsidRPr="00BF0A93" w:rsidRDefault="00BF0A93" w:rsidP="00BF0A93">
            <w:pPr>
              <w:spacing w:line="360" w:lineRule="auto"/>
              <w:jc w:val="both"/>
              <w:rPr>
                <w:bCs/>
                <w:color w:val="000000"/>
                <w:sz w:val="18"/>
                <w:szCs w:val="18"/>
                <w:lang w:eastAsia="es-ES"/>
              </w:rPr>
            </w:pPr>
            <w:r w:rsidRPr="00BF0A93">
              <w:rPr>
                <w:bCs/>
                <w:color w:val="000000"/>
                <w:sz w:val="18"/>
                <w:szCs w:val="18"/>
                <w:lang w:eastAsia="es-ES"/>
              </w:rPr>
              <w:t xml:space="preserve">Infección del sitio de inserción </w:t>
            </w:r>
          </w:p>
        </w:tc>
        <w:tc>
          <w:tcPr>
            <w:tcW w:w="851" w:type="dxa"/>
            <w:shd w:val="clear" w:color="auto" w:fill="auto"/>
            <w:vAlign w:val="center"/>
          </w:tcPr>
          <w:p w14:paraId="6A89032C" w14:textId="77777777" w:rsidR="00BF0A93" w:rsidRPr="00BF0A93" w:rsidRDefault="00BF0A93" w:rsidP="00BF0A93">
            <w:pPr>
              <w:spacing w:line="360" w:lineRule="auto"/>
              <w:jc w:val="center"/>
              <w:rPr>
                <w:sz w:val="18"/>
                <w:szCs w:val="18"/>
                <w:lang w:eastAsia="es-ES"/>
              </w:rPr>
            </w:pPr>
            <w:r w:rsidRPr="00BF0A93">
              <w:rPr>
                <w:sz w:val="18"/>
                <w:szCs w:val="18"/>
                <w:lang w:eastAsia="es-ES"/>
              </w:rPr>
              <w:t>8</w:t>
            </w:r>
          </w:p>
        </w:tc>
        <w:tc>
          <w:tcPr>
            <w:tcW w:w="992" w:type="dxa"/>
            <w:shd w:val="clear" w:color="auto" w:fill="auto"/>
            <w:vAlign w:val="center"/>
          </w:tcPr>
          <w:p w14:paraId="254B9A49" w14:textId="77777777" w:rsidR="00BF0A93" w:rsidRPr="00BF0A93" w:rsidRDefault="00BF0A93" w:rsidP="00BF0A93">
            <w:pPr>
              <w:spacing w:line="360" w:lineRule="auto"/>
              <w:jc w:val="center"/>
              <w:rPr>
                <w:sz w:val="18"/>
                <w:szCs w:val="18"/>
                <w:lang w:eastAsia="es-ES"/>
              </w:rPr>
            </w:pPr>
            <w:r w:rsidRPr="00BF0A93">
              <w:rPr>
                <w:sz w:val="18"/>
                <w:szCs w:val="18"/>
                <w:lang w:eastAsia="es-ES"/>
              </w:rPr>
              <w:t>9,64</w:t>
            </w:r>
          </w:p>
        </w:tc>
      </w:tr>
      <w:tr w:rsidR="00BF0A93" w:rsidRPr="00BF0A93" w14:paraId="5444596A" w14:textId="77777777" w:rsidTr="005F5E98">
        <w:trPr>
          <w:trHeight w:val="140"/>
          <w:jc w:val="center"/>
        </w:trPr>
        <w:tc>
          <w:tcPr>
            <w:tcW w:w="2755" w:type="dxa"/>
            <w:shd w:val="clear" w:color="auto" w:fill="auto"/>
            <w:vAlign w:val="center"/>
          </w:tcPr>
          <w:p w14:paraId="74AA2210" w14:textId="77777777" w:rsidR="00BF0A93" w:rsidRPr="00BF0A93" w:rsidRDefault="00BF0A93" w:rsidP="00BF0A93">
            <w:pPr>
              <w:spacing w:line="360" w:lineRule="auto"/>
              <w:jc w:val="both"/>
              <w:rPr>
                <w:bCs/>
                <w:color w:val="000000"/>
                <w:sz w:val="18"/>
                <w:szCs w:val="18"/>
                <w:lang w:eastAsia="es-ES"/>
              </w:rPr>
            </w:pPr>
            <w:r w:rsidRPr="00BF0A93">
              <w:rPr>
                <w:bCs/>
                <w:color w:val="000000"/>
                <w:sz w:val="18"/>
                <w:szCs w:val="18"/>
                <w:lang w:eastAsia="es-ES"/>
              </w:rPr>
              <w:t>Total</w:t>
            </w:r>
          </w:p>
        </w:tc>
        <w:tc>
          <w:tcPr>
            <w:tcW w:w="851" w:type="dxa"/>
            <w:shd w:val="clear" w:color="auto" w:fill="auto"/>
            <w:vAlign w:val="center"/>
          </w:tcPr>
          <w:p w14:paraId="3DE9BEF7" w14:textId="77777777" w:rsidR="00BF0A93" w:rsidRPr="00BF0A93" w:rsidRDefault="00BF0A93" w:rsidP="00BF0A93">
            <w:pPr>
              <w:spacing w:line="360" w:lineRule="auto"/>
              <w:jc w:val="center"/>
              <w:rPr>
                <w:color w:val="000000"/>
                <w:sz w:val="18"/>
                <w:szCs w:val="18"/>
                <w:lang w:eastAsia="es-ES"/>
              </w:rPr>
            </w:pPr>
            <w:r w:rsidRPr="00BF0A93">
              <w:rPr>
                <w:color w:val="000000"/>
                <w:sz w:val="18"/>
                <w:szCs w:val="18"/>
                <w:lang w:eastAsia="es-ES"/>
              </w:rPr>
              <w:t>83</w:t>
            </w:r>
          </w:p>
        </w:tc>
        <w:tc>
          <w:tcPr>
            <w:tcW w:w="992" w:type="dxa"/>
            <w:shd w:val="clear" w:color="auto" w:fill="auto"/>
            <w:vAlign w:val="center"/>
          </w:tcPr>
          <w:p w14:paraId="4B4FED03" w14:textId="77777777" w:rsidR="00BF0A93" w:rsidRPr="00BF0A93" w:rsidRDefault="00BF0A93" w:rsidP="00BF0A93">
            <w:pPr>
              <w:spacing w:line="360" w:lineRule="auto"/>
              <w:jc w:val="center"/>
              <w:rPr>
                <w:color w:val="000000"/>
                <w:sz w:val="18"/>
                <w:szCs w:val="18"/>
                <w:lang w:eastAsia="es-ES"/>
              </w:rPr>
            </w:pPr>
            <w:r w:rsidRPr="00BF0A93">
              <w:rPr>
                <w:color w:val="000000"/>
                <w:sz w:val="18"/>
                <w:szCs w:val="18"/>
                <w:lang w:eastAsia="es-ES"/>
              </w:rPr>
              <w:t>100</w:t>
            </w:r>
          </w:p>
        </w:tc>
      </w:tr>
    </w:tbl>
    <w:p w14:paraId="5D2722BB" w14:textId="77777777" w:rsidR="00BF0A93" w:rsidRPr="00BF0A93" w:rsidRDefault="00BF0A93" w:rsidP="00BF0A93">
      <w:pPr>
        <w:spacing w:line="360" w:lineRule="auto"/>
        <w:contextualSpacing/>
        <w:jc w:val="both"/>
        <w:rPr>
          <w:b/>
          <w:color w:val="000000"/>
          <w:lang w:eastAsia="es-ES"/>
        </w:rPr>
      </w:pPr>
    </w:p>
    <w:p w14:paraId="416C3700" w14:textId="77777777" w:rsidR="00BF0A93" w:rsidRPr="00BF0A93" w:rsidRDefault="00BF0A93" w:rsidP="00BF0A93">
      <w:pPr>
        <w:spacing w:line="360" w:lineRule="auto"/>
        <w:contextualSpacing/>
        <w:jc w:val="both"/>
        <w:outlineLvl w:val="0"/>
        <w:rPr>
          <w:color w:val="000000"/>
          <w:lang w:eastAsia="es-ES"/>
        </w:rPr>
      </w:pPr>
      <w:r w:rsidRPr="00BF0A93">
        <w:rPr>
          <w:lang w:eastAsia="es-ES"/>
        </w:rPr>
        <w:lastRenderedPageBreak/>
        <w:t xml:space="preserve">Según se muestra en la tabla 2, predominó la población en los rangos de 61 a 70 años y 71 a 80 años. La media de la edad fue </w:t>
      </w:r>
      <w:r w:rsidRPr="00BF0A93">
        <w:rPr>
          <w:color w:val="000000"/>
          <w:lang w:eastAsia="es-ES"/>
        </w:rPr>
        <w:t>de 65,84 años, la moda y la mediana coincidieron en 70 años. El sexo masculino representó el 54,21 % del total de pacientes. La proporción masculino – femenino fue de 1:18.</w:t>
      </w:r>
    </w:p>
    <w:p w14:paraId="6F86D762" w14:textId="77777777" w:rsidR="00BF0A93" w:rsidRPr="00BF0A93" w:rsidRDefault="00BF0A93" w:rsidP="00BF0A93">
      <w:pPr>
        <w:spacing w:line="360" w:lineRule="auto"/>
        <w:contextualSpacing/>
        <w:jc w:val="both"/>
        <w:outlineLvl w:val="0"/>
        <w:rPr>
          <w:color w:val="000000"/>
          <w:lang w:eastAsia="es-ES"/>
        </w:rPr>
      </w:pPr>
    </w:p>
    <w:p w14:paraId="2301C962" w14:textId="77777777" w:rsidR="00BF0A93" w:rsidRPr="00BF0A93" w:rsidRDefault="00BF0A93" w:rsidP="00BF0A93">
      <w:pPr>
        <w:spacing w:line="360" w:lineRule="auto"/>
        <w:contextualSpacing/>
        <w:jc w:val="center"/>
        <w:rPr>
          <w:color w:val="000000"/>
          <w:sz w:val="22"/>
          <w:szCs w:val="22"/>
          <w:lang w:eastAsia="es-ES"/>
        </w:rPr>
      </w:pPr>
      <w:r w:rsidRPr="00BF0A93">
        <w:rPr>
          <w:b/>
          <w:color w:val="000000"/>
          <w:sz w:val="22"/>
          <w:szCs w:val="22"/>
          <w:lang w:eastAsia="es-ES"/>
        </w:rPr>
        <w:t xml:space="preserve">Tabla 2 – </w:t>
      </w:r>
      <w:r w:rsidRPr="00BF0A93">
        <w:rPr>
          <w:color w:val="000000"/>
          <w:sz w:val="22"/>
          <w:szCs w:val="22"/>
          <w:lang w:eastAsia="es-ES"/>
        </w:rPr>
        <w:t>Distribución de los pacientes según edad y sexo</w:t>
      </w:r>
    </w:p>
    <w:p w14:paraId="0CD53B5B" w14:textId="45757F7E" w:rsidR="00BF0A93" w:rsidRDefault="00A00FE2" w:rsidP="00A00FE2">
      <w:pPr>
        <w:spacing w:line="360" w:lineRule="auto"/>
        <w:contextualSpacing/>
        <w:jc w:val="center"/>
        <w:rPr>
          <w:strike/>
          <w:color w:val="FF0000"/>
          <w:lang w:eastAsia="es-ES"/>
        </w:rPr>
      </w:pPr>
      <w:r>
        <w:rPr>
          <w:strike/>
          <w:noProof/>
          <w:color w:val="FF0000"/>
          <w:lang w:eastAsia="es-ES"/>
        </w:rPr>
        <w:drawing>
          <wp:inline distT="0" distB="0" distL="0" distR="0" wp14:anchorId="47A8F098" wp14:editId="19566D55">
            <wp:extent cx="3276600" cy="19145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3276600" cy="1914525"/>
                    </a:xfrm>
                    <a:prstGeom prst="rect">
                      <a:avLst/>
                    </a:prstGeom>
                  </pic:spPr>
                </pic:pic>
              </a:graphicData>
            </a:graphic>
          </wp:inline>
        </w:drawing>
      </w:r>
    </w:p>
    <w:p w14:paraId="4F6B4F69" w14:textId="77777777" w:rsidR="00A00FE2" w:rsidRPr="00BF0A93" w:rsidRDefault="00A00FE2" w:rsidP="00BF0A93">
      <w:pPr>
        <w:spacing w:line="360" w:lineRule="auto"/>
        <w:contextualSpacing/>
        <w:jc w:val="both"/>
        <w:rPr>
          <w:strike/>
          <w:color w:val="FF0000"/>
          <w:lang w:eastAsia="es-ES"/>
        </w:rPr>
      </w:pPr>
    </w:p>
    <w:p w14:paraId="6B52D9EA" w14:textId="77777777" w:rsidR="00BF0A93" w:rsidRPr="00BF0A93" w:rsidRDefault="00BF0A93" w:rsidP="00BF0A93">
      <w:pPr>
        <w:spacing w:line="360" w:lineRule="auto"/>
        <w:contextualSpacing/>
        <w:jc w:val="both"/>
        <w:outlineLvl w:val="0"/>
        <w:rPr>
          <w:color w:val="000000"/>
          <w:lang w:eastAsia="es-ES"/>
        </w:rPr>
      </w:pPr>
      <w:r w:rsidRPr="00BF0A93">
        <w:rPr>
          <w:color w:val="000000"/>
          <w:lang w:eastAsia="es-ES"/>
        </w:rPr>
        <w:t>La IRC secundaria a diabetes mellitus, fue 49,39 % del total de pacientes, seguida de la hipertensión arterial (36,14 %) (tabla 3).</w:t>
      </w:r>
    </w:p>
    <w:p w14:paraId="647EC743" w14:textId="77777777" w:rsidR="00BF0A93" w:rsidRPr="00BF0A93" w:rsidRDefault="00BF0A93" w:rsidP="00BF0A93">
      <w:pPr>
        <w:spacing w:line="360" w:lineRule="auto"/>
        <w:contextualSpacing/>
        <w:jc w:val="both"/>
        <w:outlineLvl w:val="0"/>
        <w:rPr>
          <w:color w:val="000000"/>
          <w:lang w:eastAsia="es-ES"/>
        </w:rPr>
      </w:pPr>
    </w:p>
    <w:p w14:paraId="6EAF4CD9" w14:textId="77777777" w:rsidR="00BF0A93" w:rsidRPr="00BF0A93" w:rsidRDefault="00BF0A93" w:rsidP="00BF0A93">
      <w:pPr>
        <w:spacing w:line="360" w:lineRule="auto"/>
        <w:contextualSpacing/>
        <w:jc w:val="center"/>
        <w:rPr>
          <w:color w:val="000000"/>
          <w:sz w:val="22"/>
          <w:szCs w:val="22"/>
          <w:lang w:eastAsia="es-ES"/>
        </w:rPr>
      </w:pPr>
      <w:r w:rsidRPr="00BF0A93">
        <w:rPr>
          <w:b/>
          <w:color w:val="000000"/>
          <w:sz w:val="22"/>
          <w:szCs w:val="22"/>
          <w:lang w:eastAsia="es-ES"/>
        </w:rPr>
        <w:t xml:space="preserve">Tabla 3 – </w:t>
      </w:r>
      <w:r w:rsidRPr="00BF0A93">
        <w:rPr>
          <w:color w:val="000000"/>
          <w:sz w:val="22"/>
          <w:szCs w:val="22"/>
          <w:lang w:eastAsia="es-ES"/>
        </w:rPr>
        <w:t>Distribución de los pacientes según etiología de la IRC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721"/>
        <w:gridCol w:w="795"/>
      </w:tblGrid>
      <w:tr w:rsidR="00BF0A93" w:rsidRPr="00BF0A93" w14:paraId="636F4F27" w14:textId="77777777" w:rsidTr="005F5E98">
        <w:trPr>
          <w:trHeight w:val="393"/>
          <w:jc w:val="center"/>
        </w:trPr>
        <w:tc>
          <w:tcPr>
            <w:tcW w:w="2756" w:type="dxa"/>
            <w:shd w:val="clear" w:color="auto" w:fill="auto"/>
            <w:vAlign w:val="center"/>
          </w:tcPr>
          <w:p w14:paraId="5624162B" w14:textId="77777777" w:rsidR="00BF0A93" w:rsidRPr="00BF0A93" w:rsidRDefault="00BF0A93" w:rsidP="00BF0A93">
            <w:pPr>
              <w:spacing w:line="360" w:lineRule="auto"/>
              <w:contextualSpacing/>
              <w:jc w:val="center"/>
              <w:rPr>
                <w:b/>
                <w:bCs/>
                <w:color w:val="000000"/>
                <w:sz w:val="18"/>
                <w:szCs w:val="18"/>
                <w:lang w:eastAsia="es-ES"/>
              </w:rPr>
            </w:pPr>
            <w:r w:rsidRPr="00BF0A93">
              <w:rPr>
                <w:b/>
                <w:bCs/>
                <w:color w:val="000000"/>
                <w:sz w:val="18"/>
                <w:szCs w:val="18"/>
                <w:lang w:eastAsia="es-ES"/>
              </w:rPr>
              <w:t>Etiología</w:t>
            </w:r>
          </w:p>
        </w:tc>
        <w:tc>
          <w:tcPr>
            <w:tcW w:w="721" w:type="dxa"/>
            <w:shd w:val="clear" w:color="auto" w:fill="auto"/>
            <w:vAlign w:val="center"/>
          </w:tcPr>
          <w:p w14:paraId="41735AD8" w14:textId="77777777" w:rsidR="00BF0A93" w:rsidRPr="00BF0A93" w:rsidRDefault="00BF0A93" w:rsidP="00BF0A93">
            <w:pPr>
              <w:spacing w:line="360" w:lineRule="auto"/>
              <w:contextualSpacing/>
              <w:jc w:val="center"/>
              <w:rPr>
                <w:b/>
                <w:bCs/>
                <w:color w:val="000000"/>
                <w:sz w:val="18"/>
                <w:szCs w:val="18"/>
                <w:lang w:eastAsia="es-ES"/>
              </w:rPr>
            </w:pPr>
            <w:r w:rsidRPr="00BF0A93">
              <w:rPr>
                <w:b/>
                <w:bCs/>
                <w:color w:val="000000"/>
                <w:sz w:val="18"/>
                <w:szCs w:val="18"/>
                <w:lang w:eastAsia="es-ES"/>
              </w:rPr>
              <w:t>n</w:t>
            </w:r>
          </w:p>
        </w:tc>
        <w:tc>
          <w:tcPr>
            <w:tcW w:w="795" w:type="dxa"/>
            <w:shd w:val="clear" w:color="auto" w:fill="auto"/>
            <w:vAlign w:val="center"/>
          </w:tcPr>
          <w:p w14:paraId="0170E78A" w14:textId="77777777" w:rsidR="00BF0A93" w:rsidRPr="00BF0A93" w:rsidRDefault="00BF0A93" w:rsidP="00BF0A93">
            <w:pPr>
              <w:spacing w:line="360" w:lineRule="auto"/>
              <w:contextualSpacing/>
              <w:jc w:val="center"/>
              <w:rPr>
                <w:b/>
                <w:bCs/>
                <w:color w:val="000000"/>
                <w:sz w:val="18"/>
                <w:szCs w:val="18"/>
                <w:lang w:eastAsia="es-ES"/>
              </w:rPr>
            </w:pPr>
            <w:r w:rsidRPr="00BF0A93">
              <w:rPr>
                <w:b/>
                <w:bCs/>
                <w:color w:val="000000"/>
                <w:sz w:val="18"/>
                <w:szCs w:val="18"/>
                <w:lang w:eastAsia="es-ES"/>
              </w:rPr>
              <w:t>%</w:t>
            </w:r>
          </w:p>
        </w:tc>
      </w:tr>
      <w:tr w:rsidR="00BF0A93" w:rsidRPr="00BF0A93" w14:paraId="60F681F3" w14:textId="77777777" w:rsidTr="005F5E98">
        <w:trPr>
          <w:trHeight w:val="359"/>
          <w:jc w:val="center"/>
        </w:trPr>
        <w:tc>
          <w:tcPr>
            <w:tcW w:w="2756" w:type="dxa"/>
            <w:shd w:val="clear" w:color="auto" w:fill="auto"/>
            <w:vAlign w:val="center"/>
          </w:tcPr>
          <w:p w14:paraId="403C89F3"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 xml:space="preserve">Diabetes mellitus </w:t>
            </w:r>
          </w:p>
        </w:tc>
        <w:tc>
          <w:tcPr>
            <w:tcW w:w="721" w:type="dxa"/>
            <w:shd w:val="clear" w:color="auto" w:fill="auto"/>
            <w:vAlign w:val="center"/>
          </w:tcPr>
          <w:p w14:paraId="6D84FB1A"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41</w:t>
            </w:r>
          </w:p>
        </w:tc>
        <w:tc>
          <w:tcPr>
            <w:tcW w:w="795" w:type="dxa"/>
            <w:shd w:val="clear" w:color="auto" w:fill="auto"/>
            <w:vAlign w:val="center"/>
          </w:tcPr>
          <w:p w14:paraId="21A20DC2"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49,39</w:t>
            </w:r>
          </w:p>
        </w:tc>
      </w:tr>
      <w:tr w:rsidR="00BF0A93" w:rsidRPr="00BF0A93" w14:paraId="384AA688" w14:textId="77777777" w:rsidTr="005F5E98">
        <w:trPr>
          <w:trHeight w:val="142"/>
          <w:jc w:val="center"/>
        </w:trPr>
        <w:tc>
          <w:tcPr>
            <w:tcW w:w="2756" w:type="dxa"/>
            <w:shd w:val="clear" w:color="auto" w:fill="auto"/>
            <w:vAlign w:val="center"/>
          </w:tcPr>
          <w:p w14:paraId="6BE42323"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 xml:space="preserve">Hipertensión arterial  </w:t>
            </w:r>
          </w:p>
        </w:tc>
        <w:tc>
          <w:tcPr>
            <w:tcW w:w="721" w:type="dxa"/>
            <w:shd w:val="clear" w:color="auto" w:fill="auto"/>
            <w:vAlign w:val="center"/>
          </w:tcPr>
          <w:p w14:paraId="2A24EA15"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30</w:t>
            </w:r>
          </w:p>
        </w:tc>
        <w:tc>
          <w:tcPr>
            <w:tcW w:w="795" w:type="dxa"/>
            <w:shd w:val="clear" w:color="auto" w:fill="auto"/>
            <w:vAlign w:val="center"/>
          </w:tcPr>
          <w:p w14:paraId="6534DE8D"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36,14</w:t>
            </w:r>
          </w:p>
        </w:tc>
      </w:tr>
      <w:tr w:rsidR="00BF0A93" w:rsidRPr="00BF0A93" w14:paraId="29ECA6B3" w14:textId="77777777" w:rsidTr="005F5E98">
        <w:trPr>
          <w:trHeight w:val="246"/>
          <w:jc w:val="center"/>
        </w:trPr>
        <w:tc>
          <w:tcPr>
            <w:tcW w:w="2756" w:type="dxa"/>
            <w:shd w:val="clear" w:color="auto" w:fill="auto"/>
            <w:vAlign w:val="center"/>
          </w:tcPr>
          <w:p w14:paraId="22E38B0C"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 xml:space="preserve">Hiperplasia prostática benigna </w:t>
            </w:r>
          </w:p>
        </w:tc>
        <w:tc>
          <w:tcPr>
            <w:tcW w:w="721" w:type="dxa"/>
            <w:shd w:val="clear" w:color="auto" w:fill="auto"/>
            <w:vAlign w:val="center"/>
          </w:tcPr>
          <w:p w14:paraId="0E5A0475"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5</w:t>
            </w:r>
          </w:p>
        </w:tc>
        <w:tc>
          <w:tcPr>
            <w:tcW w:w="795" w:type="dxa"/>
            <w:shd w:val="clear" w:color="auto" w:fill="auto"/>
            <w:vAlign w:val="center"/>
          </w:tcPr>
          <w:p w14:paraId="2E69BFB7"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6,02</w:t>
            </w:r>
          </w:p>
        </w:tc>
      </w:tr>
      <w:tr w:rsidR="00BF0A93" w:rsidRPr="00BF0A93" w14:paraId="2DF2D679" w14:textId="77777777" w:rsidTr="005F5E98">
        <w:trPr>
          <w:trHeight w:val="208"/>
          <w:jc w:val="center"/>
        </w:trPr>
        <w:tc>
          <w:tcPr>
            <w:tcW w:w="2756" w:type="dxa"/>
            <w:shd w:val="clear" w:color="auto" w:fill="auto"/>
            <w:vAlign w:val="center"/>
          </w:tcPr>
          <w:p w14:paraId="76C3E4FC"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Poliquistosis renal</w:t>
            </w:r>
          </w:p>
        </w:tc>
        <w:tc>
          <w:tcPr>
            <w:tcW w:w="721" w:type="dxa"/>
            <w:shd w:val="clear" w:color="auto" w:fill="auto"/>
            <w:vAlign w:val="center"/>
          </w:tcPr>
          <w:p w14:paraId="54348E15"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3</w:t>
            </w:r>
          </w:p>
        </w:tc>
        <w:tc>
          <w:tcPr>
            <w:tcW w:w="795" w:type="dxa"/>
            <w:shd w:val="clear" w:color="auto" w:fill="auto"/>
            <w:vAlign w:val="center"/>
          </w:tcPr>
          <w:p w14:paraId="7F3BA340"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3,61</w:t>
            </w:r>
          </w:p>
        </w:tc>
      </w:tr>
      <w:tr w:rsidR="00BF0A93" w:rsidRPr="00BF0A93" w14:paraId="08F22C4B" w14:textId="77777777" w:rsidTr="005F5E98">
        <w:trPr>
          <w:trHeight w:val="171"/>
          <w:jc w:val="center"/>
        </w:trPr>
        <w:tc>
          <w:tcPr>
            <w:tcW w:w="2756" w:type="dxa"/>
            <w:shd w:val="clear" w:color="auto" w:fill="auto"/>
            <w:vAlign w:val="center"/>
          </w:tcPr>
          <w:p w14:paraId="581A9C20"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Glomerulonefritis</w:t>
            </w:r>
          </w:p>
        </w:tc>
        <w:tc>
          <w:tcPr>
            <w:tcW w:w="721" w:type="dxa"/>
            <w:shd w:val="clear" w:color="auto" w:fill="auto"/>
            <w:vAlign w:val="center"/>
          </w:tcPr>
          <w:p w14:paraId="0FE44BFF"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3</w:t>
            </w:r>
          </w:p>
        </w:tc>
        <w:tc>
          <w:tcPr>
            <w:tcW w:w="795" w:type="dxa"/>
            <w:shd w:val="clear" w:color="auto" w:fill="auto"/>
            <w:vAlign w:val="center"/>
          </w:tcPr>
          <w:p w14:paraId="44443D58"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3,61</w:t>
            </w:r>
          </w:p>
        </w:tc>
      </w:tr>
      <w:tr w:rsidR="00BF0A93" w:rsidRPr="00BF0A93" w14:paraId="4937E197" w14:textId="77777777" w:rsidTr="005F5E98">
        <w:trPr>
          <w:trHeight w:val="374"/>
          <w:jc w:val="center"/>
        </w:trPr>
        <w:tc>
          <w:tcPr>
            <w:tcW w:w="2756" w:type="dxa"/>
            <w:shd w:val="clear" w:color="auto" w:fill="auto"/>
            <w:vAlign w:val="center"/>
          </w:tcPr>
          <w:p w14:paraId="4D99EC1F"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Lupus eritematoso sistémico</w:t>
            </w:r>
          </w:p>
        </w:tc>
        <w:tc>
          <w:tcPr>
            <w:tcW w:w="721" w:type="dxa"/>
            <w:shd w:val="clear" w:color="auto" w:fill="auto"/>
            <w:vAlign w:val="center"/>
          </w:tcPr>
          <w:p w14:paraId="250447EA"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1</w:t>
            </w:r>
          </w:p>
        </w:tc>
        <w:tc>
          <w:tcPr>
            <w:tcW w:w="795" w:type="dxa"/>
            <w:shd w:val="clear" w:color="auto" w:fill="auto"/>
            <w:vAlign w:val="center"/>
          </w:tcPr>
          <w:p w14:paraId="3047B001"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1,20</w:t>
            </w:r>
          </w:p>
        </w:tc>
      </w:tr>
      <w:tr w:rsidR="00BF0A93" w:rsidRPr="00BF0A93" w14:paraId="5CA607F0" w14:textId="77777777" w:rsidTr="005F5E98">
        <w:trPr>
          <w:trHeight w:val="166"/>
          <w:jc w:val="center"/>
        </w:trPr>
        <w:tc>
          <w:tcPr>
            <w:tcW w:w="2756" w:type="dxa"/>
            <w:shd w:val="clear" w:color="auto" w:fill="auto"/>
            <w:vAlign w:val="center"/>
          </w:tcPr>
          <w:p w14:paraId="7FD645C7"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Total</w:t>
            </w:r>
          </w:p>
        </w:tc>
        <w:tc>
          <w:tcPr>
            <w:tcW w:w="721" w:type="dxa"/>
            <w:shd w:val="clear" w:color="auto" w:fill="auto"/>
            <w:vAlign w:val="center"/>
          </w:tcPr>
          <w:p w14:paraId="5A3FE105"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83</w:t>
            </w:r>
          </w:p>
        </w:tc>
        <w:tc>
          <w:tcPr>
            <w:tcW w:w="795" w:type="dxa"/>
            <w:shd w:val="clear" w:color="auto" w:fill="auto"/>
            <w:vAlign w:val="center"/>
          </w:tcPr>
          <w:p w14:paraId="5FA87539"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100</w:t>
            </w:r>
          </w:p>
        </w:tc>
      </w:tr>
    </w:tbl>
    <w:p w14:paraId="688B622B" w14:textId="77777777" w:rsidR="00BF0A93" w:rsidRPr="00BF0A93" w:rsidRDefault="00BF0A93" w:rsidP="00BF0A93">
      <w:pPr>
        <w:spacing w:line="360" w:lineRule="auto"/>
        <w:contextualSpacing/>
        <w:jc w:val="both"/>
        <w:outlineLvl w:val="0"/>
        <w:rPr>
          <w:color w:val="000000"/>
          <w:lang w:eastAsia="es-ES"/>
        </w:rPr>
      </w:pPr>
    </w:p>
    <w:p w14:paraId="4641FF9C" w14:textId="77777777" w:rsidR="00BF0A93" w:rsidRPr="00BF0A93" w:rsidRDefault="00BF0A93" w:rsidP="00BF0A93">
      <w:pPr>
        <w:spacing w:line="360" w:lineRule="auto"/>
        <w:contextualSpacing/>
        <w:jc w:val="both"/>
        <w:outlineLvl w:val="0"/>
        <w:rPr>
          <w:color w:val="000000"/>
          <w:lang w:eastAsia="es-ES"/>
        </w:rPr>
      </w:pPr>
      <w:r w:rsidRPr="00BF0A93">
        <w:rPr>
          <w:lang w:eastAsia="es-ES"/>
        </w:rPr>
        <w:t>Los síntomas y signos prevalentes fueron en orden decreciente: temblor, escalofríos y decaimiento. L</w:t>
      </w:r>
      <w:r w:rsidRPr="00BF0A93">
        <w:rPr>
          <w:color w:val="000000"/>
          <w:lang w:eastAsia="es-ES"/>
        </w:rPr>
        <w:t>a pérdida del acceso vascular fue la complicación más frecuente (43,37 %) (tabla 4).</w:t>
      </w:r>
    </w:p>
    <w:p w14:paraId="6CF7E467" w14:textId="77777777" w:rsidR="00BF0A93" w:rsidRPr="00BF0A93" w:rsidRDefault="00BF0A93" w:rsidP="00BF0A93">
      <w:pPr>
        <w:spacing w:line="360" w:lineRule="auto"/>
        <w:contextualSpacing/>
        <w:jc w:val="both"/>
        <w:outlineLvl w:val="0"/>
        <w:rPr>
          <w:lang w:eastAsia="es-ES"/>
        </w:rPr>
      </w:pPr>
    </w:p>
    <w:p w14:paraId="739DA48B" w14:textId="77777777" w:rsidR="003D0CA9" w:rsidRDefault="003D0CA9">
      <w:pPr>
        <w:rPr>
          <w:b/>
          <w:color w:val="000000"/>
          <w:sz w:val="22"/>
          <w:szCs w:val="22"/>
          <w:lang w:eastAsia="es-ES"/>
        </w:rPr>
      </w:pPr>
      <w:r>
        <w:rPr>
          <w:b/>
          <w:color w:val="000000"/>
          <w:sz w:val="22"/>
          <w:szCs w:val="22"/>
          <w:lang w:eastAsia="es-ES"/>
        </w:rPr>
        <w:br w:type="page"/>
      </w:r>
    </w:p>
    <w:p w14:paraId="7D02305C" w14:textId="3E58E6DE" w:rsidR="00BF0A93" w:rsidRPr="00BF0A93" w:rsidRDefault="00BF0A93" w:rsidP="00BF0A93">
      <w:pPr>
        <w:spacing w:line="360" w:lineRule="auto"/>
        <w:contextualSpacing/>
        <w:jc w:val="center"/>
        <w:rPr>
          <w:b/>
          <w:color w:val="000000"/>
          <w:sz w:val="22"/>
          <w:szCs w:val="22"/>
          <w:lang w:eastAsia="es-ES"/>
        </w:rPr>
      </w:pPr>
      <w:r w:rsidRPr="00BF0A93">
        <w:rPr>
          <w:b/>
          <w:color w:val="000000"/>
          <w:sz w:val="22"/>
          <w:szCs w:val="22"/>
          <w:lang w:eastAsia="es-ES"/>
        </w:rPr>
        <w:lastRenderedPageBreak/>
        <w:t xml:space="preserve">Tabla 4 – </w:t>
      </w:r>
      <w:r w:rsidRPr="00BF0A93">
        <w:rPr>
          <w:color w:val="000000"/>
          <w:sz w:val="22"/>
          <w:szCs w:val="22"/>
          <w:lang w:eastAsia="es-ES"/>
        </w:rPr>
        <w:t>Distribución de los pacientes según síntomas, signos y complicaciones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963"/>
        <w:gridCol w:w="1048"/>
      </w:tblGrid>
      <w:tr w:rsidR="00BF0A93" w:rsidRPr="00BF0A93" w14:paraId="112950FA" w14:textId="77777777" w:rsidTr="005F5E98">
        <w:trPr>
          <w:trHeight w:val="176"/>
          <w:jc w:val="center"/>
        </w:trPr>
        <w:tc>
          <w:tcPr>
            <w:tcW w:w="2334" w:type="dxa"/>
            <w:shd w:val="clear" w:color="auto" w:fill="auto"/>
            <w:vAlign w:val="center"/>
          </w:tcPr>
          <w:p w14:paraId="58063DD2" w14:textId="77777777" w:rsidR="00BF0A93" w:rsidRPr="00BF0A93" w:rsidRDefault="00BF0A93" w:rsidP="00BF0A93">
            <w:pPr>
              <w:spacing w:line="360" w:lineRule="auto"/>
              <w:contextualSpacing/>
              <w:jc w:val="both"/>
              <w:rPr>
                <w:b/>
                <w:bCs/>
                <w:color w:val="000000"/>
                <w:sz w:val="18"/>
                <w:szCs w:val="18"/>
                <w:lang w:eastAsia="es-ES"/>
              </w:rPr>
            </w:pPr>
            <w:r w:rsidRPr="00BF0A93">
              <w:rPr>
                <w:b/>
                <w:bCs/>
                <w:color w:val="000000"/>
                <w:sz w:val="18"/>
                <w:szCs w:val="18"/>
                <w:lang w:eastAsia="es-ES"/>
              </w:rPr>
              <w:t>Síntomas y signos</w:t>
            </w:r>
          </w:p>
        </w:tc>
        <w:tc>
          <w:tcPr>
            <w:tcW w:w="963" w:type="dxa"/>
            <w:shd w:val="clear" w:color="auto" w:fill="auto"/>
            <w:vAlign w:val="center"/>
          </w:tcPr>
          <w:p w14:paraId="027E79A2" w14:textId="77777777" w:rsidR="00BF0A93" w:rsidRPr="00BF0A93" w:rsidRDefault="00BF0A93" w:rsidP="00BF0A93">
            <w:pPr>
              <w:spacing w:line="360" w:lineRule="auto"/>
              <w:contextualSpacing/>
              <w:jc w:val="center"/>
              <w:rPr>
                <w:b/>
                <w:bCs/>
                <w:color w:val="000000"/>
                <w:sz w:val="18"/>
                <w:szCs w:val="18"/>
                <w:lang w:eastAsia="es-ES"/>
              </w:rPr>
            </w:pPr>
            <w:r w:rsidRPr="00BF0A93">
              <w:rPr>
                <w:b/>
                <w:bCs/>
                <w:color w:val="000000"/>
                <w:sz w:val="18"/>
                <w:szCs w:val="18"/>
                <w:lang w:eastAsia="es-ES"/>
              </w:rPr>
              <w:t>n</w:t>
            </w:r>
          </w:p>
        </w:tc>
        <w:tc>
          <w:tcPr>
            <w:tcW w:w="1048" w:type="dxa"/>
            <w:shd w:val="clear" w:color="auto" w:fill="auto"/>
            <w:vAlign w:val="center"/>
          </w:tcPr>
          <w:p w14:paraId="490CF53F" w14:textId="77777777" w:rsidR="00BF0A93" w:rsidRPr="00BF0A93" w:rsidRDefault="00BF0A93" w:rsidP="00BF0A93">
            <w:pPr>
              <w:spacing w:line="360" w:lineRule="auto"/>
              <w:contextualSpacing/>
              <w:jc w:val="center"/>
              <w:rPr>
                <w:b/>
                <w:bCs/>
                <w:color w:val="000000"/>
                <w:sz w:val="18"/>
                <w:szCs w:val="18"/>
                <w:lang w:eastAsia="es-ES"/>
              </w:rPr>
            </w:pPr>
            <w:r w:rsidRPr="00BF0A93">
              <w:rPr>
                <w:b/>
                <w:bCs/>
                <w:color w:val="000000"/>
                <w:sz w:val="18"/>
                <w:szCs w:val="18"/>
                <w:lang w:eastAsia="es-ES"/>
              </w:rPr>
              <w:t>%</w:t>
            </w:r>
          </w:p>
        </w:tc>
      </w:tr>
      <w:tr w:rsidR="00BF0A93" w:rsidRPr="00BF0A93" w14:paraId="4947C95F" w14:textId="77777777" w:rsidTr="005F5E98">
        <w:trPr>
          <w:trHeight w:val="279"/>
          <w:jc w:val="center"/>
        </w:trPr>
        <w:tc>
          <w:tcPr>
            <w:tcW w:w="2334" w:type="dxa"/>
            <w:shd w:val="clear" w:color="auto" w:fill="auto"/>
            <w:vAlign w:val="center"/>
          </w:tcPr>
          <w:p w14:paraId="79143E30" w14:textId="77777777" w:rsidR="00BF0A93" w:rsidRPr="00BF0A93" w:rsidRDefault="00BF0A93" w:rsidP="00BF0A93">
            <w:pPr>
              <w:tabs>
                <w:tab w:val="left" w:pos="335"/>
                <w:tab w:val="center" w:pos="4252"/>
                <w:tab w:val="right" w:pos="8504"/>
              </w:tabs>
              <w:spacing w:line="360" w:lineRule="auto"/>
              <w:contextualSpacing/>
              <w:jc w:val="both"/>
              <w:rPr>
                <w:sz w:val="18"/>
                <w:szCs w:val="18"/>
                <w:lang w:eastAsia="es-ES"/>
              </w:rPr>
            </w:pPr>
            <w:r w:rsidRPr="00BF0A93">
              <w:rPr>
                <w:sz w:val="18"/>
                <w:szCs w:val="18"/>
                <w:lang w:eastAsia="es-ES"/>
              </w:rPr>
              <w:t>Temblor</w:t>
            </w:r>
          </w:p>
        </w:tc>
        <w:tc>
          <w:tcPr>
            <w:tcW w:w="963" w:type="dxa"/>
            <w:shd w:val="clear" w:color="auto" w:fill="auto"/>
            <w:vAlign w:val="center"/>
          </w:tcPr>
          <w:p w14:paraId="18A2C08F"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73</w:t>
            </w:r>
          </w:p>
        </w:tc>
        <w:tc>
          <w:tcPr>
            <w:tcW w:w="1048" w:type="dxa"/>
            <w:shd w:val="clear" w:color="auto" w:fill="auto"/>
            <w:vAlign w:val="center"/>
          </w:tcPr>
          <w:p w14:paraId="36C1F103"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87,95</w:t>
            </w:r>
          </w:p>
        </w:tc>
      </w:tr>
      <w:tr w:rsidR="00BF0A93" w:rsidRPr="00BF0A93" w14:paraId="28920F88" w14:textId="77777777" w:rsidTr="005F5E98">
        <w:trPr>
          <w:trHeight w:val="99"/>
          <w:jc w:val="center"/>
        </w:trPr>
        <w:tc>
          <w:tcPr>
            <w:tcW w:w="2334" w:type="dxa"/>
            <w:shd w:val="clear" w:color="auto" w:fill="auto"/>
            <w:vAlign w:val="center"/>
          </w:tcPr>
          <w:p w14:paraId="62050DB6"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 xml:space="preserve">Decaimiento </w:t>
            </w:r>
          </w:p>
        </w:tc>
        <w:tc>
          <w:tcPr>
            <w:tcW w:w="963" w:type="dxa"/>
            <w:shd w:val="clear" w:color="auto" w:fill="auto"/>
            <w:vAlign w:val="center"/>
          </w:tcPr>
          <w:p w14:paraId="76EBF4E7"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68</w:t>
            </w:r>
          </w:p>
        </w:tc>
        <w:tc>
          <w:tcPr>
            <w:tcW w:w="1048" w:type="dxa"/>
            <w:shd w:val="clear" w:color="auto" w:fill="auto"/>
            <w:vAlign w:val="center"/>
          </w:tcPr>
          <w:p w14:paraId="551F3070"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81,93</w:t>
            </w:r>
          </w:p>
        </w:tc>
      </w:tr>
      <w:tr w:rsidR="00BF0A93" w:rsidRPr="00BF0A93" w14:paraId="38481927" w14:textId="77777777" w:rsidTr="005F5E98">
        <w:trPr>
          <w:trHeight w:val="61"/>
          <w:jc w:val="center"/>
        </w:trPr>
        <w:tc>
          <w:tcPr>
            <w:tcW w:w="2334" w:type="dxa"/>
            <w:shd w:val="clear" w:color="auto" w:fill="auto"/>
            <w:vAlign w:val="center"/>
          </w:tcPr>
          <w:p w14:paraId="066A9BE4"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Escalofríos</w:t>
            </w:r>
          </w:p>
        </w:tc>
        <w:tc>
          <w:tcPr>
            <w:tcW w:w="963" w:type="dxa"/>
            <w:shd w:val="clear" w:color="auto" w:fill="auto"/>
            <w:vAlign w:val="center"/>
          </w:tcPr>
          <w:p w14:paraId="42EB383E"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70</w:t>
            </w:r>
          </w:p>
        </w:tc>
        <w:tc>
          <w:tcPr>
            <w:tcW w:w="1048" w:type="dxa"/>
            <w:shd w:val="clear" w:color="auto" w:fill="auto"/>
            <w:vAlign w:val="center"/>
          </w:tcPr>
          <w:p w14:paraId="54D98820"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84,34</w:t>
            </w:r>
          </w:p>
        </w:tc>
      </w:tr>
      <w:tr w:rsidR="00BF0A93" w:rsidRPr="00BF0A93" w14:paraId="2CF56B6A" w14:textId="77777777" w:rsidTr="005F5E98">
        <w:trPr>
          <w:trHeight w:val="164"/>
          <w:jc w:val="center"/>
        </w:trPr>
        <w:tc>
          <w:tcPr>
            <w:tcW w:w="2334" w:type="dxa"/>
            <w:shd w:val="clear" w:color="auto" w:fill="auto"/>
            <w:vAlign w:val="center"/>
          </w:tcPr>
          <w:p w14:paraId="40F9CBBA"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 xml:space="preserve">Fiebre </w:t>
            </w:r>
          </w:p>
        </w:tc>
        <w:tc>
          <w:tcPr>
            <w:tcW w:w="963" w:type="dxa"/>
            <w:shd w:val="clear" w:color="auto" w:fill="auto"/>
            <w:vAlign w:val="center"/>
          </w:tcPr>
          <w:p w14:paraId="4A098140"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60</w:t>
            </w:r>
          </w:p>
        </w:tc>
        <w:tc>
          <w:tcPr>
            <w:tcW w:w="1048" w:type="dxa"/>
            <w:shd w:val="clear" w:color="auto" w:fill="auto"/>
            <w:vAlign w:val="center"/>
          </w:tcPr>
          <w:p w14:paraId="69B0568E"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72,29</w:t>
            </w:r>
          </w:p>
        </w:tc>
      </w:tr>
      <w:tr w:rsidR="00BF0A93" w:rsidRPr="00BF0A93" w14:paraId="0EB2ACBB" w14:textId="77777777" w:rsidTr="005F5E98">
        <w:trPr>
          <w:trHeight w:val="50"/>
          <w:jc w:val="center"/>
        </w:trPr>
        <w:tc>
          <w:tcPr>
            <w:tcW w:w="2334" w:type="dxa"/>
            <w:shd w:val="clear" w:color="auto" w:fill="auto"/>
            <w:vAlign w:val="center"/>
          </w:tcPr>
          <w:p w14:paraId="5E269593"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 xml:space="preserve">Hipoglucemia </w:t>
            </w:r>
          </w:p>
        </w:tc>
        <w:tc>
          <w:tcPr>
            <w:tcW w:w="963" w:type="dxa"/>
            <w:shd w:val="clear" w:color="auto" w:fill="auto"/>
            <w:vAlign w:val="center"/>
          </w:tcPr>
          <w:p w14:paraId="094520F7"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60</w:t>
            </w:r>
          </w:p>
        </w:tc>
        <w:tc>
          <w:tcPr>
            <w:tcW w:w="1048" w:type="dxa"/>
            <w:shd w:val="clear" w:color="auto" w:fill="auto"/>
            <w:vAlign w:val="center"/>
          </w:tcPr>
          <w:p w14:paraId="3C0E612C"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72,29</w:t>
            </w:r>
          </w:p>
        </w:tc>
      </w:tr>
      <w:tr w:rsidR="00BF0A93" w:rsidRPr="00BF0A93" w14:paraId="56D73F7F" w14:textId="77777777" w:rsidTr="005F5E98">
        <w:trPr>
          <w:trHeight w:val="244"/>
          <w:jc w:val="center"/>
        </w:trPr>
        <w:tc>
          <w:tcPr>
            <w:tcW w:w="2334" w:type="dxa"/>
            <w:shd w:val="clear" w:color="auto" w:fill="auto"/>
            <w:vAlign w:val="center"/>
          </w:tcPr>
          <w:p w14:paraId="779929F1"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Hipotensión arterial</w:t>
            </w:r>
          </w:p>
        </w:tc>
        <w:tc>
          <w:tcPr>
            <w:tcW w:w="963" w:type="dxa"/>
            <w:shd w:val="clear" w:color="auto" w:fill="auto"/>
            <w:vAlign w:val="center"/>
          </w:tcPr>
          <w:p w14:paraId="49EB029A"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58</w:t>
            </w:r>
          </w:p>
        </w:tc>
        <w:tc>
          <w:tcPr>
            <w:tcW w:w="1048" w:type="dxa"/>
            <w:shd w:val="clear" w:color="auto" w:fill="auto"/>
            <w:vAlign w:val="center"/>
          </w:tcPr>
          <w:p w14:paraId="57CFB81E"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69,88</w:t>
            </w:r>
          </w:p>
        </w:tc>
      </w:tr>
      <w:tr w:rsidR="00BF0A93" w:rsidRPr="00BF0A93" w14:paraId="6284DFB0" w14:textId="77777777" w:rsidTr="005F5E98">
        <w:trPr>
          <w:trHeight w:val="207"/>
          <w:jc w:val="center"/>
        </w:trPr>
        <w:tc>
          <w:tcPr>
            <w:tcW w:w="2334" w:type="dxa"/>
            <w:shd w:val="clear" w:color="auto" w:fill="auto"/>
            <w:vAlign w:val="center"/>
          </w:tcPr>
          <w:p w14:paraId="1AABDADB"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 xml:space="preserve">Leucocitosis </w:t>
            </w:r>
          </w:p>
        </w:tc>
        <w:tc>
          <w:tcPr>
            <w:tcW w:w="963" w:type="dxa"/>
            <w:shd w:val="clear" w:color="auto" w:fill="auto"/>
            <w:vAlign w:val="center"/>
          </w:tcPr>
          <w:p w14:paraId="4DF7D6BA"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69</w:t>
            </w:r>
          </w:p>
        </w:tc>
        <w:tc>
          <w:tcPr>
            <w:tcW w:w="1048" w:type="dxa"/>
            <w:shd w:val="clear" w:color="auto" w:fill="auto"/>
            <w:vAlign w:val="center"/>
          </w:tcPr>
          <w:p w14:paraId="37F58F3D"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83,13</w:t>
            </w:r>
          </w:p>
        </w:tc>
      </w:tr>
      <w:tr w:rsidR="00BF0A93" w:rsidRPr="00BF0A93" w14:paraId="30B1B976" w14:textId="77777777" w:rsidTr="005F5E98">
        <w:trPr>
          <w:trHeight w:val="168"/>
          <w:jc w:val="center"/>
        </w:trPr>
        <w:tc>
          <w:tcPr>
            <w:tcW w:w="2334" w:type="dxa"/>
            <w:shd w:val="clear" w:color="auto" w:fill="auto"/>
            <w:vAlign w:val="center"/>
          </w:tcPr>
          <w:p w14:paraId="1E865C8C"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 xml:space="preserve">Eritrosedimentación </w:t>
            </w:r>
          </w:p>
        </w:tc>
        <w:tc>
          <w:tcPr>
            <w:tcW w:w="963" w:type="dxa"/>
            <w:shd w:val="clear" w:color="auto" w:fill="auto"/>
            <w:vAlign w:val="center"/>
          </w:tcPr>
          <w:p w14:paraId="23993922"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10</w:t>
            </w:r>
          </w:p>
        </w:tc>
        <w:tc>
          <w:tcPr>
            <w:tcW w:w="1048" w:type="dxa"/>
            <w:shd w:val="clear" w:color="auto" w:fill="auto"/>
            <w:vAlign w:val="center"/>
          </w:tcPr>
          <w:p w14:paraId="483191C3"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12,04</w:t>
            </w:r>
          </w:p>
        </w:tc>
      </w:tr>
      <w:tr w:rsidR="00BF0A93" w:rsidRPr="00BF0A93" w14:paraId="73E52D90" w14:textId="77777777" w:rsidTr="005F5E98">
        <w:trPr>
          <w:trHeight w:val="272"/>
          <w:jc w:val="center"/>
        </w:trPr>
        <w:tc>
          <w:tcPr>
            <w:tcW w:w="4345" w:type="dxa"/>
            <w:gridSpan w:val="3"/>
            <w:shd w:val="clear" w:color="auto" w:fill="auto"/>
            <w:vAlign w:val="center"/>
          </w:tcPr>
          <w:p w14:paraId="2D24B29E" w14:textId="77777777" w:rsidR="00BF0A93" w:rsidRPr="00BF0A93" w:rsidRDefault="00BF0A93" w:rsidP="00BF0A93">
            <w:pPr>
              <w:keepNext/>
              <w:spacing w:line="360" w:lineRule="auto"/>
              <w:contextualSpacing/>
              <w:jc w:val="center"/>
              <w:outlineLvl w:val="2"/>
              <w:rPr>
                <w:color w:val="000000"/>
                <w:sz w:val="18"/>
                <w:szCs w:val="18"/>
                <w:lang w:eastAsia="es-ES"/>
              </w:rPr>
            </w:pPr>
            <w:r w:rsidRPr="00BF0A93">
              <w:rPr>
                <w:color w:val="000000"/>
                <w:sz w:val="18"/>
                <w:szCs w:val="18"/>
                <w:lang w:eastAsia="es-ES"/>
              </w:rPr>
              <w:t>Complicaciones</w:t>
            </w:r>
          </w:p>
        </w:tc>
      </w:tr>
      <w:tr w:rsidR="00BF0A93" w:rsidRPr="00BF0A93" w14:paraId="1CDE3D50" w14:textId="77777777" w:rsidTr="005F5E98">
        <w:trPr>
          <w:trHeight w:val="234"/>
          <w:jc w:val="center"/>
        </w:trPr>
        <w:tc>
          <w:tcPr>
            <w:tcW w:w="2334" w:type="dxa"/>
            <w:shd w:val="clear" w:color="auto" w:fill="auto"/>
            <w:vAlign w:val="center"/>
          </w:tcPr>
          <w:p w14:paraId="3A11E92B" w14:textId="77777777" w:rsidR="00BF0A93" w:rsidRPr="00BF0A93" w:rsidRDefault="00BF0A93" w:rsidP="00BF0A93">
            <w:pPr>
              <w:tabs>
                <w:tab w:val="left" w:pos="335"/>
                <w:tab w:val="center" w:pos="4252"/>
                <w:tab w:val="right" w:pos="8504"/>
              </w:tabs>
              <w:spacing w:line="360" w:lineRule="auto"/>
              <w:jc w:val="both"/>
              <w:rPr>
                <w:sz w:val="18"/>
                <w:szCs w:val="18"/>
                <w:lang w:eastAsia="es-ES"/>
              </w:rPr>
            </w:pPr>
            <w:r w:rsidRPr="00BF0A93">
              <w:rPr>
                <w:sz w:val="18"/>
                <w:szCs w:val="18"/>
                <w:lang w:eastAsia="es-ES"/>
              </w:rPr>
              <w:t>Pérdida del acceso vascular</w:t>
            </w:r>
          </w:p>
        </w:tc>
        <w:tc>
          <w:tcPr>
            <w:tcW w:w="963" w:type="dxa"/>
            <w:shd w:val="clear" w:color="auto" w:fill="auto"/>
            <w:vAlign w:val="center"/>
          </w:tcPr>
          <w:p w14:paraId="5C2AFA33" w14:textId="77777777" w:rsidR="00BF0A93" w:rsidRPr="00BF0A93" w:rsidRDefault="00BF0A93" w:rsidP="00BF0A93">
            <w:pPr>
              <w:spacing w:line="360" w:lineRule="auto"/>
              <w:jc w:val="center"/>
              <w:rPr>
                <w:sz w:val="18"/>
                <w:szCs w:val="18"/>
                <w:lang w:eastAsia="es-ES"/>
              </w:rPr>
            </w:pPr>
            <w:r w:rsidRPr="00BF0A93">
              <w:rPr>
                <w:sz w:val="18"/>
                <w:szCs w:val="18"/>
                <w:lang w:eastAsia="es-ES"/>
              </w:rPr>
              <w:t>36</w:t>
            </w:r>
          </w:p>
        </w:tc>
        <w:tc>
          <w:tcPr>
            <w:tcW w:w="1048" w:type="dxa"/>
            <w:shd w:val="clear" w:color="auto" w:fill="auto"/>
            <w:vAlign w:val="center"/>
          </w:tcPr>
          <w:p w14:paraId="77CD5FB9" w14:textId="77777777" w:rsidR="00BF0A93" w:rsidRPr="00BF0A93" w:rsidRDefault="00BF0A93" w:rsidP="00BF0A93">
            <w:pPr>
              <w:spacing w:line="360" w:lineRule="auto"/>
              <w:jc w:val="center"/>
              <w:rPr>
                <w:sz w:val="18"/>
                <w:szCs w:val="18"/>
                <w:lang w:eastAsia="es-ES"/>
              </w:rPr>
            </w:pPr>
            <w:r w:rsidRPr="00BF0A93">
              <w:rPr>
                <w:sz w:val="18"/>
                <w:szCs w:val="18"/>
                <w:lang w:eastAsia="es-ES"/>
              </w:rPr>
              <w:t>43,37</w:t>
            </w:r>
          </w:p>
        </w:tc>
      </w:tr>
      <w:tr w:rsidR="00BF0A93" w:rsidRPr="00BF0A93" w14:paraId="0888480E" w14:textId="77777777" w:rsidTr="005F5E98">
        <w:trPr>
          <w:trHeight w:val="50"/>
          <w:jc w:val="center"/>
        </w:trPr>
        <w:tc>
          <w:tcPr>
            <w:tcW w:w="2334" w:type="dxa"/>
            <w:shd w:val="clear" w:color="auto" w:fill="auto"/>
            <w:vAlign w:val="center"/>
          </w:tcPr>
          <w:p w14:paraId="14E2D858" w14:textId="77777777" w:rsidR="00BF0A93" w:rsidRPr="00BF0A93" w:rsidRDefault="00BF0A93" w:rsidP="00BF0A93">
            <w:pPr>
              <w:tabs>
                <w:tab w:val="left" w:pos="335"/>
                <w:tab w:val="center" w:pos="4252"/>
                <w:tab w:val="right" w:pos="8504"/>
              </w:tabs>
              <w:spacing w:line="360" w:lineRule="auto"/>
              <w:jc w:val="both"/>
              <w:rPr>
                <w:sz w:val="18"/>
                <w:szCs w:val="18"/>
                <w:lang w:eastAsia="es-ES"/>
              </w:rPr>
            </w:pPr>
            <w:r w:rsidRPr="00BF0A93">
              <w:rPr>
                <w:sz w:val="18"/>
                <w:szCs w:val="18"/>
                <w:lang w:eastAsia="es-ES"/>
              </w:rPr>
              <w:t>Infección respiratoria</w:t>
            </w:r>
          </w:p>
        </w:tc>
        <w:tc>
          <w:tcPr>
            <w:tcW w:w="963" w:type="dxa"/>
            <w:shd w:val="clear" w:color="auto" w:fill="auto"/>
            <w:vAlign w:val="center"/>
          </w:tcPr>
          <w:p w14:paraId="5D9256DF" w14:textId="77777777" w:rsidR="00BF0A93" w:rsidRPr="00BF0A93" w:rsidRDefault="00BF0A93" w:rsidP="00BF0A93">
            <w:pPr>
              <w:spacing w:line="360" w:lineRule="auto"/>
              <w:jc w:val="center"/>
              <w:rPr>
                <w:sz w:val="18"/>
                <w:szCs w:val="18"/>
                <w:lang w:eastAsia="es-ES"/>
              </w:rPr>
            </w:pPr>
            <w:r w:rsidRPr="00BF0A93">
              <w:rPr>
                <w:sz w:val="18"/>
                <w:szCs w:val="18"/>
                <w:lang w:eastAsia="es-ES"/>
              </w:rPr>
              <w:t>10</w:t>
            </w:r>
          </w:p>
        </w:tc>
        <w:tc>
          <w:tcPr>
            <w:tcW w:w="1048" w:type="dxa"/>
            <w:shd w:val="clear" w:color="auto" w:fill="auto"/>
            <w:vAlign w:val="center"/>
          </w:tcPr>
          <w:p w14:paraId="521B9DF9" w14:textId="77777777" w:rsidR="00BF0A93" w:rsidRPr="00BF0A93" w:rsidRDefault="00BF0A93" w:rsidP="00BF0A93">
            <w:pPr>
              <w:spacing w:line="360" w:lineRule="auto"/>
              <w:jc w:val="center"/>
              <w:rPr>
                <w:sz w:val="18"/>
                <w:szCs w:val="18"/>
                <w:lang w:eastAsia="es-ES"/>
              </w:rPr>
            </w:pPr>
            <w:r w:rsidRPr="00BF0A93">
              <w:rPr>
                <w:sz w:val="18"/>
                <w:szCs w:val="18"/>
                <w:lang w:eastAsia="es-ES"/>
              </w:rPr>
              <w:t>12,05</w:t>
            </w:r>
          </w:p>
        </w:tc>
      </w:tr>
      <w:tr w:rsidR="00BF0A93" w:rsidRPr="00BF0A93" w14:paraId="3FB88CB3" w14:textId="77777777" w:rsidTr="005F5E98">
        <w:trPr>
          <w:trHeight w:val="158"/>
          <w:jc w:val="center"/>
        </w:trPr>
        <w:tc>
          <w:tcPr>
            <w:tcW w:w="2334" w:type="dxa"/>
            <w:shd w:val="clear" w:color="auto" w:fill="auto"/>
            <w:vAlign w:val="center"/>
          </w:tcPr>
          <w:p w14:paraId="6F40F875" w14:textId="77777777" w:rsidR="00BF0A93" w:rsidRPr="00BF0A93" w:rsidRDefault="00BF0A93" w:rsidP="00BF0A93">
            <w:pPr>
              <w:tabs>
                <w:tab w:val="left" w:pos="335"/>
                <w:tab w:val="center" w:pos="4252"/>
                <w:tab w:val="right" w:pos="8504"/>
              </w:tabs>
              <w:spacing w:line="360" w:lineRule="auto"/>
              <w:jc w:val="both"/>
              <w:rPr>
                <w:sz w:val="18"/>
                <w:szCs w:val="18"/>
                <w:lang w:eastAsia="es-ES"/>
              </w:rPr>
            </w:pPr>
            <w:r w:rsidRPr="00BF0A93">
              <w:rPr>
                <w:i/>
                <w:sz w:val="18"/>
                <w:szCs w:val="18"/>
                <w:lang w:eastAsia="es-ES"/>
              </w:rPr>
              <w:t xml:space="preserve">Shock </w:t>
            </w:r>
            <w:r w:rsidRPr="00BF0A93">
              <w:rPr>
                <w:sz w:val="18"/>
                <w:szCs w:val="18"/>
                <w:lang w:eastAsia="es-ES"/>
              </w:rPr>
              <w:t>séptico</w:t>
            </w:r>
          </w:p>
        </w:tc>
        <w:tc>
          <w:tcPr>
            <w:tcW w:w="963" w:type="dxa"/>
            <w:shd w:val="clear" w:color="auto" w:fill="auto"/>
            <w:vAlign w:val="center"/>
          </w:tcPr>
          <w:p w14:paraId="2A888343" w14:textId="77777777" w:rsidR="00BF0A93" w:rsidRPr="00BF0A93" w:rsidRDefault="00BF0A93" w:rsidP="00BF0A93">
            <w:pPr>
              <w:spacing w:line="360" w:lineRule="auto"/>
              <w:jc w:val="center"/>
              <w:rPr>
                <w:sz w:val="18"/>
                <w:szCs w:val="18"/>
                <w:lang w:eastAsia="es-ES"/>
              </w:rPr>
            </w:pPr>
            <w:r w:rsidRPr="00BF0A93">
              <w:rPr>
                <w:sz w:val="18"/>
                <w:szCs w:val="18"/>
                <w:lang w:eastAsia="es-ES"/>
              </w:rPr>
              <w:t>5</w:t>
            </w:r>
          </w:p>
        </w:tc>
        <w:tc>
          <w:tcPr>
            <w:tcW w:w="1048" w:type="dxa"/>
            <w:shd w:val="clear" w:color="auto" w:fill="auto"/>
            <w:vAlign w:val="center"/>
          </w:tcPr>
          <w:p w14:paraId="52206466" w14:textId="77777777" w:rsidR="00BF0A93" w:rsidRPr="00BF0A93" w:rsidRDefault="00BF0A93" w:rsidP="00BF0A93">
            <w:pPr>
              <w:spacing w:line="360" w:lineRule="auto"/>
              <w:jc w:val="center"/>
              <w:rPr>
                <w:color w:val="000000"/>
                <w:sz w:val="18"/>
                <w:szCs w:val="18"/>
                <w:lang w:eastAsia="es-ES"/>
              </w:rPr>
            </w:pPr>
            <w:r w:rsidRPr="00BF0A93">
              <w:rPr>
                <w:color w:val="000000"/>
                <w:sz w:val="18"/>
                <w:szCs w:val="18"/>
                <w:lang w:eastAsia="es-ES"/>
              </w:rPr>
              <w:t>6,03</w:t>
            </w:r>
          </w:p>
        </w:tc>
      </w:tr>
      <w:tr w:rsidR="00BF0A93" w:rsidRPr="00BF0A93" w14:paraId="2DB85309" w14:textId="77777777" w:rsidTr="005F5E98">
        <w:trPr>
          <w:trHeight w:val="120"/>
          <w:jc w:val="center"/>
        </w:trPr>
        <w:tc>
          <w:tcPr>
            <w:tcW w:w="2334" w:type="dxa"/>
            <w:shd w:val="clear" w:color="auto" w:fill="auto"/>
            <w:vAlign w:val="center"/>
          </w:tcPr>
          <w:p w14:paraId="25FA7B3B" w14:textId="77777777" w:rsidR="00BF0A93" w:rsidRPr="00BF0A93" w:rsidRDefault="00BF0A93" w:rsidP="00BF0A93">
            <w:pPr>
              <w:tabs>
                <w:tab w:val="left" w:pos="335"/>
                <w:tab w:val="center" w:pos="4252"/>
                <w:tab w:val="right" w:pos="8504"/>
              </w:tabs>
              <w:spacing w:line="360" w:lineRule="auto"/>
              <w:jc w:val="both"/>
              <w:rPr>
                <w:sz w:val="18"/>
                <w:szCs w:val="18"/>
                <w:lang w:eastAsia="es-ES"/>
              </w:rPr>
            </w:pPr>
            <w:r w:rsidRPr="00BF0A93">
              <w:rPr>
                <w:sz w:val="18"/>
                <w:szCs w:val="18"/>
                <w:lang w:eastAsia="es-ES"/>
              </w:rPr>
              <w:t xml:space="preserve">Muerte </w:t>
            </w:r>
          </w:p>
        </w:tc>
        <w:tc>
          <w:tcPr>
            <w:tcW w:w="963" w:type="dxa"/>
            <w:shd w:val="clear" w:color="auto" w:fill="auto"/>
            <w:vAlign w:val="center"/>
          </w:tcPr>
          <w:p w14:paraId="155655DC" w14:textId="77777777" w:rsidR="00BF0A93" w:rsidRPr="00BF0A93" w:rsidRDefault="00BF0A93" w:rsidP="00BF0A93">
            <w:pPr>
              <w:spacing w:line="360" w:lineRule="auto"/>
              <w:jc w:val="center"/>
              <w:rPr>
                <w:color w:val="000000"/>
                <w:sz w:val="18"/>
                <w:szCs w:val="18"/>
                <w:lang w:eastAsia="es-ES"/>
              </w:rPr>
            </w:pPr>
            <w:r w:rsidRPr="00BF0A93">
              <w:rPr>
                <w:color w:val="000000"/>
                <w:sz w:val="18"/>
                <w:szCs w:val="18"/>
                <w:lang w:eastAsia="es-ES"/>
              </w:rPr>
              <w:t>5</w:t>
            </w:r>
          </w:p>
        </w:tc>
        <w:tc>
          <w:tcPr>
            <w:tcW w:w="1048" w:type="dxa"/>
            <w:shd w:val="clear" w:color="auto" w:fill="auto"/>
            <w:vAlign w:val="center"/>
          </w:tcPr>
          <w:p w14:paraId="2C28A114" w14:textId="77777777" w:rsidR="00BF0A93" w:rsidRPr="00BF0A93" w:rsidRDefault="00BF0A93" w:rsidP="00BF0A93">
            <w:pPr>
              <w:spacing w:line="360" w:lineRule="auto"/>
              <w:jc w:val="center"/>
              <w:rPr>
                <w:color w:val="000000"/>
                <w:sz w:val="18"/>
                <w:szCs w:val="18"/>
                <w:lang w:eastAsia="es-ES"/>
              </w:rPr>
            </w:pPr>
            <w:r w:rsidRPr="00BF0A93">
              <w:rPr>
                <w:color w:val="000000"/>
                <w:sz w:val="18"/>
                <w:szCs w:val="18"/>
                <w:lang w:eastAsia="es-ES"/>
              </w:rPr>
              <w:t>6,03</w:t>
            </w:r>
          </w:p>
        </w:tc>
      </w:tr>
      <w:tr w:rsidR="00BF0A93" w:rsidRPr="00BF0A93" w14:paraId="6794F9AF" w14:textId="77777777" w:rsidTr="005F5E98">
        <w:trPr>
          <w:trHeight w:val="83"/>
          <w:jc w:val="center"/>
        </w:trPr>
        <w:tc>
          <w:tcPr>
            <w:tcW w:w="2334" w:type="dxa"/>
            <w:shd w:val="clear" w:color="auto" w:fill="auto"/>
            <w:vAlign w:val="center"/>
          </w:tcPr>
          <w:p w14:paraId="135640C9" w14:textId="77777777" w:rsidR="00BF0A93" w:rsidRPr="00BF0A93" w:rsidRDefault="00BF0A93" w:rsidP="00BF0A93">
            <w:pPr>
              <w:tabs>
                <w:tab w:val="left" w:pos="335"/>
                <w:tab w:val="center" w:pos="4252"/>
                <w:tab w:val="right" w:pos="8504"/>
              </w:tabs>
              <w:spacing w:line="360" w:lineRule="auto"/>
              <w:jc w:val="both"/>
              <w:rPr>
                <w:sz w:val="18"/>
                <w:szCs w:val="18"/>
                <w:lang w:eastAsia="es-ES"/>
              </w:rPr>
            </w:pPr>
            <w:r w:rsidRPr="00BF0A93">
              <w:rPr>
                <w:sz w:val="18"/>
                <w:szCs w:val="18"/>
                <w:lang w:eastAsia="es-ES"/>
              </w:rPr>
              <w:t xml:space="preserve">Artritis séptica </w:t>
            </w:r>
          </w:p>
        </w:tc>
        <w:tc>
          <w:tcPr>
            <w:tcW w:w="963" w:type="dxa"/>
            <w:shd w:val="clear" w:color="auto" w:fill="auto"/>
            <w:vAlign w:val="center"/>
          </w:tcPr>
          <w:p w14:paraId="6F00218E" w14:textId="77777777" w:rsidR="00BF0A93" w:rsidRPr="00BF0A93" w:rsidRDefault="00BF0A93" w:rsidP="00BF0A93">
            <w:pPr>
              <w:spacing w:line="360" w:lineRule="auto"/>
              <w:jc w:val="center"/>
              <w:rPr>
                <w:color w:val="000000"/>
                <w:sz w:val="18"/>
                <w:szCs w:val="18"/>
                <w:lang w:eastAsia="es-ES"/>
              </w:rPr>
            </w:pPr>
            <w:r w:rsidRPr="00BF0A93">
              <w:rPr>
                <w:color w:val="000000"/>
                <w:sz w:val="18"/>
                <w:szCs w:val="18"/>
                <w:lang w:eastAsia="es-ES"/>
              </w:rPr>
              <w:t>2</w:t>
            </w:r>
          </w:p>
        </w:tc>
        <w:tc>
          <w:tcPr>
            <w:tcW w:w="1048" w:type="dxa"/>
            <w:shd w:val="clear" w:color="auto" w:fill="auto"/>
            <w:vAlign w:val="center"/>
          </w:tcPr>
          <w:p w14:paraId="731429D0" w14:textId="77777777" w:rsidR="00BF0A93" w:rsidRPr="00BF0A93" w:rsidRDefault="00BF0A93" w:rsidP="00BF0A93">
            <w:pPr>
              <w:spacing w:line="360" w:lineRule="auto"/>
              <w:jc w:val="center"/>
              <w:rPr>
                <w:color w:val="000000"/>
                <w:sz w:val="18"/>
                <w:szCs w:val="18"/>
                <w:lang w:eastAsia="es-ES"/>
              </w:rPr>
            </w:pPr>
            <w:r w:rsidRPr="00BF0A93">
              <w:rPr>
                <w:color w:val="000000"/>
                <w:sz w:val="18"/>
                <w:szCs w:val="18"/>
                <w:lang w:eastAsia="es-ES"/>
              </w:rPr>
              <w:t>2,41</w:t>
            </w:r>
          </w:p>
        </w:tc>
      </w:tr>
      <w:tr w:rsidR="00BF0A93" w:rsidRPr="00BF0A93" w14:paraId="0F0F0D45" w14:textId="77777777" w:rsidTr="005F5E98">
        <w:trPr>
          <w:trHeight w:val="50"/>
          <w:jc w:val="center"/>
        </w:trPr>
        <w:tc>
          <w:tcPr>
            <w:tcW w:w="2334" w:type="dxa"/>
            <w:shd w:val="clear" w:color="auto" w:fill="auto"/>
            <w:vAlign w:val="center"/>
          </w:tcPr>
          <w:p w14:paraId="593BA8C8" w14:textId="77777777" w:rsidR="00BF0A93" w:rsidRPr="00BF0A93" w:rsidRDefault="00BF0A93" w:rsidP="00BF0A93">
            <w:pPr>
              <w:tabs>
                <w:tab w:val="left" w:pos="335"/>
                <w:tab w:val="center" w:pos="4252"/>
                <w:tab w:val="right" w:pos="8504"/>
              </w:tabs>
              <w:spacing w:line="360" w:lineRule="auto"/>
              <w:jc w:val="both"/>
              <w:rPr>
                <w:sz w:val="18"/>
                <w:szCs w:val="18"/>
                <w:lang w:eastAsia="es-ES"/>
              </w:rPr>
            </w:pPr>
            <w:r w:rsidRPr="00BF0A93">
              <w:rPr>
                <w:sz w:val="18"/>
                <w:szCs w:val="18"/>
                <w:lang w:eastAsia="es-ES"/>
              </w:rPr>
              <w:t>Endocarditis infecciosa</w:t>
            </w:r>
          </w:p>
        </w:tc>
        <w:tc>
          <w:tcPr>
            <w:tcW w:w="963" w:type="dxa"/>
            <w:shd w:val="clear" w:color="auto" w:fill="auto"/>
            <w:vAlign w:val="center"/>
          </w:tcPr>
          <w:p w14:paraId="60C6E44F" w14:textId="77777777" w:rsidR="00BF0A93" w:rsidRPr="00BF0A93" w:rsidRDefault="00BF0A93" w:rsidP="00BF0A93">
            <w:pPr>
              <w:spacing w:line="360" w:lineRule="auto"/>
              <w:jc w:val="center"/>
              <w:rPr>
                <w:color w:val="000000"/>
                <w:sz w:val="18"/>
                <w:szCs w:val="18"/>
                <w:lang w:eastAsia="es-ES"/>
              </w:rPr>
            </w:pPr>
            <w:r w:rsidRPr="00BF0A93">
              <w:rPr>
                <w:color w:val="000000"/>
                <w:sz w:val="18"/>
                <w:szCs w:val="18"/>
                <w:lang w:eastAsia="es-ES"/>
              </w:rPr>
              <w:t>1</w:t>
            </w:r>
          </w:p>
        </w:tc>
        <w:tc>
          <w:tcPr>
            <w:tcW w:w="1048" w:type="dxa"/>
            <w:shd w:val="clear" w:color="auto" w:fill="auto"/>
            <w:vAlign w:val="center"/>
          </w:tcPr>
          <w:p w14:paraId="49319ADE" w14:textId="77777777" w:rsidR="00BF0A93" w:rsidRPr="00BF0A93" w:rsidRDefault="00BF0A93" w:rsidP="00BF0A93">
            <w:pPr>
              <w:spacing w:line="360" w:lineRule="auto"/>
              <w:jc w:val="center"/>
              <w:rPr>
                <w:color w:val="000000"/>
                <w:sz w:val="18"/>
                <w:szCs w:val="18"/>
                <w:lang w:eastAsia="es-ES"/>
              </w:rPr>
            </w:pPr>
            <w:r w:rsidRPr="00BF0A93">
              <w:rPr>
                <w:color w:val="000000"/>
                <w:sz w:val="18"/>
                <w:szCs w:val="18"/>
                <w:lang w:eastAsia="es-ES"/>
              </w:rPr>
              <w:t>1,20</w:t>
            </w:r>
          </w:p>
        </w:tc>
      </w:tr>
    </w:tbl>
    <w:p w14:paraId="4F7CC2A4" w14:textId="77777777" w:rsidR="00BF0A93" w:rsidRPr="00BF0A93" w:rsidRDefault="00BF0A93" w:rsidP="00BF0A93">
      <w:pPr>
        <w:spacing w:line="360" w:lineRule="auto"/>
        <w:contextualSpacing/>
        <w:jc w:val="both"/>
        <w:outlineLvl w:val="0"/>
        <w:rPr>
          <w:strike/>
          <w:color w:val="FF0000"/>
          <w:lang w:eastAsia="es-ES"/>
        </w:rPr>
      </w:pPr>
    </w:p>
    <w:p w14:paraId="0043FEB9" w14:textId="77777777" w:rsidR="00BF0A93" w:rsidRPr="00BF0A93" w:rsidRDefault="00BF0A93" w:rsidP="00BF0A93">
      <w:pPr>
        <w:spacing w:line="360" w:lineRule="auto"/>
        <w:contextualSpacing/>
        <w:jc w:val="both"/>
        <w:outlineLvl w:val="0"/>
        <w:rPr>
          <w:color w:val="000000"/>
          <w:lang w:eastAsia="es-ES"/>
        </w:rPr>
      </w:pPr>
      <w:r w:rsidRPr="00BF0A93">
        <w:rPr>
          <w:color w:val="000000"/>
          <w:lang w:eastAsia="es-ES"/>
        </w:rPr>
        <w:t xml:space="preserve">De acuerdo con la tabla 5, </w:t>
      </w:r>
      <w:r w:rsidRPr="00BF0A93">
        <w:rPr>
          <w:i/>
          <w:iCs/>
          <w:color w:val="000000"/>
          <w:lang w:eastAsia="es-ES"/>
        </w:rPr>
        <w:t xml:space="preserve">Staphylococcus aureus </w:t>
      </w:r>
      <w:r w:rsidRPr="00BF0A93">
        <w:rPr>
          <w:color w:val="000000"/>
          <w:lang w:eastAsia="es-ES"/>
        </w:rPr>
        <w:t>fue el agente etiológico aislado en el 86,75 % de los pacientes.</w:t>
      </w:r>
    </w:p>
    <w:p w14:paraId="4B8FBD52" w14:textId="77777777" w:rsidR="00BF0A93" w:rsidRPr="00BF0A93" w:rsidRDefault="00BF0A93" w:rsidP="00BF0A93">
      <w:pPr>
        <w:spacing w:line="360" w:lineRule="auto"/>
        <w:contextualSpacing/>
        <w:jc w:val="both"/>
        <w:outlineLvl w:val="0"/>
        <w:rPr>
          <w:color w:val="000000"/>
          <w:lang w:eastAsia="es-ES"/>
        </w:rPr>
      </w:pPr>
    </w:p>
    <w:p w14:paraId="645EE2E2" w14:textId="77777777" w:rsidR="00BF0A93" w:rsidRPr="00BF0A93" w:rsidRDefault="00BF0A93" w:rsidP="00BF0A93">
      <w:pPr>
        <w:spacing w:line="360" w:lineRule="auto"/>
        <w:contextualSpacing/>
        <w:jc w:val="center"/>
        <w:rPr>
          <w:b/>
          <w:color w:val="000000"/>
          <w:sz w:val="22"/>
          <w:szCs w:val="22"/>
          <w:lang w:eastAsia="es-ES"/>
        </w:rPr>
      </w:pPr>
      <w:r w:rsidRPr="00BF0A93">
        <w:rPr>
          <w:b/>
          <w:color w:val="000000"/>
          <w:sz w:val="22"/>
          <w:szCs w:val="22"/>
          <w:lang w:eastAsia="es-ES"/>
        </w:rPr>
        <w:t xml:space="preserve">Tabla 5 – </w:t>
      </w:r>
      <w:r w:rsidRPr="00BF0A93">
        <w:rPr>
          <w:bCs/>
          <w:color w:val="000000"/>
          <w:sz w:val="22"/>
          <w:szCs w:val="22"/>
          <w:lang w:eastAsia="es-ES"/>
        </w:rPr>
        <w:t>D</w:t>
      </w:r>
      <w:r w:rsidRPr="00BF0A93">
        <w:rPr>
          <w:color w:val="000000"/>
          <w:sz w:val="22"/>
          <w:szCs w:val="22"/>
          <w:lang w:eastAsia="es-ES"/>
        </w:rPr>
        <w:t>istribución de los pacientes según agente etiológico de la infección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1"/>
        <w:gridCol w:w="992"/>
      </w:tblGrid>
      <w:tr w:rsidR="00BF0A93" w:rsidRPr="00BF0A93" w14:paraId="5C8428A9" w14:textId="77777777" w:rsidTr="005F5E98">
        <w:trPr>
          <w:trHeight w:val="308"/>
          <w:jc w:val="center"/>
        </w:trPr>
        <w:tc>
          <w:tcPr>
            <w:tcW w:w="2263" w:type="dxa"/>
            <w:shd w:val="clear" w:color="auto" w:fill="auto"/>
            <w:vAlign w:val="center"/>
          </w:tcPr>
          <w:p w14:paraId="2732D623" w14:textId="77777777" w:rsidR="00BF0A93" w:rsidRPr="00BF0A93" w:rsidRDefault="00BF0A93" w:rsidP="00BF0A93">
            <w:pPr>
              <w:spacing w:line="360" w:lineRule="auto"/>
              <w:contextualSpacing/>
              <w:jc w:val="center"/>
              <w:rPr>
                <w:b/>
                <w:bCs/>
                <w:color w:val="000000"/>
                <w:sz w:val="18"/>
                <w:szCs w:val="18"/>
                <w:lang w:eastAsia="es-ES"/>
              </w:rPr>
            </w:pPr>
            <w:r w:rsidRPr="00BF0A93">
              <w:rPr>
                <w:b/>
                <w:bCs/>
                <w:color w:val="000000"/>
                <w:sz w:val="18"/>
                <w:szCs w:val="18"/>
                <w:lang w:eastAsia="es-ES"/>
              </w:rPr>
              <w:t>Agente etiológico</w:t>
            </w:r>
          </w:p>
        </w:tc>
        <w:tc>
          <w:tcPr>
            <w:tcW w:w="851" w:type="dxa"/>
            <w:shd w:val="clear" w:color="auto" w:fill="auto"/>
            <w:vAlign w:val="center"/>
          </w:tcPr>
          <w:p w14:paraId="644DD4FA" w14:textId="77777777" w:rsidR="00BF0A93" w:rsidRPr="00BF0A93" w:rsidRDefault="00BF0A93" w:rsidP="00BF0A93">
            <w:pPr>
              <w:spacing w:line="360" w:lineRule="auto"/>
              <w:contextualSpacing/>
              <w:jc w:val="center"/>
              <w:rPr>
                <w:b/>
                <w:bCs/>
                <w:color w:val="000000"/>
                <w:sz w:val="18"/>
                <w:szCs w:val="18"/>
                <w:lang w:eastAsia="es-ES"/>
              </w:rPr>
            </w:pPr>
            <w:r w:rsidRPr="00BF0A93">
              <w:rPr>
                <w:b/>
                <w:bCs/>
                <w:color w:val="000000"/>
                <w:sz w:val="18"/>
                <w:szCs w:val="18"/>
                <w:lang w:eastAsia="es-ES"/>
              </w:rPr>
              <w:t>n</w:t>
            </w:r>
          </w:p>
        </w:tc>
        <w:tc>
          <w:tcPr>
            <w:tcW w:w="992" w:type="dxa"/>
            <w:shd w:val="clear" w:color="auto" w:fill="auto"/>
            <w:vAlign w:val="center"/>
          </w:tcPr>
          <w:p w14:paraId="18F079FA" w14:textId="77777777" w:rsidR="00BF0A93" w:rsidRPr="00BF0A93" w:rsidRDefault="00BF0A93" w:rsidP="00BF0A93">
            <w:pPr>
              <w:spacing w:line="360" w:lineRule="auto"/>
              <w:contextualSpacing/>
              <w:jc w:val="center"/>
              <w:rPr>
                <w:b/>
                <w:bCs/>
                <w:color w:val="000000"/>
                <w:sz w:val="18"/>
                <w:szCs w:val="18"/>
                <w:lang w:eastAsia="es-ES"/>
              </w:rPr>
            </w:pPr>
            <w:r w:rsidRPr="00BF0A93">
              <w:rPr>
                <w:b/>
                <w:bCs/>
                <w:color w:val="000000"/>
                <w:sz w:val="18"/>
                <w:szCs w:val="18"/>
                <w:lang w:eastAsia="es-ES"/>
              </w:rPr>
              <w:t>%</w:t>
            </w:r>
          </w:p>
        </w:tc>
      </w:tr>
      <w:tr w:rsidR="00BF0A93" w:rsidRPr="00BF0A93" w14:paraId="3CD298DF" w14:textId="77777777" w:rsidTr="005F5E98">
        <w:trPr>
          <w:trHeight w:val="338"/>
          <w:jc w:val="center"/>
        </w:trPr>
        <w:tc>
          <w:tcPr>
            <w:tcW w:w="2263" w:type="dxa"/>
            <w:shd w:val="clear" w:color="auto" w:fill="auto"/>
            <w:vAlign w:val="center"/>
          </w:tcPr>
          <w:p w14:paraId="5518C81D" w14:textId="77777777" w:rsidR="00BF0A93" w:rsidRPr="00BF0A93" w:rsidRDefault="00BF0A93" w:rsidP="00BF0A93">
            <w:pPr>
              <w:tabs>
                <w:tab w:val="left" w:pos="335"/>
                <w:tab w:val="center" w:pos="4252"/>
                <w:tab w:val="right" w:pos="8504"/>
              </w:tabs>
              <w:spacing w:line="360" w:lineRule="auto"/>
              <w:contextualSpacing/>
              <w:jc w:val="both"/>
              <w:rPr>
                <w:i/>
                <w:iCs/>
                <w:sz w:val="18"/>
                <w:szCs w:val="18"/>
                <w:lang w:eastAsia="es-ES"/>
              </w:rPr>
            </w:pPr>
            <w:r w:rsidRPr="00BF0A93">
              <w:rPr>
                <w:i/>
                <w:iCs/>
                <w:sz w:val="18"/>
                <w:szCs w:val="18"/>
                <w:lang w:eastAsia="es-ES"/>
              </w:rPr>
              <w:t>Staphylococcus aureus</w:t>
            </w:r>
          </w:p>
        </w:tc>
        <w:tc>
          <w:tcPr>
            <w:tcW w:w="851" w:type="dxa"/>
            <w:shd w:val="clear" w:color="auto" w:fill="auto"/>
            <w:vAlign w:val="center"/>
          </w:tcPr>
          <w:p w14:paraId="32C1EFE1"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72</w:t>
            </w:r>
          </w:p>
        </w:tc>
        <w:tc>
          <w:tcPr>
            <w:tcW w:w="992" w:type="dxa"/>
            <w:shd w:val="clear" w:color="auto" w:fill="auto"/>
            <w:vAlign w:val="center"/>
          </w:tcPr>
          <w:p w14:paraId="551C616E"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86,75</w:t>
            </w:r>
          </w:p>
        </w:tc>
      </w:tr>
      <w:tr w:rsidR="00BF0A93" w:rsidRPr="00BF0A93" w14:paraId="125887C5" w14:textId="77777777" w:rsidTr="005F5E98">
        <w:trPr>
          <w:trHeight w:val="360"/>
          <w:jc w:val="center"/>
        </w:trPr>
        <w:tc>
          <w:tcPr>
            <w:tcW w:w="2263" w:type="dxa"/>
            <w:shd w:val="clear" w:color="auto" w:fill="auto"/>
            <w:vAlign w:val="center"/>
          </w:tcPr>
          <w:p w14:paraId="763F69AB" w14:textId="77777777" w:rsidR="00BF0A93" w:rsidRPr="00BF0A93" w:rsidRDefault="00BF0A93" w:rsidP="00BF0A93">
            <w:pPr>
              <w:spacing w:line="360" w:lineRule="auto"/>
              <w:contextualSpacing/>
              <w:jc w:val="both"/>
              <w:rPr>
                <w:bCs/>
                <w:i/>
                <w:iCs/>
                <w:color w:val="000000"/>
                <w:sz w:val="18"/>
                <w:szCs w:val="18"/>
                <w:lang w:eastAsia="es-ES"/>
              </w:rPr>
            </w:pPr>
            <w:r w:rsidRPr="00BF0A93">
              <w:rPr>
                <w:bCs/>
                <w:i/>
                <w:iCs/>
                <w:color w:val="000000"/>
                <w:sz w:val="18"/>
                <w:szCs w:val="18"/>
                <w:lang w:eastAsia="es-ES"/>
              </w:rPr>
              <w:t>Pseudomona aeruginosa</w:t>
            </w:r>
          </w:p>
        </w:tc>
        <w:tc>
          <w:tcPr>
            <w:tcW w:w="851" w:type="dxa"/>
            <w:shd w:val="clear" w:color="auto" w:fill="auto"/>
            <w:vAlign w:val="center"/>
          </w:tcPr>
          <w:p w14:paraId="79C5A9F9"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6</w:t>
            </w:r>
          </w:p>
        </w:tc>
        <w:tc>
          <w:tcPr>
            <w:tcW w:w="992" w:type="dxa"/>
            <w:shd w:val="clear" w:color="auto" w:fill="auto"/>
            <w:vAlign w:val="center"/>
          </w:tcPr>
          <w:p w14:paraId="2F16A22E"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7,23</w:t>
            </w:r>
          </w:p>
        </w:tc>
      </w:tr>
      <w:tr w:rsidR="00BF0A93" w:rsidRPr="00BF0A93" w14:paraId="036D2229" w14:textId="77777777" w:rsidTr="005F5E98">
        <w:trPr>
          <w:trHeight w:val="192"/>
          <w:jc w:val="center"/>
        </w:trPr>
        <w:tc>
          <w:tcPr>
            <w:tcW w:w="2263" w:type="dxa"/>
            <w:shd w:val="clear" w:color="auto" w:fill="auto"/>
            <w:vAlign w:val="center"/>
          </w:tcPr>
          <w:p w14:paraId="695D47DC"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 xml:space="preserve">Enterobacterias </w:t>
            </w:r>
          </w:p>
        </w:tc>
        <w:tc>
          <w:tcPr>
            <w:tcW w:w="851" w:type="dxa"/>
            <w:shd w:val="clear" w:color="auto" w:fill="auto"/>
            <w:vAlign w:val="center"/>
          </w:tcPr>
          <w:p w14:paraId="3A9AC513" w14:textId="77777777" w:rsidR="00BF0A93" w:rsidRPr="00BF0A93" w:rsidRDefault="00BF0A93" w:rsidP="00BF0A93">
            <w:pPr>
              <w:spacing w:line="360" w:lineRule="auto"/>
              <w:contextualSpacing/>
              <w:jc w:val="center"/>
              <w:rPr>
                <w:sz w:val="18"/>
                <w:szCs w:val="18"/>
                <w:lang w:eastAsia="es-ES"/>
              </w:rPr>
            </w:pPr>
            <w:r w:rsidRPr="00BF0A93">
              <w:rPr>
                <w:sz w:val="18"/>
                <w:szCs w:val="18"/>
                <w:lang w:eastAsia="es-ES"/>
              </w:rPr>
              <w:t>4</w:t>
            </w:r>
          </w:p>
        </w:tc>
        <w:tc>
          <w:tcPr>
            <w:tcW w:w="992" w:type="dxa"/>
            <w:shd w:val="clear" w:color="auto" w:fill="auto"/>
            <w:vAlign w:val="center"/>
          </w:tcPr>
          <w:p w14:paraId="5E8730EF"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4,82</w:t>
            </w:r>
          </w:p>
        </w:tc>
      </w:tr>
      <w:tr w:rsidR="00BF0A93" w:rsidRPr="00BF0A93" w14:paraId="03359A64" w14:textId="77777777" w:rsidTr="005F5E98">
        <w:trPr>
          <w:trHeight w:val="154"/>
          <w:jc w:val="center"/>
        </w:trPr>
        <w:tc>
          <w:tcPr>
            <w:tcW w:w="2263" w:type="dxa"/>
            <w:shd w:val="clear" w:color="auto" w:fill="auto"/>
            <w:vAlign w:val="center"/>
          </w:tcPr>
          <w:p w14:paraId="0CC43080"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Clostridium</w:t>
            </w:r>
          </w:p>
        </w:tc>
        <w:tc>
          <w:tcPr>
            <w:tcW w:w="851" w:type="dxa"/>
            <w:shd w:val="clear" w:color="auto" w:fill="auto"/>
            <w:vAlign w:val="center"/>
          </w:tcPr>
          <w:p w14:paraId="5D855B6A"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1</w:t>
            </w:r>
          </w:p>
        </w:tc>
        <w:tc>
          <w:tcPr>
            <w:tcW w:w="992" w:type="dxa"/>
            <w:shd w:val="clear" w:color="auto" w:fill="auto"/>
            <w:vAlign w:val="center"/>
          </w:tcPr>
          <w:p w14:paraId="6010E532"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1,21</w:t>
            </w:r>
          </w:p>
        </w:tc>
      </w:tr>
      <w:tr w:rsidR="00BF0A93" w:rsidRPr="00BF0A93" w14:paraId="06FE356C" w14:textId="77777777" w:rsidTr="005F5E98">
        <w:trPr>
          <w:trHeight w:val="116"/>
          <w:jc w:val="center"/>
        </w:trPr>
        <w:tc>
          <w:tcPr>
            <w:tcW w:w="2263" w:type="dxa"/>
            <w:shd w:val="clear" w:color="auto" w:fill="auto"/>
            <w:vAlign w:val="center"/>
          </w:tcPr>
          <w:p w14:paraId="3A709F08" w14:textId="77777777" w:rsidR="00BF0A93" w:rsidRPr="00BF0A93" w:rsidRDefault="00BF0A93" w:rsidP="00BF0A93">
            <w:pPr>
              <w:spacing w:line="360" w:lineRule="auto"/>
              <w:contextualSpacing/>
              <w:jc w:val="both"/>
              <w:rPr>
                <w:bCs/>
                <w:color w:val="000000"/>
                <w:sz w:val="18"/>
                <w:szCs w:val="18"/>
                <w:lang w:eastAsia="es-ES"/>
              </w:rPr>
            </w:pPr>
            <w:r w:rsidRPr="00BF0A93">
              <w:rPr>
                <w:bCs/>
                <w:color w:val="000000"/>
                <w:sz w:val="18"/>
                <w:szCs w:val="18"/>
                <w:lang w:eastAsia="es-ES"/>
              </w:rPr>
              <w:t xml:space="preserve">Total </w:t>
            </w:r>
          </w:p>
        </w:tc>
        <w:tc>
          <w:tcPr>
            <w:tcW w:w="851" w:type="dxa"/>
            <w:shd w:val="clear" w:color="auto" w:fill="auto"/>
            <w:vAlign w:val="center"/>
          </w:tcPr>
          <w:p w14:paraId="0D91D24C"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83</w:t>
            </w:r>
          </w:p>
        </w:tc>
        <w:tc>
          <w:tcPr>
            <w:tcW w:w="992" w:type="dxa"/>
            <w:shd w:val="clear" w:color="auto" w:fill="auto"/>
            <w:vAlign w:val="center"/>
          </w:tcPr>
          <w:p w14:paraId="2E3D76AA" w14:textId="77777777" w:rsidR="00BF0A93" w:rsidRPr="00BF0A93" w:rsidRDefault="00BF0A93" w:rsidP="00BF0A93">
            <w:pPr>
              <w:spacing w:line="360" w:lineRule="auto"/>
              <w:contextualSpacing/>
              <w:jc w:val="center"/>
              <w:rPr>
                <w:color w:val="000000"/>
                <w:sz w:val="18"/>
                <w:szCs w:val="18"/>
                <w:lang w:eastAsia="es-ES"/>
              </w:rPr>
            </w:pPr>
            <w:r w:rsidRPr="00BF0A93">
              <w:rPr>
                <w:color w:val="000000"/>
                <w:sz w:val="18"/>
                <w:szCs w:val="18"/>
                <w:lang w:eastAsia="es-ES"/>
              </w:rPr>
              <w:t>100</w:t>
            </w:r>
          </w:p>
        </w:tc>
      </w:tr>
    </w:tbl>
    <w:p w14:paraId="615425A8" w14:textId="77777777" w:rsidR="00BF0A93" w:rsidRPr="00BF0A93" w:rsidRDefault="00BF0A93" w:rsidP="00BF0A93">
      <w:pPr>
        <w:spacing w:line="360" w:lineRule="auto"/>
        <w:contextualSpacing/>
        <w:jc w:val="both"/>
        <w:rPr>
          <w:strike/>
          <w:color w:val="FF0000"/>
          <w:lang w:eastAsia="es-ES"/>
        </w:rPr>
      </w:pPr>
    </w:p>
    <w:p w14:paraId="74358B6C" w14:textId="77777777" w:rsidR="00BF0A93" w:rsidRPr="00BF0A93" w:rsidRDefault="00BF0A93" w:rsidP="00BF0A93">
      <w:pPr>
        <w:spacing w:line="360" w:lineRule="auto"/>
        <w:contextualSpacing/>
        <w:jc w:val="both"/>
        <w:outlineLvl w:val="0"/>
        <w:rPr>
          <w:color w:val="000000"/>
          <w:lang w:eastAsia="es-ES"/>
        </w:rPr>
      </w:pPr>
    </w:p>
    <w:p w14:paraId="4532B5EE" w14:textId="77777777" w:rsidR="00BF0A93" w:rsidRPr="00BF0A93" w:rsidRDefault="00BF0A93" w:rsidP="00BF0A93">
      <w:pPr>
        <w:spacing w:line="360" w:lineRule="auto"/>
        <w:contextualSpacing/>
        <w:jc w:val="center"/>
        <w:outlineLvl w:val="0"/>
        <w:rPr>
          <w:b/>
          <w:sz w:val="32"/>
          <w:szCs w:val="32"/>
          <w:lang w:eastAsia="es-ES"/>
        </w:rPr>
      </w:pPr>
      <w:r w:rsidRPr="00BF0A93">
        <w:rPr>
          <w:b/>
          <w:sz w:val="32"/>
          <w:szCs w:val="32"/>
          <w:lang w:eastAsia="es-ES"/>
        </w:rPr>
        <w:t>DISCUSIÓN</w:t>
      </w:r>
    </w:p>
    <w:p w14:paraId="457A4380" w14:textId="77777777" w:rsidR="00BF0A93" w:rsidRPr="00BF0A93" w:rsidRDefault="00BF0A93" w:rsidP="00BF0A93">
      <w:pPr>
        <w:spacing w:line="360" w:lineRule="auto"/>
        <w:contextualSpacing/>
        <w:jc w:val="both"/>
        <w:rPr>
          <w:vertAlign w:val="superscript"/>
          <w:lang w:eastAsia="es-MX"/>
        </w:rPr>
      </w:pPr>
      <w:r w:rsidRPr="00BF0A93">
        <w:rPr>
          <w:lang w:eastAsia="es-MX"/>
        </w:rPr>
        <w:t xml:space="preserve">Desde que la hemodiálisis se comenzó a utilizar en la práctica clínica, como tratamiento básico y rutinario de la IRC terminal, el acceso vascular es el “talón de Aquiles” de las técnicas de depuración extracorpórea. Un buen acceso vascular es necesario para conseguir parámetros de hemodiálisis </w:t>
      </w:r>
      <w:r w:rsidRPr="00BF0A93">
        <w:rPr>
          <w:lang w:eastAsia="es-MX"/>
        </w:rPr>
        <w:lastRenderedPageBreak/>
        <w:t>adecuados, tanto a mediano como a largo plazo. Por su elevado riesgo de disfunción e infección, los catéteres deben ser utilizados como un recurso temporal, hasta la realización de una fístula arteriovenosa, aunque lo ideal es realizarla previo al inicio de la hemodiálisis,</w:t>
      </w:r>
      <w:r w:rsidRPr="00BF0A93">
        <w:rPr>
          <w:vertAlign w:val="superscript"/>
          <w:lang w:eastAsia="es-MX"/>
        </w:rPr>
        <w:t xml:space="preserve">(12) </w:t>
      </w:r>
      <w:r w:rsidRPr="00BF0A93">
        <w:rPr>
          <w:lang w:eastAsia="es-MX"/>
        </w:rPr>
        <w:t xml:space="preserve">para </w:t>
      </w:r>
      <w:r w:rsidRPr="00BF0A93">
        <w:rPr>
          <w:i/>
          <w:lang w:eastAsia="es-MX"/>
        </w:rPr>
        <w:t xml:space="preserve">Pola Brenner </w:t>
      </w:r>
      <w:r w:rsidRPr="00BF0A93">
        <w:rPr>
          <w:iCs/>
          <w:lang w:eastAsia="es-MX"/>
        </w:rPr>
        <w:t>y otros</w:t>
      </w:r>
      <w:r w:rsidRPr="00BF0A93">
        <w:rPr>
          <w:vertAlign w:val="superscript"/>
          <w:lang w:eastAsia="es-MX"/>
        </w:rPr>
        <w:t>(13)</w:t>
      </w:r>
      <w:r w:rsidRPr="00BF0A93">
        <w:rPr>
          <w:lang w:eastAsia="es-MX"/>
        </w:rPr>
        <w:t xml:space="preserve"> la incidencia de infecciones asociadas al cateterismo vascular varía en dependencia de factores del huésped, del catéter y la intensidad de la manipulación. </w:t>
      </w:r>
    </w:p>
    <w:p w14:paraId="7E7C6FBF" w14:textId="77777777" w:rsidR="00BF0A93" w:rsidRPr="00BF0A93" w:rsidRDefault="00BF0A93" w:rsidP="00BF0A93">
      <w:pPr>
        <w:spacing w:line="360" w:lineRule="auto"/>
        <w:contextualSpacing/>
        <w:jc w:val="both"/>
        <w:rPr>
          <w:bCs/>
          <w:lang w:eastAsia="es-ES"/>
        </w:rPr>
      </w:pPr>
      <w:r w:rsidRPr="00BF0A93">
        <w:rPr>
          <w:lang w:eastAsia="es-ES"/>
        </w:rPr>
        <w:t>La malnutrición es otro factor de riesgo de mortalidad en los pacientes con insuficiencia renal crónica terminal. La inflamación crónica puede ser el mayor determinante en la mortalidad. El síndrome de malnutrición, inflamación y aterosclerosis, es responsable de la alta mortalidad que presentan los pacientes con IRC terminal.</w:t>
      </w:r>
      <w:r w:rsidRPr="00BF0A93">
        <w:rPr>
          <w:vertAlign w:val="superscript"/>
          <w:lang w:eastAsia="es-MX"/>
        </w:rPr>
        <w:t xml:space="preserve">(14,15) </w:t>
      </w:r>
      <w:r w:rsidRPr="00BF0A93">
        <w:rPr>
          <w:bCs/>
          <w:lang w:eastAsia="es-ES"/>
        </w:rPr>
        <w:t>La mayoría de los investigadores</w:t>
      </w:r>
      <w:r w:rsidRPr="00BF0A93">
        <w:rPr>
          <w:bCs/>
          <w:vertAlign w:val="superscript"/>
          <w:lang w:eastAsia="es-ES"/>
        </w:rPr>
        <w:t xml:space="preserve">(16,17) </w:t>
      </w:r>
      <w:r w:rsidRPr="00BF0A93">
        <w:rPr>
          <w:bCs/>
          <w:lang w:eastAsia="es-ES"/>
        </w:rPr>
        <w:t>consideran que en los pacientes en hemodiálisis, la</w:t>
      </w:r>
      <w:r w:rsidRPr="00BF0A93">
        <w:rPr>
          <w:lang w:eastAsia="es-ES"/>
        </w:rPr>
        <w:t xml:space="preserve"> BRC causa una elevada morbilidad y mortalidad,</w:t>
      </w:r>
      <w:r w:rsidRPr="00BF0A93">
        <w:rPr>
          <w:bCs/>
          <w:lang w:eastAsia="es-ES"/>
        </w:rPr>
        <w:t xml:space="preserve"> mayor riesgo de bacteriemia, sepsis y muerte en comparación con otros accesos vasculares. </w:t>
      </w:r>
    </w:p>
    <w:p w14:paraId="06D7E1F5" w14:textId="77777777" w:rsidR="00BF0A93" w:rsidRPr="00BF0A93" w:rsidRDefault="00BF0A93" w:rsidP="00BF0A93">
      <w:pPr>
        <w:spacing w:line="360" w:lineRule="auto"/>
        <w:contextualSpacing/>
        <w:jc w:val="both"/>
        <w:rPr>
          <w:b/>
          <w:color w:val="0070C0"/>
          <w:vertAlign w:val="superscript"/>
          <w:lang w:eastAsia="es-ES"/>
        </w:rPr>
      </w:pPr>
      <w:r w:rsidRPr="00BF0A93">
        <w:rPr>
          <w:lang w:eastAsia="es-ES"/>
        </w:rPr>
        <w:t>Diferentes organizaciones internacionales</w:t>
      </w:r>
      <w:r w:rsidRPr="00BF0A93">
        <w:rPr>
          <w:vertAlign w:val="superscript"/>
          <w:lang w:eastAsia="es-ES"/>
        </w:rPr>
        <w:t>(18,19)</w:t>
      </w:r>
      <w:r w:rsidRPr="00BF0A93">
        <w:rPr>
          <w:lang w:eastAsia="es-ES"/>
        </w:rPr>
        <w:t xml:space="preserve"> han creado guías y recomendaciones para la prevención y control de las infecciones, para su implementación en hemodiálisis, entre estas se encuentran: </w:t>
      </w:r>
      <w:r w:rsidRPr="00BF0A93">
        <w:rPr>
          <w:i/>
          <w:iCs/>
          <w:lang w:eastAsia="es-ES"/>
        </w:rPr>
        <w:t>Center for Disease Control and Prevention</w:t>
      </w:r>
      <w:r w:rsidRPr="00BF0A93">
        <w:rPr>
          <w:lang w:eastAsia="es-ES"/>
        </w:rPr>
        <w:t xml:space="preserve"> (CDC) de los EE.UU., la </w:t>
      </w:r>
      <w:r w:rsidRPr="00BF0A93">
        <w:rPr>
          <w:i/>
          <w:iCs/>
          <w:lang w:eastAsia="es-ES"/>
        </w:rPr>
        <w:t>Association for Professionals in Infection Control and Epidemiology</w:t>
      </w:r>
      <w:r w:rsidRPr="00BF0A93">
        <w:rPr>
          <w:lang w:eastAsia="es-ES"/>
        </w:rPr>
        <w:t xml:space="preserve"> (APIC), la </w:t>
      </w:r>
      <w:r w:rsidRPr="00BF0A93">
        <w:rPr>
          <w:i/>
          <w:iCs/>
          <w:lang w:eastAsia="es-ES"/>
        </w:rPr>
        <w:t>Kidney Disease Outcomes Quality Initiative</w:t>
      </w:r>
      <w:r w:rsidRPr="00BF0A93">
        <w:rPr>
          <w:lang w:eastAsia="es-ES"/>
        </w:rPr>
        <w:t xml:space="preserve"> (K/DOQI), la </w:t>
      </w:r>
      <w:r w:rsidRPr="00BF0A93">
        <w:rPr>
          <w:i/>
          <w:iCs/>
          <w:lang w:eastAsia="es-ES"/>
        </w:rPr>
        <w:t>European Best Practice Guidelines/ European Renal Best Practice</w:t>
      </w:r>
      <w:r w:rsidRPr="00BF0A93">
        <w:rPr>
          <w:lang w:eastAsia="es-ES"/>
        </w:rPr>
        <w:t xml:space="preserve"> (EBPG/ERBP) y la </w:t>
      </w:r>
      <w:r w:rsidRPr="00BF0A93">
        <w:rPr>
          <w:i/>
          <w:iCs/>
          <w:lang w:eastAsia="es-ES"/>
        </w:rPr>
        <w:t>Kidney Disease: Improving Global Outcomes</w:t>
      </w:r>
      <w:r w:rsidRPr="00BF0A93">
        <w:rPr>
          <w:lang w:eastAsia="es-ES"/>
        </w:rPr>
        <w:t xml:space="preserve"> (KDIGO).</w:t>
      </w:r>
    </w:p>
    <w:p w14:paraId="23043951" w14:textId="77777777" w:rsidR="00BF0A93" w:rsidRPr="00BF0A93" w:rsidRDefault="00BF0A93" w:rsidP="00BF0A93">
      <w:pPr>
        <w:spacing w:line="360" w:lineRule="auto"/>
        <w:contextualSpacing/>
        <w:jc w:val="both"/>
        <w:rPr>
          <w:lang w:eastAsia="es-ES"/>
        </w:rPr>
      </w:pPr>
      <w:r w:rsidRPr="00BF0A93">
        <w:rPr>
          <w:i/>
          <w:lang w:eastAsia="es-ES"/>
        </w:rPr>
        <w:t xml:space="preserve">Fiterrelacis </w:t>
      </w:r>
      <w:r w:rsidRPr="00BF0A93">
        <w:rPr>
          <w:iCs/>
          <w:lang w:eastAsia="es-ES"/>
        </w:rPr>
        <w:t>y otros</w:t>
      </w:r>
      <w:r w:rsidRPr="00BF0A93">
        <w:rPr>
          <w:iCs/>
          <w:vertAlign w:val="superscript"/>
          <w:lang w:eastAsia="es-ES"/>
        </w:rPr>
        <w:t>(20)</w:t>
      </w:r>
      <w:r w:rsidRPr="00BF0A93">
        <w:rPr>
          <w:lang w:eastAsia="es-ES"/>
        </w:rPr>
        <w:t xml:space="preserve"> en su artículo, plantean que existe relación entre el tipo de infección, con el tipo de acceso vascular, e influye de forma directa en el riesgo de presentar episodios infecciosos. Representa el factor de riesgo más importante en el desarrollo de bacteriemias e infecciones.</w:t>
      </w:r>
    </w:p>
    <w:p w14:paraId="74178C93" w14:textId="77777777" w:rsidR="00BF0A93" w:rsidRPr="00BF0A93" w:rsidRDefault="00BF0A93" w:rsidP="00BF0A93">
      <w:pPr>
        <w:spacing w:line="360" w:lineRule="auto"/>
        <w:contextualSpacing/>
        <w:jc w:val="both"/>
        <w:rPr>
          <w:lang w:eastAsia="es-MX"/>
        </w:rPr>
      </w:pPr>
      <w:r w:rsidRPr="00BF0A93">
        <w:rPr>
          <w:lang w:eastAsia="es-MX"/>
        </w:rPr>
        <w:t xml:space="preserve">Los catéteres venosos centrales constituyen un acceso vascular eficaz para hemodiálisis; son utilizados con relativa frecuencia, a pesar de las recomendaciones de KDOQI y de las guías de la Sociedad Española de Nefrología (SEN), que limitan su uso a situaciones clínicas muy concretas, que imposibiliten la utilización de otro tipo de acceso venoso. </w:t>
      </w:r>
      <w:r w:rsidRPr="00BF0A93">
        <w:rPr>
          <w:lang w:eastAsia="es-ES"/>
        </w:rPr>
        <w:t>Sin embargo, estos catéteres no están exentos de complicaciones y su duración es limitada. Se señalan como principales complicaciones: infección, déficit de flujo sanguíneo, coagulación y trombosis.</w:t>
      </w:r>
      <w:r w:rsidRPr="00BF0A93">
        <w:rPr>
          <w:vertAlign w:val="superscript"/>
          <w:lang w:eastAsia="es-MX"/>
        </w:rPr>
        <w:t>(21,22,23)</w:t>
      </w:r>
    </w:p>
    <w:p w14:paraId="4678CD6D" w14:textId="77777777" w:rsidR="00BF0A93" w:rsidRPr="00BF0A93" w:rsidRDefault="00BF0A93" w:rsidP="00BF0A93">
      <w:pPr>
        <w:spacing w:line="360" w:lineRule="auto"/>
        <w:contextualSpacing/>
        <w:jc w:val="both"/>
        <w:rPr>
          <w:lang w:eastAsia="es-MX"/>
        </w:rPr>
      </w:pPr>
      <w:r w:rsidRPr="00BF0A93">
        <w:rPr>
          <w:lang w:eastAsia="es-MX"/>
        </w:rPr>
        <w:t>La utilización de los catéteres venosos centrales se ha incrementado en la última década, debido al cambio del perfil de los pacientes en hemodiálisis (aumento de la edad y comorbilidad asociada) y a la inclusión en programa de hemodiálisis, de pacientes sin acceso vascular previo.</w:t>
      </w:r>
    </w:p>
    <w:p w14:paraId="236DA956" w14:textId="77777777" w:rsidR="00BF0A93" w:rsidRPr="00BF0A93" w:rsidRDefault="00BF0A93" w:rsidP="00BF0A93">
      <w:pPr>
        <w:spacing w:line="360" w:lineRule="auto"/>
        <w:contextualSpacing/>
        <w:jc w:val="both"/>
        <w:rPr>
          <w:lang w:eastAsia="es-MX"/>
        </w:rPr>
      </w:pPr>
      <w:r w:rsidRPr="00BF0A93">
        <w:rPr>
          <w:lang w:eastAsia="es-ES"/>
        </w:rPr>
        <w:lastRenderedPageBreak/>
        <w:t xml:space="preserve">De 83 pacientes diagnosticados con infección bacteriana asociada al uso de catéter para hemodiálisis, la mayoría se presentó como bacteriemia; los demás como infección del sitio de inserción del catéter. </w:t>
      </w:r>
      <w:r w:rsidRPr="00BF0A93">
        <w:rPr>
          <w:i/>
          <w:iCs/>
          <w:lang w:eastAsia="es-ES"/>
        </w:rPr>
        <w:t>Gómez Javier</w:t>
      </w:r>
      <w:r w:rsidRPr="00BF0A93">
        <w:rPr>
          <w:i/>
          <w:lang w:eastAsia="es-ES"/>
        </w:rPr>
        <w:t xml:space="preserve"> </w:t>
      </w:r>
      <w:r w:rsidRPr="00BF0A93">
        <w:rPr>
          <w:iCs/>
          <w:lang w:eastAsia="es-ES"/>
        </w:rPr>
        <w:t>y otros</w:t>
      </w:r>
      <w:r w:rsidRPr="00BF0A93">
        <w:rPr>
          <w:vertAlign w:val="superscript"/>
          <w:lang w:eastAsia="es-ES"/>
        </w:rPr>
        <w:t>(4)</w:t>
      </w:r>
      <w:r w:rsidRPr="00BF0A93">
        <w:rPr>
          <w:lang w:eastAsia="es-MX"/>
        </w:rPr>
        <w:t xml:space="preserve"> estiman un aumento de 32 veces el riesgo de infección en catéteres no tunelizados temporales, si se comparan con fistulas arteriovenosas, y de 19 veces en el riesgo al usar catéteres tunelizados. La tasa de bacteriemia relacionada con catéter, en catéteres venosos centrales no tunelizados, oscila entre 3,8 y 6,6 episodios/ 1000 días de uso y entre 1,6 y 5,5 episodios/ 1000 días de uso en tunelizados. El empleo de un catéter venoso central tunelizado, implica un aumento en el riesgo de bacteriemia de 7 y 20 veces, con respecto al de las fístulas arteriovenosas.</w:t>
      </w:r>
    </w:p>
    <w:p w14:paraId="410620CF" w14:textId="77777777" w:rsidR="00BF0A93" w:rsidRPr="00BF0A93" w:rsidRDefault="00BF0A93" w:rsidP="00BF0A93">
      <w:pPr>
        <w:spacing w:line="360" w:lineRule="auto"/>
        <w:contextualSpacing/>
        <w:jc w:val="both"/>
        <w:rPr>
          <w:lang w:eastAsia="es-ES"/>
        </w:rPr>
      </w:pPr>
      <w:r w:rsidRPr="00BF0A93">
        <w:rPr>
          <w:lang w:eastAsia="es-ES"/>
        </w:rPr>
        <w:t>Hay similares resultados en otros estudios</w:t>
      </w:r>
      <w:r w:rsidRPr="00BF0A93">
        <w:rPr>
          <w:vertAlign w:val="superscript"/>
          <w:lang w:eastAsia="es-ES"/>
        </w:rPr>
        <w:t xml:space="preserve">(24,25) </w:t>
      </w:r>
      <w:r w:rsidRPr="00BF0A93">
        <w:rPr>
          <w:iCs/>
          <w:lang w:eastAsia="es-ES"/>
        </w:rPr>
        <w:t xml:space="preserve">en </w:t>
      </w:r>
      <w:r w:rsidRPr="00BF0A93">
        <w:rPr>
          <w:lang w:eastAsia="es-ES"/>
        </w:rPr>
        <w:t>los cuales se encontró que el 10,2 %, 9,27 % y el 8,1 % de los pacientes, tenían como forma de presentación, la infección del sitio de inserción del catéter.</w:t>
      </w:r>
    </w:p>
    <w:p w14:paraId="23257380" w14:textId="77777777" w:rsidR="00BF0A93" w:rsidRPr="00BF0A93" w:rsidRDefault="00BF0A93" w:rsidP="00BF0A93">
      <w:pPr>
        <w:spacing w:line="360" w:lineRule="auto"/>
        <w:contextualSpacing/>
        <w:jc w:val="both"/>
        <w:rPr>
          <w:lang w:eastAsia="es-ES"/>
        </w:rPr>
      </w:pPr>
      <w:r w:rsidRPr="00BF0A93">
        <w:rPr>
          <w:lang w:eastAsia="es-ES"/>
        </w:rPr>
        <w:t>La media de edad de los pacientes fue de 65,83 años. Estos resultados evidencian un cambio en la población enferma y es, además, una consecuencia directa del envejecimiento poblacional. La media de edad es superior a los 60 años, pero con la moda y la mediana en 70 años, entonces el impacto de esta enfermedad en la tercera edad es importante. La geriatrización de los servicios es un hecho necesario. Estos datos coinciden con otros estudios</w:t>
      </w:r>
      <w:r w:rsidRPr="00BF0A93">
        <w:rPr>
          <w:vertAlign w:val="superscript"/>
          <w:lang w:eastAsia="es-ES"/>
        </w:rPr>
        <w:t>(25)</w:t>
      </w:r>
      <w:r w:rsidRPr="00BF0A93">
        <w:rPr>
          <w:lang w:eastAsia="es-ES"/>
        </w:rPr>
        <w:t xml:space="preserve"> en los que la población adulta mayor y el sexo masculino es el más afectado. </w:t>
      </w:r>
    </w:p>
    <w:p w14:paraId="6ECCC838" w14:textId="77777777" w:rsidR="00BF0A93" w:rsidRPr="00BF0A93" w:rsidRDefault="00BF0A93" w:rsidP="00BF0A93">
      <w:pPr>
        <w:spacing w:line="360" w:lineRule="auto"/>
        <w:contextualSpacing/>
        <w:jc w:val="both"/>
        <w:rPr>
          <w:vertAlign w:val="superscript"/>
          <w:lang w:eastAsia="es-ES"/>
        </w:rPr>
      </w:pPr>
      <w:r w:rsidRPr="00BF0A93">
        <w:rPr>
          <w:lang w:eastAsia="es-ES"/>
        </w:rPr>
        <w:t>La diabetes mellitus y una de sus complicaciones, la nefropatía diabética, se mantiene como la principal causa de IRC terminal. Diferentes autores</w:t>
      </w:r>
      <w:r w:rsidRPr="00BF0A93">
        <w:rPr>
          <w:vertAlign w:val="superscript"/>
          <w:lang w:eastAsia="es-ES"/>
        </w:rPr>
        <w:t xml:space="preserve">(25,26) </w:t>
      </w:r>
      <w:r w:rsidRPr="00BF0A93">
        <w:rPr>
          <w:lang w:eastAsia="es-ES"/>
        </w:rPr>
        <w:t>concuerdan en que las causas más comunes de insuficiencia renal crónica son, la nefropatía diabética, la hipertensión arterial y la glomerulonefritis.</w:t>
      </w:r>
    </w:p>
    <w:p w14:paraId="4129FA90" w14:textId="77777777" w:rsidR="00BF0A93" w:rsidRPr="00BF0A93" w:rsidRDefault="00BF0A93" w:rsidP="00BF0A93">
      <w:pPr>
        <w:spacing w:line="360" w:lineRule="auto"/>
        <w:contextualSpacing/>
        <w:jc w:val="both"/>
        <w:rPr>
          <w:color w:val="000000"/>
          <w:vertAlign w:val="superscript"/>
          <w:lang w:eastAsia="es-ES"/>
        </w:rPr>
      </w:pPr>
      <w:r w:rsidRPr="00BF0A93">
        <w:rPr>
          <w:lang w:eastAsia="es-ES"/>
        </w:rPr>
        <w:t>La mayoría de los afectados con bacteriemia o infección del sitio de entrada del catéter, necesitan remoción y cultivo de la punta, aunque no siempre es así, pues depende de los hallazgos clínicos. Constituye la principal causa de pérdida del acceso vascular. La bacteriemia relacionada con el catéter constituye, junto con la trombosis y la disfunción del catéter, una de las complicaciones tardías más relevantes, frecuentes y en uno de cada tres casos, es la causa de su remoción. Se estima que el catéter es el origen del 50 al 80 % de las bacteriemias en pacientes en hemodiálisis y que el riesgo de bacteriemia es de hasta el 48 % a los 6 meses de la inserción.</w:t>
      </w:r>
      <w:r w:rsidRPr="00BF0A93">
        <w:rPr>
          <w:vertAlign w:val="superscript"/>
          <w:lang w:eastAsia="es-ES"/>
        </w:rPr>
        <w:t>(11)</w:t>
      </w:r>
    </w:p>
    <w:p w14:paraId="027E47A6" w14:textId="77777777" w:rsidR="00BF0A93" w:rsidRPr="00BF0A93" w:rsidRDefault="00BF0A93" w:rsidP="00BF0A93">
      <w:pPr>
        <w:spacing w:line="360" w:lineRule="auto"/>
        <w:jc w:val="both"/>
        <w:rPr>
          <w:lang w:eastAsia="en-US"/>
        </w:rPr>
      </w:pPr>
      <w:r w:rsidRPr="00BF0A93">
        <w:rPr>
          <w:lang w:eastAsia="en-US"/>
        </w:rPr>
        <w:t xml:space="preserve">Según </w:t>
      </w:r>
      <w:r w:rsidRPr="00BF0A93">
        <w:rPr>
          <w:i/>
          <w:lang w:eastAsia="en-US"/>
        </w:rPr>
        <w:t xml:space="preserve">Aitziber Aguinaga </w:t>
      </w:r>
      <w:r w:rsidRPr="00BF0A93">
        <w:rPr>
          <w:iCs/>
          <w:lang w:eastAsia="en-US"/>
        </w:rPr>
        <w:t>y otros</w:t>
      </w:r>
      <w:r w:rsidRPr="00BF0A93">
        <w:rPr>
          <w:iCs/>
          <w:vertAlign w:val="superscript"/>
          <w:lang w:eastAsia="en-US"/>
        </w:rPr>
        <w:t>(7)</w:t>
      </w:r>
      <w:r w:rsidRPr="00BF0A93">
        <w:rPr>
          <w:lang w:eastAsia="en-US"/>
        </w:rPr>
        <w:t xml:space="preserve"> los microorganismos responsables de una de las dos terceras partes de las bacteriemias relacionadas con catéter, son grampositivos. </w:t>
      </w:r>
      <w:r w:rsidRPr="00BF0A93">
        <w:rPr>
          <w:i/>
          <w:lang w:eastAsia="en-US"/>
        </w:rPr>
        <w:t xml:space="preserve">Staphylococcus aureus </w:t>
      </w:r>
      <w:r w:rsidRPr="00BF0A93">
        <w:rPr>
          <w:lang w:eastAsia="en-US"/>
        </w:rPr>
        <w:t xml:space="preserve">y los </w:t>
      </w:r>
      <w:r w:rsidRPr="00BF0A93">
        <w:rPr>
          <w:iCs/>
          <w:lang w:eastAsia="en-US"/>
        </w:rPr>
        <w:t>estafilococos coagulasa negativos,</w:t>
      </w:r>
      <w:r w:rsidRPr="00BF0A93">
        <w:rPr>
          <w:lang w:eastAsia="en-US"/>
        </w:rPr>
        <w:t xml:space="preserve"> son los microorganismos aislados más frecuentes. Debido a la elevada </w:t>
      </w:r>
      <w:r w:rsidRPr="00BF0A93">
        <w:rPr>
          <w:lang w:eastAsia="en-US"/>
        </w:rPr>
        <w:lastRenderedPageBreak/>
        <w:t>tasa de portadores de </w:t>
      </w:r>
      <w:r w:rsidRPr="00BF0A93">
        <w:rPr>
          <w:i/>
          <w:lang w:eastAsia="en-US"/>
        </w:rPr>
        <w:t>S</w:t>
      </w:r>
      <w:r w:rsidRPr="00BF0A93">
        <w:rPr>
          <w:lang w:eastAsia="en-US"/>
        </w:rPr>
        <w:t>.</w:t>
      </w:r>
      <w:r w:rsidRPr="00BF0A93">
        <w:rPr>
          <w:i/>
          <w:lang w:eastAsia="en-US"/>
        </w:rPr>
        <w:t xml:space="preserve"> aureus </w:t>
      </w:r>
      <w:r w:rsidRPr="00BF0A93">
        <w:rPr>
          <w:lang w:eastAsia="en-US"/>
        </w:rPr>
        <w:t xml:space="preserve">en pacientes en hemodiálisis (30 – 60 % en algunos centros), se observa una mayor tasa de bacteriemias relacionadas con catéter por </w:t>
      </w:r>
      <w:r w:rsidRPr="00BF0A93">
        <w:rPr>
          <w:i/>
          <w:lang w:eastAsia="en-US"/>
        </w:rPr>
        <w:t>S. aureus</w:t>
      </w:r>
      <w:r w:rsidRPr="00BF0A93">
        <w:rPr>
          <w:iCs/>
          <w:lang w:eastAsia="en-US"/>
        </w:rPr>
        <w:t>,</w:t>
      </w:r>
      <w:r w:rsidRPr="00BF0A93">
        <w:rPr>
          <w:i/>
          <w:lang w:eastAsia="en-US"/>
        </w:rPr>
        <w:t xml:space="preserve"> </w:t>
      </w:r>
      <w:r w:rsidRPr="00BF0A93">
        <w:rPr>
          <w:lang w:eastAsia="en-US"/>
        </w:rPr>
        <w:t xml:space="preserve">que en otros grupos de pacientes portadores de otros tipos de accesos vasculares. Otros microorganismos aislados con menor frecuencia son: </w:t>
      </w:r>
      <w:r w:rsidRPr="00BF0A93">
        <w:rPr>
          <w:i/>
          <w:lang w:eastAsia="en-US"/>
        </w:rPr>
        <w:t>Streptococcus spp., Enterococcus spp. y Corynebacterium spp.</w:t>
      </w:r>
      <w:r w:rsidRPr="00BF0A93">
        <w:rPr>
          <w:lang w:eastAsia="en-US"/>
        </w:rPr>
        <w:t xml:space="preserve"> (constituyentes también de la microbiota epitelial). Los bacilos gramnegativos raramente ocasionan BRC en pacientes en hemodialisis. Autores </w:t>
      </w:r>
      <w:r w:rsidRPr="00BF0A93">
        <w:rPr>
          <w:lang w:val="es-CU" w:eastAsia="en-US"/>
        </w:rPr>
        <w:t xml:space="preserve">como </w:t>
      </w:r>
      <w:r w:rsidRPr="00BF0A93">
        <w:rPr>
          <w:i/>
          <w:lang w:eastAsia="es-MX"/>
        </w:rPr>
        <w:t>Vega de la Torre</w:t>
      </w:r>
      <w:r w:rsidRPr="00BF0A93">
        <w:rPr>
          <w:vertAlign w:val="superscript"/>
          <w:lang w:eastAsia="es-MX"/>
        </w:rPr>
        <w:t xml:space="preserve"> </w:t>
      </w:r>
      <w:r w:rsidRPr="00BF0A93">
        <w:rPr>
          <w:lang w:eastAsia="es-MX"/>
        </w:rPr>
        <w:t>y otros,</w:t>
      </w:r>
      <w:r w:rsidRPr="00BF0A93">
        <w:rPr>
          <w:vertAlign w:val="superscript"/>
          <w:lang w:eastAsia="es-MX"/>
        </w:rPr>
        <w:t>(12)</w:t>
      </w:r>
      <w:r w:rsidRPr="00BF0A93">
        <w:rPr>
          <w:lang w:eastAsia="es-MX"/>
        </w:rPr>
        <w:t xml:space="preserve"> </w:t>
      </w:r>
      <w:r w:rsidRPr="00BF0A93">
        <w:rPr>
          <w:lang w:eastAsia="en-US"/>
        </w:rPr>
        <w:t>han descrito episodios polimicrobianos,  o incluso episodios de bacteriemias relacionadas con catéter, causados por micobacterias u hongos.</w:t>
      </w:r>
      <w:r w:rsidRPr="00BF0A93">
        <w:rPr>
          <w:lang w:eastAsia="es-MX"/>
        </w:rPr>
        <w:t xml:space="preserve"> Al analizar los resultados según gérmenes aislados en los pacientes que desarrollaron una sepsis relacionada con el acceso vascular, existió un predominio de gérmenes grampositivos.</w:t>
      </w:r>
    </w:p>
    <w:p w14:paraId="418F5CE8" w14:textId="77777777" w:rsidR="00BF0A93" w:rsidRPr="00BF0A93" w:rsidRDefault="00BF0A93" w:rsidP="00BF0A93">
      <w:pPr>
        <w:spacing w:line="360" w:lineRule="auto"/>
        <w:jc w:val="both"/>
        <w:rPr>
          <w:lang w:eastAsia="es-ES"/>
        </w:rPr>
      </w:pPr>
      <w:r w:rsidRPr="00BF0A93">
        <w:rPr>
          <w:lang w:eastAsia="es-ES"/>
        </w:rPr>
        <w:t>El empleo de catéter venoso central para hemodiálisis es un factor de riesgo independiente para el desarrollo de infección en pacientes en hemodiálisis. La prevención es la herramienta fundamental en la disminución de la incidencia de bacteriemias asociadas al catéter de hemodiálisis. </w:t>
      </w:r>
    </w:p>
    <w:p w14:paraId="33EC1391" w14:textId="77777777" w:rsidR="00BF0A93" w:rsidRPr="00BF0A93" w:rsidRDefault="00BF0A93" w:rsidP="00BF0A93">
      <w:pPr>
        <w:spacing w:line="360" w:lineRule="auto"/>
        <w:jc w:val="both"/>
        <w:rPr>
          <w:lang w:eastAsia="es-ES"/>
        </w:rPr>
      </w:pPr>
      <w:r w:rsidRPr="00BF0A93">
        <w:rPr>
          <w:lang w:eastAsia="es-ES"/>
        </w:rPr>
        <w:t>La diabetes mellitus se mantiene como la principal entidad nosológica causante de IRC terminal, y en estos pacientes, con inmunosupresión y deterioro vascular, son más frecuentes las infecciones asociadas a catéteres transitorios.</w:t>
      </w:r>
    </w:p>
    <w:p w14:paraId="02B75FA5" w14:textId="77777777" w:rsidR="00BF0A93" w:rsidRPr="00BF0A93" w:rsidRDefault="00BF0A93" w:rsidP="00BF0A93">
      <w:pPr>
        <w:spacing w:line="360" w:lineRule="auto"/>
        <w:contextualSpacing/>
        <w:jc w:val="both"/>
        <w:rPr>
          <w:lang w:eastAsia="es-ES"/>
        </w:rPr>
      </w:pPr>
      <w:r w:rsidRPr="00BF0A93">
        <w:rPr>
          <w:lang w:eastAsia="es-ES"/>
        </w:rPr>
        <w:t xml:space="preserve">La mayoría de los pacientes presentó bacteriemia, predominó el sexo masculino y la insuficiencia renal secundaria a diabetes mellitus. La media de la edad fue por encima de los 65 años. Prevalecen como síntomas y signos más frecuentes, el temblor, escalofríos y decaimiento. La pérdida del acceso vascular fue la complicación más frecuente. En más del 85 % de los casos se aisló </w:t>
      </w:r>
      <w:r w:rsidRPr="00BF0A93">
        <w:rPr>
          <w:i/>
          <w:lang w:eastAsia="es-ES"/>
        </w:rPr>
        <w:t>Staphylococcus aureus</w:t>
      </w:r>
      <w:r w:rsidRPr="00BF0A93">
        <w:rPr>
          <w:iCs/>
          <w:lang w:eastAsia="es-ES"/>
        </w:rPr>
        <w:t>.</w:t>
      </w:r>
    </w:p>
    <w:p w14:paraId="4FDCF8BC" w14:textId="77777777" w:rsidR="00BF0A93" w:rsidRPr="00BF0A93" w:rsidRDefault="00BF0A93" w:rsidP="00BF0A93">
      <w:pPr>
        <w:tabs>
          <w:tab w:val="left" w:pos="0"/>
        </w:tabs>
        <w:spacing w:line="360" w:lineRule="auto"/>
        <w:contextualSpacing/>
        <w:jc w:val="both"/>
        <w:rPr>
          <w:lang w:eastAsia="es-ES"/>
        </w:rPr>
      </w:pPr>
    </w:p>
    <w:p w14:paraId="6B3F1C30" w14:textId="77777777" w:rsidR="00BF0A93" w:rsidRPr="00BF0A93" w:rsidRDefault="00BF0A93" w:rsidP="00BF0A93">
      <w:pPr>
        <w:suppressAutoHyphens/>
        <w:spacing w:line="360" w:lineRule="auto"/>
        <w:jc w:val="both"/>
        <w:rPr>
          <w:b/>
          <w:color w:val="FF0000"/>
          <w:lang w:eastAsia="ar-SA"/>
        </w:rPr>
      </w:pPr>
    </w:p>
    <w:p w14:paraId="6F2950C0" w14:textId="77777777" w:rsidR="00BF0A93" w:rsidRPr="00BF0A93" w:rsidRDefault="00BF0A93" w:rsidP="00BF0A93">
      <w:pPr>
        <w:suppressAutoHyphens/>
        <w:spacing w:line="360" w:lineRule="auto"/>
        <w:jc w:val="center"/>
        <w:rPr>
          <w:b/>
          <w:sz w:val="32"/>
          <w:szCs w:val="32"/>
          <w:lang w:eastAsia="ar-SA"/>
        </w:rPr>
      </w:pPr>
      <w:r w:rsidRPr="00BF0A93">
        <w:rPr>
          <w:b/>
          <w:sz w:val="32"/>
          <w:szCs w:val="32"/>
          <w:lang w:eastAsia="ar-SA"/>
        </w:rPr>
        <w:t>REFERENCIAS BIBLIOGRÁFICAS</w:t>
      </w:r>
    </w:p>
    <w:p w14:paraId="1F0BC492" w14:textId="77777777" w:rsidR="00BF0A93" w:rsidRPr="00BF0A93" w:rsidRDefault="00BF0A93" w:rsidP="00BF0A93">
      <w:pPr>
        <w:spacing w:line="360" w:lineRule="auto"/>
        <w:contextualSpacing/>
        <w:rPr>
          <w:lang w:eastAsia="es-ES"/>
        </w:rPr>
      </w:pPr>
      <w:r w:rsidRPr="00BF0A93">
        <w:rPr>
          <w:lang w:eastAsia="es-ES"/>
        </w:rPr>
        <w:t xml:space="preserve">1. Serra-Valdés M. Las enfermedades crónicas no transmisibles: una mirada actual ante el reto. Revista Finlay. 2016 [acceso: 06/02/2020]; 6(2): [aprox. 2 p.]. Disponible en: </w:t>
      </w:r>
      <w:hyperlink r:id="rId12" w:history="1">
        <w:r w:rsidRPr="00BF0A93">
          <w:rPr>
            <w:color w:val="0563C1"/>
            <w:u w:val="single"/>
            <w:lang w:eastAsia="es-ES"/>
          </w:rPr>
          <w:t>http://www.revfinlay.sld.cu/index.php/finlay/article/view/418</w:t>
        </w:r>
      </w:hyperlink>
    </w:p>
    <w:p w14:paraId="2180E165" w14:textId="77777777" w:rsidR="00BF0A93" w:rsidRPr="00BF0A93" w:rsidRDefault="00BF0A93" w:rsidP="00BF0A93">
      <w:pPr>
        <w:spacing w:line="360" w:lineRule="auto"/>
        <w:rPr>
          <w:lang w:eastAsia="es-ES"/>
        </w:rPr>
      </w:pPr>
      <w:r w:rsidRPr="00BF0A93">
        <w:rPr>
          <w:lang w:eastAsia="es-ES"/>
        </w:rPr>
        <w:t xml:space="preserve">2. Vento-Valdés I, Toraño-Peraza G, Del-Sol-González A, Piquero-Lazo E. Bacteriemia relacionada con catéter por Staphylococcus aureus resistente a meticilina en pacientes con enfermedad renal crónica avanzada. Rev. Cuban. Med. Trop. 2019 [acceso: 06/02/2020]; 71(2): [aprox. 14 pant.]. Disponible en: </w:t>
      </w:r>
      <w:hyperlink r:id="rId13" w:history="1">
        <w:r w:rsidRPr="00BF0A93">
          <w:rPr>
            <w:color w:val="0563C1"/>
            <w:u w:val="single"/>
            <w:lang w:eastAsia="es-ES"/>
          </w:rPr>
          <w:t>http://www.revmedtropical.sld.cu/index.php/medtropical/article/view/427/258</w:t>
        </w:r>
      </w:hyperlink>
    </w:p>
    <w:p w14:paraId="685396B0" w14:textId="77777777" w:rsidR="00BF0A93" w:rsidRPr="00BF0A93" w:rsidRDefault="00BF0A93" w:rsidP="00BF0A93">
      <w:pPr>
        <w:spacing w:line="360" w:lineRule="auto"/>
        <w:rPr>
          <w:lang w:eastAsia="es-ES"/>
        </w:rPr>
      </w:pPr>
      <w:r w:rsidRPr="00BF0A93">
        <w:rPr>
          <w:lang w:eastAsia="es-ES"/>
        </w:rPr>
        <w:lastRenderedPageBreak/>
        <w:t xml:space="preserve">3. Gorostidi M, Santamaría R, Alcázar R, Fernández-Fresnedo G, Galcerán JM, Goicoechea M, et al. Documento de la Sociedad Española de Nefrología sobre las guías KDIGO para la evaluación y el tratamiento de la enfermedad renal crónica. Nefrología (Madr.). 2014 [acceso: 22/02/2021]; 34(3): 302-16. Disponible en: </w:t>
      </w:r>
      <w:hyperlink r:id="rId14" w:history="1">
        <w:r w:rsidRPr="00BF0A93">
          <w:rPr>
            <w:color w:val="0563C1"/>
            <w:u w:val="single"/>
            <w:lang w:eastAsia="es-ES"/>
          </w:rPr>
          <w:t>http://scielo.isciii.es/scielo.php?script=sci_arttext&amp;pid=S0211-69952014000300005</w:t>
        </w:r>
      </w:hyperlink>
    </w:p>
    <w:p w14:paraId="69C8C436" w14:textId="77777777" w:rsidR="00BF0A93" w:rsidRPr="00BF0A93" w:rsidRDefault="00BF0A93" w:rsidP="00BF0A93">
      <w:pPr>
        <w:spacing w:line="360" w:lineRule="auto"/>
        <w:rPr>
          <w:lang w:eastAsia="es-ES"/>
        </w:rPr>
      </w:pPr>
      <w:r w:rsidRPr="00BF0A93">
        <w:rPr>
          <w:lang w:eastAsia="es-ES"/>
        </w:rPr>
        <w:t xml:space="preserve">4. Gómez J, Pimienta L, Pino R, Hurtado M, Villaveces M. Prevalencia de infección asociada a catéter de hemodiálisis en el Hospital Universitario Clínica San Rafael. Rev. Colomb. Nefrol. 2018 [acceso: 04/02/2020]; 5(1): 17–25.  Disponible en: </w:t>
      </w:r>
      <w:hyperlink r:id="rId15" w:history="1">
        <w:r w:rsidRPr="00BF0A93">
          <w:rPr>
            <w:color w:val="0563C1"/>
            <w:u w:val="single"/>
            <w:lang w:eastAsia="es-ES"/>
          </w:rPr>
          <w:t>https://revistanefrologia.org/index.php/rcn/article/download/283/pdf/</w:t>
        </w:r>
      </w:hyperlink>
    </w:p>
    <w:p w14:paraId="561C497F" w14:textId="77777777" w:rsidR="00BF0A93" w:rsidRPr="00BF0A93" w:rsidRDefault="00BF0A93" w:rsidP="00BF0A93">
      <w:pPr>
        <w:spacing w:line="360" w:lineRule="auto"/>
        <w:rPr>
          <w:lang w:eastAsia="es-ES"/>
        </w:rPr>
      </w:pPr>
      <w:r w:rsidRPr="00BF0A93">
        <w:rPr>
          <w:lang w:eastAsia="es-ES"/>
        </w:rPr>
        <w:t xml:space="preserve">5. Andreu Pérez D, Hidalgo Blanco MA, Moreno Arroyo C. Eventos infecciosos en pacientes en hemodiálisis. Enferm Nefrol. 2015 [acceso: 04/02/2020]; 18(1): 54-6.  Disponible en: </w:t>
      </w:r>
      <w:hyperlink r:id="rId16" w:history="1">
        <w:r w:rsidRPr="00BF0A93">
          <w:rPr>
            <w:color w:val="0563C1"/>
            <w:u w:val="single"/>
            <w:lang w:eastAsia="es-ES"/>
          </w:rPr>
          <w:t>http://scielo.isciii.es/pdf/enefro/v18n1/08_bibliografia.pdf</w:t>
        </w:r>
      </w:hyperlink>
    </w:p>
    <w:p w14:paraId="163C6CF9" w14:textId="77777777" w:rsidR="00BF0A93" w:rsidRPr="00BF0A93" w:rsidRDefault="00BF0A93" w:rsidP="00BF0A93">
      <w:pPr>
        <w:spacing w:line="360" w:lineRule="auto"/>
        <w:rPr>
          <w:lang w:eastAsia="es-ES"/>
        </w:rPr>
      </w:pPr>
      <w:r w:rsidRPr="00BF0A93">
        <w:rPr>
          <w:lang w:val="en-US" w:eastAsia="es-ES"/>
        </w:rPr>
        <w:t xml:space="preserve">6. Gork I, Gross I, Cohen  MJ, Schwartz C, Moses AE, Elhalel MD, et al. Access-related infections in two haemodialysis units: results of a nine-year intervention and surveillance program. </w:t>
      </w:r>
      <w:r w:rsidRPr="00BF0A93">
        <w:rPr>
          <w:lang w:eastAsia="es-ES"/>
        </w:rPr>
        <w:t xml:space="preserve">Antimicrob Resist Infect Control. 2019 [acceso: 04/02 2020]; 8: 105. Disponible en:  </w:t>
      </w:r>
      <w:hyperlink r:id="rId17" w:history="1">
        <w:r w:rsidRPr="00BF0A93">
          <w:rPr>
            <w:color w:val="0563C1"/>
            <w:u w:val="single"/>
            <w:lang w:eastAsia="es-ES"/>
          </w:rPr>
          <w:t>https://doi.org/10.1186/s13756-019-0557-8</w:t>
        </w:r>
      </w:hyperlink>
    </w:p>
    <w:p w14:paraId="272D4C26" w14:textId="77777777" w:rsidR="00BF0A93" w:rsidRPr="00BF0A93" w:rsidRDefault="00BF0A93" w:rsidP="00BF0A93">
      <w:pPr>
        <w:spacing w:line="360" w:lineRule="auto"/>
        <w:rPr>
          <w:lang w:eastAsia="es-ES"/>
        </w:rPr>
      </w:pPr>
      <w:r w:rsidRPr="00BF0A93">
        <w:rPr>
          <w:lang w:eastAsia="es-ES"/>
        </w:rPr>
        <w:t xml:space="preserve">7. Aguinaga A, del Pozo JL. Infección asociada a catéter en hemodiálisis: diagnóstico, tratamiento y prevención. NefroPlus.  2018 [acceso: 04/02/2020]; 4(2):1-10.  Disponible en: </w:t>
      </w:r>
      <w:hyperlink r:id="rId18" w:history="1">
        <w:r w:rsidRPr="00BF0A93">
          <w:rPr>
            <w:color w:val="0563C1"/>
            <w:u w:val="single"/>
            <w:lang w:eastAsia="es-ES"/>
          </w:rPr>
          <w:t>http://doi:10.3265/NefroPlus.pre2011.Jun.11016</w:t>
        </w:r>
      </w:hyperlink>
    </w:p>
    <w:p w14:paraId="0FCF106B" w14:textId="77777777" w:rsidR="00BF0A93" w:rsidRPr="00BF0A93" w:rsidRDefault="00BF0A93" w:rsidP="00BF0A93">
      <w:pPr>
        <w:spacing w:line="360" w:lineRule="auto"/>
        <w:rPr>
          <w:lang w:eastAsia="es-ES"/>
        </w:rPr>
      </w:pPr>
      <w:r w:rsidRPr="00BF0A93">
        <w:rPr>
          <w:lang w:eastAsia="es-ES"/>
        </w:rPr>
        <w:t xml:space="preserve">8. Neira-Sánchez ER, Málaga G. Sepsis-3 y las nuevas definiciones, ¿es tiempo de abandonar SIRS? Acta Med. Perú. 2016 [acceso: 06/02/2020]; 33(3): 217-22. Disponible en: </w:t>
      </w:r>
      <w:hyperlink r:id="rId19" w:history="1">
        <w:r w:rsidRPr="00BF0A93">
          <w:rPr>
            <w:color w:val="0563C1"/>
            <w:u w:val="single"/>
            <w:lang w:eastAsia="es-ES"/>
          </w:rPr>
          <w:t>http://www.scielo.org.pe/pdf/amp/v33n3/a08v33n3.pdf</w:t>
        </w:r>
      </w:hyperlink>
    </w:p>
    <w:p w14:paraId="15B59EB5" w14:textId="77777777" w:rsidR="00BF0A93" w:rsidRPr="00BF0A93" w:rsidRDefault="00BF0A93" w:rsidP="00BF0A93">
      <w:pPr>
        <w:spacing w:line="360" w:lineRule="auto"/>
        <w:rPr>
          <w:lang w:eastAsia="es-ES"/>
        </w:rPr>
      </w:pPr>
      <w:r w:rsidRPr="00BF0A93">
        <w:rPr>
          <w:lang w:eastAsia="es-ES"/>
        </w:rPr>
        <w:t xml:space="preserve">9. Molina Alfonso S, Gutiérrez García, Orret Cruz. Comportamiento de las fístulas arteriovenosas para hemodiálisis en el anciano. Rev Cubana Cir. 2015[acceso: 10/09/2021]; 54(1): 25-33. Disponible en: </w:t>
      </w:r>
      <w:hyperlink r:id="rId20" w:history="1">
        <w:r w:rsidRPr="00BF0A93">
          <w:rPr>
            <w:color w:val="0563C1"/>
            <w:u w:val="single"/>
            <w:lang w:eastAsia="es-ES"/>
          </w:rPr>
          <w:t>http://scielo.sld.cu/scielo.php?script=sci_arttext&amp;pid=S0034-74932015000100004&amp;lng=es</w:t>
        </w:r>
      </w:hyperlink>
    </w:p>
    <w:p w14:paraId="73964451" w14:textId="77777777" w:rsidR="00BF0A93" w:rsidRPr="00BF0A93" w:rsidRDefault="00BF0A93" w:rsidP="00BF0A93">
      <w:pPr>
        <w:spacing w:line="360" w:lineRule="auto"/>
        <w:rPr>
          <w:lang w:eastAsia="es-ES"/>
        </w:rPr>
      </w:pPr>
      <w:r w:rsidRPr="00BF0A93">
        <w:rPr>
          <w:lang w:eastAsia="es-ES"/>
        </w:rPr>
        <w:t xml:space="preserve">10. Garrido MC, Parrado MR, Pozo MG, Montero RC. Las bacteriemias relacionadas con el catéter tunelizado de hemodiálisis y cuidados de enfermería. 2017 [acceso: 09/02/2020]; 20(4): 353-65. Disponible en: </w:t>
      </w:r>
      <w:hyperlink r:id="rId21" w:history="1">
        <w:r w:rsidRPr="00BF0A93">
          <w:rPr>
            <w:color w:val="0563C1"/>
            <w:u w:val="single"/>
            <w:lang w:eastAsia="es-ES"/>
          </w:rPr>
          <w:t>http://scielo.isciii.es/pdf/enefro/v20n4/2255-3517-enefro-20-04-353.pdf</w:t>
        </w:r>
      </w:hyperlink>
    </w:p>
    <w:p w14:paraId="66C7CAF7" w14:textId="77777777" w:rsidR="00BF0A93" w:rsidRPr="00BF0A93" w:rsidRDefault="00BF0A93" w:rsidP="00BF0A93">
      <w:pPr>
        <w:spacing w:line="360" w:lineRule="auto"/>
        <w:rPr>
          <w:lang w:eastAsia="es-ES"/>
        </w:rPr>
      </w:pPr>
      <w:r w:rsidRPr="00BF0A93">
        <w:rPr>
          <w:lang w:eastAsia="es-ES"/>
        </w:rPr>
        <w:t xml:space="preserve">11. Fariñas MC, Palomo JG, Cuadra MG. Infecciones asociadas a los catéteres utilizados para la hemodiálisis y la diálisis peritoneal. 2008 [acceso: 09/02/2020]; 26(8): 518-26. Disponible en: </w:t>
      </w:r>
      <w:hyperlink r:id="rId22" w:history="1">
        <w:r w:rsidRPr="00BF0A93">
          <w:rPr>
            <w:color w:val="0563C1"/>
            <w:u w:val="single"/>
            <w:lang w:eastAsia="es-ES"/>
          </w:rPr>
          <w:t>https://www.elsevier.es/es-revista-enfermedades-infecciosas-microbiologia-clinica-28-articulo-infecciones-asociadas-los-cateteres-utilizados-13127459</w:t>
        </w:r>
      </w:hyperlink>
    </w:p>
    <w:p w14:paraId="19C2432B" w14:textId="77777777" w:rsidR="00BF0A93" w:rsidRPr="00BF0A93" w:rsidRDefault="00BF0A93" w:rsidP="00BF0A93">
      <w:pPr>
        <w:spacing w:line="360" w:lineRule="auto"/>
        <w:rPr>
          <w:lang w:eastAsia="es-ES"/>
        </w:rPr>
      </w:pPr>
      <w:r w:rsidRPr="00BF0A93">
        <w:rPr>
          <w:lang w:eastAsia="es-ES"/>
        </w:rPr>
        <w:t xml:space="preserve">12. Vega de la Torre MV, de la Torre Rosés MV, Diéguez Velázquez D, Nicó García M, Valenciano García Y. Infecciones relacionadas con el acceso vascular en pacientes con insuficiencia renal crónica terminal en hemodiálisis. Rev. Inf. Cient. 2015 [acceso: 06/02/2020]; 90(2): 239‐51. Disponible en: </w:t>
      </w:r>
      <w:hyperlink r:id="rId23" w:history="1">
        <w:r w:rsidRPr="00BF0A93">
          <w:rPr>
            <w:color w:val="0563C1"/>
            <w:u w:val="single"/>
            <w:lang w:eastAsia="es-ES"/>
          </w:rPr>
          <w:t>http://www.revinfcientifica.sld.cu/index.php/ric/article/view/243/1090</w:t>
        </w:r>
      </w:hyperlink>
    </w:p>
    <w:p w14:paraId="4C978F81" w14:textId="77777777" w:rsidR="00BF0A93" w:rsidRPr="00BF0A93" w:rsidRDefault="00BF0A93" w:rsidP="00BF0A93">
      <w:pPr>
        <w:spacing w:line="360" w:lineRule="auto"/>
        <w:rPr>
          <w:lang w:eastAsia="es-ES"/>
        </w:rPr>
      </w:pPr>
      <w:r w:rsidRPr="00BF0A93">
        <w:rPr>
          <w:lang w:eastAsia="es-ES"/>
        </w:rPr>
        <w:t>13</w:t>
      </w:r>
      <w:r w:rsidRPr="00BF0A93">
        <w:rPr>
          <w:color w:val="0070C0"/>
          <w:lang w:eastAsia="es-ES"/>
        </w:rPr>
        <w:t xml:space="preserve">. </w:t>
      </w:r>
      <w:r w:rsidRPr="00BF0A93">
        <w:rPr>
          <w:lang w:eastAsia="es-ES"/>
        </w:rPr>
        <w:t xml:space="preserve">Brenner FP, Bugedo TG, Calleja RD, Del Valle MG, Fica CA, Gómez OME, et. al. Prevención de infecciones asociadas a catéteres vasculares centrales. Rev. Chil. Infectol. 2003 [acceso: 13/02/2021]; 20(1): 51-69. Disponible en: </w:t>
      </w:r>
      <w:hyperlink r:id="rId24" w:history="1">
        <w:r w:rsidRPr="00BF0A93">
          <w:rPr>
            <w:color w:val="0563C1"/>
            <w:u w:val="single"/>
            <w:lang w:eastAsia="es-ES"/>
          </w:rPr>
          <w:t>https://scielo.conicyt.cl/scielo.php?script=sci_arttext&amp;pid=S0716-10182003000100007&amp;lng=es</w:t>
        </w:r>
      </w:hyperlink>
    </w:p>
    <w:p w14:paraId="6D691B42" w14:textId="77777777" w:rsidR="00BF0A93" w:rsidRPr="00BF0A93" w:rsidRDefault="00BF0A93" w:rsidP="00BF0A93">
      <w:pPr>
        <w:spacing w:line="360" w:lineRule="auto"/>
        <w:rPr>
          <w:lang w:eastAsia="es-ES"/>
        </w:rPr>
      </w:pPr>
      <w:r w:rsidRPr="00BF0A93">
        <w:rPr>
          <w:lang w:eastAsia="es-ES"/>
        </w:rPr>
        <w:t>14</w:t>
      </w:r>
      <w:r w:rsidRPr="00BF0A93">
        <w:rPr>
          <w:color w:val="FF0000"/>
          <w:lang w:eastAsia="es-ES"/>
        </w:rPr>
        <w:t xml:space="preserve">. </w:t>
      </w:r>
      <w:r w:rsidRPr="00BF0A93">
        <w:rPr>
          <w:lang w:eastAsia="es-ES"/>
        </w:rPr>
        <w:t xml:space="preserve">Pérez Escobar MM, Herrera C N, Pérez Escobar E. Síndrome de malnutrición, inflamación y aterosclerosis en la insuficiencia renal crónica terminal. AMC. 2017 [acceso: 22/08/2020]; 21(3): 409-21. Disponible en: </w:t>
      </w:r>
      <w:hyperlink r:id="rId25" w:history="1">
        <w:r w:rsidRPr="00BF0A93">
          <w:rPr>
            <w:color w:val="0563C1"/>
            <w:u w:val="single"/>
            <w:lang w:eastAsia="es-ES"/>
          </w:rPr>
          <w:t>http://scielo.sld.cu/scielo.php?script=sci_arttext&amp;pid=S1025-02552017000300013&amp;lng=es</w:t>
        </w:r>
      </w:hyperlink>
    </w:p>
    <w:p w14:paraId="7447932E" w14:textId="77777777" w:rsidR="00BF0A93" w:rsidRPr="00BF0A93" w:rsidRDefault="00BF0A93" w:rsidP="00BF0A93">
      <w:pPr>
        <w:spacing w:line="360" w:lineRule="auto"/>
        <w:rPr>
          <w:lang w:eastAsia="es-ES"/>
        </w:rPr>
      </w:pPr>
      <w:r w:rsidRPr="00BF0A93">
        <w:rPr>
          <w:lang w:eastAsia="es-ES"/>
        </w:rPr>
        <w:t>15</w:t>
      </w:r>
      <w:r w:rsidRPr="00BF0A93">
        <w:rPr>
          <w:color w:val="FF0000"/>
          <w:lang w:eastAsia="es-ES"/>
        </w:rPr>
        <w:t xml:space="preserve">. </w:t>
      </w:r>
      <w:r w:rsidRPr="00BF0A93">
        <w:rPr>
          <w:lang w:eastAsia="es-ES"/>
        </w:rPr>
        <w:t xml:space="preserve">Cabarcos A, Errasti P, Asín JL, Serrano M, Uribarrena R, Purroy A. Inmunidad celular y humoral en pacientes con insuficiencia renal crónica en hemodiálisis periódica. Rev. Med. Univ. Navarra.1979 [acceso: 09/02/2020]; 23(1): 55-8. Disponible en: </w:t>
      </w:r>
      <w:hyperlink r:id="rId26" w:history="1">
        <w:r w:rsidRPr="00BF0A93">
          <w:rPr>
            <w:color w:val="0563C1"/>
            <w:u w:val="single"/>
            <w:lang w:eastAsia="es-ES"/>
          </w:rPr>
          <w:t>http://dadun.unav.edu/handle/10171/29596</w:t>
        </w:r>
      </w:hyperlink>
    </w:p>
    <w:p w14:paraId="78E6549A" w14:textId="77777777" w:rsidR="00BF0A93" w:rsidRPr="00BF0A93" w:rsidRDefault="00BF0A93" w:rsidP="00BF0A93">
      <w:pPr>
        <w:spacing w:line="360" w:lineRule="auto"/>
        <w:rPr>
          <w:lang w:eastAsia="es-ES"/>
        </w:rPr>
      </w:pPr>
      <w:r w:rsidRPr="00BF0A93">
        <w:rPr>
          <w:lang w:eastAsia="es-ES"/>
        </w:rPr>
        <w:t xml:space="preserve">16. Arribas Cobo P. Prevalencia de bacteriemias relacionadas con el catéter de hemodiálisis en una unidad hospitalaria. Enferm. Nefrol. 2013 [acceso: 21/02/ 2021]; 16(4): 229-34. Disponible en: </w:t>
      </w:r>
      <w:hyperlink r:id="rId27" w:history="1">
        <w:r w:rsidRPr="00BF0A93">
          <w:rPr>
            <w:color w:val="0563C1"/>
            <w:u w:val="single"/>
            <w:lang w:eastAsia="es-ES"/>
          </w:rPr>
          <w:t>http://scielo.isciii.es/scielo.php?script=sci_arttext&amp;pid=S2254-28842013000400003</w:t>
        </w:r>
      </w:hyperlink>
    </w:p>
    <w:p w14:paraId="374892C1" w14:textId="77777777" w:rsidR="00BF0A93" w:rsidRPr="00BF0A93" w:rsidRDefault="00BF0A93" w:rsidP="00BF0A93">
      <w:pPr>
        <w:spacing w:line="360" w:lineRule="auto"/>
        <w:rPr>
          <w:lang w:val="en-US" w:eastAsia="es-ES"/>
        </w:rPr>
      </w:pPr>
      <w:r w:rsidRPr="00BF0A93">
        <w:rPr>
          <w:lang w:val="en-US" w:eastAsia="es-ES"/>
        </w:rPr>
        <w:t xml:space="preserve">17. Taylor G, Gravel D, Johnston L, Embil J, Holton D, Paton S. Incidence of bloodstream infection in multicenter inception cohorts of hemodialysis patients. Am. J. Infect. Control. 2004 [acceso: 04/02/2020]; 32(3): 155-60. Disponible en: </w:t>
      </w:r>
      <w:hyperlink r:id="rId28" w:history="1">
        <w:r w:rsidRPr="00BF0A93">
          <w:rPr>
            <w:color w:val="0563C1"/>
            <w:u w:val="single"/>
            <w:lang w:val="en-US" w:eastAsia="es-ES"/>
          </w:rPr>
          <w:t>https://www.ncbi.nlm.nih.gov/pubmed/15153927</w:t>
        </w:r>
      </w:hyperlink>
    </w:p>
    <w:p w14:paraId="7632C4DC" w14:textId="77777777" w:rsidR="00BF0A93" w:rsidRPr="00BF0A93" w:rsidRDefault="00BF0A93" w:rsidP="00BF0A93">
      <w:pPr>
        <w:spacing w:line="360" w:lineRule="auto"/>
        <w:rPr>
          <w:lang w:val="en-US" w:eastAsia="es-ES"/>
        </w:rPr>
      </w:pPr>
      <w:r w:rsidRPr="00BF0A93">
        <w:rPr>
          <w:lang w:val="en-US" w:eastAsia="es-ES"/>
        </w:rPr>
        <w:t xml:space="preserve">18. Vanholder R, Canaud B, Fluck R, Jadoul M, Labriola L, Marti-Monros A, et al. Diagnosis, prevention and treatment of haemodialysis catheter-related bloodstream infections (CRBSI): a position statement of European Renal Best Practice (ERBP). NDT Plus. 2010 [acceso: 20/05/2020]; 3(3): 234–46. Disponible en: </w:t>
      </w:r>
      <w:hyperlink r:id="rId29" w:history="1">
        <w:r w:rsidRPr="00BF0A93">
          <w:rPr>
            <w:color w:val="0563C1"/>
            <w:u w:val="single"/>
            <w:lang w:val="en-US" w:eastAsia="es-ES"/>
          </w:rPr>
          <w:t>https://doi.org/10.1093/ndtplus/sfq041</w:t>
        </w:r>
      </w:hyperlink>
    </w:p>
    <w:p w14:paraId="14B72875" w14:textId="77777777" w:rsidR="00BF0A93" w:rsidRPr="00BF0A93" w:rsidRDefault="00BF0A93" w:rsidP="00BF0A93">
      <w:pPr>
        <w:spacing w:line="360" w:lineRule="auto"/>
        <w:rPr>
          <w:lang w:eastAsia="es-ES"/>
        </w:rPr>
      </w:pPr>
      <w:r w:rsidRPr="00BF0A93">
        <w:rPr>
          <w:lang w:val="en-US" w:eastAsia="es-ES"/>
        </w:rPr>
        <w:lastRenderedPageBreak/>
        <w:t xml:space="preserve">19. Karkar A, Bouhaha BM, Dammang ML. Infection control in hemodialysis units: A quick access to essential elements. </w:t>
      </w:r>
      <w:r w:rsidRPr="00BF0A93">
        <w:rPr>
          <w:lang w:eastAsia="es-ES"/>
        </w:rPr>
        <w:t xml:space="preserve">Saudi J Kidney Dis Transpl. 2014 [acceso: 22/08/20]; 25: 496-519. Disponible en:  </w:t>
      </w:r>
      <w:hyperlink r:id="rId30" w:history="1">
        <w:r w:rsidRPr="00BF0A93">
          <w:rPr>
            <w:color w:val="0563C1"/>
            <w:u w:val="single"/>
            <w:lang w:eastAsia="es-ES"/>
          </w:rPr>
          <w:t>http://www.sjkdt.org/text.asp?2014/25/3/496/132150</w:t>
        </w:r>
      </w:hyperlink>
    </w:p>
    <w:p w14:paraId="5197BFC8" w14:textId="77777777" w:rsidR="00BF0A93" w:rsidRPr="00BF0A93" w:rsidRDefault="00BF0A93" w:rsidP="00BF0A93">
      <w:pPr>
        <w:spacing w:line="360" w:lineRule="auto"/>
        <w:rPr>
          <w:lang w:eastAsia="es-ES"/>
        </w:rPr>
      </w:pPr>
      <w:r w:rsidRPr="00BF0A93">
        <w:rPr>
          <w:lang w:eastAsia="es-ES"/>
        </w:rPr>
        <w:t xml:space="preserve">20. Fiterre Lancis I, Suárez Rubio C, SarduyChapis RL, Castillo Rodríguez B, Gutiérrez García F, Sabournin Castel N, et al. Factores de riesgo asociados con la sepsis del acceso vascular de los pacientes en hemodiálisis. Instituto de Nefrología, julio-diciembre 2016. Rev. Haban. Cienc. Méd. 2018 [acceso: 06/02/2020];17(2): 335-46.   Disponible en: </w:t>
      </w:r>
      <w:hyperlink r:id="rId31" w:history="1">
        <w:r w:rsidRPr="00BF0A93">
          <w:rPr>
            <w:color w:val="0563C1"/>
            <w:u w:val="single"/>
            <w:lang w:eastAsia="es-ES"/>
          </w:rPr>
          <w:t>http://www.revhabanera.sld.cu/index.php/rhab/article/view/2137</w:t>
        </w:r>
      </w:hyperlink>
    </w:p>
    <w:p w14:paraId="45A54D19" w14:textId="77777777" w:rsidR="00BF0A93" w:rsidRPr="00BF0A93" w:rsidRDefault="00BF0A93" w:rsidP="00BF0A93">
      <w:pPr>
        <w:spacing w:line="360" w:lineRule="auto"/>
        <w:rPr>
          <w:lang w:eastAsia="es-ES"/>
        </w:rPr>
      </w:pPr>
      <w:r w:rsidRPr="00BF0A93">
        <w:rPr>
          <w:lang w:eastAsia="es-ES"/>
        </w:rPr>
        <w:t xml:space="preserve">21. Contreras Abad MD, Moreno Delgado MC, Muñoz Benítez I, Herencia Castillejo P, Suanes Cabello L, Crespo Montero R. Estudio de los catéteres temporales para hemodiálisis y su relación con las complicaciones. Rev. Soc. Esp. Enferm. Nefrol. 2018 [acceso: 04/02/2020]; 20(10): 111-3. Disponible en: </w:t>
      </w:r>
      <w:hyperlink r:id="rId32" w:history="1">
        <w:r w:rsidRPr="00BF0A93">
          <w:rPr>
            <w:color w:val="0563C1"/>
            <w:u w:val="single"/>
            <w:lang w:eastAsia="es-ES"/>
          </w:rPr>
          <w:t>http://www.revistaseden.org/files/2150_P%C3%A1ginas%20de%202009-37.pdf</w:t>
        </w:r>
      </w:hyperlink>
    </w:p>
    <w:p w14:paraId="718B9211" w14:textId="77777777" w:rsidR="00BF0A93" w:rsidRPr="00BF0A93" w:rsidRDefault="00BF0A93" w:rsidP="00BF0A93">
      <w:pPr>
        <w:spacing w:line="360" w:lineRule="auto"/>
        <w:rPr>
          <w:lang w:eastAsia="es-ES"/>
        </w:rPr>
      </w:pPr>
      <w:r w:rsidRPr="00BF0A93">
        <w:rPr>
          <w:lang w:eastAsia="es-ES"/>
        </w:rPr>
        <w:t xml:space="preserve">22.  Crespo Montero R, Contreras Abad MD, Casas Cuesta R, Muñoz Benítez I, Moreno Delgado MC, Suanes Cabello L. Estudio retrospectivo de las complicaciones de los catéteres temporales para hemodiálisis. Rev. Soc. Esp. Enferm. Nefrol. 2018 [acceso: 04/02/2020]; 20(1): 43-9. Disponible en:  </w:t>
      </w:r>
      <w:hyperlink r:id="rId33" w:history="1">
        <w:r w:rsidRPr="00BF0A93">
          <w:rPr>
            <w:color w:val="0563C1"/>
            <w:u w:val="single"/>
            <w:lang w:eastAsia="es-ES"/>
          </w:rPr>
          <w:t>http://www.revistaseden.org/imprimir.asp?idArticulo=2592</w:t>
        </w:r>
      </w:hyperlink>
    </w:p>
    <w:p w14:paraId="126F9C27" w14:textId="77777777" w:rsidR="00BF0A93" w:rsidRPr="00BF0A93" w:rsidRDefault="00BF0A93" w:rsidP="00BF0A93">
      <w:pPr>
        <w:spacing w:line="360" w:lineRule="auto"/>
        <w:rPr>
          <w:lang w:eastAsia="es-ES"/>
        </w:rPr>
      </w:pPr>
      <w:r w:rsidRPr="00BF0A93">
        <w:rPr>
          <w:lang w:eastAsia="es-ES"/>
        </w:rPr>
        <w:t xml:space="preserve">23. Rajoy Fernández GE, Rionda Álvarez MM, Pérez Rodríguez CF. Análisis de los factores que influyen en la aparición de complicaciones y supervivencia de los catéteres venosos centrales para hemodiálisis. Enferm. Nefrol. 2014 [acceso: 04/02/2020];17(1):16-21. Disponible en: </w:t>
      </w:r>
      <w:hyperlink r:id="rId34" w:history="1">
        <w:r w:rsidRPr="00BF0A93">
          <w:rPr>
            <w:color w:val="0563C1"/>
            <w:u w:val="single"/>
            <w:lang w:eastAsia="es-ES"/>
          </w:rPr>
          <w:t>http://scielo.isciii.es/scielo.php?script=sci_arttext&amp;pid=S2254-28842014000100003</w:t>
        </w:r>
      </w:hyperlink>
    </w:p>
    <w:p w14:paraId="5EC62EF3" w14:textId="77777777" w:rsidR="00BF0A93" w:rsidRPr="00BF0A93" w:rsidRDefault="00BF0A93" w:rsidP="00BF0A93">
      <w:pPr>
        <w:spacing w:line="360" w:lineRule="auto"/>
        <w:rPr>
          <w:lang w:eastAsia="es-ES"/>
        </w:rPr>
      </w:pPr>
      <w:r w:rsidRPr="00BF0A93">
        <w:rPr>
          <w:lang w:eastAsia="es-ES"/>
        </w:rPr>
        <w:t xml:space="preserve">24. Díaz Armas MT, Gómez Leyva B, Robalino Valdivieso MP, Lucero Proaño SA. Comportamiento epidemiológico en pacientes con enfermedad renal crónica terminal en Ecuador. CCM. 2018 [acceso: 21/02/2021]; 22(2): 312-324. Disponible en: </w:t>
      </w:r>
      <w:hyperlink r:id="rId35" w:history="1">
        <w:r w:rsidRPr="00BF0A93">
          <w:rPr>
            <w:color w:val="0563C1"/>
            <w:u w:val="single"/>
            <w:lang w:eastAsia="es-ES"/>
          </w:rPr>
          <w:t>http://scielo.sld.cu/scielo.php?script=sci_arttext&amp;pid=S1560-43812018000200011&amp;lng=es</w:t>
        </w:r>
      </w:hyperlink>
    </w:p>
    <w:p w14:paraId="7404159D" w14:textId="77777777" w:rsidR="00BF0A93" w:rsidRPr="00BF0A93" w:rsidRDefault="00BF0A93" w:rsidP="00BF0A93">
      <w:pPr>
        <w:spacing w:line="360" w:lineRule="auto"/>
        <w:rPr>
          <w:lang w:eastAsia="es-ES"/>
        </w:rPr>
      </w:pPr>
      <w:r w:rsidRPr="00BF0A93">
        <w:rPr>
          <w:lang w:eastAsia="es-ES"/>
        </w:rPr>
        <w:t xml:space="preserve">25. Arriola-Hernández M, Rodríguez-Clérigo I, Nieto-Rojas I, Mota-Santana R, Alonso-Moreno Francisco J, Orueta-Sánchez R. Prevalencia de insuficiencia renal crónica y factores asociados en el “anciano joven”. Rev. Clin. Med. Fam. 2017 [acceso: 21/02/2021]; 10(2):78-85. Disponible en: </w:t>
      </w:r>
      <w:hyperlink r:id="rId36" w:history="1">
        <w:r w:rsidRPr="00BF0A93">
          <w:rPr>
            <w:color w:val="0563C1"/>
            <w:u w:val="single"/>
            <w:lang w:eastAsia="es-ES"/>
          </w:rPr>
          <w:t>http://scielo.isciii.es/scielo.php?script=sci_arttext&amp;pid=S1699-695X2017000200078&amp;lng=es</w:t>
        </w:r>
      </w:hyperlink>
    </w:p>
    <w:p w14:paraId="5BBE131B" w14:textId="77777777" w:rsidR="00BF0A93" w:rsidRPr="00BF0A93" w:rsidRDefault="00BF0A93" w:rsidP="00BF0A93">
      <w:pPr>
        <w:spacing w:line="360" w:lineRule="auto"/>
        <w:rPr>
          <w:lang w:eastAsia="en-US"/>
        </w:rPr>
      </w:pPr>
      <w:r w:rsidRPr="00BF0A93">
        <w:rPr>
          <w:lang w:eastAsia="es-ES"/>
        </w:rPr>
        <w:lastRenderedPageBreak/>
        <w:t xml:space="preserve">26. Méndez-Durán A, Méndez-Bueno J.F, Tapia-Yáñez T, Muñoz Montes A, Aguilar-Sánchez L. Epidemiología de la insuficiencia renal crónica en México. Rev. Med. IMSS. 2010 [acceso: 21/02/2021]; 11(1): [aprox. 4 pág]. Disponible en: </w:t>
      </w:r>
      <w:hyperlink r:id="rId37" w:history="1">
        <w:r w:rsidRPr="00BF0A93">
          <w:rPr>
            <w:color w:val="0563C1"/>
            <w:u w:val="single"/>
            <w:lang w:eastAsia="es-ES"/>
          </w:rPr>
          <w:t>https://www.elsevier.es/es-revista-dialisis-trasplante-275-articulo-epidemiologia-insuficiencia-renal-cronica-mexico-S1886284510700047</w:t>
        </w:r>
      </w:hyperlink>
    </w:p>
    <w:p w14:paraId="25EFE261" w14:textId="77777777" w:rsidR="00BF0A93" w:rsidRPr="00BF0A93" w:rsidRDefault="00BF0A93" w:rsidP="00BF0A93">
      <w:pPr>
        <w:spacing w:line="360" w:lineRule="auto"/>
        <w:contextualSpacing/>
        <w:jc w:val="both"/>
        <w:rPr>
          <w:rFonts w:eastAsia="Calibri"/>
          <w:b/>
          <w:lang w:eastAsia="en-US"/>
        </w:rPr>
      </w:pPr>
    </w:p>
    <w:p w14:paraId="7ECC6878" w14:textId="77777777" w:rsidR="00BF0A93" w:rsidRPr="00BF0A93" w:rsidRDefault="00BF0A93" w:rsidP="00BF0A93">
      <w:pPr>
        <w:spacing w:line="360" w:lineRule="auto"/>
        <w:contextualSpacing/>
        <w:jc w:val="both"/>
        <w:rPr>
          <w:rFonts w:eastAsia="Calibri"/>
          <w:lang w:eastAsia="en-US"/>
        </w:rPr>
      </w:pPr>
    </w:p>
    <w:p w14:paraId="02D0BD82" w14:textId="77777777" w:rsidR="00BF0A93" w:rsidRPr="00BF0A93" w:rsidRDefault="00BF0A93" w:rsidP="00BF0A93">
      <w:pPr>
        <w:spacing w:line="360" w:lineRule="auto"/>
        <w:ind w:left="284" w:hanging="284"/>
        <w:jc w:val="center"/>
        <w:rPr>
          <w:rFonts w:eastAsia="Calibri"/>
          <w:b/>
          <w:lang w:eastAsia="en-US"/>
        </w:rPr>
      </w:pPr>
      <w:r w:rsidRPr="00BF0A93">
        <w:rPr>
          <w:rFonts w:eastAsia="Calibri"/>
          <w:b/>
          <w:lang w:eastAsia="en-US"/>
        </w:rPr>
        <w:t>Conflictos de intereses</w:t>
      </w:r>
    </w:p>
    <w:p w14:paraId="1D02C5B9" w14:textId="77777777" w:rsidR="00BF0A93" w:rsidRPr="00BF0A93" w:rsidRDefault="00BF0A93" w:rsidP="00BF0A93">
      <w:pPr>
        <w:spacing w:line="360" w:lineRule="auto"/>
        <w:ind w:left="284" w:hanging="284"/>
        <w:jc w:val="both"/>
        <w:rPr>
          <w:rFonts w:eastAsia="Calibri"/>
          <w:lang w:eastAsia="en-US"/>
        </w:rPr>
      </w:pPr>
      <w:r w:rsidRPr="00BF0A93">
        <w:rPr>
          <w:rFonts w:eastAsia="Calibri"/>
          <w:lang w:eastAsia="en-US"/>
        </w:rPr>
        <w:t>No existen conflictos de intereses en relación con el presente trabajo.</w:t>
      </w:r>
    </w:p>
    <w:p w14:paraId="0E68051B" w14:textId="77777777" w:rsidR="00BF0A93" w:rsidRPr="00BF0A93" w:rsidRDefault="00BF0A93" w:rsidP="00BF0A93">
      <w:pPr>
        <w:spacing w:line="360" w:lineRule="auto"/>
        <w:ind w:left="284" w:hanging="284"/>
        <w:contextualSpacing/>
        <w:jc w:val="both"/>
        <w:rPr>
          <w:rFonts w:eastAsia="Calibri"/>
          <w:b/>
          <w:lang w:val="es-ES" w:eastAsia="en-US"/>
        </w:rPr>
      </w:pPr>
    </w:p>
    <w:p w14:paraId="47989E72" w14:textId="77777777" w:rsidR="00BF0A93" w:rsidRPr="00BF0A93" w:rsidRDefault="00BF0A93" w:rsidP="00BF0A93">
      <w:pPr>
        <w:spacing w:line="360" w:lineRule="auto"/>
        <w:ind w:left="284" w:hanging="284"/>
        <w:contextualSpacing/>
        <w:jc w:val="center"/>
        <w:rPr>
          <w:rFonts w:eastAsia="Calibri"/>
          <w:b/>
          <w:lang w:val="es-ES" w:eastAsia="en-US"/>
        </w:rPr>
      </w:pPr>
      <w:r w:rsidRPr="00BF0A93">
        <w:rPr>
          <w:rFonts w:eastAsia="Calibri"/>
          <w:b/>
          <w:lang w:val="es-ES" w:eastAsia="en-US"/>
        </w:rPr>
        <w:t>Contribuciones de los autores</w:t>
      </w:r>
    </w:p>
    <w:p w14:paraId="450359C0" w14:textId="77777777" w:rsidR="00BF0A93" w:rsidRPr="00BF0A93" w:rsidRDefault="00BF0A93" w:rsidP="00BF0A93">
      <w:pPr>
        <w:spacing w:line="360" w:lineRule="auto"/>
        <w:jc w:val="both"/>
        <w:rPr>
          <w:lang w:eastAsia="es-ES"/>
        </w:rPr>
      </w:pPr>
      <w:r w:rsidRPr="00BF0A93">
        <w:rPr>
          <w:lang w:eastAsia="es-ES"/>
        </w:rPr>
        <w:t xml:space="preserve">1. Conceptualización:  </w:t>
      </w:r>
      <w:r w:rsidRPr="00BF0A93">
        <w:rPr>
          <w:i/>
          <w:iCs/>
          <w:lang w:eastAsia="es-ES"/>
        </w:rPr>
        <w:t>Pascual de Jesús López Escudero, Zurelis Pompa Gutiérrez.</w:t>
      </w:r>
    </w:p>
    <w:p w14:paraId="2C96E887" w14:textId="77777777" w:rsidR="00BF0A93" w:rsidRPr="00BF0A93" w:rsidRDefault="00BF0A93" w:rsidP="00BF0A93">
      <w:pPr>
        <w:spacing w:line="360" w:lineRule="auto"/>
        <w:jc w:val="both"/>
        <w:rPr>
          <w:lang w:eastAsia="es-ES"/>
        </w:rPr>
      </w:pPr>
      <w:r w:rsidRPr="00BF0A93">
        <w:rPr>
          <w:lang w:eastAsia="es-ES"/>
        </w:rPr>
        <w:t xml:space="preserve">2. Curación de datos: </w:t>
      </w:r>
      <w:r w:rsidRPr="00BF0A93">
        <w:rPr>
          <w:i/>
          <w:iCs/>
          <w:lang w:eastAsia="es-ES"/>
        </w:rPr>
        <w:t>Pascual de Jesús López Escudero.</w:t>
      </w:r>
      <w:r w:rsidRPr="00BF0A93">
        <w:rPr>
          <w:lang w:eastAsia="es-ES"/>
        </w:rPr>
        <w:t xml:space="preserve"> </w:t>
      </w:r>
    </w:p>
    <w:p w14:paraId="34634B5A" w14:textId="77777777" w:rsidR="00BF0A93" w:rsidRPr="00BF0A93" w:rsidRDefault="00BF0A93" w:rsidP="00BF0A93">
      <w:pPr>
        <w:spacing w:line="360" w:lineRule="auto"/>
        <w:jc w:val="both"/>
        <w:rPr>
          <w:lang w:eastAsia="es-ES"/>
        </w:rPr>
      </w:pPr>
      <w:r w:rsidRPr="00BF0A93">
        <w:rPr>
          <w:lang w:eastAsia="es-ES"/>
        </w:rPr>
        <w:t xml:space="preserve">3. Análisis formal: </w:t>
      </w:r>
      <w:r w:rsidRPr="00BF0A93">
        <w:rPr>
          <w:i/>
          <w:iCs/>
          <w:lang w:eastAsia="es-ES"/>
        </w:rPr>
        <w:t>Pascual de Jesús López Escudero.</w:t>
      </w:r>
    </w:p>
    <w:p w14:paraId="604E7A09" w14:textId="77777777" w:rsidR="00BF0A93" w:rsidRPr="00BF0A93" w:rsidRDefault="00BF0A93" w:rsidP="00BF0A93">
      <w:pPr>
        <w:spacing w:line="360" w:lineRule="auto"/>
        <w:jc w:val="both"/>
        <w:rPr>
          <w:lang w:eastAsia="es-ES"/>
        </w:rPr>
      </w:pPr>
      <w:r w:rsidRPr="00BF0A93">
        <w:rPr>
          <w:lang w:eastAsia="es-ES"/>
        </w:rPr>
        <w:t xml:space="preserve">4. Investigación: </w:t>
      </w:r>
      <w:r w:rsidRPr="00BF0A93">
        <w:rPr>
          <w:i/>
          <w:iCs/>
          <w:lang w:eastAsia="es-ES"/>
        </w:rPr>
        <w:t>Zurelis Pompa Gutiérrez.</w:t>
      </w:r>
      <w:r w:rsidRPr="00BF0A93">
        <w:rPr>
          <w:lang w:eastAsia="es-ES"/>
        </w:rPr>
        <w:t xml:space="preserve"> </w:t>
      </w:r>
    </w:p>
    <w:p w14:paraId="3DAC89E8" w14:textId="77777777" w:rsidR="00BF0A93" w:rsidRPr="00BF0A93" w:rsidRDefault="00BF0A93" w:rsidP="00BF0A93">
      <w:pPr>
        <w:spacing w:line="360" w:lineRule="auto"/>
        <w:jc w:val="both"/>
        <w:rPr>
          <w:lang w:eastAsia="es-ES"/>
        </w:rPr>
      </w:pPr>
      <w:r w:rsidRPr="00BF0A93">
        <w:rPr>
          <w:lang w:eastAsia="es-ES"/>
        </w:rPr>
        <w:t xml:space="preserve">5. Metodología: </w:t>
      </w:r>
      <w:r w:rsidRPr="00BF0A93">
        <w:rPr>
          <w:i/>
          <w:iCs/>
          <w:lang w:eastAsia="es-ES"/>
        </w:rPr>
        <w:t>Pascual de Jesús López Escudero, Betsy Álvarez Vázquez.</w:t>
      </w:r>
      <w:r w:rsidRPr="00BF0A93">
        <w:rPr>
          <w:lang w:eastAsia="es-ES"/>
        </w:rPr>
        <w:t xml:space="preserve">  </w:t>
      </w:r>
    </w:p>
    <w:p w14:paraId="1F334C92" w14:textId="77777777" w:rsidR="00BF0A93" w:rsidRPr="00BF0A93" w:rsidRDefault="00BF0A93" w:rsidP="00BF0A93">
      <w:pPr>
        <w:spacing w:line="360" w:lineRule="auto"/>
        <w:rPr>
          <w:i/>
          <w:iCs/>
          <w:lang w:eastAsia="es-ES"/>
        </w:rPr>
      </w:pPr>
      <w:r w:rsidRPr="00BF0A93">
        <w:rPr>
          <w:lang w:eastAsia="es-ES"/>
        </w:rPr>
        <w:t xml:space="preserve">6. Administración del proyecto:  </w:t>
      </w:r>
      <w:r w:rsidRPr="00BF0A93">
        <w:rPr>
          <w:i/>
          <w:iCs/>
          <w:lang w:eastAsia="es-ES"/>
        </w:rPr>
        <w:t xml:space="preserve">Pascual de Jesús López Escudero, Zurelis Pompa Gutiérrez.  </w:t>
      </w:r>
    </w:p>
    <w:p w14:paraId="0E0D34DD" w14:textId="77777777" w:rsidR="00BF0A93" w:rsidRPr="00BF0A93" w:rsidRDefault="00BF0A93" w:rsidP="00BF0A93">
      <w:pPr>
        <w:spacing w:line="360" w:lineRule="auto"/>
        <w:jc w:val="both"/>
        <w:rPr>
          <w:lang w:eastAsia="es-ES"/>
        </w:rPr>
      </w:pPr>
      <w:r w:rsidRPr="00BF0A93">
        <w:rPr>
          <w:lang w:eastAsia="es-ES"/>
        </w:rPr>
        <w:t xml:space="preserve">7. Supervisión: </w:t>
      </w:r>
      <w:r w:rsidRPr="00BF0A93">
        <w:rPr>
          <w:i/>
          <w:iCs/>
          <w:lang w:eastAsia="es-ES"/>
        </w:rPr>
        <w:t>Betsy Álvarez Vázquez.</w:t>
      </w:r>
      <w:r w:rsidRPr="00BF0A93">
        <w:rPr>
          <w:lang w:eastAsia="es-ES"/>
        </w:rPr>
        <w:t xml:space="preserve">  </w:t>
      </w:r>
    </w:p>
    <w:p w14:paraId="2BB1C220" w14:textId="77777777" w:rsidR="00BF0A93" w:rsidRPr="00BF0A93" w:rsidRDefault="00BF0A93" w:rsidP="00BF0A93">
      <w:pPr>
        <w:spacing w:line="360" w:lineRule="auto"/>
        <w:jc w:val="both"/>
        <w:rPr>
          <w:i/>
          <w:iCs/>
          <w:lang w:eastAsia="es-ES"/>
        </w:rPr>
      </w:pPr>
      <w:r w:rsidRPr="00BF0A93">
        <w:rPr>
          <w:lang w:eastAsia="es-ES"/>
        </w:rPr>
        <w:t xml:space="preserve">8. Validación: </w:t>
      </w:r>
      <w:r w:rsidRPr="00BF0A93">
        <w:rPr>
          <w:i/>
          <w:iCs/>
          <w:lang w:eastAsia="es-ES"/>
        </w:rPr>
        <w:t xml:space="preserve">Pascual de Jesús López Escudero. </w:t>
      </w:r>
    </w:p>
    <w:p w14:paraId="5D71162C" w14:textId="77777777" w:rsidR="00BF0A93" w:rsidRPr="00BF0A93" w:rsidRDefault="00BF0A93" w:rsidP="00BF0A93">
      <w:pPr>
        <w:spacing w:line="360" w:lineRule="auto"/>
        <w:jc w:val="both"/>
        <w:rPr>
          <w:lang w:eastAsia="es-ES"/>
        </w:rPr>
      </w:pPr>
      <w:r w:rsidRPr="00BF0A93">
        <w:rPr>
          <w:lang w:eastAsia="es-ES"/>
        </w:rPr>
        <w:t xml:space="preserve">9. Visualización: </w:t>
      </w:r>
      <w:r w:rsidRPr="00BF0A93">
        <w:rPr>
          <w:i/>
          <w:iCs/>
          <w:lang w:eastAsia="es-ES"/>
        </w:rPr>
        <w:t>Pascual de Jesús López Escudero.</w:t>
      </w:r>
      <w:r w:rsidRPr="00BF0A93">
        <w:rPr>
          <w:lang w:eastAsia="es-ES"/>
        </w:rPr>
        <w:t xml:space="preserve">   </w:t>
      </w:r>
    </w:p>
    <w:p w14:paraId="566C79F0" w14:textId="77777777" w:rsidR="00BF0A93" w:rsidRPr="00BF0A93" w:rsidRDefault="00BF0A93" w:rsidP="00BF0A93">
      <w:pPr>
        <w:spacing w:line="360" w:lineRule="auto"/>
        <w:jc w:val="both"/>
        <w:rPr>
          <w:i/>
          <w:iCs/>
          <w:lang w:eastAsia="es-ES"/>
        </w:rPr>
      </w:pPr>
      <w:r w:rsidRPr="00BF0A93">
        <w:rPr>
          <w:lang w:eastAsia="es-ES"/>
        </w:rPr>
        <w:t xml:space="preserve">10. Redacción borrador original: </w:t>
      </w:r>
      <w:r w:rsidRPr="00BF0A93">
        <w:rPr>
          <w:i/>
          <w:iCs/>
          <w:lang w:eastAsia="es-ES"/>
        </w:rPr>
        <w:t>Pascual de Jesús López Escudero, Zurelis Pompa Gutiérrez.</w:t>
      </w:r>
    </w:p>
    <w:p w14:paraId="1A8ED1DE" w14:textId="77777777" w:rsidR="00BF0A93" w:rsidRPr="00BF0A93" w:rsidRDefault="00BF0A93" w:rsidP="00BF0A93">
      <w:pPr>
        <w:spacing w:line="360" w:lineRule="auto"/>
        <w:jc w:val="both"/>
        <w:rPr>
          <w:lang w:eastAsia="es-ES"/>
        </w:rPr>
      </w:pPr>
      <w:r w:rsidRPr="00BF0A93">
        <w:rPr>
          <w:lang w:eastAsia="es-ES"/>
        </w:rPr>
        <w:t xml:space="preserve">11. Redacción – revisión y edición: </w:t>
      </w:r>
      <w:r w:rsidRPr="00BF0A93">
        <w:rPr>
          <w:i/>
          <w:iCs/>
          <w:lang w:eastAsia="es-ES"/>
        </w:rPr>
        <w:t>Pascual de Jesús López Escudero, Zurelis Pompa Gutiérrez, Betsy Álvarez Vázquez.</w:t>
      </w:r>
      <w:r w:rsidRPr="00BF0A93">
        <w:rPr>
          <w:lang w:eastAsia="es-ES"/>
        </w:rPr>
        <w:t xml:space="preserve">  </w:t>
      </w:r>
    </w:p>
    <w:p w14:paraId="21430018" w14:textId="77777777" w:rsidR="00675476" w:rsidRPr="00391509" w:rsidRDefault="00675476" w:rsidP="00391509"/>
    <w:sectPr w:rsidR="00675476" w:rsidRPr="00391509" w:rsidSect="00486BFA">
      <w:headerReference w:type="default" r:id="rId38"/>
      <w:footerReference w:type="even" r:id="rId39"/>
      <w:footerReference w:type="default" r:id="rId40"/>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0F65" w14:textId="77777777" w:rsidR="00063611" w:rsidRDefault="00063611">
      <w:r>
        <w:separator/>
      </w:r>
    </w:p>
  </w:endnote>
  <w:endnote w:type="continuationSeparator" w:id="0">
    <w:p w14:paraId="0D4C3E6A" w14:textId="77777777" w:rsidR="00063611" w:rsidRDefault="0006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8B6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19091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B284" w14:textId="241749C7" w:rsidR="000F3690" w:rsidRPr="00AE044C" w:rsidRDefault="00BF0A93"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2E89D835" wp14:editId="6B4A7FD7">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52983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2EF33923" w14:textId="77777777" w:rsidR="00675476" w:rsidRPr="00AE044C" w:rsidRDefault="00063611" w:rsidP="00391509">
    <w:pPr>
      <w:pStyle w:val="Piedepgina"/>
      <w:ind w:right="360"/>
      <w:rPr>
        <w:sz w:val="22"/>
        <w:szCs w:val="22"/>
      </w:rPr>
    </w:pPr>
    <w:hyperlink r:id="rId1" w:history="1">
      <w:r w:rsidR="00391509" w:rsidRPr="00AE044C">
        <w:rPr>
          <w:rStyle w:val="Hipervnculo"/>
          <w:sz w:val="22"/>
          <w:szCs w:val="22"/>
        </w:rPr>
        <w:t>http://scielo.sld.cu</w:t>
      </w:r>
    </w:hyperlink>
  </w:p>
  <w:p w14:paraId="43E3BC9F" w14:textId="77777777" w:rsidR="00391509" w:rsidRPr="00AE044C" w:rsidRDefault="00063611"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2C7EF7D" w14:textId="32824BD0"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BF0A93" w:rsidRPr="00BF0A93">
      <w:rPr>
        <w:rFonts w:ascii="Verdana" w:hAnsi="Verdana"/>
        <w:noProof/>
        <w:sz w:val="18"/>
        <w:szCs w:val="18"/>
        <w:lang w:val="en-US" w:eastAsia="en-US"/>
      </w:rPr>
      <w:drawing>
        <wp:inline distT="0" distB="0" distL="0" distR="0" wp14:anchorId="7938336E" wp14:editId="6ABEBDC0">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092A" w14:textId="77777777" w:rsidR="00063611" w:rsidRDefault="00063611">
      <w:r>
        <w:separator/>
      </w:r>
    </w:p>
  </w:footnote>
  <w:footnote w:type="continuationSeparator" w:id="0">
    <w:p w14:paraId="4B268900" w14:textId="77777777" w:rsidR="00063611" w:rsidRDefault="0006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EB71" w14:textId="0346DD3D" w:rsidR="00CC376A" w:rsidRPr="00AE044C" w:rsidRDefault="00BF0A93"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23C5203D" wp14:editId="7F222100">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7C5622">
      <w:rPr>
        <w:sz w:val="22"/>
        <w:szCs w:val="22"/>
      </w:rPr>
      <w:t>2021</w:t>
    </w:r>
    <w:r w:rsidR="003E03D5">
      <w:rPr>
        <w:sz w:val="22"/>
        <w:szCs w:val="22"/>
      </w:rPr>
      <w:t>;</w:t>
    </w:r>
    <w:r w:rsidR="007C5622">
      <w:rPr>
        <w:sz w:val="22"/>
        <w:szCs w:val="22"/>
      </w:rPr>
      <w:t>50</w:t>
    </w:r>
    <w:r w:rsidR="00493701" w:rsidRPr="00AE044C">
      <w:rPr>
        <w:sz w:val="22"/>
        <w:szCs w:val="22"/>
      </w:rPr>
      <w:t>(</w:t>
    </w:r>
    <w:r w:rsidR="007C5622">
      <w:rPr>
        <w:sz w:val="22"/>
        <w:szCs w:val="22"/>
      </w:rPr>
      <w:t>4</w:t>
    </w:r>
    <w:r w:rsidR="00493701" w:rsidRPr="00AE044C">
      <w:rPr>
        <w:sz w:val="22"/>
        <w:szCs w:val="22"/>
      </w:rPr>
      <w:t>)</w:t>
    </w:r>
    <w:r w:rsidR="00391509" w:rsidRPr="00AE044C">
      <w:rPr>
        <w:sz w:val="22"/>
        <w:szCs w:val="22"/>
      </w:rPr>
      <w:t>:</w:t>
    </w:r>
    <w:r w:rsidR="007C5622">
      <w:rPr>
        <w:sz w:val="22"/>
        <w:szCs w:val="22"/>
      </w:rPr>
      <w:t xml:space="preserve"> e02101481</w:t>
    </w:r>
  </w:p>
  <w:p w14:paraId="5B70069F" w14:textId="65E33067" w:rsidR="00A477DE" w:rsidRDefault="00BF0A93">
    <w:r>
      <w:rPr>
        <w:noProof/>
      </w:rPr>
      <mc:AlternateContent>
        <mc:Choice Requires="wps">
          <w:drawing>
            <wp:anchor distT="0" distB="0" distL="114300" distR="114300" simplePos="0" relativeHeight="251657216" behindDoc="0" locked="0" layoutInCell="1" allowOverlap="1" wp14:anchorId="5C72789C" wp14:editId="6ACA170D">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8BA1CF"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4AE"/>
    <w:multiLevelType w:val="multilevel"/>
    <w:tmpl w:val="00403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524E0"/>
    <w:multiLevelType w:val="hybridMultilevel"/>
    <w:tmpl w:val="B62074E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33465DD"/>
    <w:multiLevelType w:val="hybridMultilevel"/>
    <w:tmpl w:val="22FC83A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EE5343"/>
    <w:multiLevelType w:val="hybridMultilevel"/>
    <w:tmpl w:val="148C898A"/>
    <w:lvl w:ilvl="0" w:tplc="1F124D6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3A1743"/>
    <w:multiLevelType w:val="hybridMultilevel"/>
    <w:tmpl w:val="E6807160"/>
    <w:lvl w:ilvl="0" w:tplc="11E017C2">
      <w:start w:val="1"/>
      <w:numFmt w:val="decimal"/>
      <w:lvlText w:val="%1"/>
      <w:lvlJc w:val="left"/>
      <w:pPr>
        <w:ind w:left="644" w:hanging="360"/>
      </w:pPr>
      <w:rPr>
        <w:rFonts w:ascii="Arial" w:eastAsia="Times New Roman" w:hAnsi="Arial" w:cs="Arial"/>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0301440"/>
    <w:multiLevelType w:val="multilevel"/>
    <w:tmpl w:val="43686FE2"/>
    <w:lvl w:ilvl="0">
      <w:start w:val="1"/>
      <w:numFmt w:val="bullet"/>
      <w:lvlText w:val=""/>
      <w:lvlJc w:val="left"/>
      <w:pPr>
        <w:ind w:left="1287" w:hanging="360"/>
      </w:pPr>
      <w:rPr>
        <w:rFonts w:ascii="Wingdings" w:hAnsi="Wingdings"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96C476F"/>
    <w:multiLevelType w:val="multilevel"/>
    <w:tmpl w:val="296C47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C0721D"/>
    <w:multiLevelType w:val="hybridMultilevel"/>
    <w:tmpl w:val="509276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31CE0"/>
    <w:multiLevelType w:val="hybridMultilevel"/>
    <w:tmpl w:val="A29A65F8"/>
    <w:lvl w:ilvl="0" w:tplc="0C0A000D">
      <w:start w:val="1"/>
      <w:numFmt w:val="bullet"/>
      <w:lvlText w:val=""/>
      <w:lvlJc w:val="left"/>
      <w:pPr>
        <w:ind w:left="1200" w:hanging="360"/>
      </w:pPr>
      <w:rPr>
        <w:rFonts w:ascii="Wingdings" w:hAnsi="Wingdings"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9" w15:restartNumberingAfterBreak="0">
    <w:nsid w:val="3C165C48"/>
    <w:multiLevelType w:val="hybridMultilevel"/>
    <w:tmpl w:val="25FCA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B4272B9"/>
    <w:multiLevelType w:val="hybridMultilevel"/>
    <w:tmpl w:val="58FC464C"/>
    <w:lvl w:ilvl="0" w:tplc="1B641A74">
      <w:start w:val="12"/>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54F21650"/>
    <w:multiLevelType w:val="hybridMultilevel"/>
    <w:tmpl w:val="74204E34"/>
    <w:lvl w:ilvl="0" w:tplc="D31C90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7BE49EE"/>
    <w:multiLevelType w:val="multilevel"/>
    <w:tmpl w:val="D9841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DD65F6"/>
    <w:multiLevelType w:val="hybridMultilevel"/>
    <w:tmpl w:val="D5FCA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7AF6DE9"/>
    <w:multiLevelType w:val="hybridMultilevel"/>
    <w:tmpl w:val="1B8065BE"/>
    <w:lvl w:ilvl="0" w:tplc="BA4479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E38BE"/>
    <w:multiLevelType w:val="hybridMultilevel"/>
    <w:tmpl w:val="3156F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F4F0011"/>
    <w:multiLevelType w:val="hybridMultilevel"/>
    <w:tmpl w:val="7B42FAB8"/>
    <w:lvl w:ilvl="0" w:tplc="0A4EC29E">
      <w:start w:val="22"/>
      <w:numFmt w:val="decimal"/>
      <w:lvlText w:val="%1."/>
      <w:lvlJc w:val="left"/>
      <w:pPr>
        <w:ind w:left="502"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08D2A08"/>
    <w:multiLevelType w:val="hybridMultilevel"/>
    <w:tmpl w:val="7870D1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984496"/>
    <w:multiLevelType w:val="hybridMultilevel"/>
    <w:tmpl w:val="DC7E8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D656FF0"/>
    <w:multiLevelType w:val="hybridMultilevel"/>
    <w:tmpl w:val="26CCE9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3"/>
  </w:num>
  <w:num w:numId="3">
    <w:abstractNumId w:val="8"/>
  </w:num>
  <w:num w:numId="4">
    <w:abstractNumId w:val="7"/>
  </w:num>
  <w:num w:numId="5">
    <w:abstractNumId w:val="5"/>
  </w:num>
  <w:num w:numId="6">
    <w:abstractNumId w:val="15"/>
  </w:num>
  <w:num w:numId="7">
    <w:abstractNumId w:val="2"/>
  </w:num>
  <w:num w:numId="8">
    <w:abstractNumId w:val="18"/>
  </w:num>
  <w:num w:numId="9">
    <w:abstractNumId w:val="17"/>
  </w:num>
  <w:num w:numId="10">
    <w:abstractNumId w:val="4"/>
  </w:num>
  <w:num w:numId="11">
    <w:abstractNumId w:val="19"/>
  </w:num>
  <w:num w:numId="12">
    <w:abstractNumId w:val="3"/>
  </w:num>
  <w:num w:numId="13">
    <w:abstractNumId w:val="10"/>
  </w:num>
  <w:num w:numId="14">
    <w:abstractNumId w:val="16"/>
  </w:num>
  <w:num w:numId="15">
    <w:abstractNumId w:val="14"/>
  </w:num>
  <w:num w:numId="16">
    <w:abstractNumId w:val="11"/>
  </w:num>
  <w:num w:numId="17">
    <w:abstractNumId w:val="12"/>
  </w:num>
  <w:num w:numId="18">
    <w:abstractNumId w:val="6"/>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93"/>
    <w:rsid w:val="00063611"/>
    <w:rsid w:val="000F3690"/>
    <w:rsid w:val="001221D1"/>
    <w:rsid w:val="00180CE9"/>
    <w:rsid w:val="00230DD5"/>
    <w:rsid w:val="00380D64"/>
    <w:rsid w:val="00391509"/>
    <w:rsid w:val="003D0CA9"/>
    <w:rsid w:val="003E03D5"/>
    <w:rsid w:val="00486BFA"/>
    <w:rsid w:val="00493701"/>
    <w:rsid w:val="004D72E7"/>
    <w:rsid w:val="004E2065"/>
    <w:rsid w:val="005508A2"/>
    <w:rsid w:val="00566F71"/>
    <w:rsid w:val="005918BD"/>
    <w:rsid w:val="006173A6"/>
    <w:rsid w:val="00675476"/>
    <w:rsid w:val="007C430F"/>
    <w:rsid w:val="007C5622"/>
    <w:rsid w:val="007D614D"/>
    <w:rsid w:val="00913429"/>
    <w:rsid w:val="00960D6A"/>
    <w:rsid w:val="009A0560"/>
    <w:rsid w:val="009B0917"/>
    <w:rsid w:val="00A00FE2"/>
    <w:rsid w:val="00A23C0C"/>
    <w:rsid w:val="00A477DE"/>
    <w:rsid w:val="00A71E65"/>
    <w:rsid w:val="00AE044C"/>
    <w:rsid w:val="00B31971"/>
    <w:rsid w:val="00B4380A"/>
    <w:rsid w:val="00B66ECB"/>
    <w:rsid w:val="00BF0A93"/>
    <w:rsid w:val="00C00EED"/>
    <w:rsid w:val="00C7523A"/>
    <w:rsid w:val="00CC1B6E"/>
    <w:rsid w:val="00CC376A"/>
    <w:rsid w:val="00CC48A1"/>
    <w:rsid w:val="00CF50E0"/>
    <w:rsid w:val="00D85951"/>
    <w:rsid w:val="00E62606"/>
    <w:rsid w:val="00EC5A6B"/>
    <w:rsid w:val="00F93CA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F57FA6"/>
  <w15:docId w15:val="{C540382A-540E-4F2D-90DA-61178D57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BF0A93"/>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ar"/>
    <w:uiPriority w:val="9"/>
    <w:unhideWhenUsed/>
    <w:qFormat/>
    <w:rsid w:val="00BF0A93"/>
    <w:pPr>
      <w:keepNext/>
      <w:keepLines/>
      <w:spacing w:before="40"/>
      <w:outlineLvl w:val="1"/>
    </w:pPr>
    <w:rPr>
      <w:rFonts w:ascii="Calibri Light" w:hAnsi="Calibri Light"/>
      <w:color w:val="2E74B5"/>
      <w:sz w:val="26"/>
      <w:szCs w:val="26"/>
      <w:lang w:val="es-ES" w:eastAsia="es-ES"/>
    </w:rPr>
  </w:style>
  <w:style w:type="paragraph" w:styleId="Ttulo3">
    <w:name w:val="heading 3"/>
    <w:basedOn w:val="Normal"/>
    <w:next w:val="Normal"/>
    <w:link w:val="Ttulo3Car"/>
    <w:uiPriority w:val="9"/>
    <w:unhideWhenUsed/>
    <w:qFormat/>
    <w:rsid w:val="00BF0A93"/>
    <w:pPr>
      <w:keepNext/>
      <w:spacing w:line="360" w:lineRule="auto"/>
      <w:contextualSpacing/>
      <w:jc w:val="center"/>
      <w:outlineLvl w:val="2"/>
    </w:pPr>
    <w:rPr>
      <w:b/>
      <w:bCs/>
      <w:color w:val="000000"/>
      <w:sz w:val="18"/>
      <w:szCs w:val="18"/>
      <w:lang w:val="x-none" w:eastAsia="es-ES"/>
    </w:rPr>
  </w:style>
  <w:style w:type="paragraph" w:styleId="Ttulo8">
    <w:name w:val="heading 8"/>
    <w:basedOn w:val="Normal"/>
    <w:next w:val="Normal"/>
    <w:link w:val="Ttulo8Car"/>
    <w:qFormat/>
    <w:rsid w:val="00BF0A93"/>
    <w:pPr>
      <w:keepNext/>
      <w:jc w:val="both"/>
      <w:outlineLvl w:val="7"/>
    </w:pPr>
    <w:rPr>
      <w:rFonts w:ascii="Algerian" w:hAnsi="Algerian"/>
      <w:sz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link w:val="NormalWebCar"/>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BF0A93"/>
    <w:rPr>
      <w:rFonts w:ascii="Cambria" w:hAnsi="Cambria"/>
      <w:b/>
      <w:bCs/>
      <w:kern w:val="32"/>
      <w:sz w:val="32"/>
      <w:szCs w:val="32"/>
      <w:lang w:val="x-none" w:eastAsia="x-none"/>
    </w:rPr>
  </w:style>
  <w:style w:type="character" w:customStyle="1" w:styleId="Ttulo2Car">
    <w:name w:val="Título 2 Car"/>
    <w:basedOn w:val="Fuentedeprrafopredeter"/>
    <w:link w:val="Ttulo2"/>
    <w:uiPriority w:val="9"/>
    <w:rsid w:val="00BF0A93"/>
    <w:rPr>
      <w:rFonts w:ascii="Calibri Light" w:hAnsi="Calibri Light"/>
      <w:color w:val="2E74B5"/>
      <w:sz w:val="26"/>
      <w:szCs w:val="26"/>
      <w:lang w:val="es-ES" w:eastAsia="es-ES"/>
    </w:rPr>
  </w:style>
  <w:style w:type="character" w:customStyle="1" w:styleId="Ttulo3Car">
    <w:name w:val="Título 3 Car"/>
    <w:basedOn w:val="Fuentedeprrafopredeter"/>
    <w:link w:val="Ttulo3"/>
    <w:uiPriority w:val="9"/>
    <w:rsid w:val="00BF0A93"/>
    <w:rPr>
      <w:b/>
      <w:bCs/>
      <w:color w:val="000000"/>
      <w:sz w:val="18"/>
      <w:szCs w:val="18"/>
      <w:lang w:val="x-none" w:eastAsia="es-ES"/>
    </w:rPr>
  </w:style>
  <w:style w:type="character" w:customStyle="1" w:styleId="Ttulo8Car">
    <w:name w:val="Título 8 Car"/>
    <w:basedOn w:val="Fuentedeprrafopredeter"/>
    <w:link w:val="Ttulo8"/>
    <w:rsid w:val="00BF0A93"/>
    <w:rPr>
      <w:rFonts w:ascii="Algerian" w:hAnsi="Algerian"/>
      <w:sz w:val="28"/>
      <w:szCs w:val="24"/>
      <w:lang w:val="es-ES" w:eastAsia="es-ES"/>
    </w:rPr>
  </w:style>
  <w:style w:type="numbering" w:customStyle="1" w:styleId="Sinlista1">
    <w:name w:val="Sin lista1"/>
    <w:next w:val="Sinlista"/>
    <w:uiPriority w:val="99"/>
    <w:semiHidden/>
    <w:unhideWhenUsed/>
    <w:rsid w:val="00BF0A93"/>
  </w:style>
  <w:style w:type="character" w:customStyle="1" w:styleId="NormalWebCar">
    <w:name w:val="Normal (Web) Car"/>
    <w:link w:val="NormalWeb"/>
    <w:locked/>
    <w:rsid w:val="00BF0A93"/>
    <w:rPr>
      <w:sz w:val="24"/>
      <w:szCs w:val="24"/>
      <w:lang w:val="es-ES_tradnl" w:eastAsia="es-ES_tradnl"/>
    </w:rPr>
  </w:style>
  <w:style w:type="paragraph" w:styleId="Prrafodelista">
    <w:name w:val="List Paragraph"/>
    <w:basedOn w:val="Normal"/>
    <w:uiPriority w:val="34"/>
    <w:qFormat/>
    <w:rsid w:val="00BF0A93"/>
    <w:pPr>
      <w:ind w:left="720"/>
      <w:contextualSpacing/>
    </w:pPr>
    <w:rPr>
      <w:lang w:eastAsia="es-ES"/>
    </w:rPr>
  </w:style>
  <w:style w:type="character" w:styleId="Refdecomentario">
    <w:name w:val="annotation reference"/>
    <w:uiPriority w:val="99"/>
    <w:semiHidden/>
    <w:unhideWhenUsed/>
    <w:rsid w:val="00BF0A93"/>
    <w:rPr>
      <w:sz w:val="16"/>
      <w:szCs w:val="16"/>
    </w:rPr>
  </w:style>
  <w:style w:type="paragraph" w:styleId="Textocomentario">
    <w:name w:val="annotation text"/>
    <w:basedOn w:val="Normal"/>
    <w:link w:val="TextocomentarioCar"/>
    <w:uiPriority w:val="99"/>
    <w:unhideWhenUsed/>
    <w:qFormat/>
    <w:rsid w:val="00BF0A93"/>
    <w:rPr>
      <w:sz w:val="20"/>
      <w:szCs w:val="20"/>
      <w:lang w:val="x-none" w:eastAsia="x-none"/>
    </w:rPr>
  </w:style>
  <w:style w:type="character" w:customStyle="1" w:styleId="TextocomentarioCar">
    <w:name w:val="Texto comentario Car"/>
    <w:basedOn w:val="Fuentedeprrafopredeter"/>
    <w:link w:val="Textocomentario"/>
    <w:uiPriority w:val="99"/>
    <w:qFormat/>
    <w:rsid w:val="00BF0A93"/>
    <w:rPr>
      <w:lang w:val="x-none" w:eastAsia="x-none"/>
    </w:rPr>
  </w:style>
  <w:style w:type="paragraph" w:styleId="Asuntodelcomentario">
    <w:name w:val="annotation subject"/>
    <w:basedOn w:val="Textocomentario"/>
    <w:next w:val="Textocomentario"/>
    <w:link w:val="AsuntodelcomentarioCar"/>
    <w:uiPriority w:val="99"/>
    <w:semiHidden/>
    <w:unhideWhenUsed/>
    <w:rsid w:val="00BF0A93"/>
    <w:rPr>
      <w:b/>
      <w:bCs/>
    </w:rPr>
  </w:style>
  <w:style w:type="character" w:customStyle="1" w:styleId="AsuntodelcomentarioCar">
    <w:name w:val="Asunto del comentario Car"/>
    <w:basedOn w:val="TextocomentarioCar"/>
    <w:link w:val="Asuntodelcomentario"/>
    <w:uiPriority w:val="99"/>
    <w:semiHidden/>
    <w:rsid w:val="00BF0A93"/>
    <w:rPr>
      <w:b/>
      <w:bCs/>
      <w:lang w:val="x-none" w:eastAsia="x-none"/>
    </w:rPr>
  </w:style>
  <w:style w:type="character" w:styleId="Textoennegrita">
    <w:name w:val="Strong"/>
    <w:uiPriority w:val="22"/>
    <w:qFormat/>
    <w:rsid w:val="00BF0A93"/>
    <w:rPr>
      <w:b/>
      <w:bCs/>
    </w:rPr>
  </w:style>
  <w:style w:type="character" w:styleId="nfasis">
    <w:name w:val="Emphasis"/>
    <w:uiPriority w:val="20"/>
    <w:qFormat/>
    <w:rsid w:val="00BF0A93"/>
    <w:rPr>
      <w:i/>
      <w:iCs/>
    </w:rPr>
  </w:style>
  <w:style w:type="character" w:customStyle="1" w:styleId="fontstyle01">
    <w:name w:val="fontstyle01"/>
    <w:rsid w:val="00BF0A93"/>
    <w:rPr>
      <w:rFonts w:ascii="Verdana" w:hAnsi="Verdana" w:hint="default"/>
      <w:b w:val="0"/>
      <w:bCs w:val="0"/>
      <w:i w:val="0"/>
      <w:iCs w:val="0"/>
      <w:color w:val="000000"/>
      <w:sz w:val="24"/>
      <w:szCs w:val="24"/>
    </w:rPr>
  </w:style>
  <w:style w:type="paragraph" w:styleId="Textoindependiente">
    <w:name w:val="Body Text"/>
    <w:basedOn w:val="Normal"/>
    <w:link w:val="TextoindependienteCar"/>
    <w:uiPriority w:val="99"/>
    <w:unhideWhenUsed/>
    <w:rsid w:val="00BF0A93"/>
    <w:pPr>
      <w:spacing w:after="120" w:line="276" w:lineRule="auto"/>
    </w:pPr>
    <w:rPr>
      <w:rFonts w:ascii="Calibri" w:hAnsi="Calibri"/>
      <w:sz w:val="22"/>
      <w:szCs w:val="22"/>
      <w:lang w:val="x-none" w:eastAsia="x-none"/>
    </w:rPr>
  </w:style>
  <w:style w:type="character" w:customStyle="1" w:styleId="TextoindependienteCar">
    <w:name w:val="Texto independiente Car"/>
    <w:basedOn w:val="Fuentedeprrafopredeter"/>
    <w:link w:val="Textoindependiente"/>
    <w:uiPriority w:val="99"/>
    <w:rsid w:val="00BF0A93"/>
    <w:rPr>
      <w:rFonts w:ascii="Calibri" w:hAnsi="Calibri"/>
      <w:sz w:val="22"/>
      <w:szCs w:val="22"/>
      <w:lang w:val="x-none" w:eastAsia="x-none"/>
    </w:rPr>
  </w:style>
  <w:style w:type="character" w:customStyle="1" w:styleId="elsevieritemautor">
    <w:name w:val="elsevieritemautor"/>
    <w:basedOn w:val="Fuentedeprrafopredeter"/>
    <w:rsid w:val="00BF0A93"/>
  </w:style>
  <w:style w:type="character" w:customStyle="1" w:styleId="paginas">
    <w:name w:val="paginas"/>
    <w:basedOn w:val="Fuentedeprrafopredeter"/>
    <w:rsid w:val="00BF0A93"/>
  </w:style>
  <w:style w:type="character" w:customStyle="1" w:styleId="fecha-trans">
    <w:name w:val="fecha-trans"/>
    <w:basedOn w:val="Fuentedeprrafopredeter"/>
    <w:rsid w:val="00BF0A93"/>
  </w:style>
  <w:style w:type="character" w:customStyle="1" w:styleId="elsevieritemautorrelaciones">
    <w:name w:val="elsevieritemautorrelaciones"/>
    <w:basedOn w:val="Fuentedeprrafopredeter"/>
    <w:rsid w:val="00BF0A93"/>
  </w:style>
  <w:style w:type="table" w:styleId="Tablaconcuadrcula">
    <w:name w:val="Table Grid"/>
    <w:basedOn w:val="Tablanormal"/>
    <w:uiPriority w:val="39"/>
    <w:rsid w:val="00BF0A9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
    <w:name w:val="j"/>
    <w:basedOn w:val="Normal"/>
    <w:rsid w:val="00BF0A93"/>
    <w:pPr>
      <w:spacing w:before="100" w:beforeAutospacing="1" w:after="100" w:afterAutospacing="1"/>
    </w:pPr>
    <w:rPr>
      <w:lang w:val="en-US" w:eastAsia="en-US"/>
    </w:rPr>
  </w:style>
  <w:style w:type="character" w:customStyle="1" w:styleId="nacep">
    <w:name w:val="n_acep"/>
    <w:rsid w:val="00BF0A93"/>
  </w:style>
  <w:style w:type="paragraph" w:customStyle="1" w:styleId="n2">
    <w:name w:val="n2"/>
    <w:basedOn w:val="Normal"/>
    <w:rsid w:val="00BF0A93"/>
    <w:pPr>
      <w:spacing w:before="100" w:beforeAutospacing="1" w:after="100" w:afterAutospacing="1"/>
    </w:pPr>
    <w:rPr>
      <w:lang w:val="en-US" w:eastAsia="en-US"/>
    </w:rPr>
  </w:style>
  <w:style w:type="paragraph" w:customStyle="1" w:styleId="j2">
    <w:name w:val="j2"/>
    <w:basedOn w:val="Normal"/>
    <w:rsid w:val="00BF0A93"/>
    <w:pPr>
      <w:spacing w:before="100" w:beforeAutospacing="1" w:after="100" w:afterAutospacing="1"/>
    </w:pPr>
    <w:rPr>
      <w:lang w:val="en-US" w:eastAsia="en-US"/>
    </w:rPr>
  </w:style>
  <w:style w:type="character" w:customStyle="1" w:styleId="h">
    <w:name w:val="h"/>
    <w:rsid w:val="00BF0A93"/>
  </w:style>
  <w:style w:type="paragraph" w:customStyle="1" w:styleId="elsevierstylepara">
    <w:name w:val="elsevierstylepara"/>
    <w:basedOn w:val="Normal"/>
    <w:rsid w:val="00BF0A93"/>
    <w:pPr>
      <w:spacing w:before="100" w:beforeAutospacing="1" w:after="100" w:afterAutospacing="1"/>
    </w:pPr>
    <w:rPr>
      <w:lang w:val="en-US" w:eastAsia="en-US"/>
    </w:rPr>
  </w:style>
  <w:style w:type="character" w:customStyle="1" w:styleId="elsevierstyleitalic">
    <w:name w:val="elsevierstyleitalic"/>
    <w:rsid w:val="00BF0A93"/>
  </w:style>
  <w:style w:type="character" w:customStyle="1" w:styleId="elsevierstylesup">
    <w:name w:val="elsevierstylesup"/>
    <w:rsid w:val="00BF0A93"/>
  </w:style>
  <w:style w:type="paragraph" w:styleId="Lista">
    <w:name w:val="List"/>
    <w:basedOn w:val="Normal"/>
    <w:uiPriority w:val="99"/>
    <w:unhideWhenUsed/>
    <w:rsid w:val="00BF0A93"/>
    <w:pPr>
      <w:ind w:left="283" w:hanging="283"/>
      <w:contextualSpacing/>
    </w:pPr>
    <w:rPr>
      <w:rFonts w:ascii="Arial" w:hAnsi="Arial" w:cs="Arial"/>
      <w:sz w:val="12"/>
      <w:szCs w:val="12"/>
      <w:lang w:eastAsia="es-ES"/>
    </w:rPr>
  </w:style>
  <w:style w:type="character" w:customStyle="1" w:styleId="UnresolvedMention">
    <w:name w:val="Unresolved Mention"/>
    <w:uiPriority w:val="99"/>
    <w:semiHidden/>
    <w:unhideWhenUsed/>
    <w:rsid w:val="00BF0A93"/>
    <w:rPr>
      <w:color w:val="605E5C"/>
      <w:shd w:val="clear" w:color="auto" w:fill="E1DFDD"/>
    </w:rPr>
  </w:style>
  <w:style w:type="character" w:styleId="Mencinsinresolver">
    <w:name w:val="Unresolved Mention"/>
    <w:uiPriority w:val="99"/>
    <w:semiHidden/>
    <w:unhideWhenUsed/>
    <w:rsid w:val="00BF0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525-0173" TargetMode="External"/><Relationship Id="rId13" Type="http://schemas.openxmlformats.org/officeDocument/2006/relationships/hyperlink" Target="http://www.revmedtropical.sld.cu/index.php/medtropical/article/view/427/258" TargetMode="External"/><Relationship Id="rId18" Type="http://schemas.openxmlformats.org/officeDocument/2006/relationships/hyperlink" Target="http://doi:10.3265/NefroPlus.pre2011.Jun.11016" TargetMode="External"/><Relationship Id="rId26" Type="http://schemas.openxmlformats.org/officeDocument/2006/relationships/hyperlink" Target="http://dadun.unav.edu/handle/10171/29596"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ielo.isciii.es/pdf/enefro/v20n4/2255-3517-enefro-20-04-353.pdf" TargetMode="External"/><Relationship Id="rId34" Type="http://schemas.openxmlformats.org/officeDocument/2006/relationships/hyperlink" Target="http://scielo.isciii.es/scielo.php?script=sci_arttext&amp;pid=S2254-28842014000100003" TargetMode="External"/><Relationship Id="rId42" Type="http://schemas.openxmlformats.org/officeDocument/2006/relationships/theme" Target="theme/theme1.xml"/><Relationship Id="rId7" Type="http://schemas.openxmlformats.org/officeDocument/2006/relationships/hyperlink" Target="https://orcid.org/0000-0002-1054-4859" TargetMode="External"/><Relationship Id="rId12" Type="http://schemas.openxmlformats.org/officeDocument/2006/relationships/hyperlink" Target="http://www.revfinlay.sld.cu/index.php/finlay/article/view/418" TargetMode="External"/><Relationship Id="rId17" Type="http://schemas.openxmlformats.org/officeDocument/2006/relationships/hyperlink" Target="https://doi.org/10.1186/s13756-019-0557-8" TargetMode="External"/><Relationship Id="rId25" Type="http://schemas.openxmlformats.org/officeDocument/2006/relationships/hyperlink" Target="http://scielo.sld.cu/scielo.php?script=sci_arttext&amp;pid=S1025-02552017000300013&amp;lng=es" TargetMode="External"/><Relationship Id="rId33" Type="http://schemas.openxmlformats.org/officeDocument/2006/relationships/hyperlink" Target="http://www.revistaseden.org/imprimir.asp?idArticulo=2592"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elo.isciii.es/pdf/enefro/v18n1/08_bibliografia.pdf" TargetMode="External"/><Relationship Id="rId20" Type="http://schemas.openxmlformats.org/officeDocument/2006/relationships/hyperlink" Target="http://scielo.sld.cu/scielo.php?script=sci_arttext&amp;pid=S0034-74932015000100004&amp;lng=es" TargetMode="External"/><Relationship Id="rId29" Type="http://schemas.openxmlformats.org/officeDocument/2006/relationships/hyperlink" Target="https://doi.org/10.1093/ndtplus/sfq04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s://scielo.conicyt.cl/scielo.php?script=sci_arttext&amp;pid=S0716-10182003000100007&amp;lng=es" TargetMode="External"/><Relationship Id="rId32" Type="http://schemas.openxmlformats.org/officeDocument/2006/relationships/hyperlink" Target="http://www.revistaseden.org/files/2150_P%C3%A1ginas%20de%202009-37.pdf" TargetMode="External"/><Relationship Id="rId37" Type="http://schemas.openxmlformats.org/officeDocument/2006/relationships/hyperlink" Target="https://www.elsevier.es/es-revista-dialisis-trasplante-275-articulo-epidemiologia-insuficiencia-renal-cronica-mexico-S1886284510700047"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evistanefrologia.org/index.php/rcn/article/download/283/pdf/" TargetMode="External"/><Relationship Id="rId23" Type="http://schemas.openxmlformats.org/officeDocument/2006/relationships/hyperlink" Target="http://www.revinfcientifica.sld.cu/index.php/ric/article/view/243/1090" TargetMode="External"/><Relationship Id="rId28" Type="http://schemas.openxmlformats.org/officeDocument/2006/relationships/hyperlink" Target="https://www.ncbi.nlm.nih.gov/pubmed/15153927" TargetMode="External"/><Relationship Id="rId36" Type="http://schemas.openxmlformats.org/officeDocument/2006/relationships/hyperlink" Target="http://scielo.isciii.es/scielo.php?script=sci_arttext&amp;pid=S1699-695X2017000200078&amp;lng=es" TargetMode="External"/><Relationship Id="rId10" Type="http://schemas.openxmlformats.org/officeDocument/2006/relationships/hyperlink" Target="mailto:plopez@infomed.sld.cu" TargetMode="External"/><Relationship Id="rId19" Type="http://schemas.openxmlformats.org/officeDocument/2006/relationships/hyperlink" Target="http://www.scielo.org.pe/pdf/amp/v33n3/a08v33n3.pdf" TargetMode="External"/><Relationship Id="rId31" Type="http://schemas.openxmlformats.org/officeDocument/2006/relationships/hyperlink" Target="http://www.revhabanera.sld.cu/index.php/rhab/article/view/2137" TargetMode="External"/><Relationship Id="rId4" Type="http://schemas.openxmlformats.org/officeDocument/2006/relationships/webSettings" Target="webSettings.xml"/><Relationship Id="rId9" Type="http://schemas.openxmlformats.org/officeDocument/2006/relationships/hyperlink" Target="https://orcid.org/0000-0002-8738-2018" TargetMode="External"/><Relationship Id="rId14" Type="http://schemas.openxmlformats.org/officeDocument/2006/relationships/hyperlink" Target="http://scielo.isciii.es/scielo.php?script=sci_arttext&amp;pid=S0211-69952014000300005" TargetMode="External"/><Relationship Id="rId22" Type="http://schemas.openxmlformats.org/officeDocument/2006/relationships/hyperlink" Target="https://www.elsevier.es/es-revista-enfermedades-infecciosas-microbiologia-clinica-28-articulo-infecciones-asociadas-los-cateteres-utilizados-13127459" TargetMode="External"/><Relationship Id="rId27" Type="http://schemas.openxmlformats.org/officeDocument/2006/relationships/hyperlink" Target="http://scielo.isciii.es/scielo.php?script=sci_arttext&amp;pid=S2254-28842013000400003" TargetMode="External"/><Relationship Id="rId30" Type="http://schemas.openxmlformats.org/officeDocument/2006/relationships/hyperlink" Target="http://www.sjkdt.org/text.asp?2014/25/3/496/132150" TargetMode="External"/><Relationship Id="rId35" Type="http://schemas.openxmlformats.org/officeDocument/2006/relationships/hyperlink" Target="http://scielo.sld.cu/scielo.php?script=sci_arttext&amp;pid=S1560-43812018000200011&amp;lng=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26</TotalTime>
  <Pages>14</Pages>
  <Words>4710</Words>
  <Characters>25908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30557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9</cp:revision>
  <cp:lastPrinted>2021-10-01T00:54:00Z</cp:lastPrinted>
  <dcterms:created xsi:type="dcterms:W3CDTF">2021-10-01T00:28:00Z</dcterms:created>
  <dcterms:modified xsi:type="dcterms:W3CDTF">2021-10-01T00:54:00Z</dcterms:modified>
</cp:coreProperties>
</file>