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6EBEF" w14:textId="77777777" w:rsidR="00D078F1" w:rsidRPr="00D078F1" w:rsidRDefault="00D078F1" w:rsidP="00D078F1">
      <w:pPr>
        <w:spacing w:line="360" w:lineRule="auto"/>
        <w:jc w:val="right"/>
        <w:rPr>
          <w:rFonts w:eastAsia="Calibri"/>
          <w:bCs/>
          <w:sz w:val="20"/>
          <w:szCs w:val="20"/>
          <w:lang w:val="es-ES" w:eastAsia="en-US"/>
        </w:rPr>
      </w:pPr>
      <w:r w:rsidRPr="00D078F1">
        <w:rPr>
          <w:rFonts w:eastAsia="Calibri"/>
          <w:bCs/>
          <w:sz w:val="20"/>
          <w:szCs w:val="20"/>
          <w:lang w:val="es-ES" w:eastAsia="en-US"/>
        </w:rPr>
        <w:t>Artículo de investigación</w:t>
      </w:r>
    </w:p>
    <w:p w14:paraId="7225DC1B" w14:textId="77777777" w:rsidR="00D078F1" w:rsidRPr="00D078F1" w:rsidRDefault="00D078F1" w:rsidP="00D078F1">
      <w:pPr>
        <w:spacing w:line="360" w:lineRule="auto"/>
        <w:jc w:val="center"/>
        <w:rPr>
          <w:rFonts w:eastAsia="Calibri"/>
          <w:b/>
          <w:lang w:val="es-ES" w:eastAsia="en-US"/>
        </w:rPr>
      </w:pPr>
    </w:p>
    <w:p w14:paraId="3179DF10" w14:textId="77777777" w:rsidR="00D078F1" w:rsidRPr="00D078F1" w:rsidRDefault="00D078F1" w:rsidP="00D078F1">
      <w:pPr>
        <w:spacing w:line="360" w:lineRule="auto"/>
        <w:jc w:val="center"/>
        <w:rPr>
          <w:rFonts w:eastAsia="Calibri"/>
          <w:b/>
          <w:sz w:val="28"/>
          <w:szCs w:val="28"/>
          <w:lang w:val="es-ES" w:eastAsia="en-US"/>
        </w:rPr>
      </w:pPr>
      <w:r w:rsidRPr="00D078F1">
        <w:rPr>
          <w:rFonts w:eastAsia="Calibri"/>
          <w:b/>
          <w:sz w:val="28"/>
          <w:szCs w:val="28"/>
          <w:lang w:val="es-ES" w:eastAsia="en-US"/>
        </w:rPr>
        <w:t>Características clínicas y epidemiológicas de pacientes con la COVID-19 y trastornos quimiosensoriales</w:t>
      </w:r>
    </w:p>
    <w:p w14:paraId="2B6F27FB" w14:textId="77777777" w:rsidR="00D078F1" w:rsidRPr="00D078F1" w:rsidRDefault="00D078F1" w:rsidP="00D078F1">
      <w:pPr>
        <w:spacing w:line="360" w:lineRule="auto"/>
        <w:jc w:val="center"/>
        <w:rPr>
          <w:rFonts w:eastAsia="Calibri"/>
          <w:sz w:val="28"/>
          <w:szCs w:val="28"/>
          <w:lang w:val="en-US" w:eastAsia="en-US"/>
        </w:rPr>
      </w:pPr>
      <w:r w:rsidRPr="00D078F1">
        <w:rPr>
          <w:rFonts w:eastAsia="Calibri"/>
          <w:sz w:val="28"/>
          <w:szCs w:val="28"/>
          <w:lang w:val="en-US" w:eastAsia="en-US"/>
        </w:rPr>
        <w:t>Clinical and epidemiological characteristics of COVID-19 patients with chemosensory disorders</w:t>
      </w:r>
    </w:p>
    <w:p w14:paraId="625D8061" w14:textId="77777777" w:rsidR="00D078F1" w:rsidRPr="00D078F1" w:rsidRDefault="00D078F1" w:rsidP="00D078F1">
      <w:pPr>
        <w:spacing w:line="360" w:lineRule="auto"/>
        <w:rPr>
          <w:rFonts w:eastAsia="Calibri"/>
          <w:b/>
          <w:lang w:val="en-US" w:eastAsia="en-US"/>
        </w:rPr>
      </w:pPr>
    </w:p>
    <w:p w14:paraId="3812EBEB" w14:textId="77777777" w:rsidR="00D078F1" w:rsidRPr="00D078F1" w:rsidRDefault="00D078F1" w:rsidP="00D078F1">
      <w:pPr>
        <w:spacing w:line="360" w:lineRule="auto"/>
        <w:rPr>
          <w:rFonts w:eastAsia="Calibri"/>
          <w:bCs/>
          <w:lang w:val="es-CU" w:eastAsia="en-US"/>
        </w:rPr>
      </w:pPr>
      <w:r w:rsidRPr="00D078F1">
        <w:rPr>
          <w:rFonts w:eastAsia="Calibri"/>
          <w:bCs/>
          <w:lang w:val="es-CU" w:eastAsia="en-US"/>
        </w:rPr>
        <w:t>Sergio César Lorenzo González</w:t>
      </w:r>
      <w:r w:rsidRPr="00D078F1">
        <w:rPr>
          <w:rFonts w:eastAsia="Calibri"/>
          <w:bCs/>
          <w:vertAlign w:val="superscript"/>
          <w:lang w:val="es-CU" w:eastAsia="en-US"/>
        </w:rPr>
        <w:t>1</w:t>
      </w:r>
      <w:r w:rsidRPr="00D078F1">
        <w:rPr>
          <w:rFonts w:eastAsia="Calibri"/>
          <w:bCs/>
          <w:lang w:val="es-CU" w:eastAsia="en-US"/>
        </w:rPr>
        <w:t xml:space="preserve">* </w:t>
      </w:r>
      <w:hyperlink r:id="rId7" w:history="1">
        <w:r w:rsidRPr="00D078F1">
          <w:rPr>
            <w:rFonts w:eastAsia="Calibri"/>
            <w:bCs/>
            <w:color w:val="0563C1"/>
            <w:u w:val="single"/>
            <w:lang w:val="es-CU" w:eastAsia="en-US"/>
          </w:rPr>
          <w:t>https://orcid.org/0000-0002-3049-8239</w:t>
        </w:r>
      </w:hyperlink>
      <w:r w:rsidRPr="00D078F1">
        <w:rPr>
          <w:rFonts w:eastAsia="Calibri"/>
          <w:bCs/>
          <w:lang w:val="es-CU" w:eastAsia="en-US"/>
        </w:rPr>
        <w:t xml:space="preserve"> </w:t>
      </w:r>
    </w:p>
    <w:p w14:paraId="48F178AD" w14:textId="77777777" w:rsidR="00D078F1" w:rsidRPr="00D078F1" w:rsidRDefault="00D078F1" w:rsidP="00D078F1">
      <w:pPr>
        <w:spacing w:line="360" w:lineRule="auto"/>
        <w:rPr>
          <w:rFonts w:eastAsia="Calibri"/>
          <w:bCs/>
          <w:lang w:val="es-CU" w:eastAsia="en-US"/>
        </w:rPr>
      </w:pPr>
      <w:r w:rsidRPr="00D078F1">
        <w:rPr>
          <w:rFonts w:eastAsia="Calibri"/>
          <w:bCs/>
          <w:lang w:val="es-CU" w:eastAsia="en-US"/>
        </w:rPr>
        <w:t>Elizabeth Proenza Ramírez</w:t>
      </w:r>
      <w:r w:rsidRPr="00D078F1">
        <w:rPr>
          <w:rFonts w:eastAsia="Calibri"/>
          <w:bCs/>
          <w:vertAlign w:val="superscript"/>
          <w:lang w:val="es-CU" w:eastAsia="en-US"/>
        </w:rPr>
        <w:t>2</w:t>
      </w:r>
      <w:r w:rsidRPr="00D078F1">
        <w:rPr>
          <w:rFonts w:eastAsia="Calibri"/>
          <w:bCs/>
          <w:lang w:val="es-CU" w:eastAsia="en-US"/>
        </w:rPr>
        <w:t xml:space="preserve"> </w:t>
      </w:r>
      <w:hyperlink r:id="rId8" w:history="1">
        <w:r w:rsidRPr="00D078F1">
          <w:rPr>
            <w:rFonts w:eastAsia="Calibri"/>
            <w:bCs/>
            <w:color w:val="0563C1"/>
            <w:u w:val="single"/>
            <w:lang w:val="es-CU" w:eastAsia="en-US"/>
          </w:rPr>
          <w:t>https://orcid.org/0000-0002-8084-7740</w:t>
        </w:r>
      </w:hyperlink>
      <w:r w:rsidRPr="00D078F1">
        <w:rPr>
          <w:rFonts w:eastAsia="Calibri"/>
          <w:bCs/>
          <w:lang w:val="es-CU" w:eastAsia="en-US"/>
        </w:rPr>
        <w:t xml:space="preserve"> </w:t>
      </w:r>
    </w:p>
    <w:p w14:paraId="72AF6AAC" w14:textId="77777777" w:rsidR="00D078F1" w:rsidRPr="00D078F1" w:rsidRDefault="00D078F1" w:rsidP="00D078F1">
      <w:pPr>
        <w:spacing w:line="360" w:lineRule="auto"/>
        <w:rPr>
          <w:rFonts w:eastAsia="Calibri"/>
          <w:bCs/>
          <w:lang w:val="es-CU" w:eastAsia="en-US"/>
        </w:rPr>
      </w:pPr>
      <w:r w:rsidRPr="00D078F1">
        <w:rPr>
          <w:rFonts w:eastAsia="Calibri"/>
          <w:bCs/>
          <w:lang w:val="es-CU" w:eastAsia="en-US"/>
        </w:rPr>
        <w:t>José Adrián Romero García</w:t>
      </w:r>
      <w:r w:rsidRPr="00D078F1">
        <w:rPr>
          <w:rFonts w:eastAsia="Calibri"/>
          <w:bCs/>
          <w:vertAlign w:val="superscript"/>
          <w:lang w:val="es-CU" w:eastAsia="en-US"/>
        </w:rPr>
        <w:t>1</w:t>
      </w:r>
      <w:r w:rsidRPr="00D078F1">
        <w:rPr>
          <w:rFonts w:eastAsia="Calibri"/>
          <w:bCs/>
          <w:lang w:val="es-CU" w:eastAsia="en-US"/>
        </w:rPr>
        <w:t xml:space="preserve"> </w:t>
      </w:r>
      <w:hyperlink r:id="rId9" w:history="1">
        <w:r w:rsidRPr="00D078F1">
          <w:rPr>
            <w:rFonts w:eastAsia="Calibri"/>
            <w:bCs/>
            <w:color w:val="0563C1"/>
            <w:u w:val="single"/>
            <w:lang w:val="es-CU" w:eastAsia="en-US"/>
          </w:rPr>
          <w:t>https://orcid.org/0000-0001-9703-2890</w:t>
        </w:r>
      </w:hyperlink>
      <w:r w:rsidRPr="00D078F1">
        <w:rPr>
          <w:rFonts w:eastAsia="Calibri"/>
          <w:bCs/>
          <w:lang w:val="es-CU" w:eastAsia="en-US"/>
        </w:rPr>
        <w:t xml:space="preserve"> </w:t>
      </w:r>
    </w:p>
    <w:p w14:paraId="4E9C42EB" w14:textId="77777777" w:rsidR="00D078F1" w:rsidRPr="00D078F1" w:rsidRDefault="00D078F1" w:rsidP="00D078F1">
      <w:pPr>
        <w:spacing w:line="360" w:lineRule="auto"/>
        <w:rPr>
          <w:rFonts w:eastAsia="Calibri"/>
          <w:bCs/>
          <w:lang w:val="es-CU" w:eastAsia="en-US"/>
        </w:rPr>
      </w:pPr>
      <w:r w:rsidRPr="00D078F1">
        <w:rPr>
          <w:rFonts w:eastAsia="Calibri"/>
          <w:bCs/>
          <w:lang w:val="es-CU" w:eastAsia="en-US"/>
        </w:rPr>
        <w:t>Yosvanis Leyva Zamora</w:t>
      </w:r>
      <w:r w:rsidRPr="00D078F1">
        <w:rPr>
          <w:rFonts w:eastAsia="Calibri"/>
          <w:bCs/>
          <w:vertAlign w:val="superscript"/>
          <w:lang w:val="es-CU" w:eastAsia="en-US"/>
        </w:rPr>
        <w:t>1</w:t>
      </w:r>
      <w:r w:rsidRPr="00D078F1">
        <w:rPr>
          <w:rFonts w:eastAsia="Calibri"/>
          <w:bCs/>
          <w:lang w:val="es-CU" w:eastAsia="en-US"/>
        </w:rPr>
        <w:t xml:space="preserve"> </w:t>
      </w:r>
      <w:hyperlink r:id="rId10" w:history="1">
        <w:r w:rsidRPr="00D078F1">
          <w:rPr>
            <w:rFonts w:eastAsia="Calibri"/>
            <w:bCs/>
            <w:color w:val="0563C1"/>
            <w:u w:val="single"/>
            <w:lang w:val="es-CU" w:eastAsia="en-US"/>
          </w:rPr>
          <w:t>https://orcid.org/0000-0002-8231-2811</w:t>
        </w:r>
      </w:hyperlink>
      <w:r w:rsidRPr="00D078F1">
        <w:rPr>
          <w:rFonts w:eastAsia="Calibri"/>
          <w:bCs/>
          <w:lang w:val="es-CU" w:eastAsia="en-US"/>
        </w:rPr>
        <w:t xml:space="preserve"> </w:t>
      </w:r>
    </w:p>
    <w:p w14:paraId="5BC003B7" w14:textId="77777777" w:rsidR="00D078F1" w:rsidRPr="00D078F1" w:rsidRDefault="00D078F1" w:rsidP="00D078F1">
      <w:pPr>
        <w:spacing w:line="360" w:lineRule="auto"/>
        <w:rPr>
          <w:rFonts w:eastAsia="Calibri"/>
          <w:bCs/>
          <w:lang w:val="es-CU" w:eastAsia="en-US"/>
        </w:rPr>
      </w:pPr>
      <w:r w:rsidRPr="00D078F1">
        <w:rPr>
          <w:rFonts w:eastAsia="Calibri"/>
          <w:bCs/>
          <w:lang w:val="es-CU" w:eastAsia="en-US"/>
        </w:rPr>
        <w:t>Alexánder Fernández Zaldívar</w:t>
      </w:r>
      <w:r w:rsidRPr="00D078F1">
        <w:rPr>
          <w:rFonts w:eastAsia="Calibri"/>
          <w:bCs/>
          <w:vertAlign w:val="superscript"/>
          <w:lang w:val="es-CU" w:eastAsia="en-US"/>
        </w:rPr>
        <w:t>1</w:t>
      </w:r>
      <w:r w:rsidRPr="00D078F1">
        <w:rPr>
          <w:rFonts w:eastAsia="Calibri"/>
          <w:bCs/>
          <w:lang w:val="es-CU" w:eastAsia="en-US"/>
        </w:rPr>
        <w:t xml:space="preserve"> </w:t>
      </w:r>
      <w:hyperlink r:id="rId11" w:history="1">
        <w:r w:rsidRPr="00D078F1">
          <w:rPr>
            <w:rFonts w:eastAsia="Calibri"/>
            <w:bCs/>
            <w:color w:val="0563C1"/>
            <w:u w:val="single"/>
            <w:lang w:val="es-CU" w:eastAsia="en-US"/>
          </w:rPr>
          <w:t>https://orcid.org/0000-0001-9150-6055</w:t>
        </w:r>
      </w:hyperlink>
    </w:p>
    <w:p w14:paraId="705B7538" w14:textId="77777777" w:rsidR="00D078F1" w:rsidRPr="00D078F1" w:rsidRDefault="00D078F1" w:rsidP="00D078F1">
      <w:pPr>
        <w:spacing w:line="360" w:lineRule="auto"/>
        <w:rPr>
          <w:rFonts w:eastAsia="Calibri"/>
          <w:bCs/>
          <w:lang w:val="es-CU" w:eastAsia="en-US"/>
        </w:rPr>
      </w:pPr>
    </w:p>
    <w:p w14:paraId="7FACDB34" w14:textId="77777777" w:rsidR="00D078F1" w:rsidRPr="00D078F1" w:rsidRDefault="00D078F1" w:rsidP="00D078F1">
      <w:pPr>
        <w:spacing w:line="360" w:lineRule="auto"/>
        <w:rPr>
          <w:rFonts w:eastAsia="Calibri"/>
          <w:bCs/>
          <w:lang w:val="es-CU" w:eastAsia="en-US"/>
        </w:rPr>
      </w:pPr>
      <w:r w:rsidRPr="00D078F1">
        <w:rPr>
          <w:rFonts w:eastAsia="Calibri"/>
          <w:bCs/>
          <w:vertAlign w:val="superscript"/>
          <w:lang w:val="es-CU" w:eastAsia="en-US"/>
        </w:rPr>
        <w:t>1</w:t>
      </w:r>
      <w:r w:rsidRPr="00D078F1">
        <w:rPr>
          <w:rFonts w:eastAsia="Calibri"/>
          <w:bCs/>
          <w:lang w:val="es-CU" w:eastAsia="en-US"/>
        </w:rPr>
        <w:t>Hospital Militar “Dr. Fermín Valdés Domínguez”. Holguín, Cuba.</w:t>
      </w:r>
    </w:p>
    <w:p w14:paraId="25624F74" w14:textId="77777777" w:rsidR="00D078F1" w:rsidRPr="00D078F1" w:rsidRDefault="00D078F1" w:rsidP="00D078F1">
      <w:pPr>
        <w:spacing w:line="360" w:lineRule="auto"/>
        <w:rPr>
          <w:rFonts w:eastAsia="Calibri"/>
          <w:bCs/>
          <w:lang w:val="es-CU" w:eastAsia="en-US"/>
        </w:rPr>
      </w:pPr>
      <w:r w:rsidRPr="00D078F1">
        <w:rPr>
          <w:rFonts w:eastAsia="Calibri"/>
          <w:bCs/>
          <w:vertAlign w:val="superscript"/>
          <w:lang w:val="es-CU" w:eastAsia="en-US"/>
        </w:rPr>
        <w:t>2</w:t>
      </w:r>
      <w:r w:rsidRPr="00D078F1">
        <w:rPr>
          <w:rFonts w:eastAsia="Calibri"/>
          <w:bCs/>
          <w:lang w:val="es-CU" w:eastAsia="en-US"/>
        </w:rPr>
        <w:t>Hospital Clínico Quirúrgico “Lucía Íñiguez Landín”. Holguín, Cuba.</w:t>
      </w:r>
    </w:p>
    <w:p w14:paraId="478EEED4" w14:textId="77777777" w:rsidR="00D078F1" w:rsidRPr="00D078F1" w:rsidRDefault="00D078F1" w:rsidP="00D078F1">
      <w:pPr>
        <w:spacing w:line="360" w:lineRule="auto"/>
        <w:rPr>
          <w:rFonts w:eastAsia="Calibri"/>
          <w:bCs/>
          <w:lang w:val="es-CU" w:eastAsia="en-US"/>
        </w:rPr>
      </w:pPr>
    </w:p>
    <w:p w14:paraId="516D251D" w14:textId="77777777" w:rsidR="00D078F1" w:rsidRPr="00D078F1" w:rsidRDefault="00D078F1" w:rsidP="00D078F1">
      <w:pPr>
        <w:spacing w:line="360" w:lineRule="auto"/>
        <w:rPr>
          <w:rFonts w:eastAsia="Calibri"/>
          <w:bCs/>
          <w:lang w:val="es-CU" w:eastAsia="en-US"/>
        </w:rPr>
      </w:pPr>
      <w:r w:rsidRPr="00D078F1">
        <w:rPr>
          <w:rFonts w:eastAsia="Calibri"/>
          <w:bCs/>
          <w:lang w:val="es-CU" w:eastAsia="en-US"/>
        </w:rPr>
        <w:t xml:space="preserve">*Autor para la correspondencia. Correo electrónico: </w:t>
      </w:r>
      <w:hyperlink r:id="rId12" w:history="1">
        <w:r w:rsidRPr="00D078F1">
          <w:rPr>
            <w:rFonts w:eastAsia="Calibri"/>
            <w:bCs/>
            <w:color w:val="0563C1"/>
            <w:u w:val="single"/>
            <w:lang w:val="es-CU" w:eastAsia="en-US"/>
          </w:rPr>
          <w:t>sergiolg@infomed.sld.cu</w:t>
        </w:r>
      </w:hyperlink>
      <w:r w:rsidRPr="00D078F1">
        <w:rPr>
          <w:rFonts w:eastAsia="Calibri"/>
          <w:bCs/>
          <w:lang w:val="es-CU" w:eastAsia="en-US"/>
        </w:rPr>
        <w:t xml:space="preserve"> </w:t>
      </w:r>
    </w:p>
    <w:p w14:paraId="6335AB2A" w14:textId="77777777" w:rsidR="00D078F1" w:rsidRPr="00D078F1" w:rsidRDefault="00D078F1" w:rsidP="00D078F1">
      <w:pPr>
        <w:spacing w:line="360" w:lineRule="auto"/>
        <w:rPr>
          <w:rFonts w:eastAsia="Calibri"/>
          <w:b/>
          <w:lang w:val="es-CU" w:eastAsia="en-US"/>
        </w:rPr>
      </w:pPr>
    </w:p>
    <w:p w14:paraId="1CF45E19" w14:textId="77777777" w:rsidR="00D078F1" w:rsidRPr="00D078F1" w:rsidRDefault="00D078F1" w:rsidP="00D078F1">
      <w:pPr>
        <w:spacing w:line="360" w:lineRule="auto"/>
        <w:rPr>
          <w:rFonts w:eastAsia="Calibri"/>
          <w:b/>
          <w:lang w:val="es-ES" w:eastAsia="en-US"/>
        </w:rPr>
      </w:pPr>
      <w:r w:rsidRPr="00D078F1">
        <w:rPr>
          <w:rFonts w:eastAsia="Calibri"/>
          <w:b/>
          <w:lang w:val="es-ES" w:eastAsia="en-US"/>
        </w:rPr>
        <w:t xml:space="preserve">RESUMEN </w:t>
      </w:r>
    </w:p>
    <w:p w14:paraId="65CAB7E0" w14:textId="275A8ECD" w:rsidR="00D078F1" w:rsidRPr="00D078F1" w:rsidRDefault="00D078F1" w:rsidP="00D078F1">
      <w:pPr>
        <w:spacing w:line="360" w:lineRule="auto"/>
        <w:jc w:val="both"/>
        <w:rPr>
          <w:rFonts w:eastAsia="Calibri"/>
          <w:lang w:val="es-ES" w:eastAsia="en-US"/>
        </w:rPr>
      </w:pPr>
      <w:r w:rsidRPr="00D078F1">
        <w:rPr>
          <w:rFonts w:eastAsia="Calibri"/>
          <w:b/>
          <w:lang w:val="es-ES" w:eastAsia="en-US"/>
        </w:rPr>
        <w:t xml:space="preserve">Introducción: </w:t>
      </w:r>
      <w:r w:rsidRPr="00D078F1">
        <w:rPr>
          <w:rFonts w:eastAsia="Calibri"/>
          <w:lang w:val="es-ES" w:eastAsia="en-US"/>
        </w:rPr>
        <w:t>Los trastornos quimiosensoriales se han identificado como síntomas típicos de la COVID</w:t>
      </w:r>
      <w:r w:rsidR="00052DA1">
        <w:rPr>
          <w:rFonts w:eastAsia="Calibri"/>
          <w:lang w:val="es-ES" w:eastAsia="en-US"/>
        </w:rPr>
        <w:t>-</w:t>
      </w:r>
      <w:r w:rsidRPr="00D078F1">
        <w:rPr>
          <w:rFonts w:eastAsia="Calibri"/>
          <w:lang w:val="es-ES" w:eastAsia="en-US"/>
        </w:rPr>
        <w:t xml:space="preserve">19. </w:t>
      </w:r>
    </w:p>
    <w:p w14:paraId="2CFD0190" w14:textId="77777777" w:rsidR="00D078F1" w:rsidRPr="00D078F1" w:rsidRDefault="00D078F1" w:rsidP="00D078F1">
      <w:pPr>
        <w:spacing w:line="360" w:lineRule="auto"/>
        <w:jc w:val="both"/>
        <w:rPr>
          <w:rFonts w:eastAsia="Calibri"/>
          <w:lang w:val="es-ES" w:eastAsia="en-US"/>
        </w:rPr>
      </w:pPr>
      <w:r w:rsidRPr="00D078F1">
        <w:rPr>
          <w:rFonts w:eastAsia="Calibri"/>
          <w:b/>
          <w:lang w:val="es-ES" w:eastAsia="en-US"/>
        </w:rPr>
        <w:t xml:space="preserve">Objetivo: </w:t>
      </w:r>
      <w:r w:rsidRPr="00D078F1">
        <w:rPr>
          <w:rFonts w:eastAsia="Calibri"/>
          <w:lang w:val="es-ES" w:eastAsia="en-US"/>
        </w:rPr>
        <w:t>Caracterizar</w:t>
      </w:r>
      <w:r w:rsidRPr="00D078F1">
        <w:rPr>
          <w:rFonts w:eastAsia="Calibri"/>
          <w:bCs/>
          <w:lang w:val="es-ES" w:eastAsia="en-US"/>
        </w:rPr>
        <w:t xml:space="preserve"> a </w:t>
      </w:r>
      <w:r w:rsidRPr="00D078F1">
        <w:rPr>
          <w:rFonts w:eastAsia="Calibri"/>
          <w:lang w:val="es-ES" w:eastAsia="en-US"/>
        </w:rPr>
        <w:t xml:space="preserve">pacientes con la COVID-19 y trastornos quimiosensoriales referidos.  </w:t>
      </w:r>
    </w:p>
    <w:p w14:paraId="0131CE74" w14:textId="18BE0CD5" w:rsidR="00D078F1" w:rsidRPr="00D078F1" w:rsidRDefault="00D078F1" w:rsidP="00D078F1">
      <w:pPr>
        <w:autoSpaceDE w:val="0"/>
        <w:autoSpaceDN w:val="0"/>
        <w:adjustRightInd w:val="0"/>
        <w:spacing w:line="360" w:lineRule="auto"/>
        <w:jc w:val="both"/>
        <w:rPr>
          <w:rFonts w:eastAsia="Calibri"/>
          <w:lang w:val="es-ES" w:eastAsia="en-US"/>
        </w:rPr>
      </w:pPr>
      <w:r w:rsidRPr="00D078F1">
        <w:rPr>
          <w:rFonts w:eastAsia="Calibri"/>
          <w:b/>
          <w:lang w:val="es-ES" w:eastAsia="en-US"/>
        </w:rPr>
        <w:t xml:space="preserve">Métodos: </w:t>
      </w:r>
      <w:r w:rsidRPr="00D078F1">
        <w:rPr>
          <w:rFonts w:eastAsia="Calibri"/>
          <w:lang w:val="es-ES" w:eastAsia="en-US"/>
        </w:rPr>
        <w:t>Se incluyeron 152 pacientes hospitalizados, positivos a</w:t>
      </w:r>
      <w:r w:rsidRPr="00D078F1">
        <w:rPr>
          <w:rFonts w:eastAsia="Calibri"/>
          <w:b/>
          <w:lang w:val="es-ES" w:eastAsia="en-US"/>
        </w:rPr>
        <w:t xml:space="preserve"> </w:t>
      </w:r>
      <w:r w:rsidRPr="00D078F1">
        <w:rPr>
          <w:rFonts w:eastAsia="Calibri"/>
          <w:lang w:val="es-ES" w:eastAsia="en-US"/>
        </w:rPr>
        <w:t>la COVID-19, con trastornos quimiosensoriales referidos. Se estudiaron variables clínicas y epidemiológicas, marcadores de inflamación, radiografía de tórax y tratamiento emplead</w:t>
      </w:r>
      <w:r w:rsidR="009F3CD9">
        <w:rPr>
          <w:rFonts w:eastAsia="Calibri"/>
          <w:lang w:val="es-ES" w:eastAsia="en-US"/>
        </w:rPr>
        <w:t>o</w:t>
      </w:r>
      <w:r w:rsidRPr="00D078F1">
        <w:rPr>
          <w:rFonts w:eastAsia="Calibri"/>
          <w:lang w:val="es-ES" w:eastAsia="en-US"/>
        </w:rPr>
        <w:t>.</w:t>
      </w:r>
    </w:p>
    <w:p w14:paraId="6EC9E326" w14:textId="77777777" w:rsidR="00D078F1" w:rsidRPr="00D078F1" w:rsidRDefault="00D078F1" w:rsidP="00D078F1">
      <w:pPr>
        <w:spacing w:line="360" w:lineRule="auto"/>
        <w:jc w:val="both"/>
        <w:rPr>
          <w:rFonts w:eastAsia="Calibri"/>
          <w:lang w:val="es-ES" w:eastAsia="en-US"/>
        </w:rPr>
      </w:pPr>
      <w:r w:rsidRPr="00D078F1">
        <w:rPr>
          <w:rFonts w:eastAsia="Calibri"/>
          <w:b/>
          <w:lang w:val="es-ES" w:eastAsia="en-US"/>
        </w:rPr>
        <w:t>Resultados:</w:t>
      </w:r>
      <w:r w:rsidRPr="00D078F1">
        <w:rPr>
          <w:rFonts w:eastAsia="Calibri"/>
          <w:lang w:val="es-ES" w:eastAsia="en-US"/>
        </w:rPr>
        <w:t xml:space="preserve"> La edad promedio fue 40,2 años, el sexo femenino </w:t>
      </w:r>
      <w:r w:rsidRPr="00D078F1">
        <w:rPr>
          <w:rFonts w:eastAsia="Calibri"/>
          <w:color w:val="000000"/>
          <w:lang w:val="es-ES" w:eastAsia="en-US"/>
        </w:rPr>
        <w:t xml:space="preserve">59,2 % y </w:t>
      </w:r>
      <w:r w:rsidRPr="00D078F1">
        <w:rPr>
          <w:rFonts w:eastAsia="Calibri"/>
          <w:lang w:val="es-ES" w:eastAsia="en-US"/>
        </w:rPr>
        <w:t>predominó el antecedente, contacto de caso confirmado (</w:t>
      </w:r>
      <w:r w:rsidRPr="00D078F1">
        <w:rPr>
          <w:rFonts w:eastAsia="Calibri"/>
          <w:color w:val="000000"/>
          <w:lang w:val="es-ES" w:eastAsia="en-US"/>
        </w:rPr>
        <w:t>62,5 %)</w:t>
      </w:r>
      <w:r w:rsidRPr="00D078F1">
        <w:rPr>
          <w:rFonts w:eastAsia="Calibri"/>
          <w:lang w:val="es-ES" w:eastAsia="en-US"/>
        </w:rPr>
        <w:t>, con anosmia (95,7 %), ageusia (93,3 %), sin comorbilidades (</w:t>
      </w:r>
      <w:r w:rsidRPr="00D078F1">
        <w:rPr>
          <w:rFonts w:eastAsia="Calibri"/>
          <w:color w:val="000000"/>
          <w:lang w:val="es-ES" w:eastAsia="en-US"/>
        </w:rPr>
        <w:t>53,3 %</w:t>
      </w:r>
      <w:r w:rsidRPr="00D078F1">
        <w:rPr>
          <w:rFonts w:eastAsia="Calibri"/>
          <w:lang w:val="es-ES" w:eastAsia="en-US"/>
        </w:rPr>
        <w:t xml:space="preserve">) y ausencia de síntomas acompañantes (36,8 %). En pacientes con fuente de infección indeterminada, la confirmación fue tardía (3,89 días); </w:t>
      </w:r>
      <w:r w:rsidRPr="00D078F1">
        <w:rPr>
          <w:rFonts w:eastAsia="Calibri"/>
          <w:color w:val="000000"/>
          <w:lang w:val="es-ES" w:eastAsia="en-US"/>
        </w:rPr>
        <w:t xml:space="preserve">no hubo diferencias significativas entre quienes </w:t>
      </w:r>
      <w:r w:rsidRPr="00D078F1">
        <w:rPr>
          <w:rFonts w:eastAsia="Calibri"/>
          <w:color w:val="000000"/>
          <w:lang w:val="es-ES" w:eastAsia="en-US"/>
        </w:rPr>
        <w:lastRenderedPageBreak/>
        <w:t>presentaron uno o ambos trastornos (p= 0,053), ni entre quienes presentaron o no síntomas asociados (p= 0,14).</w:t>
      </w:r>
      <w:r w:rsidRPr="00D078F1">
        <w:rPr>
          <w:rFonts w:eastAsia="Calibri"/>
          <w:lang w:val="es-ES" w:eastAsia="en-US"/>
        </w:rPr>
        <w:t xml:space="preserve"> En el 2 % el índice de neutrófilos fue mayor de 4; el 3,3 % presentó conteo absoluto de linfocitos inferior a 1500 x 10</w:t>
      </w:r>
      <w:r w:rsidRPr="00D078F1">
        <w:rPr>
          <w:rFonts w:eastAsia="Calibri"/>
          <w:vertAlign w:val="superscript"/>
          <w:lang w:val="es-ES" w:eastAsia="en-US"/>
        </w:rPr>
        <w:t>9</w:t>
      </w:r>
      <w:r w:rsidRPr="00D078F1">
        <w:rPr>
          <w:rFonts w:eastAsia="Calibri"/>
          <w:lang w:val="es-ES" w:eastAsia="en-US"/>
        </w:rPr>
        <w:t>/L y el 68,4 % no mostró alteración radiológica. Requirió antimicrobianos el 5,9 % e inmunomoduladores, el 5,3 %; el 1,3 % ingresó en cuidados intensivos. La mayoría (95,4 %) egresó de alta clínica y el 1,3 % falleció.</w:t>
      </w:r>
    </w:p>
    <w:p w14:paraId="521C0CAF" w14:textId="730E75BE" w:rsidR="00D078F1" w:rsidRPr="00D078F1" w:rsidRDefault="00D078F1" w:rsidP="00D078F1">
      <w:pPr>
        <w:spacing w:line="360" w:lineRule="auto"/>
        <w:jc w:val="both"/>
        <w:rPr>
          <w:rFonts w:eastAsia="Calibri"/>
          <w:lang w:val="es-ES" w:eastAsia="en-US"/>
        </w:rPr>
      </w:pPr>
      <w:r w:rsidRPr="00D078F1">
        <w:rPr>
          <w:rFonts w:eastAsia="Calibri"/>
          <w:b/>
          <w:lang w:val="es-ES" w:eastAsia="en-US"/>
        </w:rPr>
        <w:t xml:space="preserve">Conclusiones: </w:t>
      </w:r>
      <w:r w:rsidRPr="00D078F1">
        <w:rPr>
          <w:rFonts w:eastAsia="Calibri"/>
          <w:lang w:val="es-ES" w:eastAsia="en-US"/>
        </w:rPr>
        <w:t xml:space="preserve">Predomina el sexo femenino, con ageusia o anosmia; quienes no tienen el antecedente epidemiológico, se diagnostican con dilación. No hay diferencias al buscar atención, por uno o ambos trastornos, ni por síntomas acompañantes. </w:t>
      </w:r>
      <w:r w:rsidR="00FF54D2" w:rsidRPr="00FF54D2">
        <w:rPr>
          <w:rFonts w:eastAsia="Calibri"/>
          <w:lang w:val="es-ES" w:eastAsia="en-US"/>
        </w:rPr>
        <w:t>Los trastornos quimiosensoriales se refieren más en ausencia de complicaciones y cuadros graves.</w:t>
      </w:r>
      <w:r w:rsidRPr="00D078F1">
        <w:rPr>
          <w:rFonts w:eastAsia="Calibri"/>
          <w:lang w:val="es-ES" w:eastAsia="en-US"/>
        </w:rPr>
        <w:t xml:space="preserve"> Quienes los refieren espontáneamente, son generalmente personas saludables y oligosintomáticas.</w:t>
      </w:r>
    </w:p>
    <w:p w14:paraId="191F7FE6" w14:textId="77777777" w:rsidR="00D078F1" w:rsidRPr="00D078F1" w:rsidRDefault="00D078F1" w:rsidP="00D078F1">
      <w:pPr>
        <w:spacing w:line="360" w:lineRule="auto"/>
        <w:jc w:val="both"/>
        <w:rPr>
          <w:rFonts w:eastAsia="Calibri"/>
          <w:lang w:val="es-ES" w:eastAsia="en-US"/>
        </w:rPr>
      </w:pPr>
      <w:r w:rsidRPr="00D078F1">
        <w:rPr>
          <w:rFonts w:eastAsia="Calibri"/>
          <w:b/>
          <w:lang w:val="es-ES" w:eastAsia="en-US"/>
        </w:rPr>
        <w:t xml:space="preserve">Palabras clave: </w:t>
      </w:r>
      <w:r w:rsidRPr="00D078F1">
        <w:rPr>
          <w:rFonts w:eastAsia="Calibri"/>
          <w:lang w:val="es-ES" w:eastAsia="en-US"/>
        </w:rPr>
        <w:t xml:space="preserve">COVID-19; SARS-CoV-2; trastornos del olfato; trastornos del gusto; anosmia; ageusia. </w:t>
      </w:r>
    </w:p>
    <w:p w14:paraId="687A6ABA" w14:textId="77777777" w:rsidR="00D078F1" w:rsidRPr="00D078F1" w:rsidRDefault="00D078F1" w:rsidP="00D078F1">
      <w:pPr>
        <w:spacing w:line="360" w:lineRule="auto"/>
        <w:jc w:val="both"/>
        <w:rPr>
          <w:rFonts w:eastAsia="Calibri"/>
          <w:b/>
          <w:lang w:val="es-ES" w:eastAsia="en-US"/>
        </w:rPr>
      </w:pPr>
    </w:p>
    <w:p w14:paraId="3B5D490C" w14:textId="77777777" w:rsidR="00D078F1" w:rsidRPr="00D078F1" w:rsidRDefault="00D078F1" w:rsidP="00D078F1">
      <w:pPr>
        <w:spacing w:line="360" w:lineRule="auto"/>
        <w:jc w:val="both"/>
        <w:rPr>
          <w:rFonts w:eastAsia="Calibri"/>
          <w:b/>
          <w:lang w:val="en-US" w:eastAsia="en-US"/>
        </w:rPr>
      </w:pPr>
      <w:r w:rsidRPr="00D078F1">
        <w:rPr>
          <w:rFonts w:eastAsia="Calibri"/>
          <w:b/>
          <w:lang w:val="en-US" w:eastAsia="en-US"/>
        </w:rPr>
        <w:t>ABSTRACT</w:t>
      </w:r>
    </w:p>
    <w:p w14:paraId="04C82548" w14:textId="77777777" w:rsidR="00D078F1" w:rsidRPr="00D078F1" w:rsidRDefault="00D078F1" w:rsidP="00D078F1">
      <w:pPr>
        <w:spacing w:line="360" w:lineRule="auto"/>
        <w:jc w:val="both"/>
        <w:rPr>
          <w:rFonts w:eastAsia="Calibri"/>
          <w:bCs/>
          <w:lang w:val="en-US" w:eastAsia="en-US"/>
        </w:rPr>
      </w:pPr>
      <w:r w:rsidRPr="00D078F1">
        <w:rPr>
          <w:rFonts w:eastAsia="Calibri"/>
          <w:b/>
          <w:lang w:val="en-US" w:eastAsia="en-US"/>
        </w:rPr>
        <w:t>Introduction:</w:t>
      </w:r>
      <w:r w:rsidRPr="00D078F1">
        <w:rPr>
          <w:rFonts w:eastAsia="Calibri"/>
          <w:bCs/>
          <w:lang w:val="en-US" w:eastAsia="en-US"/>
        </w:rPr>
        <w:t xml:space="preserve"> Chemosensory disorders have been identified as typical symptoms of COVID-19.</w:t>
      </w:r>
    </w:p>
    <w:p w14:paraId="0D4AFF6B" w14:textId="77777777" w:rsidR="00D078F1" w:rsidRPr="00D078F1" w:rsidRDefault="00D078F1" w:rsidP="00D078F1">
      <w:pPr>
        <w:spacing w:line="360" w:lineRule="auto"/>
        <w:jc w:val="both"/>
        <w:rPr>
          <w:rFonts w:eastAsia="Calibri"/>
          <w:bCs/>
          <w:lang w:val="en-US" w:eastAsia="en-US"/>
        </w:rPr>
      </w:pPr>
      <w:r w:rsidRPr="00D078F1">
        <w:rPr>
          <w:rFonts w:eastAsia="Calibri"/>
          <w:b/>
          <w:lang w:val="en-US" w:eastAsia="en-US"/>
        </w:rPr>
        <w:t>Objective:</w:t>
      </w:r>
      <w:r w:rsidRPr="00D078F1">
        <w:rPr>
          <w:rFonts w:eastAsia="Calibri"/>
          <w:bCs/>
          <w:lang w:val="en-US" w:eastAsia="en-US"/>
        </w:rPr>
        <w:t xml:space="preserve"> To characterize patients with COVID-19 and referred chemosensory disorders.</w:t>
      </w:r>
    </w:p>
    <w:p w14:paraId="1135718F" w14:textId="0763BB8A" w:rsidR="00D078F1" w:rsidRPr="00D078F1" w:rsidRDefault="00D078F1" w:rsidP="00D078F1">
      <w:pPr>
        <w:spacing w:line="360" w:lineRule="auto"/>
        <w:jc w:val="both"/>
        <w:rPr>
          <w:rFonts w:eastAsia="Calibri"/>
          <w:bCs/>
          <w:lang w:val="en-US" w:eastAsia="en-US"/>
        </w:rPr>
      </w:pPr>
      <w:r w:rsidRPr="00D078F1">
        <w:rPr>
          <w:rFonts w:eastAsia="Calibri"/>
          <w:b/>
          <w:lang w:val="en-US" w:eastAsia="en-US"/>
        </w:rPr>
        <w:t>Methods:</w:t>
      </w:r>
      <w:r w:rsidRPr="00D078F1">
        <w:rPr>
          <w:rFonts w:eastAsia="Calibri"/>
          <w:bCs/>
          <w:lang w:val="en-US" w:eastAsia="en-US"/>
        </w:rPr>
        <w:t xml:space="preserve"> </w:t>
      </w:r>
      <w:r w:rsidR="009F3CD9" w:rsidRPr="009F3CD9">
        <w:rPr>
          <w:rFonts w:eastAsia="Calibri"/>
          <w:bCs/>
          <w:lang w:val="en-US" w:eastAsia="en-US"/>
        </w:rPr>
        <w:t>One hundred and fifty-two</w:t>
      </w:r>
      <w:r w:rsidRPr="00D078F1">
        <w:rPr>
          <w:rFonts w:eastAsia="Calibri"/>
          <w:bCs/>
          <w:lang w:val="en-US" w:eastAsia="en-US"/>
        </w:rPr>
        <w:t xml:space="preserve"> hospitalized patients, positive for COVID-19, with referred chemosensory disorders were included. Clinical and epidemiological variables, inflammation markers, chest X-ray and treatment used were studied.</w:t>
      </w:r>
    </w:p>
    <w:p w14:paraId="4A522B94" w14:textId="71DCDE92" w:rsidR="00D078F1" w:rsidRPr="00D078F1" w:rsidRDefault="00D078F1" w:rsidP="00D078F1">
      <w:pPr>
        <w:spacing w:line="360" w:lineRule="auto"/>
        <w:jc w:val="both"/>
        <w:rPr>
          <w:rFonts w:eastAsia="Calibri"/>
          <w:bCs/>
          <w:lang w:val="en-US" w:eastAsia="en-US"/>
        </w:rPr>
      </w:pPr>
      <w:r w:rsidRPr="00D078F1">
        <w:rPr>
          <w:rFonts w:eastAsia="Calibri"/>
          <w:b/>
          <w:lang w:val="en-US" w:eastAsia="en-US"/>
        </w:rPr>
        <w:t>Results:</w:t>
      </w:r>
      <w:r w:rsidRPr="00D078F1">
        <w:rPr>
          <w:rFonts w:eastAsia="Calibri"/>
          <w:bCs/>
          <w:lang w:val="en-US" w:eastAsia="en-US"/>
        </w:rPr>
        <w:t xml:space="preserve"> </w:t>
      </w:r>
      <w:r w:rsidR="009C7402" w:rsidRPr="009C7402">
        <w:rPr>
          <w:rFonts w:eastAsia="Calibri"/>
          <w:bCs/>
          <w:lang w:val="en-US" w:eastAsia="en-US"/>
        </w:rPr>
        <w:t>The average age was 40.2 years, the female sex 59.2%. The antecedent of confirmed case contact (62.5 %), anosmia (95.7 %), ageusia (93.3 %), and the absence of comorbidities (53.3 %) and accompanying symptoms (36.8 %), prevailed. In patients with an indeterminate source of infection, confirmation was late (3.89 days); there were no significant differences between those who presented one or both disorders (p = 0.053), nor between those who did or did not present associated symptoms (p</w:t>
      </w:r>
      <w:r w:rsidR="00EF6F56">
        <w:rPr>
          <w:rFonts w:eastAsia="Calibri"/>
          <w:bCs/>
          <w:lang w:val="en-US" w:eastAsia="en-US"/>
        </w:rPr>
        <w:t> </w:t>
      </w:r>
      <w:r w:rsidR="009C7402" w:rsidRPr="009C7402">
        <w:rPr>
          <w:rFonts w:eastAsia="Calibri"/>
          <w:bCs/>
          <w:lang w:val="en-US" w:eastAsia="en-US"/>
        </w:rPr>
        <w:t>=</w:t>
      </w:r>
      <w:r w:rsidR="00EF6F56">
        <w:rPr>
          <w:rFonts w:eastAsia="Calibri"/>
          <w:bCs/>
          <w:lang w:val="en-US" w:eastAsia="en-US"/>
        </w:rPr>
        <w:t> </w:t>
      </w:r>
      <w:r w:rsidR="009C7402" w:rsidRPr="009C7402">
        <w:rPr>
          <w:rFonts w:eastAsia="Calibri"/>
          <w:bCs/>
          <w:lang w:val="en-US" w:eastAsia="en-US"/>
        </w:rPr>
        <w:t>0.14). In 2 % the neutrophil index was greater than 4; 3.3 % had an absolute lymphocyte count lower than 1500x106/L and 68.4 % did not show radiological alteration. Antimicrobials were required in 5.9</w:t>
      </w:r>
      <w:r w:rsidR="00C17BF3">
        <w:rPr>
          <w:rFonts w:eastAsia="Calibri"/>
          <w:bCs/>
          <w:lang w:val="en-US" w:eastAsia="en-US"/>
        </w:rPr>
        <w:t> </w:t>
      </w:r>
      <w:r w:rsidR="009C7402" w:rsidRPr="009C7402">
        <w:rPr>
          <w:rFonts w:eastAsia="Calibri"/>
          <w:bCs/>
          <w:lang w:val="en-US" w:eastAsia="en-US"/>
        </w:rPr>
        <w:t>% and immunomodulators in 5.3 %; 1.3 % were admitted to intensive care. Most (95.4 %) were discharged from the clinic and 1.3 % died.</w:t>
      </w:r>
    </w:p>
    <w:p w14:paraId="4D5EA22F" w14:textId="2B6B3F89" w:rsidR="00D078F1" w:rsidRPr="00D078F1" w:rsidRDefault="00D078F1" w:rsidP="0055192C">
      <w:pPr>
        <w:spacing w:line="360" w:lineRule="auto"/>
        <w:jc w:val="both"/>
        <w:rPr>
          <w:rFonts w:eastAsia="Calibri"/>
          <w:bCs/>
          <w:color w:val="000000"/>
          <w:lang w:val="en-US" w:eastAsia="en-US"/>
        </w:rPr>
      </w:pPr>
      <w:r w:rsidRPr="00D078F1">
        <w:rPr>
          <w:rFonts w:eastAsia="Calibri"/>
          <w:b/>
          <w:lang w:val="en-US" w:eastAsia="en-US"/>
        </w:rPr>
        <w:t>Conclusions:</w:t>
      </w:r>
      <w:r w:rsidRPr="00D078F1">
        <w:rPr>
          <w:rFonts w:eastAsia="Calibri"/>
          <w:bCs/>
          <w:lang w:val="en-US" w:eastAsia="en-US"/>
        </w:rPr>
        <w:t xml:space="preserve"> The female sex predominates, with ageusia or anosmia; </w:t>
      </w:r>
      <w:r w:rsidR="00FB33C1" w:rsidRPr="00FB33C1">
        <w:rPr>
          <w:rFonts w:eastAsia="Calibri"/>
          <w:bCs/>
          <w:lang w:val="en-US" w:eastAsia="en-US"/>
        </w:rPr>
        <w:t>those who do not have an epidemiological background are diagnosed with delay.</w:t>
      </w:r>
      <w:r w:rsidRPr="00D078F1">
        <w:rPr>
          <w:rFonts w:eastAsia="Calibri"/>
          <w:bCs/>
          <w:lang w:val="en-US" w:eastAsia="en-US"/>
        </w:rPr>
        <w:t xml:space="preserve"> There are no differences in seeking care, for one </w:t>
      </w:r>
      <w:r w:rsidRPr="00D078F1">
        <w:rPr>
          <w:rFonts w:eastAsia="Calibri"/>
          <w:bCs/>
          <w:lang w:val="en-US" w:eastAsia="en-US"/>
        </w:rPr>
        <w:lastRenderedPageBreak/>
        <w:t xml:space="preserve">or both disorders, or for accompanying symptoms. </w:t>
      </w:r>
      <w:r w:rsidR="0055192C" w:rsidRPr="0055192C">
        <w:rPr>
          <w:rFonts w:eastAsia="Calibri"/>
          <w:bCs/>
          <w:lang w:val="en-US" w:eastAsia="en-US"/>
        </w:rPr>
        <w:t>Chemosensory disorders are</w:t>
      </w:r>
      <w:r w:rsidR="0055192C">
        <w:rPr>
          <w:rFonts w:eastAsia="Calibri"/>
          <w:bCs/>
          <w:lang w:val="en-US" w:eastAsia="en-US"/>
        </w:rPr>
        <w:t xml:space="preserve"> </w:t>
      </w:r>
      <w:r w:rsidR="0055192C" w:rsidRPr="0055192C">
        <w:rPr>
          <w:rFonts w:eastAsia="Calibri"/>
          <w:bCs/>
          <w:lang w:val="en-US" w:eastAsia="en-US"/>
        </w:rPr>
        <w:t>more referred in the absence of complications and severe disease</w:t>
      </w:r>
      <w:r w:rsidRPr="00D078F1">
        <w:rPr>
          <w:rFonts w:eastAsia="Calibri"/>
          <w:bCs/>
          <w:lang w:val="en-US" w:eastAsia="en-US"/>
        </w:rPr>
        <w:t>. Those who refer them spontaneously are generally healthy and oligosymptomatic people.</w:t>
      </w:r>
    </w:p>
    <w:p w14:paraId="4280C19C" w14:textId="77777777" w:rsidR="00D078F1" w:rsidRPr="00D078F1" w:rsidRDefault="00D078F1" w:rsidP="00D078F1">
      <w:pPr>
        <w:spacing w:line="360" w:lineRule="auto"/>
        <w:jc w:val="both"/>
        <w:rPr>
          <w:rFonts w:eastAsia="Calibri"/>
          <w:lang w:val="en-US" w:eastAsia="en-US"/>
        </w:rPr>
      </w:pPr>
      <w:r w:rsidRPr="00D078F1">
        <w:rPr>
          <w:rFonts w:eastAsia="Calibri"/>
          <w:b/>
          <w:lang w:val="en-US" w:eastAsia="en-US"/>
        </w:rPr>
        <w:t xml:space="preserve">Keywords: </w:t>
      </w:r>
      <w:r w:rsidRPr="00D078F1">
        <w:rPr>
          <w:rFonts w:eastAsia="Calibri"/>
          <w:lang w:val="en-US" w:eastAsia="en-US"/>
        </w:rPr>
        <w:t xml:space="preserve">COVID-19; SARS-CoV-2; smell disorders; taste disorders; anosmia; ageusia.  </w:t>
      </w:r>
    </w:p>
    <w:p w14:paraId="60906406" w14:textId="77777777" w:rsidR="00D078F1" w:rsidRPr="00D078F1" w:rsidRDefault="00D078F1" w:rsidP="00D078F1">
      <w:pPr>
        <w:spacing w:line="360" w:lineRule="auto"/>
        <w:jc w:val="both"/>
        <w:rPr>
          <w:rFonts w:eastAsia="Calibri"/>
          <w:lang w:val="en-US" w:eastAsia="en-US"/>
        </w:rPr>
      </w:pPr>
    </w:p>
    <w:p w14:paraId="1E5A18AB" w14:textId="77777777" w:rsidR="00D078F1" w:rsidRPr="00D078F1" w:rsidRDefault="00D078F1" w:rsidP="00D078F1">
      <w:pPr>
        <w:spacing w:line="360" w:lineRule="auto"/>
        <w:jc w:val="both"/>
        <w:rPr>
          <w:rFonts w:eastAsia="Calibri"/>
          <w:lang w:val="en-US" w:eastAsia="en-US"/>
        </w:rPr>
      </w:pPr>
    </w:p>
    <w:p w14:paraId="01710D79" w14:textId="77777777" w:rsidR="00D078F1" w:rsidRPr="00D078F1" w:rsidRDefault="00D078F1" w:rsidP="00D078F1">
      <w:pPr>
        <w:spacing w:line="360" w:lineRule="auto"/>
        <w:jc w:val="both"/>
        <w:rPr>
          <w:rFonts w:eastAsia="Calibri"/>
          <w:lang w:val="es-CU" w:eastAsia="en-US"/>
        </w:rPr>
      </w:pPr>
      <w:r w:rsidRPr="00D078F1">
        <w:rPr>
          <w:rFonts w:eastAsia="Calibri"/>
          <w:lang w:val="es-CU" w:eastAsia="en-US"/>
        </w:rPr>
        <w:t>Recibido: 18/07/2021</w:t>
      </w:r>
    </w:p>
    <w:p w14:paraId="691E9B05" w14:textId="77777777" w:rsidR="00D078F1" w:rsidRPr="00D078F1" w:rsidRDefault="00D078F1" w:rsidP="00D078F1">
      <w:pPr>
        <w:spacing w:line="360" w:lineRule="auto"/>
        <w:jc w:val="both"/>
        <w:rPr>
          <w:rFonts w:eastAsia="Calibri"/>
          <w:color w:val="000000"/>
          <w:lang w:val="es-CU" w:eastAsia="en-US"/>
        </w:rPr>
      </w:pPr>
      <w:r w:rsidRPr="00D078F1">
        <w:rPr>
          <w:rFonts w:eastAsia="Calibri"/>
          <w:lang w:val="es-CU" w:eastAsia="en-US"/>
        </w:rPr>
        <w:t>Aprobado: 22/10/2021</w:t>
      </w:r>
    </w:p>
    <w:p w14:paraId="562DF445" w14:textId="77777777" w:rsidR="00D078F1" w:rsidRPr="00D078F1" w:rsidRDefault="00D078F1" w:rsidP="00D078F1">
      <w:pPr>
        <w:spacing w:line="360" w:lineRule="auto"/>
        <w:jc w:val="both"/>
        <w:rPr>
          <w:rFonts w:eastAsia="Calibri"/>
          <w:b/>
          <w:lang w:val="es-CU" w:eastAsia="en-US"/>
        </w:rPr>
      </w:pPr>
    </w:p>
    <w:p w14:paraId="3C00DE1F" w14:textId="77777777" w:rsidR="00D078F1" w:rsidRPr="00D078F1" w:rsidRDefault="00D078F1" w:rsidP="00D078F1">
      <w:pPr>
        <w:spacing w:line="360" w:lineRule="auto"/>
        <w:jc w:val="center"/>
        <w:rPr>
          <w:rFonts w:eastAsia="Calibri"/>
          <w:b/>
          <w:lang w:val="es-ES" w:eastAsia="en-US"/>
        </w:rPr>
      </w:pPr>
    </w:p>
    <w:p w14:paraId="08562A0D" w14:textId="77777777" w:rsidR="00D078F1" w:rsidRPr="00D078F1" w:rsidRDefault="00D078F1" w:rsidP="00D078F1">
      <w:pPr>
        <w:spacing w:line="360" w:lineRule="auto"/>
        <w:jc w:val="center"/>
        <w:rPr>
          <w:rFonts w:eastAsia="Calibri"/>
          <w:b/>
          <w:sz w:val="32"/>
          <w:szCs w:val="32"/>
          <w:lang w:val="es-ES" w:eastAsia="en-US"/>
        </w:rPr>
      </w:pPr>
      <w:r w:rsidRPr="00D078F1">
        <w:rPr>
          <w:rFonts w:eastAsia="Calibri"/>
          <w:b/>
          <w:sz w:val="32"/>
          <w:szCs w:val="32"/>
          <w:lang w:val="es-ES" w:eastAsia="en-US"/>
        </w:rPr>
        <w:t>INTRODUCCIÓN</w:t>
      </w:r>
    </w:p>
    <w:p w14:paraId="6C97DF94"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Para identificar pacientes con la COVID-19, es importante la caracterización clínica de la enfermedad. Esta se puede manifestar en un espectro que va desde la presentación asintomática hasta el fallo respiratorio. Entre los síntomas más comunes se han reportado los trastornos quimiosensoriales (TQS), referidos a las alteraciones del olfato y el gusto, y que se han considerado signos mayores.</w:t>
      </w:r>
      <w:r w:rsidRPr="00D078F1">
        <w:rPr>
          <w:rFonts w:eastAsia="Calibri"/>
          <w:vertAlign w:val="superscript"/>
          <w:lang w:val="es-ES" w:eastAsia="en-US"/>
        </w:rPr>
        <w:t xml:space="preserve">(1,2,3) </w:t>
      </w:r>
    </w:p>
    <w:p w14:paraId="19692D13"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Se ha observado que las células sustentaculares, que mantienen la integridad de las neuronas sensoriales olfatorias, expresan receptores de la proteasa transmembrana de serina 2 (TMPRSS2) y la enzima convertidora de angiotensina 2 (ACE2), esenciales en la unión y entrada del SARS-CoV-2 en las células humanas.</w:t>
      </w:r>
      <w:r w:rsidRPr="00D078F1">
        <w:rPr>
          <w:rFonts w:eastAsia="Calibri"/>
          <w:vertAlign w:val="superscript"/>
          <w:lang w:val="es-ES" w:eastAsia="en-US"/>
        </w:rPr>
        <w:t>(4,5)</w:t>
      </w:r>
      <w:r w:rsidRPr="00D078F1">
        <w:rPr>
          <w:rFonts w:eastAsia="Calibri"/>
          <w:lang w:val="es-ES" w:eastAsia="en-US"/>
        </w:rPr>
        <w:t xml:space="preserve"> También se ha demostrado que los receptores de ACE2 se expresan de forma difusa por toda la cavidad oral, en especial en la lengua y que los fármacos bloqueadores del receptor de angiotensina II y los inhibidores de la ACE2, presentan efectos adversos relacionados con </w:t>
      </w:r>
      <w:r w:rsidRPr="00D078F1">
        <w:rPr>
          <w:rFonts w:eastAsia="Calibri"/>
          <w:color w:val="000000"/>
          <w:lang w:val="es-ES" w:eastAsia="en-US"/>
        </w:rPr>
        <w:t>TQS</w:t>
      </w:r>
      <w:r w:rsidRPr="00D078F1">
        <w:rPr>
          <w:rFonts w:eastAsia="Calibri"/>
          <w:lang w:val="es-ES" w:eastAsia="en-US"/>
        </w:rPr>
        <w:t>.</w:t>
      </w:r>
      <w:r w:rsidRPr="00D078F1">
        <w:rPr>
          <w:rFonts w:eastAsia="Calibri"/>
          <w:vertAlign w:val="superscript"/>
          <w:lang w:val="es-ES" w:eastAsia="en-US"/>
        </w:rPr>
        <w:t>(6)</w:t>
      </w:r>
    </w:p>
    <w:p w14:paraId="72F2F290"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 xml:space="preserve">La presencia de TQS en los pacientes con la COVID-19 ha sido ampliamente reportada. A solo 6 meses de los primeros casos en Wuhan, </w:t>
      </w:r>
      <w:r w:rsidRPr="00D078F1">
        <w:rPr>
          <w:rFonts w:eastAsia="Calibri"/>
          <w:i/>
          <w:lang w:val="es-ES" w:eastAsia="en-US"/>
        </w:rPr>
        <w:t>Marchese-Ragona</w:t>
      </w:r>
      <w:r w:rsidRPr="00D078F1">
        <w:rPr>
          <w:rFonts w:eastAsia="Calibri"/>
          <w:lang w:val="es-ES" w:eastAsia="en-US"/>
        </w:rPr>
        <w:t xml:space="preserve"> y otros,</w:t>
      </w:r>
      <w:r w:rsidRPr="00D078F1">
        <w:rPr>
          <w:rFonts w:eastAsia="Calibri"/>
          <w:vertAlign w:val="superscript"/>
          <w:lang w:val="es-ES" w:eastAsia="en-US"/>
        </w:rPr>
        <w:t xml:space="preserve">(7) </w:t>
      </w:r>
      <w:r w:rsidRPr="00D078F1">
        <w:rPr>
          <w:rFonts w:eastAsia="Calibri"/>
          <w:lang w:val="es-ES" w:eastAsia="en-US"/>
        </w:rPr>
        <w:t>en una revisión que  incluyó solo artículos revisados por pares y con más de 10 casos,</w:t>
      </w:r>
      <w:r w:rsidRPr="00D078F1">
        <w:rPr>
          <w:rFonts w:eastAsia="Calibri"/>
          <w:vertAlign w:val="superscript"/>
          <w:lang w:val="es-ES" w:eastAsia="en-US"/>
        </w:rPr>
        <w:t xml:space="preserve"> </w:t>
      </w:r>
      <w:r w:rsidRPr="00D078F1">
        <w:rPr>
          <w:rFonts w:eastAsia="Calibri"/>
          <w:lang w:val="es-ES" w:eastAsia="en-US"/>
        </w:rPr>
        <w:t xml:space="preserve">encontraron 24 publicaciones que reportaban trastornos olfativos. En dos metaanálisis realizados por </w:t>
      </w:r>
      <w:r w:rsidRPr="00D078F1">
        <w:rPr>
          <w:rFonts w:eastAsia="Calibri"/>
          <w:i/>
          <w:lang w:val="es-ES" w:eastAsia="en-US"/>
        </w:rPr>
        <w:t xml:space="preserve">Borsetto </w:t>
      </w:r>
      <w:r w:rsidRPr="00D078F1">
        <w:rPr>
          <w:rFonts w:eastAsia="Calibri"/>
          <w:lang w:val="es-ES" w:eastAsia="en-US"/>
        </w:rPr>
        <w:t>y otros</w:t>
      </w:r>
      <w:r w:rsidRPr="00D078F1">
        <w:rPr>
          <w:rFonts w:eastAsia="Calibri"/>
          <w:vertAlign w:val="superscript"/>
          <w:lang w:val="es-ES" w:eastAsia="en-US"/>
        </w:rPr>
        <w:t xml:space="preserve">(1) </w:t>
      </w:r>
      <w:r w:rsidRPr="00D078F1">
        <w:rPr>
          <w:rFonts w:eastAsia="Calibri"/>
          <w:lang w:val="es-ES" w:eastAsia="en-US"/>
        </w:rPr>
        <w:t xml:space="preserve">e </w:t>
      </w:r>
      <w:r w:rsidRPr="00D078F1">
        <w:rPr>
          <w:rFonts w:eastAsia="Calibri"/>
          <w:i/>
          <w:lang w:val="es-ES" w:eastAsia="en-US"/>
        </w:rPr>
        <w:t xml:space="preserve">Ibekwe </w:t>
      </w:r>
      <w:r w:rsidRPr="00D078F1">
        <w:rPr>
          <w:rFonts w:eastAsia="Calibri"/>
          <w:lang w:val="es-ES" w:eastAsia="en-US"/>
        </w:rPr>
        <w:t>y otros,</w:t>
      </w:r>
      <w:r w:rsidRPr="00D078F1">
        <w:rPr>
          <w:rFonts w:eastAsia="Calibri"/>
          <w:vertAlign w:val="superscript"/>
          <w:lang w:val="es-ES" w:eastAsia="en-US"/>
        </w:rPr>
        <w:t>(8)</w:t>
      </w:r>
      <w:r w:rsidRPr="00D078F1">
        <w:rPr>
          <w:rFonts w:eastAsia="Calibri"/>
          <w:lang w:val="es-ES" w:eastAsia="en-US"/>
        </w:rPr>
        <w:t xml:space="preserve"> se reportaron 18 y 32 artículos, respectivamente. </w:t>
      </w:r>
    </w:p>
    <w:p w14:paraId="6D507525"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 xml:space="preserve">La prevalencia de los </w:t>
      </w:r>
      <w:r w:rsidRPr="00D078F1">
        <w:rPr>
          <w:rFonts w:eastAsia="Calibri"/>
          <w:color w:val="000000"/>
          <w:lang w:val="es-ES" w:eastAsia="en-US"/>
        </w:rPr>
        <w:t xml:space="preserve">TQS </w:t>
      </w:r>
      <w:r w:rsidRPr="00D078F1">
        <w:rPr>
          <w:rFonts w:eastAsia="Calibri"/>
          <w:lang w:val="es-ES" w:eastAsia="en-US"/>
        </w:rPr>
        <w:t xml:space="preserve">en los estudios realizados varía ampliamente. </w:t>
      </w:r>
      <w:r w:rsidRPr="00D078F1">
        <w:rPr>
          <w:rFonts w:eastAsia="Calibri"/>
          <w:i/>
          <w:lang w:val="es-ES" w:eastAsia="en-US"/>
        </w:rPr>
        <w:t>Mao</w:t>
      </w:r>
      <w:r w:rsidRPr="00D078F1">
        <w:rPr>
          <w:rFonts w:eastAsia="Calibri"/>
          <w:lang w:val="es-ES" w:eastAsia="en-US"/>
        </w:rPr>
        <w:t xml:space="preserve"> y otros</w:t>
      </w:r>
      <w:r w:rsidRPr="00D078F1">
        <w:rPr>
          <w:rFonts w:eastAsia="Calibri"/>
          <w:vertAlign w:val="superscript"/>
          <w:lang w:val="es-ES" w:eastAsia="en-US"/>
        </w:rPr>
        <w:t>(9)</w:t>
      </w:r>
      <w:r w:rsidRPr="00D078F1">
        <w:rPr>
          <w:rFonts w:eastAsia="Calibri"/>
          <w:lang w:val="es-ES" w:eastAsia="en-US"/>
        </w:rPr>
        <w:t xml:space="preserve"> reportan 5 %, </w:t>
      </w:r>
      <w:r w:rsidRPr="00D078F1">
        <w:rPr>
          <w:rFonts w:eastAsia="Calibri"/>
          <w:i/>
          <w:lang w:val="es-ES" w:eastAsia="en-US"/>
        </w:rPr>
        <w:t xml:space="preserve">Lee </w:t>
      </w:r>
      <w:r w:rsidRPr="00D078F1">
        <w:rPr>
          <w:rFonts w:eastAsia="Calibri"/>
          <w:lang w:val="es-ES" w:eastAsia="en-US"/>
        </w:rPr>
        <w:t>y otros</w:t>
      </w:r>
      <w:r w:rsidRPr="00D078F1">
        <w:rPr>
          <w:rFonts w:eastAsia="Calibri"/>
          <w:vertAlign w:val="superscript"/>
          <w:lang w:val="es-ES" w:eastAsia="en-US"/>
        </w:rPr>
        <w:t xml:space="preserve">(10) </w:t>
      </w:r>
      <w:r w:rsidRPr="00D078F1">
        <w:rPr>
          <w:rFonts w:eastAsia="Calibri"/>
          <w:lang w:val="es-ES" w:eastAsia="en-US"/>
        </w:rPr>
        <w:t xml:space="preserve">15 %,  </w:t>
      </w:r>
      <w:r w:rsidRPr="00D078F1">
        <w:rPr>
          <w:rFonts w:eastAsia="Calibri"/>
          <w:i/>
          <w:lang w:val="es-ES" w:eastAsia="en-US"/>
        </w:rPr>
        <w:t xml:space="preserve">Menni </w:t>
      </w:r>
      <w:r w:rsidRPr="00D078F1">
        <w:rPr>
          <w:rFonts w:eastAsia="Calibri"/>
          <w:lang w:val="es-ES" w:eastAsia="en-US"/>
        </w:rPr>
        <w:t>y otros</w:t>
      </w:r>
      <w:r w:rsidRPr="00D078F1">
        <w:rPr>
          <w:rFonts w:eastAsia="Calibri"/>
          <w:vertAlign w:val="superscript"/>
          <w:lang w:val="es-ES" w:eastAsia="en-US"/>
        </w:rPr>
        <w:t>(11)</w:t>
      </w:r>
      <w:r w:rsidRPr="00D078F1">
        <w:rPr>
          <w:rFonts w:eastAsia="Calibri"/>
          <w:lang w:val="es-ES" w:eastAsia="en-US"/>
        </w:rPr>
        <w:t xml:space="preserve"> 59 %, </w:t>
      </w:r>
      <w:r w:rsidRPr="00D078F1">
        <w:rPr>
          <w:rFonts w:eastAsia="Calibri"/>
          <w:i/>
          <w:lang w:val="es-ES" w:eastAsia="en-US"/>
        </w:rPr>
        <w:t xml:space="preserve">Lechien </w:t>
      </w:r>
      <w:r w:rsidRPr="00D078F1">
        <w:rPr>
          <w:rFonts w:eastAsia="Calibri"/>
          <w:lang w:val="es-ES" w:eastAsia="en-US"/>
        </w:rPr>
        <w:t>y otros</w:t>
      </w:r>
      <w:r w:rsidRPr="00D078F1">
        <w:rPr>
          <w:rFonts w:eastAsia="Calibri"/>
          <w:vertAlign w:val="superscript"/>
          <w:lang w:val="es-ES" w:eastAsia="en-US"/>
        </w:rPr>
        <w:t>(12)</w:t>
      </w:r>
      <w:r w:rsidRPr="00D078F1">
        <w:rPr>
          <w:rFonts w:eastAsia="Calibri"/>
          <w:lang w:val="es-ES" w:eastAsia="en-US"/>
        </w:rPr>
        <w:t xml:space="preserve"> 85 % y  </w:t>
      </w:r>
      <w:r w:rsidRPr="00D078F1">
        <w:rPr>
          <w:rFonts w:eastAsia="Calibri"/>
          <w:i/>
          <w:lang w:val="es-ES" w:eastAsia="en-US"/>
        </w:rPr>
        <w:t>Moein</w:t>
      </w:r>
      <w:r w:rsidRPr="00D078F1">
        <w:rPr>
          <w:rFonts w:eastAsia="Calibri"/>
          <w:lang w:val="es-ES" w:eastAsia="en-US"/>
        </w:rPr>
        <w:t xml:space="preserve"> y otros</w:t>
      </w:r>
      <w:r w:rsidRPr="00D078F1">
        <w:rPr>
          <w:rFonts w:eastAsia="Calibri"/>
          <w:vertAlign w:val="superscript"/>
          <w:lang w:val="es-ES" w:eastAsia="en-US"/>
        </w:rPr>
        <w:t xml:space="preserve"> (13)</w:t>
      </w:r>
      <w:r w:rsidRPr="00D078F1">
        <w:rPr>
          <w:rFonts w:eastAsia="Calibri"/>
          <w:lang w:val="es-ES" w:eastAsia="en-US"/>
        </w:rPr>
        <w:t xml:space="preserve"> 96 %. También </w:t>
      </w:r>
      <w:r w:rsidRPr="00D078F1">
        <w:rPr>
          <w:rFonts w:eastAsia="Calibri"/>
          <w:lang w:val="es-ES" w:eastAsia="en-US"/>
        </w:rPr>
        <w:lastRenderedPageBreak/>
        <w:t>hay diferencias en las formas de determinar estas alteraciones. Se han identificado a través del propio reporte por los pacientes, encuestas y mediante pruebas psicofísicas.</w:t>
      </w:r>
      <w:r w:rsidRPr="00D078F1">
        <w:rPr>
          <w:rFonts w:eastAsia="Calibri"/>
          <w:vertAlign w:val="superscript"/>
          <w:lang w:val="es-ES" w:eastAsia="en-US"/>
        </w:rPr>
        <w:t xml:space="preserve">(7) </w:t>
      </w:r>
      <w:r w:rsidRPr="00D078F1">
        <w:rPr>
          <w:rFonts w:eastAsia="Calibri"/>
          <w:lang w:val="es-ES" w:eastAsia="en-US"/>
        </w:rPr>
        <w:t xml:space="preserve"> </w:t>
      </w:r>
    </w:p>
    <w:p w14:paraId="42AB0FF1"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Dado que la presencia de TQS se ha convertido en un hecho distintivo de la COVID-19, es importante entender la significación que tienen para los pacientes, para el sistema de vigilancia epidemiológica y para la atención médica de los enfermos.</w:t>
      </w:r>
    </w:p>
    <w:p w14:paraId="378F6200" w14:textId="0F462B1B" w:rsidR="00D078F1" w:rsidRPr="00D078F1" w:rsidRDefault="00F255C6" w:rsidP="00D078F1">
      <w:pPr>
        <w:spacing w:line="360" w:lineRule="auto"/>
        <w:jc w:val="both"/>
        <w:rPr>
          <w:rFonts w:eastAsia="Calibri"/>
          <w:lang w:val="es-ES" w:eastAsia="en-US"/>
        </w:rPr>
      </w:pPr>
      <w:r w:rsidRPr="00F255C6">
        <w:rPr>
          <w:rFonts w:eastAsia="Calibri"/>
          <w:lang w:val="es-ES" w:eastAsia="en-US"/>
        </w:rPr>
        <w:t>El objetivo de este estudio es caracterizar a pacientes con la COVID-19 y trastornos quimiosensoriales referidos</w:t>
      </w:r>
      <w:r w:rsidR="00D078F1" w:rsidRPr="00D078F1">
        <w:rPr>
          <w:rFonts w:eastAsia="Calibri"/>
          <w:lang w:val="es-ES" w:eastAsia="en-US"/>
        </w:rPr>
        <w:t xml:space="preserve">.   </w:t>
      </w:r>
    </w:p>
    <w:p w14:paraId="12AF5E7D" w14:textId="77777777" w:rsidR="00D078F1" w:rsidRPr="00D078F1" w:rsidRDefault="00D078F1" w:rsidP="00D078F1">
      <w:pPr>
        <w:spacing w:line="360" w:lineRule="auto"/>
        <w:jc w:val="both"/>
        <w:rPr>
          <w:rFonts w:eastAsia="Calibri"/>
          <w:lang w:val="es-ES" w:eastAsia="en-US"/>
        </w:rPr>
      </w:pPr>
    </w:p>
    <w:p w14:paraId="6CC895A2" w14:textId="77777777" w:rsidR="00D078F1" w:rsidRPr="00D078F1" w:rsidRDefault="00D078F1" w:rsidP="00D078F1">
      <w:pPr>
        <w:spacing w:line="360" w:lineRule="auto"/>
        <w:jc w:val="center"/>
        <w:rPr>
          <w:rFonts w:eastAsia="Calibri"/>
          <w:b/>
          <w:lang w:val="es-ES" w:eastAsia="en-US"/>
        </w:rPr>
      </w:pPr>
    </w:p>
    <w:p w14:paraId="662158D7" w14:textId="77777777" w:rsidR="00D078F1" w:rsidRPr="00D078F1" w:rsidRDefault="00D078F1" w:rsidP="00D078F1">
      <w:pPr>
        <w:spacing w:line="360" w:lineRule="auto"/>
        <w:jc w:val="center"/>
        <w:rPr>
          <w:rFonts w:eastAsia="Calibri"/>
          <w:b/>
          <w:sz w:val="32"/>
          <w:szCs w:val="32"/>
          <w:lang w:val="es-ES" w:eastAsia="en-US"/>
        </w:rPr>
      </w:pPr>
      <w:r w:rsidRPr="00D078F1">
        <w:rPr>
          <w:rFonts w:eastAsia="Calibri"/>
          <w:b/>
          <w:sz w:val="32"/>
          <w:szCs w:val="32"/>
          <w:lang w:val="es-ES" w:eastAsia="en-US"/>
        </w:rPr>
        <w:t>MÉTODOS</w:t>
      </w:r>
    </w:p>
    <w:p w14:paraId="285A2D03" w14:textId="172E2172" w:rsidR="00D078F1" w:rsidRPr="00D078F1" w:rsidRDefault="00D078F1" w:rsidP="00D078F1">
      <w:pPr>
        <w:spacing w:line="360" w:lineRule="auto"/>
        <w:jc w:val="both"/>
        <w:rPr>
          <w:rFonts w:eastAsia="Calibri"/>
          <w:lang w:val="es-ES" w:eastAsia="en-US"/>
        </w:rPr>
      </w:pPr>
      <w:r w:rsidRPr="00D078F1">
        <w:rPr>
          <w:rFonts w:eastAsia="Calibri"/>
          <w:lang w:val="es-ES" w:eastAsia="en-US"/>
        </w:rPr>
        <w:t xml:space="preserve">Se estudió una serie de casos, de pacientes que ingresaron en el Hospital Militar “Dr. Fermín Valdés Domínguez”, de la provincia Holguín, Cuba, en el período del 29 de diciembre de 2020 al 5 </w:t>
      </w:r>
      <w:r w:rsidR="00650FF3" w:rsidRPr="00650FF3">
        <w:rPr>
          <w:rFonts w:eastAsia="Calibri"/>
          <w:lang w:val="es-ES" w:eastAsia="en-US"/>
        </w:rPr>
        <w:t>de marzo de 2021.Se incluyeron aquellos  con resultado positivo de</w:t>
      </w:r>
      <w:r w:rsidRPr="00D078F1">
        <w:rPr>
          <w:rFonts w:eastAsia="Calibri"/>
          <w:lang w:val="es-ES" w:eastAsia="en-US"/>
        </w:rPr>
        <w:t xml:space="preserve"> la reacción en cadena de la polimerasa para SARS-CoV-2 (PCR) y presentaron </w:t>
      </w:r>
      <w:r w:rsidRPr="00D078F1">
        <w:rPr>
          <w:rFonts w:eastAsia="Calibri"/>
          <w:color w:val="000000"/>
          <w:lang w:val="es-ES" w:eastAsia="en-US"/>
        </w:rPr>
        <w:t xml:space="preserve">TQS, </w:t>
      </w:r>
      <w:r w:rsidRPr="00D078F1">
        <w:rPr>
          <w:rFonts w:eastAsia="Calibri"/>
          <w:lang w:val="es-ES" w:eastAsia="en-US"/>
        </w:rPr>
        <w:t>descritos en la historia clínica como: “pérdida o disminución del olfato”, “pérdida o disminución del gusto”, “anosmia”, “hiposmia”, “ageusia”, “disgeusia” o “hipogeusia”.</w:t>
      </w:r>
    </w:p>
    <w:p w14:paraId="267D9E10"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 xml:space="preserve">La información se obtuvo de la revisión de las historias clínicas. Se excluyeron las historias en las cuales no se completó información de las variables estudiadas. </w:t>
      </w:r>
    </w:p>
    <w:p w14:paraId="3C259AB6" w14:textId="793AEFCE" w:rsidR="00D078F1" w:rsidRPr="00D078F1" w:rsidRDefault="007A6C47" w:rsidP="00D078F1">
      <w:pPr>
        <w:spacing w:line="360" w:lineRule="auto"/>
        <w:jc w:val="both"/>
        <w:rPr>
          <w:rFonts w:eastAsia="Calibri"/>
          <w:color w:val="000000"/>
          <w:lang w:val="es-ES" w:eastAsia="en-US"/>
        </w:rPr>
      </w:pPr>
      <w:r w:rsidRPr="007A6C47">
        <w:rPr>
          <w:rFonts w:eastAsia="Calibri"/>
          <w:lang w:val="es-ES" w:eastAsia="en-US"/>
        </w:rPr>
        <w:t>La serie quedó conformada por 152 pacientes que cumplieron los criterios de inclusión</w:t>
      </w:r>
      <w:r w:rsidR="00D078F1" w:rsidRPr="00D078F1">
        <w:rPr>
          <w:rFonts w:eastAsia="Calibri"/>
          <w:lang w:val="es-ES" w:eastAsia="en-US"/>
        </w:rPr>
        <w:t xml:space="preserve">. </w:t>
      </w:r>
    </w:p>
    <w:p w14:paraId="09AD1C3A" w14:textId="77777777" w:rsidR="00D078F1" w:rsidRPr="00D078F1" w:rsidRDefault="00D078F1" w:rsidP="00D078F1">
      <w:pPr>
        <w:spacing w:line="360" w:lineRule="auto"/>
        <w:jc w:val="both"/>
        <w:rPr>
          <w:rFonts w:eastAsia="Calibri"/>
          <w:color w:val="000000"/>
          <w:lang w:val="es-ES" w:eastAsia="en-US"/>
        </w:rPr>
      </w:pPr>
      <w:r w:rsidRPr="00D078F1">
        <w:rPr>
          <w:rFonts w:eastAsia="Calibri"/>
          <w:lang w:val="es-ES" w:eastAsia="en-US"/>
        </w:rPr>
        <w:t xml:space="preserve">Se describieron las variables sexo, edad, tipo de TQS, comorbilidad y síntomas acompañantes.  </w:t>
      </w:r>
    </w:p>
    <w:p w14:paraId="512083F5" w14:textId="77777777" w:rsidR="00D078F1" w:rsidRPr="00D078F1" w:rsidRDefault="00D078F1" w:rsidP="00D078F1">
      <w:pPr>
        <w:autoSpaceDE w:val="0"/>
        <w:autoSpaceDN w:val="0"/>
        <w:adjustRightInd w:val="0"/>
        <w:spacing w:line="360" w:lineRule="auto"/>
        <w:jc w:val="both"/>
        <w:rPr>
          <w:rFonts w:eastAsia="Calibri"/>
          <w:lang w:val="es-ES" w:eastAsia="en-US"/>
        </w:rPr>
      </w:pPr>
      <w:r w:rsidRPr="00D078F1">
        <w:rPr>
          <w:rFonts w:eastAsia="Calibri"/>
          <w:lang w:val="es-ES" w:eastAsia="en-US"/>
        </w:rPr>
        <w:t>Para la caracterización epidemiológica se categorizó el antecedente en: contacto de caso confirmado</w:t>
      </w:r>
      <w:r w:rsidRPr="00D078F1">
        <w:rPr>
          <w:rFonts w:eastAsia="Calibri"/>
          <w:color w:val="000000"/>
          <w:lang w:val="es-ES" w:eastAsia="en-US"/>
        </w:rPr>
        <w:t xml:space="preserve">, fuente de infección indeterminada y procedente del extranjero; se incluyó el </w:t>
      </w:r>
      <w:r w:rsidRPr="00D078F1">
        <w:rPr>
          <w:rFonts w:eastAsia="Calibri"/>
          <w:lang w:val="es-ES" w:eastAsia="en-US"/>
        </w:rPr>
        <w:t xml:space="preserve">tiempo transcurrido para realizar PCR, en los pacientes con fuente de infección indeterminada. </w:t>
      </w:r>
    </w:p>
    <w:p w14:paraId="67733242" w14:textId="77777777" w:rsidR="00D078F1" w:rsidRPr="00D078F1" w:rsidRDefault="00D078F1" w:rsidP="00D078F1">
      <w:pPr>
        <w:autoSpaceDE w:val="0"/>
        <w:autoSpaceDN w:val="0"/>
        <w:adjustRightInd w:val="0"/>
        <w:spacing w:line="360" w:lineRule="auto"/>
        <w:jc w:val="both"/>
        <w:rPr>
          <w:rFonts w:eastAsia="Calibri"/>
          <w:lang w:val="es-ES" w:eastAsia="en-US"/>
        </w:rPr>
      </w:pPr>
      <w:r w:rsidRPr="00D078F1">
        <w:rPr>
          <w:rFonts w:eastAsia="Calibri"/>
          <w:lang w:val="es-ES" w:eastAsia="en-US"/>
        </w:rPr>
        <w:t>La descripción de la radiografía de tórax se basó en los informes radiológicos. El índice de neutrófilos (IN) y el conteo absoluto de linfocitos, se obtuvieron mediante el cálculo a partir del último leucograma realizado al paciente (índice de neutrófilos es el cociente entre el conteo absoluto de estos y de linfocitos).</w:t>
      </w:r>
      <w:r w:rsidRPr="00D078F1">
        <w:rPr>
          <w:rFonts w:eastAsia="Calibri"/>
          <w:vertAlign w:val="superscript"/>
          <w:lang w:val="es-ES" w:eastAsia="en-US"/>
        </w:rPr>
        <w:t>(14)</w:t>
      </w:r>
    </w:p>
    <w:p w14:paraId="495BE92A" w14:textId="77777777" w:rsidR="00D078F1" w:rsidRPr="00D078F1" w:rsidRDefault="00D078F1" w:rsidP="00D078F1">
      <w:pPr>
        <w:autoSpaceDE w:val="0"/>
        <w:autoSpaceDN w:val="0"/>
        <w:adjustRightInd w:val="0"/>
        <w:spacing w:line="360" w:lineRule="auto"/>
        <w:jc w:val="both"/>
        <w:rPr>
          <w:rFonts w:eastAsia="Calibri"/>
          <w:vertAlign w:val="superscript"/>
          <w:lang w:val="es-ES" w:eastAsia="en-US"/>
        </w:rPr>
      </w:pPr>
      <w:r w:rsidRPr="00D078F1">
        <w:rPr>
          <w:rFonts w:eastAsia="Calibri"/>
          <w:lang w:val="es-ES" w:eastAsia="en-US"/>
        </w:rPr>
        <w:t>Se analizaron además las variables: necesidad de uso de antimicrobianos, necesidad de uso de inmunomoduladores (Jusvinza o itolizumab),</w:t>
      </w:r>
      <w:r w:rsidRPr="00D078F1">
        <w:rPr>
          <w:rFonts w:eastAsia="Calibri"/>
          <w:vertAlign w:val="superscript"/>
          <w:lang w:val="es-ES" w:eastAsia="en-US"/>
        </w:rPr>
        <w:t>(15)</w:t>
      </w:r>
      <w:r w:rsidRPr="00D078F1">
        <w:rPr>
          <w:rFonts w:eastAsia="Calibri"/>
          <w:lang w:val="es-ES" w:eastAsia="en-US"/>
        </w:rPr>
        <w:t xml:space="preserve"> diagnóstico al egreso y destino final. El diagnóstico al </w:t>
      </w:r>
      <w:r w:rsidRPr="00D078F1">
        <w:rPr>
          <w:rFonts w:eastAsia="Calibri"/>
          <w:lang w:val="es-ES" w:eastAsia="en-US"/>
        </w:rPr>
        <w:lastRenderedPageBreak/>
        <w:t xml:space="preserve">egreso se categorizó en: </w:t>
      </w:r>
      <w:r w:rsidRPr="00D078F1">
        <w:rPr>
          <w:rFonts w:eastAsia="Calibri"/>
          <w:color w:val="000000"/>
          <w:lang w:val="es-ES" w:eastAsia="en-US"/>
        </w:rPr>
        <w:t xml:space="preserve">enfermedad viral complicada o no complicada por SARS-CoV-2, lo cual se basó en la opinión colegiada de especialistas en Medicina Interna y </w:t>
      </w:r>
      <w:r w:rsidRPr="00D078F1">
        <w:rPr>
          <w:rFonts w:eastAsia="Calibri"/>
          <w:lang w:val="es-ES" w:eastAsia="en-US"/>
        </w:rPr>
        <w:t xml:space="preserve">Medicina Intensiva y Emergencias. El destino final se categorizó en: </w:t>
      </w:r>
      <w:r w:rsidRPr="00D078F1">
        <w:rPr>
          <w:rFonts w:eastAsia="Calibri"/>
          <w:color w:val="000000"/>
          <w:lang w:val="es-ES" w:eastAsia="en-US"/>
        </w:rPr>
        <w:t xml:space="preserve">alta clínica para el hogar y traslado a otro hospital. Se determinó la cifra de fallecidos.   </w:t>
      </w:r>
      <w:r w:rsidRPr="00D078F1">
        <w:rPr>
          <w:rFonts w:eastAsia="Calibri"/>
          <w:lang w:val="es-ES" w:eastAsia="en-US"/>
        </w:rPr>
        <w:t xml:space="preserve"> </w:t>
      </w:r>
    </w:p>
    <w:p w14:paraId="660CCC45" w14:textId="77777777" w:rsidR="00D078F1" w:rsidRPr="00D078F1" w:rsidRDefault="00D078F1" w:rsidP="00D078F1">
      <w:pPr>
        <w:autoSpaceDE w:val="0"/>
        <w:autoSpaceDN w:val="0"/>
        <w:adjustRightInd w:val="0"/>
        <w:spacing w:line="360" w:lineRule="auto"/>
        <w:jc w:val="both"/>
        <w:rPr>
          <w:rFonts w:eastAsia="Calibri"/>
          <w:lang w:val="es-ES" w:eastAsia="en-US"/>
        </w:rPr>
      </w:pPr>
      <w:r w:rsidRPr="00D078F1">
        <w:rPr>
          <w:rFonts w:eastAsia="Calibri"/>
          <w:lang w:val="es-ES" w:eastAsia="en-US"/>
        </w:rPr>
        <w:t xml:space="preserve">La información se procesó en el SPSS versión 22.0. Las variables numéricas se describieron con la media, desviación estándar (DS) y el intervalo de confianza (IC) del 95 %. Las variables categóricas se describieron a través de la frecuencia absoluta y relativa (en valores porcentuales). </w:t>
      </w:r>
    </w:p>
    <w:p w14:paraId="14054F02" w14:textId="77777777" w:rsidR="00D078F1" w:rsidRPr="00D078F1" w:rsidRDefault="00D078F1" w:rsidP="00D078F1">
      <w:pPr>
        <w:autoSpaceDE w:val="0"/>
        <w:autoSpaceDN w:val="0"/>
        <w:adjustRightInd w:val="0"/>
        <w:spacing w:line="360" w:lineRule="auto"/>
        <w:jc w:val="both"/>
        <w:rPr>
          <w:rFonts w:eastAsia="Calibri"/>
          <w:lang w:val="es-ES" w:eastAsia="en-US"/>
        </w:rPr>
      </w:pPr>
      <w:r w:rsidRPr="00D078F1">
        <w:rPr>
          <w:rFonts w:eastAsia="Calibri"/>
          <w:lang w:val="es-ES" w:eastAsia="en-US"/>
        </w:rPr>
        <w:t xml:space="preserve">Se utilizó la prueba estadística U de Mann−Whitney para determinar la relación de la sintomatología y el tiempo para la realización de PCR en casos con fuente de infección indeterminada, ya que las distribuciones resultaron diferentes a la normal, según la prueba de Kolmogorov-Smirnov. </w:t>
      </w:r>
    </w:p>
    <w:p w14:paraId="2AB4AE55"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 xml:space="preserve">La investigación se realizó bajo los principios de la declaración de Helsinki. Toda la información fue procesada bajo los principios de máxima confiabilidad. </w:t>
      </w:r>
    </w:p>
    <w:p w14:paraId="7090CBF7" w14:textId="77777777" w:rsidR="00D078F1" w:rsidRPr="00D078F1" w:rsidRDefault="00D078F1" w:rsidP="00D078F1">
      <w:pPr>
        <w:spacing w:line="360" w:lineRule="auto"/>
        <w:jc w:val="center"/>
        <w:rPr>
          <w:rFonts w:eastAsia="Calibri"/>
          <w:b/>
          <w:lang w:val="es-ES" w:eastAsia="en-US"/>
        </w:rPr>
      </w:pPr>
    </w:p>
    <w:p w14:paraId="7DEDC1CE" w14:textId="77777777" w:rsidR="00D078F1" w:rsidRPr="00D078F1" w:rsidRDefault="00D078F1" w:rsidP="00D078F1">
      <w:pPr>
        <w:spacing w:line="360" w:lineRule="auto"/>
        <w:jc w:val="center"/>
        <w:rPr>
          <w:rFonts w:eastAsia="Calibri"/>
          <w:b/>
          <w:lang w:val="es-ES" w:eastAsia="en-US"/>
        </w:rPr>
      </w:pPr>
    </w:p>
    <w:p w14:paraId="2530FE70" w14:textId="77777777" w:rsidR="00D078F1" w:rsidRPr="00D078F1" w:rsidRDefault="00D078F1" w:rsidP="00D078F1">
      <w:pPr>
        <w:spacing w:line="360" w:lineRule="auto"/>
        <w:jc w:val="center"/>
        <w:rPr>
          <w:rFonts w:eastAsia="Calibri"/>
          <w:b/>
          <w:sz w:val="32"/>
          <w:szCs w:val="32"/>
          <w:lang w:val="es-ES" w:eastAsia="en-US"/>
        </w:rPr>
      </w:pPr>
      <w:r w:rsidRPr="00D078F1">
        <w:rPr>
          <w:rFonts w:eastAsia="Calibri"/>
          <w:b/>
          <w:sz w:val="32"/>
          <w:szCs w:val="32"/>
          <w:lang w:val="es-ES" w:eastAsia="en-US"/>
        </w:rPr>
        <w:t>RESULTADOS</w:t>
      </w:r>
    </w:p>
    <w:p w14:paraId="639DD93D"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 xml:space="preserve">La edad promedio fue 40,2 años </w:t>
      </w:r>
      <w:r w:rsidRPr="00D078F1">
        <w:rPr>
          <w:rFonts w:eastAsia="Calibri"/>
          <w:color w:val="000000"/>
          <w:lang w:val="es-ES" w:eastAsia="en-US"/>
        </w:rPr>
        <w:t xml:space="preserve">(IC 95 %: </w:t>
      </w:r>
      <w:r w:rsidRPr="00D078F1">
        <w:rPr>
          <w:rFonts w:eastAsia="Calibri"/>
          <w:lang w:val="es-ES" w:eastAsia="en-US"/>
        </w:rPr>
        <w:t>37,8−42,6 años</w:t>
      </w:r>
      <w:r w:rsidRPr="00D078F1">
        <w:rPr>
          <w:rFonts w:eastAsia="Calibri"/>
          <w:color w:val="000000"/>
          <w:lang w:val="es-ES" w:eastAsia="en-US"/>
        </w:rPr>
        <w:t>) y DS 14,9 años</w:t>
      </w:r>
      <w:r w:rsidRPr="00D078F1">
        <w:rPr>
          <w:rFonts w:eastAsia="Calibri"/>
          <w:lang w:val="es-ES" w:eastAsia="en-US"/>
        </w:rPr>
        <w:t>. La edad mínima fue de 12 años y la máxima de 71 años. Predominó el sexo femenino (</w:t>
      </w:r>
      <w:r w:rsidRPr="00D078F1">
        <w:rPr>
          <w:rFonts w:eastAsia="Calibri"/>
          <w:color w:val="000000"/>
          <w:lang w:val="es-ES" w:eastAsia="en-US"/>
        </w:rPr>
        <w:t>59,2 %) frente</w:t>
      </w:r>
      <w:r w:rsidRPr="00D078F1">
        <w:rPr>
          <w:rFonts w:eastAsia="Calibri"/>
          <w:lang w:val="es-ES" w:eastAsia="en-US"/>
        </w:rPr>
        <w:t xml:space="preserve"> al sexo masculino (40,8 %)</w:t>
      </w:r>
      <w:r w:rsidRPr="00D078F1">
        <w:rPr>
          <w:rFonts w:eastAsia="Calibri"/>
          <w:color w:val="000000"/>
          <w:lang w:val="es-ES" w:eastAsia="en-US"/>
        </w:rPr>
        <w:t xml:space="preserve">.  Este hecho también se observó en el grupo que solo refirió trastornos gustativos (femenino 69,2 %), en el que solo refirió trastornos olfatorios (femenino 61,9 %) y en el que presentó ambos tipos de trastornos (femenino 55,3 %).   </w:t>
      </w:r>
    </w:p>
    <w:p w14:paraId="39A3EF19" w14:textId="77777777" w:rsidR="00D078F1" w:rsidRPr="00D078F1" w:rsidRDefault="00D078F1" w:rsidP="00D078F1">
      <w:pPr>
        <w:autoSpaceDE w:val="0"/>
        <w:autoSpaceDN w:val="0"/>
        <w:adjustRightInd w:val="0"/>
        <w:spacing w:line="360" w:lineRule="auto"/>
        <w:ind w:left="60" w:right="60"/>
        <w:jc w:val="both"/>
        <w:rPr>
          <w:rFonts w:eastAsia="Calibri"/>
          <w:color w:val="000000"/>
          <w:lang w:val="es-ES" w:eastAsia="en-US"/>
        </w:rPr>
      </w:pPr>
      <w:r w:rsidRPr="00D078F1">
        <w:rPr>
          <w:rFonts w:eastAsia="Calibri"/>
          <w:lang w:val="es-ES" w:eastAsia="en-US"/>
        </w:rPr>
        <w:t>Los trastornos del olfato y del gusto se manifestaron según se muestra en la tabla 1. Del total de pacientes, 139 (</w:t>
      </w:r>
      <w:r w:rsidRPr="00D078F1">
        <w:rPr>
          <w:rFonts w:eastAsia="Calibri"/>
          <w:color w:val="000000"/>
          <w:lang w:val="es-ES" w:eastAsia="en-US"/>
        </w:rPr>
        <w:t xml:space="preserve">91,4 %) refirieron algún grado de trastorno olfatorio (aislado o acompañado de trastorno del gusto), mientras que 89 (58,6 %) refirieron algún grado de afectación gustativa (aislado o acompañado de trastorno del olfato). En ambos casos predominó la referencia a la pérdida total del sentido quimiosensorial: anosmia </w:t>
      </w:r>
      <w:r w:rsidRPr="00D078F1">
        <w:rPr>
          <w:rFonts w:eastAsia="Calibri"/>
          <w:lang w:val="es-ES" w:eastAsia="en-US"/>
        </w:rPr>
        <w:t xml:space="preserve">95,7 %, </w:t>
      </w:r>
      <w:r w:rsidRPr="00D078F1">
        <w:rPr>
          <w:rFonts w:eastAsia="Calibri"/>
          <w:color w:val="000000"/>
          <w:lang w:val="es-ES" w:eastAsia="en-US"/>
        </w:rPr>
        <w:t xml:space="preserve">ageusia </w:t>
      </w:r>
      <w:r w:rsidRPr="00D078F1">
        <w:rPr>
          <w:rFonts w:eastAsia="Calibri"/>
          <w:lang w:val="es-ES" w:eastAsia="en-US"/>
        </w:rPr>
        <w:t xml:space="preserve">93,3 %. En </w:t>
      </w:r>
      <w:r w:rsidRPr="00D078F1">
        <w:rPr>
          <w:rFonts w:eastAsia="Calibri"/>
          <w:color w:val="000000"/>
          <w:lang w:val="es-ES" w:eastAsia="en-US"/>
        </w:rPr>
        <w:t xml:space="preserve">50,0 % se expresaron ambos tipos de trastornos; en 41,4 % solo trastornos del olfato y en 8,6 % solo trastornos del gusto. </w:t>
      </w:r>
    </w:p>
    <w:p w14:paraId="6118682C" w14:textId="77777777" w:rsidR="00D078F1" w:rsidRPr="00D078F1" w:rsidRDefault="00D078F1" w:rsidP="00D078F1">
      <w:pPr>
        <w:autoSpaceDE w:val="0"/>
        <w:autoSpaceDN w:val="0"/>
        <w:adjustRightInd w:val="0"/>
        <w:spacing w:line="360" w:lineRule="auto"/>
        <w:ind w:left="60" w:right="60"/>
        <w:jc w:val="both"/>
        <w:rPr>
          <w:rFonts w:eastAsia="Calibri"/>
          <w:color w:val="000000"/>
          <w:lang w:val="es-ES" w:eastAsia="en-US"/>
        </w:rPr>
      </w:pPr>
    </w:p>
    <w:p w14:paraId="326FD367" w14:textId="77777777" w:rsidR="004C7A2C" w:rsidRDefault="004C7A2C">
      <w:pPr>
        <w:rPr>
          <w:rFonts w:eastAsia="Calibri"/>
          <w:b/>
          <w:color w:val="000000"/>
          <w:sz w:val="22"/>
          <w:szCs w:val="22"/>
          <w:lang w:val="es-ES" w:eastAsia="en-US"/>
        </w:rPr>
      </w:pPr>
      <w:r>
        <w:rPr>
          <w:rFonts w:eastAsia="Calibri"/>
          <w:b/>
          <w:color w:val="000000"/>
          <w:sz w:val="22"/>
          <w:szCs w:val="22"/>
          <w:lang w:val="es-ES" w:eastAsia="en-US"/>
        </w:rPr>
        <w:br w:type="page"/>
      </w:r>
    </w:p>
    <w:p w14:paraId="006154E0" w14:textId="49EA0933" w:rsidR="00D078F1" w:rsidRPr="00D078F1" w:rsidRDefault="00D078F1" w:rsidP="00D078F1">
      <w:pPr>
        <w:autoSpaceDE w:val="0"/>
        <w:autoSpaceDN w:val="0"/>
        <w:adjustRightInd w:val="0"/>
        <w:spacing w:line="360" w:lineRule="auto"/>
        <w:ind w:left="60" w:right="60"/>
        <w:jc w:val="center"/>
        <w:rPr>
          <w:rFonts w:eastAsia="Calibri"/>
          <w:b/>
          <w:color w:val="000000"/>
          <w:sz w:val="22"/>
          <w:szCs w:val="22"/>
          <w:lang w:val="es-ES" w:eastAsia="en-US"/>
        </w:rPr>
      </w:pPr>
      <w:r w:rsidRPr="00D078F1">
        <w:rPr>
          <w:rFonts w:eastAsia="Calibri"/>
          <w:b/>
          <w:color w:val="000000"/>
          <w:sz w:val="22"/>
          <w:szCs w:val="22"/>
          <w:lang w:val="es-ES" w:eastAsia="en-US"/>
        </w:rPr>
        <w:lastRenderedPageBreak/>
        <w:t>Tabla 1 -</w:t>
      </w:r>
      <w:r w:rsidRPr="00D078F1">
        <w:rPr>
          <w:rFonts w:eastAsia="Calibri"/>
          <w:color w:val="000000"/>
          <w:sz w:val="22"/>
          <w:szCs w:val="22"/>
          <w:lang w:val="es-ES" w:eastAsia="en-US"/>
        </w:rPr>
        <w:t xml:space="preserve"> Distribución de los trastornos quimiosensoriales</w:t>
      </w:r>
    </w:p>
    <w:p w14:paraId="3101D6A4" w14:textId="0276710C" w:rsidR="00D078F1" w:rsidRPr="00D078F1" w:rsidRDefault="00D078F1" w:rsidP="00D078F1">
      <w:pPr>
        <w:autoSpaceDE w:val="0"/>
        <w:autoSpaceDN w:val="0"/>
        <w:adjustRightInd w:val="0"/>
        <w:spacing w:line="360" w:lineRule="auto"/>
        <w:jc w:val="center"/>
        <w:rPr>
          <w:rFonts w:eastAsia="Calibri"/>
          <w:b/>
          <w:bCs/>
          <w:color w:val="000000"/>
          <w:lang w:val="es-ES" w:eastAsia="en-US"/>
        </w:rPr>
      </w:pPr>
      <w:r w:rsidRPr="00D078F1">
        <w:rPr>
          <w:rFonts w:eastAsia="Calibri"/>
          <w:b/>
          <w:noProof/>
          <w:color w:val="000000"/>
          <w:lang w:val="es-ES" w:eastAsia="en-US"/>
        </w:rPr>
        <w:drawing>
          <wp:inline distT="0" distB="0" distL="0" distR="0" wp14:anchorId="1FB8BB7E" wp14:editId="62020493">
            <wp:extent cx="2997835" cy="287845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7835" cy="2878455"/>
                    </a:xfrm>
                    <a:prstGeom prst="rect">
                      <a:avLst/>
                    </a:prstGeom>
                    <a:noFill/>
                    <a:ln>
                      <a:noFill/>
                    </a:ln>
                  </pic:spPr>
                </pic:pic>
              </a:graphicData>
            </a:graphic>
          </wp:inline>
        </w:drawing>
      </w:r>
    </w:p>
    <w:p w14:paraId="2E940D13" w14:textId="77777777" w:rsidR="00D078F1" w:rsidRPr="00D078F1" w:rsidRDefault="00D078F1" w:rsidP="00D078F1">
      <w:pPr>
        <w:autoSpaceDE w:val="0"/>
        <w:autoSpaceDN w:val="0"/>
        <w:adjustRightInd w:val="0"/>
        <w:spacing w:line="360" w:lineRule="auto"/>
        <w:jc w:val="center"/>
        <w:rPr>
          <w:rFonts w:eastAsia="Calibri"/>
          <w:b/>
          <w:bCs/>
          <w:color w:val="000000"/>
          <w:lang w:val="es-ES" w:eastAsia="en-US"/>
        </w:rPr>
      </w:pPr>
    </w:p>
    <w:p w14:paraId="00C65C4F" w14:textId="77777777" w:rsidR="00D078F1" w:rsidRPr="00D078F1" w:rsidRDefault="00D078F1" w:rsidP="00D078F1">
      <w:pPr>
        <w:autoSpaceDE w:val="0"/>
        <w:autoSpaceDN w:val="0"/>
        <w:adjustRightInd w:val="0"/>
        <w:spacing w:line="360" w:lineRule="auto"/>
        <w:jc w:val="both"/>
        <w:rPr>
          <w:rFonts w:eastAsia="Calibri"/>
          <w:color w:val="000000"/>
          <w:lang w:val="es-ES" w:eastAsia="en-US"/>
        </w:rPr>
      </w:pPr>
      <w:r w:rsidRPr="00D078F1">
        <w:rPr>
          <w:rFonts w:eastAsia="Calibri"/>
          <w:lang w:val="es-ES" w:eastAsia="en-US"/>
        </w:rPr>
        <w:t>Predominaron los sujetos contacto de caso confirmado (</w:t>
      </w:r>
      <w:r w:rsidRPr="00D078F1">
        <w:rPr>
          <w:rFonts w:eastAsia="Calibri"/>
          <w:color w:val="000000"/>
          <w:lang w:val="es-ES" w:eastAsia="en-US"/>
        </w:rPr>
        <w:t xml:space="preserve">62,5 %), seguido de fuente de infección indeterminada (30,3 %) y por último los procedentes del extranjero (7,2 %).  </w:t>
      </w:r>
    </w:p>
    <w:p w14:paraId="54D00456" w14:textId="77777777" w:rsidR="00D078F1" w:rsidRPr="00D078F1" w:rsidRDefault="00D078F1" w:rsidP="00D078F1">
      <w:pPr>
        <w:spacing w:line="360" w:lineRule="auto"/>
        <w:jc w:val="both"/>
        <w:rPr>
          <w:rFonts w:eastAsia="Calibri"/>
          <w:color w:val="000000"/>
          <w:lang w:val="es-ES" w:eastAsia="en-US"/>
        </w:rPr>
      </w:pPr>
      <w:r w:rsidRPr="00D078F1">
        <w:rPr>
          <w:rFonts w:eastAsia="Calibri"/>
          <w:lang w:val="es-ES" w:eastAsia="en-US"/>
        </w:rPr>
        <w:t xml:space="preserve">El tiempo promedio para realizar PCR en los de fuente de infección </w:t>
      </w:r>
      <w:r w:rsidRPr="00D078F1">
        <w:rPr>
          <w:rFonts w:eastAsia="Calibri"/>
          <w:color w:val="000000"/>
          <w:lang w:val="es-ES" w:eastAsia="en-US"/>
        </w:rPr>
        <w:t>indeterminada,</w:t>
      </w:r>
      <w:r w:rsidRPr="00D078F1">
        <w:rPr>
          <w:rFonts w:eastAsia="Calibri"/>
          <w:lang w:val="es-ES" w:eastAsia="en-US"/>
        </w:rPr>
        <w:t xml:space="preserve"> fue de </w:t>
      </w:r>
      <w:r w:rsidRPr="00D078F1">
        <w:rPr>
          <w:rFonts w:eastAsia="Calibri"/>
          <w:color w:val="000000"/>
          <w:lang w:val="es-ES" w:eastAsia="en-US"/>
        </w:rPr>
        <w:t>3,89 días (IC 95 %: 3,18−4,59 días) y DS 2,45 días. El rango oscila entre 0 y 10 días. El 25 % de estos casos, tardó más de 5,25 días en realizarse el PCR luego de comenzados los síntomas.</w:t>
      </w:r>
    </w:p>
    <w:p w14:paraId="4B433594" w14:textId="77777777" w:rsidR="00D078F1" w:rsidRPr="00D078F1" w:rsidRDefault="00D078F1" w:rsidP="00D078F1">
      <w:pPr>
        <w:spacing w:line="360" w:lineRule="auto"/>
        <w:jc w:val="both"/>
        <w:rPr>
          <w:rFonts w:eastAsia="Calibri"/>
          <w:color w:val="000000"/>
          <w:vertAlign w:val="superscript"/>
          <w:lang w:val="es-ES" w:eastAsia="en-US"/>
        </w:rPr>
      </w:pPr>
      <w:r w:rsidRPr="00D078F1">
        <w:rPr>
          <w:rFonts w:eastAsia="Calibri"/>
          <w:color w:val="000000"/>
          <w:lang w:val="es-ES" w:eastAsia="en-US"/>
        </w:rPr>
        <w:t xml:space="preserve">En los pacientes </w:t>
      </w:r>
      <w:r w:rsidRPr="00D078F1">
        <w:rPr>
          <w:rFonts w:eastAsia="Calibri"/>
          <w:lang w:val="es-ES" w:eastAsia="en-US"/>
        </w:rPr>
        <w:t xml:space="preserve">con fuente de infección </w:t>
      </w:r>
      <w:r w:rsidRPr="00D078F1">
        <w:rPr>
          <w:rFonts w:eastAsia="Calibri"/>
          <w:color w:val="000000"/>
          <w:lang w:val="es-ES" w:eastAsia="en-US"/>
        </w:rPr>
        <w:t>indeterminada, no se encontraron diferencias significativas en el</w:t>
      </w:r>
      <w:r w:rsidRPr="00D078F1">
        <w:rPr>
          <w:rFonts w:eastAsia="Calibri"/>
          <w:lang w:val="es-ES" w:eastAsia="en-US"/>
        </w:rPr>
        <w:t xml:space="preserve"> tiempo promedio para realizar PCR,</w:t>
      </w:r>
      <w:r w:rsidRPr="00D078F1">
        <w:rPr>
          <w:rFonts w:eastAsia="Calibri"/>
          <w:color w:val="000000"/>
          <w:lang w:val="es-ES" w:eastAsia="en-US"/>
        </w:rPr>
        <w:t xml:space="preserve"> entre el grupo que solo presentó TQS y el que presentó otros síntomas asociados (p= 0,14).  Tampoco se encontraron diferencias entre los que solo presentaron uno o ambos tipos de trastornos (p= 0,053).</w:t>
      </w:r>
      <w:r w:rsidRPr="00D078F1">
        <w:rPr>
          <w:rFonts w:eastAsia="Calibri"/>
          <w:color w:val="000000"/>
          <w:vertAlign w:val="superscript"/>
          <w:lang w:val="es-ES" w:eastAsia="en-US"/>
        </w:rPr>
        <w:t xml:space="preserve"> </w:t>
      </w:r>
    </w:p>
    <w:p w14:paraId="6C6B4801" w14:textId="2C4031A9" w:rsidR="00D078F1" w:rsidRPr="00D078F1" w:rsidRDefault="00D078F1" w:rsidP="00031910">
      <w:pPr>
        <w:autoSpaceDE w:val="0"/>
        <w:autoSpaceDN w:val="0"/>
        <w:adjustRightInd w:val="0"/>
        <w:spacing w:line="360" w:lineRule="auto"/>
        <w:ind w:right="60"/>
        <w:jc w:val="both"/>
        <w:rPr>
          <w:rFonts w:eastAsia="Calibri"/>
          <w:color w:val="000000"/>
          <w:lang w:val="es-ES" w:eastAsia="en-US"/>
        </w:rPr>
      </w:pPr>
      <w:r w:rsidRPr="00D078F1">
        <w:rPr>
          <w:rFonts w:eastAsia="Calibri"/>
          <w:color w:val="000000"/>
          <w:lang w:val="es-ES" w:eastAsia="en-US"/>
        </w:rPr>
        <w:t xml:space="preserve">En el 30,3 % de los casos, se informó la presencia de </w:t>
      </w:r>
      <w:r w:rsidRPr="00D078F1">
        <w:rPr>
          <w:rFonts w:eastAsia="Calibri"/>
          <w:bCs/>
          <w:color w:val="000000"/>
          <w:lang w:val="es-ES" w:eastAsia="en-US"/>
        </w:rPr>
        <w:t xml:space="preserve">patrón intersticial difuso, en </w:t>
      </w:r>
      <w:r w:rsidR="00502FE3">
        <w:rPr>
          <w:rFonts w:eastAsia="Calibri"/>
          <w:bCs/>
          <w:color w:val="000000"/>
          <w:lang w:val="es-ES" w:eastAsia="en-US"/>
        </w:rPr>
        <w:t xml:space="preserve">el </w:t>
      </w:r>
      <w:r w:rsidRPr="00D078F1">
        <w:rPr>
          <w:rFonts w:eastAsia="Calibri"/>
          <w:bCs/>
          <w:color w:val="000000"/>
          <w:lang w:val="es-ES" w:eastAsia="en-US"/>
        </w:rPr>
        <w:t xml:space="preserve">4,6 % se informó lesión inflamatoria y en el 68,4 % no hubo alteración radiológica.  </w:t>
      </w:r>
    </w:p>
    <w:p w14:paraId="6AB63503" w14:textId="5B3EB8B5" w:rsidR="00D078F1" w:rsidRDefault="00D078F1" w:rsidP="00031910">
      <w:pPr>
        <w:autoSpaceDE w:val="0"/>
        <w:autoSpaceDN w:val="0"/>
        <w:adjustRightInd w:val="0"/>
        <w:spacing w:line="360" w:lineRule="auto"/>
        <w:ind w:right="60"/>
        <w:jc w:val="both"/>
        <w:rPr>
          <w:rFonts w:eastAsia="Calibri"/>
          <w:color w:val="000000"/>
          <w:lang w:val="es-ES" w:eastAsia="en-US"/>
        </w:rPr>
      </w:pPr>
      <w:r w:rsidRPr="00D078F1">
        <w:rPr>
          <w:rFonts w:eastAsia="Calibri"/>
          <w:color w:val="000000"/>
          <w:lang w:val="es-ES" w:eastAsia="en-US"/>
        </w:rPr>
        <w:t>El índice de neutrófilos promedio fue 1,70 (IC 95 %: 1,53−1,86), solo el 2 % de los casos presentó índice de neutrófilos por encima de 4. El promedio d</w:t>
      </w:r>
      <w:r w:rsidRPr="00D078F1">
        <w:rPr>
          <w:rFonts w:eastAsia="Calibri"/>
          <w:lang w:val="es-ES" w:eastAsia="en-US"/>
        </w:rPr>
        <w:t>el conteo absoluto de linfocitos</w:t>
      </w:r>
      <w:r w:rsidRPr="00D078F1">
        <w:rPr>
          <w:rFonts w:eastAsia="Calibri"/>
          <w:color w:val="000000"/>
          <w:lang w:val="es-ES" w:eastAsia="en-US"/>
        </w:rPr>
        <w:t xml:space="preserve"> fue 2739,60 x 10</w:t>
      </w:r>
      <w:r w:rsidRPr="00D078F1">
        <w:rPr>
          <w:rFonts w:eastAsia="Calibri"/>
          <w:color w:val="000000"/>
          <w:vertAlign w:val="superscript"/>
          <w:lang w:val="es-ES" w:eastAsia="en-US"/>
        </w:rPr>
        <w:t>9</w:t>
      </w:r>
      <w:r w:rsidRPr="00D078F1">
        <w:rPr>
          <w:rFonts w:eastAsia="Calibri"/>
          <w:color w:val="000000"/>
          <w:lang w:val="es-ES" w:eastAsia="en-US"/>
        </w:rPr>
        <w:t>/L</w:t>
      </w:r>
      <w:r w:rsidRPr="00D078F1">
        <w:rPr>
          <w:rFonts w:eastAsia="Calibri"/>
          <w:color w:val="000000"/>
          <w:vertAlign w:val="superscript"/>
          <w:lang w:val="es-ES" w:eastAsia="en-US"/>
        </w:rPr>
        <w:t xml:space="preserve"> </w:t>
      </w:r>
      <w:r w:rsidRPr="00D078F1">
        <w:rPr>
          <w:rFonts w:eastAsia="Calibri"/>
          <w:color w:val="000000"/>
          <w:lang w:val="es-ES" w:eastAsia="en-US"/>
        </w:rPr>
        <w:t xml:space="preserve">(IC 95 %: 2594,46−2884,73). Solo 3,3 % presentó </w:t>
      </w:r>
      <w:r w:rsidRPr="00D078F1">
        <w:rPr>
          <w:rFonts w:eastAsia="Calibri"/>
          <w:lang w:val="es-ES" w:eastAsia="en-US"/>
        </w:rPr>
        <w:t>el conteo absoluto de linfocitos</w:t>
      </w:r>
      <w:r w:rsidRPr="00D078F1">
        <w:rPr>
          <w:rFonts w:eastAsia="Calibri"/>
          <w:color w:val="000000"/>
          <w:lang w:val="es-ES" w:eastAsia="en-US"/>
        </w:rPr>
        <w:t xml:space="preserve"> inferior a 1500</w:t>
      </w:r>
      <w:r w:rsidR="002C1B4B">
        <w:rPr>
          <w:rFonts w:eastAsia="Calibri"/>
          <w:color w:val="000000"/>
          <w:lang w:val="es-ES" w:eastAsia="en-US"/>
        </w:rPr>
        <w:t> </w:t>
      </w:r>
      <w:r w:rsidRPr="00D078F1">
        <w:rPr>
          <w:rFonts w:eastAsia="Calibri"/>
          <w:color w:val="000000"/>
          <w:lang w:val="es-ES" w:eastAsia="en-US"/>
        </w:rPr>
        <w:t>x</w:t>
      </w:r>
      <w:r w:rsidR="002C1B4B">
        <w:rPr>
          <w:rFonts w:eastAsia="Calibri"/>
          <w:color w:val="000000"/>
          <w:lang w:val="es-ES" w:eastAsia="en-US"/>
        </w:rPr>
        <w:t> </w:t>
      </w:r>
      <w:r w:rsidRPr="00D078F1">
        <w:rPr>
          <w:rFonts w:eastAsia="Calibri"/>
          <w:color w:val="000000"/>
          <w:lang w:val="es-ES" w:eastAsia="en-US"/>
        </w:rPr>
        <w:t>10</w:t>
      </w:r>
      <w:r w:rsidRPr="00D078F1">
        <w:rPr>
          <w:rFonts w:eastAsia="Calibri"/>
          <w:color w:val="000000"/>
          <w:vertAlign w:val="superscript"/>
          <w:lang w:val="es-ES" w:eastAsia="en-US"/>
        </w:rPr>
        <w:t>9</w:t>
      </w:r>
      <w:r w:rsidRPr="00D078F1">
        <w:rPr>
          <w:rFonts w:eastAsia="Calibri"/>
          <w:color w:val="000000"/>
          <w:lang w:val="es-ES" w:eastAsia="en-US"/>
        </w:rPr>
        <w:t>/L.</w:t>
      </w:r>
    </w:p>
    <w:p w14:paraId="1040D831" w14:textId="75AB3E1D" w:rsidR="00C44C1A" w:rsidRPr="00D078F1" w:rsidRDefault="00C44C1A" w:rsidP="00C44C1A">
      <w:pPr>
        <w:autoSpaceDE w:val="0"/>
        <w:autoSpaceDN w:val="0"/>
        <w:adjustRightInd w:val="0"/>
        <w:spacing w:line="360" w:lineRule="auto"/>
        <w:ind w:right="60"/>
        <w:jc w:val="both"/>
        <w:rPr>
          <w:rFonts w:eastAsia="Calibri"/>
          <w:color w:val="000000"/>
          <w:lang w:val="es-ES" w:eastAsia="en-US"/>
        </w:rPr>
      </w:pPr>
      <w:r>
        <w:rPr>
          <w:rFonts w:eastAsia="Calibri"/>
          <w:color w:val="000000"/>
          <w:lang w:val="es-ES" w:eastAsia="en-US"/>
        </w:rPr>
        <w:t>En los antecedentes patológicos personales predominó la hipertensión arterial en el 24,3 % de los pacientes</w:t>
      </w:r>
      <w:r w:rsidR="008615EB">
        <w:rPr>
          <w:rFonts w:eastAsia="Calibri"/>
          <w:color w:val="000000"/>
          <w:lang w:val="es-ES" w:eastAsia="en-US"/>
        </w:rPr>
        <w:t xml:space="preserve"> y el 34,9 % tuvo una sola comorbilidad (tabla 2).</w:t>
      </w:r>
    </w:p>
    <w:p w14:paraId="6B1CAE98" w14:textId="77777777" w:rsidR="00D078F1" w:rsidRPr="00D078F1" w:rsidRDefault="00D078F1" w:rsidP="00D078F1">
      <w:pPr>
        <w:spacing w:line="360" w:lineRule="auto"/>
        <w:jc w:val="both"/>
        <w:rPr>
          <w:rFonts w:eastAsia="Calibri"/>
          <w:color w:val="000000"/>
          <w:lang w:val="es-ES" w:eastAsia="en-US"/>
        </w:rPr>
      </w:pPr>
    </w:p>
    <w:p w14:paraId="5E870B38" w14:textId="59022659" w:rsidR="00D078F1" w:rsidRPr="00D078F1" w:rsidRDefault="00D078F1" w:rsidP="007A7057">
      <w:pPr>
        <w:spacing w:after="160" w:line="259" w:lineRule="auto"/>
        <w:jc w:val="center"/>
        <w:rPr>
          <w:rFonts w:eastAsia="Calibri"/>
          <w:color w:val="000000"/>
          <w:sz w:val="22"/>
          <w:szCs w:val="22"/>
          <w:lang w:val="es-ES" w:eastAsia="en-US"/>
        </w:rPr>
      </w:pPr>
      <w:r w:rsidRPr="00D078F1">
        <w:rPr>
          <w:rFonts w:eastAsia="Calibri"/>
          <w:b/>
          <w:color w:val="000000"/>
          <w:sz w:val="22"/>
          <w:szCs w:val="22"/>
          <w:lang w:val="es-ES" w:eastAsia="en-US"/>
        </w:rPr>
        <w:t xml:space="preserve">Tabla 2 - </w:t>
      </w:r>
      <w:r w:rsidRPr="00D078F1">
        <w:rPr>
          <w:rFonts w:eastAsia="Calibri"/>
          <w:color w:val="000000"/>
          <w:sz w:val="22"/>
          <w:szCs w:val="22"/>
          <w:lang w:val="es-ES" w:eastAsia="en-US"/>
        </w:rPr>
        <w:t>Antecedentes patológicos personales</w:t>
      </w:r>
    </w:p>
    <w:p w14:paraId="7DC64965" w14:textId="31854A0B" w:rsidR="00D078F1" w:rsidRPr="00D078F1" w:rsidRDefault="00D078F1" w:rsidP="00D078F1">
      <w:pPr>
        <w:autoSpaceDE w:val="0"/>
        <w:autoSpaceDN w:val="0"/>
        <w:adjustRightInd w:val="0"/>
        <w:spacing w:line="360" w:lineRule="auto"/>
        <w:ind w:right="60"/>
        <w:jc w:val="center"/>
        <w:rPr>
          <w:rFonts w:eastAsia="Calibri"/>
          <w:b/>
          <w:color w:val="000000"/>
          <w:lang w:val="es-ES" w:eastAsia="en-US"/>
        </w:rPr>
      </w:pPr>
      <w:r w:rsidRPr="00D078F1">
        <w:rPr>
          <w:rFonts w:eastAsia="Calibri"/>
          <w:b/>
          <w:noProof/>
          <w:color w:val="000000"/>
          <w:lang w:val="es-ES" w:eastAsia="en-US"/>
        </w:rPr>
        <w:drawing>
          <wp:inline distT="0" distB="0" distL="0" distR="0" wp14:anchorId="0E73D2EC" wp14:editId="4985EA96">
            <wp:extent cx="3625850" cy="6130290"/>
            <wp:effectExtent l="0" t="0" r="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5850" cy="6130290"/>
                    </a:xfrm>
                    <a:prstGeom prst="rect">
                      <a:avLst/>
                    </a:prstGeom>
                    <a:noFill/>
                    <a:ln>
                      <a:noFill/>
                    </a:ln>
                  </pic:spPr>
                </pic:pic>
              </a:graphicData>
            </a:graphic>
          </wp:inline>
        </w:drawing>
      </w:r>
    </w:p>
    <w:p w14:paraId="3AFA90AB" w14:textId="77777777" w:rsidR="00D078F1" w:rsidRPr="00D078F1" w:rsidRDefault="00D078F1" w:rsidP="00D078F1">
      <w:pPr>
        <w:spacing w:after="160" w:line="259" w:lineRule="auto"/>
        <w:rPr>
          <w:rFonts w:eastAsia="Calibri"/>
          <w:b/>
          <w:color w:val="000000"/>
          <w:sz w:val="22"/>
          <w:szCs w:val="22"/>
          <w:lang w:val="es-ES" w:eastAsia="en-US"/>
        </w:rPr>
      </w:pPr>
      <w:r w:rsidRPr="00D078F1">
        <w:rPr>
          <w:rFonts w:eastAsia="Calibri"/>
          <w:b/>
          <w:color w:val="000000"/>
          <w:sz w:val="22"/>
          <w:szCs w:val="22"/>
          <w:lang w:val="es-ES" w:eastAsia="en-US"/>
        </w:rPr>
        <w:br w:type="page"/>
      </w:r>
    </w:p>
    <w:p w14:paraId="24197060" w14:textId="16565686" w:rsidR="007B263B" w:rsidRDefault="007B263B" w:rsidP="007B263B">
      <w:pPr>
        <w:autoSpaceDE w:val="0"/>
        <w:autoSpaceDN w:val="0"/>
        <w:adjustRightInd w:val="0"/>
        <w:spacing w:line="360" w:lineRule="auto"/>
        <w:ind w:left="60" w:right="60"/>
        <w:jc w:val="both"/>
        <w:rPr>
          <w:rFonts w:eastAsia="Calibri"/>
          <w:bCs/>
          <w:color w:val="000000"/>
          <w:sz w:val="22"/>
          <w:szCs w:val="22"/>
          <w:lang w:val="es-ES" w:eastAsia="en-US"/>
        </w:rPr>
      </w:pPr>
      <w:r w:rsidRPr="007B263B">
        <w:rPr>
          <w:rFonts w:eastAsia="Calibri"/>
          <w:bCs/>
          <w:color w:val="000000"/>
          <w:sz w:val="22"/>
          <w:szCs w:val="22"/>
          <w:lang w:val="es-ES" w:eastAsia="en-US"/>
        </w:rPr>
        <w:lastRenderedPageBreak/>
        <w:t xml:space="preserve">Los </w:t>
      </w:r>
      <w:r>
        <w:rPr>
          <w:rFonts w:eastAsia="Calibri"/>
          <w:bCs/>
          <w:color w:val="000000"/>
          <w:sz w:val="22"/>
          <w:szCs w:val="22"/>
          <w:lang w:val="es-ES" w:eastAsia="en-US"/>
        </w:rPr>
        <w:t>síntomas acompañantes más frecuentes, fueron la cefalea (21,7 %), tos (19,1 %), congestión nasal (17,1 %) y fiebre (16,4 %). El 40,1 % de los pacientes, presentó un solo síntoma (tabla 3).</w:t>
      </w:r>
    </w:p>
    <w:p w14:paraId="0941FF0A" w14:textId="77777777" w:rsidR="007B263B" w:rsidRPr="007B263B" w:rsidRDefault="007B263B" w:rsidP="007B263B">
      <w:pPr>
        <w:autoSpaceDE w:val="0"/>
        <w:autoSpaceDN w:val="0"/>
        <w:adjustRightInd w:val="0"/>
        <w:spacing w:line="360" w:lineRule="auto"/>
        <w:ind w:left="60" w:right="60"/>
        <w:jc w:val="both"/>
        <w:rPr>
          <w:rFonts w:eastAsia="Calibri"/>
          <w:bCs/>
          <w:color w:val="000000"/>
          <w:sz w:val="22"/>
          <w:szCs w:val="22"/>
          <w:lang w:val="es-ES" w:eastAsia="en-US"/>
        </w:rPr>
      </w:pPr>
    </w:p>
    <w:p w14:paraId="398CB608" w14:textId="5E27489C" w:rsidR="00D078F1" w:rsidRPr="00D078F1" w:rsidRDefault="00D078F1" w:rsidP="00D078F1">
      <w:pPr>
        <w:autoSpaceDE w:val="0"/>
        <w:autoSpaceDN w:val="0"/>
        <w:adjustRightInd w:val="0"/>
        <w:spacing w:line="360" w:lineRule="auto"/>
        <w:ind w:left="60" w:right="60"/>
        <w:jc w:val="center"/>
        <w:rPr>
          <w:rFonts w:eastAsia="Calibri"/>
          <w:b/>
          <w:color w:val="000000"/>
          <w:sz w:val="22"/>
          <w:szCs w:val="22"/>
          <w:lang w:val="es-ES" w:eastAsia="en-US"/>
        </w:rPr>
      </w:pPr>
      <w:r w:rsidRPr="00D078F1">
        <w:rPr>
          <w:rFonts w:eastAsia="Calibri"/>
          <w:b/>
          <w:color w:val="000000"/>
          <w:sz w:val="22"/>
          <w:szCs w:val="22"/>
          <w:lang w:val="es-ES" w:eastAsia="en-US"/>
        </w:rPr>
        <w:t xml:space="preserve">Tabla 3 - </w:t>
      </w:r>
      <w:r w:rsidRPr="00D078F1">
        <w:rPr>
          <w:rFonts w:eastAsia="Calibri"/>
          <w:color w:val="000000"/>
          <w:sz w:val="22"/>
          <w:szCs w:val="22"/>
          <w:lang w:val="es-ES" w:eastAsia="en-US"/>
        </w:rPr>
        <w:t>Síntomas acompañantes</w:t>
      </w:r>
    </w:p>
    <w:p w14:paraId="66301670" w14:textId="7677CDE1" w:rsidR="00D078F1" w:rsidRPr="00D078F1" w:rsidRDefault="00D078F1" w:rsidP="00D078F1">
      <w:pPr>
        <w:autoSpaceDE w:val="0"/>
        <w:autoSpaceDN w:val="0"/>
        <w:adjustRightInd w:val="0"/>
        <w:spacing w:line="360" w:lineRule="auto"/>
        <w:ind w:right="60"/>
        <w:jc w:val="center"/>
        <w:rPr>
          <w:rFonts w:eastAsia="Calibri"/>
          <w:color w:val="000000"/>
          <w:lang w:val="es-ES" w:eastAsia="en-US"/>
        </w:rPr>
      </w:pPr>
      <w:r w:rsidRPr="00D078F1">
        <w:rPr>
          <w:rFonts w:eastAsia="Calibri"/>
          <w:noProof/>
          <w:color w:val="000000"/>
          <w:lang w:val="es-ES" w:eastAsia="en-US"/>
        </w:rPr>
        <w:drawing>
          <wp:inline distT="0" distB="0" distL="0" distR="0" wp14:anchorId="19724A55" wp14:editId="1E712A7D">
            <wp:extent cx="2894330" cy="5335270"/>
            <wp:effectExtent l="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4330" cy="5335270"/>
                    </a:xfrm>
                    <a:prstGeom prst="rect">
                      <a:avLst/>
                    </a:prstGeom>
                    <a:noFill/>
                    <a:ln>
                      <a:noFill/>
                    </a:ln>
                  </pic:spPr>
                </pic:pic>
              </a:graphicData>
            </a:graphic>
          </wp:inline>
        </w:drawing>
      </w:r>
    </w:p>
    <w:p w14:paraId="5DD9B61B" w14:textId="77777777" w:rsidR="00D078F1" w:rsidRPr="00D078F1" w:rsidRDefault="00D078F1" w:rsidP="00D078F1">
      <w:pPr>
        <w:autoSpaceDE w:val="0"/>
        <w:autoSpaceDN w:val="0"/>
        <w:adjustRightInd w:val="0"/>
        <w:spacing w:line="360" w:lineRule="auto"/>
        <w:ind w:right="60"/>
        <w:jc w:val="both"/>
        <w:rPr>
          <w:rFonts w:eastAsia="Calibri"/>
          <w:color w:val="000000"/>
          <w:lang w:val="es-ES" w:eastAsia="en-US"/>
        </w:rPr>
      </w:pPr>
    </w:p>
    <w:p w14:paraId="042C0779" w14:textId="77777777" w:rsidR="00D078F1" w:rsidRPr="00D078F1" w:rsidRDefault="00D078F1" w:rsidP="00D078F1">
      <w:pPr>
        <w:autoSpaceDE w:val="0"/>
        <w:autoSpaceDN w:val="0"/>
        <w:adjustRightInd w:val="0"/>
        <w:spacing w:line="360" w:lineRule="auto"/>
        <w:ind w:left="60" w:right="60"/>
        <w:jc w:val="both"/>
        <w:rPr>
          <w:rFonts w:eastAsia="Calibri"/>
          <w:color w:val="000000"/>
          <w:lang w:val="es-ES" w:eastAsia="en-US"/>
        </w:rPr>
      </w:pPr>
      <w:r w:rsidRPr="00D078F1">
        <w:rPr>
          <w:rFonts w:eastAsia="Calibri"/>
          <w:color w:val="000000"/>
          <w:lang w:val="es-ES" w:eastAsia="en-US"/>
        </w:rPr>
        <w:t>En el 5,9 % se requirió el uso de algún antibiótico y en 5,3 % se requirió el uso de algún fármaco inmunomodulador para tratar el estado inflamatorio. Dos pacientes (1,3 %) requirieron ingreso en la unidad de cuidados intensivos y precisaron de ventilación mecánica.</w:t>
      </w:r>
    </w:p>
    <w:p w14:paraId="28276262" w14:textId="33B77711" w:rsidR="00D078F1" w:rsidRPr="00D078F1" w:rsidRDefault="00D078F1" w:rsidP="00D078F1">
      <w:pPr>
        <w:autoSpaceDE w:val="0"/>
        <w:autoSpaceDN w:val="0"/>
        <w:adjustRightInd w:val="0"/>
        <w:spacing w:line="360" w:lineRule="auto"/>
        <w:ind w:left="60" w:right="60"/>
        <w:jc w:val="both"/>
        <w:rPr>
          <w:rFonts w:eastAsia="Calibri"/>
          <w:color w:val="000000"/>
          <w:lang w:val="es-ES" w:eastAsia="en-US"/>
        </w:rPr>
      </w:pPr>
      <w:r w:rsidRPr="00D078F1">
        <w:rPr>
          <w:rFonts w:eastAsia="Calibri"/>
          <w:color w:val="000000"/>
          <w:lang w:val="es-ES" w:eastAsia="en-US"/>
        </w:rPr>
        <w:lastRenderedPageBreak/>
        <w:t xml:space="preserve">En </w:t>
      </w:r>
      <w:r w:rsidR="00502FE3">
        <w:rPr>
          <w:rFonts w:eastAsia="Calibri"/>
          <w:color w:val="000000"/>
          <w:lang w:val="es-ES" w:eastAsia="en-US"/>
        </w:rPr>
        <w:t xml:space="preserve">el </w:t>
      </w:r>
      <w:r w:rsidRPr="00D078F1">
        <w:rPr>
          <w:rFonts w:eastAsia="Calibri"/>
          <w:color w:val="000000"/>
          <w:lang w:val="es-ES" w:eastAsia="en-US"/>
        </w:rPr>
        <w:t xml:space="preserve">4,6 % de los casos se diagnosticó enfermedad viral complicada por SARS-CoV-2, el resto (95,4 %) fue diagnosticado como enfermedad viral no complicada por SARS-CoV-2. </w:t>
      </w:r>
    </w:p>
    <w:p w14:paraId="09F610A3" w14:textId="77777777" w:rsidR="00D078F1" w:rsidRPr="00D078F1" w:rsidRDefault="00D078F1" w:rsidP="00D078F1">
      <w:pPr>
        <w:autoSpaceDE w:val="0"/>
        <w:autoSpaceDN w:val="0"/>
        <w:adjustRightInd w:val="0"/>
        <w:spacing w:line="360" w:lineRule="auto"/>
        <w:ind w:left="60" w:right="60"/>
        <w:jc w:val="both"/>
        <w:rPr>
          <w:rFonts w:eastAsia="Calibri"/>
          <w:color w:val="000000"/>
          <w:lang w:val="es-ES" w:eastAsia="en-US"/>
        </w:rPr>
      </w:pPr>
      <w:r w:rsidRPr="00D078F1">
        <w:rPr>
          <w:rFonts w:eastAsia="Calibri"/>
          <w:color w:val="000000"/>
          <w:lang w:val="es-ES" w:eastAsia="en-US"/>
        </w:rPr>
        <w:t xml:space="preserve">Egresó el 95,4 % de alta clínica para su hogar y el 4,6 % requirió traslado a otro hospital, para continuar tratamiento luego de PCR negativo. Los 2 casos que ingresaron en cuidados intensivos, fallecieron en otra institución, a la cual se trasladaron luego de la negativización del PCR. </w:t>
      </w:r>
    </w:p>
    <w:p w14:paraId="3FE8F82F" w14:textId="77777777" w:rsidR="00D078F1" w:rsidRPr="00D078F1" w:rsidRDefault="00D078F1" w:rsidP="00D078F1">
      <w:pPr>
        <w:spacing w:line="360" w:lineRule="auto"/>
        <w:jc w:val="center"/>
        <w:rPr>
          <w:rFonts w:eastAsia="Calibri"/>
          <w:b/>
          <w:lang w:val="es-ES" w:eastAsia="en-US"/>
        </w:rPr>
      </w:pPr>
    </w:p>
    <w:p w14:paraId="6785FB0A" w14:textId="77777777" w:rsidR="00D078F1" w:rsidRPr="00D078F1" w:rsidRDefault="00D078F1" w:rsidP="00D078F1">
      <w:pPr>
        <w:spacing w:line="360" w:lineRule="auto"/>
        <w:jc w:val="center"/>
        <w:rPr>
          <w:rFonts w:eastAsia="Calibri"/>
          <w:b/>
          <w:lang w:val="es-ES" w:eastAsia="en-US"/>
        </w:rPr>
      </w:pPr>
    </w:p>
    <w:p w14:paraId="19FC91EA" w14:textId="77777777" w:rsidR="00D078F1" w:rsidRPr="00D078F1" w:rsidRDefault="00D078F1" w:rsidP="00D078F1">
      <w:pPr>
        <w:spacing w:line="360" w:lineRule="auto"/>
        <w:jc w:val="center"/>
        <w:rPr>
          <w:rFonts w:eastAsia="Calibri"/>
          <w:b/>
          <w:sz w:val="32"/>
          <w:szCs w:val="32"/>
          <w:lang w:val="es-ES" w:eastAsia="en-US"/>
        </w:rPr>
      </w:pPr>
      <w:r w:rsidRPr="00D078F1">
        <w:rPr>
          <w:rFonts w:eastAsia="Calibri"/>
          <w:b/>
          <w:sz w:val="32"/>
          <w:szCs w:val="32"/>
          <w:lang w:val="es-ES" w:eastAsia="en-US"/>
        </w:rPr>
        <w:t>DISCUSIÓN</w:t>
      </w:r>
    </w:p>
    <w:p w14:paraId="09768B56"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Uno de los mensajes más difundidos por las autoridades sanitarias es acudir lo antes posible a los servicios de salud, ante la presencia de cualquier síntoma sugestivo de la COVID-19. Los TQS requieren de atención, ya que han sido considerados como un importante marcador de la enfermedad.</w:t>
      </w:r>
      <w:r w:rsidRPr="00D078F1">
        <w:rPr>
          <w:rFonts w:eastAsia="Calibri"/>
          <w:vertAlign w:val="superscript"/>
          <w:lang w:val="es-ES" w:eastAsia="en-US"/>
        </w:rPr>
        <w:t>(1,2,3)</w:t>
      </w:r>
      <w:r w:rsidRPr="00D078F1">
        <w:rPr>
          <w:rFonts w:eastAsia="Calibri"/>
          <w:lang w:val="es-ES" w:eastAsia="en-US"/>
        </w:rPr>
        <w:t xml:space="preserve">  </w:t>
      </w:r>
    </w:p>
    <w:p w14:paraId="23CC271A"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 xml:space="preserve">En este estudio, el predominio de la referencia a la pérdida total, tanto del sentido del gusto como del olfato, sobre la pérdida parcial, es similar al encontrado por otros autores. </w:t>
      </w:r>
      <w:r w:rsidRPr="00D078F1">
        <w:rPr>
          <w:rFonts w:eastAsia="Calibri"/>
          <w:i/>
          <w:lang w:val="es-ES" w:eastAsia="en-US"/>
        </w:rPr>
        <w:t xml:space="preserve">Chiesa-Estomba </w:t>
      </w:r>
      <w:r w:rsidRPr="00D078F1">
        <w:rPr>
          <w:rFonts w:eastAsia="Calibri"/>
          <w:lang w:val="es-ES" w:eastAsia="en-US"/>
        </w:rPr>
        <w:t>y otros,</w:t>
      </w:r>
      <w:r w:rsidRPr="00D078F1">
        <w:rPr>
          <w:rFonts w:eastAsia="Calibri"/>
          <w:vertAlign w:val="superscript"/>
          <w:lang w:val="es-ES" w:eastAsia="en-US"/>
        </w:rPr>
        <w:t xml:space="preserve">(16)  </w:t>
      </w:r>
      <w:r w:rsidRPr="00D078F1">
        <w:rPr>
          <w:rFonts w:eastAsia="Calibri"/>
          <w:lang w:val="es-ES" w:eastAsia="en-US"/>
        </w:rPr>
        <w:t xml:space="preserve">en un estudio prospectivo, reportan en la primera evaluación, que  el 83 % refirió pérdida total del olfato y 17 % pérdida parcial. Por su parte </w:t>
      </w:r>
      <w:r w:rsidRPr="00D078F1">
        <w:rPr>
          <w:rFonts w:eastAsia="Calibri"/>
          <w:i/>
          <w:lang w:val="es-ES" w:eastAsia="en-US"/>
        </w:rPr>
        <w:t>Lechien</w:t>
      </w:r>
      <w:r w:rsidRPr="00D078F1">
        <w:rPr>
          <w:rFonts w:eastAsia="Calibri"/>
          <w:lang w:val="es-ES" w:eastAsia="en-US"/>
        </w:rPr>
        <w:t xml:space="preserve"> y otros</w:t>
      </w:r>
      <w:r w:rsidRPr="00D078F1">
        <w:rPr>
          <w:rFonts w:eastAsia="Calibri"/>
          <w:vertAlign w:val="superscript"/>
          <w:lang w:val="es-ES" w:eastAsia="en-US"/>
        </w:rPr>
        <w:t>(12)</w:t>
      </w:r>
      <w:r w:rsidRPr="00D078F1">
        <w:rPr>
          <w:rFonts w:eastAsia="Calibri"/>
          <w:lang w:val="es-ES" w:eastAsia="en-US"/>
        </w:rPr>
        <w:t xml:space="preserve"> reportan que 79,6 % refirió anosmia y 20,4 % hiposmia. </w:t>
      </w:r>
      <w:r w:rsidRPr="00D078F1">
        <w:rPr>
          <w:rFonts w:eastAsia="Calibri"/>
          <w:i/>
          <w:lang w:val="es-ES" w:eastAsia="en-US"/>
        </w:rPr>
        <w:t>Beltrán Corbellini</w:t>
      </w:r>
      <w:r w:rsidRPr="00D078F1">
        <w:rPr>
          <w:rFonts w:eastAsia="Calibri"/>
          <w:lang w:val="es-ES" w:eastAsia="en-US"/>
        </w:rPr>
        <w:t xml:space="preserve"> y otros</w:t>
      </w:r>
      <w:r w:rsidRPr="00D078F1">
        <w:rPr>
          <w:rFonts w:eastAsia="Calibri"/>
          <w:vertAlign w:val="superscript"/>
          <w:lang w:val="es-ES" w:eastAsia="en-US"/>
        </w:rPr>
        <w:t>(17)</w:t>
      </w:r>
      <w:r w:rsidRPr="00D078F1">
        <w:rPr>
          <w:rFonts w:eastAsia="Calibri"/>
          <w:lang w:val="es-ES" w:eastAsia="en-US"/>
        </w:rPr>
        <w:t xml:space="preserve"> encontraron predominio de la pérdida total en ambos casos, pero con valores relativos inferiores (45,2 % de anosmia y ageusia). </w:t>
      </w:r>
    </w:p>
    <w:p w14:paraId="6A04E782"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 xml:space="preserve">En cuanto a la distribución del tipo de trastorno quimiosensorial, no hay coincidencia con los resultados de </w:t>
      </w:r>
      <w:r w:rsidRPr="00D078F1">
        <w:rPr>
          <w:rFonts w:eastAsia="Calibri"/>
          <w:i/>
          <w:lang w:val="es-ES" w:eastAsia="en-US"/>
        </w:rPr>
        <w:t>Vaira</w:t>
      </w:r>
      <w:r w:rsidRPr="00D078F1">
        <w:rPr>
          <w:rFonts w:eastAsia="Calibri"/>
          <w:lang w:val="es-ES" w:eastAsia="en-US"/>
        </w:rPr>
        <w:t xml:space="preserve"> y otros.</w:t>
      </w:r>
      <w:r w:rsidRPr="00D078F1">
        <w:rPr>
          <w:rFonts w:eastAsia="Calibri"/>
          <w:vertAlign w:val="superscript"/>
          <w:lang w:val="es-ES" w:eastAsia="en-US"/>
        </w:rPr>
        <w:t>(18)</w:t>
      </w:r>
      <w:r w:rsidRPr="00D078F1">
        <w:rPr>
          <w:rFonts w:eastAsia="Calibri"/>
          <w:lang w:val="es-ES" w:eastAsia="en-US"/>
        </w:rPr>
        <w:t xml:space="preserve"> Estos autores encontraron 79,3 % de predominio de quienes refieren ambos trastornos, seguido de la disfunción gustativa aislada (12,1 %) y la olfatoria aislada (8,6 %). Hay semejanzas con los resultados de </w:t>
      </w:r>
      <w:r w:rsidRPr="00D078F1">
        <w:rPr>
          <w:rFonts w:eastAsia="Calibri"/>
          <w:i/>
          <w:lang w:val="es-ES" w:eastAsia="en-US"/>
        </w:rPr>
        <w:t>Lee</w:t>
      </w:r>
      <w:r w:rsidRPr="00D078F1">
        <w:rPr>
          <w:rFonts w:eastAsia="Calibri"/>
          <w:lang w:val="es-ES" w:eastAsia="en-US"/>
        </w:rPr>
        <w:t xml:space="preserve"> y otros:</w:t>
      </w:r>
      <w:r w:rsidRPr="00D078F1">
        <w:rPr>
          <w:rFonts w:eastAsia="Calibri"/>
          <w:vertAlign w:val="superscript"/>
          <w:lang w:val="es-ES" w:eastAsia="en-US"/>
        </w:rPr>
        <w:t xml:space="preserve">(10) </w:t>
      </w:r>
      <w:r w:rsidRPr="00D078F1">
        <w:rPr>
          <w:rFonts w:eastAsia="Calibri"/>
          <w:lang w:val="es-ES" w:eastAsia="en-US"/>
        </w:rPr>
        <w:t xml:space="preserve">el 52,0 % refirió ambos trastornos, 27,7 % solo trastorno olfativo y 20,3 % solo del gusto.  </w:t>
      </w:r>
    </w:p>
    <w:p w14:paraId="593268FA"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El predominio femenino en cuanto a la disfunción olfatoria (</w:t>
      </w:r>
      <w:r w:rsidRPr="00D078F1">
        <w:rPr>
          <w:rFonts w:eastAsia="Calibri"/>
          <w:color w:val="000000"/>
          <w:lang w:val="es-ES" w:eastAsia="en-US"/>
        </w:rPr>
        <w:t>61,9 %)</w:t>
      </w:r>
      <w:r w:rsidRPr="00D078F1">
        <w:rPr>
          <w:rFonts w:eastAsia="Calibri"/>
          <w:lang w:val="es-ES" w:eastAsia="en-US"/>
        </w:rPr>
        <w:t xml:space="preserve"> concuerda con los resultados de </w:t>
      </w:r>
      <w:r w:rsidRPr="00D078F1">
        <w:rPr>
          <w:rFonts w:eastAsia="Calibri"/>
          <w:i/>
          <w:lang w:val="es-ES" w:eastAsia="en-US"/>
        </w:rPr>
        <w:t>Chiesa-Estomba</w:t>
      </w:r>
      <w:r w:rsidRPr="00D078F1">
        <w:rPr>
          <w:rFonts w:eastAsia="Calibri"/>
          <w:lang w:val="es-ES" w:eastAsia="en-US"/>
        </w:rPr>
        <w:t xml:space="preserve"> y otros,</w:t>
      </w:r>
      <w:r w:rsidRPr="00D078F1">
        <w:rPr>
          <w:rFonts w:eastAsia="Calibri"/>
          <w:vertAlign w:val="superscript"/>
          <w:lang w:val="es-ES" w:eastAsia="en-US"/>
        </w:rPr>
        <w:t>(16)</w:t>
      </w:r>
      <w:r w:rsidRPr="00D078F1">
        <w:rPr>
          <w:rFonts w:eastAsia="Calibri"/>
          <w:lang w:val="es-ES" w:eastAsia="en-US"/>
        </w:rPr>
        <w:t xml:space="preserve"> quienes encontraron 63,5 %, en una serie de 751 pacientes que refirieron trastornos del olfato. </w:t>
      </w:r>
      <w:r w:rsidRPr="00D078F1">
        <w:rPr>
          <w:rFonts w:eastAsia="Calibri"/>
          <w:i/>
          <w:lang w:val="es-ES" w:eastAsia="en-US"/>
        </w:rPr>
        <w:t xml:space="preserve">Lechien </w:t>
      </w:r>
      <w:r w:rsidRPr="00D078F1">
        <w:rPr>
          <w:rFonts w:eastAsia="Calibri"/>
          <w:lang w:val="es-ES" w:eastAsia="en-US"/>
        </w:rPr>
        <w:t>y otros</w:t>
      </w:r>
      <w:r w:rsidRPr="00D078F1">
        <w:rPr>
          <w:rFonts w:eastAsia="Calibri"/>
          <w:vertAlign w:val="superscript"/>
          <w:lang w:val="es-ES" w:eastAsia="en-US"/>
        </w:rPr>
        <w:t xml:space="preserve">(12) </w:t>
      </w:r>
      <w:r w:rsidRPr="00D078F1">
        <w:rPr>
          <w:rFonts w:eastAsia="Calibri"/>
          <w:lang w:val="es-ES" w:eastAsia="en-US"/>
        </w:rPr>
        <w:t xml:space="preserve">postulan que las mujeres se afectan más que los hombres, tanto por los trastornos del olfato, como del gusto (p&lt; 0,001). Por su parte, </w:t>
      </w:r>
      <w:r w:rsidRPr="00D078F1">
        <w:rPr>
          <w:rFonts w:eastAsia="Calibri"/>
          <w:i/>
          <w:lang w:val="es-ES" w:eastAsia="en-US"/>
        </w:rPr>
        <w:t>Lee</w:t>
      </w:r>
      <w:r w:rsidRPr="00D078F1">
        <w:rPr>
          <w:rFonts w:eastAsia="Calibri"/>
          <w:lang w:val="es-ES" w:eastAsia="en-US"/>
        </w:rPr>
        <w:t xml:space="preserve"> y otros</w:t>
      </w:r>
      <w:r w:rsidRPr="00D078F1">
        <w:rPr>
          <w:rFonts w:eastAsia="Calibri"/>
          <w:vertAlign w:val="superscript"/>
          <w:lang w:val="es-ES" w:eastAsia="en-US"/>
        </w:rPr>
        <w:t xml:space="preserve">(10) </w:t>
      </w:r>
      <w:r w:rsidRPr="00D078F1">
        <w:rPr>
          <w:rFonts w:eastAsia="Calibri"/>
          <w:lang w:val="es-ES" w:eastAsia="en-US"/>
        </w:rPr>
        <w:t xml:space="preserve">hallaron en una serie de 3 191 pacientes, que la anosmia y la ageusia fueron referidos significativamente con más frecuencia en las mujeres (p&lt; 0,01). </w:t>
      </w:r>
    </w:p>
    <w:p w14:paraId="7DF2173B"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lastRenderedPageBreak/>
        <w:t xml:space="preserve">Una medida de la importancia que los pacientes atribuyen a los </w:t>
      </w:r>
      <w:r w:rsidRPr="00D078F1">
        <w:rPr>
          <w:rFonts w:eastAsia="Calibri"/>
          <w:color w:val="000000"/>
          <w:lang w:val="es-ES" w:eastAsia="en-US"/>
        </w:rPr>
        <w:t xml:space="preserve">TQS </w:t>
      </w:r>
      <w:r w:rsidRPr="00D078F1">
        <w:rPr>
          <w:rFonts w:eastAsia="Calibri"/>
          <w:lang w:val="es-ES" w:eastAsia="en-US"/>
        </w:rPr>
        <w:t xml:space="preserve">como posible expresión de la COVID-19, se obtiene indirectamente a través del tiempo transcurrido desde la fecha de inicio de los síntomas, hasta la realización del PCR. La condición es que se examine, en aquellos con fuente de infección indeterminada, pues en los casos procedentes del extranjero o contactos de confirmados, la realización del PCR contribuye a un protocolo de vigilancia epidemiológica, en el cual los síntomas pueden aparecer después de realizada la prueba. </w:t>
      </w:r>
    </w:p>
    <w:p w14:paraId="4B723F86"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El resultado</w:t>
      </w:r>
      <w:r w:rsidRPr="00D078F1">
        <w:rPr>
          <w:rFonts w:eastAsia="Calibri"/>
          <w:color w:val="FF0000"/>
          <w:lang w:val="es-ES" w:eastAsia="en-US"/>
        </w:rPr>
        <w:t xml:space="preserve"> </w:t>
      </w:r>
      <w:r w:rsidRPr="00D078F1">
        <w:rPr>
          <w:rFonts w:eastAsia="Calibri"/>
          <w:lang w:val="es-ES" w:eastAsia="en-US"/>
        </w:rPr>
        <w:t>indica que los pacientes acuden a los servicios sanitarios con dilación. La media de aproximadamente 4 días (</w:t>
      </w:r>
      <w:r w:rsidRPr="00D078F1">
        <w:rPr>
          <w:rFonts w:eastAsia="Calibri"/>
          <w:color w:val="000000"/>
          <w:lang w:val="es-ES" w:eastAsia="en-US"/>
        </w:rPr>
        <w:t>3,89 ± 0,71</w:t>
      </w:r>
      <w:r w:rsidRPr="00D078F1">
        <w:rPr>
          <w:rFonts w:eastAsia="Calibri"/>
          <w:lang w:val="es-ES" w:eastAsia="en-US"/>
        </w:rPr>
        <w:t xml:space="preserve">) para realizar el PCR en los casos con fuente de infección indeterminada, representa un período durante el cual el paciente no recibe tratamiento y además, está propagando la enfermedad. Al parecer, tiene igual valor para decidir buscar atención médica la presentación de un solo tipo TQS, frente a ambos </w:t>
      </w:r>
      <w:r w:rsidRPr="00D078F1">
        <w:rPr>
          <w:rFonts w:eastAsia="Calibri"/>
          <w:color w:val="000000"/>
          <w:lang w:val="es-ES" w:eastAsia="en-US"/>
        </w:rPr>
        <w:t>(p= 0,053)</w:t>
      </w:r>
      <w:r w:rsidRPr="00D078F1">
        <w:rPr>
          <w:rFonts w:eastAsia="Calibri"/>
          <w:lang w:val="es-ES" w:eastAsia="en-US"/>
        </w:rPr>
        <w:t xml:space="preserve">; o la presentación de estos de forma aislada frente al acompañamiento de otros síntomas </w:t>
      </w:r>
      <w:r w:rsidRPr="00D078F1">
        <w:rPr>
          <w:rFonts w:eastAsia="Calibri"/>
          <w:color w:val="000000"/>
          <w:lang w:val="es-ES" w:eastAsia="en-US"/>
        </w:rPr>
        <w:t>(p= 0,14)</w:t>
      </w:r>
      <w:r w:rsidRPr="00D078F1">
        <w:rPr>
          <w:rFonts w:eastAsia="Calibri"/>
          <w:lang w:val="es-ES" w:eastAsia="en-US"/>
        </w:rPr>
        <w:t xml:space="preserve">. </w:t>
      </w:r>
    </w:p>
    <w:p w14:paraId="78FBD2B7"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Esto indica que se debe insistir en las estrategias de divulgación, respecto a la importancia que estos síntomas revisten, en tiempos de pandemia. Se ha planteado que existe una correlación positiva entre la prevalencia de los trastornos del olfatorios y la atención prestada por la prensa al impacto de la COVID-19 en el sentido del olfato.</w:t>
      </w:r>
      <w:r w:rsidRPr="00D078F1">
        <w:rPr>
          <w:rFonts w:eastAsia="Calibri"/>
          <w:vertAlign w:val="superscript"/>
          <w:lang w:val="es-ES" w:eastAsia="en-US"/>
        </w:rPr>
        <w:t>(19)</w:t>
      </w:r>
      <w:r w:rsidRPr="00D078F1">
        <w:rPr>
          <w:rFonts w:eastAsia="Calibri"/>
          <w:lang w:val="es-ES" w:eastAsia="en-US"/>
        </w:rPr>
        <w:t xml:space="preserve"> Quizás este hecho explique que un año atrás, cuando la información acerca de la enfermedad era incipiente, solo 7 de una serie de 91 pacientes reportaron TQS en la provincia de Holguín</w:t>
      </w:r>
      <w:r w:rsidRPr="00D078F1">
        <w:rPr>
          <w:rFonts w:eastAsia="Calibri"/>
          <w:vertAlign w:val="superscript"/>
          <w:lang w:val="es-ES" w:eastAsia="en-US"/>
        </w:rPr>
        <w:t>(20)</w:t>
      </w:r>
      <w:r w:rsidRPr="00D078F1">
        <w:rPr>
          <w:rFonts w:eastAsia="Calibri"/>
          <w:lang w:val="es-ES" w:eastAsia="en-US"/>
        </w:rPr>
        <w:t xml:space="preserve"> y que en fecha similar la prevalencia obtenida en un estudio en Santiago de Cuba, fue de solo 3,6 % para ambos TQS.</w:t>
      </w:r>
      <w:r w:rsidRPr="00D078F1">
        <w:rPr>
          <w:rFonts w:eastAsia="Calibri"/>
          <w:vertAlign w:val="superscript"/>
          <w:lang w:val="es-ES" w:eastAsia="en-US"/>
        </w:rPr>
        <w:t>(21)</w:t>
      </w:r>
    </w:p>
    <w:p w14:paraId="6FCFAAEB"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 xml:space="preserve">El predominio de los sujetos contacto de caso confirmado, coincide con los resultados de </w:t>
      </w:r>
      <w:r w:rsidRPr="00D078F1">
        <w:rPr>
          <w:rFonts w:eastAsia="Calibri"/>
          <w:i/>
          <w:lang w:val="es-ES" w:eastAsia="en-US"/>
        </w:rPr>
        <w:t xml:space="preserve">Ruiz Nápoles </w:t>
      </w:r>
      <w:r w:rsidRPr="00D078F1">
        <w:rPr>
          <w:rFonts w:eastAsia="Calibri"/>
          <w:iCs/>
          <w:lang w:val="es-ES" w:eastAsia="en-US"/>
        </w:rPr>
        <w:t>y otros</w:t>
      </w:r>
      <w:r w:rsidRPr="00D078F1">
        <w:rPr>
          <w:rFonts w:eastAsia="Calibri"/>
          <w:vertAlign w:val="superscript"/>
          <w:lang w:val="es-ES" w:eastAsia="en-US"/>
        </w:rPr>
        <w:t>(20)</w:t>
      </w:r>
      <w:r w:rsidRPr="00D078F1">
        <w:rPr>
          <w:rFonts w:eastAsia="Calibri"/>
          <w:lang w:val="es-ES" w:eastAsia="en-US"/>
        </w:rPr>
        <w:t xml:space="preserve"> (83,3 %). Además, se corresponde con las estadísticas diarias en que la mayor proporción de casos nuevos que se diagnostican en Cuba son contacto de caso confirmado.  </w:t>
      </w:r>
    </w:p>
    <w:p w14:paraId="0CDCDDB4" w14:textId="77777777" w:rsidR="00D078F1" w:rsidRPr="00D078F1" w:rsidRDefault="00D078F1" w:rsidP="00D078F1">
      <w:pPr>
        <w:spacing w:line="360" w:lineRule="auto"/>
        <w:jc w:val="both"/>
        <w:rPr>
          <w:rFonts w:eastAsia="Calibri"/>
          <w:color w:val="000000"/>
          <w:lang w:val="es-ES" w:eastAsia="en-US"/>
        </w:rPr>
      </w:pPr>
      <w:r w:rsidRPr="00D078F1">
        <w:rPr>
          <w:rFonts w:eastAsia="Calibri"/>
          <w:color w:val="000000"/>
          <w:lang w:val="es-ES" w:eastAsia="en-US"/>
        </w:rPr>
        <w:t xml:space="preserve">El orden de prevalencia de las comorbilidades, es semejante al encontrado por </w:t>
      </w:r>
      <w:r w:rsidRPr="00D078F1">
        <w:rPr>
          <w:rFonts w:eastAsia="Calibri"/>
          <w:i/>
          <w:color w:val="000000"/>
          <w:lang w:val="es-ES" w:eastAsia="en-US"/>
        </w:rPr>
        <w:t>Ruíz Nápoles</w:t>
      </w:r>
      <w:r w:rsidRPr="00D078F1">
        <w:rPr>
          <w:rFonts w:eastAsia="Calibri"/>
          <w:iCs/>
          <w:color w:val="000000"/>
          <w:lang w:val="es-ES" w:eastAsia="en-US"/>
        </w:rPr>
        <w:t xml:space="preserve"> y otros</w:t>
      </w:r>
      <w:r w:rsidRPr="00D078F1">
        <w:rPr>
          <w:rFonts w:eastAsia="Calibri"/>
          <w:color w:val="000000"/>
          <w:lang w:val="es-ES" w:eastAsia="en-US"/>
        </w:rPr>
        <w:t>,</w:t>
      </w:r>
      <w:r w:rsidRPr="00D078F1">
        <w:rPr>
          <w:rFonts w:eastAsia="Calibri"/>
          <w:color w:val="000000"/>
          <w:vertAlign w:val="superscript"/>
          <w:lang w:val="es-ES" w:eastAsia="en-US"/>
        </w:rPr>
        <w:t>(20)</w:t>
      </w:r>
      <w:r w:rsidRPr="00D078F1">
        <w:rPr>
          <w:rFonts w:eastAsia="Calibri"/>
          <w:color w:val="000000"/>
          <w:lang w:val="es-ES" w:eastAsia="en-US"/>
        </w:rPr>
        <w:t xml:space="preserve"> en pacientes sintomáticos: hipertensión arterial (44,4 %), asma bronquial (11,1 %), diabetes mellitus (11,1 %), enfermedad pulmonar obstructiva crónica (7,4 %) y cardiopatía isquémica (7,4 %). Hay similitud también con este autor en cuanto al número de comorbilidades en pacientes sintomáticos: sin comorbilidad (40,7 %), con una comorbilidad (42,6 %) y con dos comorbilidades (16,7 %). A pesar de que los estudios tienen diferentes criterios de inclusión, estas similitudes parecen responder a que se </w:t>
      </w:r>
      <w:r w:rsidRPr="00D078F1">
        <w:rPr>
          <w:rFonts w:eastAsia="Calibri"/>
          <w:color w:val="000000"/>
          <w:lang w:val="es-ES" w:eastAsia="en-US"/>
        </w:rPr>
        <w:lastRenderedPageBreak/>
        <w:t xml:space="preserve">realizaron en una misma ubicación geográfica y en series de similar edad media. No obstante, no hay coincidencia con el orden de prevalencia de la sintomatología, lo cual se discute más adelante. </w:t>
      </w:r>
    </w:p>
    <w:p w14:paraId="1031FE43" w14:textId="77777777" w:rsidR="00D078F1" w:rsidRPr="00D078F1" w:rsidRDefault="00D078F1" w:rsidP="00D078F1">
      <w:pPr>
        <w:spacing w:line="360" w:lineRule="auto"/>
        <w:jc w:val="both"/>
        <w:rPr>
          <w:rFonts w:eastAsia="Calibri"/>
          <w:color w:val="000000"/>
          <w:lang w:val="es-ES" w:eastAsia="en-US"/>
        </w:rPr>
      </w:pPr>
      <w:r w:rsidRPr="00D078F1">
        <w:rPr>
          <w:rFonts w:eastAsia="Calibri"/>
          <w:i/>
          <w:color w:val="000000"/>
          <w:lang w:val="es-ES" w:eastAsia="en-US"/>
        </w:rPr>
        <w:t>Lechien</w:t>
      </w:r>
      <w:r w:rsidRPr="00D078F1">
        <w:rPr>
          <w:rFonts w:eastAsia="Calibri"/>
          <w:lang w:val="es-ES" w:eastAsia="en-US"/>
        </w:rPr>
        <w:t xml:space="preserve"> y otros</w:t>
      </w:r>
      <w:r w:rsidRPr="00D078F1">
        <w:rPr>
          <w:rFonts w:eastAsia="Calibri"/>
          <w:color w:val="000000"/>
          <w:vertAlign w:val="superscript"/>
          <w:lang w:val="es-ES" w:eastAsia="en-US"/>
        </w:rPr>
        <w:t>(12)</w:t>
      </w:r>
      <w:r w:rsidRPr="00D078F1">
        <w:rPr>
          <w:rFonts w:eastAsia="Calibri"/>
          <w:color w:val="000000"/>
          <w:lang w:val="es-ES" w:eastAsia="en-US"/>
        </w:rPr>
        <w:t xml:space="preserve"> no encontraron asociación significativa entre las comorbilidades y el desarrollo de disfunción olfatoria o gustativa. </w:t>
      </w:r>
    </w:p>
    <w:p w14:paraId="68F408D5" w14:textId="77777777" w:rsidR="00D078F1" w:rsidRPr="00D078F1" w:rsidRDefault="00D078F1" w:rsidP="00D078F1">
      <w:pPr>
        <w:spacing w:line="360" w:lineRule="auto"/>
        <w:jc w:val="both"/>
        <w:rPr>
          <w:rFonts w:eastAsia="Calibri"/>
          <w:color w:val="000000"/>
          <w:vertAlign w:val="superscript"/>
          <w:lang w:val="es-ES" w:eastAsia="en-US"/>
        </w:rPr>
      </w:pPr>
      <w:r w:rsidRPr="00D078F1">
        <w:rPr>
          <w:rFonts w:eastAsia="Calibri"/>
          <w:color w:val="000000"/>
          <w:lang w:val="es-ES" w:eastAsia="en-US"/>
        </w:rPr>
        <w:t>Respecto a la presencia de otros síntomas acompañantes, predominó la ausencia de estos y los oligosintomáticos (con solo 1 o 2). Se ha sugerido que los pacientes tienden a referir los TQS en ausencia de otros síntomas más importantes, o cuando son ligeros y los omiten cuando presentan sintomatología más intensa.</w:t>
      </w:r>
      <w:r w:rsidRPr="00D078F1">
        <w:rPr>
          <w:rFonts w:eastAsia="Calibri"/>
          <w:color w:val="000000"/>
          <w:vertAlign w:val="superscript"/>
          <w:lang w:val="es-ES" w:eastAsia="en-US"/>
        </w:rPr>
        <w:t>(18,22)</w:t>
      </w:r>
    </w:p>
    <w:p w14:paraId="7503D1EE" w14:textId="77777777" w:rsidR="00D078F1" w:rsidRPr="00D078F1" w:rsidRDefault="00D078F1" w:rsidP="00D078F1">
      <w:pPr>
        <w:spacing w:line="360" w:lineRule="auto"/>
        <w:jc w:val="both"/>
        <w:rPr>
          <w:rFonts w:eastAsia="Calibri"/>
          <w:color w:val="000000"/>
          <w:lang w:val="es-ES" w:eastAsia="en-US"/>
        </w:rPr>
      </w:pPr>
      <w:r w:rsidRPr="00D078F1">
        <w:rPr>
          <w:rFonts w:eastAsia="Calibri"/>
          <w:color w:val="000000"/>
          <w:lang w:val="es-ES" w:eastAsia="en-US"/>
        </w:rPr>
        <w:t xml:space="preserve">De los síntomas acompañantes, predominó la cefalea, aunque no hay referencia a estudios que revelen una asociación positiva entre este síntoma y los TQS. La tos es un síntoma común de la </w:t>
      </w:r>
      <w:r w:rsidRPr="00D078F1">
        <w:rPr>
          <w:rFonts w:eastAsia="Calibri"/>
          <w:lang w:val="es-ES" w:eastAsia="en-US"/>
        </w:rPr>
        <w:t>COVID-19</w:t>
      </w:r>
      <w:r w:rsidRPr="00D078F1">
        <w:rPr>
          <w:rFonts w:eastAsia="Calibri"/>
          <w:color w:val="000000"/>
          <w:lang w:val="es-ES" w:eastAsia="en-US"/>
        </w:rPr>
        <w:t>, y coincide en la segunda posición con otros estudios.</w:t>
      </w:r>
      <w:r w:rsidRPr="00D078F1">
        <w:rPr>
          <w:rFonts w:eastAsia="Calibri"/>
          <w:color w:val="000000"/>
          <w:vertAlign w:val="superscript"/>
          <w:lang w:val="es-ES" w:eastAsia="en-US"/>
        </w:rPr>
        <w:t>(11,13,20)</w:t>
      </w:r>
      <w:r w:rsidRPr="00D078F1">
        <w:rPr>
          <w:rFonts w:eastAsia="Calibri"/>
          <w:color w:val="000000"/>
          <w:lang w:val="es-ES" w:eastAsia="en-US"/>
        </w:rPr>
        <w:t xml:space="preserve"> </w:t>
      </w:r>
    </w:p>
    <w:p w14:paraId="2E998FA6" w14:textId="00702197" w:rsidR="00D078F1" w:rsidRPr="00D078F1" w:rsidRDefault="00D078F1" w:rsidP="00D078F1">
      <w:pPr>
        <w:spacing w:line="360" w:lineRule="auto"/>
        <w:jc w:val="both"/>
        <w:rPr>
          <w:rFonts w:eastAsia="Calibri"/>
          <w:i/>
          <w:color w:val="000000"/>
          <w:lang w:val="es-ES" w:eastAsia="en-US"/>
        </w:rPr>
      </w:pPr>
      <w:r w:rsidRPr="00D078F1">
        <w:rPr>
          <w:rFonts w:eastAsia="Calibri"/>
          <w:color w:val="000000"/>
          <w:lang w:val="es-ES" w:eastAsia="en-US"/>
        </w:rPr>
        <w:t xml:space="preserve">La congestión o secreción nasal constituyó el tercer síntoma más común; se encontró en el 15,8 % de los casos que presentaron algún trastorno olfatorio. No obstante, </w:t>
      </w:r>
      <w:r w:rsidRPr="00D078F1">
        <w:rPr>
          <w:rFonts w:eastAsia="Calibri"/>
          <w:i/>
          <w:color w:val="000000"/>
          <w:lang w:val="es-ES" w:eastAsia="en-US"/>
        </w:rPr>
        <w:t xml:space="preserve">Vaira </w:t>
      </w:r>
      <w:r w:rsidRPr="00D078F1">
        <w:rPr>
          <w:rFonts w:eastAsia="Calibri"/>
          <w:lang w:val="es-ES" w:eastAsia="en-US"/>
        </w:rPr>
        <w:t>y otros</w:t>
      </w:r>
      <w:r w:rsidRPr="00D078F1">
        <w:rPr>
          <w:rFonts w:eastAsia="Calibri"/>
          <w:color w:val="000000"/>
          <w:vertAlign w:val="superscript"/>
          <w:lang w:val="es-ES" w:eastAsia="en-US"/>
        </w:rPr>
        <w:t>(18)</w:t>
      </w:r>
      <w:r w:rsidRPr="00D078F1">
        <w:rPr>
          <w:rFonts w:eastAsia="Calibri"/>
          <w:color w:val="000000"/>
          <w:lang w:val="es-ES" w:eastAsia="en-US"/>
        </w:rPr>
        <w:t xml:space="preserve"> </w:t>
      </w:r>
      <w:r w:rsidR="00502FE3" w:rsidRPr="00502FE3">
        <w:rPr>
          <w:rFonts w:eastAsia="Calibri"/>
          <w:color w:val="000000"/>
          <w:lang w:val="es-ES" w:eastAsia="en-US"/>
        </w:rPr>
        <w:t>señalan que no se ha encontrado correlación entre los TQS, la obstrucción nasal y la rinitis, y reportan en su estudio solo 7,8</w:t>
      </w:r>
      <w:r w:rsidR="00502FE3">
        <w:rPr>
          <w:rFonts w:eastAsia="Calibri"/>
          <w:color w:val="000000"/>
          <w:lang w:val="es-ES" w:eastAsia="en-US"/>
        </w:rPr>
        <w:t> </w:t>
      </w:r>
      <w:r w:rsidR="00502FE3" w:rsidRPr="00502FE3">
        <w:rPr>
          <w:rFonts w:eastAsia="Calibri"/>
          <w:color w:val="000000"/>
          <w:lang w:val="es-ES" w:eastAsia="en-US"/>
        </w:rPr>
        <w:t>% de prevalencia de estos síntomas</w:t>
      </w:r>
      <w:r w:rsidRPr="00D078F1">
        <w:rPr>
          <w:rFonts w:eastAsia="Calibri"/>
          <w:color w:val="000000"/>
          <w:lang w:val="es-ES" w:eastAsia="en-US"/>
        </w:rPr>
        <w:t xml:space="preserve">. </w:t>
      </w:r>
      <w:r w:rsidRPr="00D078F1">
        <w:rPr>
          <w:rFonts w:eastAsia="Calibri"/>
          <w:i/>
          <w:color w:val="000000"/>
          <w:lang w:val="es-ES" w:eastAsia="en-US"/>
        </w:rPr>
        <w:t>Lechien</w:t>
      </w:r>
      <w:r w:rsidRPr="00D078F1">
        <w:rPr>
          <w:rFonts w:eastAsia="Calibri"/>
          <w:lang w:val="es-ES" w:eastAsia="en-US"/>
        </w:rPr>
        <w:t xml:space="preserve"> y otros</w:t>
      </w:r>
      <w:r w:rsidRPr="00D078F1">
        <w:rPr>
          <w:rFonts w:eastAsia="Calibri"/>
          <w:color w:val="000000"/>
          <w:vertAlign w:val="superscript"/>
          <w:lang w:val="es-ES" w:eastAsia="en-US"/>
        </w:rPr>
        <w:t xml:space="preserve">(12) </w:t>
      </w:r>
      <w:r w:rsidRPr="00D078F1">
        <w:rPr>
          <w:rFonts w:eastAsia="Calibri"/>
          <w:color w:val="000000"/>
          <w:lang w:val="es-ES" w:eastAsia="en-US"/>
        </w:rPr>
        <w:t xml:space="preserve">también reportan no haber encontrado relación significativa entre la disfunción olfatoria y la rinorrea o la obstrucción nasal. </w:t>
      </w:r>
    </w:p>
    <w:p w14:paraId="54289444" w14:textId="77777777" w:rsidR="00D078F1" w:rsidRPr="00D078F1" w:rsidRDefault="00D078F1" w:rsidP="00D078F1">
      <w:pPr>
        <w:spacing w:line="360" w:lineRule="auto"/>
        <w:jc w:val="both"/>
        <w:rPr>
          <w:rFonts w:eastAsia="Calibri"/>
          <w:color w:val="000000"/>
          <w:lang w:val="es-ES" w:eastAsia="en-US"/>
        </w:rPr>
      </w:pPr>
      <w:r w:rsidRPr="00D078F1">
        <w:rPr>
          <w:rFonts w:eastAsia="Calibri"/>
          <w:color w:val="000000"/>
          <w:lang w:val="es-ES" w:eastAsia="en-US"/>
        </w:rPr>
        <w:t xml:space="preserve">La fiebre fue el cuarto síntoma acompañante en frecuencia. </w:t>
      </w:r>
      <w:r w:rsidRPr="00D078F1">
        <w:rPr>
          <w:rFonts w:eastAsia="Calibri"/>
          <w:i/>
          <w:color w:val="000000"/>
          <w:lang w:val="es-ES" w:eastAsia="en-US"/>
        </w:rPr>
        <w:t>Lechien</w:t>
      </w:r>
      <w:r w:rsidRPr="00D078F1">
        <w:rPr>
          <w:rFonts w:eastAsia="Calibri"/>
          <w:lang w:val="es-ES" w:eastAsia="en-US"/>
        </w:rPr>
        <w:t xml:space="preserve"> y otros</w:t>
      </w:r>
      <w:r w:rsidRPr="00D078F1">
        <w:rPr>
          <w:rFonts w:eastAsia="Calibri"/>
          <w:color w:val="000000"/>
          <w:vertAlign w:val="superscript"/>
          <w:lang w:val="es-ES" w:eastAsia="en-US"/>
        </w:rPr>
        <w:t>(12)</w:t>
      </w:r>
      <w:r w:rsidRPr="00D078F1">
        <w:rPr>
          <w:rFonts w:eastAsia="Calibri"/>
          <w:color w:val="000000"/>
          <w:lang w:val="es-ES" w:eastAsia="en-US"/>
        </w:rPr>
        <w:t xml:space="preserve"> encontraron asociación positiva significativa de este síntoma y la anosmia (p= 0,014). </w:t>
      </w:r>
    </w:p>
    <w:p w14:paraId="33CCE10D" w14:textId="77777777" w:rsidR="00D078F1" w:rsidRPr="00D078F1" w:rsidRDefault="00D078F1" w:rsidP="00D078F1">
      <w:pPr>
        <w:spacing w:line="360" w:lineRule="auto"/>
        <w:jc w:val="both"/>
        <w:rPr>
          <w:rFonts w:eastAsia="Calibri"/>
          <w:color w:val="000000"/>
          <w:lang w:val="es-ES" w:eastAsia="en-US"/>
        </w:rPr>
      </w:pPr>
      <w:r w:rsidRPr="00D078F1">
        <w:rPr>
          <w:rFonts w:eastAsia="Calibri"/>
          <w:color w:val="000000"/>
          <w:lang w:val="es-ES" w:eastAsia="en-US"/>
        </w:rPr>
        <w:t xml:space="preserve">El hecho de que en la serie solo se incluyeron casos con TQS, podría explicar las diferencias en cuanto al orden de prevalencia de los síntomas en otros estudios. Por ejemplo, </w:t>
      </w:r>
      <w:r w:rsidRPr="00D078F1">
        <w:rPr>
          <w:rFonts w:eastAsia="Calibri"/>
          <w:i/>
          <w:color w:val="000000"/>
          <w:lang w:val="es-ES" w:eastAsia="en-US"/>
        </w:rPr>
        <w:t>Moein</w:t>
      </w:r>
      <w:r w:rsidRPr="00D078F1">
        <w:rPr>
          <w:rFonts w:eastAsia="Calibri"/>
          <w:lang w:val="es-ES" w:eastAsia="en-US"/>
        </w:rPr>
        <w:t xml:space="preserve"> y otros</w:t>
      </w:r>
      <w:r w:rsidRPr="00D078F1">
        <w:rPr>
          <w:rFonts w:eastAsia="Calibri"/>
          <w:color w:val="000000"/>
          <w:vertAlign w:val="superscript"/>
          <w:lang w:val="es-ES" w:eastAsia="en-US"/>
        </w:rPr>
        <w:t>(13)</w:t>
      </w:r>
      <w:r w:rsidRPr="00D078F1">
        <w:rPr>
          <w:rFonts w:eastAsia="Calibri"/>
          <w:color w:val="000000"/>
          <w:lang w:val="es-ES" w:eastAsia="en-US"/>
        </w:rPr>
        <w:t xml:space="preserve"> reportan fiebre (78 %), tos (57 %), disnea (48 %), cefalea (39 %); </w:t>
      </w:r>
      <w:r w:rsidRPr="00D078F1">
        <w:rPr>
          <w:rFonts w:eastAsia="Calibri"/>
          <w:i/>
          <w:color w:val="000000"/>
          <w:lang w:val="es-ES" w:eastAsia="en-US"/>
        </w:rPr>
        <w:t>Ruíz Nápoles</w:t>
      </w:r>
      <w:r w:rsidRPr="00D078F1">
        <w:rPr>
          <w:rFonts w:eastAsia="Calibri"/>
          <w:iCs/>
          <w:color w:val="000000"/>
          <w:lang w:val="es-ES" w:eastAsia="en-US"/>
        </w:rPr>
        <w:t>,</w:t>
      </w:r>
      <w:r w:rsidRPr="00D078F1">
        <w:rPr>
          <w:rFonts w:eastAsia="Calibri"/>
          <w:color w:val="000000"/>
          <w:vertAlign w:val="superscript"/>
          <w:lang w:val="es-ES" w:eastAsia="en-US"/>
        </w:rPr>
        <w:t>(20)</w:t>
      </w:r>
      <w:r w:rsidRPr="00D078F1">
        <w:rPr>
          <w:rFonts w:eastAsia="Calibri"/>
          <w:color w:val="000000"/>
          <w:lang w:val="es-ES" w:eastAsia="en-US"/>
        </w:rPr>
        <w:t xml:space="preserve"> fiebre (61,1 %), tos seca (51,8 %), decaimiento (40,7 %), cefalea (25,9 %) y </w:t>
      </w:r>
      <w:r w:rsidRPr="00D078F1">
        <w:rPr>
          <w:rFonts w:eastAsia="Calibri"/>
          <w:i/>
          <w:color w:val="000000"/>
          <w:lang w:val="es-ES" w:eastAsia="en-US"/>
        </w:rPr>
        <w:t>Menni</w:t>
      </w:r>
      <w:r w:rsidRPr="00D078F1">
        <w:rPr>
          <w:rFonts w:eastAsia="Calibri"/>
          <w:color w:val="000000"/>
          <w:lang w:val="es-ES" w:eastAsia="en-US"/>
        </w:rPr>
        <w:t xml:space="preserve"> </w:t>
      </w:r>
      <w:r w:rsidRPr="00D078F1">
        <w:rPr>
          <w:rFonts w:eastAsia="Calibri"/>
          <w:lang w:val="es-ES" w:eastAsia="en-US"/>
        </w:rPr>
        <w:t>y otros</w:t>
      </w:r>
      <w:r w:rsidRPr="00D078F1">
        <w:rPr>
          <w:rFonts w:eastAsia="Calibri"/>
          <w:color w:val="000000"/>
          <w:vertAlign w:val="superscript"/>
          <w:lang w:val="es-ES" w:eastAsia="en-US"/>
        </w:rPr>
        <w:t>(11)</w:t>
      </w:r>
      <w:r w:rsidRPr="00D078F1">
        <w:rPr>
          <w:rFonts w:eastAsia="Calibri"/>
          <w:color w:val="000000"/>
          <w:lang w:val="es-ES" w:eastAsia="en-US"/>
        </w:rPr>
        <w:t xml:space="preserve"> fatiga (80,19 %), tos persistente (58,03 %), disnea (49,43 %).</w:t>
      </w:r>
    </w:p>
    <w:p w14:paraId="55E27C39" w14:textId="77777777" w:rsidR="00D078F1" w:rsidRPr="00D078F1" w:rsidRDefault="00D078F1" w:rsidP="00D078F1">
      <w:pPr>
        <w:spacing w:line="360" w:lineRule="auto"/>
        <w:jc w:val="both"/>
        <w:rPr>
          <w:rFonts w:eastAsia="Calibri"/>
          <w:color w:val="000000"/>
          <w:lang w:val="es-ES" w:eastAsia="en-US"/>
        </w:rPr>
      </w:pPr>
      <w:r w:rsidRPr="00D078F1">
        <w:rPr>
          <w:rFonts w:eastAsia="Calibri"/>
          <w:color w:val="000000"/>
          <w:lang w:val="es-ES" w:eastAsia="en-US"/>
        </w:rPr>
        <w:t>En variables que de forma objetiva indican la intensidad de la enfermedad, menos del 5 % de los casos presentaron la categoría que se asocia con la forma complicada o grave. Así se manifiesta en la radiografía de tórax (</w:t>
      </w:r>
      <w:r w:rsidRPr="00D078F1">
        <w:rPr>
          <w:rFonts w:eastAsia="Calibri"/>
          <w:bCs/>
          <w:color w:val="000000"/>
          <w:lang w:val="es-ES" w:eastAsia="en-US"/>
        </w:rPr>
        <w:t>4,6 % con lesión inflamatoria</w:t>
      </w:r>
      <w:r w:rsidRPr="00D078F1">
        <w:rPr>
          <w:rFonts w:eastAsia="Calibri"/>
          <w:color w:val="000000"/>
          <w:lang w:val="es-ES" w:eastAsia="en-US"/>
        </w:rPr>
        <w:t xml:space="preserve">), el índice de neutrófilos (2 % &gt; 4) y </w:t>
      </w:r>
      <w:r w:rsidRPr="00D078F1">
        <w:rPr>
          <w:rFonts w:eastAsia="Calibri"/>
          <w:lang w:val="es-ES" w:eastAsia="en-US"/>
        </w:rPr>
        <w:t>el conteo absoluto de linfocitos</w:t>
      </w:r>
      <w:r w:rsidRPr="00D078F1">
        <w:rPr>
          <w:rFonts w:eastAsia="Calibri"/>
          <w:color w:val="000000"/>
          <w:lang w:val="es-ES" w:eastAsia="en-US"/>
        </w:rPr>
        <w:t xml:space="preserve"> (3,3 % &lt; 1500 x 10</w:t>
      </w:r>
      <w:r w:rsidRPr="00D078F1">
        <w:rPr>
          <w:rFonts w:eastAsia="Calibri"/>
          <w:color w:val="000000"/>
          <w:vertAlign w:val="superscript"/>
          <w:lang w:val="es-ES" w:eastAsia="en-US"/>
        </w:rPr>
        <w:t>9</w:t>
      </w:r>
      <w:r w:rsidRPr="00D078F1">
        <w:rPr>
          <w:rFonts w:eastAsia="Calibri"/>
          <w:color w:val="000000"/>
          <w:lang w:val="es-ES" w:eastAsia="en-US"/>
        </w:rPr>
        <w:t>/L).</w:t>
      </w:r>
      <w:r w:rsidRPr="00D078F1">
        <w:rPr>
          <w:rFonts w:eastAsia="Calibri"/>
          <w:color w:val="000000"/>
          <w:vertAlign w:val="superscript"/>
          <w:lang w:val="es-ES" w:eastAsia="en-US"/>
        </w:rPr>
        <w:t>(15)</w:t>
      </w:r>
      <w:r w:rsidRPr="00D078F1">
        <w:rPr>
          <w:rFonts w:eastAsia="Calibri"/>
          <w:color w:val="000000"/>
          <w:lang w:val="es-ES" w:eastAsia="en-US"/>
        </w:rPr>
        <w:t xml:space="preserve"> Ello se corresponde con el hecho de que los requerimientos terapéuticos se manifestaron de forma similar, aunque ligeramente mayor al 5 % en el </w:t>
      </w:r>
      <w:r w:rsidRPr="00D078F1">
        <w:rPr>
          <w:rFonts w:eastAsia="Calibri"/>
          <w:color w:val="000000"/>
          <w:lang w:val="es-ES" w:eastAsia="en-US"/>
        </w:rPr>
        <w:lastRenderedPageBreak/>
        <w:t xml:space="preserve">caso de la necesidad del uso de antibióticos (5,9 %) y del uso de inmunomoduladores (5,3 %), y menor en el caso del ingreso en cuidados intensivos y ventilación mecánica (1,3 %). </w:t>
      </w:r>
    </w:p>
    <w:p w14:paraId="6CC48200" w14:textId="77777777" w:rsidR="00D078F1" w:rsidRPr="00D078F1" w:rsidRDefault="00D078F1" w:rsidP="00D078F1">
      <w:pPr>
        <w:spacing w:line="360" w:lineRule="auto"/>
        <w:jc w:val="both"/>
        <w:rPr>
          <w:rFonts w:eastAsia="Calibri"/>
          <w:color w:val="000000"/>
          <w:lang w:val="es-ES" w:eastAsia="en-US"/>
        </w:rPr>
      </w:pPr>
      <w:r w:rsidRPr="00D078F1">
        <w:rPr>
          <w:rFonts w:eastAsia="Calibri"/>
          <w:color w:val="000000"/>
          <w:lang w:val="es-ES" w:eastAsia="en-US"/>
        </w:rPr>
        <w:t xml:space="preserve">El diagnóstico predominante al egreso de enfermedad viral no complicada por SARS-CoV-2, mayor al 95 % indica que en esta serie, en la cual se incluyeron solo casos con TQS, predominó la forma no complicada de la </w:t>
      </w:r>
      <w:r w:rsidRPr="00D078F1">
        <w:rPr>
          <w:rFonts w:eastAsia="Calibri"/>
          <w:lang w:val="es-ES" w:eastAsia="en-US"/>
        </w:rPr>
        <w:t xml:space="preserve">COVID-19, </w:t>
      </w:r>
      <w:r w:rsidRPr="00D078F1">
        <w:rPr>
          <w:rFonts w:eastAsia="Calibri"/>
          <w:color w:val="000000"/>
          <w:lang w:val="es-ES" w:eastAsia="en-US"/>
        </w:rPr>
        <w:t>en una proporción mayor que en estudios realizados sin este criterio de inclusión.</w:t>
      </w:r>
      <w:r w:rsidRPr="00D078F1">
        <w:rPr>
          <w:rFonts w:eastAsia="Calibri"/>
          <w:color w:val="000000"/>
          <w:vertAlign w:val="superscript"/>
          <w:lang w:val="es-ES" w:eastAsia="en-US"/>
        </w:rPr>
        <w:t>(13,23,24,25,26)</w:t>
      </w:r>
      <w:r w:rsidRPr="00D078F1">
        <w:rPr>
          <w:rFonts w:eastAsia="Calibri"/>
          <w:color w:val="000000"/>
          <w:lang w:val="es-ES" w:eastAsia="en-US"/>
        </w:rPr>
        <w:t xml:space="preserve"> </w:t>
      </w:r>
    </w:p>
    <w:p w14:paraId="49BC3E66" w14:textId="77777777" w:rsidR="00D078F1" w:rsidRPr="00D078F1" w:rsidRDefault="00D078F1" w:rsidP="00D078F1">
      <w:pPr>
        <w:spacing w:line="360" w:lineRule="auto"/>
        <w:jc w:val="both"/>
        <w:rPr>
          <w:rFonts w:eastAsia="Calibri"/>
          <w:color w:val="000000"/>
          <w:lang w:val="es-ES" w:eastAsia="en-US"/>
        </w:rPr>
      </w:pPr>
      <w:r w:rsidRPr="00D078F1">
        <w:rPr>
          <w:rFonts w:eastAsia="Calibri"/>
          <w:color w:val="000000"/>
          <w:lang w:val="es-ES" w:eastAsia="en-US"/>
        </w:rPr>
        <w:t xml:space="preserve">Estos resultados no significan que los pacientes con estos trastornos evolucionen mejor que los que no lo presentan, pues este estudio se basa en la percepción subjetiva de los pacientes y no en una evaluación objetiva a través de pruebas psicofísicas olfatorias o gustativas. </w:t>
      </w:r>
      <w:r w:rsidRPr="00D078F1">
        <w:rPr>
          <w:rFonts w:eastAsia="Calibri"/>
          <w:i/>
          <w:color w:val="000000"/>
          <w:lang w:val="es-ES" w:eastAsia="en-US"/>
        </w:rPr>
        <w:t>Vaira</w:t>
      </w:r>
      <w:r w:rsidRPr="00D078F1">
        <w:rPr>
          <w:rFonts w:eastAsia="Calibri"/>
          <w:lang w:val="es-ES" w:eastAsia="en-US"/>
        </w:rPr>
        <w:t xml:space="preserve"> y otros</w:t>
      </w:r>
      <w:r w:rsidRPr="00D078F1">
        <w:rPr>
          <w:rFonts w:eastAsia="Calibri"/>
          <w:color w:val="000000"/>
          <w:vertAlign w:val="superscript"/>
          <w:lang w:val="es-ES" w:eastAsia="en-US"/>
        </w:rPr>
        <w:t xml:space="preserve">(18) </w:t>
      </w:r>
      <w:r w:rsidRPr="00D078F1">
        <w:rPr>
          <w:rFonts w:eastAsia="Calibri"/>
          <w:color w:val="000000"/>
          <w:lang w:val="es-ES" w:eastAsia="en-US"/>
        </w:rPr>
        <w:t xml:space="preserve">concluyen que la presencia de disfunciones en estos sentidos, no guardaba relación con el curso de la enfermedad, sino que los pacientes con las formas más complicadas, referían menos estos síntomas. </w:t>
      </w:r>
    </w:p>
    <w:p w14:paraId="55B2A765" w14:textId="77777777" w:rsidR="00D078F1" w:rsidRPr="00D078F1" w:rsidRDefault="00D078F1" w:rsidP="00D078F1">
      <w:pPr>
        <w:spacing w:line="360" w:lineRule="auto"/>
        <w:jc w:val="both"/>
        <w:rPr>
          <w:rFonts w:eastAsia="Calibri"/>
          <w:vertAlign w:val="superscript"/>
          <w:lang w:val="es-ES" w:eastAsia="en-US"/>
        </w:rPr>
      </w:pPr>
      <w:r w:rsidRPr="00D078F1">
        <w:rPr>
          <w:rFonts w:eastAsia="Calibri"/>
          <w:color w:val="000000"/>
          <w:lang w:val="es-ES" w:eastAsia="en-US"/>
        </w:rPr>
        <w:t xml:space="preserve">Por esta razón, es importante la búsqueda proactiva de disfunción olfatoria y gustativa en aquellos pacientes que presentan un cuadro clínico más intenso, quienes por la preponderancia de otros síntomas, pudieran omitir estas alteraciones al interrogatorio.  Así se podría reforzar el diagnóstico de la enfermedad en este tipo de pacientes, teniendo en cuenta la trascendencia que el hallazgo de TQS reviste en tiempos de pandemia de la </w:t>
      </w:r>
      <w:r w:rsidRPr="00D078F1">
        <w:rPr>
          <w:rFonts w:eastAsia="Calibri"/>
          <w:lang w:val="es-ES" w:eastAsia="en-US"/>
        </w:rPr>
        <w:t>COVID-19</w:t>
      </w:r>
      <w:r w:rsidRPr="00D078F1">
        <w:rPr>
          <w:rFonts w:eastAsia="Calibri"/>
          <w:color w:val="000000"/>
          <w:lang w:val="es-ES" w:eastAsia="en-US"/>
        </w:rPr>
        <w:t>.</w:t>
      </w:r>
      <w:r w:rsidRPr="00D078F1">
        <w:rPr>
          <w:rFonts w:eastAsia="Calibri"/>
          <w:vertAlign w:val="superscript"/>
          <w:lang w:val="es-ES" w:eastAsia="en-US"/>
        </w:rPr>
        <w:t xml:space="preserve"> </w:t>
      </w:r>
    </w:p>
    <w:p w14:paraId="41CCAD73"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 xml:space="preserve">Los pacientes con la COVID-19 que refieren TQS son predominantemente de sexo femenino. Generalmente manifiestan pérdida total del gusto o el olfato en lugar de disminución de alguno de estos sentidos. Aquellos sin antecedente epidemiológico se diagnostican con dilación, y no hay diferencias para decidir buscar atención médica la presentación de uno o ambos de estos TQS, ni su acompañamiento por otros síntomas. Al parecer los TQS se refieren más en ausencia de complicaciones y cuadros graves de la enfermedad, por lo que aquellos que refieren espontáneamente pérdida del gusto o el olfato, son generalmente personas saludables y oligosintomáticas. </w:t>
      </w:r>
    </w:p>
    <w:p w14:paraId="6426F3DC" w14:textId="77777777" w:rsidR="00D078F1" w:rsidRPr="00D078F1" w:rsidRDefault="00D078F1" w:rsidP="00D078F1">
      <w:pPr>
        <w:spacing w:line="360" w:lineRule="auto"/>
        <w:jc w:val="both"/>
        <w:rPr>
          <w:rFonts w:eastAsia="Calibri"/>
          <w:lang w:val="es-ES" w:eastAsia="en-US"/>
        </w:rPr>
      </w:pPr>
      <w:r w:rsidRPr="00D078F1">
        <w:rPr>
          <w:rFonts w:eastAsia="Calibri"/>
          <w:lang w:val="es-ES" w:eastAsia="en-US"/>
        </w:rPr>
        <w:t xml:space="preserve"> </w:t>
      </w:r>
    </w:p>
    <w:p w14:paraId="45662C04" w14:textId="77777777" w:rsidR="00D078F1" w:rsidRPr="00D078F1" w:rsidRDefault="00D078F1" w:rsidP="00D078F1">
      <w:pPr>
        <w:spacing w:line="360" w:lineRule="auto"/>
        <w:jc w:val="both"/>
        <w:rPr>
          <w:rFonts w:eastAsia="Calibri"/>
          <w:lang w:val="es-ES" w:eastAsia="en-US"/>
        </w:rPr>
      </w:pPr>
    </w:p>
    <w:p w14:paraId="7BB38146" w14:textId="77777777" w:rsidR="00D078F1" w:rsidRPr="00D078F1" w:rsidRDefault="00D078F1" w:rsidP="00D078F1">
      <w:pPr>
        <w:spacing w:line="360" w:lineRule="auto"/>
        <w:jc w:val="center"/>
        <w:rPr>
          <w:rFonts w:eastAsia="Calibri"/>
          <w:b/>
          <w:color w:val="000000"/>
          <w:sz w:val="32"/>
          <w:szCs w:val="32"/>
          <w:lang w:val="en-US" w:eastAsia="en-US"/>
        </w:rPr>
      </w:pPr>
      <w:r w:rsidRPr="00D078F1">
        <w:rPr>
          <w:rFonts w:eastAsia="Calibri"/>
          <w:b/>
          <w:color w:val="000000"/>
          <w:sz w:val="32"/>
          <w:szCs w:val="32"/>
          <w:lang w:val="en-US" w:eastAsia="en-US"/>
        </w:rPr>
        <w:t>REFERENCIAS BIBLIOGRÁFICAS</w:t>
      </w:r>
    </w:p>
    <w:p w14:paraId="307342E2" w14:textId="77777777" w:rsidR="00D078F1" w:rsidRPr="00D078F1" w:rsidRDefault="00D078F1" w:rsidP="00D078F1">
      <w:pPr>
        <w:spacing w:line="360" w:lineRule="auto"/>
        <w:rPr>
          <w:rFonts w:eastAsia="Calibri"/>
          <w:lang w:val="en-US" w:eastAsia="en-US"/>
        </w:rPr>
      </w:pPr>
      <w:r w:rsidRPr="00D078F1">
        <w:rPr>
          <w:rFonts w:eastAsia="Calibri"/>
          <w:lang w:val="en-US" w:eastAsia="en-US"/>
        </w:rPr>
        <w:t xml:space="preserve">1. Borsetto B, Hopkins C, Philips V, Obholzer R, Tirelli G, Polesel J, et al. Self-reported alteration of sense of smell or taste in patients with COVID−19: a systematic review and meta−analysis on 3563 </w:t>
      </w:r>
      <w:r w:rsidRPr="00D078F1">
        <w:rPr>
          <w:rFonts w:eastAsia="Calibri"/>
          <w:lang w:val="en-US" w:eastAsia="en-US"/>
        </w:rPr>
        <w:lastRenderedPageBreak/>
        <w:t xml:space="preserve">patients. Rhinology. 2020 [acceso: 27/04/2021]; 58(5): 430-6. Disponible en: </w:t>
      </w:r>
      <w:hyperlink r:id="rId16" w:history="1">
        <w:r w:rsidRPr="00D078F1">
          <w:rPr>
            <w:rFonts w:eastAsia="Calibri"/>
            <w:color w:val="0563C1"/>
            <w:u w:val="single"/>
            <w:lang w:val="en-US" w:eastAsia="en-US"/>
          </w:rPr>
          <w:t>https://doi.org/10.4193/Rhin20.185</w:t>
        </w:r>
      </w:hyperlink>
      <w:r w:rsidRPr="00D078F1">
        <w:rPr>
          <w:rFonts w:eastAsia="Calibri"/>
          <w:lang w:val="en-US" w:eastAsia="en-US"/>
        </w:rPr>
        <w:t xml:space="preserve"> </w:t>
      </w:r>
    </w:p>
    <w:p w14:paraId="50D993AB" w14:textId="77777777" w:rsidR="00D078F1" w:rsidRPr="00D078F1" w:rsidRDefault="00D078F1" w:rsidP="00D078F1">
      <w:pPr>
        <w:spacing w:line="360" w:lineRule="auto"/>
        <w:rPr>
          <w:rFonts w:eastAsia="Calibri"/>
          <w:lang w:val="es-ES" w:eastAsia="en-US"/>
        </w:rPr>
      </w:pPr>
      <w:r w:rsidRPr="00D078F1">
        <w:rPr>
          <w:rFonts w:eastAsia="Calibri"/>
          <w:lang w:val="en-US" w:eastAsia="en-US"/>
        </w:rPr>
        <w:t xml:space="preserve">2. Tong JY, Wong A, Zhu D, Fastenberg JH, Tham T. The Prevalence of   olfactory and gustatory dysfunction in COVID-19 patients: a systematic review and metaanalysis. </w:t>
      </w:r>
      <w:r w:rsidRPr="00D078F1">
        <w:rPr>
          <w:rFonts w:eastAsia="Calibri"/>
          <w:lang w:val="es-ES" w:eastAsia="en-US"/>
        </w:rPr>
        <w:t xml:space="preserve">Otolaryngol Head Neck Surg. 2020 [acceso: 03/05/2021]; 163(1): 3-11. Disponible en: </w:t>
      </w:r>
      <w:hyperlink r:id="rId17" w:history="1">
        <w:r w:rsidRPr="00D078F1">
          <w:rPr>
            <w:rFonts w:eastAsia="Calibri"/>
            <w:color w:val="0563C1"/>
            <w:u w:val="single"/>
            <w:lang w:val="es-ES" w:eastAsia="en-US"/>
          </w:rPr>
          <w:t>https://doi.org/10.1177/0194599820926473</w:t>
        </w:r>
      </w:hyperlink>
      <w:r w:rsidRPr="00D078F1">
        <w:rPr>
          <w:rFonts w:eastAsia="Calibri"/>
          <w:lang w:val="es-ES" w:eastAsia="en-US"/>
        </w:rPr>
        <w:t xml:space="preserve">  </w:t>
      </w:r>
    </w:p>
    <w:p w14:paraId="4602F078" w14:textId="77777777" w:rsidR="00D078F1" w:rsidRPr="00D078F1" w:rsidRDefault="00D078F1" w:rsidP="00D078F1">
      <w:pPr>
        <w:spacing w:line="360" w:lineRule="auto"/>
        <w:rPr>
          <w:rFonts w:eastAsia="Calibri"/>
          <w:lang w:val="es-ES" w:eastAsia="en-US"/>
        </w:rPr>
      </w:pPr>
      <w:r w:rsidRPr="00D078F1">
        <w:rPr>
          <w:rFonts w:eastAsia="Calibri"/>
          <w:lang w:val="en-US" w:eastAsia="en-US"/>
        </w:rPr>
        <w:t xml:space="preserve">3. CDC: Centers for Disease Control and Prevention. Symptoms of COVID-19. Atlanta: CDC; 2000 [actualizado: 22/02/2021; acceso: 03/05/2021]. </w:t>
      </w:r>
      <w:r w:rsidRPr="00D078F1">
        <w:rPr>
          <w:rFonts w:eastAsia="Calibri"/>
          <w:lang w:val="es-ES" w:eastAsia="en-US"/>
        </w:rPr>
        <w:t xml:space="preserve">Disponible en: </w:t>
      </w:r>
      <w:hyperlink r:id="rId18" w:history="1">
        <w:r w:rsidRPr="00D078F1">
          <w:rPr>
            <w:rFonts w:eastAsia="Calibri"/>
            <w:color w:val="0563C1"/>
            <w:u w:val="single"/>
            <w:lang w:val="es-ES" w:eastAsia="en-US"/>
          </w:rPr>
          <w:t>https://www.cdc.gov/coronavirus/2019-ncov/symptoms-testing/symptoms.html</w:t>
        </w:r>
      </w:hyperlink>
      <w:r w:rsidRPr="00D078F1">
        <w:rPr>
          <w:rFonts w:eastAsia="Calibri"/>
          <w:lang w:val="es-ES" w:eastAsia="en-US"/>
        </w:rPr>
        <w:t xml:space="preserve"> </w:t>
      </w:r>
    </w:p>
    <w:p w14:paraId="79D01444" w14:textId="77777777" w:rsidR="00D078F1" w:rsidRPr="00D078F1" w:rsidRDefault="00D078F1" w:rsidP="00D078F1">
      <w:pPr>
        <w:spacing w:line="360" w:lineRule="auto"/>
        <w:rPr>
          <w:rFonts w:eastAsia="Calibri"/>
          <w:lang w:val="es-ES" w:eastAsia="en-US"/>
        </w:rPr>
      </w:pPr>
      <w:r w:rsidRPr="00D078F1">
        <w:rPr>
          <w:rFonts w:eastAsia="Calibri"/>
          <w:lang w:val="en-US" w:eastAsia="en-US"/>
        </w:rPr>
        <w:t xml:space="preserve">4.  Fodoulian L, Tuberosa J, Rossier D, Landis BN, Carleton A, Rodriguez I. SARS-CoV-2 receptor and entry genes are expressed by sustentacular cells in the human olfactory neuroepithelium. iScience. </w:t>
      </w:r>
      <w:r w:rsidRPr="00D078F1">
        <w:rPr>
          <w:rFonts w:eastAsia="Calibri"/>
          <w:lang w:val="es-ES" w:eastAsia="en-US"/>
        </w:rPr>
        <w:t xml:space="preserve">2020 [acceso: 04/05/2021]; 23(12): 101839. Disponible en:  </w:t>
      </w:r>
      <w:hyperlink r:id="rId19" w:history="1">
        <w:r w:rsidRPr="00D078F1">
          <w:rPr>
            <w:rFonts w:eastAsia="Calibri"/>
            <w:color w:val="0563C1"/>
            <w:u w:val="single"/>
            <w:lang w:val="es-ES" w:eastAsia="en-US"/>
          </w:rPr>
          <w:t>https://doi.org/10.1016/j.isci.2020.101839</w:t>
        </w:r>
      </w:hyperlink>
      <w:r w:rsidRPr="00D078F1">
        <w:rPr>
          <w:rFonts w:eastAsia="Calibri"/>
          <w:lang w:val="es-ES" w:eastAsia="en-US"/>
        </w:rPr>
        <w:t xml:space="preserve"> </w:t>
      </w:r>
    </w:p>
    <w:p w14:paraId="3EA66B64" w14:textId="77777777" w:rsidR="00D078F1" w:rsidRPr="00D078F1" w:rsidRDefault="00D078F1" w:rsidP="00D078F1">
      <w:pPr>
        <w:spacing w:line="360" w:lineRule="auto"/>
        <w:rPr>
          <w:rFonts w:eastAsia="Calibri"/>
          <w:lang w:val="es-ES" w:eastAsia="en-US"/>
        </w:rPr>
      </w:pPr>
      <w:r w:rsidRPr="00D078F1">
        <w:rPr>
          <w:rFonts w:eastAsia="Calibri"/>
          <w:lang w:val="es-ES" w:eastAsia="en-US"/>
        </w:rPr>
        <w:t xml:space="preserve">5. Mullol J, Alobid I, Mariño-Sánchez F, Izquierdo-Domínguez A, Marin C, Klimek L, et al. </w:t>
      </w:r>
      <w:r w:rsidRPr="00D078F1">
        <w:rPr>
          <w:rFonts w:eastAsia="Calibri"/>
          <w:lang w:val="en-US" w:eastAsia="en-US"/>
        </w:rPr>
        <w:t xml:space="preserve">The Loss of Smell and Taste in the COVID-19 Outbreak: a Tale of Many Countries. </w:t>
      </w:r>
      <w:r w:rsidRPr="00632204">
        <w:rPr>
          <w:rFonts w:eastAsia="Calibri"/>
          <w:lang w:val="en-US" w:eastAsia="en-US"/>
        </w:rPr>
        <w:t xml:space="preserve">Curr Allergy Asthma Rep. 2020 [acceso: 04/05/2021]; 20:61. </w:t>
      </w:r>
      <w:r w:rsidRPr="00D078F1">
        <w:rPr>
          <w:rFonts w:eastAsia="Calibri"/>
          <w:lang w:val="es-ES" w:eastAsia="en-US"/>
        </w:rPr>
        <w:t xml:space="preserve">Disponible en:  </w:t>
      </w:r>
      <w:hyperlink r:id="rId20" w:history="1">
        <w:r w:rsidRPr="00D078F1">
          <w:rPr>
            <w:rFonts w:eastAsia="Calibri"/>
            <w:color w:val="0563C1"/>
            <w:u w:val="single"/>
            <w:lang w:val="es-ES" w:eastAsia="en-US"/>
          </w:rPr>
          <w:t>https://doi.org/10.1007/s11882-020-00961-1</w:t>
        </w:r>
      </w:hyperlink>
      <w:r w:rsidRPr="00D078F1">
        <w:rPr>
          <w:rFonts w:eastAsia="Calibri"/>
          <w:lang w:val="es-ES" w:eastAsia="en-US"/>
        </w:rPr>
        <w:t xml:space="preserve">  </w:t>
      </w:r>
    </w:p>
    <w:p w14:paraId="1172AA61" w14:textId="77777777" w:rsidR="00D078F1" w:rsidRPr="00D078F1" w:rsidRDefault="00D078F1" w:rsidP="00D078F1">
      <w:pPr>
        <w:spacing w:line="360" w:lineRule="auto"/>
        <w:rPr>
          <w:rFonts w:eastAsia="Calibri"/>
          <w:lang w:val="en-US" w:eastAsia="en-US"/>
        </w:rPr>
      </w:pPr>
      <w:r w:rsidRPr="00D078F1">
        <w:rPr>
          <w:rFonts w:eastAsia="Calibri"/>
          <w:lang w:val="en-US" w:eastAsia="en-US"/>
        </w:rPr>
        <w:t xml:space="preserve">6. Vaira LA, Salzano G, Giuseppe Fois A, Piombino P, De Riu G. Potential pathogenesis of ageusia and anosmia in COVID-19 patients. Int Forum Allergy Rhinol. 2020 [acceso: 04/05/2021]; 10(9): 1103−4. Disponible en: </w:t>
      </w:r>
      <w:hyperlink r:id="rId21" w:history="1">
        <w:r w:rsidRPr="00D078F1">
          <w:rPr>
            <w:rFonts w:eastAsia="Calibri"/>
            <w:color w:val="0563C1"/>
            <w:u w:val="single"/>
            <w:lang w:val="en-US" w:eastAsia="en-US"/>
          </w:rPr>
          <w:t>https://doi.org/10.1002/alr.22593</w:t>
        </w:r>
      </w:hyperlink>
      <w:r w:rsidRPr="00D078F1">
        <w:rPr>
          <w:rFonts w:eastAsia="Calibri"/>
          <w:lang w:val="en-US" w:eastAsia="en-US"/>
        </w:rPr>
        <w:t xml:space="preserve">  </w:t>
      </w:r>
    </w:p>
    <w:p w14:paraId="76FF16EA" w14:textId="77777777" w:rsidR="00D078F1" w:rsidRPr="00D078F1" w:rsidRDefault="00D078F1" w:rsidP="00D078F1">
      <w:pPr>
        <w:spacing w:line="360" w:lineRule="auto"/>
        <w:rPr>
          <w:rFonts w:eastAsia="Calibri"/>
          <w:lang w:val="es-ES" w:eastAsia="en-US"/>
        </w:rPr>
      </w:pPr>
      <w:r w:rsidRPr="00D078F1">
        <w:rPr>
          <w:rFonts w:eastAsia="Calibri"/>
          <w:lang w:val="en-US" w:eastAsia="en-US"/>
        </w:rPr>
        <w:t xml:space="preserve">7. Marchese-Ragona R, Restivo DA, De Corso E, Vianello A, Nicolai  P, Ottaviano G. Loss of smell in COVID-19 patients: a critical review with emphasis on the use of olfactory tests. </w:t>
      </w:r>
      <w:r w:rsidRPr="00D078F1">
        <w:rPr>
          <w:rFonts w:eastAsia="Calibri"/>
          <w:lang w:val="es-ES" w:eastAsia="en-US"/>
        </w:rPr>
        <w:t xml:space="preserve">Acta Otorhinolaryngol Ital. 2020 [acceso: 04/05/2021]; 40(4): 241-7. Disponible en: </w:t>
      </w:r>
      <w:hyperlink r:id="rId22" w:history="1">
        <w:r w:rsidRPr="00D078F1">
          <w:rPr>
            <w:rFonts w:eastAsia="Calibri"/>
            <w:color w:val="0563C1"/>
            <w:u w:val="single"/>
            <w:lang w:val="es-ES" w:eastAsia="en-US"/>
          </w:rPr>
          <w:t>https://doi.org/10.14639/0392-100X-N0862</w:t>
        </w:r>
      </w:hyperlink>
      <w:r w:rsidRPr="00D078F1">
        <w:rPr>
          <w:rFonts w:eastAsia="Calibri"/>
          <w:lang w:val="es-ES" w:eastAsia="en-US"/>
        </w:rPr>
        <w:t xml:space="preserve">   </w:t>
      </w:r>
    </w:p>
    <w:p w14:paraId="331EFA62" w14:textId="77777777" w:rsidR="00D078F1" w:rsidRPr="00D078F1" w:rsidRDefault="00D078F1" w:rsidP="00D078F1">
      <w:pPr>
        <w:spacing w:line="360" w:lineRule="auto"/>
        <w:rPr>
          <w:rFonts w:eastAsia="Calibri"/>
          <w:lang w:val="en-US" w:eastAsia="en-US"/>
        </w:rPr>
      </w:pPr>
      <w:r w:rsidRPr="00D078F1">
        <w:rPr>
          <w:rFonts w:eastAsia="Calibri"/>
          <w:lang w:val="es-ES" w:eastAsia="en-US"/>
        </w:rPr>
        <w:t xml:space="preserve">8. Ibekwe TS, Fasunla AJ, Orimadegun AE. </w:t>
      </w:r>
      <w:r w:rsidRPr="00D078F1">
        <w:rPr>
          <w:rFonts w:eastAsia="Calibri"/>
          <w:lang w:val="en-US" w:eastAsia="en-US"/>
        </w:rPr>
        <w:t xml:space="preserve">Systematic Review and Meta-analysis of Smell and Taste Disorders in COVID-19. OTO Open. 2020 [acceso: 04/05/2021]; 4(3)1–13. Disponible en: </w:t>
      </w:r>
      <w:hyperlink r:id="rId23" w:history="1">
        <w:r w:rsidRPr="00D078F1">
          <w:rPr>
            <w:rFonts w:eastAsia="Calibri"/>
            <w:color w:val="0563C1"/>
            <w:u w:val="single"/>
            <w:lang w:val="en-US" w:eastAsia="en-US"/>
          </w:rPr>
          <w:t>https://doi.org/10.1177/2473974X20957975</w:t>
        </w:r>
      </w:hyperlink>
      <w:r w:rsidRPr="00D078F1">
        <w:rPr>
          <w:rFonts w:eastAsia="Calibri"/>
          <w:lang w:val="en-US" w:eastAsia="en-US"/>
        </w:rPr>
        <w:t xml:space="preserve">  </w:t>
      </w:r>
    </w:p>
    <w:p w14:paraId="46784051" w14:textId="77777777" w:rsidR="00D078F1" w:rsidRPr="00D078F1" w:rsidRDefault="00D078F1" w:rsidP="00D078F1">
      <w:pPr>
        <w:spacing w:line="360" w:lineRule="auto"/>
        <w:rPr>
          <w:rFonts w:eastAsia="Calibri"/>
          <w:lang w:val="es-ES" w:eastAsia="en-US"/>
        </w:rPr>
      </w:pPr>
      <w:r w:rsidRPr="00D078F1">
        <w:rPr>
          <w:rFonts w:eastAsia="Calibri"/>
          <w:lang w:val="en-US" w:eastAsia="en-US"/>
        </w:rPr>
        <w:t xml:space="preserve">9. Mao L, Jin H, Wang M, Hu Y, Chen S, He Q, et al. Neurologic manifestations of hospitalized patients with coronavirus disease 2019 in Wuhan, China. </w:t>
      </w:r>
      <w:r w:rsidRPr="00D078F1">
        <w:rPr>
          <w:rFonts w:eastAsia="Calibri"/>
          <w:lang w:val="es-ES" w:eastAsia="en-US"/>
        </w:rPr>
        <w:t xml:space="preserve">JAMA Neurol. 2020 [acceso: 04/05/2021]; 77(6): 683−90 Disponible en:  </w:t>
      </w:r>
      <w:hyperlink r:id="rId24" w:history="1">
        <w:r w:rsidRPr="00D078F1">
          <w:rPr>
            <w:rFonts w:eastAsia="Calibri"/>
            <w:color w:val="0563C1"/>
            <w:u w:val="single"/>
            <w:lang w:val="es-ES" w:eastAsia="en-US"/>
          </w:rPr>
          <w:t>https://doi.org/10.1001/jamaneurol.2020.1127</w:t>
        </w:r>
      </w:hyperlink>
      <w:r w:rsidRPr="00D078F1">
        <w:rPr>
          <w:rFonts w:eastAsia="Calibri"/>
          <w:lang w:val="es-ES" w:eastAsia="en-US"/>
        </w:rPr>
        <w:t xml:space="preserve">   </w:t>
      </w:r>
    </w:p>
    <w:p w14:paraId="0E483E8B" w14:textId="77777777" w:rsidR="00D078F1" w:rsidRPr="00D078F1" w:rsidRDefault="00D078F1" w:rsidP="00D078F1">
      <w:pPr>
        <w:spacing w:line="360" w:lineRule="auto"/>
        <w:rPr>
          <w:rFonts w:eastAsia="Calibri"/>
          <w:lang w:val="es-ES" w:eastAsia="en-US"/>
        </w:rPr>
      </w:pPr>
      <w:r w:rsidRPr="00D078F1">
        <w:rPr>
          <w:rFonts w:eastAsia="Calibri"/>
          <w:lang w:val="es-ES" w:eastAsia="en-US"/>
        </w:rPr>
        <w:lastRenderedPageBreak/>
        <w:t xml:space="preserve">10. Lee Y, Min P, Lee S, Kim SW. </w:t>
      </w:r>
      <w:r w:rsidRPr="00D078F1">
        <w:rPr>
          <w:rFonts w:eastAsia="Calibri"/>
          <w:lang w:val="en-US" w:eastAsia="en-US"/>
        </w:rPr>
        <w:t xml:space="preserve">Prevalence and duration of acute loss of smell or taste in COVID-19 patients. </w:t>
      </w:r>
      <w:r w:rsidRPr="00D078F1">
        <w:rPr>
          <w:rFonts w:eastAsia="Calibri"/>
          <w:lang w:val="es-ES" w:eastAsia="en-US"/>
        </w:rPr>
        <w:t xml:space="preserve">J Korean Med Sci. 2020 [acceso: 04/05/2021]; 35(18): e174. Disponible en: </w:t>
      </w:r>
      <w:hyperlink r:id="rId25" w:history="1">
        <w:r w:rsidRPr="00D078F1">
          <w:rPr>
            <w:rFonts w:eastAsia="Calibri"/>
            <w:color w:val="0563C1"/>
            <w:u w:val="single"/>
            <w:lang w:val="es-ES" w:eastAsia="en-US"/>
          </w:rPr>
          <w:t>https://doi.org/10.3346/jkms.2020.35.e174</w:t>
        </w:r>
      </w:hyperlink>
      <w:r w:rsidRPr="00D078F1">
        <w:rPr>
          <w:rFonts w:eastAsia="Calibri"/>
          <w:lang w:val="es-ES" w:eastAsia="en-US"/>
        </w:rPr>
        <w:t xml:space="preserve">  </w:t>
      </w:r>
    </w:p>
    <w:p w14:paraId="0494092E" w14:textId="77777777" w:rsidR="00D078F1" w:rsidRPr="00D078F1" w:rsidRDefault="00D078F1" w:rsidP="00D078F1">
      <w:pPr>
        <w:spacing w:line="360" w:lineRule="auto"/>
        <w:rPr>
          <w:rFonts w:eastAsia="Calibri"/>
          <w:lang w:val="es-ES" w:eastAsia="en-US"/>
        </w:rPr>
      </w:pPr>
      <w:r w:rsidRPr="00D078F1">
        <w:rPr>
          <w:rFonts w:eastAsia="Calibri"/>
          <w:lang w:val="en-US" w:eastAsia="en-US"/>
        </w:rPr>
        <w:t xml:space="preserve">11. Menni C, Valdes AM, Freidin MB, Sudre CH, Nguyen LH, Drew DA, et al. Real-time tracking of self-reported symptoms to predict COVID-19. </w:t>
      </w:r>
      <w:r w:rsidRPr="00D078F1">
        <w:rPr>
          <w:rFonts w:eastAsia="Calibri"/>
          <w:lang w:val="es-ES" w:eastAsia="en-US"/>
        </w:rPr>
        <w:t xml:space="preserve">Nat Med. 2020 [acceso: 04/05/2021]; 26: 1037−40. Disponible en: </w:t>
      </w:r>
      <w:hyperlink r:id="rId26" w:history="1">
        <w:r w:rsidRPr="00D078F1">
          <w:rPr>
            <w:rFonts w:eastAsia="Calibri"/>
            <w:color w:val="0563C1"/>
            <w:u w:val="single"/>
            <w:lang w:val="es-ES" w:eastAsia="en-US"/>
          </w:rPr>
          <w:t>https://www.nature.com/articles/s41591-020-0916-2</w:t>
        </w:r>
      </w:hyperlink>
      <w:r w:rsidRPr="00D078F1">
        <w:rPr>
          <w:rFonts w:eastAsia="Calibri"/>
          <w:lang w:val="es-ES" w:eastAsia="en-US"/>
        </w:rPr>
        <w:t xml:space="preserve">  </w:t>
      </w:r>
    </w:p>
    <w:p w14:paraId="3E30E368" w14:textId="77777777" w:rsidR="00D078F1" w:rsidRPr="00D078F1" w:rsidRDefault="00D078F1" w:rsidP="00D078F1">
      <w:pPr>
        <w:spacing w:line="360" w:lineRule="auto"/>
        <w:rPr>
          <w:rFonts w:eastAsia="Calibri"/>
          <w:lang w:val="es-ES" w:eastAsia="en-US"/>
        </w:rPr>
      </w:pPr>
      <w:r w:rsidRPr="00D078F1">
        <w:rPr>
          <w:rFonts w:eastAsia="Calibri"/>
          <w:lang w:val="es-ES" w:eastAsia="en-US"/>
        </w:rPr>
        <w:t xml:space="preserve">12. Lechien JR, Chiesa-Estomba CM, De Siati DR, Horoi M, Le Bon SD, Rodríguez A, et al. </w:t>
      </w:r>
      <w:r w:rsidRPr="00D078F1">
        <w:rPr>
          <w:rFonts w:eastAsia="Calibri"/>
          <w:lang w:val="en-US" w:eastAsia="en-US"/>
        </w:rPr>
        <w:t xml:space="preserve">Olfactory and gustatory dysfunctions as a clinical presentation of mild-to-moderate forms of the coronavirus disease (COVID-19): a multicenter European study. </w:t>
      </w:r>
      <w:r w:rsidRPr="00D078F1">
        <w:rPr>
          <w:rFonts w:eastAsia="Calibri"/>
          <w:lang w:val="es-ES" w:eastAsia="en-US"/>
        </w:rPr>
        <w:t xml:space="preserve">Eur Arch Otorhinolaryngol. 2020 [acceso: 04/05/2021]; 277: 2251−61. Disponible en: </w:t>
      </w:r>
      <w:hyperlink r:id="rId27" w:history="1">
        <w:r w:rsidRPr="00D078F1">
          <w:rPr>
            <w:rFonts w:eastAsia="Calibri"/>
            <w:color w:val="0563C1"/>
            <w:u w:val="single"/>
            <w:lang w:val="es-ES" w:eastAsia="en-US"/>
          </w:rPr>
          <w:t>https://doi.org/10.1007/s00405-020-05965-1</w:t>
        </w:r>
      </w:hyperlink>
      <w:r w:rsidRPr="00D078F1">
        <w:rPr>
          <w:rFonts w:eastAsia="Calibri"/>
          <w:lang w:val="es-ES" w:eastAsia="en-US"/>
        </w:rPr>
        <w:t xml:space="preserve"> </w:t>
      </w:r>
    </w:p>
    <w:p w14:paraId="7490E15F" w14:textId="77777777" w:rsidR="00D078F1" w:rsidRPr="00D078F1" w:rsidRDefault="00D078F1" w:rsidP="00D078F1">
      <w:pPr>
        <w:spacing w:line="360" w:lineRule="auto"/>
        <w:rPr>
          <w:rFonts w:eastAsia="Calibri"/>
          <w:lang w:val="en-US" w:eastAsia="en-US"/>
        </w:rPr>
      </w:pPr>
      <w:r w:rsidRPr="00D078F1">
        <w:rPr>
          <w:rFonts w:eastAsia="Calibri"/>
          <w:lang w:val="en-US" w:eastAsia="en-US"/>
        </w:rPr>
        <w:t xml:space="preserve">13. Moein ST, Hashemian SM, Tabarsi P, Doty RL. Prevalence and reversibility of smell dysfunction measured psychophysically in a cohort of COVID-19 patients. Int Forum Allergy Rhinol. 2020 [acceso: 03/05/2021]; 10(10): 1127−35. Disponible en:  </w:t>
      </w:r>
      <w:hyperlink r:id="rId28" w:history="1">
        <w:r w:rsidRPr="00D078F1">
          <w:rPr>
            <w:rFonts w:eastAsia="Calibri"/>
            <w:color w:val="0563C1"/>
            <w:u w:val="single"/>
            <w:lang w:val="en-US" w:eastAsia="en-US"/>
          </w:rPr>
          <w:t>https://doi.org/10.1002/alr.22680</w:t>
        </w:r>
      </w:hyperlink>
      <w:r w:rsidRPr="00D078F1">
        <w:rPr>
          <w:rFonts w:eastAsia="Calibri"/>
          <w:lang w:val="en-US" w:eastAsia="en-US"/>
        </w:rPr>
        <w:t xml:space="preserve"> </w:t>
      </w:r>
    </w:p>
    <w:p w14:paraId="7522FC7C" w14:textId="77777777" w:rsidR="00D078F1" w:rsidRPr="00D078F1" w:rsidRDefault="00D078F1" w:rsidP="00D078F1">
      <w:pPr>
        <w:spacing w:line="360" w:lineRule="auto"/>
        <w:rPr>
          <w:rFonts w:eastAsia="Calibri"/>
          <w:lang w:val="es-ES" w:eastAsia="en-US"/>
        </w:rPr>
      </w:pPr>
      <w:r w:rsidRPr="00D078F1">
        <w:rPr>
          <w:rFonts w:eastAsia="Calibri"/>
          <w:lang w:val="en-US" w:eastAsia="en-US"/>
        </w:rPr>
        <w:t xml:space="preserve">14. Eid M, Al-Kaisy M, Regeia W, Jiwa Khan H. The prognostic accuracy of neutrophil-lymphocyte ratio in COVID-19 patients. </w:t>
      </w:r>
      <w:r w:rsidRPr="00D078F1">
        <w:rPr>
          <w:rFonts w:eastAsia="Calibri"/>
          <w:lang w:val="es-ES" w:eastAsia="en-US"/>
        </w:rPr>
        <w:t xml:space="preserve">Front Emerg Med. 2021 [acceso: 10/05/2021]; 5(1): e8. Disponible en: </w:t>
      </w:r>
      <w:hyperlink r:id="rId29" w:history="1">
        <w:r w:rsidRPr="00D078F1">
          <w:rPr>
            <w:rFonts w:eastAsia="Calibri"/>
            <w:color w:val="0563C1"/>
            <w:u w:val="single"/>
            <w:lang w:val="es-ES" w:eastAsia="en-US"/>
          </w:rPr>
          <w:t>https://core.ac.uk/reader/327264300</w:t>
        </w:r>
      </w:hyperlink>
      <w:r w:rsidRPr="00D078F1">
        <w:rPr>
          <w:rFonts w:eastAsia="Calibri"/>
          <w:lang w:val="es-ES" w:eastAsia="en-US"/>
        </w:rPr>
        <w:t xml:space="preserve">  </w:t>
      </w:r>
    </w:p>
    <w:p w14:paraId="5A3D0E5E" w14:textId="77777777" w:rsidR="00D078F1" w:rsidRPr="00D078F1" w:rsidRDefault="00D078F1" w:rsidP="00D078F1">
      <w:pPr>
        <w:spacing w:line="360" w:lineRule="auto"/>
        <w:rPr>
          <w:rFonts w:eastAsia="Calibri"/>
          <w:lang w:val="es-ES" w:eastAsia="en-US"/>
        </w:rPr>
      </w:pPr>
      <w:r w:rsidRPr="00D078F1">
        <w:rPr>
          <w:rFonts w:eastAsia="Calibri"/>
          <w:lang w:val="es-ES" w:eastAsia="en-US"/>
        </w:rPr>
        <w:t xml:space="preserve">15. Ministerio de Salud Pública. Protocolo de actuación nacional para la COVID−19. Versión 1.6. La Habana; 2021 [acceso: 10/05/2021]. Disponible en: </w:t>
      </w:r>
      <w:hyperlink r:id="rId30" w:history="1">
        <w:r w:rsidRPr="00D078F1">
          <w:rPr>
            <w:rFonts w:eastAsia="Calibri"/>
            <w:color w:val="0563C1"/>
            <w:u w:val="single"/>
            <w:lang w:val="es-ES" w:eastAsia="en-US"/>
          </w:rPr>
          <w:t>https://files.sld.cu/editorhome/files/2021/03/VERSION_FINAL_6_EXTENDIDA_PROTOCOLO_REVISADA_28_MARZO__2021.pdf</w:t>
        </w:r>
      </w:hyperlink>
    </w:p>
    <w:p w14:paraId="735D0696" w14:textId="77777777" w:rsidR="00D078F1" w:rsidRPr="00D078F1" w:rsidRDefault="00D078F1" w:rsidP="00D078F1">
      <w:pPr>
        <w:spacing w:line="360" w:lineRule="auto"/>
        <w:rPr>
          <w:rFonts w:eastAsia="Calibri"/>
          <w:lang w:val="es-ES" w:eastAsia="en-US"/>
        </w:rPr>
      </w:pPr>
      <w:r w:rsidRPr="00D078F1">
        <w:rPr>
          <w:rFonts w:eastAsia="Calibri"/>
          <w:lang w:val="en-US" w:eastAsia="en-US"/>
        </w:rPr>
        <w:t xml:space="preserve">16. Chiesa-Estomba CM, Lechien JR, Radulesco T, Michel J, Sowerby LJ, Hopkins C, Saussez S. Patterns of smell recovery in 751 patients affected by the COVID-19 outbreak. </w:t>
      </w:r>
      <w:r w:rsidRPr="00D078F1">
        <w:rPr>
          <w:rFonts w:eastAsia="Calibri"/>
          <w:lang w:val="es-ES" w:eastAsia="en-US"/>
        </w:rPr>
        <w:t xml:space="preserve">Eur J Neurol. 2020 [acceso: 10/05/2021]; 27(11): 2318–21. Disponible en: </w:t>
      </w:r>
      <w:hyperlink r:id="rId31" w:history="1">
        <w:r w:rsidRPr="00D078F1">
          <w:rPr>
            <w:rFonts w:eastAsia="Calibri"/>
            <w:color w:val="0563C1"/>
            <w:u w:val="single"/>
            <w:lang w:val="es-ES" w:eastAsia="en-US"/>
          </w:rPr>
          <w:t>https://doi.org/10.1111/ene.14440</w:t>
        </w:r>
      </w:hyperlink>
      <w:r w:rsidRPr="00D078F1">
        <w:rPr>
          <w:rFonts w:eastAsia="Calibri"/>
          <w:lang w:val="es-ES" w:eastAsia="en-US"/>
        </w:rPr>
        <w:t xml:space="preserve">   </w:t>
      </w:r>
    </w:p>
    <w:p w14:paraId="52D28B8C" w14:textId="77777777" w:rsidR="00D078F1" w:rsidRPr="00D078F1" w:rsidRDefault="00D078F1" w:rsidP="00D078F1">
      <w:pPr>
        <w:spacing w:line="360" w:lineRule="auto"/>
        <w:rPr>
          <w:rFonts w:eastAsia="Calibri"/>
          <w:lang w:val="es-ES" w:eastAsia="en-US"/>
        </w:rPr>
      </w:pPr>
      <w:r w:rsidRPr="00D078F1">
        <w:rPr>
          <w:rFonts w:eastAsia="Calibri"/>
          <w:lang w:val="es-ES" w:eastAsia="en-US"/>
        </w:rPr>
        <w:t xml:space="preserve">17. Beltrán Corbellini A, Chico García JL, Martínez Poles J, Rodríguez Jorge F, Natera Villalba E, Gómez Corral J, et al.  </w:t>
      </w:r>
      <w:r w:rsidRPr="00D078F1">
        <w:rPr>
          <w:rFonts w:eastAsia="Calibri"/>
          <w:lang w:val="en-US" w:eastAsia="en-US"/>
        </w:rPr>
        <w:t xml:space="preserve">Acute-onset smell and taste disorders in the context of COVID-19: a pilot multicentre polymerase chain reaction based case–control study. </w:t>
      </w:r>
      <w:r w:rsidRPr="00D078F1">
        <w:rPr>
          <w:rFonts w:eastAsia="Calibri"/>
          <w:lang w:val="es-ES" w:eastAsia="en-US"/>
        </w:rPr>
        <w:t xml:space="preserve">Eur J Neurol. 2020 [acceso: 10/05/2021]; 27(9): 1738–41. Disponible en: </w:t>
      </w:r>
      <w:hyperlink r:id="rId32" w:history="1">
        <w:r w:rsidRPr="00D078F1">
          <w:rPr>
            <w:rFonts w:eastAsia="Calibri"/>
            <w:color w:val="0563C1"/>
            <w:u w:val="single"/>
            <w:lang w:val="es-ES" w:eastAsia="en-US"/>
          </w:rPr>
          <w:t>https://doi.org/10.1111/ene.14273</w:t>
        </w:r>
      </w:hyperlink>
      <w:r w:rsidRPr="00D078F1">
        <w:rPr>
          <w:rFonts w:eastAsia="Calibri"/>
          <w:lang w:val="es-ES" w:eastAsia="en-US"/>
        </w:rPr>
        <w:t xml:space="preserve">  </w:t>
      </w:r>
    </w:p>
    <w:p w14:paraId="724058CA" w14:textId="77777777" w:rsidR="00D078F1" w:rsidRPr="00D078F1" w:rsidRDefault="00D078F1" w:rsidP="00D078F1">
      <w:pPr>
        <w:spacing w:line="360" w:lineRule="auto"/>
        <w:rPr>
          <w:rFonts w:eastAsia="Calibri"/>
          <w:lang w:val="es-ES" w:eastAsia="en-US"/>
        </w:rPr>
      </w:pPr>
      <w:r w:rsidRPr="00D078F1">
        <w:rPr>
          <w:rFonts w:eastAsia="Calibri"/>
          <w:lang w:val="es-ES" w:eastAsia="en-US"/>
        </w:rPr>
        <w:t xml:space="preserve">18. Vaira LA, Hopkins C, Salzano G, Petrocelli M, Melis A, Cucurullo M, et al. </w:t>
      </w:r>
      <w:r w:rsidRPr="00D078F1">
        <w:rPr>
          <w:rFonts w:eastAsia="Calibri"/>
          <w:lang w:val="en-US" w:eastAsia="en-US"/>
        </w:rPr>
        <w:t xml:space="preserve">Olfactory and gustatory function impairment in COVID-19 patients: Italian objective multicenter-study. </w:t>
      </w:r>
      <w:r w:rsidRPr="00D078F1">
        <w:rPr>
          <w:rFonts w:eastAsia="Calibri"/>
          <w:lang w:val="es-ES" w:eastAsia="en-US"/>
        </w:rPr>
        <w:t xml:space="preserve">Otolaryngol </w:t>
      </w:r>
      <w:r w:rsidRPr="00D078F1">
        <w:rPr>
          <w:rFonts w:eastAsia="Calibri"/>
          <w:lang w:val="es-ES" w:eastAsia="en-US"/>
        </w:rPr>
        <w:lastRenderedPageBreak/>
        <w:t xml:space="preserve">Head Neck Surg. 2020 [acceso: 10/05/2021]; 42(7): 1560–9. Disponible en: </w:t>
      </w:r>
      <w:hyperlink r:id="rId33" w:history="1">
        <w:r w:rsidRPr="00D078F1">
          <w:rPr>
            <w:rFonts w:eastAsia="Calibri"/>
            <w:color w:val="0563C1"/>
            <w:u w:val="single"/>
            <w:lang w:val="es-ES" w:eastAsia="en-US"/>
          </w:rPr>
          <w:t>https://doi.org/10.1002/hed.26269</w:t>
        </w:r>
      </w:hyperlink>
      <w:r w:rsidRPr="00D078F1">
        <w:rPr>
          <w:rFonts w:eastAsia="Calibri"/>
          <w:lang w:val="es-ES" w:eastAsia="en-US"/>
        </w:rPr>
        <w:t xml:space="preserve">  </w:t>
      </w:r>
    </w:p>
    <w:p w14:paraId="299B42E8" w14:textId="77777777" w:rsidR="00D078F1" w:rsidRPr="00D078F1" w:rsidRDefault="00D078F1" w:rsidP="00D078F1">
      <w:pPr>
        <w:spacing w:line="360" w:lineRule="auto"/>
        <w:rPr>
          <w:rFonts w:eastAsia="Calibri"/>
          <w:lang w:val="es-ES" w:eastAsia="en-US"/>
        </w:rPr>
      </w:pPr>
      <w:r w:rsidRPr="00D078F1">
        <w:rPr>
          <w:rFonts w:eastAsia="Calibri"/>
          <w:lang w:val="en-US" w:eastAsia="en-US"/>
        </w:rPr>
        <w:t xml:space="preserve">19. Panuganti BA, Jafari A, MacDonald B, DeConde AS. Predicting COVID-19 incidence using anosmia and other COVID-19 symptomatology: preliminary analysis using Google and Twitter. </w:t>
      </w:r>
      <w:r w:rsidRPr="00D078F1">
        <w:rPr>
          <w:rFonts w:eastAsia="Calibri"/>
          <w:lang w:val="es-ES" w:eastAsia="en-US"/>
        </w:rPr>
        <w:t xml:space="preserve">Otolaryngol Head Neck Surg. 2020 [acceso: 10/05/2021]; 163(3): 491−7. Disponible en: </w:t>
      </w:r>
      <w:hyperlink r:id="rId34" w:history="1">
        <w:r w:rsidRPr="00D078F1">
          <w:rPr>
            <w:rFonts w:eastAsia="Calibri"/>
            <w:color w:val="0563C1"/>
            <w:u w:val="single"/>
            <w:lang w:val="es-ES" w:eastAsia="en-US"/>
          </w:rPr>
          <w:t>https://doi.org/10.1177/0194599820932128</w:t>
        </w:r>
      </w:hyperlink>
      <w:r w:rsidRPr="00D078F1">
        <w:rPr>
          <w:rFonts w:eastAsia="Calibri"/>
          <w:lang w:val="es-ES" w:eastAsia="en-US"/>
        </w:rPr>
        <w:t xml:space="preserve">  </w:t>
      </w:r>
    </w:p>
    <w:p w14:paraId="44628C22" w14:textId="77777777" w:rsidR="00D078F1" w:rsidRPr="00D078F1" w:rsidRDefault="00D078F1" w:rsidP="00D078F1">
      <w:pPr>
        <w:spacing w:line="360" w:lineRule="auto"/>
        <w:rPr>
          <w:rFonts w:eastAsia="Calibri"/>
          <w:lang w:val="es-ES" w:eastAsia="en-US"/>
        </w:rPr>
      </w:pPr>
      <w:r w:rsidRPr="00D078F1">
        <w:rPr>
          <w:rFonts w:eastAsia="Calibri"/>
          <w:lang w:val="es-ES" w:eastAsia="en-US"/>
        </w:rPr>
        <w:t xml:space="preserve">20. Ruiz Nápoles JB, Ruiz Nápoles K. Comparación de las características clínicas y epidemiológicas entre pacientes asintomáticos y sintomáticos con la COVID-19. Rev Cuba de Medicina Mil. 2021 [acceso: 17/05/2021]; 50(2): e0210919. Disponible en: </w:t>
      </w:r>
      <w:hyperlink r:id="rId35" w:history="1">
        <w:r w:rsidRPr="00D078F1">
          <w:rPr>
            <w:rFonts w:eastAsia="Calibri"/>
            <w:color w:val="0563C1"/>
            <w:u w:val="single"/>
            <w:lang w:val="es-ES" w:eastAsia="en-US"/>
          </w:rPr>
          <w:t>http://www.revmedmilitar.sld.cu/index.php/mil/article/view/919</w:t>
        </w:r>
      </w:hyperlink>
      <w:r w:rsidRPr="00D078F1">
        <w:rPr>
          <w:rFonts w:eastAsia="Calibri"/>
          <w:lang w:val="es-ES" w:eastAsia="en-US"/>
        </w:rPr>
        <w:t xml:space="preserve">  </w:t>
      </w:r>
    </w:p>
    <w:p w14:paraId="13A6C3A1" w14:textId="77777777" w:rsidR="00D078F1" w:rsidRPr="00D078F1" w:rsidRDefault="00D078F1" w:rsidP="00D078F1">
      <w:pPr>
        <w:spacing w:line="360" w:lineRule="auto"/>
        <w:rPr>
          <w:rFonts w:eastAsia="Calibri"/>
          <w:lang w:val="es-ES" w:eastAsia="en-US"/>
        </w:rPr>
      </w:pPr>
      <w:r w:rsidRPr="00D078F1">
        <w:rPr>
          <w:rFonts w:eastAsia="Calibri"/>
          <w:lang w:val="es-ES" w:eastAsia="en-US"/>
        </w:rPr>
        <w:t xml:space="preserve">21. Ferrer Castro JE, Sánchez Hernández E, Poulout Mendoza A, Río Caballero G, Figueredo Sánchez D. Caracterización clínica y epidemiológica de pacientes confirmados con la COVID-19 en la provincia de Santiago de Cuba. Medisan. 2020 [acceso: 19/05/2021]; 24(3): 473. Disponible en: </w:t>
      </w:r>
      <w:hyperlink r:id="rId36" w:history="1">
        <w:r w:rsidRPr="00D078F1">
          <w:rPr>
            <w:rFonts w:eastAsia="Calibri"/>
            <w:color w:val="0563C1"/>
            <w:u w:val="single"/>
            <w:lang w:val="es-ES" w:eastAsia="en-US"/>
          </w:rPr>
          <w:t>http://scielo.sld.cu/scielo.php?script=sci_arttext&amp;pid=S1029-30192020000300473</w:t>
        </w:r>
      </w:hyperlink>
      <w:r w:rsidRPr="00D078F1">
        <w:rPr>
          <w:rFonts w:eastAsia="Calibri"/>
          <w:lang w:val="es-ES" w:eastAsia="en-US"/>
        </w:rPr>
        <w:t xml:space="preserve">   </w:t>
      </w:r>
    </w:p>
    <w:p w14:paraId="7FABB1B4" w14:textId="77777777" w:rsidR="00D078F1" w:rsidRPr="00D078F1" w:rsidRDefault="00D078F1" w:rsidP="00D078F1">
      <w:pPr>
        <w:spacing w:line="360" w:lineRule="auto"/>
        <w:rPr>
          <w:rFonts w:eastAsia="Calibri"/>
          <w:lang w:val="es-ES" w:eastAsia="en-US"/>
        </w:rPr>
      </w:pPr>
      <w:r w:rsidRPr="00D078F1">
        <w:rPr>
          <w:rFonts w:eastAsia="Calibri"/>
          <w:lang w:val="en-US" w:eastAsia="en-US"/>
        </w:rPr>
        <w:t xml:space="preserve">22. Vaira LA, Hopkins C, Petrocelli M Lechien JR , Soma D , Giovanditto F. Do olfactory and gustatory psychophysical scores have prognostic value in COVID-19 patients? A prospective study of 106 patients. Otolaryngol Head Neck Surg. 2020 [acceso: 01/06/2021]; 49: 56. </w:t>
      </w:r>
      <w:r w:rsidRPr="00D078F1">
        <w:rPr>
          <w:rFonts w:eastAsia="Calibri"/>
          <w:lang w:val="es-ES" w:eastAsia="en-US"/>
        </w:rPr>
        <w:t xml:space="preserve">Disponible en: </w:t>
      </w:r>
      <w:hyperlink r:id="rId37" w:history="1">
        <w:r w:rsidRPr="00D078F1">
          <w:rPr>
            <w:rFonts w:eastAsia="Calibri"/>
            <w:color w:val="0563C1"/>
            <w:u w:val="single"/>
            <w:lang w:val="es-ES" w:eastAsia="en-US"/>
          </w:rPr>
          <w:t>https://doi.org/10.1186/s40463-020-00449-y</w:t>
        </w:r>
      </w:hyperlink>
      <w:r w:rsidRPr="00D078F1">
        <w:rPr>
          <w:rFonts w:eastAsia="Calibri"/>
          <w:lang w:val="es-ES" w:eastAsia="en-US"/>
        </w:rPr>
        <w:t xml:space="preserve"> </w:t>
      </w:r>
    </w:p>
    <w:p w14:paraId="78CD4BC3" w14:textId="77777777" w:rsidR="00D078F1" w:rsidRPr="00D078F1" w:rsidRDefault="00D078F1" w:rsidP="00D078F1">
      <w:pPr>
        <w:spacing w:line="360" w:lineRule="auto"/>
        <w:rPr>
          <w:rFonts w:eastAsia="Calibri"/>
          <w:lang w:val="en-US" w:eastAsia="en-US"/>
        </w:rPr>
      </w:pPr>
      <w:r w:rsidRPr="00D078F1">
        <w:rPr>
          <w:rFonts w:eastAsia="Calibri"/>
          <w:lang w:val="es-ES" w:eastAsia="en-US"/>
        </w:rPr>
        <w:t xml:space="preserve">23. Al Jishi JM, Alhajjaj AH, Alkhabbaz FL, Al Abduljabar TH, Alsaif A, Alsaif H, et al. </w:t>
      </w:r>
      <w:r w:rsidRPr="00D078F1">
        <w:rPr>
          <w:rFonts w:eastAsia="Calibri"/>
          <w:lang w:val="en-US" w:eastAsia="en-US"/>
        </w:rPr>
        <w:t xml:space="preserve">Clinical characteristics of asymptomatic and symptomatic COVID-19 patients in the Eastern Province of Saudi Arabia. J Infect Public Health. 2021 [acceso: 1/06/2021]; 14(1): 6–11. Disponible en: </w:t>
      </w:r>
      <w:hyperlink r:id="rId38" w:history="1">
        <w:r w:rsidRPr="00D078F1">
          <w:rPr>
            <w:rFonts w:eastAsia="Calibri"/>
            <w:color w:val="0563C1"/>
            <w:u w:val="single"/>
            <w:lang w:val="en-US" w:eastAsia="en-US"/>
          </w:rPr>
          <w:t>https://doi.org/10.1016/j.jiph.2020.11.002</w:t>
        </w:r>
      </w:hyperlink>
      <w:r w:rsidRPr="00D078F1">
        <w:rPr>
          <w:rFonts w:eastAsia="Calibri"/>
          <w:lang w:val="en-US" w:eastAsia="en-US"/>
        </w:rPr>
        <w:t xml:space="preserve">  </w:t>
      </w:r>
    </w:p>
    <w:p w14:paraId="76E05DF7" w14:textId="77777777" w:rsidR="00D078F1" w:rsidRPr="00D078F1" w:rsidRDefault="00D078F1" w:rsidP="00D078F1">
      <w:pPr>
        <w:spacing w:line="360" w:lineRule="auto"/>
        <w:rPr>
          <w:rFonts w:eastAsia="Calibri"/>
          <w:lang w:val="es-ES" w:eastAsia="en-US"/>
        </w:rPr>
      </w:pPr>
      <w:r w:rsidRPr="00D078F1">
        <w:rPr>
          <w:rFonts w:eastAsia="Calibri"/>
          <w:lang w:val="en-US" w:eastAsia="en-US"/>
        </w:rPr>
        <w:t xml:space="preserve">24. Lv Z, Lv S. Clinical characteristics and analysis of risk factors for disease progression of COVID-19: A retrospective Cohort Study. </w:t>
      </w:r>
      <w:r w:rsidRPr="00D078F1">
        <w:rPr>
          <w:rFonts w:eastAsia="Calibri"/>
          <w:lang w:val="es-ES" w:eastAsia="en-US"/>
        </w:rPr>
        <w:t xml:space="preserve">Int J Biol Sci. 2021 [acceso: 12/06/2021]; 17(1): 1-7.  Disponible en: </w:t>
      </w:r>
      <w:hyperlink r:id="rId39" w:history="1">
        <w:r w:rsidRPr="00D078F1">
          <w:rPr>
            <w:rFonts w:eastAsia="Calibri"/>
            <w:color w:val="0563C1"/>
            <w:u w:val="single"/>
            <w:lang w:val="es-ES" w:eastAsia="en-US"/>
          </w:rPr>
          <w:t>https://doi.org/10.7150/ijbs.50654</w:t>
        </w:r>
      </w:hyperlink>
      <w:r w:rsidRPr="00D078F1">
        <w:rPr>
          <w:rFonts w:eastAsia="Calibri"/>
          <w:lang w:val="es-ES" w:eastAsia="en-US"/>
        </w:rPr>
        <w:t xml:space="preserve">  </w:t>
      </w:r>
    </w:p>
    <w:p w14:paraId="1881BCC0" w14:textId="77777777" w:rsidR="00D078F1" w:rsidRPr="00D078F1" w:rsidRDefault="00D078F1" w:rsidP="00D078F1">
      <w:pPr>
        <w:spacing w:line="360" w:lineRule="auto"/>
        <w:rPr>
          <w:rFonts w:eastAsia="Calibri"/>
          <w:lang w:val="es-ES" w:eastAsia="en-US"/>
        </w:rPr>
      </w:pPr>
      <w:r w:rsidRPr="00D078F1">
        <w:rPr>
          <w:rFonts w:eastAsia="Calibri"/>
          <w:lang w:val="es-ES" w:eastAsia="en-US"/>
        </w:rPr>
        <w:t xml:space="preserve">25. Marcolino MS, Ziegelmann PK , Souza-Silva MVR , Nascimento IJB , Oliveira LM, Monteiro LS. </w:t>
      </w:r>
      <w:r w:rsidRPr="00D078F1">
        <w:rPr>
          <w:rFonts w:eastAsia="Calibri"/>
          <w:lang w:val="en-US" w:eastAsia="en-US"/>
        </w:rPr>
        <w:t xml:space="preserve">Clinical characteristics and outcomes of patients hospitalized with COVID-19 in Brazil: Results from the Brazilian COVID-19 registry. </w:t>
      </w:r>
      <w:r w:rsidRPr="00D078F1">
        <w:rPr>
          <w:rFonts w:eastAsia="Calibri"/>
          <w:lang w:val="es-ES" w:eastAsia="en-US"/>
        </w:rPr>
        <w:t xml:space="preserve">Int J Infect Dis. 2021 [acceso: 12/06/2021]; 107: 300–10. Disponible en: </w:t>
      </w:r>
      <w:hyperlink r:id="rId40" w:history="1">
        <w:r w:rsidRPr="00D078F1">
          <w:rPr>
            <w:rFonts w:eastAsia="Calibri"/>
            <w:color w:val="0563C1"/>
            <w:u w:val="single"/>
            <w:lang w:val="es-ES" w:eastAsia="en-US"/>
          </w:rPr>
          <w:t>https://doi.org/10.1016/j.ijid.2021.01.019</w:t>
        </w:r>
      </w:hyperlink>
      <w:r w:rsidRPr="00D078F1">
        <w:rPr>
          <w:rFonts w:eastAsia="Calibri"/>
          <w:lang w:val="es-ES" w:eastAsia="en-US"/>
        </w:rPr>
        <w:t xml:space="preserve">  </w:t>
      </w:r>
    </w:p>
    <w:p w14:paraId="4432DA81" w14:textId="77777777" w:rsidR="00D078F1" w:rsidRPr="00D078F1" w:rsidRDefault="00D078F1" w:rsidP="00D078F1">
      <w:pPr>
        <w:spacing w:line="360" w:lineRule="auto"/>
        <w:rPr>
          <w:rFonts w:eastAsia="Calibri"/>
          <w:lang w:val="es-ES" w:eastAsia="en-US"/>
        </w:rPr>
      </w:pPr>
      <w:r w:rsidRPr="00D078F1">
        <w:rPr>
          <w:rFonts w:eastAsia="Calibri"/>
          <w:lang w:val="en-US" w:eastAsia="en-US"/>
        </w:rPr>
        <w:lastRenderedPageBreak/>
        <w:t xml:space="preserve">26. Zhu J, Ji P, Pang J, Zhong Z, Li H, He C, et al. Clinical characteristics of 3062 COVID‐19 patients: A meta‐analysis. </w:t>
      </w:r>
      <w:r w:rsidRPr="00D078F1">
        <w:rPr>
          <w:rFonts w:eastAsia="Calibri"/>
          <w:lang w:val="es-ES" w:eastAsia="en-US"/>
        </w:rPr>
        <w:t xml:space="preserve">J Med Virol. 2020 [acceso 12/06/2021]; 92(10): 1902–14. Disponible en: </w:t>
      </w:r>
      <w:hyperlink r:id="rId41" w:history="1">
        <w:r w:rsidRPr="00D078F1">
          <w:rPr>
            <w:rFonts w:eastAsia="Calibri"/>
            <w:color w:val="0563C1"/>
            <w:u w:val="single"/>
            <w:lang w:val="es-ES" w:eastAsia="en-US"/>
          </w:rPr>
          <w:t>https://doi.org/10.1002/jmv.25884</w:t>
        </w:r>
      </w:hyperlink>
      <w:r w:rsidRPr="00D078F1">
        <w:rPr>
          <w:rFonts w:eastAsia="Calibri"/>
          <w:lang w:val="es-ES" w:eastAsia="en-US"/>
        </w:rPr>
        <w:t xml:space="preserve"> </w:t>
      </w:r>
    </w:p>
    <w:p w14:paraId="6DF56F03" w14:textId="77777777" w:rsidR="00D078F1" w:rsidRPr="00D078F1" w:rsidRDefault="00D078F1" w:rsidP="00D078F1">
      <w:pPr>
        <w:spacing w:line="360" w:lineRule="auto"/>
        <w:jc w:val="both"/>
        <w:rPr>
          <w:rFonts w:eastAsia="Calibri"/>
          <w:color w:val="000000"/>
          <w:lang w:val="es-ES" w:eastAsia="en-US"/>
        </w:rPr>
      </w:pPr>
      <w:r w:rsidRPr="00D078F1">
        <w:rPr>
          <w:rFonts w:eastAsia="Calibri"/>
          <w:color w:val="000000"/>
          <w:lang w:val="es-ES" w:eastAsia="en-US"/>
        </w:rPr>
        <w:t xml:space="preserve"> </w:t>
      </w:r>
    </w:p>
    <w:p w14:paraId="7BB0B25C" w14:textId="77777777" w:rsidR="00D078F1" w:rsidRPr="00D078F1" w:rsidRDefault="00D078F1" w:rsidP="00D078F1">
      <w:pPr>
        <w:spacing w:line="360" w:lineRule="auto"/>
        <w:jc w:val="both"/>
        <w:rPr>
          <w:rFonts w:eastAsia="Calibri"/>
          <w:color w:val="000000"/>
          <w:lang w:val="es-ES" w:eastAsia="en-US"/>
        </w:rPr>
      </w:pPr>
      <w:r w:rsidRPr="00D078F1">
        <w:rPr>
          <w:rFonts w:eastAsia="Calibri"/>
          <w:color w:val="000000"/>
          <w:lang w:val="es-ES" w:eastAsia="en-US"/>
        </w:rPr>
        <w:t xml:space="preserve"> </w:t>
      </w:r>
    </w:p>
    <w:p w14:paraId="44B75F65" w14:textId="77777777" w:rsidR="00D078F1" w:rsidRPr="00D078F1" w:rsidRDefault="00D078F1" w:rsidP="00D078F1">
      <w:pPr>
        <w:spacing w:line="360" w:lineRule="auto"/>
        <w:ind w:left="360"/>
        <w:jc w:val="center"/>
        <w:rPr>
          <w:rFonts w:eastAsia="Calibri"/>
          <w:b/>
          <w:lang w:val="es-ES" w:eastAsia="en-US"/>
        </w:rPr>
      </w:pPr>
      <w:r w:rsidRPr="00D078F1">
        <w:rPr>
          <w:rFonts w:eastAsia="Calibri"/>
          <w:b/>
          <w:lang w:val="es-ES" w:eastAsia="en-US"/>
        </w:rPr>
        <w:t>Conflictos de interés</w:t>
      </w:r>
    </w:p>
    <w:p w14:paraId="49D375CA" w14:textId="77777777" w:rsidR="00D078F1" w:rsidRPr="00D078F1" w:rsidRDefault="00D078F1" w:rsidP="00D078F1">
      <w:pPr>
        <w:spacing w:line="360" w:lineRule="auto"/>
        <w:ind w:left="360"/>
        <w:rPr>
          <w:rFonts w:eastAsia="Calibri"/>
          <w:lang w:val="es-ES" w:eastAsia="en-US"/>
        </w:rPr>
      </w:pPr>
      <w:r w:rsidRPr="00D078F1">
        <w:rPr>
          <w:rFonts w:eastAsia="Calibri"/>
          <w:lang w:val="es-ES" w:eastAsia="en-US"/>
        </w:rPr>
        <w:t>No existen conflictos de interés.</w:t>
      </w:r>
    </w:p>
    <w:p w14:paraId="505AA6E4" w14:textId="77777777" w:rsidR="00D078F1" w:rsidRPr="00D078F1" w:rsidRDefault="00D078F1" w:rsidP="00D078F1">
      <w:pPr>
        <w:spacing w:line="360" w:lineRule="auto"/>
        <w:ind w:left="360"/>
        <w:rPr>
          <w:rFonts w:eastAsia="Calibri"/>
          <w:lang w:val="es-ES" w:eastAsia="en-US"/>
        </w:rPr>
      </w:pPr>
    </w:p>
    <w:p w14:paraId="40C150DF" w14:textId="77777777" w:rsidR="00D078F1" w:rsidRPr="00D078F1" w:rsidRDefault="00D078F1" w:rsidP="00D078F1">
      <w:pPr>
        <w:spacing w:line="360" w:lineRule="auto"/>
        <w:ind w:left="360"/>
        <w:jc w:val="center"/>
        <w:rPr>
          <w:rFonts w:eastAsia="Calibri"/>
          <w:bCs/>
          <w:lang w:val="es-ES" w:eastAsia="en-US"/>
        </w:rPr>
      </w:pPr>
      <w:r w:rsidRPr="00D078F1">
        <w:rPr>
          <w:rFonts w:eastAsia="Calibri"/>
          <w:b/>
          <w:lang w:val="es-ES" w:eastAsia="en-US"/>
        </w:rPr>
        <w:t>Contribución de autoría</w:t>
      </w:r>
    </w:p>
    <w:p w14:paraId="53483EE5" w14:textId="77777777" w:rsidR="00D078F1" w:rsidRPr="00D078F1" w:rsidRDefault="00D078F1" w:rsidP="00D078F1">
      <w:pPr>
        <w:spacing w:line="360" w:lineRule="auto"/>
        <w:ind w:left="360"/>
        <w:jc w:val="both"/>
        <w:rPr>
          <w:rFonts w:eastAsia="Calibri"/>
          <w:bCs/>
          <w:lang w:val="es-ES" w:eastAsia="en-US"/>
        </w:rPr>
      </w:pPr>
      <w:r w:rsidRPr="00D078F1">
        <w:rPr>
          <w:rFonts w:eastAsia="Calibri"/>
          <w:bCs/>
          <w:lang w:val="es-ES" w:eastAsia="en-US"/>
        </w:rPr>
        <w:t xml:space="preserve">Conceptualización: </w:t>
      </w:r>
      <w:r w:rsidRPr="00D078F1">
        <w:rPr>
          <w:rFonts w:eastAsia="Calibri"/>
          <w:bCs/>
          <w:i/>
          <w:iCs/>
          <w:lang w:val="es-ES" w:eastAsia="en-US"/>
        </w:rPr>
        <w:t xml:space="preserve">Sergio César Lorenzo González, Elizabeth Proenza Ramírez.  </w:t>
      </w:r>
    </w:p>
    <w:p w14:paraId="15A1C6C3" w14:textId="77777777" w:rsidR="00D078F1" w:rsidRPr="00D078F1" w:rsidRDefault="00D078F1" w:rsidP="00D078F1">
      <w:pPr>
        <w:spacing w:line="360" w:lineRule="auto"/>
        <w:ind w:left="360"/>
        <w:jc w:val="both"/>
        <w:rPr>
          <w:rFonts w:eastAsia="Calibri"/>
          <w:bCs/>
          <w:lang w:val="es-ES" w:eastAsia="en-US"/>
        </w:rPr>
      </w:pPr>
      <w:r w:rsidRPr="00D078F1">
        <w:rPr>
          <w:rFonts w:eastAsia="Calibri"/>
          <w:bCs/>
          <w:lang w:val="es-ES" w:eastAsia="en-US"/>
        </w:rPr>
        <w:t xml:space="preserve">Curación de datos: </w:t>
      </w:r>
      <w:r w:rsidRPr="00D078F1">
        <w:rPr>
          <w:rFonts w:eastAsia="Calibri"/>
          <w:bCs/>
          <w:i/>
          <w:iCs/>
          <w:lang w:val="es-ES" w:eastAsia="en-US"/>
        </w:rPr>
        <w:t xml:space="preserve">Sergio César Lorenzo González, Elizabeth Proenza Ramírez, José Adrián Romero García, Yosvanis Leyva Zamora, Alexánder Fernández Zaldívar. </w:t>
      </w:r>
    </w:p>
    <w:p w14:paraId="7A52EC12" w14:textId="77777777" w:rsidR="00D078F1" w:rsidRPr="00D078F1" w:rsidRDefault="00D078F1" w:rsidP="00D078F1">
      <w:pPr>
        <w:spacing w:line="360" w:lineRule="auto"/>
        <w:ind w:left="360"/>
        <w:jc w:val="both"/>
        <w:rPr>
          <w:rFonts w:eastAsia="Calibri"/>
          <w:bCs/>
          <w:i/>
          <w:iCs/>
          <w:lang w:val="es-ES" w:eastAsia="en-US"/>
        </w:rPr>
      </w:pPr>
      <w:r w:rsidRPr="00D078F1">
        <w:rPr>
          <w:rFonts w:eastAsia="Calibri"/>
          <w:bCs/>
          <w:lang w:val="es-ES" w:eastAsia="en-US"/>
        </w:rPr>
        <w:t xml:space="preserve">Análisis formal: </w:t>
      </w:r>
      <w:r w:rsidRPr="00D078F1">
        <w:rPr>
          <w:rFonts w:eastAsia="Calibri"/>
          <w:bCs/>
          <w:i/>
          <w:iCs/>
          <w:lang w:val="es-ES" w:eastAsia="en-US"/>
        </w:rPr>
        <w:t xml:space="preserve">Sergio César Lorenzo González. </w:t>
      </w:r>
    </w:p>
    <w:p w14:paraId="5A376872" w14:textId="77777777" w:rsidR="00D078F1" w:rsidRPr="00D078F1" w:rsidRDefault="00D078F1" w:rsidP="00D078F1">
      <w:pPr>
        <w:spacing w:line="360" w:lineRule="auto"/>
        <w:ind w:left="360"/>
        <w:jc w:val="both"/>
        <w:rPr>
          <w:rFonts w:eastAsia="Calibri"/>
          <w:bCs/>
          <w:i/>
          <w:iCs/>
          <w:lang w:val="es-ES" w:eastAsia="en-US"/>
        </w:rPr>
      </w:pPr>
      <w:r w:rsidRPr="00D078F1">
        <w:rPr>
          <w:rFonts w:eastAsia="Calibri"/>
          <w:bCs/>
          <w:lang w:val="es-ES" w:eastAsia="en-US"/>
        </w:rPr>
        <w:t xml:space="preserve">Metodología: </w:t>
      </w:r>
      <w:r w:rsidRPr="00D078F1">
        <w:rPr>
          <w:rFonts w:eastAsia="Calibri"/>
          <w:bCs/>
          <w:i/>
          <w:iCs/>
          <w:lang w:val="es-ES" w:eastAsia="en-US"/>
        </w:rPr>
        <w:t xml:space="preserve">Sergio César Lorenzo González, Elizabeth Proenza Ramírez.  </w:t>
      </w:r>
    </w:p>
    <w:p w14:paraId="1AAECBA3" w14:textId="77777777" w:rsidR="00D078F1" w:rsidRPr="00D078F1" w:rsidRDefault="00D078F1" w:rsidP="00D078F1">
      <w:pPr>
        <w:spacing w:line="360" w:lineRule="auto"/>
        <w:ind w:left="360"/>
        <w:jc w:val="both"/>
        <w:rPr>
          <w:rFonts w:eastAsia="Calibri"/>
          <w:bCs/>
          <w:lang w:val="es-ES" w:eastAsia="en-US"/>
        </w:rPr>
      </w:pPr>
      <w:r w:rsidRPr="00D078F1">
        <w:rPr>
          <w:rFonts w:eastAsia="Calibri"/>
          <w:bCs/>
          <w:lang w:val="es-ES" w:eastAsia="en-US"/>
        </w:rPr>
        <w:t xml:space="preserve">Administración del proyecto: </w:t>
      </w:r>
      <w:r w:rsidRPr="00D078F1">
        <w:rPr>
          <w:rFonts w:eastAsia="Calibri"/>
          <w:bCs/>
          <w:i/>
          <w:iCs/>
          <w:lang w:val="es-ES" w:eastAsia="en-US"/>
        </w:rPr>
        <w:t xml:space="preserve">Sergio César Lorenzo González. </w:t>
      </w:r>
    </w:p>
    <w:p w14:paraId="3EC6E71C" w14:textId="77777777" w:rsidR="00D078F1" w:rsidRPr="00D078F1" w:rsidRDefault="00D078F1" w:rsidP="00D078F1">
      <w:pPr>
        <w:spacing w:line="360" w:lineRule="auto"/>
        <w:ind w:left="360"/>
        <w:jc w:val="both"/>
        <w:rPr>
          <w:rFonts w:eastAsia="Calibri"/>
          <w:bCs/>
          <w:lang w:val="es-ES" w:eastAsia="en-US"/>
        </w:rPr>
      </w:pPr>
      <w:r w:rsidRPr="00D078F1">
        <w:rPr>
          <w:rFonts w:eastAsia="Calibri"/>
          <w:bCs/>
          <w:lang w:val="es-ES" w:eastAsia="en-US"/>
        </w:rPr>
        <w:t xml:space="preserve">Visualización: </w:t>
      </w:r>
      <w:r w:rsidRPr="00D078F1">
        <w:rPr>
          <w:rFonts w:eastAsia="Calibri"/>
          <w:bCs/>
          <w:i/>
          <w:iCs/>
          <w:lang w:val="es-ES" w:eastAsia="en-US"/>
        </w:rPr>
        <w:t xml:space="preserve">Sergio César Lorenzo González, Elizabeth Proenza Ramírez, José Adrián Romero García, Yosvanis Leyva Zamora, Alexánder Fernández Zaldívar. </w:t>
      </w:r>
      <w:r w:rsidRPr="00D078F1">
        <w:rPr>
          <w:rFonts w:eastAsia="Calibri"/>
          <w:bCs/>
          <w:lang w:val="es-ES" w:eastAsia="en-US"/>
        </w:rPr>
        <w:t xml:space="preserve"> </w:t>
      </w:r>
    </w:p>
    <w:p w14:paraId="6F9CEE2B" w14:textId="77777777" w:rsidR="00D078F1" w:rsidRPr="00D078F1" w:rsidRDefault="00D078F1" w:rsidP="00D078F1">
      <w:pPr>
        <w:spacing w:line="360" w:lineRule="auto"/>
        <w:ind w:left="360"/>
        <w:jc w:val="both"/>
        <w:rPr>
          <w:rFonts w:eastAsia="Calibri"/>
          <w:bCs/>
          <w:lang w:val="es-ES" w:eastAsia="en-US"/>
        </w:rPr>
      </w:pPr>
      <w:r w:rsidRPr="00D078F1">
        <w:rPr>
          <w:rFonts w:eastAsia="Calibri"/>
          <w:bCs/>
          <w:lang w:val="es-ES" w:eastAsia="en-US"/>
        </w:rPr>
        <w:t xml:space="preserve">Redacción – borrador original: </w:t>
      </w:r>
      <w:r w:rsidRPr="00D078F1">
        <w:rPr>
          <w:rFonts w:eastAsia="Calibri"/>
          <w:bCs/>
          <w:i/>
          <w:iCs/>
          <w:lang w:val="es-ES" w:eastAsia="en-US"/>
        </w:rPr>
        <w:t>Sergio César Lorenzo González, Elizabeth Proenza Ramírez, José Adrián Romero García, Yosvanis Leyva Zamora, Alexánder Fernández Zaldívar</w:t>
      </w:r>
      <w:r w:rsidRPr="00D078F1">
        <w:rPr>
          <w:rFonts w:eastAsia="Calibri"/>
          <w:bCs/>
          <w:lang w:val="es-ES" w:eastAsia="en-US"/>
        </w:rPr>
        <w:t xml:space="preserve">. </w:t>
      </w:r>
    </w:p>
    <w:p w14:paraId="7269CF05" w14:textId="77777777" w:rsidR="00D078F1" w:rsidRPr="00D078F1" w:rsidRDefault="00D078F1" w:rsidP="00D078F1">
      <w:pPr>
        <w:spacing w:line="360" w:lineRule="auto"/>
        <w:ind w:left="360"/>
        <w:jc w:val="both"/>
        <w:rPr>
          <w:rFonts w:eastAsia="Calibri"/>
          <w:bCs/>
          <w:lang w:val="es-ES" w:eastAsia="en-US"/>
        </w:rPr>
      </w:pPr>
      <w:r w:rsidRPr="00D078F1">
        <w:rPr>
          <w:rFonts w:eastAsia="Calibri"/>
          <w:bCs/>
          <w:lang w:val="es-ES" w:eastAsia="en-US"/>
        </w:rPr>
        <w:t xml:space="preserve">Redacción – revisión y edición: </w:t>
      </w:r>
      <w:r w:rsidRPr="00D078F1">
        <w:rPr>
          <w:rFonts w:eastAsia="Calibri"/>
          <w:bCs/>
          <w:i/>
          <w:iCs/>
          <w:lang w:val="es-ES" w:eastAsia="en-US"/>
        </w:rPr>
        <w:t>Sergio César Lorenzo González, Elizabeth Proenza Ramírez.</w:t>
      </w:r>
    </w:p>
    <w:p w14:paraId="5D255422" w14:textId="77777777" w:rsidR="00675476" w:rsidRPr="00D078F1" w:rsidRDefault="00675476" w:rsidP="00391509">
      <w:pPr>
        <w:rPr>
          <w:lang w:val="es-ES"/>
        </w:rPr>
      </w:pPr>
    </w:p>
    <w:sectPr w:rsidR="00675476" w:rsidRPr="00D078F1" w:rsidSect="00486BFA">
      <w:headerReference w:type="default" r:id="rId42"/>
      <w:footerReference w:type="even" r:id="rId43"/>
      <w:footerReference w:type="default" r:id="rId44"/>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D4E8" w14:textId="77777777" w:rsidR="00F176B5" w:rsidRDefault="00F176B5">
      <w:r>
        <w:separator/>
      </w:r>
    </w:p>
  </w:endnote>
  <w:endnote w:type="continuationSeparator" w:id="0">
    <w:p w14:paraId="58121BF1" w14:textId="77777777" w:rsidR="00F176B5" w:rsidRDefault="00F1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187B" w14:textId="77777777" w:rsidR="00F255C6" w:rsidRDefault="00F255C6"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5B217E" w14:textId="77777777" w:rsidR="00F255C6" w:rsidRDefault="00F255C6"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C3D8" w14:textId="3CAC60C6" w:rsidR="00F255C6" w:rsidRPr="00AE044C" w:rsidRDefault="00F255C6"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7635CAA3" wp14:editId="64E19209">
              <wp:simplePos x="0" y="0"/>
              <wp:positionH relativeFrom="column">
                <wp:posOffset>3810</wp:posOffset>
              </wp:positionH>
              <wp:positionV relativeFrom="paragraph">
                <wp:posOffset>50165</wp:posOffset>
              </wp:positionV>
              <wp:extent cx="6286500" cy="19050"/>
              <wp:effectExtent l="19050" t="1905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1BCFF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0j0AX8cBAABuAwAADgAAAAAAAAAAAAAA&#10;AAAuAgAAZHJzL2Uyb0RvYy54bWxQSwECLQAUAAYACAAAACEAhoC+k9oAAAAFAQAADwAAAAAAAAAA&#10;AAAAAAAhBAAAZHJzL2Rvd25yZXYueG1sUEsFBgAAAAAEAAQA8wAAACgFAAAAAA==&#10;" strokecolor="blue" strokeweight="2.25pt"/>
          </w:pict>
        </mc:Fallback>
      </mc:AlternateContent>
    </w:r>
  </w:p>
  <w:p w14:paraId="3F3F3153" w14:textId="77777777" w:rsidR="00F255C6" w:rsidRPr="00AE044C" w:rsidRDefault="00F176B5" w:rsidP="00391509">
    <w:pPr>
      <w:pStyle w:val="Piedepgina"/>
      <w:ind w:right="360"/>
      <w:rPr>
        <w:sz w:val="22"/>
        <w:szCs w:val="22"/>
      </w:rPr>
    </w:pPr>
    <w:hyperlink r:id="rId1" w:history="1">
      <w:r w:rsidR="00F255C6" w:rsidRPr="00AE044C">
        <w:rPr>
          <w:rStyle w:val="Hipervnculo"/>
          <w:sz w:val="22"/>
          <w:szCs w:val="22"/>
        </w:rPr>
        <w:t>http://scielo.sld.cu</w:t>
      </w:r>
    </w:hyperlink>
  </w:p>
  <w:p w14:paraId="765420A7" w14:textId="77777777" w:rsidR="00F255C6" w:rsidRPr="00AE044C" w:rsidRDefault="00F176B5" w:rsidP="00AE044C">
    <w:pPr>
      <w:pStyle w:val="Piedepgina"/>
      <w:tabs>
        <w:tab w:val="clear" w:pos="4252"/>
        <w:tab w:val="left" w:pos="8504"/>
      </w:tabs>
      <w:ind w:right="360"/>
      <w:rPr>
        <w:sz w:val="22"/>
        <w:szCs w:val="22"/>
      </w:rPr>
    </w:pPr>
    <w:hyperlink r:id="rId2" w:history="1">
      <w:r w:rsidR="00F255C6" w:rsidRPr="00AE044C">
        <w:rPr>
          <w:rStyle w:val="Hipervnculo"/>
          <w:sz w:val="22"/>
          <w:szCs w:val="22"/>
        </w:rPr>
        <w:t>http://www.revmedmilitar.sld.cu</w:t>
      </w:r>
    </w:hyperlink>
    <w:r w:rsidR="00F255C6" w:rsidRPr="00AE044C">
      <w:rPr>
        <w:sz w:val="22"/>
        <w:szCs w:val="22"/>
      </w:rPr>
      <w:t xml:space="preserve"> </w:t>
    </w:r>
    <w:r w:rsidR="00F255C6">
      <w:rPr>
        <w:sz w:val="22"/>
        <w:szCs w:val="22"/>
      </w:rPr>
      <w:tab/>
    </w:r>
  </w:p>
  <w:p w14:paraId="1475AF44" w14:textId="1928E1C8" w:rsidR="00F255C6" w:rsidRPr="00CC376A" w:rsidRDefault="00F255C6"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Pr="00D078F1">
      <w:rPr>
        <w:rFonts w:ascii="Verdana" w:hAnsi="Verdana"/>
        <w:noProof/>
        <w:sz w:val="18"/>
        <w:szCs w:val="18"/>
        <w:lang w:val="en-US" w:eastAsia="en-US"/>
      </w:rPr>
      <w:drawing>
        <wp:inline distT="0" distB="0" distL="0" distR="0" wp14:anchorId="08ABD4AA" wp14:editId="792EF2E3">
          <wp:extent cx="643890" cy="151130"/>
          <wp:effectExtent l="0" t="0" r="0" b="0"/>
          <wp:docPr id="2"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6601" w14:textId="77777777" w:rsidR="00F176B5" w:rsidRDefault="00F176B5">
      <w:r>
        <w:separator/>
      </w:r>
    </w:p>
  </w:footnote>
  <w:footnote w:type="continuationSeparator" w:id="0">
    <w:p w14:paraId="5B28927D" w14:textId="77777777" w:rsidR="00F176B5" w:rsidRDefault="00F17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8DCB" w14:textId="0797956D" w:rsidR="00F255C6" w:rsidRPr="00AE044C" w:rsidRDefault="00F255C6"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044E3690" wp14:editId="7064FDA4">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44C">
      <w:rPr>
        <w:sz w:val="22"/>
        <w:szCs w:val="22"/>
      </w:rPr>
      <w:t xml:space="preserve">Revista Cubana de Medicina Militar. </w:t>
    </w:r>
    <w:r>
      <w:rPr>
        <w:sz w:val="22"/>
        <w:szCs w:val="22"/>
      </w:rPr>
      <w:t>2020; 50</w:t>
    </w:r>
    <w:r w:rsidRPr="00AE044C">
      <w:rPr>
        <w:sz w:val="22"/>
        <w:szCs w:val="22"/>
      </w:rPr>
      <w:t>(</w:t>
    </w:r>
    <w:r>
      <w:rPr>
        <w:sz w:val="22"/>
        <w:szCs w:val="22"/>
      </w:rPr>
      <w:t>4</w:t>
    </w:r>
    <w:r w:rsidRPr="00AE044C">
      <w:rPr>
        <w:sz w:val="22"/>
        <w:szCs w:val="22"/>
      </w:rPr>
      <w:t>):</w:t>
    </w:r>
    <w:r>
      <w:rPr>
        <w:sz w:val="22"/>
        <w:szCs w:val="22"/>
      </w:rPr>
      <w:t xml:space="preserve"> e02101526</w:t>
    </w:r>
  </w:p>
  <w:p w14:paraId="0F278F26" w14:textId="48DD7F64" w:rsidR="00F255C6" w:rsidRDefault="00F255C6">
    <w:r>
      <w:rPr>
        <w:noProof/>
      </w:rPr>
      <mc:AlternateContent>
        <mc:Choice Requires="wps">
          <w:drawing>
            <wp:anchor distT="0" distB="0" distL="114300" distR="114300" simplePos="0" relativeHeight="251657216" behindDoc="0" locked="0" layoutInCell="1" allowOverlap="1" wp14:anchorId="478FE44A" wp14:editId="1A18EA34">
              <wp:simplePos x="0" y="0"/>
              <wp:positionH relativeFrom="column">
                <wp:posOffset>3810</wp:posOffset>
              </wp:positionH>
              <wp:positionV relativeFrom="paragraph">
                <wp:posOffset>44450</wp:posOffset>
              </wp:positionV>
              <wp:extent cx="6276975" cy="28575"/>
              <wp:effectExtent l="19050" t="19050" r="952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31B24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Jcwg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yZkDSyvaaafY&#10;Iisz+FhTwsbtQ55NnN2L36H4EZnDTQ+uU4Xh68VT2SxXVG9KshM94R+GLygpB44Ji0znNtgMSQKw&#10;c9nG5b4NdU5M0OVy/rD8+LDgTFBs/rggM3eA+lbsQ0yfFVqWjYYb4l3A4bSL6Zp6S8m9HG61MXQP&#10;tXFsuGFmP6LRMkeLE7rDxgR2gvxm6Ntux8Zv0gIenSxovQL5abQTaHO1iahxoyJZhKucB5SXfcjk&#10;sji01DLR+ADzq/ndL1m/fpP1TwA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NtqCXM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65F1E"/>
    <w:multiLevelType w:val="hybridMultilevel"/>
    <w:tmpl w:val="B11628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4342B8"/>
    <w:multiLevelType w:val="hybridMultilevel"/>
    <w:tmpl w:val="1A384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9D23EBA"/>
    <w:multiLevelType w:val="hybridMultilevel"/>
    <w:tmpl w:val="5DC262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82C143D"/>
    <w:multiLevelType w:val="hybridMultilevel"/>
    <w:tmpl w:val="CD606D6C"/>
    <w:lvl w:ilvl="0" w:tplc="35A2F516">
      <w:start w:val="1"/>
      <w:numFmt w:val="decimal"/>
      <w:lvlText w:val="%1."/>
      <w:lvlJc w:val="left"/>
      <w:pPr>
        <w:ind w:left="720" w:hanging="360"/>
      </w:pPr>
      <w:rPr>
        <w:color w:val="auto"/>
        <w:lang w:val="en-U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F1"/>
    <w:rsid w:val="00031910"/>
    <w:rsid w:val="00052DA1"/>
    <w:rsid w:val="000F3690"/>
    <w:rsid w:val="001221D1"/>
    <w:rsid w:val="00180CE9"/>
    <w:rsid w:val="001F3EAC"/>
    <w:rsid w:val="00230DD5"/>
    <w:rsid w:val="002C1B4B"/>
    <w:rsid w:val="00380D64"/>
    <w:rsid w:val="00391509"/>
    <w:rsid w:val="003B3DF4"/>
    <w:rsid w:val="003C7B54"/>
    <w:rsid w:val="003E03D5"/>
    <w:rsid w:val="00414FB0"/>
    <w:rsid w:val="00486BFA"/>
    <w:rsid w:val="00493701"/>
    <w:rsid w:val="004C7A2C"/>
    <w:rsid w:val="004E2065"/>
    <w:rsid w:val="00502FE3"/>
    <w:rsid w:val="00513A28"/>
    <w:rsid w:val="00525C9A"/>
    <w:rsid w:val="005508A2"/>
    <w:rsid w:val="0055192C"/>
    <w:rsid w:val="00566F71"/>
    <w:rsid w:val="005918BD"/>
    <w:rsid w:val="006173A6"/>
    <w:rsid w:val="00632204"/>
    <w:rsid w:val="00650FF3"/>
    <w:rsid w:val="00675476"/>
    <w:rsid w:val="00724170"/>
    <w:rsid w:val="007A6C47"/>
    <w:rsid w:val="007A7057"/>
    <w:rsid w:val="007B263B"/>
    <w:rsid w:val="007C430F"/>
    <w:rsid w:val="007D614D"/>
    <w:rsid w:val="007F233A"/>
    <w:rsid w:val="008615EB"/>
    <w:rsid w:val="00960D6A"/>
    <w:rsid w:val="009A0560"/>
    <w:rsid w:val="009B0917"/>
    <w:rsid w:val="009C7402"/>
    <w:rsid w:val="009F3CD9"/>
    <w:rsid w:val="00A23C0C"/>
    <w:rsid w:val="00A477DE"/>
    <w:rsid w:val="00A71E65"/>
    <w:rsid w:val="00AE044C"/>
    <w:rsid w:val="00B31971"/>
    <w:rsid w:val="00B34F5E"/>
    <w:rsid w:val="00B4380A"/>
    <w:rsid w:val="00B66ECB"/>
    <w:rsid w:val="00BA3671"/>
    <w:rsid w:val="00C17BF3"/>
    <w:rsid w:val="00C44C1A"/>
    <w:rsid w:val="00C71D70"/>
    <w:rsid w:val="00C7523A"/>
    <w:rsid w:val="00CC1B6E"/>
    <w:rsid w:val="00CC376A"/>
    <w:rsid w:val="00CC48A1"/>
    <w:rsid w:val="00CF50E0"/>
    <w:rsid w:val="00D078F1"/>
    <w:rsid w:val="00D85951"/>
    <w:rsid w:val="00E62606"/>
    <w:rsid w:val="00EC5A6B"/>
    <w:rsid w:val="00EF6F56"/>
    <w:rsid w:val="00F176B5"/>
    <w:rsid w:val="00F255C6"/>
    <w:rsid w:val="00F42D73"/>
    <w:rsid w:val="00FB33C1"/>
    <w:rsid w:val="00FE40CB"/>
    <w:rsid w:val="00FF54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53B19"/>
  <w15:docId w15:val="{98D756E3-DCF8-453E-9BF8-D7CB2B33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numbering" w:customStyle="1" w:styleId="Sinlista1">
    <w:name w:val="Sin lista1"/>
    <w:next w:val="Sinlista"/>
    <w:uiPriority w:val="99"/>
    <w:semiHidden/>
    <w:unhideWhenUsed/>
    <w:rsid w:val="00D078F1"/>
  </w:style>
  <w:style w:type="paragraph" w:customStyle="1" w:styleId="msonormal0">
    <w:name w:val="msonormal"/>
    <w:basedOn w:val="Normal"/>
    <w:rsid w:val="00D078F1"/>
    <w:pPr>
      <w:spacing w:before="100" w:beforeAutospacing="1" w:after="100" w:afterAutospacing="1"/>
    </w:pPr>
    <w:rPr>
      <w:lang w:val="es-ES" w:eastAsia="es-ES"/>
    </w:rPr>
  </w:style>
  <w:style w:type="paragraph" w:styleId="Prrafodelista">
    <w:name w:val="List Paragraph"/>
    <w:basedOn w:val="Normal"/>
    <w:uiPriority w:val="34"/>
    <w:qFormat/>
    <w:rsid w:val="00D078F1"/>
    <w:pPr>
      <w:spacing w:after="160" w:line="256" w:lineRule="auto"/>
      <w:ind w:left="720"/>
      <w:contextualSpacing/>
    </w:pPr>
    <w:rPr>
      <w:rFonts w:ascii="Calibri" w:eastAsia="Calibri" w:hAnsi="Calibri"/>
      <w:sz w:val="22"/>
      <w:szCs w:val="22"/>
      <w:lang w:val="es-ES" w:eastAsia="en-US"/>
    </w:rPr>
  </w:style>
  <w:style w:type="character" w:styleId="Refdecomentario">
    <w:name w:val="annotation reference"/>
    <w:uiPriority w:val="99"/>
    <w:rsid w:val="00D078F1"/>
    <w:rPr>
      <w:sz w:val="16"/>
      <w:szCs w:val="16"/>
    </w:rPr>
  </w:style>
  <w:style w:type="paragraph" w:styleId="Textocomentario">
    <w:name w:val="annotation text"/>
    <w:basedOn w:val="Normal"/>
    <w:link w:val="TextocomentarioCar"/>
    <w:uiPriority w:val="99"/>
    <w:qFormat/>
    <w:rsid w:val="00D078F1"/>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D078F1"/>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rsid w:val="00D078F1"/>
    <w:rPr>
      <w:b/>
      <w:bCs/>
    </w:rPr>
  </w:style>
  <w:style w:type="character" w:customStyle="1" w:styleId="AsuntodelcomentarioCar">
    <w:name w:val="Asunto del comentario Car"/>
    <w:basedOn w:val="TextocomentarioCar"/>
    <w:link w:val="Asuntodelcomentario"/>
    <w:uiPriority w:val="99"/>
    <w:rsid w:val="00D078F1"/>
    <w:rPr>
      <w:rFonts w:ascii="Calibri" w:eastAsia="Calibri" w:hAnsi="Calibri"/>
      <w:b/>
      <w:bCs/>
      <w:lang w:val="es-ES" w:eastAsia="en-US"/>
    </w:rPr>
  </w:style>
  <w:style w:type="character" w:styleId="Textoennegrita">
    <w:name w:val="Strong"/>
    <w:uiPriority w:val="22"/>
    <w:qFormat/>
    <w:rsid w:val="00D078F1"/>
    <w:rPr>
      <w:b/>
      <w:bCs/>
    </w:rPr>
  </w:style>
  <w:style w:type="character" w:styleId="nfasis">
    <w:name w:val="Emphasis"/>
    <w:uiPriority w:val="20"/>
    <w:qFormat/>
    <w:rsid w:val="00D078F1"/>
    <w:rPr>
      <w:i/>
      <w:iCs/>
    </w:rPr>
  </w:style>
  <w:style w:type="paragraph" w:customStyle="1" w:styleId="n2">
    <w:name w:val="n2"/>
    <w:basedOn w:val="Normal"/>
    <w:rsid w:val="00D078F1"/>
    <w:pPr>
      <w:spacing w:before="100" w:beforeAutospacing="1" w:after="100" w:afterAutospacing="1"/>
    </w:pPr>
    <w:rPr>
      <w:lang w:val="es-ES" w:eastAsia="en-US"/>
    </w:rPr>
  </w:style>
  <w:style w:type="paragraph" w:customStyle="1" w:styleId="j">
    <w:name w:val="j"/>
    <w:basedOn w:val="Normal"/>
    <w:rsid w:val="00D078F1"/>
    <w:pPr>
      <w:spacing w:before="100" w:beforeAutospacing="1" w:after="100" w:afterAutospacing="1"/>
    </w:pPr>
    <w:rPr>
      <w:lang w:val="es-ES" w:eastAsia="en-US"/>
    </w:rPr>
  </w:style>
  <w:style w:type="character" w:customStyle="1" w:styleId="nacep">
    <w:name w:val="n_acep"/>
    <w:basedOn w:val="Fuentedeprrafopredeter"/>
    <w:rsid w:val="00D078F1"/>
  </w:style>
  <w:style w:type="paragraph" w:customStyle="1" w:styleId="j2">
    <w:name w:val="j2"/>
    <w:basedOn w:val="Normal"/>
    <w:rsid w:val="00D078F1"/>
    <w:pPr>
      <w:spacing w:before="100" w:beforeAutospacing="1" w:after="100" w:afterAutospacing="1"/>
    </w:pPr>
    <w:rPr>
      <w:lang w:val="es-ES" w:eastAsia="en-US"/>
    </w:rPr>
  </w:style>
  <w:style w:type="character" w:customStyle="1" w:styleId="h">
    <w:name w:val="h"/>
    <w:basedOn w:val="Fuentedeprrafopredeter"/>
    <w:rsid w:val="00D078F1"/>
  </w:style>
  <w:style w:type="character" w:styleId="Mencinsinresolver">
    <w:name w:val="Unresolved Mention"/>
    <w:uiPriority w:val="99"/>
    <w:semiHidden/>
    <w:unhideWhenUsed/>
    <w:rsid w:val="00D07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084-7740" TargetMode="External"/><Relationship Id="rId13" Type="http://schemas.openxmlformats.org/officeDocument/2006/relationships/image" Target="media/image1.gif"/><Relationship Id="rId18" Type="http://schemas.openxmlformats.org/officeDocument/2006/relationships/hyperlink" Target="https://www.cdc.gov/coronavirus/2019-ncov/symptoms-testing/symptoms.html" TargetMode="External"/><Relationship Id="rId26" Type="http://schemas.openxmlformats.org/officeDocument/2006/relationships/hyperlink" Target="https://www.nature.com/articles/s41591-020-0916-2" TargetMode="External"/><Relationship Id="rId39" Type="http://schemas.openxmlformats.org/officeDocument/2006/relationships/hyperlink" Target="https://doi.org/10.7150/ijbs.50654" TargetMode="External"/><Relationship Id="rId3" Type="http://schemas.openxmlformats.org/officeDocument/2006/relationships/settings" Target="settings.xml"/><Relationship Id="rId21" Type="http://schemas.openxmlformats.org/officeDocument/2006/relationships/hyperlink" Target="https://doi.org/10.1002/alr.22593" TargetMode="External"/><Relationship Id="rId34" Type="http://schemas.openxmlformats.org/officeDocument/2006/relationships/hyperlink" Target="https://doi.org/10.1177/0194599820932128" TargetMode="External"/><Relationship Id="rId42" Type="http://schemas.openxmlformats.org/officeDocument/2006/relationships/header" Target="header1.xml"/><Relationship Id="rId7" Type="http://schemas.openxmlformats.org/officeDocument/2006/relationships/hyperlink" Target="https://orcid.org/0000-0002-3049-8239" TargetMode="External"/><Relationship Id="rId12" Type="http://schemas.openxmlformats.org/officeDocument/2006/relationships/hyperlink" Target="mailto:sergiolg@infomed.sld.cu" TargetMode="External"/><Relationship Id="rId17" Type="http://schemas.openxmlformats.org/officeDocument/2006/relationships/hyperlink" Target="https://doi.org/10.1177/0194599820926473" TargetMode="External"/><Relationship Id="rId25" Type="http://schemas.openxmlformats.org/officeDocument/2006/relationships/hyperlink" Target="https://doi.org/10.3346/jkms.2020.35.e174" TargetMode="External"/><Relationship Id="rId33" Type="http://schemas.openxmlformats.org/officeDocument/2006/relationships/hyperlink" Target="https://doi.org/10.1002/hed.26269" TargetMode="External"/><Relationship Id="rId38" Type="http://schemas.openxmlformats.org/officeDocument/2006/relationships/hyperlink" Target="https://doi.org/10.1016/j.jiph.2020.11.002"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193/Rhin20.185" TargetMode="External"/><Relationship Id="rId20" Type="http://schemas.openxmlformats.org/officeDocument/2006/relationships/hyperlink" Target="https://doi.org/10.1007/s11882-020-00961-1" TargetMode="External"/><Relationship Id="rId29" Type="http://schemas.openxmlformats.org/officeDocument/2006/relationships/hyperlink" Target="https://core.ac.uk/reader/327264300" TargetMode="External"/><Relationship Id="rId41" Type="http://schemas.openxmlformats.org/officeDocument/2006/relationships/hyperlink" Target="https://doi.org/10.1002/jmv.258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9150-6055" TargetMode="External"/><Relationship Id="rId24" Type="http://schemas.openxmlformats.org/officeDocument/2006/relationships/hyperlink" Target="https://doi.org/10.1001/jamaneurol.2020.1127" TargetMode="External"/><Relationship Id="rId32" Type="http://schemas.openxmlformats.org/officeDocument/2006/relationships/hyperlink" Target="https://doi.org/10.1111/ene.14273" TargetMode="External"/><Relationship Id="rId37" Type="http://schemas.openxmlformats.org/officeDocument/2006/relationships/hyperlink" Target="https://doi.org/10.1186/s40463-020-00449-y" TargetMode="External"/><Relationship Id="rId40" Type="http://schemas.openxmlformats.org/officeDocument/2006/relationships/hyperlink" Target="https://doi.org/10.1016/j.ijid.2021.01.019"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s://doi.org/10.1177/2473974X20957975" TargetMode="External"/><Relationship Id="rId28" Type="http://schemas.openxmlformats.org/officeDocument/2006/relationships/hyperlink" Target="https://doi.org/10.1002/alr.22680" TargetMode="External"/><Relationship Id="rId36" Type="http://schemas.openxmlformats.org/officeDocument/2006/relationships/hyperlink" Target="http://scielo.sld.cu/scielo.php?script=sci_arttext&amp;pid=S1029-30192020000300473" TargetMode="External"/><Relationship Id="rId10" Type="http://schemas.openxmlformats.org/officeDocument/2006/relationships/hyperlink" Target="https://orcid.org/0000-0002-8231-2811" TargetMode="External"/><Relationship Id="rId19" Type="http://schemas.openxmlformats.org/officeDocument/2006/relationships/hyperlink" Target="https://doi.org/10.1016/j.isci.2020.101839" TargetMode="External"/><Relationship Id="rId31" Type="http://schemas.openxmlformats.org/officeDocument/2006/relationships/hyperlink" Target="https://doi.org/10.1111/ene.14440"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1-9703-2890" TargetMode="External"/><Relationship Id="rId14" Type="http://schemas.openxmlformats.org/officeDocument/2006/relationships/image" Target="media/image2.gif"/><Relationship Id="rId22" Type="http://schemas.openxmlformats.org/officeDocument/2006/relationships/hyperlink" Target="https://doi.org/10.14639/0392-100X-N0862" TargetMode="External"/><Relationship Id="rId27" Type="http://schemas.openxmlformats.org/officeDocument/2006/relationships/hyperlink" Target="https://doi.org/10.1007/s00405-020-05965-1" TargetMode="External"/><Relationship Id="rId30" Type="http://schemas.openxmlformats.org/officeDocument/2006/relationships/hyperlink" Target="https://files.sld.cu/editorhome/files/2021/03/VERSION_FINAL_6_EXTENDIDA_PROTOCOLO_REVISADA_28_MARZO__2021.pdf" TargetMode="External"/><Relationship Id="rId35" Type="http://schemas.openxmlformats.org/officeDocument/2006/relationships/hyperlink" Target="http://www.revmedmilitar.sld.cu/index.php/mil/article/view/919" TargetMode="External"/><Relationship Id="rId43"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910</TotalTime>
  <Pages>16</Pages>
  <Words>4988</Words>
  <Characters>27438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32362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31</cp:revision>
  <cp:lastPrinted>2021-11-06T15:08:00Z</cp:lastPrinted>
  <dcterms:created xsi:type="dcterms:W3CDTF">2021-10-29T16:00:00Z</dcterms:created>
  <dcterms:modified xsi:type="dcterms:W3CDTF">2021-11-08T16:18:00Z</dcterms:modified>
</cp:coreProperties>
</file>