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7701" w14:textId="77777777" w:rsidR="001A0508" w:rsidRPr="001A0508" w:rsidRDefault="001A0508" w:rsidP="001A0508">
      <w:pPr>
        <w:spacing w:line="360" w:lineRule="auto"/>
        <w:jc w:val="right"/>
        <w:rPr>
          <w:rFonts w:eastAsia="Calibri"/>
          <w:sz w:val="20"/>
          <w:szCs w:val="20"/>
          <w:lang w:val="es-PE" w:eastAsia="es-PE"/>
        </w:rPr>
      </w:pPr>
      <w:bookmarkStart w:id="0" w:name="_Hlk55980855"/>
      <w:bookmarkStart w:id="1" w:name="_Hlk77100529"/>
      <w:r w:rsidRPr="001A0508">
        <w:rPr>
          <w:rFonts w:eastAsia="Calibri"/>
          <w:sz w:val="20"/>
          <w:szCs w:val="20"/>
          <w:lang w:val="es-PE" w:eastAsia="es-PE"/>
        </w:rPr>
        <w:t>Artículo de investigación</w:t>
      </w:r>
    </w:p>
    <w:p w14:paraId="35546A68" w14:textId="77777777" w:rsidR="001A0508" w:rsidRPr="001A0508" w:rsidRDefault="001A0508" w:rsidP="001A0508">
      <w:pPr>
        <w:spacing w:line="360" w:lineRule="auto"/>
        <w:jc w:val="right"/>
        <w:rPr>
          <w:rFonts w:eastAsia="Calibri"/>
          <w:b/>
          <w:bCs/>
          <w:lang w:val="es-PE" w:eastAsia="es-PE"/>
        </w:rPr>
      </w:pPr>
    </w:p>
    <w:p w14:paraId="0282FA2B" w14:textId="77777777" w:rsidR="001A0508" w:rsidRPr="001A0508" w:rsidRDefault="001A0508" w:rsidP="001A0508">
      <w:pPr>
        <w:spacing w:line="360" w:lineRule="auto"/>
        <w:jc w:val="center"/>
        <w:rPr>
          <w:rFonts w:eastAsia="Calibri"/>
          <w:b/>
          <w:bCs/>
          <w:sz w:val="28"/>
          <w:szCs w:val="28"/>
          <w:lang w:val="es-PE" w:eastAsia="es-PE"/>
        </w:rPr>
      </w:pPr>
      <w:r w:rsidRPr="001A0508">
        <w:rPr>
          <w:rFonts w:eastAsia="Calibri"/>
          <w:b/>
          <w:bCs/>
          <w:sz w:val="28"/>
          <w:szCs w:val="28"/>
          <w:lang w:val="es-PE" w:eastAsia="es-PE"/>
        </w:rPr>
        <w:t>Estilos de vida y estado nutricional en el personal militar sanitario durante la COVID-19</w:t>
      </w:r>
      <w:bookmarkEnd w:id="0"/>
    </w:p>
    <w:p w14:paraId="75C3E3B0" w14:textId="77777777" w:rsidR="001A0508" w:rsidRPr="001A0508" w:rsidRDefault="001A0508" w:rsidP="001A0508">
      <w:pPr>
        <w:spacing w:line="360" w:lineRule="auto"/>
        <w:jc w:val="center"/>
        <w:rPr>
          <w:rFonts w:eastAsia="Arial"/>
          <w:lang w:val="en-US" w:eastAsia="es-PE"/>
        </w:rPr>
      </w:pPr>
      <w:r w:rsidRPr="001A0508">
        <w:rPr>
          <w:rFonts w:eastAsia="Arial"/>
          <w:sz w:val="28"/>
          <w:szCs w:val="28"/>
          <w:lang w:val="en-US" w:eastAsia="es-PE"/>
        </w:rPr>
        <w:t>Lifestyles and nutritional status in military health personnel during COVID-19</w:t>
      </w:r>
    </w:p>
    <w:bookmarkEnd w:id="1"/>
    <w:p w14:paraId="7702CD40" w14:textId="77777777" w:rsidR="001A0508" w:rsidRPr="001A0508" w:rsidRDefault="001A0508" w:rsidP="001A0508">
      <w:pPr>
        <w:spacing w:line="360" w:lineRule="auto"/>
        <w:jc w:val="both"/>
        <w:rPr>
          <w:rFonts w:eastAsia="Arial"/>
          <w:b/>
          <w:lang w:val="en-US" w:eastAsia="es-PE"/>
        </w:rPr>
      </w:pPr>
    </w:p>
    <w:p w14:paraId="4188F9D3" w14:textId="77777777" w:rsidR="001A0508" w:rsidRPr="001A0508" w:rsidRDefault="001A0508" w:rsidP="001A0508">
      <w:pPr>
        <w:spacing w:line="360" w:lineRule="auto"/>
        <w:jc w:val="both"/>
        <w:rPr>
          <w:rFonts w:eastAsia="Arial"/>
          <w:bCs/>
          <w:lang w:val="es-PE" w:eastAsia="es-PE"/>
        </w:rPr>
      </w:pPr>
      <w:r w:rsidRPr="001A0508">
        <w:rPr>
          <w:rFonts w:eastAsia="Arial"/>
          <w:bCs/>
          <w:lang w:val="es-PE" w:eastAsia="es-PE"/>
        </w:rPr>
        <w:t xml:space="preserve">Juan Manuel </w:t>
      </w:r>
      <w:proofErr w:type="spellStart"/>
      <w:r w:rsidRPr="001A0508">
        <w:rPr>
          <w:rFonts w:eastAsia="Arial"/>
          <w:bCs/>
          <w:lang w:val="es-PE" w:eastAsia="es-PE"/>
        </w:rPr>
        <w:t>Amau</w:t>
      </w:r>
      <w:proofErr w:type="spellEnd"/>
      <w:r w:rsidRPr="001A0508">
        <w:rPr>
          <w:rFonts w:eastAsia="Arial"/>
          <w:bCs/>
          <w:lang w:val="es-PE" w:eastAsia="es-PE"/>
        </w:rPr>
        <w:t xml:space="preserve"> Chiroque</w:t>
      </w:r>
      <w:r w:rsidRPr="001A0508">
        <w:rPr>
          <w:rFonts w:eastAsia="Arial"/>
          <w:bCs/>
          <w:vertAlign w:val="superscript"/>
          <w:lang w:val="es-PE" w:eastAsia="es-PE"/>
        </w:rPr>
        <w:t>1</w:t>
      </w:r>
      <w:r w:rsidRPr="001A0508">
        <w:rPr>
          <w:rFonts w:eastAsia="Arial"/>
          <w:bCs/>
          <w:lang w:val="es-PE" w:eastAsia="es-PE"/>
        </w:rPr>
        <w:t xml:space="preserve">* </w:t>
      </w:r>
      <w:hyperlink r:id="rId7" w:history="1">
        <w:r w:rsidRPr="001A0508">
          <w:rPr>
            <w:rFonts w:eastAsia="Arial"/>
            <w:bCs/>
            <w:color w:val="0563C1"/>
            <w:u w:val="single"/>
            <w:lang w:val="es-PE" w:eastAsia="es-PE"/>
          </w:rPr>
          <w:t>https://orcid.org/0000-0002-9122-0118</w:t>
        </w:r>
      </w:hyperlink>
      <w:r w:rsidRPr="001A0508">
        <w:rPr>
          <w:rFonts w:eastAsia="Arial"/>
          <w:bCs/>
          <w:lang w:val="es-PE" w:eastAsia="es-PE"/>
        </w:rPr>
        <w:t xml:space="preserve"> </w:t>
      </w:r>
    </w:p>
    <w:p w14:paraId="3EE4EAF2" w14:textId="77777777" w:rsidR="001A0508" w:rsidRPr="001A0508" w:rsidRDefault="001A0508" w:rsidP="001A0508">
      <w:pPr>
        <w:spacing w:line="360" w:lineRule="auto"/>
        <w:jc w:val="both"/>
        <w:rPr>
          <w:rFonts w:eastAsia="Arial"/>
          <w:bCs/>
          <w:lang w:val="es-PE" w:eastAsia="es-PE"/>
        </w:rPr>
      </w:pPr>
      <w:r w:rsidRPr="001A0508">
        <w:rPr>
          <w:rFonts w:eastAsia="Arial"/>
          <w:bCs/>
          <w:lang w:val="es-PE" w:eastAsia="es-PE"/>
        </w:rPr>
        <w:t xml:space="preserve">Nelson </w:t>
      </w:r>
      <w:proofErr w:type="spellStart"/>
      <w:r w:rsidRPr="001A0508">
        <w:rPr>
          <w:rFonts w:eastAsia="Arial"/>
          <w:bCs/>
          <w:lang w:val="es-PE" w:eastAsia="es-PE"/>
        </w:rPr>
        <w:t>Edilbrando</w:t>
      </w:r>
      <w:proofErr w:type="spellEnd"/>
      <w:r w:rsidRPr="001A0508">
        <w:rPr>
          <w:rFonts w:eastAsia="Arial"/>
          <w:bCs/>
          <w:lang w:val="es-PE" w:eastAsia="es-PE"/>
        </w:rPr>
        <w:t xml:space="preserve"> Mercado Portal</w:t>
      </w:r>
      <w:r w:rsidRPr="001A0508">
        <w:rPr>
          <w:rFonts w:eastAsia="Arial"/>
          <w:bCs/>
          <w:vertAlign w:val="superscript"/>
          <w:lang w:val="es-PE" w:eastAsia="es-PE"/>
        </w:rPr>
        <w:t>2</w:t>
      </w:r>
      <w:r w:rsidRPr="001A0508">
        <w:rPr>
          <w:rFonts w:eastAsia="Arial"/>
          <w:bCs/>
          <w:lang w:val="es-PE" w:eastAsia="es-PE"/>
        </w:rPr>
        <w:t xml:space="preserve"> </w:t>
      </w:r>
      <w:hyperlink r:id="rId8" w:history="1">
        <w:r w:rsidRPr="001A0508">
          <w:rPr>
            <w:rFonts w:eastAsia="Arial"/>
            <w:bCs/>
            <w:color w:val="0563C1"/>
            <w:u w:val="single"/>
            <w:lang w:val="es-PE" w:eastAsia="es-PE"/>
          </w:rPr>
          <w:t>https://orcid.org/0000-0003-0054-6671</w:t>
        </w:r>
      </w:hyperlink>
      <w:r w:rsidRPr="001A0508">
        <w:rPr>
          <w:rFonts w:eastAsia="Arial"/>
          <w:bCs/>
          <w:lang w:val="es-PE" w:eastAsia="es-PE"/>
        </w:rPr>
        <w:t xml:space="preserve"> </w:t>
      </w:r>
    </w:p>
    <w:p w14:paraId="6F1610D7" w14:textId="77777777" w:rsidR="001A0508" w:rsidRPr="001A0508" w:rsidRDefault="001A0508" w:rsidP="001A0508">
      <w:pPr>
        <w:spacing w:line="360" w:lineRule="auto"/>
        <w:jc w:val="both"/>
        <w:rPr>
          <w:rFonts w:eastAsia="Arial"/>
          <w:bCs/>
          <w:lang w:val="es-PE" w:eastAsia="es-PE"/>
        </w:rPr>
      </w:pPr>
      <w:r w:rsidRPr="001A0508">
        <w:rPr>
          <w:rFonts w:eastAsia="Arial"/>
          <w:bCs/>
          <w:lang w:val="es-PE" w:eastAsia="es-PE"/>
        </w:rPr>
        <w:t>Roberto Antonio León Manco</w:t>
      </w:r>
      <w:r w:rsidRPr="001A0508">
        <w:rPr>
          <w:rFonts w:eastAsia="Arial"/>
          <w:bCs/>
          <w:vertAlign w:val="superscript"/>
          <w:lang w:val="es-PE" w:eastAsia="es-PE"/>
        </w:rPr>
        <w:t>1</w:t>
      </w:r>
      <w:r w:rsidRPr="001A0508">
        <w:rPr>
          <w:rFonts w:eastAsia="Arial"/>
          <w:bCs/>
          <w:lang w:val="es-PE" w:eastAsia="es-PE"/>
        </w:rPr>
        <w:t xml:space="preserve"> </w:t>
      </w:r>
      <w:hyperlink r:id="rId9" w:history="1">
        <w:r w:rsidRPr="001A0508">
          <w:rPr>
            <w:rFonts w:eastAsia="Arial"/>
            <w:bCs/>
            <w:color w:val="0563C1"/>
            <w:u w:val="single"/>
            <w:lang w:val="es-PE" w:eastAsia="es-PE"/>
          </w:rPr>
          <w:t>https://orcid.org/0000-0001-9641-1047</w:t>
        </w:r>
      </w:hyperlink>
      <w:r w:rsidRPr="001A0508">
        <w:rPr>
          <w:rFonts w:eastAsia="Arial"/>
          <w:bCs/>
          <w:lang w:val="es-PE" w:eastAsia="es-PE"/>
        </w:rPr>
        <w:t xml:space="preserve"> </w:t>
      </w:r>
    </w:p>
    <w:p w14:paraId="3C90FA86" w14:textId="77777777" w:rsidR="001A0508" w:rsidRPr="001A0508" w:rsidRDefault="001A0508" w:rsidP="001A0508">
      <w:pPr>
        <w:spacing w:line="360" w:lineRule="auto"/>
        <w:jc w:val="both"/>
        <w:rPr>
          <w:rFonts w:eastAsia="Arial"/>
          <w:bCs/>
          <w:lang w:val="es-PE" w:eastAsia="es-PE"/>
        </w:rPr>
      </w:pPr>
    </w:p>
    <w:p w14:paraId="20E7A83F" w14:textId="77777777" w:rsidR="001A0508" w:rsidRPr="001A0508" w:rsidRDefault="001A0508" w:rsidP="001A0508">
      <w:pPr>
        <w:spacing w:line="360" w:lineRule="auto"/>
        <w:jc w:val="both"/>
        <w:rPr>
          <w:rFonts w:eastAsia="Arial"/>
          <w:bCs/>
          <w:lang w:val="es-PE" w:eastAsia="es-PE"/>
        </w:rPr>
      </w:pPr>
      <w:r w:rsidRPr="001A0508">
        <w:rPr>
          <w:rFonts w:eastAsia="Arial"/>
          <w:bCs/>
          <w:vertAlign w:val="superscript"/>
          <w:lang w:val="es-PE" w:eastAsia="es-PE"/>
        </w:rPr>
        <w:t>1</w:t>
      </w:r>
      <w:r w:rsidRPr="001A0508">
        <w:rPr>
          <w:rFonts w:eastAsia="Arial"/>
          <w:bCs/>
          <w:lang w:val="es-PE" w:eastAsia="es-PE"/>
        </w:rPr>
        <w:t>Universidad Peruana Cayetano Heredia. Lima, Perú.</w:t>
      </w:r>
    </w:p>
    <w:p w14:paraId="722E29E3" w14:textId="77777777" w:rsidR="001A0508" w:rsidRPr="001A0508" w:rsidRDefault="001A0508" w:rsidP="001A0508">
      <w:pPr>
        <w:spacing w:line="360" w:lineRule="auto"/>
        <w:jc w:val="both"/>
        <w:rPr>
          <w:rFonts w:eastAsia="Arial"/>
          <w:bCs/>
          <w:lang w:val="es-PE" w:eastAsia="es-PE"/>
        </w:rPr>
      </w:pPr>
      <w:r w:rsidRPr="001A0508">
        <w:rPr>
          <w:rFonts w:eastAsia="Arial"/>
          <w:bCs/>
          <w:vertAlign w:val="superscript"/>
          <w:lang w:val="es-PE" w:eastAsia="es-PE"/>
        </w:rPr>
        <w:t>2</w:t>
      </w:r>
      <w:r w:rsidRPr="001A0508">
        <w:rPr>
          <w:rFonts w:eastAsia="Arial"/>
          <w:bCs/>
          <w:lang w:val="es-PE" w:eastAsia="es-PE"/>
        </w:rPr>
        <w:t>Hospital Militar Central “</w:t>
      </w:r>
      <w:proofErr w:type="gramStart"/>
      <w:r w:rsidRPr="001A0508">
        <w:rPr>
          <w:rFonts w:eastAsia="Arial"/>
          <w:bCs/>
          <w:lang w:val="es-PE" w:eastAsia="es-PE"/>
        </w:rPr>
        <w:t>Coronel</w:t>
      </w:r>
      <w:proofErr w:type="gramEnd"/>
      <w:r w:rsidRPr="001A0508">
        <w:rPr>
          <w:rFonts w:eastAsia="Arial"/>
          <w:bCs/>
          <w:lang w:val="es-PE" w:eastAsia="es-PE"/>
        </w:rPr>
        <w:t xml:space="preserve"> Luis Arias Schreiber”.  Lima, Perú.</w:t>
      </w:r>
    </w:p>
    <w:p w14:paraId="7009E1B9" w14:textId="77777777" w:rsidR="001A0508" w:rsidRPr="001A0508" w:rsidRDefault="001A0508" w:rsidP="001A0508">
      <w:pPr>
        <w:spacing w:line="360" w:lineRule="auto"/>
        <w:jc w:val="both"/>
        <w:rPr>
          <w:rFonts w:eastAsia="Arial"/>
          <w:bCs/>
          <w:lang w:val="es-PE" w:eastAsia="es-PE"/>
        </w:rPr>
      </w:pPr>
    </w:p>
    <w:p w14:paraId="46256494" w14:textId="77777777" w:rsidR="001A0508" w:rsidRPr="001A0508" w:rsidRDefault="001A0508" w:rsidP="001A0508">
      <w:pPr>
        <w:spacing w:line="360" w:lineRule="auto"/>
        <w:jc w:val="both"/>
        <w:rPr>
          <w:rFonts w:eastAsia="Arial"/>
          <w:bCs/>
          <w:lang w:val="es-PE" w:eastAsia="es-PE"/>
        </w:rPr>
      </w:pPr>
      <w:r w:rsidRPr="001A0508">
        <w:rPr>
          <w:rFonts w:eastAsia="Arial"/>
          <w:bCs/>
          <w:lang w:val="es-PE" w:eastAsia="es-PE"/>
        </w:rPr>
        <w:t xml:space="preserve">*Autor para la correspondencia. Correo electrónico: </w:t>
      </w:r>
      <w:hyperlink r:id="rId10" w:history="1">
        <w:r w:rsidRPr="001A0508">
          <w:rPr>
            <w:rFonts w:eastAsia="Arial"/>
            <w:bCs/>
            <w:color w:val="0563C1"/>
            <w:u w:val="single"/>
            <w:lang w:val="es-PE" w:eastAsia="es-PE"/>
          </w:rPr>
          <w:t>juan.amau@upch.pe</w:t>
        </w:r>
      </w:hyperlink>
      <w:r w:rsidRPr="001A0508">
        <w:rPr>
          <w:rFonts w:eastAsia="Arial"/>
          <w:bCs/>
          <w:lang w:val="es-PE" w:eastAsia="es-PE"/>
        </w:rPr>
        <w:t xml:space="preserve"> </w:t>
      </w:r>
    </w:p>
    <w:p w14:paraId="23904AAC" w14:textId="77777777" w:rsidR="001A0508" w:rsidRPr="001A0508" w:rsidRDefault="001A0508" w:rsidP="001A0508">
      <w:pPr>
        <w:spacing w:line="360" w:lineRule="auto"/>
        <w:jc w:val="both"/>
        <w:rPr>
          <w:rFonts w:eastAsia="Arial"/>
          <w:bCs/>
          <w:lang w:val="es-PE" w:eastAsia="es-PE"/>
        </w:rPr>
      </w:pPr>
    </w:p>
    <w:p w14:paraId="718D7835" w14:textId="77777777" w:rsidR="001A0508" w:rsidRPr="001A0508" w:rsidRDefault="001A0508" w:rsidP="001A0508">
      <w:pPr>
        <w:spacing w:line="360" w:lineRule="auto"/>
        <w:jc w:val="both"/>
        <w:rPr>
          <w:rFonts w:eastAsia="Arial"/>
          <w:b/>
          <w:lang w:val="es-PE" w:eastAsia="es-PE"/>
        </w:rPr>
      </w:pPr>
      <w:r w:rsidRPr="001A0508">
        <w:rPr>
          <w:rFonts w:eastAsia="Arial"/>
          <w:b/>
          <w:lang w:val="es-PE" w:eastAsia="es-PE"/>
        </w:rPr>
        <w:t>RESUMEN</w:t>
      </w:r>
    </w:p>
    <w:p w14:paraId="5B496D48" w14:textId="77777777" w:rsidR="001A0508" w:rsidRPr="001A0508" w:rsidRDefault="001A0508" w:rsidP="001A0508">
      <w:pPr>
        <w:spacing w:line="360" w:lineRule="auto"/>
        <w:jc w:val="both"/>
        <w:rPr>
          <w:rFonts w:eastAsia="Arial"/>
          <w:lang w:val="es-PE" w:eastAsia="es-PE"/>
        </w:rPr>
      </w:pPr>
      <w:bookmarkStart w:id="2" w:name="_gjdgxs" w:colFirst="0" w:colLast="0"/>
      <w:bookmarkEnd w:id="2"/>
      <w:r w:rsidRPr="001A0508">
        <w:rPr>
          <w:rFonts w:eastAsia="Arial"/>
          <w:b/>
          <w:bCs/>
          <w:lang w:val="es-PE" w:eastAsia="es-PE"/>
        </w:rPr>
        <w:t xml:space="preserve">Introducción: </w:t>
      </w:r>
      <w:r w:rsidRPr="001A0508">
        <w:rPr>
          <w:rFonts w:eastAsia="Arial"/>
          <w:lang w:val="es-PE" w:eastAsia="es-PE"/>
        </w:rPr>
        <w:t xml:space="preserve">El personal militar sanitario posee características laborales y factores propios de la vida militar, que los predisponen a alterar sus estilos de vida, más aún con las medidas restrictivas que se establecen por la emergencia sanitaria de la COVID-19. </w:t>
      </w:r>
    </w:p>
    <w:p w14:paraId="2AF24FE1" w14:textId="77777777" w:rsidR="001A0508" w:rsidRPr="001A0508" w:rsidRDefault="001A0508" w:rsidP="001A0508">
      <w:pPr>
        <w:spacing w:line="360" w:lineRule="auto"/>
        <w:jc w:val="both"/>
        <w:rPr>
          <w:rFonts w:eastAsia="Arial"/>
          <w:lang w:val="es-PE" w:eastAsia="es-PE"/>
        </w:rPr>
      </w:pPr>
      <w:r w:rsidRPr="001A0508">
        <w:rPr>
          <w:rFonts w:eastAsia="Arial"/>
          <w:b/>
          <w:bCs/>
          <w:lang w:val="es-PE" w:eastAsia="es-PE"/>
        </w:rPr>
        <w:t>Objetivo</w:t>
      </w:r>
      <w:r w:rsidRPr="001A0508">
        <w:rPr>
          <w:rFonts w:eastAsia="Arial"/>
          <w:b/>
          <w:lang w:val="es-PE" w:eastAsia="es-PE"/>
        </w:rPr>
        <w:t>:</w:t>
      </w:r>
      <w:r w:rsidRPr="001A0508">
        <w:rPr>
          <w:rFonts w:eastAsia="Arial"/>
          <w:lang w:val="es-PE" w:eastAsia="es-PE"/>
        </w:rPr>
        <w:t xml:space="preserve"> </w:t>
      </w:r>
      <w:bookmarkStart w:id="3" w:name="_Hlk63893061"/>
      <w:r w:rsidRPr="001A0508">
        <w:rPr>
          <w:rFonts w:eastAsia="Arial"/>
          <w:lang w:val="es-PE" w:eastAsia="es-PE"/>
        </w:rPr>
        <w:t>Determinar la asociación entre los estilos de vida y el estado nutricional del personal militar sanitario</w:t>
      </w:r>
      <w:bookmarkEnd w:id="3"/>
      <w:r w:rsidRPr="001A0508">
        <w:rPr>
          <w:rFonts w:eastAsia="Arial"/>
          <w:lang w:val="es-PE" w:eastAsia="es-PE"/>
        </w:rPr>
        <w:t xml:space="preserve">. </w:t>
      </w:r>
    </w:p>
    <w:p w14:paraId="2CEF33B8" w14:textId="77777777" w:rsidR="001A0508" w:rsidRPr="001A0508" w:rsidRDefault="001A0508" w:rsidP="001A0508">
      <w:pPr>
        <w:spacing w:line="360" w:lineRule="auto"/>
        <w:jc w:val="both"/>
        <w:rPr>
          <w:rFonts w:eastAsia="Arial"/>
          <w:lang w:val="es-PE" w:eastAsia="es-PE"/>
        </w:rPr>
      </w:pPr>
      <w:r w:rsidRPr="001A0508">
        <w:rPr>
          <w:rFonts w:eastAsia="Arial"/>
          <w:b/>
          <w:bCs/>
          <w:lang w:val="es-PE" w:eastAsia="es-PE"/>
        </w:rPr>
        <w:t>Métodos</w:t>
      </w:r>
      <w:r w:rsidRPr="001A0508">
        <w:rPr>
          <w:rFonts w:eastAsia="Arial"/>
          <w:b/>
          <w:lang w:val="es-PE" w:eastAsia="es-PE"/>
        </w:rPr>
        <w:t>:</w:t>
      </w:r>
      <w:r w:rsidRPr="001A0508">
        <w:rPr>
          <w:rFonts w:eastAsia="Arial"/>
          <w:lang w:val="es-PE" w:eastAsia="es-PE"/>
        </w:rPr>
        <w:t xml:space="preserve"> El estudio fue transversal, la muestra estuvo conformada por 104 profesionales sanitarios militares que laboran en el Hospital Militar Central. Se aplicó el Cuestionario de Estilos de Vida de </w:t>
      </w:r>
      <w:r w:rsidRPr="001A0508">
        <w:rPr>
          <w:rFonts w:eastAsia="Arial"/>
          <w:i/>
          <w:iCs/>
          <w:lang w:val="es-PE" w:eastAsia="es-PE"/>
        </w:rPr>
        <w:t xml:space="preserve">Arrivillaga, Salazar </w:t>
      </w:r>
      <w:r w:rsidRPr="001A0508">
        <w:rPr>
          <w:rFonts w:eastAsia="Arial"/>
          <w:lang w:val="es-PE" w:eastAsia="es-PE"/>
        </w:rPr>
        <w:t>y</w:t>
      </w:r>
      <w:r w:rsidRPr="001A0508">
        <w:rPr>
          <w:rFonts w:eastAsia="Arial"/>
          <w:i/>
          <w:iCs/>
          <w:lang w:val="es-PE" w:eastAsia="es-PE"/>
        </w:rPr>
        <w:t xml:space="preserve"> Gómez</w:t>
      </w:r>
      <w:r w:rsidRPr="001A0508">
        <w:rPr>
          <w:rFonts w:eastAsia="Arial"/>
          <w:lang w:val="es-PE" w:eastAsia="es-PE"/>
        </w:rPr>
        <w:t xml:space="preserve">; se pesó y talló a los sujetos, para obtener el índice de masa corporal, también se obtuvo la medida del perímetro abdominal, que indicó el riesgo </w:t>
      </w:r>
      <w:proofErr w:type="spellStart"/>
      <w:r w:rsidRPr="001A0508">
        <w:rPr>
          <w:rFonts w:eastAsia="Arial"/>
          <w:lang w:val="es-PE" w:eastAsia="es-PE"/>
        </w:rPr>
        <w:t>cardiometabólico</w:t>
      </w:r>
      <w:proofErr w:type="spellEnd"/>
      <w:r w:rsidRPr="001A0508">
        <w:rPr>
          <w:rFonts w:eastAsia="Arial"/>
          <w:lang w:val="es-PE" w:eastAsia="es-PE"/>
        </w:rPr>
        <w:t xml:space="preserve">, se realizó el análisis descriptivo, bivariado (prueba de </w:t>
      </w:r>
      <w:r w:rsidRPr="001A0508">
        <w:rPr>
          <w:rFonts w:eastAsia="Arial"/>
          <w:i/>
          <w:iCs/>
          <w:lang w:val="es-PE" w:eastAsia="es-PE"/>
        </w:rPr>
        <w:t>ji</w:t>
      </w:r>
      <w:r w:rsidRPr="001A0508">
        <w:rPr>
          <w:rFonts w:eastAsia="Arial"/>
          <w:lang w:val="es-PE" w:eastAsia="es-PE"/>
        </w:rPr>
        <w:t xml:space="preserve"> cuadrado) y multivariado para obtener razones de prevalencia. </w:t>
      </w:r>
    </w:p>
    <w:p w14:paraId="6F9FF089" w14:textId="77777777" w:rsidR="001A0508" w:rsidRPr="001A0508" w:rsidRDefault="001A0508" w:rsidP="001A0508">
      <w:pPr>
        <w:spacing w:line="360" w:lineRule="auto"/>
        <w:jc w:val="both"/>
        <w:rPr>
          <w:rFonts w:eastAsia="Arial"/>
          <w:lang w:val="es-PE" w:eastAsia="es-PE"/>
        </w:rPr>
      </w:pPr>
      <w:r w:rsidRPr="001A0508">
        <w:rPr>
          <w:rFonts w:eastAsia="Arial"/>
          <w:b/>
          <w:bCs/>
          <w:lang w:val="es-PE" w:eastAsia="es-PE"/>
        </w:rPr>
        <w:t>Resultados:</w:t>
      </w:r>
      <w:r w:rsidRPr="001A0508">
        <w:rPr>
          <w:rFonts w:eastAsia="Arial"/>
          <w:lang w:val="es-PE" w:eastAsia="es-PE"/>
        </w:rPr>
        <w:t xml:space="preserve"> Se evidenció asociación entre estilo de vida poco saludable con el índice de masa corporal (razón de prevalencia = 15,467; IC 95</w:t>
      </w:r>
      <w:r w:rsidRPr="001A0508">
        <w:rPr>
          <w:rFonts w:eastAsia="Calibri"/>
          <w:lang w:val="es-PE" w:eastAsia="es-PE"/>
        </w:rPr>
        <w:t xml:space="preserve"> %:</w:t>
      </w:r>
      <w:r w:rsidRPr="001A0508">
        <w:rPr>
          <w:rFonts w:eastAsia="Arial"/>
          <w:lang w:val="es-PE" w:eastAsia="es-PE"/>
        </w:rPr>
        <w:t xml:space="preserve"> 2,228 - 107,357: p &lt; 0,001) de igual manera cuando fue </w:t>
      </w:r>
      <w:r w:rsidRPr="001A0508">
        <w:rPr>
          <w:rFonts w:eastAsia="Arial"/>
          <w:lang w:val="es-PE" w:eastAsia="es-PE"/>
        </w:rPr>
        <w:lastRenderedPageBreak/>
        <w:t xml:space="preserve">ajustado para las variables edad, sexo, profesión y grado militar (razón de prevalencia ajustado =18,515; IC 95 %: 2,98 - 114,913: p &lt; 0,001). </w:t>
      </w:r>
    </w:p>
    <w:p w14:paraId="65DB97AD" w14:textId="77777777" w:rsidR="001A0508" w:rsidRPr="001A0508" w:rsidRDefault="001A0508" w:rsidP="001A0508">
      <w:pPr>
        <w:spacing w:line="360" w:lineRule="auto"/>
        <w:jc w:val="both"/>
        <w:rPr>
          <w:rFonts w:eastAsia="Arial"/>
          <w:lang w:val="es-PE" w:eastAsia="es-PE"/>
        </w:rPr>
      </w:pPr>
      <w:r w:rsidRPr="001A0508">
        <w:rPr>
          <w:rFonts w:eastAsia="Arial"/>
          <w:b/>
          <w:bCs/>
          <w:lang w:val="es-PE" w:eastAsia="es-PE"/>
        </w:rPr>
        <w:t>Conclusiones</w:t>
      </w:r>
      <w:r w:rsidRPr="001A0508">
        <w:rPr>
          <w:rFonts w:eastAsia="Arial"/>
          <w:b/>
          <w:lang w:val="es-PE" w:eastAsia="es-PE"/>
        </w:rPr>
        <w:t>:</w:t>
      </w:r>
      <w:r w:rsidRPr="001A0508">
        <w:rPr>
          <w:rFonts w:eastAsia="Arial"/>
          <w:lang w:val="es-PE" w:eastAsia="es-PE"/>
        </w:rPr>
        <w:t xml:space="preserve"> </w:t>
      </w:r>
      <w:bookmarkStart w:id="4" w:name="_Hlk81500341"/>
      <w:r w:rsidRPr="001A0508">
        <w:rPr>
          <w:rFonts w:eastAsia="Arial"/>
          <w:lang w:val="es-PE" w:eastAsia="es-PE"/>
        </w:rPr>
        <w:t xml:space="preserve">Se concluye que existe asociación entre el estilo de vida y el estado nutricional, determinado por el IMC y el PA en el personal militar sanitario estudiado. </w:t>
      </w:r>
    </w:p>
    <w:bookmarkEnd w:id="4"/>
    <w:p w14:paraId="3456B4DF" w14:textId="77777777" w:rsidR="001A0508" w:rsidRPr="001A0508" w:rsidRDefault="001A0508" w:rsidP="001A0508">
      <w:pPr>
        <w:spacing w:line="360" w:lineRule="auto"/>
        <w:jc w:val="both"/>
        <w:rPr>
          <w:rFonts w:eastAsia="Arial"/>
          <w:lang w:val="es-PE" w:eastAsia="es-PE"/>
        </w:rPr>
      </w:pPr>
      <w:r w:rsidRPr="001A0508">
        <w:rPr>
          <w:rFonts w:eastAsia="Arial"/>
          <w:b/>
          <w:bCs/>
          <w:lang w:val="es-PE" w:eastAsia="es-PE"/>
        </w:rPr>
        <w:t>Palabras clave:</w:t>
      </w:r>
      <w:r w:rsidRPr="001A0508">
        <w:rPr>
          <w:rFonts w:eastAsia="Arial"/>
          <w:lang w:val="es-PE" w:eastAsia="es-PE"/>
        </w:rPr>
        <w:t xml:space="preserve"> estilo de vida; obesidad; COVID-19; personal sanitario.</w:t>
      </w:r>
    </w:p>
    <w:p w14:paraId="7D658D80" w14:textId="77777777" w:rsidR="001A0508" w:rsidRPr="001A0508" w:rsidRDefault="001A0508" w:rsidP="001A0508">
      <w:pPr>
        <w:spacing w:line="360" w:lineRule="auto"/>
        <w:jc w:val="both"/>
        <w:rPr>
          <w:rFonts w:eastAsia="Arial"/>
          <w:bCs/>
          <w:lang w:val="es-PE" w:eastAsia="es-PE"/>
        </w:rPr>
      </w:pPr>
    </w:p>
    <w:p w14:paraId="3BF25412" w14:textId="77777777" w:rsidR="001A0508" w:rsidRPr="001A0508" w:rsidRDefault="001A0508" w:rsidP="001A0508">
      <w:pPr>
        <w:spacing w:line="360" w:lineRule="auto"/>
        <w:jc w:val="both"/>
        <w:rPr>
          <w:rFonts w:eastAsia="Arial"/>
          <w:b/>
          <w:bCs/>
          <w:highlight w:val="white"/>
          <w:lang w:val="en-US" w:eastAsia="es-PE"/>
        </w:rPr>
      </w:pPr>
      <w:r w:rsidRPr="001A0508">
        <w:rPr>
          <w:rFonts w:eastAsia="Arial"/>
          <w:b/>
          <w:bCs/>
          <w:highlight w:val="white"/>
          <w:lang w:val="en-US" w:eastAsia="es-PE"/>
        </w:rPr>
        <w:t>ABSTRACT</w:t>
      </w:r>
    </w:p>
    <w:p w14:paraId="5A901805" w14:textId="77777777" w:rsidR="001A0508" w:rsidRPr="001A0508" w:rsidRDefault="001A0508" w:rsidP="001A0508">
      <w:pPr>
        <w:spacing w:line="360" w:lineRule="auto"/>
        <w:jc w:val="both"/>
        <w:rPr>
          <w:rFonts w:eastAsia="Arial"/>
          <w:lang w:val="en" w:eastAsia="es-PE"/>
        </w:rPr>
      </w:pPr>
      <w:r w:rsidRPr="001A0508">
        <w:rPr>
          <w:rFonts w:eastAsia="Arial"/>
          <w:b/>
          <w:bCs/>
          <w:lang w:val="en" w:eastAsia="es-PE"/>
        </w:rPr>
        <w:t>Introduction:</w:t>
      </w:r>
      <w:r w:rsidRPr="001A0508">
        <w:rPr>
          <w:rFonts w:eastAsia="Arial"/>
          <w:lang w:val="en" w:eastAsia="es-PE"/>
        </w:rPr>
        <w:t xml:space="preserve"> Military health personnel have work characteristics and factors inherent to military life that predispose them to alter their lifestyles, even more so with the restrictive measures that were established by the health emergency of COVID-19. </w:t>
      </w:r>
    </w:p>
    <w:p w14:paraId="64F65DB8" w14:textId="77777777" w:rsidR="001A0508" w:rsidRPr="001A0508" w:rsidRDefault="001A0508" w:rsidP="001A0508">
      <w:pPr>
        <w:spacing w:line="360" w:lineRule="auto"/>
        <w:jc w:val="both"/>
        <w:rPr>
          <w:rFonts w:eastAsia="Arial"/>
          <w:lang w:val="en" w:eastAsia="es-PE"/>
        </w:rPr>
      </w:pPr>
      <w:r w:rsidRPr="001A0508">
        <w:rPr>
          <w:rFonts w:eastAsia="Arial"/>
          <w:b/>
          <w:bCs/>
          <w:lang w:val="en" w:eastAsia="es-PE"/>
        </w:rPr>
        <w:t>Objective:</w:t>
      </w:r>
      <w:r w:rsidRPr="001A0508">
        <w:rPr>
          <w:rFonts w:eastAsia="Arial"/>
          <w:lang w:val="en" w:eastAsia="es-PE"/>
        </w:rPr>
        <w:t xml:space="preserve"> To determine the association between lifestyles and nutritional status of military health personnel. </w:t>
      </w:r>
    </w:p>
    <w:p w14:paraId="5A7636E1" w14:textId="77777777" w:rsidR="001A0508" w:rsidRPr="001A0508" w:rsidRDefault="001A0508" w:rsidP="001A0508">
      <w:pPr>
        <w:spacing w:line="360" w:lineRule="auto"/>
        <w:jc w:val="both"/>
        <w:rPr>
          <w:rFonts w:eastAsia="Arial"/>
          <w:lang w:val="en" w:eastAsia="es-PE"/>
        </w:rPr>
      </w:pPr>
      <w:r w:rsidRPr="001A0508">
        <w:rPr>
          <w:rFonts w:eastAsia="Arial"/>
          <w:b/>
          <w:bCs/>
          <w:lang w:val="en" w:eastAsia="es-PE"/>
        </w:rPr>
        <w:t>Methods:</w:t>
      </w:r>
      <w:r w:rsidRPr="001A0508">
        <w:rPr>
          <w:rFonts w:eastAsia="Arial"/>
          <w:lang w:val="en" w:eastAsia="es-PE"/>
        </w:rPr>
        <w:t xml:space="preserve"> The study was cross-sectional, the sample consisted of 104 military health professionals who work in the Central Military Hospital. The Lifestyle Questionnaire of </w:t>
      </w:r>
      <w:proofErr w:type="spellStart"/>
      <w:r w:rsidRPr="001A0508">
        <w:rPr>
          <w:rFonts w:eastAsia="Arial"/>
          <w:i/>
          <w:iCs/>
          <w:lang w:val="en" w:eastAsia="es-PE"/>
        </w:rPr>
        <w:t>Arrivillaga</w:t>
      </w:r>
      <w:proofErr w:type="spellEnd"/>
      <w:r w:rsidRPr="001A0508">
        <w:rPr>
          <w:rFonts w:eastAsia="Arial"/>
          <w:i/>
          <w:iCs/>
          <w:lang w:val="en" w:eastAsia="es-PE"/>
        </w:rPr>
        <w:t xml:space="preserve">, Salazar </w:t>
      </w:r>
      <w:r w:rsidRPr="001A0508">
        <w:rPr>
          <w:rFonts w:eastAsia="Arial"/>
          <w:lang w:val="en" w:eastAsia="es-PE"/>
        </w:rPr>
        <w:t>and</w:t>
      </w:r>
      <w:r w:rsidRPr="001A0508">
        <w:rPr>
          <w:rFonts w:eastAsia="Arial"/>
          <w:i/>
          <w:iCs/>
          <w:lang w:val="en" w:eastAsia="es-PE"/>
        </w:rPr>
        <w:t xml:space="preserve"> Gómez</w:t>
      </w:r>
      <w:r w:rsidRPr="001A0508">
        <w:rPr>
          <w:rFonts w:eastAsia="Arial"/>
          <w:lang w:val="en" w:eastAsia="es-PE"/>
        </w:rPr>
        <w:t xml:space="preserve"> </w:t>
      </w:r>
      <w:proofErr w:type="gramStart"/>
      <w:r w:rsidRPr="001A0508">
        <w:rPr>
          <w:rFonts w:eastAsia="Arial"/>
          <w:lang w:val="en" w:eastAsia="es-PE"/>
        </w:rPr>
        <w:t>was</w:t>
      </w:r>
      <w:proofErr w:type="gramEnd"/>
      <w:r w:rsidRPr="001A0508">
        <w:rPr>
          <w:rFonts w:eastAsia="Arial"/>
          <w:lang w:val="en" w:eastAsia="es-PE"/>
        </w:rPr>
        <w:t xml:space="preserve"> applied; subjects were weighed and carved to obtain the body mass index, the measurement of the abdominal perimeter was also obtained, which indicated the cardiometabolic risk, the descriptive, bivariate analysis (chi-square test) and multivariate analysis was performed to obtain prevalence ratio values.</w:t>
      </w:r>
    </w:p>
    <w:p w14:paraId="04244A2E" w14:textId="77777777" w:rsidR="001A0508" w:rsidRPr="001A0508" w:rsidRDefault="001A0508" w:rsidP="001A0508">
      <w:pPr>
        <w:spacing w:line="360" w:lineRule="auto"/>
        <w:jc w:val="both"/>
        <w:rPr>
          <w:rFonts w:eastAsia="Arial"/>
          <w:lang w:val="en" w:eastAsia="es-PE"/>
        </w:rPr>
      </w:pPr>
      <w:r w:rsidRPr="001A0508">
        <w:rPr>
          <w:rFonts w:eastAsia="Arial"/>
          <w:b/>
          <w:bCs/>
          <w:lang w:val="en" w:eastAsia="es-PE"/>
        </w:rPr>
        <w:t>Results:</w:t>
      </w:r>
      <w:r w:rsidRPr="001A0508">
        <w:rPr>
          <w:rFonts w:eastAsia="Arial"/>
          <w:lang w:val="en" w:eastAsia="es-PE"/>
        </w:rPr>
        <w:t xml:space="preserve"> The association between “unhealthy” lifestyle with the Body Mass Index (prevalence ratio = 15,467; 95% CI: 2,228-107,357: p&lt;0,001) was evidenced in the same way when it was adjusted for the variables age, sex, profession and military rank (adjusted prevalence ratio = 18,515; 95% CI: 2,98-114,913: p&lt;0,001). </w:t>
      </w:r>
    </w:p>
    <w:p w14:paraId="7F3E8486" w14:textId="77777777" w:rsidR="001A0508" w:rsidRPr="001A0508" w:rsidRDefault="001A0508" w:rsidP="001A0508">
      <w:pPr>
        <w:spacing w:line="360" w:lineRule="auto"/>
        <w:jc w:val="both"/>
        <w:rPr>
          <w:rFonts w:eastAsia="Arial"/>
          <w:lang w:val="en-US" w:eastAsia="es-PE"/>
        </w:rPr>
      </w:pPr>
      <w:r w:rsidRPr="001A0508">
        <w:rPr>
          <w:rFonts w:eastAsia="Arial"/>
          <w:b/>
          <w:bCs/>
          <w:lang w:val="en" w:eastAsia="es-PE"/>
        </w:rPr>
        <w:t>Conclusions</w:t>
      </w:r>
      <w:r w:rsidRPr="001A0508">
        <w:rPr>
          <w:rFonts w:eastAsia="Arial"/>
          <w:lang w:val="en" w:eastAsia="es-PE"/>
        </w:rPr>
        <w:t>: There is an association between lifestyle and nutritional status determined by body mass index and abdominal circumference in military health personnel.</w:t>
      </w:r>
    </w:p>
    <w:p w14:paraId="1C6F0344" w14:textId="77777777" w:rsidR="001A0508" w:rsidRPr="001A0508" w:rsidRDefault="001A0508" w:rsidP="001A0508">
      <w:pPr>
        <w:spacing w:line="360" w:lineRule="auto"/>
        <w:jc w:val="both"/>
        <w:rPr>
          <w:rFonts w:eastAsia="Arial"/>
          <w:lang w:val="en" w:eastAsia="es-PE"/>
        </w:rPr>
      </w:pPr>
      <w:r w:rsidRPr="001A0508">
        <w:rPr>
          <w:rFonts w:eastAsia="Arial"/>
          <w:b/>
          <w:bCs/>
          <w:lang w:val="en" w:eastAsia="es-PE"/>
        </w:rPr>
        <w:t>Keywords:</w:t>
      </w:r>
      <w:r w:rsidRPr="001A0508">
        <w:rPr>
          <w:rFonts w:eastAsia="Arial"/>
          <w:lang w:val="en" w:eastAsia="es-PE"/>
        </w:rPr>
        <w:t xml:space="preserve"> lifestyle; obesity; COVID-19; health personnel.</w:t>
      </w:r>
    </w:p>
    <w:p w14:paraId="69DD0178" w14:textId="77777777" w:rsidR="001A0508" w:rsidRPr="001A0508" w:rsidRDefault="001A0508" w:rsidP="001A0508">
      <w:pPr>
        <w:spacing w:line="360" w:lineRule="auto"/>
        <w:jc w:val="both"/>
        <w:rPr>
          <w:rFonts w:eastAsia="Arial"/>
          <w:lang w:val="en" w:eastAsia="es-PE"/>
        </w:rPr>
      </w:pPr>
    </w:p>
    <w:p w14:paraId="5E8E5A85" w14:textId="77777777" w:rsidR="001A0508" w:rsidRPr="001A0508" w:rsidRDefault="001A0508" w:rsidP="001A0508">
      <w:pPr>
        <w:spacing w:line="360" w:lineRule="auto"/>
        <w:jc w:val="both"/>
        <w:rPr>
          <w:rFonts w:eastAsia="Arial"/>
          <w:lang w:val="en" w:eastAsia="es-PE"/>
        </w:rPr>
      </w:pPr>
    </w:p>
    <w:p w14:paraId="163378CF" w14:textId="77777777" w:rsidR="001A0508" w:rsidRPr="001A0508" w:rsidRDefault="001A0508" w:rsidP="001A0508">
      <w:pPr>
        <w:spacing w:line="360" w:lineRule="auto"/>
        <w:jc w:val="both"/>
        <w:rPr>
          <w:rFonts w:eastAsia="Arial"/>
          <w:lang w:val="es-CU" w:eastAsia="es-PE"/>
        </w:rPr>
      </w:pPr>
      <w:r w:rsidRPr="001A0508">
        <w:rPr>
          <w:rFonts w:eastAsia="Arial"/>
          <w:lang w:val="es-CU" w:eastAsia="es-PE"/>
        </w:rPr>
        <w:t>Recibido: 03/08/2021</w:t>
      </w:r>
    </w:p>
    <w:p w14:paraId="4FAE6488" w14:textId="77777777" w:rsidR="001A0508" w:rsidRPr="001A0508" w:rsidRDefault="001A0508" w:rsidP="001A0508">
      <w:pPr>
        <w:spacing w:line="360" w:lineRule="auto"/>
        <w:jc w:val="both"/>
        <w:rPr>
          <w:rFonts w:eastAsia="Arial"/>
          <w:lang w:val="es-CU" w:eastAsia="es-PE"/>
        </w:rPr>
      </w:pPr>
      <w:r w:rsidRPr="001A0508">
        <w:rPr>
          <w:rFonts w:eastAsia="Arial"/>
          <w:lang w:val="es-CU" w:eastAsia="es-PE"/>
        </w:rPr>
        <w:t>Aprobado: 10/09/2021</w:t>
      </w:r>
    </w:p>
    <w:p w14:paraId="70538C3F" w14:textId="77777777" w:rsidR="001A0508" w:rsidRPr="001A0508" w:rsidRDefault="001A0508" w:rsidP="001A0508">
      <w:pPr>
        <w:spacing w:line="360" w:lineRule="auto"/>
        <w:jc w:val="both"/>
        <w:rPr>
          <w:rFonts w:eastAsia="Arial"/>
          <w:b/>
          <w:lang w:val="es-CU" w:eastAsia="es-PE"/>
        </w:rPr>
      </w:pPr>
    </w:p>
    <w:p w14:paraId="50383ABB" w14:textId="77777777" w:rsidR="001A0508" w:rsidRPr="001A0508" w:rsidRDefault="001A0508" w:rsidP="001A0508">
      <w:pPr>
        <w:spacing w:line="360" w:lineRule="auto"/>
        <w:jc w:val="both"/>
        <w:rPr>
          <w:rFonts w:eastAsia="Arial"/>
          <w:b/>
          <w:lang w:val="es-PE" w:eastAsia="es-PE"/>
        </w:rPr>
      </w:pPr>
    </w:p>
    <w:p w14:paraId="1831FCDD" w14:textId="77777777" w:rsidR="001A0508" w:rsidRPr="001A0508" w:rsidRDefault="001A0508" w:rsidP="001A0508">
      <w:pPr>
        <w:spacing w:line="360" w:lineRule="auto"/>
        <w:jc w:val="center"/>
        <w:rPr>
          <w:rFonts w:eastAsia="Arial"/>
          <w:b/>
          <w:sz w:val="32"/>
          <w:szCs w:val="32"/>
          <w:lang w:val="es-PE" w:eastAsia="es-PE"/>
        </w:rPr>
      </w:pPr>
      <w:r w:rsidRPr="001A0508">
        <w:rPr>
          <w:rFonts w:eastAsia="Arial"/>
          <w:b/>
          <w:sz w:val="32"/>
          <w:szCs w:val="32"/>
          <w:lang w:val="es-PE" w:eastAsia="es-PE"/>
        </w:rPr>
        <w:t>INTRODUCCIÓN</w:t>
      </w:r>
    </w:p>
    <w:p w14:paraId="50BE7776"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ES" w:eastAsia="es-PE"/>
        </w:rPr>
        <w:t>El 23 de marzo del 2020, l</w:t>
      </w:r>
      <w:r w:rsidRPr="001A0508">
        <w:rPr>
          <w:rFonts w:eastAsia="Arial Unicode MS"/>
          <w:lang w:val="es-PE" w:eastAsia="es-PE"/>
        </w:rPr>
        <w:t>a Organización Mundial de la Salud (OMS), emite directrices en las que se mencionan la susceptibilidad de presentar mayores complicaciones por la COVID-19, a las personas mayores de 60 años o con enfermedades no transmisibles (ENT</w:t>
      </w:r>
      <w:proofErr w:type="gramStart"/>
      <w:r w:rsidRPr="001A0508">
        <w:rPr>
          <w:rFonts w:eastAsia="Arial Unicode MS"/>
          <w:lang w:val="es-PE" w:eastAsia="es-PE"/>
        </w:rPr>
        <w:t>).</w:t>
      </w:r>
      <w:r w:rsidRPr="001A0508">
        <w:rPr>
          <w:rFonts w:eastAsia="Arial Unicode MS"/>
          <w:vertAlign w:val="superscript"/>
          <w:lang w:val="es-PE" w:eastAsia="es-PE"/>
        </w:rPr>
        <w:t>(</w:t>
      </w:r>
      <w:proofErr w:type="gramEnd"/>
      <w:r w:rsidRPr="001A0508">
        <w:rPr>
          <w:rFonts w:eastAsia="Arial Unicode MS"/>
          <w:vertAlign w:val="superscript"/>
          <w:lang w:val="es-PE" w:eastAsia="es-PE"/>
        </w:rPr>
        <w:t>1,2)</w:t>
      </w:r>
      <w:r w:rsidRPr="001A0508">
        <w:rPr>
          <w:rFonts w:eastAsia="Arial Unicode MS"/>
          <w:lang w:val="es-PE" w:eastAsia="es-PE"/>
        </w:rPr>
        <w:t xml:space="preserve"> Es importante indicar que las ENT están asociadas en su mayoría, a estilos de vida poco saludables.</w:t>
      </w:r>
      <w:r w:rsidRPr="001A0508">
        <w:rPr>
          <w:rFonts w:eastAsia="Arial Unicode MS"/>
          <w:vertAlign w:val="superscript"/>
          <w:lang w:val="es-PE" w:eastAsia="es-PE"/>
        </w:rPr>
        <w:t>(3)</w:t>
      </w:r>
      <w:r w:rsidRPr="001A0508">
        <w:rPr>
          <w:rFonts w:eastAsia="Arial Unicode MS"/>
          <w:lang w:val="es-PE" w:eastAsia="es-PE"/>
        </w:rPr>
        <w:t xml:space="preserve"> </w:t>
      </w:r>
    </w:p>
    <w:p w14:paraId="35F9C727"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PE" w:eastAsia="es-PE"/>
        </w:rPr>
        <w:t xml:space="preserve">La OMS indica que los estilos de vida saludables, son patrones de comportamientos identificables, que resultan de la interacción de características individuales, de la sociedad y del ambiente. Además, practicarlos contribuye al bienestar físico, mental y </w:t>
      </w:r>
      <w:proofErr w:type="gramStart"/>
      <w:r w:rsidRPr="001A0508">
        <w:rPr>
          <w:rFonts w:eastAsia="Arial Unicode MS"/>
          <w:lang w:val="es-PE" w:eastAsia="es-PE"/>
        </w:rPr>
        <w:t>social.</w:t>
      </w:r>
      <w:r w:rsidRPr="001A0508">
        <w:rPr>
          <w:rFonts w:eastAsia="Arial Unicode MS"/>
          <w:vertAlign w:val="superscript"/>
          <w:lang w:val="es-PE" w:eastAsia="es-PE"/>
        </w:rPr>
        <w:t>(</w:t>
      </w:r>
      <w:proofErr w:type="gramEnd"/>
      <w:r w:rsidRPr="001A0508">
        <w:rPr>
          <w:rFonts w:eastAsia="Arial Unicode MS"/>
          <w:vertAlign w:val="superscript"/>
          <w:lang w:val="es-PE" w:eastAsia="es-PE"/>
        </w:rPr>
        <w:t>4)</w:t>
      </w:r>
      <w:r w:rsidRPr="001A0508">
        <w:rPr>
          <w:rFonts w:eastAsia="Arial Unicode MS"/>
          <w:lang w:val="es-PE" w:eastAsia="es-PE"/>
        </w:rPr>
        <w:t xml:space="preserve"> No adoptar estilos de vida saludables, incrementa la probabilidad de aumentar el índice de masa corporal (IMC), cuyos valores, cuando superan 25 y 30, se pueden considerar sobrepeso y obesidad. De acuerdo con datos del año 2016, el 39 % de las personas en el mundo, tenían sobrepeso y el 13 % </w:t>
      </w:r>
      <w:proofErr w:type="gramStart"/>
      <w:r w:rsidRPr="001A0508">
        <w:rPr>
          <w:rFonts w:eastAsia="Arial Unicode MS"/>
          <w:lang w:val="es-PE" w:eastAsia="es-PE"/>
        </w:rPr>
        <w:t>obesidad.</w:t>
      </w:r>
      <w:r w:rsidRPr="001A0508">
        <w:rPr>
          <w:rFonts w:eastAsia="Arial Unicode MS"/>
          <w:vertAlign w:val="superscript"/>
          <w:lang w:val="es-PE" w:eastAsia="es-PE"/>
        </w:rPr>
        <w:t>(</w:t>
      </w:r>
      <w:proofErr w:type="gramEnd"/>
      <w:r w:rsidRPr="001A0508">
        <w:rPr>
          <w:rFonts w:eastAsia="Arial Unicode MS"/>
          <w:vertAlign w:val="superscript"/>
          <w:lang w:val="es-PE" w:eastAsia="es-PE"/>
        </w:rPr>
        <w:t>5)</w:t>
      </w:r>
      <w:r w:rsidRPr="001A0508">
        <w:rPr>
          <w:rFonts w:eastAsia="Calibri"/>
          <w:lang w:val="es-PE" w:eastAsia="es-PE"/>
        </w:rPr>
        <w:t xml:space="preserve"> </w:t>
      </w:r>
      <w:r w:rsidRPr="001A0508">
        <w:rPr>
          <w:rFonts w:eastAsia="Arial Unicode MS"/>
          <w:lang w:val="es-PE" w:eastAsia="es-PE"/>
        </w:rPr>
        <w:t>Las fuerzas armadas no están exentas de esta situación; por ejemplo, el 51,2 % de los militares en servicio en los EE.UU., tienen obesidad o sobrepeso.</w:t>
      </w:r>
      <w:r w:rsidRPr="001A0508">
        <w:rPr>
          <w:rFonts w:eastAsia="Arial Unicode MS"/>
          <w:vertAlign w:val="superscript"/>
          <w:lang w:val="es-PE" w:eastAsia="es-PE"/>
        </w:rPr>
        <w:t>(6)</w:t>
      </w:r>
    </w:p>
    <w:p w14:paraId="4A5A027A"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PE" w:eastAsia="es-PE"/>
        </w:rPr>
        <w:t>En el Perú, de los pacientes fallecidos por la COVID-19, el 85,5 % padecía de obesidad, el 43,1 % diabetes y el 27,2 % hipertensión arterial. Esto pone en evidencia, que las ENT son los principales factores para la mortalidad por la COVID-</w:t>
      </w:r>
      <w:proofErr w:type="gramStart"/>
      <w:r w:rsidRPr="001A0508">
        <w:rPr>
          <w:rFonts w:eastAsia="Arial Unicode MS"/>
          <w:lang w:val="es-PE" w:eastAsia="es-PE"/>
        </w:rPr>
        <w:t>19.</w:t>
      </w:r>
      <w:r w:rsidRPr="001A0508">
        <w:rPr>
          <w:rFonts w:eastAsia="Arial Unicode MS"/>
          <w:vertAlign w:val="superscript"/>
          <w:lang w:val="es-PE" w:eastAsia="es-PE"/>
        </w:rPr>
        <w:t>(</w:t>
      </w:r>
      <w:proofErr w:type="gramEnd"/>
      <w:r w:rsidRPr="001A0508">
        <w:rPr>
          <w:rFonts w:eastAsia="Arial Unicode MS"/>
          <w:vertAlign w:val="superscript"/>
          <w:lang w:val="es-PE" w:eastAsia="es-PE"/>
        </w:rPr>
        <w:t>7)</w:t>
      </w:r>
      <w:r w:rsidRPr="001A0508">
        <w:rPr>
          <w:rFonts w:eastAsia="Arial Unicode MS"/>
          <w:lang w:val="es-PE" w:eastAsia="es-PE"/>
        </w:rPr>
        <w:t xml:space="preserve"> Se resalta además, que desde antes de la pandemia de la COVID-19, las ENT eran causantes del 71 % de las muertes a nivel mundial.</w:t>
      </w:r>
      <w:r w:rsidRPr="001A0508">
        <w:rPr>
          <w:rFonts w:eastAsia="Arial Unicode MS"/>
          <w:vertAlign w:val="superscript"/>
          <w:lang w:val="es-PE" w:eastAsia="es-PE"/>
        </w:rPr>
        <w:t>(3)</w:t>
      </w:r>
      <w:r w:rsidRPr="001A0508">
        <w:rPr>
          <w:rFonts w:eastAsia="Arial Unicode MS"/>
          <w:lang w:val="es-PE" w:eastAsia="es-PE"/>
        </w:rPr>
        <w:t xml:space="preserve"> Adoptar estilos de vida saludables, como una dieta adecuada, no fumar, no consumir drogas, mantener el control del peso corporal, realizar actividad física regularmente y saber controlar el estrés, contribuyen a disminuir el riesgo de padecer ENT.</w:t>
      </w:r>
      <w:r w:rsidRPr="001A0508">
        <w:rPr>
          <w:rFonts w:eastAsia="Arial Unicode MS"/>
          <w:vertAlign w:val="superscript"/>
          <w:lang w:val="es-PE" w:eastAsia="es-PE"/>
        </w:rPr>
        <w:t>(3,8,9)</w:t>
      </w:r>
    </w:p>
    <w:p w14:paraId="7A1DDDF4"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PE" w:eastAsia="es-PE"/>
        </w:rPr>
        <w:t xml:space="preserve">El personal militar sanitario, posee características laborales propias, como jornadas laborales prolongadas, riesgos propios de la profesión, fuerte agotamiento laboral y muchos poseen varios años de servicio. Adicionalmente están sometidos a factores estresantes propios de la vida militar, estas características </w:t>
      </w:r>
      <w:bookmarkStart w:id="5" w:name="_Hlk56933727"/>
      <w:r w:rsidRPr="001A0508">
        <w:rPr>
          <w:rFonts w:eastAsia="Arial Unicode MS"/>
          <w:lang w:val="es-PE" w:eastAsia="es-PE"/>
        </w:rPr>
        <w:t xml:space="preserve">predisponen a que se alteren sus estilos de </w:t>
      </w:r>
      <w:proofErr w:type="gramStart"/>
      <w:r w:rsidRPr="001A0508">
        <w:rPr>
          <w:rFonts w:eastAsia="Arial Unicode MS"/>
          <w:lang w:val="es-PE" w:eastAsia="es-PE"/>
        </w:rPr>
        <w:t>vida</w:t>
      </w:r>
      <w:bookmarkEnd w:id="5"/>
      <w:r w:rsidRPr="001A0508">
        <w:rPr>
          <w:rFonts w:eastAsia="Arial Unicode MS"/>
          <w:lang w:val="es-PE" w:eastAsia="es-PE"/>
        </w:rPr>
        <w:t>,</w:t>
      </w:r>
      <w:r w:rsidRPr="001A0508">
        <w:rPr>
          <w:rFonts w:eastAsia="Arial Unicode MS"/>
          <w:vertAlign w:val="superscript"/>
          <w:lang w:val="es-PE" w:eastAsia="es-PE"/>
        </w:rPr>
        <w:t>(</w:t>
      </w:r>
      <w:proofErr w:type="gramEnd"/>
      <w:r w:rsidRPr="001A0508">
        <w:rPr>
          <w:rFonts w:eastAsia="Arial Unicode MS"/>
          <w:vertAlign w:val="superscript"/>
          <w:lang w:val="es-PE" w:eastAsia="es-PE"/>
        </w:rPr>
        <w:t>10,11)</w:t>
      </w:r>
      <w:r w:rsidRPr="001A0508">
        <w:rPr>
          <w:rFonts w:eastAsia="Arial Unicode MS"/>
          <w:lang w:val="es-PE" w:eastAsia="es-PE"/>
        </w:rPr>
        <w:t xml:space="preserve">  más aún por el contexto de la pandemia de la COVID-19. Se hacen susceptibles a padecer </w:t>
      </w:r>
      <w:r w:rsidRPr="001A0508">
        <w:rPr>
          <w:rFonts w:eastAsia="Arial Unicode MS"/>
          <w:lang w:val="es-ES" w:eastAsia="es-PE"/>
        </w:rPr>
        <w:t>depresión, ansiedad, sedentarismo, trastorno de estrés postraumático, tabaquismo, consumo de alcohol y otras sustancias, con mayor probabilidad de padecer ENT y formas graves de la</w:t>
      </w:r>
      <w:r w:rsidRPr="001A0508">
        <w:rPr>
          <w:rFonts w:eastAsia="Calibri"/>
          <w:lang w:val="es-PE" w:eastAsia="es-PE"/>
        </w:rPr>
        <w:t xml:space="preserve"> CO</w:t>
      </w:r>
      <w:r w:rsidRPr="001A0508">
        <w:rPr>
          <w:rFonts w:eastAsia="Arial Unicode MS"/>
          <w:lang w:val="es-ES" w:eastAsia="es-PE"/>
        </w:rPr>
        <w:t>VID-19.</w:t>
      </w:r>
      <w:r w:rsidRPr="001A0508">
        <w:rPr>
          <w:rFonts w:eastAsia="Arial Unicode MS"/>
          <w:vertAlign w:val="superscript"/>
          <w:lang w:val="es-ES" w:eastAsia="es-PE"/>
        </w:rPr>
        <w:t xml:space="preserve">(1,10) </w:t>
      </w:r>
      <w:r w:rsidRPr="001A0508">
        <w:rPr>
          <w:rFonts w:eastAsia="Arial Unicode MS"/>
          <w:lang w:val="es-ES" w:eastAsia="es-PE"/>
        </w:rPr>
        <w:t>E</w:t>
      </w:r>
      <w:r w:rsidRPr="001A0508">
        <w:rPr>
          <w:rFonts w:eastAsia="Arial Unicode MS"/>
          <w:lang w:val="es-PE" w:eastAsia="es-PE"/>
        </w:rPr>
        <w:t xml:space="preserve">l Hospital Militar Central (HMC), como institución </w:t>
      </w:r>
      <w:r w:rsidRPr="001A0508">
        <w:rPr>
          <w:rFonts w:eastAsia="Arial Unicode MS"/>
          <w:lang w:val="es-PE" w:eastAsia="es-PE"/>
        </w:rPr>
        <w:lastRenderedPageBreak/>
        <w:t>prestadora de servicios de salud (IPRESS) de las fuerzas armadas, tiene la obligación de realizar actividades de promoción de salud en el personal militar que labora en sus instalaciones, promover estilos de vida saludables y realizar un monitoreo constante sobre su estado de salud. Esto permite que puedan desempeñarse adecuadamente y con bajo riesgo de contraer enfermedades no transmisibles y formas graves de la COVID-19.</w:t>
      </w:r>
    </w:p>
    <w:p w14:paraId="66D8DF76"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PE" w:eastAsia="es-PE"/>
        </w:rPr>
        <w:t xml:space="preserve">El objetivo de </w:t>
      </w:r>
      <w:proofErr w:type="gramStart"/>
      <w:r w:rsidRPr="001A0508">
        <w:rPr>
          <w:rFonts w:eastAsia="Arial Unicode MS"/>
          <w:lang w:val="es-PE" w:eastAsia="es-PE"/>
        </w:rPr>
        <w:t>este  estudio</w:t>
      </w:r>
      <w:proofErr w:type="gramEnd"/>
      <w:r w:rsidRPr="001A0508">
        <w:rPr>
          <w:rFonts w:eastAsia="Arial Unicode MS"/>
          <w:lang w:val="es-PE" w:eastAsia="es-PE"/>
        </w:rPr>
        <w:t xml:space="preserve"> es determinar la asociación entre los estilos de vida y el estado nutricional del personal militar sanitario.</w:t>
      </w:r>
    </w:p>
    <w:p w14:paraId="29019B98" w14:textId="77777777" w:rsidR="001A0508" w:rsidRPr="001A0508" w:rsidRDefault="001A0508" w:rsidP="001A0508">
      <w:pPr>
        <w:spacing w:line="360" w:lineRule="auto"/>
        <w:jc w:val="both"/>
        <w:rPr>
          <w:rFonts w:eastAsia="Arial Unicode MS"/>
          <w:lang w:val="es-PE" w:eastAsia="es-PE"/>
        </w:rPr>
      </w:pPr>
    </w:p>
    <w:p w14:paraId="3DBAD502" w14:textId="77777777" w:rsidR="001A0508" w:rsidRPr="001A0508" w:rsidRDefault="001A0508" w:rsidP="001A0508">
      <w:pPr>
        <w:spacing w:line="360" w:lineRule="auto"/>
        <w:jc w:val="both"/>
        <w:rPr>
          <w:rFonts w:eastAsia="Arial"/>
          <w:b/>
          <w:lang w:val="es-PE" w:eastAsia="es-PE"/>
        </w:rPr>
      </w:pPr>
    </w:p>
    <w:p w14:paraId="438A8FCF" w14:textId="77777777" w:rsidR="001A0508" w:rsidRPr="001A0508" w:rsidRDefault="001A0508" w:rsidP="001A0508">
      <w:pPr>
        <w:spacing w:line="360" w:lineRule="auto"/>
        <w:jc w:val="center"/>
        <w:rPr>
          <w:rFonts w:eastAsia="Arial"/>
          <w:b/>
          <w:sz w:val="32"/>
          <w:szCs w:val="32"/>
          <w:lang w:val="es-PE" w:eastAsia="es-PE"/>
        </w:rPr>
      </w:pPr>
      <w:r w:rsidRPr="001A0508">
        <w:rPr>
          <w:rFonts w:eastAsia="Arial"/>
          <w:b/>
          <w:sz w:val="32"/>
          <w:szCs w:val="32"/>
          <w:lang w:val="es-PE" w:eastAsia="es-PE"/>
        </w:rPr>
        <w:t>MÉTODOS</w:t>
      </w:r>
    </w:p>
    <w:p w14:paraId="35BBC91F" w14:textId="77777777" w:rsidR="001A0508" w:rsidRPr="001A0508" w:rsidRDefault="001A0508" w:rsidP="001A0508">
      <w:pPr>
        <w:spacing w:line="360" w:lineRule="auto"/>
        <w:jc w:val="both"/>
        <w:rPr>
          <w:rFonts w:eastAsia="Arial"/>
          <w:color w:val="000000"/>
          <w:lang w:val="es-PE" w:eastAsia="es-PE"/>
        </w:rPr>
      </w:pPr>
      <w:r w:rsidRPr="001A0508">
        <w:rPr>
          <w:rFonts w:eastAsia="Arial"/>
          <w:lang w:val="es-PE" w:eastAsia="es-PE"/>
        </w:rPr>
        <w:t>El presente estudio fue transversal</w:t>
      </w:r>
      <w:r w:rsidRPr="001A0508">
        <w:rPr>
          <w:rFonts w:eastAsia="Arial"/>
          <w:color w:val="000000"/>
          <w:lang w:val="es-PE" w:eastAsia="es-PE"/>
        </w:rPr>
        <w:t xml:space="preserve">, en una población de 143 individuos, entre médicos (56,6 %), odontólogos (32,2 %), químicos farmacéuticos (8,4 %), psicólogos (2,1 %) y médico veterinario (0,7 %), todos con formación castrense, que laboran en el Hospital Militar Central </w:t>
      </w:r>
      <w:bookmarkStart w:id="6" w:name="_Hlk65069979"/>
      <w:bookmarkStart w:id="7" w:name="_Hlk64642069"/>
      <w:r w:rsidRPr="001A0508">
        <w:rPr>
          <w:rFonts w:eastAsia="Arial"/>
          <w:lang w:val="es-PE" w:eastAsia="es-PE"/>
        </w:rPr>
        <w:t xml:space="preserve">“Coronel </w:t>
      </w:r>
      <w:hyperlink r:id="rId11" w:history="1">
        <w:r w:rsidRPr="001A0508">
          <w:rPr>
            <w:rFonts w:eastAsia="Arial"/>
            <w:lang w:val="es-PE" w:eastAsia="es-PE"/>
          </w:rPr>
          <w:t> Luis Arias Schreiber</w:t>
        </w:r>
      </w:hyperlink>
      <w:r w:rsidRPr="001A0508">
        <w:rPr>
          <w:rFonts w:eastAsia="Arial"/>
          <w:color w:val="000000"/>
          <w:lang w:val="es-PE" w:eastAsia="es-PE"/>
        </w:rPr>
        <w:t>”</w:t>
      </w:r>
      <w:bookmarkEnd w:id="6"/>
      <w:r w:rsidRPr="001A0508">
        <w:rPr>
          <w:rFonts w:eastAsia="Arial"/>
          <w:color w:val="000000"/>
          <w:lang w:val="es-PE" w:eastAsia="es-PE"/>
        </w:rPr>
        <w:t xml:space="preserve"> </w:t>
      </w:r>
      <w:bookmarkEnd w:id="7"/>
      <w:r w:rsidRPr="001A0508">
        <w:rPr>
          <w:rFonts w:eastAsia="Arial"/>
          <w:color w:val="000000"/>
          <w:lang w:val="es-PE" w:eastAsia="es-PE"/>
        </w:rPr>
        <w:t xml:space="preserve">de la ciudad de Lima. </w:t>
      </w:r>
    </w:p>
    <w:p w14:paraId="001F8AB3" w14:textId="77777777" w:rsidR="001A0508" w:rsidRPr="001A0508" w:rsidRDefault="001A0508" w:rsidP="001A0508">
      <w:pPr>
        <w:spacing w:line="360" w:lineRule="auto"/>
        <w:jc w:val="both"/>
        <w:rPr>
          <w:rFonts w:eastAsia="Arial"/>
          <w:lang w:val="es-PE" w:eastAsia="es-PE"/>
        </w:rPr>
      </w:pPr>
      <w:r w:rsidRPr="001A0508">
        <w:rPr>
          <w:rFonts w:eastAsia="Arial"/>
          <w:color w:val="000000"/>
          <w:lang w:val="es-PE" w:eastAsia="es-PE"/>
        </w:rPr>
        <w:t>El estudio fue realizado en el periodo octubre - noviembre del año 2020. Aceptaron</w:t>
      </w:r>
      <w:r w:rsidRPr="001A0508">
        <w:rPr>
          <w:rFonts w:eastAsia="Arial"/>
          <w:lang w:val="es-PE" w:eastAsia="es-PE"/>
        </w:rPr>
        <w:t xml:space="preserve"> participar voluntariamente </w:t>
      </w:r>
      <w:r w:rsidRPr="001A0508">
        <w:rPr>
          <w:rFonts w:eastAsia="Arial"/>
          <w:color w:val="000000"/>
          <w:lang w:val="es-PE" w:eastAsia="es-PE"/>
        </w:rPr>
        <w:t xml:space="preserve">104 individuos. </w:t>
      </w:r>
    </w:p>
    <w:p w14:paraId="55189FBC"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PE" w:eastAsia="es-PE"/>
        </w:rPr>
        <w:t xml:space="preserve">Las variables fueron: edad, sexo, profesión, grado militar (agrupado en 5 categorías: teniente, capitán, mayor, teniente coronel y coronel), tipo de </w:t>
      </w:r>
      <w:r w:rsidRPr="001A0508">
        <w:rPr>
          <w:rFonts w:eastAsia="Calibri"/>
          <w:lang w:val="es-PE" w:eastAsia="es-PE"/>
        </w:rPr>
        <w:t>estilo</w:t>
      </w:r>
      <w:r w:rsidRPr="001A0508">
        <w:rPr>
          <w:rFonts w:eastAsia="Arial Unicode MS"/>
          <w:lang w:val="es-PE" w:eastAsia="es-PE"/>
        </w:rPr>
        <w:t xml:space="preserve"> de vida (cuestionario de estilos de vida) y el estado nutricional (IMC y la medida del perímetro abdominal (PA)).</w:t>
      </w:r>
    </w:p>
    <w:p w14:paraId="2CB4DDAB"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 xml:space="preserve">La aplicación del cuestionario, el registro del peso, la talla y el PA, se realizó en el Servicio de Medicina Preventiva del HMC; los participantes fueron invitados a participar en la investigación respetando el distanciamiento social (no menos de 1,5 metros). Los investigadores y los sujetos de la investigación, cumplieron las medidas de bioseguridad establecidas por el Ministerio de Salud, a través de la Norma Técnica de Salud </w:t>
      </w:r>
      <w:bookmarkStart w:id="8" w:name="_Hlk81515028"/>
      <w:proofErr w:type="spellStart"/>
      <w:r w:rsidRPr="001A0508">
        <w:rPr>
          <w:rFonts w:eastAsia="Arial"/>
          <w:lang w:val="es-PE" w:eastAsia="es-PE"/>
        </w:rPr>
        <w:t>N°</w:t>
      </w:r>
      <w:proofErr w:type="spellEnd"/>
      <w:r w:rsidRPr="001A0508">
        <w:rPr>
          <w:rFonts w:eastAsia="Arial"/>
          <w:lang w:val="es-PE" w:eastAsia="es-PE"/>
        </w:rPr>
        <w:t xml:space="preserve"> 161-MINSA/2020/</w:t>
      </w:r>
      <w:proofErr w:type="gramStart"/>
      <w:r w:rsidRPr="001A0508">
        <w:rPr>
          <w:rFonts w:eastAsia="Arial"/>
          <w:lang w:val="es-PE" w:eastAsia="es-PE"/>
        </w:rPr>
        <w:t>DGAIN</w:t>
      </w:r>
      <w:bookmarkEnd w:id="8"/>
      <w:r w:rsidRPr="001A0508">
        <w:rPr>
          <w:rFonts w:eastAsia="Arial"/>
          <w:lang w:val="es-PE" w:eastAsia="es-PE"/>
        </w:rPr>
        <w:t>,</w:t>
      </w:r>
      <w:r w:rsidRPr="001A0508">
        <w:rPr>
          <w:rFonts w:eastAsia="Arial"/>
          <w:vertAlign w:val="superscript"/>
          <w:lang w:val="es-PE" w:eastAsia="es-PE"/>
        </w:rPr>
        <w:t>(</w:t>
      </w:r>
      <w:proofErr w:type="gramEnd"/>
      <w:r w:rsidRPr="001A0508">
        <w:rPr>
          <w:rFonts w:eastAsia="Arial"/>
          <w:vertAlign w:val="superscript"/>
          <w:lang w:val="es-PE" w:eastAsia="es-PE"/>
        </w:rPr>
        <w:t xml:space="preserve">12) </w:t>
      </w:r>
      <w:r w:rsidRPr="001A0508">
        <w:rPr>
          <w:rFonts w:eastAsia="Arial"/>
          <w:lang w:val="es-PE" w:eastAsia="es-PE"/>
        </w:rPr>
        <w:t>correspondiente a la pandemia</w:t>
      </w:r>
      <w:r w:rsidRPr="001A0508">
        <w:rPr>
          <w:rFonts w:eastAsia="Calibri"/>
          <w:lang w:val="es-PE" w:eastAsia="es-PE"/>
        </w:rPr>
        <w:t xml:space="preserve"> de la C</w:t>
      </w:r>
      <w:r w:rsidRPr="001A0508">
        <w:rPr>
          <w:rFonts w:eastAsia="Arial"/>
          <w:lang w:val="es-PE" w:eastAsia="es-PE"/>
        </w:rPr>
        <w:t>OVID-19.</w:t>
      </w:r>
    </w:p>
    <w:p w14:paraId="31A8C057" w14:textId="77777777" w:rsidR="001A0508" w:rsidRPr="001A0508" w:rsidRDefault="001A0508" w:rsidP="001A0508">
      <w:pPr>
        <w:spacing w:line="360" w:lineRule="auto"/>
        <w:jc w:val="both"/>
        <w:rPr>
          <w:rFonts w:eastAsia="Arial Unicode MS"/>
          <w:lang w:val="es-PE" w:eastAsia="es-PE"/>
        </w:rPr>
      </w:pPr>
      <w:r w:rsidRPr="001A0508">
        <w:rPr>
          <w:rFonts w:eastAsia="Arial Unicode MS"/>
          <w:lang w:val="es-PE" w:eastAsia="es-PE"/>
        </w:rPr>
        <w:t xml:space="preserve">Se utilizó el </w:t>
      </w:r>
      <w:bookmarkStart w:id="9" w:name="_Hlk56934487"/>
      <w:r w:rsidRPr="001A0508">
        <w:rPr>
          <w:rFonts w:eastAsia="Arial Unicode MS"/>
          <w:lang w:val="es-PE" w:eastAsia="es-PE"/>
        </w:rPr>
        <w:t xml:space="preserve">Cuestionario de Estilos de Vida de </w:t>
      </w:r>
      <w:r w:rsidRPr="001A0508">
        <w:rPr>
          <w:rFonts w:eastAsia="Arial Unicode MS"/>
          <w:i/>
          <w:iCs/>
          <w:lang w:val="es-PE" w:eastAsia="es-PE"/>
        </w:rPr>
        <w:t xml:space="preserve">Arrivillaga </w:t>
      </w:r>
      <w:r w:rsidRPr="001A0508">
        <w:rPr>
          <w:rFonts w:eastAsia="Arial Unicode MS"/>
          <w:lang w:val="es-PE" w:eastAsia="es-PE"/>
        </w:rPr>
        <w:t>y otros</w:t>
      </w:r>
      <w:bookmarkEnd w:id="9"/>
      <w:r w:rsidRPr="001A0508">
        <w:rPr>
          <w:rFonts w:eastAsia="Arial Unicode MS"/>
          <w:lang w:val="es-PE" w:eastAsia="es-PE"/>
        </w:rPr>
        <w:t>,</w:t>
      </w:r>
      <w:r w:rsidRPr="001A0508">
        <w:rPr>
          <w:rFonts w:eastAsia="Arial Unicode MS"/>
          <w:vertAlign w:val="superscript"/>
          <w:lang w:val="es-PE" w:eastAsia="es-PE"/>
        </w:rPr>
        <w:t xml:space="preserve">(13) </w:t>
      </w:r>
      <w:r w:rsidRPr="001A0508">
        <w:rPr>
          <w:rFonts w:eastAsia="Arial Unicode MS"/>
          <w:lang w:val="es-PE" w:eastAsia="es-PE"/>
        </w:rPr>
        <w:t xml:space="preserve">validado por </w:t>
      </w:r>
      <w:r w:rsidRPr="001A0508">
        <w:rPr>
          <w:rFonts w:eastAsia="Arial Unicode MS"/>
          <w:i/>
          <w:iCs/>
          <w:lang w:val="es-PE" w:eastAsia="es-PE"/>
        </w:rPr>
        <w:t xml:space="preserve">Palomares </w:t>
      </w:r>
      <w:r w:rsidRPr="001A0508">
        <w:rPr>
          <w:rFonts w:eastAsia="Arial Unicode MS"/>
          <w:lang w:val="es-PE" w:eastAsia="es-PE"/>
        </w:rPr>
        <w:t>en la ciudad de Lima.</w:t>
      </w:r>
      <w:r w:rsidRPr="001A0508">
        <w:rPr>
          <w:rFonts w:eastAsia="Arial Unicode MS"/>
          <w:vertAlign w:val="superscript"/>
          <w:lang w:val="es-PE" w:eastAsia="es-PE"/>
        </w:rPr>
        <w:t>(14)</w:t>
      </w:r>
      <w:r w:rsidRPr="001A0508">
        <w:rPr>
          <w:rFonts w:eastAsia="Arial Unicode MS"/>
          <w:lang w:val="es-PE" w:eastAsia="es-PE"/>
        </w:rPr>
        <w:t xml:space="preserve"> Está dividido en 2 partes, la primera compuesta por datos sociodemográficos y la consta de 48 ítems, divididos en las siguientes dimensiones: condición actividad física y deporte (4 preguntas), recreación y manejo del tiempo libre (6 preguntas), consumo del alcohol, tabaco y otras </w:t>
      </w:r>
      <w:r w:rsidRPr="001A0508">
        <w:rPr>
          <w:rFonts w:eastAsia="Arial Unicode MS"/>
          <w:lang w:val="es-PE" w:eastAsia="es-PE"/>
        </w:rPr>
        <w:lastRenderedPageBreak/>
        <w:t xml:space="preserve">drogas (6 preguntas), sueño (6 preguntas), hábitos alimentarios (18 preguntas), autocuidado y cuidado médico (8 preguntas). </w:t>
      </w:r>
    </w:p>
    <w:p w14:paraId="31E78D91" w14:textId="77777777" w:rsidR="001A0508" w:rsidRPr="001A0508" w:rsidRDefault="001A0508" w:rsidP="001A0508">
      <w:pPr>
        <w:spacing w:line="360" w:lineRule="auto"/>
        <w:jc w:val="both"/>
        <w:rPr>
          <w:rFonts w:eastAsia="Arial Unicode MS"/>
          <w:bCs/>
          <w:lang w:val="es-PE" w:eastAsia="es-PE"/>
        </w:rPr>
      </w:pPr>
      <w:r w:rsidRPr="001A0508">
        <w:rPr>
          <w:rFonts w:eastAsia="Arial Unicode MS"/>
          <w:lang w:val="es-PE" w:eastAsia="es-PE"/>
        </w:rPr>
        <w:t>Para evaluar el cuestionario, se utiliza una escala Likert del 0 al 3;</w:t>
      </w:r>
      <w:r w:rsidRPr="001A0508">
        <w:rPr>
          <w:rFonts w:eastAsia="Arial Unicode MS"/>
          <w:vertAlign w:val="superscript"/>
          <w:lang w:val="es-PE" w:eastAsia="es-PE"/>
        </w:rPr>
        <w:t xml:space="preserve">(15) </w:t>
      </w:r>
      <w:r w:rsidRPr="001A0508">
        <w:rPr>
          <w:rFonts w:eastAsia="Arial Unicode MS"/>
          <w:lang w:val="es-PE" w:eastAsia="es-PE"/>
        </w:rPr>
        <w:t>todos los ítems tienen una valoración de</w:t>
      </w:r>
      <w:r w:rsidRPr="001A0508">
        <w:rPr>
          <w:rFonts w:eastAsia="Arial Unicode MS"/>
          <w:b/>
          <w:bCs/>
          <w:lang w:val="es-PE" w:eastAsia="es-PE"/>
        </w:rPr>
        <w:t xml:space="preserve"> </w:t>
      </w:r>
      <w:r w:rsidRPr="001A0508">
        <w:rPr>
          <w:rFonts w:eastAsia="Arial Unicode MS"/>
          <w:lang w:val="es-PE" w:eastAsia="es-PE"/>
        </w:rPr>
        <w:t xml:space="preserve">0 puntos (nunca), 1 punto (algunas veces), 2 puntos (frecuentemente) y 3 puntos (siempre), excepto el 9, 10, 11, 13, 14, 16, 18, 20, 21, 22, 28, 32, 33, 34, 40, 43, 44, 48, en los cuales la valoración es </w:t>
      </w:r>
      <w:r w:rsidRPr="001A0508">
        <w:rPr>
          <w:rFonts w:eastAsia="Arial Unicode MS"/>
          <w:bCs/>
          <w:lang w:val="es-PE" w:eastAsia="es-PE"/>
        </w:rPr>
        <w:t xml:space="preserve">inversa. Se suma la puntación para establecer el tipo de estilo de vida: muy saludable (108 - 144 puntos), saludable (72 – 107 puntos), poco saludable (36 - 71 </w:t>
      </w:r>
      <w:proofErr w:type="gramStart"/>
      <w:r w:rsidRPr="001A0508">
        <w:rPr>
          <w:rFonts w:eastAsia="Arial Unicode MS"/>
          <w:bCs/>
          <w:lang w:val="es-PE" w:eastAsia="es-PE"/>
        </w:rPr>
        <w:t>puntos)  y</w:t>
      </w:r>
      <w:proofErr w:type="gramEnd"/>
      <w:r w:rsidRPr="001A0508">
        <w:rPr>
          <w:rFonts w:eastAsia="Arial Unicode MS"/>
          <w:bCs/>
          <w:lang w:val="es-PE" w:eastAsia="es-PE"/>
        </w:rPr>
        <w:t xml:space="preserve"> no saludable (0 - 35 puntos).</w:t>
      </w:r>
    </w:p>
    <w:p w14:paraId="1B2EC3DA"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El IMC se obtuvo mediante fórmula siguiente: peso en kg / talla</w:t>
      </w:r>
      <w:r w:rsidRPr="001A0508">
        <w:rPr>
          <w:rFonts w:eastAsia="Arial"/>
          <w:vertAlign w:val="superscript"/>
          <w:lang w:val="es-PE" w:eastAsia="es-PE"/>
        </w:rPr>
        <w:t>2</w:t>
      </w:r>
      <w:r w:rsidRPr="001A0508">
        <w:rPr>
          <w:rFonts w:eastAsia="Arial"/>
          <w:lang w:val="es-PE" w:eastAsia="es-PE"/>
        </w:rPr>
        <w:t>. Por el contexto de la emergencia sanitaria por la COVID-19, el personal fue pesado y tallado con su uniforme, por tanto, al registro del peso en la balanza calibrada, se descontaron 3 kg (uniforme militar completo) y para el registro de la talla, descontaron 4 cm (calzado estandarizado). Se clasificaron los resultados del IMC se clasificaron de acuerdo con los criterios de la OMS:</w:t>
      </w:r>
      <w:r w:rsidRPr="001A0508">
        <w:rPr>
          <w:rFonts w:eastAsia="Arial"/>
          <w:vertAlign w:val="superscript"/>
          <w:lang w:val="es-PE" w:eastAsia="es-PE"/>
        </w:rPr>
        <w:t>(16)</w:t>
      </w:r>
      <w:r w:rsidRPr="001A0508">
        <w:rPr>
          <w:rFonts w:eastAsia="Arial"/>
          <w:lang w:val="es-PE" w:eastAsia="es-PE"/>
        </w:rPr>
        <w:t xml:space="preserve"> bajo peso, peso normal, sobrepeso, obesidad tipo I, obesidad tipo II y obesidad tipo III.</w:t>
      </w:r>
    </w:p>
    <w:p w14:paraId="6C1C434E" w14:textId="77777777" w:rsidR="001A0508" w:rsidRPr="001A0508" w:rsidRDefault="001A0508" w:rsidP="001A0508">
      <w:pPr>
        <w:spacing w:line="360" w:lineRule="auto"/>
        <w:jc w:val="both"/>
        <w:rPr>
          <w:rFonts w:eastAsia="Arial Unicode MS"/>
          <w:lang w:val="es-PE" w:eastAsia="es-PE"/>
        </w:rPr>
      </w:pPr>
      <w:r w:rsidRPr="001A0508">
        <w:rPr>
          <w:rFonts w:eastAsia="Arial"/>
          <w:lang w:val="es-PE" w:eastAsia="es-PE"/>
        </w:rPr>
        <w:t xml:space="preserve">La medida de PA, </w:t>
      </w:r>
      <w:r w:rsidRPr="001A0508">
        <w:rPr>
          <w:rFonts w:eastAsia="Arial Unicode MS"/>
          <w:lang w:val="es-PE" w:eastAsia="es-PE"/>
        </w:rPr>
        <w:t xml:space="preserve">se realizó con una cinta métrica, con el cuerpo de los sujetos relajado, en la etapa final de la espiración normal. Se midió el punto entre la última costilla y la parte superior de la cadera. Se utilizó la clasificación de la OMS para establecer el riesgo </w:t>
      </w:r>
      <w:proofErr w:type="spellStart"/>
      <w:r w:rsidRPr="001A0508">
        <w:rPr>
          <w:rFonts w:eastAsia="Arial Unicode MS"/>
          <w:lang w:val="es-PE" w:eastAsia="es-PE"/>
        </w:rPr>
        <w:t>cardiometabólico</w:t>
      </w:r>
      <w:proofErr w:type="spellEnd"/>
      <w:r w:rsidRPr="001A0508">
        <w:rPr>
          <w:rFonts w:eastAsia="Arial Unicode MS"/>
          <w:lang w:val="es-PE" w:eastAsia="es-PE"/>
        </w:rPr>
        <w:t xml:space="preserve">: riesgo normal, riesgo elevado y riesgo muy </w:t>
      </w:r>
      <w:proofErr w:type="gramStart"/>
      <w:r w:rsidRPr="001A0508">
        <w:rPr>
          <w:rFonts w:eastAsia="Arial Unicode MS"/>
          <w:lang w:val="es-PE" w:eastAsia="es-PE"/>
        </w:rPr>
        <w:t>elevado.</w:t>
      </w:r>
      <w:r w:rsidRPr="001A0508">
        <w:rPr>
          <w:rFonts w:eastAsia="Arial Unicode MS"/>
          <w:vertAlign w:val="superscript"/>
          <w:lang w:val="es-PE" w:eastAsia="es-PE"/>
        </w:rPr>
        <w:t>(</w:t>
      </w:r>
      <w:proofErr w:type="gramEnd"/>
      <w:r w:rsidRPr="001A0508">
        <w:rPr>
          <w:rFonts w:eastAsia="Arial Unicode MS"/>
          <w:vertAlign w:val="superscript"/>
          <w:lang w:val="es-PE" w:eastAsia="es-PE"/>
        </w:rPr>
        <w:t>16)</w:t>
      </w:r>
    </w:p>
    <w:p w14:paraId="134F019F"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 xml:space="preserve">Los datos fueron tabulados en Microsoft Excel 365 y se utilizó el programa STATA 16,0. Se realizó análisis descriptivo de las diferentes variables y análisis bivariado con la prueba </w:t>
      </w:r>
      <w:r w:rsidRPr="001A0508">
        <w:rPr>
          <w:rFonts w:eastAsia="Arial"/>
          <w:i/>
          <w:iCs/>
          <w:lang w:val="es-PE" w:eastAsia="es-PE"/>
        </w:rPr>
        <w:t>ji</w:t>
      </w:r>
      <w:r w:rsidRPr="001A0508">
        <w:rPr>
          <w:rFonts w:eastAsia="Arial"/>
          <w:lang w:val="es-PE" w:eastAsia="es-PE"/>
        </w:rPr>
        <w:t xml:space="preserve"> cuadrado (entre estilo de vida y estado nutricional (IMC y PA). Con el análisis multivariado, mediante regresión de Poisson se obtuvieron los valores de razones de prevalencias (RP) y sus valores ajustados (RPa) con intervalo de confianza (IC) del 95 %. Se utilizó un nivel de confianza del 95 % y la significación se estableció en p &lt; 0,05.</w:t>
      </w:r>
    </w:p>
    <w:p w14:paraId="58FDF505"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El trabajo fue aprobado por el Departamento de Apoyo a la Docencia y Capacitación e Investigación del Ejército del Perú (DADCI).</w:t>
      </w:r>
      <w:r w:rsidRPr="001A0508">
        <w:rPr>
          <w:rFonts w:eastAsia="Arial"/>
          <w:color w:val="000000"/>
          <w:lang w:val="es-PE" w:eastAsia="es-PE"/>
        </w:rPr>
        <w:t xml:space="preserve"> Se garantizó </w:t>
      </w:r>
      <w:r w:rsidRPr="001A0508">
        <w:rPr>
          <w:rFonts w:eastAsia="Arial"/>
          <w:lang w:val="es-PE" w:eastAsia="es-PE"/>
        </w:rPr>
        <w:t>la confidencialidad y el uso exclusivamente científico de los datos obtenidos</w:t>
      </w:r>
      <w:r w:rsidRPr="001A0508">
        <w:rPr>
          <w:rFonts w:eastAsia="Arial"/>
          <w:color w:val="000000"/>
          <w:lang w:val="es-PE" w:eastAsia="es-PE"/>
        </w:rPr>
        <w:t xml:space="preserve"> del personal militar sanitario que participó en el estudio.</w:t>
      </w:r>
      <w:r w:rsidRPr="001A0508">
        <w:rPr>
          <w:rFonts w:eastAsia="Arial"/>
          <w:lang w:val="es-PE" w:eastAsia="es-PE"/>
        </w:rPr>
        <w:t xml:space="preserve"> </w:t>
      </w:r>
    </w:p>
    <w:p w14:paraId="21ADACDD" w14:textId="77777777" w:rsidR="001A0508" w:rsidRPr="001A0508" w:rsidRDefault="001A0508" w:rsidP="001A0508">
      <w:pPr>
        <w:spacing w:line="360" w:lineRule="auto"/>
        <w:jc w:val="both"/>
        <w:rPr>
          <w:rFonts w:eastAsia="Arial"/>
          <w:b/>
          <w:lang w:val="es-PE" w:eastAsia="es-PE"/>
        </w:rPr>
      </w:pPr>
      <w:bookmarkStart w:id="10" w:name="_Hlk69736522"/>
    </w:p>
    <w:p w14:paraId="1ECD7147" w14:textId="77777777" w:rsidR="001A0508" w:rsidRPr="001A0508" w:rsidRDefault="001A0508" w:rsidP="001A0508">
      <w:pPr>
        <w:spacing w:line="360" w:lineRule="auto"/>
        <w:jc w:val="both"/>
        <w:rPr>
          <w:rFonts w:eastAsia="Arial"/>
          <w:b/>
          <w:lang w:val="es-PE" w:eastAsia="es-PE"/>
        </w:rPr>
      </w:pPr>
    </w:p>
    <w:p w14:paraId="63F7F1D9" w14:textId="77777777" w:rsidR="00AA17FC" w:rsidRDefault="00AA17FC">
      <w:pPr>
        <w:rPr>
          <w:rFonts w:eastAsia="Arial"/>
          <w:b/>
          <w:sz w:val="32"/>
          <w:szCs w:val="32"/>
          <w:lang w:val="es-PE" w:eastAsia="es-PE"/>
        </w:rPr>
      </w:pPr>
      <w:r>
        <w:rPr>
          <w:rFonts w:eastAsia="Arial"/>
          <w:b/>
          <w:sz w:val="32"/>
          <w:szCs w:val="32"/>
          <w:lang w:val="es-PE" w:eastAsia="es-PE"/>
        </w:rPr>
        <w:br w:type="page"/>
      </w:r>
    </w:p>
    <w:p w14:paraId="4A7F8636" w14:textId="452628CC" w:rsidR="001A0508" w:rsidRPr="001A0508" w:rsidRDefault="001A0508" w:rsidP="001A0508">
      <w:pPr>
        <w:spacing w:line="360" w:lineRule="auto"/>
        <w:jc w:val="center"/>
        <w:rPr>
          <w:rFonts w:eastAsia="Arial"/>
          <w:b/>
          <w:sz w:val="32"/>
          <w:szCs w:val="32"/>
          <w:lang w:val="es-PE" w:eastAsia="es-PE"/>
        </w:rPr>
      </w:pPr>
      <w:r w:rsidRPr="001A0508">
        <w:rPr>
          <w:rFonts w:eastAsia="Arial"/>
          <w:b/>
          <w:sz w:val="32"/>
          <w:szCs w:val="32"/>
          <w:lang w:val="es-PE" w:eastAsia="es-PE"/>
        </w:rPr>
        <w:lastRenderedPageBreak/>
        <w:t>RESULTADOS</w:t>
      </w:r>
    </w:p>
    <w:p w14:paraId="194CA228" w14:textId="0B65AEBA" w:rsidR="001A0508" w:rsidRDefault="001A0508" w:rsidP="001A0508">
      <w:pPr>
        <w:spacing w:line="360" w:lineRule="auto"/>
        <w:jc w:val="both"/>
        <w:rPr>
          <w:rFonts w:eastAsia="Arial"/>
          <w:lang w:val="es-PE" w:eastAsia="es-PE"/>
        </w:rPr>
      </w:pPr>
      <w:r w:rsidRPr="001A0508">
        <w:rPr>
          <w:rFonts w:eastAsia="Arial Unicode MS"/>
          <w:lang w:val="es-PE" w:eastAsia="es-PE"/>
        </w:rPr>
        <w:t>En la tabla 1 se observa predominio del grupo de edad entre los 31 a 40 años con el 34,62 %, el sexo masculino con el 84,62 %, la profesión médica con el 52,88 % y los grados militares de teniente coronel y capitán, con el 25 %</w:t>
      </w:r>
      <w:bookmarkStart w:id="11" w:name="_Hlk56935418"/>
      <w:r w:rsidRPr="001A0508">
        <w:rPr>
          <w:rFonts w:eastAsia="Arial Unicode MS"/>
          <w:lang w:val="es-PE" w:eastAsia="es-PE"/>
        </w:rPr>
        <w:t xml:space="preserve">. De acuerdo a la clasificación de la OMS para el IMC, se obtuvieron valores entre 25 y 29,9 </w:t>
      </w:r>
      <w:r w:rsidRPr="001A0508">
        <w:rPr>
          <w:rFonts w:eastAsia="Arial"/>
          <w:lang w:val="es-PE" w:eastAsia="es-PE"/>
        </w:rPr>
        <w:t xml:space="preserve">en el 59,62 % </w:t>
      </w:r>
      <w:bookmarkEnd w:id="11"/>
      <w:r w:rsidRPr="001A0508">
        <w:rPr>
          <w:rFonts w:eastAsia="Arial"/>
          <w:lang w:val="es-PE" w:eastAsia="es-PE"/>
        </w:rPr>
        <w:t>y valores superiores a 30 en el 12,5 %. Respecto a l</w:t>
      </w:r>
      <w:r w:rsidRPr="001A0508">
        <w:rPr>
          <w:rFonts w:eastAsia="Arial Unicode MS"/>
          <w:lang w:val="es-PE" w:eastAsia="es-PE"/>
        </w:rPr>
        <w:t xml:space="preserve">a medida de PA, </w:t>
      </w:r>
      <w:bookmarkStart w:id="12" w:name="_Hlk56935495"/>
      <w:r w:rsidRPr="001A0508">
        <w:rPr>
          <w:rFonts w:eastAsia="Arial Unicode MS"/>
          <w:lang w:val="es-PE" w:eastAsia="es-PE"/>
        </w:rPr>
        <w:t xml:space="preserve">se evidenció que el 46,15 %, tuvo riesgo </w:t>
      </w:r>
      <w:proofErr w:type="spellStart"/>
      <w:r w:rsidRPr="001A0508">
        <w:rPr>
          <w:rFonts w:eastAsia="Arial Unicode MS"/>
          <w:lang w:val="es-PE" w:eastAsia="es-PE"/>
        </w:rPr>
        <w:t>cardiometabólico</w:t>
      </w:r>
      <w:proofErr w:type="spellEnd"/>
      <w:r w:rsidRPr="001A0508">
        <w:rPr>
          <w:rFonts w:eastAsia="Arial Unicode MS"/>
          <w:lang w:val="es-PE" w:eastAsia="es-PE"/>
        </w:rPr>
        <w:t xml:space="preserve"> elevado</w:t>
      </w:r>
      <w:bookmarkEnd w:id="12"/>
      <w:r w:rsidRPr="001A0508">
        <w:rPr>
          <w:rFonts w:eastAsia="Arial Unicode MS"/>
          <w:lang w:val="es-PE" w:eastAsia="es-PE"/>
        </w:rPr>
        <w:t>. E</w:t>
      </w:r>
      <w:r w:rsidRPr="001A0508">
        <w:rPr>
          <w:rFonts w:eastAsia="Arial"/>
          <w:lang w:val="es-PE" w:eastAsia="es-PE"/>
        </w:rPr>
        <w:t>l 39,42 % del personal militar sanitario, presentó un estilo de vida poco saludable.</w:t>
      </w:r>
    </w:p>
    <w:p w14:paraId="530C7880" w14:textId="77777777" w:rsidR="00EE62A0" w:rsidRPr="001A0508" w:rsidRDefault="00EE62A0" w:rsidP="00EE62A0">
      <w:pPr>
        <w:spacing w:line="360" w:lineRule="auto"/>
        <w:jc w:val="both"/>
        <w:rPr>
          <w:rFonts w:eastAsia="Arial"/>
          <w:lang w:val="es-PE" w:eastAsia="es-PE"/>
        </w:rPr>
      </w:pPr>
      <w:r w:rsidRPr="001A0508">
        <w:rPr>
          <w:rFonts w:eastAsia="Arial"/>
          <w:lang w:val="es-PE" w:eastAsia="es-PE"/>
        </w:rPr>
        <w:t>En la tabla 2 se observa el análisis bivariado. Hubo asociación significativa (p &lt; 0,001) entre estilo vida y estado nutricional (IMC y PA); el 100 % de los sujetos que tuvieron estilo de vida poco saludable, presentaron obesidad y el 100 % de quienes tuvieron estilo de vida saludable o muy saludable, presentaron la medida de PA normal.</w:t>
      </w:r>
    </w:p>
    <w:p w14:paraId="368534B3" w14:textId="77777777" w:rsidR="00881DCE" w:rsidRPr="001A0508" w:rsidRDefault="00881DCE" w:rsidP="00881DCE">
      <w:pPr>
        <w:spacing w:line="360" w:lineRule="auto"/>
        <w:jc w:val="both"/>
        <w:rPr>
          <w:rFonts w:eastAsia="Arial"/>
          <w:lang w:val="es-PE" w:eastAsia="es-PE"/>
        </w:rPr>
      </w:pPr>
      <w:r w:rsidRPr="001A0508">
        <w:rPr>
          <w:rFonts w:eastAsia="Arial"/>
          <w:lang w:val="es-PE" w:eastAsia="es-PE"/>
        </w:rPr>
        <w:t xml:space="preserve">En la tabla 3, se observa la asociación entre el estilo de vida poco saludable con el IMC (RP =15,467; IC 95 %: 2,228 - 107,357: p &lt; 0,001). Al ajustarlo para las variables edad, sexo, profesión y grado militar; RPa =18,515; IC 95 %: 2,98 - 114,913: p &lt; 0,001). </w:t>
      </w:r>
    </w:p>
    <w:p w14:paraId="56ECBC9B" w14:textId="77777777" w:rsidR="00EE62A0" w:rsidRPr="001A0508" w:rsidRDefault="00EE62A0" w:rsidP="001A0508">
      <w:pPr>
        <w:spacing w:line="360" w:lineRule="auto"/>
        <w:jc w:val="both"/>
        <w:rPr>
          <w:rFonts w:eastAsia="Arial"/>
          <w:lang w:val="es-PE" w:eastAsia="es-PE"/>
        </w:rPr>
      </w:pPr>
    </w:p>
    <w:p w14:paraId="2BF59886" w14:textId="77777777" w:rsidR="001A0508" w:rsidRPr="001A0508" w:rsidRDefault="001A0508" w:rsidP="001A0508">
      <w:pPr>
        <w:spacing w:line="360" w:lineRule="auto"/>
        <w:jc w:val="center"/>
        <w:rPr>
          <w:rFonts w:eastAsia="Arial"/>
          <w:b/>
          <w:bCs/>
          <w:lang w:val="es-PE" w:eastAsia="es-PE"/>
        </w:rPr>
      </w:pPr>
    </w:p>
    <w:p w14:paraId="0ECB9976" w14:textId="77777777" w:rsidR="00EE62A0" w:rsidRDefault="00EE62A0">
      <w:pPr>
        <w:rPr>
          <w:rFonts w:eastAsia="Arial"/>
          <w:b/>
          <w:bCs/>
          <w:sz w:val="22"/>
          <w:szCs w:val="22"/>
          <w:lang w:val="es-PE" w:eastAsia="es-PE"/>
        </w:rPr>
      </w:pPr>
      <w:r>
        <w:rPr>
          <w:rFonts w:eastAsia="Arial"/>
          <w:b/>
          <w:bCs/>
          <w:sz w:val="22"/>
          <w:szCs w:val="22"/>
          <w:lang w:val="es-PE" w:eastAsia="es-PE"/>
        </w:rPr>
        <w:br w:type="page"/>
      </w:r>
    </w:p>
    <w:p w14:paraId="07E904CE" w14:textId="55328956" w:rsidR="001A0508" w:rsidRPr="001A0508" w:rsidRDefault="001A0508" w:rsidP="001A0508">
      <w:pPr>
        <w:spacing w:line="360" w:lineRule="auto"/>
        <w:jc w:val="center"/>
        <w:rPr>
          <w:rFonts w:eastAsia="Arial"/>
          <w:sz w:val="22"/>
          <w:szCs w:val="22"/>
          <w:lang w:val="es-PE" w:eastAsia="es-PE"/>
        </w:rPr>
      </w:pPr>
      <w:r w:rsidRPr="001A0508">
        <w:rPr>
          <w:rFonts w:eastAsia="Arial"/>
          <w:b/>
          <w:bCs/>
          <w:sz w:val="22"/>
          <w:szCs w:val="22"/>
          <w:lang w:val="es-PE" w:eastAsia="es-PE"/>
        </w:rPr>
        <w:lastRenderedPageBreak/>
        <w:t>Tabla 1 -</w:t>
      </w:r>
      <w:r w:rsidRPr="001A0508">
        <w:rPr>
          <w:rFonts w:eastAsia="Arial"/>
          <w:sz w:val="22"/>
          <w:szCs w:val="22"/>
          <w:lang w:val="es-PE" w:eastAsia="es-PE"/>
        </w:rPr>
        <w:t xml:space="preserve"> Características del personal militar que participó en el estudio</w:t>
      </w:r>
    </w:p>
    <w:p w14:paraId="39F53ECB" w14:textId="273C3989" w:rsidR="00EE62A0" w:rsidRDefault="00EE62A0" w:rsidP="001A0508">
      <w:pPr>
        <w:spacing w:line="360" w:lineRule="auto"/>
        <w:jc w:val="center"/>
        <w:rPr>
          <w:rFonts w:ascii="Verdana" w:eastAsia="Arial" w:hAnsi="Verdana"/>
          <w:sz w:val="18"/>
          <w:szCs w:val="18"/>
          <w:lang w:val="es-PE" w:eastAsia="es-PE"/>
        </w:rPr>
      </w:pPr>
      <w:r>
        <w:rPr>
          <w:rFonts w:ascii="Verdana" w:eastAsia="Arial" w:hAnsi="Verdana"/>
          <w:noProof/>
          <w:sz w:val="18"/>
          <w:szCs w:val="18"/>
          <w:lang w:val="es-PE" w:eastAsia="es-PE"/>
        </w:rPr>
        <w:drawing>
          <wp:inline distT="0" distB="0" distL="0" distR="0" wp14:anchorId="4C77F723" wp14:editId="2F8FF77D">
            <wp:extent cx="3133725" cy="61245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3133725" cy="6124575"/>
                    </a:xfrm>
                    <a:prstGeom prst="rect">
                      <a:avLst/>
                    </a:prstGeom>
                  </pic:spPr>
                </pic:pic>
              </a:graphicData>
            </a:graphic>
          </wp:inline>
        </w:drawing>
      </w:r>
    </w:p>
    <w:p w14:paraId="3C42A165" w14:textId="6CA2BB38" w:rsidR="001A0508" w:rsidRPr="001A0508" w:rsidRDefault="001A0508" w:rsidP="001A0508">
      <w:pPr>
        <w:spacing w:line="360" w:lineRule="auto"/>
        <w:jc w:val="center"/>
        <w:rPr>
          <w:rFonts w:eastAsia="Arial"/>
          <w:sz w:val="16"/>
          <w:szCs w:val="16"/>
          <w:lang w:val="es-PE" w:eastAsia="es-PE"/>
        </w:rPr>
      </w:pPr>
      <w:r w:rsidRPr="001A0508">
        <w:rPr>
          <w:rFonts w:eastAsia="Arial"/>
          <w:sz w:val="16"/>
          <w:szCs w:val="16"/>
          <w:lang w:val="es-PE" w:eastAsia="es-PE"/>
        </w:rPr>
        <w:t>X: media; DE: desviación estándar.</w:t>
      </w:r>
    </w:p>
    <w:p w14:paraId="633671A9" w14:textId="77777777" w:rsidR="001A0508" w:rsidRPr="001A0508" w:rsidRDefault="001A0508" w:rsidP="001A0508">
      <w:pPr>
        <w:spacing w:line="360" w:lineRule="auto"/>
        <w:jc w:val="both"/>
        <w:rPr>
          <w:rFonts w:eastAsia="Arial"/>
          <w:lang w:val="es-PE" w:eastAsia="es-PE"/>
        </w:rPr>
      </w:pPr>
    </w:p>
    <w:p w14:paraId="0CE9F224" w14:textId="77777777" w:rsidR="001A0508" w:rsidRPr="001A0508" w:rsidRDefault="001A0508" w:rsidP="001A0508">
      <w:pPr>
        <w:spacing w:line="360" w:lineRule="auto"/>
        <w:jc w:val="both"/>
        <w:rPr>
          <w:rFonts w:eastAsia="Arial"/>
          <w:lang w:val="es-PE" w:eastAsia="es-PE"/>
        </w:rPr>
      </w:pPr>
    </w:p>
    <w:p w14:paraId="265561DF" w14:textId="77777777" w:rsidR="004B1F34" w:rsidRDefault="004B1F34">
      <w:pPr>
        <w:rPr>
          <w:rFonts w:eastAsia="Calibri"/>
          <w:b/>
          <w:bCs/>
          <w:color w:val="000000"/>
          <w:sz w:val="22"/>
          <w:szCs w:val="22"/>
          <w:lang w:val="es-PE" w:eastAsia="en-US"/>
        </w:rPr>
      </w:pPr>
      <w:r>
        <w:rPr>
          <w:rFonts w:eastAsia="Calibri"/>
          <w:b/>
          <w:bCs/>
          <w:color w:val="000000"/>
          <w:sz w:val="22"/>
          <w:szCs w:val="22"/>
          <w:lang w:val="es-PE" w:eastAsia="en-US"/>
        </w:rPr>
        <w:br w:type="page"/>
      </w:r>
    </w:p>
    <w:p w14:paraId="05FAF5F8" w14:textId="504A961E" w:rsidR="001A0508" w:rsidRPr="006B4264" w:rsidRDefault="001A0508" w:rsidP="001A0508">
      <w:pPr>
        <w:spacing w:line="360" w:lineRule="auto"/>
        <w:jc w:val="center"/>
        <w:rPr>
          <w:rFonts w:eastAsia="Calibri"/>
          <w:color w:val="000000"/>
          <w:sz w:val="22"/>
          <w:szCs w:val="22"/>
          <w:lang w:val="es-PE" w:eastAsia="en-US"/>
        </w:rPr>
      </w:pPr>
      <w:r w:rsidRPr="006B4264">
        <w:rPr>
          <w:rFonts w:eastAsia="Calibri"/>
          <w:b/>
          <w:bCs/>
          <w:color w:val="000000"/>
          <w:sz w:val="22"/>
          <w:szCs w:val="22"/>
          <w:lang w:val="es-PE" w:eastAsia="en-US"/>
        </w:rPr>
        <w:lastRenderedPageBreak/>
        <w:t>Tabla 2 -</w:t>
      </w:r>
      <w:r w:rsidRPr="006B4264">
        <w:rPr>
          <w:rFonts w:eastAsia="Calibri"/>
          <w:color w:val="000000"/>
          <w:sz w:val="22"/>
          <w:szCs w:val="22"/>
          <w:lang w:val="es-PE" w:eastAsia="en-US"/>
        </w:rPr>
        <w:t xml:space="preserve"> Asociación entre estilos de vida y las características del personal militar que participó en el estudio</w:t>
      </w:r>
    </w:p>
    <w:p w14:paraId="4DFE7A9C" w14:textId="06381E2D" w:rsidR="006B4264" w:rsidRDefault="006B4264" w:rsidP="001A0508">
      <w:pPr>
        <w:spacing w:line="360" w:lineRule="auto"/>
        <w:jc w:val="center"/>
        <w:rPr>
          <w:rFonts w:ascii="Verdana" w:eastAsia="Calibri" w:hAnsi="Verdana"/>
          <w:b/>
          <w:bCs/>
          <w:sz w:val="18"/>
          <w:szCs w:val="18"/>
          <w:lang w:val="es-PE" w:eastAsia="es-PE"/>
        </w:rPr>
      </w:pPr>
      <w:r>
        <w:rPr>
          <w:rFonts w:ascii="Verdana" w:eastAsia="Calibri" w:hAnsi="Verdana"/>
          <w:b/>
          <w:bCs/>
          <w:noProof/>
          <w:sz w:val="18"/>
          <w:szCs w:val="18"/>
          <w:lang w:val="es-PE" w:eastAsia="es-PE"/>
        </w:rPr>
        <w:drawing>
          <wp:inline distT="0" distB="0" distL="0" distR="0" wp14:anchorId="31EA4C23" wp14:editId="28C5EB17">
            <wp:extent cx="4933950" cy="61245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4933950" cy="6124575"/>
                    </a:xfrm>
                    <a:prstGeom prst="rect">
                      <a:avLst/>
                    </a:prstGeom>
                  </pic:spPr>
                </pic:pic>
              </a:graphicData>
            </a:graphic>
          </wp:inline>
        </w:drawing>
      </w:r>
    </w:p>
    <w:p w14:paraId="3D3B1588" w14:textId="177065CF" w:rsidR="001A0508" w:rsidRPr="006B4264" w:rsidRDefault="001A0508" w:rsidP="001A0508">
      <w:pPr>
        <w:spacing w:line="360" w:lineRule="auto"/>
        <w:jc w:val="center"/>
        <w:rPr>
          <w:rFonts w:eastAsia="Calibri"/>
          <w:sz w:val="16"/>
          <w:szCs w:val="16"/>
          <w:lang w:val="es-PE" w:eastAsia="es-PE"/>
        </w:rPr>
      </w:pPr>
      <w:r w:rsidRPr="006B4264">
        <w:rPr>
          <w:rFonts w:eastAsia="Calibri"/>
          <w:b/>
          <w:bCs/>
          <w:sz w:val="16"/>
          <w:szCs w:val="16"/>
          <w:lang w:val="es-PE" w:eastAsia="es-PE"/>
        </w:rPr>
        <w:t>*</w:t>
      </w:r>
      <w:r w:rsidRPr="006B4264">
        <w:rPr>
          <w:rFonts w:eastAsia="Calibri"/>
          <w:sz w:val="16"/>
          <w:szCs w:val="16"/>
          <w:lang w:val="es-PE" w:eastAsia="es-PE"/>
        </w:rPr>
        <w:t xml:space="preserve"> Prueba de </w:t>
      </w:r>
      <w:r w:rsidRPr="006B4264">
        <w:rPr>
          <w:rFonts w:eastAsia="Calibri"/>
          <w:i/>
          <w:iCs/>
          <w:sz w:val="16"/>
          <w:szCs w:val="16"/>
          <w:lang w:val="es-PE" w:eastAsia="es-PE"/>
        </w:rPr>
        <w:t xml:space="preserve">ji </w:t>
      </w:r>
      <w:r w:rsidRPr="006B4264">
        <w:rPr>
          <w:rFonts w:eastAsia="Calibri"/>
          <w:sz w:val="16"/>
          <w:szCs w:val="16"/>
          <w:lang w:val="es-PE" w:eastAsia="es-PE"/>
        </w:rPr>
        <w:t>cuadrado.</w:t>
      </w:r>
    </w:p>
    <w:p w14:paraId="1EB5D5CE" w14:textId="77777777" w:rsidR="001A0508" w:rsidRPr="001A0508" w:rsidRDefault="001A0508" w:rsidP="001A0508">
      <w:pPr>
        <w:spacing w:line="360" w:lineRule="auto"/>
        <w:jc w:val="both"/>
        <w:rPr>
          <w:rFonts w:eastAsia="Calibri"/>
          <w:lang w:val="es-PE" w:eastAsia="es-PE"/>
        </w:rPr>
      </w:pPr>
    </w:p>
    <w:p w14:paraId="38926ABE" w14:textId="77777777" w:rsidR="001A0508" w:rsidRPr="001A0508" w:rsidRDefault="001A0508" w:rsidP="001A0508">
      <w:pPr>
        <w:spacing w:line="360" w:lineRule="auto"/>
        <w:jc w:val="both"/>
        <w:rPr>
          <w:rFonts w:eastAsia="Arial"/>
          <w:lang w:val="es-PE" w:eastAsia="es-PE"/>
        </w:rPr>
      </w:pPr>
    </w:p>
    <w:p w14:paraId="4B2E07F2" w14:textId="77777777" w:rsidR="00881DCE" w:rsidRDefault="00881DCE">
      <w:pPr>
        <w:rPr>
          <w:rFonts w:eastAsia="Calibri"/>
          <w:b/>
          <w:bCs/>
          <w:sz w:val="22"/>
          <w:szCs w:val="22"/>
          <w:lang w:val="es-PE" w:eastAsia="es-PE"/>
        </w:rPr>
      </w:pPr>
      <w:r>
        <w:rPr>
          <w:rFonts w:eastAsia="Calibri"/>
          <w:b/>
          <w:bCs/>
          <w:sz w:val="22"/>
          <w:szCs w:val="22"/>
          <w:lang w:val="es-PE" w:eastAsia="es-PE"/>
        </w:rPr>
        <w:br w:type="page"/>
      </w:r>
    </w:p>
    <w:p w14:paraId="6415CF64" w14:textId="2F437D63" w:rsidR="001A0508" w:rsidRPr="000A01DA" w:rsidRDefault="001A0508" w:rsidP="001A0508">
      <w:pPr>
        <w:spacing w:line="360" w:lineRule="auto"/>
        <w:jc w:val="center"/>
        <w:rPr>
          <w:rFonts w:eastAsia="Calibri"/>
          <w:sz w:val="22"/>
          <w:szCs w:val="22"/>
          <w:lang w:val="es-PE" w:eastAsia="es-PE"/>
        </w:rPr>
      </w:pPr>
      <w:r w:rsidRPr="000A01DA">
        <w:rPr>
          <w:rFonts w:eastAsia="Calibri"/>
          <w:b/>
          <w:bCs/>
          <w:sz w:val="22"/>
          <w:szCs w:val="22"/>
          <w:lang w:val="es-PE" w:eastAsia="es-PE"/>
        </w:rPr>
        <w:lastRenderedPageBreak/>
        <w:t>Tabla 3 -</w:t>
      </w:r>
      <w:r w:rsidRPr="000A01DA">
        <w:rPr>
          <w:rFonts w:eastAsia="Calibri"/>
          <w:sz w:val="22"/>
          <w:szCs w:val="22"/>
          <w:lang w:val="es-PE" w:eastAsia="es-PE"/>
        </w:rPr>
        <w:t xml:space="preserve"> Factores asociados a los estilos de vida del personal militar que participó en el estudio</w:t>
      </w:r>
    </w:p>
    <w:p w14:paraId="62820AA6" w14:textId="3EBC98F9" w:rsidR="000A01DA" w:rsidRDefault="000A01DA" w:rsidP="001A0508">
      <w:pPr>
        <w:spacing w:line="360" w:lineRule="auto"/>
        <w:jc w:val="center"/>
        <w:rPr>
          <w:rFonts w:ascii="Verdana" w:eastAsia="Calibri" w:hAnsi="Verdana"/>
          <w:sz w:val="18"/>
          <w:szCs w:val="18"/>
          <w:lang w:val="es-PE" w:eastAsia="es-PE"/>
        </w:rPr>
      </w:pPr>
      <w:r>
        <w:rPr>
          <w:rFonts w:ascii="Verdana" w:eastAsia="Calibri" w:hAnsi="Verdana"/>
          <w:noProof/>
          <w:sz w:val="18"/>
          <w:szCs w:val="18"/>
          <w:lang w:val="es-PE" w:eastAsia="es-PE"/>
        </w:rPr>
        <w:drawing>
          <wp:inline distT="0" distB="0" distL="0" distR="0" wp14:anchorId="64456272" wp14:editId="1B90277E">
            <wp:extent cx="5867400" cy="5743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5867400" cy="5743575"/>
                    </a:xfrm>
                    <a:prstGeom prst="rect">
                      <a:avLst/>
                    </a:prstGeom>
                  </pic:spPr>
                </pic:pic>
              </a:graphicData>
            </a:graphic>
          </wp:inline>
        </w:drawing>
      </w:r>
    </w:p>
    <w:p w14:paraId="3BA63CA6" w14:textId="000BDF4C" w:rsidR="001A0508" w:rsidRPr="000A01DA" w:rsidRDefault="001A0508" w:rsidP="001A0508">
      <w:pPr>
        <w:spacing w:line="360" w:lineRule="auto"/>
        <w:jc w:val="center"/>
        <w:rPr>
          <w:rFonts w:eastAsia="Calibri"/>
          <w:sz w:val="16"/>
          <w:szCs w:val="16"/>
          <w:lang w:val="es-PE" w:eastAsia="es-PE"/>
        </w:rPr>
      </w:pPr>
      <w:r w:rsidRPr="000A01DA">
        <w:rPr>
          <w:rFonts w:eastAsia="Calibri"/>
          <w:sz w:val="16"/>
          <w:szCs w:val="16"/>
          <w:lang w:val="es-PE" w:eastAsia="es-PE"/>
        </w:rPr>
        <w:t>RPa: ajustado por grado militar, profesión, edad y sexo</w:t>
      </w:r>
    </w:p>
    <w:p w14:paraId="73718E88" w14:textId="77777777" w:rsidR="001A0508" w:rsidRPr="001A0508" w:rsidRDefault="001A0508" w:rsidP="001A0508">
      <w:pPr>
        <w:spacing w:line="360" w:lineRule="auto"/>
        <w:jc w:val="both"/>
        <w:rPr>
          <w:rFonts w:eastAsia="Calibri"/>
          <w:vertAlign w:val="subscript"/>
          <w:lang w:val="es-PE" w:eastAsia="en-US"/>
        </w:rPr>
      </w:pP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tab/>
      </w: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tab/>
        <w:t xml:space="preserve"> </w:t>
      </w:r>
      <w:r w:rsidRPr="001A0508">
        <w:rPr>
          <w:rFonts w:eastAsia="Calibri"/>
          <w:vertAlign w:val="subscript"/>
          <w:lang w:val="es-PE" w:eastAsia="es-PE"/>
        </w:rPr>
        <w:fldChar w:fldCharType="begin"/>
      </w:r>
      <w:r w:rsidRPr="001A0508">
        <w:rPr>
          <w:rFonts w:eastAsia="Calibri"/>
          <w:vertAlign w:val="subscript"/>
          <w:lang w:val="es-PE" w:eastAsia="es-PE"/>
        </w:rPr>
        <w:instrText xml:space="preserve"> LINK Excel.Sheet.12 "C:\\Users\\MANUEL}\\Downloads\\Tablas 14.05.2021.xlsx" "T3!F4C2:F44C9" \a \f 4 \h  \* MERGEFORMAT </w:instrText>
      </w:r>
      <w:r w:rsidRPr="001A0508">
        <w:rPr>
          <w:rFonts w:eastAsia="Calibri"/>
          <w:vertAlign w:val="subscript"/>
          <w:lang w:val="es-PE" w:eastAsia="es-PE"/>
        </w:rPr>
        <w:fldChar w:fldCharType="separate"/>
      </w:r>
    </w:p>
    <w:p w14:paraId="6675FCA0" w14:textId="77777777" w:rsidR="001A0508" w:rsidRPr="001A0508" w:rsidRDefault="001A0508" w:rsidP="001A0508">
      <w:pPr>
        <w:spacing w:line="360" w:lineRule="auto"/>
        <w:jc w:val="center"/>
        <w:rPr>
          <w:rFonts w:eastAsia="Calibri"/>
          <w:vertAlign w:val="subscript"/>
          <w:lang w:val="es-PE" w:eastAsia="es-PE"/>
        </w:rPr>
      </w:pPr>
    </w:p>
    <w:p w14:paraId="576984D4" w14:textId="77777777" w:rsidR="001A0508" w:rsidRPr="001A0508" w:rsidRDefault="001A0508" w:rsidP="001A0508">
      <w:pPr>
        <w:spacing w:line="360" w:lineRule="auto"/>
        <w:jc w:val="center"/>
        <w:rPr>
          <w:rFonts w:eastAsia="Arial"/>
          <w:b/>
          <w:sz w:val="32"/>
          <w:szCs w:val="32"/>
          <w:lang w:val="es-PE" w:eastAsia="es-PE"/>
        </w:rPr>
      </w:pPr>
      <w:r w:rsidRPr="001A0508">
        <w:rPr>
          <w:rFonts w:eastAsia="Calibri"/>
          <w:vertAlign w:val="subscript"/>
          <w:lang w:val="es-PE" w:eastAsia="es-PE"/>
        </w:rPr>
        <w:fldChar w:fldCharType="end"/>
      </w:r>
      <w:bookmarkStart w:id="13" w:name="_30j0zll" w:colFirst="0" w:colLast="0"/>
      <w:bookmarkEnd w:id="13"/>
      <w:r w:rsidRPr="001A0508">
        <w:rPr>
          <w:rFonts w:eastAsia="Arial"/>
          <w:b/>
          <w:sz w:val="32"/>
          <w:szCs w:val="32"/>
          <w:lang w:val="es-PE" w:eastAsia="es-PE"/>
        </w:rPr>
        <w:t>DISCUSIÓN</w:t>
      </w:r>
    </w:p>
    <w:p w14:paraId="061998C7" w14:textId="77777777" w:rsidR="001A0508" w:rsidRPr="001A0508" w:rsidRDefault="001A0508" w:rsidP="001A0508">
      <w:pPr>
        <w:spacing w:line="360" w:lineRule="auto"/>
        <w:jc w:val="both"/>
        <w:rPr>
          <w:rFonts w:eastAsia="Arial"/>
          <w:lang w:val="es-PE" w:eastAsia="es-PE"/>
        </w:rPr>
      </w:pPr>
      <w:r w:rsidRPr="001A0508">
        <w:rPr>
          <w:color w:val="000000"/>
          <w:lang w:val="es-PE" w:eastAsia="es-PE"/>
        </w:rPr>
        <w:t>La pandemia</w:t>
      </w:r>
      <w:r w:rsidRPr="001A0508">
        <w:rPr>
          <w:rFonts w:eastAsia="Arial"/>
          <w:lang w:val="es-PE" w:eastAsia="es-PE"/>
        </w:rPr>
        <w:t xml:space="preserve"> de la COVID-19, tiene un impacto mundial en la salud de las personas, no solo por la transmisión del SARS-CoV-2, sino también por alterar el estilo de vida de las personas, como </w:t>
      </w:r>
      <w:r w:rsidRPr="001A0508">
        <w:rPr>
          <w:rFonts w:eastAsia="Arial"/>
          <w:lang w:val="es-PE" w:eastAsia="es-PE"/>
        </w:rPr>
        <w:lastRenderedPageBreak/>
        <w:t xml:space="preserve">consecuencia de las medidas restrictivas implantadas, para prevenir el contagio, como son las cuarentas y el distanciamiento </w:t>
      </w:r>
      <w:proofErr w:type="gramStart"/>
      <w:r w:rsidRPr="001A0508">
        <w:rPr>
          <w:rFonts w:eastAsia="Arial"/>
          <w:lang w:val="es-PE" w:eastAsia="es-PE"/>
        </w:rPr>
        <w:t>social.</w:t>
      </w:r>
      <w:r w:rsidRPr="001A0508">
        <w:rPr>
          <w:rFonts w:eastAsia="Arial"/>
          <w:vertAlign w:val="superscript"/>
          <w:lang w:val="es-PE" w:eastAsia="es-PE"/>
        </w:rPr>
        <w:t>(</w:t>
      </w:r>
      <w:proofErr w:type="gramEnd"/>
      <w:r w:rsidRPr="001A0508">
        <w:rPr>
          <w:rFonts w:eastAsia="Arial"/>
          <w:vertAlign w:val="superscript"/>
          <w:lang w:val="es-PE" w:eastAsia="es-PE"/>
        </w:rPr>
        <w:t>17)</w:t>
      </w:r>
      <w:r w:rsidRPr="001A0508">
        <w:rPr>
          <w:rFonts w:eastAsia="Arial"/>
          <w:lang w:val="es-PE" w:eastAsia="es-PE"/>
        </w:rPr>
        <w:t xml:space="preserve"> </w:t>
      </w:r>
    </w:p>
    <w:p w14:paraId="1F06C304"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 xml:space="preserve">El personal militar sanitario posee mayor probabilidad de producir cambios en sus estilos de vida y que se vea reflejado en su estado nutricional, más aún en el contexto de la pandemia, la cual ocasiona sobrecarga laboral, los hace susceptibles a contraer infecciones virales, incluida la COVID-19 </w:t>
      </w:r>
      <w:proofErr w:type="gramStart"/>
      <w:r w:rsidRPr="001A0508">
        <w:rPr>
          <w:rFonts w:eastAsia="Arial"/>
          <w:lang w:val="es-PE" w:eastAsia="es-PE"/>
        </w:rPr>
        <w:t>y  tener</w:t>
      </w:r>
      <w:proofErr w:type="gramEnd"/>
      <w:r w:rsidRPr="001A0508">
        <w:rPr>
          <w:rFonts w:eastAsia="Arial"/>
          <w:lang w:val="es-PE" w:eastAsia="es-PE"/>
        </w:rPr>
        <w:t xml:space="preserve">  mayor riesgo cardiovascular.</w:t>
      </w:r>
      <w:r w:rsidRPr="001A0508">
        <w:rPr>
          <w:rFonts w:eastAsia="Arial"/>
          <w:vertAlign w:val="superscript"/>
          <w:lang w:val="es-PE" w:eastAsia="es-PE"/>
        </w:rPr>
        <w:t>(18,19,20)</w:t>
      </w:r>
    </w:p>
    <w:p w14:paraId="6174372F" w14:textId="77777777" w:rsidR="001A0508" w:rsidRPr="001A0508" w:rsidRDefault="001A0508" w:rsidP="001A0508">
      <w:pPr>
        <w:spacing w:line="360" w:lineRule="auto"/>
        <w:jc w:val="both"/>
        <w:rPr>
          <w:rFonts w:eastAsia="Arial"/>
          <w:vertAlign w:val="superscript"/>
          <w:lang w:val="es-PE" w:eastAsia="es-PE"/>
        </w:rPr>
      </w:pPr>
      <w:r w:rsidRPr="001A0508">
        <w:rPr>
          <w:rFonts w:eastAsia="Arial"/>
          <w:lang w:val="es-PE" w:eastAsia="es-PE"/>
        </w:rPr>
        <w:t xml:space="preserve">En el estudio realizado, se evidenció que el personal militar sanitario, con una edad promedio de 44,43 </w:t>
      </w:r>
      <w:r w:rsidRPr="001A0508">
        <w:rPr>
          <w:rFonts w:eastAsia="Arial"/>
          <w:u w:val="single"/>
          <w:lang w:val="es-PE" w:eastAsia="es-PE"/>
        </w:rPr>
        <w:t>+</w:t>
      </w:r>
      <w:r w:rsidRPr="001A0508">
        <w:rPr>
          <w:rFonts w:eastAsia="Arial"/>
          <w:lang w:val="es-PE" w:eastAsia="es-PE"/>
        </w:rPr>
        <w:t xml:space="preserve"> 8,63 años, clasifica como grupo sin riesgo frente a la COVID-19, respecto a la edad, de acuerdo a la OMS y el Estado </w:t>
      </w:r>
      <w:proofErr w:type="gramStart"/>
      <w:r w:rsidRPr="001A0508">
        <w:rPr>
          <w:rFonts w:eastAsia="Arial"/>
          <w:lang w:val="es-PE" w:eastAsia="es-PE"/>
        </w:rPr>
        <w:t>peruano.</w:t>
      </w:r>
      <w:r w:rsidRPr="001A0508">
        <w:rPr>
          <w:rFonts w:eastAsia="Arial"/>
          <w:vertAlign w:val="superscript"/>
          <w:lang w:val="es-PE" w:eastAsia="es-PE"/>
        </w:rPr>
        <w:t>(</w:t>
      </w:r>
      <w:proofErr w:type="gramEnd"/>
      <w:r w:rsidRPr="001A0508">
        <w:rPr>
          <w:rFonts w:eastAsia="Arial"/>
          <w:vertAlign w:val="superscript"/>
          <w:lang w:val="es-PE" w:eastAsia="es-PE"/>
        </w:rPr>
        <w:t>21,22)</w:t>
      </w:r>
      <w:r w:rsidRPr="001A0508">
        <w:rPr>
          <w:rFonts w:eastAsia="Arial"/>
          <w:lang w:val="es-PE" w:eastAsia="es-PE"/>
        </w:rPr>
        <w:t xml:space="preserve"> En lo que se refiere al sexo, se estableció que el mayor porcentaje fue masculino. Se han encontrado porcentajes similares </w:t>
      </w:r>
      <w:proofErr w:type="gramStart"/>
      <w:r w:rsidRPr="001A0508">
        <w:rPr>
          <w:rFonts w:eastAsia="Arial"/>
          <w:lang w:val="es-PE" w:eastAsia="es-PE"/>
        </w:rPr>
        <w:t>en  estudios</w:t>
      </w:r>
      <w:proofErr w:type="gramEnd"/>
      <w:r w:rsidRPr="001A0508">
        <w:rPr>
          <w:rFonts w:eastAsia="Arial"/>
          <w:lang w:val="es-PE" w:eastAsia="es-PE"/>
        </w:rPr>
        <w:t xml:space="preserve"> de personal militar bomberil en Brasil, con el 100 %;</w:t>
      </w:r>
      <w:r w:rsidRPr="001A0508">
        <w:rPr>
          <w:rFonts w:eastAsia="Arial"/>
          <w:vertAlign w:val="superscript"/>
          <w:lang w:val="es-PE" w:eastAsia="es-PE"/>
        </w:rPr>
        <w:t xml:space="preserve">(23) </w:t>
      </w:r>
      <w:r w:rsidRPr="001A0508">
        <w:rPr>
          <w:rFonts w:eastAsia="Arial"/>
          <w:lang w:val="es-PE" w:eastAsia="es-PE"/>
        </w:rPr>
        <w:t>esto puede deberse a la mayor adherencia castrense por parte del sexo masculino.</w:t>
      </w:r>
      <w:r w:rsidRPr="001A0508">
        <w:rPr>
          <w:rFonts w:eastAsia="Arial"/>
          <w:vertAlign w:val="superscript"/>
          <w:lang w:val="es-PE" w:eastAsia="es-PE"/>
        </w:rPr>
        <w:t xml:space="preserve"> </w:t>
      </w:r>
    </w:p>
    <w:p w14:paraId="4275F1E5"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 xml:space="preserve">En cuanto a la profesión del personal militar, los médicos constituyeron la mayoría. El HMC está categorizado como una IPRESS de nivel III-1 </w:t>
      </w:r>
      <w:proofErr w:type="gramStart"/>
      <w:r w:rsidRPr="001A0508">
        <w:rPr>
          <w:rFonts w:eastAsia="Arial"/>
          <w:lang w:val="es-PE" w:eastAsia="es-PE"/>
        </w:rPr>
        <w:t>y  forma</w:t>
      </w:r>
      <w:proofErr w:type="gramEnd"/>
      <w:r w:rsidRPr="001A0508">
        <w:rPr>
          <w:rFonts w:eastAsia="Arial"/>
          <w:lang w:val="es-PE" w:eastAsia="es-PE"/>
        </w:rPr>
        <w:t xml:space="preserve"> parte del Sistema Nacional de </w:t>
      </w:r>
      <w:proofErr w:type="spellStart"/>
      <w:r w:rsidRPr="001A0508">
        <w:rPr>
          <w:rFonts w:eastAsia="Arial"/>
          <w:lang w:val="es-PE" w:eastAsia="es-PE"/>
        </w:rPr>
        <w:t>Residentado</w:t>
      </w:r>
      <w:proofErr w:type="spellEnd"/>
      <w:r w:rsidRPr="001A0508">
        <w:rPr>
          <w:rFonts w:eastAsia="Arial"/>
          <w:lang w:val="es-PE" w:eastAsia="es-PE"/>
        </w:rPr>
        <w:t xml:space="preserve"> Médico del Perú, con el papel de sede docente,</w:t>
      </w:r>
      <w:r w:rsidRPr="001A0508">
        <w:rPr>
          <w:rFonts w:eastAsia="Arial"/>
          <w:vertAlign w:val="superscript"/>
          <w:lang w:val="es-PE" w:eastAsia="es-PE"/>
        </w:rPr>
        <w:t>(24)</w:t>
      </w:r>
      <w:r w:rsidRPr="001A0508">
        <w:rPr>
          <w:rFonts w:eastAsia="Arial"/>
          <w:lang w:val="es-PE" w:eastAsia="es-PE"/>
        </w:rPr>
        <w:t xml:space="preserve"> por este motivo cuenta con diversas especialidades médicas y también proporciona formación profesional de especialistas. Los grados militares </w:t>
      </w:r>
      <w:proofErr w:type="gramStart"/>
      <w:r w:rsidRPr="001A0508">
        <w:rPr>
          <w:rFonts w:eastAsia="Arial"/>
          <w:lang w:val="es-PE" w:eastAsia="es-PE"/>
        </w:rPr>
        <w:t>de  teniente</w:t>
      </w:r>
      <w:proofErr w:type="gramEnd"/>
      <w:r w:rsidRPr="001A0508">
        <w:rPr>
          <w:rFonts w:eastAsia="Arial"/>
          <w:lang w:val="es-PE" w:eastAsia="es-PE"/>
        </w:rPr>
        <w:t xml:space="preserve"> coronel y capitán  fueron los más representados, de acuerdo con la edad activa laboral militar.</w:t>
      </w:r>
    </w:p>
    <w:p w14:paraId="41CDC6A4"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 xml:space="preserve">En cuanto al IMC, se obtuvo un valor promedio de 26,88 </w:t>
      </w:r>
      <w:r w:rsidRPr="001A0508">
        <w:rPr>
          <w:rFonts w:eastAsia="Arial"/>
          <w:u w:val="single"/>
          <w:lang w:val="es-PE" w:eastAsia="es-PE"/>
        </w:rPr>
        <w:t>+</w:t>
      </w:r>
      <w:r w:rsidRPr="001A0508">
        <w:rPr>
          <w:rFonts w:eastAsia="Arial"/>
          <w:lang w:val="es-PE" w:eastAsia="es-PE"/>
        </w:rPr>
        <w:t xml:space="preserve"> 2,78 kg/m</w:t>
      </w:r>
      <w:r w:rsidRPr="001A0508">
        <w:rPr>
          <w:rFonts w:eastAsia="Arial"/>
          <w:vertAlign w:val="superscript"/>
          <w:lang w:val="es-PE" w:eastAsia="es-PE"/>
        </w:rPr>
        <w:t>2</w:t>
      </w:r>
      <w:r w:rsidRPr="001A0508">
        <w:rPr>
          <w:rFonts w:eastAsia="Arial"/>
          <w:lang w:val="es-PE" w:eastAsia="es-PE"/>
        </w:rPr>
        <w:t xml:space="preserve">, con una prevalencia total de exceso de peso de 72,12 %, superior a los datos de </w:t>
      </w:r>
      <w:proofErr w:type="spellStart"/>
      <w:r w:rsidRPr="001A0508">
        <w:rPr>
          <w:rFonts w:eastAsia="Arial"/>
          <w:i/>
          <w:iCs/>
          <w:lang w:val="es-PE" w:eastAsia="es-PE"/>
        </w:rPr>
        <w:t>Shams</w:t>
      </w:r>
      <w:proofErr w:type="spellEnd"/>
      <w:r w:rsidRPr="001A0508">
        <w:rPr>
          <w:rFonts w:eastAsia="Arial"/>
          <w:i/>
          <w:iCs/>
          <w:lang w:val="es-PE" w:eastAsia="es-PE"/>
        </w:rPr>
        <w:t xml:space="preserve"> White</w:t>
      </w:r>
      <w:r w:rsidRPr="001A0508">
        <w:rPr>
          <w:rFonts w:eastAsia="Arial"/>
          <w:lang w:val="es-PE" w:eastAsia="es-PE"/>
        </w:rPr>
        <w:t xml:space="preserve"> y </w:t>
      </w:r>
      <w:proofErr w:type="gramStart"/>
      <w:r w:rsidRPr="001A0508">
        <w:rPr>
          <w:rFonts w:eastAsia="Arial"/>
          <w:lang w:val="es-PE" w:eastAsia="es-PE"/>
        </w:rPr>
        <w:t>otros,</w:t>
      </w:r>
      <w:r w:rsidRPr="001A0508">
        <w:rPr>
          <w:rFonts w:eastAsia="Arial"/>
          <w:vertAlign w:val="superscript"/>
          <w:lang w:val="es-PE" w:eastAsia="es-PE"/>
        </w:rPr>
        <w:t>(</w:t>
      </w:r>
      <w:proofErr w:type="gramEnd"/>
      <w:r w:rsidRPr="001A0508">
        <w:rPr>
          <w:rFonts w:eastAsia="Arial"/>
          <w:vertAlign w:val="superscript"/>
          <w:lang w:val="es-PE" w:eastAsia="es-PE"/>
        </w:rPr>
        <w:t xml:space="preserve">6) </w:t>
      </w:r>
      <w:r w:rsidRPr="001A0508">
        <w:rPr>
          <w:rFonts w:eastAsia="Arial"/>
          <w:lang w:val="es-PE" w:eastAsia="es-PE"/>
        </w:rPr>
        <w:t xml:space="preserve">que fue de </w:t>
      </w:r>
      <w:r w:rsidRPr="001A0508">
        <w:rPr>
          <w:rFonts w:eastAsia="Arial"/>
          <w:lang w:val="es-ES" w:eastAsia="es-PE"/>
        </w:rPr>
        <w:t>51,2 % en EE.UU.</w:t>
      </w:r>
      <w:r w:rsidRPr="001A0508">
        <w:rPr>
          <w:rFonts w:eastAsia="Arial"/>
          <w:lang w:val="es-PE" w:eastAsia="es-PE"/>
        </w:rPr>
        <w:t xml:space="preserve"> y  de </w:t>
      </w:r>
      <w:proofErr w:type="spellStart"/>
      <w:r w:rsidRPr="001A0508">
        <w:rPr>
          <w:rFonts w:eastAsia="Arial"/>
          <w:i/>
          <w:iCs/>
          <w:lang w:val="es-PE" w:eastAsia="es-PE"/>
        </w:rPr>
        <w:t>Damacena</w:t>
      </w:r>
      <w:proofErr w:type="spellEnd"/>
      <w:r w:rsidRPr="001A0508">
        <w:rPr>
          <w:rFonts w:eastAsia="Arial"/>
          <w:lang w:val="es-PE" w:eastAsia="es-PE"/>
        </w:rPr>
        <w:t xml:space="preserve"> y otros</w:t>
      </w:r>
      <w:r w:rsidRPr="001A0508">
        <w:rPr>
          <w:rFonts w:eastAsia="Arial"/>
          <w:i/>
          <w:iCs/>
          <w:lang w:val="es-PE" w:eastAsia="es-PE"/>
        </w:rPr>
        <w:t>,</w:t>
      </w:r>
      <w:r w:rsidRPr="001A0508">
        <w:rPr>
          <w:rFonts w:eastAsia="Arial"/>
          <w:vertAlign w:val="superscript"/>
          <w:lang w:val="es-PE" w:eastAsia="es-PE"/>
        </w:rPr>
        <w:t>(23)</w:t>
      </w:r>
      <w:r w:rsidRPr="001A0508">
        <w:rPr>
          <w:rFonts w:eastAsia="Arial"/>
          <w:lang w:val="es-PE" w:eastAsia="es-PE"/>
        </w:rPr>
        <w:t xml:space="preserve"> que fue de 59,64 % en Brasil; ambas en poblaciones militares.</w:t>
      </w:r>
      <w:r w:rsidRPr="001A0508">
        <w:rPr>
          <w:rFonts w:eastAsia="Arial"/>
          <w:vertAlign w:val="superscript"/>
          <w:lang w:val="es-PE" w:eastAsia="es-PE"/>
        </w:rPr>
        <w:t xml:space="preserve">  </w:t>
      </w:r>
      <w:r w:rsidRPr="001A0508">
        <w:rPr>
          <w:rFonts w:eastAsia="Arial"/>
          <w:lang w:val="es-PE" w:eastAsia="es-PE"/>
        </w:rPr>
        <w:t xml:space="preserve">En relación específica con el sobrepeso, el presente estudio obtuvo una prevalencia superior en comparación al realizado por </w:t>
      </w:r>
      <w:proofErr w:type="spellStart"/>
      <w:r w:rsidRPr="001A0508">
        <w:rPr>
          <w:rFonts w:eastAsia="Arial"/>
          <w:i/>
          <w:iCs/>
          <w:lang w:val="es-PE" w:eastAsia="es-PE"/>
        </w:rPr>
        <w:t>Pajuelo</w:t>
      </w:r>
      <w:proofErr w:type="spellEnd"/>
      <w:r w:rsidRPr="001A0508">
        <w:rPr>
          <w:rFonts w:eastAsia="Arial"/>
          <w:i/>
          <w:iCs/>
          <w:lang w:val="es-PE" w:eastAsia="es-PE"/>
        </w:rPr>
        <w:t xml:space="preserve"> </w:t>
      </w:r>
      <w:r w:rsidRPr="001A0508">
        <w:rPr>
          <w:rFonts w:eastAsia="Arial"/>
          <w:lang w:val="es-PE" w:eastAsia="es-PE"/>
        </w:rPr>
        <w:t xml:space="preserve">y </w:t>
      </w:r>
      <w:proofErr w:type="gramStart"/>
      <w:r w:rsidRPr="001A0508">
        <w:rPr>
          <w:rFonts w:eastAsia="Arial"/>
          <w:lang w:val="es-PE" w:eastAsia="es-PE"/>
        </w:rPr>
        <w:t>otros,</w:t>
      </w:r>
      <w:r w:rsidRPr="001A0508">
        <w:rPr>
          <w:rFonts w:eastAsia="Arial"/>
          <w:vertAlign w:val="superscript"/>
          <w:lang w:val="es-PE" w:eastAsia="es-PE"/>
        </w:rPr>
        <w:t>(</w:t>
      </w:r>
      <w:bookmarkStart w:id="14" w:name="_Hlk81499713"/>
      <w:proofErr w:type="gramEnd"/>
      <w:r w:rsidRPr="001A0508">
        <w:rPr>
          <w:rFonts w:eastAsia="Arial"/>
          <w:vertAlign w:val="superscript"/>
          <w:lang w:val="es-PE" w:eastAsia="es-PE"/>
        </w:rPr>
        <w:t xml:space="preserve">25) </w:t>
      </w:r>
      <w:r w:rsidRPr="001A0508">
        <w:rPr>
          <w:rFonts w:eastAsia="Arial"/>
          <w:lang w:val="es-PE" w:eastAsia="es-PE"/>
        </w:rPr>
        <w:t xml:space="preserve">que  utilizó la Encuesta Nacional de Hogares (ENAHO) en Perú y encontró 40,5 % de prevalencia nacional de sobrepeso. </w:t>
      </w:r>
      <w:proofErr w:type="gramStart"/>
      <w:r w:rsidRPr="001A0508">
        <w:rPr>
          <w:rFonts w:eastAsia="Arial"/>
          <w:lang w:val="es-PE" w:eastAsia="es-PE"/>
        </w:rPr>
        <w:t>También  determinó</w:t>
      </w:r>
      <w:proofErr w:type="gramEnd"/>
      <w:r w:rsidRPr="001A0508">
        <w:rPr>
          <w:rFonts w:eastAsia="Arial"/>
          <w:lang w:val="es-PE" w:eastAsia="es-PE"/>
        </w:rPr>
        <w:t xml:space="preserve"> que el 33,6 % de la población nacional peruana, tuvo riesgo muy elevado en relación a la medida del PA;</w:t>
      </w:r>
      <w:r w:rsidRPr="001A0508">
        <w:rPr>
          <w:rFonts w:eastAsia="Arial"/>
          <w:vertAlign w:val="superscript"/>
          <w:lang w:val="es-PE" w:eastAsia="es-PE"/>
        </w:rPr>
        <w:t xml:space="preserve">(25) </w:t>
      </w:r>
      <w:bookmarkEnd w:id="14"/>
      <w:r w:rsidRPr="001A0508">
        <w:rPr>
          <w:rFonts w:eastAsia="Arial"/>
          <w:lang w:val="es-PE" w:eastAsia="es-PE"/>
        </w:rPr>
        <w:t xml:space="preserve">la presente investigación  obtuvo una prevalencia inferior con referencia a esta medida, pero un  porcentaje  mayor  en comparación al estudio de </w:t>
      </w:r>
      <w:proofErr w:type="spellStart"/>
      <w:r w:rsidRPr="001A0508">
        <w:rPr>
          <w:rFonts w:eastAsia="Arial"/>
          <w:i/>
          <w:iCs/>
          <w:lang w:val="es-PE" w:eastAsia="es-PE"/>
        </w:rPr>
        <w:t>Damacena</w:t>
      </w:r>
      <w:proofErr w:type="spellEnd"/>
      <w:r w:rsidRPr="001A0508">
        <w:rPr>
          <w:rFonts w:eastAsia="Arial"/>
          <w:lang w:val="es-PE" w:eastAsia="es-PE"/>
        </w:rPr>
        <w:t xml:space="preserve"> y otros,</w:t>
      </w:r>
      <w:r w:rsidRPr="001A0508">
        <w:rPr>
          <w:rFonts w:eastAsia="Arial"/>
          <w:vertAlign w:val="superscript"/>
          <w:lang w:val="es-PE" w:eastAsia="es-PE"/>
        </w:rPr>
        <w:t xml:space="preserve">(23) </w:t>
      </w:r>
      <w:r w:rsidRPr="001A0508">
        <w:rPr>
          <w:rFonts w:eastAsia="Arial"/>
          <w:lang w:val="es-PE" w:eastAsia="es-PE"/>
        </w:rPr>
        <w:t>representado por el  18,61 %</w:t>
      </w:r>
      <w:r w:rsidRPr="001A0508">
        <w:rPr>
          <w:rFonts w:eastAsia="Arial"/>
          <w:vertAlign w:val="superscript"/>
          <w:lang w:val="es-PE" w:eastAsia="es-PE"/>
        </w:rPr>
        <w:t xml:space="preserve"> </w:t>
      </w:r>
      <w:r w:rsidRPr="001A0508">
        <w:rPr>
          <w:rFonts w:eastAsia="Arial"/>
          <w:lang w:val="es-PE" w:eastAsia="es-PE"/>
        </w:rPr>
        <w:t>en los bomberos militares.</w:t>
      </w:r>
      <w:r w:rsidRPr="001A0508">
        <w:rPr>
          <w:rFonts w:eastAsia="Arial"/>
          <w:vertAlign w:val="superscript"/>
          <w:lang w:val="es-PE" w:eastAsia="es-PE"/>
        </w:rPr>
        <w:t xml:space="preserve"> </w:t>
      </w:r>
      <w:r w:rsidRPr="001A0508">
        <w:rPr>
          <w:rFonts w:eastAsia="Arial"/>
          <w:lang w:val="es-PE" w:eastAsia="es-PE"/>
        </w:rPr>
        <w:t xml:space="preserve">Se debe enfatizar que los estudios mencionados, de </w:t>
      </w:r>
      <w:proofErr w:type="spellStart"/>
      <w:r w:rsidRPr="001A0508">
        <w:rPr>
          <w:rFonts w:eastAsia="Arial"/>
          <w:i/>
          <w:iCs/>
          <w:lang w:val="es-PE" w:eastAsia="es-PE"/>
        </w:rPr>
        <w:t>Shams</w:t>
      </w:r>
      <w:proofErr w:type="spellEnd"/>
      <w:r w:rsidRPr="001A0508">
        <w:rPr>
          <w:rFonts w:eastAsia="Arial"/>
          <w:i/>
          <w:iCs/>
          <w:lang w:val="es-PE" w:eastAsia="es-PE"/>
        </w:rPr>
        <w:t xml:space="preserve">-White </w:t>
      </w:r>
      <w:r w:rsidRPr="001A0508">
        <w:rPr>
          <w:rFonts w:eastAsia="Arial"/>
          <w:lang w:val="es-PE" w:eastAsia="es-PE"/>
        </w:rPr>
        <w:t xml:space="preserve">y </w:t>
      </w:r>
      <w:proofErr w:type="gramStart"/>
      <w:r w:rsidRPr="001A0508">
        <w:rPr>
          <w:rFonts w:eastAsia="Arial"/>
          <w:lang w:val="es-PE" w:eastAsia="es-PE"/>
        </w:rPr>
        <w:t>otros</w:t>
      </w:r>
      <w:r w:rsidRPr="001A0508">
        <w:rPr>
          <w:rFonts w:eastAsia="Arial"/>
          <w:i/>
          <w:iCs/>
          <w:lang w:val="es-PE" w:eastAsia="es-PE"/>
        </w:rPr>
        <w:t>,</w:t>
      </w:r>
      <w:r w:rsidRPr="001A0508">
        <w:rPr>
          <w:rFonts w:eastAsia="Arial"/>
          <w:vertAlign w:val="superscript"/>
          <w:lang w:val="es-PE" w:eastAsia="es-PE"/>
        </w:rPr>
        <w:t>(</w:t>
      </w:r>
      <w:proofErr w:type="gramEnd"/>
      <w:r w:rsidRPr="001A0508">
        <w:rPr>
          <w:rFonts w:eastAsia="Arial"/>
          <w:vertAlign w:val="superscript"/>
          <w:lang w:val="es-PE" w:eastAsia="es-PE"/>
        </w:rPr>
        <w:t>6)</w:t>
      </w:r>
      <w:r w:rsidRPr="001A0508">
        <w:rPr>
          <w:rFonts w:eastAsia="Arial"/>
          <w:i/>
          <w:iCs/>
          <w:lang w:val="es-PE" w:eastAsia="es-PE"/>
        </w:rPr>
        <w:t xml:space="preserve"> </w:t>
      </w:r>
      <w:proofErr w:type="spellStart"/>
      <w:r w:rsidRPr="001A0508">
        <w:rPr>
          <w:rFonts w:eastAsia="Arial"/>
          <w:i/>
          <w:iCs/>
          <w:lang w:val="es-PE" w:eastAsia="es-PE"/>
        </w:rPr>
        <w:t>Damacena</w:t>
      </w:r>
      <w:proofErr w:type="spellEnd"/>
      <w:r w:rsidRPr="001A0508">
        <w:rPr>
          <w:rFonts w:eastAsia="Arial"/>
          <w:i/>
          <w:iCs/>
          <w:lang w:val="es-PE" w:eastAsia="es-PE"/>
        </w:rPr>
        <w:t xml:space="preserve"> </w:t>
      </w:r>
      <w:r w:rsidRPr="001A0508">
        <w:rPr>
          <w:rFonts w:eastAsia="Arial"/>
          <w:lang w:val="es-PE" w:eastAsia="es-PE"/>
        </w:rPr>
        <w:t>y otros</w:t>
      </w:r>
      <w:r w:rsidRPr="001A0508">
        <w:rPr>
          <w:rFonts w:eastAsia="Arial"/>
          <w:i/>
          <w:iCs/>
          <w:lang w:val="es-PE" w:eastAsia="es-PE"/>
        </w:rPr>
        <w:t>,</w:t>
      </w:r>
      <w:r w:rsidRPr="001A0508">
        <w:rPr>
          <w:rFonts w:eastAsia="Arial"/>
          <w:vertAlign w:val="superscript"/>
          <w:lang w:val="es-PE" w:eastAsia="es-PE"/>
        </w:rPr>
        <w:t>(23)</w:t>
      </w:r>
      <w:r w:rsidRPr="001A0508">
        <w:rPr>
          <w:rFonts w:eastAsia="Arial"/>
          <w:i/>
          <w:iCs/>
          <w:lang w:val="es-PE" w:eastAsia="es-PE"/>
        </w:rPr>
        <w:t xml:space="preserve"> </w:t>
      </w:r>
      <w:r w:rsidRPr="001A0508">
        <w:rPr>
          <w:rFonts w:eastAsia="Arial"/>
          <w:lang w:val="es-PE" w:eastAsia="es-PE"/>
        </w:rPr>
        <w:t>y</w:t>
      </w:r>
      <w:r w:rsidRPr="001A0508">
        <w:rPr>
          <w:rFonts w:eastAsia="Arial"/>
          <w:i/>
          <w:iCs/>
          <w:lang w:val="es-PE" w:eastAsia="es-PE"/>
        </w:rPr>
        <w:t xml:space="preserve"> </w:t>
      </w:r>
      <w:proofErr w:type="spellStart"/>
      <w:r w:rsidRPr="001A0508">
        <w:rPr>
          <w:rFonts w:eastAsia="Arial"/>
          <w:i/>
          <w:iCs/>
          <w:lang w:val="es-PE" w:eastAsia="es-PE"/>
        </w:rPr>
        <w:t>Pajuelo</w:t>
      </w:r>
      <w:proofErr w:type="spellEnd"/>
      <w:r w:rsidRPr="001A0508">
        <w:rPr>
          <w:rFonts w:eastAsia="Arial"/>
          <w:i/>
          <w:iCs/>
          <w:lang w:val="es-PE" w:eastAsia="es-PE"/>
        </w:rPr>
        <w:t xml:space="preserve"> </w:t>
      </w:r>
      <w:r w:rsidRPr="001A0508">
        <w:rPr>
          <w:rFonts w:eastAsia="Arial"/>
          <w:lang w:val="es-PE" w:eastAsia="es-PE"/>
        </w:rPr>
        <w:t>y otros,</w:t>
      </w:r>
      <w:r w:rsidRPr="001A0508">
        <w:rPr>
          <w:rFonts w:eastAsia="Arial"/>
          <w:vertAlign w:val="superscript"/>
          <w:lang w:val="es-PE" w:eastAsia="es-PE"/>
        </w:rPr>
        <w:t>(25)</w:t>
      </w:r>
      <w:r w:rsidRPr="001A0508">
        <w:rPr>
          <w:rFonts w:eastAsia="Arial"/>
          <w:lang w:val="es-PE" w:eastAsia="es-PE"/>
        </w:rPr>
        <w:t xml:space="preserve"> presentan datos que  no fueron en un contexto  de pandemia, lo cual puede contribuir a valores los antropométricos superiores de IMC y de PA en la presente investigación.</w:t>
      </w:r>
    </w:p>
    <w:p w14:paraId="0E4A635D"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lastRenderedPageBreak/>
        <w:t>Con respecto a los estilos de vida, se determinó la asociación estadísticamente significativa con valores p &lt; 0,001 entre este y las variables de estado nutricional (IMC y PA). Puede deberse a las características sanitarias laborales y militares de la población en estudio, que tiene mayor estrés, depresión, ansiedad, ocasionada por el contexto de la pandemia y podría haber generado cambios significativos en los estilos de vida del personal; redujeron las actividades físicas (moderadas e intensas) y relajantes (reemplazas por conductas sedentarias). Alteraron hábitos como el consumo de bebidas alcohólicas, las horas de sueño y hábitos alimenticios cotidianos (debido al limitado acceso por el horario restringido y reducción en la disponibilidad de productos saludables</w:t>
      </w:r>
      <w:proofErr w:type="gramStart"/>
      <w:r w:rsidRPr="001A0508">
        <w:rPr>
          <w:rFonts w:eastAsia="Arial"/>
          <w:lang w:val="es-PE" w:eastAsia="es-PE"/>
        </w:rPr>
        <w:t>).</w:t>
      </w:r>
      <w:r w:rsidRPr="001A0508">
        <w:rPr>
          <w:rFonts w:eastAsia="Arial"/>
          <w:vertAlign w:val="superscript"/>
          <w:lang w:val="es-PE" w:eastAsia="es-PE"/>
        </w:rPr>
        <w:t>(</w:t>
      </w:r>
      <w:proofErr w:type="gramEnd"/>
      <w:r w:rsidRPr="001A0508">
        <w:rPr>
          <w:rFonts w:eastAsia="Arial"/>
          <w:vertAlign w:val="superscript"/>
          <w:lang w:val="es-PE" w:eastAsia="es-PE"/>
        </w:rPr>
        <w:t>19,20,26)</w:t>
      </w:r>
      <w:r w:rsidRPr="001A0508">
        <w:rPr>
          <w:rFonts w:eastAsia="Arial"/>
          <w:lang w:val="es-PE" w:eastAsia="es-PE"/>
        </w:rPr>
        <w:t xml:space="preserve"> Estos cambios pueden generar incremento del IMC y PA, asociado al incremento de peso y riesgo </w:t>
      </w:r>
      <w:proofErr w:type="spellStart"/>
      <w:r w:rsidRPr="001A0508">
        <w:rPr>
          <w:rFonts w:eastAsia="Arial"/>
          <w:lang w:val="es-PE" w:eastAsia="es-PE"/>
        </w:rPr>
        <w:t>cardiometabólico</w:t>
      </w:r>
      <w:proofErr w:type="spellEnd"/>
      <w:r w:rsidRPr="001A0508">
        <w:rPr>
          <w:rFonts w:eastAsia="Arial"/>
          <w:lang w:val="es-PE" w:eastAsia="es-PE"/>
        </w:rPr>
        <w:t>.</w:t>
      </w:r>
      <w:r w:rsidRPr="001A0508">
        <w:rPr>
          <w:rFonts w:eastAsia="Arial"/>
          <w:vertAlign w:val="superscript"/>
          <w:lang w:val="es-PE" w:eastAsia="es-PE"/>
        </w:rPr>
        <w:t>(26)</w:t>
      </w:r>
    </w:p>
    <w:p w14:paraId="56D29BD5" w14:textId="30E747D9" w:rsidR="001A0508" w:rsidRPr="001A0508" w:rsidRDefault="001A0508" w:rsidP="001A0508">
      <w:pPr>
        <w:spacing w:line="360" w:lineRule="auto"/>
        <w:jc w:val="both"/>
        <w:rPr>
          <w:rFonts w:eastAsia="Arial"/>
          <w:lang w:val="es-PE" w:eastAsia="es-PE"/>
        </w:rPr>
      </w:pPr>
      <w:r w:rsidRPr="001A0508">
        <w:rPr>
          <w:rFonts w:eastAsia="Arial"/>
          <w:lang w:val="es-PE" w:eastAsia="es-PE"/>
        </w:rPr>
        <w:t xml:space="preserve">En el Perú se produjo un aumento de la prevalencia del exceso de peso, desde la encuesta realizada en 1975 hasta la realizada el 2012. Aumentó la prevalencia, del 24,9 % a 40,5 % en sobrepeso y del 9 % a 19,7 % en </w:t>
      </w:r>
      <w:proofErr w:type="gramStart"/>
      <w:r w:rsidRPr="001A0508">
        <w:rPr>
          <w:rFonts w:eastAsia="Arial"/>
          <w:lang w:val="es-PE" w:eastAsia="es-PE"/>
        </w:rPr>
        <w:t>obesidad.</w:t>
      </w:r>
      <w:r w:rsidRPr="001A0508">
        <w:rPr>
          <w:rFonts w:eastAsia="Arial"/>
          <w:vertAlign w:val="superscript"/>
          <w:lang w:val="es-PE" w:eastAsia="es-PE"/>
        </w:rPr>
        <w:t>(</w:t>
      </w:r>
      <w:proofErr w:type="gramEnd"/>
      <w:r w:rsidRPr="001A0508">
        <w:rPr>
          <w:rFonts w:eastAsia="Arial"/>
          <w:vertAlign w:val="superscript"/>
          <w:lang w:val="es-PE" w:eastAsia="es-PE"/>
        </w:rPr>
        <w:t>25)</w:t>
      </w:r>
      <w:r w:rsidRPr="001A0508">
        <w:rPr>
          <w:rFonts w:eastAsia="Arial"/>
          <w:lang w:val="es-PE" w:eastAsia="es-PE"/>
        </w:rPr>
        <w:t xml:space="preserve"> El contexto de la pandemia debe preparar al sistema sanitario del Perú, a afrontar el probable aumento de factores de riesgo que pueden aumentar las ENT durante y tras la emergencia sanitaria.</w:t>
      </w:r>
      <w:r w:rsidRPr="001A0508">
        <w:rPr>
          <w:rFonts w:eastAsia="Arial"/>
          <w:vertAlign w:val="superscript"/>
          <w:lang w:val="es-PE" w:eastAsia="es-PE"/>
        </w:rPr>
        <w:t xml:space="preserve">(18) </w:t>
      </w:r>
      <w:r w:rsidRPr="001A0508">
        <w:rPr>
          <w:rFonts w:eastAsia="Arial"/>
          <w:lang w:val="es-PE" w:eastAsia="es-PE"/>
        </w:rPr>
        <w:t>Se deben promover estilos de vida saludables en todas sus dimensiones, especialmente en poblaciones como el personal militar sanitario. Se sugieren programas de asesoría nutricional personalizada y de retorno progresivo de ejercicios aeróbicos, siempre respetando las normas de bioseguridad, acorde al contexto;</w:t>
      </w:r>
      <w:r w:rsidRPr="001A0508">
        <w:rPr>
          <w:rFonts w:eastAsia="Arial"/>
          <w:vertAlign w:val="superscript"/>
          <w:lang w:val="es-PE" w:eastAsia="es-PE"/>
        </w:rPr>
        <w:t xml:space="preserve">(18) </w:t>
      </w:r>
      <w:r w:rsidRPr="001A0508">
        <w:rPr>
          <w:rFonts w:eastAsia="Arial"/>
          <w:lang w:val="es-PE" w:eastAsia="es-PE"/>
        </w:rPr>
        <w:t>unido a estrategias para incentivar la práctica de estilos de vida saludables, que pueden ser implementadas durante las evaluaciones anuales, a las cuales están sujetos, ya sea para su selección, ascenso o desplazamiento.</w:t>
      </w:r>
      <w:r w:rsidRPr="001A0508">
        <w:rPr>
          <w:rFonts w:eastAsia="Arial"/>
          <w:vertAlign w:val="superscript"/>
          <w:lang w:val="es-PE" w:eastAsia="es-PE"/>
        </w:rPr>
        <w:t xml:space="preserve">(23) </w:t>
      </w:r>
      <w:r w:rsidRPr="001A0508">
        <w:rPr>
          <w:rFonts w:eastAsia="Arial"/>
          <w:lang w:val="es-PE" w:eastAsia="es-PE"/>
        </w:rPr>
        <w:t>Adicionalmente, se debe incluir la evaluación periódica de los parámetros antropométricos y metabólicos, para de esta manera, mejorar o mantener un adecuado estado de salud, reducir los factores de riesgo que puedan producir ENT y de esta manera desempeñar adecuadamente sus funciones laborales.</w:t>
      </w:r>
      <w:r w:rsidRPr="001A0508">
        <w:rPr>
          <w:rFonts w:eastAsia="Arial"/>
          <w:vertAlign w:val="superscript"/>
          <w:lang w:val="es-PE" w:eastAsia="es-PE"/>
        </w:rPr>
        <w:t>(27,28)</w:t>
      </w:r>
      <w:r w:rsidRPr="001A0508">
        <w:rPr>
          <w:rFonts w:eastAsia="Arial"/>
          <w:lang w:val="es-PE" w:eastAsia="es-PE"/>
        </w:rPr>
        <w:t xml:space="preserve">  </w:t>
      </w:r>
    </w:p>
    <w:bookmarkEnd w:id="10"/>
    <w:p w14:paraId="68B12B4B" w14:textId="77777777" w:rsidR="001A0508" w:rsidRPr="001A0508" w:rsidRDefault="001A0508" w:rsidP="001A0508">
      <w:pPr>
        <w:spacing w:line="360" w:lineRule="auto"/>
        <w:jc w:val="both"/>
        <w:rPr>
          <w:rFonts w:eastAsia="Arial"/>
          <w:bCs/>
          <w:lang w:val="es-PE" w:eastAsia="es-PE"/>
        </w:rPr>
      </w:pPr>
      <w:r w:rsidRPr="001A0508">
        <w:rPr>
          <w:rFonts w:eastAsia="Arial"/>
          <w:lang w:val="es-PE" w:eastAsia="es-PE"/>
        </w:rPr>
        <w:t xml:space="preserve">Es importante reconocer que el estudio al ser transversal, no puede establecer causalidad entre las variables. El uso del IMC posee limitaciones en personal físicamente activo, debido a que no puede distinguir si el incremento de la masa corporal es por tejido graso o por tejido muscular. Para medir exactamente la grasa abdominal sería necesario utilizar exámenes, como la resonancia magnética y la tomografía computarizada, cuyo uso es limitado debido a factores económicos y de disponibilidad, por lo cual la medida del PA es una buena alternativa para complementar la medida del IMC, que indica el mayor riesgo </w:t>
      </w:r>
      <w:proofErr w:type="spellStart"/>
      <w:r w:rsidRPr="001A0508">
        <w:rPr>
          <w:rFonts w:eastAsia="Arial"/>
          <w:lang w:val="es-PE" w:eastAsia="es-PE"/>
        </w:rPr>
        <w:t>cardiometabólico</w:t>
      </w:r>
      <w:proofErr w:type="spellEnd"/>
      <w:r w:rsidRPr="001A0508">
        <w:rPr>
          <w:rFonts w:eastAsia="Arial"/>
          <w:lang w:val="es-PE" w:eastAsia="es-PE"/>
        </w:rPr>
        <w:t xml:space="preserve"> u obesidad abdominal. </w:t>
      </w:r>
    </w:p>
    <w:p w14:paraId="6FD6D22E" w14:textId="54A455C8" w:rsidR="001A0508" w:rsidRPr="001A0508" w:rsidRDefault="001A0508" w:rsidP="001A0508">
      <w:pPr>
        <w:spacing w:line="360" w:lineRule="auto"/>
        <w:jc w:val="both"/>
        <w:rPr>
          <w:rFonts w:eastAsia="Arial"/>
          <w:lang w:val="es-PE" w:eastAsia="es-PE"/>
        </w:rPr>
      </w:pPr>
      <w:r w:rsidRPr="001A0508">
        <w:rPr>
          <w:rFonts w:eastAsia="Arial"/>
          <w:lang w:val="es-PE" w:eastAsia="es-PE"/>
        </w:rPr>
        <w:lastRenderedPageBreak/>
        <w:t>Se concluye que existe asociación entre el estilo de vida y el estado nutricional, determinado por el IMC y el PA en el personal militar sanitario estudiado, del HMC, en el contexto de la pandemia de la COVID-</w:t>
      </w:r>
      <w:r w:rsidR="007311C4">
        <w:rPr>
          <w:rFonts w:eastAsia="Arial"/>
          <w:lang w:val="es-PE" w:eastAsia="es-PE"/>
        </w:rPr>
        <w:t> </w:t>
      </w:r>
      <w:r w:rsidRPr="001A0508">
        <w:rPr>
          <w:rFonts w:eastAsia="Arial"/>
          <w:lang w:val="es-PE" w:eastAsia="es-PE"/>
        </w:rPr>
        <w:t xml:space="preserve">19. </w:t>
      </w:r>
    </w:p>
    <w:p w14:paraId="1F4A2B2B" w14:textId="77777777" w:rsidR="001A0508" w:rsidRPr="001A0508" w:rsidRDefault="001A0508" w:rsidP="001A0508">
      <w:pPr>
        <w:spacing w:line="360" w:lineRule="auto"/>
        <w:jc w:val="both"/>
        <w:rPr>
          <w:rFonts w:eastAsia="Arial"/>
          <w:b/>
          <w:lang w:val="es-PE" w:eastAsia="es-PE"/>
        </w:rPr>
      </w:pPr>
    </w:p>
    <w:p w14:paraId="7B66DF38" w14:textId="77777777" w:rsidR="001A0508" w:rsidRPr="001A0508" w:rsidRDefault="001A0508" w:rsidP="001A0508">
      <w:pPr>
        <w:spacing w:line="360" w:lineRule="auto"/>
        <w:jc w:val="both"/>
        <w:rPr>
          <w:rFonts w:eastAsia="Arial"/>
          <w:b/>
          <w:lang w:val="es-PE" w:eastAsia="es-PE"/>
        </w:rPr>
      </w:pPr>
    </w:p>
    <w:p w14:paraId="348E55F0" w14:textId="77777777" w:rsidR="001A0508" w:rsidRPr="001A0508" w:rsidRDefault="001A0508" w:rsidP="001A0508">
      <w:pPr>
        <w:spacing w:line="360" w:lineRule="auto"/>
        <w:jc w:val="center"/>
        <w:rPr>
          <w:rFonts w:eastAsia="Arial"/>
          <w:sz w:val="32"/>
          <w:szCs w:val="32"/>
          <w:lang w:val="en-US" w:eastAsia="es-PE"/>
        </w:rPr>
      </w:pPr>
      <w:r w:rsidRPr="001A0508">
        <w:rPr>
          <w:rFonts w:eastAsia="Arial"/>
          <w:b/>
          <w:sz w:val="32"/>
          <w:szCs w:val="32"/>
          <w:lang w:val="en-US" w:eastAsia="es-PE"/>
        </w:rPr>
        <w:t>REFERENCIAS BIBLIOGRÁFICAS</w:t>
      </w:r>
    </w:p>
    <w:p w14:paraId="5383B5EC"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1. </w:t>
      </w:r>
      <w:proofErr w:type="spellStart"/>
      <w:r w:rsidRPr="006773AA">
        <w:rPr>
          <w:rFonts w:eastAsia="Arial"/>
          <w:lang w:val="en-US" w:eastAsia="es-PE"/>
        </w:rPr>
        <w:t>Zabetakis</w:t>
      </w:r>
      <w:proofErr w:type="spellEnd"/>
      <w:r w:rsidRPr="006773AA">
        <w:rPr>
          <w:rFonts w:eastAsia="Arial"/>
          <w:lang w:val="en-US" w:eastAsia="es-PE"/>
        </w:rPr>
        <w:t xml:space="preserve"> I, </w:t>
      </w:r>
      <w:proofErr w:type="spellStart"/>
      <w:r w:rsidRPr="006773AA">
        <w:rPr>
          <w:rFonts w:eastAsia="Arial"/>
          <w:lang w:val="en-US" w:eastAsia="es-PE"/>
        </w:rPr>
        <w:t>Lordan</w:t>
      </w:r>
      <w:proofErr w:type="spellEnd"/>
      <w:r w:rsidRPr="006773AA">
        <w:rPr>
          <w:rFonts w:eastAsia="Arial"/>
          <w:lang w:val="en-US" w:eastAsia="es-PE"/>
        </w:rPr>
        <w:t xml:space="preserve"> R, Norton C, </w:t>
      </w:r>
      <w:proofErr w:type="spellStart"/>
      <w:r w:rsidRPr="006773AA">
        <w:rPr>
          <w:rFonts w:eastAsia="Arial"/>
          <w:lang w:val="en-US" w:eastAsia="es-PE"/>
        </w:rPr>
        <w:t>Tsoupras</w:t>
      </w:r>
      <w:proofErr w:type="spellEnd"/>
      <w:r w:rsidRPr="006773AA">
        <w:rPr>
          <w:rFonts w:eastAsia="Arial"/>
          <w:lang w:val="en-US" w:eastAsia="es-PE"/>
        </w:rPr>
        <w:t xml:space="preserve"> A. COVID-19: The Inflammation Link and the Role of Nutrition in Potential Mitigation. </w:t>
      </w:r>
      <w:proofErr w:type="spellStart"/>
      <w:r w:rsidRPr="006773AA">
        <w:rPr>
          <w:rFonts w:eastAsia="Arial"/>
          <w:lang w:val="es-PE" w:eastAsia="es-PE"/>
        </w:rPr>
        <w:t>Nutrients</w:t>
      </w:r>
      <w:proofErr w:type="spellEnd"/>
      <w:r w:rsidRPr="006773AA">
        <w:rPr>
          <w:rFonts w:eastAsia="Arial"/>
          <w:lang w:val="es-PE" w:eastAsia="es-PE"/>
        </w:rPr>
        <w:t xml:space="preserve">. 2020 [acceso: 21/10/2020];12(5):1-28. Disponible en: </w:t>
      </w:r>
      <w:hyperlink r:id="rId15" w:history="1">
        <w:r w:rsidRPr="006773AA">
          <w:rPr>
            <w:rFonts w:eastAsia="Arial"/>
            <w:color w:val="0563C1"/>
            <w:u w:val="single"/>
            <w:lang w:val="es-PE" w:eastAsia="es-PE"/>
          </w:rPr>
          <w:t>https://www.ncbi.nlm.nih.gov/pmc/articles/PMC7284818/</w:t>
        </w:r>
      </w:hyperlink>
      <w:r w:rsidRPr="006773AA">
        <w:rPr>
          <w:rFonts w:eastAsia="Arial"/>
          <w:lang w:val="es-PE" w:eastAsia="es-PE"/>
        </w:rPr>
        <w:t xml:space="preserve"> </w:t>
      </w:r>
    </w:p>
    <w:p w14:paraId="7EE7017D"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2. Pal R, </w:t>
      </w:r>
      <w:proofErr w:type="spellStart"/>
      <w:r w:rsidRPr="006773AA">
        <w:rPr>
          <w:rFonts w:eastAsia="Arial"/>
          <w:lang w:val="en-US" w:eastAsia="es-PE"/>
        </w:rPr>
        <w:t>Bhadada</w:t>
      </w:r>
      <w:proofErr w:type="spellEnd"/>
      <w:r w:rsidRPr="006773AA">
        <w:rPr>
          <w:rFonts w:eastAsia="Arial"/>
          <w:lang w:val="en-US" w:eastAsia="es-PE"/>
        </w:rPr>
        <w:t xml:space="preserve"> SK. COVID-19 and non-communicable diseases. </w:t>
      </w:r>
      <w:proofErr w:type="spellStart"/>
      <w:r w:rsidRPr="006773AA">
        <w:rPr>
          <w:rFonts w:eastAsia="Arial"/>
          <w:lang w:val="es-PE" w:eastAsia="es-PE"/>
        </w:rPr>
        <w:t>Postgrad</w:t>
      </w:r>
      <w:proofErr w:type="spellEnd"/>
      <w:r w:rsidRPr="006773AA">
        <w:rPr>
          <w:rFonts w:eastAsia="Arial"/>
          <w:lang w:val="es-PE" w:eastAsia="es-PE"/>
        </w:rPr>
        <w:t xml:space="preserve"> </w:t>
      </w:r>
      <w:proofErr w:type="spellStart"/>
      <w:r w:rsidRPr="006773AA">
        <w:rPr>
          <w:rFonts w:eastAsia="Arial"/>
          <w:lang w:val="es-PE" w:eastAsia="es-PE"/>
        </w:rPr>
        <w:t>Med</w:t>
      </w:r>
      <w:proofErr w:type="spellEnd"/>
      <w:r w:rsidRPr="006773AA">
        <w:rPr>
          <w:rFonts w:eastAsia="Arial"/>
          <w:lang w:val="es-PE" w:eastAsia="es-PE"/>
        </w:rPr>
        <w:t xml:space="preserve"> J. 2020 [acceso: 21/10/2020]; 96(1137):429-30. Disponible en: </w:t>
      </w:r>
      <w:hyperlink r:id="rId16" w:history="1">
        <w:r w:rsidRPr="006773AA">
          <w:rPr>
            <w:rFonts w:eastAsia="Arial"/>
            <w:color w:val="0563C1"/>
            <w:u w:val="single"/>
            <w:lang w:val="es-PE" w:eastAsia="es-PE"/>
          </w:rPr>
          <w:t>https://pmj.bmj.com/content/postgradmedj/96/1137/429.full.pdf</w:t>
        </w:r>
      </w:hyperlink>
      <w:r w:rsidRPr="006773AA">
        <w:rPr>
          <w:rFonts w:eastAsia="Arial"/>
          <w:lang w:val="es-PE" w:eastAsia="es-PE"/>
        </w:rPr>
        <w:t xml:space="preserve"> </w:t>
      </w:r>
    </w:p>
    <w:p w14:paraId="7F3101AE"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3. Organización Mundial de la Salud (OMS). Enfermedades No Transmisibles. Ginebra: OMS; 2018. [acceso: 21/10/2020]. Disponible en: </w:t>
      </w:r>
      <w:hyperlink r:id="rId17" w:history="1">
        <w:r w:rsidRPr="006773AA">
          <w:rPr>
            <w:rFonts w:eastAsia="Arial"/>
            <w:color w:val="0563C1"/>
            <w:u w:val="single"/>
            <w:lang w:val="es-PE" w:eastAsia="es-PE"/>
          </w:rPr>
          <w:t>https://www.who.int/es/news-room/fact-heets/detail/noncommunicable-diseases</w:t>
        </w:r>
      </w:hyperlink>
      <w:r w:rsidRPr="006773AA">
        <w:rPr>
          <w:rFonts w:eastAsia="Arial"/>
          <w:lang w:val="es-PE" w:eastAsia="es-PE"/>
        </w:rPr>
        <w:t xml:space="preserve"> </w:t>
      </w:r>
    </w:p>
    <w:p w14:paraId="161A785C"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4. Organización Mundial de la Salud (OMS). Alimentación Saludable. Ginebra: OMS; 2018[acceso:21/10/2020]. Disponible en:  </w:t>
      </w:r>
      <w:hyperlink r:id="rId18" w:history="1">
        <w:r w:rsidRPr="006773AA">
          <w:rPr>
            <w:rFonts w:eastAsia="Arial"/>
            <w:color w:val="0563C1"/>
            <w:u w:val="single"/>
            <w:lang w:val="es-PE" w:eastAsia="es-PE"/>
          </w:rPr>
          <w:t>https://www.who.int/es/news-room/fact-sheets/detail/healthy-diet</w:t>
        </w:r>
      </w:hyperlink>
      <w:r w:rsidRPr="006773AA">
        <w:rPr>
          <w:rFonts w:eastAsia="Arial"/>
          <w:lang w:val="es-PE" w:eastAsia="es-PE"/>
        </w:rPr>
        <w:t xml:space="preserve"> </w:t>
      </w:r>
    </w:p>
    <w:p w14:paraId="1088168D"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5. Organización Mundial de la Salud (OMS). Sobrepeso y Obesidad. Ginebra: OMS; 2020 [acceso: 21/10/2020]. Disponible en: </w:t>
      </w:r>
      <w:hyperlink r:id="rId19" w:history="1">
        <w:r w:rsidRPr="006773AA">
          <w:rPr>
            <w:rFonts w:eastAsia="Arial"/>
            <w:color w:val="0563C1"/>
            <w:u w:val="single"/>
            <w:lang w:val="es-PE" w:eastAsia="es-PE"/>
          </w:rPr>
          <w:t>https://www.who.int/es/news-room/fact-sheets/detail/obesity-and-overweight</w:t>
        </w:r>
      </w:hyperlink>
      <w:r w:rsidRPr="006773AA">
        <w:rPr>
          <w:rFonts w:eastAsia="Arial"/>
          <w:lang w:val="es-PE" w:eastAsia="es-PE"/>
        </w:rPr>
        <w:t xml:space="preserve"> </w:t>
      </w:r>
    </w:p>
    <w:p w14:paraId="4FD5CA61" w14:textId="77777777" w:rsidR="001A0508" w:rsidRPr="006773AA" w:rsidRDefault="001A0508" w:rsidP="001A0508">
      <w:pPr>
        <w:spacing w:line="360" w:lineRule="auto"/>
        <w:rPr>
          <w:rFonts w:eastAsia="Arial"/>
          <w:lang w:val="es-CU" w:eastAsia="es-PE"/>
        </w:rPr>
      </w:pPr>
      <w:r w:rsidRPr="006773AA">
        <w:rPr>
          <w:rFonts w:eastAsia="Arial"/>
          <w:lang w:val="en-US" w:eastAsia="es-PE"/>
        </w:rPr>
        <w:t xml:space="preserve">6. Shams-White M, </w:t>
      </w:r>
      <w:proofErr w:type="spellStart"/>
      <w:r w:rsidRPr="006773AA">
        <w:rPr>
          <w:rFonts w:eastAsia="Arial"/>
          <w:lang w:val="en-US" w:eastAsia="es-PE"/>
        </w:rPr>
        <w:t>Deuster</w:t>
      </w:r>
      <w:proofErr w:type="spellEnd"/>
      <w:r w:rsidRPr="006773AA">
        <w:rPr>
          <w:rFonts w:eastAsia="Arial"/>
          <w:lang w:val="en-US" w:eastAsia="es-PE"/>
        </w:rPr>
        <w:t xml:space="preserve"> P. Obesity Prevention in the Military. </w:t>
      </w:r>
      <w:proofErr w:type="spellStart"/>
      <w:r w:rsidRPr="006773AA">
        <w:rPr>
          <w:rFonts w:eastAsia="Arial"/>
          <w:lang w:val="es-CU" w:eastAsia="es-PE"/>
        </w:rPr>
        <w:t>Curr</w:t>
      </w:r>
      <w:proofErr w:type="spellEnd"/>
      <w:r w:rsidRPr="006773AA">
        <w:rPr>
          <w:rFonts w:eastAsia="Arial"/>
          <w:lang w:val="es-CU" w:eastAsia="es-PE"/>
        </w:rPr>
        <w:t xml:space="preserve"> </w:t>
      </w:r>
      <w:proofErr w:type="spellStart"/>
      <w:r w:rsidRPr="006773AA">
        <w:rPr>
          <w:rFonts w:eastAsia="Arial"/>
          <w:lang w:val="es-CU" w:eastAsia="es-PE"/>
        </w:rPr>
        <w:t>Obes</w:t>
      </w:r>
      <w:proofErr w:type="spellEnd"/>
      <w:r w:rsidRPr="006773AA">
        <w:rPr>
          <w:rFonts w:eastAsia="Arial"/>
          <w:lang w:val="es-CU" w:eastAsia="es-PE"/>
        </w:rPr>
        <w:t xml:space="preserve"> Rep. 2017; 6(2): 155-62. DOI: 10.1007/s13679-017-0258-7</w:t>
      </w:r>
    </w:p>
    <w:p w14:paraId="57C1DD0E" w14:textId="77777777" w:rsidR="001A0508" w:rsidRPr="006773AA" w:rsidRDefault="001A0508" w:rsidP="001A0508">
      <w:pPr>
        <w:spacing w:line="360" w:lineRule="auto"/>
        <w:rPr>
          <w:rFonts w:eastAsia="Arial"/>
          <w:lang w:val="es-PE" w:eastAsia="es-PE"/>
        </w:rPr>
      </w:pPr>
      <w:r w:rsidRPr="006773AA">
        <w:rPr>
          <w:rFonts w:eastAsia="Arial"/>
          <w:lang w:val="es-CU" w:eastAsia="es-PE"/>
        </w:rPr>
        <w:t xml:space="preserve">7. </w:t>
      </w:r>
      <w:r w:rsidRPr="006773AA">
        <w:rPr>
          <w:rFonts w:eastAsia="Arial"/>
          <w:lang w:val="es-PE" w:eastAsia="es-PE"/>
        </w:rPr>
        <w:t xml:space="preserve">Ministerio de Salud del Perú (MINSA). El 85.5 % de pacientes fallecidos con comorbilidades por Covid-19 padecían obesidad. </w:t>
      </w:r>
      <w:proofErr w:type="spellStart"/>
      <w:r w:rsidRPr="006773AA">
        <w:rPr>
          <w:rFonts w:eastAsia="Arial"/>
          <w:lang w:val="es-PE" w:eastAsia="es-PE"/>
        </w:rPr>
        <w:t>Gob</w:t>
      </w:r>
      <w:proofErr w:type="spellEnd"/>
      <w:r w:rsidRPr="006773AA">
        <w:rPr>
          <w:rFonts w:eastAsia="Arial"/>
          <w:lang w:val="es-PE" w:eastAsia="es-PE"/>
        </w:rPr>
        <w:t xml:space="preserve">-pe. 2020. [acceso: 21/10/2020]. Disponible en: </w:t>
      </w:r>
      <w:hyperlink r:id="rId20" w:history="1">
        <w:r w:rsidRPr="006773AA">
          <w:rPr>
            <w:rFonts w:eastAsia="Arial"/>
            <w:color w:val="0563C1"/>
            <w:u w:val="single"/>
            <w:lang w:val="es-PE" w:eastAsia="es-PE"/>
          </w:rPr>
          <w:t>https://www.gob.pe/institucion/minsa/noticias/286005-el-85-5-de-pacientes-fallecidos-con-comorbilidades-por-covid-19-padecian-obesidad</w:t>
        </w:r>
      </w:hyperlink>
      <w:r w:rsidRPr="006773AA">
        <w:rPr>
          <w:rFonts w:eastAsia="Arial"/>
          <w:lang w:val="es-PE" w:eastAsia="es-PE"/>
        </w:rPr>
        <w:t xml:space="preserve"> </w:t>
      </w:r>
      <w:r w:rsidRPr="006773AA" w:rsidDel="0035113C">
        <w:rPr>
          <w:rFonts w:eastAsia="Arial"/>
          <w:lang w:val="es-PE" w:eastAsia="es-PE"/>
        </w:rPr>
        <w:t xml:space="preserve"> </w:t>
      </w:r>
      <w:r w:rsidRPr="006773AA">
        <w:rPr>
          <w:rFonts w:eastAsia="Arial"/>
          <w:lang w:val="es-PE" w:eastAsia="es-PE"/>
        </w:rPr>
        <w:t xml:space="preserve"> </w:t>
      </w:r>
    </w:p>
    <w:p w14:paraId="434A388E" w14:textId="77777777" w:rsidR="001A0508" w:rsidRPr="006773AA" w:rsidRDefault="001A0508" w:rsidP="001A0508">
      <w:pPr>
        <w:spacing w:line="360" w:lineRule="auto"/>
        <w:rPr>
          <w:rFonts w:eastAsia="Arial"/>
          <w:lang w:val="es-CU" w:eastAsia="es-PE"/>
        </w:rPr>
      </w:pPr>
      <w:r w:rsidRPr="006773AA">
        <w:rPr>
          <w:rFonts w:eastAsia="Arial"/>
          <w:lang w:val="en-US" w:eastAsia="es-PE"/>
        </w:rPr>
        <w:lastRenderedPageBreak/>
        <w:t xml:space="preserve">8. Zaman R, </w:t>
      </w:r>
      <w:proofErr w:type="spellStart"/>
      <w:r w:rsidRPr="006773AA">
        <w:rPr>
          <w:rFonts w:eastAsia="Arial"/>
          <w:lang w:val="en-US" w:eastAsia="es-PE"/>
        </w:rPr>
        <w:t>Hankir</w:t>
      </w:r>
      <w:proofErr w:type="spellEnd"/>
      <w:r w:rsidRPr="006773AA">
        <w:rPr>
          <w:rFonts w:eastAsia="Arial"/>
          <w:lang w:val="en-US" w:eastAsia="es-PE"/>
        </w:rPr>
        <w:t xml:space="preserve"> A, </w:t>
      </w:r>
      <w:proofErr w:type="spellStart"/>
      <w:r w:rsidRPr="006773AA">
        <w:rPr>
          <w:rFonts w:eastAsia="Arial"/>
          <w:lang w:val="en-US" w:eastAsia="es-PE"/>
        </w:rPr>
        <w:t>Jemni</w:t>
      </w:r>
      <w:proofErr w:type="spellEnd"/>
      <w:r w:rsidRPr="006773AA">
        <w:rPr>
          <w:rFonts w:eastAsia="Arial"/>
          <w:lang w:val="en-US" w:eastAsia="es-PE"/>
        </w:rPr>
        <w:t xml:space="preserve"> M. Lifestyle Factors and Mental Health. </w:t>
      </w:r>
      <w:proofErr w:type="spellStart"/>
      <w:r w:rsidRPr="006773AA">
        <w:rPr>
          <w:rFonts w:eastAsia="Arial"/>
          <w:lang w:val="es-PE" w:eastAsia="es-PE"/>
        </w:rPr>
        <w:t>Psychiatr</w:t>
      </w:r>
      <w:proofErr w:type="spellEnd"/>
      <w:r w:rsidRPr="006773AA">
        <w:rPr>
          <w:rFonts w:eastAsia="Arial"/>
          <w:lang w:val="es-PE" w:eastAsia="es-PE"/>
        </w:rPr>
        <w:t xml:space="preserve"> </w:t>
      </w:r>
      <w:proofErr w:type="spellStart"/>
      <w:r w:rsidRPr="006773AA">
        <w:rPr>
          <w:rFonts w:eastAsia="Arial"/>
          <w:lang w:val="es-PE" w:eastAsia="es-PE"/>
        </w:rPr>
        <w:t>Danub</w:t>
      </w:r>
      <w:proofErr w:type="spellEnd"/>
      <w:r w:rsidRPr="006773AA">
        <w:rPr>
          <w:rFonts w:eastAsia="Arial"/>
          <w:lang w:val="es-PE" w:eastAsia="es-PE"/>
        </w:rPr>
        <w:t xml:space="preserve">. </w:t>
      </w:r>
      <w:r w:rsidRPr="006773AA">
        <w:rPr>
          <w:rFonts w:eastAsia="Arial"/>
          <w:lang w:val="es-CU" w:eastAsia="es-PE"/>
        </w:rPr>
        <w:t xml:space="preserve">2019 [acceso: 21/10/2020]; 31:217-20. Disponible en: </w:t>
      </w:r>
      <w:hyperlink r:id="rId21" w:history="1">
        <w:r w:rsidRPr="006773AA">
          <w:rPr>
            <w:rFonts w:eastAsia="Calibri"/>
            <w:color w:val="0563C1"/>
            <w:u w:val="single"/>
            <w:lang w:val="es-CU" w:eastAsia="es-PE"/>
          </w:rPr>
          <w:t>http://www.psychiatria-danubina.com/UserDocsImages/pdf/dnb_vol31_noSuppl%203/dnb_vol31_noSuppl%203_217.pdf</w:t>
        </w:r>
      </w:hyperlink>
      <w:r w:rsidRPr="006773AA">
        <w:rPr>
          <w:rFonts w:eastAsia="Arial"/>
          <w:lang w:val="es-CU" w:eastAsia="es-PE"/>
        </w:rPr>
        <w:t xml:space="preserve"> </w:t>
      </w:r>
    </w:p>
    <w:p w14:paraId="11686A98" w14:textId="77777777" w:rsidR="001A0508" w:rsidRPr="006773AA" w:rsidRDefault="001A0508" w:rsidP="001A0508">
      <w:pPr>
        <w:spacing w:line="360" w:lineRule="auto"/>
        <w:rPr>
          <w:rFonts w:eastAsia="Arial"/>
          <w:lang w:val="en-US" w:eastAsia="es-PE"/>
        </w:rPr>
      </w:pPr>
      <w:r w:rsidRPr="006773AA">
        <w:rPr>
          <w:rFonts w:eastAsia="Arial"/>
          <w:lang w:val="en-US" w:eastAsia="es-PE"/>
        </w:rPr>
        <w:t xml:space="preserve">9. </w:t>
      </w:r>
      <w:proofErr w:type="spellStart"/>
      <w:r w:rsidRPr="006773AA">
        <w:rPr>
          <w:rFonts w:eastAsia="Arial"/>
          <w:lang w:val="en-US" w:eastAsia="es-PE"/>
        </w:rPr>
        <w:t>Petrides</w:t>
      </w:r>
      <w:proofErr w:type="spellEnd"/>
      <w:r w:rsidRPr="006773AA">
        <w:rPr>
          <w:rFonts w:eastAsia="Arial"/>
          <w:lang w:val="en-US" w:eastAsia="es-PE"/>
        </w:rPr>
        <w:t xml:space="preserve"> J, Collins P, Kowalski A, </w:t>
      </w:r>
      <w:proofErr w:type="spellStart"/>
      <w:r w:rsidRPr="006773AA">
        <w:rPr>
          <w:rFonts w:eastAsia="Arial"/>
          <w:lang w:val="en-US" w:eastAsia="es-PE"/>
        </w:rPr>
        <w:t>Sepede</w:t>
      </w:r>
      <w:proofErr w:type="spellEnd"/>
      <w:r w:rsidRPr="006773AA">
        <w:rPr>
          <w:rFonts w:eastAsia="Arial"/>
          <w:lang w:val="en-US" w:eastAsia="es-PE"/>
        </w:rPr>
        <w:t xml:space="preserve"> J, Vermeulen M. Lifestyle Changes for Disease Prevention. Prim Care. 2019; 46 (1): 1-12. DOI: 10.1016/j.pop.2018.10.003</w:t>
      </w:r>
    </w:p>
    <w:p w14:paraId="6DCDF5E0"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10. </w:t>
      </w:r>
      <w:proofErr w:type="spellStart"/>
      <w:r w:rsidRPr="006773AA">
        <w:rPr>
          <w:rFonts w:eastAsia="Arial"/>
          <w:lang w:val="en-US" w:eastAsia="es-PE"/>
        </w:rPr>
        <w:t>Tanofsky-Kraff</w:t>
      </w:r>
      <w:proofErr w:type="spellEnd"/>
      <w:r w:rsidRPr="006773AA">
        <w:rPr>
          <w:rFonts w:eastAsia="Arial"/>
          <w:lang w:val="en-US" w:eastAsia="es-PE"/>
        </w:rPr>
        <w:t xml:space="preserve"> M, </w:t>
      </w:r>
      <w:proofErr w:type="spellStart"/>
      <w:r w:rsidRPr="006773AA">
        <w:rPr>
          <w:rFonts w:eastAsia="Arial"/>
          <w:lang w:val="en-US" w:eastAsia="es-PE"/>
        </w:rPr>
        <w:t>Sbrocco</w:t>
      </w:r>
      <w:proofErr w:type="spellEnd"/>
      <w:r w:rsidRPr="006773AA">
        <w:rPr>
          <w:rFonts w:eastAsia="Arial"/>
          <w:lang w:val="en-US" w:eastAsia="es-PE"/>
        </w:rPr>
        <w:t xml:space="preserve"> T, </w:t>
      </w:r>
      <w:proofErr w:type="spellStart"/>
      <w:r w:rsidRPr="006773AA">
        <w:rPr>
          <w:rFonts w:eastAsia="Arial"/>
          <w:lang w:val="en-US" w:eastAsia="es-PE"/>
        </w:rPr>
        <w:t>Theim</w:t>
      </w:r>
      <w:proofErr w:type="spellEnd"/>
      <w:r w:rsidRPr="006773AA">
        <w:rPr>
          <w:rFonts w:eastAsia="Arial"/>
          <w:lang w:val="en-US" w:eastAsia="es-PE"/>
        </w:rPr>
        <w:t xml:space="preserve"> KR, Cohen LA, Mackey ER, </w:t>
      </w:r>
      <w:proofErr w:type="spellStart"/>
      <w:r w:rsidRPr="006773AA">
        <w:rPr>
          <w:rFonts w:eastAsia="Arial"/>
          <w:lang w:val="en-US" w:eastAsia="es-PE"/>
        </w:rPr>
        <w:t>Stice</w:t>
      </w:r>
      <w:proofErr w:type="spellEnd"/>
      <w:r w:rsidRPr="006773AA">
        <w:rPr>
          <w:rFonts w:eastAsia="Arial"/>
          <w:lang w:val="en-US" w:eastAsia="es-PE"/>
        </w:rPr>
        <w:t xml:space="preserve"> E, et al. Obesity, and the US military family. </w:t>
      </w:r>
      <w:proofErr w:type="spellStart"/>
      <w:r w:rsidRPr="006773AA">
        <w:rPr>
          <w:rFonts w:eastAsia="Arial"/>
          <w:lang w:val="es-CU" w:eastAsia="es-PE"/>
        </w:rPr>
        <w:t>Obesity</w:t>
      </w:r>
      <w:proofErr w:type="spellEnd"/>
      <w:r w:rsidRPr="006773AA">
        <w:rPr>
          <w:rFonts w:eastAsia="Arial"/>
          <w:lang w:val="es-CU" w:eastAsia="es-PE"/>
        </w:rPr>
        <w:t xml:space="preserve"> (Silver Spring). 2013 [acceso: 24/10/2020]; 21(11):2205-20. </w:t>
      </w:r>
      <w:r w:rsidRPr="006773AA">
        <w:rPr>
          <w:rFonts w:eastAsia="Arial"/>
          <w:lang w:val="es-PE" w:eastAsia="es-PE"/>
        </w:rPr>
        <w:t xml:space="preserve">Disponible en: </w:t>
      </w:r>
      <w:hyperlink r:id="rId22" w:history="1">
        <w:r w:rsidRPr="006773AA">
          <w:rPr>
            <w:rFonts w:eastAsia="Arial"/>
            <w:color w:val="0563C1"/>
            <w:u w:val="single"/>
            <w:lang w:val="es-PE" w:eastAsia="es-PE"/>
          </w:rPr>
          <w:t>https://www.ncbi.nlm.nih.gov/pmc/articles/PMC4010088/</w:t>
        </w:r>
      </w:hyperlink>
      <w:r w:rsidRPr="006773AA">
        <w:rPr>
          <w:rFonts w:eastAsia="Arial"/>
          <w:lang w:val="es-PE" w:eastAsia="es-PE"/>
        </w:rPr>
        <w:t xml:space="preserve"> </w:t>
      </w:r>
    </w:p>
    <w:p w14:paraId="115E761C"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11. Durán-Agüero S, </w:t>
      </w:r>
      <w:proofErr w:type="spellStart"/>
      <w:r w:rsidRPr="006773AA">
        <w:rPr>
          <w:rFonts w:eastAsia="Arial"/>
          <w:lang w:val="es-PE" w:eastAsia="es-PE"/>
        </w:rPr>
        <w:t>Maraboli</w:t>
      </w:r>
      <w:proofErr w:type="spellEnd"/>
      <w:r w:rsidRPr="006773AA">
        <w:rPr>
          <w:rFonts w:eastAsia="Arial"/>
          <w:lang w:val="es-PE" w:eastAsia="es-PE"/>
        </w:rPr>
        <w:t xml:space="preserve"> D, Cubillos-</w:t>
      </w:r>
      <w:proofErr w:type="spellStart"/>
      <w:r w:rsidRPr="006773AA">
        <w:rPr>
          <w:rFonts w:eastAsia="Arial"/>
          <w:lang w:val="es-PE" w:eastAsia="es-PE"/>
        </w:rPr>
        <w:t>Schmiedb</w:t>
      </w:r>
      <w:proofErr w:type="spellEnd"/>
      <w:r w:rsidRPr="006773AA">
        <w:rPr>
          <w:rFonts w:eastAsia="Arial"/>
          <w:lang w:val="es-PE" w:eastAsia="es-PE"/>
        </w:rPr>
        <w:t xml:space="preserve"> G, Fernández-Frías F. Asociación entre hábitos alimentarios e índice de masa corporal normal en soldados chilenos. </w:t>
      </w:r>
      <w:proofErr w:type="spellStart"/>
      <w:r w:rsidRPr="006773AA">
        <w:rPr>
          <w:rFonts w:eastAsia="Arial"/>
          <w:lang w:val="es-PE" w:eastAsia="es-PE"/>
        </w:rPr>
        <w:t>Rev</w:t>
      </w:r>
      <w:proofErr w:type="spellEnd"/>
      <w:r w:rsidRPr="006773AA">
        <w:rPr>
          <w:rFonts w:eastAsia="Arial"/>
          <w:lang w:val="es-PE" w:eastAsia="es-PE"/>
        </w:rPr>
        <w:t xml:space="preserve"> </w:t>
      </w:r>
      <w:proofErr w:type="spellStart"/>
      <w:r w:rsidRPr="006773AA">
        <w:rPr>
          <w:rFonts w:eastAsia="Arial"/>
          <w:lang w:val="es-PE" w:eastAsia="es-PE"/>
        </w:rPr>
        <w:t>Esp</w:t>
      </w:r>
      <w:proofErr w:type="spellEnd"/>
      <w:r w:rsidRPr="006773AA">
        <w:rPr>
          <w:rFonts w:eastAsia="Arial"/>
          <w:lang w:val="es-PE" w:eastAsia="es-PE"/>
        </w:rPr>
        <w:t xml:space="preserve"> </w:t>
      </w:r>
      <w:proofErr w:type="spellStart"/>
      <w:r w:rsidRPr="006773AA">
        <w:rPr>
          <w:rFonts w:eastAsia="Arial"/>
          <w:lang w:val="es-PE" w:eastAsia="es-PE"/>
        </w:rPr>
        <w:t>Nutr</w:t>
      </w:r>
      <w:proofErr w:type="spellEnd"/>
      <w:r w:rsidRPr="006773AA">
        <w:rPr>
          <w:rFonts w:eastAsia="Arial"/>
          <w:lang w:val="es-PE" w:eastAsia="es-PE"/>
        </w:rPr>
        <w:t xml:space="preserve"> Hum </w:t>
      </w:r>
      <w:proofErr w:type="spellStart"/>
      <w:r w:rsidRPr="006773AA">
        <w:rPr>
          <w:rFonts w:eastAsia="Arial"/>
          <w:lang w:val="es-PE" w:eastAsia="es-PE"/>
        </w:rPr>
        <w:t>Diet</w:t>
      </w:r>
      <w:proofErr w:type="spellEnd"/>
      <w:r w:rsidRPr="006773AA">
        <w:rPr>
          <w:rFonts w:eastAsia="Arial"/>
          <w:lang w:val="es-PE" w:eastAsia="es-PE"/>
        </w:rPr>
        <w:t>. 2016; 20(4):316-22. DOI: 10.14306/renhyd.20.4.265</w:t>
      </w:r>
    </w:p>
    <w:p w14:paraId="6FE5BAA7"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12. Ministerio de Salud del Perú (MINSA). Resolución Ministerial </w:t>
      </w:r>
      <w:proofErr w:type="spellStart"/>
      <w:r w:rsidRPr="006773AA">
        <w:rPr>
          <w:rFonts w:eastAsia="Arial"/>
          <w:lang w:val="es-PE" w:eastAsia="es-PE"/>
        </w:rPr>
        <w:t>N°</w:t>
      </w:r>
      <w:proofErr w:type="spellEnd"/>
      <w:r w:rsidRPr="006773AA">
        <w:rPr>
          <w:rFonts w:eastAsia="Arial"/>
          <w:lang w:val="es-PE" w:eastAsia="es-PE"/>
        </w:rPr>
        <w:t xml:space="preserve"> 456-2020-MINSA, que aprueba la Norma Técnica de Salud </w:t>
      </w:r>
      <w:proofErr w:type="spellStart"/>
      <w:r w:rsidRPr="006773AA">
        <w:rPr>
          <w:rFonts w:eastAsia="Arial"/>
          <w:lang w:val="es-PE" w:eastAsia="es-PE"/>
        </w:rPr>
        <w:t>N°</w:t>
      </w:r>
      <w:proofErr w:type="spellEnd"/>
      <w:r w:rsidRPr="006773AA">
        <w:rPr>
          <w:rFonts w:eastAsia="Arial"/>
          <w:lang w:val="es-PE" w:eastAsia="es-PE"/>
        </w:rPr>
        <w:t xml:space="preserve"> 161-MINSA/2020/DGAIN, Norma Técnica de Salud para el uso de los Equipos de Protección Personal por los trabajadores de las Instituciones Prestadoras de Servicios de Salud. </w:t>
      </w:r>
      <w:proofErr w:type="spellStart"/>
      <w:r w:rsidRPr="006773AA">
        <w:rPr>
          <w:rFonts w:eastAsia="Arial"/>
          <w:lang w:val="es-PE" w:eastAsia="es-PE"/>
        </w:rPr>
        <w:t>Gob</w:t>
      </w:r>
      <w:proofErr w:type="spellEnd"/>
      <w:r w:rsidRPr="006773AA">
        <w:rPr>
          <w:rFonts w:eastAsia="Arial"/>
          <w:lang w:val="es-PE" w:eastAsia="es-PE"/>
        </w:rPr>
        <w:t xml:space="preserve">-pe. Lima. 2020 [acceso: 10/02/2021]. Disponible en: </w:t>
      </w:r>
      <w:hyperlink r:id="rId23" w:history="1">
        <w:r w:rsidRPr="006773AA">
          <w:rPr>
            <w:rFonts w:eastAsia="Arial"/>
            <w:color w:val="0563C1"/>
            <w:u w:val="single"/>
            <w:lang w:val="es-PE" w:eastAsia="es-PE"/>
          </w:rPr>
          <w:t>https://www.gob.pe/institucion/minsa/normas-legales/783241-456-2020-minsa</w:t>
        </w:r>
      </w:hyperlink>
      <w:r w:rsidRPr="006773AA">
        <w:rPr>
          <w:rFonts w:eastAsia="Arial"/>
          <w:lang w:val="es-PE" w:eastAsia="es-PE"/>
        </w:rPr>
        <w:t xml:space="preserve"> </w:t>
      </w:r>
    </w:p>
    <w:p w14:paraId="5B36987F"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13. Arrivillaga M, Salazar I. Creencias relacionadas con el estilo de vida de los jóvenes latinoamericanos. Psicología conductual. 2005 [acceso: 11/02/2021]; 13(1):19-36. Disponible en: </w:t>
      </w:r>
      <w:hyperlink r:id="rId24" w:history="1">
        <w:r w:rsidRPr="006773AA">
          <w:rPr>
            <w:rFonts w:eastAsia="Arial"/>
            <w:color w:val="0563C1"/>
            <w:u w:val="single"/>
            <w:lang w:val="es-PE" w:eastAsia="es-PE"/>
          </w:rPr>
          <w:t>https://www.behavioralpsycho.com/wp-content/uploads/2020/04/02.Arrivillaga_13-1oa-1.pdf</w:t>
        </w:r>
      </w:hyperlink>
      <w:r w:rsidRPr="006773AA">
        <w:rPr>
          <w:rFonts w:eastAsia="Arial"/>
          <w:lang w:val="es-PE" w:eastAsia="es-PE"/>
        </w:rPr>
        <w:t xml:space="preserve"> </w:t>
      </w:r>
    </w:p>
    <w:p w14:paraId="0495E541" w14:textId="6B96CE56" w:rsidR="001A0508" w:rsidRPr="006773AA" w:rsidRDefault="001A0508" w:rsidP="001A0508">
      <w:pPr>
        <w:spacing w:line="360" w:lineRule="auto"/>
        <w:rPr>
          <w:rFonts w:eastAsia="Arial"/>
          <w:lang w:val="es-PE" w:eastAsia="es-PE"/>
        </w:rPr>
      </w:pPr>
      <w:r w:rsidRPr="006773AA">
        <w:rPr>
          <w:rFonts w:eastAsia="Arial"/>
          <w:lang w:val="es-PE" w:eastAsia="es-PE"/>
        </w:rPr>
        <w:t>14. Palomares L. Estilos de vida saludables y su relación con el estado nutricional en profesionales de la salud. [Tesis Maestría]. Lima, Perú: Universidad Peruana de Ciencias Aplicadas; 2014.</w:t>
      </w:r>
      <w:r w:rsidR="004678A4" w:rsidRPr="006773AA">
        <w:rPr>
          <w:rFonts w:eastAsia="Arial"/>
          <w:lang w:val="es-PE" w:eastAsia="es-PE"/>
        </w:rPr>
        <w:t xml:space="preserve"> </w:t>
      </w:r>
      <w:r w:rsidRPr="006773AA">
        <w:rPr>
          <w:rFonts w:eastAsia="Arial"/>
          <w:lang w:val="es-PE" w:eastAsia="es-PE"/>
        </w:rPr>
        <w:t xml:space="preserve">Disponible en: </w:t>
      </w:r>
      <w:hyperlink r:id="rId25" w:history="1">
        <w:r w:rsidRPr="006773AA">
          <w:rPr>
            <w:rFonts w:eastAsia="Arial"/>
            <w:color w:val="0563C1"/>
            <w:u w:val="single"/>
            <w:lang w:val="es-PE" w:eastAsia="es-PE"/>
          </w:rPr>
          <w:t>https://repositorioacademico.upc.edu.pe/handle/10757/566985</w:t>
        </w:r>
      </w:hyperlink>
      <w:r w:rsidRPr="006773AA">
        <w:rPr>
          <w:rFonts w:eastAsia="Arial"/>
          <w:lang w:val="es-PE" w:eastAsia="es-PE"/>
        </w:rPr>
        <w:t xml:space="preserve"> </w:t>
      </w:r>
    </w:p>
    <w:p w14:paraId="0588B2BA"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15. Ramos G. Estilos de vida y su influencia sobre el estado nutricional en escolares adolescentes de la Institución Educativa Técnico Industrial San Miguel Achaya-2017. [Tesis Licenciatura]. Puno, Perú: Universidad Nacional del Altiplano;2017. Disponible en: </w:t>
      </w:r>
      <w:hyperlink r:id="rId26" w:history="1">
        <w:r w:rsidRPr="006773AA">
          <w:rPr>
            <w:rFonts w:eastAsia="Arial"/>
            <w:color w:val="0563C1"/>
            <w:u w:val="single"/>
            <w:lang w:val="es-PE" w:eastAsia="es-PE"/>
          </w:rPr>
          <w:t>http://repositorio.unap.edu.pe/handle/UNAP/6340</w:t>
        </w:r>
      </w:hyperlink>
      <w:r w:rsidRPr="006773AA">
        <w:rPr>
          <w:rFonts w:eastAsia="Arial"/>
          <w:lang w:val="es-PE" w:eastAsia="es-PE"/>
        </w:rPr>
        <w:t xml:space="preserve"> </w:t>
      </w:r>
    </w:p>
    <w:p w14:paraId="683D4151"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16. Organización Mundial de la Salud (OMS). </w:t>
      </w:r>
      <w:r w:rsidRPr="006773AA">
        <w:rPr>
          <w:rFonts w:eastAsia="Arial"/>
          <w:lang w:val="en-US" w:eastAsia="es-PE"/>
        </w:rPr>
        <w:t xml:space="preserve">Obesity: preventing and managing the global epidemic: report of a WHO consultation. </w:t>
      </w:r>
      <w:r w:rsidRPr="006773AA">
        <w:rPr>
          <w:rFonts w:eastAsia="Arial"/>
          <w:lang w:val="es-PE" w:eastAsia="es-PE"/>
        </w:rPr>
        <w:t xml:space="preserve">Ginebra: WHO; 2000. [acceso: 10/02/2021]. Disponible en: </w:t>
      </w:r>
      <w:hyperlink r:id="rId27" w:history="1">
        <w:r w:rsidRPr="006773AA">
          <w:rPr>
            <w:rFonts w:eastAsia="Arial"/>
            <w:color w:val="0563C1"/>
            <w:u w:val="single"/>
            <w:lang w:val="es-PE" w:eastAsia="es-PE"/>
          </w:rPr>
          <w:t>https://apps.who.int/iris/handle/10665/42330?locale-attribute=es&amp;</w:t>
        </w:r>
      </w:hyperlink>
      <w:r w:rsidRPr="006773AA">
        <w:rPr>
          <w:rFonts w:eastAsia="Arial"/>
          <w:lang w:val="es-PE" w:eastAsia="es-PE"/>
        </w:rPr>
        <w:t xml:space="preserve">   </w:t>
      </w:r>
    </w:p>
    <w:p w14:paraId="10FF9FAA" w14:textId="77777777" w:rsidR="001A0508" w:rsidRPr="006773AA" w:rsidRDefault="001A0508" w:rsidP="001A0508">
      <w:pPr>
        <w:spacing w:line="360" w:lineRule="auto"/>
        <w:rPr>
          <w:rFonts w:eastAsia="Arial"/>
          <w:lang w:val="es-PE" w:eastAsia="es-PE"/>
        </w:rPr>
      </w:pPr>
      <w:r w:rsidRPr="006773AA">
        <w:rPr>
          <w:rFonts w:eastAsia="Arial"/>
          <w:lang w:val="en-US" w:eastAsia="es-PE"/>
        </w:rPr>
        <w:lastRenderedPageBreak/>
        <w:t xml:space="preserve">17. Tala A, Vásquez E, Plaza C. Healthy lifestyles in times of pandemic. </w:t>
      </w:r>
      <w:proofErr w:type="spellStart"/>
      <w:r w:rsidRPr="006773AA">
        <w:rPr>
          <w:rFonts w:eastAsia="Arial"/>
          <w:lang w:val="es-PE" w:eastAsia="es-PE"/>
        </w:rPr>
        <w:t>Rev</w:t>
      </w:r>
      <w:proofErr w:type="spellEnd"/>
      <w:r w:rsidRPr="006773AA">
        <w:rPr>
          <w:rFonts w:eastAsia="Arial"/>
          <w:lang w:val="es-PE" w:eastAsia="es-PE"/>
        </w:rPr>
        <w:t xml:space="preserve"> </w:t>
      </w:r>
      <w:proofErr w:type="spellStart"/>
      <w:r w:rsidRPr="006773AA">
        <w:rPr>
          <w:rFonts w:eastAsia="Arial"/>
          <w:lang w:val="es-PE" w:eastAsia="es-PE"/>
        </w:rPr>
        <w:t>Méd</w:t>
      </w:r>
      <w:proofErr w:type="spellEnd"/>
      <w:r w:rsidRPr="006773AA">
        <w:rPr>
          <w:rFonts w:eastAsia="Arial"/>
          <w:lang w:val="es-PE" w:eastAsia="es-PE"/>
        </w:rPr>
        <w:t xml:space="preserve"> Chile. 2020 [acceso: 10/02/2021]; 148(8):1189-94. Disponible en: </w:t>
      </w:r>
      <w:hyperlink r:id="rId28" w:history="1">
        <w:r w:rsidRPr="006773AA">
          <w:rPr>
            <w:rFonts w:eastAsia="Arial"/>
            <w:color w:val="0563C1"/>
            <w:u w:val="single"/>
            <w:lang w:val="es-PE" w:eastAsia="es-PE"/>
          </w:rPr>
          <w:t>https://scielo.conicyt.cl/scielo.php?script=sci_arttext&amp;pid=S0034-98872020000801189&amp;lng=en&amp;nrm=iso&amp;tlng=en</w:t>
        </w:r>
      </w:hyperlink>
      <w:r w:rsidRPr="006773AA">
        <w:rPr>
          <w:rFonts w:eastAsia="Arial"/>
          <w:lang w:val="es-PE" w:eastAsia="es-PE"/>
        </w:rPr>
        <w:t xml:space="preserve"> </w:t>
      </w:r>
    </w:p>
    <w:p w14:paraId="399CEB10"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18. </w:t>
      </w:r>
      <w:proofErr w:type="spellStart"/>
      <w:r w:rsidRPr="006773AA">
        <w:rPr>
          <w:rFonts w:eastAsia="Arial"/>
          <w:lang w:val="en-US" w:eastAsia="es-PE"/>
        </w:rPr>
        <w:t>Alkhatib</w:t>
      </w:r>
      <w:proofErr w:type="spellEnd"/>
      <w:r w:rsidRPr="006773AA">
        <w:rPr>
          <w:rFonts w:eastAsia="Arial"/>
          <w:lang w:val="en-US" w:eastAsia="es-PE"/>
        </w:rPr>
        <w:t xml:space="preserve"> A. Antiviral Functional Foods and Exercise Lifestyle Prevention of Coronavirus. </w:t>
      </w:r>
      <w:proofErr w:type="spellStart"/>
      <w:r w:rsidRPr="006773AA">
        <w:rPr>
          <w:rFonts w:eastAsia="Arial"/>
          <w:lang w:val="es-PE" w:eastAsia="es-PE"/>
        </w:rPr>
        <w:t>Nutrients</w:t>
      </w:r>
      <w:proofErr w:type="spellEnd"/>
      <w:r w:rsidRPr="006773AA">
        <w:rPr>
          <w:rFonts w:eastAsia="Arial"/>
          <w:lang w:val="es-PE" w:eastAsia="es-PE"/>
        </w:rPr>
        <w:t xml:space="preserve">. 2020 [acceso: 11/02/2021]; 12(9):2633. Disponible en: </w:t>
      </w:r>
      <w:hyperlink r:id="rId29" w:history="1">
        <w:r w:rsidRPr="006773AA">
          <w:rPr>
            <w:rFonts w:eastAsia="Arial"/>
            <w:color w:val="0563C1"/>
            <w:u w:val="single"/>
            <w:lang w:val="es-PE" w:eastAsia="es-PE"/>
          </w:rPr>
          <w:t>https://www.ncbi.nlm.nih.gov/pmc/articles/PMC7551447/</w:t>
        </w:r>
      </w:hyperlink>
      <w:r w:rsidRPr="006773AA">
        <w:rPr>
          <w:rFonts w:eastAsia="Arial"/>
          <w:lang w:val="es-PE" w:eastAsia="es-PE"/>
        </w:rPr>
        <w:t xml:space="preserve"> </w:t>
      </w:r>
    </w:p>
    <w:p w14:paraId="53F2A864"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19. Mattioli A, </w:t>
      </w:r>
      <w:proofErr w:type="spellStart"/>
      <w:r w:rsidRPr="006773AA">
        <w:rPr>
          <w:rFonts w:eastAsia="Arial"/>
          <w:lang w:val="en-US" w:eastAsia="es-PE"/>
        </w:rPr>
        <w:t>Sciomer</w:t>
      </w:r>
      <w:proofErr w:type="spellEnd"/>
      <w:r w:rsidRPr="006773AA">
        <w:rPr>
          <w:rFonts w:eastAsia="Arial"/>
          <w:lang w:val="en-US" w:eastAsia="es-PE"/>
        </w:rPr>
        <w:t xml:space="preserve"> S, </w:t>
      </w:r>
      <w:proofErr w:type="spellStart"/>
      <w:r w:rsidRPr="006773AA">
        <w:rPr>
          <w:rFonts w:eastAsia="Arial"/>
          <w:lang w:val="en-US" w:eastAsia="es-PE"/>
        </w:rPr>
        <w:t>Cocchi</w:t>
      </w:r>
      <w:proofErr w:type="spellEnd"/>
      <w:r w:rsidRPr="006773AA">
        <w:rPr>
          <w:rFonts w:eastAsia="Arial"/>
          <w:lang w:val="en-US" w:eastAsia="es-PE"/>
        </w:rPr>
        <w:t xml:space="preserve"> C, Maffei S, </w:t>
      </w:r>
      <w:proofErr w:type="spellStart"/>
      <w:r w:rsidRPr="006773AA">
        <w:rPr>
          <w:rFonts w:eastAsia="Arial"/>
          <w:lang w:val="en-US" w:eastAsia="es-PE"/>
        </w:rPr>
        <w:t>Gallina</w:t>
      </w:r>
      <w:proofErr w:type="spellEnd"/>
      <w:r w:rsidRPr="006773AA">
        <w:rPr>
          <w:rFonts w:eastAsia="Arial"/>
          <w:lang w:val="en-US" w:eastAsia="es-PE"/>
        </w:rPr>
        <w:t xml:space="preserve"> S. Quarantine during COVID-19 outbreak: Changes in diet and physical activity increase the risk of cardiovascular disease. </w:t>
      </w:r>
      <w:proofErr w:type="spellStart"/>
      <w:r w:rsidRPr="006773AA">
        <w:rPr>
          <w:rFonts w:eastAsia="Arial"/>
          <w:lang w:val="es-PE" w:eastAsia="es-PE"/>
        </w:rPr>
        <w:t>Nutr</w:t>
      </w:r>
      <w:proofErr w:type="spellEnd"/>
      <w:r w:rsidRPr="006773AA">
        <w:rPr>
          <w:rFonts w:eastAsia="Arial"/>
          <w:lang w:val="es-PE" w:eastAsia="es-PE"/>
        </w:rPr>
        <w:t xml:space="preserve"> </w:t>
      </w:r>
      <w:proofErr w:type="spellStart"/>
      <w:r w:rsidRPr="006773AA">
        <w:rPr>
          <w:rFonts w:eastAsia="Arial"/>
          <w:lang w:val="es-PE" w:eastAsia="es-PE"/>
        </w:rPr>
        <w:t>Metab</w:t>
      </w:r>
      <w:proofErr w:type="spellEnd"/>
      <w:r w:rsidRPr="006773AA">
        <w:rPr>
          <w:rFonts w:eastAsia="Arial"/>
          <w:lang w:val="es-PE" w:eastAsia="es-PE"/>
        </w:rPr>
        <w:t xml:space="preserve"> </w:t>
      </w:r>
      <w:proofErr w:type="spellStart"/>
      <w:r w:rsidRPr="006773AA">
        <w:rPr>
          <w:rFonts w:eastAsia="Arial"/>
          <w:lang w:val="es-PE" w:eastAsia="es-PE"/>
        </w:rPr>
        <w:t>Cardiovasc</w:t>
      </w:r>
      <w:proofErr w:type="spellEnd"/>
      <w:r w:rsidRPr="006773AA">
        <w:rPr>
          <w:rFonts w:eastAsia="Arial"/>
          <w:lang w:val="es-PE" w:eastAsia="es-PE"/>
        </w:rPr>
        <w:t xml:space="preserve"> </w:t>
      </w:r>
      <w:proofErr w:type="spellStart"/>
      <w:r w:rsidRPr="006773AA">
        <w:rPr>
          <w:rFonts w:eastAsia="Arial"/>
          <w:lang w:val="es-PE" w:eastAsia="es-PE"/>
        </w:rPr>
        <w:t>Dis</w:t>
      </w:r>
      <w:proofErr w:type="spellEnd"/>
      <w:r w:rsidRPr="006773AA">
        <w:rPr>
          <w:rFonts w:eastAsia="Arial"/>
          <w:lang w:val="es-PE" w:eastAsia="es-PE"/>
        </w:rPr>
        <w:t xml:space="preserve">. 2020 [acceso: 13/02/2021]; 30(9):1409-17. Disponible en: </w:t>
      </w:r>
      <w:hyperlink r:id="rId30" w:history="1">
        <w:r w:rsidRPr="006773AA">
          <w:rPr>
            <w:rFonts w:eastAsia="Arial"/>
            <w:color w:val="0563C1"/>
            <w:u w:val="single"/>
            <w:lang w:val="es-PE" w:eastAsia="es-PE"/>
          </w:rPr>
          <w:t>https://www.ncbi.nlm.nih.gov/pmc/articles/PMC7260516/</w:t>
        </w:r>
      </w:hyperlink>
      <w:r w:rsidRPr="006773AA">
        <w:rPr>
          <w:rFonts w:eastAsia="Arial"/>
          <w:lang w:val="es-PE" w:eastAsia="es-PE"/>
        </w:rPr>
        <w:t xml:space="preserve"> </w:t>
      </w:r>
    </w:p>
    <w:p w14:paraId="1F32ED88"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20. </w:t>
      </w:r>
      <w:proofErr w:type="spellStart"/>
      <w:r w:rsidRPr="006773AA">
        <w:rPr>
          <w:rFonts w:eastAsia="Arial"/>
          <w:lang w:val="en-US" w:eastAsia="es-PE"/>
        </w:rPr>
        <w:t>Mayasari</w:t>
      </w:r>
      <w:proofErr w:type="spellEnd"/>
      <w:r w:rsidRPr="006773AA">
        <w:rPr>
          <w:rFonts w:eastAsia="Arial"/>
          <w:lang w:val="en-US" w:eastAsia="es-PE"/>
        </w:rPr>
        <w:t xml:space="preserve"> N, Ho D, Lundy D, </w:t>
      </w:r>
      <w:proofErr w:type="spellStart"/>
      <w:r w:rsidRPr="006773AA">
        <w:rPr>
          <w:rFonts w:eastAsia="Arial"/>
          <w:lang w:val="en-US" w:eastAsia="es-PE"/>
        </w:rPr>
        <w:t>Skalny</w:t>
      </w:r>
      <w:proofErr w:type="spellEnd"/>
      <w:r w:rsidRPr="006773AA">
        <w:rPr>
          <w:rFonts w:eastAsia="Arial"/>
          <w:lang w:val="en-US" w:eastAsia="es-PE"/>
        </w:rPr>
        <w:t xml:space="preserve"> A, </w:t>
      </w:r>
      <w:proofErr w:type="spellStart"/>
      <w:r w:rsidRPr="006773AA">
        <w:rPr>
          <w:rFonts w:eastAsia="Arial"/>
          <w:lang w:val="en-US" w:eastAsia="es-PE"/>
        </w:rPr>
        <w:t>Tinkov</w:t>
      </w:r>
      <w:proofErr w:type="spellEnd"/>
      <w:r w:rsidRPr="006773AA">
        <w:rPr>
          <w:rFonts w:eastAsia="Arial"/>
          <w:lang w:val="en-US" w:eastAsia="es-PE"/>
        </w:rPr>
        <w:t xml:space="preserve"> A, Teng IC, et al. Impacts of the COVID-19 Pandemic on Food Security and Diet-Related Lifestyle Behaviors: An Analytical Study of Google Trends-Based Query Volumes. </w:t>
      </w:r>
      <w:proofErr w:type="spellStart"/>
      <w:r w:rsidRPr="006773AA">
        <w:rPr>
          <w:rFonts w:eastAsia="Arial"/>
          <w:lang w:val="es-PE" w:eastAsia="es-PE"/>
        </w:rPr>
        <w:t>Nutrients</w:t>
      </w:r>
      <w:proofErr w:type="spellEnd"/>
      <w:r w:rsidRPr="006773AA">
        <w:rPr>
          <w:rFonts w:eastAsia="Arial"/>
          <w:lang w:val="es-PE" w:eastAsia="es-PE"/>
        </w:rPr>
        <w:t xml:space="preserve">. 2020 [acceso:13/02/2021]; 12(10):3103. Disponible en: </w:t>
      </w:r>
      <w:hyperlink r:id="rId31" w:history="1">
        <w:r w:rsidRPr="006773AA">
          <w:rPr>
            <w:rFonts w:eastAsia="Arial"/>
            <w:color w:val="0563C1"/>
            <w:u w:val="single"/>
            <w:lang w:val="es-PE" w:eastAsia="es-PE"/>
          </w:rPr>
          <w:t>https://www.ncbi.nlm.nih.gov/pmc/articles/PMC7601866/</w:t>
        </w:r>
      </w:hyperlink>
      <w:r w:rsidRPr="006773AA">
        <w:rPr>
          <w:rFonts w:eastAsia="Arial"/>
          <w:lang w:val="es-PE" w:eastAsia="es-PE"/>
        </w:rPr>
        <w:t xml:space="preserve"> </w:t>
      </w:r>
    </w:p>
    <w:p w14:paraId="7FCF2EC7"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21. Organización Mundial de la Salud (OMS). Información básica sobre la COVID-19. Ginebra: OMS; 2020 [acceso: 14/02/2021]. Disponible en: </w:t>
      </w:r>
      <w:hyperlink r:id="rId32" w:history="1">
        <w:r w:rsidRPr="006773AA">
          <w:rPr>
            <w:rFonts w:eastAsia="Arial"/>
            <w:color w:val="0563C1"/>
            <w:u w:val="single"/>
            <w:lang w:val="es-PE" w:eastAsia="es-PE"/>
          </w:rPr>
          <w:t>https://www.who.int/es/emergencies/diseases/novel-coronavirus-2019/question-and-answers-hub/q-a-detail/coronavirus-disease-covid-19</w:t>
        </w:r>
      </w:hyperlink>
      <w:r w:rsidRPr="006773AA">
        <w:rPr>
          <w:rFonts w:eastAsia="Arial"/>
          <w:lang w:val="es-PE" w:eastAsia="es-PE"/>
        </w:rPr>
        <w:t xml:space="preserve"> </w:t>
      </w:r>
    </w:p>
    <w:p w14:paraId="4A428739"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22. Ministerio de Salud del Perú (MINSA). Resolución Ministerial </w:t>
      </w:r>
      <w:proofErr w:type="spellStart"/>
      <w:r w:rsidRPr="006773AA">
        <w:rPr>
          <w:rFonts w:eastAsia="Arial"/>
          <w:lang w:val="es-PE" w:eastAsia="es-PE"/>
        </w:rPr>
        <w:t>N°</w:t>
      </w:r>
      <w:proofErr w:type="spellEnd"/>
      <w:r w:rsidRPr="006773AA">
        <w:rPr>
          <w:rFonts w:eastAsia="Arial"/>
          <w:lang w:val="es-PE" w:eastAsia="es-PE"/>
        </w:rPr>
        <w:t xml:space="preserve"> 972-2020-MINSA. Lineamientos para la vigilancia, prevención y control de la salud de los trabajadores con riesgo de exposición a SARS-CoV-2. </w:t>
      </w:r>
      <w:proofErr w:type="spellStart"/>
      <w:r w:rsidRPr="006773AA">
        <w:rPr>
          <w:rFonts w:eastAsia="Arial"/>
          <w:lang w:val="es-PE" w:eastAsia="es-PE"/>
        </w:rPr>
        <w:t>Gob</w:t>
      </w:r>
      <w:proofErr w:type="spellEnd"/>
      <w:r w:rsidRPr="006773AA">
        <w:rPr>
          <w:rFonts w:eastAsia="Arial"/>
          <w:lang w:val="es-PE" w:eastAsia="es-PE"/>
        </w:rPr>
        <w:t xml:space="preserve">-pe. Lima. 2020. [acceso:16/06/2021]. Disponible en: </w:t>
      </w:r>
      <w:hyperlink r:id="rId33" w:history="1">
        <w:r w:rsidRPr="006773AA">
          <w:rPr>
            <w:rFonts w:eastAsia="Arial"/>
            <w:color w:val="0563C1"/>
            <w:u w:val="single"/>
            <w:lang w:val="es-PE" w:eastAsia="es-PE"/>
          </w:rPr>
          <w:t>https://www.gob.pe/institucion/minsa/normas-legales/1366422-972-2020-minsa</w:t>
        </w:r>
      </w:hyperlink>
      <w:r w:rsidRPr="006773AA">
        <w:rPr>
          <w:rFonts w:eastAsia="Arial"/>
          <w:lang w:val="es-PE" w:eastAsia="es-PE"/>
        </w:rPr>
        <w:t xml:space="preserve"> </w:t>
      </w:r>
    </w:p>
    <w:p w14:paraId="754A6427"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23. </w:t>
      </w:r>
      <w:proofErr w:type="spellStart"/>
      <w:r w:rsidRPr="006773AA">
        <w:rPr>
          <w:rFonts w:eastAsia="Arial"/>
          <w:lang w:val="en-US" w:eastAsia="es-PE"/>
        </w:rPr>
        <w:t>Damacena</w:t>
      </w:r>
      <w:proofErr w:type="spellEnd"/>
      <w:r w:rsidRPr="006773AA">
        <w:rPr>
          <w:rFonts w:eastAsia="Arial"/>
          <w:lang w:val="en-US" w:eastAsia="es-PE"/>
        </w:rPr>
        <w:t xml:space="preserve"> F, Batista T, Ayres L, </w:t>
      </w:r>
      <w:proofErr w:type="spellStart"/>
      <w:r w:rsidRPr="006773AA">
        <w:rPr>
          <w:rFonts w:eastAsia="Arial"/>
          <w:lang w:val="en-US" w:eastAsia="es-PE"/>
        </w:rPr>
        <w:t>Zandonade</w:t>
      </w:r>
      <w:proofErr w:type="spellEnd"/>
      <w:r w:rsidRPr="006773AA">
        <w:rPr>
          <w:rFonts w:eastAsia="Arial"/>
          <w:lang w:val="en-US" w:eastAsia="es-PE"/>
        </w:rPr>
        <w:t xml:space="preserve"> E, Sampaio K. Obesity prevalence in Brazilian firefighters and the association of central obesity with personal, occupational and cardiovascular risk factors: a cross-sectional study. </w:t>
      </w:r>
      <w:r w:rsidRPr="006773AA">
        <w:rPr>
          <w:rFonts w:eastAsia="Arial"/>
          <w:lang w:val="es-PE" w:eastAsia="es-PE"/>
        </w:rPr>
        <w:t xml:space="preserve">BMJ Open. 2020 [acceso: 14/02/2021];10(3): e032933. Disponible en: </w:t>
      </w:r>
      <w:hyperlink r:id="rId34" w:history="1">
        <w:r w:rsidRPr="006773AA">
          <w:rPr>
            <w:rFonts w:eastAsia="Arial"/>
            <w:color w:val="0563C1"/>
            <w:u w:val="single"/>
            <w:lang w:val="es-PE" w:eastAsia="es-PE"/>
          </w:rPr>
          <w:t>https://www.ncbi.nlm.nih.gov/pmc/articles/PMC7069316/</w:t>
        </w:r>
      </w:hyperlink>
      <w:r w:rsidRPr="006773AA">
        <w:rPr>
          <w:rFonts w:eastAsia="Arial"/>
          <w:lang w:val="es-PE" w:eastAsia="es-PE"/>
        </w:rPr>
        <w:t xml:space="preserve"> </w:t>
      </w:r>
    </w:p>
    <w:p w14:paraId="41F13330"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24. Gobierno del Perú. Ley </w:t>
      </w:r>
      <w:proofErr w:type="spellStart"/>
      <w:r w:rsidRPr="006773AA">
        <w:rPr>
          <w:rFonts w:eastAsia="Arial"/>
          <w:lang w:val="es-PE" w:eastAsia="es-PE"/>
        </w:rPr>
        <w:t>N°</w:t>
      </w:r>
      <w:proofErr w:type="spellEnd"/>
      <w:r w:rsidRPr="006773AA">
        <w:rPr>
          <w:rFonts w:eastAsia="Arial"/>
          <w:lang w:val="es-PE" w:eastAsia="es-PE"/>
        </w:rPr>
        <w:t xml:space="preserve"> 30453, Ley del Sistema Nacional de </w:t>
      </w:r>
      <w:proofErr w:type="spellStart"/>
      <w:r w:rsidRPr="006773AA">
        <w:rPr>
          <w:rFonts w:eastAsia="Arial"/>
          <w:lang w:val="es-PE" w:eastAsia="es-PE"/>
        </w:rPr>
        <w:t>Residentado</w:t>
      </w:r>
      <w:proofErr w:type="spellEnd"/>
      <w:r w:rsidRPr="006773AA">
        <w:rPr>
          <w:rFonts w:eastAsia="Arial"/>
          <w:lang w:val="es-PE" w:eastAsia="es-PE"/>
        </w:rPr>
        <w:t xml:space="preserve"> Médico (SINAREME). Lima. Congreso de la República. 2016 [acceso: 15/06/2021]. Disponible en: </w:t>
      </w:r>
      <w:hyperlink r:id="rId35" w:history="1">
        <w:r w:rsidRPr="006773AA">
          <w:rPr>
            <w:rFonts w:eastAsia="Arial"/>
            <w:color w:val="0563C1"/>
            <w:u w:val="single"/>
            <w:lang w:val="es-PE" w:eastAsia="es-PE"/>
          </w:rPr>
          <w:t>https://busquedas.elperuano.pe/normaslegales/ley-del-sistema-nacional-de-residentado-medico-sinareme-ley-n-30453-1391144-1/</w:t>
        </w:r>
      </w:hyperlink>
      <w:r w:rsidRPr="006773AA">
        <w:rPr>
          <w:rFonts w:eastAsia="Arial"/>
          <w:lang w:val="es-PE" w:eastAsia="es-PE"/>
        </w:rPr>
        <w:t xml:space="preserve"> </w:t>
      </w:r>
    </w:p>
    <w:p w14:paraId="5D459E90"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25. </w:t>
      </w:r>
      <w:proofErr w:type="spellStart"/>
      <w:r w:rsidRPr="006773AA">
        <w:rPr>
          <w:rFonts w:eastAsia="Arial"/>
          <w:lang w:val="es-PE" w:eastAsia="es-PE"/>
        </w:rPr>
        <w:t>Pajuelo</w:t>
      </w:r>
      <w:proofErr w:type="spellEnd"/>
      <w:r w:rsidRPr="006773AA">
        <w:rPr>
          <w:rFonts w:eastAsia="Arial"/>
          <w:lang w:val="es-PE" w:eastAsia="es-PE"/>
        </w:rPr>
        <w:t xml:space="preserve"> J, Torres L, Agüero R, </w:t>
      </w:r>
      <w:proofErr w:type="spellStart"/>
      <w:r w:rsidRPr="006773AA">
        <w:rPr>
          <w:rFonts w:eastAsia="Arial"/>
          <w:lang w:val="es-PE" w:eastAsia="es-PE"/>
        </w:rPr>
        <w:t>Bernui</w:t>
      </w:r>
      <w:proofErr w:type="spellEnd"/>
      <w:r w:rsidRPr="006773AA">
        <w:rPr>
          <w:rFonts w:eastAsia="Arial"/>
          <w:lang w:val="es-PE" w:eastAsia="es-PE"/>
        </w:rPr>
        <w:t xml:space="preserve"> I. El sobrepeso, la obesidad y la obesidad abdominal en la población adulta del Perú. </w:t>
      </w:r>
      <w:proofErr w:type="spellStart"/>
      <w:r w:rsidRPr="006773AA">
        <w:rPr>
          <w:rFonts w:eastAsia="Arial"/>
          <w:lang w:val="es-PE" w:eastAsia="es-PE"/>
        </w:rPr>
        <w:t>An</w:t>
      </w:r>
      <w:proofErr w:type="spellEnd"/>
      <w:r w:rsidRPr="006773AA">
        <w:rPr>
          <w:rFonts w:eastAsia="Arial"/>
          <w:lang w:val="es-PE" w:eastAsia="es-PE"/>
        </w:rPr>
        <w:t xml:space="preserve">. </w:t>
      </w:r>
      <w:proofErr w:type="spellStart"/>
      <w:r w:rsidRPr="006773AA">
        <w:rPr>
          <w:rFonts w:eastAsia="Arial"/>
          <w:lang w:val="es-PE" w:eastAsia="es-PE"/>
        </w:rPr>
        <w:t>Fac</w:t>
      </w:r>
      <w:proofErr w:type="spellEnd"/>
      <w:r w:rsidRPr="006773AA">
        <w:rPr>
          <w:rFonts w:eastAsia="Arial"/>
          <w:lang w:val="es-PE" w:eastAsia="es-PE"/>
        </w:rPr>
        <w:t xml:space="preserve">. </w:t>
      </w:r>
      <w:proofErr w:type="spellStart"/>
      <w:r w:rsidRPr="006773AA">
        <w:rPr>
          <w:rFonts w:eastAsia="Arial"/>
          <w:lang w:val="es-PE" w:eastAsia="es-PE"/>
        </w:rPr>
        <w:t>Med</w:t>
      </w:r>
      <w:proofErr w:type="spellEnd"/>
      <w:r w:rsidRPr="006773AA">
        <w:rPr>
          <w:rFonts w:eastAsia="Arial"/>
          <w:lang w:val="es-PE" w:eastAsia="es-PE"/>
        </w:rPr>
        <w:t xml:space="preserve">. 2019 [acceso:15/02/2021]; 80(1): 21-7. Disponible en: </w:t>
      </w:r>
      <w:hyperlink r:id="rId36" w:history="1">
        <w:r w:rsidRPr="006773AA">
          <w:rPr>
            <w:rFonts w:eastAsia="Arial"/>
            <w:color w:val="0563C1"/>
            <w:u w:val="single"/>
            <w:lang w:val="es-PE" w:eastAsia="es-PE"/>
          </w:rPr>
          <w:t>http://www.scielo.org.pe/scielo.php?script=sci_arttext&amp;pid=S1025-55832019000100004</w:t>
        </w:r>
      </w:hyperlink>
      <w:r w:rsidRPr="006773AA">
        <w:rPr>
          <w:rFonts w:eastAsia="Arial"/>
          <w:lang w:val="es-PE" w:eastAsia="es-PE"/>
        </w:rPr>
        <w:t xml:space="preserve"> </w:t>
      </w:r>
    </w:p>
    <w:p w14:paraId="52E0EA41" w14:textId="77777777" w:rsidR="001A0508" w:rsidRPr="006773AA" w:rsidRDefault="001A0508" w:rsidP="001A0508">
      <w:pPr>
        <w:spacing w:line="360" w:lineRule="auto"/>
        <w:rPr>
          <w:rFonts w:eastAsia="Arial"/>
          <w:lang w:val="en-US" w:eastAsia="es-PE"/>
        </w:rPr>
      </w:pPr>
      <w:r w:rsidRPr="006773AA">
        <w:rPr>
          <w:rFonts w:eastAsia="Arial"/>
          <w:lang w:val="en-US" w:eastAsia="es-PE"/>
        </w:rPr>
        <w:t xml:space="preserve">26. Parekh N, </w:t>
      </w:r>
      <w:proofErr w:type="spellStart"/>
      <w:r w:rsidRPr="006773AA">
        <w:rPr>
          <w:rFonts w:eastAsia="Arial"/>
          <w:lang w:val="en-US" w:eastAsia="es-PE"/>
        </w:rPr>
        <w:t>Deierlein</w:t>
      </w:r>
      <w:proofErr w:type="spellEnd"/>
      <w:r w:rsidRPr="006773AA">
        <w:rPr>
          <w:rFonts w:eastAsia="Arial"/>
          <w:lang w:val="en-US" w:eastAsia="es-PE"/>
        </w:rPr>
        <w:t xml:space="preserve"> A. Health </w:t>
      </w:r>
      <w:proofErr w:type="spellStart"/>
      <w:r w:rsidRPr="006773AA">
        <w:rPr>
          <w:rFonts w:eastAsia="Arial"/>
          <w:lang w:val="en-US" w:eastAsia="es-PE"/>
        </w:rPr>
        <w:t>behaviours</w:t>
      </w:r>
      <w:proofErr w:type="spellEnd"/>
      <w:r w:rsidRPr="006773AA">
        <w:rPr>
          <w:rFonts w:eastAsia="Arial"/>
          <w:lang w:val="en-US" w:eastAsia="es-PE"/>
        </w:rPr>
        <w:t xml:space="preserve"> during the coronavirus disease 2019 pandemic: implications for obesity. Public Health </w:t>
      </w:r>
      <w:proofErr w:type="spellStart"/>
      <w:r w:rsidRPr="006773AA">
        <w:rPr>
          <w:rFonts w:eastAsia="Arial"/>
          <w:lang w:val="en-US" w:eastAsia="es-PE"/>
        </w:rPr>
        <w:t>Nutr</w:t>
      </w:r>
      <w:proofErr w:type="spellEnd"/>
      <w:r w:rsidRPr="006773AA">
        <w:rPr>
          <w:rFonts w:eastAsia="Arial"/>
          <w:lang w:val="en-US" w:eastAsia="es-PE"/>
        </w:rPr>
        <w:t xml:space="preserve">. 2020; 23(17): 3121-5. DOI: 10.1017/S1368980020003031 </w:t>
      </w:r>
    </w:p>
    <w:p w14:paraId="1987A7B1" w14:textId="77777777" w:rsidR="001A0508" w:rsidRPr="006773AA" w:rsidRDefault="001A0508" w:rsidP="001A0508">
      <w:pPr>
        <w:spacing w:line="360" w:lineRule="auto"/>
        <w:rPr>
          <w:rFonts w:eastAsia="Arial"/>
          <w:lang w:val="es-PE" w:eastAsia="es-PE"/>
        </w:rPr>
      </w:pPr>
      <w:r w:rsidRPr="006773AA">
        <w:rPr>
          <w:rFonts w:eastAsia="Arial"/>
          <w:lang w:val="en-US" w:eastAsia="es-PE"/>
        </w:rPr>
        <w:t xml:space="preserve">27. Kim K, Shin Y. Males with Obesity and Overweight. </w:t>
      </w:r>
      <w:r w:rsidRPr="006773AA">
        <w:rPr>
          <w:rFonts w:eastAsia="Arial"/>
          <w:lang w:val="es-PE" w:eastAsia="es-PE"/>
        </w:rPr>
        <w:t xml:space="preserve">J </w:t>
      </w:r>
      <w:proofErr w:type="spellStart"/>
      <w:r w:rsidRPr="006773AA">
        <w:rPr>
          <w:rFonts w:eastAsia="Arial"/>
          <w:lang w:val="es-PE" w:eastAsia="es-PE"/>
        </w:rPr>
        <w:t>Obes</w:t>
      </w:r>
      <w:proofErr w:type="spellEnd"/>
      <w:r w:rsidRPr="006773AA">
        <w:rPr>
          <w:rFonts w:eastAsia="Arial"/>
          <w:lang w:val="es-PE" w:eastAsia="es-PE"/>
        </w:rPr>
        <w:t xml:space="preserve"> </w:t>
      </w:r>
      <w:proofErr w:type="spellStart"/>
      <w:r w:rsidRPr="006773AA">
        <w:rPr>
          <w:rFonts w:eastAsia="Arial"/>
          <w:lang w:val="es-PE" w:eastAsia="es-PE"/>
        </w:rPr>
        <w:t>Metab</w:t>
      </w:r>
      <w:proofErr w:type="spellEnd"/>
      <w:r w:rsidRPr="006773AA">
        <w:rPr>
          <w:rFonts w:eastAsia="Arial"/>
          <w:lang w:val="es-PE" w:eastAsia="es-PE"/>
        </w:rPr>
        <w:t xml:space="preserve"> </w:t>
      </w:r>
      <w:proofErr w:type="spellStart"/>
      <w:r w:rsidRPr="006773AA">
        <w:rPr>
          <w:rFonts w:eastAsia="Arial"/>
          <w:lang w:val="es-PE" w:eastAsia="es-PE"/>
        </w:rPr>
        <w:t>Syndr</w:t>
      </w:r>
      <w:proofErr w:type="spellEnd"/>
      <w:r w:rsidRPr="006773AA">
        <w:rPr>
          <w:rFonts w:eastAsia="Arial"/>
          <w:lang w:val="es-PE" w:eastAsia="es-PE"/>
        </w:rPr>
        <w:t xml:space="preserve">. 2020 [acceso: 15/02/2021]; 29(1):18-25. Disponible en: </w:t>
      </w:r>
      <w:hyperlink r:id="rId37" w:history="1">
        <w:r w:rsidRPr="006773AA">
          <w:rPr>
            <w:rFonts w:eastAsia="Arial"/>
            <w:color w:val="0563C1"/>
            <w:u w:val="single"/>
            <w:lang w:val="es-PE" w:eastAsia="es-PE"/>
          </w:rPr>
          <w:t>https://www.ncbi.nlm.nih.gov/pmc/articles/PMC7117999/</w:t>
        </w:r>
      </w:hyperlink>
      <w:r w:rsidRPr="006773AA">
        <w:rPr>
          <w:rFonts w:eastAsia="Arial"/>
          <w:lang w:val="es-PE" w:eastAsia="es-PE"/>
        </w:rPr>
        <w:t xml:space="preserve"> </w:t>
      </w:r>
    </w:p>
    <w:p w14:paraId="0438F03F" w14:textId="77777777" w:rsidR="001A0508" w:rsidRPr="006773AA" w:rsidRDefault="001A0508" w:rsidP="001A0508">
      <w:pPr>
        <w:spacing w:line="360" w:lineRule="auto"/>
        <w:rPr>
          <w:rFonts w:eastAsia="Arial"/>
          <w:lang w:val="es-PE" w:eastAsia="es-PE"/>
        </w:rPr>
      </w:pPr>
      <w:r w:rsidRPr="006773AA">
        <w:rPr>
          <w:rFonts w:eastAsia="Arial"/>
          <w:lang w:val="es-PE" w:eastAsia="es-PE"/>
        </w:rPr>
        <w:t xml:space="preserve">28. Zhu Q, Huang B, Li Q, Huang L, Shu W, </w:t>
      </w:r>
      <w:proofErr w:type="spellStart"/>
      <w:r w:rsidRPr="006773AA">
        <w:rPr>
          <w:rFonts w:eastAsia="Arial"/>
          <w:lang w:val="es-PE" w:eastAsia="es-PE"/>
        </w:rPr>
        <w:t>Xu</w:t>
      </w:r>
      <w:proofErr w:type="spellEnd"/>
      <w:r w:rsidRPr="006773AA">
        <w:rPr>
          <w:rFonts w:eastAsia="Arial"/>
          <w:lang w:val="es-PE" w:eastAsia="es-PE"/>
        </w:rPr>
        <w:t xml:space="preserve"> L, et al. </w:t>
      </w:r>
      <w:r w:rsidRPr="006773AA">
        <w:rPr>
          <w:rFonts w:eastAsia="Arial"/>
          <w:lang w:val="en-US" w:eastAsia="es-PE"/>
        </w:rPr>
        <w:t xml:space="preserve">Body mass index and waist-to-hip ratio misclassification of overweight and obesity in Chinese military personnel. J </w:t>
      </w:r>
      <w:proofErr w:type="spellStart"/>
      <w:r w:rsidRPr="006773AA">
        <w:rPr>
          <w:rFonts w:eastAsia="Arial"/>
          <w:lang w:val="en-US" w:eastAsia="es-PE"/>
        </w:rPr>
        <w:t>Physiol</w:t>
      </w:r>
      <w:proofErr w:type="spellEnd"/>
      <w:r w:rsidRPr="006773AA">
        <w:rPr>
          <w:rFonts w:eastAsia="Arial"/>
          <w:lang w:val="en-US" w:eastAsia="es-PE"/>
        </w:rPr>
        <w:t xml:space="preserve"> </w:t>
      </w:r>
      <w:proofErr w:type="spellStart"/>
      <w:r w:rsidRPr="006773AA">
        <w:rPr>
          <w:rFonts w:eastAsia="Arial"/>
          <w:lang w:val="en-US" w:eastAsia="es-PE"/>
        </w:rPr>
        <w:t>Anthropol</w:t>
      </w:r>
      <w:proofErr w:type="spellEnd"/>
      <w:r w:rsidRPr="006773AA">
        <w:rPr>
          <w:rFonts w:eastAsia="Arial"/>
          <w:lang w:val="en-US" w:eastAsia="es-PE"/>
        </w:rPr>
        <w:t>. 2020 [</w:t>
      </w:r>
      <w:proofErr w:type="spellStart"/>
      <w:r w:rsidRPr="006773AA">
        <w:rPr>
          <w:rFonts w:eastAsia="Arial"/>
          <w:lang w:val="en-US" w:eastAsia="es-PE"/>
        </w:rPr>
        <w:t>acceso</w:t>
      </w:r>
      <w:proofErr w:type="spellEnd"/>
      <w:r w:rsidRPr="006773AA">
        <w:rPr>
          <w:rFonts w:eastAsia="Arial"/>
          <w:lang w:val="en-US" w:eastAsia="es-PE"/>
        </w:rPr>
        <w:t xml:space="preserve">: 15/02/2021]; 39(1):24. </w:t>
      </w:r>
      <w:r w:rsidRPr="006773AA">
        <w:rPr>
          <w:rFonts w:eastAsia="Arial"/>
          <w:lang w:val="es-PE" w:eastAsia="es-PE"/>
        </w:rPr>
        <w:t xml:space="preserve">Disponible en: </w:t>
      </w:r>
      <w:hyperlink r:id="rId38" w:history="1">
        <w:r w:rsidRPr="006773AA">
          <w:rPr>
            <w:rFonts w:eastAsia="Arial"/>
            <w:color w:val="0563C1"/>
            <w:u w:val="single"/>
            <w:lang w:val="es-PE" w:eastAsia="es-PE"/>
          </w:rPr>
          <w:t>https://www.ncbi.nlm.nih.gov/pmc/articles/PMC7444050/</w:t>
        </w:r>
      </w:hyperlink>
      <w:r w:rsidRPr="006773AA">
        <w:rPr>
          <w:rFonts w:eastAsia="Arial"/>
          <w:lang w:val="es-PE" w:eastAsia="es-PE"/>
        </w:rPr>
        <w:t xml:space="preserve"> </w:t>
      </w:r>
    </w:p>
    <w:p w14:paraId="1765442E" w14:textId="77777777" w:rsidR="001A0508" w:rsidRPr="001A0508" w:rsidRDefault="001A0508" w:rsidP="001A0508">
      <w:pPr>
        <w:spacing w:line="360" w:lineRule="auto"/>
        <w:jc w:val="both"/>
        <w:rPr>
          <w:rFonts w:eastAsia="Arial"/>
          <w:b/>
          <w:bCs/>
          <w:lang w:val="es-PE" w:eastAsia="es-PE"/>
        </w:rPr>
      </w:pPr>
    </w:p>
    <w:p w14:paraId="22F56165" w14:textId="77777777" w:rsidR="001A0508" w:rsidRPr="001A0508" w:rsidRDefault="001A0508" w:rsidP="001A0508">
      <w:pPr>
        <w:spacing w:line="360" w:lineRule="auto"/>
        <w:jc w:val="both"/>
        <w:rPr>
          <w:rFonts w:eastAsia="Arial"/>
          <w:b/>
          <w:bCs/>
          <w:lang w:val="es-PE" w:eastAsia="es-PE"/>
        </w:rPr>
      </w:pPr>
    </w:p>
    <w:p w14:paraId="3AA61A83" w14:textId="77777777" w:rsidR="001A0508" w:rsidRPr="001A0508" w:rsidRDefault="001A0508" w:rsidP="001A0508">
      <w:pPr>
        <w:spacing w:line="360" w:lineRule="auto"/>
        <w:jc w:val="center"/>
        <w:rPr>
          <w:rFonts w:eastAsia="Arial"/>
          <w:b/>
          <w:bCs/>
          <w:lang w:val="es-PE" w:eastAsia="es-PE"/>
        </w:rPr>
      </w:pPr>
      <w:r w:rsidRPr="001A0508">
        <w:rPr>
          <w:rFonts w:eastAsia="Arial"/>
          <w:b/>
          <w:bCs/>
          <w:lang w:val="es-PE" w:eastAsia="es-PE"/>
        </w:rPr>
        <w:t>Conflicto de interés</w:t>
      </w:r>
    </w:p>
    <w:p w14:paraId="1153DD9F" w14:textId="77777777" w:rsidR="001A0508" w:rsidRPr="001A0508" w:rsidRDefault="001A0508" w:rsidP="001A0508">
      <w:pPr>
        <w:spacing w:line="360" w:lineRule="auto"/>
        <w:jc w:val="both"/>
        <w:rPr>
          <w:rFonts w:eastAsia="Arial"/>
          <w:lang w:val="es-PE" w:eastAsia="es-PE"/>
        </w:rPr>
      </w:pPr>
      <w:r w:rsidRPr="001A0508">
        <w:rPr>
          <w:rFonts w:eastAsia="Arial"/>
          <w:lang w:val="es-PE" w:eastAsia="es-PE"/>
        </w:rPr>
        <w:t>Los autores declaran no tener ningún conflicto de intereses.</w:t>
      </w:r>
    </w:p>
    <w:p w14:paraId="5969E1EB" w14:textId="77777777" w:rsidR="001A0508" w:rsidRPr="001A0508" w:rsidRDefault="001A0508" w:rsidP="001A0508">
      <w:pPr>
        <w:spacing w:line="360" w:lineRule="auto"/>
        <w:jc w:val="both"/>
        <w:rPr>
          <w:rFonts w:eastAsia="Arial"/>
          <w:lang w:val="es-PE" w:eastAsia="es-PE"/>
        </w:rPr>
      </w:pPr>
    </w:p>
    <w:p w14:paraId="4E0CE750" w14:textId="77777777" w:rsidR="001A0508" w:rsidRPr="001A0508" w:rsidRDefault="001A0508" w:rsidP="001A0508">
      <w:pPr>
        <w:spacing w:line="360" w:lineRule="auto"/>
        <w:jc w:val="center"/>
        <w:rPr>
          <w:rFonts w:eastAsia="Arial"/>
          <w:b/>
          <w:bCs/>
          <w:lang w:val="es-PE" w:eastAsia="es-PE"/>
        </w:rPr>
      </w:pPr>
      <w:r w:rsidRPr="001A0508">
        <w:rPr>
          <w:rFonts w:eastAsia="Arial"/>
          <w:b/>
          <w:bCs/>
          <w:lang w:val="es-PE" w:eastAsia="es-PE"/>
        </w:rPr>
        <w:t>Contribuciones de los autores</w:t>
      </w:r>
    </w:p>
    <w:p w14:paraId="6012B3F7"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1. Conceptualización: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488EE4A5"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2. Curación de datos: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2CE66695" w14:textId="77777777" w:rsidR="001A0508" w:rsidRPr="001A0508" w:rsidRDefault="001A0508" w:rsidP="001A0508">
      <w:pPr>
        <w:spacing w:line="360" w:lineRule="auto"/>
        <w:rPr>
          <w:rFonts w:eastAsia="Calibri"/>
          <w:i/>
          <w:iCs/>
          <w:lang w:val="es-PE" w:eastAsia="es-PE"/>
        </w:rPr>
      </w:pPr>
      <w:r w:rsidRPr="001A0508">
        <w:rPr>
          <w:rFonts w:eastAsia="Calibri"/>
          <w:lang w:val="es-PE" w:eastAsia="es-PE"/>
        </w:rPr>
        <w:t>3. Análisis formal:</w:t>
      </w:r>
      <w:r w:rsidRPr="001A0508">
        <w:rPr>
          <w:rFonts w:eastAsia="Calibri"/>
          <w:i/>
          <w:iCs/>
          <w:lang w:val="es-PE" w:eastAsia="es-PE"/>
        </w:rPr>
        <w:t xml:space="preserve"> 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Roberto León Manco.</w:t>
      </w:r>
    </w:p>
    <w:p w14:paraId="1DFA3766"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4. Adquisición de fondos: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232C12A8"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5. Investigación: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6CD47F42" w14:textId="77777777" w:rsidR="001A0508" w:rsidRPr="001A0508" w:rsidRDefault="001A0508" w:rsidP="001A0508">
      <w:pPr>
        <w:spacing w:line="360" w:lineRule="auto"/>
        <w:rPr>
          <w:rFonts w:eastAsia="Calibri"/>
          <w:lang w:val="es-PE" w:eastAsia="es-PE"/>
        </w:rPr>
      </w:pPr>
      <w:r w:rsidRPr="001A0508">
        <w:rPr>
          <w:rFonts w:eastAsia="Calibri"/>
          <w:lang w:val="es-PE" w:eastAsia="es-PE"/>
        </w:rPr>
        <w:lastRenderedPageBreak/>
        <w:t xml:space="preserve">6. Metodología: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2F230B14"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7. Administración del proyecto: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6E6CBABB"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8. Recursos: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5C44882D"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9. Software: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Roberto León Manco.</w:t>
      </w:r>
    </w:p>
    <w:p w14:paraId="4C290415" w14:textId="77777777" w:rsidR="001A0508" w:rsidRPr="001A0508" w:rsidRDefault="001A0508" w:rsidP="001A0508">
      <w:pPr>
        <w:spacing w:line="360" w:lineRule="auto"/>
        <w:rPr>
          <w:rFonts w:eastAsia="Calibri"/>
          <w:i/>
          <w:iCs/>
          <w:lang w:val="es-PE" w:eastAsia="es-PE"/>
        </w:rPr>
      </w:pPr>
      <w:r w:rsidRPr="001A0508">
        <w:rPr>
          <w:rFonts w:eastAsia="Calibri"/>
          <w:lang w:val="es-PE" w:eastAsia="es-PE"/>
        </w:rPr>
        <w:t xml:space="preserve">10. Supervisión: </w:t>
      </w:r>
      <w:r w:rsidRPr="001A0508">
        <w:rPr>
          <w:rFonts w:eastAsia="Calibri"/>
          <w:i/>
          <w:iCs/>
          <w:lang w:val="es-PE" w:eastAsia="es-PE"/>
        </w:rPr>
        <w:t xml:space="preserve">Roberto León Manco,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w:t>
      </w:r>
    </w:p>
    <w:p w14:paraId="5C8E7C62"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11. Validación: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6146A4E0"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12. Visualización: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6E300714"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13. Redacción – borrador original: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438C8513" w14:textId="77777777" w:rsidR="001A0508" w:rsidRPr="001A0508" w:rsidRDefault="001A0508" w:rsidP="001A0508">
      <w:pPr>
        <w:spacing w:line="360" w:lineRule="auto"/>
        <w:rPr>
          <w:rFonts w:eastAsia="Calibri"/>
          <w:lang w:val="es-PE" w:eastAsia="es-PE"/>
        </w:rPr>
      </w:pPr>
      <w:r w:rsidRPr="001A0508">
        <w:rPr>
          <w:rFonts w:eastAsia="Calibri"/>
          <w:lang w:val="es-PE" w:eastAsia="es-PE"/>
        </w:rPr>
        <w:t xml:space="preserve">14. Redacción – revisión y edición: </w:t>
      </w:r>
      <w:r w:rsidRPr="001A0508">
        <w:rPr>
          <w:rFonts w:eastAsia="Calibri"/>
          <w:i/>
          <w:iCs/>
          <w:lang w:val="es-PE" w:eastAsia="es-PE"/>
        </w:rPr>
        <w:t xml:space="preserve">Juan Manuel </w:t>
      </w:r>
      <w:proofErr w:type="spellStart"/>
      <w:r w:rsidRPr="001A0508">
        <w:rPr>
          <w:rFonts w:eastAsia="Calibri"/>
          <w:i/>
          <w:iCs/>
          <w:lang w:val="es-PE" w:eastAsia="es-PE"/>
        </w:rPr>
        <w:t>Amau</w:t>
      </w:r>
      <w:proofErr w:type="spellEnd"/>
      <w:r w:rsidRPr="001A0508">
        <w:rPr>
          <w:rFonts w:eastAsia="Calibri"/>
          <w:i/>
          <w:iCs/>
          <w:lang w:val="es-PE" w:eastAsia="es-PE"/>
        </w:rPr>
        <w:t xml:space="preserve"> Chiroque, Nelson </w:t>
      </w:r>
      <w:proofErr w:type="spellStart"/>
      <w:r w:rsidRPr="001A0508">
        <w:rPr>
          <w:rFonts w:eastAsia="Calibri"/>
          <w:i/>
          <w:iCs/>
          <w:lang w:val="es-PE" w:eastAsia="es-PE"/>
        </w:rPr>
        <w:t>Edilbrando</w:t>
      </w:r>
      <w:proofErr w:type="spellEnd"/>
      <w:r w:rsidRPr="001A0508">
        <w:rPr>
          <w:rFonts w:eastAsia="Calibri"/>
          <w:i/>
          <w:iCs/>
          <w:lang w:val="es-PE" w:eastAsia="es-PE"/>
        </w:rPr>
        <w:t xml:space="preserve"> Mercado Portal, Roberto León Manco.</w:t>
      </w:r>
    </w:p>
    <w:p w14:paraId="21148ECC" w14:textId="77777777" w:rsidR="00675476" w:rsidRPr="001A0508" w:rsidRDefault="00675476" w:rsidP="00391509">
      <w:pPr>
        <w:rPr>
          <w:lang w:val="es-PE"/>
        </w:rPr>
      </w:pPr>
    </w:p>
    <w:sectPr w:rsidR="00675476" w:rsidRPr="001A0508" w:rsidSect="00486BFA">
      <w:headerReference w:type="default" r:id="rId39"/>
      <w:footerReference w:type="even" r:id="rId40"/>
      <w:footerReference w:type="default" r:id="rId41"/>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1F1E" w14:textId="77777777" w:rsidR="008F0417" w:rsidRDefault="008F0417">
      <w:r>
        <w:separator/>
      </w:r>
    </w:p>
  </w:endnote>
  <w:endnote w:type="continuationSeparator" w:id="0">
    <w:p w14:paraId="0E2B017E" w14:textId="77777777" w:rsidR="008F0417" w:rsidRDefault="008F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3432" w14:textId="77777777" w:rsidR="004B1F34" w:rsidRDefault="004B1F34"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1E49B7" w14:textId="77777777" w:rsidR="004B1F34" w:rsidRDefault="004B1F34"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18A7" w14:textId="04B6A768" w:rsidR="004B1F34" w:rsidRPr="00AE044C" w:rsidRDefault="004B1F34"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D94C423" wp14:editId="01CBDBAA">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13AD0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00584B9" w14:textId="77777777" w:rsidR="004B1F34" w:rsidRPr="00AE044C" w:rsidRDefault="004B1F34" w:rsidP="00391509">
    <w:pPr>
      <w:pStyle w:val="Piedepgina"/>
      <w:ind w:right="360"/>
      <w:rPr>
        <w:sz w:val="22"/>
        <w:szCs w:val="22"/>
      </w:rPr>
    </w:pPr>
    <w:hyperlink r:id="rId1" w:history="1">
      <w:r w:rsidRPr="00AE044C">
        <w:rPr>
          <w:rStyle w:val="Hipervnculo"/>
          <w:sz w:val="22"/>
          <w:szCs w:val="22"/>
        </w:rPr>
        <w:t>http://scielo.sld.cu</w:t>
      </w:r>
    </w:hyperlink>
  </w:p>
  <w:p w14:paraId="4EC1A70A" w14:textId="77777777" w:rsidR="004B1F34" w:rsidRPr="00AE044C" w:rsidRDefault="004B1F34" w:rsidP="00AE044C">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763211CE" w14:textId="72213870" w:rsidR="004B1F34" w:rsidRPr="00CC376A" w:rsidRDefault="004B1F34"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Pr="001A0508">
      <w:rPr>
        <w:rFonts w:ascii="Verdana" w:hAnsi="Verdana"/>
        <w:noProof/>
        <w:sz w:val="18"/>
        <w:szCs w:val="18"/>
        <w:lang w:val="en-US" w:eastAsia="en-US"/>
      </w:rPr>
      <w:drawing>
        <wp:inline distT="0" distB="0" distL="0" distR="0" wp14:anchorId="1F351DCD" wp14:editId="6B9FF259">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F288" w14:textId="77777777" w:rsidR="008F0417" w:rsidRDefault="008F0417">
      <w:r>
        <w:separator/>
      </w:r>
    </w:p>
  </w:footnote>
  <w:footnote w:type="continuationSeparator" w:id="0">
    <w:p w14:paraId="422B3A2C" w14:textId="77777777" w:rsidR="008F0417" w:rsidRDefault="008F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19D2" w14:textId="147BFBB1" w:rsidR="004B1F34" w:rsidRPr="00AE044C" w:rsidRDefault="004B1F34"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F709E21" wp14:editId="3C6BF3FD">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4C">
      <w:rPr>
        <w:sz w:val="22"/>
        <w:szCs w:val="22"/>
      </w:rPr>
      <w:t xml:space="preserve">Revista Cubana de Medicina Militar. </w:t>
    </w:r>
    <w:r>
      <w:rPr>
        <w:sz w:val="22"/>
        <w:szCs w:val="22"/>
      </w:rPr>
      <w:t>2021;50</w:t>
    </w:r>
    <w:r w:rsidRPr="00AE044C">
      <w:rPr>
        <w:sz w:val="22"/>
        <w:szCs w:val="22"/>
      </w:rPr>
      <w:t>(</w:t>
    </w:r>
    <w:r>
      <w:rPr>
        <w:sz w:val="22"/>
        <w:szCs w:val="22"/>
      </w:rPr>
      <w:t>3</w:t>
    </w:r>
    <w:r w:rsidRPr="00AE044C">
      <w:rPr>
        <w:sz w:val="22"/>
        <w:szCs w:val="22"/>
      </w:rPr>
      <w:t>):</w:t>
    </w:r>
    <w:r>
      <w:rPr>
        <w:sz w:val="22"/>
        <w:szCs w:val="22"/>
      </w:rPr>
      <w:t xml:space="preserve"> e02101539</w:t>
    </w:r>
  </w:p>
  <w:p w14:paraId="421973DE" w14:textId="51CCB0DB" w:rsidR="004B1F34" w:rsidRDefault="004B1F34">
    <w:r>
      <w:rPr>
        <w:noProof/>
      </w:rPr>
      <mc:AlternateContent>
        <mc:Choice Requires="wps">
          <w:drawing>
            <wp:anchor distT="0" distB="0" distL="114300" distR="114300" simplePos="0" relativeHeight="251657216" behindDoc="0" locked="0" layoutInCell="1" allowOverlap="1" wp14:anchorId="7E6F441B" wp14:editId="42C31A17">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AAACB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12CAD"/>
    <w:multiLevelType w:val="hybridMultilevel"/>
    <w:tmpl w:val="39803DE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5D8261A"/>
    <w:multiLevelType w:val="hybridMultilevel"/>
    <w:tmpl w:val="3DCA006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6F3188B"/>
    <w:multiLevelType w:val="hybridMultilevel"/>
    <w:tmpl w:val="640A70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7412A59"/>
    <w:multiLevelType w:val="multilevel"/>
    <w:tmpl w:val="984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E7F44"/>
    <w:multiLevelType w:val="hybridMultilevel"/>
    <w:tmpl w:val="411C568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A98281D"/>
    <w:multiLevelType w:val="hybridMultilevel"/>
    <w:tmpl w:val="3834B406"/>
    <w:lvl w:ilvl="0" w:tplc="4A0E4F5E">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C887757"/>
    <w:multiLevelType w:val="hybridMultilevel"/>
    <w:tmpl w:val="E3A0334A"/>
    <w:lvl w:ilvl="0" w:tplc="280A000F">
      <w:start w:val="1"/>
      <w:numFmt w:val="decimal"/>
      <w:lvlText w:val="%1."/>
      <w:lvlJc w:val="left"/>
      <w:pPr>
        <w:ind w:left="643"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E1534CE"/>
    <w:multiLevelType w:val="multilevel"/>
    <w:tmpl w:val="FD6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08"/>
    <w:rsid w:val="000A01DA"/>
    <w:rsid w:val="000F3690"/>
    <w:rsid w:val="001221D1"/>
    <w:rsid w:val="00180CE9"/>
    <w:rsid w:val="001A0508"/>
    <w:rsid w:val="00230DD5"/>
    <w:rsid w:val="00380D64"/>
    <w:rsid w:val="00391509"/>
    <w:rsid w:val="003E03D5"/>
    <w:rsid w:val="004678A4"/>
    <w:rsid w:val="00486BFA"/>
    <w:rsid w:val="00493701"/>
    <w:rsid w:val="004B1F34"/>
    <w:rsid w:val="004E2065"/>
    <w:rsid w:val="005508A2"/>
    <w:rsid w:val="00566F71"/>
    <w:rsid w:val="005918BD"/>
    <w:rsid w:val="006173A6"/>
    <w:rsid w:val="00675476"/>
    <w:rsid w:val="006773AA"/>
    <w:rsid w:val="006B4264"/>
    <w:rsid w:val="007311C4"/>
    <w:rsid w:val="007C430F"/>
    <w:rsid w:val="007D614D"/>
    <w:rsid w:val="00881DCE"/>
    <w:rsid w:val="008F0417"/>
    <w:rsid w:val="00960D6A"/>
    <w:rsid w:val="009A0560"/>
    <w:rsid w:val="009B0917"/>
    <w:rsid w:val="00A23C0C"/>
    <w:rsid w:val="00A477DE"/>
    <w:rsid w:val="00A71E65"/>
    <w:rsid w:val="00AA17FC"/>
    <w:rsid w:val="00AE044C"/>
    <w:rsid w:val="00B31971"/>
    <w:rsid w:val="00B4380A"/>
    <w:rsid w:val="00B66ECB"/>
    <w:rsid w:val="00B73FB8"/>
    <w:rsid w:val="00C7523A"/>
    <w:rsid w:val="00CC1B6E"/>
    <w:rsid w:val="00CC376A"/>
    <w:rsid w:val="00CC48A1"/>
    <w:rsid w:val="00CF50E0"/>
    <w:rsid w:val="00D85951"/>
    <w:rsid w:val="00E62606"/>
    <w:rsid w:val="00EC5A6B"/>
    <w:rsid w:val="00EE62A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26298"/>
  <w15:docId w15:val="{EBCBCA93-3119-45C7-9BD4-768BBF60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1A0508"/>
    <w:pPr>
      <w:keepNext/>
      <w:keepLines/>
      <w:spacing w:before="480" w:after="120" w:line="259" w:lineRule="auto"/>
      <w:outlineLvl w:val="0"/>
    </w:pPr>
    <w:rPr>
      <w:rFonts w:ascii="Calibri" w:eastAsia="Calibri" w:hAnsi="Calibri" w:cs="Calibri"/>
      <w:b/>
      <w:sz w:val="48"/>
      <w:szCs w:val="48"/>
      <w:lang w:val="es-PE" w:eastAsia="es-PE"/>
    </w:rPr>
  </w:style>
  <w:style w:type="paragraph" w:styleId="Ttulo2">
    <w:name w:val="heading 2"/>
    <w:basedOn w:val="Normal"/>
    <w:next w:val="Normal"/>
    <w:link w:val="Ttulo2Car"/>
    <w:uiPriority w:val="9"/>
    <w:semiHidden/>
    <w:unhideWhenUsed/>
    <w:qFormat/>
    <w:rsid w:val="001A0508"/>
    <w:pPr>
      <w:keepNext/>
      <w:keepLines/>
      <w:spacing w:before="360" w:after="80" w:line="259" w:lineRule="auto"/>
      <w:outlineLvl w:val="1"/>
    </w:pPr>
    <w:rPr>
      <w:rFonts w:ascii="Calibri" w:eastAsia="Calibri" w:hAnsi="Calibri" w:cs="Calibri"/>
      <w:b/>
      <w:sz w:val="36"/>
      <w:szCs w:val="36"/>
      <w:lang w:val="es-PE" w:eastAsia="es-PE"/>
    </w:rPr>
  </w:style>
  <w:style w:type="paragraph" w:styleId="Ttulo3">
    <w:name w:val="heading 3"/>
    <w:basedOn w:val="Normal"/>
    <w:next w:val="Normal"/>
    <w:link w:val="Ttulo3Car"/>
    <w:uiPriority w:val="9"/>
    <w:semiHidden/>
    <w:unhideWhenUsed/>
    <w:qFormat/>
    <w:rsid w:val="001A0508"/>
    <w:pPr>
      <w:keepNext/>
      <w:keepLines/>
      <w:spacing w:before="280" w:after="80" w:line="259" w:lineRule="auto"/>
      <w:outlineLvl w:val="2"/>
    </w:pPr>
    <w:rPr>
      <w:rFonts w:ascii="Calibri" w:eastAsia="Calibri" w:hAnsi="Calibri" w:cs="Calibri"/>
      <w:b/>
      <w:sz w:val="28"/>
      <w:szCs w:val="28"/>
      <w:lang w:val="es-PE" w:eastAsia="es-PE"/>
    </w:rPr>
  </w:style>
  <w:style w:type="paragraph" w:styleId="Ttulo4">
    <w:name w:val="heading 4"/>
    <w:basedOn w:val="Normal"/>
    <w:next w:val="Normal"/>
    <w:link w:val="Ttulo4Car"/>
    <w:uiPriority w:val="9"/>
    <w:semiHidden/>
    <w:unhideWhenUsed/>
    <w:qFormat/>
    <w:rsid w:val="001A0508"/>
    <w:pPr>
      <w:keepNext/>
      <w:keepLines/>
      <w:spacing w:before="240" w:after="40" w:line="259" w:lineRule="auto"/>
      <w:outlineLvl w:val="3"/>
    </w:pPr>
    <w:rPr>
      <w:rFonts w:ascii="Calibri" w:eastAsia="Calibri" w:hAnsi="Calibri" w:cs="Calibri"/>
      <w:b/>
      <w:lang w:val="es-PE" w:eastAsia="es-PE"/>
    </w:rPr>
  </w:style>
  <w:style w:type="paragraph" w:styleId="Ttulo5">
    <w:name w:val="heading 5"/>
    <w:basedOn w:val="Normal"/>
    <w:next w:val="Normal"/>
    <w:link w:val="Ttulo5Car"/>
    <w:uiPriority w:val="9"/>
    <w:semiHidden/>
    <w:unhideWhenUsed/>
    <w:qFormat/>
    <w:rsid w:val="001A0508"/>
    <w:pPr>
      <w:keepNext/>
      <w:keepLines/>
      <w:spacing w:before="220" w:after="40" w:line="259" w:lineRule="auto"/>
      <w:outlineLvl w:val="4"/>
    </w:pPr>
    <w:rPr>
      <w:rFonts w:ascii="Calibri" w:eastAsia="Calibri" w:hAnsi="Calibri" w:cs="Calibri"/>
      <w:b/>
      <w:sz w:val="22"/>
      <w:szCs w:val="22"/>
      <w:lang w:val="es-PE" w:eastAsia="es-PE"/>
    </w:rPr>
  </w:style>
  <w:style w:type="paragraph" w:styleId="Ttulo6">
    <w:name w:val="heading 6"/>
    <w:basedOn w:val="Normal"/>
    <w:next w:val="Normal"/>
    <w:link w:val="Ttulo6Car"/>
    <w:uiPriority w:val="9"/>
    <w:semiHidden/>
    <w:unhideWhenUsed/>
    <w:qFormat/>
    <w:rsid w:val="001A0508"/>
    <w:pPr>
      <w:keepNext/>
      <w:keepLines/>
      <w:spacing w:before="200" w:after="40" w:line="259" w:lineRule="auto"/>
      <w:outlineLvl w:val="5"/>
    </w:pPr>
    <w:rPr>
      <w:rFonts w:ascii="Calibri" w:eastAsia="Calibri" w:hAnsi="Calibri" w:cs="Calibri"/>
      <w:b/>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1A0508"/>
    <w:rPr>
      <w:rFonts w:ascii="Calibri" w:eastAsia="Calibri" w:hAnsi="Calibri" w:cs="Calibri"/>
      <w:b/>
      <w:sz w:val="48"/>
      <w:szCs w:val="48"/>
      <w:lang w:val="es-PE" w:eastAsia="es-PE"/>
    </w:rPr>
  </w:style>
  <w:style w:type="character" w:customStyle="1" w:styleId="Ttulo2Car">
    <w:name w:val="Título 2 Car"/>
    <w:basedOn w:val="Fuentedeprrafopredeter"/>
    <w:link w:val="Ttulo2"/>
    <w:uiPriority w:val="9"/>
    <w:semiHidden/>
    <w:rsid w:val="001A0508"/>
    <w:rPr>
      <w:rFonts w:ascii="Calibri" w:eastAsia="Calibri" w:hAnsi="Calibri" w:cs="Calibri"/>
      <w:b/>
      <w:sz w:val="36"/>
      <w:szCs w:val="36"/>
      <w:lang w:val="es-PE" w:eastAsia="es-PE"/>
    </w:rPr>
  </w:style>
  <w:style w:type="character" w:customStyle="1" w:styleId="Ttulo3Car">
    <w:name w:val="Título 3 Car"/>
    <w:basedOn w:val="Fuentedeprrafopredeter"/>
    <w:link w:val="Ttulo3"/>
    <w:uiPriority w:val="9"/>
    <w:semiHidden/>
    <w:rsid w:val="001A0508"/>
    <w:rPr>
      <w:rFonts w:ascii="Calibri" w:eastAsia="Calibri" w:hAnsi="Calibri" w:cs="Calibri"/>
      <w:b/>
      <w:sz w:val="28"/>
      <w:szCs w:val="28"/>
      <w:lang w:val="es-PE" w:eastAsia="es-PE"/>
    </w:rPr>
  </w:style>
  <w:style w:type="character" w:customStyle="1" w:styleId="Ttulo4Car">
    <w:name w:val="Título 4 Car"/>
    <w:basedOn w:val="Fuentedeprrafopredeter"/>
    <w:link w:val="Ttulo4"/>
    <w:uiPriority w:val="9"/>
    <w:semiHidden/>
    <w:rsid w:val="001A0508"/>
    <w:rPr>
      <w:rFonts w:ascii="Calibri" w:eastAsia="Calibri" w:hAnsi="Calibri" w:cs="Calibri"/>
      <w:b/>
      <w:sz w:val="24"/>
      <w:szCs w:val="24"/>
      <w:lang w:val="es-PE" w:eastAsia="es-PE"/>
    </w:rPr>
  </w:style>
  <w:style w:type="character" w:customStyle="1" w:styleId="Ttulo5Car">
    <w:name w:val="Título 5 Car"/>
    <w:basedOn w:val="Fuentedeprrafopredeter"/>
    <w:link w:val="Ttulo5"/>
    <w:uiPriority w:val="9"/>
    <w:semiHidden/>
    <w:rsid w:val="001A0508"/>
    <w:rPr>
      <w:rFonts w:ascii="Calibri" w:eastAsia="Calibri" w:hAnsi="Calibri" w:cs="Calibri"/>
      <w:b/>
      <w:sz w:val="22"/>
      <w:szCs w:val="22"/>
      <w:lang w:val="es-PE" w:eastAsia="es-PE"/>
    </w:rPr>
  </w:style>
  <w:style w:type="character" w:customStyle="1" w:styleId="Ttulo6Car">
    <w:name w:val="Título 6 Car"/>
    <w:basedOn w:val="Fuentedeprrafopredeter"/>
    <w:link w:val="Ttulo6"/>
    <w:uiPriority w:val="9"/>
    <w:semiHidden/>
    <w:rsid w:val="001A0508"/>
    <w:rPr>
      <w:rFonts w:ascii="Calibri" w:eastAsia="Calibri" w:hAnsi="Calibri" w:cs="Calibri"/>
      <w:b/>
      <w:lang w:val="es-PE" w:eastAsia="es-PE"/>
    </w:rPr>
  </w:style>
  <w:style w:type="numbering" w:customStyle="1" w:styleId="Sinlista1">
    <w:name w:val="Sin lista1"/>
    <w:next w:val="Sinlista"/>
    <w:uiPriority w:val="99"/>
    <w:semiHidden/>
    <w:unhideWhenUsed/>
    <w:rsid w:val="001A0508"/>
  </w:style>
  <w:style w:type="paragraph" w:styleId="Ttulo">
    <w:name w:val="Title"/>
    <w:basedOn w:val="Normal"/>
    <w:next w:val="Normal"/>
    <w:link w:val="TtuloCar"/>
    <w:uiPriority w:val="10"/>
    <w:qFormat/>
    <w:rsid w:val="001A0508"/>
    <w:pPr>
      <w:keepNext/>
      <w:keepLines/>
      <w:spacing w:before="480" w:after="120" w:line="259" w:lineRule="auto"/>
    </w:pPr>
    <w:rPr>
      <w:rFonts w:ascii="Calibri" w:eastAsia="Calibri" w:hAnsi="Calibri" w:cs="Calibri"/>
      <w:b/>
      <w:sz w:val="72"/>
      <w:szCs w:val="72"/>
      <w:lang w:val="es-PE" w:eastAsia="es-PE"/>
    </w:rPr>
  </w:style>
  <w:style w:type="character" w:customStyle="1" w:styleId="TtuloCar">
    <w:name w:val="Título Car"/>
    <w:basedOn w:val="Fuentedeprrafopredeter"/>
    <w:link w:val="Ttulo"/>
    <w:uiPriority w:val="10"/>
    <w:rsid w:val="001A0508"/>
    <w:rPr>
      <w:rFonts w:ascii="Calibri" w:eastAsia="Calibri" w:hAnsi="Calibri" w:cs="Calibri"/>
      <w:b/>
      <w:sz w:val="72"/>
      <w:szCs w:val="72"/>
      <w:lang w:val="es-PE" w:eastAsia="es-PE"/>
    </w:rPr>
  </w:style>
  <w:style w:type="paragraph" w:styleId="Subttulo">
    <w:name w:val="Subtitle"/>
    <w:basedOn w:val="Normal"/>
    <w:next w:val="Normal"/>
    <w:link w:val="SubttuloCar"/>
    <w:uiPriority w:val="11"/>
    <w:qFormat/>
    <w:rsid w:val="001A0508"/>
    <w:pPr>
      <w:keepNext/>
      <w:keepLines/>
      <w:spacing w:before="360" w:after="80" w:line="259" w:lineRule="auto"/>
    </w:pPr>
    <w:rPr>
      <w:rFonts w:ascii="Georgia" w:eastAsia="Georgia" w:hAnsi="Georgia" w:cs="Georgia"/>
      <w:i/>
      <w:color w:val="666666"/>
      <w:sz w:val="48"/>
      <w:szCs w:val="48"/>
      <w:lang w:val="es-PE" w:eastAsia="es-PE"/>
    </w:rPr>
  </w:style>
  <w:style w:type="character" w:customStyle="1" w:styleId="SubttuloCar">
    <w:name w:val="Subtítulo Car"/>
    <w:basedOn w:val="Fuentedeprrafopredeter"/>
    <w:link w:val="Subttulo"/>
    <w:uiPriority w:val="11"/>
    <w:rsid w:val="001A0508"/>
    <w:rPr>
      <w:rFonts w:ascii="Georgia" w:eastAsia="Georgia" w:hAnsi="Georgia" w:cs="Georgia"/>
      <w:i/>
      <w:color w:val="666666"/>
      <w:sz w:val="48"/>
      <w:szCs w:val="48"/>
      <w:lang w:val="es-PE" w:eastAsia="es-PE"/>
    </w:rPr>
  </w:style>
  <w:style w:type="paragraph" w:styleId="Prrafodelista">
    <w:name w:val="List Paragraph"/>
    <w:basedOn w:val="Normal"/>
    <w:uiPriority w:val="34"/>
    <w:qFormat/>
    <w:rsid w:val="001A0508"/>
    <w:pPr>
      <w:spacing w:after="160" w:line="259" w:lineRule="auto"/>
      <w:ind w:left="720"/>
      <w:contextualSpacing/>
    </w:pPr>
    <w:rPr>
      <w:rFonts w:ascii="Calibri" w:eastAsia="Calibri" w:hAnsi="Calibri" w:cs="Calibri"/>
      <w:sz w:val="22"/>
      <w:szCs w:val="22"/>
      <w:lang w:val="es-PE" w:eastAsia="es-PE"/>
    </w:rPr>
  </w:style>
  <w:style w:type="paragraph" w:styleId="Textocomentario">
    <w:name w:val="annotation text"/>
    <w:basedOn w:val="Normal"/>
    <w:link w:val="TextocomentarioCar"/>
    <w:uiPriority w:val="99"/>
    <w:unhideWhenUsed/>
    <w:rsid w:val="001A0508"/>
    <w:pPr>
      <w:spacing w:after="160"/>
    </w:pPr>
    <w:rPr>
      <w:rFonts w:ascii="Calibri" w:eastAsia="Calibri" w:hAnsi="Calibri" w:cs="Calibri"/>
      <w:sz w:val="20"/>
      <w:szCs w:val="20"/>
      <w:lang w:val="es-PE" w:eastAsia="es-PE"/>
    </w:rPr>
  </w:style>
  <w:style w:type="character" w:customStyle="1" w:styleId="TextocomentarioCar">
    <w:name w:val="Texto comentario Car"/>
    <w:basedOn w:val="Fuentedeprrafopredeter"/>
    <w:link w:val="Textocomentario"/>
    <w:uiPriority w:val="99"/>
    <w:rsid w:val="001A0508"/>
    <w:rPr>
      <w:rFonts w:ascii="Calibri" w:eastAsia="Calibri" w:hAnsi="Calibri" w:cs="Calibri"/>
      <w:lang w:val="es-PE" w:eastAsia="es-PE"/>
    </w:rPr>
  </w:style>
  <w:style w:type="character" w:customStyle="1" w:styleId="AsuntodelcomentarioCar">
    <w:name w:val="Asunto del comentario Car"/>
    <w:link w:val="Asuntodelcomentario"/>
    <w:uiPriority w:val="99"/>
    <w:semiHidden/>
    <w:rsid w:val="001A0508"/>
    <w:rPr>
      <w:rFonts w:ascii="Calibri" w:eastAsia="Calibri" w:hAnsi="Calibri" w:cs="Calibri"/>
      <w:b/>
      <w:bCs/>
      <w:lang w:val="es-ES_tradnl" w:eastAsia="es-PE"/>
    </w:rPr>
  </w:style>
  <w:style w:type="paragraph" w:styleId="Asuntodelcomentario">
    <w:name w:val="annotation subject"/>
    <w:basedOn w:val="Textocomentario"/>
    <w:next w:val="Textocomentario"/>
    <w:link w:val="AsuntodelcomentarioCar"/>
    <w:uiPriority w:val="99"/>
    <w:semiHidden/>
    <w:unhideWhenUsed/>
    <w:rsid w:val="001A0508"/>
    <w:rPr>
      <w:b/>
      <w:bCs/>
      <w:lang w:val="es-ES_tradnl"/>
    </w:rPr>
  </w:style>
  <w:style w:type="character" w:customStyle="1" w:styleId="AsuntodelcomentarioCar1">
    <w:name w:val="Asunto del comentario Car1"/>
    <w:basedOn w:val="TextocomentarioCar"/>
    <w:semiHidden/>
    <w:rsid w:val="001A0508"/>
    <w:rPr>
      <w:rFonts w:ascii="Calibri" w:eastAsia="Calibri" w:hAnsi="Calibri" w:cs="Calibri"/>
      <w:b/>
      <w:bCs/>
      <w:lang w:val="es-PE" w:eastAsia="es-PE"/>
    </w:rPr>
  </w:style>
  <w:style w:type="paragraph" w:customStyle="1" w:styleId="p">
    <w:name w:val="p"/>
    <w:basedOn w:val="Normal"/>
    <w:rsid w:val="001A0508"/>
    <w:pPr>
      <w:spacing w:before="100" w:beforeAutospacing="1" w:after="100" w:afterAutospacing="1"/>
    </w:pPr>
    <w:rPr>
      <w:lang w:val="es-PE" w:eastAsia="es-PE"/>
    </w:rPr>
  </w:style>
  <w:style w:type="character" w:customStyle="1" w:styleId="orcid-id-https">
    <w:name w:val="orcid-id-https"/>
    <w:basedOn w:val="Fuentedeprrafopredeter"/>
    <w:rsid w:val="001A0508"/>
  </w:style>
  <w:style w:type="character" w:styleId="Refdecomentario">
    <w:name w:val="annotation reference"/>
    <w:uiPriority w:val="99"/>
    <w:semiHidden/>
    <w:unhideWhenUsed/>
    <w:rsid w:val="001A0508"/>
    <w:rPr>
      <w:sz w:val="16"/>
      <w:szCs w:val="16"/>
    </w:rPr>
  </w:style>
  <w:style w:type="character" w:customStyle="1" w:styleId="Mencinsinresolver1">
    <w:name w:val="Mención sin resolver1"/>
    <w:uiPriority w:val="99"/>
    <w:semiHidden/>
    <w:unhideWhenUsed/>
    <w:rsid w:val="001A0508"/>
    <w:rPr>
      <w:color w:val="605E5C"/>
      <w:shd w:val="clear" w:color="auto" w:fill="E1DFDD"/>
    </w:rPr>
  </w:style>
  <w:style w:type="character" w:styleId="Mencinsinresolver">
    <w:name w:val="Unresolved Mention"/>
    <w:uiPriority w:val="99"/>
    <w:semiHidden/>
    <w:unhideWhenUsed/>
    <w:rsid w:val="001A0508"/>
    <w:rPr>
      <w:color w:val="605E5C"/>
      <w:shd w:val="clear" w:color="auto" w:fill="E1DFDD"/>
    </w:rPr>
  </w:style>
  <w:style w:type="paragraph" w:styleId="HTMLconformatoprevio">
    <w:name w:val="HTML Preformatted"/>
    <w:basedOn w:val="Normal"/>
    <w:link w:val="HTMLconformatoprevioCar"/>
    <w:uiPriority w:val="99"/>
    <w:semiHidden/>
    <w:unhideWhenUsed/>
    <w:rsid w:val="001A0508"/>
    <w:rPr>
      <w:rFonts w:ascii="Consolas" w:eastAsia="Calibri" w:hAnsi="Consolas" w:cs="Calibri"/>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1A0508"/>
    <w:rPr>
      <w:rFonts w:ascii="Consolas" w:eastAsia="Calibri" w:hAnsi="Consolas" w:cs="Calibri"/>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054-6671" TargetMode="External"/><Relationship Id="rId13" Type="http://schemas.openxmlformats.org/officeDocument/2006/relationships/image" Target="media/image2.gif"/><Relationship Id="rId18" Type="http://schemas.openxmlformats.org/officeDocument/2006/relationships/hyperlink" Target="https://www.who.int/es/news-room/fact-sheets/detail/healthy-diet" TargetMode="External"/><Relationship Id="rId26" Type="http://schemas.openxmlformats.org/officeDocument/2006/relationships/hyperlink" Target="http://repositorio.unap.edu.pe/handle/UNAP/6340"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sychiatria-danubina.com/UserDocsImages/pdf/dnb_vol31_noSuppl%203/dnb_vol31_noSuppl%203_217.pdf" TargetMode="External"/><Relationship Id="rId34" Type="http://schemas.openxmlformats.org/officeDocument/2006/relationships/hyperlink" Target="https://www.ncbi.nlm.nih.gov/pmc/articles/PMC7069316/" TargetMode="External"/><Relationship Id="rId42" Type="http://schemas.openxmlformats.org/officeDocument/2006/relationships/fontTable" Target="fontTable.xml"/><Relationship Id="rId7" Type="http://schemas.openxmlformats.org/officeDocument/2006/relationships/hyperlink" Target="https://orcid.org/0000-0002-9122-0118" TargetMode="External"/><Relationship Id="rId12" Type="http://schemas.openxmlformats.org/officeDocument/2006/relationships/image" Target="media/image1.gif"/><Relationship Id="rId17" Type="http://schemas.openxmlformats.org/officeDocument/2006/relationships/hyperlink" Target="https://www.who.int/es/news-room/fact-heets/detail/noncommunicable-diseases" TargetMode="External"/><Relationship Id="rId25" Type="http://schemas.openxmlformats.org/officeDocument/2006/relationships/hyperlink" Target="https://repositorioacademico.upc.edu.pe/handle/10757/566985" TargetMode="External"/><Relationship Id="rId33" Type="http://schemas.openxmlformats.org/officeDocument/2006/relationships/hyperlink" Target="https://www.gob.pe/institucion/minsa/normas-legales/1366422-972-2020-minsa" TargetMode="External"/><Relationship Id="rId38" Type="http://schemas.openxmlformats.org/officeDocument/2006/relationships/hyperlink" Target="https://www.ncbi.nlm.nih.gov/pmc/articles/PMC7444050/" TargetMode="External"/><Relationship Id="rId2" Type="http://schemas.openxmlformats.org/officeDocument/2006/relationships/styles" Target="styles.xml"/><Relationship Id="rId16" Type="http://schemas.openxmlformats.org/officeDocument/2006/relationships/hyperlink" Target="https://pmj.bmj.com/content/postgradmedj/96/1137/429.full.pdf" TargetMode="External"/><Relationship Id="rId20" Type="http://schemas.openxmlformats.org/officeDocument/2006/relationships/hyperlink" Target="https://www.gob.pe/institucion/minsa/noticias/286005-el-85-5-de-pacientes-fallecidos-con-comorbilidades-por-covid-19-padecian-obesidad" TargetMode="External"/><Relationship Id="rId29" Type="http://schemas.openxmlformats.org/officeDocument/2006/relationships/hyperlink" Target="https://www.ncbi.nlm.nih.gov/pmc/articles/PMC7551447/"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rlz=1C1SQJL_esPE873PE873&amp;q=Hospital+Militar+Coronel+Luis+Arias+Schreiber&amp;ludocid=8764370832205280543&amp;lsig=AB86z5WjRhgr2zkulCBs7byeGZme&amp;sa=X&amp;ved=2ahUKEwiitO2Fs_buAhUfHbkGHT2HD0sQ8G0oADARegQIHBAB" TargetMode="External"/><Relationship Id="rId24" Type="http://schemas.openxmlformats.org/officeDocument/2006/relationships/hyperlink" Target="https://www.behavioralpsycho.com/wp-content/uploads/2020/04/02.Arrivillaga_13-1oa-1.pdf" TargetMode="External"/><Relationship Id="rId32" Type="http://schemas.openxmlformats.org/officeDocument/2006/relationships/hyperlink" Target="https://www.who.int/es/emergencies/diseases/novel-coronavirus-2019/question-and-answers-hub/q-a-detail/coronavirus-disease-covid-19" TargetMode="External"/><Relationship Id="rId37" Type="http://schemas.openxmlformats.org/officeDocument/2006/relationships/hyperlink" Target="https://www.ncbi.nlm.nih.gov/pmc/articles/PMC7117999/"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bi.nlm.nih.gov/pmc/articles/PMC7284818/" TargetMode="External"/><Relationship Id="rId23" Type="http://schemas.openxmlformats.org/officeDocument/2006/relationships/hyperlink" Target="https://www.gob.pe/institucion/minsa/normas-legales/783241-456-2020-minsa" TargetMode="External"/><Relationship Id="rId28" Type="http://schemas.openxmlformats.org/officeDocument/2006/relationships/hyperlink" Target="https://scielo.conicyt.cl/scielo.php?script=sci_arttext&amp;pid=S0034-98872020000801189&amp;lng=en&amp;nrm=iso&amp;tlng=en" TargetMode="External"/><Relationship Id="rId36" Type="http://schemas.openxmlformats.org/officeDocument/2006/relationships/hyperlink" Target="http://www.scielo.org.pe/scielo.php?script=sci_arttext&amp;pid=S1025-55832019000100004" TargetMode="External"/><Relationship Id="rId10" Type="http://schemas.openxmlformats.org/officeDocument/2006/relationships/hyperlink" Target="mailto:juan.amau@upch.pe" TargetMode="External"/><Relationship Id="rId19" Type="http://schemas.openxmlformats.org/officeDocument/2006/relationships/hyperlink" Target="https://www.who.int/es/news-room/fact-sheets/detail/obesity-and-overweight" TargetMode="External"/><Relationship Id="rId31" Type="http://schemas.openxmlformats.org/officeDocument/2006/relationships/hyperlink" Target="https://www.ncbi.nlm.nih.gov/pmc/articles/PMC7601866/" TargetMode="External"/><Relationship Id="rId4" Type="http://schemas.openxmlformats.org/officeDocument/2006/relationships/webSettings" Target="webSettings.xml"/><Relationship Id="rId9" Type="http://schemas.openxmlformats.org/officeDocument/2006/relationships/hyperlink" Target="https://orcid.org/0000-0001-9641-1047" TargetMode="External"/><Relationship Id="rId14" Type="http://schemas.openxmlformats.org/officeDocument/2006/relationships/image" Target="media/image3.gif"/><Relationship Id="rId22" Type="http://schemas.openxmlformats.org/officeDocument/2006/relationships/hyperlink" Target="https://www.ncbi.nlm.nih.gov/pmc/articles/PMC4010088/" TargetMode="External"/><Relationship Id="rId27" Type="http://schemas.openxmlformats.org/officeDocument/2006/relationships/hyperlink" Target="https://apps.who.int/iris/handle/10665/42330?locale-attribute=es&amp;" TargetMode="External"/><Relationship Id="rId30" Type="http://schemas.openxmlformats.org/officeDocument/2006/relationships/hyperlink" Target="https://www.ncbi.nlm.nih.gov/pmc/articles/PMC7260516/" TargetMode="External"/><Relationship Id="rId35" Type="http://schemas.openxmlformats.org/officeDocument/2006/relationships/hyperlink" Target="https://busquedas.elperuano.pe/normaslegales/ley-del-sistema-nacional-de-residentado-medico-sinareme-ley-n-30453-1391144-1/"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32</TotalTime>
  <Pages>16</Pages>
  <Words>4561</Words>
  <Characters>25086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29588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2021-09-12T20:10:00Z</cp:lastPrinted>
  <dcterms:created xsi:type="dcterms:W3CDTF">2021-09-12T19:39:00Z</dcterms:created>
  <dcterms:modified xsi:type="dcterms:W3CDTF">2021-09-12T20:11:00Z</dcterms:modified>
</cp:coreProperties>
</file>