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C53F" w14:textId="77777777" w:rsidR="00276C5B" w:rsidRPr="00276C5B" w:rsidRDefault="00276C5B" w:rsidP="00276C5B">
      <w:pPr>
        <w:keepNext/>
        <w:keepLines/>
        <w:widowControl w:val="0"/>
        <w:suppressAutoHyphens/>
        <w:overflowPunct w:val="0"/>
        <w:autoSpaceDE w:val="0"/>
        <w:autoSpaceDN w:val="0"/>
        <w:spacing w:line="360" w:lineRule="auto"/>
        <w:jc w:val="right"/>
        <w:textAlignment w:val="baseline"/>
        <w:outlineLvl w:val="0"/>
        <w:rPr>
          <w:kern w:val="3"/>
          <w:sz w:val="20"/>
          <w:szCs w:val="20"/>
          <w:lang w:val="es-ES" w:eastAsia="es-ES"/>
        </w:rPr>
      </w:pPr>
      <w:r w:rsidRPr="00276C5B">
        <w:rPr>
          <w:kern w:val="3"/>
          <w:sz w:val="20"/>
          <w:szCs w:val="20"/>
          <w:lang w:val="es-ES" w:eastAsia="es-ES"/>
        </w:rPr>
        <w:t xml:space="preserve">Artículo de investigación </w:t>
      </w:r>
    </w:p>
    <w:p w14:paraId="5FEBC71E" w14:textId="77777777" w:rsidR="00276C5B" w:rsidRPr="00276C5B" w:rsidRDefault="00276C5B" w:rsidP="00276C5B">
      <w:pPr>
        <w:widowControl w:val="0"/>
        <w:suppressAutoHyphens/>
        <w:overflowPunct w:val="0"/>
        <w:autoSpaceDE w:val="0"/>
        <w:autoSpaceDN w:val="0"/>
        <w:spacing w:line="360" w:lineRule="auto"/>
        <w:textAlignment w:val="baseline"/>
        <w:rPr>
          <w:kern w:val="3"/>
          <w:lang w:val="es-ES" w:eastAsia="es-ES"/>
        </w:rPr>
      </w:pPr>
    </w:p>
    <w:p w14:paraId="7342C3CE" w14:textId="77777777" w:rsidR="00276C5B" w:rsidRPr="00276C5B" w:rsidRDefault="00276C5B" w:rsidP="00276C5B">
      <w:pPr>
        <w:widowControl w:val="0"/>
        <w:suppressAutoHyphens/>
        <w:overflowPunct w:val="0"/>
        <w:autoSpaceDE w:val="0"/>
        <w:autoSpaceDN w:val="0"/>
        <w:spacing w:line="360" w:lineRule="auto"/>
        <w:jc w:val="center"/>
        <w:textAlignment w:val="baseline"/>
        <w:rPr>
          <w:b/>
          <w:bCs/>
          <w:kern w:val="3"/>
          <w:sz w:val="28"/>
          <w:szCs w:val="28"/>
          <w:lang w:val="es-ES" w:eastAsia="es-ES"/>
        </w:rPr>
      </w:pPr>
      <w:r w:rsidRPr="00276C5B">
        <w:rPr>
          <w:b/>
          <w:bCs/>
          <w:kern w:val="3"/>
          <w:sz w:val="28"/>
          <w:szCs w:val="28"/>
          <w:lang w:val="es-ES" w:eastAsia="es-ES"/>
        </w:rPr>
        <w:t>Biometrías fetales y variables maternas como predictores de desviaciones de la condición trófica al nacer</w:t>
      </w:r>
    </w:p>
    <w:p w14:paraId="635EA3FB" w14:textId="77777777" w:rsidR="00276C5B" w:rsidRPr="00276C5B" w:rsidRDefault="00276C5B" w:rsidP="0027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eastAsia="en-US"/>
        </w:rPr>
      </w:pPr>
      <w:r w:rsidRPr="00276C5B">
        <w:rPr>
          <w:sz w:val="28"/>
          <w:szCs w:val="28"/>
          <w:lang w:val="en-US" w:eastAsia="en-US"/>
        </w:rPr>
        <w:t>Fetal biometrics and maternal variables as predictors of deviations in trophic status at birth</w:t>
      </w:r>
    </w:p>
    <w:p w14:paraId="40C5AE9F" w14:textId="77777777" w:rsidR="00276C5B" w:rsidRPr="00276C5B" w:rsidRDefault="00276C5B" w:rsidP="00276C5B">
      <w:pPr>
        <w:keepNext/>
        <w:keepLines/>
        <w:widowControl w:val="0"/>
        <w:suppressAutoHyphens/>
        <w:overflowPunct w:val="0"/>
        <w:autoSpaceDE w:val="0"/>
        <w:autoSpaceDN w:val="0"/>
        <w:spacing w:line="360" w:lineRule="auto"/>
        <w:textAlignment w:val="baseline"/>
        <w:outlineLvl w:val="0"/>
        <w:rPr>
          <w:b/>
          <w:kern w:val="3"/>
          <w:lang w:val="en-US" w:eastAsia="es-ES"/>
        </w:rPr>
      </w:pPr>
    </w:p>
    <w:p w14:paraId="7AC8ECD0" w14:textId="77777777" w:rsidR="00276C5B" w:rsidRPr="00276C5B" w:rsidRDefault="00276C5B" w:rsidP="00276C5B">
      <w:pPr>
        <w:widowControl w:val="0"/>
        <w:suppressAutoHyphens/>
        <w:overflowPunct w:val="0"/>
        <w:autoSpaceDE w:val="0"/>
        <w:autoSpaceDN w:val="0"/>
        <w:spacing w:line="360" w:lineRule="auto"/>
        <w:jc w:val="both"/>
        <w:textAlignment w:val="baseline"/>
        <w:rPr>
          <w:rFonts w:eastAsia="font263"/>
          <w:kern w:val="1"/>
          <w:lang w:val="es-ES" w:eastAsia="es-ES"/>
        </w:rPr>
      </w:pPr>
      <w:r w:rsidRPr="00276C5B">
        <w:rPr>
          <w:bCs/>
          <w:kern w:val="3"/>
          <w:lang w:val="es-ES" w:eastAsia="es-ES"/>
        </w:rPr>
        <w:t>Disney Borrego Gutierrez</w:t>
      </w:r>
      <w:r w:rsidRPr="00276C5B">
        <w:rPr>
          <w:bCs/>
          <w:kern w:val="3"/>
          <w:vertAlign w:val="superscript"/>
          <w:lang w:val="es-ES" w:eastAsia="es-ES"/>
        </w:rPr>
        <w:t>1</w:t>
      </w:r>
      <w:r w:rsidRPr="00276C5B">
        <w:rPr>
          <w:bCs/>
          <w:kern w:val="3"/>
          <w:lang w:val="es-ES" w:eastAsia="es-ES"/>
        </w:rPr>
        <w:t>*</w:t>
      </w:r>
      <w:r w:rsidRPr="00276C5B">
        <w:rPr>
          <w:bCs/>
          <w:kern w:val="3"/>
          <w:vertAlign w:val="superscript"/>
          <w:lang w:val="es-ES" w:eastAsia="es-ES"/>
        </w:rPr>
        <w:t xml:space="preserve"> </w:t>
      </w:r>
      <w:hyperlink r:id="rId7" w:history="1">
        <w:r w:rsidRPr="00276C5B">
          <w:rPr>
            <w:bCs/>
            <w:color w:val="0563C1"/>
            <w:kern w:val="3"/>
            <w:lang w:val="es-ES" w:eastAsia="es-ES"/>
          </w:rPr>
          <w:t>https://orcid.org/0000-0002-2714-0084</w:t>
        </w:r>
      </w:hyperlink>
    </w:p>
    <w:p w14:paraId="0931ECB7" w14:textId="77777777" w:rsidR="00276C5B" w:rsidRPr="00276C5B" w:rsidRDefault="00276C5B" w:rsidP="00276C5B">
      <w:pPr>
        <w:widowControl w:val="0"/>
        <w:suppressAutoHyphens/>
        <w:overflowPunct w:val="0"/>
        <w:autoSpaceDE w:val="0"/>
        <w:autoSpaceDN w:val="0"/>
        <w:spacing w:line="360" w:lineRule="auto"/>
        <w:textAlignment w:val="baseline"/>
        <w:rPr>
          <w:bCs/>
          <w:kern w:val="3"/>
          <w:lang w:val="es-ES" w:eastAsia="es-ES"/>
        </w:rPr>
      </w:pPr>
      <w:r w:rsidRPr="00276C5B">
        <w:rPr>
          <w:bCs/>
          <w:kern w:val="3"/>
          <w:lang w:val="es-ES" w:eastAsia="es-ES"/>
        </w:rPr>
        <w:t>Elizabeth Alvarez Guerra González</w:t>
      </w:r>
      <w:r w:rsidRPr="00276C5B">
        <w:rPr>
          <w:bCs/>
          <w:kern w:val="3"/>
          <w:vertAlign w:val="superscript"/>
          <w:lang w:val="es-ES" w:eastAsia="es-ES"/>
        </w:rPr>
        <w:t xml:space="preserve">2 </w:t>
      </w:r>
      <w:hyperlink r:id="rId8" w:history="1">
        <w:r w:rsidRPr="00276C5B">
          <w:rPr>
            <w:bCs/>
            <w:color w:val="0563C1"/>
            <w:kern w:val="3"/>
            <w:lang w:val="es-ES" w:eastAsia="es-ES"/>
          </w:rPr>
          <w:t>https://orcid.org/</w:t>
        </w:r>
      </w:hyperlink>
      <w:r w:rsidRPr="00276C5B">
        <w:rPr>
          <w:bCs/>
          <w:color w:val="0563C1"/>
          <w:kern w:val="3"/>
          <w:lang w:val="es-ES" w:eastAsia="es-ES"/>
        </w:rPr>
        <w:t>0000-0003-2052-4058</w:t>
      </w:r>
    </w:p>
    <w:p w14:paraId="5B52D36A" w14:textId="77777777" w:rsidR="00276C5B" w:rsidRPr="00276C5B" w:rsidRDefault="00276C5B" w:rsidP="00276C5B">
      <w:pPr>
        <w:widowControl w:val="0"/>
        <w:suppressAutoHyphens/>
        <w:overflowPunct w:val="0"/>
        <w:autoSpaceDE w:val="0"/>
        <w:autoSpaceDN w:val="0"/>
        <w:spacing w:line="360" w:lineRule="auto"/>
        <w:textAlignment w:val="baseline"/>
        <w:rPr>
          <w:bCs/>
          <w:kern w:val="3"/>
          <w:lang w:val="es-ES" w:eastAsia="es-ES"/>
        </w:rPr>
      </w:pPr>
      <w:r w:rsidRPr="00276C5B">
        <w:rPr>
          <w:bCs/>
          <w:kern w:val="3"/>
          <w:lang w:val="es-ES" w:eastAsia="es-ES"/>
        </w:rPr>
        <w:t>Nélida Liduvina Sarasa Muñoz</w:t>
      </w:r>
      <w:r w:rsidRPr="00276C5B">
        <w:rPr>
          <w:bCs/>
          <w:kern w:val="3"/>
          <w:vertAlign w:val="superscript"/>
          <w:lang w:val="es-ES" w:eastAsia="es-ES"/>
        </w:rPr>
        <w:t xml:space="preserve">3 </w:t>
      </w:r>
      <w:hyperlink r:id="rId9" w:history="1">
        <w:r w:rsidRPr="00276C5B">
          <w:rPr>
            <w:bCs/>
            <w:color w:val="0563C1"/>
            <w:kern w:val="3"/>
            <w:lang w:val="es-ES" w:eastAsia="es-ES"/>
          </w:rPr>
          <w:t>https://orcid.org/</w:t>
        </w:r>
      </w:hyperlink>
      <w:r w:rsidRPr="00276C5B">
        <w:rPr>
          <w:bCs/>
          <w:color w:val="0563C1"/>
          <w:kern w:val="3"/>
          <w:lang w:val="es-ES" w:eastAsia="es-ES"/>
        </w:rPr>
        <w:t>0000-0002-2353-5361</w:t>
      </w:r>
    </w:p>
    <w:p w14:paraId="1385666C" w14:textId="77777777" w:rsidR="00276C5B" w:rsidRPr="00276C5B" w:rsidRDefault="00276C5B" w:rsidP="00276C5B">
      <w:pPr>
        <w:widowControl w:val="0"/>
        <w:suppressAutoHyphens/>
        <w:overflowPunct w:val="0"/>
        <w:autoSpaceDE w:val="0"/>
        <w:autoSpaceDN w:val="0"/>
        <w:spacing w:line="360" w:lineRule="auto"/>
        <w:textAlignment w:val="baseline"/>
        <w:rPr>
          <w:bCs/>
          <w:kern w:val="3"/>
          <w:lang w:val="es-ES" w:eastAsia="es-ES"/>
        </w:rPr>
      </w:pPr>
      <w:r w:rsidRPr="00276C5B">
        <w:rPr>
          <w:bCs/>
          <w:kern w:val="3"/>
          <w:lang w:val="es-ES" w:eastAsia="es-ES"/>
        </w:rPr>
        <w:t>Danay Vázquez Rivero</w:t>
      </w:r>
      <w:r w:rsidRPr="00276C5B">
        <w:rPr>
          <w:bCs/>
          <w:kern w:val="3"/>
          <w:vertAlign w:val="superscript"/>
          <w:lang w:val="es-ES" w:eastAsia="es-ES"/>
        </w:rPr>
        <w:t xml:space="preserve">3 </w:t>
      </w:r>
      <w:hyperlink r:id="rId10" w:history="1">
        <w:r w:rsidRPr="00276C5B">
          <w:rPr>
            <w:color w:val="0563C1"/>
            <w:kern w:val="3"/>
            <w:lang w:val="es-ES" w:eastAsia="es-ES"/>
          </w:rPr>
          <w:t>https://orcid.org/0000-0002-0085-1767</w:t>
        </w:r>
      </w:hyperlink>
    </w:p>
    <w:p w14:paraId="7FB6F9B3" w14:textId="77777777" w:rsidR="00276C5B" w:rsidRPr="00276C5B" w:rsidRDefault="00276C5B" w:rsidP="00276C5B">
      <w:pPr>
        <w:widowControl w:val="0"/>
        <w:suppressAutoHyphens/>
        <w:overflowPunct w:val="0"/>
        <w:autoSpaceDE w:val="0"/>
        <w:autoSpaceDN w:val="0"/>
        <w:spacing w:line="360" w:lineRule="auto"/>
        <w:textAlignment w:val="baseline"/>
        <w:rPr>
          <w:kern w:val="3"/>
          <w:lang w:val="es-ES" w:eastAsia="es-ES"/>
        </w:rPr>
      </w:pPr>
      <w:r w:rsidRPr="00276C5B">
        <w:rPr>
          <w:color w:val="000000"/>
          <w:kern w:val="3"/>
          <w:lang w:val="es-ES" w:eastAsia="es-ES"/>
        </w:rPr>
        <w:t>Celidanay Ramírez Mesa</w:t>
      </w:r>
      <w:r w:rsidRPr="00276C5B">
        <w:rPr>
          <w:color w:val="000000"/>
          <w:kern w:val="3"/>
          <w:vertAlign w:val="superscript"/>
          <w:lang w:val="es-ES" w:eastAsia="es-ES"/>
        </w:rPr>
        <w:t xml:space="preserve">3 </w:t>
      </w:r>
      <w:hyperlink r:id="rId11" w:history="1">
        <w:r w:rsidRPr="00276C5B">
          <w:rPr>
            <w:color w:val="0563C1"/>
            <w:kern w:val="3"/>
            <w:lang w:val="es-ES" w:eastAsia="es-ES"/>
          </w:rPr>
          <w:t>https://orcid.org/0000-0002-8218-5082</w:t>
        </w:r>
      </w:hyperlink>
    </w:p>
    <w:p w14:paraId="29963846" w14:textId="7B01E85F" w:rsidR="00276C5B" w:rsidRPr="00276C5B" w:rsidRDefault="00276C5B" w:rsidP="00276C5B">
      <w:pPr>
        <w:widowControl w:val="0"/>
        <w:suppressAutoHyphens/>
        <w:overflowPunct w:val="0"/>
        <w:autoSpaceDE w:val="0"/>
        <w:autoSpaceDN w:val="0"/>
        <w:spacing w:line="360" w:lineRule="auto"/>
        <w:textAlignment w:val="baseline"/>
        <w:rPr>
          <w:kern w:val="3"/>
          <w:lang w:val="es-ES" w:eastAsia="es-ES"/>
        </w:rPr>
      </w:pPr>
      <w:r w:rsidRPr="00276C5B">
        <w:rPr>
          <w:kern w:val="3"/>
          <w:lang w:val="es-ES" w:eastAsia="es-ES"/>
        </w:rPr>
        <w:t>Calixto Orozco Muñoz</w:t>
      </w:r>
      <w:r w:rsidRPr="00276C5B">
        <w:rPr>
          <w:kern w:val="3"/>
          <w:vertAlign w:val="superscript"/>
          <w:lang w:val="es-ES" w:eastAsia="es-ES"/>
        </w:rPr>
        <w:t xml:space="preserve">4 </w:t>
      </w:r>
      <w:hyperlink r:id="rId12" w:history="1">
        <w:r w:rsidRPr="00276C5B">
          <w:rPr>
            <w:color w:val="0563C1"/>
            <w:kern w:val="3"/>
            <w:lang w:val="es-ES" w:eastAsia="es-ES"/>
          </w:rPr>
          <w:t>https://orcid.org/0000-0002-7730-2184</w:t>
        </w:r>
      </w:hyperlink>
    </w:p>
    <w:p w14:paraId="02F98CCE"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vertAlign w:val="superscript"/>
          <w:lang w:val="es-ES" w:eastAsia="es-ES"/>
        </w:rPr>
      </w:pPr>
    </w:p>
    <w:p w14:paraId="3A9B773B"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r w:rsidRPr="00276C5B">
        <w:rPr>
          <w:color w:val="000000"/>
          <w:kern w:val="3"/>
          <w:vertAlign w:val="superscript"/>
          <w:lang w:val="es-ES" w:eastAsia="es-ES"/>
        </w:rPr>
        <w:t>1</w:t>
      </w:r>
      <w:r w:rsidRPr="00276C5B">
        <w:rPr>
          <w:color w:val="000000"/>
          <w:kern w:val="3"/>
          <w:lang w:val="es-ES" w:eastAsia="es-ES"/>
        </w:rPr>
        <w:t>Universidad de Ciencias Médicas de Villa Clara. Vicerrectorado Académico. Villa Clara, Cuba.</w:t>
      </w:r>
    </w:p>
    <w:p w14:paraId="7939D558"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r w:rsidRPr="00276C5B">
        <w:rPr>
          <w:color w:val="000000"/>
          <w:kern w:val="3"/>
          <w:vertAlign w:val="superscript"/>
          <w:lang w:val="es-ES" w:eastAsia="es-ES"/>
        </w:rPr>
        <w:t>2</w:t>
      </w:r>
      <w:r w:rsidRPr="00276C5B">
        <w:rPr>
          <w:color w:val="000000"/>
          <w:kern w:val="3"/>
          <w:lang w:val="es-ES" w:eastAsia="es-ES"/>
        </w:rPr>
        <w:t>Universidad de Ciencias Médicas de Villa Clara. Unidad de Investigaciones biomédicas. Villa Clara, Cuba.</w:t>
      </w:r>
    </w:p>
    <w:p w14:paraId="3ABA89AE"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r w:rsidRPr="00276C5B">
        <w:rPr>
          <w:color w:val="000000"/>
          <w:kern w:val="3"/>
          <w:vertAlign w:val="superscript"/>
          <w:lang w:val="es-ES" w:eastAsia="es-ES"/>
        </w:rPr>
        <w:t>3</w:t>
      </w:r>
      <w:r w:rsidRPr="00276C5B">
        <w:rPr>
          <w:color w:val="000000"/>
          <w:kern w:val="3"/>
          <w:lang w:val="es-ES" w:eastAsia="es-ES"/>
        </w:rPr>
        <w:t>Universidad de Ciencias Médicas. Departamento de Ciencias Básicas Biomédicas Morfológicas. Villa Clara, Cuba.</w:t>
      </w:r>
    </w:p>
    <w:p w14:paraId="2140A3AA"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r w:rsidRPr="00276C5B">
        <w:rPr>
          <w:color w:val="000000"/>
          <w:kern w:val="3"/>
          <w:vertAlign w:val="superscript"/>
          <w:lang w:val="es-ES" w:eastAsia="es-ES"/>
        </w:rPr>
        <w:t>4</w:t>
      </w:r>
      <w:r w:rsidRPr="00276C5B">
        <w:rPr>
          <w:color w:val="000000"/>
          <w:kern w:val="3"/>
          <w:lang w:val="es-ES" w:eastAsia="es-ES"/>
        </w:rPr>
        <w:t>Universidad de Ciencias Médicas de Villa Clara. Rectorado Académico. Villa Clara, Cuba.</w:t>
      </w:r>
    </w:p>
    <w:p w14:paraId="47D3873A" w14:textId="77777777" w:rsidR="00276C5B" w:rsidRPr="00276C5B" w:rsidRDefault="00276C5B" w:rsidP="00276C5B">
      <w:pPr>
        <w:keepNext/>
        <w:keepLines/>
        <w:widowControl w:val="0"/>
        <w:suppressAutoHyphens/>
        <w:overflowPunct w:val="0"/>
        <w:autoSpaceDE w:val="0"/>
        <w:autoSpaceDN w:val="0"/>
        <w:spacing w:line="360" w:lineRule="auto"/>
        <w:textAlignment w:val="baseline"/>
        <w:outlineLvl w:val="0"/>
        <w:rPr>
          <w:b/>
          <w:kern w:val="3"/>
          <w:lang w:val="es-ES" w:eastAsia="es-ES"/>
        </w:rPr>
      </w:pPr>
    </w:p>
    <w:p w14:paraId="18F78714" w14:textId="77777777" w:rsidR="00276C5B" w:rsidRPr="00276C5B" w:rsidRDefault="00276C5B" w:rsidP="00276C5B">
      <w:pPr>
        <w:keepNext/>
        <w:keepLines/>
        <w:widowControl w:val="0"/>
        <w:suppressAutoHyphens/>
        <w:overflowPunct w:val="0"/>
        <w:autoSpaceDE w:val="0"/>
        <w:autoSpaceDN w:val="0"/>
        <w:spacing w:line="360" w:lineRule="auto"/>
        <w:textAlignment w:val="baseline"/>
        <w:outlineLvl w:val="0"/>
        <w:rPr>
          <w:kern w:val="3"/>
          <w:lang w:val="es-ES" w:eastAsia="es-ES"/>
        </w:rPr>
      </w:pPr>
      <w:r w:rsidRPr="00276C5B">
        <w:rPr>
          <w:b/>
          <w:kern w:val="3"/>
          <w:lang w:val="es-ES" w:eastAsia="es-ES"/>
        </w:rPr>
        <w:t>*</w:t>
      </w:r>
      <w:r w:rsidRPr="00276C5B">
        <w:rPr>
          <w:kern w:val="3"/>
          <w:lang w:val="es-ES" w:eastAsia="es-ES"/>
        </w:rPr>
        <w:t xml:space="preserve">Autor para la correspondencia: </w:t>
      </w:r>
      <w:r w:rsidRPr="00276C5B">
        <w:rPr>
          <w:color w:val="000000"/>
          <w:kern w:val="3"/>
          <w:lang w:val="es-ES" w:eastAsia="es-ES"/>
        </w:rPr>
        <w:t xml:space="preserve">Correo electrónico: </w:t>
      </w:r>
      <w:r w:rsidRPr="00276C5B">
        <w:rPr>
          <w:rFonts w:eastAsia="Calibri"/>
          <w:color w:val="0000FF"/>
          <w:kern w:val="1"/>
          <w:lang w:val="es-ES" w:eastAsia="es-ES"/>
        </w:rPr>
        <w:t>disneybgu@infomed.sld.cu</w:t>
      </w:r>
    </w:p>
    <w:p w14:paraId="6B05B6EC" w14:textId="77777777" w:rsidR="00276C5B" w:rsidRPr="00276C5B" w:rsidRDefault="00276C5B" w:rsidP="00276C5B">
      <w:pPr>
        <w:keepNext/>
        <w:keepLines/>
        <w:widowControl w:val="0"/>
        <w:suppressAutoHyphens/>
        <w:overflowPunct w:val="0"/>
        <w:autoSpaceDE w:val="0"/>
        <w:autoSpaceDN w:val="0"/>
        <w:spacing w:line="360" w:lineRule="auto"/>
        <w:textAlignment w:val="baseline"/>
        <w:outlineLvl w:val="0"/>
        <w:rPr>
          <w:b/>
          <w:iCs/>
          <w:kern w:val="3"/>
          <w:lang w:val="es-ES" w:eastAsia="es-ES"/>
        </w:rPr>
      </w:pPr>
    </w:p>
    <w:p w14:paraId="55475F77" w14:textId="77777777" w:rsidR="00276C5B" w:rsidRPr="00276C5B" w:rsidRDefault="00276C5B" w:rsidP="00276C5B">
      <w:pPr>
        <w:keepNext/>
        <w:keepLines/>
        <w:widowControl w:val="0"/>
        <w:suppressAutoHyphens/>
        <w:overflowPunct w:val="0"/>
        <w:autoSpaceDE w:val="0"/>
        <w:autoSpaceDN w:val="0"/>
        <w:spacing w:line="360" w:lineRule="auto"/>
        <w:textAlignment w:val="baseline"/>
        <w:outlineLvl w:val="0"/>
        <w:rPr>
          <w:b/>
          <w:iCs/>
          <w:kern w:val="3"/>
          <w:lang w:val="es-ES" w:eastAsia="es-ES"/>
        </w:rPr>
      </w:pPr>
      <w:r w:rsidRPr="00276C5B">
        <w:rPr>
          <w:b/>
          <w:iCs/>
          <w:kern w:val="3"/>
          <w:lang w:val="es-ES" w:eastAsia="es-ES"/>
        </w:rPr>
        <w:t xml:space="preserve">RESUMEN </w:t>
      </w:r>
    </w:p>
    <w:p w14:paraId="2E262914" w14:textId="77777777" w:rsidR="00276C5B" w:rsidRPr="00276C5B" w:rsidRDefault="00276C5B" w:rsidP="00276C5B">
      <w:pPr>
        <w:spacing w:line="360" w:lineRule="auto"/>
        <w:jc w:val="both"/>
        <w:rPr>
          <w:color w:val="000000"/>
          <w:kern w:val="3"/>
          <w:lang w:val="es-ES" w:eastAsia="es-ES"/>
        </w:rPr>
      </w:pPr>
      <w:r w:rsidRPr="00276C5B">
        <w:rPr>
          <w:rFonts w:eastAsia="Calibri"/>
          <w:b/>
          <w:lang w:val="es-ES" w:eastAsia="en-US"/>
        </w:rPr>
        <w:t xml:space="preserve">Introducción: </w:t>
      </w:r>
      <w:r w:rsidRPr="00276C5B">
        <w:rPr>
          <w:rFonts w:eastAsia="Calibri"/>
          <w:lang w:val="es-ES" w:eastAsia="en-US"/>
        </w:rPr>
        <w:t>Durante el</w:t>
      </w:r>
      <w:r w:rsidRPr="00276C5B">
        <w:rPr>
          <w:rFonts w:eastAsia="Calibri"/>
          <w:b/>
          <w:lang w:val="es-ES" w:eastAsia="en-US"/>
        </w:rPr>
        <w:t xml:space="preserve"> </w:t>
      </w:r>
      <w:r w:rsidRPr="00276C5B">
        <w:rPr>
          <w:kern w:val="3"/>
          <w:lang w:val="es-ES" w:eastAsia="es-ES"/>
        </w:rPr>
        <w:t xml:space="preserve">embarazo varios factores pueden interactuar sobre el organismo en formación. </w:t>
      </w:r>
      <w:r w:rsidRPr="00276C5B">
        <w:rPr>
          <w:color w:val="000000"/>
          <w:kern w:val="3"/>
          <w:lang w:val="es-ES" w:eastAsia="es-ES"/>
        </w:rPr>
        <w:t xml:space="preserve">Parte de los cuidados prenatales se centran en detectar desviaciones del crecimiento fetal. </w:t>
      </w:r>
    </w:p>
    <w:p w14:paraId="0902BDBC" w14:textId="77777777" w:rsidR="00276C5B" w:rsidRPr="00276C5B" w:rsidRDefault="00276C5B" w:rsidP="00276C5B">
      <w:pPr>
        <w:spacing w:line="360" w:lineRule="auto"/>
        <w:jc w:val="both"/>
        <w:rPr>
          <w:rFonts w:eastAsia="Calibri"/>
          <w:lang w:val="es-MX" w:eastAsia="en-US"/>
        </w:rPr>
      </w:pPr>
      <w:r w:rsidRPr="00276C5B">
        <w:rPr>
          <w:rFonts w:eastAsia="Calibri"/>
          <w:b/>
          <w:lang w:val="es-ES" w:eastAsia="en-US"/>
        </w:rPr>
        <w:t>Objetivo:</w:t>
      </w:r>
      <w:r w:rsidRPr="00276C5B">
        <w:rPr>
          <w:rFonts w:eastAsia="Calibri"/>
          <w:lang w:val="es-MX" w:eastAsia="en-US"/>
        </w:rPr>
        <w:t xml:space="preserve"> Describir las variables biométricas fetales primarias y la asociación de las enfermedades maternas con la condición trófica del recién nacido. </w:t>
      </w:r>
    </w:p>
    <w:p w14:paraId="49358420" w14:textId="77777777" w:rsidR="00276C5B" w:rsidRPr="00276C5B" w:rsidRDefault="00276C5B" w:rsidP="00276C5B">
      <w:pPr>
        <w:widowControl w:val="0"/>
        <w:suppressAutoHyphens/>
        <w:overflowPunct w:val="0"/>
        <w:autoSpaceDE w:val="0"/>
        <w:autoSpaceDN w:val="0"/>
        <w:spacing w:line="360" w:lineRule="auto"/>
        <w:jc w:val="both"/>
        <w:textAlignment w:val="baseline"/>
        <w:rPr>
          <w:rFonts w:eastAsia="Batang"/>
          <w:kern w:val="3"/>
          <w:lang w:val="es-EC" w:eastAsia="de-DE"/>
        </w:rPr>
      </w:pPr>
      <w:r w:rsidRPr="00276C5B">
        <w:rPr>
          <w:rFonts w:eastAsia="Calibri"/>
          <w:b/>
          <w:lang w:val="es-MX" w:eastAsia="en-US"/>
        </w:rPr>
        <w:lastRenderedPageBreak/>
        <w:t>Método</w:t>
      </w:r>
      <w:r w:rsidRPr="00276C5B">
        <w:rPr>
          <w:rFonts w:eastAsia="Calibri"/>
          <w:b/>
          <w:bCs/>
          <w:lang w:val="es-MX" w:eastAsia="en-US"/>
        </w:rPr>
        <w:t>:</w:t>
      </w:r>
      <w:r w:rsidRPr="00276C5B">
        <w:rPr>
          <w:rFonts w:eastAsia="Calibri"/>
          <w:lang w:val="es-ES" w:eastAsia="en-US"/>
        </w:rPr>
        <w:t xml:space="preserve"> Se realizó un estudio cuantitativo, </w:t>
      </w:r>
      <w:r w:rsidRPr="00276C5B">
        <w:rPr>
          <w:rFonts w:eastAsia="Arial"/>
          <w:lang w:val="es-ES" w:eastAsia="en-US"/>
        </w:rPr>
        <w:t xml:space="preserve">observacional, analítico y </w:t>
      </w:r>
      <w:r w:rsidRPr="00276C5B">
        <w:rPr>
          <w:rFonts w:eastAsia="Calibri"/>
          <w:lang w:val="es-ES" w:eastAsia="en-US"/>
        </w:rPr>
        <w:t>retrospectivo, con</w:t>
      </w:r>
      <w:r w:rsidRPr="00276C5B">
        <w:rPr>
          <w:kern w:val="3"/>
          <w:lang w:val="es-ES" w:eastAsia="es-ES"/>
        </w:rPr>
        <w:t xml:space="preserve"> una población</w:t>
      </w:r>
      <w:r w:rsidRPr="00276C5B">
        <w:rPr>
          <w:rFonts w:eastAsia="Calibri"/>
          <w:kern w:val="3"/>
          <w:lang w:val="es-ES" w:eastAsia="es-ES"/>
        </w:rPr>
        <w:t xml:space="preserve"> de 5432 y una </w:t>
      </w:r>
      <w:r w:rsidRPr="00276C5B">
        <w:rPr>
          <w:kern w:val="3"/>
          <w:lang w:eastAsia="es-ES"/>
        </w:rPr>
        <w:t>muestra de 4131 gestantes,</w:t>
      </w:r>
      <w:r w:rsidRPr="00276C5B">
        <w:rPr>
          <w:kern w:val="3"/>
          <w:lang w:val="es-ES" w:eastAsia="es-ES"/>
        </w:rPr>
        <w:t xml:space="preserve"> seleccionada por muestreo no probabilístico, intencional, por criterios. </w:t>
      </w:r>
      <w:r w:rsidRPr="00276C5B">
        <w:rPr>
          <w:color w:val="000000"/>
          <w:kern w:val="3"/>
          <w:lang w:val="es-EC" w:eastAsia="es-ES"/>
        </w:rPr>
        <w:t xml:space="preserve">Los </w:t>
      </w:r>
      <w:r w:rsidRPr="00276C5B">
        <w:rPr>
          <w:color w:val="000000"/>
          <w:kern w:val="3"/>
          <w:lang w:val="es-ES" w:eastAsia="es-ES"/>
        </w:rPr>
        <w:t xml:space="preserve">datos fueron obtenidos del registro de consultas de genética desde enero de 2013 hasta octubre de 2018. Para el análisis estadístico se utilizó el </w:t>
      </w:r>
      <w:r w:rsidRPr="00276C5B">
        <w:rPr>
          <w:rFonts w:eastAsia="Batang"/>
          <w:kern w:val="3"/>
          <w:lang w:val="es-EC" w:eastAsia="de-DE"/>
        </w:rPr>
        <w:t xml:space="preserve">test de Kruskal Wallis, la prueba post hoc de Dunn-Bonferroni, ji cuadrado y V de Cramer. </w:t>
      </w:r>
    </w:p>
    <w:p w14:paraId="251AAD9F" w14:textId="77777777" w:rsidR="00276C5B" w:rsidRPr="00276C5B" w:rsidRDefault="00276C5B" w:rsidP="00276C5B">
      <w:pPr>
        <w:spacing w:line="360" w:lineRule="auto"/>
        <w:jc w:val="both"/>
        <w:rPr>
          <w:color w:val="000000"/>
          <w:lang w:val="es-ES" w:eastAsia="es-ES"/>
        </w:rPr>
      </w:pPr>
      <w:r w:rsidRPr="00276C5B">
        <w:rPr>
          <w:rFonts w:eastAsia="Calibri"/>
          <w:b/>
          <w:lang w:val="es-ES" w:eastAsia="en-US"/>
        </w:rPr>
        <w:t xml:space="preserve">Resultados: </w:t>
      </w:r>
      <w:r w:rsidRPr="00276C5B">
        <w:rPr>
          <w:rFonts w:eastAsia="Calibri"/>
          <w:lang w:val="es-ES" w:eastAsia="en-US"/>
        </w:rPr>
        <w:t>Prevaleció el incremento de la</w:t>
      </w:r>
      <w:r w:rsidRPr="00276C5B">
        <w:rPr>
          <w:color w:val="000000"/>
          <w:kern w:val="3"/>
          <w:lang w:val="es-ES" w:eastAsia="es-ES"/>
        </w:rPr>
        <w:t xml:space="preserve">s medianas de las variables biométricas, </w:t>
      </w:r>
      <w:r w:rsidRPr="00276C5B">
        <w:rPr>
          <w:kern w:val="3"/>
          <w:lang w:val="es-ES" w:eastAsia="es-ES"/>
        </w:rPr>
        <w:t>según la condición trófica y semana gestacional, predominó la significación estadística, al igual que las diferencias significativas en todos los contrastes dos a dos realizados</w:t>
      </w:r>
      <w:r w:rsidRPr="00276C5B">
        <w:rPr>
          <w:bCs/>
          <w:kern w:val="3"/>
          <w:lang w:val="es-ES" w:eastAsia="es-ES"/>
        </w:rPr>
        <w:t>. L</w:t>
      </w:r>
      <w:r w:rsidRPr="00276C5B">
        <w:rPr>
          <w:color w:val="000000"/>
          <w:lang w:val="es-ES" w:eastAsia="es-ES"/>
        </w:rPr>
        <w:t xml:space="preserve">as gestantes de peso adecuado preponderaron en cada condición al nacer, los recién nacidos pequeños se relacionaron con los trastornos hipertensivos durante el embarazo, la sepsis vaginal y la diabetes mellitus mientras que los recién nacidos grandes predominaron en madres con la glucemia alterada y anemia. </w:t>
      </w:r>
    </w:p>
    <w:p w14:paraId="0B83791E" w14:textId="77777777" w:rsidR="00276C5B" w:rsidRPr="00276C5B" w:rsidRDefault="00276C5B" w:rsidP="00276C5B">
      <w:pPr>
        <w:spacing w:line="360" w:lineRule="auto"/>
        <w:jc w:val="both"/>
        <w:rPr>
          <w:color w:val="000000"/>
          <w:kern w:val="3"/>
          <w:lang w:val="es-ES" w:eastAsia="es-ES"/>
        </w:rPr>
      </w:pPr>
      <w:r w:rsidRPr="00276C5B">
        <w:rPr>
          <w:rFonts w:eastAsia="Calibri"/>
          <w:b/>
          <w:lang w:val="es-ES" w:eastAsia="en-US"/>
        </w:rPr>
        <w:t xml:space="preserve">Conclusiones: </w:t>
      </w:r>
      <w:r w:rsidRPr="00276C5B">
        <w:rPr>
          <w:color w:val="000000"/>
          <w:kern w:val="3"/>
          <w:lang w:val="es-ES" w:eastAsia="es-ES"/>
        </w:rPr>
        <w:t>Las mediciones biométricas y las fórmulas de estimación del peso fetal pueden advertir las desviaciones del crecimiento fetal y la condición trófica al nacer. Las variables maternas se relacionaron con la condición trófica del recién nacido.</w:t>
      </w:r>
    </w:p>
    <w:p w14:paraId="4DCA2AE5" w14:textId="77777777" w:rsidR="00276C5B" w:rsidRPr="00276C5B" w:rsidRDefault="00276C5B" w:rsidP="00276C5B">
      <w:pPr>
        <w:spacing w:line="360" w:lineRule="auto"/>
        <w:jc w:val="both"/>
        <w:rPr>
          <w:b/>
          <w:kern w:val="3"/>
          <w:lang w:val="es-ES" w:eastAsia="es-ES"/>
        </w:rPr>
      </w:pPr>
      <w:r w:rsidRPr="00276C5B">
        <w:rPr>
          <w:b/>
          <w:kern w:val="3"/>
          <w:lang w:val="es-ES" w:eastAsia="es-ES"/>
        </w:rPr>
        <w:t xml:space="preserve">Palabras clave: </w:t>
      </w:r>
      <w:r w:rsidRPr="00276C5B">
        <w:rPr>
          <w:color w:val="000000"/>
          <w:kern w:val="3"/>
          <w:lang w:val="es-ES" w:eastAsia="es-ES"/>
        </w:rPr>
        <w:t>biometría; ultrasonografía; recién nacido de bajo peso; macrosomía fetal.</w:t>
      </w:r>
    </w:p>
    <w:p w14:paraId="5FDC7978" w14:textId="77777777" w:rsidR="00276C5B" w:rsidRPr="00276C5B" w:rsidRDefault="00276C5B" w:rsidP="00276C5B">
      <w:pPr>
        <w:suppressAutoHyphens/>
        <w:spacing w:line="360" w:lineRule="auto"/>
        <w:rPr>
          <w:rFonts w:eastAsia="font269"/>
          <w:b/>
          <w:kern w:val="1"/>
          <w:lang w:val="es-ES" w:eastAsia="es-ES"/>
        </w:rPr>
      </w:pPr>
    </w:p>
    <w:p w14:paraId="282CC81D" w14:textId="77777777" w:rsidR="00276C5B" w:rsidRPr="00276C5B" w:rsidRDefault="00276C5B" w:rsidP="00276C5B">
      <w:pPr>
        <w:suppressAutoHyphens/>
        <w:spacing w:line="360" w:lineRule="auto"/>
        <w:rPr>
          <w:rFonts w:eastAsia="font269"/>
          <w:b/>
          <w:kern w:val="1"/>
          <w:lang w:val="en-US" w:eastAsia="es-ES"/>
        </w:rPr>
      </w:pPr>
      <w:r w:rsidRPr="00276C5B">
        <w:rPr>
          <w:rFonts w:eastAsia="font269"/>
          <w:b/>
          <w:kern w:val="1"/>
          <w:lang w:val="en-US" w:eastAsia="es-ES"/>
        </w:rPr>
        <w:t>ABSTRACT</w:t>
      </w:r>
    </w:p>
    <w:p w14:paraId="5905BA01" w14:textId="77777777" w:rsidR="00276C5B" w:rsidRPr="00276C5B" w:rsidRDefault="00276C5B" w:rsidP="0027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n-US"/>
        </w:rPr>
      </w:pPr>
      <w:r w:rsidRPr="00276C5B">
        <w:rPr>
          <w:b/>
          <w:lang w:val="en" w:eastAsia="en-US"/>
        </w:rPr>
        <w:t>Introduction:</w:t>
      </w:r>
      <w:r w:rsidRPr="00276C5B">
        <w:rPr>
          <w:lang w:val="en" w:eastAsia="en-US"/>
        </w:rPr>
        <w:t xml:space="preserve"> During pregnancy several factors can interact on the developing organism. Part of prenatal care focuses on detecting deviations in fetal growth. </w:t>
      </w:r>
    </w:p>
    <w:p w14:paraId="4BBD9E6A" w14:textId="77777777" w:rsidR="00276C5B" w:rsidRPr="00276C5B" w:rsidRDefault="00276C5B" w:rsidP="0027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n-US"/>
        </w:rPr>
      </w:pPr>
      <w:r w:rsidRPr="00276C5B">
        <w:rPr>
          <w:b/>
          <w:lang w:val="en" w:eastAsia="en-US"/>
        </w:rPr>
        <w:t>Objective:</w:t>
      </w:r>
      <w:r w:rsidRPr="00276C5B">
        <w:rPr>
          <w:lang w:val="en" w:eastAsia="en-US"/>
        </w:rPr>
        <w:t xml:space="preserve"> Describe the primary fetal biometric variables and the association of maternal diseases with the trophic condition of the newborn.</w:t>
      </w:r>
    </w:p>
    <w:p w14:paraId="4473317B" w14:textId="77777777" w:rsidR="00276C5B" w:rsidRPr="00276C5B" w:rsidRDefault="00276C5B" w:rsidP="0027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n-US"/>
        </w:rPr>
      </w:pPr>
      <w:r w:rsidRPr="00276C5B">
        <w:rPr>
          <w:b/>
          <w:lang w:val="en" w:eastAsia="en-US"/>
        </w:rPr>
        <w:t>Method:</w:t>
      </w:r>
      <w:r w:rsidRPr="00276C5B">
        <w:rPr>
          <w:lang w:val="en" w:eastAsia="en-US"/>
        </w:rPr>
        <w:t xml:space="preserve"> A quantitative, observational, analytical and retrospective study was carried out, with a population of 5432 and a sample of 4131 pregnant women, selected by non-probabilistic, intentional sampling, by criteria. The data were obtained from the registry of genetic consultations from January 2013 to October 2018. For statistical analysis, the Kruskal Wallis test, the Dunn-Bonferroni post hoc test, chi-square and Cramer's V were used.</w:t>
      </w:r>
    </w:p>
    <w:p w14:paraId="123E27E2" w14:textId="77777777" w:rsidR="00276C5B" w:rsidRPr="00276C5B" w:rsidRDefault="00276C5B" w:rsidP="0027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n-US"/>
        </w:rPr>
      </w:pPr>
      <w:r w:rsidRPr="00276C5B">
        <w:rPr>
          <w:b/>
          <w:lang w:val="en" w:eastAsia="en-US"/>
        </w:rPr>
        <w:t>Results:</w:t>
      </w:r>
      <w:r w:rsidRPr="00276C5B">
        <w:rPr>
          <w:lang w:val="en" w:eastAsia="en-US"/>
        </w:rPr>
        <w:t xml:space="preserve"> The increase in the medians of the biometric variables prevailed, according to the trophic condition and gestational week, the statistical significance predominated, as did the significant </w:t>
      </w:r>
      <w:r w:rsidRPr="00276C5B">
        <w:rPr>
          <w:lang w:val="en" w:eastAsia="en-US"/>
        </w:rPr>
        <w:lastRenderedPageBreak/>
        <w:t>differences in all the two-to-two contrasts carried out. Pregnant women of adequate weight predominated in each condition at birth, small newborns were related to hypertensive disorders during pregnancy, vaginal sepsis and diabetes mellitus, while large newborns predominated in mothers with altered glycemia and anemia.</w:t>
      </w:r>
    </w:p>
    <w:p w14:paraId="758CC7AA" w14:textId="77777777" w:rsidR="00276C5B" w:rsidRPr="00276C5B" w:rsidRDefault="00276C5B" w:rsidP="0027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n-US"/>
        </w:rPr>
      </w:pPr>
      <w:r w:rsidRPr="00276C5B">
        <w:rPr>
          <w:b/>
          <w:lang w:val="en" w:eastAsia="en-US"/>
        </w:rPr>
        <w:t>Conclusions:</w:t>
      </w:r>
      <w:r w:rsidRPr="00276C5B">
        <w:rPr>
          <w:lang w:val="en" w:eastAsia="en-US"/>
        </w:rPr>
        <w:t xml:space="preserve"> Biometric measurements and fetal weight estimation formulas can warn of deviations in fetal growth and trophic condition at birth. Maternal variables were related to the trophic condition of the newborn.</w:t>
      </w:r>
    </w:p>
    <w:p w14:paraId="34D4B84C" w14:textId="77777777" w:rsidR="00276C5B" w:rsidRPr="00276C5B" w:rsidRDefault="00276C5B" w:rsidP="0027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n-US"/>
        </w:rPr>
      </w:pPr>
      <w:r w:rsidRPr="00276C5B">
        <w:rPr>
          <w:b/>
          <w:lang w:val="en" w:eastAsia="en-US"/>
        </w:rPr>
        <w:t>Keywords:</w:t>
      </w:r>
      <w:r w:rsidRPr="00276C5B">
        <w:rPr>
          <w:lang w:val="en" w:eastAsia="en-US"/>
        </w:rPr>
        <w:t xml:space="preserve"> biometrics; ultrasonography; low weight newborn; fetal macrosomia.</w:t>
      </w:r>
    </w:p>
    <w:p w14:paraId="5FAF190B" w14:textId="77777777" w:rsidR="00276C5B" w:rsidRPr="00276C5B" w:rsidRDefault="00276C5B" w:rsidP="0027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n-US"/>
        </w:rPr>
      </w:pPr>
    </w:p>
    <w:p w14:paraId="5B60A83D" w14:textId="77777777" w:rsidR="00276C5B" w:rsidRPr="00276C5B" w:rsidRDefault="00276C5B" w:rsidP="0027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n-US"/>
        </w:rPr>
      </w:pPr>
    </w:p>
    <w:p w14:paraId="262325EC" w14:textId="77777777" w:rsidR="00276C5B" w:rsidRPr="00276C5B" w:rsidRDefault="00276C5B" w:rsidP="0027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eastAsia="en-US"/>
        </w:rPr>
      </w:pPr>
      <w:r w:rsidRPr="00276C5B">
        <w:rPr>
          <w:lang w:val="es-MX" w:eastAsia="en-US"/>
        </w:rPr>
        <w:t>Recibido: 16/08/2023</w:t>
      </w:r>
    </w:p>
    <w:p w14:paraId="2D728895" w14:textId="77777777" w:rsidR="00276C5B" w:rsidRPr="00276C5B" w:rsidRDefault="00276C5B" w:rsidP="0027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eastAsia="en-US"/>
        </w:rPr>
      </w:pPr>
      <w:r w:rsidRPr="00276C5B">
        <w:rPr>
          <w:lang w:val="es-MX" w:eastAsia="en-US"/>
        </w:rPr>
        <w:t>Aprobado: 05/01/2024</w:t>
      </w:r>
    </w:p>
    <w:p w14:paraId="1DEE784C"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kern w:val="3"/>
          <w:lang w:val="es-ES" w:eastAsia="es-ES"/>
        </w:rPr>
      </w:pPr>
    </w:p>
    <w:p w14:paraId="6089CFFA"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kern w:val="3"/>
          <w:lang w:val="es-ES" w:eastAsia="es-ES"/>
        </w:rPr>
      </w:pPr>
    </w:p>
    <w:p w14:paraId="21FC97E4"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kern w:val="3"/>
          <w:sz w:val="32"/>
          <w:szCs w:val="32"/>
          <w:lang w:val="es-ES" w:eastAsia="es-ES"/>
        </w:rPr>
      </w:pPr>
      <w:r w:rsidRPr="00276C5B">
        <w:rPr>
          <w:b/>
          <w:kern w:val="3"/>
          <w:sz w:val="32"/>
          <w:szCs w:val="32"/>
          <w:lang w:val="es-ES" w:eastAsia="es-ES"/>
        </w:rPr>
        <w:t>INTRODUCCIÓN</w:t>
      </w:r>
    </w:p>
    <w:p w14:paraId="725BD925"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r w:rsidRPr="00276C5B">
        <w:rPr>
          <w:kern w:val="3"/>
          <w:lang w:val="es-ES" w:eastAsia="es-ES"/>
        </w:rPr>
        <w:t>El embarazo es un período en el que varios factores pueden interactuar sobre el organismo en formación.</w:t>
      </w:r>
      <w:r w:rsidRPr="00276C5B">
        <w:rPr>
          <w:kern w:val="3"/>
          <w:vertAlign w:val="superscript"/>
          <w:lang w:val="es-ES" w:eastAsia="es-ES"/>
        </w:rPr>
        <w:t>(</w:t>
      </w:r>
      <w:r w:rsidRPr="00276C5B">
        <w:rPr>
          <w:noProof/>
          <w:kern w:val="3"/>
          <w:vertAlign w:val="superscript"/>
          <w:lang w:val="es-ES" w:eastAsia="es-ES"/>
        </w:rPr>
        <w:t xml:space="preserve">1) </w:t>
      </w:r>
      <w:r w:rsidRPr="00276C5B">
        <w:rPr>
          <w:color w:val="000000"/>
          <w:kern w:val="3"/>
          <w:lang w:val="es-ES" w:eastAsia="es-ES"/>
        </w:rPr>
        <w:t>Gran parte de los cuidados prenatales se centran en detectar desviaciones del crecimiento fetal con el objetivo de establecer medidas que prevengan a tiempo complicaciones mayores.</w:t>
      </w:r>
      <w:r w:rsidRPr="00276C5B">
        <w:rPr>
          <w:color w:val="000000"/>
          <w:kern w:val="3"/>
          <w:vertAlign w:val="superscript"/>
          <w:lang w:val="es-ES" w:eastAsia="es-ES"/>
        </w:rPr>
        <w:t>(</w:t>
      </w:r>
      <w:r w:rsidRPr="00276C5B">
        <w:rPr>
          <w:noProof/>
          <w:color w:val="000000"/>
          <w:kern w:val="3"/>
          <w:vertAlign w:val="superscript"/>
          <w:lang w:val="es-ES" w:eastAsia="es-ES"/>
        </w:rPr>
        <w:t>2)</w:t>
      </w:r>
    </w:p>
    <w:p w14:paraId="48A6600B"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r w:rsidRPr="00276C5B">
        <w:rPr>
          <w:color w:val="000000"/>
          <w:kern w:val="3"/>
          <w:lang w:val="es-ES" w:eastAsia="es-ES"/>
        </w:rPr>
        <w:t>La estimación del peso fetal por el ultrasonido, permite evaluar el crecimiento del producto de la gestación y detectar desviaciones oportunamente. Los parámetros ecobiométricos más utilizados son las biometrías primarias: diámetro biparietal (DBP), circunferencia cefálica (CC); circunferencia abdominal (CA) y longitud femoral (LF)</w:t>
      </w:r>
      <w:r w:rsidRPr="00276C5B">
        <w:rPr>
          <w:kern w:val="3"/>
          <w:lang w:val="es-ES" w:eastAsia="es-ES"/>
        </w:rPr>
        <w:t>.</w:t>
      </w:r>
      <w:r w:rsidRPr="00276C5B">
        <w:rPr>
          <w:color w:val="000000"/>
          <w:kern w:val="3"/>
          <w:vertAlign w:val="superscript"/>
          <w:lang w:val="es-ES" w:eastAsia="es-ES"/>
        </w:rPr>
        <w:t>(</w:t>
      </w:r>
      <w:r w:rsidRPr="00276C5B">
        <w:rPr>
          <w:noProof/>
          <w:color w:val="000000"/>
          <w:kern w:val="3"/>
          <w:vertAlign w:val="superscript"/>
          <w:lang w:val="es-ES" w:eastAsia="es-ES"/>
        </w:rPr>
        <w:t>3,4)</w:t>
      </w:r>
    </w:p>
    <w:p w14:paraId="31BF6CB9"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r w:rsidRPr="00276C5B">
        <w:rPr>
          <w:color w:val="000000"/>
          <w:kern w:val="3"/>
          <w:lang w:val="es-ES" w:eastAsia="es-ES"/>
        </w:rPr>
        <w:t>En Cuba, como parte del seguimiento establecido en el Programa de Atención Materno Infantil, se realizan pesquisas de biometría fetal que incluyen estudios ultrasonográficos en los 3 trimestres del embarazo.</w:t>
      </w:r>
      <w:r w:rsidRPr="00276C5B">
        <w:rPr>
          <w:color w:val="000000"/>
          <w:kern w:val="3"/>
          <w:vertAlign w:val="superscript"/>
          <w:lang w:val="es-ES" w:eastAsia="es-ES"/>
        </w:rPr>
        <w:t>(</w:t>
      </w:r>
      <w:r w:rsidRPr="00276C5B">
        <w:rPr>
          <w:noProof/>
          <w:color w:val="000000"/>
          <w:kern w:val="3"/>
          <w:vertAlign w:val="superscript"/>
          <w:lang w:val="es-ES" w:eastAsia="es-ES"/>
        </w:rPr>
        <w:t>3)</w:t>
      </w:r>
    </w:p>
    <w:p w14:paraId="17BAD02C"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r w:rsidRPr="00276C5B">
        <w:rPr>
          <w:color w:val="000000"/>
          <w:kern w:val="3"/>
          <w:lang w:val="es-ES" w:eastAsia="es-ES"/>
        </w:rPr>
        <w:t xml:space="preserve">Varios factores maternos pueden encontrarse asociados a desviaciones del crecimiento fetal, los nacimientos pequeños para la edad gestacional suelen asociarse con: tabaquismo, baja estatura y bajo peso, ganancia de peso insuficiente durante el embarazo, enfermedades crónicas e infecciosas, </w:t>
      </w:r>
      <w:r w:rsidRPr="00276C5B">
        <w:rPr>
          <w:color w:val="000000"/>
          <w:kern w:val="3"/>
          <w:lang w:val="es-ES" w:eastAsia="es-ES"/>
        </w:rPr>
        <w:lastRenderedPageBreak/>
        <w:t>nuliparidad, edades maternas extremas y patologías placentarias.</w:t>
      </w:r>
      <w:r w:rsidRPr="00276C5B">
        <w:rPr>
          <w:color w:val="000000"/>
          <w:kern w:val="3"/>
          <w:vertAlign w:val="superscript"/>
          <w:lang w:val="es-ES" w:eastAsia="es-ES"/>
        </w:rPr>
        <w:t>(</w:t>
      </w:r>
      <w:r w:rsidRPr="00276C5B">
        <w:rPr>
          <w:noProof/>
          <w:color w:val="000000"/>
          <w:kern w:val="3"/>
          <w:vertAlign w:val="superscript"/>
          <w:lang w:val="es-ES" w:eastAsia="es-ES"/>
        </w:rPr>
        <w:t>5,6,7)</w:t>
      </w:r>
      <w:r w:rsidRPr="00276C5B">
        <w:rPr>
          <w:color w:val="000000"/>
          <w:kern w:val="3"/>
          <w:lang w:val="es-ES" w:eastAsia="es-ES"/>
        </w:rPr>
        <w:t xml:space="preserve"> Los factores de riesgo más conocidos asociados a los nacimientos grandes son el índice de masa corporal pregestacional alto, la diabetes mellitus pregestacional o la diabetes gestacional, el antecedente de nacimientos grandes y el aumento significativo de peso durante el embarazo. La inestabilidad de los factores maternos durante la gestación, puede no solo alterar el crecimiento fetal intrauterino, sino producir alteraciones de la programación genética fetal que inciden en la expresión de patologías no solo durante la infancia, sino también en la adolescencia y la edad adulta.</w:t>
      </w:r>
      <w:r w:rsidRPr="00276C5B">
        <w:rPr>
          <w:color w:val="000000"/>
          <w:kern w:val="3"/>
          <w:vertAlign w:val="superscript"/>
          <w:lang w:val="es-ES" w:eastAsia="es-ES"/>
        </w:rPr>
        <w:t>(</w:t>
      </w:r>
      <w:r w:rsidRPr="00276C5B">
        <w:rPr>
          <w:noProof/>
          <w:color w:val="000000"/>
          <w:kern w:val="3"/>
          <w:vertAlign w:val="superscript"/>
          <w:lang w:val="es-ES" w:eastAsia="es-ES"/>
        </w:rPr>
        <w:t>5,8)</w:t>
      </w:r>
    </w:p>
    <w:p w14:paraId="74D0EF17"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r w:rsidRPr="00276C5B">
        <w:rPr>
          <w:color w:val="000000"/>
          <w:kern w:val="3"/>
          <w:lang w:val="es-ES" w:eastAsia="es-ES"/>
        </w:rPr>
        <w:t xml:space="preserve">En la evaluación integral del embarazo y el neonato, se considera de gran importancia estudiar la relación entre las mediciones biométricas fetales, variables maternas y la condición trófica del recién nacido, para incrementar </w:t>
      </w:r>
      <w:r w:rsidRPr="00276C5B">
        <w:rPr>
          <w:rFonts w:eastAsia="Calibri"/>
          <w:kern w:val="3"/>
          <w:lang w:val="es-ES" w:eastAsia="es-ES"/>
        </w:rPr>
        <w:t>la percepción del riesgo materno infantil desde los escenarios de atención primaria de salud y realizar intervenciones oportunas sobre los fetos en los que se detecte alguna desviación de la normalidad.</w:t>
      </w:r>
    </w:p>
    <w:p w14:paraId="0E712DA9"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r w:rsidRPr="00276C5B">
        <w:rPr>
          <w:color w:val="000000"/>
          <w:kern w:val="3"/>
          <w:lang w:val="es-ES" w:eastAsia="es-ES"/>
        </w:rPr>
        <w:t xml:space="preserve">El objetivo de esta investigación es </w:t>
      </w:r>
      <w:r w:rsidRPr="00276C5B">
        <w:rPr>
          <w:rFonts w:eastAsia="Calibri"/>
          <w:lang w:val="es-MX" w:eastAsia="en-US"/>
        </w:rPr>
        <w:t>escribir las variables biométricas fetales primarias y la asociación de las enfermedades maternas con la condición trófica del recién nacido.</w:t>
      </w:r>
    </w:p>
    <w:p w14:paraId="26F159E1"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kern w:val="3"/>
          <w:lang w:val="es-ES" w:eastAsia="es-ES"/>
        </w:rPr>
      </w:pPr>
    </w:p>
    <w:p w14:paraId="1411CA08"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kern w:val="3"/>
          <w:lang w:val="es-ES" w:eastAsia="es-ES"/>
        </w:rPr>
      </w:pPr>
    </w:p>
    <w:p w14:paraId="09805EB7"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kern w:val="3"/>
          <w:sz w:val="32"/>
          <w:szCs w:val="32"/>
          <w:lang w:val="es-ES" w:eastAsia="es-ES"/>
        </w:rPr>
      </w:pPr>
      <w:r w:rsidRPr="00276C5B">
        <w:rPr>
          <w:b/>
          <w:kern w:val="3"/>
          <w:sz w:val="32"/>
          <w:szCs w:val="32"/>
          <w:lang w:val="es-ES" w:eastAsia="es-ES"/>
        </w:rPr>
        <w:t>MÉTODOS</w:t>
      </w:r>
    </w:p>
    <w:p w14:paraId="1CBE42BD" w14:textId="77777777" w:rsidR="00276C5B" w:rsidRPr="00276C5B" w:rsidRDefault="00276C5B" w:rsidP="00276C5B">
      <w:pPr>
        <w:widowControl w:val="0"/>
        <w:suppressAutoHyphens/>
        <w:overflowPunct w:val="0"/>
        <w:autoSpaceDE w:val="0"/>
        <w:autoSpaceDN w:val="0"/>
        <w:spacing w:line="360" w:lineRule="auto"/>
        <w:jc w:val="center"/>
        <w:textAlignment w:val="baseline"/>
        <w:rPr>
          <w:b/>
          <w:kern w:val="3"/>
          <w:sz w:val="28"/>
          <w:szCs w:val="28"/>
          <w:lang w:val="es-ES" w:eastAsia="es-ES"/>
        </w:rPr>
      </w:pPr>
      <w:r w:rsidRPr="00276C5B">
        <w:rPr>
          <w:b/>
          <w:kern w:val="3"/>
          <w:sz w:val="28"/>
          <w:szCs w:val="28"/>
          <w:lang w:val="es-ES" w:eastAsia="es-ES"/>
        </w:rPr>
        <w:t>Diseño</w:t>
      </w:r>
    </w:p>
    <w:p w14:paraId="4A12FF3D" w14:textId="77777777" w:rsidR="00276C5B" w:rsidRPr="00276C5B" w:rsidRDefault="00276C5B" w:rsidP="00276C5B">
      <w:pPr>
        <w:spacing w:line="360" w:lineRule="auto"/>
        <w:jc w:val="both"/>
        <w:rPr>
          <w:rFonts w:eastAsia="Calibri"/>
          <w:lang w:val="es-ES" w:eastAsia="en-US"/>
        </w:rPr>
      </w:pPr>
      <w:r w:rsidRPr="00276C5B">
        <w:rPr>
          <w:rFonts w:eastAsia="Calibri"/>
          <w:lang w:val="es-ES" w:eastAsia="en-US"/>
        </w:rPr>
        <w:t xml:space="preserve">Se realizó un estudio cuantitativo con la aplicación de técnicas estadísticas, apoyado en el estudio ultrasonográfico de la biometría fetal </w:t>
      </w:r>
      <w:r w:rsidRPr="00276C5B">
        <w:rPr>
          <w:rFonts w:eastAsia="Arial"/>
          <w:lang w:val="es-ES" w:eastAsia="en-US"/>
        </w:rPr>
        <w:t xml:space="preserve">con carácter observacional, analítico y </w:t>
      </w:r>
      <w:r w:rsidRPr="00276C5B">
        <w:rPr>
          <w:rFonts w:eastAsia="Calibri"/>
          <w:lang w:val="es-ES" w:eastAsia="en-US"/>
        </w:rPr>
        <w:t xml:space="preserve">retrospectivo de las posibles afectaciones de variables maternas sobre el crecimiento fetal y de los valores predictivos de ciertas variables biométricas primarias sobre la condición trófica del recién nacido. </w:t>
      </w:r>
    </w:p>
    <w:p w14:paraId="55D691F0" w14:textId="77777777" w:rsidR="00276C5B" w:rsidRPr="00276C5B" w:rsidRDefault="00276C5B" w:rsidP="00276C5B">
      <w:pPr>
        <w:widowControl w:val="0"/>
        <w:suppressAutoHyphens/>
        <w:overflowPunct w:val="0"/>
        <w:autoSpaceDE w:val="0"/>
        <w:autoSpaceDN w:val="0"/>
        <w:spacing w:line="360" w:lineRule="auto"/>
        <w:jc w:val="center"/>
        <w:textAlignment w:val="baseline"/>
        <w:rPr>
          <w:b/>
          <w:kern w:val="3"/>
          <w:sz w:val="28"/>
          <w:szCs w:val="28"/>
          <w:lang w:val="es-ES" w:eastAsia="es-ES"/>
        </w:rPr>
      </w:pPr>
      <w:r w:rsidRPr="00276C5B">
        <w:rPr>
          <w:b/>
          <w:kern w:val="3"/>
          <w:sz w:val="28"/>
          <w:szCs w:val="28"/>
          <w:lang w:val="es-ES" w:eastAsia="es-ES"/>
        </w:rPr>
        <w:t>Sujetos</w:t>
      </w:r>
    </w:p>
    <w:p w14:paraId="23A988AB" w14:textId="77777777" w:rsidR="00276C5B" w:rsidRPr="00276C5B" w:rsidRDefault="00276C5B" w:rsidP="00276C5B">
      <w:pPr>
        <w:widowControl w:val="0"/>
        <w:suppressAutoHyphens/>
        <w:overflowPunct w:val="0"/>
        <w:autoSpaceDE w:val="0"/>
        <w:autoSpaceDN w:val="0"/>
        <w:spacing w:line="360" w:lineRule="auto"/>
        <w:jc w:val="both"/>
        <w:textAlignment w:val="baseline"/>
        <w:rPr>
          <w:rFonts w:eastAsia="Calibri"/>
          <w:kern w:val="3"/>
          <w:lang w:val="es-ES" w:eastAsia="es-ES"/>
        </w:rPr>
      </w:pPr>
      <w:r w:rsidRPr="00276C5B">
        <w:rPr>
          <w:kern w:val="3"/>
          <w:lang w:val="es-ES" w:eastAsia="es-ES"/>
        </w:rPr>
        <w:t>Se trabajó con una población</w:t>
      </w:r>
      <w:r w:rsidRPr="00276C5B">
        <w:rPr>
          <w:rFonts w:eastAsia="Calibri"/>
          <w:kern w:val="3"/>
          <w:lang w:val="es-ES" w:eastAsia="es-ES"/>
        </w:rPr>
        <w:t xml:space="preserve"> de 5432 gestantes, </w:t>
      </w:r>
      <w:r w:rsidRPr="00276C5B">
        <w:rPr>
          <w:kern w:val="3"/>
          <w:lang w:val="es-ES" w:eastAsia="es-ES"/>
        </w:rPr>
        <w:t>conformada</w:t>
      </w:r>
      <w:r w:rsidRPr="00276C5B">
        <w:rPr>
          <w:rFonts w:eastAsia="Calibri"/>
          <w:kern w:val="3"/>
          <w:lang w:val="es-ES" w:eastAsia="es-ES"/>
        </w:rPr>
        <w:t xml:space="preserve"> </w:t>
      </w:r>
      <w:r w:rsidRPr="00276C5B">
        <w:rPr>
          <w:kern w:val="3"/>
          <w:lang w:val="es-ES" w:eastAsia="es-ES"/>
        </w:rPr>
        <w:t>por todos los nacimientos procedentes de gestantes de nacionalidad cubana, que iniciaron y terminaron su gestación en los Policlínicos “Chiqui Gómez Lubián”, “XX Aniversario” y “Santa Clara”, cuya captación de embarazo se realizó antes de la semana 14.</w:t>
      </w:r>
    </w:p>
    <w:p w14:paraId="39ECD1DA" w14:textId="77777777" w:rsidR="00276C5B" w:rsidRPr="00276C5B" w:rsidRDefault="00276C5B" w:rsidP="00276C5B">
      <w:pPr>
        <w:widowControl w:val="0"/>
        <w:suppressAutoHyphens/>
        <w:overflowPunct w:val="0"/>
        <w:autoSpaceDE w:val="0"/>
        <w:autoSpaceDN w:val="0"/>
        <w:spacing w:line="360" w:lineRule="auto"/>
        <w:contextualSpacing/>
        <w:jc w:val="both"/>
        <w:textAlignment w:val="baseline"/>
        <w:rPr>
          <w:kern w:val="3"/>
          <w:lang w:eastAsia="es-ES"/>
        </w:rPr>
      </w:pPr>
      <w:r w:rsidRPr="00276C5B">
        <w:rPr>
          <w:kern w:val="3"/>
          <w:lang w:eastAsia="es-ES"/>
        </w:rPr>
        <w:lastRenderedPageBreak/>
        <w:t>La muestra se constituyó con 4131 gestantes;</w:t>
      </w:r>
      <w:r w:rsidRPr="00276C5B">
        <w:rPr>
          <w:kern w:val="3"/>
          <w:lang w:val="es-ES" w:eastAsia="es-ES"/>
        </w:rPr>
        <w:t xml:space="preserve"> se seleccionó a través de un muestreo no probabilístico, intencional, por criterios de </w:t>
      </w:r>
      <w:r w:rsidRPr="00276C5B">
        <w:rPr>
          <w:kern w:val="3"/>
          <w:lang w:eastAsia="es-ES"/>
        </w:rPr>
        <w:t>inclusión:</w:t>
      </w:r>
      <w:r w:rsidRPr="00276C5B">
        <w:rPr>
          <w:kern w:val="3"/>
          <w:lang w:val="es-ES" w:eastAsia="es-ES"/>
        </w:rPr>
        <w:t xml:space="preserve"> c</w:t>
      </w:r>
      <w:r w:rsidRPr="00276C5B">
        <w:rPr>
          <w:kern w:val="3"/>
          <w:lang w:eastAsia="es-ES"/>
        </w:rPr>
        <w:t>aptadas antes de las 14 semanas, p</w:t>
      </w:r>
      <w:r w:rsidRPr="00276C5B">
        <w:rPr>
          <w:kern w:val="3"/>
          <w:lang w:val="es-ES" w:eastAsia="es-ES"/>
        </w:rPr>
        <w:t>artos simples y s</w:t>
      </w:r>
      <w:r w:rsidRPr="00276C5B">
        <w:rPr>
          <w:kern w:val="3"/>
          <w:lang w:eastAsia="es-ES"/>
        </w:rPr>
        <w:t>in padecimiento crónico previo al embarazo.</w:t>
      </w:r>
    </w:p>
    <w:p w14:paraId="4D3B67D8" w14:textId="77777777" w:rsidR="00276C5B" w:rsidRPr="00276C5B" w:rsidRDefault="00276C5B" w:rsidP="00276C5B">
      <w:pPr>
        <w:widowControl w:val="0"/>
        <w:suppressAutoHyphens/>
        <w:overflowPunct w:val="0"/>
        <w:autoSpaceDE w:val="0"/>
        <w:autoSpaceDN w:val="0"/>
        <w:spacing w:line="360" w:lineRule="auto"/>
        <w:contextualSpacing/>
        <w:jc w:val="center"/>
        <w:textAlignment w:val="baseline"/>
        <w:rPr>
          <w:b/>
          <w:color w:val="000000"/>
          <w:kern w:val="3"/>
          <w:sz w:val="28"/>
          <w:szCs w:val="28"/>
          <w:lang w:val="es-ES" w:eastAsia="es-ES"/>
        </w:rPr>
      </w:pPr>
      <w:r w:rsidRPr="00276C5B">
        <w:rPr>
          <w:b/>
          <w:color w:val="000000"/>
          <w:kern w:val="3"/>
          <w:sz w:val="28"/>
          <w:szCs w:val="28"/>
          <w:lang w:val="es-ES" w:eastAsia="es-ES"/>
        </w:rPr>
        <w:t>Variables</w:t>
      </w:r>
    </w:p>
    <w:p w14:paraId="7B0BA687" w14:textId="77777777" w:rsidR="00276C5B" w:rsidRPr="00276C5B" w:rsidRDefault="00276C5B" w:rsidP="00276C5B">
      <w:pPr>
        <w:widowControl w:val="0"/>
        <w:suppressAutoHyphens/>
        <w:overflowPunct w:val="0"/>
        <w:autoSpaceDE w:val="0"/>
        <w:autoSpaceDN w:val="0"/>
        <w:spacing w:line="360" w:lineRule="auto"/>
        <w:contextualSpacing/>
        <w:jc w:val="both"/>
        <w:textAlignment w:val="baseline"/>
        <w:rPr>
          <w:kern w:val="3"/>
          <w:lang w:val="es-ES" w:eastAsia="es-ES"/>
        </w:rPr>
      </w:pPr>
      <w:r w:rsidRPr="00276C5B">
        <w:rPr>
          <w:color w:val="000000"/>
          <w:kern w:val="3"/>
          <w:lang w:val="es-ES" w:eastAsia="es-ES"/>
        </w:rPr>
        <w:t xml:space="preserve">Las variables utilizadas fueron el DBP, CC, CA y LF. La edad gestacional en el momento de la gestación en que se realizó el ultrasonido, según trimestres y la condición trófica del recién nacido definida por el peso y el sexo del neonato, así como la edad gestacional, </w:t>
      </w:r>
      <w:r w:rsidRPr="00276C5B">
        <w:rPr>
          <w:kern w:val="3"/>
          <w:lang w:eastAsia="es-ES"/>
        </w:rPr>
        <w:t xml:space="preserve">según las tablas de referencia utilizadas en Cuba </w:t>
      </w:r>
      <w:r w:rsidRPr="00276C5B">
        <w:rPr>
          <w:kern w:val="3"/>
          <w:lang w:val="es-ES" w:eastAsia="es-ES"/>
        </w:rPr>
        <w:t>para la edad gestacional al parto por sexo.</w:t>
      </w:r>
      <w:r w:rsidRPr="00276C5B">
        <w:rPr>
          <w:kern w:val="3"/>
          <w:vertAlign w:val="superscript"/>
          <w:lang w:eastAsia="es-ES"/>
        </w:rPr>
        <w:t>(</w:t>
      </w:r>
      <w:r w:rsidRPr="00276C5B">
        <w:rPr>
          <w:noProof/>
          <w:kern w:val="3"/>
          <w:vertAlign w:val="superscript"/>
          <w:lang w:eastAsia="es-ES"/>
        </w:rPr>
        <w:t>9)</w:t>
      </w:r>
      <w:r w:rsidRPr="00276C5B">
        <w:rPr>
          <w:kern w:val="3"/>
          <w:lang w:eastAsia="es-ES"/>
        </w:rPr>
        <w:t xml:space="preserve"> </w:t>
      </w:r>
      <w:r w:rsidRPr="00276C5B">
        <w:rPr>
          <w:color w:val="000000"/>
          <w:kern w:val="3"/>
          <w:lang w:val="es-ES" w:eastAsia="es-ES"/>
        </w:rPr>
        <w:t xml:space="preserve">Se consideraron como categorías para la ordinalidad de esta variable: pequeño para la edad gestacional (PEG) (menor del 10 percentil), normotrófico (o adecuado) (NEG) (entre el 10 y 90 percentil) y grande para la edad gestacional (GEG) (más del 90 percentil). </w:t>
      </w:r>
    </w:p>
    <w:p w14:paraId="090079D0" w14:textId="4815AB98" w:rsidR="00276C5B" w:rsidRPr="00276C5B" w:rsidRDefault="00276C5B" w:rsidP="00276C5B">
      <w:pPr>
        <w:widowControl w:val="0"/>
        <w:suppressAutoHyphens/>
        <w:overflowPunct w:val="0"/>
        <w:autoSpaceDE w:val="0"/>
        <w:autoSpaceDN w:val="0"/>
        <w:spacing w:line="360" w:lineRule="auto"/>
        <w:jc w:val="both"/>
        <w:textAlignment w:val="baseline"/>
        <w:rPr>
          <w:rFonts w:eastAsia="Batang"/>
          <w:kern w:val="3"/>
          <w:lang w:val="es-EC" w:eastAsia="de-DE"/>
        </w:rPr>
      </w:pPr>
      <w:r w:rsidRPr="00276C5B">
        <w:rPr>
          <w:kern w:val="3"/>
          <w:lang w:val="es-ES" w:eastAsia="es-ES"/>
        </w:rPr>
        <w:t>Además, se recogió información de las enfermedades maternas durante la gestación, registrado como factores maternos; como: estado nutricional materno, glucemia alterada, anemia,</w:t>
      </w:r>
      <w:r w:rsidRPr="00276C5B">
        <w:rPr>
          <w:rFonts w:eastAsia="Arial"/>
          <w:kern w:val="3"/>
          <w:lang w:val="es-EC" w:eastAsia="es-ES"/>
        </w:rPr>
        <w:t xml:space="preserve"> sepsis vaginal, </w:t>
      </w:r>
      <w:r w:rsidRPr="00276C5B">
        <w:rPr>
          <w:kern w:val="3"/>
          <w:lang w:val="es-ES" w:eastAsia="es-ES"/>
        </w:rPr>
        <w:t xml:space="preserve">diabetes gestacional y </w:t>
      </w:r>
      <w:r w:rsidRPr="00276C5B">
        <w:rPr>
          <w:rFonts w:eastAsia="Arial"/>
          <w:kern w:val="3"/>
          <w:lang w:val="es-EC" w:eastAsia="es-ES"/>
        </w:rPr>
        <w:t>trastorno hipertensivo gestacional</w:t>
      </w:r>
      <w:r w:rsidRPr="00276C5B">
        <w:rPr>
          <w:kern w:val="3"/>
          <w:lang w:val="es-ES" w:eastAsia="es-ES"/>
        </w:rPr>
        <w:t>. Con categorías</w:t>
      </w:r>
      <w:r w:rsidRPr="00276C5B">
        <w:rPr>
          <w:color w:val="000000"/>
          <w:kern w:val="3"/>
          <w:lang w:val="es-ES" w:eastAsia="es-ES"/>
        </w:rPr>
        <w:t xml:space="preserve"> para la ordinalidad</w:t>
      </w:r>
      <w:r w:rsidRPr="00276C5B">
        <w:rPr>
          <w:kern w:val="3"/>
          <w:lang w:val="es-ES" w:eastAsia="es-ES"/>
        </w:rPr>
        <w:t>: peso deficiente (&lt;</w:t>
      </w:r>
      <w:r w:rsidR="003F0893">
        <w:rPr>
          <w:kern w:val="3"/>
          <w:lang w:val="es-ES" w:eastAsia="es-ES"/>
        </w:rPr>
        <w:t> </w:t>
      </w:r>
      <w:r w:rsidRPr="00276C5B">
        <w:rPr>
          <w:kern w:val="3"/>
          <w:lang w:val="es-ES" w:eastAsia="es-ES"/>
        </w:rPr>
        <w:t>18,8 kg/m</w:t>
      </w:r>
      <w:r w:rsidRPr="00276C5B">
        <w:rPr>
          <w:kern w:val="3"/>
          <w:vertAlign w:val="superscript"/>
          <w:lang w:val="es-ES" w:eastAsia="es-ES"/>
        </w:rPr>
        <w:t>2</w:t>
      </w:r>
      <w:r w:rsidRPr="00276C5B">
        <w:rPr>
          <w:kern w:val="3"/>
          <w:lang w:val="es-ES" w:eastAsia="es-ES"/>
        </w:rPr>
        <w:t>), peso adecuado (18,8 kg/m</w:t>
      </w:r>
      <w:r w:rsidRPr="00276C5B">
        <w:rPr>
          <w:kern w:val="3"/>
          <w:vertAlign w:val="superscript"/>
          <w:lang w:val="es-ES" w:eastAsia="es-ES"/>
        </w:rPr>
        <w:t>2</w:t>
      </w:r>
      <w:r w:rsidRPr="00276C5B">
        <w:rPr>
          <w:kern w:val="3"/>
          <w:lang w:val="es-ES" w:eastAsia="es-ES"/>
        </w:rPr>
        <w:t xml:space="preserve"> hasta 25,6 kg/m</w:t>
      </w:r>
      <w:r w:rsidRPr="00276C5B">
        <w:rPr>
          <w:kern w:val="3"/>
          <w:vertAlign w:val="superscript"/>
          <w:lang w:val="es-ES" w:eastAsia="es-ES"/>
        </w:rPr>
        <w:t>2</w:t>
      </w:r>
      <w:r w:rsidRPr="00276C5B">
        <w:rPr>
          <w:kern w:val="3"/>
          <w:lang w:val="es-ES" w:eastAsia="es-ES"/>
        </w:rPr>
        <w:t>), sobrepeso (&gt; 25,6 kg/m2 hasta 28,6 kg/m</w:t>
      </w:r>
      <w:r w:rsidRPr="00276C5B">
        <w:rPr>
          <w:kern w:val="3"/>
          <w:vertAlign w:val="superscript"/>
          <w:lang w:val="es-ES" w:eastAsia="es-ES"/>
        </w:rPr>
        <w:t>2</w:t>
      </w:r>
      <w:r w:rsidRPr="00276C5B">
        <w:rPr>
          <w:kern w:val="3"/>
          <w:lang w:val="es-ES" w:eastAsia="es-ES"/>
        </w:rPr>
        <w:t>), obesidad (&gt; 28,6 kg/m</w:t>
      </w:r>
      <w:r w:rsidRPr="00276C5B">
        <w:rPr>
          <w:kern w:val="3"/>
          <w:vertAlign w:val="superscript"/>
          <w:lang w:val="es-ES" w:eastAsia="es-ES"/>
        </w:rPr>
        <w:t>2</w:t>
      </w:r>
      <w:r w:rsidRPr="00276C5B">
        <w:rPr>
          <w:kern w:val="3"/>
          <w:lang w:val="es-ES" w:eastAsia="es-ES"/>
        </w:rPr>
        <w:t>)</w:t>
      </w:r>
      <w:r w:rsidRPr="00276C5B">
        <w:rPr>
          <w:rFonts w:eastAsia="Calibri"/>
          <w:kern w:val="3"/>
          <w:lang w:val="es-EC" w:eastAsia="es-ES"/>
        </w:rPr>
        <w:t xml:space="preserve"> según las tablas antropométricas de la embarazada.</w:t>
      </w:r>
      <w:r w:rsidRPr="00276C5B">
        <w:rPr>
          <w:rFonts w:eastAsia="Calibri"/>
          <w:kern w:val="3"/>
          <w:vertAlign w:val="superscript"/>
          <w:lang w:val="es-EC" w:eastAsia="es-ES"/>
        </w:rPr>
        <w:t>(</w:t>
      </w:r>
      <w:r w:rsidRPr="00276C5B">
        <w:rPr>
          <w:rFonts w:eastAsia="Calibri"/>
          <w:noProof/>
          <w:kern w:val="3"/>
          <w:vertAlign w:val="superscript"/>
          <w:lang w:val="es-EC" w:eastAsia="es-ES"/>
        </w:rPr>
        <w:t>10)</w:t>
      </w:r>
      <w:r w:rsidRPr="00276C5B">
        <w:rPr>
          <w:rFonts w:eastAsia="Calibri"/>
          <w:kern w:val="3"/>
          <w:lang w:val="es-EC" w:eastAsia="es-ES"/>
        </w:rPr>
        <w:t xml:space="preserve"> De la </w:t>
      </w:r>
      <w:r w:rsidRPr="00276C5B">
        <w:rPr>
          <w:rFonts w:eastAsia="Batang"/>
          <w:kern w:val="3"/>
          <w:lang w:val="es-EC" w:eastAsia="de-DE"/>
        </w:rPr>
        <w:t>glucemia, sus valores de referencia para las gestantes 4,4 mmol/L:</w:t>
      </w:r>
      <w:r w:rsidRPr="00276C5B">
        <w:rPr>
          <w:rFonts w:eastAsia="Batang"/>
          <w:kern w:val="3"/>
          <w:vertAlign w:val="superscript"/>
          <w:lang w:val="es-EC" w:eastAsia="de-DE"/>
        </w:rPr>
        <w:t>(</w:t>
      </w:r>
      <w:r w:rsidRPr="00276C5B">
        <w:rPr>
          <w:rFonts w:eastAsia="Batang"/>
          <w:noProof/>
          <w:kern w:val="3"/>
          <w:vertAlign w:val="superscript"/>
          <w:lang w:val="es-EC" w:eastAsia="de-DE"/>
        </w:rPr>
        <w:t>2)</w:t>
      </w:r>
      <w:r w:rsidRPr="00276C5B">
        <w:rPr>
          <w:rFonts w:eastAsia="Batang"/>
          <w:kern w:val="3"/>
          <w:lang w:val="es-EC" w:eastAsia="de-DE"/>
        </w:rPr>
        <w:t xml:space="preserve"> considerada en categorías de glucemia alterada: Sí (valores iguales o por encima de 4,4 mmol/L) y No ( </w:t>
      </w:r>
      <w:r w:rsidRPr="00276C5B">
        <w:rPr>
          <w:kern w:val="3"/>
          <w:lang w:val="es-ES" w:eastAsia="es-ES"/>
        </w:rPr>
        <w:t>&lt; </w:t>
      </w:r>
      <w:r w:rsidRPr="00276C5B">
        <w:rPr>
          <w:rFonts w:eastAsia="Batang"/>
          <w:kern w:val="3"/>
          <w:lang w:val="es-EC" w:eastAsia="de-DE"/>
        </w:rPr>
        <w:t xml:space="preserve">4,4 mmol/L), </w:t>
      </w:r>
      <w:r w:rsidRPr="00276C5B">
        <w:rPr>
          <w:rFonts w:eastAsia="Arial"/>
          <w:kern w:val="3"/>
          <w:lang w:val="es-EC" w:eastAsia="es-ES"/>
        </w:rPr>
        <w:t xml:space="preserve">anemia: </w:t>
      </w:r>
      <w:r w:rsidRPr="00276C5B">
        <w:rPr>
          <w:rFonts w:eastAsia="Batang"/>
          <w:kern w:val="3"/>
          <w:lang w:val="es-EC" w:eastAsia="de-DE"/>
        </w:rPr>
        <w:t xml:space="preserve">Sí (hemoglobina menor de 110 </w:t>
      </w:r>
      <w:r w:rsidRPr="00276C5B">
        <w:rPr>
          <w:rFonts w:eastAsia="Calibri"/>
          <w:kern w:val="3"/>
          <w:lang w:val="es-EC" w:eastAsia="es-ES"/>
        </w:rPr>
        <w:t>g/L</w:t>
      </w:r>
      <w:r w:rsidRPr="00276C5B">
        <w:rPr>
          <w:rFonts w:eastAsia="Batang"/>
          <w:kern w:val="3"/>
          <w:lang w:val="es-EC" w:eastAsia="de-DE"/>
        </w:rPr>
        <w:t xml:space="preserve">), No (hemoglobina mayor o igual a 110 </w:t>
      </w:r>
      <w:r w:rsidRPr="00276C5B">
        <w:rPr>
          <w:rFonts w:eastAsia="Calibri"/>
          <w:kern w:val="3"/>
          <w:lang w:val="es-EC" w:eastAsia="es-ES"/>
        </w:rPr>
        <w:t>g/L</w:t>
      </w:r>
      <w:r w:rsidRPr="00276C5B">
        <w:rPr>
          <w:rFonts w:eastAsia="Batang"/>
          <w:kern w:val="3"/>
          <w:lang w:val="es-EC" w:eastAsia="de-DE"/>
        </w:rPr>
        <w:t>). Sepsis vaginal, diabetes gestacional y trastorno hipertensivo gestacional, categorías de: Sí o No.</w:t>
      </w:r>
    </w:p>
    <w:p w14:paraId="724DE246" w14:textId="77777777" w:rsidR="00276C5B" w:rsidRPr="00276C5B" w:rsidRDefault="00276C5B" w:rsidP="00276C5B">
      <w:pPr>
        <w:widowControl w:val="0"/>
        <w:suppressAutoHyphens/>
        <w:overflowPunct w:val="0"/>
        <w:autoSpaceDE w:val="0"/>
        <w:autoSpaceDN w:val="0"/>
        <w:spacing w:line="360" w:lineRule="auto"/>
        <w:jc w:val="center"/>
        <w:textAlignment w:val="baseline"/>
        <w:rPr>
          <w:rFonts w:eastAsia="Batang"/>
          <w:b/>
          <w:kern w:val="3"/>
          <w:sz w:val="28"/>
          <w:szCs w:val="28"/>
          <w:lang w:val="es-EC" w:eastAsia="de-DE"/>
        </w:rPr>
      </w:pPr>
      <w:r w:rsidRPr="00276C5B">
        <w:rPr>
          <w:rFonts w:eastAsia="Batang"/>
          <w:b/>
          <w:kern w:val="3"/>
          <w:sz w:val="28"/>
          <w:szCs w:val="28"/>
          <w:lang w:val="es-EC" w:eastAsia="de-DE"/>
        </w:rPr>
        <w:t>Procedimientos</w:t>
      </w:r>
    </w:p>
    <w:p w14:paraId="30EE7CBC"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r w:rsidRPr="00276C5B">
        <w:rPr>
          <w:color w:val="000000"/>
          <w:kern w:val="3"/>
          <w:lang w:val="es-EC" w:eastAsia="es-ES"/>
        </w:rPr>
        <w:t xml:space="preserve">Los </w:t>
      </w:r>
      <w:r w:rsidRPr="00276C5B">
        <w:rPr>
          <w:color w:val="000000"/>
          <w:kern w:val="3"/>
          <w:lang w:val="es-ES" w:eastAsia="es-ES"/>
        </w:rPr>
        <w:t xml:space="preserve">datos fueron obtenidos del registro de ultrasonido, de las consultas de genética realizadas a las gestantes, de las áreas de salud seleccionadas desde enero de 2013 hasta octubre de 2018, estos se incluyeron en una planilla de recolección de datos. </w:t>
      </w:r>
    </w:p>
    <w:p w14:paraId="483401F4" w14:textId="77777777" w:rsidR="00276C5B" w:rsidRPr="00276C5B" w:rsidRDefault="00276C5B" w:rsidP="00276C5B">
      <w:pPr>
        <w:widowControl w:val="0"/>
        <w:suppressAutoHyphens/>
        <w:overflowPunct w:val="0"/>
        <w:autoSpaceDE w:val="0"/>
        <w:autoSpaceDN w:val="0"/>
        <w:spacing w:line="360" w:lineRule="auto"/>
        <w:jc w:val="center"/>
        <w:textAlignment w:val="baseline"/>
        <w:rPr>
          <w:b/>
          <w:color w:val="000000"/>
          <w:kern w:val="3"/>
          <w:sz w:val="28"/>
          <w:szCs w:val="28"/>
          <w:lang w:val="es-ES" w:eastAsia="es-ES"/>
        </w:rPr>
      </w:pPr>
      <w:r w:rsidRPr="00276C5B">
        <w:rPr>
          <w:b/>
          <w:color w:val="000000"/>
          <w:kern w:val="3"/>
          <w:sz w:val="28"/>
          <w:szCs w:val="28"/>
          <w:lang w:val="es-ES" w:eastAsia="es-ES"/>
        </w:rPr>
        <w:t>Procesamiento estadístico</w:t>
      </w:r>
    </w:p>
    <w:p w14:paraId="0E3BB653" w14:textId="77777777" w:rsidR="00276C5B" w:rsidRPr="00276C5B" w:rsidRDefault="00276C5B" w:rsidP="00276C5B">
      <w:pPr>
        <w:widowControl w:val="0"/>
        <w:suppressAutoHyphens/>
        <w:overflowPunct w:val="0"/>
        <w:autoSpaceDE w:val="0"/>
        <w:autoSpaceDN w:val="0"/>
        <w:spacing w:line="360" w:lineRule="auto"/>
        <w:jc w:val="both"/>
        <w:textAlignment w:val="baseline"/>
        <w:rPr>
          <w:rFonts w:eastAsia="Batang"/>
          <w:kern w:val="3"/>
          <w:lang w:val="es-EC" w:eastAsia="de-DE"/>
        </w:rPr>
      </w:pPr>
      <w:r w:rsidRPr="00276C5B">
        <w:rPr>
          <w:rFonts w:eastAsia="Batang"/>
          <w:kern w:val="3"/>
          <w:lang w:val="es-EC" w:eastAsia="de-DE"/>
        </w:rPr>
        <w:t>La información fue introducida en una base de datos utilizando el programa SPSS, versión 20.0 para Windows; en el que además se realizó el análisis y procesamiento de los datos.</w:t>
      </w:r>
    </w:p>
    <w:p w14:paraId="23CE48F9" w14:textId="3F438D81" w:rsidR="00276C5B" w:rsidRPr="00276C5B" w:rsidRDefault="00276C5B" w:rsidP="00276C5B">
      <w:pPr>
        <w:suppressAutoHyphens/>
        <w:spacing w:line="360" w:lineRule="auto"/>
        <w:jc w:val="both"/>
        <w:rPr>
          <w:rFonts w:eastAsia="Batang"/>
          <w:strike/>
          <w:kern w:val="1"/>
          <w:lang w:val="es-EC" w:eastAsia="de-DE"/>
        </w:rPr>
      </w:pPr>
      <w:r w:rsidRPr="00276C5B">
        <w:rPr>
          <w:rFonts w:eastAsia="Batang"/>
          <w:kern w:val="1"/>
          <w:lang w:val="es-EC" w:eastAsia="de-DE"/>
        </w:rPr>
        <w:t xml:space="preserve">Previa demostración de la ausencia de normalidad en las variables biométricas primarias, al aplicar la prueba no paramétrica de Kolmogorov-Smirnov, se utilizó el test no paramétrico de Kruskal Wallis en la </w:t>
      </w:r>
      <w:r w:rsidRPr="00276C5B">
        <w:rPr>
          <w:rFonts w:eastAsia="Batang"/>
          <w:kern w:val="1"/>
          <w:lang w:val="es-EC" w:eastAsia="de-DE"/>
        </w:rPr>
        <w:lastRenderedPageBreak/>
        <w:t>comparación de variables biométricas, según la condición trófica al nacer. Estas variables fueron</w:t>
      </w:r>
      <w:r w:rsidRPr="00276C5B">
        <w:rPr>
          <w:rFonts w:eastAsia="font269"/>
          <w:kern w:val="1"/>
          <w:lang w:val="es-ES" w:eastAsia="es-ES"/>
        </w:rPr>
        <w:t xml:space="preserve"> medidas en 2 ocasiones, en el segundo y en el tercer </w:t>
      </w:r>
      <w:r w:rsidR="003F0893" w:rsidRPr="00276C5B">
        <w:rPr>
          <w:rFonts w:eastAsia="font269"/>
          <w:kern w:val="1"/>
          <w:lang w:val="es-ES" w:eastAsia="es-ES"/>
        </w:rPr>
        <w:t xml:space="preserve">trimestre; </w:t>
      </w:r>
      <w:r w:rsidR="003F0893" w:rsidRPr="00276C5B">
        <w:rPr>
          <w:rFonts w:eastAsia="font269"/>
          <w:kern w:val="1"/>
          <w:lang w:val="es-ES" w:eastAsia="es-EC"/>
        </w:rPr>
        <w:t>se</w:t>
      </w:r>
      <w:r w:rsidRPr="00276C5B">
        <w:rPr>
          <w:rFonts w:eastAsia="font269"/>
          <w:kern w:val="1"/>
          <w:lang w:val="es-ES" w:eastAsia="es-EC"/>
        </w:rPr>
        <w:t xml:space="preserve"> realizaron evaluaciones de las biometrías independientes por semanas y su relación con las desviaciones de la condición trófica.</w:t>
      </w:r>
      <w:r w:rsidRPr="00276C5B">
        <w:rPr>
          <w:rFonts w:eastAsia="Batang"/>
          <w:kern w:val="1"/>
          <w:lang w:val="es-EC" w:eastAsia="de-DE"/>
        </w:rPr>
        <w:t xml:space="preserve"> Al comprobarse diferencias estadísticamente significativas en el rango medio de estas variables, según grupos, se aplicó la prueba </w:t>
      </w:r>
      <w:r w:rsidRPr="00276C5B">
        <w:rPr>
          <w:rFonts w:eastAsia="Batang"/>
          <w:i/>
          <w:iCs/>
          <w:kern w:val="1"/>
          <w:lang w:val="es-EC" w:eastAsia="de-DE"/>
        </w:rPr>
        <w:t>post hoc</w:t>
      </w:r>
      <w:r w:rsidRPr="00276C5B">
        <w:rPr>
          <w:rFonts w:eastAsia="Batang"/>
          <w:kern w:val="1"/>
          <w:lang w:val="es-EC" w:eastAsia="de-DE"/>
        </w:rPr>
        <w:t xml:space="preserve"> de Dunn-Bonferroni, que mostró el sentido de tales diferencias en los cruces 2 a 2. </w:t>
      </w:r>
    </w:p>
    <w:p w14:paraId="3BD2427D" w14:textId="77777777" w:rsidR="00276C5B" w:rsidRPr="00276C5B" w:rsidRDefault="00276C5B" w:rsidP="00276C5B">
      <w:pPr>
        <w:widowControl w:val="0"/>
        <w:suppressAutoHyphens/>
        <w:overflowPunct w:val="0"/>
        <w:autoSpaceDE w:val="0"/>
        <w:autoSpaceDN w:val="0"/>
        <w:spacing w:line="360" w:lineRule="auto"/>
        <w:jc w:val="both"/>
        <w:textAlignment w:val="baseline"/>
        <w:rPr>
          <w:rFonts w:eastAsia="Batang"/>
          <w:kern w:val="3"/>
          <w:lang w:val="es-EC" w:eastAsia="de-DE"/>
        </w:rPr>
      </w:pPr>
      <w:r w:rsidRPr="00276C5B">
        <w:rPr>
          <w:rFonts w:eastAsia="Batang"/>
          <w:kern w:val="3"/>
          <w:lang w:val="es-EC" w:eastAsia="de-DE"/>
        </w:rPr>
        <w:t xml:space="preserve">Para relacionar las variables maternas con la condición trófica del neonato se utilizó la prueba no paramétrica de independencia basada en la distribución </w:t>
      </w:r>
      <w:r w:rsidRPr="00276C5B">
        <w:rPr>
          <w:rFonts w:eastAsia="Batang"/>
          <w:i/>
          <w:iCs/>
          <w:kern w:val="3"/>
          <w:lang w:val="es-EC" w:eastAsia="de-DE"/>
        </w:rPr>
        <w:t>ji</w:t>
      </w:r>
      <w:r w:rsidRPr="00276C5B">
        <w:rPr>
          <w:rFonts w:eastAsia="Batang"/>
          <w:kern w:val="3"/>
          <w:lang w:val="es-EC" w:eastAsia="de-DE"/>
        </w:rPr>
        <w:t xml:space="preserve"> cuadrado (</w:t>
      </w:r>
      <w:r w:rsidRPr="00276C5B">
        <w:rPr>
          <w:rFonts w:eastAsia="Batang"/>
          <w:i/>
          <w:iCs/>
          <w:kern w:val="3"/>
          <w:lang w:val="es-EC" w:eastAsia="de-DE"/>
        </w:rPr>
        <w:t>X</w:t>
      </w:r>
      <w:r w:rsidRPr="00276C5B">
        <w:rPr>
          <w:rFonts w:eastAsia="Batang"/>
          <w:kern w:val="3"/>
          <w:vertAlign w:val="superscript"/>
          <w:lang w:val="es-EC" w:eastAsia="de-DE"/>
        </w:rPr>
        <w:t>2</w:t>
      </w:r>
      <w:r w:rsidRPr="00276C5B">
        <w:rPr>
          <w:rFonts w:eastAsia="Batang"/>
          <w:kern w:val="3"/>
          <w:lang w:val="es-EC" w:eastAsia="de-DE"/>
        </w:rPr>
        <w:t>). La fuerza de asociación entre estas variables se midió con la V de Cramer. Para todas las pruebas de hipótesis realizadas se prefijó un valor de significación alfa de 0,05 para la toma de la decisión estadística. La información resultante de los procesamientos se mostró en tablas.</w:t>
      </w:r>
    </w:p>
    <w:p w14:paraId="0C4D7A93" w14:textId="77777777" w:rsidR="00276C5B" w:rsidRPr="00276C5B" w:rsidRDefault="00276C5B" w:rsidP="00276C5B">
      <w:pPr>
        <w:widowControl w:val="0"/>
        <w:suppressAutoHyphens/>
        <w:overflowPunct w:val="0"/>
        <w:autoSpaceDE w:val="0"/>
        <w:autoSpaceDN w:val="0"/>
        <w:spacing w:line="360" w:lineRule="auto"/>
        <w:jc w:val="center"/>
        <w:textAlignment w:val="baseline"/>
        <w:rPr>
          <w:rFonts w:eastAsia="Batang"/>
          <w:b/>
          <w:kern w:val="3"/>
          <w:sz w:val="28"/>
          <w:szCs w:val="28"/>
          <w:lang w:val="es-EC" w:eastAsia="de-DE"/>
        </w:rPr>
      </w:pPr>
      <w:r w:rsidRPr="00276C5B">
        <w:rPr>
          <w:rFonts w:eastAsia="Batang"/>
          <w:b/>
          <w:kern w:val="3"/>
          <w:sz w:val="28"/>
          <w:szCs w:val="28"/>
          <w:lang w:val="es-EC" w:eastAsia="de-DE"/>
        </w:rPr>
        <w:t>Aspectos bioéticos</w:t>
      </w:r>
    </w:p>
    <w:p w14:paraId="1363FF9E" w14:textId="77777777" w:rsidR="00276C5B" w:rsidRPr="00276C5B" w:rsidRDefault="00276C5B" w:rsidP="00276C5B">
      <w:pPr>
        <w:widowControl w:val="0"/>
        <w:suppressAutoHyphens/>
        <w:overflowPunct w:val="0"/>
        <w:autoSpaceDE w:val="0"/>
        <w:autoSpaceDN w:val="0"/>
        <w:spacing w:line="360" w:lineRule="auto"/>
        <w:jc w:val="both"/>
        <w:textAlignment w:val="baseline"/>
        <w:rPr>
          <w:rFonts w:eastAsia="Batang"/>
          <w:kern w:val="3"/>
          <w:lang w:val="es-EC" w:eastAsia="de-DE"/>
        </w:rPr>
      </w:pPr>
      <w:r w:rsidRPr="00276C5B">
        <w:rPr>
          <w:rFonts w:eastAsia="Batang"/>
          <w:kern w:val="3"/>
          <w:lang w:val="es-EC" w:eastAsia="de-DE"/>
        </w:rPr>
        <w:t>La investigación se rige por los principios éticos que guían las investigaciones médicas con seres humanos plasmados en la Declaración de Helsinki por la Asociación Médica Mundial.</w:t>
      </w:r>
      <w:r w:rsidRPr="00276C5B">
        <w:rPr>
          <w:rFonts w:eastAsia="Batang"/>
          <w:kern w:val="3"/>
          <w:vertAlign w:val="superscript"/>
          <w:lang w:val="es-EC" w:eastAsia="de-DE"/>
        </w:rPr>
        <w:t>(</w:t>
      </w:r>
      <w:r w:rsidRPr="00276C5B">
        <w:rPr>
          <w:rFonts w:eastAsia="Batang"/>
          <w:noProof/>
          <w:kern w:val="3"/>
          <w:vertAlign w:val="superscript"/>
          <w:lang w:val="es-EC" w:eastAsia="de-DE"/>
        </w:rPr>
        <w:t>11)</w:t>
      </w:r>
      <w:r w:rsidRPr="00276C5B">
        <w:rPr>
          <w:rFonts w:eastAsia="Batang"/>
          <w:kern w:val="3"/>
          <w:lang w:val="es-EC" w:eastAsia="de-DE"/>
        </w:rPr>
        <w:t xml:space="preserve"> A pesar de que no se trabajó directamente con la gestante, se solicitó por escrito el consentimiento del administrativo de las áreas de salud para la realización de dicha investigación, en el cual se declaró que los resultados se usarían con fines investigativos.</w:t>
      </w:r>
    </w:p>
    <w:p w14:paraId="7E521C4C"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kern w:val="3"/>
          <w:lang w:val="es-ES" w:eastAsia="es-ES"/>
        </w:rPr>
      </w:pPr>
    </w:p>
    <w:p w14:paraId="2F148FE3"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kern w:val="3"/>
          <w:lang w:val="es-ES" w:eastAsia="es-ES"/>
        </w:rPr>
      </w:pPr>
    </w:p>
    <w:p w14:paraId="42E0D01B"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kern w:val="3"/>
          <w:sz w:val="32"/>
          <w:szCs w:val="32"/>
          <w:lang w:val="es-ES" w:eastAsia="es-ES"/>
        </w:rPr>
      </w:pPr>
      <w:r w:rsidRPr="00276C5B">
        <w:rPr>
          <w:b/>
          <w:kern w:val="3"/>
          <w:sz w:val="32"/>
          <w:szCs w:val="32"/>
          <w:lang w:val="es-ES" w:eastAsia="es-ES"/>
        </w:rPr>
        <w:t>RESULTADOS</w:t>
      </w:r>
    </w:p>
    <w:p w14:paraId="459C7114" w14:textId="77777777" w:rsidR="00276C5B" w:rsidRPr="00276C5B" w:rsidRDefault="00276C5B" w:rsidP="00276C5B">
      <w:pPr>
        <w:widowControl w:val="0"/>
        <w:suppressAutoHyphens/>
        <w:overflowPunct w:val="0"/>
        <w:autoSpaceDE w:val="0"/>
        <w:autoSpaceDN w:val="0"/>
        <w:spacing w:line="360" w:lineRule="auto"/>
        <w:jc w:val="both"/>
        <w:textAlignment w:val="baseline"/>
        <w:rPr>
          <w:kern w:val="3"/>
          <w:lang w:val="es-ES" w:eastAsia="es-ES"/>
        </w:rPr>
      </w:pPr>
      <w:r w:rsidRPr="00276C5B">
        <w:rPr>
          <w:kern w:val="3"/>
          <w:lang w:val="es-ES" w:eastAsia="es-ES"/>
        </w:rPr>
        <w:t>La tabla 1 muestra la mediana del DBP según la condición trófica al nacer en los trimestres segundo y tercero, en la mayoría de las semanas, esta se incrementa según la condición trófica y semana gestacional, manteniéndose con valores semejantes entre PEG y AEG solamente en las semanas 20 y 24. En el tercer trimestre, predominaron las diferencias en todos los contrastes dos a dos realizados.</w:t>
      </w:r>
    </w:p>
    <w:p w14:paraId="1DAADADE" w14:textId="77777777" w:rsidR="00276C5B" w:rsidRPr="00276C5B" w:rsidRDefault="00276C5B" w:rsidP="00276C5B">
      <w:pPr>
        <w:widowControl w:val="0"/>
        <w:suppressAutoHyphens/>
        <w:overflowPunct w:val="0"/>
        <w:autoSpaceDE w:val="0"/>
        <w:autoSpaceDN w:val="0"/>
        <w:spacing w:line="360" w:lineRule="auto"/>
        <w:jc w:val="both"/>
        <w:textAlignment w:val="baseline"/>
        <w:rPr>
          <w:kern w:val="3"/>
          <w:lang w:val="es-ES" w:eastAsia="es-ES"/>
        </w:rPr>
      </w:pPr>
    </w:p>
    <w:p w14:paraId="62DA4BBA" w14:textId="77777777" w:rsidR="00922849" w:rsidRDefault="00922849">
      <w:pPr>
        <w:rPr>
          <w:b/>
          <w:kern w:val="3"/>
          <w:sz w:val="22"/>
          <w:szCs w:val="22"/>
          <w:lang w:val="es-ES" w:eastAsia="es-ES"/>
        </w:rPr>
      </w:pPr>
      <w:r>
        <w:rPr>
          <w:b/>
          <w:kern w:val="3"/>
          <w:sz w:val="22"/>
          <w:szCs w:val="22"/>
          <w:lang w:val="es-ES" w:eastAsia="es-ES"/>
        </w:rPr>
        <w:br w:type="page"/>
      </w:r>
    </w:p>
    <w:p w14:paraId="1BE800D2" w14:textId="1CF0F456"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1"/>
        <w:rPr>
          <w:kern w:val="3"/>
          <w:sz w:val="22"/>
          <w:szCs w:val="22"/>
          <w:lang w:val="es-ES" w:eastAsia="es-ES"/>
        </w:rPr>
      </w:pPr>
      <w:r w:rsidRPr="00276C5B">
        <w:rPr>
          <w:b/>
          <w:kern w:val="3"/>
          <w:sz w:val="22"/>
          <w:szCs w:val="22"/>
          <w:lang w:val="es-ES" w:eastAsia="es-ES"/>
        </w:rPr>
        <w:lastRenderedPageBreak/>
        <w:t>Tabla 1</w:t>
      </w:r>
      <w:r w:rsidRPr="00276C5B">
        <w:rPr>
          <w:kern w:val="3"/>
          <w:sz w:val="22"/>
          <w:szCs w:val="22"/>
          <w:lang w:val="es-ES" w:eastAsia="es-ES"/>
        </w:rPr>
        <w:t xml:space="preserve">- Comparación de la variable DBP en los trimestres segundo y </w:t>
      </w:r>
    </w:p>
    <w:p w14:paraId="2E7433DC"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1"/>
        <w:rPr>
          <w:kern w:val="3"/>
          <w:sz w:val="22"/>
          <w:szCs w:val="22"/>
          <w:lang w:val="es-ES" w:eastAsia="es-ES"/>
        </w:rPr>
      </w:pPr>
      <w:r w:rsidRPr="00276C5B">
        <w:rPr>
          <w:kern w:val="3"/>
          <w:sz w:val="22"/>
          <w:szCs w:val="22"/>
          <w:lang w:val="es-ES" w:eastAsia="es-ES"/>
        </w:rPr>
        <w:t>tercero según la condición trófica al nacer</w:t>
      </w:r>
    </w:p>
    <w:p w14:paraId="0F96268A" w14:textId="4C876C57" w:rsidR="000A6727" w:rsidRDefault="000A6727" w:rsidP="00276C5B">
      <w:pPr>
        <w:widowControl w:val="0"/>
        <w:suppressAutoHyphens/>
        <w:overflowPunct w:val="0"/>
        <w:autoSpaceDE w:val="0"/>
        <w:autoSpaceDN w:val="0"/>
        <w:spacing w:line="360" w:lineRule="auto"/>
        <w:jc w:val="center"/>
        <w:textAlignment w:val="baseline"/>
        <w:rPr>
          <w:kern w:val="3"/>
          <w:sz w:val="16"/>
          <w:szCs w:val="16"/>
          <w:lang w:val="es-ES" w:eastAsia="es-ES"/>
        </w:rPr>
      </w:pPr>
      <w:r w:rsidRPr="00C22EBD">
        <w:rPr>
          <w:noProof/>
        </w:rPr>
        <w:drawing>
          <wp:inline distT="0" distB="0" distL="0" distR="0" wp14:anchorId="02542C30" wp14:editId="722FD419">
            <wp:extent cx="4667250" cy="6200775"/>
            <wp:effectExtent l="0" t="0" r="0" b="9525"/>
            <wp:docPr id="10" name="Imagen 10" descr="G:\15721\t01_157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721\t01_15721.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6200775"/>
                    </a:xfrm>
                    <a:prstGeom prst="rect">
                      <a:avLst/>
                    </a:prstGeom>
                    <a:noFill/>
                    <a:ln>
                      <a:noFill/>
                    </a:ln>
                  </pic:spPr>
                </pic:pic>
              </a:graphicData>
            </a:graphic>
          </wp:inline>
        </w:drawing>
      </w:r>
    </w:p>
    <w:p w14:paraId="38352EB7" w14:textId="0135FF77" w:rsidR="00276C5B" w:rsidRPr="00276C5B" w:rsidRDefault="00276C5B" w:rsidP="00276C5B">
      <w:pPr>
        <w:widowControl w:val="0"/>
        <w:suppressAutoHyphens/>
        <w:overflowPunct w:val="0"/>
        <w:autoSpaceDE w:val="0"/>
        <w:autoSpaceDN w:val="0"/>
        <w:spacing w:line="360" w:lineRule="auto"/>
        <w:jc w:val="center"/>
        <w:textAlignment w:val="baseline"/>
        <w:rPr>
          <w:kern w:val="3"/>
          <w:sz w:val="16"/>
          <w:szCs w:val="16"/>
          <w:lang w:val="es-ES" w:eastAsia="es-ES"/>
        </w:rPr>
      </w:pPr>
      <w:r w:rsidRPr="00276C5B">
        <w:rPr>
          <w:kern w:val="3"/>
          <w:sz w:val="16"/>
          <w:szCs w:val="16"/>
          <w:lang w:val="es-ES" w:eastAsia="es-ES"/>
        </w:rPr>
        <w:t>*significación de la prueba no paramétrica de Kruskal Wallis para muestras independientes</w:t>
      </w:r>
    </w:p>
    <w:p w14:paraId="6B4DF234" w14:textId="77777777" w:rsidR="00276C5B" w:rsidRPr="00276C5B" w:rsidRDefault="00276C5B" w:rsidP="00276C5B">
      <w:pPr>
        <w:widowControl w:val="0"/>
        <w:suppressAutoHyphens/>
        <w:overflowPunct w:val="0"/>
        <w:autoSpaceDE w:val="0"/>
        <w:autoSpaceDN w:val="0"/>
        <w:spacing w:line="360" w:lineRule="auto"/>
        <w:jc w:val="center"/>
        <w:textAlignment w:val="baseline"/>
        <w:rPr>
          <w:kern w:val="3"/>
          <w:sz w:val="16"/>
          <w:szCs w:val="16"/>
          <w:lang w:val="es-ES" w:eastAsia="es-ES"/>
        </w:rPr>
      </w:pPr>
      <w:r w:rsidRPr="00276C5B">
        <w:rPr>
          <w:kern w:val="3"/>
          <w:sz w:val="16"/>
          <w:szCs w:val="16"/>
          <w:lang w:val="es-ES" w:eastAsia="es-ES"/>
        </w:rPr>
        <w:t xml:space="preserve">**No se aplican contrastes </w:t>
      </w:r>
      <w:r w:rsidRPr="00276C5B">
        <w:rPr>
          <w:i/>
          <w:iCs/>
          <w:kern w:val="3"/>
          <w:sz w:val="16"/>
          <w:szCs w:val="16"/>
          <w:lang w:val="es-ES" w:eastAsia="es-ES"/>
        </w:rPr>
        <w:t>post hoc</w:t>
      </w:r>
      <w:r w:rsidRPr="00276C5B">
        <w:rPr>
          <w:kern w:val="3"/>
          <w:sz w:val="16"/>
          <w:szCs w:val="16"/>
          <w:lang w:val="es-ES" w:eastAsia="es-ES"/>
        </w:rPr>
        <w:t xml:space="preserve"> al no existir diferencias estadísticamente significativas (p&gt; 0,05)</w:t>
      </w:r>
    </w:p>
    <w:p w14:paraId="285198EC" w14:textId="77777777" w:rsidR="00276C5B" w:rsidRPr="00276C5B" w:rsidRDefault="00276C5B" w:rsidP="00276C5B">
      <w:pPr>
        <w:widowControl w:val="0"/>
        <w:suppressAutoHyphens/>
        <w:overflowPunct w:val="0"/>
        <w:autoSpaceDE w:val="0"/>
        <w:autoSpaceDN w:val="0"/>
        <w:spacing w:line="360" w:lineRule="auto"/>
        <w:jc w:val="center"/>
        <w:textAlignment w:val="baseline"/>
        <w:rPr>
          <w:kern w:val="3"/>
          <w:lang w:val="es-ES" w:eastAsia="es-ES"/>
        </w:rPr>
      </w:pPr>
    </w:p>
    <w:p w14:paraId="6E2DCDB2" w14:textId="2FC4FA30" w:rsidR="00276C5B" w:rsidRDefault="00276C5B" w:rsidP="00276C5B">
      <w:pPr>
        <w:widowControl w:val="0"/>
        <w:suppressAutoHyphens/>
        <w:overflowPunct w:val="0"/>
        <w:autoSpaceDE w:val="0"/>
        <w:autoSpaceDN w:val="0"/>
        <w:spacing w:line="360" w:lineRule="auto"/>
        <w:jc w:val="both"/>
        <w:textAlignment w:val="baseline"/>
        <w:rPr>
          <w:kern w:val="3"/>
          <w:lang w:val="es-ES" w:eastAsia="es-ES"/>
        </w:rPr>
      </w:pPr>
      <w:r w:rsidRPr="00276C5B">
        <w:rPr>
          <w:kern w:val="3"/>
          <w:lang w:val="es-ES" w:eastAsia="es-ES"/>
        </w:rPr>
        <w:lastRenderedPageBreak/>
        <w:t>Los valores de la mediana de la CC según la condición trófica al nacer, se observa en la tabla 2. En todas las semanas la mediana va en aumento con relación con la condición trófica, solo en las semanas 20 y 24 no existió significación estadística. Predominaron las diferencias significativas en todos los contrastes dos a dos realizados en el tercer trimestre.</w:t>
      </w:r>
    </w:p>
    <w:p w14:paraId="5F5B5D0A" w14:textId="6A51D2EC" w:rsidR="008E6D40" w:rsidRDefault="008E6D40" w:rsidP="008E6D40">
      <w:pPr>
        <w:widowControl w:val="0"/>
        <w:suppressAutoHyphens/>
        <w:overflowPunct w:val="0"/>
        <w:autoSpaceDE w:val="0"/>
        <w:autoSpaceDN w:val="0"/>
        <w:spacing w:line="360" w:lineRule="auto"/>
        <w:jc w:val="both"/>
        <w:textAlignment w:val="baseline"/>
        <w:rPr>
          <w:kern w:val="3"/>
          <w:lang w:val="es-ES" w:eastAsia="es-ES"/>
        </w:rPr>
      </w:pPr>
      <w:r w:rsidRPr="00276C5B">
        <w:rPr>
          <w:kern w:val="3"/>
          <w:lang w:val="es-ES" w:eastAsia="es-ES"/>
        </w:rPr>
        <w:t>En la tabla 3, se aprecia los valores de la mediana de la CA según la condición trófica al nacer, en todas las semanas la mediana va en aumento según la condición trófica y semanas gestacional y solo en las semanas 20 y 24 no existió significación estadística. Las diferencias significativas en todos los contrastes dos a dos realizados continúan predominando en un mayor número de semanas.</w:t>
      </w:r>
    </w:p>
    <w:p w14:paraId="6015A1CA" w14:textId="549E48AA" w:rsidR="009850B8" w:rsidRDefault="009850B8" w:rsidP="008E6D40">
      <w:pPr>
        <w:widowControl w:val="0"/>
        <w:suppressAutoHyphens/>
        <w:overflowPunct w:val="0"/>
        <w:autoSpaceDE w:val="0"/>
        <w:autoSpaceDN w:val="0"/>
        <w:spacing w:line="360" w:lineRule="auto"/>
        <w:jc w:val="both"/>
        <w:textAlignment w:val="baseline"/>
        <w:rPr>
          <w:kern w:val="3"/>
          <w:lang w:val="es-ES" w:eastAsia="es-ES"/>
        </w:rPr>
      </w:pPr>
      <w:r w:rsidRPr="00276C5B">
        <w:rPr>
          <w:kern w:val="3"/>
          <w:lang w:val="es-ES" w:eastAsia="es-ES"/>
        </w:rPr>
        <w:t>El valor de la mediana de la LF según la condición trófica al nacer se presenta en la tabla 4, la mediana va en incremento con relación a la condición trófica y semana gestacional, en la mayoría de las semanas, solo permanece constante en las semanas 23 y 24 con valores de 39 y 41 respectivamente. Existió significación estadística en 7 semanas, con predominio en el tercer trimestre. Las diferencias en todos los contrastes dos a dos realizados se observan solo en 4 semanas (22,</w:t>
      </w:r>
      <w:r w:rsidR="00EF5383">
        <w:rPr>
          <w:kern w:val="3"/>
          <w:lang w:val="es-ES" w:eastAsia="es-ES"/>
        </w:rPr>
        <w:t xml:space="preserve"> </w:t>
      </w:r>
      <w:r w:rsidRPr="00276C5B">
        <w:rPr>
          <w:kern w:val="3"/>
          <w:lang w:val="es-ES" w:eastAsia="es-ES"/>
        </w:rPr>
        <w:t>28,</w:t>
      </w:r>
      <w:r w:rsidR="00EF5383">
        <w:rPr>
          <w:kern w:val="3"/>
          <w:lang w:val="es-ES" w:eastAsia="es-ES"/>
        </w:rPr>
        <w:t xml:space="preserve"> </w:t>
      </w:r>
      <w:r w:rsidRPr="00276C5B">
        <w:rPr>
          <w:kern w:val="3"/>
          <w:lang w:val="es-ES" w:eastAsia="es-ES"/>
        </w:rPr>
        <w:t>29,</w:t>
      </w:r>
      <w:r w:rsidR="00EF5383">
        <w:rPr>
          <w:kern w:val="3"/>
          <w:lang w:val="es-ES" w:eastAsia="es-ES"/>
        </w:rPr>
        <w:t xml:space="preserve"> </w:t>
      </w:r>
      <w:r w:rsidRPr="00276C5B">
        <w:rPr>
          <w:kern w:val="3"/>
          <w:lang w:val="es-ES" w:eastAsia="es-ES"/>
        </w:rPr>
        <w:t>30).</w:t>
      </w:r>
    </w:p>
    <w:p w14:paraId="2C37E99A" w14:textId="77777777" w:rsidR="003561B0" w:rsidRPr="00276C5B" w:rsidRDefault="003561B0" w:rsidP="003561B0">
      <w:pPr>
        <w:widowControl w:val="0"/>
        <w:suppressAutoHyphens/>
        <w:overflowPunct w:val="0"/>
        <w:autoSpaceDE w:val="0"/>
        <w:autoSpaceDN w:val="0"/>
        <w:spacing w:line="360" w:lineRule="auto"/>
        <w:jc w:val="both"/>
        <w:textAlignment w:val="baseline"/>
        <w:rPr>
          <w:color w:val="000000"/>
          <w:lang w:val="es-ES" w:eastAsia="es-ES"/>
        </w:rPr>
      </w:pPr>
      <w:r w:rsidRPr="00276C5B">
        <w:rPr>
          <w:rFonts w:eastAsia="Calibri"/>
          <w:kern w:val="3"/>
          <w:lang w:val="es-ES" w:eastAsia="es-ES"/>
        </w:rPr>
        <w:t xml:space="preserve">La tabla 5 muestra la distribución de las recién nacidos por condición trófica y las variables maternas estudiadas. Las gestantes de peso adecuado predominan en cada condición trófica al nacer, seguidos de los pequeños en las gestantes </w:t>
      </w:r>
      <w:r w:rsidRPr="00276C5B">
        <w:rPr>
          <w:color w:val="000000"/>
          <w:lang w:val="es-ES" w:eastAsia="es-ES"/>
        </w:rPr>
        <w:t xml:space="preserve">sobrepeso y de peso deficiente </w:t>
      </w:r>
      <w:r w:rsidRPr="00276C5B">
        <w:rPr>
          <w:rFonts w:eastAsia="Calibri"/>
          <w:kern w:val="3"/>
          <w:lang w:val="es-ES" w:eastAsia="es-ES"/>
        </w:rPr>
        <w:t xml:space="preserve">con un 25,74 % y </w:t>
      </w:r>
      <w:r w:rsidRPr="00276C5B">
        <w:rPr>
          <w:color w:val="000000"/>
          <w:lang w:val="es-ES" w:eastAsia="es-ES"/>
        </w:rPr>
        <w:t xml:space="preserve">12,50 </w:t>
      </w:r>
      <w:r w:rsidRPr="00276C5B">
        <w:rPr>
          <w:rFonts w:eastAsia="Calibri"/>
          <w:kern w:val="3"/>
          <w:lang w:val="es-ES" w:eastAsia="es-ES"/>
        </w:rPr>
        <w:t>% respectivamente. La g</w:t>
      </w:r>
      <w:r w:rsidRPr="00276C5B">
        <w:rPr>
          <w:rFonts w:eastAsia="Batang"/>
          <w:kern w:val="3"/>
          <w:lang w:val="es-ES" w:eastAsia="de-DE"/>
        </w:rPr>
        <w:t>lucemia</w:t>
      </w:r>
      <w:r w:rsidRPr="00276C5B">
        <w:rPr>
          <w:color w:val="000000"/>
          <w:lang w:val="es-ES" w:eastAsia="es-ES"/>
        </w:rPr>
        <w:t xml:space="preserve"> alterada aparece en porcentajes superiores en recién nacidos grandes 20,72 % frente a un 13,97 % en los pequeños; sin embargo, aunque solo 2 niños nacen de madres con diabetes gestacional esto representa el 1,47 % en esta condición y en los nacidos grandes se presenta en un 1,15 %. </w:t>
      </w:r>
      <w:r w:rsidRPr="00276C5B">
        <w:rPr>
          <w:rFonts w:eastAsia="Arial"/>
          <w:kern w:val="3"/>
          <w:lang w:val="es-ES" w:eastAsia="es-ES"/>
        </w:rPr>
        <w:t>Los trastornos hipertensivos durante la gestación representan un 4,41 % en los nacidos pequeños mientras que la anemia estuvo presente en 11,08 % de los nacidos grandes</w:t>
      </w:r>
      <w:r w:rsidRPr="00276C5B">
        <w:rPr>
          <w:color w:val="000000"/>
          <w:lang w:val="es-ES" w:eastAsia="es-ES"/>
        </w:rPr>
        <w:t>. La sepsis vaginal muestra mayor por ciento en los nacidos pequeños con un 30,15 %, frente a un porciento menor para los nacidos grandes. La mayoría de estas variables maternas muestran una asociación estadísticamente significativa con la condición trófica al nacer (p&lt; 0,05) aunque es débil la fuerza de asociación según la V de Cramer que muestra los mejores resultados para el estado nutricional materno (0,135) y la diabetes gestacional (0,075).</w:t>
      </w:r>
    </w:p>
    <w:p w14:paraId="57567E4B" w14:textId="1D4374E4" w:rsidR="003561B0" w:rsidRPr="00276C5B" w:rsidRDefault="003561B0" w:rsidP="008E6D40">
      <w:pPr>
        <w:widowControl w:val="0"/>
        <w:suppressAutoHyphens/>
        <w:overflowPunct w:val="0"/>
        <w:autoSpaceDE w:val="0"/>
        <w:autoSpaceDN w:val="0"/>
        <w:spacing w:line="360" w:lineRule="auto"/>
        <w:jc w:val="both"/>
        <w:textAlignment w:val="baseline"/>
        <w:rPr>
          <w:lang w:val="es-ES" w:eastAsia="es-ES"/>
        </w:rPr>
      </w:pPr>
      <w:r w:rsidRPr="00276C5B">
        <w:rPr>
          <w:color w:val="000000"/>
          <w:lang w:val="es-ES" w:eastAsia="es-ES"/>
        </w:rPr>
        <w:t xml:space="preserve">En la glicemia alterada y la anemia a pesar de que </w:t>
      </w:r>
      <w:r w:rsidRPr="00276C5B">
        <w:rPr>
          <w:kern w:val="3"/>
          <w:lang w:val="es-ES" w:eastAsia="es-ES"/>
        </w:rPr>
        <w:t xml:space="preserve">no arrojan una relación estadísticamente significativa con la condición trófica al nacer, demuestran el cambio porcentual en ellas, en ambas variables el mayor </w:t>
      </w:r>
      <w:r w:rsidRPr="00276C5B">
        <w:rPr>
          <w:kern w:val="3"/>
          <w:lang w:val="es-ES" w:eastAsia="es-ES"/>
        </w:rPr>
        <w:lastRenderedPageBreak/>
        <w:t xml:space="preserve">porciento lo representa los niños grandes con </w:t>
      </w:r>
      <w:r w:rsidRPr="00276C5B">
        <w:rPr>
          <w:lang w:val="es-ES" w:eastAsia="es-ES"/>
        </w:rPr>
        <w:t>20,72 %</w:t>
      </w:r>
      <w:r w:rsidRPr="00276C5B">
        <w:rPr>
          <w:kern w:val="3"/>
          <w:lang w:val="es-ES" w:eastAsia="es-ES"/>
        </w:rPr>
        <w:t xml:space="preserve"> y </w:t>
      </w:r>
      <w:r w:rsidRPr="00276C5B">
        <w:rPr>
          <w:lang w:val="es-ES" w:eastAsia="es-ES"/>
        </w:rPr>
        <w:t>11,08 % respectivamente.</w:t>
      </w:r>
    </w:p>
    <w:p w14:paraId="27907265" w14:textId="2CADA502"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1"/>
        <w:rPr>
          <w:kern w:val="3"/>
          <w:sz w:val="22"/>
          <w:szCs w:val="22"/>
          <w:lang w:val="es-ES" w:eastAsia="es-ES"/>
        </w:rPr>
      </w:pPr>
      <w:r w:rsidRPr="00276C5B">
        <w:rPr>
          <w:b/>
          <w:kern w:val="3"/>
          <w:sz w:val="22"/>
          <w:szCs w:val="22"/>
          <w:lang w:val="es-ES" w:eastAsia="es-ES"/>
        </w:rPr>
        <w:t>Tabla 2 -</w:t>
      </w:r>
      <w:r w:rsidRPr="00276C5B">
        <w:rPr>
          <w:kern w:val="3"/>
          <w:sz w:val="22"/>
          <w:szCs w:val="22"/>
          <w:lang w:val="es-ES" w:eastAsia="es-ES"/>
        </w:rPr>
        <w:t xml:space="preserve"> Comparación de la variable CC en los trimestres segundo y </w:t>
      </w:r>
    </w:p>
    <w:p w14:paraId="6B81494E"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1"/>
        <w:rPr>
          <w:kern w:val="3"/>
          <w:sz w:val="22"/>
          <w:szCs w:val="22"/>
          <w:lang w:val="es-ES" w:eastAsia="es-ES"/>
        </w:rPr>
      </w:pPr>
      <w:r w:rsidRPr="00276C5B">
        <w:rPr>
          <w:kern w:val="3"/>
          <w:sz w:val="22"/>
          <w:szCs w:val="22"/>
          <w:lang w:val="es-ES" w:eastAsia="es-ES"/>
        </w:rPr>
        <w:t>tercero según la condición trófica al nacer</w:t>
      </w:r>
    </w:p>
    <w:p w14:paraId="702A3412" w14:textId="672B816F" w:rsidR="000A6727" w:rsidRDefault="000A6727" w:rsidP="00276C5B">
      <w:pPr>
        <w:widowControl w:val="0"/>
        <w:suppressAutoHyphens/>
        <w:overflowPunct w:val="0"/>
        <w:autoSpaceDE w:val="0"/>
        <w:autoSpaceDN w:val="0"/>
        <w:spacing w:line="360" w:lineRule="auto"/>
        <w:jc w:val="center"/>
        <w:textAlignment w:val="baseline"/>
        <w:rPr>
          <w:kern w:val="3"/>
          <w:sz w:val="16"/>
          <w:szCs w:val="16"/>
          <w:lang w:val="es-ES" w:eastAsia="es-ES"/>
        </w:rPr>
      </w:pPr>
      <w:r w:rsidRPr="001C0788">
        <w:rPr>
          <w:noProof/>
        </w:rPr>
        <w:drawing>
          <wp:inline distT="0" distB="0" distL="0" distR="0" wp14:anchorId="0B117770" wp14:editId="7FA72C4E">
            <wp:extent cx="4781123" cy="6196039"/>
            <wp:effectExtent l="0" t="0" r="635" b="0"/>
            <wp:docPr id="11" name="Imagen 11" descr="G:\15721\t02_157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5721\t02_1572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5989" cy="6202345"/>
                    </a:xfrm>
                    <a:prstGeom prst="rect">
                      <a:avLst/>
                    </a:prstGeom>
                    <a:noFill/>
                    <a:ln>
                      <a:noFill/>
                    </a:ln>
                  </pic:spPr>
                </pic:pic>
              </a:graphicData>
            </a:graphic>
          </wp:inline>
        </w:drawing>
      </w:r>
    </w:p>
    <w:p w14:paraId="3A2045DD" w14:textId="212A55CC" w:rsidR="00276C5B" w:rsidRPr="00276C5B" w:rsidRDefault="00276C5B" w:rsidP="00276C5B">
      <w:pPr>
        <w:widowControl w:val="0"/>
        <w:suppressAutoHyphens/>
        <w:overflowPunct w:val="0"/>
        <w:autoSpaceDE w:val="0"/>
        <w:autoSpaceDN w:val="0"/>
        <w:spacing w:line="360" w:lineRule="auto"/>
        <w:jc w:val="center"/>
        <w:textAlignment w:val="baseline"/>
        <w:rPr>
          <w:rFonts w:eastAsia="Calibri"/>
          <w:kern w:val="3"/>
          <w:sz w:val="16"/>
          <w:szCs w:val="16"/>
          <w:lang w:val="es-ES" w:eastAsia="es-ES"/>
        </w:rPr>
      </w:pPr>
      <w:r w:rsidRPr="00276C5B">
        <w:rPr>
          <w:kern w:val="3"/>
          <w:sz w:val="16"/>
          <w:szCs w:val="16"/>
          <w:lang w:val="es-ES" w:eastAsia="es-ES"/>
        </w:rPr>
        <w:t>*significación de la prueba no paramétrica de Kruskal Wallis para muestras independientes.</w:t>
      </w:r>
    </w:p>
    <w:p w14:paraId="0324F4D3" w14:textId="77777777" w:rsidR="00276C5B" w:rsidRPr="00276C5B" w:rsidRDefault="00276C5B" w:rsidP="00276C5B">
      <w:pPr>
        <w:widowControl w:val="0"/>
        <w:suppressAutoHyphens/>
        <w:overflowPunct w:val="0"/>
        <w:autoSpaceDE w:val="0"/>
        <w:autoSpaceDN w:val="0"/>
        <w:spacing w:line="360" w:lineRule="auto"/>
        <w:jc w:val="center"/>
        <w:textAlignment w:val="baseline"/>
        <w:rPr>
          <w:kern w:val="3"/>
          <w:sz w:val="16"/>
          <w:szCs w:val="16"/>
          <w:lang w:val="es-ES" w:eastAsia="es-ES"/>
        </w:rPr>
      </w:pPr>
      <w:r w:rsidRPr="00276C5B">
        <w:rPr>
          <w:kern w:val="3"/>
          <w:sz w:val="16"/>
          <w:szCs w:val="16"/>
          <w:lang w:val="es-ES" w:eastAsia="es-ES"/>
        </w:rPr>
        <w:t>**No se aplican contrastes post hoc al no existir diferencias estadísticamente significativas (p&gt; 0,05).</w:t>
      </w:r>
    </w:p>
    <w:p w14:paraId="3BD0E558" w14:textId="4217257B" w:rsidR="00276C5B" w:rsidRPr="00276C5B" w:rsidRDefault="00276C5B" w:rsidP="00276C5B">
      <w:pPr>
        <w:widowControl w:val="0"/>
        <w:suppressAutoHyphens/>
        <w:overflowPunct w:val="0"/>
        <w:autoSpaceDE w:val="0"/>
        <w:autoSpaceDN w:val="0"/>
        <w:spacing w:line="360" w:lineRule="auto"/>
        <w:jc w:val="center"/>
        <w:textAlignment w:val="baseline"/>
        <w:rPr>
          <w:kern w:val="3"/>
          <w:lang w:val="es-ES" w:eastAsia="es-ES"/>
        </w:rPr>
      </w:pPr>
    </w:p>
    <w:p w14:paraId="4B6B1D1F"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1"/>
        <w:rPr>
          <w:kern w:val="3"/>
          <w:sz w:val="22"/>
          <w:szCs w:val="22"/>
          <w:lang w:val="es-ES" w:eastAsia="es-ES"/>
        </w:rPr>
      </w:pPr>
      <w:r w:rsidRPr="00276C5B">
        <w:rPr>
          <w:b/>
          <w:kern w:val="3"/>
          <w:sz w:val="22"/>
          <w:szCs w:val="22"/>
          <w:lang w:val="es-ES" w:eastAsia="es-ES"/>
        </w:rPr>
        <w:t>Tabla 3 -</w:t>
      </w:r>
      <w:r w:rsidRPr="00276C5B">
        <w:rPr>
          <w:kern w:val="3"/>
          <w:sz w:val="22"/>
          <w:szCs w:val="22"/>
          <w:lang w:val="es-ES" w:eastAsia="es-ES"/>
        </w:rPr>
        <w:t xml:space="preserve"> Comparación de la variable CA en los trimestres segundo y tercero según la condición trófica al nacer</w:t>
      </w:r>
    </w:p>
    <w:p w14:paraId="4D6DAEF5" w14:textId="03DDBCE2" w:rsidR="000A6727" w:rsidRDefault="000A6727" w:rsidP="00276C5B">
      <w:pPr>
        <w:widowControl w:val="0"/>
        <w:suppressAutoHyphens/>
        <w:overflowPunct w:val="0"/>
        <w:autoSpaceDE w:val="0"/>
        <w:autoSpaceDN w:val="0"/>
        <w:spacing w:line="360" w:lineRule="auto"/>
        <w:jc w:val="center"/>
        <w:textAlignment w:val="baseline"/>
        <w:rPr>
          <w:kern w:val="3"/>
          <w:sz w:val="16"/>
          <w:szCs w:val="16"/>
          <w:lang w:val="es-ES" w:eastAsia="es-ES"/>
        </w:rPr>
      </w:pPr>
      <w:r w:rsidRPr="001C0788">
        <w:rPr>
          <w:noProof/>
        </w:rPr>
        <w:drawing>
          <wp:inline distT="0" distB="0" distL="0" distR="0" wp14:anchorId="6CA3CF57" wp14:editId="54EFC678">
            <wp:extent cx="5088482" cy="6417905"/>
            <wp:effectExtent l="0" t="0" r="0" b="2540"/>
            <wp:docPr id="3" name="Imagen 3" descr="G:\15721\t03_157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5721\t03_15721.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4271" cy="6425207"/>
                    </a:xfrm>
                    <a:prstGeom prst="rect">
                      <a:avLst/>
                    </a:prstGeom>
                    <a:noFill/>
                    <a:ln>
                      <a:noFill/>
                    </a:ln>
                  </pic:spPr>
                </pic:pic>
              </a:graphicData>
            </a:graphic>
          </wp:inline>
        </w:drawing>
      </w:r>
    </w:p>
    <w:p w14:paraId="1E69CFBC" w14:textId="0C16454F" w:rsidR="00276C5B" w:rsidRPr="00276C5B" w:rsidRDefault="00276C5B" w:rsidP="00276C5B">
      <w:pPr>
        <w:widowControl w:val="0"/>
        <w:suppressAutoHyphens/>
        <w:overflowPunct w:val="0"/>
        <w:autoSpaceDE w:val="0"/>
        <w:autoSpaceDN w:val="0"/>
        <w:spacing w:line="360" w:lineRule="auto"/>
        <w:jc w:val="center"/>
        <w:textAlignment w:val="baseline"/>
        <w:rPr>
          <w:kern w:val="3"/>
          <w:sz w:val="16"/>
          <w:szCs w:val="16"/>
          <w:lang w:val="es-ES" w:eastAsia="es-ES"/>
        </w:rPr>
      </w:pPr>
      <w:r w:rsidRPr="00276C5B">
        <w:rPr>
          <w:kern w:val="3"/>
          <w:sz w:val="16"/>
          <w:szCs w:val="16"/>
          <w:lang w:val="es-ES" w:eastAsia="es-ES"/>
        </w:rPr>
        <w:t>*significación de la prueba no paramétrica de Kruskal Wallis para muestras independientes.</w:t>
      </w:r>
    </w:p>
    <w:p w14:paraId="5C532CD9" w14:textId="77777777" w:rsidR="00276C5B" w:rsidRPr="00276C5B" w:rsidRDefault="00276C5B" w:rsidP="00276C5B">
      <w:pPr>
        <w:widowControl w:val="0"/>
        <w:suppressAutoHyphens/>
        <w:overflowPunct w:val="0"/>
        <w:autoSpaceDE w:val="0"/>
        <w:autoSpaceDN w:val="0"/>
        <w:spacing w:line="360" w:lineRule="auto"/>
        <w:jc w:val="center"/>
        <w:textAlignment w:val="baseline"/>
        <w:rPr>
          <w:kern w:val="3"/>
          <w:sz w:val="16"/>
          <w:szCs w:val="16"/>
          <w:lang w:val="es-ES" w:eastAsia="es-ES"/>
        </w:rPr>
      </w:pPr>
      <w:r w:rsidRPr="00276C5B">
        <w:rPr>
          <w:kern w:val="3"/>
          <w:sz w:val="16"/>
          <w:szCs w:val="16"/>
          <w:lang w:val="es-ES" w:eastAsia="es-ES"/>
        </w:rPr>
        <w:t>**No se aplican contrastes post hoc al no existir diferencias estadísticamente significativas (p&gt; 0,05).</w:t>
      </w:r>
    </w:p>
    <w:p w14:paraId="5877FBA2" w14:textId="77777777" w:rsidR="00A92470" w:rsidRDefault="00A92470" w:rsidP="00276C5B">
      <w:pPr>
        <w:keepNext/>
        <w:keepLines/>
        <w:widowControl w:val="0"/>
        <w:suppressAutoHyphens/>
        <w:overflowPunct w:val="0"/>
        <w:autoSpaceDE w:val="0"/>
        <w:autoSpaceDN w:val="0"/>
        <w:spacing w:line="360" w:lineRule="auto"/>
        <w:jc w:val="center"/>
        <w:textAlignment w:val="baseline"/>
        <w:outlineLvl w:val="1"/>
        <w:rPr>
          <w:b/>
          <w:kern w:val="3"/>
          <w:sz w:val="22"/>
          <w:szCs w:val="22"/>
          <w:lang w:val="es-ES" w:eastAsia="es-ES"/>
        </w:rPr>
      </w:pPr>
    </w:p>
    <w:p w14:paraId="79D6AD6C" w14:textId="13C71B88"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1"/>
        <w:rPr>
          <w:kern w:val="3"/>
          <w:sz w:val="22"/>
          <w:szCs w:val="22"/>
          <w:lang w:val="es-ES" w:eastAsia="es-ES"/>
        </w:rPr>
      </w:pPr>
      <w:r w:rsidRPr="00276C5B">
        <w:rPr>
          <w:b/>
          <w:kern w:val="3"/>
          <w:sz w:val="22"/>
          <w:szCs w:val="22"/>
          <w:lang w:val="es-ES" w:eastAsia="es-ES"/>
        </w:rPr>
        <w:t>Tabla 4 -</w:t>
      </w:r>
      <w:r w:rsidRPr="00276C5B">
        <w:rPr>
          <w:kern w:val="3"/>
          <w:sz w:val="22"/>
          <w:szCs w:val="22"/>
          <w:lang w:val="es-ES" w:eastAsia="es-ES"/>
        </w:rPr>
        <w:t xml:space="preserve"> Comparación de la variable LF en los trimestres segundo y </w:t>
      </w:r>
    </w:p>
    <w:p w14:paraId="3BC80A76"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1"/>
        <w:rPr>
          <w:kern w:val="3"/>
          <w:sz w:val="22"/>
          <w:szCs w:val="22"/>
          <w:lang w:val="es-ES" w:eastAsia="es-ES"/>
        </w:rPr>
      </w:pPr>
      <w:r w:rsidRPr="00276C5B">
        <w:rPr>
          <w:kern w:val="3"/>
          <w:sz w:val="22"/>
          <w:szCs w:val="22"/>
          <w:lang w:val="es-ES" w:eastAsia="es-ES"/>
        </w:rPr>
        <w:t>tercero según la condición trófica al nacer</w:t>
      </w:r>
    </w:p>
    <w:p w14:paraId="2509E062" w14:textId="28113650" w:rsidR="00A92470" w:rsidRDefault="00A92470" w:rsidP="00276C5B">
      <w:pPr>
        <w:widowControl w:val="0"/>
        <w:suppressAutoHyphens/>
        <w:overflowPunct w:val="0"/>
        <w:autoSpaceDE w:val="0"/>
        <w:autoSpaceDN w:val="0"/>
        <w:spacing w:line="360" w:lineRule="auto"/>
        <w:jc w:val="center"/>
        <w:textAlignment w:val="baseline"/>
        <w:rPr>
          <w:kern w:val="3"/>
          <w:sz w:val="16"/>
          <w:szCs w:val="16"/>
          <w:lang w:val="es-ES" w:eastAsia="es-ES"/>
        </w:rPr>
      </w:pPr>
      <w:r w:rsidRPr="001C0788">
        <w:rPr>
          <w:rFonts w:eastAsia="Calibri"/>
          <w:noProof/>
        </w:rPr>
        <w:drawing>
          <wp:inline distT="0" distB="0" distL="0" distR="0" wp14:anchorId="375D714E" wp14:editId="16D099CD">
            <wp:extent cx="4657725" cy="5667375"/>
            <wp:effectExtent l="0" t="0" r="9525" b="9525"/>
            <wp:docPr id="4" name="Imagen 4" descr="G:\15721\t04_157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5721\t04_15721.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7725" cy="5667375"/>
                    </a:xfrm>
                    <a:prstGeom prst="rect">
                      <a:avLst/>
                    </a:prstGeom>
                    <a:noFill/>
                    <a:ln>
                      <a:noFill/>
                    </a:ln>
                  </pic:spPr>
                </pic:pic>
              </a:graphicData>
            </a:graphic>
          </wp:inline>
        </w:drawing>
      </w:r>
    </w:p>
    <w:p w14:paraId="08A9F290" w14:textId="4EE0E6FA" w:rsidR="00276C5B" w:rsidRPr="00276C5B" w:rsidRDefault="00276C5B" w:rsidP="00276C5B">
      <w:pPr>
        <w:widowControl w:val="0"/>
        <w:suppressAutoHyphens/>
        <w:overflowPunct w:val="0"/>
        <w:autoSpaceDE w:val="0"/>
        <w:autoSpaceDN w:val="0"/>
        <w:spacing w:line="360" w:lineRule="auto"/>
        <w:jc w:val="center"/>
        <w:textAlignment w:val="baseline"/>
        <w:rPr>
          <w:kern w:val="3"/>
          <w:sz w:val="16"/>
          <w:szCs w:val="16"/>
          <w:lang w:val="es-ES" w:eastAsia="es-ES"/>
        </w:rPr>
      </w:pPr>
      <w:r w:rsidRPr="00276C5B">
        <w:rPr>
          <w:kern w:val="3"/>
          <w:sz w:val="16"/>
          <w:szCs w:val="16"/>
          <w:lang w:val="es-ES" w:eastAsia="es-ES"/>
        </w:rPr>
        <w:t>*significación de la prueba no paramétrica de Kruskal Wallis para muestras independientes.</w:t>
      </w:r>
    </w:p>
    <w:p w14:paraId="7ACB22B9" w14:textId="77777777" w:rsidR="00276C5B" w:rsidRPr="00276C5B" w:rsidRDefault="00276C5B" w:rsidP="00276C5B">
      <w:pPr>
        <w:widowControl w:val="0"/>
        <w:suppressAutoHyphens/>
        <w:overflowPunct w:val="0"/>
        <w:autoSpaceDE w:val="0"/>
        <w:autoSpaceDN w:val="0"/>
        <w:spacing w:line="360" w:lineRule="auto"/>
        <w:jc w:val="center"/>
        <w:textAlignment w:val="baseline"/>
        <w:rPr>
          <w:kern w:val="3"/>
          <w:sz w:val="16"/>
          <w:szCs w:val="16"/>
          <w:lang w:val="es-ES" w:eastAsia="es-ES"/>
        </w:rPr>
      </w:pPr>
      <w:r w:rsidRPr="00276C5B">
        <w:rPr>
          <w:kern w:val="3"/>
          <w:sz w:val="16"/>
          <w:szCs w:val="16"/>
          <w:lang w:val="es-ES" w:eastAsia="es-ES"/>
        </w:rPr>
        <w:t>**No se aplican contrastes post hoc al no existir diferencias estadísticamente significativas (p&gt; 0,05).</w:t>
      </w:r>
    </w:p>
    <w:p w14:paraId="5E001E0C" w14:textId="77777777" w:rsidR="00276C5B" w:rsidRPr="00276C5B" w:rsidRDefault="00276C5B" w:rsidP="00276C5B">
      <w:pPr>
        <w:widowControl w:val="0"/>
        <w:suppressAutoHyphens/>
        <w:overflowPunct w:val="0"/>
        <w:autoSpaceDE w:val="0"/>
        <w:autoSpaceDN w:val="0"/>
        <w:spacing w:line="360" w:lineRule="auto"/>
        <w:jc w:val="center"/>
        <w:textAlignment w:val="baseline"/>
        <w:rPr>
          <w:kern w:val="3"/>
          <w:lang w:val="es-ES" w:eastAsia="es-ES"/>
        </w:rPr>
      </w:pPr>
    </w:p>
    <w:p w14:paraId="6A80163E" w14:textId="77777777" w:rsidR="00D44B6B" w:rsidRDefault="00D44B6B">
      <w:pPr>
        <w:rPr>
          <w:b/>
          <w:kern w:val="3"/>
          <w:sz w:val="22"/>
          <w:szCs w:val="22"/>
          <w:lang w:val="es-ES" w:eastAsia="es-ES"/>
        </w:rPr>
      </w:pPr>
      <w:r>
        <w:rPr>
          <w:b/>
          <w:kern w:val="3"/>
          <w:sz w:val="22"/>
          <w:szCs w:val="22"/>
          <w:lang w:val="es-ES" w:eastAsia="es-ES"/>
        </w:rPr>
        <w:br w:type="page"/>
      </w:r>
    </w:p>
    <w:p w14:paraId="39101657" w14:textId="11F120B2"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1"/>
        <w:rPr>
          <w:kern w:val="3"/>
          <w:sz w:val="22"/>
          <w:szCs w:val="22"/>
          <w:lang w:val="es-ES" w:eastAsia="es-ES"/>
        </w:rPr>
      </w:pPr>
      <w:r w:rsidRPr="00276C5B">
        <w:rPr>
          <w:b/>
          <w:kern w:val="3"/>
          <w:sz w:val="22"/>
          <w:szCs w:val="22"/>
          <w:lang w:val="es-ES" w:eastAsia="es-ES"/>
        </w:rPr>
        <w:lastRenderedPageBreak/>
        <w:t xml:space="preserve">Tabla 5 - </w:t>
      </w:r>
      <w:r w:rsidRPr="00276C5B">
        <w:rPr>
          <w:kern w:val="3"/>
          <w:sz w:val="22"/>
          <w:szCs w:val="22"/>
          <w:lang w:val="es-ES" w:eastAsia="es-ES"/>
        </w:rPr>
        <w:t>Distribución de recién nacidos según condición trófica y variables maternas</w:t>
      </w:r>
    </w:p>
    <w:p w14:paraId="1E22A612" w14:textId="3249BA63" w:rsidR="00A92470" w:rsidRDefault="00A92470" w:rsidP="00276C5B">
      <w:pPr>
        <w:widowControl w:val="0"/>
        <w:suppressAutoHyphens/>
        <w:overflowPunct w:val="0"/>
        <w:autoSpaceDE w:val="0"/>
        <w:autoSpaceDN w:val="0"/>
        <w:spacing w:line="360" w:lineRule="auto"/>
        <w:ind w:left="-426" w:hanging="141"/>
        <w:jc w:val="center"/>
        <w:textAlignment w:val="baseline"/>
        <w:rPr>
          <w:rFonts w:eastAsia="Calibri"/>
          <w:sz w:val="16"/>
          <w:szCs w:val="16"/>
          <w:lang w:val="es-ES" w:eastAsia="en-US"/>
        </w:rPr>
      </w:pPr>
      <w:r w:rsidRPr="001C0788">
        <w:rPr>
          <w:b/>
          <w:noProof/>
        </w:rPr>
        <w:drawing>
          <wp:inline distT="0" distB="0" distL="0" distR="0" wp14:anchorId="51802422" wp14:editId="3BF700B9">
            <wp:extent cx="5612130" cy="3519327"/>
            <wp:effectExtent l="0" t="0" r="7620" b="5080"/>
            <wp:docPr id="12" name="Imagen 12" descr="G:\15721\t05_157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721\t05_15721.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3519327"/>
                    </a:xfrm>
                    <a:prstGeom prst="rect">
                      <a:avLst/>
                    </a:prstGeom>
                    <a:noFill/>
                    <a:ln>
                      <a:noFill/>
                    </a:ln>
                  </pic:spPr>
                </pic:pic>
              </a:graphicData>
            </a:graphic>
          </wp:inline>
        </w:drawing>
      </w:r>
    </w:p>
    <w:p w14:paraId="166FCD0A" w14:textId="37ED1A9C" w:rsidR="00276C5B" w:rsidRPr="00276C5B" w:rsidRDefault="00276C5B" w:rsidP="00276C5B">
      <w:pPr>
        <w:widowControl w:val="0"/>
        <w:suppressAutoHyphens/>
        <w:overflowPunct w:val="0"/>
        <w:autoSpaceDE w:val="0"/>
        <w:autoSpaceDN w:val="0"/>
        <w:spacing w:line="360" w:lineRule="auto"/>
        <w:ind w:left="-426" w:hanging="141"/>
        <w:jc w:val="center"/>
        <w:textAlignment w:val="baseline"/>
        <w:rPr>
          <w:rFonts w:eastAsia="Calibri"/>
          <w:sz w:val="16"/>
          <w:szCs w:val="16"/>
          <w:lang w:val="es-ES" w:eastAsia="en-US"/>
        </w:rPr>
      </w:pPr>
      <w:r w:rsidRPr="00276C5B">
        <w:rPr>
          <w:rFonts w:eastAsia="Calibri"/>
          <w:sz w:val="16"/>
          <w:szCs w:val="16"/>
          <w:lang w:val="es-ES" w:eastAsia="en-US"/>
        </w:rPr>
        <w:t>*significación de la prueba de independencia basada en la distribución ji cuadrado para</w:t>
      </w:r>
    </w:p>
    <w:p w14:paraId="5A19AB22" w14:textId="77777777" w:rsidR="00276C5B" w:rsidRPr="00276C5B" w:rsidRDefault="00276C5B" w:rsidP="00276C5B">
      <w:pPr>
        <w:widowControl w:val="0"/>
        <w:suppressAutoHyphens/>
        <w:overflowPunct w:val="0"/>
        <w:autoSpaceDE w:val="0"/>
        <w:autoSpaceDN w:val="0"/>
        <w:spacing w:line="360" w:lineRule="auto"/>
        <w:ind w:left="-426" w:hanging="141"/>
        <w:jc w:val="center"/>
        <w:textAlignment w:val="baseline"/>
        <w:rPr>
          <w:color w:val="000000"/>
          <w:sz w:val="16"/>
          <w:szCs w:val="16"/>
          <w:lang w:val="es-ES" w:eastAsia="es-ES"/>
        </w:rPr>
      </w:pPr>
      <w:r w:rsidRPr="00276C5B">
        <w:rPr>
          <w:rFonts w:eastAsia="Calibri"/>
          <w:sz w:val="16"/>
          <w:szCs w:val="16"/>
          <w:lang w:val="es-ES" w:eastAsia="en-US"/>
        </w:rPr>
        <w:t xml:space="preserve">todas las variables cualitativas acompañado del valor de la </w:t>
      </w:r>
      <w:r w:rsidRPr="00276C5B">
        <w:rPr>
          <w:color w:val="000000"/>
          <w:sz w:val="16"/>
          <w:szCs w:val="16"/>
          <w:lang w:val="es-ES" w:eastAsia="es-ES"/>
        </w:rPr>
        <w:t>V de Cramer.</w:t>
      </w:r>
    </w:p>
    <w:p w14:paraId="25C72187" w14:textId="77777777" w:rsidR="00276C5B" w:rsidRPr="00276C5B" w:rsidRDefault="00276C5B" w:rsidP="00276C5B">
      <w:pPr>
        <w:widowControl w:val="0"/>
        <w:suppressAutoHyphens/>
        <w:overflowPunct w:val="0"/>
        <w:autoSpaceDE w:val="0"/>
        <w:autoSpaceDN w:val="0"/>
        <w:spacing w:line="360" w:lineRule="auto"/>
        <w:ind w:left="-426" w:hanging="141"/>
        <w:textAlignment w:val="baseline"/>
        <w:rPr>
          <w:rFonts w:eastAsia="Calibri"/>
          <w:kern w:val="3"/>
          <w:lang w:val="es-ES" w:eastAsia="es-ES"/>
        </w:rPr>
      </w:pPr>
    </w:p>
    <w:p w14:paraId="635DFA47" w14:textId="2A7159E4"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kern w:val="3"/>
          <w:lang w:val="es-ES" w:eastAsia="es-ES"/>
        </w:rPr>
      </w:pPr>
    </w:p>
    <w:p w14:paraId="27576583"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kern w:val="3"/>
          <w:sz w:val="32"/>
          <w:szCs w:val="32"/>
          <w:lang w:val="es-ES" w:eastAsia="es-ES"/>
        </w:rPr>
      </w:pPr>
      <w:r w:rsidRPr="00276C5B">
        <w:rPr>
          <w:b/>
          <w:kern w:val="3"/>
          <w:sz w:val="32"/>
          <w:szCs w:val="32"/>
          <w:lang w:val="es-ES" w:eastAsia="es-ES"/>
        </w:rPr>
        <w:t>DISCUSIÓN</w:t>
      </w:r>
    </w:p>
    <w:p w14:paraId="5EDE25C2" w14:textId="77777777" w:rsidR="00276C5B" w:rsidRPr="00276C5B" w:rsidRDefault="00276C5B" w:rsidP="00276C5B">
      <w:pPr>
        <w:widowControl w:val="0"/>
        <w:suppressAutoHyphens/>
        <w:overflowPunct w:val="0"/>
        <w:autoSpaceDE w:val="0"/>
        <w:autoSpaceDN w:val="0"/>
        <w:spacing w:line="360" w:lineRule="auto"/>
        <w:jc w:val="both"/>
        <w:textAlignment w:val="baseline"/>
        <w:rPr>
          <w:kern w:val="3"/>
          <w:lang w:val="es-ES" w:eastAsia="es-ES"/>
        </w:rPr>
      </w:pPr>
      <w:r w:rsidRPr="00276C5B">
        <w:rPr>
          <w:kern w:val="3"/>
          <w:lang w:val="es-ES" w:eastAsia="es-ES"/>
        </w:rPr>
        <w:t>Las pruebas de detección de anomalías del crecimiento fetal son componentes esenciales de la atención prenatal, y la ecografía juega un papel clave en la evaluación de estas condiciones a través de la biometría, que constituye la información más confiable e importante sobre crecimiento y bienestar fetal.</w:t>
      </w:r>
      <w:r w:rsidRPr="00276C5B">
        <w:rPr>
          <w:kern w:val="3"/>
          <w:vertAlign w:val="superscript"/>
          <w:lang w:val="es-ES" w:eastAsia="es-ES"/>
        </w:rPr>
        <w:t>(</w:t>
      </w:r>
      <w:r w:rsidRPr="00276C5B">
        <w:rPr>
          <w:noProof/>
          <w:kern w:val="3"/>
          <w:vertAlign w:val="superscript"/>
          <w:lang w:val="es-ES" w:eastAsia="es-ES"/>
        </w:rPr>
        <w:t>12)</w:t>
      </w:r>
    </w:p>
    <w:p w14:paraId="0B5B7525" w14:textId="77777777" w:rsidR="00276C5B" w:rsidRPr="00276C5B" w:rsidRDefault="00276C5B" w:rsidP="00276C5B">
      <w:pPr>
        <w:widowControl w:val="0"/>
        <w:suppressAutoHyphens/>
        <w:overflowPunct w:val="0"/>
        <w:autoSpaceDE w:val="0"/>
        <w:autoSpaceDN w:val="0"/>
        <w:spacing w:line="360" w:lineRule="auto"/>
        <w:jc w:val="both"/>
        <w:textAlignment w:val="baseline"/>
        <w:rPr>
          <w:kern w:val="3"/>
          <w:lang w:val="es-ES" w:eastAsia="es-ES"/>
        </w:rPr>
      </w:pPr>
      <w:r w:rsidRPr="00276C5B">
        <w:rPr>
          <w:i/>
          <w:iCs/>
          <w:kern w:val="3"/>
          <w:lang w:val="es-ES" w:eastAsia="es-ES"/>
        </w:rPr>
        <w:t xml:space="preserve">Carmona </w:t>
      </w:r>
      <w:r w:rsidRPr="00276C5B">
        <w:rPr>
          <w:i/>
          <w:iCs/>
          <w:color w:val="000000"/>
          <w:kern w:val="3"/>
          <w:lang w:val="es-ES" w:eastAsia="es-ES"/>
        </w:rPr>
        <w:t>Pertuz Vetal</w:t>
      </w:r>
      <w:r w:rsidRPr="00276C5B">
        <w:rPr>
          <w:color w:val="000000"/>
          <w:kern w:val="3"/>
          <w:lang w:val="es-ES" w:eastAsia="es-ES"/>
        </w:rPr>
        <w:t xml:space="preserve"> y otros,</w:t>
      </w:r>
      <w:r w:rsidRPr="00276C5B">
        <w:rPr>
          <w:color w:val="000000"/>
          <w:kern w:val="3"/>
          <w:vertAlign w:val="superscript"/>
          <w:lang w:val="es-ES" w:eastAsia="es-ES"/>
        </w:rPr>
        <w:t>(</w:t>
      </w:r>
      <w:r w:rsidRPr="00276C5B">
        <w:rPr>
          <w:noProof/>
          <w:color w:val="000000"/>
          <w:kern w:val="3"/>
          <w:vertAlign w:val="superscript"/>
          <w:lang w:val="es-ES" w:eastAsia="es-ES"/>
        </w:rPr>
        <w:t>13)</w:t>
      </w:r>
      <w:r w:rsidRPr="00276C5B">
        <w:rPr>
          <w:kern w:val="3"/>
          <w:lang w:val="es-ES" w:eastAsia="es-ES"/>
        </w:rPr>
        <w:t xml:space="preserve"> proponen nuevos percentiles para las biometrías fetales primarias</w:t>
      </w:r>
      <w:r w:rsidRPr="00276C5B">
        <w:rPr>
          <w:color w:val="000000"/>
          <w:kern w:val="3"/>
          <w:lang w:val="es-ES" w:eastAsia="es-ES"/>
        </w:rPr>
        <w:t>, las que se corresponden a la distribución de Hadlock. Sin embargo, la población de Carmona es más heterogénea, representativa de la totalidad de las regiones del país y con la consideración del componente mestizo, en tanto que el estudio de Hadlock se basa en pacientes caucásicas del área de Houston, Texas.</w:t>
      </w:r>
    </w:p>
    <w:p w14:paraId="4EA9D4F9" w14:textId="77777777" w:rsidR="00276C5B" w:rsidRPr="00276C5B" w:rsidRDefault="00276C5B" w:rsidP="00276C5B">
      <w:pPr>
        <w:widowControl w:val="0"/>
        <w:suppressAutoHyphens/>
        <w:overflowPunct w:val="0"/>
        <w:autoSpaceDE w:val="0"/>
        <w:autoSpaceDN w:val="0"/>
        <w:spacing w:line="360" w:lineRule="auto"/>
        <w:jc w:val="both"/>
        <w:textAlignment w:val="baseline"/>
        <w:rPr>
          <w:kern w:val="3"/>
          <w:lang w:val="es-ES" w:eastAsia="es-ES"/>
        </w:rPr>
      </w:pPr>
      <w:r w:rsidRPr="00276C5B">
        <w:rPr>
          <w:i/>
          <w:iCs/>
          <w:kern w:val="3"/>
          <w:lang w:val="es-ES" w:eastAsia="es-ES"/>
        </w:rPr>
        <w:t>Savirón-Cornudella</w:t>
      </w:r>
      <w:r w:rsidRPr="00276C5B">
        <w:rPr>
          <w:color w:val="000000"/>
          <w:kern w:val="3"/>
          <w:lang w:val="es-ES" w:eastAsia="es-ES"/>
        </w:rPr>
        <w:t xml:space="preserve"> y otros,</w:t>
      </w:r>
      <w:r w:rsidRPr="00276C5B">
        <w:rPr>
          <w:color w:val="000000"/>
          <w:kern w:val="3"/>
          <w:vertAlign w:val="superscript"/>
          <w:lang w:val="es-ES" w:eastAsia="es-ES"/>
        </w:rPr>
        <w:t>(</w:t>
      </w:r>
      <w:r w:rsidRPr="00276C5B">
        <w:rPr>
          <w:noProof/>
          <w:color w:val="000000"/>
          <w:kern w:val="3"/>
          <w:vertAlign w:val="superscript"/>
          <w:lang w:val="es-ES" w:eastAsia="es-ES"/>
        </w:rPr>
        <w:t>14)</w:t>
      </w:r>
      <w:r w:rsidRPr="00276C5B">
        <w:rPr>
          <w:kern w:val="3"/>
          <w:lang w:val="es-ES" w:eastAsia="es-ES"/>
        </w:rPr>
        <w:t xml:space="preserve"> refieren a que la evaluación rutinaria de estos parámetros biométricos durante la evaluación del segundo trimestre podrá aumentar las tasas de diagnóstico precoz de PEG y </w:t>
      </w:r>
      <w:r w:rsidRPr="00276C5B">
        <w:rPr>
          <w:kern w:val="3"/>
          <w:lang w:val="es-ES" w:eastAsia="es-ES"/>
        </w:rPr>
        <w:lastRenderedPageBreak/>
        <w:t>desencadenar acciones para su tratamiento. En su estudio en el segundo trimestre de la gestación describe valores de mediana para la CA (150 mm) en el grupo de PEG inferiores a los encontrados en el presente estudio, donde todas las medianas de las variables biométricas estudiadas van en incremento con relación a la condición trófica y la edad gestacional.</w:t>
      </w:r>
    </w:p>
    <w:p w14:paraId="645C27B3" w14:textId="77777777" w:rsidR="00276C5B" w:rsidRPr="00276C5B" w:rsidRDefault="00276C5B" w:rsidP="00276C5B">
      <w:pPr>
        <w:widowControl w:val="0"/>
        <w:suppressAutoHyphens/>
        <w:overflowPunct w:val="0"/>
        <w:autoSpaceDE w:val="0"/>
        <w:autoSpaceDN w:val="0"/>
        <w:adjustRightInd w:val="0"/>
        <w:spacing w:line="360" w:lineRule="auto"/>
        <w:jc w:val="both"/>
        <w:textAlignment w:val="baseline"/>
        <w:rPr>
          <w:kern w:val="3"/>
          <w:lang w:val="es-ES" w:eastAsia="es-ES"/>
        </w:rPr>
      </w:pPr>
      <w:r w:rsidRPr="00276C5B">
        <w:rPr>
          <w:rFonts w:eastAsia="Calibri"/>
          <w:i/>
          <w:iCs/>
          <w:lang w:val="es-ES" w:eastAsia="en-US"/>
        </w:rPr>
        <w:t>Blue NR</w:t>
      </w:r>
      <w:r w:rsidRPr="00276C5B">
        <w:rPr>
          <w:rFonts w:eastAsia="Calibri"/>
          <w:lang w:val="es-ES" w:eastAsia="en-US"/>
        </w:rPr>
        <w:t xml:space="preserve"> y otros,</w:t>
      </w:r>
      <w:r w:rsidRPr="00276C5B">
        <w:rPr>
          <w:kern w:val="3"/>
          <w:vertAlign w:val="superscript"/>
          <w:lang w:val="es-ES" w:eastAsia="es-ES"/>
        </w:rPr>
        <w:t>(</w:t>
      </w:r>
      <w:r w:rsidRPr="00276C5B">
        <w:rPr>
          <w:noProof/>
          <w:kern w:val="3"/>
          <w:vertAlign w:val="superscript"/>
          <w:lang w:val="es-ES" w:eastAsia="es-ES"/>
        </w:rPr>
        <w:t>15)</w:t>
      </w:r>
      <w:r w:rsidRPr="00276C5B">
        <w:rPr>
          <w:kern w:val="3"/>
          <w:lang w:val="es-ES" w:eastAsia="es-ES"/>
        </w:rPr>
        <w:t xml:space="preserve"> coinciden en mostrar la capacidad discriminatoria de las biometrías fetales y sobre todo el peso fetal estimado (PFE) para las desviaciones de la condición trófica en momentos avanzados de la gestación, incluso 3 o 7 días antes del parto cuando comparan el peso fetal estimado y el peso al nacer. </w:t>
      </w:r>
    </w:p>
    <w:p w14:paraId="3E6BF6AA" w14:textId="77777777" w:rsidR="00276C5B" w:rsidRPr="00276C5B" w:rsidRDefault="00276C5B" w:rsidP="00276C5B">
      <w:pPr>
        <w:widowControl w:val="0"/>
        <w:suppressAutoHyphens/>
        <w:overflowPunct w:val="0"/>
        <w:autoSpaceDE w:val="0"/>
        <w:autoSpaceDN w:val="0"/>
        <w:adjustRightInd w:val="0"/>
        <w:spacing w:line="360" w:lineRule="auto"/>
        <w:jc w:val="both"/>
        <w:textAlignment w:val="baseline"/>
        <w:rPr>
          <w:color w:val="000000"/>
          <w:kern w:val="3"/>
          <w:lang w:val="es-ES" w:eastAsia="es-ES"/>
        </w:rPr>
      </w:pPr>
      <w:r w:rsidRPr="00276C5B">
        <w:rPr>
          <w:color w:val="000000"/>
          <w:kern w:val="3"/>
          <w:lang w:val="es-ES" w:eastAsia="es-ES"/>
        </w:rPr>
        <w:t>Otros autores plantean que el método de trayectoria del crecimiento, basado en las valoraciones repetidas de PFE en los últimos 2 trimestres de gestación, resulta ventajoso y puede resultar en una herramienta más coherente y sistemática, comparada con los percentiles de crecimiento fetales basados en un solo punto en la gestación.</w:t>
      </w:r>
      <w:r w:rsidRPr="00276C5B">
        <w:rPr>
          <w:color w:val="000000"/>
          <w:kern w:val="3"/>
          <w:vertAlign w:val="superscript"/>
          <w:lang w:val="es-ES" w:eastAsia="es-ES"/>
        </w:rPr>
        <w:t>(</w:t>
      </w:r>
      <w:r w:rsidRPr="00276C5B">
        <w:rPr>
          <w:noProof/>
          <w:color w:val="000000"/>
          <w:kern w:val="3"/>
          <w:vertAlign w:val="superscript"/>
          <w:lang w:val="es-ES" w:eastAsia="es-ES"/>
        </w:rPr>
        <w:t>16)</w:t>
      </w:r>
    </w:p>
    <w:p w14:paraId="4EE29C2B" w14:textId="77777777" w:rsidR="00276C5B" w:rsidRPr="00276C5B" w:rsidRDefault="00276C5B" w:rsidP="00276C5B">
      <w:pPr>
        <w:widowControl w:val="0"/>
        <w:suppressAutoHyphens/>
        <w:overflowPunct w:val="0"/>
        <w:autoSpaceDE w:val="0"/>
        <w:autoSpaceDN w:val="0"/>
        <w:spacing w:line="360" w:lineRule="auto"/>
        <w:jc w:val="both"/>
        <w:textAlignment w:val="baseline"/>
        <w:rPr>
          <w:kern w:val="3"/>
          <w:lang w:val="es-ES" w:eastAsia="es-ES"/>
        </w:rPr>
      </w:pPr>
      <w:r w:rsidRPr="00276C5B">
        <w:rPr>
          <w:kern w:val="3"/>
          <w:lang w:val="es-ES" w:eastAsia="es-ES"/>
        </w:rPr>
        <w:t xml:space="preserve">Es criterio de los autores que estos resultados obtenidos en este estudio, son necesarios e importantes, ya que revelan que las tablas de referencia usadas hasta el momento en el país, podrían no ser la herramienta ideal para el diagnóstico oportuno de los nacimientos pequeños y grandes para la edad gestacional. </w:t>
      </w:r>
    </w:p>
    <w:p w14:paraId="668DF13D" w14:textId="77777777" w:rsidR="00276C5B" w:rsidRPr="00276C5B" w:rsidRDefault="00276C5B" w:rsidP="00276C5B">
      <w:pPr>
        <w:widowControl w:val="0"/>
        <w:suppressAutoHyphens/>
        <w:overflowPunct w:val="0"/>
        <w:autoSpaceDE w:val="0"/>
        <w:autoSpaceDN w:val="0"/>
        <w:adjustRightInd w:val="0"/>
        <w:spacing w:line="360" w:lineRule="auto"/>
        <w:jc w:val="both"/>
        <w:textAlignment w:val="baseline"/>
        <w:rPr>
          <w:kern w:val="3"/>
          <w:lang w:val="es-ES" w:eastAsia="es-ES"/>
        </w:rPr>
      </w:pPr>
      <w:r w:rsidRPr="00276C5B">
        <w:rPr>
          <w:color w:val="000000"/>
          <w:kern w:val="3"/>
          <w:lang w:val="es-ES" w:eastAsia="es-ES"/>
        </w:rPr>
        <w:t>En diversos trabajos se han divulgado la influencia de los factores maternos sobre el crecimiento fetal durante el primer trimestre, los que se han visto relacionados con una diferencia grande para la edad gestacional.</w:t>
      </w:r>
      <w:r w:rsidRPr="00276C5B">
        <w:rPr>
          <w:color w:val="000000"/>
          <w:kern w:val="3"/>
          <w:vertAlign w:val="superscript"/>
          <w:lang w:val="es-ES" w:eastAsia="es-ES"/>
        </w:rPr>
        <w:t>(</w:t>
      </w:r>
      <w:r w:rsidRPr="00276C5B">
        <w:rPr>
          <w:noProof/>
          <w:color w:val="000000"/>
          <w:kern w:val="3"/>
          <w:vertAlign w:val="superscript"/>
          <w:lang w:val="es-ES" w:eastAsia="es-ES"/>
        </w:rPr>
        <w:t>17)</w:t>
      </w:r>
    </w:p>
    <w:p w14:paraId="6E6CA645" w14:textId="49B62F36" w:rsidR="00276C5B" w:rsidRPr="00276C5B" w:rsidRDefault="00276C5B" w:rsidP="00276C5B">
      <w:pPr>
        <w:widowControl w:val="0"/>
        <w:suppressAutoHyphens/>
        <w:overflowPunct w:val="0"/>
        <w:autoSpaceDE w:val="0"/>
        <w:autoSpaceDN w:val="0"/>
        <w:adjustRightInd w:val="0"/>
        <w:spacing w:line="360" w:lineRule="auto"/>
        <w:jc w:val="both"/>
        <w:textAlignment w:val="baseline"/>
        <w:rPr>
          <w:kern w:val="3"/>
          <w:lang w:val="es-ES" w:eastAsia="es-ES"/>
        </w:rPr>
      </w:pPr>
      <w:r w:rsidRPr="00276C5B">
        <w:rPr>
          <w:i/>
          <w:iCs/>
          <w:color w:val="000000"/>
          <w:kern w:val="3"/>
          <w:lang w:val="es-ES" w:eastAsia="es-ES"/>
        </w:rPr>
        <w:t>González EA</w:t>
      </w:r>
      <w:r w:rsidRPr="00276C5B">
        <w:rPr>
          <w:color w:val="000000"/>
          <w:kern w:val="3"/>
          <w:lang w:val="es-ES" w:eastAsia="es-ES"/>
        </w:rPr>
        <w:t xml:space="preserve"> y otros,</w:t>
      </w:r>
      <w:r w:rsidRPr="00276C5B">
        <w:rPr>
          <w:kern w:val="3"/>
          <w:vertAlign w:val="superscript"/>
          <w:lang w:val="es-ES" w:eastAsia="es-ES"/>
        </w:rPr>
        <w:t>(</w:t>
      </w:r>
      <w:r w:rsidRPr="00276C5B">
        <w:rPr>
          <w:noProof/>
          <w:kern w:val="3"/>
          <w:vertAlign w:val="superscript"/>
          <w:lang w:val="es-ES" w:eastAsia="es-ES"/>
        </w:rPr>
        <w:t>5)</w:t>
      </w:r>
      <w:r w:rsidRPr="00276C5B">
        <w:rPr>
          <w:color w:val="000000"/>
          <w:kern w:val="3"/>
          <w:lang w:val="es-ES" w:eastAsia="es-ES"/>
        </w:rPr>
        <w:t xml:space="preserve"> en estudio realizado en el municipio de Santa Clara, la glucemia de riesgo de DG aparece en porcentajes superiores en recién nacidos grandes frente a en los pequeños; y aunque solo 2 niños nacen de madres con diabetes gestacional, representa el 1,9 %, en esta condición y en los nacidos grandes se presenta en un 1,2 %. Los trastornos hipertensivos durante la gestación se presentan en el 12,4</w:t>
      </w:r>
      <w:r w:rsidR="00B60D33">
        <w:rPr>
          <w:color w:val="000000"/>
          <w:kern w:val="3"/>
          <w:lang w:val="es-ES" w:eastAsia="es-ES"/>
        </w:rPr>
        <w:t> </w:t>
      </w:r>
      <w:r w:rsidRPr="00276C5B">
        <w:rPr>
          <w:color w:val="000000"/>
          <w:kern w:val="3"/>
          <w:lang w:val="es-ES" w:eastAsia="es-ES"/>
        </w:rPr>
        <w:t>% y la anemia en un 10,5 %, la sepsis vaginal y el hábito de fumar también muestran mayores porcientos en los nacidos pequeños, frente a porcientos menores en los nacidos grandes. Todas estas variables maternas muestran una asociación estadísticamente significativa con la condición trófica al nacer. Los resultados obtenidos en la presente investigación coinciden con lo reportado por estos autores.</w:t>
      </w:r>
    </w:p>
    <w:p w14:paraId="5933A199" w14:textId="77777777" w:rsidR="00276C5B" w:rsidRPr="00276C5B" w:rsidRDefault="00276C5B" w:rsidP="00276C5B">
      <w:pPr>
        <w:widowControl w:val="0"/>
        <w:suppressAutoHyphens/>
        <w:overflowPunct w:val="0"/>
        <w:autoSpaceDE w:val="0"/>
        <w:autoSpaceDN w:val="0"/>
        <w:adjustRightInd w:val="0"/>
        <w:spacing w:line="360" w:lineRule="auto"/>
        <w:jc w:val="both"/>
        <w:textAlignment w:val="baseline"/>
        <w:rPr>
          <w:color w:val="000000"/>
          <w:kern w:val="3"/>
          <w:lang w:val="es-ES" w:eastAsia="es-ES"/>
        </w:rPr>
      </w:pPr>
      <w:r w:rsidRPr="00276C5B">
        <w:rPr>
          <w:color w:val="000000"/>
          <w:kern w:val="3"/>
          <w:lang w:val="es-ES" w:eastAsia="es-ES"/>
        </w:rPr>
        <w:t xml:space="preserve">En estudio reciente sobre las ganancias de peso trimestrales en el embarazo, se declara que el patrón de ganancia de peso está relacionado con el índice de masa corporal pregestacional y que la media de </w:t>
      </w:r>
      <w:r w:rsidRPr="00276C5B">
        <w:rPr>
          <w:color w:val="000000"/>
          <w:kern w:val="3"/>
          <w:lang w:val="es-ES" w:eastAsia="es-ES"/>
        </w:rPr>
        <w:lastRenderedPageBreak/>
        <w:t>ganancia semanal es generalmente mayor en el segundo trimestre.</w:t>
      </w:r>
      <w:r w:rsidRPr="00276C5B">
        <w:rPr>
          <w:color w:val="000000"/>
          <w:kern w:val="3"/>
          <w:vertAlign w:val="superscript"/>
          <w:lang w:val="es-ES" w:eastAsia="es-ES"/>
        </w:rPr>
        <w:t>(</w:t>
      </w:r>
      <w:r w:rsidRPr="00276C5B">
        <w:rPr>
          <w:noProof/>
          <w:color w:val="000000"/>
          <w:kern w:val="3"/>
          <w:vertAlign w:val="superscript"/>
          <w:lang w:val="es-ES" w:eastAsia="es-ES"/>
        </w:rPr>
        <w:t>18)</w:t>
      </w:r>
    </w:p>
    <w:p w14:paraId="2CCB403A" w14:textId="77777777" w:rsidR="00276C5B" w:rsidRPr="00276C5B" w:rsidRDefault="00276C5B" w:rsidP="00276C5B">
      <w:pPr>
        <w:widowControl w:val="0"/>
        <w:suppressAutoHyphens/>
        <w:overflowPunct w:val="0"/>
        <w:autoSpaceDE w:val="0"/>
        <w:autoSpaceDN w:val="0"/>
        <w:spacing w:line="360" w:lineRule="auto"/>
        <w:jc w:val="both"/>
        <w:textAlignment w:val="baseline"/>
        <w:rPr>
          <w:kern w:val="3"/>
          <w:lang w:val="es-ES" w:eastAsia="es-ES"/>
        </w:rPr>
      </w:pPr>
      <w:r w:rsidRPr="00276C5B">
        <w:rPr>
          <w:color w:val="000000"/>
          <w:kern w:val="3"/>
          <w:lang w:val="es-ES" w:eastAsia="es-ES"/>
        </w:rPr>
        <w:t>Las mediciones biométricas y las fórmulas de estimación del peso fetal pueden advertir, desde etapas tempranas en la gestación, las desviaciones del crecimiento fetal y la condición trófica al nacer.</w:t>
      </w:r>
    </w:p>
    <w:p w14:paraId="0C6BBC27"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r w:rsidRPr="00276C5B">
        <w:rPr>
          <w:color w:val="000000"/>
          <w:kern w:val="3"/>
          <w:lang w:val="es-ES" w:eastAsia="es-ES"/>
        </w:rPr>
        <w:t>Las variables maternas se relacionaron con la condición trófica del recién nacido, la mayor fuerza de asociación con esta la mostraron en el estado nutricional materno y la diabetes gestacional.</w:t>
      </w:r>
    </w:p>
    <w:p w14:paraId="1C1DD7CC" w14:textId="77777777" w:rsidR="00276C5B" w:rsidRPr="00276C5B" w:rsidRDefault="00276C5B" w:rsidP="00276C5B">
      <w:pPr>
        <w:widowControl w:val="0"/>
        <w:suppressAutoHyphens/>
        <w:overflowPunct w:val="0"/>
        <w:autoSpaceDE w:val="0"/>
        <w:autoSpaceDN w:val="0"/>
        <w:spacing w:line="360" w:lineRule="auto"/>
        <w:jc w:val="both"/>
        <w:textAlignment w:val="baseline"/>
        <w:rPr>
          <w:color w:val="000000"/>
          <w:kern w:val="3"/>
          <w:lang w:val="es-ES" w:eastAsia="es-ES"/>
        </w:rPr>
      </w:pPr>
    </w:p>
    <w:p w14:paraId="3FEC665B" w14:textId="77777777" w:rsidR="00276C5B" w:rsidRPr="00276C5B" w:rsidRDefault="00276C5B" w:rsidP="00276C5B">
      <w:pPr>
        <w:widowControl w:val="0"/>
        <w:suppressAutoHyphens/>
        <w:overflowPunct w:val="0"/>
        <w:autoSpaceDE w:val="0"/>
        <w:autoSpaceDN w:val="0"/>
        <w:spacing w:line="360" w:lineRule="auto"/>
        <w:jc w:val="both"/>
        <w:textAlignment w:val="baseline"/>
        <w:rPr>
          <w:b/>
          <w:bCs/>
          <w:kern w:val="3"/>
          <w:lang w:val="es-ES" w:eastAsia="es-ES"/>
        </w:rPr>
      </w:pPr>
    </w:p>
    <w:p w14:paraId="6B1F8234"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color w:val="000000"/>
          <w:kern w:val="3"/>
          <w:sz w:val="32"/>
          <w:szCs w:val="32"/>
          <w:lang w:val="es-ES" w:eastAsia="es-ES"/>
        </w:rPr>
      </w:pPr>
      <w:r w:rsidRPr="00276C5B">
        <w:rPr>
          <w:b/>
          <w:kern w:val="3"/>
          <w:sz w:val="32"/>
          <w:szCs w:val="32"/>
          <w:lang w:val="es-ES" w:eastAsia="es-ES"/>
        </w:rPr>
        <w:t>REFERENCIAS BIBLIOGRÁFICAS</w:t>
      </w:r>
    </w:p>
    <w:p w14:paraId="32D2FA3B"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bookmarkStart w:id="0" w:name="_ENREF_1"/>
      <w:r w:rsidRPr="00276C5B">
        <w:rPr>
          <w:noProof/>
          <w:kern w:val="3"/>
          <w:lang w:val="es-ES" w:eastAsia="es-ES"/>
        </w:rPr>
        <w:t>1. Carrera MF, Ochoa RIA, Izquierdo PV, Cordero SP. Bajo peso al nacer: Factores asociados a la madre. Revista Científica y Tecnológica UPSE. 2020 [</w:t>
      </w:r>
      <w:r w:rsidRPr="00276C5B">
        <w:rPr>
          <w:kern w:val="3"/>
          <w:lang w:val="es-ES" w:eastAsia="es-ES"/>
        </w:rPr>
        <w:t>acceso: 29/06/</w:t>
      </w:r>
      <w:r w:rsidRPr="00276C5B">
        <w:rPr>
          <w:noProof/>
          <w:kern w:val="3"/>
          <w:lang w:val="es-ES" w:eastAsia="es-ES"/>
        </w:rPr>
        <w:t xml:space="preserve">2022]; 7(2):2-6. Disponible en: </w:t>
      </w:r>
      <w:hyperlink r:id="rId18" w:history="1">
        <w:r w:rsidRPr="00276C5B">
          <w:rPr>
            <w:noProof/>
            <w:color w:val="0563C1"/>
            <w:kern w:val="3"/>
            <w:lang w:val="es-ES" w:eastAsia="es-ES"/>
          </w:rPr>
          <w:t>https://incyt.upse.edu.ec/ciencia/revistas/index.php/rctu/article/view/527</w:t>
        </w:r>
      </w:hyperlink>
      <w:bookmarkEnd w:id="0"/>
    </w:p>
    <w:p w14:paraId="62D66E4A"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bookmarkStart w:id="1" w:name="_ENREF_2"/>
      <w:r w:rsidRPr="00276C5B">
        <w:rPr>
          <w:noProof/>
          <w:kern w:val="3"/>
          <w:lang w:val="es-ES" w:eastAsia="es-ES"/>
        </w:rPr>
        <w:t xml:space="preserve">2. </w:t>
      </w:r>
      <w:r w:rsidRPr="00276C5B">
        <w:rPr>
          <w:lang w:val="es-ES" w:eastAsia="es-ES"/>
        </w:rPr>
        <w:t>Álvarez Guerra-González E</w:t>
      </w:r>
      <w:r w:rsidRPr="00276C5B">
        <w:rPr>
          <w:noProof/>
          <w:kern w:val="3"/>
          <w:lang w:val="es-ES" w:eastAsia="es-ES"/>
        </w:rPr>
        <w:t>,</w:t>
      </w:r>
      <w:r w:rsidRPr="00276C5B">
        <w:rPr>
          <w:lang w:val="es-ES" w:eastAsia="es-ES"/>
        </w:rPr>
        <w:t xml:space="preserve"> Sarasa-Muñoz N</w:t>
      </w:r>
      <w:r w:rsidRPr="00276C5B">
        <w:rPr>
          <w:noProof/>
          <w:kern w:val="3"/>
          <w:lang w:val="es-ES" w:eastAsia="es-ES"/>
        </w:rPr>
        <w:t>, Cañizares Luna O, Ramírez Mesa C, Orozco Muñoz C, Artiles Santana A. Biometría fetal: capacidad predictiva para los nacimientos pequeños según su edad gestacional. Medicentro Electrónica. 2017 [</w:t>
      </w:r>
      <w:r w:rsidRPr="00276C5B">
        <w:rPr>
          <w:kern w:val="3"/>
          <w:lang w:val="es-ES" w:eastAsia="es-ES"/>
        </w:rPr>
        <w:t xml:space="preserve">acceso: </w:t>
      </w:r>
      <w:r w:rsidRPr="00276C5B">
        <w:rPr>
          <w:noProof/>
          <w:kern w:val="3"/>
          <w:lang w:val="es-ES" w:eastAsia="es-ES"/>
        </w:rPr>
        <w:t xml:space="preserve">20/02/ 2022];21(2):112-117. Disponible en: </w:t>
      </w:r>
      <w:hyperlink r:id="rId19" w:history="1">
        <w:r w:rsidRPr="00276C5B">
          <w:rPr>
            <w:noProof/>
            <w:color w:val="0563C1"/>
            <w:kern w:val="3"/>
            <w:lang w:val="es-ES" w:eastAsia="es-ES"/>
          </w:rPr>
          <w:t>http://www.medicentro.sld.cu/index.php/medicentro/article/view/2142</w:t>
        </w:r>
      </w:hyperlink>
      <w:bookmarkEnd w:id="1"/>
    </w:p>
    <w:p w14:paraId="57520A50"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bookmarkStart w:id="2" w:name="_ENREF_3"/>
      <w:r w:rsidRPr="00276C5B">
        <w:rPr>
          <w:noProof/>
          <w:kern w:val="3"/>
          <w:lang w:val="es-ES" w:eastAsia="es-ES"/>
        </w:rPr>
        <w:t>3. Álvarez-Guerra González E, Hernández Díaz D, Sarasa Muñoz NL, Barreto Fiu EE, Limas Pérez Y, Cañizares Luna O. Biometría fetal: capacidad predictiva para los nacimientos grandes para la edad gestacional. Revista Archivo Médico de Camagüey. 2017 [</w:t>
      </w:r>
      <w:r w:rsidRPr="00276C5B">
        <w:rPr>
          <w:kern w:val="3"/>
          <w:lang w:val="es-ES" w:eastAsia="es-ES"/>
        </w:rPr>
        <w:t xml:space="preserve">acceso: </w:t>
      </w:r>
      <w:r w:rsidRPr="00276C5B">
        <w:rPr>
          <w:noProof/>
          <w:kern w:val="3"/>
          <w:lang w:val="es-ES" w:eastAsia="es-ES"/>
        </w:rPr>
        <w:t xml:space="preserve">20/02/2022]; 21(6):695-702. Disponible en: </w:t>
      </w:r>
      <w:hyperlink r:id="rId20" w:history="1">
        <w:r w:rsidRPr="00276C5B">
          <w:rPr>
            <w:noProof/>
            <w:color w:val="0563C1"/>
            <w:kern w:val="3"/>
            <w:lang w:val="es-ES" w:eastAsia="es-ES"/>
          </w:rPr>
          <w:t>http://scielo.sld.cu/scielo.php?script=sci_arttext&amp;pid=S1025-02552017000600003</w:t>
        </w:r>
      </w:hyperlink>
      <w:bookmarkEnd w:id="2"/>
    </w:p>
    <w:p w14:paraId="01627B74"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bookmarkStart w:id="3" w:name="_ENREF_4"/>
      <w:r w:rsidRPr="00276C5B">
        <w:rPr>
          <w:noProof/>
          <w:kern w:val="3"/>
          <w:lang w:val="es-ES" w:eastAsia="es-ES"/>
        </w:rPr>
        <w:t xml:space="preserve">4. Borrego Gutierrez D, </w:t>
      </w:r>
      <w:r w:rsidRPr="00276C5B">
        <w:rPr>
          <w:lang w:val="es-ES" w:eastAsia="es-ES"/>
        </w:rPr>
        <w:t>Álvarez Guerra-González E</w:t>
      </w:r>
      <w:r w:rsidRPr="00276C5B">
        <w:rPr>
          <w:noProof/>
          <w:kern w:val="3"/>
          <w:lang w:val="es-ES" w:eastAsia="es-ES"/>
        </w:rPr>
        <w:t>,</w:t>
      </w:r>
      <w:r w:rsidRPr="00276C5B">
        <w:rPr>
          <w:lang w:val="es-ES" w:eastAsia="es-ES"/>
        </w:rPr>
        <w:t xml:space="preserve"> Sarasa-Muñoz N</w:t>
      </w:r>
      <w:r w:rsidRPr="00276C5B">
        <w:rPr>
          <w:noProof/>
          <w:kern w:val="3"/>
          <w:lang w:val="es-ES" w:eastAsia="es-ES"/>
        </w:rPr>
        <w:t>, Vazquez Rivero D, Diaz Gattorno C, Silverio Ruiz L. Referencias locales de valores de variables biométricas fetales por trimestre de gestación. Medicentro Electrónica. 2022 [</w:t>
      </w:r>
      <w:r w:rsidRPr="00276C5B">
        <w:rPr>
          <w:kern w:val="3"/>
          <w:lang w:val="es-ES" w:eastAsia="es-ES"/>
        </w:rPr>
        <w:t xml:space="preserve">acceso: </w:t>
      </w:r>
      <w:r w:rsidRPr="00276C5B">
        <w:rPr>
          <w:noProof/>
          <w:kern w:val="3"/>
          <w:lang w:val="es-ES" w:eastAsia="es-ES"/>
        </w:rPr>
        <w:t xml:space="preserve">20/06/2022]; 26(2):273-285. Disponible en: </w:t>
      </w:r>
      <w:hyperlink r:id="rId21" w:history="1">
        <w:r w:rsidRPr="00276C5B">
          <w:rPr>
            <w:noProof/>
            <w:color w:val="0563C1"/>
            <w:kern w:val="3"/>
            <w:lang w:val="es-ES" w:eastAsia="es-ES"/>
          </w:rPr>
          <w:t>http://medicentro.sld.cu/index.php/medicentro/article/view/3467</w:t>
        </w:r>
      </w:hyperlink>
      <w:bookmarkEnd w:id="3"/>
    </w:p>
    <w:p w14:paraId="3A26C332"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bookmarkStart w:id="4" w:name="_ENREF_5"/>
      <w:r w:rsidRPr="00276C5B">
        <w:rPr>
          <w:noProof/>
          <w:kern w:val="3"/>
          <w:lang w:val="es-ES" w:eastAsia="es-ES"/>
        </w:rPr>
        <w:t>5. Álvarez-Guerra González E,</w:t>
      </w:r>
      <w:r w:rsidRPr="00276C5B">
        <w:rPr>
          <w:lang w:val="es-ES" w:eastAsia="es-ES"/>
        </w:rPr>
        <w:t xml:space="preserve"> Sarasa-Muñoz N</w:t>
      </w:r>
      <w:r w:rsidRPr="00276C5B">
        <w:rPr>
          <w:noProof/>
          <w:kern w:val="3"/>
          <w:lang w:val="es-ES" w:eastAsia="es-ES"/>
        </w:rPr>
        <w:t>, Cañizares Luna O, Ramírez Mesa C, Orozco Muñoz C, Artiles Santana A. Variables maternas relacionadas con la condición trófica al nacer. Medicentro Electrónica. 2022 [</w:t>
      </w:r>
      <w:r w:rsidRPr="00276C5B">
        <w:rPr>
          <w:kern w:val="3"/>
          <w:lang w:val="es-ES" w:eastAsia="es-ES"/>
        </w:rPr>
        <w:t xml:space="preserve">acceso: </w:t>
      </w:r>
      <w:r w:rsidRPr="00276C5B">
        <w:rPr>
          <w:noProof/>
          <w:kern w:val="3"/>
          <w:lang w:val="es-ES" w:eastAsia="es-ES"/>
        </w:rPr>
        <w:t xml:space="preserve">10/07/2022];26(3):657-68. Disponible en: </w:t>
      </w:r>
      <w:hyperlink r:id="rId22" w:history="1">
        <w:r w:rsidRPr="00276C5B">
          <w:rPr>
            <w:noProof/>
            <w:color w:val="0563C1"/>
            <w:kern w:val="3"/>
            <w:lang w:val="es-ES" w:eastAsia="es-ES"/>
          </w:rPr>
          <w:t>http://www.medicentro.sld.cu/index.php/medicentro/article/view/3790</w:t>
        </w:r>
      </w:hyperlink>
      <w:bookmarkEnd w:id="4"/>
    </w:p>
    <w:p w14:paraId="7C1B1586"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bookmarkStart w:id="5" w:name="_ENREF_6"/>
      <w:r w:rsidRPr="00276C5B">
        <w:rPr>
          <w:noProof/>
          <w:kern w:val="3"/>
          <w:lang w:val="es-ES" w:eastAsia="es-ES"/>
        </w:rPr>
        <w:t xml:space="preserve">6. Vázquez Rivero D, Sarasa Muñoz NL, Álvarez Guerra González E, Vila Bormey MA, Borrego </w:t>
      </w:r>
      <w:r w:rsidRPr="00276C5B">
        <w:rPr>
          <w:noProof/>
          <w:kern w:val="3"/>
          <w:lang w:val="es-ES" w:eastAsia="es-ES"/>
        </w:rPr>
        <w:lastRenderedPageBreak/>
        <w:t>Gutiérrez D, Silverio Ruiz L. La salud gestacional y su relación con la restricción del crecimiento intrauterino. Medicentro Electrónica. 2022 [</w:t>
      </w:r>
      <w:r w:rsidRPr="00276C5B">
        <w:rPr>
          <w:kern w:val="3"/>
          <w:lang w:val="es-ES" w:eastAsia="es-ES"/>
        </w:rPr>
        <w:t xml:space="preserve">acceso: </w:t>
      </w:r>
      <w:r w:rsidRPr="00276C5B">
        <w:rPr>
          <w:noProof/>
          <w:kern w:val="3"/>
          <w:lang w:val="es-ES" w:eastAsia="es-ES"/>
        </w:rPr>
        <w:t xml:space="preserve">01/07/2022]; 26(2):258-68. Disponible en: </w:t>
      </w:r>
      <w:hyperlink r:id="rId23" w:history="1">
        <w:r w:rsidRPr="00276C5B">
          <w:rPr>
            <w:noProof/>
            <w:color w:val="0563C1"/>
            <w:kern w:val="3"/>
            <w:lang w:val="es-ES" w:eastAsia="es-ES"/>
          </w:rPr>
          <w:t>http://scielo.sld.cu/scielo.php?pid=S1029-30432022000200258&amp;script=sci_arttext&amp;tlng=en</w:t>
        </w:r>
      </w:hyperlink>
      <w:bookmarkEnd w:id="5"/>
    </w:p>
    <w:p w14:paraId="3615C279"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bookmarkStart w:id="6" w:name="_ENREF_7"/>
      <w:r w:rsidRPr="00276C5B">
        <w:rPr>
          <w:noProof/>
          <w:kern w:val="3"/>
          <w:lang w:val="es-ES" w:eastAsia="es-ES"/>
        </w:rPr>
        <w:t>7. Vázquez-Rivero D, Sarasa Muñoz NL, Álvarez-Guerra-González E, Vilas-Bormey MA, Borrego-Gutiérrez D, Alfonso-Águila B. Variables maternas metabólicas y mixtas, su relación con la restricción del crecimiento uterino. Revista Archivo Médico de Camagüey. 2021 [</w:t>
      </w:r>
      <w:r w:rsidRPr="00276C5B">
        <w:rPr>
          <w:kern w:val="3"/>
          <w:lang w:val="es-ES" w:eastAsia="es-ES"/>
        </w:rPr>
        <w:t xml:space="preserve">acceso: </w:t>
      </w:r>
      <w:r w:rsidRPr="00276C5B">
        <w:rPr>
          <w:noProof/>
          <w:kern w:val="3"/>
          <w:lang w:val="es-ES" w:eastAsia="es-ES"/>
        </w:rPr>
        <w:t xml:space="preserve">20/02/2022]; 25(6):873-9. Disponible en: </w:t>
      </w:r>
      <w:hyperlink r:id="rId24" w:history="1">
        <w:r w:rsidRPr="00276C5B">
          <w:rPr>
            <w:noProof/>
            <w:color w:val="0563C1"/>
            <w:kern w:val="3"/>
            <w:lang w:val="es-ES" w:eastAsia="es-ES"/>
          </w:rPr>
          <w:t>http://scielo.sld.cu/scielo.php?pid=S1025-02552021000600006&amp;script=sci_abstract&amp;tlng=en</w:t>
        </w:r>
      </w:hyperlink>
      <w:bookmarkEnd w:id="6"/>
    </w:p>
    <w:p w14:paraId="7BD25B1E"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bookmarkStart w:id="7" w:name="_ENREF_8"/>
      <w:r w:rsidRPr="00276C5B">
        <w:rPr>
          <w:noProof/>
          <w:kern w:val="3"/>
          <w:lang w:val="es-ES" w:eastAsia="es-ES"/>
        </w:rPr>
        <w:t>8. Limas Pérez Y, Álvarez-Guerra-González E, Sarasa Muñoz N, Cañizares Luna O, Artiles Santana A, Machaddo Díaz B. Efectividad de los indicadores antropométricos para el diagnóstico de restricción del crecimiento intrauterino. Revista Cubana de Obstetricia y Ginecología. 2019 [</w:t>
      </w:r>
      <w:r w:rsidRPr="00276C5B">
        <w:rPr>
          <w:kern w:val="3"/>
          <w:lang w:val="es-ES" w:eastAsia="es-ES"/>
        </w:rPr>
        <w:t xml:space="preserve">acceso: </w:t>
      </w:r>
      <w:r w:rsidRPr="00276C5B">
        <w:rPr>
          <w:noProof/>
          <w:kern w:val="3"/>
          <w:lang w:val="es-ES" w:eastAsia="es-ES"/>
        </w:rPr>
        <w:t xml:space="preserve">20/02/2022]; 45(1):37-46. Disponible en: </w:t>
      </w:r>
      <w:hyperlink r:id="rId25" w:history="1">
        <w:r w:rsidRPr="00276C5B">
          <w:rPr>
            <w:noProof/>
            <w:color w:val="0563C1"/>
            <w:kern w:val="3"/>
            <w:lang w:val="es-ES" w:eastAsia="es-ES"/>
          </w:rPr>
          <w:t>https://www.medigraphic.com/cgi-bin/new/resumen.cgi?IDARTICULO=91418</w:t>
        </w:r>
      </w:hyperlink>
      <w:bookmarkEnd w:id="7"/>
    </w:p>
    <w:p w14:paraId="4FFE92D2" w14:textId="77777777" w:rsidR="00276C5B" w:rsidRPr="00276C5B" w:rsidRDefault="00276C5B" w:rsidP="00276C5B">
      <w:pPr>
        <w:spacing w:line="360" w:lineRule="auto"/>
        <w:rPr>
          <w:rFonts w:eastAsia="Calibri"/>
          <w:noProof/>
          <w:lang w:val="es-ES" w:eastAsia="en-US"/>
        </w:rPr>
      </w:pPr>
      <w:r w:rsidRPr="00276C5B">
        <w:rPr>
          <w:rFonts w:eastAsia="Calibri"/>
          <w:lang w:val="es-ES" w:eastAsia="en-US"/>
        </w:rPr>
        <w:t xml:space="preserve">9. </w:t>
      </w:r>
      <w:r w:rsidRPr="00276C5B">
        <w:rPr>
          <w:rFonts w:eastAsia="Calibri"/>
          <w:noProof/>
          <w:lang w:val="es-ES" w:eastAsia="en-US"/>
        </w:rPr>
        <w:t>Montoya-Restrepo NE, Correa-Morales JC. Curvas de peso al nacer. Rev Salud Publ. 2007 [</w:t>
      </w:r>
      <w:r w:rsidRPr="00276C5B">
        <w:rPr>
          <w:kern w:val="3"/>
          <w:lang w:val="es-ES" w:eastAsia="es-ES"/>
        </w:rPr>
        <w:t xml:space="preserve">acceso: </w:t>
      </w:r>
      <w:r w:rsidRPr="00276C5B">
        <w:rPr>
          <w:noProof/>
          <w:kern w:val="3"/>
          <w:lang w:val="es-ES" w:eastAsia="es-ES"/>
        </w:rPr>
        <w:t>04/11/2019</w:t>
      </w:r>
      <w:r w:rsidRPr="00276C5B">
        <w:rPr>
          <w:rFonts w:eastAsia="Calibri"/>
          <w:noProof/>
          <w:lang w:val="es-ES" w:eastAsia="en-US"/>
        </w:rPr>
        <w:t xml:space="preserve">]; 9:1-10. Disponible en: </w:t>
      </w:r>
      <w:hyperlink r:id="rId26" w:history="1">
        <w:r w:rsidRPr="00276C5B">
          <w:rPr>
            <w:rFonts w:eastAsia="Calibri"/>
            <w:noProof/>
            <w:color w:val="0563C1"/>
            <w:lang w:val="es-ES" w:eastAsia="en-US"/>
          </w:rPr>
          <w:t>https://www.scielosp.org/article/rsap/2007.v9n1/1-10/</w:t>
        </w:r>
      </w:hyperlink>
    </w:p>
    <w:p w14:paraId="7453651E" w14:textId="6FA786EE" w:rsidR="00276C5B" w:rsidRPr="00276C5B" w:rsidRDefault="00276C5B" w:rsidP="00276C5B">
      <w:pPr>
        <w:spacing w:line="360" w:lineRule="auto"/>
        <w:rPr>
          <w:rFonts w:eastAsia="Calibri"/>
          <w:noProof/>
          <w:lang w:val="es-ES" w:eastAsia="en-US"/>
        </w:rPr>
      </w:pPr>
      <w:r w:rsidRPr="00276C5B">
        <w:rPr>
          <w:rFonts w:eastAsia="Calibri"/>
          <w:lang w:val="es-ES" w:eastAsia="en-US"/>
        </w:rPr>
        <w:t xml:space="preserve">10. </w:t>
      </w:r>
      <w:r w:rsidRPr="00276C5B">
        <w:rPr>
          <w:rFonts w:eastAsia="Calibri"/>
          <w:noProof/>
          <w:lang w:val="es-ES" w:eastAsia="en-US"/>
        </w:rPr>
        <w:t>Díaz M, Montero M, Jiménez S, Wong I, Moreno V. Tablas antropométricas de la embarazada. Ganancia de peso gestacional La Habana: INHA, ICIMAF, MINSAP, UNICEF; 2010. [</w:t>
      </w:r>
      <w:r w:rsidRPr="00276C5B">
        <w:rPr>
          <w:kern w:val="3"/>
          <w:lang w:val="es-ES" w:eastAsia="es-ES"/>
        </w:rPr>
        <w:t xml:space="preserve">acceso: </w:t>
      </w:r>
      <w:r w:rsidRPr="00276C5B">
        <w:rPr>
          <w:noProof/>
          <w:kern w:val="3"/>
          <w:lang w:val="es-ES" w:eastAsia="es-ES"/>
        </w:rPr>
        <w:t>04/11/2019</w:t>
      </w:r>
      <w:r w:rsidRPr="00276C5B">
        <w:rPr>
          <w:rFonts w:eastAsia="Calibri"/>
          <w:noProof/>
          <w:lang w:val="es-ES" w:eastAsia="en-US"/>
        </w:rPr>
        <w:t xml:space="preserve">].  Disponible en: </w:t>
      </w:r>
      <w:hyperlink r:id="rId27" w:history="1">
        <w:r w:rsidR="00835268" w:rsidRPr="00907781">
          <w:rPr>
            <w:rStyle w:val="Hipervnculo"/>
            <w:kern w:val="3"/>
            <w:u w:val="none"/>
            <w:lang w:val="es-ES" w:eastAsia="es-ES"/>
          </w:rPr>
          <w:t>https://www.unicef.org/cuba/informes/tablas-antropometricas-de-la-embarazada</w:t>
        </w:r>
      </w:hyperlink>
      <w:r w:rsidR="00835268" w:rsidRPr="00907781">
        <w:rPr>
          <w:kern w:val="3"/>
          <w:lang w:val="es-ES" w:eastAsia="es-ES"/>
        </w:rPr>
        <w:t xml:space="preserve"> </w:t>
      </w:r>
    </w:p>
    <w:p w14:paraId="3E5B2024"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r w:rsidRPr="00276C5B">
        <w:rPr>
          <w:noProof/>
          <w:kern w:val="3"/>
          <w:lang w:val="es-ES" w:eastAsia="es-ES"/>
        </w:rPr>
        <w:t xml:space="preserve">11. AMM. Declaración de Helsinki de la AMM – Principios éticos para las investigaciones médicas en seres humanos. Brasil, Fortaleza: 64ª Asamblea General; 2013. </w:t>
      </w:r>
      <w:r w:rsidRPr="00276C5B">
        <w:rPr>
          <w:rFonts w:eastAsia="Calibri"/>
          <w:noProof/>
          <w:lang w:val="es-ES" w:eastAsia="en-US"/>
        </w:rPr>
        <w:t>[</w:t>
      </w:r>
      <w:r w:rsidRPr="00276C5B">
        <w:rPr>
          <w:kern w:val="3"/>
          <w:lang w:val="es-ES" w:eastAsia="es-ES"/>
        </w:rPr>
        <w:t xml:space="preserve">acceso: </w:t>
      </w:r>
      <w:r w:rsidRPr="00276C5B">
        <w:rPr>
          <w:noProof/>
          <w:kern w:val="3"/>
          <w:lang w:val="es-ES" w:eastAsia="es-ES"/>
        </w:rPr>
        <w:t>04/11/2019</w:t>
      </w:r>
      <w:r w:rsidRPr="00276C5B">
        <w:rPr>
          <w:rFonts w:eastAsia="Calibri"/>
          <w:noProof/>
          <w:lang w:val="es-ES" w:eastAsia="en-US"/>
        </w:rPr>
        <w:t xml:space="preserve">].  Disponible en: </w:t>
      </w:r>
      <w:hyperlink r:id="rId28" w:history="1">
        <w:r w:rsidRPr="00276C5B">
          <w:rPr>
            <w:rFonts w:eastAsia="Calibri"/>
            <w:noProof/>
            <w:color w:val="0563C1"/>
            <w:lang w:val="es-ES" w:eastAsia="en-US"/>
          </w:rPr>
          <w:t>https://www.wma.net/es/policies-post/declaracion-de-helsinki-de-la-amm-principios-eticos-para-las-investigaciones-medicas-en-seres-humanos/</w:t>
        </w:r>
      </w:hyperlink>
      <w:r w:rsidRPr="00276C5B">
        <w:rPr>
          <w:rFonts w:eastAsia="Calibri"/>
          <w:noProof/>
          <w:lang w:val="es-ES" w:eastAsia="en-US"/>
        </w:rPr>
        <w:t xml:space="preserve"> </w:t>
      </w:r>
    </w:p>
    <w:p w14:paraId="48ECE2D0"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n-US" w:eastAsia="es-ES"/>
        </w:rPr>
      </w:pPr>
      <w:bookmarkStart w:id="8" w:name="_ENREF_9"/>
      <w:r w:rsidRPr="00276C5B">
        <w:rPr>
          <w:noProof/>
          <w:kern w:val="3"/>
          <w:lang w:val="en-US" w:eastAsia="es-ES"/>
        </w:rPr>
        <w:t>12. Aggarwal N, Sharma G. Fetal ultrasound parameters: Reference values for a local perspective. Indian Journal of Radiology and Imaging. 2020 [</w:t>
      </w:r>
      <w:r w:rsidRPr="00276C5B">
        <w:rPr>
          <w:kern w:val="3"/>
          <w:lang w:val="en-US" w:eastAsia="es-ES"/>
        </w:rPr>
        <w:t xml:space="preserve">acceso: </w:t>
      </w:r>
      <w:r w:rsidRPr="00276C5B">
        <w:rPr>
          <w:noProof/>
          <w:kern w:val="3"/>
          <w:lang w:val="en-US" w:eastAsia="es-ES"/>
        </w:rPr>
        <w:t xml:space="preserve">20/02/2022]; 30(02):149-54. Disponible en: </w:t>
      </w:r>
      <w:hyperlink r:id="rId29" w:history="1">
        <w:r w:rsidRPr="00276C5B">
          <w:rPr>
            <w:noProof/>
            <w:color w:val="0563C1"/>
            <w:kern w:val="3"/>
            <w:lang w:val="en-US" w:eastAsia="es-ES"/>
          </w:rPr>
          <w:t>https://www.thieme-connect.com/products/ejournals/html/10.4103/ijri.IJRI_287_19</w:t>
        </w:r>
      </w:hyperlink>
      <w:bookmarkEnd w:id="8"/>
    </w:p>
    <w:p w14:paraId="42C62851"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bookmarkStart w:id="9" w:name="_ENREF_10"/>
      <w:r w:rsidRPr="00276C5B">
        <w:rPr>
          <w:noProof/>
          <w:kern w:val="3"/>
          <w:lang w:val="es-ES" w:eastAsia="es-ES"/>
        </w:rPr>
        <w:t xml:space="preserve">13. </w:t>
      </w:r>
      <w:r w:rsidRPr="00276C5B">
        <w:rPr>
          <w:rFonts w:eastAsia="Calibri"/>
          <w:noProof/>
          <w:lang w:eastAsia="en-US"/>
        </w:rPr>
        <w:t xml:space="preserve">Carmona Pertúz VJ, Torres Yepes GC, Quintero Pérez A. Estudio comparativo de biometría fetal realizada entre la población de madres gestantes que acuden al servicio de obstetricia del Hospital </w:t>
      </w:r>
      <w:r w:rsidRPr="00276C5B">
        <w:rPr>
          <w:rFonts w:eastAsia="Calibri"/>
          <w:noProof/>
          <w:lang w:eastAsia="en-US"/>
        </w:rPr>
        <w:lastRenderedPageBreak/>
        <w:t xml:space="preserve">Militar Central y las tablas de Hadlock-Jeanty. Bogotá: Universidad Militar de Nueva Granada; 2016. </w:t>
      </w:r>
      <w:r w:rsidRPr="00276C5B">
        <w:rPr>
          <w:noProof/>
          <w:kern w:val="3"/>
          <w:lang w:val="es-ES" w:eastAsia="es-ES"/>
        </w:rPr>
        <w:t>[</w:t>
      </w:r>
      <w:r w:rsidRPr="00276C5B">
        <w:rPr>
          <w:kern w:val="3"/>
          <w:lang w:val="es-ES" w:eastAsia="es-ES"/>
        </w:rPr>
        <w:t xml:space="preserve">acceso: </w:t>
      </w:r>
      <w:r w:rsidRPr="00276C5B">
        <w:rPr>
          <w:noProof/>
          <w:kern w:val="3"/>
          <w:lang w:val="es-ES" w:eastAsia="es-ES"/>
        </w:rPr>
        <w:t xml:space="preserve">20/02/2022]. </w:t>
      </w:r>
      <w:r w:rsidRPr="00276C5B">
        <w:rPr>
          <w:rFonts w:eastAsia="Calibri"/>
          <w:noProof/>
          <w:lang w:eastAsia="en-US"/>
        </w:rPr>
        <w:t xml:space="preserve">Disponible en: </w:t>
      </w:r>
      <w:hyperlink r:id="rId30" w:history="1">
        <w:r w:rsidRPr="00276C5B">
          <w:rPr>
            <w:rFonts w:eastAsia="Calibri"/>
            <w:noProof/>
            <w:color w:val="0563C1"/>
            <w:lang w:eastAsia="en-US"/>
          </w:rPr>
          <w:t>https://repository.unimilitar.edu.co/handle/10654/7696</w:t>
        </w:r>
      </w:hyperlink>
      <w:bookmarkEnd w:id="9"/>
    </w:p>
    <w:p w14:paraId="470594B3"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n-US" w:eastAsia="es-ES"/>
        </w:rPr>
      </w:pPr>
      <w:bookmarkStart w:id="10" w:name="_ENREF_11"/>
      <w:r w:rsidRPr="00276C5B">
        <w:rPr>
          <w:noProof/>
          <w:kern w:val="3"/>
          <w:lang w:val="es-ES" w:eastAsia="es-ES"/>
        </w:rPr>
        <w:t xml:space="preserve">14. </w:t>
      </w:r>
      <w:bookmarkEnd w:id="10"/>
      <w:r w:rsidRPr="00276C5B">
        <w:rPr>
          <w:noProof/>
          <w:kern w:val="3"/>
          <w:lang w:eastAsia="es-ES"/>
        </w:rPr>
        <w:t xml:space="preserve">Savirón-Cornudella R, Esteban LM, Aznar-Gimeno R, Dieste-Pérez P, Pérez-López FR, Campillos JM, et al. </w:t>
      </w:r>
      <w:r w:rsidRPr="00276C5B">
        <w:rPr>
          <w:noProof/>
          <w:kern w:val="3"/>
          <w:lang w:val="en-US" w:eastAsia="es-ES"/>
        </w:rPr>
        <w:t>Prediction of late-onset small for gestational age and fetal growth restriction by fetal biometry at 35 weeks and impact of ultrasound–delivery interval: Comparison of six fetal growth standards. Journal of Clinical Medicine . 2021 [</w:t>
      </w:r>
      <w:r w:rsidRPr="00276C5B">
        <w:rPr>
          <w:kern w:val="3"/>
          <w:lang w:val="en-US" w:eastAsia="es-ES"/>
        </w:rPr>
        <w:t xml:space="preserve">acceso: </w:t>
      </w:r>
      <w:r w:rsidRPr="00276C5B">
        <w:rPr>
          <w:noProof/>
          <w:kern w:val="3"/>
          <w:lang w:val="en-US" w:eastAsia="es-ES"/>
        </w:rPr>
        <w:t xml:space="preserve">20/02/2022];10(13):2-17. Disponible en: </w:t>
      </w:r>
      <w:hyperlink r:id="rId31" w:history="1">
        <w:r w:rsidRPr="00276C5B">
          <w:rPr>
            <w:noProof/>
            <w:color w:val="0563C1"/>
            <w:kern w:val="3"/>
            <w:lang w:val="en-US" w:eastAsia="es-ES"/>
          </w:rPr>
          <w:t>https://www.mdpi.com/2077-0383/10/13/2984</w:t>
        </w:r>
      </w:hyperlink>
      <w:bookmarkStart w:id="11" w:name="_ENREF_12"/>
    </w:p>
    <w:p w14:paraId="3C2678BC"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r w:rsidRPr="00276C5B">
        <w:rPr>
          <w:noProof/>
          <w:kern w:val="3"/>
          <w:lang w:val="en-US" w:eastAsia="es-ES"/>
        </w:rPr>
        <w:t xml:space="preserve">15. </w:t>
      </w:r>
      <w:bookmarkEnd w:id="11"/>
      <w:r w:rsidRPr="00276C5B">
        <w:rPr>
          <w:noProof/>
          <w:kern w:val="3"/>
          <w:lang w:val="en-US" w:eastAsia="es-ES"/>
        </w:rPr>
        <w:t xml:space="preserve">Blue NR, Savabi M, Beddow ME, Katukuri VR, Fritts CM, Izquierdo LA, et al. The Hadlock method is superior to newer methods for the prediction of the birth weight percentile. </w:t>
      </w:r>
      <w:r w:rsidRPr="00276C5B">
        <w:rPr>
          <w:noProof/>
          <w:kern w:val="3"/>
          <w:lang w:val="es-ES" w:eastAsia="es-ES"/>
        </w:rPr>
        <w:t>Journal of Ultrasound in Medicine. 2019 [</w:t>
      </w:r>
      <w:r w:rsidRPr="00276C5B">
        <w:rPr>
          <w:kern w:val="3"/>
          <w:lang w:val="es-ES" w:eastAsia="es-ES"/>
        </w:rPr>
        <w:t xml:space="preserve">acceso: </w:t>
      </w:r>
      <w:r w:rsidRPr="00276C5B">
        <w:rPr>
          <w:noProof/>
          <w:kern w:val="3"/>
          <w:lang w:val="es-ES" w:eastAsia="es-ES"/>
        </w:rPr>
        <w:t xml:space="preserve">20/02/2022]; 38(3):[aprox. 11 p.]. Disponible en: </w:t>
      </w:r>
      <w:hyperlink r:id="rId32" w:history="1">
        <w:r w:rsidRPr="00276C5B">
          <w:rPr>
            <w:noProof/>
            <w:color w:val="0563C1"/>
            <w:kern w:val="3"/>
            <w:lang w:val="es-ES" w:eastAsia="es-ES"/>
          </w:rPr>
          <w:t>https://onlinelibrary.wiley.com/doi/abs/10.1002/jum.14725</w:t>
        </w:r>
      </w:hyperlink>
    </w:p>
    <w:p w14:paraId="2AF298BE"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bookmarkStart w:id="12" w:name="_ENREF_13"/>
      <w:r w:rsidRPr="00276C5B">
        <w:rPr>
          <w:noProof/>
          <w:kern w:val="3"/>
          <w:lang w:val="es-ES" w:eastAsia="es-ES"/>
        </w:rPr>
        <w:t xml:space="preserve">16. Limas Pérez Y, Hernandez Díaz D, Sarasa Muñoz NL, Cañizares Luna O, </w:t>
      </w:r>
      <w:r w:rsidRPr="00276C5B">
        <w:rPr>
          <w:rFonts w:eastAsia="Calibri"/>
          <w:lang w:val="es-ES" w:eastAsia="en-US"/>
        </w:rPr>
        <w:t>Álvarez-Guerra González E,</w:t>
      </w:r>
      <w:r w:rsidRPr="00276C5B">
        <w:rPr>
          <w:noProof/>
          <w:kern w:val="3"/>
          <w:lang w:val="es-ES" w:eastAsia="es-ES"/>
        </w:rPr>
        <w:t xml:space="preserve"> Turiño Sarduy S. Indicadores antropométricos complementarios para la detección temprana de la restricción del crecimiento intrauterino. Medicentro. 2018 [</w:t>
      </w:r>
      <w:r w:rsidRPr="00276C5B">
        <w:rPr>
          <w:kern w:val="3"/>
          <w:lang w:val="es-ES" w:eastAsia="es-ES"/>
        </w:rPr>
        <w:t xml:space="preserve">acceso: </w:t>
      </w:r>
      <w:r w:rsidRPr="00276C5B">
        <w:rPr>
          <w:noProof/>
          <w:kern w:val="3"/>
          <w:lang w:val="es-ES" w:eastAsia="es-ES"/>
        </w:rPr>
        <w:t xml:space="preserve">20/02/2022]; 22(3):238-45. Disponible en: </w:t>
      </w:r>
      <w:hyperlink r:id="rId33" w:history="1">
        <w:r w:rsidRPr="00276C5B">
          <w:rPr>
            <w:noProof/>
            <w:color w:val="0563C1"/>
            <w:kern w:val="3"/>
            <w:lang w:val="es-ES" w:eastAsia="es-ES"/>
          </w:rPr>
          <w:t>https://www.medigraphic.com/cgi-bin/new/resumen.cgi?IDARTICULO=82266</w:t>
        </w:r>
      </w:hyperlink>
      <w:bookmarkEnd w:id="12"/>
    </w:p>
    <w:p w14:paraId="37DA7FB3" w14:textId="77777777" w:rsidR="00276C5B" w:rsidRPr="00276C5B" w:rsidRDefault="00276C5B" w:rsidP="00276C5B">
      <w:pPr>
        <w:widowControl w:val="0"/>
        <w:suppressAutoHyphens/>
        <w:overflowPunct w:val="0"/>
        <w:autoSpaceDE w:val="0"/>
        <w:autoSpaceDN w:val="0"/>
        <w:spacing w:line="360" w:lineRule="auto"/>
        <w:textAlignment w:val="baseline"/>
        <w:rPr>
          <w:noProof/>
          <w:kern w:val="3"/>
          <w:lang w:val="es-ES" w:eastAsia="es-ES"/>
        </w:rPr>
      </w:pPr>
      <w:bookmarkStart w:id="13" w:name="_ENREF_14"/>
      <w:r w:rsidRPr="00276C5B">
        <w:rPr>
          <w:noProof/>
          <w:kern w:val="3"/>
          <w:lang w:val="es-ES" w:eastAsia="es-ES"/>
        </w:rPr>
        <w:t>17. Borrego-Gutierrez D, Guerra-González EÁ, Sarasa-Muñoz NL, Vázquez-Rivero D, Alfonso-Águila B, Martínez-Cárdenas M. Longitud cráneo raquis: predictora del crecimiento fetal y de la condición trófica del recién nacido. Revista Archivo Médico de Camagüey. 2021 [</w:t>
      </w:r>
      <w:r w:rsidRPr="00276C5B">
        <w:rPr>
          <w:kern w:val="3"/>
          <w:lang w:val="es-ES" w:eastAsia="es-ES"/>
        </w:rPr>
        <w:t xml:space="preserve">acceso: </w:t>
      </w:r>
      <w:r w:rsidRPr="00276C5B">
        <w:rPr>
          <w:noProof/>
          <w:kern w:val="3"/>
          <w:lang w:val="es-ES" w:eastAsia="es-ES"/>
        </w:rPr>
        <w:t xml:space="preserve">20/02/2022]; 25(5):743-50. Disponible en: </w:t>
      </w:r>
      <w:hyperlink r:id="rId34" w:history="1">
        <w:r w:rsidRPr="00276C5B">
          <w:rPr>
            <w:noProof/>
            <w:color w:val="0563C1"/>
            <w:kern w:val="3"/>
            <w:lang w:val="es-ES" w:eastAsia="es-ES"/>
          </w:rPr>
          <w:t>http://scielo.sld.cu/scielo.php?script=sci_arttext&amp;pid=S1025-02552021000500009</w:t>
        </w:r>
      </w:hyperlink>
      <w:bookmarkEnd w:id="13"/>
    </w:p>
    <w:p w14:paraId="5461C53A" w14:textId="77777777" w:rsidR="00276C5B" w:rsidRPr="00276C5B" w:rsidRDefault="00276C5B" w:rsidP="00276C5B">
      <w:pPr>
        <w:widowControl w:val="0"/>
        <w:suppressAutoHyphens/>
        <w:overflowPunct w:val="0"/>
        <w:autoSpaceDE w:val="0"/>
        <w:autoSpaceDN w:val="0"/>
        <w:spacing w:line="360" w:lineRule="auto"/>
        <w:textAlignment w:val="baseline"/>
        <w:rPr>
          <w:rFonts w:eastAsia="Calibri"/>
          <w:lang w:val="es-ES" w:eastAsia="en-US"/>
        </w:rPr>
      </w:pPr>
      <w:bookmarkStart w:id="14" w:name="_ENREF_15"/>
      <w:r w:rsidRPr="00276C5B">
        <w:rPr>
          <w:noProof/>
          <w:kern w:val="3"/>
          <w:lang w:val="es-ES" w:eastAsia="es-ES"/>
        </w:rPr>
        <w:t>18. Hernández Díaz Y, Álvarez-Guerra González E, Hernández Díaz D, Sarasa Muñoz NL, Limas Pérez Y, Cañizares Luna O. Componentes de constitución corporal materna relacionados con nacimientos grandes para la edad gestacional. Medicentro Electrónica. 2018 [</w:t>
      </w:r>
      <w:r w:rsidRPr="00276C5B">
        <w:rPr>
          <w:kern w:val="3"/>
          <w:lang w:val="es-ES" w:eastAsia="es-ES"/>
        </w:rPr>
        <w:t xml:space="preserve">acceso: </w:t>
      </w:r>
      <w:r w:rsidRPr="00276C5B">
        <w:rPr>
          <w:noProof/>
          <w:kern w:val="3"/>
          <w:lang w:val="es-ES" w:eastAsia="es-ES"/>
        </w:rPr>
        <w:t xml:space="preserve">20/02/2022]; 22(2):116-24. Disponible en: </w:t>
      </w:r>
      <w:hyperlink r:id="rId35" w:history="1">
        <w:r w:rsidRPr="00276C5B">
          <w:rPr>
            <w:noProof/>
            <w:color w:val="0563C1"/>
            <w:kern w:val="3"/>
            <w:lang w:val="es-ES" w:eastAsia="es-ES"/>
          </w:rPr>
          <w:t>http://medicentro.sld.cu/index.php/medicentro/article/view/2672</w:t>
        </w:r>
      </w:hyperlink>
      <w:bookmarkEnd w:id="14"/>
    </w:p>
    <w:p w14:paraId="45D81BAF" w14:textId="77777777" w:rsidR="00276C5B" w:rsidRPr="00276C5B" w:rsidRDefault="00276C5B" w:rsidP="00276C5B">
      <w:pPr>
        <w:widowControl w:val="0"/>
        <w:suppressAutoHyphens/>
        <w:overflowPunct w:val="0"/>
        <w:autoSpaceDE w:val="0"/>
        <w:autoSpaceDN w:val="0"/>
        <w:spacing w:line="360" w:lineRule="auto"/>
        <w:textAlignment w:val="baseline"/>
        <w:rPr>
          <w:kern w:val="3"/>
          <w:lang w:val="es-ES" w:eastAsia="es-ES"/>
        </w:rPr>
      </w:pPr>
    </w:p>
    <w:p w14:paraId="0EAAEBB5"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kern w:val="3"/>
          <w:lang w:val="es-ES" w:eastAsia="es-ES"/>
        </w:rPr>
      </w:pPr>
    </w:p>
    <w:p w14:paraId="4E213E25" w14:textId="77777777" w:rsidR="00276C5B" w:rsidRPr="00276C5B" w:rsidRDefault="00276C5B" w:rsidP="00276C5B">
      <w:pPr>
        <w:keepNext/>
        <w:keepLines/>
        <w:widowControl w:val="0"/>
        <w:suppressAutoHyphens/>
        <w:overflowPunct w:val="0"/>
        <w:autoSpaceDE w:val="0"/>
        <w:autoSpaceDN w:val="0"/>
        <w:spacing w:line="360" w:lineRule="auto"/>
        <w:jc w:val="center"/>
        <w:textAlignment w:val="baseline"/>
        <w:outlineLvl w:val="0"/>
        <w:rPr>
          <w:b/>
          <w:kern w:val="3"/>
          <w:lang w:val="es-ES" w:eastAsia="es-ES"/>
        </w:rPr>
      </w:pPr>
      <w:r w:rsidRPr="00276C5B">
        <w:rPr>
          <w:b/>
          <w:kern w:val="3"/>
          <w:lang w:val="es-ES" w:eastAsia="es-ES"/>
        </w:rPr>
        <w:t>Conflictos de interés</w:t>
      </w:r>
    </w:p>
    <w:p w14:paraId="6C59DE8A" w14:textId="77777777" w:rsidR="00276C5B" w:rsidRPr="00276C5B" w:rsidRDefault="00276C5B" w:rsidP="00276C5B">
      <w:pPr>
        <w:widowControl w:val="0"/>
        <w:suppressAutoHyphens/>
        <w:overflowPunct w:val="0"/>
        <w:autoSpaceDE w:val="0"/>
        <w:autoSpaceDN w:val="0"/>
        <w:spacing w:line="360" w:lineRule="auto"/>
        <w:textAlignment w:val="baseline"/>
        <w:rPr>
          <w:kern w:val="3"/>
          <w:lang w:val="es-ES" w:eastAsia="es-ES"/>
        </w:rPr>
      </w:pPr>
      <w:r w:rsidRPr="00276C5B">
        <w:rPr>
          <w:kern w:val="3"/>
          <w:lang w:val="es-ES" w:eastAsia="es-ES"/>
        </w:rPr>
        <w:t>Los autores declaran que no existen conflictos de interés.</w:t>
      </w:r>
    </w:p>
    <w:p w14:paraId="4EBB50D0" w14:textId="77777777" w:rsidR="00276C5B" w:rsidRPr="00276C5B" w:rsidRDefault="00276C5B" w:rsidP="00276C5B">
      <w:pPr>
        <w:widowControl w:val="0"/>
        <w:suppressAutoHyphens/>
        <w:overflowPunct w:val="0"/>
        <w:autoSpaceDE w:val="0"/>
        <w:autoSpaceDN w:val="0"/>
        <w:spacing w:line="360" w:lineRule="auto"/>
        <w:textAlignment w:val="baseline"/>
        <w:rPr>
          <w:kern w:val="3"/>
          <w:lang w:val="es-ES" w:eastAsia="es-ES"/>
        </w:rPr>
      </w:pPr>
    </w:p>
    <w:p w14:paraId="03181EFF" w14:textId="77777777" w:rsidR="00276C5B" w:rsidRPr="00276C5B" w:rsidRDefault="00276C5B" w:rsidP="00276C5B">
      <w:pPr>
        <w:widowControl w:val="0"/>
        <w:suppressAutoHyphens/>
        <w:overflowPunct w:val="0"/>
        <w:autoSpaceDE w:val="0"/>
        <w:autoSpaceDN w:val="0"/>
        <w:spacing w:line="360" w:lineRule="auto"/>
        <w:jc w:val="center"/>
        <w:textAlignment w:val="baseline"/>
        <w:rPr>
          <w:b/>
          <w:bCs/>
          <w:kern w:val="3"/>
          <w:lang w:val="es-ES" w:eastAsia="es-ES"/>
        </w:rPr>
      </w:pPr>
      <w:r w:rsidRPr="00276C5B">
        <w:rPr>
          <w:b/>
          <w:bCs/>
          <w:kern w:val="3"/>
          <w:lang w:val="es-ES" w:eastAsia="es-ES"/>
        </w:rPr>
        <w:t>Contribuciones de los autores</w:t>
      </w:r>
    </w:p>
    <w:p w14:paraId="4F69D189" w14:textId="77777777" w:rsidR="00276C5B" w:rsidRPr="00276C5B" w:rsidRDefault="00276C5B" w:rsidP="00276C5B">
      <w:pPr>
        <w:widowControl w:val="0"/>
        <w:suppressAutoHyphens/>
        <w:overflowPunct w:val="0"/>
        <w:autoSpaceDE w:val="0"/>
        <w:autoSpaceDN w:val="0"/>
        <w:spacing w:line="360" w:lineRule="auto"/>
        <w:rPr>
          <w:bCs/>
          <w:kern w:val="3"/>
          <w:lang w:val="es-ES" w:eastAsia="es-ES"/>
        </w:rPr>
      </w:pPr>
      <w:r w:rsidRPr="00276C5B">
        <w:rPr>
          <w:kern w:val="3"/>
          <w:lang w:val="es-ES" w:eastAsia="es-ES"/>
        </w:rPr>
        <w:t xml:space="preserve">Conceptualización: </w:t>
      </w:r>
      <w:r w:rsidRPr="00276C5B">
        <w:rPr>
          <w:bCs/>
          <w:i/>
          <w:iCs/>
          <w:kern w:val="3"/>
          <w:lang w:val="es-ES" w:eastAsia="es-ES"/>
        </w:rPr>
        <w:t>Nélida Sarasa Muñoz.</w:t>
      </w:r>
    </w:p>
    <w:p w14:paraId="299857C1" w14:textId="77777777" w:rsidR="00276C5B" w:rsidRPr="00276C5B" w:rsidRDefault="00276C5B" w:rsidP="00276C5B">
      <w:pPr>
        <w:widowControl w:val="0"/>
        <w:suppressAutoHyphens/>
        <w:overflowPunct w:val="0"/>
        <w:autoSpaceDE w:val="0"/>
        <w:autoSpaceDN w:val="0"/>
        <w:spacing w:line="360" w:lineRule="auto"/>
        <w:rPr>
          <w:bCs/>
          <w:kern w:val="3"/>
          <w:lang w:val="es-ES" w:eastAsia="es-ES"/>
        </w:rPr>
      </w:pPr>
      <w:r w:rsidRPr="00276C5B">
        <w:rPr>
          <w:kern w:val="3"/>
          <w:lang w:val="es-ES" w:eastAsia="es-ES"/>
        </w:rPr>
        <w:t xml:space="preserve">Curación de datos: </w:t>
      </w:r>
      <w:r w:rsidRPr="00276C5B">
        <w:rPr>
          <w:i/>
          <w:iCs/>
          <w:kern w:val="3"/>
          <w:lang w:val="es-ES" w:eastAsia="es-ES"/>
        </w:rPr>
        <w:t xml:space="preserve">Disney Borrego Gutierrez, Elizabeth Álvarez Guerra González, </w:t>
      </w:r>
      <w:r w:rsidRPr="00276C5B">
        <w:rPr>
          <w:bCs/>
          <w:i/>
          <w:iCs/>
          <w:kern w:val="3"/>
          <w:lang w:val="es-ES" w:eastAsia="es-ES"/>
        </w:rPr>
        <w:t>Danay Vázquez Rivero.</w:t>
      </w:r>
    </w:p>
    <w:p w14:paraId="546B4F91" w14:textId="77777777" w:rsidR="00276C5B" w:rsidRPr="00276C5B" w:rsidRDefault="00276C5B" w:rsidP="00276C5B">
      <w:pPr>
        <w:widowControl w:val="0"/>
        <w:suppressAutoHyphens/>
        <w:overflowPunct w:val="0"/>
        <w:autoSpaceDE w:val="0"/>
        <w:autoSpaceDN w:val="0"/>
        <w:spacing w:line="360" w:lineRule="auto"/>
        <w:rPr>
          <w:bCs/>
          <w:kern w:val="3"/>
          <w:lang w:val="es-ES" w:eastAsia="es-ES"/>
        </w:rPr>
      </w:pPr>
      <w:r w:rsidRPr="00276C5B">
        <w:rPr>
          <w:kern w:val="3"/>
          <w:lang w:val="es-ES" w:eastAsia="es-ES"/>
        </w:rPr>
        <w:t xml:space="preserve">Análisis formal: </w:t>
      </w:r>
      <w:r w:rsidRPr="00276C5B">
        <w:rPr>
          <w:bCs/>
          <w:i/>
          <w:iCs/>
          <w:kern w:val="3"/>
          <w:lang w:val="es-ES" w:eastAsia="es-ES"/>
        </w:rPr>
        <w:t>Elizabeth Álvarez Guerra González.</w:t>
      </w:r>
    </w:p>
    <w:p w14:paraId="33D86051" w14:textId="77777777" w:rsidR="00276C5B" w:rsidRPr="00276C5B" w:rsidRDefault="00276C5B" w:rsidP="00276C5B">
      <w:pPr>
        <w:widowControl w:val="0"/>
        <w:suppressAutoHyphens/>
        <w:overflowPunct w:val="0"/>
        <w:autoSpaceDE w:val="0"/>
        <w:autoSpaceDN w:val="0"/>
        <w:spacing w:line="360" w:lineRule="auto"/>
        <w:rPr>
          <w:bCs/>
          <w:kern w:val="3"/>
          <w:lang w:val="es-ES" w:eastAsia="es-ES"/>
        </w:rPr>
      </w:pPr>
      <w:r w:rsidRPr="00276C5B">
        <w:rPr>
          <w:kern w:val="3"/>
          <w:lang w:val="es-ES" w:eastAsia="es-ES"/>
        </w:rPr>
        <w:t xml:space="preserve">Investigación: </w:t>
      </w:r>
      <w:r w:rsidRPr="00276C5B">
        <w:rPr>
          <w:bCs/>
          <w:i/>
          <w:iCs/>
          <w:kern w:val="3"/>
          <w:lang w:val="es-ES" w:eastAsia="es-ES"/>
        </w:rPr>
        <w:t xml:space="preserve">Disney Borrego Gutierrez, Danay Vázquez Rivero, Celidanay Ramírez Mesa, </w:t>
      </w:r>
      <w:r w:rsidRPr="00276C5B">
        <w:rPr>
          <w:i/>
          <w:iCs/>
          <w:kern w:val="3"/>
          <w:lang w:val="es-ES" w:eastAsia="es-ES"/>
        </w:rPr>
        <w:t>Calixto Orozco Muñoz.</w:t>
      </w:r>
    </w:p>
    <w:p w14:paraId="0EF3D9D2" w14:textId="77777777" w:rsidR="00276C5B" w:rsidRPr="00276C5B" w:rsidRDefault="00276C5B" w:rsidP="00276C5B">
      <w:pPr>
        <w:widowControl w:val="0"/>
        <w:suppressAutoHyphens/>
        <w:overflowPunct w:val="0"/>
        <w:autoSpaceDE w:val="0"/>
        <w:autoSpaceDN w:val="0"/>
        <w:spacing w:line="360" w:lineRule="auto"/>
        <w:rPr>
          <w:bCs/>
          <w:i/>
          <w:iCs/>
          <w:kern w:val="3"/>
          <w:lang w:val="es-ES" w:eastAsia="es-ES"/>
        </w:rPr>
      </w:pPr>
      <w:r w:rsidRPr="00276C5B">
        <w:rPr>
          <w:kern w:val="3"/>
          <w:lang w:val="es-ES" w:eastAsia="es-ES"/>
        </w:rPr>
        <w:t xml:space="preserve">Metodología: </w:t>
      </w:r>
      <w:r w:rsidRPr="00276C5B">
        <w:rPr>
          <w:bCs/>
          <w:i/>
          <w:iCs/>
          <w:kern w:val="3"/>
          <w:lang w:val="es-ES" w:eastAsia="es-ES"/>
        </w:rPr>
        <w:t>Nélida Sarasa Muñoz, Elizabeth Álvarez Guerra González.</w:t>
      </w:r>
    </w:p>
    <w:p w14:paraId="3BF81153" w14:textId="77777777" w:rsidR="00276C5B" w:rsidRPr="00276C5B" w:rsidRDefault="00276C5B" w:rsidP="00276C5B">
      <w:pPr>
        <w:widowControl w:val="0"/>
        <w:suppressAutoHyphens/>
        <w:overflowPunct w:val="0"/>
        <w:autoSpaceDE w:val="0"/>
        <w:autoSpaceDN w:val="0"/>
        <w:spacing w:line="360" w:lineRule="auto"/>
        <w:rPr>
          <w:bCs/>
          <w:kern w:val="3"/>
          <w:lang w:val="es-ES" w:eastAsia="es-ES"/>
        </w:rPr>
      </w:pPr>
      <w:r w:rsidRPr="00276C5B">
        <w:rPr>
          <w:kern w:val="3"/>
          <w:lang w:val="es-ES" w:eastAsia="es-ES"/>
        </w:rPr>
        <w:t>Administración del proyecto:</w:t>
      </w:r>
      <w:r w:rsidRPr="00276C5B">
        <w:rPr>
          <w:bCs/>
          <w:kern w:val="3"/>
          <w:lang w:val="es-ES" w:eastAsia="es-ES"/>
        </w:rPr>
        <w:t xml:space="preserve"> </w:t>
      </w:r>
      <w:r w:rsidRPr="00276C5B">
        <w:rPr>
          <w:bCs/>
          <w:i/>
          <w:iCs/>
          <w:kern w:val="3"/>
          <w:lang w:val="es-ES" w:eastAsia="es-ES"/>
        </w:rPr>
        <w:t>Nélida Sarasa Muñoz.</w:t>
      </w:r>
    </w:p>
    <w:p w14:paraId="36BD744B" w14:textId="77777777" w:rsidR="00276C5B" w:rsidRPr="00276C5B" w:rsidRDefault="00276C5B" w:rsidP="00276C5B">
      <w:pPr>
        <w:widowControl w:val="0"/>
        <w:suppressAutoHyphens/>
        <w:overflowPunct w:val="0"/>
        <w:autoSpaceDE w:val="0"/>
        <w:autoSpaceDN w:val="0"/>
        <w:spacing w:line="360" w:lineRule="auto"/>
        <w:rPr>
          <w:kern w:val="3"/>
          <w:lang w:val="es-ES" w:eastAsia="es-ES"/>
        </w:rPr>
      </w:pPr>
      <w:r w:rsidRPr="00276C5B">
        <w:rPr>
          <w:kern w:val="3"/>
          <w:lang w:val="es-ES" w:eastAsia="es-ES"/>
        </w:rPr>
        <w:t xml:space="preserve">Supervisión: </w:t>
      </w:r>
      <w:r w:rsidRPr="00276C5B">
        <w:rPr>
          <w:bCs/>
          <w:i/>
          <w:iCs/>
          <w:kern w:val="3"/>
          <w:lang w:val="es-ES" w:eastAsia="es-ES"/>
        </w:rPr>
        <w:t xml:space="preserve">Nélida Sarasa Muñoz. </w:t>
      </w:r>
    </w:p>
    <w:p w14:paraId="1D23449A" w14:textId="77777777" w:rsidR="00276C5B" w:rsidRPr="00276C5B" w:rsidRDefault="00276C5B" w:rsidP="00276C5B">
      <w:pPr>
        <w:widowControl w:val="0"/>
        <w:suppressAutoHyphens/>
        <w:overflowPunct w:val="0"/>
        <w:autoSpaceDE w:val="0"/>
        <w:autoSpaceDN w:val="0"/>
        <w:spacing w:line="360" w:lineRule="auto"/>
        <w:rPr>
          <w:kern w:val="3"/>
          <w:lang w:val="es-ES" w:eastAsia="es-ES"/>
        </w:rPr>
      </w:pPr>
      <w:r w:rsidRPr="00276C5B">
        <w:rPr>
          <w:kern w:val="3"/>
          <w:lang w:val="es-ES" w:eastAsia="es-ES"/>
        </w:rPr>
        <w:t xml:space="preserve">Visualización: </w:t>
      </w:r>
      <w:r w:rsidRPr="00276C5B">
        <w:rPr>
          <w:i/>
          <w:iCs/>
          <w:kern w:val="3"/>
          <w:lang w:val="es-ES" w:eastAsia="es-ES"/>
        </w:rPr>
        <w:t>Disney Borrego Gutierrez.</w:t>
      </w:r>
    </w:p>
    <w:p w14:paraId="6D0B9C3D" w14:textId="77777777" w:rsidR="00276C5B" w:rsidRPr="00276C5B" w:rsidRDefault="00276C5B" w:rsidP="00276C5B">
      <w:pPr>
        <w:widowControl w:val="0"/>
        <w:suppressAutoHyphens/>
        <w:overflowPunct w:val="0"/>
        <w:autoSpaceDE w:val="0"/>
        <w:autoSpaceDN w:val="0"/>
        <w:spacing w:line="360" w:lineRule="auto"/>
        <w:rPr>
          <w:kern w:val="3"/>
          <w:lang w:val="es-ES" w:eastAsia="es-ES"/>
        </w:rPr>
      </w:pPr>
      <w:r w:rsidRPr="00276C5B">
        <w:rPr>
          <w:kern w:val="3"/>
          <w:lang w:val="es-ES" w:eastAsia="es-ES"/>
        </w:rPr>
        <w:t xml:space="preserve">Redacción – borrador original: </w:t>
      </w:r>
      <w:r w:rsidRPr="00276C5B">
        <w:rPr>
          <w:bCs/>
          <w:i/>
          <w:iCs/>
          <w:kern w:val="3"/>
          <w:lang w:val="es-ES" w:eastAsia="es-ES"/>
        </w:rPr>
        <w:t>Disney Borrego Gutierrez.</w:t>
      </w:r>
    </w:p>
    <w:p w14:paraId="7175B742" w14:textId="77777777" w:rsidR="00276C5B" w:rsidRPr="00276C5B" w:rsidRDefault="00276C5B" w:rsidP="00276C5B">
      <w:pPr>
        <w:widowControl w:val="0"/>
        <w:suppressAutoHyphens/>
        <w:overflowPunct w:val="0"/>
        <w:autoSpaceDE w:val="0"/>
        <w:autoSpaceDN w:val="0"/>
        <w:spacing w:line="360" w:lineRule="auto"/>
        <w:rPr>
          <w:kern w:val="3"/>
          <w:lang w:val="es-ES" w:eastAsia="es-ES"/>
        </w:rPr>
      </w:pPr>
      <w:r w:rsidRPr="00276C5B">
        <w:rPr>
          <w:kern w:val="3"/>
          <w:lang w:val="es-ES" w:eastAsia="es-ES"/>
        </w:rPr>
        <w:t xml:space="preserve">Redacción – revisión y edición: </w:t>
      </w:r>
      <w:r w:rsidRPr="00276C5B">
        <w:rPr>
          <w:bCs/>
          <w:i/>
          <w:iCs/>
          <w:kern w:val="3"/>
          <w:lang w:val="es-ES" w:eastAsia="es-ES"/>
        </w:rPr>
        <w:t>Disney Borrego Gutierrez, Nélida Sarasa Muñoz.</w:t>
      </w:r>
    </w:p>
    <w:p w14:paraId="289952CC" w14:textId="77777777" w:rsidR="00675476" w:rsidRPr="0055115D" w:rsidRDefault="00675476" w:rsidP="00EA1FEF">
      <w:pPr>
        <w:pStyle w:val="PDFRevista"/>
      </w:pPr>
    </w:p>
    <w:sectPr w:rsidR="00675476" w:rsidRPr="0055115D" w:rsidSect="00FD3DF8">
      <w:headerReference w:type="default" r:id="rId36"/>
      <w:footerReference w:type="even" r:id="rId37"/>
      <w:footerReference w:type="default" r:id="rId3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F64" w14:textId="77777777" w:rsidR="00B63F17" w:rsidRDefault="00B63F17">
      <w:r>
        <w:separator/>
      </w:r>
    </w:p>
  </w:endnote>
  <w:endnote w:type="continuationSeparator" w:id="0">
    <w:p w14:paraId="47615A31" w14:textId="77777777" w:rsidR="00B63F17" w:rsidRDefault="00B6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69">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nt263">
    <w:altName w:val="Calibri"/>
    <w:charset w:val="01"/>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335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AB180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4AA8"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397BB240" wp14:editId="59722248">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2A4B"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BBCC0C9" w14:textId="77777777" w:rsidR="00675476" w:rsidRPr="00AE044C" w:rsidRDefault="00B63F17" w:rsidP="00391509">
    <w:pPr>
      <w:pStyle w:val="Piedepgina"/>
      <w:ind w:right="360"/>
      <w:rPr>
        <w:sz w:val="22"/>
        <w:szCs w:val="22"/>
      </w:rPr>
    </w:pPr>
    <w:hyperlink r:id="rId1" w:history="1">
      <w:r w:rsidR="00391509" w:rsidRPr="00AE044C">
        <w:rPr>
          <w:rStyle w:val="Hipervnculo"/>
          <w:sz w:val="22"/>
          <w:szCs w:val="22"/>
        </w:rPr>
        <w:t>http://scielo.sld.cu</w:t>
      </w:r>
    </w:hyperlink>
  </w:p>
  <w:p w14:paraId="533CA9DF" w14:textId="77777777" w:rsidR="00391509" w:rsidRPr="00AE044C" w:rsidRDefault="00B63F17"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94DBB75"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0A9A069E" wp14:editId="51FC826F">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3E2D" w14:textId="77777777" w:rsidR="00B63F17" w:rsidRDefault="00B63F17">
      <w:r>
        <w:separator/>
      </w:r>
    </w:p>
  </w:footnote>
  <w:footnote w:type="continuationSeparator" w:id="0">
    <w:p w14:paraId="2E49485A" w14:textId="77777777" w:rsidR="00B63F17" w:rsidRDefault="00B6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EFCC" w14:textId="1F07CF64" w:rsidR="00CC376A" w:rsidRPr="00AE044C" w:rsidRDefault="00276C5B"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7F1F7C81" wp14:editId="75F86363">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e024015721</w:t>
    </w:r>
  </w:p>
  <w:p w14:paraId="1F7930CA"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5509C260" wp14:editId="7272CEFD">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EFD37"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8EA"/>
    <w:multiLevelType w:val="hybridMultilevel"/>
    <w:tmpl w:val="441C63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14790D"/>
    <w:multiLevelType w:val="hybridMultilevel"/>
    <w:tmpl w:val="EFC4B830"/>
    <w:lvl w:ilvl="0" w:tplc="E2264FE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861C5"/>
    <w:multiLevelType w:val="hybridMultilevel"/>
    <w:tmpl w:val="011CF384"/>
    <w:lvl w:ilvl="0" w:tplc="9FE83418">
      <w:numFmt w:val="bullet"/>
      <w:lvlText w:val="-"/>
      <w:lvlJc w:val="left"/>
      <w:pPr>
        <w:ind w:left="720" w:hanging="360"/>
      </w:pPr>
      <w:rPr>
        <w:rFonts w:ascii="Calibri" w:eastAsia="font269" w:hAnsi="Calibri" w:cs="font269"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8F4509"/>
    <w:multiLevelType w:val="hybridMultilevel"/>
    <w:tmpl w:val="598A83F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C136A5"/>
    <w:multiLevelType w:val="hybridMultilevel"/>
    <w:tmpl w:val="1CD21224"/>
    <w:lvl w:ilvl="0" w:tplc="77CC69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8104A"/>
    <w:multiLevelType w:val="hybridMultilevel"/>
    <w:tmpl w:val="A442EEB4"/>
    <w:lvl w:ilvl="0" w:tplc="CA1E9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66D25DD0"/>
    <w:multiLevelType w:val="multilevel"/>
    <w:tmpl w:val="A03A59D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66EB2427"/>
    <w:multiLevelType w:val="hybridMultilevel"/>
    <w:tmpl w:val="AB207350"/>
    <w:lvl w:ilvl="0" w:tplc="C1C071C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BCE0945"/>
    <w:multiLevelType w:val="hybridMultilevel"/>
    <w:tmpl w:val="8E5E39E4"/>
    <w:lvl w:ilvl="0" w:tplc="5DE6B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211AE"/>
    <w:multiLevelType w:val="hybridMultilevel"/>
    <w:tmpl w:val="28D00E5C"/>
    <w:lvl w:ilvl="0" w:tplc="910CE86C">
      <w:numFmt w:val="bullet"/>
      <w:lvlText w:val="-"/>
      <w:lvlJc w:val="left"/>
      <w:pPr>
        <w:ind w:left="720" w:hanging="360"/>
      </w:pPr>
      <w:rPr>
        <w:rFonts w:ascii="Calibri" w:eastAsia="font269"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75C1C"/>
    <w:multiLevelType w:val="hybridMultilevel"/>
    <w:tmpl w:val="87CE9494"/>
    <w:lvl w:ilvl="0" w:tplc="EC7845C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7C5F20"/>
    <w:multiLevelType w:val="hybridMultilevel"/>
    <w:tmpl w:val="82682F92"/>
    <w:lvl w:ilvl="0" w:tplc="40CE917A">
      <w:numFmt w:val="bullet"/>
      <w:lvlText w:val="-"/>
      <w:lvlJc w:val="left"/>
      <w:pPr>
        <w:ind w:left="720" w:hanging="360"/>
      </w:pPr>
      <w:rPr>
        <w:rFonts w:ascii="Calibri" w:eastAsia="font269"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7"/>
  </w:num>
  <w:num w:numId="6">
    <w:abstractNumId w:val="1"/>
  </w:num>
  <w:num w:numId="7">
    <w:abstractNumId w:val="11"/>
  </w:num>
  <w:num w:numId="8">
    <w:abstractNumId w:val="3"/>
  </w:num>
  <w:num w:numId="9">
    <w:abstractNumId w:val="4"/>
  </w:num>
  <w:num w:numId="10">
    <w:abstractNumId w:val="8"/>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5B"/>
    <w:rsid w:val="00057F45"/>
    <w:rsid w:val="000A6727"/>
    <w:rsid w:val="000D3958"/>
    <w:rsid w:val="000F3690"/>
    <w:rsid w:val="001221D1"/>
    <w:rsid w:val="00165CB5"/>
    <w:rsid w:val="00180CE9"/>
    <w:rsid w:val="00230DD5"/>
    <w:rsid w:val="00250AE9"/>
    <w:rsid w:val="00276C5B"/>
    <w:rsid w:val="003561B0"/>
    <w:rsid w:val="00380D64"/>
    <w:rsid w:val="00391509"/>
    <w:rsid w:val="003E03D5"/>
    <w:rsid w:val="003F0893"/>
    <w:rsid w:val="003F4963"/>
    <w:rsid w:val="00486BFA"/>
    <w:rsid w:val="00493701"/>
    <w:rsid w:val="004E2065"/>
    <w:rsid w:val="005508A2"/>
    <w:rsid w:val="0055115D"/>
    <w:rsid w:val="00566F71"/>
    <w:rsid w:val="005918BD"/>
    <w:rsid w:val="006173A6"/>
    <w:rsid w:val="00675476"/>
    <w:rsid w:val="0079722A"/>
    <w:rsid w:val="007C430F"/>
    <w:rsid w:val="007D2D0C"/>
    <w:rsid w:val="007D614D"/>
    <w:rsid w:val="00835268"/>
    <w:rsid w:val="008E6D40"/>
    <w:rsid w:val="00907781"/>
    <w:rsid w:val="00915D3C"/>
    <w:rsid w:val="00922849"/>
    <w:rsid w:val="00960D6A"/>
    <w:rsid w:val="009850B8"/>
    <w:rsid w:val="009A0560"/>
    <w:rsid w:val="009B0917"/>
    <w:rsid w:val="009F0F96"/>
    <w:rsid w:val="00A23C0C"/>
    <w:rsid w:val="00A477DE"/>
    <w:rsid w:val="00A66186"/>
    <w:rsid w:val="00A71E65"/>
    <w:rsid w:val="00A92470"/>
    <w:rsid w:val="00AE044C"/>
    <w:rsid w:val="00B31971"/>
    <w:rsid w:val="00B4380A"/>
    <w:rsid w:val="00B60D33"/>
    <w:rsid w:val="00B63F17"/>
    <w:rsid w:val="00B66ECB"/>
    <w:rsid w:val="00C7523A"/>
    <w:rsid w:val="00CC1B6E"/>
    <w:rsid w:val="00CC376A"/>
    <w:rsid w:val="00CC48A1"/>
    <w:rsid w:val="00CF50E0"/>
    <w:rsid w:val="00D44B6B"/>
    <w:rsid w:val="00D818D3"/>
    <w:rsid w:val="00D85951"/>
    <w:rsid w:val="00E62606"/>
    <w:rsid w:val="00EA1FEF"/>
    <w:rsid w:val="00EC5A6B"/>
    <w:rsid w:val="00EE301D"/>
    <w:rsid w:val="00EF5383"/>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370E7"/>
  <w15:docId w15:val="{6C92CB85-1C92-4936-B5CD-5CB72144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276C5B"/>
    <w:pPr>
      <w:keepNext/>
      <w:keepLines/>
      <w:spacing w:before="240"/>
      <w:outlineLvl w:val="0"/>
    </w:pPr>
    <w:rPr>
      <w:rFonts w:ascii="Calibri Light" w:hAnsi="Calibri Light"/>
      <w:color w:val="2E74B5"/>
      <w:kern w:val="3"/>
      <w:sz w:val="32"/>
      <w:szCs w:val="32"/>
      <w:lang w:val="es-ES" w:eastAsia="es-ES"/>
    </w:rPr>
  </w:style>
  <w:style w:type="paragraph" w:styleId="Ttulo2">
    <w:name w:val="heading 2"/>
    <w:basedOn w:val="Normal"/>
    <w:next w:val="Normal"/>
    <w:link w:val="Ttulo2Car"/>
    <w:uiPriority w:val="9"/>
    <w:semiHidden/>
    <w:unhideWhenUsed/>
    <w:qFormat/>
    <w:rsid w:val="00276C5B"/>
    <w:pPr>
      <w:keepNext/>
      <w:keepLines/>
      <w:spacing w:before="40"/>
      <w:outlineLvl w:val="1"/>
    </w:pPr>
    <w:rPr>
      <w:rFonts w:ascii="Calibri Light" w:hAnsi="Calibri Light"/>
      <w:color w:val="2E74B5"/>
      <w:kern w:val="3"/>
      <w:sz w:val="26"/>
      <w:szCs w:val="26"/>
      <w:lang w:val="es-ES" w:eastAsia="es-ES"/>
    </w:rPr>
  </w:style>
  <w:style w:type="paragraph" w:styleId="Ttulo3">
    <w:name w:val="heading 3"/>
    <w:basedOn w:val="Normal"/>
    <w:next w:val="Normal"/>
    <w:link w:val="Ttulo3Car"/>
    <w:uiPriority w:val="9"/>
    <w:semiHidden/>
    <w:unhideWhenUsed/>
    <w:qFormat/>
    <w:rsid w:val="00276C5B"/>
    <w:pPr>
      <w:keepNext/>
      <w:keepLines/>
      <w:spacing w:before="40"/>
      <w:outlineLvl w:val="2"/>
    </w:pPr>
    <w:rPr>
      <w:rFonts w:ascii="Calibri Light" w:hAnsi="Calibri Light"/>
      <w:color w:val="1F4D78"/>
      <w:kern w:val="3"/>
      <w:lang w:val="es-ES" w:eastAsia="es-ES"/>
    </w:rPr>
  </w:style>
  <w:style w:type="paragraph" w:styleId="Ttulo4">
    <w:name w:val="heading 4"/>
    <w:basedOn w:val="Normal"/>
    <w:next w:val="Normal"/>
    <w:link w:val="Ttulo4Car"/>
    <w:uiPriority w:val="9"/>
    <w:semiHidden/>
    <w:unhideWhenUsed/>
    <w:qFormat/>
    <w:rsid w:val="00276C5B"/>
    <w:pPr>
      <w:keepNext/>
      <w:keepLines/>
      <w:spacing w:before="40"/>
      <w:outlineLvl w:val="3"/>
    </w:pPr>
    <w:rPr>
      <w:rFonts w:ascii="Calibri Light" w:hAnsi="Calibri Light"/>
      <w:i/>
      <w:iCs/>
      <w:color w:val="2E74B5"/>
      <w:kern w:val="3"/>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paragraph" w:customStyle="1" w:styleId="Ttulo11">
    <w:name w:val="Título 11"/>
    <w:basedOn w:val="Normal"/>
    <w:next w:val="Normal"/>
    <w:uiPriority w:val="9"/>
    <w:qFormat/>
    <w:rsid w:val="00276C5B"/>
    <w:pPr>
      <w:keepNext/>
      <w:keepLines/>
      <w:widowControl w:val="0"/>
      <w:suppressAutoHyphens/>
      <w:overflowPunct w:val="0"/>
      <w:autoSpaceDE w:val="0"/>
      <w:autoSpaceDN w:val="0"/>
      <w:spacing w:before="240"/>
      <w:textAlignment w:val="baseline"/>
      <w:outlineLvl w:val="0"/>
    </w:pPr>
    <w:rPr>
      <w:rFonts w:ascii="Calibri Light" w:hAnsi="Calibri Light"/>
      <w:color w:val="2E74B5"/>
      <w:kern w:val="3"/>
      <w:sz w:val="32"/>
      <w:szCs w:val="32"/>
      <w:lang w:val="es-ES" w:eastAsia="es-ES"/>
    </w:rPr>
  </w:style>
  <w:style w:type="paragraph" w:customStyle="1" w:styleId="Ttulo21">
    <w:name w:val="Título 21"/>
    <w:basedOn w:val="Normal"/>
    <w:next w:val="Normal"/>
    <w:uiPriority w:val="9"/>
    <w:unhideWhenUsed/>
    <w:qFormat/>
    <w:rsid w:val="00276C5B"/>
    <w:pPr>
      <w:keepNext/>
      <w:keepLines/>
      <w:widowControl w:val="0"/>
      <w:suppressAutoHyphens/>
      <w:overflowPunct w:val="0"/>
      <w:autoSpaceDE w:val="0"/>
      <w:autoSpaceDN w:val="0"/>
      <w:spacing w:before="40"/>
      <w:textAlignment w:val="baseline"/>
      <w:outlineLvl w:val="1"/>
    </w:pPr>
    <w:rPr>
      <w:rFonts w:ascii="Calibri Light" w:hAnsi="Calibri Light"/>
      <w:color w:val="2E74B5"/>
      <w:kern w:val="3"/>
      <w:sz w:val="26"/>
      <w:szCs w:val="26"/>
      <w:lang w:val="es-ES" w:eastAsia="es-ES"/>
    </w:rPr>
  </w:style>
  <w:style w:type="paragraph" w:customStyle="1" w:styleId="Ttulo31">
    <w:name w:val="Título 31"/>
    <w:basedOn w:val="Normal"/>
    <w:next w:val="Normal"/>
    <w:uiPriority w:val="9"/>
    <w:unhideWhenUsed/>
    <w:qFormat/>
    <w:rsid w:val="00276C5B"/>
    <w:pPr>
      <w:keepNext/>
      <w:keepLines/>
      <w:widowControl w:val="0"/>
      <w:suppressAutoHyphens/>
      <w:overflowPunct w:val="0"/>
      <w:autoSpaceDE w:val="0"/>
      <w:autoSpaceDN w:val="0"/>
      <w:spacing w:before="40"/>
      <w:textAlignment w:val="baseline"/>
      <w:outlineLvl w:val="2"/>
    </w:pPr>
    <w:rPr>
      <w:rFonts w:ascii="Calibri Light" w:hAnsi="Calibri Light"/>
      <w:color w:val="1F4D78"/>
      <w:kern w:val="3"/>
      <w:lang w:val="es-ES" w:eastAsia="es-ES"/>
    </w:rPr>
  </w:style>
  <w:style w:type="paragraph" w:customStyle="1" w:styleId="Ttulo41">
    <w:name w:val="Título 41"/>
    <w:basedOn w:val="Normal"/>
    <w:next w:val="Normal"/>
    <w:uiPriority w:val="9"/>
    <w:unhideWhenUsed/>
    <w:qFormat/>
    <w:rsid w:val="00276C5B"/>
    <w:pPr>
      <w:keepNext/>
      <w:keepLines/>
      <w:widowControl w:val="0"/>
      <w:suppressAutoHyphens/>
      <w:overflowPunct w:val="0"/>
      <w:autoSpaceDE w:val="0"/>
      <w:autoSpaceDN w:val="0"/>
      <w:spacing w:before="40"/>
      <w:textAlignment w:val="baseline"/>
      <w:outlineLvl w:val="3"/>
    </w:pPr>
    <w:rPr>
      <w:rFonts w:ascii="Calibri Light" w:hAnsi="Calibri Light"/>
      <w:i/>
      <w:iCs/>
      <w:color w:val="2E74B5"/>
      <w:kern w:val="3"/>
      <w:sz w:val="22"/>
      <w:szCs w:val="22"/>
      <w:lang w:val="es-ES" w:eastAsia="es-ES"/>
    </w:rPr>
  </w:style>
  <w:style w:type="numbering" w:customStyle="1" w:styleId="Sinlista1">
    <w:name w:val="Sin lista1"/>
    <w:next w:val="Sinlista"/>
    <w:uiPriority w:val="99"/>
    <w:semiHidden/>
    <w:unhideWhenUsed/>
    <w:rsid w:val="00276C5B"/>
  </w:style>
  <w:style w:type="character" w:customStyle="1" w:styleId="Ttulo1Car">
    <w:name w:val="Título 1 Car"/>
    <w:basedOn w:val="Fuentedeprrafopredeter"/>
    <w:link w:val="Ttulo1"/>
    <w:uiPriority w:val="9"/>
    <w:rsid w:val="00276C5B"/>
    <w:rPr>
      <w:rFonts w:ascii="Calibri Light" w:eastAsia="Times New Roman" w:hAnsi="Calibri Light" w:cs="Times New Roman"/>
      <w:color w:val="2E74B5"/>
      <w:kern w:val="3"/>
      <w:sz w:val="32"/>
      <w:szCs w:val="32"/>
      <w:lang w:val="es-ES" w:eastAsia="es-ES"/>
    </w:rPr>
  </w:style>
  <w:style w:type="character" w:customStyle="1" w:styleId="Ttulo2Car">
    <w:name w:val="Título 2 Car"/>
    <w:basedOn w:val="Fuentedeprrafopredeter"/>
    <w:link w:val="Ttulo2"/>
    <w:uiPriority w:val="9"/>
    <w:rsid w:val="00276C5B"/>
    <w:rPr>
      <w:rFonts w:ascii="Calibri Light" w:eastAsia="Times New Roman" w:hAnsi="Calibri Light" w:cs="Times New Roman"/>
      <w:color w:val="2E74B5"/>
      <w:kern w:val="3"/>
      <w:sz w:val="26"/>
      <w:szCs w:val="26"/>
      <w:lang w:val="es-ES" w:eastAsia="es-ES"/>
    </w:rPr>
  </w:style>
  <w:style w:type="character" w:customStyle="1" w:styleId="Ttulo3Car">
    <w:name w:val="Título 3 Car"/>
    <w:basedOn w:val="Fuentedeprrafopredeter"/>
    <w:link w:val="Ttulo3"/>
    <w:uiPriority w:val="9"/>
    <w:rsid w:val="00276C5B"/>
    <w:rPr>
      <w:rFonts w:ascii="Calibri Light" w:eastAsia="Times New Roman" w:hAnsi="Calibri Light" w:cs="Times New Roman"/>
      <w:color w:val="1F4D78"/>
      <w:kern w:val="3"/>
      <w:sz w:val="24"/>
      <w:szCs w:val="24"/>
      <w:lang w:val="es-ES" w:eastAsia="es-ES"/>
    </w:rPr>
  </w:style>
  <w:style w:type="character" w:customStyle="1" w:styleId="Ttulo4Car">
    <w:name w:val="Título 4 Car"/>
    <w:basedOn w:val="Fuentedeprrafopredeter"/>
    <w:link w:val="Ttulo4"/>
    <w:uiPriority w:val="9"/>
    <w:rsid w:val="00276C5B"/>
    <w:rPr>
      <w:rFonts w:ascii="Calibri Light" w:eastAsia="Times New Roman" w:hAnsi="Calibri Light" w:cs="Times New Roman"/>
      <w:i/>
      <w:iCs/>
      <w:color w:val="2E74B5"/>
      <w:kern w:val="3"/>
      <w:lang w:val="es-ES" w:eastAsia="es-ES"/>
    </w:rPr>
  </w:style>
  <w:style w:type="table" w:customStyle="1" w:styleId="Tablanormal21">
    <w:name w:val="Tabla normal 21"/>
    <w:basedOn w:val="Tablanormal"/>
    <w:uiPriority w:val="42"/>
    <w:rsid w:val="00276C5B"/>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rrafodelista">
    <w:name w:val="List Paragraph"/>
    <w:basedOn w:val="Normal"/>
    <w:uiPriority w:val="34"/>
    <w:qFormat/>
    <w:rsid w:val="00276C5B"/>
    <w:pPr>
      <w:widowControl w:val="0"/>
      <w:suppressAutoHyphens/>
      <w:overflowPunct w:val="0"/>
      <w:autoSpaceDE w:val="0"/>
      <w:autoSpaceDN w:val="0"/>
      <w:ind w:left="720"/>
      <w:contextualSpacing/>
      <w:textAlignment w:val="baseline"/>
    </w:pPr>
    <w:rPr>
      <w:rFonts w:ascii="Calibri" w:hAnsi="Calibri"/>
      <w:kern w:val="3"/>
      <w:sz w:val="22"/>
      <w:szCs w:val="22"/>
      <w:lang w:val="es-ES" w:eastAsia="es-ES"/>
    </w:rPr>
  </w:style>
  <w:style w:type="paragraph" w:customStyle="1" w:styleId="Subttulo1">
    <w:name w:val="Subtítulo1"/>
    <w:basedOn w:val="Normal"/>
    <w:next w:val="Normal"/>
    <w:uiPriority w:val="11"/>
    <w:qFormat/>
    <w:rsid w:val="00276C5B"/>
    <w:pPr>
      <w:widowControl w:val="0"/>
      <w:numPr>
        <w:ilvl w:val="1"/>
      </w:numPr>
      <w:suppressAutoHyphens/>
      <w:overflowPunct w:val="0"/>
      <w:autoSpaceDE w:val="0"/>
      <w:autoSpaceDN w:val="0"/>
      <w:spacing w:after="160"/>
      <w:textAlignment w:val="baseline"/>
    </w:pPr>
    <w:rPr>
      <w:rFonts w:ascii="Calibri" w:hAnsi="Calibri"/>
      <w:color w:val="5A5A5A"/>
      <w:spacing w:val="15"/>
      <w:kern w:val="3"/>
      <w:sz w:val="22"/>
      <w:szCs w:val="22"/>
      <w:lang w:val="es-ES" w:eastAsia="es-ES"/>
    </w:rPr>
  </w:style>
  <w:style w:type="character" w:customStyle="1" w:styleId="SubttuloCar">
    <w:name w:val="Subtítulo Car"/>
    <w:basedOn w:val="Fuentedeprrafopredeter"/>
    <w:link w:val="Subttulo"/>
    <w:uiPriority w:val="11"/>
    <w:rsid w:val="00276C5B"/>
    <w:rPr>
      <w:rFonts w:eastAsia="Times New Roman"/>
      <w:color w:val="5A5A5A"/>
      <w:spacing w:val="15"/>
      <w:kern w:val="3"/>
      <w:lang w:val="es-ES" w:eastAsia="es-ES"/>
    </w:rPr>
  </w:style>
  <w:style w:type="character" w:customStyle="1" w:styleId="nfasissutil1">
    <w:name w:val="Énfasis sutil1"/>
    <w:basedOn w:val="Fuentedeprrafopredeter"/>
    <w:uiPriority w:val="19"/>
    <w:qFormat/>
    <w:rsid w:val="00276C5B"/>
    <w:rPr>
      <w:i/>
      <w:iCs/>
      <w:color w:val="404040"/>
    </w:rPr>
  </w:style>
  <w:style w:type="table" w:customStyle="1" w:styleId="Listaclara1">
    <w:name w:val="Lista clara1"/>
    <w:basedOn w:val="Tablanormal"/>
    <w:next w:val="Listaclara"/>
    <w:uiPriority w:val="61"/>
    <w:rsid w:val="00276C5B"/>
    <w:rPr>
      <w:rFonts w:ascii="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Refdecomentario">
    <w:name w:val="annotation reference"/>
    <w:uiPriority w:val="99"/>
    <w:semiHidden/>
    <w:unhideWhenUsed/>
    <w:rsid w:val="00276C5B"/>
    <w:rPr>
      <w:sz w:val="16"/>
      <w:szCs w:val="16"/>
    </w:rPr>
  </w:style>
  <w:style w:type="paragraph" w:styleId="Textocomentario">
    <w:name w:val="annotation text"/>
    <w:basedOn w:val="Normal"/>
    <w:link w:val="TextocomentarioCar"/>
    <w:uiPriority w:val="99"/>
    <w:unhideWhenUsed/>
    <w:rsid w:val="00276C5B"/>
    <w:pPr>
      <w:suppressAutoHyphens/>
      <w:spacing w:after="200" w:line="276" w:lineRule="auto"/>
    </w:pPr>
    <w:rPr>
      <w:rFonts w:ascii="Calibri" w:eastAsia="font269" w:hAnsi="Calibri" w:cs="font269"/>
      <w:kern w:val="1"/>
      <w:sz w:val="20"/>
      <w:szCs w:val="20"/>
      <w:lang w:val="es-ES" w:eastAsia="es-ES"/>
    </w:rPr>
  </w:style>
  <w:style w:type="character" w:customStyle="1" w:styleId="TextocomentarioCar">
    <w:name w:val="Texto comentario Car"/>
    <w:basedOn w:val="Fuentedeprrafopredeter"/>
    <w:link w:val="Textocomentario"/>
    <w:uiPriority w:val="99"/>
    <w:rsid w:val="00276C5B"/>
    <w:rPr>
      <w:rFonts w:ascii="Calibri" w:eastAsia="font269" w:hAnsi="Calibri" w:cs="font269"/>
      <w:kern w:val="1"/>
    </w:rPr>
  </w:style>
  <w:style w:type="paragraph" w:customStyle="1" w:styleId="EndNoteBibliographyTitle">
    <w:name w:val="EndNote Bibliography Title"/>
    <w:basedOn w:val="Normal"/>
    <w:link w:val="EndNoteBibliographyTitleCar"/>
    <w:rsid w:val="00276C5B"/>
    <w:pPr>
      <w:widowControl w:val="0"/>
      <w:suppressAutoHyphens/>
      <w:overflowPunct w:val="0"/>
      <w:autoSpaceDE w:val="0"/>
      <w:autoSpaceDN w:val="0"/>
      <w:jc w:val="center"/>
      <w:textAlignment w:val="baseline"/>
    </w:pPr>
    <w:rPr>
      <w:rFonts w:ascii="Calibri Light" w:hAnsi="Calibri Light" w:cs="Calibri Light"/>
      <w:noProof/>
      <w:kern w:val="3"/>
      <w:sz w:val="32"/>
      <w:szCs w:val="22"/>
      <w:lang w:val="es-ES" w:eastAsia="es-ES"/>
    </w:rPr>
  </w:style>
  <w:style w:type="character" w:customStyle="1" w:styleId="EndNoteBibliographyTitleCar">
    <w:name w:val="EndNote Bibliography Title Car"/>
    <w:basedOn w:val="Fuentedeprrafopredeter"/>
    <w:link w:val="EndNoteBibliographyTitle"/>
    <w:rsid w:val="00276C5B"/>
    <w:rPr>
      <w:rFonts w:ascii="Calibri Light" w:hAnsi="Calibri Light" w:cs="Calibri Light"/>
      <w:noProof/>
      <w:kern w:val="3"/>
      <w:sz w:val="32"/>
      <w:szCs w:val="22"/>
    </w:rPr>
  </w:style>
  <w:style w:type="paragraph" w:customStyle="1" w:styleId="EndNoteBibliography">
    <w:name w:val="EndNote Bibliography"/>
    <w:basedOn w:val="Normal"/>
    <w:link w:val="EndNoteBibliographyCar"/>
    <w:rsid w:val="00276C5B"/>
    <w:pPr>
      <w:widowControl w:val="0"/>
      <w:suppressAutoHyphens/>
      <w:overflowPunct w:val="0"/>
      <w:autoSpaceDE w:val="0"/>
      <w:autoSpaceDN w:val="0"/>
      <w:textAlignment w:val="baseline"/>
    </w:pPr>
    <w:rPr>
      <w:rFonts w:ascii="Calibri Light" w:hAnsi="Calibri Light" w:cs="Calibri Light"/>
      <w:noProof/>
      <w:kern w:val="3"/>
      <w:sz w:val="32"/>
      <w:szCs w:val="22"/>
      <w:lang w:val="es-ES" w:eastAsia="es-ES"/>
    </w:rPr>
  </w:style>
  <w:style w:type="character" w:customStyle="1" w:styleId="EndNoteBibliographyCar">
    <w:name w:val="EndNote Bibliography Car"/>
    <w:basedOn w:val="Fuentedeprrafopredeter"/>
    <w:link w:val="EndNoteBibliography"/>
    <w:rsid w:val="00276C5B"/>
    <w:rPr>
      <w:rFonts w:ascii="Calibri Light" w:hAnsi="Calibri Light" w:cs="Calibri Light"/>
      <w:noProof/>
      <w:kern w:val="3"/>
      <w:sz w:val="32"/>
      <w:szCs w:val="22"/>
    </w:rPr>
  </w:style>
  <w:style w:type="paragraph" w:styleId="Sinespaciado">
    <w:name w:val="No Spacing"/>
    <w:uiPriority w:val="1"/>
    <w:qFormat/>
    <w:rsid w:val="00276C5B"/>
    <w:pPr>
      <w:widowControl w:val="0"/>
      <w:suppressAutoHyphens/>
      <w:overflowPunct w:val="0"/>
      <w:autoSpaceDE w:val="0"/>
      <w:autoSpaceDN w:val="0"/>
      <w:textAlignment w:val="baseline"/>
    </w:pPr>
    <w:rPr>
      <w:rFonts w:ascii="Calibri" w:hAnsi="Calibri"/>
      <w:kern w:val="3"/>
      <w:sz w:val="22"/>
      <w:szCs w:val="22"/>
    </w:rPr>
  </w:style>
  <w:style w:type="character" w:customStyle="1" w:styleId="q4iawc">
    <w:name w:val="q4iawc"/>
    <w:basedOn w:val="Fuentedeprrafopredeter"/>
    <w:rsid w:val="00276C5B"/>
  </w:style>
  <w:style w:type="paragraph" w:styleId="Asuntodelcomentario">
    <w:name w:val="annotation subject"/>
    <w:basedOn w:val="Textocomentario"/>
    <w:next w:val="Textocomentario"/>
    <w:link w:val="AsuntodelcomentarioCar"/>
    <w:uiPriority w:val="99"/>
    <w:semiHidden/>
    <w:unhideWhenUsed/>
    <w:rsid w:val="00276C5B"/>
    <w:pPr>
      <w:widowControl w:val="0"/>
      <w:overflowPunct w:val="0"/>
      <w:autoSpaceDE w:val="0"/>
      <w:autoSpaceDN w:val="0"/>
      <w:spacing w:after="0" w:line="240" w:lineRule="auto"/>
      <w:textAlignment w:val="baseline"/>
    </w:pPr>
    <w:rPr>
      <w:rFonts w:eastAsia="Times New Roman" w:cs="Times New Roman"/>
      <w:b/>
      <w:bCs/>
      <w:kern w:val="3"/>
    </w:rPr>
  </w:style>
  <w:style w:type="character" w:customStyle="1" w:styleId="AsuntodelcomentarioCar">
    <w:name w:val="Asunto del comentario Car"/>
    <w:basedOn w:val="TextocomentarioCar"/>
    <w:link w:val="Asuntodelcomentario"/>
    <w:uiPriority w:val="99"/>
    <w:semiHidden/>
    <w:rsid w:val="00276C5B"/>
    <w:rPr>
      <w:rFonts w:ascii="Calibri" w:eastAsia="font269" w:hAnsi="Calibri" w:cs="font269"/>
      <w:b/>
      <w:bCs/>
      <w:kern w:val="3"/>
    </w:rPr>
  </w:style>
  <w:style w:type="paragraph" w:styleId="Mapadeldocumento">
    <w:name w:val="Document Map"/>
    <w:basedOn w:val="Normal"/>
    <w:link w:val="MapadeldocumentoCar"/>
    <w:uiPriority w:val="99"/>
    <w:semiHidden/>
    <w:unhideWhenUsed/>
    <w:rsid w:val="00276C5B"/>
    <w:pPr>
      <w:widowControl w:val="0"/>
      <w:suppressAutoHyphens/>
      <w:overflowPunct w:val="0"/>
      <w:autoSpaceDE w:val="0"/>
      <w:autoSpaceDN w:val="0"/>
      <w:textAlignment w:val="baseline"/>
    </w:pPr>
    <w:rPr>
      <w:rFonts w:ascii="Tahoma" w:hAnsi="Tahoma" w:cs="Tahoma"/>
      <w:kern w:val="3"/>
      <w:sz w:val="16"/>
      <w:szCs w:val="16"/>
      <w:lang w:val="es-ES" w:eastAsia="es-ES"/>
    </w:rPr>
  </w:style>
  <w:style w:type="character" w:customStyle="1" w:styleId="MapadeldocumentoCar">
    <w:name w:val="Mapa del documento Car"/>
    <w:basedOn w:val="Fuentedeprrafopredeter"/>
    <w:link w:val="Mapadeldocumento"/>
    <w:uiPriority w:val="99"/>
    <w:semiHidden/>
    <w:rsid w:val="00276C5B"/>
    <w:rPr>
      <w:rFonts w:ascii="Tahoma" w:hAnsi="Tahoma" w:cs="Tahoma"/>
      <w:kern w:val="3"/>
      <w:sz w:val="16"/>
      <w:szCs w:val="16"/>
    </w:rPr>
  </w:style>
  <w:style w:type="character" w:customStyle="1" w:styleId="Mencinsinresolver1">
    <w:name w:val="Mención sin resolver1"/>
    <w:basedOn w:val="Fuentedeprrafopredeter"/>
    <w:uiPriority w:val="99"/>
    <w:semiHidden/>
    <w:unhideWhenUsed/>
    <w:rsid w:val="00276C5B"/>
    <w:rPr>
      <w:color w:val="605E5C"/>
      <w:shd w:val="clear" w:color="auto" w:fill="E1DFDD"/>
    </w:rPr>
  </w:style>
  <w:style w:type="paragraph" w:styleId="Revisin">
    <w:name w:val="Revision"/>
    <w:hidden/>
    <w:uiPriority w:val="99"/>
    <w:semiHidden/>
    <w:rsid w:val="00276C5B"/>
    <w:rPr>
      <w:rFonts w:ascii="Calibri" w:hAnsi="Calibri"/>
      <w:kern w:val="3"/>
      <w:sz w:val="22"/>
      <w:szCs w:val="22"/>
    </w:rPr>
  </w:style>
  <w:style w:type="character" w:customStyle="1" w:styleId="Ttulo1Car1">
    <w:name w:val="Título 1 Car1"/>
    <w:basedOn w:val="Fuentedeprrafopredeter"/>
    <w:link w:val="Ttulo1"/>
    <w:rsid w:val="00276C5B"/>
    <w:rPr>
      <w:rFonts w:asciiTheme="majorHAnsi" w:eastAsiaTheme="majorEastAsia" w:hAnsiTheme="majorHAnsi" w:cstheme="majorBidi"/>
      <w:color w:val="365F91" w:themeColor="accent1" w:themeShade="BF"/>
      <w:sz w:val="32"/>
      <w:szCs w:val="32"/>
      <w:lang w:val="es-ES_tradnl" w:eastAsia="es-ES_tradnl"/>
    </w:rPr>
  </w:style>
  <w:style w:type="character" w:customStyle="1" w:styleId="Ttulo2Car1">
    <w:name w:val="Título 2 Car1"/>
    <w:basedOn w:val="Fuentedeprrafopredeter"/>
    <w:link w:val="Ttulo2"/>
    <w:semiHidden/>
    <w:rsid w:val="00276C5B"/>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3Car1">
    <w:name w:val="Título 3 Car1"/>
    <w:basedOn w:val="Fuentedeprrafopredeter"/>
    <w:link w:val="Ttulo3"/>
    <w:semiHidden/>
    <w:rsid w:val="00276C5B"/>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4Car1">
    <w:name w:val="Título 4 Car1"/>
    <w:basedOn w:val="Fuentedeprrafopredeter"/>
    <w:link w:val="Ttulo4"/>
    <w:semiHidden/>
    <w:rsid w:val="00276C5B"/>
    <w:rPr>
      <w:rFonts w:asciiTheme="majorHAnsi" w:eastAsiaTheme="majorEastAsia" w:hAnsiTheme="majorHAnsi" w:cstheme="majorBidi"/>
      <w:i/>
      <w:iCs/>
      <w:color w:val="365F91" w:themeColor="accent1" w:themeShade="BF"/>
      <w:sz w:val="24"/>
      <w:szCs w:val="24"/>
      <w:lang w:val="es-ES_tradnl" w:eastAsia="es-ES_tradnl"/>
    </w:rPr>
  </w:style>
  <w:style w:type="paragraph" w:styleId="Subttulo">
    <w:name w:val="Subtitle"/>
    <w:basedOn w:val="Normal"/>
    <w:next w:val="Normal"/>
    <w:link w:val="SubttuloCar"/>
    <w:uiPriority w:val="11"/>
    <w:qFormat/>
    <w:rsid w:val="00276C5B"/>
    <w:pPr>
      <w:numPr>
        <w:ilvl w:val="1"/>
      </w:numPr>
      <w:spacing w:after="160"/>
    </w:pPr>
    <w:rPr>
      <w:color w:val="5A5A5A"/>
      <w:spacing w:val="15"/>
      <w:kern w:val="3"/>
      <w:sz w:val="20"/>
      <w:szCs w:val="20"/>
      <w:lang w:val="es-ES" w:eastAsia="es-ES"/>
    </w:rPr>
  </w:style>
  <w:style w:type="character" w:customStyle="1" w:styleId="SubttuloCar1">
    <w:name w:val="Subtítulo Car1"/>
    <w:basedOn w:val="Fuentedeprrafopredeter"/>
    <w:link w:val="Subttulo"/>
    <w:rsid w:val="00276C5B"/>
    <w:rPr>
      <w:rFonts w:asciiTheme="minorHAnsi" w:eastAsiaTheme="minorEastAsia" w:hAnsiTheme="minorHAnsi" w:cstheme="minorBidi"/>
      <w:color w:val="5A5A5A" w:themeColor="text1" w:themeTint="A5"/>
      <w:spacing w:val="15"/>
      <w:sz w:val="22"/>
      <w:szCs w:val="22"/>
      <w:lang w:val="es-ES_tradnl" w:eastAsia="es-ES_tradnl"/>
    </w:rPr>
  </w:style>
  <w:style w:type="character" w:styleId="nfasissutil">
    <w:name w:val="Subtle Emphasis"/>
    <w:basedOn w:val="Fuentedeprrafopredeter"/>
    <w:uiPriority w:val="19"/>
    <w:qFormat/>
    <w:rsid w:val="00276C5B"/>
    <w:rPr>
      <w:i/>
      <w:iCs/>
      <w:color w:val="404040" w:themeColor="text1" w:themeTint="BF"/>
    </w:rPr>
  </w:style>
  <w:style w:type="table" w:styleId="Listaclara">
    <w:name w:val="Light List"/>
    <w:basedOn w:val="Tablanormal"/>
    <w:uiPriority w:val="61"/>
    <w:semiHidden/>
    <w:unhideWhenUsed/>
    <w:rsid w:val="00276C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ncyt.upse.edu.ec/ciencia/revistas/index.php/rctu/article/view/527" TargetMode="External"/><Relationship Id="rId26" Type="http://schemas.openxmlformats.org/officeDocument/2006/relationships/hyperlink" Target="https://www.scielosp.org/article/rsap/2007.v9n1/1-10/" TargetMode="External"/><Relationship Id="rId39" Type="http://schemas.openxmlformats.org/officeDocument/2006/relationships/fontTable" Target="fontTable.xml"/><Relationship Id="rId21" Type="http://schemas.openxmlformats.org/officeDocument/2006/relationships/hyperlink" Target="http://medicentro.sld.cu/index.php/medicentro/article/view/3467" TargetMode="External"/><Relationship Id="rId34" Type="http://schemas.openxmlformats.org/officeDocument/2006/relationships/hyperlink" Target="http://scielo.sld.cu/scielo.php?script=sci_arttext&amp;pid=S1025-02552021000500009" TargetMode="External"/><Relationship Id="rId7" Type="http://schemas.openxmlformats.org/officeDocument/2006/relationships/hyperlink" Target="https://orcid.org/0000-0002-2714-0084" TargetMode="External"/><Relationship Id="rId12" Type="http://schemas.openxmlformats.org/officeDocument/2006/relationships/hyperlink" Target="https://orcid.org/0000-0002-7730-2184" TargetMode="External"/><Relationship Id="rId17" Type="http://schemas.openxmlformats.org/officeDocument/2006/relationships/image" Target="media/image5.png"/><Relationship Id="rId25" Type="http://schemas.openxmlformats.org/officeDocument/2006/relationships/hyperlink" Target="https://www.medigraphic.com/cgi-bin/new/resumen.cgi?IDARTICULO=91418" TargetMode="External"/><Relationship Id="rId33" Type="http://schemas.openxmlformats.org/officeDocument/2006/relationships/hyperlink" Target="https://www.medigraphic.com/cgi-bin/new/resumen.cgi?IDARTICULO=82266"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ielo.sld.cu/scielo.php?script=sci_arttext&amp;pid=S1025-02552017000600003" TargetMode="External"/><Relationship Id="rId29" Type="http://schemas.openxmlformats.org/officeDocument/2006/relationships/hyperlink" Target="https://www.thieme-connect.com/products/ejournals/html/10.4103/ijri.IJRI_287_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218-5082" TargetMode="External"/><Relationship Id="rId24" Type="http://schemas.openxmlformats.org/officeDocument/2006/relationships/hyperlink" Target="http://scielo.sld.cu/scielo.php?pid=S1025-02552021000600006&amp;script=sci_abstract&amp;tlng=en" TargetMode="External"/><Relationship Id="rId32" Type="http://schemas.openxmlformats.org/officeDocument/2006/relationships/hyperlink" Target="https://onlinelibrary.wiley.com/doi/abs/10.1002/jum.14725"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cielo.sld.cu/scielo.php?pid=S1029-30432022000200258&amp;script=sci_arttext&amp;tlng=en" TargetMode="External"/><Relationship Id="rId28" Type="http://schemas.openxmlformats.org/officeDocument/2006/relationships/hyperlink" Target="https://www.wma.net/es/policies-post/declaracion-de-helsinki-de-la-amm-principios-eticos-para-las-investigaciones-medicas-en-seres-humanos/" TargetMode="External"/><Relationship Id="rId36" Type="http://schemas.openxmlformats.org/officeDocument/2006/relationships/header" Target="header1.xml"/><Relationship Id="rId10" Type="http://schemas.openxmlformats.org/officeDocument/2006/relationships/hyperlink" Target="https://orcid.org/0000-0002-0085-1767" TargetMode="External"/><Relationship Id="rId19" Type="http://schemas.openxmlformats.org/officeDocument/2006/relationships/hyperlink" Target="http://www.medicentro.sld.cu/index.php/medicentro/article/view/2142" TargetMode="External"/><Relationship Id="rId31" Type="http://schemas.openxmlformats.org/officeDocument/2006/relationships/hyperlink" Target="https://www.mdpi.com/2077-0383/10/13/2984" TargetMode="External"/><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image" Target="media/image2.png"/><Relationship Id="rId22" Type="http://schemas.openxmlformats.org/officeDocument/2006/relationships/hyperlink" Target="http://www.medicentro.sld.cu/index.php/medicentro/article/view/3790" TargetMode="External"/><Relationship Id="rId27" Type="http://schemas.openxmlformats.org/officeDocument/2006/relationships/hyperlink" Target="https://www.unicef.org/cuba/informes/tablas-antropometricas-de-la-embarazada" TargetMode="External"/><Relationship Id="rId30" Type="http://schemas.openxmlformats.org/officeDocument/2006/relationships/hyperlink" Target="https://repository.unimilitar.edu.co/handle/10654/7696" TargetMode="External"/><Relationship Id="rId35" Type="http://schemas.openxmlformats.org/officeDocument/2006/relationships/hyperlink" Target="http://medicentro.sld.cu/index.php/medicentro/article/view/2672" TargetMode="External"/><Relationship Id="rId8" Type="http://schemas.openxmlformats.org/officeDocument/2006/relationships/hyperlink" Target="https://orcid.org/"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22</TotalTime>
  <Pages>17</Pages>
  <Words>4461</Words>
  <Characters>24538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28942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16</cp:revision>
  <cp:lastPrinted>2024-01-30T21:58:00Z</cp:lastPrinted>
  <dcterms:created xsi:type="dcterms:W3CDTF">2024-01-30T21:43:00Z</dcterms:created>
  <dcterms:modified xsi:type="dcterms:W3CDTF">2024-01-30T22:05:00Z</dcterms:modified>
</cp:coreProperties>
</file>