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D2BD" w14:textId="77777777" w:rsidR="00E95827" w:rsidRPr="003356CB" w:rsidRDefault="00E95827" w:rsidP="00E95827">
      <w:pPr>
        <w:spacing w:after="0" w:line="360" w:lineRule="auto"/>
        <w:jc w:val="right"/>
        <w:rPr>
          <w:rFonts w:ascii="Times New Roman" w:hAnsi="Times New Roman" w:cs="Times New Roman"/>
          <w:bCs/>
          <w:sz w:val="20"/>
          <w:szCs w:val="20"/>
        </w:rPr>
      </w:pPr>
      <w:r w:rsidRPr="003356CB">
        <w:rPr>
          <w:rFonts w:ascii="Times New Roman" w:hAnsi="Times New Roman" w:cs="Times New Roman"/>
          <w:bCs/>
          <w:sz w:val="20"/>
          <w:szCs w:val="20"/>
        </w:rPr>
        <w:t>Artículo de investigación</w:t>
      </w:r>
    </w:p>
    <w:p w14:paraId="431D5382" w14:textId="77777777" w:rsidR="00E95827" w:rsidRPr="00AE695B" w:rsidRDefault="00E95827" w:rsidP="00E95827">
      <w:pPr>
        <w:spacing w:after="0" w:line="360" w:lineRule="auto"/>
        <w:jc w:val="both"/>
        <w:rPr>
          <w:rFonts w:ascii="Times New Roman" w:hAnsi="Times New Roman" w:cs="Times New Roman"/>
          <w:b/>
          <w:sz w:val="24"/>
          <w:szCs w:val="24"/>
        </w:rPr>
      </w:pPr>
    </w:p>
    <w:p w14:paraId="57197A91" w14:textId="77777777" w:rsidR="00E95827" w:rsidRPr="0097384A" w:rsidRDefault="00E95827" w:rsidP="00E95827">
      <w:pPr>
        <w:spacing w:after="0" w:line="360" w:lineRule="auto"/>
        <w:jc w:val="center"/>
        <w:rPr>
          <w:rFonts w:ascii="Times New Roman" w:hAnsi="Times New Roman" w:cs="Times New Roman"/>
          <w:b/>
          <w:sz w:val="28"/>
          <w:szCs w:val="28"/>
        </w:rPr>
      </w:pPr>
      <w:r w:rsidRPr="0097384A">
        <w:rPr>
          <w:rFonts w:ascii="Times New Roman" w:hAnsi="Times New Roman" w:cs="Times New Roman"/>
          <w:b/>
          <w:sz w:val="28"/>
          <w:szCs w:val="28"/>
        </w:rPr>
        <w:t>Características clínicas, epidemiológicas y terapéuticas de pacientes atendidos en la unidad de cuidados intensivos</w:t>
      </w:r>
    </w:p>
    <w:p w14:paraId="077FEC70" w14:textId="46A849B1" w:rsidR="00E95827" w:rsidRPr="0097384A" w:rsidRDefault="00E95827" w:rsidP="00E95827">
      <w:pPr>
        <w:spacing w:after="0" w:line="360" w:lineRule="auto"/>
        <w:jc w:val="center"/>
        <w:rPr>
          <w:rFonts w:ascii="Times New Roman" w:hAnsi="Times New Roman" w:cs="Times New Roman"/>
          <w:sz w:val="28"/>
          <w:szCs w:val="28"/>
          <w:lang w:val="en-US"/>
        </w:rPr>
      </w:pPr>
      <w:r w:rsidRPr="0097384A">
        <w:rPr>
          <w:rFonts w:ascii="Times New Roman" w:hAnsi="Times New Roman" w:cs="Times New Roman"/>
          <w:sz w:val="28"/>
          <w:szCs w:val="28"/>
          <w:lang w:val="en-US"/>
        </w:rPr>
        <w:t xml:space="preserve">Clinical, epidemiological and therapeutic characteristics </w:t>
      </w:r>
      <w:r w:rsidR="00A33A1E">
        <w:rPr>
          <w:rFonts w:ascii="Times New Roman" w:hAnsi="Times New Roman" w:cs="Times New Roman"/>
          <w:sz w:val="28"/>
          <w:szCs w:val="28"/>
          <w:lang w:val="en-US"/>
        </w:rPr>
        <w:t>of</w:t>
      </w:r>
      <w:r w:rsidRPr="0097384A">
        <w:rPr>
          <w:rFonts w:ascii="Times New Roman" w:hAnsi="Times New Roman" w:cs="Times New Roman"/>
          <w:sz w:val="28"/>
          <w:szCs w:val="28"/>
          <w:lang w:val="en-US"/>
        </w:rPr>
        <w:t xml:space="preserve"> patients treated in the intensive care unit</w:t>
      </w:r>
    </w:p>
    <w:p w14:paraId="519E3D68" w14:textId="77777777" w:rsidR="00E95827" w:rsidRPr="00AE695B" w:rsidRDefault="00E95827" w:rsidP="00E95827">
      <w:pPr>
        <w:spacing w:after="0" w:line="360" w:lineRule="auto"/>
        <w:jc w:val="both"/>
        <w:rPr>
          <w:rFonts w:ascii="Times New Roman" w:hAnsi="Times New Roman" w:cs="Times New Roman"/>
          <w:sz w:val="24"/>
          <w:szCs w:val="24"/>
          <w:lang w:val="en-US"/>
        </w:rPr>
      </w:pPr>
    </w:p>
    <w:p w14:paraId="3EA6ABE1" w14:textId="77777777" w:rsidR="00E95827" w:rsidRPr="00AE695B" w:rsidRDefault="00E95827" w:rsidP="00E95827">
      <w:pPr>
        <w:spacing w:after="0" w:line="360" w:lineRule="auto"/>
        <w:jc w:val="both"/>
        <w:rPr>
          <w:rFonts w:ascii="Times New Roman" w:hAnsi="Times New Roman" w:cs="Times New Roman"/>
          <w:sz w:val="24"/>
          <w:szCs w:val="24"/>
          <w:vertAlign w:val="superscript"/>
        </w:rPr>
      </w:pPr>
      <w:r w:rsidRPr="00AE695B">
        <w:rPr>
          <w:rFonts w:ascii="Times New Roman" w:hAnsi="Times New Roman" w:cs="Times New Roman"/>
          <w:sz w:val="24"/>
          <w:szCs w:val="24"/>
        </w:rPr>
        <w:t>Julio César González Aguilera</w:t>
      </w:r>
      <w:r w:rsidRPr="00AE695B">
        <w:rPr>
          <w:rFonts w:ascii="Times New Roman" w:hAnsi="Times New Roman" w:cs="Times New Roman"/>
          <w:sz w:val="24"/>
          <w:szCs w:val="24"/>
          <w:vertAlign w:val="superscript"/>
        </w:rPr>
        <w:t>1</w:t>
      </w:r>
      <w:r w:rsidRPr="00AE695B">
        <w:rPr>
          <w:rFonts w:ascii="Times New Roman" w:hAnsi="Times New Roman" w:cs="Times New Roman"/>
          <w:sz w:val="24"/>
          <w:szCs w:val="24"/>
        </w:rPr>
        <w:t xml:space="preserve">* </w:t>
      </w:r>
      <w:hyperlink r:id="rId7" w:history="1">
        <w:r w:rsidRPr="00AE695B">
          <w:rPr>
            <w:rStyle w:val="Hipervnculo"/>
            <w:rFonts w:ascii="Times New Roman" w:hAnsi="Times New Roman" w:cs="Times New Roman"/>
            <w:sz w:val="24"/>
            <w:szCs w:val="24"/>
          </w:rPr>
          <w:t>https://orcid.org/0000-0003-3914-2631</w:t>
        </w:r>
      </w:hyperlink>
    </w:p>
    <w:p w14:paraId="1B1C9C33" w14:textId="4794E89C" w:rsidR="00E95827" w:rsidRPr="00AE695B" w:rsidRDefault="00E95827" w:rsidP="00E95827">
      <w:pPr>
        <w:spacing w:after="0" w:line="360" w:lineRule="auto"/>
        <w:jc w:val="both"/>
        <w:rPr>
          <w:rFonts w:ascii="Times New Roman" w:hAnsi="Times New Roman" w:cs="Times New Roman"/>
          <w:sz w:val="24"/>
          <w:szCs w:val="24"/>
          <w:vertAlign w:val="superscript"/>
        </w:rPr>
      </w:pPr>
      <w:r w:rsidRPr="00AE695B">
        <w:rPr>
          <w:rFonts w:ascii="Times New Roman" w:hAnsi="Times New Roman" w:cs="Times New Roman"/>
          <w:sz w:val="24"/>
          <w:szCs w:val="24"/>
        </w:rPr>
        <w:t>Víctor Manuel Leyva Lorenzo</w:t>
      </w:r>
      <w:r w:rsidRPr="00AE695B">
        <w:rPr>
          <w:rFonts w:ascii="Times New Roman" w:hAnsi="Times New Roman" w:cs="Times New Roman"/>
          <w:sz w:val="24"/>
          <w:szCs w:val="24"/>
          <w:vertAlign w:val="superscript"/>
        </w:rPr>
        <w:t>1</w:t>
      </w:r>
      <w:r w:rsidR="00A33A1E">
        <w:rPr>
          <w:rFonts w:ascii="Times New Roman" w:hAnsi="Times New Roman" w:cs="Times New Roman"/>
          <w:sz w:val="24"/>
          <w:szCs w:val="24"/>
          <w:vertAlign w:val="superscript"/>
        </w:rPr>
        <w:t xml:space="preserve"> </w:t>
      </w:r>
      <w:hyperlink r:id="rId8" w:history="1">
        <w:r w:rsidR="00A33A1E" w:rsidRPr="00FB446C">
          <w:rPr>
            <w:rStyle w:val="Hipervnculo"/>
            <w:rFonts w:ascii="Times New Roman" w:hAnsi="Times New Roman" w:cs="Times New Roman"/>
            <w:sz w:val="24"/>
            <w:szCs w:val="24"/>
          </w:rPr>
          <w:t>https://orcid.org/0000-0002-1314-5626</w:t>
        </w:r>
      </w:hyperlink>
    </w:p>
    <w:p w14:paraId="33A1129D" w14:textId="6E77C2A0" w:rsidR="00E95827" w:rsidRPr="00AE695B" w:rsidRDefault="00E95827" w:rsidP="00E95827">
      <w:pPr>
        <w:spacing w:after="0" w:line="360" w:lineRule="auto"/>
        <w:jc w:val="both"/>
        <w:rPr>
          <w:rFonts w:ascii="Times New Roman" w:hAnsi="Times New Roman" w:cs="Times New Roman"/>
          <w:color w:val="0000FF" w:themeColor="hyperlink"/>
          <w:sz w:val="24"/>
          <w:szCs w:val="24"/>
          <w:u w:val="single"/>
          <w:lang w:val="es-VE"/>
        </w:rPr>
      </w:pPr>
      <w:r w:rsidRPr="00AE695B">
        <w:rPr>
          <w:rFonts w:ascii="Times New Roman" w:hAnsi="Times New Roman" w:cs="Times New Roman"/>
          <w:sz w:val="24"/>
          <w:szCs w:val="24"/>
        </w:rPr>
        <w:t>Yoleinis Esperanza Vázquez Belizón</w:t>
      </w:r>
      <w:r w:rsidRPr="00AE695B">
        <w:rPr>
          <w:rFonts w:ascii="Times New Roman" w:hAnsi="Times New Roman" w:cs="Times New Roman"/>
          <w:sz w:val="24"/>
          <w:szCs w:val="24"/>
          <w:vertAlign w:val="superscript"/>
        </w:rPr>
        <w:t>1</w:t>
      </w:r>
      <w:r w:rsidR="00A33A1E">
        <w:rPr>
          <w:rFonts w:ascii="Times New Roman" w:hAnsi="Times New Roman" w:cs="Times New Roman"/>
          <w:sz w:val="24"/>
          <w:szCs w:val="24"/>
          <w:vertAlign w:val="superscript"/>
        </w:rPr>
        <w:t xml:space="preserve"> </w:t>
      </w:r>
      <w:hyperlink r:id="rId9" w:history="1">
        <w:r w:rsidR="00A33A1E" w:rsidRPr="00FB446C">
          <w:rPr>
            <w:rStyle w:val="Hipervnculo"/>
            <w:rFonts w:ascii="Times New Roman" w:hAnsi="Times New Roman" w:cs="Times New Roman"/>
            <w:sz w:val="24"/>
            <w:szCs w:val="24"/>
          </w:rPr>
          <w:t>https://orcid.org/0000-0001-6500-6049</w:t>
        </w:r>
      </w:hyperlink>
    </w:p>
    <w:p w14:paraId="4553F2D1" w14:textId="7701D4A1" w:rsidR="00E95827" w:rsidRPr="00AE695B" w:rsidRDefault="00E95827" w:rsidP="00E95827">
      <w:pPr>
        <w:tabs>
          <w:tab w:val="left" w:pos="7371"/>
        </w:tabs>
        <w:spacing w:after="0" w:line="360" w:lineRule="auto"/>
        <w:jc w:val="both"/>
        <w:rPr>
          <w:rFonts w:ascii="Times New Roman" w:hAnsi="Times New Roman" w:cs="Times New Roman"/>
          <w:sz w:val="24"/>
          <w:szCs w:val="24"/>
          <w:vertAlign w:val="superscript"/>
        </w:rPr>
      </w:pPr>
      <w:r w:rsidRPr="00AE695B">
        <w:rPr>
          <w:rFonts w:ascii="Times New Roman" w:hAnsi="Times New Roman" w:cs="Times New Roman"/>
          <w:sz w:val="24"/>
          <w:szCs w:val="24"/>
        </w:rPr>
        <w:t>Armando Arias Ortiz</w:t>
      </w:r>
      <w:r w:rsidRPr="00AE695B">
        <w:rPr>
          <w:rFonts w:ascii="Times New Roman" w:hAnsi="Times New Roman" w:cs="Times New Roman"/>
          <w:sz w:val="24"/>
          <w:szCs w:val="24"/>
          <w:vertAlign w:val="superscript"/>
        </w:rPr>
        <w:t>1</w:t>
      </w:r>
      <w:r w:rsidR="00A33A1E">
        <w:rPr>
          <w:rFonts w:ascii="Times New Roman" w:hAnsi="Times New Roman" w:cs="Times New Roman"/>
          <w:sz w:val="24"/>
          <w:szCs w:val="24"/>
          <w:vertAlign w:val="superscript"/>
        </w:rPr>
        <w:t xml:space="preserve"> </w:t>
      </w:r>
      <w:hyperlink r:id="rId10" w:history="1">
        <w:r w:rsidR="00A33A1E" w:rsidRPr="00FB446C">
          <w:rPr>
            <w:rStyle w:val="Hipervnculo"/>
            <w:rFonts w:ascii="Times New Roman" w:hAnsi="Times New Roman" w:cs="Times New Roman"/>
            <w:sz w:val="24"/>
            <w:szCs w:val="24"/>
            <w:lang w:val="es-VE"/>
          </w:rPr>
          <w:t>https://orcid.org/0000-0003-4592-1789</w:t>
        </w:r>
      </w:hyperlink>
    </w:p>
    <w:p w14:paraId="40971757" w14:textId="0A82950E" w:rsidR="00E95827" w:rsidRPr="00AE695B" w:rsidRDefault="00E95827" w:rsidP="00E95827">
      <w:pPr>
        <w:spacing w:after="0" w:line="360" w:lineRule="auto"/>
        <w:jc w:val="both"/>
        <w:rPr>
          <w:rStyle w:val="Hipervnculo"/>
          <w:rFonts w:ascii="Times New Roman" w:hAnsi="Times New Roman" w:cs="Times New Roman"/>
          <w:sz w:val="24"/>
          <w:szCs w:val="24"/>
          <w:vertAlign w:val="superscript"/>
        </w:rPr>
      </w:pPr>
      <w:r w:rsidRPr="00AE695B">
        <w:rPr>
          <w:rFonts w:ascii="Times New Roman" w:hAnsi="Times New Roman" w:cs="Times New Roman"/>
          <w:sz w:val="24"/>
          <w:szCs w:val="24"/>
        </w:rPr>
        <w:t>Jorge Omar Cabrera Lavernia</w:t>
      </w:r>
      <w:r w:rsidRPr="00AE695B">
        <w:rPr>
          <w:rFonts w:ascii="Times New Roman" w:hAnsi="Times New Roman" w:cs="Times New Roman"/>
          <w:sz w:val="24"/>
          <w:szCs w:val="24"/>
          <w:vertAlign w:val="superscript"/>
        </w:rPr>
        <w:t>1</w:t>
      </w:r>
      <w:r w:rsidR="00A33A1E">
        <w:rPr>
          <w:rFonts w:ascii="Times New Roman" w:hAnsi="Times New Roman" w:cs="Times New Roman"/>
          <w:sz w:val="24"/>
          <w:szCs w:val="24"/>
          <w:vertAlign w:val="superscript"/>
        </w:rPr>
        <w:t xml:space="preserve"> </w:t>
      </w:r>
      <w:hyperlink r:id="rId11" w:history="1">
        <w:r w:rsidR="00A33A1E" w:rsidRPr="00FB446C">
          <w:rPr>
            <w:rStyle w:val="Hipervnculo"/>
            <w:rFonts w:ascii="Times New Roman" w:hAnsi="Times New Roman" w:cs="Times New Roman"/>
            <w:sz w:val="24"/>
            <w:szCs w:val="24"/>
          </w:rPr>
          <w:t>https://orcid.org/0000-0002-8560-1651</w:t>
        </w:r>
      </w:hyperlink>
    </w:p>
    <w:p w14:paraId="7F672F28" w14:textId="77777777" w:rsidR="00E95827" w:rsidRPr="00AE695B" w:rsidRDefault="00E95827" w:rsidP="00E95827">
      <w:pPr>
        <w:spacing w:after="0" w:line="360" w:lineRule="auto"/>
        <w:jc w:val="both"/>
        <w:rPr>
          <w:rFonts w:ascii="Times New Roman" w:hAnsi="Times New Roman" w:cs="Times New Roman"/>
          <w:sz w:val="24"/>
          <w:szCs w:val="24"/>
          <w:vertAlign w:val="superscript"/>
        </w:rPr>
      </w:pPr>
    </w:p>
    <w:p w14:paraId="34890778" w14:textId="77777777" w:rsidR="00E95827" w:rsidRPr="00AE695B" w:rsidRDefault="00E95827" w:rsidP="00E95827">
      <w:pPr>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vertAlign w:val="superscript"/>
        </w:rPr>
        <w:t>1</w:t>
      </w:r>
      <w:r w:rsidRPr="00AE695B">
        <w:rPr>
          <w:rFonts w:ascii="Times New Roman" w:hAnsi="Times New Roman" w:cs="Times New Roman"/>
          <w:sz w:val="24"/>
          <w:szCs w:val="24"/>
        </w:rPr>
        <w:t xml:space="preserve">Universidad de Ciencias Médicas de Granma. Hospital Provincial General “Carlos Manuel de Céspedes”. Bayamo. Granma. Cuba. </w:t>
      </w:r>
    </w:p>
    <w:p w14:paraId="07F05CD7" w14:textId="77777777" w:rsidR="00E95827" w:rsidRPr="00AE695B" w:rsidRDefault="00E95827" w:rsidP="00E95827">
      <w:pPr>
        <w:spacing w:after="0" w:line="360" w:lineRule="auto"/>
        <w:jc w:val="both"/>
        <w:rPr>
          <w:rStyle w:val="Hipervnculo"/>
          <w:rFonts w:ascii="Times New Roman" w:hAnsi="Times New Roman" w:cs="Times New Roman"/>
          <w:sz w:val="24"/>
          <w:szCs w:val="24"/>
        </w:rPr>
      </w:pPr>
    </w:p>
    <w:p w14:paraId="2B265A35" w14:textId="77777777" w:rsidR="00E95827" w:rsidRPr="00AE695B" w:rsidRDefault="00E95827" w:rsidP="00E95827">
      <w:pPr>
        <w:spacing w:after="0" w:line="360" w:lineRule="auto"/>
        <w:jc w:val="both"/>
        <w:rPr>
          <w:rFonts w:ascii="Times New Roman" w:hAnsi="Times New Roman" w:cs="Times New Roman"/>
          <w:sz w:val="24"/>
          <w:szCs w:val="24"/>
          <w:lang w:val="es-VE"/>
        </w:rPr>
      </w:pPr>
      <w:r w:rsidRPr="00AE695B">
        <w:rPr>
          <w:rFonts w:ascii="Times New Roman" w:hAnsi="Times New Roman" w:cs="Times New Roman"/>
          <w:sz w:val="24"/>
          <w:szCs w:val="24"/>
          <w:lang w:val="es-VE"/>
        </w:rPr>
        <w:t xml:space="preserve">*Autor para la correspondencia: correo electrónico: </w:t>
      </w:r>
      <w:hyperlink r:id="rId12" w:history="1">
        <w:r w:rsidRPr="00AE695B">
          <w:rPr>
            <w:rStyle w:val="Hipervnculo"/>
            <w:rFonts w:ascii="Times New Roman" w:hAnsi="Times New Roman" w:cs="Times New Roman"/>
            <w:sz w:val="24"/>
            <w:szCs w:val="24"/>
          </w:rPr>
          <w:t>julio.grm@infomed.sld.cu</w:t>
        </w:r>
      </w:hyperlink>
    </w:p>
    <w:p w14:paraId="795F5C45" w14:textId="77777777" w:rsidR="00E95827" w:rsidRPr="00AE695B" w:rsidRDefault="00E95827" w:rsidP="00E95827">
      <w:pPr>
        <w:spacing w:after="0" w:line="360" w:lineRule="auto"/>
        <w:jc w:val="both"/>
        <w:rPr>
          <w:rFonts w:ascii="Times New Roman" w:hAnsi="Times New Roman" w:cs="Times New Roman"/>
          <w:sz w:val="24"/>
          <w:szCs w:val="24"/>
        </w:rPr>
      </w:pPr>
    </w:p>
    <w:p w14:paraId="5A63CC09" w14:textId="77777777" w:rsidR="00E95827" w:rsidRPr="00AE695B" w:rsidRDefault="00E95827" w:rsidP="00E95827">
      <w:pPr>
        <w:tabs>
          <w:tab w:val="left" w:pos="3697"/>
        </w:tabs>
        <w:spacing w:after="0" w:line="360" w:lineRule="auto"/>
        <w:jc w:val="both"/>
        <w:rPr>
          <w:rFonts w:ascii="Times New Roman" w:hAnsi="Times New Roman" w:cs="Times New Roman"/>
          <w:b/>
          <w:sz w:val="24"/>
          <w:szCs w:val="24"/>
          <w:lang w:val="es-VE"/>
        </w:rPr>
      </w:pPr>
      <w:r w:rsidRPr="00AE695B">
        <w:rPr>
          <w:rFonts w:ascii="Times New Roman" w:hAnsi="Times New Roman" w:cs="Times New Roman"/>
          <w:b/>
          <w:sz w:val="24"/>
          <w:szCs w:val="24"/>
          <w:lang w:val="es-VE"/>
        </w:rPr>
        <w:t>RESUMEN</w:t>
      </w:r>
    </w:p>
    <w:p w14:paraId="4197509B" w14:textId="2BDAFF7D"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b/>
          <w:sz w:val="24"/>
          <w:szCs w:val="24"/>
          <w:lang w:val="es-VE"/>
        </w:rPr>
        <w:t>Introducción:</w:t>
      </w:r>
      <w:r w:rsidR="00F46F0B">
        <w:rPr>
          <w:rFonts w:ascii="Times New Roman" w:hAnsi="Times New Roman" w:cs="Times New Roman"/>
          <w:b/>
          <w:sz w:val="24"/>
          <w:szCs w:val="24"/>
          <w:lang w:val="es-VE"/>
        </w:rPr>
        <w:t xml:space="preserve"> </w:t>
      </w:r>
      <w:r w:rsidRPr="00AE695B">
        <w:rPr>
          <w:rFonts w:ascii="Times New Roman" w:hAnsi="Times New Roman" w:cs="Times New Roman"/>
          <w:sz w:val="24"/>
          <w:szCs w:val="24"/>
          <w:lang w:val="es-VE"/>
        </w:rPr>
        <w:t>Los</w:t>
      </w:r>
      <w:r w:rsidRPr="00AE695B">
        <w:rPr>
          <w:rFonts w:ascii="Times New Roman" w:hAnsi="Times New Roman" w:cs="Times New Roman"/>
          <w:sz w:val="24"/>
          <w:szCs w:val="24"/>
        </w:rPr>
        <w:t xml:space="preserve"> datos sobre las características de los pacientes críticos provienen, por lo general, de</w:t>
      </w:r>
      <w:r w:rsidR="00F46F0B">
        <w:rPr>
          <w:rFonts w:ascii="Times New Roman" w:hAnsi="Times New Roman" w:cs="Times New Roman"/>
          <w:sz w:val="24"/>
          <w:szCs w:val="24"/>
        </w:rPr>
        <w:t xml:space="preserve"> </w:t>
      </w:r>
      <w:r w:rsidRPr="00AE695B">
        <w:rPr>
          <w:rFonts w:ascii="Times New Roman" w:hAnsi="Times New Roman" w:cs="Times New Roman"/>
          <w:sz w:val="24"/>
          <w:szCs w:val="24"/>
        </w:rPr>
        <w:t>los países europeos</w:t>
      </w:r>
      <w:r>
        <w:rPr>
          <w:rFonts w:ascii="Times New Roman" w:hAnsi="Times New Roman" w:cs="Times New Roman"/>
          <w:sz w:val="24"/>
          <w:szCs w:val="24"/>
        </w:rPr>
        <w:t>.</w:t>
      </w:r>
    </w:p>
    <w:p w14:paraId="64FC3441" w14:textId="0B8817A9"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b/>
          <w:sz w:val="24"/>
          <w:szCs w:val="24"/>
        </w:rPr>
        <w:t>Objetivo:</w:t>
      </w:r>
      <w:r w:rsidR="00F46F0B">
        <w:rPr>
          <w:rFonts w:ascii="Times New Roman" w:hAnsi="Times New Roman" w:cs="Times New Roman"/>
          <w:b/>
          <w:sz w:val="24"/>
          <w:szCs w:val="24"/>
        </w:rPr>
        <w:t xml:space="preserve"> </w:t>
      </w:r>
      <w:r w:rsidRPr="00AE695B">
        <w:rPr>
          <w:rFonts w:ascii="Times New Roman" w:hAnsi="Times New Roman" w:cs="Times New Roman"/>
          <w:sz w:val="24"/>
          <w:szCs w:val="24"/>
        </w:rPr>
        <w:t>Identificar las características clínicas, epidemiológicas y terapéuticas de pacientes atendidos en la unidad de cuidados intensivos.</w:t>
      </w:r>
    </w:p>
    <w:p w14:paraId="3A6D9BAC" w14:textId="77777777"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b/>
          <w:sz w:val="24"/>
          <w:szCs w:val="24"/>
        </w:rPr>
        <w:t>Métodos:</w:t>
      </w:r>
      <w:r>
        <w:rPr>
          <w:rFonts w:ascii="Times New Roman" w:hAnsi="Times New Roman" w:cs="Times New Roman"/>
          <w:b/>
          <w:sz w:val="24"/>
          <w:szCs w:val="24"/>
        </w:rPr>
        <w:t xml:space="preserve"> </w:t>
      </w:r>
      <w:r w:rsidRPr="00AE695B">
        <w:rPr>
          <w:rFonts w:ascii="Times New Roman" w:hAnsi="Times New Roman" w:cs="Times New Roman"/>
          <w:sz w:val="24"/>
          <w:szCs w:val="24"/>
        </w:rPr>
        <w:t>Se</w:t>
      </w:r>
      <w:r w:rsidRPr="00AE695B">
        <w:rPr>
          <w:rFonts w:ascii="Times New Roman" w:hAnsi="Times New Roman" w:cs="Times New Roman"/>
          <w:sz w:val="24"/>
          <w:szCs w:val="24"/>
          <w:lang w:val="es-VE"/>
        </w:rPr>
        <w:t xml:space="preserve"> realizó un estudio </w:t>
      </w:r>
      <w:r>
        <w:rPr>
          <w:rFonts w:ascii="Times New Roman" w:hAnsi="Times New Roman" w:cs="Times New Roman"/>
          <w:sz w:val="24"/>
          <w:szCs w:val="24"/>
          <w:lang w:val="es-VE"/>
        </w:rPr>
        <w:t xml:space="preserve">observacional, prospectivo, </w:t>
      </w:r>
      <w:r w:rsidRPr="00AE695B">
        <w:rPr>
          <w:rFonts w:ascii="Times New Roman" w:hAnsi="Times New Roman" w:cs="Times New Roman"/>
          <w:sz w:val="24"/>
          <w:szCs w:val="24"/>
          <w:lang w:val="es-VE"/>
        </w:rPr>
        <w:t>en la unidad de cuidados intensivos, en periodos de los años 2018, 2019 y 2020. Se incluyeron los pacientes ingresados por más de 24 horas. Se definieron</w:t>
      </w:r>
      <w:r>
        <w:rPr>
          <w:rFonts w:ascii="Times New Roman" w:hAnsi="Times New Roman" w:cs="Times New Roman"/>
          <w:sz w:val="24"/>
          <w:szCs w:val="24"/>
          <w:lang w:val="es-VE"/>
        </w:rPr>
        <w:t xml:space="preserve"> las</w:t>
      </w:r>
      <w:r w:rsidRPr="00AE695B">
        <w:rPr>
          <w:rFonts w:ascii="Times New Roman" w:hAnsi="Times New Roman" w:cs="Times New Roman"/>
          <w:sz w:val="24"/>
          <w:szCs w:val="24"/>
          <w:lang w:val="es-VE"/>
        </w:rPr>
        <w:t xml:space="preserve"> variables edad, sexo, procedencia y diagnóstico de los pacientes, grado de gravedad, factores de riesgo, infecciones comunitarias y</w:t>
      </w:r>
      <w:r>
        <w:rPr>
          <w:rFonts w:ascii="Times New Roman" w:hAnsi="Times New Roman" w:cs="Times New Roman"/>
          <w:sz w:val="24"/>
          <w:szCs w:val="24"/>
          <w:lang w:val="es-VE"/>
        </w:rPr>
        <w:t xml:space="preserve"> </w:t>
      </w:r>
      <w:r w:rsidRPr="00AE695B">
        <w:rPr>
          <w:rFonts w:ascii="Times New Roman" w:hAnsi="Times New Roman" w:cs="Times New Roman"/>
          <w:sz w:val="24"/>
          <w:szCs w:val="24"/>
          <w:lang w:val="es-VE"/>
        </w:rPr>
        <w:t xml:space="preserve">asociadas a la asistencia sanitaria. </w:t>
      </w:r>
    </w:p>
    <w:p w14:paraId="19F9EB34" w14:textId="2CB0CE15"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b/>
          <w:sz w:val="24"/>
          <w:szCs w:val="24"/>
        </w:rPr>
        <w:lastRenderedPageBreak/>
        <w:t>Resultados:</w:t>
      </w:r>
      <w:r w:rsidR="00F46F0B">
        <w:rPr>
          <w:rFonts w:ascii="Times New Roman" w:hAnsi="Times New Roman" w:cs="Times New Roman"/>
          <w:b/>
          <w:sz w:val="24"/>
          <w:szCs w:val="24"/>
        </w:rPr>
        <w:t xml:space="preserve"> </w:t>
      </w:r>
      <w:r w:rsidRPr="00AE695B">
        <w:rPr>
          <w:rFonts w:ascii="Times New Roman" w:hAnsi="Times New Roman" w:cs="Times New Roman"/>
          <w:sz w:val="24"/>
          <w:szCs w:val="24"/>
          <w:lang w:val="es-VE"/>
        </w:rPr>
        <w:t xml:space="preserve">La edad media de los enfermos fue de 38,6 años </w:t>
      </w:r>
      <w:r w:rsidRPr="00AE695B">
        <w:rPr>
          <w:rFonts w:ascii="Times New Roman" w:hAnsi="Times New Roman" w:cs="Times New Roman"/>
          <w:sz w:val="24"/>
          <w:szCs w:val="24"/>
        </w:rPr>
        <w:t xml:space="preserve">(36,1-41,3). </w:t>
      </w:r>
      <w:r w:rsidRPr="00AE695B">
        <w:rPr>
          <w:rFonts w:ascii="Times New Roman" w:hAnsi="Times New Roman" w:cs="Times New Roman"/>
          <w:sz w:val="24"/>
          <w:szCs w:val="24"/>
          <w:lang w:val="es-VE"/>
        </w:rPr>
        <w:t>El 61,0 % pertenec</w:t>
      </w:r>
      <w:r>
        <w:rPr>
          <w:rFonts w:ascii="Times New Roman" w:hAnsi="Times New Roman" w:cs="Times New Roman"/>
          <w:sz w:val="24"/>
          <w:szCs w:val="24"/>
          <w:lang w:val="es-VE"/>
        </w:rPr>
        <w:t>e</w:t>
      </w:r>
      <w:r w:rsidRPr="00AE695B">
        <w:rPr>
          <w:rFonts w:ascii="Times New Roman" w:hAnsi="Times New Roman" w:cs="Times New Roman"/>
          <w:sz w:val="24"/>
          <w:szCs w:val="24"/>
          <w:lang w:val="es-VE"/>
        </w:rPr>
        <w:t xml:space="preserve"> al sexo femenino. El promedio y su desviación estándar del </w:t>
      </w:r>
      <w:r w:rsidRPr="00AE695B">
        <w:rPr>
          <w:rFonts w:ascii="Times New Roman" w:hAnsi="Times New Roman" w:cs="Times New Roman"/>
          <w:sz w:val="24"/>
          <w:szCs w:val="24"/>
        </w:rPr>
        <w:t>APACHE II</w:t>
      </w:r>
      <w:r>
        <w:rPr>
          <w:rFonts w:ascii="Times New Roman" w:hAnsi="Times New Roman" w:cs="Times New Roman"/>
          <w:sz w:val="24"/>
          <w:szCs w:val="24"/>
        </w:rPr>
        <w:t xml:space="preserve"> </w:t>
      </w:r>
      <w:r w:rsidRPr="00AE695B">
        <w:rPr>
          <w:rFonts w:ascii="Times New Roman" w:hAnsi="Times New Roman" w:cs="Times New Roman"/>
          <w:sz w:val="24"/>
          <w:szCs w:val="24"/>
          <w:lang w:val="es-VE"/>
        </w:rPr>
        <w:t xml:space="preserve">fue </w:t>
      </w:r>
      <w:r w:rsidRPr="00AE695B">
        <w:rPr>
          <w:rFonts w:ascii="Times New Roman" w:hAnsi="Times New Roman" w:cs="Times New Roman"/>
          <w:sz w:val="24"/>
          <w:szCs w:val="24"/>
        </w:rPr>
        <w:t xml:space="preserve">8,9 </w:t>
      </w:r>
      <w:r w:rsidRPr="00AE695B">
        <w:rPr>
          <w:rFonts w:ascii="Times New Roman" w:hAnsi="Times New Roman" w:cs="Times New Roman"/>
          <w:sz w:val="24"/>
          <w:szCs w:val="24"/>
          <w:u w:val="single"/>
        </w:rPr>
        <w:t>+</w:t>
      </w:r>
      <w:r w:rsidRPr="00AE695B">
        <w:rPr>
          <w:rFonts w:ascii="Times New Roman" w:hAnsi="Times New Roman" w:cs="Times New Roman"/>
          <w:sz w:val="24"/>
          <w:szCs w:val="24"/>
        </w:rPr>
        <w:t xml:space="preserve"> 6,4 </w:t>
      </w:r>
      <w:r w:rsidRPr="00AE695B">
        <w:rPr>
          <w:rFonts w:ascii="Times New Roman" w:hAnsi="Times New Roman" w:cs="Times New Roman"/>
          <w:sz w:val="24"/>
          <w:szCs w:val="24"/>
          <w:lang w:val="es-VE"/>
        </w:rPr>
        <w:t xml:space="preserve">y del </w:t>
      </w:r>
      <w:r w:rsidRPr="00AE695B">
        <w:rPr>
          <w:rFonts w:ascii="Times New Roman" w:hAnsi="Times New Roman" w:cs="Times New Roman"/>
          <w:iCs/>
          <w:sz w:val="24"/>
          <w:szCs w:val="24"/>
        </w:rPr>
        <w:t>SOFA,</w:t>
      </w:r>
      <w:r w:rsidRPr="00AE695B">
        <w:rPr>
          <w:rFonts w:ascii="Times New Roman" w:hAnsi="Times New Roman" w:cs="Times New Roman"/>
          <w:sz w:val="24"/>
          <w:szCs w:val="24"/>
        </w:rPr>
        <w:t xml:space="preserve"> de 1,2</w:t>
      </w:r>
      <w:r w:rsidR="00F46F0B">
        <w:rPr>
          <w:rFonts w:ascii="Times New Roman" w:hAnsi="Times New Roman" w:cs="Times New Roman"/>
          <w:sz w:val="24"/>
          <w:szCs w:val="24"/>
        </w:rPr>
        <w:t> </w:t>
      </w:r>
      <w:r w:rsidRPr="00AE695B">
        <w:rPr>
          <w:rFonts w:ascii="Times New Roman" w:hAnsi="Times New Roman" w:cs="Times New Roman"/>
          <w:sz w:val="24"/>
          <w:szCs w:val="24"/>
          <w:u w:val="single"/>
        </w:rPr>
        <w:t>+</w:t>
      </w:r>
      <w:r w:rsidR="00F46F0B">
        <w:rPr>
          <w:rFonts w:ascii="Times New Roman" w:hAnsi="Times New Roman" w:cs="Times New Roman"/>
          <w:sz w:val="24"/>
          <w:szCs w:val="24"/>
        </w:rPr>
        <w:t> </w:t>
      </w:r>
      <w:r w:rsidRPr="00AE695B">
        <w:rPr>
          <w:rFonts w:ascii="Times New Roman" w:hAnsi="Times New Roman" w:cs="Times New Roman"/>
          <w:sz w:val="24"/>
          <w:szCs w:val="24"/>
        </w:rPr>
        <w:t xml:space="preserve">2,1. </w:t>
      </w:r>
      <w:r w:rsidRPr="00AE695B">
        <w:rPr>
          <w:rFonts w:ascii="Times New Roman" w:hAnsi="Times New Roman" w:cs="Times New Roman"/>
          <w:sz w:val="24"/>
          <w:szCs w:val="24"/>
          <w:lang w:val="es-VE"/>
        </w:rPr>
        <w:t>La mortalidad fue de 7,0 %.</w:t>
      </w:r>
      <w:r w:rsidRPr="00AE695B">
        <w:rPr>
          <w:rFonts w:ascii="Times New Roman" w:hAnsi="Times New Roman" w:cs="Times New Roman"/>
          <w:sz w:val="24"/>
          <w:szCs w:val="24"/>
        </w:rPr>
        <w:t xml:space="preserve"> L</w:t>
      </w:r>
      <w:r w:rsidRPr="00AE695B">
        <w:rPr>
          <w:rFonts w:ascii="Times New Roman" w:hAnsi="Times New Roman" w:cs="Times New Roman"/>
          <w:sz w:val="24"/>
          <w:szCs w:val="24"/>
          <w:lang w:val="es-VE"/>
        </w:rPr>
        <w:t>a hipoalbuminemia (24,5 %</w:t>
      </w:r>
      <w:r w:rsidR="008113C1">
        <w:rPr>
          <w:rFonts w:ascii="Times New Roman" w:hAnsi="Times New Roman" w:cs="Times New Roman"/>
          <w:sz w:val="24"/>
          <w:szCs w:val="24"/>
          <w:lang w:val="es-VE"/>
        </w:rPr>
        <w:t>)</w:t>
      </w:r>
      <w:r>
        <w:rPr>
          <w:rFonts w:ascii="Times New Roman" w:hAnsi="Times New Roman" w:cs="Times New Roman"/>
          <w:sz w:val="24"/>
          <w:szCs w:val="24"/>
          <w:lang w:val="es-VE"/>
        </w:rPr>
        <w:t xml:space="preserve"> </w:t>
      </w:r>
      <w:r w:rsidRPr="00AE695B">
        <w:rPr>
          <w:rFonts w:ascii="Times New Roman" w:hAnsi="Times New Roman" w:cs="Times New Roman"/>
          <w:sz w:val="24"/>
          <w:szCs w:val="24"/>
          <w:lang w:val="es-VE"/>
        </w:rPr>
        <w:t>representó</w:t>
      </w:r>
      <w:r>
        <w:rPr>
          <w:rFonts w:ascii="Times New Roman" w:hAnsi="Times New Roman" w:cs="Times New Roman"/>
          <w:sz w:val="24"/>
          <w:szCs w:val="24"/>
          <w:lang w:val="es-VE"/>
        </w:rPr>
        <w:t xml:space="preserve"> </w:t>
      </w:r>
      <w:r w:rsidRPr="00AE695B">
        <w:rPr>
          <w:rFonts w:ascii="Times New Roman" w:hAnsi="Times New Roman" w:cs="Times New Roman"/>
          <w:sz w:val="24"/>
          <w:szCs w:val="24"/>
          <w:lang w:val="es-VE"/>
        </w:rPr>
        <w:t xml:space="preserve">el factor de riesgo más </w:t>
      </w:r>
      <w:r>
        <w:rPr>
          <w:rFonts w:ascii="Times New Roman" w:hAnsi="Times New Roman" w:cs="Times New Roman"/>
          <w:sz w:val="24"/>
          <w:szCs w:val="24"/>
          <w:lang w:val="es-VE"/>
        </w:rPr>
        <w:t>frecuente</w:t>
      </w:r>
      <w:r w:rsidRPr="00AE695B">
        <w:rPr>
          <w:rFonts w:ascii="Times New Roman" w:hAnsi="Times New Roman" w:cs="Times New Roman"/>
          <w:sz w:val="24"/>
          <w:szCs w:val="24"/>
          <w:lang w:val="es-VE"/>
        </w:rPr>
        <w:t>.</w:t>
      </w:r>
      <w:r w:rsidRPr="00AE695B">
        <w:rPr>
          <w:rFonts w:ascii="Times New Roman" w:hAnsi="Times New Roman" w:cs="Times New Roman"/>
          <w:sz w:val="24"/>
          <w:szCs w:val="24"/>
        </w:rPr>
        <w:t xml:space="preserve"> Al</w:t>
      </w:r>
      <w:r w:rsidRPr="00AE695B">
        <w:rPr>
          <w:rFonts w:ascii="Times New Roman" w:hAnsi="Times New Roman" w:cs="Times New Roman"/>
          <w:sz w:val="24"/>
          <w:szCs w:val="24"/>
          <w:lang w:val="es-VE"/>
        </w:rPr>
        <w:t xml:space="preserve"> 27,3 % se le implantó catéter venoso central y el 13,9 % recibió ventilación mecánica artificial.</w:t>
      </w:r>
      <w:r w:rsidRPr="00AE695B">
        <w:rPr>
          <w:rFonts w:ascii="Times New Roman" w:hAnsi="Times New Roman" w:cs="Times New Roman"/>
          <w:sz w:val="24"/>
          <w:szCs w:val="24"/>
        </w:rPr>
        <w:t xml:space="preserve"> E</w:t>
      </w:r>
      <w:r w:rsidRPr="00AE695B">
        <w:rPr>
          <w:rFonts w:ascii="Times New Roman" w:hAnsi="Times New Roman" w:cs="Times New Roman"/>
          <w:sz w:val="24"/>
          <w:szCs w:val="24"/>
          <w:lang w:val="es-VE"/>
        </w:rPr>
        <w:t xml:space="preserve">l 54,0 % desarrolló infección comunitaria y el 8,0 % una </w:t>
      </w:r>
      <w:r w:rsidRPr="00AE695B">
        <w:rPr>
          <w:rFonts w:ascii="Times New Roman" w:hAnsi="Times New Roman" w:cs="Times New Roman"/>
          <w:sz w:val="24"/>
          <w:szCs w:val="24"/>
        </w:rPr>
        <w:t xml:space="preserve">infección asociada a la asistencia sanitaria. </w:t>
      </w:r>
    </w:p>
    <w:p w14:paraId="23C0FBF0" w14:textId="757B58AF"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b/>
          <w:sz w:val="24"/>
          <w:szCs w:val="24"/>
          <w:lang w:val="es-VE"/>
        </w:rPr>
        <w:t>Conclusiones:</w:t>
      </w:r>
      <w:r w:rsidR="00FA469A">
        <w:rPr>
          <w:rFonts w:ascii="Times New Roman" w:hAnsi="Times New Roman" w:cs="Times New Roman"/>
          <w:b/>
          <w:sz w:val="24"/>
          <w:szCs w:val="24"/>
          <w:lang w:val="es-VE"/>
        </w:rPr>
        <w:t xml:space="preserve"> </w:t>
      </w:r>
      <w:r w:rsidRPr="00AE695B">
        <w:rPr>
          <w:rFonts w:ascii="Times New Roman" w:hAnsi="Times New Roman" w:cs="Times New Roman"/>
          <w:sz w:val="24"/>
          <w:szCs w:val="24"/>
        </w:rPr>
        <w:t>La población se caracteriza por estar cerca de la cuarta década, pertenecer al sexo femenino, proceder del quirófano, presentar afecciones clínicas; hipoalbuminemia y puntaje bajos de APACHE II y</w:t>
      </w:r>
      <w:r w:rsidR="00FA469A">
        <w:rPr>
          <w:rFonts w:ascii="Times New Roman" w:hAnsi="Times New Roman" w:cs="Times New Roman"/>
          <w:sz w:val="24"/>
          <w:szCs w:val="24"/>
        </w:rPr>
        <w:t xml:space="preserve"> </w:t>
      </w:r>
      <w:r w:rsidRPr="00AE695B">
        <w:rPr>
          <w:rFonts w:ascii="Times New Roman" w:hAnsi="Times New Roman" w:cs="Times New Roman"/>
          <w:iCs/>
          <w:sz w:val="24"/>
          <w:szCs w:val="24"/>
        </w:rPr>
        <w:t>SOFA.</w:t>
      </w:r>
      <w:r>
        <w:rPr>
          <w:rFonts w:ascii="Times New Roman" w:hAnsi="Times New Roman" w:cs="Times New Roman"/>
          <w:iCs/>
          <w:sz w:val="24"/>
          <w:szCs w:val="24"/>
        </w:rPr>
        <w:t xml:space="preserve"> </w:t>
      </w:r>
      <w:r w:rsidRPr="00AE695B">
        <w:rPr>
          <w:rFonts w:ascii="Times New Roman" w:hAnsi="Times New Roman" w:cs="Times New Roman"/>
          <w:sz w:val="24"/>
          <w:szCs w:val="24"/>
        </w:rPr>
        <w:t xml:space="preserve">La mortalidad se mantiene estable y la incidencia de infecciones comunitarias es alta. </w:t>
      </w:r>
    </w:p>
    <w:p w14:paraId="3D8DFC0E" w14:textId="77777777"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b/>
          <w:sz w:val="24"/>
          <w:szCs w:val="24"/>
        </w:rPr>
        <w:t>Palabras clave:</w:t>
      </w:r>
      <w:r w:rsidRPr="00AE695B">
        <w:rPr>
          <w:rFonts w:ascii="Times New Roman" w:hAnsi="Times New Roman" w:cs="Times New Roman"/>
          <w:sz w:val="24"/>
          <w:szCs w:val="24"/>
        </w:rPr>
        <w:t xml:space="preserve"> epidemiología; factores de riesgo; terapéutica; mortalidad; paciente crítico; unidad de cuidados intensivos.</w:t>
      </w:r>
    </w:p>
    <w:p w14:paraId="0B0B8513" w14:textId="77777777" w:rsidR="00E95827" w:rsidRPr="00AE695B" w:rsidRDefault="00E95827" w:rsidP="00E95827">
      <w:pPr>
        <w:tabs>
          <w:tab w:val="left" w:pos="3697"/>
        </w:tabs>
        <w:spacing w:after="0" w:line="360" w:lineRule="auto"/>
        <w:jc w:val="both"/>
        <w:rPr>
          <w:rFonts w:ascii="Times New Roman" w:hAnsi="Times New Roman" w:cs="Times New Roman"/>
          <w:b/>
          <w:sz w:val="24"/>
          <w:szCs w:val="24"/>
        </w:rPr>
      </w:pPr>
    </w:p>
    <w:p w14:paraId="53FCD12A" w14:textId="77777777" w:rsidR="00E95827" w:rsidRPr="00AE695B" w:rsidRDefault="00E95827" w:rsidP="00E95827">
      <w:pPr>
        <w:tabs>
          <w:tab w:val="left" w:pos="3697"/>
        </w:tabs>
        <w:spacing w:after="0" w:line="360" w:lineRule="auto"/>
        <w:jc w:val="both"/>
        <w:rPr>
          <w:rFonts w:ascii="Times New Roman" w:hAnsi="Times New Roman" w:cs="Times New Roman"/>
          <w:b/>
          <w:sz w:val="24"/>
          <w:szCs w:val="24"/>
          <w:lang w:val="en-US"/>
        </w:rPr>
      </w:pPr>
      <w:r w:rsidRPr="00AE695B">
        <w:rPr>
          <w:rFonts w:ascii="Times New Roman" w:hAnsi="Times New Roman" w:cs="Times New Roman"/>
          <w:b/>
          <w:sz w:val="24"/>
          <w:szCs w:val="24"/>
          <w:lang w:val="en-US"/>
        </w:rPr>
        <w:t>ABSTRACT</w:t>
      </w:r>
    </w:p>
    <w:p w14:paraId="24F118FE" w14:textId="6C8285BC" w:rsidR="00E95827" w:rsidRPr="00AE695B" w:rsidRDefault="00E95827" w:rsidP="00E95827">
      <w:pPr>
        <w:tabs>
          <w:tab w:val="left" w:pos="3697"/>
        </w:tabs>
        <w:spacing w:after="0" w:line="360" w:lineRule="auto"/>
        <w:jc w:val="both"/>
        <w:rPr>
          <w:rFonts w:ascii="Times New Roman" w:hAnsi="Times New Roman" w:cs="Times New Roman"/>
          <w:sz w:val="24"/>
          <w:szCs w:val="24"/>
          <w:lang w:val="en-US"/>
        </w:rPr>
      </w:pPr>
      <w:r w:rsidRPr="00AE695B">
        <w:rPr>
          <w:rFonts w:ascii="Times New Roman" w:hAnsi="Times New Roman" w:cs="Times New Roman"/>
          <w:b/>
          <w:sz w:val="24"/>
          <w:szCs w:val="24"/>
          <w:lang w:val="en-US"/>
        </w:rPr>
        <w:t>Introduction:</w:t>
      </w:r>
      <w:r>
        <w:rPr>
          <w:rFonts w:ascii="Times New Roman" w:hAnsi="Times New Roman" w:cs="Times New Roman"/>
          <w:b/>
          <w:sz w:val="24"/>
          <w:szCs w:val="24"/>
          <w:lang w:val="en-US"/>
        </w:rPr>
        <w:t xml:space="preserve"> </w:t>
      </w:r>
      <w:r w:rsidRPr="00AE695B">
        <w:rPr>
          <w:rFonts w:ascii="Times New Roman" w:hAnsi="Times New Roman" w:cs="Times New Roman"/>
          <w:sz w:val="24"/>
          <w:szCs w:val="24"/>
          <w:lang w:val="en-US"/>
        </w:rPr>
        <w:t>Data</w:t>
      </w:r>
      <w:r>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of characteristics of critical</w:t>
      </w:r>
      <w:r w:rsidR="005C3C7D">
        <w:rPr>
          <w:rFonts w:ascii="Times New Roman" w:hAnsi="Times New Roman" w:cs="Times New Roman"/>
          <w:sz w:val="24"/>
          <w:szCs w:val="24"/>
          <w:lang w:val="en-US"/>
        </w:rPr>
        <w:t>ly ill</w:t>
      </w:r>
      <w:r w:rsidRPr="00AE695B">
        <w:rPr>
          <w:rFonts w:ascii="Times New Roman" w:hAnsi="Times New Roman" w:cs="Times New Roman"/>
          <w:sz w:val="24"/>
          <w:szCs w:val="24"/>
          <w:lang w:val="en-US"/>
        </w:rPr>
        <w:t xml:space="preserve"> patients generally come from of European countries. </w:t>
      </w:r>
    </w:p>
    <w:p w14:paraId="50588EDB" w14:textId="77777777" w:rsidR="00E95827" w:rsidRPr="00AE695B" w:rsidRDefault="00E95827" w:rsidP="00E95827">
      <w:pPr>
        <w:tabs>
          <w:tab w:val="left" w:pos="3697"/>
        </w:tabs>
        <w:spacing w:after="0" w:line="360" w:lineRule="auto"/>
        <w:jc w:val="both"/>
        <w:rPr>
          <w:rFonts w:ascii="Times New Roman" w:hAnsi="Times New Roman" w:cs="Times New Roman"/>
          <w:sz w:val="24"/>
          <w:szCs w:val="24"/>
          <w:lang w:val="en-US"/>
        </w:rPr>
      </w:pPr>
      <w:r w:rsidRPr="00AE695B">
        <w:rPr>
          <w:rFonts w:ascii="Times New Roman" w:hAnsi="Times New Roman" w:cs="Times New Roman"/>
          <w:b/>
          <w:sz w:val="24"/>
          <w:szCs w:val="24"/>
          <w:lang w:val="en-US"/>
        </w:rPr>
        <w:t xml:space="preserve">Objective: </w:t>
      </w:r>
      <w:r w:rsidRPr="00AE695B">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identify the clinical, epidemiological and therapeutic characteristics of patients treated in the intensive care unit. </w:t>
      </w:r>
    </w:p>
    <w:p w14:paraId="706D4571" w14:textId="77777777" w:rsidR="00E95827" w:rsidRPr="00B60F79" w:rsidRDefault="00E95827" w:rsidP="00E95827">
      <w:pPr>
        <w:tabs>
          <w:tab w:val="left" w:pos="3697"/>
        </w:tabs>
        <w:spacing w:after="0" w:line="360" w:lineRule="auto"/>
        <w:jc w:val="both"/>
        <w:rPr>
          <w:rFonts w:ascii="Times New Roman" w:hAnsi="Times New Roman" w:cs="Times New Roman"/>
          <w:bCs/>
          <w:sz w:val="24"/>
          <w:szCs w:val="24"/>
          <w:lang w:val="en-US"/>
        </w:rPr>
      </w:pPr>
      <w:r w:rsidRPr="00B60F79">
        <w:rPr>
          <w:rFonts w:ascii="Times New Roman" w:hAnsi="Times New Roman" w:cs="Times New Roman"/>
          <w:b/>
          <w:sz w:val="24"/>
          <w:szCs w:val="24"/>
          <w:lang w:val="en-US"/>
        </w:rPr>
        <w:t xml:space="preserve">Methods: </w:t>
      </w:r>
      <w:r w:rsidRPr="00606917">
        <w:rPr>
          <w:rFonts w:ascii="Times New Roman" w:hAnsi="Times New Roman" w:cs="Times New Roman"/>
          <w:bCs/>
          <w:sz w:val="24"/>
          <w:szCs w:val="24"/>
          <w:lang w:val="en-US"/>
        </w:rPr>
        <w:t>An observational, prospective study was carried out in the intensive care unit, in periods of the years 2018, 2019 and 2020. Patients admitted for more than 24 hours were included. The variables age, sex, origin and diagnosis of the patients, degree of severity, risk factors, community infections and those associated with health care were defined.</w:t>
      </w:r>
    </w:p>
    <w:p w14:paraId="2B0DF0BF" w14:textId="63F05C53" w:rsidR="00E95827" w:rsidRPr="00AE695B" w:rsidRDefault="00E95827" w:rsidP="00E95827">
      <w:pPr>
        <w:tabs>
          <w:tab w:val="left" w:pos="3697"/>
        </w:tabs>
        <w:spacing w:after="0" w:line="360" w:lineRule="auto"/>
        <w:jc w:val="both"/>
        <w:rPr>
          <w:rFonts w:ascii="Times New Roman" w:hAnsi="Times New Roman" w:cs="Times New Roman"/>
          <w:sz w:val="24"/>
          <w:szCs w:val="24"/>
          <w:lang w:val="en-US"/>
        </w:rPr>
      </w:pPr>
      <w:r w:rsidRPr="00AE695B">
        <w:rPr>
          <w:rFonts w:ascii="Times New Roman" w:hAnsi="Times New Roman" w:cs="Times New Roman"/>
          <w:b/>
          <w:sz w:val="24"/>
          <w:szCs w:val="24"/>
          <w:lang w:val="en-US"/>
        </w:rPr>
        <w:t xml:space="preserve">Results: </w:t>
      </w:r>
      <w:r w:rsidRPr="00AE695B">
        <w:rPr>
          <w:rFonts w:ascii="Times New Roman" w:hAnsi="Times New Roman" w:cs="Times New Roman"/>
          <w:sz w:val="24"/>
          <w:szCs w:val="24"/>
          <w:lang w:val="en-US"/>
        </w:rPr>
        <w:t>The patient’s average age was 38</w:t>
      </w:r>
      <w:r w:rsidR="00FA469A">
        <w:rPr>
          <w:rFonts w:ascii="Times New Roman" w:hAnsi="Times New Roman" w:cs="Times New Roman"/>
          <w:sz w:val="24"/>
          <w:szCs w:val="24"/>
          <w:lang w:val="en-US"/>
        </w:rPr>
        <w:t>.</w:t>
      </w:r>
      <w:r w:rsidRPr="00AE695B">
        <w:rPr>
          <w:rFonts w:ascii="Times New Roman" w:hAnsi="Times New Roman" w:cs="Times New Roman"/>
          <w:sz w:val="24"/>
          <w:szCs w:val="24"/>
          <w:lang w:val="en-US"/>
        </w:rPr>
        <w:t>6 years (36</w:t>
      </w:r>
      <w:r w:rsidR="00FA469A">
        <w:rPr>
          <w:rFonts w:ascii="Times New Roman" w:hAnsi="Times New Roman" w:cs="Times New Roman"/>
          <w:sz w:val="24"/>
          <w:szCs w:val="24"/>
          <w:lang w:val="en-US"/>
        </w:rPr>
        <w:t>.</w:t>
      </w:r>
      <w:r w:rsidRPr="00AE695B">
        <w:rPr>
          <w:rFonts w:ascii="Times New Roman" w:hAnsi="Times New Roman" w:cs="Times New Roman"/>
          <w:sz w:val="24"/>
          <w:szCs w:val="24"/>
          <w:lang w:val="en-US"/>
        </w:rPr>
        <w:t>1-46</w:t>
      </w:r>
      <w:r w:rsidR="00FA469A">
        <w:rPr>
          <w:rFonts w:ascii="Times New Roman" w:hAnsi="Times New Roman" w:cs="Times New Roman"/>
          <w:sz w:val="24"/>
          <w:szCs w:val="24"/>
          <w:lang w:val="en-US"/>
        </w:rPr>
        <w:t>.</w:t>
      </w:r>
      <w:r w:rsidRPr="00AE695B">
        <w:rPr>
          <w:rFonts w:ascii="Times New Roman" w:hAnsi="Times New Roman" w:cs="Times New Roman"/>
          <w:sz w:val="24"/>
          <w:szCs w:val="24"/>
          <w:lang w:val="en-US"/>
        </w:rPr>
        <w:t>3) and 61</w:t>
      </w:r>
      <w:r w:rsidR="00FA469A">
        <w:rPr>
          <w:rFonts w:ascii="Times New Roman" w:hAnsi="Times New Roman" w:cs="Times New Roman"/>
          <w:sz w:val="24"/>
          <w:szCs w:val="24"/>
          <w:lang w:val="en-US"/>
        </w:rPr>
        <w:t>.</w:t>
      </w:r>
      <w:r w:rsidRPr="00AE695B">
        <w:rPr>
          <w:rFonts w:ascii="Times New Roman" w:hAnsi="Times New Roman" w:cs="Times New Roman"/>
          <w:sz w:val="24"/>
          <w:szCs w:val="24"/>
          <w:lang w:val="en-US"/>
        </w:rPr>
        <w:t>0% belonged to female.  APACHE</w:t>
      </w:r>
      <w:r w:rsidR="00FA469A">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II mean value and standard deviation was 8</w:t>
      </w:r>
      <w:r>
        <w:rPr>
          <w:rFonts w:ascii="Times New Roman" w:hAnsi="Times New Roman" w:cs="Times New Roman"/>
          <w:sz w:val="24"/>
          <w:szCs w:val="24"/>
          <w:lang w:val="en-US"/>
        </w:rPr>
        <w:t>,</w:t>
      </w:r>
      <w:r w:rsidRPr="00AE695B">
        <w:rPr>
          <w:rFonts w:ascii="Times New Roman" w:hAnsi="Times New Roman" w:cs="Times New Roman"/>
          <w:sz w:val="24"/>
          <w:szCs w:val="24"/>
          <w:lang w:val="en-US"/>
        </w:rPr>
        <w:t>9</w:t>
      </w:r>
      <w:r w:rsidRPr="00AE695B">
        <w:rPr>
          <w:rFonts w:ascii="Times New Roman" w:hAnsi="Times New Roman" w:cs="Times New Roman"/>
          <w:sz w:val="24"/>
          <w:szCs w:val="24"/>
          <w:u w:val="single"/>
          <w:lang w:val="en-US"/>
        </w:rPr>
        <w:t>+</w:t>
      </w:r>
      <w:r w:rsidRPr="00AE695B">
        <w:rPr>
          <w:rFonts w:ascii="Times New Roman" w:hAnsi="Times New Roman" w:cs="Times New Roman"/>
          <w:sz w:val="24"/>
          <w:szCs w:val="24"/>
          <w:lang w:val="en-US"/>
        </w:rPr>
        <w:t>6.4</w:t>
      </w:r>
      <w:r w:rsidR="00FA469A">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and 1</w:t>
      </w:r>
      <w:r w:rsidR="00FA469A">
        <w:rPr>
          <w:rFonts w:ascii="Times New Roman" w:hAnsi="Times New Roman" w:cs="Times New Roman"/>
          <w:sz w:val="24"/>
          <w:szCs w:val="24"/>
          <w:lang w:val="en-US"/>
        </w:rPr>
        <w:t>.</w:t>
      </w:r>
      <w:r w:rsidRPr="00AE695B">
        <w:rPr>
          <w:rFonts w:ascii="Times New Roman" w:hAnsi="Times New Roman" w:cs="Times New Roman"/>
          <w:sz w:val="24"/>
          <w:szCs w:val="24"/>
          <w:lang w:val="en-US"/>
        </w:rPr>
        <w:t xml:space="preserve">2 </w:t>
      </w:r>
      <w:r w:rsidRPr="00AE695B">
        <w:rPr>
          <w:rFonts w:ascii="Times New Roman" w:hAnsi="Times New Roman" w:cs="Times New Roman"/>
          <w:sz w:val="24"/>
          <w:szCs w:val="24"/>
          <w:u w:val="single"/>
          <w:lang w:val="en-US"/>
        </w:rPr>
        <w:t>+</w:t>
      </w:r>
      <w:r w:rsidRPr="00AE695B">
        <w:rPr>
          <w:rFonts w:ascii="Times New Roman" w:hAnsi="Times New Roman" w:cs="Times New Roman"/>
          <w:sz w:val="24"/>
          <w:szCs w:val="24"/>
          <w:lang w:val="en-US"/>
        </w:rPr>
        <w:t xml:space="preserve"> 2.1 for </w:t>
      </w:r>
      <w:r w:rsidRPr="00AE695B">
        <w:rPr>
          <w:rFonts w:ascii="Times New Roman" w:hAnsi="Times New Roman" w:cs="Times New Roman"/>
          <w:iCs/>
          <w:sz w:val="24"/>
          <w:szCs w:val="24"/>
          <w:lang w:val="en-US"/>
        </w:rPr>
        <w:t>SOFA</w:t>
      </w:r>
      <w:r w:rsidRPr="00AE695B">
        <w:rPr>
          <w:rFonts w:ascii="Times New Roman" w:hAnsi="Times New Roman" w:cs="Times New Roman"/>
          <w:sz w:val="24"/>
          <w:szCs w:val="24"/>
          <w:lang w:val="en-US"/>
        </w:rPr>
        <w:t>. Mortality was 7</w:t>
      </w:r>
      <w:r w:rsidR="009D526D">
        <w:rPr>
          <w:rFonts w:ascii="Times New Roman" w:hAnsi="Times New Roman" w:cs="Times New Roman"/>
          <w:sz w:val="24"/>
          <w:szCs w:val="24"/>
          <w:lang w:val="en-US"/>
        </w:rPr>
        <w:t>.</w:t>
      </w:r>
      <w:r w:rsidRPr="00AE695B">
        <w:rPr>
          <w:rFonts w:ascii="Times New Roman" w:hAnsi="Times New Roman" w:cs="Times New Roman"/>
          <w:sz w:val="24"/>
          <w:szCs w:val="24"/>
          <w:lang w:val="en-US"/>
        </w:rPr>
        <w:t>0</w:t>
      </w:r>
      <w:r w:rsidR="009D526D">
        <w:rPr>
          <w:rFonts w:ascii="Times New Roman" w:hAnsi="Times New Roman" w:cs="Times New Roman"/>
          <w:sz w:val="24"/>
          <w:szCs w:val="24"/>
          <w:lang w:val="en-US"/>
        </w:rPr>
        <w:t> </w:t>
      </w:r>
      <w:r w:rsidRPr="00AE695B">
        <w:rPr>
          <w:rFonts w:ascii="Times New Roman" w:hAnsi="Times New Roman" w:cs="Times New Roman"/>
          <w:sz w:val="24"/>
          <w:szCs w:val="24"/>
          <w:lang w:val="en-US"/>
        </w:rPr>
        <w:t>%. Hypoalbuminemia (24</w:t>
      </w:r>
      <w:r w:rsidR="009D526D">
        <w:rPr>
          <w:rFonts w:ascii="Times New Roman" w:hAnsi="Times New Roman" w:cs="Times New Roman"/>
          <w:sz w:val="24"/>
          <w:szCs w:val="24"/>
          <w:lang w:val="en-US"/>
        </w:rPr>
        <w:t>.</w:t>
      </w:r>
      <w:r w:rsidRPr="00AE695B">
        <w:rPr>
          <w:rFonts w:ascii="Times New Roman" w:hAnsi="Times New Roman" w:cs="Times New Roman"/>
          <w:sz w:val="24"/>
          <w:szCs w:val="24"/>
          <w:lang w:val="en-US"/>
        </w:rPr>
        <w:t>5</w:t>
      </w:r>
      <w:r w:rsidR="009D526D">
        <w:rPr>
          <w:rFonts w:ascii="Times New Roman" w:hAnsi="Times New Roman" w:cs="Times New Roman"/>
          <w:sz w:val="24"/>
          <w:szCs w:val="24"/>
          <w:lang w:val="en-US"/>
        </w:rPr>
        <w:t> </w:t>
      </w:r>
      <w:r w:rsidRPr="00AE695B">
        <w:rPr>
          <w:rFonts w:ascii="Times New Roman" w:hAnsi="Times New Roman" w:cs="Times New Roman"/>
          <w:sz w:val="24"/>
          <w:szCs w:val="24"/>
          <w:lang w:val="en-US"/>
        </w:rPr>
        <w:t>%) were the most important risk factor; 27</w:t>
      </w:r>
      <w:r w:rsidR="009D526D">
        <w:rPr>
          <w:rFonts w:ascii="Times New Roman" w:hAnsi="Times New Roman" w:cs="Times New Roman"/>
          <w:sz w:val="24"/>
          <w:szCs w:val="24"/>
          <w:lang w:val="en-US"/>
        </w:rPr>
        <w:t>.</w:t>
      </w:r>
      <w:r w:rsidRPr="00AE695B">
        <w:rPr>
          <w:rFonts w:ascii="Times New Roman" w:hAnsi="Times New Roman" w:cs="Times New Roman"/>
          <w:sz w:val="24"/>
          <w:szCs w:val="24"/>
          <w:lang w:val="en-US"/>
        </w:rPr>
        <w:t>3</w:t>
      </w:r>
      <w:r w:rsidR="009D526D">
        <w:rPr>
          <w:rFonts w:ascii="Times New Roman" w:hAnsi="Times New Roman" w:cs="Times New Roman"/>
          <w:sz w:val="24"/>
          <w:szCs w:val="24"/>
          <w:lang w:val="en-US"/>
        </w:rPr>
        <w:t> </w:t>
      </w:r>
      <w:r w:rsidRPr="00AE695B">
        <w:rPr>
          <w:rFonts w:ascii="Times New Roman" w:hAnsi="Times New Roman" w:cs="Times New Roman"/>
          <w:sz w:val="24"/>
          <w:szCs w:val="24"/>
          <w:lang w:val="en-US"/>
        </w:rPr>
        <w:t>% of patients received a central venous catheter and 13</w:t>
      </w:r>
      <w:r w:rsidR="00794399">
        <w:rPr>
          <w:rFonts w:ascii="Times New Roman" w:hAnsi="Times New Roman" w:cs="Times New Roman"/>
          <w:sz w:val="24"/>
          <w:szCs w:val="24"/>
          <w:lang w:val="en-US"/>
        </w:rPr>
        <w:t>.</w:t>
      </w:r>
      <w:r w:rsidRPr="00AE695B">
        <w:rPr>
          <w:rFonts w:ascii="Times New Roman" w:hAnsi="Times New Roman" w:cs="Times New Roman"/>
          <w:sz w:val="24"/>
          <w:szCs w:val="24"/>
          <w:lang w:val="en-US"/>
        </w:rPr>
        <w:t>9</w:t>
      </w:r>
      <w:r w:rsidR="00794399">
        <w:rPr>
          <w:rFonts w:ascii="Times New Roman" w:hAnsi="Times New Roman" w:cs="Times New Roman"/>
          <w:sz w:val="24"/>
          <w:szCs w:val="24"/>
          <w:lang w:val="en-US"/>
        </w:rPr>
        <w:t> </w:t>
      </w:r>
      <w:r w:rsidRPr="00AE695B">
        <w:rPr>
          <w:rFonts w:ascii="Times New Roman" w:hAnsi="Times New Roman" w:cs="Times New Roman"/>
          <w:sz w:val="24"/>
          <w:szCs w:val="24"/>
          <w:lang w:val="en-US"/>
        </w:rPr>
        <w:t>% mechanical ventilation. Community infections were developed by 54</w:t>
      </w:r>
      <w:r w:rsidR="00794399">
        <w:rPr>
          <w:rFonts w:ascii="Times New Roman" w:hAnsi="Times New Roman" w:cs="Times New Roman"/>
          <w:sz w:val="24"/>
          <w:szCs w:val="24"/>
          <w:lang w:val="en-US"/>
        </w:rPr>
        <w:t>.</w:t>
      </w:r>
      <w:r w:rsidRPr="00AE695B">
        <w:rPr>
          <w:rFonts w:ascii="Times New Roman" w:hAnsi="Times New Roman" w:cs="Times New Roman"/>
          <w:sz w:val="24"/>
          <w:szCs w:val="24"/>
          <w:lang w:val="en-US"/>
        </w:rPr>
        <w:t>0</w:t>
      </w:r>
      <w:r w:rsidR="00794399">
        <w:rPr>
          <w:rFonts w:ascii="Times New Roman" w:hAnsi="Times New Roman" w:cs="Times New Roman"/>
          <w:sz w:val="24"/>
          <w:szCs w:val="24"/>
          <w:lang w:val="en-US"/>
        </w:rPr>
        <w:t> </w:t>
      </w:r>
      <w:r w:rsidRPr="00AE695B">
        <w:rPr>
          <w:rFonts w:ascii="Times New Roman" w:hAnsi="Times New Roman" w:cs="Times New Roman"/>
          <w:sz w:val="24"/>
          <w:szCs w:val="24"/>
          <w:lang w:val="en-US"/>
        </w:rPr>
        <w:t>% of patients and 8</w:t>
      </w:r>
      <w:r w:rsidR="00794399">
        <w:rPr>
          <w:rFonts w:ascii="Times New Roman" w:hAnsi="Times New Roman" w:cs="Times New Roman"/>
          <w:sz w:val="24"/>
          <w:szCs w:val="24"/>
          <w:lang w:val="en-US"/>
        </w:rPr>
        <w:t>.</w:t>
      </w:r>
      <w:r w:rsidRPr="00AE695B">
        <w:rPr>
          <w:rFonts w:ascii="Times New Roman" w:hAnsi="Times New Roman" w:cs="Times New Roman"/>
          <w:sz w:val="24"/>
          <w:szCs w:val="24"/>
          <w:lang w:val="en-US"/>
        </w:rPr>
        <w:t>0</w:t>
      </w:r>
      <w:r w:rsidR="00794399">
        <w:rPr>
          <w:rFonts w:ascii="Times New Roman" w:hAnsi="Times New Roman" w:cs="Times New Roman"/>
          <w:sz w:val="24"/>
          <w:szCs w:val="24"/>
          <w:lang w:val="en-US"/>
        </w:rPr>
        <w:t> </w:t>
      </w:r>
      <w:r w:rsidRPr="00AE695B">
        <w:rPr>
          <w:rFonts w:ascii="Times New Roman" w:hAnsi="Times New Roman" w:cs="Times New Roman"/>
          <w:sz w:val="24"/>
          <w:szCs w:val="24"/>
          <w:lang w:val="en-US"/>
        </w:rPr>
        <w:t xml:space="preserve">% acquired healthcare associated infections. </w:t>
      </w:r>
    </w:p>
    <w:p w14:paraId="50D98A0E" w14:textId="75DDF386" w:rsidR="00E95827" w:rsidRPr="00AE695B" w:rsidRDefault="00E95827" w:rsidP="00E95827">
      <w:pPr>
        <w:tabs>
          <w:tab w:val="left" w:pos="3697"/>
        </w:tabs>
        <w:spacing w:after="0" w:line="360" w:lineRule="auto"/>
        <w:jc w:val="both"/>
        <w:rPr>
          <w:rFonts w:ascii="Times New Roman" w:hAnsi="Times New Roman" w:cs="Times New Roman"/>
          <w:sz w:val="24"/>
          <w:szCs w:val="24"/>
          <w:lang w:val="en-US"/>
        </w:rPr>
      </w:pPr>
      <w:r w:rsidRPr="00AE695B">
        <w:rPr>
          <w:rFonts w:ascii="Times New Roman" w:hAnsi="Times New Roman" w:cs="Times New Roman"/>
          <w:b/>
          <w:sz w:val="24"/>
          <w:szCs w:val="24"/>
          <w:lang w:val="en-US"/>
        </w:rPr>
        <w:lastRenderedPageBreak/>
        <w:t>Conclusions</w:t>
      </w:r>
      <w:r w:rsidRPr="00AE695B">
        <w:rPr>
          <w:rFonts w:ascii="Times New Roman" w:hAnsi="Times New Roman" w:cs="Times New Roman"/>
          <w:sz w:val="24"/>
          <w:szCs w:val="24"/>
          <w:lang w:val="en-US"/>
        </w:rPr>
        <w:t xml:space="preserve">: The population it is characterized by being close to fourth decade, belonging to female sex, proceeding from operating room, clinical conditions, hypoalbuminemia and low values of APACHE II and </w:t>
      </w:r>
      <w:r w:rsidRPr="00AE695B">
        <w:rPr>
          <w:rFonts w:ascii="Times New Roman" w:hAnsi="Times New Roman" w:cs="Times New Roman"/>
          <w:iCs/>
          <w:sz w:val="24"/>
          <w:szCs w:val="24"/>
          <w:lang w:val="en-US"/>
        </w:rPr>
        <w:t>SOFA</w:t>
      </w:r>
      <w:r w:rsidR="00FA3D1D">
        <w:rPr>
          <w:rFonts w:ascii="Times New Roman" w:hAnsi="Times New Roman" w:cs="Times New Roman"/>
          <w:iCs/>
          <w:sz w:val="24"/>
          <w:szCs w:val="24"/>
          <w:lang w:val="en-US"/>
        </w:rPr>
        <w:t xml:space="preserve"> </w:t>
      </w:r>
      <w:r w:rsidRPr="00AE695B">
        <w:rPr>
          <w:rFonts w:ascii="Times New Roman" w:hAnsi="Times New Roman" w:cs="Times New Roman"/>
          <w:sz w:val="24"/>
          <w:szCs w:val="24"/>
          <w:lang w:val="en-US"/>
        </w:rPr>
        <w:t xml:space="preserve">scores. Mortality remains stable and the incidence of community infections is high. </w:t>
      </w:r>
    </w:p>
    <w:p w14:paraId="44921D8B" w14:textId="7ACE5B98" w:rsidR="00E95827" w:rsidRPr="00AE695B" w:rsidRDefault="00E95827" w:rsidP="00E95827">
      <w:pPr>
        <w:tabs>
          <w:tab w:val="left" w:pos="3697"/>
        </w:tabs>
        <w:spacing w:after="0" w:line="360" w:lineRule="auto"/>
        <w:jc w:val="both"/>
        <w:rPr>
          <w:rFonts w:ascii="Times New Roman" w:hAnsi="Times New Roman" w:cs="Times New Roman"/>
          <w:sz w:val="24"/>
          <w:szCs w:val="24"/>
          <w:lang w:val="en-US"/>
        </w:rPr>
      </w:pPr>
      <w:r w:rsidRPr="00AE695B">
        <w:rPr>
          <w:rFonts w:ascii="Times New Roman" w:hAnsi="Times New Roman" w:cs="Times New Roman"/>
          <w:b/>
          <w:sz w:val="24"/>
          <w:szCs w:val="24"/>
          <w:lang w:val="en-US"/>
        </w:rPr>
        <w:t>Keywords</w:t>
      </w:r>
      <w:r w:rsidRPr="00AE695B">
        <w:rPr>
          <w:rFonts w:ascii="Times New Roman" w:hAnsi="Times New Roman" w:cs="Times New Roman"/>
          <w:sz w:val="24"/>
          <w:szCs w:val="24"/>
          <w:lang w:val="en-US"/>
        </w:rPr>
        <w:t>: epidemiology; risk factors</w:t>
      </w:r>
      <w:r w:rsidR="00FA3D1D">
        <w:rPr>
          <w:rFonts w:ascii="Times New Roman" w:hAnsi="Times New Roman" w:cs="Times New Roman"/>
          <w:sz w:val="24"/>
          <w:szCs w:val="24"/>
          <w:lang w:val="en-US"/>
        </w:rPr>
        <w:t>;</w:t>
      </w:r>
      <w:r w:rsidRPr="00AE695B">
        <w:rPr>
          <w:rFonts w:ascii="Times New Roman" w:hAnsi="Times New Roman" w:cs="Times New Roman"/>
          <w:sz w:val="24"/>
          <w:szCs w:val="24"/>
          <w:lang w:val="en-US"/>
        </w:rPr>
        <w:t xml:space="preserve"> therapy; mortality; critical patient</w:t>
      </w:r>
      <w:r w:rsidR="00FA3D1D">
        <w:rPr>
          <w:rFonts w:ascii="Times New Roman" w:hAnsi="Times New Roman" w:cs="Times New Roman"/>
          <w:sz w:val="24"/>
          <w:szCs w:val="24"/>
          <w:lang w:val="en-US"/>
        </w:rPr>
        <w:t>;</w:t>
      </w:r>
      <w:r w:rsidRPr="00AE695B">
        <w:rPr>
          <w:rFonts w:ascii="Times New Roman" w:hAnsi="Times New Roman" w:cs="Times New Roman"/>
          <w:sz w:val="24"/>
          <w:szCs w:val="24"/>
          <w:lang w:val="en-US"/>
        </w:rPr>
        <w:t xml:space="preserve"> intensive care unit.</w:t>
      </w:r>
    </w:p>
    <w:p w14:paraId="34842AE6" w14:textId="77777777" w:rsidR="00E95827" w:rsidRPr="00AE695B" w:rsidRDefault="00E95827" w:rsidP="00E95827">
      <w:pPr>
        <w:tabs>
          <w:tab w:val="left" w:pos="3697"/>
        </w:tabs>
        <w:spacing w:after="0" w:line="360" w:lineRule="auto"/>
        <w:jc w:val="both"/>
        <w:rPr>
          <w:rFonts w:ascii="Times New Roman" w:hAnsi="Times New Roman" w:cs="Times New Roman"/>
          <w:sz w:val="24"/>
          <w:szCs w:val="24"/>
          <w:lang w:val="en-US"/>
        </w:rPr>
      </w:pPr>
    </w:p>
    <w:p w14:paraId="4D6E8562" w14:textId="77777777" w:rsidR="00E95827" w:rsidRPr="00AE695B" w:rsidRDefault="00E95827" w:rsidP="00E95827">
      <w:pPr>
        <w:tabs>
          <w:tab w:val="left" w:pos="3697"/>
        </w:tabs>
        <w:spacing w:after="0" w:line="360" w:lineRule="auto"/>
        <w:jc w:val="both"/>
        <w:rPr>
          <w:rFonts w:ascii="Times New Roman" w:hAnsi="Times New Roman" w:cs="Times New Roman"/>
          <w:sz w:val="24"/>
          <w:szCs w:val="24"/>
          <w:lang w:val="en-US"/>
        </w:rPr>
      </w:pPr>
    </w:p>
    <w:p w14:paraId="23FFD38D" w14:textId="599CC483" w:rsidR="00E95827" w:rsidRPr="00AE695B" w:rsidRDefault="00E95827" w:rsidP="00E95827">
      <w:pPr>
        <w:tabs>
          <w:tab w:val="left" w:pos="344"/>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Recibido:</w:t>
      </w:r>
      <w:r w:rsidR="00FA3D1D">
        <w:rPr>
          <w:rFonts w:ascii="Times New Roman" w:hAnsi="Times New Roman" w:cs="Times New Roman"/>
          <w:sz w:val="24"/>
          <w:szCs w:val="24"/>
        </w:rPr>
        <w:t xml:space="preserve"> </w:t>
      </w:r>
      <w:r w:rsidRPr="00AE695B">
        <w:rPr>
          <w:rFonts w:ascii="Times New Roman" w:hAnsi="Times New Roman" w:cs="Times New Roman"/>
          <w:sz w:val="24"/>
          <w:szCs w:val="24"/>
        </w:rPr>
        <w:t>23/08/2021</w:t>
      </w:r>
    </w:p>
    <w:p w14:paraId="28637E9F" w14:textId="77777777" w:rsidR="00E95827" w:rsidRPr="00AE695B" w:rsidRDefault="00E95827" w:rsidP="00E95827">
      <w:pPr>
        <w:tabs>
          <w:tab w:val="left" w:pos="344"/>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Aprobado:</w:t>
      </w:r>
      <w:r>
        <w:rPr>
          <w:rFonts w:ascii="Times New Roman" w:hAnsi="Times New Roman" w:cs="Times New Roman"/>
          <w:sz w:val="24"/>
          <w:szCs w:val="24"/>
        </w:rPr>
        <w:t xml:space="preserve"> 22/10/2021</w:t>
      </w:r>
    </w:p>
    <w:p w14:paraId="0BFD6EA9" w14:textId="77777777" w:rsidR="00E95827" w:rsidRPr="00AE695B" w:rsidRDefault="00E95827" w:rsidP="00E95827">
      <w:pPr>
        <w:tabs>
          <w:tab w:val="left" w:pos="344"/>
          <w:tab w:val="left" w:pos="3697"/>
        </w:tabs>
        <w:spacing w:after="0" w:line="360" w:lineRule="auto"/>
        <w:jc w:val="both"/>
        <w:rPr>
          <w:rFonts w:ascii="Times New Roman" w:hAnsi="Times New Roman" w:cs="Times New Roman"/>
          <w:sz w:val="24"/>
          <w:szCs w:val="24"/>
        </w:rPr>
      </w:pPr>
    </w:p>
    <w:p w14:paraId="148AF528" w14:textId="77777777" w:rsidR="00E95827" w:rsidRPr="00AE695B" w:rsidRDefault="00E95827" w:rsidP="00E95827">
      <w:pPr>
        <w:tabs>
          <w:tab w:val="left" w:pos="344"/>
          <w:tab w:val="left" w:pos="3697"/>
        </w:tabs>
        <w:spacing w:after="0" w:line="360" w:lineRule="auto"/>
        <w:jc w:val="both"/>
        <w:rPr>
          <w:rFonts w:ascii="Times New Roman" w:hAnsi="Times New Roman" w:cs="Times New Roman"/>
          <w:sz w:val="24"/>
          <w:szCs w:val="24"/>
        </w:rPr>
      </w:pPr>
    </w:p>
    <w:p w14:paraId="31EBB601" w14:textId="77777777" w:rsidR="00E95827" w:rsidRPr="00C15199" w:rsidRDefault="00E95827" w:rsidP="00E95827">
      <w:pPr>
        <w:tabs>
          <w:tab w:val="left" w:pos="344"/>
          <w:tab w:val="left" w:pos="3697"/>
        </w:tabs>
        <w:spacing w:after="0" w:line="360" w:lineRule="auto"/>
        <w:jc w:val="center"/>
        <w:rPr>
          <w:rFonts w:ascii="Times New Roman" w:hAnsi="Times New Roman" w:cs="Times New Roman"/>
          <w:b/>
          <w:bCs/>
          <w:sz w:val="32"/>
          <w:szCs w:val="32"/>
        </w:rPr>
      </w:pPr>
      <w:r w:rsidRPr="00C15199">
        <w:rPr>
          <w:rFonts w:ascii="Times New Roman" w:hAnsi="Times New Roman" w:cs="Times New Roman"/>
          <w:b/>
          <w:bCs/>
          <w:sz w:val="32"/>
          <w:szCs w:val="32"/>
        </w:rPr>
        <w:t>INTRODUCCIÓN</w:t>
      </w:r>
    </w:p>
    <w:p w14:paraId="3AB2203A" w14:textId="77777777"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Las unidades de cuidados intensivos (UCI) son servicios en los que se proporciona una mejoría del pronóstico a pacientes críticos. Están dotadas de infraestructura para atender enfermos con alta complejidad, los cuales reciben vigilancia continua y se intervienen mediante tecnología especializada.</w:t>
      </w:r>
      <w:r w:rsidRPr="00AE695B">
        <w:rPr>
          <w:rFonts w:ascii="Times New Roman" w:hAnsi="Times New Roman" w:cs="Times New Roman"/>
          <w:sz w:val="24"/>
          <w:szCs w:val="24"/>
          <w:vertAlign w:val="superscript"/>
        </w:rPr>
        <w:t>(1,2)</w:t>
      </w:r>
    </w:p>
    <w:p w14:paraId="5E8B1F12" w14:textId="59B283CA"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Las tasas de mortalidad a nivel mundial en las UCI han disminuido en las últimas décadas,</w:t>
      </w:r>
      <w:r w:rsidR="00FB78F1">
        <w:rPr>
          <w:rFonts w:ascii="Times New Roman" w:hAnsi="Times New Roman" w:cs="Times New Roman"/>
          <w:sz w:val="24"/>
          <w:szCs w:val="24"/>
        </w:rPr>
        <w:t xml:space="preserve"> </w:t>
      </w:r>
      <w:r w:rsidRPr="00AE695B">
        <w:rPr>
          <w:rFonts w:ascii="Times New Roman" w:hAnsi="Times New Roman" w:cs="Times New Roman"/>
          <w:sz w:val="24"/>
          <w:szCs w:val="24"/>
        </w:rPr>
        <w:t>pero</w:t>
      </w:r>
      <w:r>
        <w:rPr>
          <w:rFonts w:ascii="Times New Roman" w:hAnsi="Times New Roman" w:cs="Times New Roman"/>
          <w:sz w:val="24"/>
          <w:szCs w:val="24"/>
        </w:rPr>
        <w:t xml:space="preserve"> </w:t>
      </w:r>
      <w:r w:rsidRPr="00AE695B">
        <w:rPr>
          <w:rFonts w:ascii="Times New Roman" w:hAnsi="Times New Roman" w:cs="Times New Roman"/>
          <w:sz w:val="24"/>
          <w:szCs w:val="24"/>
        </w:rPr>
        <w:t>son notables los ingresos en edades avanzadas</w:t>
      </w:r>
      <w:r>
        <w:rPr>
          <w:rFonts w:ascii="Times New Roman" w:hAnsi="Times New Roman" w:cs="Times New Roman"/>
          <w:sz w:val="24"/>
          <w:szCs w:val="24"/>
        </w:rPr>
        <w:t xml:space="preserve">, </w:t>
      </w:r>
      <w:r w:rsidRPr="00AE695B">
        <w:rPr>
          <w:rFonts w:ascii="Times New Roman" w:hAnsi="Times New Roman" w:cs="Times New Roman"/>
          <w:sz w:val="24"/>
          <w:szCs w:val="24"/>
        </w:rPr>
        <w:t>el número de comorbilidades y l</w:t>
      </w:r>
      <w:r>
        <w:rPr>
          <w:rFonts w:ascii="Times New Roman" w:hAnsi="Times New Roman" w:cs="Times New Roman"/>
          <w:sz w:val="24"/>
          <w:szCs w:val="24"/>
        </w:rPr>
        <w:t xml:space="preserve">a </w:t>
      </w:r>
      <w:r w:rsidRPr="00AE695B">
        <w:rPr>
          <w:rFonts w:ascii="Times New Roman" w:hAnsi="Times New Roman" w:cs="Times New Roman"/>
          <w:sz w:val="24"/>
          <w:szCs w:val="24"/>
        </w:rPr>
        <w:t>gravedad de los enfermos.</w:t>
      </w:r>
      <w:r w:rsidRPr="00AE695B">
        <w:rPr>
          <w:rFonts w:ascii="Times New Roman" w:hAnsi="Times New Roman" w:cs="Times New Roman"/>
          <w:sz w:val="24"/>
          <w:szCs w:val="24"/>
          <w:vertAlign w:val="superscript"/>
        </w:rPr>
        <w:t>(3,4)</w:t>
      </w:r>
    </w:p>
    <w:p w14:paraId="1A33D2C1" w14:textId="77777777" w:rsidR="00E95827" w:rsidRPr="00AE695B" w:rsidRDefault="00E95827" w:rsidP="00E95827">
      <w:pPr>
        <w:tabs>
          <w:tab w:val="left" w:pos="3697"/>
        </w:tabs>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Las tendencias sobre las características de los pacientes críticos</w:t>
      </w:r>
      <w:r>
        <w:rPr>
          <w:rFonts w:ascii="Times New Roman" w:hAnsi="Times New Roman" w:cs="Times New Roman"/>
          <w:sz w:val="24"/>
          <w:szCs w:val="24"/>
        </w:rPr>
        <w:t xml:space="preserve">, </w:t>
      </w:r>
      <w:r w:rsidRPr="00AE695B">
        <w:rPr>
          <w:rFonts w:ascii="Times New Roman" w:hAnsi="Times New Roman" w:cs="Times New Roman"/>
          <w:sz w:val="24"/>
          <w:szCs w:val="24"/>
        </w:rPr>
        <w:t>se basan por lo general en datos longitudinales de países europeos y difieren de los provenientes de otras regiones, debido a desigualdades en la gravedad, la estancia y la mortalidad.</w:t>
      </w:r>
      <w:r>
        <w:rPr>
          <w:rFonts w:ascii="Times New Roman" w:hAnsi="Times New Roman" w:cs="Times New Roman"/>
          <w:sz w:val="24"/>
          <w:szCs w:val="24"/>
        </w:rPr>
        <w:t xml:space="preserve"> </w:t>
      </w:r>
      <w:r w:rsidRPr="00AE695B">
        <w:rPr>
          <w:rFonts w:ascii="Times New Roman" w:hAnsi="Times New Roman" w:cs="Times New Roman"/>
          <w:sz w:val="24"/>
          <w:szCs w:val="24"/>
        </w:rPr>
        <w:t>La capacidad de camas</w:t>
      </w:r>
      <w:r>
        <w:rPr>
          <w:rFonts w:ascii="Times New Roman" w:hAnsi="Times New Roman" w:cs="Times New Roman"/>
          <w:sz w:val="24"/>
          <w:szCs w:val="24"/>
        </w:rPr>
        <w:t>,</w:t>
      </w:r>
      <w:r w:rsidRPr="00AE695B">
        <w:rPr>
          <w:rFonts w:ascii="Times New Roman" w:hAnsi="Times New Roman" w:cs="Times New Roman"/>
          <w:sz w:val="24"/>
          <w:szCs w:val="24"/>
        </w:rPr>
        <w:t xml:space="preserve"> influenciada por variaciones en las riquezas, condiciones de los sistemas de salud y recursos, influye también en este hecho.</w:t>
      </w:r>
      <w:r w:rsidRPr="00AE695B">
        <w:rPr>
          <w:rFonts w:ascii="Times New Roman" w:hAnsi="Times New Roman" w:cs="Times New Roman"/>
          <w:sz w:val="24"/>
          <w:szCs w:val="24"/>
          <w:vertAlign w:val="superscript"/>
        </w:rPr>
        <w:t>(3,4)</w:t>
      </w:r>
    </w:p>
    <w:p w14:paraId="5128E817" w14:textId="77777777" w:rsidR="00E95827" w:rsidRPr="00AE695B" w:rsidRDefault="00E95827" w:rsidP="00E95827">
      <w:pPr>
        <w:tabs>
          <w:tab w:val="left" w:pos="3697"/>
        </w:tabs>
        <w:spacing w:after="0" w:line="360" w:lineRule="auto"/>
        <w:jc w:val="both"/>
        <w:rPr>
          <w:rFonts w:ascii="Times New Roman" w:hAnsi="Times New Roman" w:cs="Times New Roman"/>
          <w:sz w:val="24"/>
          <w:szCs w:val="24"/>
          <w:vertAlign w:val="superscript"/>
        </w:rPr>
      </w:pPr>
      <w:r w:rsidRPr="00AE695B">
        <w:rPr>
          <w:rFonts w:ascii="Times New Roman" w:hAnsi="Times New Roman" w:cs="Times New Roman"/>
          <w:sz w:val="24"/>
          <w:szCs w:val="24"/>
        </w:rPr>
        <w:t>Por tanto, resulta necesario determinar las características de los casos de cada país</w:t>
      </w:r>
      <w:r>
        <w:rPr>
          <w:rFonts w:ascii="Times New Roman" w:hAnsi="Times New Roman" w:cs="Times New Roman"/>
          <w:sz w:val="24"/>
          <w:szCs w:val="24"/>
        </w:rPr>
        <w:t xml:space="preserve">, </w:t>
      </w:r>
      <w:r w:rsidRPr="00AE695B">
        <w:rPr>
          <w:rFonts w:ascii="Times New Roman" w:hAnsi="Times New Roman" w:cs="Times New Roman"/>
          <w:sz w:val="24"/>
          <w:szCs w:val="24"/>
        </w:rPr>
        <w:t>con el propósito de</w:t>
      </w:r>
      <w:r>
        <w:rPr>
          <w:rFonts w:ascii="Times New Roman" w:hAnsi="Times New Roman" w:cs="Times New Roman"/>
          <w:sz w:val="24"/>
          <w:szCs w:val="24"/>
        </w:rPr>
        <w:t xml:space="preserve"> </w:t>
      </w:r>
      <w:r w:rsidRPr="00AE695B">
        <w:rPr>
          <w:rFonts w:ascii="Times New Roman" w:hAnsi="Times New Roman" w:cs="Times New Roman"/>
          <w:sz w:val="24"/>
          <w:szCs w:val="24"/>
        </w:rPr>
        <w:t>planificar ensayos multicéntricos, comparar datos entre diferentes latitudes, adoptar estrategias para incrementar el rendimiento de las UCI, diseñar políticas hospitalarias y protocolos de atención.</w:t>
      </w:r>
      <w:r w:rsidRPr="00AE695B">
        <w:rPr>
          <w:rFonts w:ascii="Times New Roman" w:hAnsi="Times New Roman" w:cs="Times New Roman"/>
          <w:sz w:val="24"/>
          <w:szCs w:val="24"/>
          <w:vertAlign w:val="superscript"/>
        </w:rPr>
        <w:t>(5)</w:t>
      </w:r>
    </w:p>
    <w:p w14:paraId="295C9A1E" w14:textId="7DDD0A72" w:rsidR="00E95827" w:rsidRPr="00AE695B" w:rsidRDefault="00E95827" w:rsidP="00E95827">
      <w:pPr>
        <w:tabs>
          <w:tab w:val="left" w:pos="3697"/>
        </w:tabs>
        <w:spacing w:after="0" w:line="360" w:lineRule="auto"/>
        <w:jc w:val="both"/>
        <w:rPr>
          <w:rFonts w:ascii="Times New Roman" w:hAnsi="Times New Roman" w:cs="Times New Roman"/>
          <w:sz w:val="24"/>
          <w:szCs w:val="24"/>
          <w:vertAlign w:val="superscript"/>
        </w:rPr>
      </w:pPr>
      <w:r w:rsidRPr="00AE695B">
        <w:rPr>
          <w:rFonts w:ascii="Times New Roman" w:hAnsi="Times New Roman" w:cs="Times New Roman"/>
          <w:sz w:val="24"/>
          <w:szCs w:val="24"/>
        </w:rPr>
        <w:lastRenderedPageBreak/>
        <w:t>En Cuba</w:t>
      </w:r>
      <w:r w:rsidR="00FB3262">
        <w:rPr>
          <w:rFonts w:ascii="Times New Roman" w:hAnsi="Times New Roman" w:cs="Times New Roman"/>
          <w:sz w:val="24"/>
          <w:szCs w:val="24"/>
        </w:rPr>
        <w:t xml:space="preserve"> </w:t>
      </w:r>
      <w:r w:rsidRPr="00AE695B">
        <w:rPr>
          <w:rFonts w:ascii="Times New Roman" w:hAnsi="Times New Roman" w:cs="Times New Roman"/>
          <w:sz w:val="24"/>
          <w:szCs w:val="24"/>
        </w:rPr>
        <w:t>son limitados los estudios sobre las características de enfermos en las UCI y</w:t>
      </w:r>
      <w:r w:rsidR="00FB3262">
        <w:rPr>
          <w:rFonts w:ascii="Times New Roman" w:hAnsi="Times New Roman" w:cs="Times New Roman"/>
          <w:sz w:val="24"/>
          <w:szCs w:val="24"/>
        </w:rPr>
        <w:t xml:space="preserve"> </w:t>
      </w:r>
      <w:r w:rsidRPr="00AE695B">
        <w:rPr>
          <w:rFonts w:ascii="Times New Roman" w:hAnsi="Times New Roman" w:cs="Times New Roman"/>
          <w:sz w:val="24"/>
          <w:szCs w:val="24"/>
        </w:rPr>
        <w:t>se enfocan más en la morbilidad y mortalidad en un tiempo fijo. Un resultado del proyecto</w:t>
      </w:r>
      <w:r>
        <w:rPr>
          <w:rFonts w:ascii="Times New Roman" w:hAnsi="Times New Roman" w:cs="Times New Roman"/>
          <w:sz w:val="24"/>
          <w:szCs w:val="24"/>
        </w:rPr>
        <w:t xml:space="preserve"> </w:t>
      </w:r>
      <w:r w:rsidRPr="00AE695B">
        <w:rPr>
          <w:rFonts w:ascii="Times New Roman" w:hAnsi="Times New Roman" w:cs="Times New Roman"/>
          <w:sz w:val="24"/>
          <w:szCs w:val="24"/>
        </w:rPr>
        <w:t>multicéntrico “Disminución de la infección nosocomial en unidades de cuidados intensivos” (DINUCI), desarrollado en UCI cubanas, fue caracterizar a la población de pacientes graves.</w:t>
      </w:r>
      <w:r w:rsidRPr="00AE695B">
        <w:rPr>
          <w:rFonts w:ascii="Times New Roman" w:hAnsi="Times New Roman" w:cs="Times New Roman"/>
          <w:sz w:val="24"/>
          <w:szCs w:val="24"/>
          <w:vertAlign w:val="superscript"/>
        </w:rPr>
        <w:t>(6,7)</w:t>
      </w:r>
    </w:p>
    <w:p w14:paraId="6091299E" w14:textId="77777777" w:rsidR="00E95827" w:rsidRPr="00C15199" w:rsidRDefault="00E95827" w:rsidP="00E95827">
      <w:pPr>
        <w:tabs>
          <w:tab w:val="left" w:pos="3697"/>
        </w:tabs>
        <w:spacing w:after="0" w:line="360" w:lineRule="auto"/>
        <w:jc w:val="both"/>
        <w:rPr>
          <w:rFonts w:ascii="Times New Roman" w:hAnsi="Times New Roman" w:cs="Times New Roman"/>
          <w:sz w:val="24"/>
          <w:szCs w:val="24"/>
          <w:u w:val="single"/>
        </w:rPr>
      </w:pPr>
      <w:r w:rsidRPr="00AE695B">
        <w:rPr>
          <w:rFonts w:ascii="Times New Roman" w:hAnsi="Times New Roman" w:cs="Times New Roman"/>
          <w:sz w:val="24"/>
          <w:szCs w:val="24"/>
        </w:rPr>
        <w:t>Ante esta problemática y por disponer del registro institucional DINUCI, el objetivo de est</w:t>
      </w:r>
      <w:r>
        <w:rPr>
          <w:rFonts w:ascii="Times New Roman" w:hAnsi="Times New Roman" w:cs="Times New Roman"/>
          <w:sz w:val="24"/>
          <w:szCs w:val="24"/>
        </w:rPr>
        <w:t xml:space="preserve">e </w:t>
      </w:r>
      <w:r w:rsidRPr="00AE695B">
        <w:rPr>
          <w:rFonts w:ascii="Times New Roman" w:hAnsi="Times New Roman" w:cs="Times New Roman"/>
          <w:sz w:val="24"/>
          <w:szCs w:val="24"/>
        </w:rPr>
        <w:t>estudio es identificar las características</w:t>
      </w:r>
      <w:r>
        <w:rPr>
          <w:rFonts w:ascii="Times New Roman" w:hAnsi="Times New Roman" w:cs="Times New Roman"/>
          <w:sz w:val="24"/>
          <w:szCs w:val="24"/>
        </w:rPr>
        <w:t xml:space="preserve"> </w:t>
      </w:r>
      <w:r w:rsidRPr="00AE695B">
        <w:rPr>
          <w:rFonts w:ascii="Times New Roman" w:hAnsi="Times New Roman" w:cs="Times New Roman"/>
          <w:sz w:val="24"/>
          <w:szCs w:val="24"/>
        </w:rPr>
        <w:t>clínicas, epidemiológicas y terapéuticas de pacientes atendidos en la unidad de cuidados intensivos</w:t>
      </w:r>
      <w:r>
        <w:rPr>
          <w:rFonts w:ascii="Times New Roman" w:hAnsi="Times New Roman" w:cs="Times New Roman"/>
          <w:sz w:val="24"/>
          <w:szCs w:val="24"/>
        </w:rPr>
        <w:t>.</w:t>
      </w:r>
    </w:p>
    <w:p w14:paraId="3BF67F7F" w14:textId="77777777" w:rsidR="00E95827" w:rsidRPr="00AE695B" w:rsidRDefault="00E95827" w:rsidP="00E95827">
      <w:pPr>
        <w:tabs>
          <w:tab w:val="left" w:pos="3697"/>
        </w:tabs>
        <w:spacing w:after="0" w:line="360" w:lineRule="auto"/>
        <w:jc w:val="both"/>
        <w:rPr>
          <w:rFonts w:ascii="Times New Roman" w:hAnsi="Times New Roman" w:cs="Times New Roman"/>
          <w:b/>
          <w:sz w:val="24"/>
          <w:szCs w:val="24"/>
        </w:rPr>
      </w:pPr>
    </w:p>
    <w:p w14:paraId="7A85F098" w14:textId="77777777" w:rsidR="00E95827" w:rsidRPr="00AE695B" w:rsidRDefault="00E95827" w:rsidP="00E95827">
      <w:pPr>
        <w:tabs>
          <w:tab w:val="left" w:pos="3697"/>
        </w:tabs>
        <w:spacing w:after="0" w:line="360" w:lineRule="auto"/>
        <w:jc w:val="both"/>
        <w:rPr>
          <w:rFonts w:ascii="Times New Roman" w:hAnsi="Times New Roman" w:cs="Times New Roman"/>
          <w:b/>
          <w:sz w:val="24"/>
          <w:szCs w:val="24"/>
        </w:rPr>
      </w:pPr>
    </w:p>
    <w:p w14:paraId="7F6BDFAA" w14:textId="77777777" w:rsidR="00E95827" w:rsidRPr="00C15199" w:rsidRDefault="00E95827" w:rsidP="00E95827">
      <w:pPr>
        <w:tabs>
          <w:tab w:val="left" w:pos="3697"/>
        </w:tabs>
        <w:spacing w:after="0" w:line="360" w:lineRule="auto"/>
        <w:jc w:val="center"/>
        <w:rPr>
          <w:rFonts w:ascii="Times New Roman" w:hAnsi="Times New Roman" w:cs="Times New Roman"/>
          <w:b/>
          <w:sz w:val="32"/>
          <w:szCs w:val="32"/>
        </w:rPr>
      </w:pPr>
      <w:r w:rsidRPr="00C15199">
        <w:rPr>
          <w:rFonts w:ascii="Times New Roman" w:hAnsi="Times New Roman" w:cs="Times New Roman"/>
          <w:b/>
          <w:sz w:val="32"/>
          <w:szCs w:val="32"/>
        </w:rPr>
        <w:t>MÉTODOS</w:t>
      </w:r>
    </w:p>
    <w:p w14:paraId="6870850D" w14:textId="77777777" w:rsidR="00E95827" w:rsidRPr="00C15199" w:rsidRDefault="00E95827" w:rsidP="00E95827">
      <w:pPr>
        <w:autoSpaceDE w:val="0"/>
        <w:autoSpaceDN w:val="0"/>
        <w:adjustRightInd w:val="0"/>
        <w:spacing w:after="0" w:line="360" w:lineRule="auto"/>
        <w:jc w:val="center"/>
        <w:rPr>
          <w:rFonts w:ascii="Times New Roman" w:hAnsi="Times New Roman" w:cs="Times New Roman"/>
          <w:b/>
          <w:bCs/>
          <w:iCs/>
          <w:sz w:val="28"/>
          <w:szCs w:val="28"/>
        </w:rPr>
      </w:pPr>
      <w:r w:rsidRPr="00C15199">
        <w:rPr>
          <w:rFonts w:ascii="Times New Roman" w:hAnsi="Times New Roman" w:cs="Times New Roman"/>
          <w:b/>
          <w:bCs/>
          <w:iCs/>
          <w:sz w:val="28"/>
          <w:szCs w:val="28"/>
        </w:rPr>
        <w:t>Diseño y contexto</w:t>
      </w:r>
      <w:r>
        <w:rPr>
          <w:rFonts w:ascii="Times New Roman" w:hAnsi="Times New Roman" w:cs="Times New Roman"/>
          <w:b/>
          <w:bCs/>
          <w:iCs/>
          <w:sz w:val="28"/>
          <w:szCs w:val="28"/>
        </w:rPr>
        <w:t xml:space="preserve"> </w:t>
      </w:r>
      <w:r w:rsidRPr="00C15199">
        <w:rPr>
          <w:rFonts w:ascii="Times New Roman" w:hAnsi="Times New Roman" w:cs="Times New Roman"/>
          <w:b/>
          <w:bCs/>
          <w:iCs/>
          <w:sz w:val="28"/>
          <w:szCs w:val="28"/>
        </w:rPr>
        <w:t>del</w:t>
      </w:r>
      <w:r>
        <w:rPr>
          <w:rFonts w:ascii="Times New Roman" w:hAnsi="Times New Roman" w:cs="Times New Roman"/>
          <w:b/>
          <w:bCs/>
          <w:iCs/>
          <w:sz w:val="28"/>
          <w:szCs w:val="28"/>
        </w:rPr>
        <w:t xml:space="preserve"> </w:t>
      </w:r>
      <w:r w:rsidRPr="00C15199">
        <w:rPr>
          <w:rFonts w:ascii="Times New Roman" w:hAnsi="Times New Roman" w:cs="Times New Roman"/>
          <w:b/>
          <w:bCs/>
          <w:iCs/>
          <w:sz w:val="28"/>
          <w:szCs w:val="28"/>
        </w:rPr>
        <w:t>estudio</w:t>
      </w:r>
    </w:p>
    <w:p w14:paraId="3FAD2D26" w14:textId="1F11BCD5" w:rsidR="00E95827" w:rsidRPr="00AE695B" w:rsidRDefault="00E95827" w:rsidP="00E95827">
      <w:pPr>
        <w:autoSpaceDE w:val="0"/>
        <w:autoSpaceDN w:val="0"/>
        <w:adjustRightInd w:val="0"/>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Se</w:t>
      </w:r>
      <w:r>
        <w:rPr>
          <w:rFonts w:ascii="Times New Roman" w:hAnsi="Times New Roman" w:cs="Times New Roman"/>
          <w:sz w:val="24"/>
          <w:szCs w:val="24"/>
        </w:rPr>
        <w:t xml:space="preserve"> </w:t>
      </w:r>
      <w:r w:rsidRPr="00AE695B">
        <w:rPr>
          <w:rFonts w:ascii="Times New Roman" w:hAnsi="Times New Roman" w:cs="Times New Roman"/>
          <w:sz w:val="24"/>
          <w:szCs w:val="24"/>
        </w:rPr>
        <w:t xml:space="preserve">realizó un estudio observacional, </w:t>
      </w:r>
      <w:r>
        <w:rPr>
          <w:rFonts w:ascii="Times New Roman" w:hAnsi="Times New Roman" w:cs="Times New Roman"/>
          <w:sz w:val="24"/>
          <w:szCs w:val="24"/>
        </w:rPr>
        <w:t xml:space="preserve">prospectivo </w:t>
      </w:r>
      <w:r w:rsidRPr="00AE695B">
        <w:rPr>
          <w:rFonts w:ascii="Times New Roman" w:hAnsi="Times New Roman" w:cs="Times New Roman"/>
          <w:sz w:val="24"/>
          <w:szCs w:val="24"/>
        </w:rPr>
        <w:t>en la UCI del hospital provincial general “Carlos Manuel de Céspedes” de Bayamo, Granma, Cuba. Se obtuvieron los datos durante</w:t>
      </w:r>
      <w:r>
        <w:rPr>
          <w:rFonts w:ascii="Times New Roman" w:hAnsi="Times New Roman" w:cs="Times New Roman"/>
          <w:sz w:val="24"/>
          <w:szCs w:val="24"/>
        </w:rPr>
        <w:t xml:space="preserve"> </w:t>
      </w:r>
      <w:r w:rsidRPr="00AE695B">
        <w:rPr>
          <w:rFonts w:ascii="Times New Roman" w:hAnsi="Times New Roman" w:cs="Times New Roman"/>
          <w:sz w:val="24"/>
          <w:szCs w:val="24"/>
        </w:rPr>
        <w:t>las fases del proyecto</w:t>
      </w:r>
      <w:r>
        <w:rPr>
          <w:rFonts w:ascii="Times New Roman" w:hAnsi="Times New Roman" w:cs="Times New Roman"/>
          <w:sz w:val="24"/>
          <w:szCs w:val="24"/>
        </w:rPr>
        <w:t>,</w:t>
      </w:r>
      <w:r w:rsidR="00516938">
        <w:rPr>
          <w:rFonts w:ascii="Times New Roman" w:hAnsi="Times New Roman" w:cs="Times New Roman"/>
          <w:sz w:val="24"/>
          <w:szCs w:val="24"/>
        </w:rPr>
        <w:t xml:space="preserve"> </w:t>
      </w:r>
      <w:r w:rsidRPr="00AE695B">
        <w:rPr>
          <w:rFonts w:ascii="Times New Roman" w:hAnsi="Times New Roman" w:cs="Times New Roman"/>
          <w:sz w:val="24"/>
          <w:szCs w:val="24"/>
        </w:rPr>
        <w:t>de</w:t>
      </w:r>
      <w:r>
        <w:rPr>
          <w:rFonts w:ascii="Times New Roman" w:hAnsi="Times New Roman" w:cs="Times New Roman"/>
          <w:sz w:val="24"/>
          <w:szCs w:val="24"/>
        </w:rPr>
        <w:t xml:space="preserve">sde el </w:t>
      </w:r>
      <w:r w:rsidRPr="00AE695B">
        <w:rPr>
          <w:rFonts w:ascii="Times New Roman" w:hAnsi="Times New Roman" w:cs="Times New Roman"/>
          <w:sz w:val="24"/>
          <w:szCs w:val="24"/>
        </w:rPr>
        <w:t>1 de octubre al 30 de noviembre de 2018, del 4 de noviembre al 27 de diciembre de 2019 y del 2 de noviembre al 21 de diciembre de 2020.</w:t>
      </w:r>
    </w:p>
    <w:p w14:paraId="71A9D415" w14:textId="77777777" w:rsidR="00E95827" w:rsidRPr="00AE695B" w:rsidRDefault="00E95827" w:rsidP="00E95827">
      <w:pPr>
        <w:autoSpaceDE w:val="0"/>
        <w:autoSpaceDN w:val="0"/>
        <w:adjustRightInd w:val="0"/>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iCs/>
          <w:sz w:val="24"/>
          <w:szCs w:val="24"/>
        </w:rPr>
        <w:t>Criterios de inclusión:</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s</w:t>
      </w:r>
      <w:r w:rsidRPr="00AE695B">
        <w:rPr>
          <w:rFonts w:ascii="Times New Roman" w:eastAsia="Calibri" w:hAnsi="Times New Roman" w:cs="Times New Roman"/>
          <w:sz w:val="24"/>
          <w:szCs w:val="24"/>
        </w:rPr>
        <w:t>e seleccionaron consecutivamente a</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los pacientes ingresados por más de 48 horas y se siguieron hasta su egreso. Se incluyeron 88 pacientes en el año 2018, 41 en el 2019 y 58 en el 2020.</w:t>
      </w:r>
    </w:p>
    <w:p w14:paraId="1B3A1C32" w14:textId="3112D4E7" w:rsidR="00E95827" w:rsidRPr="00AE695B" w:rsidRDefault="00E95827" w:rsidP="00E95827">
      <w:pPr>
        <w:autoSpaceDE w:val="0"/>
        <w:autoSpaceDN w:val="0"/>
        <w:adjustRightInd w:val="0"/>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iCs/>
          <w:sz w:val="24"/>
          <w:szCs w:val="24"/>
        </w:rPr>
        <w:t>Variables:</w:t>
      </w:r>
      <w:r w:rsidR="00516938">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s</w:t>
      </w:r>
      <w:r w:rsidRPr="00AE695B">
        <w:rPr>
          <w:rFonts w:ascii="Times New Roman" w:eastAsia="Calibri" w:hAnsi="Times New Roman" w:cs="Times New Roman"/>
          <w:sz w:val="24"/>
          <w:szCs w:val="24"/>
        </w:rPr>
        <w:t>e definieron</w:t>
      </w:r>
      <w:r>
        <w:rPr>
          <w:rFonts w:ascii="Times New Roman" w:eastAsia="Calibri" w:hAnsi="Times New Roman" w:cs="Times New Roman"/>
          <w:sz w:val="24"/>
          <w:szCs w:val="24"/>
        </w:rPr>
        <w:t xml:space="preserve"> las </w:t>
      </w:r>
      <w:r w:rsidRPr="00AE695B">
        <w:rPr>
          <w:rFonts w:ascii="Times New Roman" w:eastAsia="Calibri" w:hAnsi="Times New Roman" w:cs="Times New Roman"/>
          <w:sz w:val="24"/>
          <w:szCs w:val="24"/>
        </w:rPr>
        <w:t>variables</w:t>
      </w:r>
      <w:r w:rsidR="00516938">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edad</w:t>
      </w:r>
      <w:r>
        <w:rPr>
          <w:rFonts w:ascii="Times New Roman" w:eastAsia="Calibri" w:hAnsi="Times New Roman" w:cs="Times New Roman"/>
          <w:sz w:val="24"/>
          <w:szCs w:val="24"/>
        </w:rPr>
        <w:t>,</w:t>
      </w:r>
      <w:r w:rsidRPr="00AE695B">
        <w:rPr>
          <w:rFonts w:ascii="Times New Roman" w:eastAsia="Calibri" w:hAnsi="Times New Roman" w:cs="Times New Roman"/>
          <w:sz w:val="24"/>
          <w:szCs w:val="24"/>
        </w:rPr>
        <w:t xml:space="preserve"> sexo</w:t>
      </w:r>
      <w:r>
        <w:rPr>
          <w:rFonts w:ascii="Times New Roman" w:eastAsia="Calibri" w:hAnsi="Times New Roman" w:cs="Times New Roman"/>
          <w:sz w:val="24"/>
          <w:szCs w:val="24"/>
        </w:rPr>
        <w:t xml:space="preserve"> y las clínicas:</w:t>
      </w:r>
      <w:r w:rsidR="00516938">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origen de los pacientes, diagnóstico al ingreso, gravedad, disfunción de órganos,</w:t>
      </w:r>
      <w:r>
        <w:rPr>
          <w:rFonts w:ascii="Times New Roman" w:eastAsia="Calibri" w:hAnsi="Times New Roman" w:cs="Times New Roman"/>
          <w:sz w:val="24"/>
          <w:szCs w:val="24"/>
        </w:rPr>
        <w:t xml:space="preserve"> estado al egreso (</w:t>
      </w:r>
      <w:r w:rsidRPr="00AE695B">
        <w:rPr>
          <w:rFonts w:ascii="Times New Roman" w:eastAsia="Calibri" w:hAnsi="Times New Roman" w:cs="Times New Roman"/>
          <w:sz w:val="24"/>
          <w:szCs w:val="24"/>
        </w:rPr>
        <w:t>mortalidad</w:t>
      </w:r>
      <w:r>
        <w:rPr>
          <w:rFonts w:ascii="Times New Roman" w:eastAsia="Calibri" w:hAnsi="Times New Roman" w:cs="Times New Roman"/>
          <w:sz w:val="24"/>
          <w:szCs w:val="24"/>
        </w:rPr>
        <w:t xml:space="preserve">) y </w:t>
      </w:r>
      <w:r w:rsidRPr="00AE695B">
        <w:rPr>
          <w:rFonts w:ascii="Times New Roman" w:eastAsia="Calibri" w:hAnsi="Times New Roman" w:cs="Times New Roman"/>
          <w:sz w:val="24"/>
          <w:szCs w:val="24"/>
        </w:rPr>
        <w:t>estadía</w:t>
      </w:r>
      <w:r>
        <w:rPr>
          <w:rFonts w:ascii="Times New Roman" w:eastAsia="Calibri" w:hAnsi="Times New Roman" w:cs="Times New Roman"/>
          <w:sz w:val="24"/>
          <w:szCs w:val="24"/>
        </w:rPr>
        <w:t xml:space="preserve">. Se consideraron además los </w:t>
      </w:r>
      <w:r w:rsidRPr="00AE695B">
        <w:rPr>
          <w:rFonts w:ascii="Times New Roman" w:eastAsia="Calibri" w:hAnsi="Times New Roman" w:cs="Times New Roman"/>
          <w:sz w:val="24"/>
          <w:szCs w:val="24"/>
        </w:rPr>
        <w:t>factores de riesgo, dispositivos y tratamientos, infecciones adquiridas en la comunidad</w:t>
      </w:r>
      <w:r>
        <w:rPr>
          <w:rFonts w:ascii="Times New Roman" w:eastAsia="Calibri" w:hAnsi="Times New Roman" w:cs="Times New Roman"/>
          <w:sz w:val="24"/>
          <w:szCs w:val="24"/>
        </w:rPr>
        <w:t xml:space="preserve"> (IAC)</w:t>
      </w:r>
      <w:r w:rsidRPr="00AE695B">
        <w:rPr>
          <w:rFonts w:ascii="Times New Roman" w:eastAsia="Calibri" w:hAnsi="Times New Roman" w:cs="Times New Roman"/>
          <w:sz w:val="24"/>
          <w:szCs w:val="24"/>
        </w:rPr>
        <w:t>, e infecciones asociadas a la asistencia sanitaria</w:t>
      </w:r>
      <w:r w:rsidR="00516938">
        <w:rPr>
          <w:rFonts w:ascii="Times New Roman" w:eastAsia="Calibri" w:hAnsi="Times New Roman" w:cs="Times New Roman"/>
          <w:sz w:val="24"/>
          <w:szCs w:val="24"/>
        </w:rPr>
        <w:t xml:space="preserve"> </w:t>
      </w:r>
      <w:r>
        <w:rPr>
          <w:rFonts w:ascii="Times New Roman" w:eastAsia="Calibri" w:hAnsi="Times New Roman" w:cs="Times New Roman"/>
          <w:sz w:val="24"/>
          <w:szCs w:val="24"/>
        </w:rPr>
        <w:t>(IAAS).</w:t>
      </w:r>
    </w:p>
    <w:p w14:paraId="1F5879AA" w14:textId="3A7E6F05" w:rsidR="00E95827" w:rsidRPr="00AE695B" w:rsidRDefault="00E95827" w:rsidP="00E95827">
      <w:pPr>
        <w:autoSpaceDE w:val="0"/>
        <w:autoSpaceDN w:val="0"/>
        <w:adjustRightInd w:val="0"/>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El origen de los pacientes se determinó según su</w:t>
      </w:r>
      <w:r w:rsidR="00516938">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procedencia</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del quirófano:</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emergencias, sala de hospitalización, otras UCI y otro hospital.</w:t>
      </w:r>
    </w:p>
    <w:p w14:paraId="20403DE2" w14:textId="77777777" w:rsidR="00E95827" w:rsidRDefault="00E95827" w:rsidP="00E95827">
      <w:pPr>
        <w:autoSpaceDE w:val="0"/>
        <w:autoSpaceDN w:val="0"/>
        <w:adjustRightInd w:val="0"/>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El diagnóstico al ingreso</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se agrupó en las categorías siguientes: </w:t>
      </w:r>
    </w:p>
    <w:p w14:paraId="5B92D9BF" w14:textId="77777777" w:rsidR="00E95827" w:rsidRDefault="00E95827" w:rsidP="00E95827">
      <w:pPr>
        <w:tabs>
          <w:tab w:val="left" w:pos="284"/>
        </w:tabs>
        <w:autoSpaceDE w:val="0"/>
        <w:autoSpaceDN w:val="0"/>
        <w:adjustRightInd w:val="0"/>
        <w:spacing w:after="0" w:line="360" w:lineRule="auto"/>
        <w:ind w:left="284"/>
        <w:jc w:val="both"/>
        <w:rPr>
          <w:rFonts w:ascii="Times New Roman" w:eastAsia="Calibri" w:hAnsi="Times New Roman" w:cs="Times New Roman"/>
          <w:sz w:val="24"/>
          <w:szCs w:val="24"/>
        </w:rPr>
      </w:pPr>
    </w:p>
    <w:p w14:paraId="2BB85BA4" w14:textId="77777777" w:rsidR="00E95827" w:rsidRDefault="00E95827" w:rsidP="00E95827">
      <w:pPr>
        <w:tabs>
          <w:tab w:val="left" w:pos="284"/>
        </w:tabs>
        <w:autoSpaceDE w:val="0"/>
        <w:autoSpaceDN w:val="0"/>
        <w:adjustRightInd w:val="0"/>
        <w:spacing w:after="0" w:line="360" w:lineRule="auto"/>
        <w:ind w:left="284"/>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lastRenderedPageBreak/>
        <w:t>a) intervención quirúrgica urgente: posoperatorio de un procedimiento quirúrgico con menos de 24 horas de la indicación quirúrgica.</w:t>
      </w:r>
    </w:p>
    <w:p w14:paraId="5AA06197" w14:textId="77777777" w:rsidR="00E95827" w:rsidRDefault="00E95827" w:rsidP="00E95827">
      <w:pPr>
        <w:tabs>
          <w:tab w:val="left" w:pos="284"/>
        </w:tabs>
        <w:autoSpaceDE w:val="0"/>
        <w:autoSpaceDN w:val="0"/>
        <w:adjustRightInd w:val="0"/>
        <w:spacing w:after="0" w:line="360" w:lineRule="auto"/>
        <w:ind w:left="284"/>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b) intervención quirúrgica programada: control de un procedimiento quirúrgico electivo.</w:t>
      </w:r>
    </w:p>
    <w:p w14:paraId="55CCD4D7" w14:textId="1F75E923" w:rsidR="00E95827" w:rsidRDefault="00E95827" w:rsidP="00E95827">
      <w:pPr>
        <w:tabs>
          <w:tab w:val="left" w:pos="284"/>
        </w:tabs>
        <w:autoSpaceDE w:val="0"/>
        <w:autoSpaceDN w:val="0"/>
        <w:adjustRightInd w:val="0"/>
        <w:spacing w:after="0" w:line="360" w:lineRule="auto"/>
        <w:ind w:left="284"/>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c) trauma: pacientes con lesiones por</w:t>
      </w:r>
      <w:r w:rsidR="00516938">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traumatismos que requirieron o no tratamiento quirúrgico. </w:t>
      </w:r>
    </w:p>
    <w:p w14:paraId="2E0E2708" w14:textId="338DF3EC" w:rsidR="00E95827" w:rsidRDefault="00E95827" w:rsidP="00E95827">
      <w:pPr>
        <w:tabs>
          <w:tab w:val="left" w:pos="284"/>
        </w:tabs>
        <w:autoSpaceDE w:val="0"/>
        <w:autoSpaceDN w:val="0"/>
        <w:adjustRightInd w:val="0"/>
        <w:spacing w:after="0" w:line="360" w:lineRule="auto"/>
        <w:ind w:left="284"/>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d) afecciones clínicas: pacientes no incluidos</w:t>
      </w:r>
      <w:r w:rsidR="00516938">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en las categorías mencionadas</w:t>
      </w:r>
      <w:r>
        <w:rPr>
          <w:rFonts w:ascii="Times New Roman" w:eastAsia="Calibri" w:hAnsi="Times New Roman" w:cs="Times New Roman"/>
          <w:sz w:val="24"/>
          <w:szCs w:val="24"/>
        </w:rPr>
        <w:t>,</w:t>
      </w:r>
      <w:r w:rsidR="00516938">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sin necesidad de tratamiento quirúrgico.   </w:t>
      </w:r>
    </w:p>
    <w:p w14:paraId="6FFC1919" w14:textId="77777777" w:rsidR="00E95827" w:rsidRDefault="00E95827" w:rsidP="00E95827">
      <w:pPr>
        <w:autoSpaceDE w:val="0"/>
        <w:autoSpaceDN w:val="0"/>
        <w:adjustRightInd w:val="0"/>
        <w:spacing w:after="0" w:line="360" w:lineRule="auto"/>
        <w:jc w:val="both"/>
        <w:rPr>
          <w:rFonts w:ascii="Times New Roman" w:eastAsia="Calibri" w:hAnsi="Times New Roman" w:cs="Times New Roman"/>
          <w:sz w:val="24"/>
          <w:szCs w:val="24"/>
        </w:rPr>
      </w:pPr>
    </w:p>
    <w:p w14:paraId="355BC0F4" w14:textId="77777777" w:rsidR="00E95827" w:rsidRDefault="00E95827" w:rsidP="00E95827">
      <w:pPr>
        <w:autoSpaceDE w:val="0"/>
        <w:autoSpaceDN w:val="0"/>
        <w:adjustRightInd w:val="0"/>
        <w:spacing w:after="0" w:line="360" w:lineRule="auto"/>
        <w:jc w:val="both"/>
        <w:rPr>
          <w:rFonts w:ascii="Times New Roman" w:eastAsia="Calibri" w:hAnsi="Times New Roman" w:cs="Times New Roman"/>
          <w:sz w:val="24"/>
          <w:szCs w:val="24"/>
          <w:vertAlign w:val="superscript"/>
        </w:rPr>
      </w:pPr>
      <w:r w:rsidRPr="00AE695B">
        <w:rPr>
          <w:rFonts w:ascii="Times New Roman" w:eastAsia="Calibri" w:hAnsi="Times New Roman" w:cs="Times New Roman"/>
          <w:sz w:val="24"/>
          <w:szCs w:val="24"/>
        </w:rPr>
        <w:t xml:space="preserve">La gravedad se evaluó con el índice pronóstico </w:t>
      </w:r>
      <w:r w:rsidRPr="00AE695B">
        <w:rPr>
          <w:rFonts w:ascii="Times New Roman" w:eastAsia="Calibri" w:hAnsi="Times New Roman" w:cs="Times New Roman"/>
          <w:i/>
          <w:iCs/>
          <w:sz w:val="24"/>
          <w:szCs w:val="24"/>
        </w:rPr>
        <w:t>Acute</w:t>
      </w:r>
      <w:r>
        <w:rPr>
          <w:rFonts w:ascii="Times New Roman" w:eastAsia="Calibri" w:hAnsi="Times New Roman" w:cs="Times New Roman"/>
          <w:i/>
          <w:iCs/>
          <w:sz w:val="24"/>
          <w:szCs w:val="24"/>
        </w:rPr>
        <w:t xml:space="preserve"> </w:t>
      </w:r>
      <w:r w:rsidRPr="00AE695B">
        <w:rPr>
          <w:rFonts w:ascii="Times New Roman" w:eastAsia="Calibri" w:hAnsi="Times New Roman" w:cs="Times New Roman"/>
          <w:i/>
          <w:iCs/>
          <w:sz w:val="24"/>
          <w:szCs w:val="24"/>
        </w:rPr>
        <w:t>Physiology and Chronic</w:t>
      </w:r>
      <w:r>
        <w:rPr>
          <w:rFonts w:ascii="Times New Roman" w:eastAsia="Calibri" w:hAnsi="Times New Roman" w:cs="Times New Roman"/>
          <w:i/>
          <w:iCs/>
          <w:sz w:val="24"/>
          <w:szCs w:val="24"/>
        </w:rPr>
        <w:t xml:space="preserve"> </w:t>
      </w:r>
      <w:r w:rsidRPr="00AE695B">
        <w:rPr>
          <w:rFonts w:ascii="Times New Roman" w:eastAsia="Calibri" w:hAnsi="Times New Roman" w:cs="Times New Roman"/>
          <w:i/>
          <w:iCs/>
          <w:sz w:val="24"/>
          <w:szCs w:val="24"/>
        </w:rPr>
        <w:t>Health</w:t>
      </w:r>
      <w:r>
        <w:rPr>
          <w:rFonts w:ascii="Times New Roman" w:eastAsia="Calibri" w:hAnsi="Times New Roman" w:cs="Times New Roman"/>
          <w:i/>
          <w:iCs/>
          <w:sz w:val="24"/>
          <w:szCs w:val="24"/>
        </w:rPr>
        <w:t xml:space="preserve"> </w:t>
      </w:r>
      <w:r w:rsidRPr="00AE695B">
        <w:rPr>
          <w:rFonts w:ascii="Times New Roman" w:eastAsia="Calibri" w:hAnsi="Times New Roman" w:cs="Times New Roman"/>
          <w:i/>
          <w:iCs/>
          <w:sz w:val="24"/>
          <w:szCs w:val="24"/>
        </w:rPr>
        <w:t xml:space="preserve">Evaluation II </w:t>
      </w:r>
      <w:r w:rsidRPr="00AE695B">
        <w:rPr>
          <w:rFonts w:ascii="Times New Roman" w:eastAsia="Calibri" w:hAnsi="Times New Roman" w:cs="Times New Roman"/>
          <w:sz w:val="24"/>
          <w:szCs w:val="24"/>
        </w:rPr>
        <w:t>(APACHE II) y el</w:t>
      </w:r>
      <w:r w:rsidRPr="00AE695B">
        <w:rPr>
          <w:rFonts w:ascii="Times New Roman" w:eastAsia="Calibri" w:hAnsi="Times New Roman" w:cs="Times New Roman"/>
          <w:sz w:val="24"/>
          <w:szCs w:val="24"/>
          <w:lang w:val="es-ES_tradnl"/>
        </w:rPr>
        <w:t xml:space="preserve"> fallo de órganos con la escala</w:t>
      </w:r>
      <w:r>
        <w:rPr>
          <w:rFonts w:ascii="Times New Roman" w:eastAsia="Calibri" w:hAnsi="Times New Roman" w:cs="Times New Roman"/>
          <w:sz w:val="24"/>
          <w:szCs w:val="24"/>
          <w:lang w:val="es-ES_tradnl"/>
        </w:rPr>
        <w:t xml:space="preserve"> </w:t>
      </w:r>
      <w:r w:rsidRPr="00AE695B">
        <w:rPr>
          <w:rFonts w:ascii="Times New Roman" w:eastAsia="Calibri" w:hAnsi="Times New Roman" w:cs="Times New Roman"/>
          <w:i/>
          <w:sz w:val="24"/>
          <w:szCs w:val="24"/>
        </w:rPr>
        <w:t>Secuencial Organ</w:t>
      </w:r>
      <w:r>
        <w:rPr>
          <w:rFonts w:ascii="Times New Roman" w:eastAsia="Calibri" w:hAnsi="Times New Roman" w:cs="Times New Roman"/>
          <w:i/>
          <w:sz w:val="24"/>
          <w:szCs w:val="24"/>
        </w:rPr>
        <w:t xml:space="preserve"> </w:t>
      </w:r>
      <w:r w:rsidRPr="00AE695B">
        <w:rPr>
          <w:rFonts w:ascii="Times New Roman" w:eastAsia="Calibri" w:hAnsi="Times New Roman" w:cs="Times New Roman"/>
          <w:i/>
          <w:sz w:val="24"/>
          <w:szCs w:val="24"/>
        </w:rPr>
        <w:t>Failure</w:t>
      </w:r>
      <w:r>
        <w:rPr>
          <w:rFonts w:ascii="Times New Roman" w:eastAsia="Calibri" w:hAnsi="Times New Roman" w:cs="Times New Roman"/>
          <w:i/>
          <w:sz w:val="24"/>
          <w:szCs w:val="24"/>
        </w:rPr>
        <w:t xml:space="preserve"> </w:t>
      </w:r>
      <w:r w:rsidRPr="00AE695B">
        <w:rPr>
          <w:rFonts w:ascii="Times New Roman" w:eastAsia="Calibri" w:hAnsi="Times New Roman" w:cs="Times New Roman"/>
          <w:i/>
          <w:sz w:val="24"/>
          <w:szCs w:val="24"/>
        </w:rPr>
        <w:t>Assessment</w:t>
      </w:r>
      <w:r w:rsidRPr="00AE695B">
        <w:rPr>
          <w:rFonts w:ascii="Times New Roman" w:eastAsia="Calibri" w:hAnsi="Times New Roman" w:cs="Times New Roman"/>
          <w:sz w:val="24"/>
          <w:szCs w:val="24"/>
        </w:rPr>
        <w:t xml:space="preserve"> (SOFA).</w:t>
      </w:r>
      <w:r w:rsidRPr="00AE695B">
        <w:rPr>
          <w:rFonts w:ascii="Times New Roman" w:eastAsia="Calibri" w:hAnsi="Times New Roman" w:cs="Times New Roman"/>
          <w:sz w:val="24"/>
          <w:szCs w:val="24"/>
          <w:vertAlign w:val="superscript"/>
        </w:rPr>
        <w:t>(8)</w:t>
      </w:r>
    </w:p>
    <w:p w14:paraId="1C0627A3" w14:textId="05C8AFA9" w:rsidR="00E95827" w:rsidRPr="00AE695B" w:rsidRDefault="00E95827" w:rsidP="00E95827">
      <w:pPr>
        <w:autoSpaceDE w:val="0"/>
        <w:autoSpaceDN w:val="0"/>
        <w:adjustRightInd w:val="0"/>
        <w:spacing w:after="0" w:line="360" w:lineRule="auto"/>
        <w:jc w:val="both"/>
        <w:rPr>
          <w:rFonts w:ascii="Times New Roman" w:eastAsia="Calibri" w:hAnsi="Times New Roman" w:cs="Times New Roman"/>
          <w:sz w:val="24"/>
          <w:szCs w:val="24"/>
          <w:vertAlign w:val="superscript"/>
        </w:rPr>
      </w:pPr>
      <w:r w:rsidRPr="00AE695B">
        <w:rPr>
          <w:rFonts w:ascii="Times New Roman" w:eastAsia="Calibri" w:hAnsi="Times New Roman" w:cs="Times New Roman"/>
          <w:sz w:val="24"/>
          <w:szCs w:val="24"/>
        </w:rPr>
        <w:t>Los factores de riesgo</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se definieron según lo estableció el</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estudio</w:t>
      </w:r>
      <w:r>
        <w:rPr>
          <w:rFonts w:ascii="Times New Roman" w:eastAsia="Calibri" w:hAnsi="Times New Roman" w:cs="Times New Roman"/>
          <w:sz w:val="24"/>
          <w:szCs w:val="24"/>
        </w:rPr>
        <w:t xml:space="preserve"> </w:t>
      </w:r>
      <w:r w:rsidRPr="00AE695B">
        <w:rPr>
          <w:rFonts w:ascii="Times New Roman" w:eastAsia="Calibri" w:hAnsi="Times New Roman" w:cs="Times New Roman"/>
          <w:i/>
          <w:iCs/>
          <w:sz w:val="24"/>
          <w:szCs w:val="24"/>
        </w:rPr>
        <w:t>National</w:t>
      </w:r>
      <w:r>
        <w:rPr>
          <w:rFonts w:ascii="Times New Roman" w:eastAsia="Calibri" w:hAnsi="Times New Roman" w:cs="Times New Roman"/>
          <w:i/>
          <w:iCs/>
          <w:sz w:val="24"/>
          <w:szCs w:val="24"/>
        </w:rPr>
        <w:t xml:space="preserve"> </w:t>
      </w:r>
      <w:r w:rsidRPr="00AE695B">
        <w:rPr>
          <w:rFonts w:ascii="Times New Roman" w:eastAsia="Calibri" w:hAnsi="Times New Roman" w:cs="Times New Roman"/>
          <w:i/>
          <w:iCs/>
          <w:sz w:val="24"/>
          <w:szCs w:val="24"/>
        </w:rPr>
        <w:t>Surveillance</w:t>
      </w:r>
      <w:r>
        <w:rPr>
          <w:rFonts w:ascii="Times New Roman" w:eastAsia="Calibri" w:hAnsi="Times New Roman" w:cs="Times New Roman"/>
          <w:i/>
          <w:iCs/>
          <w:sz w:val="24"/>
          <w:szCs w:val="24"/>
        </w:rPr>
        <w:t xml:space="preserve"> </w:t>
      </w:r>
      <w:r w:rsidRPr="00AE695B">
        <w:rPr>
          <w:rFonts w:ascii="Times New Roman" w:eastAsia="Calibri" w:hAnsi="Times New Roman" w:cs="Times New Roman"/>
          <w:i/>
          <w:iCs/>
          <w:sz w:val="24"/>
          <w:szCs w:val="24"/>
        </w:rPr>
        <w:t>Study of Nosocomial Infection in the ICU Hospital in Europe Link for</w:t>
      </w:r>
      <w:r>
        <w:rPr>
          <w:rFonts w:ascii="Times New Roman" w:eastAsia="Calibri" w:hAnsi="Times New Roman" w:cs="Times New Roman"/>
          <w:i/>
          <w:iCs/>
          <w:sz w:val="24"/>
          <w:szCs w:val="24"/>
        </w:rPr>
        <w:t xml:space="preserve"> </w:t>
      </w:r>
      <w:r w:rsidRPr="00AE695B">
        <w:rPr>
          <w:rFonts w:ascii="Times New Roman" w:eastAsia="Calibri" w:hAnsi="Times New Roman" w:cs="Times New Roman"/>
          <w:i/>
          <w:iCs/>
          <w:sz w:val="24"/>
          <w:szCs w:val="24"/>
        </w:rPr>
        <w:t xml:space="preserve">Infection Control </w:t>
      </w:r>
      <w:r w:rsidR="00506148">
        <w:rPr>
          <w:rFonts w:ascii="Times New Roman" w:eastAsia="Calibri" w:hAnsi="Times New Roman" w:cs="Times New Roman"/>
          <w:i/>
          <w:iCs/>
          <w:sz w:val="24"/>
          <w:szCs w:val="24"/>
        </w:rPr>
        <w:t>T</w:t>
      </w:r>
      <w:r w:rsidRPr="00AE695B">
        <w:rPr>
          <w:rFonts w:ascii="Times New Roman" w:eastAsia="Calibri" w:hAnsi="Times New Roman" w:cs="Times New Roman"/>
          <w:i/>
          <w:iCs/>
          <w:sz w:val="24"/>
          <w:szCs w:val="24"/>
        </w:rPr>
        <w:t>hrough</w:t>
      </w:r>
      <w:r>
        <w:rPr>
          <w:rFonts w:ascii="Times New Roman" w:eastAsia="Calibri" w:hAnsi="Times New Roman" w:cs="Times New Roman"/>
          <w:i/>
          <w:iCs/>
          <w:sz w:val="24"/>
          <w:szCs w:val="24"/>
        </w:rPr>
        <w:t xml:space="preserve"> </w:t>
      </w:r>
      <w:r w:rsidRPr="00AE695B">
        <w:rPr>
          <w:rFonts w:ascii="Times New Roman" w:eastAsia="Calibri" w:hAnsi="Times New Roman" w:cs="Times New Roman"/>
          <w:i/>
          <w:iCs/>
          <w:sz w:val="24"/>
          <w:szCs w:val="24"/>
        </w:rPr>
        <w:t>Surveillance</w:t>
      </w:r>
      <w:r w:rsidR="00516938">
        <w:rPr>
          <w:rFonts w:ascii="Times New Roman" w:eastAsia="Calibri" w:hAnsi="Times New Roman" w:cs="Times New Roman"/>
          <w:i/>
          <w:iCs/>
          <w:sz w:val="24"/>
          <w:szCs w:val="24"/>
        </w:rPr>
        <w:t xml:space="preserve"> </w:t>
      </w:r>
      <w:r w:rsidRPr="00AE695B">
        <w:rPr>
          <w:rFonts w:ascii="Times New Roman" w:eastAsia="Calibri" w:hAnsi="Times New Roman" w:cs="Times New Roman"/>
          <w:sz w:val="24"/>
          <w:szCs w:val="24"/>
        </w:rPr>
        <w:t>(registro ENVIN-HELICS).</w:t>
      </w:r>
      <w:r w:rsidRPr="00AE695B">
        <w:rPr>
          <w:rFonts w:ascii="Times New Roman" w:eastAsia="Calibri" w:hAnsi="Times New Roman" w:cs="Times New Roman"/>
          <w:sz w:val="24"/>
          <w:szCs w:val="24"/>
          <w:vertAlign w:val="superscript"/>
        </w:rPr>
        <w:t>(9)</w:t>
      </w:r>
    </w:p>
    <w:p w14:paraId="332B4745" w14:textId="5F6DAB4A" w:rsidR="00E95827" w:rsidRPr="00AE695B" w:rsidRDefault="00E95827" w:rsidP="00E95827">
      <w:pPr>
        <w:autoSpaceDE w:val="0"/>
        <w:autoSpaceDN w:val="0"/>
        <w:adjustRightInd w:val="0"/>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La ventilación mecánica artificial invasiva (VMAI), la implantación de</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catéter </w:t>
      </w:r>
      <w:r>
        <w:rPr>
          <w:rFonts w:ascii="Times New Roman" w:eastAsia="Calibri" w:hAnsi="Times New Roman" w:cs="Times New Roman"/>
          <w:sz w:val="24"/>
          <w:szCs w:val="24"/>
        </w:rPr>
        <w:t>v</w:t>
      </w:r>
      <w:r w:rsidRPr="00AE695B">
        <w:rPr>
          <w:rFonts w:ascii="Times New Roman" w:eastAsia="Calibri" w:hAnsi="Times New Roman" w:cs="Times New Roman"/>
          <w:sz w:val="24"/>
          <w:szCs w:val="24"/>
        </w:rPr>
        <w:t>enoso</w:t>
      </w:r>
      <w:r>
        <w:rPr>
          <w:rFonts w:ascii="Times New Roman" w:eastAsia="Calibri" w:hAnsi="Times New Roman" w:cs="Times New Roman"/>
          <w:sz w:val="24"/>
          <w:szCs w:val="24"/>
        </w:rPr>
        <w:t xml:space="preserve"> central, </w:t>
      </w:r>
      <w:r w:rsidRPr="00AE695B">
        <w:rPr>
          <w:rFonts w:ascii="Times New Roman" w:eastAsia="Calibri" w:hAnsi="Times New Roman" w:cs="Times New Roman"/>
          <w:sz w:val="24"/>
          <w:szCs w:val="24"/>
        </w:rPr>
        <w:t>los métodos depuradores renales y la nutrición parenteral</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se consideraron como dispositivos y tratamientos. El tratamiento antibiótico implicó</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cumplir régimen profiláctico o terapéutico </w:t>
      </w:r>
      <w:r>
        <w:rPr>
          <w:rFonts w:ascii="Times New Roman" w:eastAsia="Calibri" w:hAnsi="Times New Roman" w:cs="Times New Roman"/>
          <w:sz w:val="24"/>
          <w:szCs w:val="24"/>
        </w:rPr>
        <w:t xml:space="preserve">7 </w:t>
      </w:r>
      <w:r w:rsidRPr="00AE695B">
        <w:rPr>
          <w:rFonts w:ascii="Times New Roman" w:eastAsia="Calibri" w:hAnsi="Times New Roman" w:cs="Times New Roman"/>
          <w:sz w:val="24"/>
          <w:szCs w:val="24"/>
        </w:rPr>
        <w:t>días o más antes del ingreso, y el tratamiento antibiótico al ingreso</w:t>
      </w:r>
      <w:r>
        <w:rPr>
          <w:rFonts w:ascii="Times New Roman" w:eastAsia="Calibri" w:hAnsi="Times New Roman" w:cs="Times New Roman"/>
          <w:sz w:val="24"/>
          <w:szCs w:val="24"/>
        </w:rPr>
        <w:t>,</w:t>
      </w:r>
      <w:r w:rsidR="0050614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cuando se </w:t>
      </w:r>
      <w:r w:rsidRPr="00AE695B">
        <w:rPr>
          <w:rFonts w:ascii="Times New Roman" w:eastAsia="Calibri" w:hAnsi="Times New Roman" w:cs="Times New Roman"/>
          <w:sz w:val="24"/>
          <w:szCs w:val="24"/>
        </w:rPr>
        <w:t>recibi</w:t>
      </w:r>
      <w:r>
        <w:rPr>
          <w:rFonts w:ascii="Times New Roman" w:eastAsia="Calibri" w:hAnsi="Times New Roman" w:cs="Times New Roman"/>
          <w:sz w:val="24"/>
          <w:szCs w:val="24"/>
        </w:rPr>
        <w:t xml:space="preserve">ó </w:t>
      </w:r>
      <w:r w:rsidRPr="00AE695B">
        <w:rPr>
          <w:rFonts w:ascii="Times New Roman" w:eastAsia="Calibri" w:hAnsi="Times New Roman" w:cs="Times New Roman"/>
          <w:sz w:val="24"/>
          <w:szCs w:val="24"/>
        </w:rPr>
        <w:t>el paciente</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en la UCI.</w:t>
      </w:r>
    </w:p>
    <w:p w14:paraId="1E59FE9B" w14:textId="02D895E3" w:rsidR="00E95827" w:rsidRPr="00AE695B" w:rsidRDefault="00E95827" w:rsidP="00E95827">
      <w:pPr>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Las IAC</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se desarrollaron 72 horas previas al ingreso</w:t>
      </w:r>
      <w:r w:rsidR="001A2FB4">
        <w:rPr>
          <w:rFonts w:ascii="Times New Roman" w:eastAsia="Calibri" w:hAnsi="Times New Roman" w:cs="Times New Roman"/>
          <w:sz w:val="24"/>
          <w:szCs w:val="24"/>
        </w:rPr>
        <w:t>.</w:t>
      </w:r>
      <w:r w:rsidR="00506148">
        <w:rPr>
          <w:rFonts w:ascii="Times New Roman" w:eastAsia="Calibri" w:hAnsi="Times New Roman" w:cs="Times New Roman"/>
          <w:sz w:val="24"/>
          <w:szCs w:val="24"/>
        </w:rPr>
        <w:t xml:space="preserve"> </w:t>
      </w:r>
      <w:r w:rsidR="001A2FB4">
        <w:rPr>
          <w:rFonts w:ascii="Times New Roman" w:eastAsia="Calibri" w:hAnsi="Times New Roman" w:cs="Times New Roman"/>
          <w:sz w:val="24"/>
          <w:szCs w:val="24"/>
        </w:rPr>
        <w:t>L</w:t>
      </w:r>
      <w:r w:rsidRPr="00AE695B">
        <w:rPr>
          <w:rFonts w:ascii="Times New Roman" w:eastAsia="Calibri" w:hAnsi="Times New Roman" w:cs="Times New Roman"/>
          <w:sz w:val="24"/>
          <w:szCs w:val="24"/>
        </w:rPr>
        <w:t>as IAAS no se habían manifestado, ni estaban incubándose</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aparecieron a partir de las 72 horas de la estancia en la UCI. Para su diagnóstico se aplicaron los criterios de</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los</w:t>
      </w:r>
      <w:r>
        <w:rPr>
          <w:rFonts w:ascii="Times New Roman" w:eastAsia="Calibri" w:hAnsi="Times New Roman" w:cs="Times New Roman"/>
          <w:sz w:val="24"/>
          <w:szCs w:val="24"/>
        </w:rPr>
        <w:t xml:space="preserve"> </w:t>
      </w:r>
      <w:r w:rsidRPr="00AE695B">
        <w:rPr>
          <w:rFonts w:ascii="Times New Roman" w:eastAsia="Calibri" w:hAnsi="Times New Roman" w:cs="Times New Roman"/>
          <w:i/>
          <w:sz w:val="24"/>
          <w:szCs w:val="24"/>
        </w:rPr>
        <w:t>Centers</w:t>
      </w:r>
      <w:r>
        <w:rPr>
          <w:rFonts w:ascii="Times New Roman" w:eastAsia="Calibri" w:hAnsi="Times New Roman" w:cs="Times New Roman"/>
          <w:i/>
          <w:sz w:val="24"/>
          <w:szCs w:val="24"/>
        </w:rPr>
        <w:t xml:space="preserve"> </w:t>
      </w:r>
      <w:r w:rsidRPr="00AE695B">
        <w:rPr>
          <w:rFonts w:ascii="Times New Roman" w:eastAsia="Calibri" w:hAnsi="Times New Roman" w:cs="Times New Roman"/>
          <w:i/>
          <w:sz w:val="24"/>
          <w:szCs w:val="24"/>
        </w:rPr>
        <w:t>for</w:t>
      </w:r>
      <w:r>
        <w:rPr>
          <w:rFonts w:ascii="Times New Roman" w:eastAsia="Calibri" w:hAnsi="Times New Roman" w:cs="Times New Roman"/>
          <w:i/>
          <w:sz w:val="24"/>
          <w:szCs w:val="24"/>
        </w:rPr>
        <w:t xml:space="preserve"> </w:t>
      </w:r>
      <w:r w:rsidRPr="00AE695B">
        <w:rPr>
          <w:rFonts w:ascii="Times New Roman" w:eastAsia="Calibri" w:hAnsi="Times New Roman" w:cs="Times New Roman"/>
          <w:i/>
          <w:sz w:val="24"/>
          <w:szCs w:val="24"/>
        </w:rPr>
        <w:t>Disease Control and Prevention</w:t>
      </w:r>
      <w:r>
        <w:rPr>
          <w:rFonts w:ascii="Times New Roman" w:eastAsia="Calibri" w:hAnsi="Times New Roman" w:cs="Times New Roman"/>
          <w:i/>
          <w:sz w:val="24"/>
          <w:szCs w:val="24"/>
        </w:rPr>
        <w:t xml:space="preserve"> </w:t>
      </w:r>
      <w:r w:rsidRPr="00AE695B">
        <w:rPr>
          <w:rFonts w:ascii="Times New Roman" w:eastAsia="Calibri" w:hAnsi="Times New Roman" w:cs="Times New Roman"/>
          <w:iCs/>
          <w:sz w:val="24"/>
          <w:szCs w:val="24"/>
        </w:rPr>
        <w:t>(CDC)</w:t>
      </w:r>
      <w:r w:rsidRPr="00AE695B">
        <w:rPr>
          <w:rFonts w:ascii="Times New Roman" w:eastAsia="Calibri" w:hAnsi="Times New Roman" w:cs="Times New Roman"/>
          <w:sz w:val="24"/>
          <w:szCs w:val="24"/>
        </w:rPr>
        <w:t>.</w:t>
      </w:r>
      <w:r w:rsidRPr="00AE695B">
        <w:rPr>
          <w:rFonts w:ascii="Times New Roman" w:eastAsia="Calibri" w:hAnsi="Times New Roman" w:cs="Times New Roman"/>
          <w:sz w:val="24"/>
          <w:szCs w:val="24"/>
          <w:vertAlign w:val="superscript"/>
        </w:rPr>
        <w:t>(10,11)</w:t>
      </w:r>
    </w:p>
    <w:p w14:paraId="7D89404B" w14:textId="0DBDD105" w:rsidR="00E95827" w:rsidRDefault="00E95827" w:rsidP="00E9582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415AEA">
        <w:rPr>
          <w:rFonts w:ascii="Times New Roman" w:eastAsia="Calibri" w:hAnsi="Times New Roman" w:cs="Times New Roman"/>
          <w:sz w:val="24"/>
          <w:szCs w:val="24"/>
        </w:rPr>
        <w:t>nálisis estadístico: Para las variables cualitativas</w:t>
      </w:r>
      <w:r>
        <w:rPr>
          <w:rFonts w:ascii="Times New Roman" w:eastAsia="Calibri" w:hAnsi="Times New Roman" w:cs="Times New Roman"/>
          <w:sz w:val="24"/>
          <w:szCs w:val="24"/>
        </w:rPr>
        <w:t>: sexo, origen, diagnóstico al ingreso, mortalidad, factores de riesgo, dispositivos y tratamientos, infecciones adquiridas en la comunidad y asociadas a la asistencia sanitaria, se determinaron las frecuencias absolutas y los porcentajes en cada categoría. Las variables cuantitativas representadas: edad, APACHE II, SOFA y estadía, se expresaron como medias</w:t>
      </w:r>
      <w:r w:rsidR="006B4A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 intervalos de confianza </w:t>
      </w:r>
      <w:r w:rsidR="005B69C5">
        <w:rPr>
          <w:rFonts w:ascii="Times New Roman" w:eastAsia="Calibri" w:hAnsi="Times New Roman" w:cs="Times New Roman"/>
          <w:sz w:val="24"/>
          <w:szCs w:val="24"/>
        </w:rPr>
        <w:t>del</w:t>
      </w:r>
      <w:r>
        <w:rPr>
          <w:rFonts w:ascii="Times New Roman" w:eastAsia="Calibri" w:hAnsi="Times New Roman" w:cs="Times New Roman"/>
          <w:sz w:val="24"/>
          <w:szCs w:val="24"/>
        </w:rPr>
        <w:t xml:space="preserve"> 95 % (IC 95 %)</w:t>
      </w:r>
      <w:r w:rsidR="0050614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mediana, rango intercuartil (RIC) y desviación estándar, de acuerdo con la distribución de los datos. Para identificar diferencias o variaciones en las características de los pacientes, entre los periodos (años del estudio), las variables cuantitativas se compararon con la prueba de Kruskal-Wallis y las cualitativas con la prueba </w:t>
      </w:r>
      <w:r w:rsidRPr="00C15199">
        <w:rPr>
          <w:rFonts w:ascii="Times New Roman" w:eastAsia="Calibri" w:hAnsi="Times New Roman" w:cs="Times New Roman"/>
          <w:i/>
          <w:sz w:val="24"/>
          <w:szCs w:val="24"/>
        </w:rPr>
        <w:t xml:space="preserve">ji </w:t>
      </w:r>
      <w:r>
        <w:rPr>
          <w:rFonts w:ascii="Times New Roman" w:eastAsia="Calibri" w:hAnsi="Times New Roman" w:cs="Times New Roman"/>
          <w:sz w:val="24"/>
          <w:szCs w:val="24"/>
        </w:rPr>
        <w:t>cuadrado. Se seleccionó un nivel de significación de p</w:t>
      </w:r>
      <w:r w:rsidRPr="00AE695B">
        <w:rPr>
          <w:rFonts w:ascii="Times New Roman" w:eastAsia="Calibri" w:hAnsi="Times New Roman" w:cs="Times New Roman"/>
          <w:sz w:val="24"/>
          <w:szCs w:val="24"/>
        </w:rPr>
        <w:t>˂</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0,05</w:t>
      </w:r>
      <w:r>
        <w:rPr>
          <w:rFonts w:ascii="Times New Roman" w:eastAsia="Calibri" w:hAnsi="Times New Roman" w:cs="Times New Roman"/>
          <w:sz w:val="24"/>
          <w:szCs w:val="24"/>
        </w:rPr>
        <w:t>.</w:t>
      </w:r>
      <w:r w:rsidR="00506148">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Para el análisis se utilizó el SPSS</w:t>
      </w:r>
      <w:r w:rsidR="00506148">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versión 21.0.</w:t>
      </w:r>
    </w:p>
    <w:p w14:paraId="15748219" w14:textId="77777777" w:rsidR="00E95827" w:rsidRDefault="00E95827" w:rsidP="00E95827">
      <w:pPr>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iCs/>
          <w:sz w:val="24"/>
          <w:szCs w:val="24"/>
        </w:rPr>
        <w:lastRenderedPageBreak/>
        <w:t>Aspectos éticos</w:t>
      </w:r>
      <w:r>
        <w:rPr>
          <w:rFonts w:ascii="Times New Roman" w:eastAsia="Calibri" w:hAnsi="Times New Roman" w:cs="Times New Roman"/>
          <w:iCs/>
          <w:sz w:val="24"/>
          <w:szCs w:val="24"/>
        </w:rPr>
        <w:t xml:space="preserve">: </w:t>
      </w:r>
      <w:r w:rsidRPr="00C15199">
        <w:rPr>
          <w:rFonts w:ascii="Times New Roman" w:eastAsia="Calibri" w:hAnsi="Times New Roman" w:cs="Times New Roman"/>
          <w:sz w:val="24"/>
          <w:szCs w:val="24"/>
        </w:rPr>
        <w:t>En el estudio n</w:t>
      </w:r>
      <w:r w:rsidRPr="00BF4675">
        <w:rPr>
          <w:rFonts w:ascii="Times New Roman" w:eastAsia="Calibri" w:hAnsi="Times New Roman" w:cs="Times New Roman"/>
          <w:sz w:val="24"/>
          <w:szCs w:val="24"/>
        </w:rPr>
        <w:t>o se ensayaron nuevas medidas terapéuticas.</w:t>
      </w:r>
      <w:r>
        <w:rPr>
          <w:rFonts w:ascii="Times New Roman" w:eastAsia="Calibri" w:hAnsi="Times New Roman" w:cs="Times New Roman"/>
          <w:sz w:val="24"/>
          <w:szCs w:val="24"/>
        </w:rPr>
        <w:t xml:space="preserve"> </w:t>
      </w:r>
      <w:r w:rsidRPr="00BF4675">
        <w:rPr>
          <w:rFonts w:ascii="Times New Roman" w:eastAsia="Calibri" w:hAnsi="Times New Roman" w:cs="Times New Roman"/>
          <w:sz w:val="24"/>
          <w:szCs w:val="24"/>
        </w:rPr>
        <w:t>Se</w:t>
      </w:r>
      <w:r w:rsidRPr="00AE695B">
        <w:rPr>
          <w:rFonts w:ascii="Times New Roman" w:eastAsia="Calibri" w:hAnsi="Times New Roman" w:cs="Times New Roman"/>
          <w:sz w:val="24"/>
          <w:szCs w:val="24"/>
        </w:rPr>
        <w:t xml:space="preserve"> garantizó la confidencialidad de los datos y se aplicaron las normativas bioéticas de</w:t>
      </w:r>
      <w:r>
        <w:rPr>
          <w:rFonts w:ascii="Times New Roman" w:eastAsia="Calibri" w:hAnsi="Times New Roman" w:cs="Times New Roman"/>
          <w:sz w:val="24"/>
          <w:szCs w:val="24"/>
        </w:rPr>
        <w:t>l código de</w:t>
      </w:r>
      <w:r w:rsidRPr="00AE695B">
        <w:rPr>
          <w:rFonts w:ascii="Times New Roman" w:eastAsia="Calibri" w:hAnsi="Times New Roman" w:cs="Times New Roman"/>
          <w:sz w:val="24"/>
          <w:szCs w:val="24"/>
        </w:rPr>
        <w:t xml:space="preserve"> Helsinki </w:t>
      </w:r>
      <w:r>
        <w:rPr>
          <w:rFonts w:ascii="Times New Roman" w:eastAsia="Calibri" w:hAnsi="Times New Roman" w:cs="Times New Roman"/>
          <w:sz w:val="24"/>
          <w:szCs w:val="24"/>
        </w:rPr>
        <w:t>para las investigaciones en seres humanos</w:t>
      </w:r>
      <w:r w:rsidRPr="00AE695B">
        <w:rPr>
          <w:rFonts w:ascii="Times New Roman" w:eastAsia="Calibri" w:hAnsi="Times New Roman" w:cs="Times New Roman"/>
          <w:sz w:val="24"/>
          <w:szCs w:val="24"/>
        </w:rPr>
        <w:t>.</w:t>
      </w:r>
    </w:p>
    <w:p w14:paraId="31AFAE82" w14:textId="77777777" w:rsidR="00E95827" w:rsidRPr="00AE695B" w:rsidRDefault="00E95827" w:rsidP="00E95827">
      <w:pPr>
        <w:autoSpaceDE w:val="0"/>
        <w:autoSpaceDN w:val="0"/>
        <w:adjustRightInd w:val="0"/>
        <w:spacing w:after="0" w:line="360" w:lineRule="auto"/>
        <w:jc w:val="both"/>
        <w:rPr>
          <w:rFonts w:ascii="Times New Roman" w:eastAsia="Calibri" w:hAnsi="Times New Roman" w:cs="Times New Roman"/>
          <w:b/>
          <w:sz w:val="24"/>
          <w:szCs w:val="24"/>
        </w:rPr>
      </w:pPr>
    </w:p>
    <w:p w14:paraId="3BC67842" w14:textId="77777777" w:rsidR="00E95827" w:rsidRPr="00AE695B" w:rsidRDefault="00E95827" w:rsidP="00E95827">
      <w:pPr>
        <w:autoSpaceDE w:val="0"/>
        <w:autoSpaceDN w:val="0"/>
        <w:adjustRightInd w:val="0"/>
        <w:spacing w:after="0" w:line="360" w:lineRule="auto"/>
        <w:jc w:val="both"/>
        <w:rPr>
          <w:rFonts w:ascii="Times New Roman" w:eastAsia="Calibri" w:hAnsi="Times New Roman" w:cs="Times New Roman"/>
          <w:b/>
          <w:sz w:val="24"/>
          <w:szCs w:val="24"/>
        </w:rPr>
      </w:pPr>
    </w:p>
    <w:p w14:paraId="48005D4F" w14:textId="77777777" w:rsidR="00E95827" w:rsidRPr="00C15199" w:rsidRDefault="00E95827" w:rsidP="00E95827">
      <w:pPr>
        <w:autoSpaceDE w:val="0"/>
        <w:autoSpaceDN w:val="0"/>
        <w:adjustRightInd w:val="0"/>
        <w:spacing w:after="0" w:line="360" w:lineRule="auto"/>
        <w:jc w:val="center"/>
        <w:rPr>
          <w:rFonts w:ascii="Times New Roman" w:eastAsia="Calibri" w:hAnsi="Times New Roman" w:cs="Times New Roman"/>
          <w:b/>
          <w:sz w:val="32"/>
          <w:szCs w:val="32"/>
        </w:rPr>
      </w:pPr>
      <w:r w:rsidRPr="00C15199">
        <w:rPr>
          <w:rFonts w:ascii="Times New Roman" w:eastAsia="Calibri" w:hAnsi="Times New Roman" w:cs="Times New Roman"/>
          <w:b/>
          <w:sz w:val="32"/>
          <w:szCs w:val="32"/>
        </w:rPr>
        <w:t>RESULTADOS</w:t>
      </w:r>
    </w:p>
    <w:p w14:paraId="510877AA" w14:textId="3DC218D0" w:rsidR="00E95827" w:rsidRPr="00BB4D7E"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lang w:val="es-VE"/>
        </w:rPr>
        <w:t xml:space="preserve">La tabla 1 muestra </w:t>
      </w:r>
      <w:r w:rsidRPr="00BB4D7E">
        <w:rPr>
          <w:rFonts w:ascii="Times New Roman" w:eastAsia="Calibri" w:hAnsi="Times New Roman" w:cs="Times New Roman"/>
          <w:sz w:val="24"/>
          <w:szCs w:val="24"/>
          <w:lang w:val="es-VE"/>
        </w:rPr>
        <w:t>las características demográficas y clínicas. La edad promedio fue de 38,6 años (IC</w:t>
      </w:r>
      <w:r>
        <w:rPr>
          <w:rFonts w:ascii="Times New Roman" w:eastAsia="Calibri" w:hAnsi="Times New Roman" w:cs="Times New Roman"/>
          <w:sz w:val="24"/>
          <w:szCs w:val="24"/>
          <w:lang w:val="es-VE"/>
        </w:rPr>
        <w:t> </w:t>
      </w:r>
      <w:r w:rsidRPr="00BB4D7E">
        <w:rPr>
          <w:rFonts w:ascii="Times New Roman" w:eastAsia="Calibri" w:hAnsi="Times New Roman" w:cs="Times New Roman"/>
          <w:sz w:val="24"/>
          <w:szCs w:val="24"/>
          <w:lang w:val="es-VE"/>
        </w:rPr>
        <w:t>95</w:t>
      </w:r>
      <w:r>
        <w:rPr>
          <w:rFonts w:ascii="Times New Roman" w:eastAsia="Calibri" w:hAnsi="Times New Roman" w:cs="Times New Roman"/>
          <w:sz w:val="24"/>
          <w:szCs w:val="24"/>
          <w:lang w:val="es-VE"/>
        </w:rPr>
        <w:t> </w:t>
      </w:r>
      <w:r w:rsidRPr="00BB4D7E">
        <w:rPr>
          <w:rFonts w:ascii="Times New Roman" w:eastAsia="Calibri" w:hAnsi="Times New Roman" w:cs="Times New Roman"/>
          <w:sz w:val="24"/>
          <w:szCs w:val="24"/>
          <w:lang w:val="es-VE"/>
        </w:rPr>
        <w:t>%;</w:t>
      </w:r>
      <w:r>
        <w:rPr>
          <w:rFonts w:ascii="Times New Roman" w:eastAsia="Calibri" w:hAnsi="Times New Roman" w:cs="Times New Roman"/>
          <w:sz w:val="24"/>
          <w:szCs w:val="24"/>
          <w:lang w:val="es-VE"/>
        </w:rPr>
        <w:t> </w:t>
      </w:r>
      <w:r w:rsidRPr="00BB4D7E">
        <w:rPr>
          <w:rFonts w:ascii="Times New Roman" w:eastAsia="Calibri" w:hAnsi="Times New Roman" w:cs="Times New Roman"/>
          <w:sz w:val="24"/>
          <w:szCs w:val="24"/>
        </w:rPr>
        <w:t>36,1-41,3)</w:t>
      </w:r>
      <w:r w:rsidRPr="00BB4D7E">
        <w:rPr>
          <w:rFonts w:ascii="Times New Roman" w:eastAsia="Calibri" w:hAnsi="Times New Roman" w:cs="Times New Roman"/>
          <w:sz w:val="24"/>
          <w:szCs w:val="24"/>
          <w:lang w:val="es-VE"/>
        </w:rPr>
        <w:t>, sin diferencias significativas en sus valores</w:t>
      </w:r>
      <w:r>
        <w:rPr>
          <w:rFonts w:ascii="Times New Roman" w:eastAsia="Calibri" w:hAnsi="Times New Roman" w:cs="Times New Roman"/>
          <w:sz w:val="24"/>
          <w:szCs w:val="24"/>
          <w:lang w:val="es-VE"/>
        </w:rPr>
        <w:t xml:space="preserve">, </w:t>
      </w:r>
      <w:r w:rsidRPr="00BB4D7E">
        <w:rPr>
          <w:rFonts w:ascii="Times New Roman" w:eastAsia="Calibri" w:hAnsi="Times New Roman" w:cs="Times New Roman"/>
          <w:sz w:val="24"/>
          <w:szCs w:val="24"/>
          <w:lang w:val="es-VE"/>
        </w:rPr>
        <w:t xml:space="preserve">entre los años (p= </w:t>
      </w:r>
      <w:r w:rsidRPr="00BB4D7E">
        <w:rPr>
          <w:rFonts w:ascii="Times New Roman" w:eastAsia="Calibri" w:hAnsi="Times New Roman" w:cs="Times New Roman"/>
          <w:sz w:val="24"/>
          <w:szCs w:val="24"/>
        </w:rPr>
        <w:t>0,138). L</w:t>
      </w:r>
      <w:r w:rsidRPr="00BB4D7E">
        <w:rPr>
          <w:rFonts w:ascii="Times New Roman" w:eastAsia="Calibri" w:hAnsi="Times New Roman" w:cs="Times New Roman"/>
          <w:sz w:val="24"/>
          <w:szCs w:val="24"/>
          <w:lang w:val="es-VE"/>
        </w:rPr>
        <w:t>a mediana se estimó en 33,0 años y el rango intercuartílico en</w:t>
      </w:r>
      <w:r w:rsidR="00A52C31">
        <w:rPr>
          <w:rFonts w:ascii="Times New Roman" w:eastAsia="Calibri" w:hAnsi="Times New Roman" w:cs="Times New Roman"/>
          <w:sz w:val="24"/>
          <w:szCs w:val="24"/>
          <w:lang w:val="es-VE"/>
        </w:rPr>
        <w:t xml:space="preserve"> </w:t>
      </w:r>
      <w:r w:rsidRPr="00BB4D7E">
        <w:rPr>
          <w:rFonts w:ascii="Times New Roman" w:eastAsia="Calibri" w:hAnsi="Times New Roman" w:cs="Times New Roman"/>
          <w:sz w:val="24"/>
          <w:szCs w:val="24"/>
        </w:rPr>
        <w:t>30</w:t>
      </w:r>
      <w:r>
        <w:rPr>
          <w:rFonts w:ascii="Times New Roman" w:eastAsia="Calibri" w:hAnsi="Times New Roman" w:cs="Times New Roman"/>
          <w:sz w:val="24"/>
          <w:szCs w:val="24"/>
        </w:rPr>
        <w:t>,</w:t>
      </w:r>
      <w:r w:rsidR="00A52C31">
        <w:rPr>
          <w:rFonts w:ascii="Times New Roman" w:eastAsia="Calibri" w:hAnsi="Times New Roman" w:cs="Times New Roman"/>
          <w:sz w:val="24"/>
          <w:szCs w:val="24"/>
        </w:rPr>
        <w:t xml:space="preserve"> </w:t>
      </w:r>
      <w:r w:rsidRPr="00BB4D7E">
        <w:rPr>
          <w:rFonts w:ascii="Times New Roman" w:eastAsia="Calibri" w:hAnsi="Times New Roman" w:cs="Times New Roman"/>
          <w:sz w:val="24"/>
          <w:szCs w:val="24"/>
          <w:lang w:val="es-VE"/>
        </w:rPr>
        <w:t>sin diferencias</w:t>
      </w:r>
      <w:r>
        <w:rPr>
          <w:rFonts w:ascii="Times New Roman" w:eastAsia="Calibri" w:hAnsi="Times New Roman" w:cs="Times New Roman"/>
          <w:sz w:val="24"/>
          <w:szCs w:val="24"/>
          <w:lang w:val="es-VE"/>
        </w:rPr>
        <w:t>,</w:t>
      </w:r>
      <w:r w:rsidRPr="00BB4D7E">
        <w:rPr>
          <w:rFonts w:ascii="Times New Roman" w:eastAsia="Calibri" w:hAnsi="Times New Roman" w:cs="Times New Roman"/>
          <w:sz w:val="24"/>
          <w:szCs w:val="24"/>
          <w:lang w:val="es-VE"/>
        </w:rPr>
        <w:t xml:space="preserve"> al compararlos entre los</w:t>
      </w:r>
      <w:r>
        <w:rPr>
          <w:rFonts w:ascii="Times New Roman" w:eastAsia="Calibri" w:hAnsi="Times New Roman" w:cs="Times New Roman"/>
          <w:sz w:val="24"/>
          <w:szCs w:val="24"/>
          <w:lang w:val="es-VE"/>
        </w:rPr>
        <w:t xml:space="preserve"> </w:t>
      </w:r>
      <w:r w:rsidRPr="00BB4D7E">
        <w:rPr>
          <w:rFonts w:ascii="Times New Roman" w:eastAsia="Calibri" w:hAnsi="Times New Roman" w:cs="Times New Roman"/>
          <w:sz w:val="24"/>
          <w:szCs w:val="24"/>
          <w:lang w:val="es-VE"/>
        </w:rPr>
        <w:t>periodos</w:t>
      </w:r>
      <w:r w:rsidR="00A52C31">
        <w:rPr>
          <w:rFonts w:ascii="Times New Roman" w:eastAsia="Calibri" w:hAnsi="Times New Roman" w:cs="Times New Roman"/>
          <w:sz w:val="24"/>
          <w:szCs w:val="24"/>
          <w:lang w:val="es-VE"/>
        </w:rPr>
        <w:t xml:space="preserve"> </w:t>
      </w:r>
      <w:r w:rsidRPr="00BB4D7E">
        <w:rPr>
          <w:rFonts w:ascii="Times New Roman" w:eastAsia="Calibri" w:hAnsi="Times New Roman" w:cs="Times New Roman"/>
          <w:sz w:val="24"/>
          <w:szCs w:val="24"/>
          <w:lang w:val="es-VE"/>
        </w:rPr>
        <w:t>(p= </w:t>
      </w:r>
      <w:r w:rsidRPr="00BB4D7E">
        <w:rPr>
          <w:rFonts w:ascii="Times New Roman" w:eastAsia="Calibri" w:hAnsi="Times New Roman" w:cs="Times New Roman"/>
          <w:sz w:val="24"/>
          <w:szCs w:val="24"/>
        </w:rPr>
        <w:t>0,101)</w:t>
      </w:r>
      <w:r w:rsidRPr="00BB4D7E">
        <w:rPr>
          <w:rFonts w:ascii="Times New Roman" w:eastAsia="Calibri" w:hAnsi="Times New Roman" w:cs="Times New Roman"/>
          <w:sz w:val="24"/>
          <w:szCs w:val="24"/>
          <w:lang w:val="es-VE"/>
        </w:rPr>
        <w:t>. El 61,0</w:t>
      </w:r>
      <w:r>
        <w:rPr>
          <w:rFonts w:ascii="Times New Roman" w:eastAsia="Calibri" w:hAnsi="Times New Roman" w:cs="Times New Roman"/>
          <w:sz w:val="24"/>
          <w:szCs w:val="24"/>
          <w:lang w:val="es-VE"/>
        </w:rPr>
        <w:t> </w:t>
      </w:r>
      <w:r w:rsidRPr="00BB4D7E">
        <w:rPr>
          <w:rFonts w:ascii="Times New Roman" w:eastAsia="Calibri" w:hAnsi="Times New Roman" w:cs="Times New Roman"/>
          <w:sz w:val="24"/>
          <w:szCs w:val="24"/>
          <w:lang w:val="es-VE"/>
        </w:rPr>
        <w:t>% de los casos fueron mujeres. No se comprobaron variaciones importantes de la frecuencia del sexo femenino al compararse por años</w:t>
      </w:r>
      <w:r w:rsidR="00A52C31">
        <w:rPr>
          <w:rFonts w:ascii="Times New Roman" w:eastAsia="Calibri" w:hAnsi="Times New Roman" w:cs="Times New Roman"/>
          <w:sz w:val="24"/>
          <w:szCs w:val="24"/>
          <w:lang w:val="es-VE"/>
        </w:rPr>
        <w:t xml:space="preserve"> </w:t>
      </w:r>
      <w:r w:rsidRPr="00BB4D7E">
        <w:rPr>
          <w:rFonts w:ascii="Times New Roman" w:eastAsia="Calibri" w:hAnsi="Times New Roman" w:cs="Times New Roman"/>
          <w:sz w:val="24"/>
          <w:szCs w:val="24"/>
          <w:lang w:val="es-VE"/>
        </w:rPr>
        <w:t>(p= </w:t>
      </w:r>
      <w:r w:rsidRPr="00BB4D7E">
        <w:rPr>
          <w:rFonts w:ascii="Times New Roman" w:eastAsia="Calibri" w:hAnsi="Times New Roman" w:cs="Times New Roman"/>
          <w:sz w:val="24"/>
          <w:szCs w:val="24"/>
        </w:rPr>
        <w:t xml:space="preserve">0,160). </w:t>
      </w:r>
    </w:p>
    <w:p w14:paraId="4CE3980A"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lang w:val="es-VE"/>
        </w:rPr>
      </w:pPr>
      <w:r w:rsidRPr="00BB4D7E">
        <w:rPr>
          <w:rFonts w:ascii="Times New Roman" w:eastAsia="Calibri" w:hAnsi="Times New Roman" w:cs="Times New Roman"/>
          <w:sz w:val="24"/>
          <w:szCs w:val="24"/>
          <w:lang w:val="es-VE"/>
        </w:rPr>
        <w:t>El 44,9</w:t>
      </w:r>
      <w:r>
        <w:rPr>
          <w:rFonts w:ascii="Times New Roman" w:eastAsia="Calibri" w:hAnsi="Times New Roman" w:cs="Times New Roman"/>
          <w:sz w:val="24"/>
          <w:szCs w:val="24"/>
          <w:lang w:val="es-VE"/>
        </w:rPr>
        <w:t> </w:t>
      </w:r>
      <w:r w:rsidRPr="00BB4D7E">
        <w:rPr>
          <w:rFonts w:ascii="Times New Roman" w:eastAsia="Calibri" w:hAnsi="Times New Roman" w:cs="Times New Roman"/>
          <w:sz w:val="24"/>
          <w:szCs w:val="24"/>
          <w:lang w:val="es-VE"/>
        </w:rPr>
        <w:t>% de los enfermos procedieron</w:t>
      </w:r>
      <w:r>
        <w:rPr>
          <w:rFonts w:ascii="Times New Roman" w:eastAsia="Calibri" w:hAnsi="Times New Roman" w:cs="Times New Roman"/>
          <w:sz w:val="24"/>
          <w:szCs w:val="24"/>
          <w:lang w:val="es-VE"/>
        </w:rPr>
        <w:t xml:space="preserve"> </w:t>
      </w:r>
      <w:r w:rsidRPr="00BB4D7E">
        <w:rPr>
          <w:rFonts w:ascii="Times New Roman" w:eastAsia="Calibri" w:hAnsi="Times New Roman" w:cs="Times New Roman"/>
          <w:sz w:val="24"/>
          <w:szCs w:val="24"/>
          <w:lang w:val="es-VE"/>
        </w:rPr>
        <w:t>del quirófano, el 34,2</w:t>
      </w:r>
      <w:r>
        <w:rPr>
          <w:rFonts w:ascii="Times New Roman" w:eastAsia="Calibri" w:hAnsi="Times New Roman" w:cs="Times New Roman"/>
          <w:sz w:val="24"/>
          <w:szCs w:val="24"/>
          <w:lang w:val="es-VE"/>
        </w:rPr>
        <w:t> </w:t>
      </w:r>
      <w:r w:rsidRPr="00BB4D7E">
        <w:rPr>
          <w:rFonts w:ascii="Times New Roman" w:eastAsia="Calibri" w:hAnsi="Times New Roman" w:cs="Times New Roman"/>
          <w:sz w:val="24"/>
          <w:szCs w:val="24"/>
          <w:lang w:val="es-VE"/>
        </w:rPr>
        <w:t>% de la sala de hospitalización y el 18,2</w:t>
      </w:r>
      <w:r>
        <w:rPr>
          <w:rFonts w:ascii="Times New Roman" w:eastAsia="Calibri" w:hAnsi="Times New Roman" w:cs="Times New Roman"/>
          <w:sz w:val="24"/>
          <w:szCs w:val="24"/>
          <w:lang w:val="es-VE"/>
        </w:rPr>
        <w:t> </w:t>
      </w:r>
      <w:r w:rsidRPr="00BB4D7E">
        <w:rPr>
          <w:rFonts w:ascii="Times New Roman" w:eastAsia="Calibri" w:hAnsi="Times New Roman" w:cs="Times New Roman"/>
          <w:sz w:val="24"/>
          <w:szCs w:val="24"/>
          <w:lang w:val="es-VE"/>
        </w:rPr>
        <w:t>% de emergencia. Se demostraron variaciones temporales</w:t>
      </w:r>
      <w:r>
        <w:rPr>
          <w:rFonts w:ascii="Times New Roman" w:eastAsia="Calibri" w:hAnsi="Times New Roman" w:cs="Times New Roman"/>
          <w:sz w:val="24"/>
          <w:szCs w:val="24"/>
          <w:lang w:val="es-VE"/>
        </w:rPr>
        <w:t xml:space="preserve"> </w:t>
      </w:r>
      <w:r w:rsidRPr="00BB4D7E">
        <w:rPr>
          <w:rFonts w:ascii="Times New Roman" w:eastAsia="Calibri" w:hAnsi="Times New Roman" w:cs="Times New Roman"/>
          <w:sz w:val="24"/>
          <w:szCs w:val="24"/>
          <w:lang w:val="es-VE"/>
        </w:rPr>
        <w:t>significativas</w:t>
      </w:r>
      <w:r>
        <w:rPr>
          <w:rFonts w:ascii="Times New Roman" w:eastAsia="Calibri" w:hAnsi="Times New Roman" w:cs="Times New Roman"/>
          <w:sz w:val="24"/>
          <w:szCs w:val="24"/>
          <w:lang w:val="es-VE"/>
        </w:rPr>
        <w:t xml:space="preserve"> </w:t>
      </w:r>
      <w:r w:rsidRPr="00BB4D7E">
        <w:rPr>
          <w:rFonts w:ascii="Times New Roman" w:eastAsia="Calibri" w:hAnsi="Times New Roman" w:cs="Times New Roman"/>
          <w:sz w:val="24"/>
          <w:szCs w:val="24"/>
          <w:lang w:val="es-VE"/>
        </w:rPr>
        <w:t>en pacientes procedentes de salas de hospitalización (p= </w:t>
      </w:r>
      <w:r w:rsidRPr="00BB4D7E">
        <w:rPr>
          <w:rFonts w:ascii="Times New Roman" w:eastAsia="Calibri" w:hAnsi="Times New Roman" w:cs="Times New Roman"/>
          <w:sz w:val="24"/>
          <w:szCs w:val="24"/>
        </w:rPr>
        <w:t xml:space="preserve">0,000) y </w:t>
      </w:r>
      <w:r w:rsidRPr="00BB4D7E">
        <w:rPr>
          <w:rFonts w:ascii="Times New Roman" w:eastAsia="Calibri" w:hAnsi="Times New Roman" w:cs="Times New Roman"/>
          <w:sz w:val="24"/>
          <w:szCs w:val="24"/>
          <w:lang w:val="es-VE"/>
        </w:rPr>
        <w:t>del quirófano (p= 0,017). Los grupos diagnósticos al ingreso más frecuentes fueron las afecciones clínicas (46,5 %), intervenciones quirúrgicas urgentes (43,9 %)</w:t>
      </w:r>
      <w:r w:rsidRPr="00AE695B">
        <w:rPr>
          <w:rFonts w:ascii="Times New Roman" w:eastAsia="Calibri" w:hAnsi="Times New Roman" w:cs="Times New Roman"/>
          <w:sz w:val="24"/>
          <w:szCs w:val="24"/>
          <w:lang w:val="es-VE"/>
        </w:rPr>
        <w:t xml:space="preserve"> y programadas (5,3 %). En el análisis estadístico no se demostró cambios significativos en las</w:t>
      </w:r>
      <w:r>
        <w:rPr>
          <w:rFonts w:ascii="Times New Roman" w:eastAsia="Calibri" w:hAnsi="Times New Roman" w:cs="Times New Roman"/>
          <w:sz w:val="24"/>
          <w:szCs w:val="24"/>
          <w:lang w:val="es-VE"/>
        </w:rPr>
        <w:t xml:space="preserve"> </w:t>
      </w:r>
      <w:r w:rsidRPr="00AE695B">
        <w:rPr>
          <w:rFonts w:ascii="Times New Roman" w:eastAsia="Calibri" w:hAnsi="Times New Roman" w:cs="Times New Roman"/>
          <w:sz w:val="24"/>
          <w:szCs w:val="24"/>
          <w:lang w:val="es-VE"/>
        </w:rPr>
        <w:t>categorías diagnósticas en los diferentes años (tabla 1).</w:t>
      </w:r>
    </w:p>
    <w:p w14:paraId="524C84F5" w14:textId="114A34B7" w:rsidR="00E95827" w:rsidRPr="00D70F2E"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D70F2E">
        <w:rPr>
          <w:rFonts w:ascii="Times New Roman" w:eastAsia="Calibri" w:hAnsi="Times New Roman" w:cs="Times New Roman"/>
          <w:sz w:val="24"/>
          <w:szCs w:val="24"/>
          <w:lang w:val="es-VE"/>
        </w:rPr>
        <w:t>El valor promedio del índice APACHE II fue de 8,9</w:t>
      </w:r>
      <w:r>
        <w:rPr>
          <w:rFonts w:ascii="Times New Roman" w:eastAsia="Calibri" w:hAnsi="Times New Roman" w:cs="Times New Roman"/>
          <w:sz w:val="24"/>
          <w:szCs w:val="24"/>
          <w:lang w:val="es-VE"/>
        </w:rPr>
        <w:t>,</w:t>
      </w:r>
      <w:r w:rsidRPr="00D70F2E">
        <w:rPr>
          <w:rFonts w:ascii="Times New Roman" w:eastAsia="Calibri" w:hAnsi="Times New Roman" w:cs="Times New Roman"/>
          <w:sz w:val="24"/>
          <w:szCs w:val="24"/>
          <w:lang w:val="es-VE"/>
        </w:rPr>
        <w:t xml:space="preserve"> la desviación estándar </w:t>
      </w:r>
      <w:r w:rsidRPr="00D70F2E">
        <w:rPr>
          <w:rFonts w:ascii="Times New Roman" w:eastAsia="Calibri" w:hAnsi="Times New Roman" w:cs="Times New Roman"/>
          <w:sz w:val="24"/>
          <w:szCs w:val="24"/>
          <w:u w:val="single"/>
          <w:lang w:val="es-VE"/>
        </w:rPr>
        <w:t>+</w:t>
      </w:r>
      <w:r w:rsidRPr="00D70F2E">
        <w:rPr>
          <w:rFonts w:ascii="Times New Roman" w:eastAsia="Calibri" w:hAnsi="Times New Roman" w:cs="Times New Roman"/>
          <w:sz w:val="24"/>
          <w:szCs w:val="24"/>
          <w:lang w:val="es-VE"/>
        </w:rPr>
        <w:t xml:space="preserve"> 6,4, la mediana de 7,0 y el RIC</w:t>
      </w:r>
      <w:r w:rsidR="00701F36">
        <w:rPr>
          <w:rFonts w:ascii="Times New Roman" w:eastAsia="Calibri" w:hAnsi="Times New Roman" w:cs="Times New Roman"/>
          <w:sz w:val="24"/>
          <w:szCs w:val="24"/>
          <w:lang w:val="es-VE"/>
        </w:rPr>
        <w:t xml:space="preserve"> </w:t>
      </w:r>
      <w:r w:rsidRPr="00606917">
        <w:rPr>
          <w:rFonts w:ascii="Times New Roman" w:eastAsia="Calibri" w:hAnsi="Times New Roman" w:cs="Times New Roman"/>
          <w:sz w:val="24"/>
          <w:szCs w:val="24"/>
          <w:lang w:val="es-VE"/>
        </w:rPr>
        <w:t>de 7</w:t>
      </w:r>
      <w:r w:rsidR="00701F36">
        <w:rPr>
          <w:rFonts w:ascii="Times New Roman" w:eastAsia="Calibri" w:hAnsi="Times New Roman" w:cs="Times New Roman"/>
          <w:sz w:val="24"/>
          <w:szCs w:val="24"/>
          <w:lang w:val="es-VE"/>
        </w:rPr>
        <w:t>,0</w:t>
      </w:r>
      <w:r w:rsidRPr="00606917">
        <w:rPr>
          <w:rFonts w:ascii="Times New Roman" w:eastAsia="Calibri" w:hAnsi="Times New Roman" w:cs="Times New Roman"/>
          <w:sz w:val="24"/>
          <w:szCs w:val="24"/>
          <w:lang w:val="es-VE"/>
        </w:rPr>
        <w:t>.</w:t>
      </w:r>
      <w:r w:rsidRPr="00D70F2E">
        <w:rPr>
          <w:rFonts w:ascii="Times New Roman" w:eastAsia="Calibri" w:hAnsi="Times New Roman" w:cs="Times New Roman"/>
          <w:sz w:val="24"/>
          <w:szCs w:val="24"/>
          <w:lang w:val="es-VE"/>
        </w:rPr>
        <w:t xml:space="preserve"> Se comprobó la existencia de variaciones significativas (p= 0,001) del promedio del índice APACHE II en</w:t>
      </w:r>
      <w:r>
        <w:rPr>
          <w:rFonts w:ascii="Times New Roman" w:eastAsia="Calibri" w:hAnsi="Times New Roman" w:cs="Times New Roman"/>
          <w:sz w:val="24"/>
          <w:szCs w:val="24"/>
          <w:lang w:val="es-VE"/>
        </w:rPr>
        <w:t>tre los</w:t>
      </w:r>
      <w:r w:rsidR="00701F36">
        <w:rPr>
          <w:rFonts w:ascii="Times New Roman" w:eastAsia="Calibri" w:hAnsi="Times New Roman" w:cs="Times New Roman"/>
          <w:sz w:val="24"/>
          <w:szCs w:val="24"/>
          <w:lang w:val="es-VE"/>
        </w:rPr>
        <w:t xml:space="preserve"> </w:t>
      </w:r>
      <w:r>
        <w:rPr>
          <w:rFonts w:ascii="Times New Roman" w:eastAsia="Calibri" w:hAnsi="Times New Roman" w:cs="Times New Roman"/>
          <w:sz w:val="24"/>
          <w:szCs w:val="24"/>
          <w:lang w:val="es-VE"/>
        </w:rPr>
        <w:t>periodos</w:t>
      </w:r>
      <w:r w:rsidRPr="00D70F2E">
        <w:rPr>
          <w:rFonts w:ascii="Times New Roman" w:eastAsia="Calibri" w:hAnsi="Times New Roman" w:cs="Times New Roman"/>
          <w:sz w:val="24"/>
          <w:szCs w:val="24"/>
        </w:rPr>
        <w:t xml:space="preserve">. </w:t>
      </w:r>
      <w:r w:rsidRPr="00D70F2E">
        <w:rPr>
          <w:rFonts w:ascii="Times New Roman" w:eastAsia="Calibri" w:hAnsi="Times New Roman" w:cs="Times New Roman"/>
          <w:sz w:val="24"/>
          <w:szCs w:val="24"/>
          <w:lang w:val="es-VE"/>
        </w:rPr>
        <w:t xml:space="preserve">La escala SOFA tuvo una media y desviación estándar de </w:t>
      </w:r>
      <w:r w:rsidRPr="00D70F2E">
        <w:rPr>
          <w:rFonts w:ascii="Times New Roman" w:eastAsia="Calibri" w:hAnsi="Times New Roman" w:cs="Times New Roman"/>
          <w:sz w:val="24"/>
          <w:szCs w:val="24"/>
        </w:rPr>
        <w:t>1,2 y</w:t>
      </w:r>
      <w:r w:rsidR="00701F36">
        <w:rPr>
          <w:rFonts w:ascii="Times New Roman" w:eastAsia="Calibri" w:hAnsi="Times New Roman" w:cs="Times New Roman"/>
          <w:sz w:val="24"/>
          <w:szCs w:val="24"/>
        </w:rPr>
        <w:t> </w:t>
      </w:r>
      <w:r w:rsidRPr="00D70F2E">
        <w:rPr>
          <w:rFonts w:ascii="Times New Roman" w:eastAsia="Calibri" w:hAnsi="Times New Roman" w:cs="Times New Roman"/>
          <w:sz w:val="24"/>
          <w:szCs w:val="24"/>
          <w:u w:val="single"/>
        </w:rPr>
        <w:t>+</w:t>
      </w:r>
      <w:r w:rsidR="00701F36">
        <w:rPr>
          <w:rFonts w:ascii="Times New Roman" w:eastAsia="Calibri" w:hAnsi="Times New Roman" w:cs="Times New Roman"/>
          <w:sz w:val="24"/>
          <w:szCs w:val="24"/>
          <w:u w:val="single"/>
        </w:rPr>
        <w:t> </w:t>
      </w:r>
      <w:r w:rsidRPr="00D70F2E">
        <w:rPr>
          <w:rFonts w:ascii="Times New Roman" w:eastAsia="Calibri" w:hAnsi="Times New Roman" w:cs="Times New Roman"/>
          <w:sz w:val="24"/>
          <w:szCs w:val="24"/>
        </w:rPr>
        <w:t>2,1 y una mediana y rango intercuartil de 0,0 y 1; por lo que se observa una tendencia variable del resultado de ambos estadígrafos en el tiempo (p= 0,014 y p= 0,019, respectivamente) (tabla 1).</w:t>
      </w:r>
    </w:p>
    <w:p w14:paraId="5C95963A" w14:textId="7F8995AF"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lang w:val="es-VE"/>
        </w:rPr>
      </w:pPr>
      <w:r w:rsidRPr="00D70F2E">
        <w:rPr>
          <w:rFonts w:ascii="Times New Roman" w:eastAsia="Calibri" w:hAnsi="Times New Roman" w:cs="Times New Roman"/>
          <w:sz w:val="24"/>
          <w:szCs w:val="24"/>
        </w:rPr>
        <w:t>La mortalidad se mantuvo estable durante las fases del estudio, sin variaciones significativas (p= 0,785). El 7,0 % de los enfermos falleció. La mayor frecuencia de fallecidos fue de 7,3</w:t>
      </w:r>
      <w:r>
        <w:rPr>
          <w:rFonts w:ascii="Times New Roman" w:eastAsia="Calibri" w:hAnsi="Times New Roman" w:cs="Times New Roman"/>
          <w:sz w:val="24"/>
          <w:szCs w:val="24"/>
        </w:rPr>
        <w:t> </w:t>
      </w:r>
      <w:r w:rsidRPr="00D70F2E">
        <w:rPr>
          <w:rFonts w:ascii="Times New Roman" w:eastAsia="Calibri" w:hAnsi="Times New Roman" w:cs="Times New Roman"/>
          <w:sz w:val="24"/>
          <w:szCs w:val="24"/>
        </w:rPr>
        <w:t>% en el año 2019. L</w:t>
      </w:r>
      <w:r w:rsidRPr="00D70F2E">
        <w:rPr>
          <w:rFonts w:ascii="Times New Roman" w:eastAsia="Calibri" w:hAnsi="Times New Roman" w:cs="Times New Roman"/>
          <w:sz w:val="24"/>
          <w:szCs w:val="24"/>
          <w:lang w:val="es-VE"/>
        </w:rPr>
        <w:t>a estadía media</w:t>
      </w:r>
      <w:r>
        <w:rPr>
          <w:rFonts w:ascii="Times New Roman" w:eastAsia="Calibri" w:hAnsi="Times New Roman" w:cs="Times New Roman"/>
          <w:sz w:val="24"/>
          <w:szCs w:val="24"/>
          <w:lang w:val="es-VE"/>
        </w:rPr>
        <w:t xml:space="preserve"> </w:t>
      </w:r>
      <w:r w:rsidRPr="00D70F2E">
        <w:rPr>
          <w:rFonts w:ascii="Times New Roman" w:eastAsia="Calibri" w:hAnsi="Times New Roman" w:cs="Times New Roman"/>
          <w:sz w:val="24"/>
          <w:szCs w:val="24"/>
          <w:lang w:val="es-VE"/>
        </w:rPr>
        <w:t>se situó en 6,0 días (IC 95 %;</w:t>
      </w:r>
      <w:r>
        <w:rPr>
          <w:rFonts w:ascii="Times New Roman" w:eastAsia="Calibri" w:hAnsi="Times New Roman" w:cs="Times New Roman"/>
          <w:sz w:val="24"/>
          <w:szCs w:val="24"/>
          <w:lang w:val="es-VE"/>
        </w:rPr>
        <w:t> </w:t>
      </w:r>
      <w:r w:rsidRPr="00D70F2E">
        <w:rPr>
          <w:rFonts w:ascii="Times New Roman" w:eastAsia="Calibri" w:hAnsi="Times New Roman" w:cs="Times New Roman"/>
          <w:sz w:val="24"/>
          <w:szCs w:val="24"/>
          <w:lang w:val="es-VE"/>
        </w:rPr>
        <w:t>5,4-6,7)</w:t>
      </w:r>
      <w:r>
        <w:rPr>
          <w:rFonts w:ascii="Times New Roman" w:eastAsia="Calibri" w:hAnsi="Times New Roman" w:cs="Times New Roman"/>
          <w:sz w:val="24"/>
          <w:szCs w:val="24"/>
          <w:lang w:val="es-VE"/>
        </w:rPr>
        <w:t>,</w:t>
      </w:r>
      <w:r w:rsidR="00FD7417">
        <w:rPr>
          <w:rFonts w:ascii="Times New Roman" w:eastAsia="Calibri" w:hAnsi="Times New Roman" w:cs="Times New Roman"/>
          <w:sz w:val="24"/>
          <w:szCs w:val="24"/>
          <w:lang w:val="es-VE"/>
        </w:rPr>
        <w:t xml:space="preserve"> </w:t>
      </w:r>
      <w:r w:rsidRPr="00D70F2E">
        <w:rPr>
          <w:rFonts w:ascii="Times New Roman" w:eastAsia="Calibri" w:hAnsi="Times New Roman" w:cs="Times New Roman"/>
          <w:sz w:val="24"/>
          <w:szCs w:val="24"/>
          <w:lang w:val="es-VE"/>
        </w:rPr>
        <w:t>la</w:t>
      </w:r>
      <w:r>
        <w:rPr>
          <w:rFonts w:ascii="Times New Roman" w:eastAsia="Calibri" w:hAnsi="Times New Roman" w:cs="Times New Roman"/>
          <w:sz w:val="24"/>
          <w:szCs w:val="24"/>
          <w:lang w:val="es-VE"/>
        </w:rPr>
        <w:t xml:space="preserve"> </w:t>
      </w:r>
      <w:r w:rsidRPr="00D70F2E">
        <w:rPr>
          <w:rFonts w:ascii="Times New Roman" w:eastAsia="Calibri" w:hAnsi="Times New Roman" w:cs="Times New Roman"/>
          <w:sz w:val="24"/>
          <w:szCs w:val="24"/>
          <w:lang w:val="es-VE"/>
        </w:rPr>
        <w:t>mediana en 4 días y el rango intercuartil en 4</w:t>
      </w:r>
      <w:r>
        <w:rPr>
          <w:rFonts w:ascii="Times New Roman" w:eastAsia="Calibri" w:hAnsi="Times New Roman" w:cs="Times New Roman"/>
          <w:sz w:val="24"/>
          <w:szCs w:val="24"/>
          <w:lang w:val="es-VE"/>
        </w:rPr>
        <w:t>,</w:t>
      </w:r>
      <w:r w:rsidRPr="00D70F2E">
        <w:rPr>
          <w:rFonts w:ascii="Times New Roman" w:eastAsia="Calibri" w:hAnsi="Times New Roman" w:cs="Times New Roman"/>
          <w:sz w:val="24"/>
          <w:szCs w:val="24"/>
          <w:lang w:val="es-VE"/>
        </w:rPr>
        <w:t xml:space="preserve"> sin diferencias significativas de ambas entre los </w:t>
      </w:r>
      <w:r>
        <w:rPr>
          <w:rFonts w:ascii="Times New Roman" w:eastAsia="Calibri" w:hAnsi="Times New Roman" w:cs="Times New Roman"/>
          <w:sz w:val="24"/>
          <w:szCs w:val="24"/>
          <w:lang w:val="es-VE"/>
        </w:rPr>
        <w:t xml:space="preserve">periodos </w:t>
      </w:r>
      <w:r w:rsidRPr="00D70F2E">
        <w:rPr>
          <w:rFonts w:ascii="Times New Roman" w:eastAsia="Calibri" w:hAnsi="Times New Roman" w:cs="Times New Roman"/>
          <w:sz w:val="24"/>
          <w:szCs w:val="24"/>
          <w:lang w:val="es-VE"/>
        </w:rPr>
        <w:t>analizados (p= 0,996 y p= 0,686, respectivamente) (tabla 1).</w:t>
      </w:r>
    </w:p>
    <w:p w14:paraId="71B10622"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lang w:val="es-VE"/>
        </w:rPr>
      </w:pPr>
    </w:p>
    <w:p w14:paraId="2F45491A" w14:textId="1C35FAD6" w:rsidR="00E95827" w:rsidRPr="00606917" w:rsidRDefault="00E95827" w:rsidP="00E25C17">
      <w:pPr>
        <w:spacing w:after="0" w:line="240" w:lineRule="auto"/>
        <w:jc w:val="center"/>
        <w:rPr>
          <w:rFonts w:ascii="Times New Roman" w:eastAsia="Calibri" w:hAnsi="Times New Roman" w:cs="Times New Roman"/>
        </w:rPr>
      </w:pPr>
      <w:r w:rsidRPr="00606917">
        <w:rPr>
          <w:rFonts w:ascii="Times New Roman" w:eastAsia="Calibri" w:hAnsi="Times New Roman" w:cs="Times New Roman"/>
          <w:b/>
        </w:rPr>
        <w:lastRenderedPageBreak/>
        <w:t>Tabla 1 -</w:t>
      </w:r>
      <w:r w:rsidRPr="00606917">
        <w:rPr>
          <w:rFonts w:ascii="Times New Roman" w:eastAsia="Calibri" w:hAnsi="Times New Roman" w:cs="Times New Roman"/>
        </w:rPr>
        <w:t xml:space="preserve"> Perfil demográfico y clínico de los pacientes</w:t>
      </w:r>
    </w:p>
    <w:p w14:paraId="5D7503B6" w14:textId="6E5B47D6" w:rsidR="004D5CE7" w:rsidRDefault="004D5CE7" w:rsidP="00E95827">
      <w:pPr>
        <w:autoSpaceDE w:val="0"/>
        <w:autoSpaceDN w:val="0"/>
        <w:adjustRightInd w:val="0"/>
        <w:spacing w:after="0" w:line="360" w:lineRule="auto"/>
        <w:ind w:right="-28"/>
        <w:jc w:val="center"/>
        <w:rPr>
          <w:rFonts w:ascii="Times New Roman" w:eastAsia="Calibri" w:hAnsi="Times New Roman" w:cs="Times New Roman"/>
          <w:sz w:val="16"/>
          <w:szCs w:val="16"/>
        </w:rPr>
      </w:pPr>
      <w:r>
        <w:rPr>
          <w:rFonts w:ascii="Times New Roman" w:eastAsia="Calibri" w:hAnsi="Times New Roman" w:cs="Times New Roman"/>
          <w:noProof/>
          <w:sz w:val="16"/>
          <w:szCs w:val="16"/>
        </w:rPr>
        <w:drawing>
          <wp:inline distT="0" distB="0" distL="0" distR="0" wp14:anchorId="3EDFDB4C" wp14:editId="0E5721C3">
            <wp:extent cx="6210300" cy="5534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6210300" cy="5534025"/>
                    </a:xfrm>
                    <a:prstGeom prst="rect">
                      <a:avLst/>
                    </a:prstGeom>
                  </pic:spPr>
                </pic:pic>
              </a:graphicData>
            </a:graphic>
          </wp:inline>
        </w:drawing>
      </w:r>
    </w:p>
    <w:p w14:paraId="0A6ACA2F" w14:textId="5036B2C5" w:rsidR="00E95827" w:rsidRPr="00C15199" w:rsidRDefault="00E95827" w:rsidP="00E95827">
      <w:pPr>
        <w:autoSpaceDE w:val="0"/>
        <w:autoSpaceDN w:val="0"/>
        <w:adjustRightInd w:val="0"/>
        <w:spacing w:after="0" w:line="360" w:lineRule="auto"/>
        <w:ind w:right="-28"/>
        <w:jc w:val="center"/>
        <w:rPr>
          <w:rFonts w:ascii="Times New Roman" w:eastAsia="Calibri" w:hAnsi="Times New Roman" w:cs="Times New Roman"/>
          <w:sz w:val="16"/>
          <w:szCs w:val="16"/>
        </w:rPr>
      </w:pPr>
      <w:r w:rsidRPr="00C15199">
        <w:rPr>
          <w:rFonts w:ascii="Times New Roman" w:eastAsia="Calibri" w:hAnsi="Times New Roman" w:cs="Times New Roman"/>
          <w:sz w:val="16"/>
          <w:szCs w:val="16"/>
        </w:rPr>
        <w:t>* p&lt; 0,05 † Prueba estadística de Kruskal-Wallis; ‡</w:t>
      </w:r>
      <w:r>
        <w:rPr>
          <w:rFonts w:ascii="Times New Roman" w:eastAsia="Calibri" w:hAnsi="Times New Roman" w:cs="Times New Roman"/>
          <w:sz w:val="16"/>
          <w:szCs w:val="16"/>
        </w:rPr>
        <w:t xml:space="preserve"> p</w:t>
      </w:r>
      <w:r w:rsidRPr="00C15199">
        <w:rPr>
          <w:rFonts w:ascii="Times New Roman" w:eastAsia="Calibri" w:hAnsi="Times New Roman" w:cs="Times New Roman"/>
          <w:sz w:val="16"/>
          <w:szCs w:val="16"/>
        </w:rPr>
        <w:t xml:space="preserve">rueba de </w:t>
      </w:r>
      <w:r w:rsidRPr="00C15199">
        <w:rPr>
          <w:rFonts w:ascii="Times New Roman" w:eastAsia="Calibri" w:hAnsi="Times New Roman" w:cs="Times New Roman"/>
          <w:i/>
          <w:iCs/>
          <w:sz w:val="16"/>
          <w:szCs w:val="16"/>
        </w:rPr>
        <w:t>ji</w:t>
      </w:r>
      <w:r w:rsidR="00493E9B">
        <w:rPr>
          <w:rFonts w:ascii="Times New Roman" w:eastAsia="Calibri" w:hAnsi="Times New Roman" w:cs="Times New Roman"/>
          <w:i/>
          <w:iCs/>
          <w:sz w:val="16"/>
          <w:szCs w:val="16"/>
        </w:rPr>
        <w:t xml:space="preserve"> </w:t>
      </w:r>
      <w:r>
        <w:rPr>
          <w:rFonts w:ascii="Times New Roman" w:eastAsia="Calibri" w:hAnsi="Times New Roman" w:cs="Times New Roman"/>
          <w:sz w:val="16"/>
          <w:szCs w:val="16"/>
        </w:rPr>
        <w:t>c</w:t>
      </w:r>
      <w:r w:rsidRPr="00C15199">
        <w:rPr>
          <w:rFonts w:ascii="Times New Roman" w:eastAsia="Calibri" w:hAnsi="Times New Roman" w:cs="Times New Roman"/>
          <w:sz w:val="16"/>
          <w:szCs w:val="16"/>
        </w:rPr>
        <w:t>uadrado</w:t>
      </w:r>
      <w:r>
        <w:rPr>
          <w:rFonts w:ascii="Times New Roman" w:eastAsia="Calibri" w:hAnsi="Times New Roman" w:cs="Times New Roman"/>
          <w:sz w:val="16"/>
          <w:szCs w:val="16"/>
        </w:rPr>
        <w:t>.</w:t>
      </w:r>
    </w:p>
    <w:p w14:paraId="3DDB2A71"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p>
    <w:p w14:paraId="1BF801D3" w14:textId="148215B0"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La tabla 2 refleja que la hipoalbuminemia (24,5</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la diabetes mellitus (7,5</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y las neoplasias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(3,2</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w:t>
      </w:r>
      <w:r w:rsidR="004D5CE7">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representaron los factores de riesgo más </w:t>
      </w:r>
      <w:r>
        <w:rPr>
          <w:rFonts w:ascii="Times New Roman" w:eastAsia="Calibri" w:hAnsi="Times New Roman" w:cs="Times New Roman"/>
          <w:sz w:val="24"/>
          <w:szCs w:val="24"/>
        </w:rPr>
        <w:t>frecuentes</w:t>
      </w:r>
      <w:r w:rsidRPr="00AE695B">
        <w:rPr>
          <w:rFonts w:ascii="Times New Roman" w:eastAsia="Calibri" w:hAnsi="Times New Roman" w:cs="Times New Roman"/>
          <w:sz w:val="24"/>
          <w:szCs w:val="24"/>
        </w:rPr>
        <w:t xml:space="preserve">. Existió variación significativa entre los </w:t>
      </w:r>
      <w:r>
        <w:rPr>
          <w:rFonts w:ascii="Times New Roman" w:eastAsia="Calibri" w:hAnsi="Times New Roman" w:cs="Times New Roman"/>
          <w:sz w:val="24"/>
          <w:szCs w:val="24"/>
        </w:rPr>
        <w:t>periodos</w:t>
      </w:r>
      <w:r w:rsidRPr="00AE695B">
        <w:rPr>
          <w:rFonts w:ascii="Times New Roman" w:eastAsia="Calibri" w:hAnsi="Times New Roman" w:cs="Times New Roman"/>
          <w:sz w:val="24"/>
          <w:szCs w:val="24"/>
        </w:rPr>
        <w:t>, en el porcentaje de enfermos con hipoalbuminemia. El 78,6</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pacientes requirieron antibiótico al ingreso y el 35,3</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previamente. Al 27,3</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xml:space="preserve">% se les implantó catéter venoso central; el </w:t>
      </w:r>
      <w:r w:rsidRPr="00AE695B">
        <w:rPr>
          <w:rFonts w:ascii="Times New Roman" w:eastAsia="Calibri" w:hAnsi="Times New Roman" w:cs="Times New Roman"/>
          <w:sz w:val="24"/>
          <w:szCs w:val="24"/>
        </w:rPr>
        <w:lastRenderedPageBreak/>
        <w:t>13,9</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necesitó VMAI, el 2,1 % de nutrición parenteral y el 0,5 % métodos depuradores renales. No existieron variaciones significativas en los porcentajes por año</w:t>
      </w:r>
      <w:r>
        <w:rPr>
          <w:rFonts w:ascii="Times New Roman" w:eastAsia="Calibri" w:hAnsi="Times New Roman" w:cs="Times New Roman"/>
          <w:sz w:val="24"/>
          <w:szCs w:val="24"/>
        </w:rPr>
        <w:t>,</w:t>
      </w:r>
      <w:r w:rsidRPr="00AE695B">
        <w:rPr>
          <w:rFonts w:ascii="Times New Roman" w:eastAsia="Calibri" w:hAnsi="Times New Roman" w:cs="Times New Roman"/>
          <w:sz w:val="24"/>
          <w:szCs w:val="24"/>
        </w:rPr>
        <w:t xml:space="preserve"> en cuanto a dispositivos y tratamientos.</w:t>
      </w:r>
    </w:p>
    <w:p w14:paraId="146ACE27"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p>
    <w:p w14:paraId="6073611E" w14:textId="77777777" w:rsidR="00E95827" w:rsidRPr="00C15199" w:rsidRDefault="00E95827" w:rsidP="00E95827">
      <w:pPr>
        <w:autoSpaceDE w:val="0"/>
        <w:autoSpaceDN w:val="0"/>
        <w:adjustRightInd w:val="0"/>
        <w:spacing w:after="0" w:line="360" w:lineRule="auto"/>
        <w:ind w:right="-28"/>
        <w:jc w:val="center"/>
        <w:rPr>
          <w:rFonts w:ascii="Times New Roman" w:eastAsia="Calibri" w:hAnsi="Times New Roman" w:cs="Times New Roman"/>
        </w:rPr>
      </w:pPr>
      <w:r w:rsidRPr="00C15199">
        <w:rPr>
          <w:rFonts w:ascii="Times New Roman" w:eastAsia="Calibri" w:hAnsi="Times New Roman" w:cs="Times New Roman"/>
          <w:b/>
        </w:rPr>
        <w:t>Tabla 2 -</w:t>
      </w:r>
      <w:r w:rsidRPr="00C15199">
        <w:rPr>
          <w:rFonts w:ascii="Times New Roman" w:eastAsia="Calibri" w:hAnsi="Times New Roman" w:cs="Times New Roman"/>
          <w:lang w:val="es-VE"/>
        </w:rPr>
        <w:t>Factores de riesgo y tratamientos requeridos por los pacientes</w:t>
      </w:r>
    </w:p>
    <w:p w14:paraId="45C07C80" w14:textId="0B6E7B29" w:rsidR="0027663D" w:rsidRDefault="0027663D" w:rsidP="00E95827">
      <w:pPr>
        <w:autoSpaceDE w:val="0"/>
        <w:autoSpaceDN w:val="0"/>
        <w:adjustRightInd w:val="0"/>
        <w:spacing w:after="0" w:line="360" w:lineRule="auto"/>
        <w:ind w:right="-28"/>
        <w:jc w:val="center"/>
        <w:rPr>
          <w:rFonts w:ascii="Times New Roman" w:eastAsia="Calibri" w:hAnsi="Times New Roman" w:cs="Times New Roman"/>
          <w:sz w:val="16"/>
          <w:szCs w:val="16"/>
        </w:rPr>
      </w:pPr>
      <w:r>
        <w:rPr>
          <w:rFonts w:ascii="Times New Roman" w:eastAsia="Calibri" w:hAnsi="Times New Roman" w:cs="Times New Roman"/>
          <w:noProof/>
          <w:sz w:val="16"/>
          <w:szCs w:val="16"/>
        </w:rPr>
        <w:drawing>
          <wp:inline distT="0" distB="0" distL="0" distR="0" wp14:anchorId="287782BA" wp14:editId="3D16ABE2">
            <wp:extent cx="4972050" cy="3476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4972050" cy="3476625"/>
                    </a:xfrm>
                    <a:prstGeom prst="rect">
                      <a:avLst/>
                    </a:prstGeom>
                  </pic:spPr>
                </pic:pic>
              </a:graphicData>
            </a:graphic>
          </wp:inline>
        </w:drawing>
      </w:r>
    </w:p>
    <w:p w14:paraId="670A7D79" w14:textId="1EE4ACA8" w:rsidR="00E95827" w:rsidRPr="00C15199" w:rsidRDefault="00E95827" w:rsidP="00E95827">
      <w:pPr>
        <w:autoSpaceDE w:val="0"/>
        <w:autoSpaceDN w:val="0"/>
        <w:adjustRightInd w:val="0"/>
        <w:spacing w:after="0" w:line="360" w:lineRule="auto"/>
        <w:ind w:right="-28"/>
        <w:jc w:val="center"/>
        <w:rPr>
          <w:rFonts w:ascii="Times New Roman" w:eastAsia="Calibri" w:hAnsi="Times New Roman" w:cs="Times New Roman"/>
          <w:sz w:val="16"/>
          <w:szCs w:val="16"/>
        </w:rPr>
      </w:pPr>
      <w:r w:rsidRPr="00C15199">
        <w:rPr>
          <w:rFonts w:ascii="Times New Roman" w:eastAsia="Calibri" w:hAnsi="Times New Roman" w:cs="Times New Roman"/>
          <w:sz w:val="16"/>
          <w:szCs w:val="16"/>
        </w:rPr>
        <w:t xml:space="preserve">* Nivel de significación, prueba de </w:t>
      </w:r>
      <w:r w:rsidRPr="00C15199">
        <w:rPr>
          <w:rFonts w:ascii="Times New Roman" w:eastAsia="Calibri" w:hAnsi="Times New Roman" w:cs="Times New Roman"/>
          <w:i/>
          <w:iCs/>
          <w:sz w:val="16"/>
          <w:szCs w:val="16"/>
        </w:rPr>
        <w:t>ji</w:t>
      </w:r>
      <w:r w:rsidR="00E45E01">
        <w:rPr>
          <w:rFonts w:ascii="Times New Roman" w:eastAsia="Calibri" w:hAnsi="Times New Roman" w:cs="Times New Roman"/>
          <w:i/>
          <w:iCs/>
          <w:sz w:val="16"/>
          <w:szCs w:val="16"/>
        </w:rPr>
        <w:t xml:space="preserve"> </w:t>
      </w:r>
      <w:r w:rsidRPr="00C15199">
        <w:rPr>
          <w:rFonts w:ascii="Times New Roman" w:eastAsia="Calibri" w:hAnsi="Times New Roman" w:cs="Times New Roman"/>
          <w:sz w:val="16"/>
          <w:szCs w:val="16"/>
        </w:rPr>
        <w:t>cuadrado &lt; 0,05</w:t>
      </w:r>
      <w:r>
        <w:rPr>
          <w:rFonts w:ascii="Times New Roman" w:eastAsia="Calibri" w:hAnsi="Times New Roman" w:cs="Times New Roman"/>
          <w:sz w:val="16"/>
          <w:szCs w:val="16"/>
        </w:rPr>
        <w:t>.</w:t>
      </w:r>
    </w:p>
    <w:p w14:paraId="187C66E6" w14:textId="77777777" w:rsidR="00E95827" w:rsidRPr="00AE695B" w:rsidRDefault="00E95827" w:rsidP="00E95827">
      <w:pPr>
        <w:tabs>
          <w:tab w:val="left" w:pos="999"/>
        </w:tabs>
        <w:autoSpaceDE w:val="0"/>
        <w:autoSpaceDN w:val="0"/>
        <w:adjustRightInd w:val="0"/>
        <w:spacing w:after="0" w:line="360" w:lineRule="auto"/>
        <w:ind w:right="-28"/>
        <w:jc w:val="both"/>
        <w:rPr>
          <w:rFonts w:ascii="Times New Roman" w:eastAsia="Calibri" w:hAnsi="Times New Roman" w:cs="Times New Roman"/>
          <w:sz w:val="24"/>
          <w:szCs w:val="24"/>
        </w:rPr>
      </w:pPr>
    </w:p>
    <w:p w14:paraId="77843428" w14:textId="62E7A46E" w:rsidR="00E95827" w:rsidRPr="00AE695B" w:rsidRDefault="00E95827" w:rsidP="00E95827">
      <w:pPr>
        <w:tabs>
          <w:tab w:val="left" w:pos="999"/>
        </w:tabs>
        <w:autoSpaceDE w:val="0"/>
        <w:autoSpaceDN w:val="0"/>
        <w:adjustRightInd w:val="0"/>
        <w:spacing w:after="0" w:line="360" w:lineRule="auto"/>
        <w:ind w:right="-28"/>
        <w:jc w:val="both"/>
        <w:rPr>
          <w:rFonts w:ascii="Times New Roman" w:eastAsia="Calibri" w:hAnsi="Times New Roman" w:cs="Times New Roman"/>
          <w:sz w:val="24"/>
          <w:szCs w:val="24"/>
        </w:rPr>
      </w:pPr>
      <w:r>
        <w:rPr>
          <w:rFonts w:ascii="Times New Roman" w:eastAsia="Calibri" w:hAnsi="Times New Roman" w:cs="Times New Roman"/>
          <w:sz w:val="24"/>
          <w:szCs w:val="24"/>
        </w:rPr>
        <w:t>En l</w:t>
      </w:r>
      <w:r w:rsidRPr="00AE695B">
        <w:rPr>
          <w:rFonts w:ascii="Times New Roman" w:eastAsia="Calibri" w:hAnsi="Times New Roman" w:cs="Times New Roman"/>
          <w:sz w:val="24"/>
          <w:szCs w:val="24"/>
        </w:rPr>
        <w:t>a</w:t>
      </w:r>
      <w:r w:rsidR="0027663D">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AE695B">
        <w:rPr>
          <w:rFonts w:ascii="Times New Roman" w:eastAsia="Calibri" w:hAnsi="Times New Roman" w:cs="Times New Roman"/>
          <w:sz w:val="24"/>
          <w:szCs w:val="24"/>
        </w:rPr>
        <w:t xml:space="preserve">abla 3 </w:t>
      </w:r>
      <w:r>
        <w:rPr>
          <w:rFonts w:ascii="Times New Roman" w:eastAsia="Calibri" w:hAnsi="Times New Roman" w:cs="Times New Roman"/>
          <w:sz w:val="24"/>
          <w:szCs w:val="24"/>
        </w:rPr>
        <w:t xml:space="preserve">se </w:t>
      </w:r>
      <w:r w:rsidRPr="00AE695B">
        <w:rPr>
          <w:rFonts w:ascii="Times New Roman" w:eastAsia="Calibri" w:hAnsi="Times New Roman" w:cs="Times New Roman"/>
          <w:sz w:val="24"/>
          <w:szCs w:val="24"/>
        </w:rPr>
        <w:t>expone</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que el 54,0 % de los pacientes ingresaron con IAC y que su frecuencia se mantuvo sin cambios significativos (p= 0,524). La infección intraabdominal (IIA) (19,7</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la neumonía y bronconeumonía (7,5 %) y la infección urinaria (7,0</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constituyeron las localizaciones principales, pero con cambios</w:t>
      </w:r>
      <w:r>
        <w:rPr>
          <w:rFonts w:ascii="Times New Roman" w:eastAsia="Calibri" w:hAnsi="Times New Roman" w:cs="Times New Roman"/>
          <w:sz w:val="24"/>
          <w:szCs w:val="24"/>
        </w:rPr>
        <w:t xml:space="preserve"> de frecuencia</w:t>
      </w:r>
      <w:r w:rsidRPr="00AE695B">
        <w:rPr>
          <w:rFonts w:ascii="Times New Roman" w:eastAsia="Calibri" w:hAnsi="Times New Roman" w:cs="Times New Roman"/>
          <w:sz w:val="24"/>
          <w:szCs w:val="24"/>
        </w:rPr>
        <w:t xml:space="preserve"> importantes</w:t>
      </w:r>
      <w:r>
        <w:rPr>
          <w:rFonts w:ascii="Times New Roman" w:eastAsia="Calibri" w:hAnsi="Times New Roman" w:cs="Times New Roman"/>
          <w:sz w:val="24"/>
          <w:szCs w:val="24"/>
        </w:rPr>
        <w:t>,</w:t>
      </w:r>
      <w:r w:rsidR="006E707E">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entre los </w:t>
      </w:r>
      <w:r>
        <w:rPr>
          <w:rFonts w:ascii="Times New Roman" w:eastAsia="Calibri" w:hAnsi="Times New Roman" w:cs="Times New Roman"/>
          <w:sz w:val="24"/>
          <w:szCs w:val="24"/>
        </w:rPr>
        <w:t>periodos,</w:t>
      </w:r>
      <w:r w:rsidRPr="00AE695B">
        <w:rPr>
          <w:rFonts w:ascii="Times New Roman" w:eastAsia="Calibri" w:hAnsi="Times New Roman" w:cs="Times New Roman"/>
          <w:sz w:val="24"/>
          <w:szCs w:val="24"/>
        </w:rPr>
        <w:t xml:space="preserve"> para la infección urinaria (p= 0,001). </w:t>
      </w:r>
    </w:p>
    <w:p w14:paraId="25D1E1FC"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b/>
          <w:sz w:val="24"/>
          <w:szCs w:val="24"/>
        </w:rPr>
      </w:pPr>
    </w:p>
    <w:p w14:paraId="16ECF3A7" w14:textId="77777777" w:rsidR="009A71E8" w:rsidRDefault="009A71E8">
      <w:pPr>
        <w:spacing w:after="0" w:line="240" w:lineRule="auto"/>
        <w:rPr>
          <w:rFonts w:ascii="Times New Roman" w:eastAsia="Calibri" w:hAnsi="Times New Roman" w:cs="Times New Roman"/>
          <w:b/>
        </w:rPr>
      </w:pPr>
      <w:r>
        <w:rPr>
          <w:rFonts w:ascii="Times New Roman" w:eastAsia="Calibri" w:hAnsi="Times New Roman" w:cs="Times New Roman"/>
          <w:b/>
        </w:rPr>
        <w:br w:type="page"/>
      </w:r>
    </w:p>
    <w:p w14:paraId="7FD75955" w14:textId="472FFC40" w:rsidR="00E95827" w:rsidRPr="00C15199" w:rsidRDefault="00E95827" w:rsidP="00E95827">
      <w:pPr>
        <w:autoSpaceDE w:val="0"/>
        <w:autoSpaceDN w:val="0"/>
        <w:adjustRightInd w:val="0"/>
        <w:spacing w:after="0" w:line="360" w:lineRule="auto"/>
        <w:ind w:right="-28"/>
        <w:jc w:val="center"/>
        <w:rPr>
          <w:rFonts w:ascii="Times New Roman" w:eastAsia="Calibri" w:hAnsi="Times New Roman" w:cs="Times New Roman"/>
        </w:rPr>
      </w:pPr>
      <w:r w:rsidRPr="00C15199">
        <w:rPr>
          <w:rFonts w:ascii="Times New Roman" w:eastAsia="Calibri" w:hAnsi="Times New Roman" w:cs="Times New Roman"/>
          <w:b/>
        </w:rPr>
        <w:lastRenderedPageBreak/>
        <w:t>Tabla 3 -</w:t>
      </w:r>
      <w:r w:rsidRPr="00C15199">
        <w:rPr>
          <w:rFonts w:ascii="Times New Roman" w:eastAsia="Calibri" w:hAnsi="Times New Roman" w:cs="Times New Roman"/>
        </w:rPr>
        <w:t xml:space="preserve"> Frecuencia de infecciones adquirida en la comunidad</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992"/>
        <w:gridCol w:w="993"/>
        <w:gridCol w:w="992"/>
        <w:gridCol w:w="992"/>
        <w:gridCol w:w="709"/>
      </w:tblGrid>
      <w:tr w:rsidR="00E95827" w:rsidRPr="00022C19" w14:paraId="3D02F196" w14:textId="77777777" w:rsidTr="00FB78F1">
        <w:trPr>
          <w:trHeight w:val="553"/>
          <w:jc w:val="center"/>
        </w:trPr>
        <w:tc>
          <w:tcPr>
            <w:tcW w:w="3539" w:type="dxa"/>
            <w:shd w:val="clear" w:color="auto" w:fill="auto"/>
            <w:vAlign w:val="center"/>
          </w:tcPr>
          <w:p w14:paraId="038B1B74"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Variables</w:t>
            </w:r>
          </w:p>
        </w:tc>
        <w:tc>
          <w:tcPr>
            <w:tcW w:w="992" w:type="dxa"/>
            <w:shd w:val="clear" w:color="auto" w:fill="auto"/>
            <w:vAlign w:val="center"/>
          </w:tcPr>
          <w:p w14:paraId="0AA8D123"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2018</w:t>
            </w:r>
          </w:p>
          <w:p w14:paraId="096BF4B3"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n=88</w:t>
            </w:r>
          </w:p>
        </w:tc>
        <w:tc>
          <w:tcPr>
            <w:tcW w:w="993" w:type="dxa"/>
            <w:shd w:val="clear" w:color="auto" w:fill="auto"/>
            <w:vAlign w:val="center"/>
          </w:tcPr>
          <w:p w14:paraId="0D97275C"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2019</w:t>
            </w:r>
          </w:p>
          <w:p w14:paraId="7ACDADF7"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n=41</w:t>
            </w:r>
          </w:p>
        </w:tc>
        <w:tc>
          <w:tcPr>
            <w:tcW w:w="992" w:type="dxa"/>
            <w:shd w:val="clear" w:color="auto" w:fill="auto"/>
            <w:vAlign w:val="center"/>
          </w:tcPr>
          <w:p w14:paraId="3F97C9C0"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2020</w:t>
            </w:r>
          </w:p>
          <w:p w14:paraId="3D23AFAE"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n=58</w:t>
            </w:r>
          </w:p>
        </w:tc>
        <w:tc>
          <w:tcPr>
            <w:tcW w:w="992" w:type="dxa"/>
            <w:shd w:val="clear" w:color="auto" w:fill="auto"/>
            <w:vAlign w:val="center"/>
          </w:tcPr>
          <w:p w14:paraId="1D177364"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Total</w:t>
            </w:r>
          </w:p>
          <w:p w14:paraId="27B27A41"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n= 187</w:t>
            </w:r>
          </w:p>
        </w:tc>
        <w:tc>
          <w:tcPr>
            <w:tcW w:w="709" w:type="dxa"/>
            <w:vAlign w:val="center"/>
          </w:tcPr>
          <w:p w14:paraId="0508C890"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p *</w:t>
            </w:r>
          </w:p>
        </w:tc>
      </w:tr>
      <w:tr w:rsidR="00E95827" w:rsidRPr="00022C19" w14:paraId="0BA56522" w14:textId="77777777" w:rsidTr="00FB78F1">
        <w:trPr>
          <w:trHeight w:val="252"/>
          <w:jc w:val="center"/>
        </w:trPr>
        <w:tc>
          <w:tcPr>
            <w:tcW w:w="3539" w:type="dxa"/>
            <w:shd w:val="clear" w:color="auto" w:fill="auto"/>
            <w:vAlign w:val="center"/>
          </w:tcPr>
          <w:p w14:paraId="34FAE6F4"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Infecciones adquiridas en la comunidad n (%)</w:t>
            </w:r>
          </w:p>
        </w:tc>
        <w:tc>
          <w:tcPr>
            <w:tcW w:w="992" w:type="dxa"/>
            <w:shd w:val="clear" w:color="auto" w:fill="auto"/>
            <w:vAlign w:val="center"/>
          </w:tcPr>
          <w:p w14:paraId="187AE1DB"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46 (52,3)</w:t>
            </w:r>
          </w:p>
        </w:tc>
        <w:tc>
          <w:tcPr>
            <w:tcW w:w="993" w:type="dxa"/>
            <w:shd w:val="clear" w:color="auto" w:fill="auto"/>
            <w:vAlign w:val="center"/>
          </w:tcPr>
          <w:p w14:paraId="3D373F6A"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24 (58,5)</w:t>
            </w:r>
          </w:p>
        </w:tc>
        <w:tc>
          <w:tcPr>
            <w:tcW w:w="992" w:type="dxa"/>
            <w:shd w:val="clear" w:color="auto" w:fill="auto"/>
            <w:vAlign w:val="center"/>
          </w:tcPr>
          <w:p w14:paraId="0B888979"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31 (53,4)</w:t>
            </w:r>
          </w:p>
        </w:tc>
        <w:tc>
          <w:tcPr>
            <w:tcW w:w="992" w:type="dxa"/>
            <w:shd w:val="clear" w:color="auto" w:fill="auto"/>
            <w:vAlign w:val="center"/>
          </w:tcPr>
          <w:p w14:paraId="100E90C5"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101 (54,0)</w:t>
            </w:r>
          </w:p>
        </w:tc>
        <w:tc>
          <w:tcPr>
            <w:tcW w:w="709" w:type="dxa"/>
            <w:vAlign w:val="center"/>
          </w:tcPr>
          <w:p w14:paraId="19D496AF"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0,524</w:t>
            </w:r>
          </w:p>
        </w:tc>
      </w:tr>
      <w:tr w:rsidR="00E95827" w:rsidRPr="00022C19" w14:paraId="4C349B8C" w14:textId="77777777" w:rsidTr="00FB78F1">
        <w:trPr>
          <w:trHeight w:val="273"/>
          <w:jc w:val="center"/>
        </w:trPr>
        <w:tc>
          <w:tcPr>
            <w:tcW w:w="3539" w:type="dxa"/>
            <w:shd w:val="clear" w:color="auto" w:fill="auto"/>
            <w:vAlign w:val="center"/>
          </w:tcPr>
          <w:p w14:paraId="63258D9C"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Infección intraabdominal</w:t>
            </w:r>
          </w:p>
        </w:tc>
        <w:tc>
          <w:tcPr>
            <w:tcW w:w="992" w:type="dxa"/>
            <w:shd w:val="clear" w:color="auto" w:fill="auto"/>
            <w:vAlign w:val="center"/>
          </w:tcPr>
          <w:p w14:paraId="32B685B8"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15 (17,0)</w:t>
            </w:r>
          </w:p>
        </w:tc>
        <w:tc>
          <w:tcPr>
            <w:tcW w:w="993" w:type="dxa"/>
            <w:shd w:val="clear" w:color="auto" w:fill="auto"/>
            <w:vAlign w:val="center"/>
          </w:tcPr>
          <w:p w14:paraId="1F34BAD6"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6 (14,7)</w:t>
            </w:r>
          </w:p>
        </w:tc>
        <w:tc>
          <w:tcPr>
            <w:tcW w:w="992" w:type="dxa"/>
            <w:shd w:val="clear" w:color="auto" w:fill="auto"/>
            <w:vAlign w:val="center"/>
          </w:tcPr>
          <w:p w14:paraId="44F07929"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16 (27,6)</w:t>
            </w:r>
          </w:p>
        </w:tc>
        <w:tc>
          <w:tcPr>
            <w:tcW w:w="992" w:type="dxa"/>
            <w:shd w:val="clear" w:color="auto" w:fill="auto"/>
            <w:vAlign w:val="center"/>
          </w:tcPr>
          <w:p w14:paraId="5864F66E"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37 (19,7)</w:t>
            </w:r>
          </w:p>
        </w:tc>
        <w:tc>
          <w:tcPr>
            <w:tcW w:w="709" w:type="dxa"/>
            <w:vAlign w:val="center"/>
          </w:tcPr>
          <w:p w14:paraId="344EC050"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0,146</w:t>
            </w:r>
          </w:p>
        </w:tc>
      </w:tr>
      <w:tr w:rsidR="00E95827" w:rsidRPr="00022C19" w14:paraId="751DB896" w14:textId="77777777" w:rsidTr="00FB78F1">
        <w:trPr>
          <w:trHeight w:val="281"/>
          <w:jc w:val="center"/>
        </w:trPr>
        <w:tc>
          <w:tcPr>
            <w:tcW w:w="3539" w:type="dxa"/>
            <w:shd w:val="clear" w:color="auto" w:fill="auto"/>
            <w:vAlign w:val="center"/>
          </w:tcPr>
          <w:p w14:paraId="19402593"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Neumonía y bronconeumonía</w:t>
            </w:r>
          </w:p>
        </w:tc>
        <w:tc>
          <w:tcPr>
            <w:tcW w:w="992" w:type="dxa"/>
            <w:shd w:val="clear" w:color="auto" w:fill="auto"/>
            <w:vAlign w:val="center"/>
          </w:tcPr>
          <w:p w14:paraId="4CEE3877"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7 (8,0)</w:t>
            </w:r>
          </w:p>
        </w:tc>
        <w:tc>
          <w:tcPr>
            <w:tcW w:w="993" w:type="dxa"/>
            <w:shd w:val="clear" w:color="auto" w:fill="auto"/>
            <w:vAlign w:val="center"/>
          </w:tcPr>
          <w:p w14:paraId="69F912AE"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(4,9)</w:t>
            </w:r>
          </w:p>
        </w:tc>
        <w:tc>
          <w:tcPr>
            <w:tcW w:w="992" w:type="dxa"/>
            <w:shd w:val="clear" w:color="auto" w:fill="auto"/>
            <w:vAlign w:val="center"/>
          </w:tcPr>
          <w:p w14:paraId="134E9B2B"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5 (8,7)</w:t>
            </w:r>
          </w:p>
        </w:tc>
        <w:tc>
          <w:tcPr>
            <w:tcW w:w="992" w:type="dxa"/>
            <w:shd w:val="clear" w:color="auto" w:fill="auto"/>
            <w:vAlign w:val="center"/>
          </w:tcPr>
          <w:p w14:paraId="49A3810F"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14 (7,5)</w:t>
            </w:r>
          </w:p>
        </w:tc>
        <w:tc>
          <w:tcPr>
            <w:tcW w:w="709" w:type="dxa"/>
            <w:vAlign w:val="center"/>
          </w:tcPr>
          <w:p w14:paraId="209AFE62"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0,191</w:t>
            </w:r>
          </w:p>
        </w:tc>
      </w:tr>
      <w:tr w:rsidR="00E95827" w:rsidRPr="00022C19" w14:paraId="549F4E09" w14:textId="77777777" w:rsidTr="00FB78F1">
        <w:trPr>
          <w:trHeight w:val="281"/>
          <w:jc w:val="center"/>
        </w:trPr>
        <w:tc>
          <w:tcPr>
            <w:tcW w:w="3539" w:type="dxa"/>
            <w:shd w:val="clear" w:color="auto" w:fill="auto"/>
            <w:vAlign w:val="center"/>
          </w:tcPr>
          <w:p w14:paraId="103F3B2C"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 xml:space="preserve">Infección urinaria </w:t>
            </w:r>
          </w:p>
        </w:tc>
        <w:tc>
          <w:tcPr>
            <w:tcW w:w="992" w:type="dxa"/>
            <w:shd w:val="clear" w:color="auto" w:fill="auto"/>
            <w:vAlign w:val="center"/>
          </w:tcPr>
          <w:p w14:paraId="64CDB104"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10 (11,4)</w:t>
            </w:r>
          </w:p>
        </w:tc>
        <w:tc>
          <w:tcPr>
            <w:tcW w:w="993" w:type="dxa"/>
            <w:shd w:val="clear" w:color="auto" w:fill="auto"/>
            <w:vAlign w:val="center"/>
          </w:tcPr>
          <w:p w14:paraId="420CE2D6"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 (2,4)</w:t>
            </w:r>
          </w:p>
        </w:tc>
        <w:tc>
          <w:tcPr>
            <w:tcW w:w="992" w:type="dxa"/>
            <w:shd w:val="clear" w:color="auto" w:fill="auto"/>
            <w:vAlign w:val="center"/>
          </w:tcPr>
          <w:p w14:paraId="0366F34D"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(3,4)</w:t>
            </w:r>
          </w:p>
        </w:tc>
        <w:tc>
          <w:tcPr>
            <w:tcW w:w="992" w:type="dxa"/>
            <w:shd w:val="clear" w:color="auto" w:fill="auto"/>
            <w:vAlign w:val="center"/>
          </w:tcPr>
          <w:p w14:paraId="1F90965C"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13 (7,0)</w:t>
            </w:r>
          </w:p>
        </w:tc>
        <w:tc>
          <w:tcPr>
            <w:tcW w:w="709" w:type="dxa"/>
            <w:vAlign w:val="center"/>
          </w:tcPr>
          <w:p w14:paraId="08E5028B"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0,001</w:t>
            </w:r>
          </w:p>
        </w:tc>
      </w:tr>
      <w:tr w:rsidR="00E95827" w:rsidRPr="00022C19" w14:paraId="0FF9DD31" w14:textId="77777777" w:rsidTr="00FB78F1">
        <w:trPr>
          <w:trHeight w:val="299"/>
          <w:jc w:val="center"/>
        </w:trPr>
        <w:tc>
          <w:tcPr>
            <w:tcW w:w="3539" w:type="dxa"/>
            <w:shd w:val="clear" w:color="auto" w:fill="auto"/>
            <w:vAlign w:val="center"/>
          </w:tcPr>
          <w:p w14:paraId="7E818A4E"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 xml:space="preserve">Infección del aparato genital </w:t>
            </w:r>
          </w:p>
        </w:tc>
        <w:tc>
          <w:tcPr>
            <w:tcW w:w="992" w:type="dxa"/>
            <w:shd w:val="clear" w:color="auto" w:fill="auto"/>
            <w:vAlign w:val="center"/>
          </w:tcPr>
          <w:p w14:paraId="4AA3C6C6"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4 (4,5)</w:t>
            </w:r>
          </w:p>
        </w:tc>
        <w:tc>
          <w:tcPr>
            <w:tcW w:w="993" w:type="dxa"/>
            <w:shd w:val="clear" w:color="auto" w:fill="auto"/>
            <w:vAlign w:val="center"/>
          </w:tcPr>
          <w:p w14:paraId="080D7E43"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 (0,0)</w:t>
            </w:r>
          </w:p>
        </w:tc>
        <w:tc>
          <w:tcPr>
            <w:tcW w:w="992" w:type="dxa"/>
            <w:shd w:val="clear" w:color="auto" w:fill="auto"/>
            <w:vAlign w:val="center"/>
          </w:tcPr>
          <w:p w14:paraId="08B18C23"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 (1,7)</w:t>
            </w:r>
          </w:p>
        </w:tc>
        <w:tc>
          <w:tcPr>
            <w:tcW w:w="992" w:type="dxa"/>
            <w:shd w:val="clear" w:color="auto" w:fill="auto"/>
            <w:vAlign w:val="center"/>
          </w:tcPr>
          <w:p w14:paraId="1E59CC3F"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5 (2,7)</w:t>
            </w:r>
          </w:p>
        </w:tc>
        <w:tc>
          <w:tcPr>
            <w:tcW w:w="709" w:type="dxa"/>
            <w:vAlign w:val="center"/>
          </w:tcPr>
          <w:p w14:paraId="75FD42D5"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0,283</w:t>
            </w:r>
          </w:p>
        </w:tc>
      </w:tr>
      <w:tr w:rsidR="00E95827" w:rsidRPr="00022C19" w14:paraId="2043C523" w14:textId="77777777" w:rsidTr="00FB78F1">
        <w:trPr>
          <w:trHeight w:val="305"/>
          <w:jc w:val="center"/>
        </w:trPr>
        <w:tc>
          <w:tcPr>
            <w:tcW w:w="3539" w:type="dxa"/>
            <w:shd w:val="clear" w:color="auto" w:fill="auto"/>
            <w:vAlign w:val="center"/>
          </w:tcPr>
          <w:p w14:paraId="7FA7655B"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 xml:space="preserve">Infección del Sistema Nervioso Central </w:t>
            </w:r>
          </w:p>
        </w:tc>
        <w:tc>
          <w:tcPr>
            <w:tcW w:w="992" w:type="dxa"/>
            <w:shd w:val="clear" w:color="auto" w:fill="auto"/>
            <w:vAlign w:val="center"/>
          </w:tcPr>
          <w:p w14:paraId="53E85BFA"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(2,3)</w:t>
            </w:r>
          </w:p>
        </w:tc>
        <w:tc>
          <w:tcPr>
            <w:tcW w:w="993" w:type="dxa"/>
            <w:shd w:val="clear" w:color="auto" w:fill="auto"/>
            <w:vAlign w:val="center"/>
          </w:tcPr>
          <w:p w14:paraId="141D72D8"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 (2,4)</w:t>
            </w:r>
          </w:p>
        </w:tc>
        <w:tc>
          <w:tcPr>
            <w:tcW w:w="992" w:type="dxa"/>
            <w:shd w:val="clear" w:color="auto" w:fill="auto"/>
            <w:vAlign w:val="center"/>
          </w:tcPr>
          <w:p w14:paraId="48CB86F5"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(3,4)</w:t>
            </w:r>
          </w:p>
        </w:tc>
        <w:tc>
          <w:tcPr>
            <w:tcW w:w="992" w:type="dxa"/>
            <w:shd w:val="clear" w:color="auto" w:fill="auto"/>
            <w:vAlign w:val="center"/>
          </w:tcPr>
          <w:p w14:paraId="43055193"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5 (2,7)</w:t>
            </w:r>
          </w:p>
        </w:tc>
        <w:tc>
          <w:tcPr>
            <w:tcW w:w="709" w:type="dxa"/>
            <w:vAlign w:val="center"/>
          </w:tcPr>
          <w:p w14:paraId="3E1755CF"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0,699</w:t>
            </w:r>
          </w:p>
        </w:tc>
      </w:tr>
      <w:tr w:rsidR="00E95827" w:rsidRPr="00022C19" w14:paraId="76F1B2BC" w14:textId="77777777" w:rsidTr="00FB78F1">
        <w:trPr>
          <w:trHeight w:val="325"/>
          <w:jc w:val="center"/>
        </w:trPr>
        <w:tc>
          <w:tcPr>
            <w:tcW w:w="3539" w:type="dxa"/>
            <w:shd w:val="clear" w:color="auto" w:fill="auto"/>
            <w:vAlign w:val="center"/>
          </w:tcPr>
          <w:p w14:paraId="62EE8882"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 xml:space="preserve">Infección cutánea y de tejidos blandos </w:t>
            </w:r>
          </w:p>
        </w:tc>
        <w:tc>
          <w:tcPr>
            <w:tcW w:w="992" w:type="dxa"/>
            <w:shd w:val="clear" w:color="auto" w:fill="auto"/>
            <w:vAlign w:val="center"/>
          </w:tcPr>
          <w:p w14:paraId="73F7D74A"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 (0,0)</w:t>
            </w:r>
          </w:p>
        </w:tc>
        <w:tc>
          <w:tcPr>
            <w:tcW w:w="993" w:type="dxa"/>
            <w:shd w:val="clear" w:color="auto" w:fill="auto"/>
            <w:vAlign w:val="center"/>
          </w:tcPr>
          <w:p w14:paraId="060B1996"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(4,8)</w:t>
            </w:r>
          </w:p>
        </w:tc>
        <w:tc>
          <w:tcPr>
            <w:tcW w:w="992" w:type="dxa"/>
            <w:shd w:val="clear" w:color="auto" w:fill="auto"/>
            <w:vAlign w:val="center"/>
          </w:tcPr>
          <w:p w14:paraId="72E151F3"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(3,4)</w:t>
            </w:r>
          </w:p>
        </w:tc>
        <w:tc>
          <w:tcPr>
            <w:tcW w:w="992" w:type="dxa"/>
            <w:shd w:val="clear" w:color="auto" w:fill="auto"/>
            <w:vAlign w:val="center"/>
          </w:tcPr>
          <w:p w14:paraId="4911DBE6"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4 (2,1)</w:t>
            </w:r>
          </w:p>
        </w:tc>
        <w:tc>
          <w:tcPr>
            <w:tcW w:w="709" w:type="dxa"/>
            <w:vAlign w:val="center"/>
          </w:tcPr>
          <w:p w14:paraId="4D2DF3E0"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0,787</w:t>
            </w:r>
          </w:p>
        </w:tc>
      </w:tr>
      <w:tr w:rsidR="00E95827" w:rsidRPr="00022C19" w14:paraId="7216C248" w14:textId="77777777" w:rsidTr="00FB78F1">
        <w:trPr>
          <w:trHeight w:val="351"/>
          <w:jc w:val="center"/>
        </w:trPr>
        <w:tc>
          <w:tcPr>
            <w:tcW w:w="3539" w:type="dxa"/>
            <w:shd w:val="clear" w:color="auto" w:fill="auto"/>
            <w:vAlign w:val="center"/>
          </w:tcPr>
          <w:p w14:paraId="3162D8C0"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 xml:space="preserve">Otras </w:t>
            </w:r>
          </w:p>
        </w:tc>
        <w:tc>
          <w:tcPr>
            <w:tcW w:w="992" w:type="dxa"/>
            <w:shd w:val="clear" w:color="auto" w:fill="auto"/>
            <w:vAlign w:val="center"/>
          </w:tcPr>
          <w:p w14:paraId="3821FA5E"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8 (9,1)</w:t>
            </w:r>
          </w:p>
        </w:tc>
        <w:tc>
          <w:tcPr>
            <w:tcW w:w="993" w:type="dxa"/>
            <w:shd w:val="clear" w:color="auto" w:fill="auto"/>
            <w:vAlign w:val="center"/>
          </w:tcPr>
          <w:p w14:paraId="0A8EBFF8"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12 (29,3)</w:t>
            </w:r>
          </w:p>
        </w:tc>
        <w:tc>
          <w:tcPr>
            <w:tcW w:w="992" w:type="dxa"/>
            <w:shd w:val="clear" w:color="auto" w:fill="auto"/>
            <w:vAlign w:val="center"/>
          </w:tcPr>
          <w:p w14:paraId="21673C13"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3 (5,2)</w:t>
            </w:r>
          </w:p>
        </w:tc>
        <w:tc>
          <w:tcPr>
            <w:tcW w:w="992" w:type="dxa"/>
            <w:shd w:val="clear" w:color="auto" w:fill="auto"/>
            <w:vAlign w:val="center"/>
          </w:tcPr>
          <w:p w14:paraId="10787A79"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23 (12,3)</w:t>
            </w:r>
          </w:p>
        </w:tc>
        <w:tc>
          <w:tcPr>
            <w:tcW w:w="709" w:type="dxa"/>
            <w:vAlign w:val="center"/>
          </w:tcPr>
          <w:p w14:paraId="78FF3810"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0,001</w:t>
            </w:r>
          </w:p>
        </w:tc>
      </w:tr>
    </w:tbl>
    <w:p w14:paraId="6E2849C0" w14:textId="7CEDAB7F" w:rsidR="00E95827" w:rsidRPr="00C15199" w:rsidRDefault="00E95827" w:rsidP="00E95827">
      <w:pPr>
        <w:autoSpaceDE w:val="0"/>
        <w:autoSpaceDN w:val="0"/>
        <w:adjustRightInd w:val="0"/>
        <w:spacing w:after="0" w:line="360" w:lineRule="auto"/>
        <w:ind w:right="-28"/>
        <w:jc w:val="center"/>
        <w:rPr>
          <w:rFonts w:ascii="Times New Roman" w:eastAsia="Calibri" w:hAnsi="Times New Roman" w:cs="Times New Roman"/>
          <w:sz w:val="16"/>
          <w:szCs w:val="16"/>
        </w:rPr>
      </w:pPr>
      <w:r w:rsidRPr="00C15199">
        <w:rPr>
          <w:rFonts w:ascii="Times New Roman" w:eastAsia="Calibri" w:hAnsi="Times New Roman" w:cs="Times New Roman"/>
          <w:sz w:val="16"/>
          <w:szCs w:val="16"/>
        </w:rPr>
        <w:t xml:space="preserve">* Nivel de significación, prueba de </w:t>
      </w:r>
      <w:r w:rsidRPr="00C15199">
        <w:rPr>
          <w:rFonts w:ascii="Times New Roman" w:eastAsia="Calibri" w:hAnsi="Times New Roman" w:cs="Times New Roman"/>
          <w:i/>
          <w:iCs/>
          <w:sz w:val="16"/>
          <w:szCs w:val="16"/>
        </w:rPr>
        <w:t>ji</w:t>
      </w:r>
      <w:r w:rsidR="009A71E8">
        <w:rPr>
          <w:rFonts w:ascii="Times New Roman" w:eastAsia="Calibri" w:hAnsi="Times New Roman" w:cs="Times New Roman"/>
          <w:i/>
          <w:iCs/>
          <w:sz w:val="16"/>
          <w:szCs w:val="16"/>
        </w:rPr>
        <w:t xml:space="preserve"> </w:t>
      </w:r>
      <w:r>
        <w:rPr>
          <w:rFonts w:ascii="Times New Roman" w:eastAsia="Calibri" w:hAnsi="Times New Roman" w:cs="Times New Roman"/>
          <w:sz w:val="16"/>
          <w:szCs w:val="16"/>
        </w:rPr>
        <w:t>c</w:t>
      </w:r>
      <w:r w:rsidRPr="00C15199">
        <w:rPr>
          <w:rFonts w:ascii="Times New Roman" w:eastAsia="Calibri" w:hAnsi="Times New Roman" w:cs="Times New Roman"/>
          <w:sz w:val="16"/>
          <w:szCs w:val="16"/>
        </w:rPr>
        <w:t>uadrado &lt;</w:t>
      </w:r>
      <w:r>
        <w:rPr>
          <w:rFonts w:ascii="Times New Roman" w:eastAsia="Calibri" w:hAnsi="Times New Roman" w:cs="Times New Roman"/>
          <w:sz w:val="16"/>
          <w:szCs w:val="16"/>
        </w:rPr>
        <w:t> </w:t>
      </w:r>
      <w:r w:rsidRPr="00C15199">
        <w:rPr>
          <w:rFonts w:ascii="Times New Roman" w:eastAsia="Calibri" w:hAnsi="Times New Roman" w:cs="Times New Roman"/>
          <w:sz w:val="16"/>
          <w:szCs w:val="16"/>
        </w:rPr>
        <w:t>0,05</w:t>
      </w:r>
      <w:r>
        <w:rPr>
          <w:rFonts w:ascii="Times New Roman" w:eastAsia="Calibri" w:hAnsi="Times New Roman" w:cs="Times New Roman"/>
          <w:sz w:val="16"/>
          <w:szCs w:val="16"/>
        </w:rPr>
        <w:t>.</w:t>
      </w:r>
    </w:p>
    <w:p w14:paraId="1AA245DC"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p>
    <w:p w14:paraId="5E5ECD2E" w14:textId="77777777" w:rsidR="00E95827" w:rsidRPr="00AE695B" w:rsidRDefault="00E95827" w:rsidP="00E95827">
      <w:pPr>
        <w:tabs>
          <w:tab w:val="left" w:pos="1257"/>
        </w:tabs>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Se documentó la IAAS, en el 8,0 % de los enfermos y las principales fueron, la infección urinaria (2,7 %), la traqueobronquitis asociada a la ventilación mecánica (2,1 %) y la bacteriemia a foco desconocido (2,1 %), con tendencia temporal estable (tabla 4).</w:t>
      </w:r>
    </w:p>
    <w:p w14:paraId="75F249C1"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p>
    <w:p w14:paraId="6B046E77" w14:textId="77777777" w:rsidR="00E95827" w:rsidRPr="00C15199" w:rsidRDefault="00E95827" w:rsidP="00E95827">
      <w:pPr>
        <w:spacing w:after="0" w:line="360" w:lineRule="auto"/>
        <w:jc w:val="center"/>
        <w:rPr>
          <w:rFonts w:ascii="Times New Roman" w:eastAsia="Calibri" w:hAnsi="Times New Roman" w:cs="Times New Roman"/>
        </w:rPr>
      </w:pPr>
      <w:r w:rsidRPr="00C15199">
        <w:rPr>
          <w:rFonts w:ascii="Times New Roman" w:eastAsia="Calibri" w:hAnsi="Times New Roman" w:cs="Times New Roman"/>
          <w:b/>
        </w:rPr>
        <w:t>Tabla 4 -</w:t>
      </w:r>
      <w:r w:rsidRPr="00C15199">
        <w:rPr>
          <w:rFonts w:ascii="Times New Roman" w:eastAsia="Calibri" w:hAnsi="Times New Roman" w:cs="Times New Roman"/>
        </w:rPr>
        <w:t xml:space="preserve"> Frecuencia de </w:t>
      </w:r>
      <w:r w:rsidRPr="00C15199">
        <w:rPr>
          <w:rFonts w:ascii="Times New Roman" w:hAnsi="Times New Roman" w:cs="Times New Roman"/>
        </w:rPr>
        <w:t>las infecciones asociadas a la asistencia sanitaria</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879"/>
        <w:gridCol w:w="851"/>
        <w:gridCol w:w="850"/>
        <w:gridCol w:w="851"/>
        <w:gridCol w:w="708"/>
      </w:tblGrid>
      <w:tr w:rsidR="00E95827" w:rsidRPr="00C11366" w14:paraId="16F0BA7C" w14:textId="77777777" w:rsidTr="00FB78F1">
        <w:trPr>
          <w:trHeight w:val="563"/>
          <w:jc w:val="center"/>
        </w:trPr>
        <w:tc>
          <w:tcPr>
            <w:tcW w:w="4390" w:type="dxa"/>
            <w:shd w:val="clear" w:color="auto" w:fill="auto"/>
            <w:vAlign w:val="center"/>
          </w:tcPr>
          <w:p w14:paraId="240EC717" w14:textId="77777777" w:rsidR="00E95827" w:rsidRPr="00C15199"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Variables</w:t>
            </w:r>
          </w:p>
        </w:tc>
        <w:tc>
          <w:tcPr>
            <w:tcW w:w="879" w:type="dxa"/>
            <w:shd w:val="clear" w:color="auto" w:fill="auto"/>
            <w:vAlign w:val="center"/>
          </w:tcPr>
          <w:p w14:paraId="65F87A92"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2018</w:t>
            </w:r>
          </w:p>
          <w:p w14:paraId="08831C3E"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n=88</w:t>
            </w:r>
          </w:p>
        </w:tc>
        <w:tc>
          <w:tcPr>
            <w:tcW w:w="851" w:type="dxa"/>
            <w:shd w:val="clear" w:color="auto" w:fill="auto"/>
            <w:vAlign w:val="center"/>
          </w:tcPr>
          <w:p w14:paraId="28DF2AE6"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2019</w:t>
            </w:r>
          </w:p>
          <w:p w14:paraId="147D921F"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n=41</w:t>
            </w:r>
          </w:p>
        </w:tc>
        <w:tc>
          <w:tcPr>
            <w:tcW w:w="850" w:type="dxa"/>
            <w:shd w:val="clear" w:color="auto" w:fill="auto"/>
            <w:vAlign w:val="center"/>
          </w:tcPr>
          <w:p w14:paraId="305B7D90"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2020</w:t>
            </w:r>
          </w:p>
          <w:p w14:paraId="40ECD009"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n=58</w:t>
            </w:r>
          </w:p>
        </w:tc>
        <w:tc>
          <w:tcPr>
            <w:tcW w:w="851" w:type="dxa"/>
            <w:shd w:val="clear" w:color="auto" w:fill="auto"/>
            <w:vAlign w:val="center"/>
          </w:tcPr>
          <w:p w14:paraId="57F5B120"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Total</w:t>
            </w:r>
          </w:p>
          <w:p w14:paraId="0798F9E3"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n=187</w:t>
            </w:r>
          </w:p>
        </w:tc>
        <w:tc>
          <w:tcPr>
            <w:tcW w:w="708" w:type="dxa"/>
            <w:vAlign w:val="center"/>
          </w:tcPr>
          <w:p w14:paraId="12B7241A"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b/>
                <w:bCs/>
                <w:sz w:val="18"/>
                <w:szCs w:val="18"/>
                <w:lang w:eastAsia="de-DE"/>
              </w:rPr>
            </w:pPr>
            <w:r w:rsidRPr="00C15199">
              <w:rPr>
                <w:rFonts w:ascii="Times New Roman" w:eastAsia="Batang" w:hAnsi="Times New Roman" w:cs="Times New Roman"/>
                <w:b/>
                <w:bCs/>
                <w:sz w:val="18"/>
                <w:szCs w:val="18"/>
                <w:lang w:eastAsia="de-DE"/>
              </w:rPr>
              <w:t>p *</w:t>
            </w:r>
          </w:p>
        </w:tc>
      </w:tr>
      <w:tr w:rsidR="00E95827" w:rsidRPr="00C11366" w14:paraId="552073FF" w14:textId="77777777" w:rsidTr="00FB78F1">
        <w:trPr>
          <w:trHeight w:val="429"/>
          <w:jc w:val="center"/>
        </w:trPr>
        <w:tc>
          <w:tcPr>
            <w:tcW w:w="4390" w:type="dxa"/>
            <w:shd w:val="clear" w:color="auto" w:fill="auto"/>
            <w:vAlign w:val="center"/>
          </w:tcPr>
          <w:p w14:paraId="2C2EF400" w14:textId="667CA9E8"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 xml:space="preserve">Infecciones asociadas a la asistencia </w:t>
            </w:r>
            <w:r w:rsidR="00A570F8" w:rsidRPr="00C15199">
              <w:rPr>
                <w:rFonts w:ascii="Times New Roman" w:eastAsia="Batang" w:hAnsi="Times New Roman" w:cs="Times New Roman"/>
                <w:sz w:val="18"/>
                <w:szCs w:val="18"/>
                <w:lang w:eastAsia="de-DE"/>
              </w:rPr>
              <w:t>sanitar</w:t>
            </w:r>
            <w:r w:rsidR="00A570F8">
              <w:rPr>
                <w:rFonts w:ascii="Times New Roman" w:eastAsia="Batang" w:hAnsi="Times New Roman" w:cs="Times New Roman"/>
                <w:sz w:val="18"/>
                <w:szCs w:val="18"/>
                <w:lang w:eastAsia="de-DE"/>
              </w:rPr>
              <w:t>ia</w:t>
            </w:r>
            <w:r w:rsidRPr="00C15199">
              <w:rPr>
                <w:rFonts w:ascii="Times New Roman" w:eastAsia="Batang" w:hAnsi="Times New Roman" w:cs="Times New Roman"/>
                <w:sz w:val="18"/>
                <w:szCs w:val="18"/>
                <w:lang w:eastAsia="de-DE"/>
              </w:rPr>
              <w:t xml:space="preserve"> (%)</w:t>
            </w:r>
          </w:p>
        </w:tc>
        <w:tc>
          <w:tcPr>
            <w:tcW w:w="879" w:type="dxa"/>
            <w:shd w:val="clear" w:color="auto" w:fill="auto"/>
            <w:vAlign w:val="center"/>
          </w:tcPr>
          <w:p w14:paraId="20536C62"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5 (5,6)</w:t>
            </w:r>
          </w:p>
        </w:tc>
        <w:tc>
          <w:tcPr>
            <w:tcW w:w="851" w:type="dxa"/>
            <w:shd w:val="clear" w:color="auto" w:fill="auto"/>
            <w:vAlign w:val="center"/>
          </w:tcPr>
          <w:p w14:paraId="3B71B0E9"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6 (14,6)</w:t>
            </w:r>
          </w:p>
        </w:tc>
        <w:tc>
          <w:tcPr>
            <w:tcW w:w="850" w:type="dxa"/>
            <w:shd w:val="clear" w:color="auto" w:fill="auto"/>
            <w:vAlign w:val="center"/>
          </w:tcPr>
          <w:p w14:paraId="139CB529"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4 (6,8)</w:t>
            </w:r>
          </w:p>
        </w:tc>
        <w:tc>
          <w:tcPr>
            <w:tcW w:w="851" w:type="dxa"/>
            <w:shd w:val="clear" w:color="auto" w:fill="auto"/>
            <w:vAlign w:val="center"/>
          </w:tcPr>
          <w:p w14:paraId="7DDEA98D"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15 (8,0)</w:t>
            </w:r>
          </w:p>
        </w:tc>
        <w:tc>
          <w:tcPr>
            <w:tcW w:w="708" w:type="dxa"/>
            <w:vAlign w:val="center"/>
          </w:tcPr>
          <w:p w14:paraId="621B873F"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0,077</w:t>
            </w:r>
          </w:p>
        </w:tc>
      </w:tr>
      <w:tr w:rsidR="00E95827" w:rsidRPr="00C11366" w14:paraId="6BC88098" w14:textId="77777777" w:rsidTr="00FB78F1">
        <w:trPr>
          <w:trHeight w:val="226"/>
          <w:jc w:val="center"/>
        </w:trPr>
        <w:tc>
          <w:tcPr>
            <w:tcW w:w="4390" w:type="dxa"/>
            <w:shd w:val="clear" w:color="auto" w:fill="auto"/>
            <w:vAlign w:val="center"/>
          </w:tcPr>
          <w:p w14:paraId="590EDDFE"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Infección urinaria</w:t>
            </w:r>
          </w:p>
        </w:tc>
        <w:tc>
          <w:tcPr>
            <w:tcW w:w="879" w:type="dxa"/>
            <w:shd w:val="clear" w:color="auto" w:fill="auto"/>
            <w:vAlign w:val="center"/>
          </w:tcPr>
          <w:p w14:paraId="2A6749BE"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 (0,0)</w:t>
            </w:r>
          </w:p>
        </w:tc>
        <w:tc>
          <w:tcPr>
            <w:tcW w:w="851" w:type="dxa"/>
            <w:shd w:val="clear" w:color="auto" w:fill="auto"/>
            <w:vAlign w:val="center"/>
          </w:tcPr>
          <w:p w14:paraId="5784CA26"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4 (9,8)</w:t>
            </w:r>
          </w:p>
        </w:tc>
        <w:tc>
          <w:tcPr>
            <w:tcW w:w="850" w:type="dxa"/>
            <w:shd w:val="clear" w:color="auto" w:fill="auto"/>
            <w:vAlign w:val="center"/>
          </w:tcPr>
          <w:p w14:paraId="1C4C02A0"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 (1,7)</w:t>
            </w:r>
          </w:p>
        </w:tc>
        <w:tc>
          <w:tcPr>
            <w:tcW w:w="851" w:type="dxa"/>
            <w:shd w:val="clear" w:color="auto" w:fill="auto"/>
            <w:vAlign w:val="center"/>
          </w:tcPr>
          <w:p w14:paraId="2B0D8067"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5 (2,7)</w:t>
            </w:r>
          </w:p>
        </w:tc>
        <w:tc>
          <w:tcPr>
            <w:tcW w:w="708" w:type="dxa"/>
            <w:vAlign w:val="center"/>
          </w:tcPr>
          <w:p w14:paraId="4003C5D0"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0,053</w:t>
            </w:r>
          </w:p>
        </w:tc>
      </w:tr>
      <w:tr w:rsidR="00E95827" w:rsidRPr="00C11366" w14:paraId="467B9F8B" w14:textId="77777777" w:rsidTr="00FB78F1">
        <w:trPr>
          <w:trHeight w:val="358"/>
          <w:jc w:val="center"/>
        </w:trPr>
        <w:tc>
          <w:tcPr>
            <w:tcW w:w="4390" w:type="dxa"/>
            <w:shd w:val="clear" w:color="auto" w:fill="auto"/>
            <w:vAlign w:val="center"/>
          </w:tcPr>
          <w:p w14:paraId="05FA44BA"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 xml:space="preserve">Traqueobronquitis asociada a la ventilación mecánica </w:t>
            </w:r>
          </w:p>
        </w:tc>
        <w:tc>
          <w:tcPr>
            <w:tcW w:w="879" w:type="dxa"/>
            <w:shd w:val="clear" w:color="auto" w:fill="auto"/>
            <w:vAlign w:val="center"/>
          </w:tcPr>
          <w:p w14:paraId="6D2B50A2"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(2,2)</w:t>
            </w:r>
          </w:p>
        </w:tc>
        <w:tc>
          <w:tcPr>
            <w:tcW w:w="851" w:type="dxa"/>
            <w:shd w:val="clear" w:color="auto" w:fill="auto"/>
            <w:vAlign w:val="center"/>
          </w:tcPr>
          <w:p w14:paraId="31C1587B"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 (0,0)</w:t>
            </w:r>
          </w:p>
        </w:tc>
        <w:tc>
          <w:tcPr>
            <w:tcW w:w="850" w:type="dxa"/>
            <w:shd w:val="clear" w:color="auto" w:fill="auto"/>
            <w:vAlign w:val="center"/>
          </w:tcPr>
          <w:p w14:paraId="616C2373"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(3,4)</w:t>
            </w:r>
          </w:p>
        </w:tc>
        <w:tc>
          <w:tcPr>
            <w:tcW w:w="851" w:type="dxa"/>
            <w:shd w:val="clear" w:color="auto" w:fill="auto"/>
            <w:vAlign w:val="center"/>
          </w:tcPr>
          <w:p w14:paraId="0C98D889"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4 (2,1)</w:t>
            </w:r>
          </w:p>
        </w:tc>
        <w:tc>
          <w:tcPr>
            <w:tcW w:w="708" w:type="dxa"/>
            <w:vAlign w:val="center"/>
          </w:tcPr>
          <w:p w14:paraId="5EB7A682"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0,699</w:t>
            </w:r>
          </w:p>
        </w:tc>
      </w:tr>
      <w:tr w:rsidR="00E95827" w:rsidRPr="00C11366" w14:paraId="43060D6A" w14:textId="77777777" w:rsidTr="00FB78F1">
        <w:trPr>
          <w:trHeight w:val="278"/>
          <w:jc w:val="center"/>
        </w:trPr>
        <w:tc>
          <w:tcPr>
            <w:tcW w:w="4390" w:type="dxa"/>
            <w:shd w:val="clear" w:color="auto" w:fill="auto"/>
            <w:vAlign w:val="center"/>
          </w:tcPr>
          <w:p w14:paraId="0FA47AEE"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Bacteriemia a foco desconocido</w:t>
            </w:r>
          </w:p>
        </w:tc>
        <w:tc>
          <w:tcPr>
            <w:tcW w:w="879" w:type="dxa"/>
            <w:shd w:val="clear" w:color="auto" w:fill="auto"/>
            <w:vAlign w:val="center"/>
          </w:tcPr>
          <w:p w14:paraId="340CB15D"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3 (3,4)</w:t>
            </w:r>
          </w:p>
        </w:tc>
        <w:tc>
          <w:tcPr>
            <w:tcW w:w="851" w:type="dxa"/>
            <w:shd w:val="clear" w:color="auto" w:fill="auto"/>
            <w:vAlign w:val="center"/>
          </w:tcPr>
          <w:p w14:paraId="65FCF966"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 (2,4)</w:t>
            </w:r>
          </w:p>
        </w:tc>
        <w:tc>
          <w:tcPr>
            <w:tcW w:w="850" w:type="dxa"/>
            <w:shd w:val="clear" w:color="auto" w:fill="auto"/>
            <w:vAlign w:val="center"/>
          </w:tcPr>
          <w:p w14:paraId="34F8BC3C"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 (0,0)</w:t>
            </w:r>
          </w:p>
        </w:tc>
        <w:tc>
          <w:tcPr>
            <w:tcW w:w="851" w:type="dxa"/>
            <w:shd w:val="clear" w:color="auto" w:fill="auto"/>
            <w:vAlign w:val="center"/>
          </w:tcPr>
          <w:p w14:paraId="455A1F24"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4 (2,1)</w:t>
            </w:r>
          </w:p>
        </w:tc>
        <w:tc>
          <w:tcPr>
            <w:tcW w:w="708" w:type="dxa"/>
            <w:vAlign w:val="center"/>
          </w:tcPr>
          <w:p w14:paraId="2D697DA6"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0,743</w:t>
            </w:r>
          </w:p>
        </w:tc>
      </w:tr>
      <w:tr w:rsidR="00E95827" w:rsidRPr="00C11366" w14:paraId="360796BE" w14:textId="77777777" w:rsidTr="00FB78F1">
        <w:trPr>
          <w:trHeight w:val="298"/>
          <w:jc w:val="center"/>
        </w:trPr>
        <w:tc>
          <w:tcPr>
            <w:tcW w:w="4390" w:type="dxa"/>
            <w:shd w:val="clear" w:color="auto" w:fill="auto"/>
            <w:vAlign w:val="center"/>
          </w:tcPr>
          <w:p w14:paraId="5A3D799E" w14:textId="77777777" w:rsidR="00E95827" w:rsidRPr="00C15199" w:rsidRDefault="00E95827" w:rsidP="00FB78F1">
            <w:pPr>
              <w:tabs>
                <w:tab w:val="left" w:pos="340"/>
                <w:tab w:val="left" w:pos="680"/>
              </w:tabs>
              <w:spacing w:after="0" w:line="360" w:lineRule="auto"/>
              <w:jc w:val="both"/>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Neumonía asociada a la ventilación igual mayor 5 días</w:t>
            </w:r>
          </w:p>
        </w:tc>
        <w:tc>
          <w:tcPr>
            <w:tcW w:w="879" w:type="dxa"/>
            <w:shd w:val="clear" w:color="auto" w:fill="auto"/>
            <w:vAlign w:val="center"/>
          </w:tcPr>
          <w:p w14:paraId="036F81A3"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 (0,0)</w:t>
            </w:r>
          </w:p>
        </w:tc>
        <w:tc>
          <w:tcPr>
            <w:tcW w:w="851" w:type="dxa"/>
            <w:shd w:val="clear" w:color="auto" w:fill="auto"/>
            <w:vAlign w:val="center"/>
          </w:tcPr>
          <w:p w14:paraId="67CCF885"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 (2,4)</w:t>
            </w:r>
          </w:p>
        </w:tc>
        <w:tc>
          <w:tcPr>
            <w:tcW w:w="850" w:type="dxa"/>
            <w:shd w:val="clear" w:color="auto" w:fill="auto"/>
            <w:vAlign w:val="center"/>
          </w:tcPr>
          <w:p w14:paraId="3D66E9E6"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1 (1,7)</w:t>
            </w:r>
          </w:p>
        </w:tc>
        <w:tc>
          <w:tcPr>
            <w:tcW w:w="851" w:type="dxa"/>
            <w:shd w:val="clear" w:color="auto" w:fill="auto"/>
            <w:vAlign w:val="center"/>
          </w:tcPr>
          <w:p w14:paraId="3027DF64"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2 (1,1)</w:t>
            </w:r>
          </w:p>
        </w:tc>
        <w:tc>
          <w:tcPr>
            <w:tcW w:w="708" w:type="dxa"/>
            <w:vAlign w:val="center"/>
          </w:tcPr>
          <w:p w14:paraId="04B1DA12" w14:textId="77777777" w:rsidR="00E95827" w:rsidRDefault="00E95827" w:rsidP="00FB78F1">
            <w:pPr>
              <w:tabs>
                <w:tab w:val="left" w:pos="340"/>
                <w:tab w:val="left" w:pos="680"/>
              </w:tabs>
              <w:spacing w:after="0" w:line="360" w:lineRule="auto"/>
              <w:jc w:val="center"/>
              <w:rPr>
                <w:rFonts w:ascii="Times New Roman" w:eastAsia="Batang" w:hAnsi="Times New Roman" w:cs="Times New Roman"/>
                <w:sz w:val="18"/>
                <w:szCs w:val="18"/>
                <w:lang w:eastAsia="de-DE"/>
              </w:rPr>
            </w:pPr>
            <w:r w:rsidRPr="00C15199">
              <w:rPr>
                <w:rFonts w:ascii="Times New Roman" w:eastAsia="Batang" w:hAnsi="Times New Roman" w:cs="Times New Roman"/>
                <w:sz w:val="18"/>
                <w:szCs w:val="18"/>
                <w:lang w:eastAsia="de-DE"/>
              </w:rPr>
              <w:t>0,678</w:t>
            </w:r>
          </w:p>
        </w:tc>
      </w:tr>
    </w:tbl>
    <w:p w14:paraId="5C2EC552" w14:textId="77777777" w:rsidR="00E95827" w:rsidRPr="00C15199" w:rsidRDefault="00E95827" w:rsidP="00E95827">
      <w:pPr>
        <w:autoSpaceDE w:val="0"/>
        <w:autoSpaceDN w:val="0"/>
        <w:adjustRightInd w:val="0"/>
        <w:spacing w:after="0" w:line="360" w:lineRule="auto"/>
        <w:ind w:right="-28"/>
        <w:jc w:val="center"/>
        <w:rPr>
          <w:rFonts w:ascii="Times New Roman" w:eastAsia="Calibri" w:hAnsi="Times New Roman" w:cs="Times New Roman"/>
          <w:sz w:val="16"/>
          <w:szCs w:val="16"/>
        </w:rPr>
      </w:pPr>
      <w:r w:rsidRPr="00C15199">
        <w:rPr>
          <w:rFonts w:ascii="Times New Roman" w:eastAsia="Calibri" w:hAnsi="Times New Roman" w:cs="Times New Roman"/>
          <w:sz w:val="16"/>
          <w:szCs w:val="16"/>
        </w:rPr>
        <w:t xml:space="preserve">* Nivel de significación, prueba de </w:t>
      </w:r>
      <w:r w:rsidRPr="00C15199">
        <w:rPr>
          <w:rFonts w:ascii="Times New Roman" w:eastAsia="Calibri" w:hAnsi="Times New Roman" w:cs="Times New Roman"/>
          <w:i/>
          <w:iCs/>
          <w:sz w:val="16"/>
          <w:szCs w:val="16"/>
        </w:rPr>
        <w:t>ji</w:t>
      </w:r>
      <w:r w:rsidRPr="00C15199">
        <w:rPr>
          <w:rFonts w:ascii="Times New Roman" w:eastAsia="Calibri" w:hAnsi="Times New Roman" w:cs="Times New Roman"/>
          <w:sz w:val="16"/>
          <w:szCs w:val="16"/>
        </w:rPr>
        <w:t xml:space="preserve"> cuadrado&lt;</w:t>
      </w:r>
      <w:r>
        <w:rPr>
          <w:rFonts w:ascii="Times New Roman" w:eastAsia="Calibri" w:hAnsi="Times New Roman" w:cs="Times New Roman"/>
          <w:sz w:val="16"/>
          <w:szCs w:val="16"/>
        </w:rPr>
        <w:t> </w:t>
      </w:r>
      <w:r w:rsidRPr="00C15199">
        <w:rPr>
          <w:rFonts w:ascii="Times New Roman" w:eastAsia="Calibri" w:hAnsi="Times New Roman" w:cs="Times New Roman"/>
          <w:sz w:val="16"/>
          <w:szCs w:val="16"/>
        </w:rPr>
        <w:t>0,05</w:t>
      </w:r>
      <w:r>
        <w:rPr>
          <w:rFonts w:ascii="Times New Roman" w:eastAsia="Calibri" w:hAnsi="Times New Roman" w:cs="Times New Roman"/>
          <w:sz w:val="16"/>
          <w:szCs w:val="16"/>
        </w:rPr>
        <w:t>.</w:t>
      </w:r>
    </w:p>
    <w:p w14:paraId="0954D3E0"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b/>
          <w:sz w:val="24"/>
          <w:szCs w:val="24"/>
        </w:rPr>
      </w:pPr>
    </w:p>
    <w:p w14:paraId="1651003C"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b/>
          <w:sz w:val="24"/>
          <w:szCs w:val="24"/>
        </w:rPr>
      </w:pPr>
    </w:p>
    <w:p w14:paraId="3C82B8B1" w14:textId="77777777" w:rsidR="00E95827" w:rsidRPr="00C15199" w:rsidRDefault="00E95827" w:rsidP="00E95827">
      <w:pPr>
        <w:autoSpaceDE w:val="0"/>
        <w:autoSpaceDN w:val="0"/>
        <w:adjustRightInd w:val="0"/>
        <w:spacing w:after="0" w:line="360" w:lineRule="auto"/>
        <w:ind w:right="-28"/>
        <w:jc w:val="center"/>
        <w:rPr>
          <w:rFonts w:ascii="Times New Roman" w:eastAsia="Calibri" w:hAnsi="Times New Roman" w:cs="Times New Roman"/>
          <w:b/>
          <w:sz w:val="32"/>
          <w:szCs w:val="32"/>
        </w:rPr>
      </w:pPr>
      <w:r w:rsidRPr="00C15199">
        <w:rPr>
          <w:rFonts w:ascii="Times New Roman" w:eastAsia="Calibri" w:hAnsi="Times New Roman" w:cs="Times New Roman"/>
          <w:b/>
          <w:sz w:val="32"/>
          <w:szCs w:val="32"/>
        </w:rPr>
        <w:t>DISCUSIÓN</w:t>
      </w:r>
    </w:p>
    <w:p w14:paraId="7DF42F4B" w14:textId="03B1B830" w:rsidR="00E95827" w:rsidRPr="00AE695B" w:rsidRDefault="00E95827" w:rsidP="00E95827">
      <w:pPr>
        <w:tabs>
          <w:tab w:val="left" w:pos="340"/>
          <w:tab w:val="left" w:pos="680"/>
        </w:tabs>
        <w:spacing w:after="0" w:line="360" w:lineRule="auto"/>
        <w:jc w:val="both"/>
        <w:rPr>
          <w:rFonts w:ascii="Times New Roman" w:eastAsia="Batang" w:hAnsi="Times New Roman" w:cs="Times New Roman"/>
          <w:sz w:val="24"/>
          <w:szCs w:val="24"/>
          <w:lang w:eastAsia="de-DE"/>
        </w:rPr>
      </w:pPr>
      <w:r w:rsidRPr="00AE695B">
        <w:rPr>
          <w:rFonts w:ascii="Times New Roman" w:eastAsia="Batang" w:hAnsi="Times New Roman" w:cs="Times New Roman"/>
          <w:sz w:val="24"/>
          <w:szCs w:val="24"/>
          <w:lang w:eastAsia="de-DE"/>
        </w:rPr>
        <w:t>Las pocas variaciones</w:t>
      </w:r>
      <w:r>
        <w:rPr>
          <w:rFonts w:ascii="Times New Roman" w:eastAsia="Batang" w:hAnsi="Times New Roman" w:cs="Times New Roman"/>
          <w:sz w:val="24"/>
          <w:szCs w:val="24"/>
          <w:lang w:eastAsia="de-DE"/>
        </w:rPr>
        <w:t xml:space="preserve"> </w:t>
      </w:r>
      <w:r w:rsidRPr="00AE695B">
        <w:rPr>
          <w:rFonts w:ascii="Times New Roman" w:eastAsia="Batang" w:hAnsi="Times New Roman" w:cs="Times New Roman"/>
          <w:sz w:val="24"/>
          <w:szCs w:val="24"/>
          <w:lang w:eastAsia="de-DE"/>
        </w:rPr>
        <w:t xml:space="preserve">de los promedios de la edad, apuntan a una tendencia temporal estable, pero </w:t>
      </w:r>
      <w:r w:rsidRPr="00AE695B">
        <w:rPr>
          <w:rFonts w:ascii="Times New Roman" w:eastAsia="Batang" w:hAnsi="Times New Roman" w:cs="Times New Roman"/>
          <w:sz w:val="24"/>
          <w:szCs w:val="24"/>
          <w:lang w:val="es-VE" w:eastAsia="de-DE"/>
        </w:rPr>
        <w:t xml:space="preserve">difieren de la comunicada por </w:t>
      </w:r>
      <w:r w:rsidRPr="00AE695B">
        <w:rPr>
          <w:rFonts w:ascii="Times New Roman" w:eastAsia="Batang" w:hAnsi="Times New Roman" w:cs="Times New Roman"/>
          <w:i/>
          <w:sz w:val="24"/>
          <w:szCs w:val="24"/>
          <w:lang w:val="es-VE" w:eastAsia="de-DE"/>
        </w:rPr>
        <w:t>Olaechea</w:t>
      </w:r>
      <w:r w:rsidRPr="00AE695B">
        <w:rPr>
          <w:rFonts w:ascii="Times New Roman" w:eastAsia="Batang" w:hAnsi="Times New Roman" w:cs="Times New Roman"/>
          <w:sz w:val="24"/>
          <w:szCs w:val="24"/>
          <w:lang w:val="es-VE" w:eastAsia="de-DE"/>
        </w:rPr>
        <w:t xml:space="preserve"> y otros;</w:t>
      </w:r>
      <w:r w:rsidRPr="00AE695B">
        <w:rPr>
          <w:rFonts w:ascii="Times New Roman" w:eastAsia="Batang" w:hAnsi="Times New Roman" w:cs="Times New Roman"/>
          <w:sz w:val="24"/>
          <w:szCs w:val="24"/>
          <w:vertAlign w:val="superscript"/>
          <w:lang w:val="es-VE" w:eastAsia="de-DE"/>
        </w:rPr>
        <w:t>(5)</w:t>
      </w:r>
      <w:r w:rsidRPr="00AE695B">
        <w:rPr>
          <w:rFonts w:ascii="Times New Roman" w:eastAsia="Batang" w:hAnsi="Times New Roman" w:cs="Times New Roman"/>
          <w:sz w:val="24"/>
          <w:szCs w:val="24"/>
          <w:lang w:val="es-VE" w:eastAsia="de-DE"/>
        </w:rPr>
        <w:t xml:space="preserve"> quienes obtuvieron una media de 61,9 años. </w:t>
      </w:r>
      <w:r w:rsidRPr="00AE695B">
        <w:rPr>
          <w:rFonts w:ascii="Times New Roman" w:eastAsia="Batang" w:hAnsi="Times New Roman" w:cs="Times New Roman"/>
          <w:sz w:val="24"/>
          <w:szCs w:val="24"/>
          <w:lang w:eastAsia="de-DE"/>
        </w:rPr>
        <w:lastRenderedPageBreak/>
        <w:t>También resulta distinta a la estimada por otro autor europeo que fue de 62,5 años.</w:t>
      </w:r>
      <w:r w:rsidRPr="00AE695B">
        <w:rPr>
          <w:rFonts w:ascii="Times New Roman" w:eastAsia="Batang" w:hAnsi="Times New Roman" w:cs="Times New Roman"/>
          <w:sz w:val="24"/>
          <w:szCs w:val="24"/>
          <w:vertAlign w:val="superscript"/>
          <w:lang w:eastAsia="de-DE"/>
        </w:rPr>
        <w:t>(12)</w:t>
      </w:r>
      <w:r w:rsidR="00AF50EB">
        <w:rPr>
          <w:rFonts w:ascii="Times New Roman" w:eastAsia="Batang" w:hAnsi="Times New Roman" w:cs="Times New Roman"/>
          <w:sz w:val="24"/>
          <w:szCs w:val="24"/>
          <w:vertAlign w:val="superscript"/>
          <w:lang w:eastAsia="de-DE"/>
        </w:rPr>
        <w:t xml:space="preserve"> </w:t>
      </w:r>
      <w:r w:rsidRPr="00AE695B">
        <w:rPr>
          <w:rFonts w:ascii="Times New Roman" w:eastAsia="Batang" w:hAnsi="Times New Roman" w:cs="Times New Roman"/>
          <w:sz w:val="24"/>
          <w:szCs w:val="24"/>
          <w:lang w:eastAsia="de-DE"/>
        </w:rPr>
        <w:t xml:space="preserve">Es más parecida, sin embargo, a la del trabajo de </w:t>
      </w:r>
      <w:r w:rsidRPr="00AE695B">
        <w:rPr>
          <w:rFonts w:ascii="Times New Roman" w:eastAsia="Batang" w:hAnsi="Times New Roman" w:cs="Times New Roman"/>
          <w:i/>
          <w:sz w:val="24"/>
          <w:szCs w:val="24"/>
          <w:lang w:eastAsia="de-DE"/>
        </w:rPr>
        <w:t>Luna</w:t>
      </w:r>
      <w:r w:rsidRPr="00AE695B">
        <w:rPr>
          <w:rFonts w:ascii="Times New Roman" w:eastAsia="Batang" w:hAnsi="Times New Roman" w:cs="Times New Roman"/>
          <w:sz w:val="24"/>
          <w:szCs w:val="24"/>
          <w:lang w:eastAsia="de-DE"/>
        </w:rPr>
        <w:t xml:space="preserve"> y otros</w:t>
      </w:r>
      <w:r w:rsidRPr="00AE695B">
        <w:rPr>
          <w:rFonts w:ascii="Times New Roman" w:eastAsia="Batang" w:hAnsi="Times New Roman" w:cs="Times New Roman"/>
          <w:sz w:val="24"/>
          <w:szCs w:val="24"/>
          <w:vertAlign w:val="superscript"/>
          <w:lang w:eastAsia="de-DE"/>
        </w:rPr>
        <w:t>(13)</w:t>
      </w:r>
      <w:r w:rsidR="00AF50EB">
        <w:rPr>
          <w:rFonts w:ascii="Times New Roman" w:eastAsia="Batang" w:hAnsi="Times New Roman" w:cs="Times New Roman"/>
          <w:sz w:val="24"/>
          <w:szCs w:val="24"/>
          <w:vertAlign w:val="superscript"/>
          <w:lang w:eastAsia="de-DE"/>
        </w:rPr>
        <w:t xml:space="preserve"> </w:t>
      </w:r>
      <w:r w:rsidRPr="00AE695B">
        <w:rPr>
          <w:rFonts w:ascii="Times New Roman" w:eastAsia="Batang" w:hAnsi="Times New Roman" w:cs="Times New Roman"/>
          <w:sz w:val="24"/>
          <w:szCs w:val="24"/>
          <w:lang w:eastAsia="de-DE"/>
        </w:rPr>
        <w:t>quienes identificaron una edad promedio de 41,2 años.</w:t>
      </w:r>
    </w:p>
    <w:p w14:paraId="1BC75E03" w14:textId="460B2C8E" w:rsidR="00E95827" w:rsidRPr="00AE695B" w:rsidRDefault="00E95827" w:rsidP="00E95827">
      <w:pPr>
        <w:tabs>
          <w:tab w:val="left" w:pos="340"/>
          <w:tab w:val="left" w:pos="680"/>
        </w:tabs>
        <w:spacing w:after="0" w:line="360" w:lineRule="auto"/>
        <w:jc w:val="both"/>
        <w:rPr>
          <w:rFonts w:ascii="Times New Roman" w:eastAsia="Calibri" w:hAnsi="Times New Roman" w:cs="Times New Roman"/>
          <w:sz w:val="24"/>
          <w:szCs w:val="24"/>
        </w:rPr>
      </w:pPr>
      <w:r w:rsidRPr="00AE695B">
        <w:rPr>
          <w:rFonts w:ascii="Times New Roman" w:eastAsia="Batang" w:hAnsi="Times New Roman" w:cs="Times New Roman"/>
          <w:sz w:val="24"/>
          <w:szCs w:val="24"/>
          <w:lang w:eastAsia="de-DE"/>
        </w:rPr>
        <w:t>El resultado en cuanto a edad se acerca</w:t>
      </w:r>
      <w:r>
        <w:rPr>
          <w:rFonts w:ascii="Times New Roman" w:eastAsia="Batang" w:hAnsi="Times New Roman" w:cs="Times New Roman"/>
          <w:sz w:val="24"/>
          <w:szCs w:val="24"/>
          <w:lang w:eastAsia="de-DE"/>
        </w:rPr>
        <w:t xml:space="preserve"> </w:t>
      </w:r>
      <w:r w:rsidRPr="00AE695B">
        <w:rPr>
          <w:rFonts w:ascii="Times New Roman" w:eastAsia="Batang" w:hAnsi="Times New Roman" w:cs="Times New Roman"/>
          <w:sz w:val="24"/>
          <w:szCs w:val="24"/>
          <w:lang w:eastAsia="de-DE"/>
        </w:rPr>
        <w:t xml:space="preserve">al reportado por </w:t>
      </w:r>
      <w:r w:rsidRPr="00AE695B">
        <w:rPr>
          <w:rFonts w:ascii="Times New Roman" w:eastAsia="Batang" w:hAnsi="Times New Roman" w:cs="Times New Roman"/>
          <w:i/>
          <w:sz w:val="24"/>
          <w:szCs w:val="24"/>
          <w:lang w:eastAsia="de-DE"/>
        </w:rPr>
        <w:t>González</w:t>
      </w:r>
      <w:r w:rsidRPr="00AE695B">
        <w:rPr>
          <w:rFonts w:ascii="Times New Roman" w:eastAsia="Batang" w:hAnsi="Times New Roman" w:cs="Times New Roman"/>
          <w:sz w:val="24"/>
          <w:szCs w:val="24"/>
          <w:lang w:eastAsia="de-DE"/>
        </w:rPr>
        <w:t xml:space="preserve"> y otros,</w:t>
      </w:r>
      <w:r w:rsidRPr="00AE695B">
        <w:rPr>
          <w:rFonts w:ascii="Times New Roman" w:eastAsia="Batang" w:hAnsi="Times New Roman" w:cs="Times New Roman"/>
          <w:sz w:val="24"/>
          <w:szCs w:val="24"/>
          <w:vertAlign w:val="superscript"/>
          <w:lang w:eastAsia="de-DE"/>
        </w:rPr>
        <w:t>(7)</w:t>
      </w:r>
      <w:r w:rsidR="00AF50EB">
        <w:rPr>
          <w:rFonts w:ascii="Times New Roman" w:eastAsia="Batang" w:hAnsi="Times New Roman" w:cs="Times New Roman"/>
          <w:sz w:val="24"/>
          <w:szCs w:val="24"/>
          <w:vertAlign w:val="superscript"/>
          <w:lang w:eastAsia="de-DE"/>
        </w:rPr>
        <w:t xml:space="preserve"> </w:t>
      </w:r>
      <w:r w:rsidRPr="00AE695B">
        <w:rPr>
          <w:rFonts w:ascii="Times New Roman" w:eastAsia="Batang" w:hAnsi="Times New Roman" w:cs="Times New Roman"/>
          <w:sz w:val="24"/>
          <w:szCs w:val="24"/>
          <w:lang w:eastAsia="de-DE"/>
        </w:rPr>
        <w:t>estimada en 43 años.</w:t>
      </w:r>
      <w:r>
        <w:rPr>
          <w:rFonts w:ascii="Times New Roman" w:eastAsia="Batang" w:hAnsi="Times New Roman" w:cs="Times New Roman"/>
          <w:sz w:val="24"/>
          <w:szCs w:val="24"/>
          <w:lang w:eastAsia="de-DE"/>
        </w:rPr>
        <w:t xml:space="preserve"> </w:t>
      </w:r>
      <w:r w:rsidRPr="00AE695B">
        <w:rPr>
          <w:rFonts w:ascii="Times New Roman" w:eastAsia="Batang" w:hAnsi="Times New Roman" w:cs="Times New Roman"/>
          <w:sz w:val="24"/>
          <w:szCs w:val="24"/>
          <w:lang w:eastAsia="de-DE"/>
        </w:rPr>
        <w:t>Por su parte, el informe de tendencias del proyecto DINUCI comunicó un promedio de edad entre los 53 y 65 años.</w:t>
      </w:r>
      <w:r w:rsidRPr="00AE695B">
        <w:rPr>
          <w:rFonts w:ascii="Times New Roman" w:eastAsia="Batang" w:hAnsi="Times New Roman" w:cs="Times New Roman"/>
          <w:sz w:val="24"/>
          <w:szCs w:val="24"/>
          <w:vertAlign w:val="superscript"/>
          <w:lang w:eastAsia="de-DE"/>
        </w:rPr>
        <w:t>(6)</w:t>
      </w:r>
      <w:r w:rsidR="00AF50EB">
        <w:rPr>
          <w:rFonts w:ascii="Times New Roman" w:eastAsia="Batang" w:hAnsi="Times New Roman" w:cs="Times New Roman"/>
          <w:sz w:val="24"/>
          <w:szCs w:val="24"/>
          <w:vertAlign w:val="superscript"/>
          <w:lang w:eastAsia="de-DE"/>
        </w:rPr>
        <w:t xml:space="preserve"> </w:t>
      </w:r>
      <w:r w:rsidRPr="00AE695B">
        <w:rPr>
          <w:rFonts w:ascii="Times New Roman" w:eastAsia="Batang" w:hAnsi="Times New Roman" w:cs="Times New Roman"/>
          <w:sz w:val="24"/>
          <w:szCs w:val="24"/>
          <w:lang w:eastAsia="de-DE"/>
        </w:rPr>
        <w:t>L</w:t>
      </w:r>
      <w:r w:rsidRPr="00AE695B">
        <w:rPr>
          <w:rFonts w:ascii="Times New Roman" w:eastAsia="Calibri" w:hAnsi="Times New Roman" w:cs="Times New Roman"/>
          <w:sz w:val="24"/>
          <w:szCs w:val="24"/>
        </w:rPr>
        <w:t>a frecuencia de ingresos en las UCI por infección intraabdominal, neumonía grave, traumatismos graves y estados posoperatorios, es mayor</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en las edades medianas.</w:t>
      </w:r>
      <w:r w:rsidRPr="00AE695B">
        <w:rPr>
          <w:rFonts w:ascii="Times New Roman" w:eastAsia="Calibri" w:hAnsi="Times New Roman" w:cs="Times New Roman"/>
          <w:sz w:val="24"/>
          <w:szCs w:val="24"/>
          <w:vertAlign w:val="superscript"/>
        </w:rPr>
        <w:t>(3)</w:t>
      </w:r>
    </w:p>
    <w:p w14:paraId="4A6E660A" w14:textId="42715980"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vertAlign w:val="superscript"/>
        </w:rPr>
      </w:pPr>
      <w:r w:rsidRPr="00AE695B">
        <w:rPr>
          <w:rFonts w:ascii="Times New Roman" w:eastAsia="Calibri" w:hAnsi="Times New Roman" w:cs="Times New Roman"/>
          <w:sz w:val="24"/>
          <w:szCs w:val="24"/>
        </w:rPr>
        <w:t>Según datos del proyecto DINUCI,</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el 56,0 % de los pacientes en las UCI cubanas pertenecen al sexo femenino, lo que apoya los resultados de la presente investigación.</w:t>
      </w:r>
      <w:r w:rsidRPr="00AE695B">
        <w:rPr>
          <w:rFonts w:ascii="Times New Roman" w:eastAsia="Calibri" w:hAnsi="Times New Roman" w:cs="Times New Roman"/>
          <w:sz w:val="24"/>
          <w:szCs w:val="24"/>
          <w:vertAlign w:val="superscript"/>
        </w:rPr>
        <w:t>(6)</w:t>
      </w:r>
      <w:r w:rsidRPr="00AE695B">
        <w:rPr>
          <w:rFonts w:ascii="Times New Roman" w:eastAsia="Calibri" w:hAnsi="Times New Roman" w:cs="Times New Roman"/>
          <w:sz w:val="24"/>
          <w:szCs w:val="24"/>
        </w:rPr>
        <w:t xml:space="preserve"> En unidades europeas y norteamericanas, a diferencia, el 65</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son hombres.</w:t>
      </w:r>
      <w:r w:rsidRPr="00AE695B">
        <w:rPr>
          <w:rFonts w:ascii="Times New Roman" w:eastAsia="Calibri" w:hAnsi="Times New Roman" w:cs="Times New Roman"/>
          <w:sz w:val="24"/>
          <w:szCs w:val="24"/>
          <w:vertAlign w:val="superscript"/>
        </w:rPr>
        <w:t>(2,5,9,12)</w:t>
      </w:r>
      <w:r w:rsidR="00AF50EB">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Tales disparidades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se atribuyen a que varias enfermedades asumen diferente expresión de gravedad.</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La hemorragia subaracnoidea, l</w:t>
      </w:r>
      <w:r w:rsidRPr="00AE695B">
        <w:rPr>
          <w:rFonts w:ascii="Times New Roman" w:eastAsia="Batang" w:hAnsi="Times New Roman" w:cs="Times New Roman"/>
          <w:sz w:val="24"/>
          <w:szCs w:val="24"/>
          <w:lang w:eastAsia="de-DE"/>
        </w:rPr>
        <w:t xml:space="preserve">a </w:t>
      </w:r>
      <w:r w:rsidRPr="00AE695B">
        <w:rPr>
          <w:rFonts w:ascii="Times New Roman" w:eastAsia="Calibri" w:hAnsi="Times New Roman" w:cs="Times New Roman"/>
          <w:sz w:val="24"/>
          <w:szCs w:val="24"/>
        </w:rPr>
        <w:t>pancreatitis biliar, la pielonefritis complicada, las infecciones ginecológicas y complicaciones cardiovasculares, predominan en mujeres. Un mayor porcentaje de mujeres desarrollan enfermedades crónicas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después de la menopausia y en la edad reproductiva las complicaciones del embarazo y el parto, constituyen causas</w:t>
      </w:r>
      <w:r w:rsidR="00AF50EB">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de ingreso.</w:t>
      </w:r>
      <w:r w:rsidRPr="00AE695B">
        <w:rPr>
          <w:rFonts w:ascii="Times New Roman" w:eastAsia="Calibri" w:hAnsi="Times New Roman" w:cs="Times New Roman"/>
          <w:sz w:val="24"/>
          <w:szCs w:val="24"/>
          <w:vertAlign w:val="superscript"/>
        </w:rPr>
        <w:t>(14,15)</w:t>
      </w:r>
      <w:r w:rsidR="00AF50EB">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Existen datos preclínicos acerca del papel de las hormonas sexuales femeninas en la fisiopatología de enfermedades críticas.</w:t>
      </w:r>
      <w:r w:rsidRPr="00AE695B">
        <w:rPr>
          <w:rFonts w:ascii="Times New Roman" w:eastAsia="Calibri" w:hAnsi="Times New Roman" w:cs="Times New Roman"/>
          <w:sz w:val="24"/>
          <w:szCs w:val="24"/>
          <w:vertAlign w:val="superscript"/>
        </w:rPr>
        <w:t>(16)</w:t>
      </w:r>
    </w:p>
    <w:p w14:paraId="084D7C61" w14:textId="11835241" w:rsidR="00E95827" w:rsidRPr="00AE695B" w:rsidRDefault="00E95827" w:rsidP="00E95827">
      <w:pPr>
        <w:tabs>
          <w:tab w:val="left" w:pos="340"/>
          <w:tab w:val="left" w:pos="680"/>
        </w:tabs>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La mayor proporción de pacientes con operaciones urgentes y programadas explica el origen de enfermos del quirófano. En estudios europeos, sin embargo, 49,9</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ingresos se originan desde las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emergencias.</w:t>
      </w:r>
      <w:r w:rsidRPr="00AE695B">
        <w:rPr>
          <w:rFonts w:ascii="Times New Roman" w:eastAsia="Calibri" w:hAnsi="Times New Roman" w:cs="Times New Roman"/>
          <w:sz w:val="24"/>
          <w:szCs w:val="24"/>
          <w:vertAlign w:val="superscript"/>
        </w:rPr>
        <w:t xml:space="preserve">(9,12) </w:t>
      </w:r>
      <w:r w:rsidRPr="00AE695B">
        <w:rPr>
          <w:rFonts w:ascii="Times New Roman" w:eastAsia="Calibri" w:hAnsi="Times New Roman" w:cs="Times New Roman"/>
          <w:sz w:val="24"/>
          <w:szCs w:val="24"/>
        </w:rPr>
        <w:t>Diferentes políticas de ingresos y la existencia de unidades de cuidados intermedios (UCIM)</w:t>
      </w:r>
      <w:r w:rsidR="00AF50EB">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probablemente tengan influencia en el tipo de pacientes ingresados.</w:t>
      </w:r>
      <w:r w:rsidRPr="00AE695B">
        <w:rPr>
          <w:rFonts w:ascii="Times New Roman" w:eastAsia="Calibri" w:hAnsi="Times New Roman" w:cs="Times New Roman"/>
          <w:sz w:val="24"/>
          <w:szCs w:val="24"/>
          <w:vertAlign w:val="superscript"/>
        </w:rPr>
        <w:t>(9)</w:t>
      </w:r>
    </w:p>
    <w:p w14:paraId="1FA95A8D" w14:textId="2815D95E"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Los valores promedios del APACHE II, son parecidos en estudios precedentes, pero inferiores,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al encontrarse por lo general en 11,69.</w:t>
      </w:r>
      <w:r w:rsidRPr="00AE695B">
        <w:rPr>
          <w:rFonts w:ascii="Times New Roman" w:eastAsia="Calibri" w:hAnsi="Times New Roman" w:cs="Times New Roman"/>
          <w:sz w:val="24"/>
          <w:szCs w:val="24"/>
          <w:vertAlign w:val="superscript"/>
        </w:rPr>
        <w:t>(6,9)</w:t>
      </w:r>
      <w:r w:rsidR="00AF50EB">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Las variaciones por años del valor medio del índice, denotan que ingresaron pacientes con diferentes alteraciones del estado fisiológico. La mayoría de las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investigaciones no incluyen al SOFA en su análisis, pero una</w:t>
      </w:r>
      <w:r w:rsidRPr="00AE695B">
        <w:rPr>
          <w:rFonts w:ascii="Times New Roman" w:eastAsia="Calibri" w:hAnsi="Times New Roman" w:cs="Times New Roman"/>
          <w:sz w:val="24"/>
          <w:szCs w:val="24"/>
          <w:vertAlign w:val="superscript"/>
        </w:rPr>
        <w:t>(17)</w:t>
      </w:r>
      <w:r w:rsidR="00AF50EB">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en la India, demostró que el 46,6</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enfermos</w:t>
      </w:r>
      <w:r>
        <w:rPr>
          <w:rFonts w:ascii="Times New Roman" w:eastAsia="Calibri" w:hAnsi="Times New Roman" w:cs="Times New Roman"/>
          <w:sz w:val="24"/>
          <w:szCs w:val="24"/>
        </w:rPr>
        <w:t>,</w:t>
      </w:r>
      <w:r w:rsidRPr="00AE695B">
        <w:rPr>
          <w:rFonts w:ascii="Times New Roman" w:eastAsia="Calibri" w:hAnsi="Times New Roman" w:cs="Times New Roman"/>
          <w:sz w:val="24"/>
          <w:szCs w:val="24"/>
        </w:rPr>
        <w:t xml:space="preserve"> tenía un órgano o más en fallo, lo que</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apoya </w:t>
      </w:r>
      <w:r>
        <w:rPr>
          <w:rFonts w:ascii="Times New Roman" w:eastAsia="Calibri" w:hAnsi="Times New Roman" w:cs="Times New Roman"/>
          <w:sz w:val="24"/>
          <w:szCs w:val="24"/>
        </w:rPr>
        <w:t>la cifra</w:t>
      </w:r>
      <w:r w:rsidRPr="00AE695B">
        <w:rPr>
          <w:rFonts w:ascii="Times New Roman" w:eastAsia="Calibri" w:hAnsi="Times New Roman" w:cs="Times New Roman"/>
          <w:sz w:val="24"/>
          <w:szCs w:val="24"/>
        </w:rPr>
        <w:t xml:space="preserve"> del índice en la serie.  </w:t>
      </w:r>
    </w:p>
    <w:p w14:paraId="3F038760"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El resultado en términos de estadía promedio, concuerda con el de otras publicaciones.</w:t>
      </w:r>
      <w:r w:rsidRPr="00AE695B">
        <w:rPr>
          <w:rFonts w:ascii="Times New Roman" w:eastAsia="Calibri" w:hAnsi="Times New Roman" w:cs="Times New Roman"/>
          <w:sz w:val="24"/>
          <w:szCs w:val="24"/>
          <w:vertAlign w:val="superscript"/>
        </w:rPr>
        <w:t xml:space="preserve">(5,6,7) </w:t>
      </w:r>
      <w:r w:rsidRPr="00AE695B">
        <w:rPr>
          <w:rFonts w:ascii="Times New Roman" w:eastAsia="Calibri" w:hAnsi="Times New Roman" w:cs="Times New Roman"/>
          <w:sz w:val="24"/>
          <w:szCs w:val="24"/>
        </w:rPr>
        <w:t>La relativa corta estadía observada, pudiera relacionarse con la menor gravedad de algunos pacientes, ingresados para vigilancia, a la presión asistencial,</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facilidades y calidad de los cuidados en UCIM.</w:t>
      </w:r>
      <w:r w:rsidRPr="00AE695B">
        <w:rPr>
          <w:rFonts w:ascii="Times New Roman" w:eastAsia="Calibri" w:hAnsi="Times New Roman" w:cs="Times New Roman"/>
          <w:sz w:val="24"/>
          <w:szCs w:val="24"/>
          <w:vertAlign w:val="superscript"/>
        </w:rPr>
        <w:t>(9)</w:t>
      </w:r>
    </w:p>
    <w:p w14:paraId="056D318A" w14:textId="36C43BE6"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lastRenderedPageBreak/>
        <w:t>La mortalidad fue inferior a la del estudio ENVIN-HELICS,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que fue de 11,4 %,</w:t>
      </w:r>
      <w:r w:rsidRPr="00AE695B">
        <w:rPr>
          <w:rFonts w:ascii="Times New Roman" w:eastAsia="Calibri" w:hAnsi="Times New Roman" w:cs="Times New Roman"/>
          <w:sz w:val="24"/>
          <w:szCs w:val="24"/>
          <w:vertAlign w:val="superscript"/>
        </w:rPr>
        <w:t xml:space="preserve">(9) </w:t>
      </w:r>
      <w:r w:rsidRPr="00AE695B">
        <w:rPr>
          <w:rFonts w:ascii="Times New Roman" w:eastAsia="Calibri" w:hAnsi="Times New Roman" w:cs="Times New Roman"/>
          <w:sz w:val="24"/>
          <w:szCs w:val="24"/>
        </w:rPr>
        <w:t>a la del DINUCI, de 17,4 %</w:t>
      </w:r>
      <w:r w:rsidRPr="00AE695B">
        <w:rPr>
          <w:rFonts w:ascii="Times New Roman" w:eastAsia="Calibri" w:hAnsi="Times New Roman" w:cs="Times New Roman"/>
          <w:sz w:val="24"/>
          <w:szCs w:val="24"/>
          <w:vertAlign w:val="superscript"/>
        </w:rPr>
        <w:t>(6)</w:t>
      </w:r>
      <w:r w:rsidRPr="00AE695B">
        <w:rPr>
          <w:rFonts w:ascii="Times New Roman" w:eastAsia="Calibri" w:hAnsi="Times New Roman" w:cs="Times New Roman"/>
          <w:sz w:val="24"/>
          <w:szCs w:val="24"/>
        </w:rPr>
        <w:t xml:space="preserve"> y a la de UCI no coronarias en España, que se sitúa en 16,6 %.</w:t>
      </w:r>
      <w:r w:rsidRPr="00AE695B">
        <w:rPr>
          <w:rFonts w:ascii="Times New Roman" w:eastAsia="Calibri" w:hAnsi="Times New Roman" w:cs="Times New Roman"/>
          <w:sz w:val="24"/>
          <w:szCs w:val="24"/>
          <w:vertAlign w:val="superscript"/>
        </w:rPr>
        <w:t>(5)</w:t>
      </w:r>
      <w:r w:rsidRPr="00AE695B">
        <w:rPr>
          <w:rFonts w:ascii="Times New Roman" w:eastAsia="Calibri" w:hAnsi="Times New Roman" w:cs="Times New Roman"/>
          <w:sz w:val="24"/>
          <w:szCs w:val="24"/>
        </w:rPr>
        <w:t xml:space="preserve"> Sin embargo, es más parecida a la comunicada por</w:t>
      </w:r>
      <w:r>
        <w:rPr>
          <w:rFonts w:ascii="Times New Roman" w:eastAsia="Calibri" w:hAnsi="Times New Roman" w:cs="Times New Roman"/>
          <w:sz w:val="24"/>
          <w:szCs w:val="24"/>
        </w:rPr>
        <w:t xml:space="preserve"> </w:t>
      </w:r>
      <w:r w:rsidRPr="00AE695B">
        <w:rPr>
          <w:rFonts w:ascii="Times New Roman" w:eastAsia="Calibri" w:hAnsi="Times New Roman" w:cs="Times New Roman"/>
          <w:i/>
          <w:sz w:val="24"/>
          <w:szCs w:val="24"/>
        </w:rPr>
        <w:t>Ling</w:t>
      </w:r>
      <w:r w:rsidRPr="00AE695B">
        <w:rPr>
          <w:rFonts w:ascii="Times New Roman" w:eastAsia="Calibri" w:hAnsi="Times New Roman" w:cs="Times New Roman"/>
          <w:sz w:val="24"/>
          <w:szCs w:val="24"/>
        </w:rPr>
        <w:t xml:space="preserve"> y otros,</w:t>
      </w:r>
      <w:r w:rsidRPr="00AE695B">
        <w:rPr>
          <w:rFonts w:ascii="Times New Roman" w:eastAsia="Calibri" w:hAnsi="Times New Roman" w:cs="Times New Roman"/>
          <w:sz w:val="24"/>
          <w:szCs w:val="24"/>
          <w:vertAlign w:val="superscript"/>
        </w:rPr>
        <w:t>(3)</w:t>
      </w:r>
      <w:r w:rsidR="004D7D64">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de 8,5 a 12,5</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%.La aplicación de protocolos de tratamiento, la discusión interdisciplinaria, la experiencia del equipo médico y la reducción de la IRCS por la aplicación de un paquete preventivo,</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pudieran influir en los resultados. </w:t>
      </w:r>
    </w:p>
    <w:p w14:paraId="49122F6F" w14:textId="77777777"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La hipoalbuminemia en UCI cubanas, se estimó entre 8,2</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%-25,2</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la inmunosupresión de 8-12</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y la de diabetes mellitus de 11,9-16,0 %. Por tanto, los valores porcentuales obtenidos son inferiores.</w:t>
      </w:r>
      <w:r w:rsidRPr="00AE695B">
        <w:rPr>
          <w:rFonts w:ascii="Times New Roman" w:eastAsia="Calibri" w:hAnsi="Times New Roman" w:cs="Times New Roman"/>
          <w:sz w:val="24"/>
          <w:szCs w:val="24"/>
          <w:vertAlign w:val="superscript"/>
        </w:rPr>
        <w:t>(6)</w:t>
      </w:r>
      <w:r w:rsidRPr="00AE695B">
        <w:rPr>
          <w:rFonts w:ascii="Times New Roman" w:eastAsia="Calibri" w:hAnsi="Times New Roman" w:cs="Times New Roman"/>
          <w:sz w:val="24"/>
          <w:szCs w:val="24"/>
        </w:rPr>
        <w:t xml:space="preserve"> Las características de los pacientes atendidos en cada unidad, el tipo de</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UCI participantes en los estudios y el origen de los enfermos,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varían la expresión de los factores de riesgo.</w:t>
      </w:r>
    </w:p>
    <w:p w14:paraId="59B286EB" w14:textId="64FC7F7C"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La implantación de catéter venoso central se realizó en el 67,8</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pacientes del estudio ENVIN-HELICS,</w:t>
      </w:r>
      <w:r w:rsidRPr="00AE695B">
        <w:rPr>
          <w:rFonts w:ascii="Times New Roman" w:eastAsia="Calibri" w:hAnsi="Times New Roman" w:cs="Times New Roman"/>
          <w:sz w:val="24"/>
          <w:szCs w:val="24"/>
          <w:vertAlign w:val="superscript"/>
        </w:rPr>
        <w:t>(5,9)</w:t>
      </w:r>
      <w:r w:rsidRPr="00AE695B">
        <w:rPr>
          <w:rFonts w:ascii="Times New Roman" w:eastAsia="Calibri" w:hAnsi="Times New Roman" w:cs="Times New Roman"/>
          <w:sz w:val="24"/>
          <w:szCs w:val="24"/>
        </w:rPr>
        <w:t xml:space="preserve"> mientras que en UCI cubanas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fue de 31,3 a 76,2</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w:t>
      </w:r>
      <w:r w:rsidRPr="00AE695B">
        <w:rPr>
          <w:rFonts w:ascii="Times New Roman" w:eastAsia="Calibri" w:hAnsi="Times New Roman" w:cs="Times New Roman"/>
          <w:sz w:val="24"/>
          <w:szCs w:val="24"/>
          <w:vertAlign w:val="superscript"/>
        </w:rPr>
        <w:t>(6)</w:t>
      </w:r>
      <w:r w:rsidRPr="00AE695B">
        <w:rPr>
          <w:rFonts w:ascii="Times New Roman" w:eastAsia="Calibri" w:hAnsi="Times New Roman" w:cs="Times New Roman"/>
          <w:sz w:val="24"/>
          <w:szCs w:val="24"/>
        </w:rPr>
        <w:t xml:space="preserve"> Un estudio</w:t>
      </w:r>
      <w:r w:rsidRPr="00AE695B">
        <w:rPr>
          <w:rFonts w:ascii="Times New Roman" w:eastAsia="Calibri" w:hAnsi="Times New Roman" w:cs="Times New Roman"/>
          <w:sz w:val="24"/>
          <w:szCs w:val="24"/>
          <w:vertAlign w:val="superscript"/>
        </w:rPr>
        <w:t xml:space="preserve">(7) </w:t>
      </w:r>
      <w:r w:rsidRPr="00AE695B">
        <w:rPr>
          <w:rFonts w:ascii="Times New Roman" w:eastAsia="Calibri" w:hAnsi="Times New Roman" w:cs="Times New Roman"/>
          <w:sz w:val="24"/>
          <w:szCs w:val="24"/>
        </w:rPr>
        <w:t>previo, en la unidad</w:t>
      </w:r>
      <w:r>
        <w:rPr>
          <w:rFonts w:ascii="Times New Roman" w:eastAsia="Calibri" w:hAnsi="Times New Roman" w:cs="Times New Roman"/>
          <w:sz w:val="24"/>
          <w:szCs w:val="24"/>
        </w:rPr>
        <w:t>,</w:t>
      </w:r>
      <w:r w:rsidRPr="00AE695B">
        <w:rPr>
          <w:rFonts w:ascii="Times New Roman" w:eastAsia="Calibri" w:hAnsi="Times New Roman" w:cs="Times New Roman"/>
          <w:sz w:val="24"/>
          <w:szCs w:val="24"/>
        </w:rPr>
        <w:t xml:space="preserve"> demostró que el 17,6</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enfermos recibió VMAI</w:t>
      </w:r>
      <w:r>
        <w:rPr>
          <w:rFonts w:ascii="Times New Roman" w:eastAsia="Calibri" w:hAnsi="Times New Roman" w:cs="Times New Roman"/>
          <w:sz w:val="24"/>
          <w:szCs w:val="24"/>
          <w:vertAlign w:val="subscript"/>
        </w:rPr>
        <w:t>.</w:t>
      </w:r>
      <w:r w:rsidR="004D7D64">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L</w:t>
      </w:r>
      <w:r w:rsidRPr="00AE695B">
        <w:rPr>
          <w:rFonts w:ascii="Times New Roman" w:eastAsia="Calibri" w:hAnsi="Times New Roman" w:cs="Times New Roman"/>
          <w:sz w:val="24"/>
          <w:szCs w:val="24"/>
        </w:rPr>
        <w:t>a frecuencia de este procedimiento disminuyó discretamente en el último periodo. También es inferior a la comunicada por otros autores, que la sitúan entre 22,2 a</w:t>
      </w:r>
      <w:r w:rsidR="004D7D64">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54,0</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w:t>
      </w:r>
      <w:r w:rsidRPr="00AE695B">
        <w:rPr>
          <w:rFonts w:ascii="Times New Roman" w:eastAsia="Calibri" w:hAnsi="Times New Roman" w:cs="Times New Roman"/>
          <w:sz w:val="24"/>
          <w:szCs w:val="24"/>
          <w:vertAlign w:val="superscript"/>
        </w:rPr>
        <w:t>(3,5,9)</w:t>
      </w:r>
    </w:p>
    <w:p w14:paraId="30EEDE28" w14:textId="163DF423"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Se comprobó una elevada prescripción de antimicrobianos, pero existió una alta frecuencia de IAC. En un estudio</w:t>
      </w:r>
      <w:r w:rsidRPr="00AE695B">
        <w:rPr>
          <w:rFonts w:ascii="Times New Roman" w:eastAsia="Calibri" w:hAnsi="Times New Roman" w:cs="Times New Roman"/>
          <w:sz w:val="24"/>
          <w:szCs w:val="24"/>
          <w:vertAlign w:val="superscript"/>
        </w:rPr>
        <w:t>(6)</w:t>
      </w:r>
      <w:r w:rsidR="004D7D64">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realizado en la India, el 60,0</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enfermos requirió antimicrobianos</w:t>
      </w:r>
      <w:r w:rsidRPr="00AE695B">
        <w:rPr>
          <w:rFonts w:ascii="Times New Roman" w:eastAsia="Calibri" w:hAnsi="Times New Roman" w:cs="Times New Roman"/>
          <w:sz w:val="24"/>
          <w:szCs w:val="24"/>
          <w:vertAlign w:val="superscript"/>
        </w:rPr>
        <w:t>(17)</w:t>
      </w:r>
      <w:r w:rsidRPr="00AE695B">
        <w:rPr>
          <w:rFonts w:ascii="Times New Roman" w:eastAsia="Calibri" w:hAnsi="Times New Roman" w:cs="Times New Roman"/>
          <w:sz w:val="24"/>
          <w:szCs w:val="24"/>
        </w:rPr>
        <w:t xml:space="preserve"> y en el DINUCI, el 75</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Se necesita de una evaluación pormenorizada de la prescripción de antimicrobianos en el paciente grave,</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al interpretarse las estadísticas expuestas. Las terapias de reemplazo renal se aplicaron</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hasta en un 14,1</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pacientes en otros estudios, por lo que la frecuencia de este procedimiento fue inferior.</w:t>
      </w:r>
      <w:r w:rsidRPr="00AE695B">
        <w:rPr>
          <w:rFonts w:ascii="Times New Roman" w:eastAsia="Calibri" w:hAnsi="Times New Roman" w:cs="Times New Roman"/>
          <w:sz w:val="24"/>
          <w:szCs w:val="24"/>
          <w:vertAlign w:val="superscript"/>
        </w:rPr>
        <w:t>(3)</w:t>
      </w:r>
      <w:r w:rsidR="004D7D64">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 xml:space="preserve">Su necesidad depende de las indicaciones y la gravedad de la lesión renal aguda. </w:t>
      </w:r>
    </w:p>
    <w:p w14:paraId="56CD76E0" w14:textId="61CBAA6B"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En UCI cubanas, del 36 al 48</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atendidos ingresaron con IAC.</w:t>
      </w:r>
      <w:r w:rsidRPr="00AE695B">
        <w:rPr>
          <w:rFonts w:ascii="Times New Roman" w:eastAsia="Calibri" w:hAnsi="Times New Roman" w:cs="Times New Roman"/>
          <w:sz w:val="24"/>
          <w:szCs w:val="24"/>
          <w:vertAlign w:val="superscript"/>
        </w:rPr>
        <w:t>(6)</w:t>
      </w:r>
      <w:r w:rsidRPr="00AE695B">
        <w:rPr>
          <w:rFonts w:ascii="Times New Roman" w:eastAsia="Calibri" w:hAnsi="Times New Roman" w:cs="Times New Roman"/>
          <w:sz w:val="24"/>
          <w:szCs w:val="24"/>
        </w:rPr>
        <w:t xml:space="preserve"> En unidades</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españolas</w:t>
      </w:r>
      <w:r>
        <w:rPr>
          <w:rFonts w:ascii="Times New Roman" w:eastAsia="Calibri" w:hAnsi="Times New Roman" w:cs="Times New Roman"/>
          <w:sz w:val="24"/>
          <w:szCs w:val="24"/>
        </w:rPr>
        <w:t>,</w:t>
      </w:r>
      <w:r w:rsidRPr="00AE695B">
        <w:rPr>
          <w:rFonts w:ascii="Times New Roman" w:eastAsia="Calibri" w:hAnsi="Times New Roman" w:cs="Times New Roman"/>
          <w:sz w:val="24"/>
          <w:szCs w:val="24"/>
        </w:rPr>
        <w:t xml:space="preserve"> el 13,0</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los pacientes presentaron este tipo de infección.</w:t>
      </w:r>
      <w:r w:rsidRPr="00AE695B">
        <w:rPr>
          <w:rFonts w:ascii="Times New Roman" w:eastAsia="Calibri" w:hAnsi="Times New Roman" w:cs="Times New Roman"/>
          <w:sz w:val="24"/>
          <w:szCs w:val="24"/>
          <w:vertAlign w:val="superscript"/>
        </w:rPr>
        <w:t>(5,9)</w:t>
      </w:r>
      <w:r w:rsidRPr="00AE695B">
        <w:rPr>
          <w:rFonts w:ascii="Times New Roman" w:eastAsia="Calibri" w:hAnsi="Times New Roman" w:cs="Times New Roman"/>
          <w:sz w:val="24"/>
          <w:szCs w:val="24"/>
        </w:rPr>
        <w:t xml:space="preserve"> Un estudio</w:t>
      </w:r>
      <w:r w:rsidRPr="00AE695B">
        <w:rPr>
          <w:rFonts w:ascii="Times New Roman" w:eastAsia="Calibri" w:hAnsi="Times New Roman" w:cs="Times New Roman"/>
          <w:sz w:val="24"/>
          <w:szCs w:val="24"/>
          <w:vertAlign w:val="superscript"/>
        </w:rPr>
        <w:t>(18)</w:t>
      </w:r>
      <w:r w:rsidR="004D7D64">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en EE.UU. demostró que el 63</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de las hospitalizaciones por sepsis, correspondían a IAC, lo que apoya la</w:t>
      </w:r>
      <w:r>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frecuencia en la presente serie. El incremento de la incidencia obedece al aumento de la expectativa de vida, al crecimiento poblacional, uso de nuevos y potentes agentes quimioterapéuticos y a la resistencia bacteriana.</w:t>
      </w:r>
      <w:r w:rsidRPr="00AE695B">
        <w:rPr>
          <w:rFonts w:ascii="Times New Roman" w:eastAsia="Calibri" w:hAnsi="Times New Roman" w:cs="Times New Roman"/>
          <w:sz w:val="24"/>
          <w:szCs w:val="24"/>
          <w:vertAlign w:val="superscript"/>
        </w:rPr>
        <w:t>(18)</w:t>
      </w:r>
    </w:p>
    <w:p w14:paraId="2356611E" w14:textId="3E6254D3"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i/>
          <w:sz w:val="24"/>
          <w:szCs w:val="24"/>
        </w:rPr>
        <w:t>Chen</w:t>
      </w:r>
      <w:r w:rsidRPr="00AE695B">
        <w:rPr>
          <w:rFonts w:ascii="Times New Roman" w:eastAsia="Calibri" w:hAnsi="Times New Roman" w:cs="Times New Roman"/>
          <w:sz w:val="24"/>
          <w:szCs w:val="24"/>
        </w:rPr>
        <w:t>y otros</w:t>
      </w:r>
      <w:r w:rsidRPr="00AE695B">
        <w:rPr>
          <w:rFonts w:ascii="Times New Roman" w:eastAsia="Calibri" w:hAnsi="Times New Roman" w:cs="Times New Roman"/>
          <w:sz w:val="24"/>
          <w:szCs w:val="24"/>
          <w:vertAlign w:val="superscript"/>
        </w:rPr>
        <w:t>(19)</w:t>
      </w:r>
      <w:r w:rsidRPr="00AE695B">
        <w:rPr>
          <w:rFonts w:ascii="Times New Roman" w:eastAsia="Calibri" w:hAnsi="Times New Roman" w:cs="Times New Roman"/>
          <w:sz w:val="24"/>
          <w:szCs w:val="24"/>
        </w:rPr>
        <w:t xml:space="preserve"> corroboraron que la neumonía (76,1</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la (IIA) (16,3</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y la infección urinaria (8,3</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representaron las más importantes, mientras que</w:t>
      </w:r>
      <w:r w:rsidR="004D7D64">
        <w:rPr>
          <w:rFonts w:ascii="Times New Roman" w:eastAsia="Calibri" w:hAnsi="Times New Roman" w:cs="Times New Roman"/>
          <w:sz w:val="24"/>
          <w:szCs w:val="24"/>
        </w:rPr>
        <w:t xml:space="preserve"> </w:t>
      </w:r>
      <w:r w:rsidRPr="00AE695B">
        <w:rPr>
          <w:rFonts w:ascii="Times New Roman" w:eastAsia="Calibri" w:hAnsi="Times New Roman" w:cs="Times New Roman"/>
          <w:sz w:val="24"/>
          <w:szCs w:val="24"/>
        </w:rPr>
        <w:t xml:space="preserve">autores como </w:t>
      </w:r>
      <w:r w:rsidRPr="00AE695B">
        <w:rPr>
          <w:rFonts w:ascii="Times New Roman" w:eastAsia="Calibri" w:hAnsi="Times New Roman" w:cs="Times New Roman"/>
          <w:i/>
          <w:sz w:val="24"/>
          <w:szCs w:val="24"/>
        </w:rPr>
        <w:t xml:space="preserve">Park </w:t>
      </w:r>
      <w:r w:rsidRPr="00AE695B">
        <w:rPr>
          <w:rFonts w:ascii="Times New Roman" w:eastAsia="Calibri" w:hAnsi="Times New Roman" w:cs="Times New Roman"/>
          <w:sz w:val="24"/>
          <w:szCs w:val="24"/>
        </w:rPr>
        <w:t>y otros</w:t>
      </w:r>
      <w:r w:rsidRPr="00AE695B">
        <w:rPr>
          <w:rFonts w:ascii="Times New Roman" w:eastAsia="Calibri" w:hAnsi="Times New Roman" w:cs="Times New Roman"/>
          <w:sz w:val="24"/>
          <w:szCs w:val="24"/>
          <w:vertAlign w:val="superscript"/>
        </w:rPr>
        <w:t>(20)</w:t>
      </w:r>
      <w:r w:rsidR="004D7D64">
        <w:rPr>
          <w:rFonts w:ascii="Times New Roman" w:eastAsia="Calibri" w:hAnsi="Times New Roman" w:cs="Times New Roman"/>
          <w:sz w:val="24"/>
          <w:szCs w:val="24"/>
          <w:vertAlign w:val="superscript"/>
        </w:rPr>
        <w:t xml:space="preserve"> </w:t>
      </w:r>
      <w:r w:rsidRPr="00AE695B">
        <w:rPr>
          <w:rFonts w:ascii="Times New Roman" w:eastAsia="Calibri" w:hAnsi="Times New Roman" w:cs="Times New Roman"/>
          <w:sz w:val="24"/>
          <w:szCs w:val="24"/>
        </w:rPr>
        <w:t xml:space="preserve">identificaron a la IIA </w:t>
      </w:r>
      <w:r w:rsidRPr="00AE695B">
        <w:rPr>
          <w:rFonts w:ascii="Times New Roman" w:eastAsia="Calibri" w:hAnsi="Times New Roman" w:cs="Times New Roman"/>
          <w:sz w:val="24"/>
          <w:szCs w:val="24"/>
        </w:rPr>
        <w:lastRenderedPageBreak/>
        <w:t>(20,9</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la respiratoria (19,2</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y urinaria (44,8</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xml:space="preserve">%); porcentajes similares al de la presente investigación. </w:t>
      </w:r>
    </w:p>
    <w:p w14:paraId="43D88B66" w14:textId="7E897F13" w:rsidR="00E95827" w:rsidRPr="00AE695B" w:rsidRDefault="00E95827" w:rsidP="00E95827">
      <w:pPr>
        <w:autoSpaceDE w:val="0"/>
        <w:autoSpaceDN w:val="0"/>
        <w:adjustRightInd w:val="0"/>
        <w:spacing w:after="0" w:line="360" w:lineRule="auto"/>
        <w:ind w:right="-28"/>
        <w:jc w:val="both"/>
        <w:rPr>
          <w:rFonts w:ascii="Times New Roman" w:eastAsia="Calibri" w:hAnsi="Times New Roman" w:cs="Times New Roman"/>
          <w:sz w:val="24"/>
          <w:szCs w:val="24"/>
        </w:rPr>
      </w:pPr>
      <w:r w:rsidRPr="00AE695B">
        <w:rPr>
          <w:rFonts w:ascii="Times New Roman" w:eastAsia="Calibri" w:hAnsi="Times New Roman" w:cs="Times New Roman"/>
          <w:sz w:val="24"/>
          <w:szCs w:val="24"/>
        </w:rPr>
        <w:t>La incidencia de IAAS, sin embargo, es menor que las obtenidas por el DINUCI, que se encontró entre el 15,0 y el 25,0 %</w:t>
      </w:r>
      <w:r w:rsidRPr="00AE695B">
        <w:rPr>
          <w:rFonts w:ascii="Times New Roman" w:eastAsia="Calibri" w:hAnsi="Times New Roman" w:cs="Times New Roman"/>
          <w:sz w:val="24"/>
          <w:szCs w:val="24"/>
          <w:vertAlign w:val="superscript"/>
        </w:rPr>
        <w:t>(6)</w:t>
      </w:r>
      <w:r w:rsidRPr="00AE695B">
        <w:rPr>
          <w:rFonts w:ascii="Times New Roman" w:eastAsia="Calibri" w:hAnsi="Times New Roman" w:cs="Times New Roman"/>
          <w:sz w:val="24"/>
          <w:szCs w:val="24"/>
        </w:rPr>
        <w:t xml:space="preserve"> y la que reportan</w:t>
      </w:r>
      <w:r>
        <w:rPr>
          <w:rFonts w:ascii="Times New Roman" w:eastAsia="Calibri" w:hAnsi="Times New Roman" w:cs="Times New Roman"/>
          <w:sz w:val="24"/>
          <w:szCs w:val="24"/>
        </w:rPr>
        <w:t xml:space="preserve"> </w:t>
      </w:r>
      <w:r w:rsidRPr="00AE695B">
        <w:rPr>
          <w:rFonts w:ascii="Times New Roman" w:eastAsia="Calibri" w:hAnsi="Times New Roman" w:cs="Times New Roman"/>
          <w:i/>
          <w:sz w:val="24"/>
          <w:szCs w:val="24"/>
        </w:rPr>
        <w:t xml:space="preserve">Olaechea </w:t>
      </w:r>
      <w:r w:rsidRPr="00AE695B">
        <w:rPr>
          <w:rFonts w:ascii="Times New Roman" w:eastAsia="Calibri" w:hAnsi="Times New Roman" w:cs="Times New Roman"/>
          <w:sz w:val="24"/>
          <w:szCs w:val="24"/>
        </w:rPr>
        <w:t>y otros</w:t>
      </w:r>
      <w:r w:rsidR="004042E1">
        <w:rPr>
          <w:rFonts w:ascii="Times New Roman" w:eastAsia="Calibri" w:hAnsi="Times New Roman" w:cs="Times New Roman"/>
          <w:sz w:val="24"/>
          <w:szCs w:val="24"/>
        </w:rPr>
        <w:t>,</w:t>
      </w:r>
      <w:r w:rsidRPr="00AE695B">
        <w:rPr>
          <w:rFonts w:ascii="Times New Roman" w:eastAsia="Calibri" w:hAnsi="Times New Roman" w:cs="Times New Roman"/>
          <w:sz w:val="24"/>
          <w:szCs w:val="24"/>
          <w:vertAlign w:val="superscript"/>
        </w:rPr>
        <w:t>(9)</w:t>
      </w:r>
      <w:r w:rsidRPr="00AE695B">
        <w:rPr>
          <w:rFonts w:ascii="Times New Roman" w:eastAsia="Calibri" w:hAnsi="Times New Roman" w:cs="Times New Roman"/>
          <w:sz w:val="24"/>
          <w:szCs w:val="24"/>
        </w:rPr>
        <w:t xml:space="preserve"> de un 12,2</w:t>
      </w:r>
      <w:r>
        <w:rPr>
          <w:rFonts w:ascii="Times New Roman" w:eastAsia="Calibri" w:hAnsi="Times New Roman" w:cs="Times New Roman"/>
          <w:sz w:val="24"/>
          <w:szCs w:val="24"/>
        </w:rPr>
        <w:t> </w:t>
      </w:r>
      <w:r w:rsidRPr="00AE695B">
        <w:rPr>
          <w:rFonts w:ascii="Times New Roman" w:eastAsia="Calibri" w:hAnsi="Times New Roman" w:cs="Times New Roman"/>
          <w:sz w:val="24"/>
          <w:szCs w:val="24"/>
        </w:rPr>
        <w:t>%. La implementación permanente de un paquete de medidas para prevenirlas, la adherencia del personal y la educación continuada contribuyen a su reducción.</w:t>
      </w:r>
    </w:p>
    <w:p w14:paraId="6568972D" w14:textId="77777777" w:rsidR="00E95827" w:rsidRPr="00AE695B" w:rsidRDefault="00E95827" w:rsidP="00E95827">
      <w:pPr>
        <w:autoSpaceDE w:val="0"/>
        <w:autoSpaceDN w:val="0"/>
        <w:adjustRightInd w:val="0"/>
        <w:spacing w:after="0" w:line="360" w:lineRule="auto"/>
        <w:ind w:right="-28"/>
        <w:jc w:val="both"/>
        <w:rPr>
          <w:rFonts w:ascii="Times New Roman" w:hAnsi="Times New Roman" w:cs="Times New Roman"/>
          <w:sz w:val="24"/>
          <w:szCs w:val="24"/>
        </w:rPr>
      </w:pPr>
      <w:r w:rsidRPr="00AE695B">
        <w:rPr>
          <w:rFonts w:ascii="Times New Roman" w:hAnsi="Times New Roman" w:cs="Times New Roman"/>
          <w:sz w:val="24"/>
          <w:szCs w:val="24"/>
        </w:rPr>
        <w:t xml:space="preserve">La población de pacientes atendidos se caracteriza por estar cerca de la cuarta década, pertenecer al sexo femenino, proceder del quirófano, presentar afecciones clínicas, hipoalbuminemia y puntaje bajo de APACHE II y SOFA. La mortalidad se mantiene estable y la incidencia de infecciones comunitarias es alta. </w:t>
      </w:r>
    </w:p>
    <w:p w14:paraId="787C925B" w14:textId="77777777" w:rsidR="00E95827" w:rsidRPr="00AE695B" w:rsidRDefault="00E95827" w:rsidP="00E95827">
      <w:pPr>
        <w:autoSpaceDE w:val="0"/>
        <w:autoSpaceDN w:val="0"/>
        <w:adjustRightInd w:val="0"/>
        <w:spacing w:after="0" w:line="360" w:lineRule="auto"/>
        <w:ind w:right="-28"/>
        <w:jc w:val="both"/>
        <w:rPr>
          <w:rFonts w:ascii="Times New Roman" w:hAnsi="Times New Roman" w:cs="Times New Roman"/>
          <w:b/>
          <w:sz w:val="24"/>
          <w:szCs w:val="24"/>
        </w:rPr>
      </w:pPr>
    </w:p>
    <w:p w14:paraId="5E07944F" w14:textId="77777777" w:rsidR="00E95827" w:rsidRPr="00AE695B" w:rsidRDefault="00E95827" w:rsidP="00E95827">
      <w:pPr>
        <w:autoSpaceDE w:val="0"/>
        <w:autoSpaceDN w:val="0"/>
        <w:adjustRightInd w:val="0"/>
        <w:spacing w:after="0" w:line="360" w:lineRule="auto"/>
        <w:ind w:right="-28"/>
        <w:jc w:val="both"/>
        <w:rPr>
          <w:rFonts w:ascii="Times New Roman" w:hAnsi="Times New Roman" w:cs="Times New Roman"/>
          <w:b/>
          <w:sz w:val="24"/>
          <w:szCs w:val="24"/>
        </w:rPr>
      </w:pPr>
    </w:p>
    <w:p w14:paraId="63D1803A" w14:textId="77777777" w:rsidR="00E95827" w:rsidRPr="00C15199" w:rsidRDefault="00E95827" w:rsidP="00E95827">
      <w:pPr>
        <w:autoSpaceDE w:val="0"/>
        <w:autoSpaceDN w:val="0"/>
        <w:adjustRightInd w:val="0"/>
        <w:spacing w:after="0" w:line="360" w:lineRule="auto"/>
        <w:ind w:right="-28"/>
        <w:jc w:val="center"/>
        <w:rPr>
          <w:rFonts w:ascii="Times New Roman" w:hAnsi="Times New Roman" w:cs="Times New Roman"/>
          <w:sz w:val="32"/>
          <w:szCs w:val="32"/>
        </w:rPr>
      </w:pPr>
      <w:r w:rsidRPr="00C15199">
        <w:rPr>
          <w:rFonts w:ascii="Times New Roman" w:hAnsi="Times New Roman" w:cs="Times New Roman"/>
          <w:b/>
          <w:sz w:val="32"/>
          <w:szCs w:val="32"/>
        </w:rPr>
        <w:t>REFERENCIAS BIBLIOGRÁFICAS</w:t>
      </w:r>
    </w:p>
    <w:p w14:paraId="77310FA0" w14:textId="77777777" w:rsidR="00E95827" w:rsidRDefault="00E95827" w:rsidP="00E95827">
      <w:pPr>
        <w:spacing w:after="0" w:line="360" w:lineRule="auto"/>
        <w:rPr>
          <w:rFonts w:ascii="Times New Roman" w:hAnsi="Times New Roman" w:cs="Times New Roman"/>
          <w:sz w:val="24"/>
          <w:szCs w:val="24"/>
          <w:lang w:val="en-US"/>
        </w:rPr>
      </w:pPr>
      <w:r w:rsidRPr="00AE695B">
        <w:rPr>
          <w:rFonts w:ascii="Times New Roman" w:hAnsi="Times New Roman" w:cs="Times New Roman"/>
          <w:sz w:val="24"/>
          <w:szCs w:val="24"/>
        </w:rPr>
        <w:t xml:space="preserve">1. Amiruddin N, Prescott GJ, Coventry DA, Jansen JO. </w:t>
      </w:r>
      <w:r w:rsidRPr="00AE695B">
        <w:rPr>
          <w:rFonts w:ascii="Times New Roman" w:hAnsi="Times New Roman" w:cs="Times New Roman"/>
          <w:sz w:val="24"/>
          <w:szCs w:val="24"/>
          <w:lang w:val="en-US"/>
        </w:rPr>
        <w:t xml:space="preserve">Evaluating service development in critical care: The impact of establishing a medical high dependency unit on intensive care unit workload, case mix, and mortality. J Intensive Care Soc. 2018; 19(3): 226-35.DOI: 10.1177/1751143718755014 </w:t>
      </w:r>
    </w:p>
    <w:p w14:paraId="3031762C" w14:textId="7BDCF68E" w:rsidR="00E95827" w:rsidRDefault="00E95827" w:rsidP="00E95827">
      <w:pPr>
        <w:spacing w:after="0" w:line="360" w:lineRule="auto"/>
        <w:rPr>
          <w:rFonts w:ascii="Times New Roman" w:hAnsi="Times New Roman" w:cs="Times New Roman"/>
          <w:sz w:val="24"/>
          <w:szCs w:val="24"/>
          <w:lang w:val="en-US"/>
        </w:rPr>
      </w:pPr>
      <w:r w:rsidRPr="00AE695B">
        <w:rPr>
          <w:rFonts w:ascii="Times New Roman" w:hAnsi="Times New Roman" w:cs="Times New Roman"/>
          <w:sz w:val="24"/>
          <w:szCs w:val="24"/>
          <w:lang w:val="en-US"/>
        </w:rPr>
        <w:t>2.</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Orban JC, Walrave Y, Mongardon N, Allaouchiche B, Argaud L, Aubrun F, et al. Causes and Characteristics of Death in Intensive Care Units: A Prospective Multicenter Study. Anesthesiology. 2017; 126(5):882-9. DOI: 10.1097/ALN.0000000000001612</w:t>
      </w:r>
    </w:p>
    <w:p w14:paraId="748F3200" w14:textId="66EBB320" w:rsidR="00E95827" w:rsidRDefault="00E95827" w:rsidP="00E95827">
      <w:pPr>
        <w:spacing w:after="0" w:line="360" w:lineRule="auto"/>
        <w:rPr>
          <w:rFonts w:ascii="Times New Roman" w:hAnsi="Times New Roman" w:cs="Times New Roman"/>
          <w:sz w:val="24"/>
          <w:szCs w:val="24"/>
        </w:rPr>
      </w:pPr>
      <w:r w:rsidRPr="00AE695B">
        <w:rPr>
          <w:rFonts w:ascii="Times New Roman" w:hAnsi="Times New Roman" w:cs="Times New Roman"/>
          <w:sz w:val="24"/>
          <w:szCs w:val="24"/>
          <w:lang w:val="en-US"/>
        </w:rPr>
        <w:t>3.</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Ling L, Ho CM, Ng PY, Chan KCK, Shum HP, Chan CY, et al. Characteristics and outcomes of patients admitted to adult intensive care units in Hong Kong: a population retrospective cohort study from 2008 to 2018. </w:t>
      </w:r>
      <w:r w:rsidRPr="00454275">
        <w:rPr>
          <w:rFonts w:ascii="Times New Roman" w:hAnsi="Times New Roman" w:cs="Times New Roman"/>
          <w:sz w:val="24"/>
          <w:szCs w:val="24"/>
          <w:lang w:val="en-US"/>
        </w:rPr>
        <w:t xml:space="preserve">J Intensive Care.2021; 9(1): 2. </w:t>
      </w:r>
      <w:r w:rsidRPr="00AE695B">
        <w:rPr>
          <w:rFonts w:ascii="Times New Roman" w:hAnsi="Times New Roman" w:cs="Times New Roman"/>
          <w:sz w:val="24"/>
          <w:szCs w:val="24"/>
        </w:rPr>
        <w:t xml:space="preserve">DOI: 10.1186/s40560-020-00513-9 </w:t>
      </w:r>
    </w:p>
    <w:p w14:paraId="347E16CC" w14:textId="7B43B11B" w:rsidR="00E95827" w:rsidRDefault="00E95827" w:rsidP="00E95827">
      <w:pPr>
        <w:spacing w:after="0" w:line="360" w:lineRule="auto"/>
        <w:rPr>
          <w:rFonts w:ascii="Times New Roman" w:hAnsi="Times New Roman" w:cs="Times New Roman"/>
          <w:sz w:val="24"/>
          <w:szCs w:val="24"/>
          <w:lang w:val="en-US"/>
        </w:rPr>
      </w:pPr>
      <w:r w:rsidRPr="00AE695B">
        <w:rPr>
          <w:rFonts w:ascii="Times New Roman" w:hAnsi="Times New Roman" w:cs="Times New Roman"/>
          <w:sz w:val="24"/>
          <w:szCs w:val="24"/>
        </w:rPr>
        <w:t>4.</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 xml:space="preserve">Ruiz C, Díaz MA, Marcelo J, Bravo S, Panay S, Escobar C, et al.  Características y evolución de los pacientes que ingresan a una Unidad de Cuidados Intensivos de un hospital público. </w:t>
      </w:r>
      <w:r w:rsidRPr="00AE695B">
        <w:rPr>
          <w:rFonts w:ascii="Times New Roman" w:hAnsi="Times New Roman" w:cs="Times New Roman"/>
          <w:sz w:val="24"/>
          <w:szCs w:val="24"/>
          <w:lang w:val="en-US"/>
        </w:rPr>
        <w:t xml:space="preserve">Rev Méd Chile. 2016; 144(10): 1297-304. DOI: 10.4067/S0034-98872016001000009  </w:t>
      </w:r>
    </w:p>
    <w:p w14:paraId="643D600E" w14:textId="6EEE5AE2" w:rsidR="00E95827" w:rsidRDefault="00E95827" w:rsidP="00E95827">
      <w:pPr>
        <w:spacing w:after="0" w:line="360" w:lineRule="auto"/>
        <w:rPr>
          <w:rFonts w:ascii="Times New Roman" w:hAnsi="Times New Roman" w:cs="Times New Roman"/>
          <w:sz w:val="24"/>
          <w:szCs w:val="24"/>
        </w:rPr>
      </w:pPr>
      <w:r w:rsidRPr="00AE695B">
        <w:rPr>
          <w:rFonts w:ascii="Times New Roman" w:hAnsi="Times New Roman" w:cs="Times New Roman"/>
          <w:sz w:val="24"/>
          <w:szCs w:val="24"/>
          <w:lang w:val="en-US"/>
        </w:rPr>
        <w:t>5.</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López MJ, Olaechea P, Palomar M, Insausti J, Álvarez F; ENVIN-HELICS Study Group. Quality control of the surveillance programme of ICU-acquired infection (ENVIN-HELICS registry) in Spain. </w:t>
      </w:r>
      <w:r w:rsidRPr="00AE695B">
        <w:rPr>
          <w:rFonts w:ascii="Times New Roman" w:hAnsi="Times New Roman" w:cs="Times New Roman"/>
          <w:sz w:val="24"/>
          <w:szCs w:val="24"/>
        </w:rPr>
        <w:t xml:space="preserve">J Hosp Infect. 2013; 84(2):126-31. DOI: 10.1016/j.jhin.2013.02.018  </w:t>
      </w:r>
    </w:p>
    <w:p w14:paraId="219AF206" w14:textId="4090596E" w:rsidR="00E95827" w:rsidRDefault="00E95827" w:rsidP="00E95827">
      <w:pPr>
        <w:spacing w:after="0" w:line="360" w:lineRule="auto"/>
        <w:rPr>
          <w:rFonts w:ascii="Times New Roman" w:hAnsi="Times New Roman" w:cs="Times New Roman"/>
          <w:sz w:val="24"/>
          <w:szCs w:val="24"/>
        </w:rPr>
      </w:pPr>
      <w:r w:rsidRPr="00AE695B">
        <w:rPr>
          <w:rFonts w:ascii="Times New Roman" w:hAnsi="Times New Roman" w:cs="Times New Roman"/>
          <w:sz w:val="24"/>
          <w:szCs w:val="24"/>
        </w:rPr>
        <w:lastRenderedPageBreak/>
        <w:t>6.</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Grupo de Investigadores del Proyecto Disminución de la Infección Nosocomial en Unidades de Cuidados Intensivos. Incidencia de infecciones relacionadas con el cuidado sanitario en unidades de cuidados intensivos en Cuba: año 2015 e informe de tendencias del primer quinquenio. Invest</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 xml:space="preserve">Medicoquir. 2017 [acceso: </w:t>
      </w:r>
      <w:r>
        <w:rPr>
          <w:rFonts w:ascii="Times New Roman" w:hAnsi="Times New Roman" w:cs="Times New Roman"/>
          <w:sz w:val="24"/>
          <w:szCs w:val="24"/>
        </w:rPr>
        <w:t>0</w:t>
      </w:r>
      <w:r w:rsidRPr="00AE695B">
        <w:rPr>
          <w:rFonts w:ascii="Times New Roman" w:hAnsi="Times New Roman" w:cs="Times New Roman"/>
          <w:sz w:val="24"/>
          <w:szCs w:val="24"/>
        </w:rPr>
        <w:t>6/08/2021]; 9(1): 67-95. Disponible en:</w:t>
      </w:r>
      <w:r w:rsidR="004042E1">
        <w:rPr>
          <w:rFonts w:ascii="Times New Roman" w:hAnsi="Times New Roman" w:cs="Times New Roman"/>
          <w:sz w:val="24"/>
          <w:szCs w:val="24"/>
        </w:rPr>
        <w:t xml:space="preserve"> </w:t>
      </w:r>
      <w:hyperlink r:id="rId15" w:history="1">
        <w:r w:rsidR="004042E1" w:rsidRPr="00FB446C">
          <w:rPr>
            <w:rStyle w:val="Hipervnculo"/>
            <w:rFonts w:ascii="Times New Roman" w:hAnsi="Times New Roman" w:cs="Times New Roman"/>
            <w:sz w:val="24"/>
            <w:szCs w:val="24"/>
          </w:rPr>
          <w:t>http://www.revcimeq.sld.cu/index.php/imq/article/viewFile/374/462</w:t>
        </w:r>
      </w:hyperlink>
    </w:p>
    <w:p w14:paraId="50438A19" w14:textId="2EC536C8" w:rsidR="00E95827" w:rsidRDefault="00E95827" w:rsidP="00E95827">
      <w:pPr>
        <w:spacing w:after="0" w:line="360" w:lineRule="auto"/>
        <w:rPr>
          <w:rFonts w:ascii="Times New Roman" w:hAnsi="Times New Roman" w:cs="Times New Roman"/>
          <w:sz w:val="24"/>
          <w:szCs w:val="24"/>
        </w:rPr>
      </w:pPr>
      <w:r w:rsidRPr="00AE695B">
        <w:rPr>
          <w:rFonts w:ascii="Times New Roman" w:hAnsi="Times New Roman" w:cs="Times New Roman"/>
          <w:sz w:val="24"/>
          <w:szCs w:val="24"/>
        </w:rPr>
        <w:t>7.</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 xml:space="preserve">González JC, Vázquez YE, Arias A, Cabrera JO. Características de la población atendida en una unidad de cuidados intensivos cubana: estudio del proyecto DINUCIs. Medisur. 2020 [acceso: </w:t>
      </w:r>
      <w:r>
        <w:rPr>
          <w:rFonts w:ascii="Times New Roman" w:hAnsi="Times New Roman" w:cs="Times New Roman"/>
          <w:sz w:val="24"/>
          <w:szCs w:val="24"/>
        </w:rPr>
        <w:t>0</w:t>
      </w:r>
      <w:r w:rsidRPr="00AE695B">
        <w:rPr>
          <w:rFonts w:ascii="Times New Roman" w:hAnsi="Times New Roman" w:cs="Times New Roman"/>
          <w:sz w:val="24"/>
          <w:szCs w:val="24"/>
        </w:rPr>
        <w:t xml:space="preserve">6/08/2021]; 18(5): 858-68. Disponible en: </w:t>
      </w:r>
      <w:hyperlink r:id="rId16" w:history="1">
        <w:r w:rsidRPr="00AE695B">
          <w:rPr>
            <w:rStyle w:val="Hipervnculo"/>
            <w:rFonts w:ascii="Times New Roman" w:hAnsi="Times New Roman" w:cs="Times New Roman"/>
            <w:sz w:val="24"/>
            <w:szCs w:val="24"/>
          </w:rPr>
          <w:t>http://medisur.sld.cu/index.php/medisur/article/view/4482</w:t>
        </w:r>
      </w:hyperlink>
    </w:p>
    <w:p w14:paraId="4A15CA95" w14:textId="32E029FD" w:rsidR="00E95827" w:rsidRDefault="00E95827" w:rsidP="00E95827">
      <w:pPr>
        <w:spacing w:after="0" w:line="360" w:lineRule="auto"/>
        <w:rPr>
          <w:rFonts w:ascii="Times New Roman" w:hAnsi="Times New Roman" w:cs="Times New Roman"/>
          <w:sz w:val="24"/>
          <w:szCs w:val="24"/>
        </w:rPr>
      </w:pPr>
      <w:r w:rsidRPr="00AE695B">
        <w:rPr>
          <w:rFonts w:ascii="Times New Roman" w:hAnsi="Times New Roman" w:cs="Times New Roman"/>
          <w:sz w:val="24"/>
          <w:szCs w:val="24"/>
          <w:lang w:val="en-US"/>
        </w:rPr>
        <w:t>8.</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Knaus WA, Draper EA, Wagner DP, Zimmerman JE. APACHE II: a severity of disease classification system. </w:t>
      </w:r>
      <w:r w:rsidRPr="00AE695B">
        <w:rPr>
          <w:rFonts w:ascii="Times New Roman" w:hAnsi="Times New Roman" w:cs="Times New Roman"/>
          <w:sz w:val="24"/>
          <w:szCs w:val="24"/>
        </w:rPr>
        <w:t>Crit</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Care</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 xml:space="preserve">Med. 1985 [acceso </w:t>
      </w:r>
      <w:r>
        <w:rPr>
          <w:rFonts w:ascii="Times New Roman" w:hAnsi="Times New Roman" w:cs="Times New Roman"/>
          <w:sz w:val="24"/>
          <w:szCs w:val="24"/>
        </w:rPr>
        <w:t>0</w:t>
      </w:r>
      <w:r w:rsidRPr="00AE695B">
        <w:rPr>
          <w:rFonts w:ascii="Times New Roman" w:hAnsi="Times New Roman" w:cs="Times New Roman"/>
          <w:sz w:val="24"/>
          <w:szCs w:val="24"/>
        </w:rPr>
        <w:t xml:space="preserve">6/08/2021]; 13(10): 818-29. Disponible en:  </w:t>
      </w:r>
      <w:hyperlink r:id="rId17" w:history="1">
        <w:r w:rsidRPr="00AE695B">
          <w:rPr>
            <w:rStyle w:val="Hipervnculo"/>
            <w:rFonts w:ascii="Times New Roman" w:hAnsi="Times New Roman" w:cs="Times New Roman"/>
            <w:sz w:val="24"/>
            <w:szCs w:val="24"/>
          </w:rPr>
          <w:t>https://www.researchgate.net/publication/19234189_APACHE_II_a_severity_of_disease_classification_system</w:t>
        </w:r>
      </w:hyperlink>
    </w:p>
    <w:p w14:paraId="41098661" w14:textId="5CB78F46" w:rsidR="00E95827" w:rsidRDefault="00E95827" w:rsidP="00E95827">
      <w:pPr>
        <w:spacing w:after="0" w:line="360" w:lineRule="auto"/>
        <w:rPr>
          <w:rFonts w:ascii="Times New Roman" w:hAnsi="Times New Roman" w:cs="Times New Roman"/>
          <w:sz w:val="24"/>
          <w:szCs w:val="24"/>
          <w:lang w:val="en-US"/>
        </w:rPr>
      </w:pPr>
      <w:r w:rsidRPr="00AE695B">
        <w:rPr>
          <w:rFonts w:ascii="Times New Roman" w:hAnsi="Times New Roman" w:cs="Times New Roman"/>
          <w:sz w:val="24"/>
          <w:szCs w:val="24"/>
        </w:rPr>
        <w:t>9.</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 xml:space="preserve">Olaechea PM, Álvarez-Lerma F, Palomar M, Gimeno R, Gracia MP, Mas N, et al. </w:t>
      </w:r>
      <w:r w:rsidRPr="00AE695B">
        <w:rPr>
          <w:rFonts w:ascii="Times New Roman" w:hAnsi="Times New Roman" w:cs="Times New Roman"/>
          <w:sz w:val="24"/>
          <w:szCs w:val="24"/>
          <w:lang w:val="en-US"/>
        </w:rPr>
        <w:t xml:space="preserve">Characteristics and outcomes of patients admitted to Spanish ICU:  A prospective observational study from the ENVIN-HELICS registry (2006-2011). Med Intensiva. 2016; 40(4):216-29. DOI: 10.1016/j.medin.2015.07.003 </w:t>
      </w:r>
    </w:p>
    <w:p w14:paraId="2574FF52" w14:textId="09004B65" w:rsidR="00E95827" w:rsidRDefault="00E95827" w:rsidP="00E95827">
      <w:pPr>
        <w:spacing w:after="0" w:line="360" w:lineRule="auto"/>
        <w:rPr>
          <w:rFonts w:ascii="Times New Roman" w:hAnsi="Times New Roman" w:cs="Times New Roman"/>
          <w:sz w:val="24"/>
          <w:szCs w:val="24"/>
          <w:lang w:val="es-MX"/>
        </w:rPr>
      </w:pPr>
      <w:r w:rsidRPr="00AE695B">
        <w:rPr>
          <w:rFonts w:ascii="Times New Roman" w:hAnsi="Times New Roman" w:cs="Times New Roman"/>
          <w:sz w:val="24"/>
          <w:szCs w:val="24"/>
          <w:lang w:val="en-US"/>
        </w:rPr>
        <w:t>10.</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CDC/NHSN Surveillance Definitions for Specific Types of Infections. En: National Healthcare Safety Network (NHSN) Patient Safety Component Manual. </w:t>
      </w:r>
      <w:r w:rsidRPr="00AE695B">
        <w:rPr>
          <w:rFonts w:ascii="Times New Roman" w:hAnsi="Times New Roman" w:cs="Times New Roman"/>
          <w:sz w:val="24"/>
          <w:szCs w:val="24"/>
        </w:rPr>
        <w:t xml:space="preserve">2021. [acceso: </w:t>
      </w:r>
      <w:r>
        <w:rPr>
          <w:rFonts w:ascii="Times New Roman" w:hAnsi="Times New Roman" w:cs="Times New Roman"/>
          <w:sz w:val="24"/>
          <w:szCs w:val="24"/>
        </w:rPr>
        <w:t>0</w:t>
      </w:r>
      <w:r w:rsidRPr="00AE695B">
        <w:rPr>
          <w:rFonts w:ascii="Times New Roman" w:hAnsi="Times New Roman" w:cs="Times New Roman"/>
          <w:sz w:val="24"/>
          <w:szCs w:val="24"/>
        </w:rPr>
        <w:t>6/08/2021]</w:t>
      </w:r>
      <w:r>
        <w:rPr>
          <w:rFonts w:ascii="Times New Roman" w:hAnsi="Times New Roman" w:cs="Times New Roman"/>
          <w:sz w:val="24"/>
          <w:szCs w:val="24"/>
        </w:rPr>
        <w:t>.</w:t>
      </w:r>
      <w:r w:rsidRPr="00AE695B">
        <w:rPr>
          <w:rFonts w:ascii="Times New Roman" w:hAnsi="Times New Roman" w:cs="Times New Roman"/>
          <w:sz w:val="24"/>
          <w:szCs w:val="24"/>
        </w:rPr>
        <w:t xml:space="preserve"> Disponible en: </w:t>
      </w:r>
      <w:hyperlink r:id="rId18" w:history="1">
        <w:r w:rsidRPr="00AE695B">
          <w:rPr>
            <w:rStyle w:val="Hipervnculo"/>
            <w:rFonts w:ascii="Times New Roman" w:hAnsi="Times New Roman" w:cs="Times New Roman"/>
            <w:sz w:val="24"/>
            <w:szCs w:val="24"/>
            <w:lang w:val="es-MX"/>
          </w:rPr>
          <w:t>https://www.cdc.gov/nhsn/pdfs/pscmanual/17pscnosinfdef_current.pdf</w:t>
        </w:r>
      </w:hyperlink>
    </w:p>
    <w:p w14:paraId="1473BC97" w14:textId="618C49FD" w:rsidR="00E95827" w:rsidRPr="004042E1" w:rsidRDefault="00E95827" w:rsidP="00E95827">
      <w:pPr>
        <w:spacing w:after="0" w:line="360" w:lineRule="auto"/>
        <w:rPr>
          <w:rFonts w:ascii="Times New Roman" w:hAnsi="Times New Roman" w:cs="Times New Roman"/>
          <w:sz w:val="24"/>
          <w:szCs w:val="24"/>
          <w:lang w:val="es-CU"/>
        </w:rPr>
      </w:pPr>
      <w:r w:rsidRPr="00AE695B">
        <w:rPr>
          <w:rFonts w:ascii="Times New Roman" w:hAnsi="Times New Roman" w:cs="Times New Roman"/>
          <w:sz w:val="24"/>
          <w:szCs w:val="24"/>
          <w:lang w:val="en-US"/>
        </w:rPr>
        <w:t>11.</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CDC/NHSN Surveillance Definition of Healthcare-Associated Infection and Criteria for Specific Types of Infections in the Acute Care Setting. April 2013 CDC/NHSN Protocol Corrections, Clarification, and Additions. </w:t>
      </w:r>
      <w:r w:rsidRPr="008113C1">
        <w:rPr>
          <w:rFonts w:ascii="Times New Roman" w:hAnsi="Times New Roman" w:cs="Times New Roman"/>
          <w:sz w:val="24"/>
          <w:szCs w:val="24"/>
          <w:lang w:val="en-US"/>
        </w:rPr>
        <w:t>CDC. 2013 [acceso: 06/08/2021].</w:t>
      </w:r>
      <w:r w:rsidR="004042E1" w:rsidRPr="008113C1">
        <w:rPr>
          <w:rFonts w:ascii="Times New Roman" w:hAnsi="Times New Roman" w:cs="Times New Roman"/>
          <w:sz w:val="24"/>
          <w:szCs w:val="24"/>
          <w:lang w:val="en-US"/>
        </w:rPr>
        <w:t xml:space="preserve"> </w:t>
      </w:r>
      <w:r w:rsidRPr="004042E1">
        <w:rPr>
          <w:rFonts w:ascii="Times New Roman" w:hAnsi="Times New Roman" w:cs="Times New Roman"/>
          <w:sz w:val="24"/>
          <w:szCs w:val="24"/>
          <w:lang w:val="es-CU"/>
        </w:rPr>
        <w:t>Disponible en:</w:t>
      </w:r>
      <w:r w:rsidR="004042E1">
        <w:rPr>
          <w:rFonts w:ascii="Times New Roman" w:hAnsi="Times New Roman" w:cs="Times New Roman"/>
          <w:sz w:val="24"/>
          <w:szCs w:val="24"/>
          <w:lang w:val="es-CU"/>
        </w:rPr>
        <w:t xml:space="preserve"> </w:t>
      </w:r>
      <w:r w:rsidRPr="004042E1">
        <w:rPr>
          <w:rFonts w:ascii="Times New Roman" w:hAnsi="Times New Roman" w:cs="Times New Roman"/>
          <w:sz w:val="24"/>
          <w:szCs w:val="24"/>
          <w:lang w:val="es-CU"/>
        </w:rPr>
        <w:t xml:space="preserve"> </w:t>
      </w:r>
      <w:hyperlink r:id="rId19" w:history="1">
        <w:r w:rsidRPr="004042E1">
          <w:rPr>
            <w:rStyle w:val="Hipervnculo"/>
            <w:rFonts w:ascii="Times New Roman" w:hAnsi="Times New Roman" w:cs="Times New Roman"/>
            <w:sz w:val="24"/>
            <w:szCs w:val="24"/>
            <w:lang w:val="es-CU"/>
          </w:rPr>
          <w:t>https://www.cdc.gov/nhsn/pdf/pscmanual/errata2013.pdf</w:t>
        </w:r>
      </w:hyperlink>
    </w:p>
    <w:p w14:paraId="3716B17E" w14:textId="11429B4E" w:rsidR="00E95827" w:rsidRDefault="00E95827" w:rsidP="00E95827">
      <w:pPr>
        <w:spacing w:after="0" w:line="360" w:lineRule="auto"/>
        <w:rPr>
          <w:rFonts w:ascii="Times New Roman" w:hAnsi="Times New Roman" w:cs="Times New Roman"/>
          <w:sz w:val="24"/>
          <w:szCs w:val="24"/>
          <w:lang w:val="en-US"/>
        </w:rPr>
      </w:pPr>
      <w:r w:rsidRPr="00AE695B">
        <w:rPr>
          <w:rFonts w:ascii="Times New Roman" w:hAnsi="Times New Roman" w:cs="Times New Roman"/>
          <w:sz w:val="24"/>
          <w:szCs w:val="24"/>
          <w:lang w:val="en-US"/>
        </w:rPr>
        <w:t>12.</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Vincent JL, Lefrant JY, Kotfis K, Nanchal R, Martin-Loeches I, Wittebole X, et al. Comparison of European ICU</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patients in 2012 (ICON) versus 2002 (SOAP).</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Intensive Care Med. 2018; 44(3):337-44.  DOI: 10.1007/s001134-017-5043-2</w:t>
      </w:r>
    </w:p>
    <w:p w14:paraId="7CA3F0EF" w14:textId="434CB1EA" w:rsidR="00E95827" w:rsidRDefault="00E95827" w:rsidP="00E95827">
      <w:pPr>
        <w:spacing w:after="0" w:line="360" w:lineRule="auto"/>
        <w:rPr>
          <w:rFonts w:ascii="Times New Roman" w:hAnsi="Times New Roman" w:cs="Times New Roman"/>
          <w:sz w:val="24"/>
          <w:szCs w:val="24"/>
          <w:lang w:val="en-US"/>
        </w:rPr>
      </w:pPr>
      <w:r w:rsidRPr="008113C1">
        <w:rPr>
          <w:rFonts w:ascii="Times New Roman" w:hAnsi="Times New Roman" w:cs="Times New Roman"/>
          <w:sz w:val="24"/>
          <w:szCs w:val="24"/>
          <w:lang w:val="en-US"/>
        </w:rPr>
        <w:t>13.</w:t>
      </w:r>
      <w:r w:rsidR="004042E1" w:rsidRPr="008113C1">
        <w:rPr>
          <w:rFonts w:ascii="Times New Roman" w:hAnsi="Times New Roman" w:cs="Times New Roman"/>
          <w:sz w:val="24"/>
          <w:szCs w:val="24"/>
          <w:lang w:val="en-US"/>
        </w:rPr>
        <w:t xml:space="preserve"> </w:t>
      </w:r>
      <w:r w:rsidRPr="008113C1">
        <w:rPr>
          <w:rFonts w:ascii="Times New Roman" w:hAnsi="Times New Roman" w:cs="Times New Roman"/>
          <w:sz w:val="24"/>
          <w:szCs w:val="24"/>
          <w:lang w:val="en-US"/>
        </w:rPr>
        <w:t xml:space="preserve">Luna LDS, Soares DS, Silva Junior GB, Cavalcante MG, Malveira LRC, Meneses GC, et al. </w:t>
      </w:r>
      <w:r w:rsidRPr="00AE695B">
        <w:rPr>
          <w:rFonts w:ascii="Times New Roman" w:hAnsi="Times New Roman" w:cs="Times New Roman"/>
          <w:sz w:val="24"/>
          <w:szCs w:val="24"/>
          <w:lang w:val="en-US"/>
        </w:rPr>
        <w:t>Clinical characteristics, outcomes and risk factors for death among critically ill patients with HIV-</w:t>
      </w:r>
      <w:r w:rsidRPr="00AE695B">
        <w:rPr>
          <w:rFonts w:ascii="Times New Roman" w:hAnsi="Times New Roman" w:cs="Times New Roman"/>
          <w:sz w:val="24"/>
          <w:szCs w:val="24"/>
          <w:lang w:val="en-US"/>
        </w:rPr>
        <w:lastRenderedPageBreak/>
        <w:t>related acute kidney injury. Rev Inst Med Trop Sao Paulo. 2016; 58:52. DOI: 10.1590/S1678-9946201658052</w:t>
      </w:r>
    </w:p>
    <w:p w14:paraId="385EE993" w14:textId="61898694" w:rsidR="00E95827" w:rsidRDefault="00E95827" w:rsidP="00E95827">
      <w:pPr>
        <w:spacing w:after="0" w:line="360" w:lineRule="auto"/>
        <w:rPr>
          <w:rFonts w:ascii="Times New Roman" w:hAnsi="Times New Roman" w:cs="Times New Roman"/>
          <w:sz w:val="24"/>
          <w:szCs w:val="24"/>
        </w:rPr>
      </w:pPr>
      <w:r w:rsidRPr="00AE695B">
        <w:rPr>
          <w:rFonts w:ascii="Times New Roman" w:hAnsi="Times New Roman" w:cs="Times New Roman"/>
          <w:sz w:val="24"/>
          <w:szCs w:val="24"/>
          <w:lang w:val="en-US"/>
        </w:rPr>
        <w:t>14.</w:t>
      </w:r>
      <w:r w:rsidR="004042E1">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Todorov A, Kaufmann F, Arslani K, Haider A, Bengs S, Goliasch G, et al. Gender differences in the provision of intensive care: a Bayesian approach. </w:t>
      </w:r>
      <w:r w:rsidRPr="00AE695B">
        <w:rPr>
          <w:rFonts w:ascii="Times New Roman" w:hAnsi="Times New Roman" w:cs="Times New Roman"/>
          <w:sz w:val="24"/>
          <w:szCs w:val="24"/>
        </w:rPr>
        <w:t>Intensive</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Care</w:t>
      </w:r>
      <w:r w:rsidR="004042E1">
        <w:rPr>
          <w:rFonts w:ascii="Times New Roman" w:hAnsi="Times New Roman" w:cs="Times New Roman"/>
          <w:sz w:val="24"/>
          <w:szCs w:val="24"/>
        </w:rPr>
        <w:t xml:space="preserve"> </w:t>
      </w:r>
      <w:r w:rsidRPr="00AE695B">
        <w:rPr>
          <w:rFonts w:ascii="Times New Roman" w:hAnsi="Times New Roman" w:cs="Times New Roman"/>
          <w:sz w:val="24"/>
          <w:szCs w:val="24"/>
        </w:rPr>
        <w:t>Med. 2021; 47(5): 577-87.  DOI: 10.1007/s00134-021-06393-3</w:t>
      </w:r>
    </w:p>
    <w:p w14:paraId="2C3383D8" w14:textId="62EC9BA1" w:rsidR="00E95827" w:rsidRDefault="00E95827" w:rsidP="00E95827">
      <w:pPr>
        <w:spacing w:after="0" w:line="360" w:lineRule="auto"/>
        <w:rPr>
          <w:rFonts w:ascii="Times New Roman" w:hAnsi="Times New Roman" w:cs="Times New Roman"/>
          <w:sz w:val="24"/>
          <w:szCs w:val="24"/>
        </w:rPr>
      </w:pPr>
      <w:r w:rsidRPr="00AE695B">
        <w:rPr>
          <w:rFonts w:ascii="Times New Roman" w:hAnsi="Times New Roman" w:cs="Times New Roman"/>
          <w:sz w:val="24"/>
          <w:szCs w:val="24"/>
        </w:rPr>
        <w:t>15.</w:t>
      </w:r>
      <w:r w:rsidR="00DE25E0">
        <w:rPr>
          <w:rFonts w:ascii="Times New Roman" w:hAnsi="Times New Roman" w:cs="Times New Roman"/>
          <w:sz w:val="24"/>
          <w:szCs w:val="24"/>
        </w:rPr>
        <w:t xml:space="preserve"> </w:t>
      </w:r>
      <w:r w:rsidRPr="00AE695B">
        <w:rPr>
          <w:rFonts w:ascii="Times New Roman" w:hAnsi="Times New Roman" w:cs="Times New Roman"/>
          <w:sz w:val="24"/>
          <w:szCs w:val="24"/>
        </w:rPr>
        <w:t>Pupo JM, González JC, Cabrera JO, Martí GM. Morbilidad materna extrema según causas de admisión en cuidados intensivos. Rev</w:t>
      </w:r>
      <w:r w:rsidR="00DE25E0">
        <w:rPr>
          <w:rFonts w:ascii="Times New Roman" w:hAnsi="Times New Roman" w:cs="Times New Roman"/>
          <w:sz w:val="24"/>
          <w:szCs w:val="24"/>
        </w:rPr>
        <w:t xml:space="preserve"> </w:t>
      </w:r>
      <w:r w:rsidRPr="00AE695B">
        <w:rPr>
          <w:rFonts w:ascii="Times New Roman" w:hAnsi="Times New Roman" w:cs="Times New Roman"/>
          <w:sz w:val="24"/>
          <w:szCs w:val="24"/>
        </w:rPr>
        <w:t>Cub</w:t>
      </w:r>
      <w:r w:rsidR="00DE25E0">
        <w:rPr>
          <w:rFonts w:ascii="Times New Roman" w:hAnsi="Times New Roman" w:cs="Times New Roman"/>
          <w:sz w:val="24"/>
          <w:szCs w:val="24"/>
        </w:rPr>
        <w:t xml:space="preserve"> </w:t>
      </w:r>
      <w:r w:rsidRPr="00AE695B">
        <w:rPr>
          <w:rFonts w:ascii="Times New Roman" w:hAnsi="Times New Roman" w:cs="Times New Roman"/>
          <w:sz w:val="24"/>
          <w:szCs w:val="24"/>
        </w:rPr>
        <w:t>Med</w:t>
      </w:r>
      <w:r w:rsidR="00DE25E0">
        <w:rPr>
          <w:rFonts w:ascii="Times New Roman" w:hAnsi="Times New Roman" w:cs="Times New Roman"/>
          <w:sz w:val="24"/>
          <w:szCs w:val="24"/>
        </w:rPr>
        <w:t xml:space="preserve"> </w:t>
      </w:r>
      <w:r w:rsidRPr="00AE695B">
        <w:rPr>
          <w:rFonts w:ascii="Times New Roman" w:hAnsi="Times New Roman" w:cs="Times New Roman"/>
          <w:sz w:val="24"/>
          <w:szCs w:val="24"/>
        </w:rPr>
        <w:t>Inten</w:t>
      </w:r>
      <w:r w:rsidR="00DE25E0">
        <w:rPr>
          <w:rFonts w:ascii="Times New Roman" w:hAnsi="Times New Roman" w:cs="Times New Roman"/>
          <w:sz w:val="24"/>
          <w:szCs w:val="24"/>
        </w:rPr>
        <w:t xml:space="preserve"> </w:t>
      </w:r>
      <w:r w:rsidRPr="00AE695B">
        <w:rPr>
          <w:rFonts w:ascii="Times New Roman" w:hAnsi="Times New Roman" w:cs="Times New Roman"/>
          <w:sz w:val="24"/>
          <w:szCs w:val="24"/>
        </w:rPr>
        <w:t xml:space="preserve">Emerg. 2017 [acceso </w:t>
      </w:r>
      <w:r>
        <w:rPr>
          <w:rFonts w:ascii="Times New Roman" w:hAnsi="Times New Roman" w:cs="Times New Roman"/>
          <w:sz w:val="24"/>
          <w:szCs w:val="24"/>
        </w:rPr>
        <w:t>0</w:t>
      </w:r>
      <w:r w:rsidRPr="00AE695B">
        <w:rPr>
          <w:rFonts w:ascii="Times New Roman" w:hAnsi="Times New Roman" w:cs="Times New Roman"/>
          <w:sz w:val="24"/>
          <w:szCs w:val="24"/>
        </w:rPr>
        <w:t xml:space="preserve">6/08/2021]; 16(3): 49-60. Disponible en: </w:t>
      </w:r>
      <w:hyperlink r:id="rId20" w:history="1">
        <w:r w:rsidRPr="00AE695B">
          <w:rPr>
            <w:rStyle w:val="Hipervnculo"/>
            <w:rFonts w:ascii="Times New Roman" w:hAnsi="Times New Roman" w:cs="Times New Roman"/>
            <w:sz w:val="24"/>
            <w:szCs w:val="24"/>
          </w:rPr>
          <w:t>https://www.revmie.sld.cu/index.php/mie/article/view/259</w:t>
        </w:r>
      </w:hyperlink>
    </w:p>
    <w:p w14:paraId="4F55CE55" w14:textId="2A1B63DB" w:rsidR="00E95827" w:rsidRDefault="00E95827" w:rsidP="00E95827">
      <w:pPr>
        <w:spacing w:after="0" w:line="360" w:lineRule="auto"/>
        <w:rPr>
          <w:rFonts w:ascii="Times New Roman" w:hAnsi="Times New Roman" w:cs="Times New Roman"/>
          <w:sz w:val="24"/>
          <w:szCs w:val="24"/>
          <w:lang w:val="en-US"/>
        </w:rPr>
      </w:pPr>
      <w:r w:rsidRPr="00AE695B">
        <w:rPr>
          <w:rFonts w:ascii="Times New Roman" w:hAnsi="Times New Roman" w:cs="Times New Roman"/>
          <w:sz w:val="24"/>
          <w:szCs w:val="24"/>
          <w:lang w:val="en-US"/>
        </w:rPr>
        <w:t>16.</w:t>
      </w:r>
      <w:r w:rsidR="00DE25E0">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Arnold AP, Cassis LA, Eghbali M, Reue K, Sandberg K. Sex hormones and sex chromosomes cause sex differences in the development of cardiovascular diseases. Vasc Biol. 2017; 37(5): 746-56. DOI: 10.1161/ATVBAHA.116.307301 </w:t>
      </w:r>
    </w:p>
    <w:p w14:paraId="29D97D0E" w14:textId="77D27F67" w:rsidR="00E95827" w:rsidRDefault="00E95827" w:rsidP="00E95827">
      <w:pPr>
        <w:spacing w:after="0" w:line="360" w:lineRule="auto"/>
        <w:rPr>
          <w:rFonts w:ascii="Times New Roman" w:hAnsi="Times New Roman" w:cs="Times New Roman"/>
          <w:sz w:val="24"/>
          <w:szCs w:val="24"/>
          <w:lang w:val="en-US"/>
        </w:rPr>
      </w:pPr>
      <w:r w:rsidRPr="00AE695B">
        <w:rPr>
          <w:rFonts w:ascii="Times New Roman" w:hAnsi="Times New Roman" w:cs="Times New Roman"/>
          <w:sz w:val="24"/>
          <w:szCs w:val="24"/>
          <w:lang w:val="en-US"/>
        </w:rPr>
        <w:t>17.</w:t>
      </w:r>
      <w:r w:rsidR="00DE25E0">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Divatia JV, Amin PR, Ramakrishanan N, Kapadia F, Todi S, Sahu S, et al. The Indian Intensive Care Case Mix and Practice Patterns Study. J Crit Care Med. 2016; 20(4): 216-25. DOI: 10.4103/0972-5229.180042</w:t>
      </w:r>
    </w:p>
    <w:p w14:paraId="179F4453" w14:textId="77777777" w:rsidR="00E95827" w:rsidRPr="00C15199" w:rsidRDefault="00E95827" w:rsidP="00E95827">
      <w:pPr>
        <w:spacing w:after="0" w:line="360" w:lineRule="auto"/>
        <w:rPr>
          <w:rFonts w:ascii="Times New Roman" w:hAnsi="Times New Roman" w:cs="Times New Roman"/>
          <w:sz w:val="24"/>
          <w:szCs w:val="24"/>
          <w:lang w:val="en-US"/>
        </w:rPr>
      </w:pPr>
      <w:r w:rsidRPr="00AE695B">
        <w:rPr>
          <w:rFonts w:ascii="Times New Roman" w:hAnsi="Times New Roman" w:cs="Times New Roman"/>
          <w:sz w:val="24"/>
          <w:szCs w:val="24"/>
          <w:lang w:val="en-US"/>
        </w:rPr>
        <w:t xml:space="preserve">18. Prescott HC, Angus DC. Enhancing Recovery From Sepsis. A Review. </w:t>
      </w:r>
      <w:r w:rsidRPr="00C15199">
        <w:rPr>
          <w:rFonts w:ascii="Times New Roman" w:hAnsi="Times New Roman" w:cs="Times New Roman"/>
          <w:sz w:val="24"/>
          <w:szCs w:val="24"/>
          <w:lang w:val="en-US"/>
        </w:rPr>
        <w:t>JAMA.  2018; 319(1):62-75. DOI: 10.1001/jama.2017.17687</w:t>
      </w:r>
    </w:p>
    <w:p w14:paraId="540CED82" w14:textId="616E911F" w:rsidR="00E95827" w:rsidRDefault="00E95827" w:rsidP="00E95827">
      <w:pPr>
        <w:spacing w:after="0" w:line="360" w:lineRule="auto"/>
        <w:rPr>
          <w:rFonts w:ascii="Times New Roman" w:hAnsi="Times New Roman" w:cs="Times New Roman"/>
          <w:sz w:val="24"/>
          <w:szCs w:val="24"/>
          <w:lang w:val="en-US"/>
        </w:rPr>
      </w:pPr>
      <w:r w:rsidRPr="00C15199">
        <w:rPr>
          <w:rFonts w:ascii="Times New Roman" w:hAnsi="Times New Roman" w:cs="Times New Roman"/>
          <w:sz w:val="24"/>
          <w:szCs w:val="24"/>
          <w:lang w:val="en-US"/>
        </w:rPr>
        <w:t>19.</w:t>
      </w:r>
      <w:r w:rsidR="00DE25E0">
        <w:rPr>
          <w:rFonts w:ascii="Times New Roman" w:hAnsi="Times New Roman" w:cs="Times New Roman"/>
          <w:sz w:val="24"/>
          <w:szCs w:val="24"/>
          <w:lang w:val="en-US"/>
        </w:rPr>
        <w:t xml:space="preserve"> </w:t>
      </w:r>
      <w:r w:rsidRPr="00C15199">
        <w:rPr>
          <w:rFonts w:ascii="Times New Roman" w:hAnsi="Times New Roman" w:cs="Times New Roman"/>
          <w:sz w:val="24"/>
          <w:szCs w:val="24"/>
          <w:lang w:val="en-US"/>
        </w:rPr>
        <w:t xml:space="preserve">Chen Y, Hu Y, Zhang J, Shen Y, Huang J, Yin J, et al. </w:t>
      </w:r>
      <w:r w:rsidRPr="00AE695B">
        <w:rPr>
          <w:rFonts w:ascii="Times New Roman" w:hAnsi="Times New Roman" w:cs="Times New Roman"/>
          <w:sz w:val="24"/>
          <w:szCs w:val="24"/>
          <w:lang w:val="en-US"/>
        </w:rPr>
        <w:t>Clinical characteristics, risk factors, immune status and prognosis of secondary infection of sepsis: a retrospective observational study. BMC Anesthesiology. 2019; 19(1):185. DOI: 10.1186/S12871-019-0849-9</w:t>
      </w:r>
    </w:p>
    <w:p w14:paraId="0F006766" w14:textId="193F768B" w:rsidR="00E95827" w:rsidRDefault="00E95827" w:rsidP="00E95827">
      <w:pPr>
        <w:spacing w:after="0" w:line="360" w:lineRule="auto"/>
        <w:rPr>
          <w:rFonts w:ascii="Times New Roman" w:hAnsi="Times New Roman" w:cs="Times New Roman"/>
          <w:sz w:val="24"/>
          <w:szCs w:val="24"/>
        </w:rPr>
      </w:pPr>
      <w:r w:rsidRPr="00AE695B">
        <w:rPr>
          <w:rFonts w:ascii="Times New Roman" w:hAnsi="Times New Roman" w:cs="Times New Roman"/>
          <w:sz w:val="24"/>
          <w:szCs w:val="24"/>
          <w:lang w:val="en-US"/>
        </w:rPr>
        <w:t>20.</w:t>
      </w:r>
      <w:r w:rsidR="00DE25E0">
        <w:rPr>
          <w:rFonts w:ascii="Times New Roman" w:hAnsi="Times New Roman" w:cs="Times New Roman"/>
          <w:sz w:val="24"/>
          <w:szCs w:val="24"/>
          <w:lang w:val="en-US"/>
        </w:rPr>
        <w:t xml:space="preserve"> </w:t>
      </w:r>
      <w:r w:rsidRPr="00AE695B">
        <w:rPr>
          <w:rFonts w:ascii="Times New Roman" w:hAnsi="Times New Roman" w:cs="Times New Roman"/>
          <w:sz w:val="24"/>
          <w:szCs w:val="24"/>
          <w:lang w:val="en-US"/>
        </w:rPr>
        <w:t xml:space="preserve">Park QW, Chun BC, Kin JM, Sohn JW, Peck KR, Kim YS, et al. Epidemiological and clinical characteristics of community-acquired severe sepsis and septic shock: a prospective observational study in 12 university hospitals in Korea. </w:t>
      </w:r>
      <w:r w:rsidRPr="00AE695B">
        <w:rPr>
          <w:rFonts w:ascii="Times New Roman" w:hAnsi="Times New Roman" w:cs="Times New Roman"/>
          <w:sz w:val="24"/>
          <w:szCs w:val="24"/>
        </w:rPr>
        <w:t>J Korean</w:t>
      </w:r>
      <w:r w:rsidR="00DE25E0">
        <w:rPr>
          <w:rFonts w:ascii="Times New Roman" w:hAnsi="Times New Roman" w:cs="Times New Roman"/>
          <w:sz w:val="24"/>
          <w:szCs w:val="24"/>
        </w:rPr>
        <w:t xml:space="preserve"> </w:t>
      </w:r>
      <w:r w:rsidRPr="00AE695B">
        <w:rPr>
          <w:rFonts w:ascii="Times New Roman" w:hAnsi="Times New Roman" w:cs="Times New Roman"/>
          <w:sz w:val="24"/>
          <w:szCs w:val="24"/>
        </w:rPr>
        <w:t>Med</w:t>
      </w:r>
      <w:r w:rsidR="00DE25E0">
        <w:rPr>
          <w:rFonts w:ascii="Times New Roman" w:hAnsi="Times New Roman" w:cs="Times New Roman"/>
          <w:sz w:val="24"/>
          <w:szCs w:val="24"/>
        </w:rPr>
        <w:t xml:space="preserve"> </w:t>
      </w:r>
      <w:r w:rsidRPr="00AE695B">
        <w:rPr>
          <w:rFonts w:ascii="Times New Roman" w:hAnsi="Times New Roman" w:cs="Times New Roman"/>
          <w:sz w:val="24"/>
          <w:szCs w:val="24"/>
        </w:rPr>
        <w:t>Sci. 2012; 27(11): 1308-14. DOI: 10.3346/jkms.2012.27.11.1308</w:t>
      </w:r>
    </w:p>
    <w:p w14:paraId="1D8B7F5C" w14:textId="77777777" w:rsidR="00E95827" w:rsidRPr="00AE695B" w:rsidRDefault="00E95827" w:rsidP="00E95827">
      <w:pPr>
        <w:spacing w:after="0" w:line="360" w:lineRule="auto"/>
        <w:jc w:val="both"/>
        <w:rPr>
          <w:rFonts w:ascii="Times New Roman" w:hAnsi="Times New Roman" w:cs="Times New Roman"/>
          <w:b/>
          <w:sz w:val="24"/>
          <w:szCs w:val="24"/>
        </w:rPr>
      </w:pPr>
    </w:p>
    <w:p w14:paraId="0BA1B4F5" w14:textId="77777777" w:rsidR="00E95827" w:rsidRDefault="00E95827" w:rsidP="00E95827">
      <w:pPr>
        <w:spacing w:after="0" w:line="360" w:lineRule="auto"/>
        <w:jc w:val="both"/>
        <w:rPr>
          <w:rFonts w:ascii="Times New Roman" w:hAnsi="Times New Roman" w:cs="Times New Roman"/>
          <w:b/>
          <w:sz w:val="24"/>
          <w:szCs w:val="24"/>
        </w:rPr>
      </w:pPr>
    </w:p>
    <w:p w14:paraId="55A7C7E3" w14:textId="77777777" w:rsidR="00E95827" w:rsidRDefault="00E95827" w:rsidP="00E95827">
      <w:pPr>
        <w:spacing w:after="0" w:line="360" w:lineRule="auto"/>
        <w:jc w:val="center"/>
        <w:rPr>
          <w:rFonts w:ascii="Times New Roman" w:hAnsi="Times New Roman" w:cs="Times New Roman"/>
          <w:b/>
          <w:sz w:val="24"/>
          <w:szCs w:val="24"/>
        </w:rPr>
      </w:pPr>
      <w:r w:rsidRPr="00AE695B">
        <w:rPr>
          <w:rFonts w:ascii="Times New Roman" w:hAnsi="Times New Roman" w:cs="Times New Roman"/>
          <w:b/>
          <w:sz w:val="24"/>
          <w:szCs w:val="24"/>
        </w:rPr>
        <w:t>Conflictos de intereses</w:t>
      </w:r>
    </w:p>
    <w:p w14:paraId="20AC21BD" w14:textId="77777777" w:rsidR="00E95827" w:rsidRPr="00AE695B" w:rsidRDefault="00E95827" w:rsidP="00E95827">
      <w:pPr>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Los autores declaran no tener conflictos de intereses ni financiación.</w:t>
      </w:r>
    </w:p>
    <w:p w14:paraId="06971413" w14:textId="77777777" w:rsidR="00E95827" w:rsidRPr="00AE695B" w:rsidRDefault="00E95827" w:rsidP="00E95827">
      <w:pPr>
        <w:spacing w:after="0" w:line="360" w:lineRule="auto"/>
        <w:jc w:val="both"/>
        <w:rPr>
          <w:rFonts w:ascii="Times New Roman" w:hAnsi="Times New Roman" w:cs="Times New Roman"/>
          <w:sz w:val="24"/>
          <w:szCs w:val="24"/>
        </w:rPr>
      </w:pPr>
    </w:p>
    <w:p w14:paraId="6CE9CA28" w14:textId="41BF6850" w:rsidR="00E95827" w:rsidRDefault="00E95827" w:rsidP="00E95827">
      <w:pPr>
        <w:spacing w:after="0" w:line="360" w:lineRule="auto"/>
        <w:jc w:val="center"/>
        <w:rPr>
          <w:rFonts w:ascii="Times New Roman" w:hAnsi="Times New Roman" w:cs="Times New Roman"/>
          <w:b/>
          <w:sz w:val="24"/>
          <w:szCs w:val="24"/>
        </w:rPr>
      </w:pPr>
      <w:r w:rsidRPr="00AE695B">
        <w:rPr>
          <w:rFonts w:ascii="Times New Roman" w:hAnsi="Times New Roman" w:cs="Times New Roman"/>
          <w:b/>
          <w:sz w:val="24"/>
          <w:szCs w:val="24"/>
        </w:rPr>
        <w:lastRenderedPageBreak/>
        <w:t>Contribuci</w:t>
      </w:r>
      <w:r w:rsidR="00F379E6">
        <w:rPr>
          <w:rFonts w:ascii="Times New Roman" w:hAnsi="Times New Roman" w:cs="Times New Roman"/>
          <w:b/>
          <w:sz w:val="24"/>
          <w:szCs w:val="24"/>
        </w:rPr>
        <w:t>o</w:t>
      </w:r>
      <w:r w:rsidRPr="00AE695B">
        <w:rPr>
          <w:rFonts w:ascii="Times New Roman" w:hAnsi="Times New Roman" w:cs="Times New Roman"/>
          <w:b/>
          <w:sz w:val="24"/>
          <w:szCs w:val="24"/>
        </w:rPr>
        <w:t>n</w:t>
      </w:r>
      <w:r w:rsidR="00F379E6">
        <w:rPr>
          <w:rFonts w:ascii="Times New Roman" w:hAnsi="Times New Roman" w:cs="Times New Roman"/>
          <w:b/>
          <w:sz w:val="24"/>
          <w:szCs w:val="24"/>
        </w:rPr>
        <w:t>es</w:t>
      </w:r>
      <w:r w:rsidRPr="00AE695B">
        <w:rPr>
          <w:rFonts w:ascii="Times New Roman" w:hAnsi="Times New Roman" w:cs="Times New Roman"/>
          <w:b/>
          <w:sz w:val="24"/>
          <w:szCs w:val="24"/>
        </w:rPr>
        <w:t xml:space="preserve"> de los autores</w:t>
      </w:r>
    </w:p>
    <w:p w14:paraId="5FFD55A4" w14:textId="77777777" w:rsidR="00E95827" w:rsidRPr="00AE695B" w:rsidRDefault="00E95827" w:rsidP="00E95827">
      <w:pPr>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 xml:space="preserve">Conceptualización: </w:t>
      </w:r>
      <w:r w:rsidRPr="00AE695B">
        <w:rPr>
          <w:rFonts w:ascii="Times New Roman" w:hAnsi="Times New Roman" w:cs="Times New Roman"/>
          <w:i/>
          <w:iCs/>
          <w:sz w:val="24"/>
          <w:szCs w:val="24"/>
        </w:rPr>
        <w:t xml:space="preserve">Julio César González Aguilera.  </w:t>
      </w:r>
    </w:p>
    <w:p w14:paraId="14CB7130" w14:textId="77777777" w:rsidR="00E95827" w:rsidRPr="00AE695B" w:rsidRDefault="00E95827" w:rsidP="00E95827">
      <w:pPr>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 xml:space="preserve">Investigación: </w:t>
      </w:r>
      <w:r w:rsidRPr="00AE695B">
        <w:rPr>
          <w:rFonts w:ascii="Times New Roman" w:hAnsi="Times New Roman" w:cs="Times New Roman"/>
          <w:i/>
          <w:iCs/>
          <w:sz w:val="24"/>
          <w:szCs w:val="24"/>
        </w:rPr>
        <w:t>Julio César González Aguilera, Víctor Manuel Leyva, Yoleinis Esperanza Vázquez Belizón, Armando Arias Ortiz.</w:t>
      </w:r>
    </w:p>
    <w:p w14:paraId="5BC1F489" w14:textId="77777777" w:rsidR="00E95827" w:rsidRPr="00AE695B" w:rsidRDefault="00E95827" w:rsidP="00E95827">
      <w:pPr>
        <w:spacing w:after="0" w:line="360" w:lineRule="auto"/>
        <w:jc w:val="both"/>
        <w:rPr>
          <w:rFonts w:ascii="Times New Roman" w:hAnsi="Times New Roman" w:cs="Times New Roman"/>
          <w:sz w:val="24"/>
          <w:szCs w:val="24"/>
        </w:rPr>
      </w:pPr>
      <w:r w:rsidRPr="00AE695B">
        <w:rPr>
          <w:rFonts w:ascii="Times New Roman" w:hAnsi="Times New Roman" w:cs="Times New Roman"/>
          <w:sz w:val="24"/>
          <w:szCs w:val="24"/>
        </w:rPr>
        <w:t xml:space="preserve">Administración del proyecto: </w:t>
      </w:r>
      <w:r w:rsidRPr="00AE695B">
        <w:rPr>
          <w:rFonts w:ascii="Times New Roman" w:hAnsi="Times New Roman" w:cs="Times New Roman"/>
          <w:i/>
          <w:iCs/>
          <w:sz w:val="24"/>
          <w:szCs w:val="24"/>
        </w:rPr>
        <w:t xml:space="preserve">Julio César González Aguilera. </w:t>
      </w:r>
    </w:p>
    <w:p w14:paraId="3ACF0B27" w14:textId="740540EA" w:rsidR="00E95827" w:rsidRPr="00AE695B" w:rsidRDefault="00E95827" w:rsidP="00E95827">
      <w:pPr>
        <w:spacing w:after="0" w:line="360" w:lineRule="auto"/>
        <w:jc w:val="both"/>
        <w:rPr>
          <w:rFonts w:ascii="Times New Roman" w:eastAsia="Calibri" w:hAnsi="Times New Roman" w:cs="Times New Roman"/>
          <w:sz w:val="24"/>
          <w:szCs w:val="24"/>
        </w:rPr>
      </w:pPr>
      <w:r w:rsidRPr="00AE695B">
        <w:rPr>
          <w:rFonts w:ascii="Times New Roman" w:eastAsia="Calibri" w:hAnsi="Times New Roman" w:cs="Times New Roman"/>
          <w:sz w:val="24"/>
          <w:szCs w:val="24"/>
          <w:lang w:val="es-ES_tradnl"/>
        </w:rPr>
        <w:t>Validación-verificación:</w:t>
      </w:r>
      <w:r w:rsidR="0029353C">
        <w:rPr>
          <w:rFonts w:ascii="Times New Roman" w:eastAsia="Calibri" w:hAnsi="Times New Roman" w:cs="Times New Roman"/>
          <w:sz w:val="24"/>
          <w:szCs w:val="24"/>
          <w:lang w:val="es-ES_tradnl"/>
        </w:rPr>
        <w:t xml:space="preserve"> </w:t>
      </w:r>
      <w:r w:rsidRPr="00AE695B">
        <w:rPr>
          <w:rFonts w:ascii="Times New Roman" w:eastAsia="Calibri" w:hAnsi="Times New Roman" w:cs="Times New Roman"/>
          <w:i/>
          <w:iCs/>
          <w:sz w:val="24"/>
          <w:szCs w:val="24"/>
        </w:rPr>
        <w:t>Julio César González Aguilera, Jorge Omar Cabrera Lavernia.</w:t>
      </w:r>
    </w:p>
    <w:p w14:paraId="33EBB9C6" w14:textId="77777777" w:rsidR="00E95827" w:rsidRPr="00AE695B" w:rsidRDefault="00E95827" w:rsidP="00E95827">
      <w:pPr>
        <w:spacing w:after="0" w:line="360" w:lineRule="auto"/>
        <w:jc w:val="both"/>
        <w:rPr>
          <w:rFonts w:ascii="Times New Roman" w:eastAsia="Calibri" w:hAnsi="Times New Roman" w:cs="Times New Roman"/>
          <w:i/>
          <w:iCs/>
          <w:sz w:val="24"/>
          <w:szCs w:val="24"/>
        </w:rPr>
      </w:pPr>
      <w:r w:rsidRPr="00AE695B">
        <w:rPr>
          <w:rFonts w:ascii="Times New Roman" w:eastAsia="Calibri" w:hAnsi="Times New Roman" w:cs="Times New Roman"/>
          <w:sz w:val="24"/>
          <w:szCs w:val="24"/>
        </w:rPr>
        <w:t xml:space="preserve">Visualización: </w:t>
      </w:r>
      <w:r w:rsidRPr="00AE695B">
        <w:rPr>
          <w:rFonts w:ascii="Times New Roman" w:eastAsia="Calibri" w:hAnsi="Times New Roman" w:cs="Times New Roman"/>
          <w:i/>
          <w:iCs/>
          <w:sz w:val="24"/>
          <w:szCs w:val="24"/>
        </w:rPr>
        <w:t>Julio César González Aguilera, Jorge Omar Cabrera Lavernia.</w:t>
      </w:r>
    </w:p>
    <w:p w14:paraId="7542BC44" w14:textId="77777777" w:rsidR="00E95827" w:rsidRPr="00AE695B" w:rsidRDefault="00E95827" w:rsidP="00E95827">
      <w:pPr>
        <w:pStyle w:val="Textocomentario"/>
        <w:spacing w:after="0" w:line="360" w:lineRule="auto"/>
        <w:jc w:val="both"/>
        <w:rPr>
          <w:rFonts w:ascii="Times New Roman" w:eastAsia="Calibri" w:hAnsi="Times New Roman" w:cs="Times New Roman"/>
          <w:sz w:val="24"/>
          <w:szCs w:val="24"/>
          <w:lang w:val="es-ES_tradnl"/>
        </w:rPr>
      </w:pPr>
      <w:r w:rsidRPr="00AE695B">
        <w:rPr>
          <w:rFonts w:ascii="Times New Roman" w:eastAsia="Calibri" w:hAnsi="Times New Roman" w:cs="Times New Roman"/>
          <w:sz w:val="24"/>
          <w:szCs w:val="24"/>
          <w:lang w:val="es-ES_tradnl"/>
        </w:rPr>
        <w:t xml:space="preserve">Redacción-borrador original: </w:t>
      </w:r>
      <w:r w:rsidRPr="00AE695B">
        <w:rPr>
          <w:rFonts w:ascii="Times New Roman" w:eastAsia="Calibri" w:hAnsi="Times New Roman" w:cs="Times New Roman"/>
          <w:i/>
          <w:iCs/>
          <w:sz w:val="24"/>
          <w:szCs w:val="24"/>
          <w:lang w:val="es-ES_tradnl"/>
        </w:rPr>
        <w:t>Julio César González Aguilera, Víctor Manuel Leyva Lorenzo.</w:t>
      </w:r>
    </w:p>
    <w:p w14:paraId="1C3D66A7" w14:textId="77777777" w:rsidR="00E95827" w:rsidRPr="00AE695B" w:rsidRDefault="00E95827" w:rsidP="00E95827">
      <w:pPr>
        <w:spacing w:after="0" w:line="360" w:lineRule="auto"/>
        <w:jc w:val="both"/>
        <w:rPr>
          <w:rFonts w:ascii="Times New Roman" w:eastAsia="Calibri" w:hAnsi="Times New Roman" w:cs="Times New Roman"/>
          <w:sz w:val="24"/>
          <w:szCs w:val="24"/>
          <w:lang w:val="es-ES_tradnl"/>
        </w:rPr>
      </w:pPr>
      <w:r w:rsidRPr="00AE695B">
        <w:rPr>
          <w:rFonts w:ascii="Times New Roman" w:eastAsia="Calibri" w:hAnsi="Times New Roman" w:cs="Times New Roman"/>
          <w:sz w:val="24"/>
          <w:szCs w:val="24"/>
          <w:lang w:val="es-ES_tradnl"/>
        </w:rPr>
        <w:t xml:space="preserve">Redacción-revisión y edición: </w:t>
      </w:r>
      <w:r w:rsidRPr="00AE695B">
        <w:rPr>
          <w:rFonts w:ascii="Times New Roman" w:eastAsia="Calibri" w:hAnsi="Times New Roman" w:cs="Times New Roman"/>
          <w:i/>
          <w:iCs/>
          <w:sz w:val="24"/>
          <w:szCs w:val="24"/>
          <w:lang w:val="es-ES_tradnl"/>
        </w:rPr>
        <w:t xml:space="preserve">Julio César González Aguilera, Víctor Manuel Leyva Lorenzo y </w:t>
      </w:r>
      <w:r w:rsidRPr="00AE695B">
        <w:rPr>
          <w:rFonts w:ascii="Times New Roman" w:eastAsia="Calibri" w:hAnsi="Times New Roman" w:cs="Times New Roman"/>
          <w:i/>
          <w:iCs/>
          <w:sz w:val="24"/>
          <w:szCs w:val="24"/>
        </w:rPr>
        <w:t>Yoleinis Esperanza Vázquez Belizón.</w:t>
      </w:r>
    </w:p>
    <w:p w14:paraId="7A97E882" w14:textId="77777777" w:rsidR="00675476" w:rsidRPr="00391509" w:rsidRDefault="00675476" w:rsidP="00391509"/>
    <w:sectPr w:rsidR="00675476" w:rsidRPr="00391509" w:rsidSect="000F3690">
      <w:headerReference w:type="default" r:id="rId21"/>
      <w:footerReference w:type="even" r:id="rId22"/>
      <w:footerReference w:type="default" r:id="rId23"/>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90B0" w14:textId="77777777" w:rsidR="0057093B" w:rsidRDefault="0057093B">
      <w:r>
        <w:separator/>
      </w:r>
    </w:p>
  </w:endnote>
  <w:endnote w:type="continuationSeparator" w:id="0">
    <w:p w14:paraId="1D28BCE2" w14:textId="77777777" w:rsidR="0057093B" w:rsidRDefault="0057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4E23" w14:textId="77777777" w:rsidR="00FB78F1" w:rsidRDefault="00FB78F1"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2562DD" w14:textId="77777777" w:rsidR="00FB78F1" w:rsidRDefault="00FB78F1"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A992" w14:textId="77777777" w:rsidR="00FB78F1" w:rsidRPr="00AE044C" w:rsidRDefault="00FB78F1"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2AEFA6CC" wp14:editId="46DEB40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33B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AD6347C" w14:textId="77777777" w:rsidR="00FB78F1" w:rsidRPr="00E95827" w:rsidRDefault="0057093B" w:rsidP="00E95827">
    <w:pPr>
      <w:pStyle w:val="Piedepgina"/>
      <w:spacing w:after="0"/>
      <w:ind w:right="357"/>
      <w:rPr>
        <w:rFonts w:ascii="Times New Roman" w:hAnsi="Times New Roman" w:cs="Times New Roman"/>
      </w:rPr>
    </w:pPr>
    <w:hyperlink r:id="rId1" w:history="1">
      <w:r w:rsidR="00FB78F1" w:rsidRPr="00E95827">
        <w:rPr>
          <w:rStyle w:val="Hipervnculo"/>
          <w:rFonts w:ascii="Times New Roman" w:hAnsi="Times New Roman" w:cs="Times New Roman"/>
        </w:rPr>
        <w:t>http://scielo.sld.cu</w:t>
      </w:r>
    </w:hyperlink>
  </w:p>
  <w:p w14:paraId="16A848D9" w14:textId="77777777" w:rsidR="00FB78F1" w:rsidRPr="00E95827" w:rsidRDefault="0057093B" w:rsidP="00E95827">
    <w:pPr>
      <w:pStyle w:val="Piedepgina"/>
      <w:tabs>
        <w:tab w:val="clear" w:pos="4252"/>
        <w:tab w:val="left" w:pos="8504"/>
      </w:tabs>
      <w:spacing w:after="0"/>
      <w:ind w:right="357"/>
      <w:rPr>
        <w:rFonts w:ascii="Times New Roman" w:hAnsi="Times New Roman" w:cs="Times New Roman"/>
      </w:rPr>
    </w:pPr>
    <w:hyperlink r:id="rId2" w:history="1">
      <w:r w:rsidR="00FB78F1" w:rsidRPr="00E95827">
        <w:rPr>
          <w:rStyle w:val="Hipervnculo"/>
          <w:rFonts w:ascii="Times New Roman" w:hAnsi="Times New Roman" w:cs="Times New Roman"/>
        </w:rPr>
        <w:t>http://www.revmedmilitar.sld.cu</w:t>
      </w:r>
    </w:hyperlink>
    <w:r w:rsidR="00FB78F1" w:rsidRPr="00E95827">
      <w:rPr>
        <w:rFonts w:ascii="Times New Roman" w:hAnsi="Times New Roman" w:cs="Times New Roman"/>
      </w:rPr>
      <w:t xml:space="preserve"> </w:t>
    </w:r>
    <w:r w:rsidR="00FB78F1" w:rsidRPr="00E95827">
      <w:rPr>
        <w:rFonts w:ascii="Times New Roman" w:hAnsi="Times New Roman" w:cs="Times New Roman"/>
      </w:rPr>
      <w:tab/>
    </w:r>
  </w:p>
  <w:p w14:paraId="50FF7177" w14:textId="77777777" w:rsidR="00FB78F1" w:rsidRPr="00E95827" w:rsidRDefault="00FB78F1" w:rsidP="00E95827">
    <w:pPr>
      <w:pStyle w:val="Piedepgina"/>
      <w:spacing w:after="0"/>
      <w:ind w:right="357"/>
      <w:jc w:val="center"/>
      <w:rPr>
        <w:rFonts w:ascii="Times New Roman" w:hAnsi="Times New Roman" w:cs="Times New Roman"/>
        <w:sz w:val="18"/>
        <w:szCs w:val="18"/>
      </w:rPr>
    </w:pPr>
    <w:r w:rsidRPr="00E95827">
      <w:rPr>
        <w:rFonts w:ascii="Times New Roman" w:hAnsi="Times New Roman" w:cs="Times New Roman"/>
      </w:rPr>
      <w:t>Bajo licencia Creative Commons</w:t>
    </w:r>
    <w:r w:rsidRPr="00E95827">
      <w:rPr>
        <w:rFonts w:ascii="Times New Roman" w:hAnsi="Times New Roman" w:cs="Times New Roman"/>
        <w:sz w:val="18"/>
        <w:szCs w:val="18"/>
      </w:rPr>
      <w:t xml:space="preserve"> </w:t>
    </w:r>
    <w:r w:rsidRPr="00E95827">
      <w:rPr>
        <w:rFonts w:ascii="Times New Roman" w:hAnsi="Times New Roman" w:cs="Times New Roman"/>
        <w:noProof/>
        <w:sz w:val="18"/>
        <w:szCs w:val="18"/>
        <w:lang w:eastAsia="es-ES"/>
      </w:rPr>
      <w:drawing>
        <wp:inline distT="0" distB="0" distL="0" distR="0" wp14:anchorId="68AD5B2A" wp14:editId="5D8F464E">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61D7" w14:textId="77777777" w:rsidR="0057093B" w:rsidRDefault="0057093B">
      <w:r>
        <w:separator/>
      </w:r>
    </w:p>
  </w:footnote>
  <w:footnote w:type="continuationSeparator" w:id="0">
    <w:p w14:paraId="45771AC6" w14:textId="77777777" w:rsidR="0057093B" w:rsidRDefault="0057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D802" w14:textId="523E5E45" w:rsidR="00FB78F1" w:rsidRPr="00E95827" w:rsidRDefault="00FB78F1" w:rsidP="00E95827">
    <w:pPr>
      <w:pStyle w:val="Encabezado"/>
      <w:tabs>
        <w:tab w:val="left" w:pos="420"/>
      </w:tabs>
      <w:spacing w:after="0"/>
      <w:jc w:val="center"/>
      <w:rPr>
        <w:rFonts w:ascii="Times New Roman" w:hAnsi="Times New Roman" w:cs="Times New Roman"/>
      </w:rPr>
    </w:pPr>
    <w:r w:rsidRPr="00E95827">
      <w:rPr>
        <w:rFonts w:ascii="Times New Roman" w:hAnsi="Times New Roman" w:cs="Times New Roman"/>
        <w:b/>
        <w:noProof/>
        <w:color w:val="00FFFF"/>
        <w:lang w:eastAsia="es-ES"/>
      </w:rPr>
      <w:drawing>
        <wp:anchor distT="0" distB="0" distL="114300" distR="114300" simplePos="0" relativeHeight="251683840" behindDoc="0" locked="0" layoutInCell="1" allowOverlap="1" wp14:anchorId="76C893B9" wp14:editId="07D81F70">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Pr="00E95827">
      <w:rPr>
        <w:rFonts w:ascii="Times New Roman" w:hAnsi="Times New Roman" w:cs="Times New Roman"/>
      </w:rPr>
      <w:t xml:space="preserve">Revista Cubana de Medicina Militar. </w:t>
    </w:r>
    <w:r>
      <w:rPr>
        <w:rFonts w:ascii="Times New Roman" w:hAnsi="Times New Roman" w:cs="Times New Roman"/>
      </w:rPr>
      <w:t>2021</w:t>
    </w:r>
    <w:r w:rsidRPr="00E95827">
      <w:rPr>
        <w:rFonts w:ascii="Times New Roman" w:hAnsi="Times New Roman" w:cs="Times New Roman"/>
      </w:rPr>
      <w:t>;</w:t>
    </w:r>
    <w:r>
      <w:rPr>
        <w:rFonts w:ascii="Times New Roman" w:hAnsi="Times New Roman" w:cs="Times New Roman"/>
      </w:rPr>
      <w:t xml:space="preserve"> 50</w:t>
    </w:r>
    <w:r w:rsidRPr="00E95827">
      <w:rPr>
        <w:rFonts w:ascii="Times New Roman" w:hAnsi="Times New Roman" w:cs="Times New Roman"/>
      </w:rPr>
      <w:t>(</w:t>
    </w:r>
    <w:r>
      <w:rPr>
        <w:rFonts w:ascii="Times New Roman" w:hAnsi="Times New Roman" w:cs="Times New Roman"/>
      </w:rPr>
      <w:t>4</w:t>
    </w:r>
    <w:r w:rsidRPr="00E95827">
      <w:rPr>
        <w:rFonts w:ascii="Times New Roman" w:hAnsi="Times New Roman" w:cs="Times New Roman"/>
      </w:rPr>
      <w:t>):</w:t>
    </w:r>
    <w:r>
      <w:rPr>
        <w:rFonts w:ascii="Times New Roman" w:hAnsi="Times New Roman" w:cs="Times New Roman"/>
      </w:rPr>
      <w:t xml:space="preserve"> e02101581</w:t>
    </w:r>
  </w:p>
  <w:p w14:paraId="5B898F34" w14:textId="77777777" w:rsidR="00FB78F1" w:rsidRDefault="00FB78F1">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093ACFA7" wp14:editId="303CE37B">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8BD0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311"/>
    <w:multiLevelType w:val="hybridMultilevel"/>
    <w:tmpl w:val="A5AEB81E"/>
    <w:lvl w:ilvl="0" w:tplc="E0F833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3E07FF"/>
    <w:multiLevelType w:val="hybridMultilevel"/>
    <w:tmpl w:val="C79664B8"/>
    <w:lvl w:ilvl="0" w:tplc="7FB6F74A">
      <w:start w:val="1"/>
      <w:numFmt w:val="bullet"/>
      <w:lvlText w:val="•"/>
      <w:lvlJc w:val="left"/>
      <w:pPr>
        <w:tabs>
          <w:tab w:val="num" w:pos="720"/>
        </w:tabs>
        <w:ind w:left="720" w:hanging="360"/>
      </w:pPr>
      <w:rPr>
        <w:rFonts w:ascii="Arial" w:hAnsi="Arial" w:hint="default"/>
      </w:rPr>
    </w:lvl>
    <w:lvl w:ilvl="1" w:tplc="52B0C2C6">
      <w:numFmt w:val="bullet"/>
      <w:lvlText w:val="•"/>
      <w:lvlJc w:val="left"/>
      <w:pPr>
        <w:tabs>
          <w:tab w:val="num" w:pos="1440"/>
        </w:tabs>
        <w:ind w:left="1440" w:hanging="360"/>
      </w:pPr>
      <w:rPr>
        <w:rFonts w:ascii="Arial" w:hAnsi="Arial" w:hint="default"/>
      </w:rPr>
    </w:lvl>
    <w:lvl w:ilvl="2" w:tplc="D2F00214" w:tentative="1">
      <w:start w:val="1"/>
      <w:numFmt w:val="bullet"/>
      <w:lvlText w:val="•"/>
      <w:lvlJc w:val="left"/>
      <w:pPr>
        <w:tabs>
          <w:tab w:val="num" w:pos="2160"/>
        </w:tabs>
        <w:ind w:left="2160" w:hanging="360"/>
      </w:pPr>
      <w:rPr>
        <w:rFonts w:ascii="Arial" w:hAnsi="Arial" w:hint="default"/>
      </w:rPr>
    </w:lvl>
    <w:lvl w:ilvl="3" w:tplc="1332AE72" w:tentative="1">
      <w:start w:val="1"/>
      <w:numFmt w:val="bullet"/>
      <w:lvlText w:val="•"/>
      <w:lvlJc w:val="left"/>
      <w:pPr>
        <w:tabs>
          <w:tab w:val="num" w:pos="2880"/>
        </w:tabs>
        <w:ind w:left="2880" w:hanging="360"/>
      </w:pPr>
      <w:rPr>
        <w:rFonts w:ascii="Arial" w:hAnsi="Arial" w:hint="default"/>
      </w:rPr>
    </w:lvl>
    <w:lvl w:ilvl="4" w:tplc="D91C7FEC" w:tentative="1">
      <w:start w:val="1"/>
      <w:numFmt w:val="bullet"/>
      <w:lvlText w:val="•"/>
      <w:lvlJc w:val="left"/>
      <w:pPr>
        <w:tabs>
          <w:tab w:val="num" w:pos="3600"/>
        </w:tabs>
        <w:ind w:left="3600" w:hanging="360"/>
      </w:pPr>
      <w:rPr>
        <w:rFonts w:ascii="Arial" w:hAnsi="Arial" w:hint="default"/>
      </w:rPr>
    </w:lvl>
    <w:lvl w:ilvl="5" w:tplc="EBDE660C" w:tentative="1">
      <w:start w:val="1"/>
      <w:numFmt w:val="bullet"/>
      <w:lvlText w:val="•"/>
      <w:lvlJc w:val="left"/>
      <w:pPr>
        <w:tabs>
          <w:tab w:val="num" w:pos="4320"/>
        </w:tabs>
        <w:ind w:left="4320" w:hanging="360"/>
      </w:pPr>
      <w:rPr>
        <w:rFonts w:ascii="Arial" w:hAnsi="Arial" w:hint="default"/>
      </w:rPr>
    </w:lvl>
    <w:lvl w:ilvl="6" w:tplc="2F30D0B6" w:tentative="1">
      <w:start w:val="1"/>
      <w:numFmt w:val="bullet"/>
      <w:lvlText w:val="•"/>
      <w:lvlJc w:val="left"/>
      <w:pPr>
        <w:tabs>
          <w:tab w:val="num" w:pos="5040"/>
        </w:tabs>
        <w:ind w:left="5040" w:hanging="360"/>
      </w:pPr>
      <w:rPr>
        <w:rFonts w:ascii="Arial" w:hAnsi="Arial" w:hint="default"/>
      </w:rPr>
    </w:lvl>
    <w:lvl w:ilvl="7" w:tplc="4C42E1B8" w:tentative="1">
      <w:start w:val="1"/>
      <w:numFmt w:val="bullet"/>
      <w:lvlText w:val="•"/>
      <w:lvlJc w:val="left"/>
      <w:pPr>
        <w:tabs>
          <w:tab w:val="num" w:pos="5760"/>
        </w:tabs>
        <w:ind w:left="5760" w:hanging="360"/>
      </w:pPr>
      <w:rPr>
        <w:rFonts w:ascii="Arial" w:hAnsi="Arial" w:hint="default"/>
      </w:rPr>
    </w:lvl>
    <w:lvl w:ilvl="8" w:tplc="CACA52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3B11CD"/>
    <w:multiLevelType w:val="hybridMultilevel"/>
    <w:tmpl w:val="F5C677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003F95"/>
    <w:multiLevelType w:val="hybridMultilevel"/>
    <w:tmpl w:val="621E7680"/>
    <w:lvl w:ilvl="0" w:tplc="8E5E4DBC">
      <w:start w:val="1"/>
      <w:numFmt w:val="decimal"/>
      <w:lvlText w:val="%1."/>
      <w:lvlJc w:val="left"/>
      <w:pPr>
        <w:ind w:left="360" w:hanging="360"/>
      </w:pPr>
      <w:rPr>
        <w:rFonts w:hint="default"/>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B6054F"/>
    <w:multiLevelType w:val="hybridMultilevel"/>
    <w:tmpl w:val="B3B2304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67416DE1"/>
    <w:multiLevelType w:val="hybridMultilevel"/>
    <w:tmpl w:val="F5C677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827"/>
    <w:rsid w:val="000F3690"/>
    <w:rsid w:val="001221D1"/>
    <w:rsid w:val="00180CE9"/>
    <w:rsid w:val="001A2FB4"/>
    <w:rsid w:val="00230AC4"/>
    <w:rsid w:val="00230DD5"/>
    <w:rsid w:val="0027663D"/>
    <w:rsid w:val="0029353C"/>
    <w:rsid w:val="002E1ECB"/>
    <w:rsid w:val="00380D64"/>
    <w:rsid w:val="00391509"/>
    <w:rsid w:val="003E03D5"/>
    <w:rsid w:val="004042E1"/>
    <w:rsid w:val="00454275"/>
    <w:rsid w:val="00493701"/>
    <w:rsid w:val="00493E9B"/>
    <w:rsid w:val="004D5CE7"/>
    <w:rsid w:val="004D7D64"/>
    <w:rsid w:val="004E2065"/>
    <w:rsid w:val="00506148"/>
    <w:rsid w:val="00516938"/>
    <w:rsid w:val="005508A2"/>
    <w:rsid w:val="00566F71"/>
    <w:rsid w:val="0057093B"/>
    <w:rsid w:val="005B69C5"/>
    <w:rsid w:val="005C3C7D"/>
    <w:rsid w:val="006713CE"/>
    <w:rsid w:val="00675476"/>
    <w:rsid w:val="006B4A49"/>
    <w:rsid w:val="006E707E"/>
    <w:rsid w:val="00701F36"/>
    <w:rsid w:val="00787452"/>
    <w:rsid w:val="00794399"/>
    <w:rsid w:val="007C430F"/>
    <w:rsid w:val="007D614D"/>
    <w:rsid w:val="008113C1"/>
    <w:rsid w:val="008707D0"/>
    <w:rsid w:val="00960D6A"/>
    <w:rsid w:val="009A0560"/>
    <w:rsid w:val="009A71E8"/>
    <w:rsid w:val="009B0917"/>
    <w:rsid w:val="009D526D"/>
    <w:rsid w:val="00A22F6D"/>
    <w:rsid w:val="00A23C0C"/>
    <w:rsid w:val="00A33A1E"/>
    <w:rsid w:val="00A477DE"/>
    <w:rsid w:val="00A52C31"/>
    <w:rsid w:val="00A570F8"/>
    <w:rsid w:val="00A71E65"/>
    <w:rsid w:val="00AE044C"/>
    <w:rsid w:val="00AF50EB"/>
    <w:rsid w:val="00B31971"/>
    <w:rsid w:val="00B4380A"/>
    <w:rsid w:val="00B66ECB"/>
    <w:rsid w:val="00C7523A"/>
    <w:rsid w:val="00CC1B6E"/>
    <w:rsid w:val="00CC376A"/>
    <w:rsid w:val="00CC48A1"/>
    <w:rsid w:val="00CC7AAC"/>
    <w:rsid w:val="00D85951"/>
    <w:rsid w:val="00DE25E0"/>
    <w:rsid w:val="00E25C17"/>
    <w:rsid w:val="00E45E01"/>
    <w:rsid w:val="00E62606"/>
    <w:rsid w:val="00E95827"/>
    <w:rsid w:val="00F379E6"/>
    <w:rsid w:val="00F46F0B"/>
    <w:rsid w:val="00FA3D1D"/>
    <w:rsid w:val="00FA469A"/>
    <w:rsid w:val="00FB3262"/>
    <w:rsid w:val="00FB78F1"/>
    <w:rsid w:val="00FD5932"/>
    <w:rsid w:val="00FD7417"/>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86CF0"/>
  <w15:docId w15:val="{0D4FF5B0-D764-4789-B718-B33A12C4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827"/>
    <w:pPr>
      <w:spacing w:after="200" w:line="276" w:lineRule="auto"/>
    </w:pPr>
    <w:rPr>
      <w:rFonts w:asciiTheme="minorHAnsi" w:eastAsiaTheme="minorHAnsi" w:hAnsiTheme="minorHAnsi" w:cstheme="minorBidi"/>
      <w:sz w:val="22"/>
      <w:szCs w:val="22"/>
      <w:lang w:eastAsia="en-US"/>
    </w:rPr>
  </w:style>
  <w:style w:type="paragraph" w:styleId="Ttulo2">
    <w:name w:val="heading 2"/>
    <w:basedOn w:val="Normal"/>
    <w:next w:val="Normal"/>
    <w:link w:val="Ttulo2Car"/>
    <w:uiPriority w:val="9"/>
    <w:unhideWhenUsed/>
    <w:qFormat/>
    <w:rsid w:val="00E958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2Car">
    <w:name w:val="Título 2 Car"/>
    <w:basedOn w:val="Fuentedeprrafopredeter"/>
    <w:link w:val="Ttulo2"/>
    <w:uiPriority w:val="9"/>
    <w:rsid w:val="00E95827"/>
    <w:rPr>
      <w:rFonts w:asciiTheme="majorHAnsi" w:eastAsiaTheme="majorEastAsia" w:hAnsiTheme="majorHAnsi" w:cstheme="majorBidi"/>
      <w:b/>
      <w:bCs/>
      <w:color w:val="4F81BD" w:themeColor="accent1"/>
      <w:sz w:val="26"/>
      <w:szCs w:val="26"/>
      <w:lang w:eastAsia="en-US"/>
    </w:rPr>
  </w:style>
  <w:style w:type="paragraph" w:styleId="Prrafodelista">
    <w:name w:val="List Paragraph"/>
    <w:basedOn w:val="Normal"/>
    <w:uiPriority w:val="34"/>
    <w:qFormat/>
    <w:rsid w:val="00E95827"/>
    <w:pPr>
      <w:ind w:left="720"/>
      <w:contextualSpacing/>
    </w:pPr>
  </w:style>
  <w:style w:type="paragraph" w:styleId="Textocomentario">
    <w:name w:val="annotation text"/>
    <w:basedOn w:val="Normal"/>
    <w:link w:val="TextocomentarioCar"/>
    <w:uiPriority w:val="99"/>
    <w:unhideWhenUsed/>
    <w:qFormat/>
    <w:rsid w:val="00E95827"/>
    <w:pPr>
      <w:spacing w:after="160" w:line="240" w:lineRule="auto"/>
    </w:pPr>
    <w:rPr>
      <w:sz w:val="20"/>
      <w:szCs w:val="20"/>
    </w:rPr>
  </w:style>
  <w:style w:type="character" w:customStyle="1" w:styleId="TextocomentarioCar">
    <w:name w:val="Texto comentario Car"/>
    <w:basedOn w:val="Fuentedeprrafopredeter"/>
    <w:link w:val="Textocomentario"/>
    <w:uiPriority w:val="99"/>
    <w:qFormat/>
    <w:rsid w:val="00E95827"/>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E95827"/>
    <w:rPr>
      <w:color w:val="605E5C"/>
      <w:shd w:val="clear" w:color="auto" w:fill="E1DFDD"/>
    </w:rPr>
  </w:style>
  <w:style w:type="character" w:styleId="Refdecomentario">
    <w:name w:val="annotation reference"/>
    <w:basedOn w:val="Fuentedeprrafopredeter"/>
    <w:uiPriority w:val="99"/>
    <w:semiHidden/>
    <w:unhideWhenUsed/>
    <w:rsid w:val="00E95827"/>
    <w:rPr>
      <w:sz w:val="16"/>
      <w:szCs w:val="16"/>
    </w:rPr>
  </w:style>
  <w:style w:type="paragraph" w:styleId="Asuntodelcomentario">
    <w:name w:val="annotation subject"/>
    <w:basedOn w:val="Textocomentario"/>
    <w:next w:val="Textocomentario"/>
    <w:link w:val="AsuntodelcomentarioCar"/>
    <w:uiPriority w:val="99"/>
    <w:semiHidden/>
    <w:unhideWhenUsed/>
    <w:rsid w:val="00E95827"/>
    <w:pPr>
      <w:spacing w:after="200"/>
    </w:pPr>
    <w:rPr>
      <w:b/>
      <w:bCs/>
    </w:rPr>
  </w:style>
  <w:style w:type="character" w:customStyle="1" w:styleId="AsuntodelcomentarioCar">
    <w:name w:val="Asunto del comentario Car"/>
    <w:basedOn w:val="TextocomentarioCar"/>
    <w:link w:val="Asuntodelcomentario"/>
    <w:uiPriority w:val="99"/>
    <w:semiHidden/>
    <w:rsid w:val="00E95827"/>
    <w:rPr>
      <w:rFonts w:asciiTheme="minorHAnsi" w:eastAsiaTheme="minorHAnsi" w:hAnsiTheme="minorHAnsi" w:cstheme="minorBidi"/>
      <w:b/>
      <w:bCs/>
      <w:lang w:eastAsia="en-US"/>
    </w:rPr>
  </w:style>
  <w:style w:type="character" w:customStyle="1" w:styleId="hgkelc">
    <w:name w:val="hgkelc"/>
    <w:basedOn w:val="Fuentedeprrafopredeter"/>
    <w:rsid w:val="00E95827"/>
  </w:style>
  <w:style w:type="character" w:styleId="Textoennegrita">
    <w:name w:val="Strong"/>
    <w:uiPriority w:val="22"/>
    <w:qFormat/>
    <w:rsid w:val="00E95827"/>
    <w:rPr>
      <w:b/>
      <w:bCs/>
    </w:rPr>
  </w:style>
  <w:style w:type="character" w:styleId="nfasis">
    <w:name w:val="Emphasis"/>
    <w:basedOn w:val="Fuentedeprrafopredeter"/>
    <w:uiPriority w:val="20"/>
    <w:qFormat/>
    <w:rsid w:val="00E95827"/>
    <w:rPr>
      <w:i/>
      <w:iCs/>
    </w:rPr>
  </w:style>
  <w:style w:type="character" w:customStyle="1" w:styleId="Mencinsinresolver2">
    <w:name w:val="Mención sin resolver2"/>
    <w:basedOn w:val="Fuentedeprrafopredeter"/>
    <w:uiPriority w:val="99"/>
    <w:semiHidden/>
    <w:unhideWhenUsed/>
    <w:rsid w:val="00E95827"/>
    <w:rPr>
      <w:color w:val="605E5C"/>
      <w:shd w:val="clear" w:color="auto" w:fill="E1DFDD"/>
    </w:rPr>
  </w:style>
  <w:style w:type="paragraph" w:styleId="Revisin">
    <w:name w:val="Revision"/>
    <w:hidden/>
    <w:uiPriority w:val="99"/>
    <w:semiHidden/>
    <w:rsid w:val="00E95827"/>
    <w:rPr>
      <w:rFonts w:asciiTheme="minorHAnsi" w:eastAsiaTheme="minorHAnsi" w:hAnsiTheme="minorHAnsi" w:cstheme="minorBidi"/>
      <w:sz w:val="22"/>
      <w:szCs w:val="22"/>
      <w:lang w:eastAsia="en-US"/>
    </w:rPr>
  </w:style>
  <w:style w:type="character" w:customStyle="1" w:styleId="Mencinsinresolver3">
    <w:name w:val="Mención sin resolver3"/>
    <w:basedOn w:val="Fuentedeprrafopredeter"/>
    <w:uiPriority w:val="99"/>
    <w:semiHidden/>
    <w:unhideWhenUsed/>
    <w:rsid w:val="00E95827"/>
    <w:rPr>
      <w:color w:val="605E5C"/>
      <w:shd w:val="clear" w:color="auto" w:fill="E1DFDD"/>
    </w:rPr>
  </w:style>
  <w:style w:type="character" w:styleId="Mencinsinresolver">
    <w:name w:val="Unresolved Mention"/>
    <w:basedOn w:val="Fuentedeprrafopredeter"/>
    <w:uiPriority w:val="99"/>
    <w:semiHidden/>
    <w:unhideWhenUsed/>
    <w:rsid w:val="00A33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314-5626" TargetMode="External"/><Relationship Id="rId13" Type="http://schemas.openxmlformats.org/officeDocument/2006/relationships/image" Target="media/image1.gif"/><Relationship Id="rId18" Type="http://schemas.openxmlformats.org/officeDocument/2006/relationships/hyperlink" Target="https://www.cdc.gov/nhsn/pdfs/pscmanual/17pscnosinfdef_current.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3-3914-2631" TargetMode="External"/><Relationship Id="rId12" Type="http://schemas.openxmlformats.org/officeDocument/2006/relationships/hyperlink" Target="mailto:julio.grm@infomed.sld.cu" TargetMode="External"/><Relationship Id="rId17" Type="http://schemas.openxmlformats.org/officeDocument/2006/relationships/hyperlink" Target="https://www.researchgate.net/publication/19234189_APACHE_II_a_severity_of_disease_classification_syste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edisur.sld.cu/index.php/medisur/article/view/4482" TargetMode="External"/><Relationship Id="rId20" Type="http://schemas.openxmlformats.org/officeDocument/2006/relationships/hyperlink" Target="https://www.revmie.sld.cu/index.php/mie/article/view/2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560-16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evcimeq.sld.cu/index.php/imq/article/viewFile/374/462" TargetMode="External"/><Relationship Id="rId23" Type="http://schemas.openxmlformats.org/officeDocument/2006/relationships/footer" Target="footer2.xml"/><Relationship Id="rId10" Type="http://schemas.openxmlformats.org/officeDocument/2006/relationships/hyperlink" Target="https://orcid.org/0000-0003-4592-1789" TargetMode="External"/><Relationship Id="rId19" Type="http://schemas.openxmlformats.org/officeDocument/2006/relationships/hyperlink" Target="https://www.cdc.gov/nhsn/pdf/pscmanual/errata2013.pdf" TargetMode="External"/><Relationship Id="rId4" Type="http://schemas.openxmlformats.org/officeDocument/2006/relationships/webSettings" Target="webSettings.xml"/><Relationship Id="rId9" Type="http://schemas.openxmlformats.org/officeDocument/2006/relationships/hyperlink" Target="https://orcid.org/0000-0001-6500-6049" TargetMode="External"/><Relationship Id="rId14" Type="http://schemas.openxmlformats.org/officeDocument/2006/relationships/image" Target="media/image2.gif"/><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236</TotalTime>
  <Pages>15</Pages>
  <Words>4241</Words>
  <Characters>23330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27516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39</cp:revision>
  <cp:lastPrinted>2010-09-13T21:29:00Z</cp:lastPrinted>
  <dcterms:created xsi:type="dcterms:W3CDTF">2021-10-28T19:31:00Z</dcterms:created>
  <dcterms:modified xsi:type="dcterms:W3CDTF">2021-10-30T16:34:00Z</dcterms:modified>
</cp:coreProperties>
</file>