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20EB7" w14:textId="77777777" w:rsidR="004D173E" w:rsidRPr="002131C2" w:rsidRDefault="004D173E" w:rsidP="004D173E">
      <w:pPr>
        <w:spacing w:after="0" w:line="360" w:lineRule="auto"/>
        <w:jc w:val="right"/>
        <w:rPr>
          <w:rFonts w:ascii="Times New Roman" w:eastAsia="Times New Roman" w:hAnsi="Times New Roman" w:cs="Times New Roman"/>
          <w:bCs/>
          <w:sz w:val="20"/>
          <w:szCs w:val="20"/>
        </w:rPr>
      </w:pPr>
      <w:r w:rsidRPr="002131C2">
        <w:rPr>
          <w:rFonts w:ascii="Times New Roman" w:eastAsia="Times New Roman" w:hAnsi="Times New Roman" w:cs="Times New Roman"/>
          <w:bCs/>
          <w:sz w:val="20"/>
          <w:szCs w:val="20"/>
        </w:rPr>
        <w:t xml:space="preserve">Artículo </w:t>
      </w:r>
      <w:r>
        <w:rPr>
          <w:rFonts w:ascii="Times New Roman" w:eastAsia="Times New Roman" w:hAnsi="Times New Roman" w:cs="Times New Roman"/>
          <w:bCs/>
          <w:sz w:val="20"/>
          <w:szCs w:val="20"/>
        </w:rPr>
        <w:t>de investigación</w:t>
      </w:r>
      <w:r w:rsidRPr="002131C2">
        <w:rPr>
          <w:rFonts w:ascii="Times New Roman" w:eastAsia="Times New Roman" w:hAnsi="Times New Roman" w:cs="Times New Roman"/>
          <w:bCs/>
          <w:sz w:val="20"/>
          <w:szCs w:val="20"/>
        </w:rPr>
        <w:t xml:space="preserve"> </w:t>
      </w:r>
    </w:p>
    <w:p w14:paraId="78FB7438" w14:textId="77777777" w:rsidR="004D173E" w:rsidRPr="002131C2" w:rsidRDefault="004D173E" w:rsidP="004D173E">
      <w:pPr>
        <w:spacing w:after="0" w:line="360" w:lineRule="auto"/>
        <w:rPr>
          <w:rFonts w:ascii="Times New Roman" w:eastAsia="Times New Roman" w:hAnsi="Times New Roman" w:cs="Times New Roman"/>
          <w:b/>
          <w:sz w:val="24"/>
          <w:szCs w:val="24"/>
        </w:rPr>
      </w:pPr>
    </w:p>
    <w:p w14:paraId="61A67E34" w14:textId="77777777" w:rsidR="004D173E" w:rsidRPr="002131C2" w:rsidRDefault="004D173E" w:rsidP="004D173E">
      <w:pPr>
        <w:spacing w:after="0" w:line="360" w:lineRule="auto"/>
        <w:jc w:val="center"/>
        <w:rPr>
          <w:rFonts w:ascii="Times New Roman" w:eastAsia="Times New Roman" w:hAnsi="Times New Roman" w:cs="Times New Roman"/>
          <w:b/>
          <w:sz w:val="28"/>
          <w:szCs w:val="28"/>
        </w:rPr>
      </w:pPr>
      <w:r w:rsidRPr="002131C2">
        <w:rPr>
          <w:rFonts w:ascii="Times New Roman" w:eastAsia="Times New Roman" w:hAnsi="Times New Roman" w:cs="Times New Roman"/>
          <w:b/>
          <w:sz w:val="28"/>
          <w:szCs w:val="28"/>
        </w:rPr>
        <w:t xml:space="preserve">Trastorno de estrés postraumático en una cohorte </w:t>
      </w:r>
      <w:r>
        <w:rPr>
          <w:rFonts w:ascii="Times New Roman" w:eastAsia="Times New Roman" w:hAnsi="Times New Roman" w:cs="Times New Roman"/>
          <w:b/>
          <w:sz w:val="28"/>
          <w:szCs w:val="28"/>
        </w:rPr>
        <w:t xml:space="preserve">de </w:t>
      </w:r>
      <w:r w:rsidRPr="002131C2">
        <w:rPr>
          <w:rFonts w:ascii="Times New Roman" w:eastAsia="Times New Roman" w:hAnsi="Times New Roman" w:cs="Times New Roman"/>
          <w:b/>
          <w:sz w:val="28"/>
          <w:szCs w:val="28"/>
        </w:rPr>
        <w:t>militar</w:t>
      </w:r>
      <w:r>
        <w:rPr>
          <w:rFonts w:ascii="Times New Roman" w:eastAsia="Times New Roman" w:hAnsi="Times New Roman" w:cs="Times New Roman"/>
          <w:b/>
          <w:sz w:val="28"/>
          <w:szCs w:val="28"/>
        </w:rPr>
        <w:t>es</w:t>
      </w:r>
      <w:r w:rsidRPr="002131C2">
        <w:rPr>
          <w:rFonts w:ascii="Times New Roman" w:eastAsia="Times New Roman" w:hAnsi="Times New Roman" w:cs="Times New Roman"/>
          <w:b/>
          <w:sz w:val="28"/>
          <w:szCs w:val="28"/>
        </w:rPr>
        <w:t xml:space="preserve"> con trauma de guerra</w:t>
      </w:r>
    </w:p>
    <w:p w14:paraId="4B448674" w14:textId="77777777" w:rsidR="004D173E" w:rsidRPr="002131C2" w:rsidRDefault="004D173E" w:rsidP="004D173E">
      <w:pPr>
        <w:spacing w:after="0" w:line="360" w:lineRule="auto"/>
        <w:jc w:val="center"/>
        <w:rPr>
          <w:rFonts w:ascii="Times New Roman" w:eastAsia="Times New Roman" w:hAnsi="Times New Roman" w:cs="Times New Roman"/>
          <w:sz w:val="24"/>
          <w:szCs w:val="24"/>
          <w:lang w:val="en-US"/>
        </w:rPr>
      </w:pPr>
      <w:r w:rsidRPr="002131C2">
        <w:rPr>
          <w:rFonts w:ascii="Times New Roman" w:eastAsia="Times New Roman" w:hAnsi="Times New Roman" w:cs="Times New Roman"/>
          <w:sz w:val="28"/>
          <w:szCs w:val="28"/>
          <w:lang w:val="en-US"/>
        </w:rPr>
        <w:t>Post-traumatic stress disorder in a military cohort with war trauma</w:t>
      </w:r>
    </w:p>
    <w:p w14:paraId="1EE6E9C2" w14:textId="77777777" w:rsidR="004D173E" w:rsidRPr="002131C2" w:rsidRDefault="004D173E" w:rsidP="004D173E">
      <w:pPr>
        <w:spacing w:after="0" w:line="360" w:lineRule="auto"/>
        <w:rPr>
          <w:rFonts w:ascii="Times New Roman" w:eastAsia="Times New Roman" w:hAnsi="Times New Roman" w:cs="Times New Roman"/>
          <w:sz w:val="24"/>
          <w:szCs w:val="24"/>
          <w:lang w:val="en-US"/>
        </w:rPr>
      </w:pPr>
    </w:p>
    <w:p w14:paraId="1BA2743F" w14:textId="77777777" w:rsidR="004D173E" w:rsidRPr="002131C2" w:rsidRDefault="004D173E" w:rsidP="004D173E">
      <w:pPr>
        <w:spacing w:after="0" w:line="360" w:lineRule="auto"/>
        <w:rPr>
          <w:rFonts w:ascii="Times New Roman" w:eastAsia="Times New Roman" w:hAnsi="Times New Roman" w:cs="Times New Roman"/>
          <w:color w:val="202124"/>
          <w:sz w:val="24"/>
          <w:szCs w:val="24"/>
        </w:rPr>
      </w:pPr>
      <w:r w:rsidRPr="002131C2">
        <w:rPr>
          <w:rFonts w:ascii="Times New Roman" w:eastAsia="Times New Roman" w:hAnsi="Times New Roman" w:cs="Times New Roman"/>
          <w:color w:val="202124"/>
          <w:sz w:val="24"/>
          <w:szCs w:val="24"/>
        </w:rPr>
        <w:t>Alirio Bastidas-Goyes</w:t>
      </w:r>
      <w:r w:rsidRPr="002131C2">
        <w:rPr>
          <w:rFonts w:ascii="Times New Roman" w:eastAsia="Times New Roman" w:hAnsi="Times New Roman" w:cs="Times New Roman"/>
          <w:color w:val="202124"/>
          <w:sz w:val="24"/>
          <w:szCs w:val="24"/>
          <w:vertAlign w:val="superscript"/>
        </w:rPr>
        <w:t>1</w:t>
      </w:r>
      <w:r w:rsidRPr="002131C2">
        <w:rPr>
          <w:rFonts w:ascii="Times New Roman" w:eastAsia="Times New Roman" w:hAnsi="Times New Roman" w:cs="Times New Roman"/>
          <w:color w:val="202124"/>
          <w:sz w:val="24"/>
          <w:szCs w:val="24"/>
        </w:rPr>
        <w:t xml:space="preserve">* </w:t>
      </w:r>
      <w:hyperlink r:id="rId7">
        <w:r w:rsidRPr="002131C2">
          <w:rPr>
            <w:rFonts w:ascii="Times New Roman" w:eastAsia="Times New Roman" w:hAnsi="Times New Roman" w:cs="Times New Roman"/>
            <w:color w:val="1155CC"/>
            <w:sz w:val="24"/>
            <w:szCs w:val="24"/>
            <w:u w:val="single"/>
          </w:rPr>
          <w:t>https://orcid.org/0000-0002-8873-9779</w:t>
        </w:r>
      </w:hyperlink>
      <w:r w:rsidRPr="002131C2">
        <w:rPr>
          <w:rFonts w:ascii="Times New Roman" w:eastAsia="Times New Roman" w:hAnsi="Times New Roman" w:cs="Times New Roman"/>
          <w:color w:val="202124"/>
          <w:sz w:val="24"/>
          <w:szCs w:val="24"/>
        </w:rPr>
        <w:t xml:space="preserve"> </w:t>
      </w:r>
    </w:p>
    <w:p w14:paraId="42525447" w14:textId="77777777" w:rsidR="004D173E" w:rsidRPr="002131C2" w:rsidRDefault="004D173E" w:rsidP="004D173E">
      <w:pPr>
        <w:spacing w:after="0" w:line="360" w:lineRule="auto"/>
        <w:rPr>
          <w:rFonts w:ascii="Times New Roman" w:eastAsia="Times New Roman" w:hAnsi="Times New Roman" w:cs="Times New Roman"/>
          <w:color w:val="202124"/>
          <w:sz w:val="24"/>
          <w:szCs w:val="24"/>
        </w:rPr>
      </w:pPr>
      <w:r w:rsidRPr="002131C2">
        <w:rPr>
          <w:rFonts w:ascii="Times New Roman" w:eastAsia="Times New Roman" w:hAnsi="Times New Roman" w:cs="Times New Roman"/>
          <w:color w:val="202124"/>
          <w:sz w:val="24"/>
          <w:szCs w:val="24"/>
        </w:rPr>
        <w:t>Eduardo Tuta-Quintero</w:t>
      </w:r>
      <w:r w:rsidRPr="002131C2">
        <w:rPr>
          <w:rFonts w:ascii="Times New Roman" w:eastAsia="Times New Roman" w:hAnsi="Times New Roman" w:cs="Times New Roman"/>
          <w:color w:val="202124"/>
          <w:sz w:val="24"/>
          <w:szCs w:val="24"/>
          <w:vertAlign w:val="superscript"/>
        </w:rPr>
        <w:t xml:space="preserve">1 </w:t>
      </w:r>
      <w:hyperlink r:id="rId8">
        <w:r w:rsidRPr="002131C2">
          <w:rPr>
            <w:rFonts w:ascii="Times New Roman" w:eastAsia="Times New Roman" w:hAnsi="Times New Roman" w:cs="Times New Roman"/>
            <w:color w:val="1155CC"/>
            <w:sz w:val="24"/>
            <w:szCs w:val="24"/>
            <w:u w:val="single"/>
          </w:rPr>
          <w:t>https://orcid.org/0000-0002-7243-2238</w:t>
        </w:r>
      </w:hyperlink>
      <w:r w:rsidRPr="002131C2">
        <w:rPr>
          <w:rFonts w:ascii="Times New Roman" w:eastAsia="Times New Roman" w:hAnsi="Times New Roman" w:cs="Times New Roman"/>
          <w:color w:val="202124"/>
          <w:sz w:val="24"/>
          <w:szCs w:val="24"/>
        </w:rPr>
        <w:t xml:space="preserve"> </w:t>
      </w:r>
    </w:p>
    <w:p w14:paraId="6B77F4E4" w14:textId="77777777" w:rsidR="004D173E" w:rsidRPr="002131C2" w:rsidRDefault="004D173E" w:rsidP="004D173E">
      <w:pPr>
        <w:spacing w:after="0" w:line="360" w:lineRule="auto"/>
        <w:rPr>
          <w:rFonts w:ascii="Times New Roman" w:eastAsia="Times New Roman" w:hAnsi="Times New Roman" w:cs="Times New Roman"/>
          <w:color w:val="202124"/>
          <w:sz w:val="24"/>
          <w:szCs w:val="24"/>
        </w:rPr>
      </w:pPr>
      <w:r w:rsidRPr="002131C2">
        <w:rPr>
          <w:rFonts w:ascii="Times New Roman" w:eastAsia="Times New Roman" w:hAnsi="Times New Roman" w:cs="Times New Roman"/>
          <w:color w:val="202124"/>
          <w:sz w:val="24"/>
          <w:szCs w:val="24"/>
        </w:rPr>
        <w:t>Gustavo Hincapíe-Díaz</w:t>
      </w:r>
      <w:r w:rsidRPr="002131C2">
        <w:rPr>
          <w:rFonts w:ascii="Times New Roman" w:eastAsia="Times New Roman" w:hAnsi="Times New Roman" w:cs="Times New Roman"/>
          <w:color w:val="202124"/>
          <w:sz w:val="24"/>
          <w:szCs w:val="24"/>
          <w:vertAlign w:val="superscript"/>
        </w:rPr>
        <w:t xml:space="preserve">2 </w:t>
      </w:r>
      <w:hyperlink r:id="rId9">
        <w:r w:rsidRPr="002131C2">
          <w:rPr>
            <w:rFonts w:ascii="Times New Roman" w:eastAsia="Times New Roman" w:hAnsi="Times New Roman" w:cs="Times New Roman"/>
            <w:color w:val="1155CC"/>
            <w:sz w:val="24"/>
            <w:szCs w:val="24"/>
            <w:u w:val="single"/>
          </w:rPr>
          <w:t>https://orcid.org/0000-0002-5220-5193</w:t>
        </w:r>
      </w:hyperlink>
      <w:r w:rsidRPr="002131C2">
        <w:rPr>
          <w:rFonts w:ascii="Times New Roman" w:eastAsia="Times New Roman" w:hAnsi="Times New Roman" w:cs="Times New Roman"/>
          <w:color w:val="202124"/>
          <w:sz w:val="24"/>
          <w:szCs w:val="24"/>
        </w:rPr>
        <w:t xml:space="preserve"> </w:t>
      </w:r>
    </w:p>
    <w:p w14:paraId="73FACB82" w14:textId="77777777" w:rsidR="004D173E" w:rsidRPr="002131C2" w:rsidRDefault="004D173E" w:rsidP="004D173E">
      <w:pPr>
        <w:spacing w:after="0" w:line="360" w:lineRule="auto"/>
        <w:rPr>
          <w:rFonts w:ascii="Times New Roman" w:eastAsia="Times New Roman" w:hAnsi="Times New Roman" w:cs="Times New Roman"/>
          <w:color w:val="494A4C"/>
          <w:sz w:val="24"/>
          <w:szCs w:val="24"/>
        </w:rPr>
      </w:pPr>
      <w:r w:rsidRPr="002131C2">
        <w:rPr>
          <w:rFonts w:ascii="Times New Roman" w:eastAsia="Times New Roman" w:hAnsi="Times New Roman" w:cs="Times New Roman"/>
          <w:color w:val="202124"/>
          <w:sz w:val="24"/>
          <w:szCs w:val="24"/>
        </w:rPr>
        <w:t>Alejandro Rueda-Rodriguez</w:t>
      </w:r>
      <w:r w:rsidRPr="002131C2">
        <w:rPr>
          <w:rFonts w:ascii="Times New Roman" w:eastAsia="Times New Roman" w:hAnsi="Times New Roman" w:cs="Times New Roman"/>
          <w:color w:val="202124"/>
          <w:sz w:val="24"/>
          <w:szCs w:val="24"/>
          <w:vertAlign w:val="superscript"/>
        </w:rPr>
        <w:t xml:space="preserve">1 </w:t>
      </w:r>
      <w:hyperlink r:id="rId10">
        <w:r w:rsidRPr="002131C2">
          <w:rPr>
            <w:rFonts w:ascii="Times New Roman" w:eastAsia="Times New Roman" w:hAnsi="Times New Roman" w:cs="Times New Roman"/>
            <w:color w:val="1155CC"/>
            <w:sz w:val="24"/>
            <w:szCs w:val="24"/>
            <w:u w:val="single"/>
          </w:rPr>
          <w:t>https://orcid.org/0000-0001-8335-4370</w:t>
        </w:r>
      </w:hyperlink>
      <w:r w:rsidRPr="002131C2">
        <w:rPr>
          <w:rFonts w:ascii="Times New Roman" w:eastAsia="Times New Roman" w:hAnsi="Times New Roman" w:cs="Times New Roman"/>
          <w:color w:val="202124"/>
          <w:sz w:val="24"/>
          <w:szCs w:val="24"/>
        </w:rPr>
        <w:t xml:space="preserve"> </w:t>
      </w:r>
      <w:r w:rsidRPr="002131C2">
        <w:rPr>
          <w:rFonts w:ascii="Times New Roman" w:eastAsia="Times New Roman" w:hAnsi="Times New Roman" w:cs="Times New Roman"/>
          <w:color w:val="202124"/>
          <w:sz w:val="24"/>
          <w:szCs w:val="24"/>
        </w:rPr>
        <w:br/>
        <w:t>Audrey Piotrostanalsky</w:t>
      </w:r>
      <w:r w:rsidRPr="002131C2">
        <w:rPr>
          <w:rFonts w:ascii="Times New Roman" w:eastAsia="Times New Roman" w:hAnsi="Times New Roman" w:cs="Times New Roman"/>
          <w:color w:val="202124"/>
          <w:sz w:val="24"/>
          <w:szCs w:val="24"/>
          <w:vertAlign w:val="superscript"/>
        </w:rPr>
        <w:t xml:space="preserve">2 </w:t>
      </w:r>
      <w:hyperlink r:id="rId11">
        <w:r w:rsidRPr="002131C2">
          <w:rPr>
            <w:rFonts w:ascii="Times New Roman" w:eastAsia="Times New Roman" w:hAnsi="Times New Roman" w:cs="Times New Roman"/>
            <w:color w:val="1155CC"/>
            <w:sz w:val="24"/>
            <w:szCs w:val="24"/>
            <w:u w:val="single"/>
          </w:rPr>
          <w:t>https://orcid.org/0000-0003-0419-0756</w:t>
        </w:r>
      </w:hyperlink>
      <w:r w:rsidRPr="002131C2">
        <w:rPr>
          <w:rFonts w:ascii="Times New Roman" w:eastAsia="Times New Roman" w:hAnsi="Times New Roman" w:cs="Times New Roman"/>
          <w:color w:val="494A4C"/>
          <w:sz w:val="24"/>
          <w:szCs w:val="24"/>
        </w:rPr>
        <w:t xml:space="preserve"> </w:t>
      </w:r>
    </w:p>
    <w:p w14:paraId="775E1DA7" w14:textId="37F8FC25" w:rsidR="004D173E" w:rsidRPr="002131C2" w:rsidRDefault="004D173E" w:rsidP="004D173E">
      <w:pPr>
        <w:spacing w:after="0" w:line="360" w:lineRule="auto"/>
        <w:rPr>
          <w:rFonts w:ascii="Times New Roman" w:eastAsia="Times New Roman" w:hAnsi="Times New Roman" w:cs="Times New Roman"/>
          <w:color w:val="202124"/>
          <w:sz w:val="24"/>
          <w:szCs w:val="24"/>
        </w:rPr>
      </w:pPr>
      <w:r w:rsidRPr="002131C2">
        <w:rPr>
          <w:rFonts w:ascii="Times New Roman" w:eastAsia="Times New Roman" w:hAnsi="Times New Roman" w:cs="Times New Roman"/>
          <w:color w:val="202124"/>
          <w:sz w:val="24"/>
          <w:szCs w:val="24"/>
        </w:rPr>
        <w:t>Silvia Contreras-Candelo</w:t>
      </w:r>
      <w:r w:rsidRPr="002131C2">
        <w:rPr>
          <w:rFonts w:ascii="Times New Roman" w:eastAsia="Times New Roman" w:hAnsi="Times New Roman" w:cs="Times New Roman"/>
          <w:color w:val="202124"/>
          <w:sz w:val="24"/>
          <w:szCs w:val="24"/>
          <w:vertAlign w:val="superscript"/>
        </w:rPr>
        <w:t xml:space="preserve">1 </w:t>
      </w:r>
      <w:hyperlink r:id="rId12" w:history="1">
        <w:r w:rsidR="0019735A" w:rsidRPr="004D136A">
          <w:rPr>
            <w:rStyle w:val="Hipervnculo"/>
            <w:rFonts w:ascii="Times New Roman" w:eastAsia="Times New Roman" w:hAnsi="Times New Roman" w:cs="Times New Roman"/>
            <w:sz w:val="24"/>
            <w:szCs w:val="24"/>
          </w:rPr>
          <w:t>https://orcid.org/0000-0002-0582-0548</w:t>
        </w:r>
      </w:hyperlink>
      <w:r w:rsidR="0019735A">
        <w:rPr>
          <w:rFonts w:ascii="Times New Roman" w:eastAsia="Times New Roman" w:hAnsi="Times New Roman" w:cs="Times New Roman"/>
          <w:color w:val="1155CC"/>
          <w:sz w:val="24"/>
          <w:szCs w:val="24"/>
          <w:u w:val="single"/>
        </w:rPr>
        <w:t xml:space="preserve"> </w:t>
      </w:r>
      <w:r w:rsidRPr="002131C2">
        <w:rPr>
          <w:rFonts w:ascii="Times New Roman" w:eastAsia="Times New Roman" w:hAnsi="Times New Roman" w:cs="Times New Roman"/>
          <w:color w:val="202124"/>
          <w:sz w:val="24"/>
          <w:szCs w:val="24"/>
        </w:rPr>
        <w:t xml:space="preserve"> </w:t>
      </w:r>
    </w:p>
    <w:p w14:paraId="70A4915E" w14:textId="77777777" w:rsidR="004D173E" w:rsidRPr="002131C2" w:rsidRDefault="004D173E" w:rsidP="004D173E">
      <w:pPr>
        <w:spacing w:after="0" w:line="360" w:lineRule="auto"/>
        <w:rPr>
          <w:rFonts w:ascii="Times New Roman" w:eastAsia="Times New Roman" w:hAnsi="Times New Roman" w:cs="Times New Roman"/>
          <w:color w:val="202124"/>
          <w:sz w:val="24"/>
          <w:szCs w:val="24"/>
        </w:rPr>
      </w:pPr>
    </w:p>
    <w:p w14:paraId="7469AD2B" w14:textId="77777777" w:rsidR="004D173E" w:rsidRPr="002131C2" w:rsidRDefault="004D173E" w:rsidP="004D173E">
      <w:pPr>
        <w:spacing w:after="0" w:line="360" w:lineRule="auto"/>
        <w:rPr>
          <w:rFonts w:ascii="Times New Roman" w:eastAsia="Times New Roman" w:hAnsi="Times New Roman" w:cs="Times New Roman"/>
          <w:color w:val="202124"/>
          <w:sz w:val="24"/>
          <w:szCs w:val="24"/>
        </w:rPr>
      </w:pPr>
      <w:r w:rsidRPr="002131C2">
        <w:rPr>
          <w:rFonts w:ascii="Times New Roman" w:eastAsia="Times New Roman" w:hAnsi="Times New Roman" w:cs="Times New Roman"/>
          <w:color w:val="202124"/>
          <w:sz w:val="24"/>
          <w:szCs w:val="24"/>
          <w:vertAlign w:val="superscript"/>
        </w:rPr>
        <w:t>1</w:t>
      </w:r>
      <w:r w:rsidRPr="002131C2">
        <w:rPr>
          <w:rFonts w:ascii="Times New Roman" w:eastAsia="Times New Roman" w:hAnsi="Times New Roman" w:cs="Times New Roman"/>
          <w:color w:val="202124"/>
          <w:sz w:val="24"/>
          <w:szCs w:val="24"/>
        </w:rPr>
        <w:t>Departamento de Medicina Interna y Epidemiología, Universidad de La Sabana</w:t>
      </w:r>
      <w:r>
        <w:rPr>
          <w:rFonts w:ascii="Times New Roman" w:eastAsia="Times New Roman" w:hAnsi="Times New Roman" w:cs="Times New Roman"/>
          <w:color w:val="202124"/>
          <w:sz w:val="24"/>
          <w:szCs w:val="24"/>
        </w:rPr>
        <w:t>.</w:t>
      </w:r>
      <w:r w:rsidRPr="002131C2">
        <w:rPr>
          <w:rFonts w:ascii="Times New Roman" w:eastAsia="Times New Roman" w:hAnsi="Times New Roman" w:cs="Times New Roman"/>
          <w:color w:val="202124"/>
          <w:sz w:val="24"/>
          <w:szCs w:val="24"/>
        </w:rPr>
        <w:t xml:space="preserve"> Chía, Colombia. </w:t>
      </w:r>
    </w:p>
    <w:p w14:paraId="15254BBA" w14:textId="77777777" w:rsidR="004D173E" w:rsidRPr="002131C2" w:rsidRDefault="004D173E" w:rsidP="004D173E">
      <w:pPr>
        <w:spacing w:after="0" w:line="360" w:lineRule="auto"/>
        <w:rPr>
          <w:rFonts w:ascii="Times New Roman" w:eastAsia="Times New Roman" w:hAnsi="Times New Roman" w:cs="Times New Roman"/>
          <w:color w:val="202124"/>
          <w:sz w:val="24"/>
          <w:szCs w:val="24"/>
        </w:rPr>
      </w:pPr>
      <w:r w:rsidRPr="002131C2">
        <w:rPr>
          <w:rFonts w:ascii="Times New Roman" w:eastAsia="Times New Roman" w:hAnsi="Times New Roman" w:cs="Times New Roman"/>
          <w:color w:val="202124"/>
          <w:sz w:val="24"/>
          <w:szCs w:val="24"/>
          <w:vertAlign w:val="superscript"/>
        </w:rPr>
        <w:t>2</w:t>
      </w:r>
      <w:r w:rsidRPr="002131C2">
        <w:rPr>
          <w:rFonts w:ascii="Times New Roman" w:eastAsia="Times New Roman" w:hAnsi="Times New Roman" w:cs="Times New Roman"/>
          <w:color w:val="202124"/>
          <w:sz w:val="24"/>
          <w:szCs w:val="24"/>
        </w:rPr>
        <w:t>Servicio de Neumología. Hospital Militar Central. Bogotá, Colombia.</w:t>
      </w:r>
    </w:p>
    <w:p w14:paraId="52D6D0D9" w14:textId="77777777" w:rsidR="004D173E" w:rsidRPr="002131C2" w:rsidRDefault="004D173E" w:rsidP="004D173E">
      <w:pPr>
        <w:spacing w:after="0" w:line="360" w:lineRule="auto"/>
        <w:rPr>
          <w:rFonts w:ascii="Times New Roman" w:eastAsia="Times New Roman" w:hAnsi="Times New Roman" w:cs="Times New Roman"/>
          <w:color w:val="202124"/>
          <w:sz w:val="24"/>
          <w:szCs w:val="24"/>
        </w:rPr>
      </w:pPr>
    </w:p>
    <w:p w14:paraId="1616EA1A" w14:textId="3A51943B" w:rsidR="004D173E" w:rsidRPr="002131C2" w:rsidRDefault="004D173E" w:rsidP="004D173E">
      <w:pPr>
        <w:spacing w:after="0" w:line="360" w:lineRule="auto"/>
        <w:rPr>
          <w:rFonts w:ascii="Times New Roman" w:eastAsia="Times New Roman" w:hAnsi="Times New Roman" w:cs="Times New Roman"/>
          <w:color w:val="202124"/>
          <w:sz w:val="24"/>
          <w:szCs w:val="24"/>
        </w:rPr>
      </w:pPr>
      <w:r w:rsidRPr="002131C2">
        <w:rPr>
          <w:rFonts w:ascii="Times New Roman" w:eastAsia="Times New Roman" w:hAnsi="Times New Roman" w:cs="Times New Roman"/>
          <w:color w:val="202124"/>
          <w:sz w:val="24"/>
          <w:szCs w:val="24"/>
        </w:rPr>
        <w:t xml:space="preserve">*Autor para la correspondencia. Correo electrónico: </w:t>
      </w:r>
      <w:hyperlink r:id="rId13" w:history="1">
        <w:r w:rsidR="0019735A" w:rsidRPr="004D136A">
          <w:rPr>
            <w:rStyle w:val="Hipervnculo"/>
            <w:rFonts w:ascii="Times New Roman" w:eastAsia="Times New Roman" w:hAnsi="Times New Roman" w:cs="Times New Roman"/>
            <w:sz w:val="24"/>
            <w:szCs w:val="24"/>
          </w:rPr>
          <w:t>alirio.bastidas@unisabana.edu.co</w:t>
        </w:r>
      </w:hyperlink>
      <w:r>
        <w:rPr>
          <w:rFonts w:ascii="Times New Roman" w:eastAsia="Times New Roman" w:hAnsi="Times New Roman" w:cs="Times New Roman"/>
          <w:color w:val="202124"/>
          <w:sz w:val="24"/>
          <w:szCs w:val="24"/>
        </w:rPr>
        <w:t xml:space="preserve"> </w:t>
      </w:r>
    </w:p>
    <w:p w14:paraId="081FB60D" w14:textId="77777777" w:rsidR="004D173E" w:rsidRPr="002131C2" w:rsidRDefault="004D173E" w:rsidP="004D173E">
      <w:pPr>
        <w:spacing w:after="0" w:line="360" w:lineRule="auto"/>
        <w:rPr>
          <w:rFonts w:ascii="Times New Roman" w:eastAsia="Times New Roman" w:hAnsi="Times New Roman" w:cs="Times New Roman"/>
          <w:b/>
          <w:sz w:val="24"/>
          <w:szCs w:val="24"/>
        </w:rPr>
      </w:pPr>
    </w:p>
    <w:p w14:paraId="4397B297" w14:textId="77777777" w:rsidR="004D173E" w:rsidRPr="002131C2" w:rsidRDefault="004D173E" w:rsidP="004D173E">
      <w:pPr>
        <w:spacing w:after="0" w:line="360" w:lineRule="auto"/>
        <w:rPr>
          <w:rFonts w:ascii="Times New Roman" w:eastAsia="Times New Roman" w:hAnsi="Times New Roman" w:cs="Times New Roman"/>
          <w:b/>
          <w:sz w:val="24"/>
          <w:szCs w:val="24"/>
        </w:rPr>
      </w:pPr>
      <w:r w:rsidRPr="002131C2">
        <w:rPr>
          <w:rFonts w:ascii="Times New Roman" w:eastAsia="Times New Roman" w:hAnsi="Times New Roman" w:cs="Times New Roman"/>
          <w:b/>
          <w:sz w:val="24"/>
          <w:szCs w:val="24"/>
        </w:rPr>
        <w:t>RESUMEN</w:t>
      </w:r>
    </w:p>
    <w:p w14:paraId="2DAB2898" w14:textId="77777777" w:rsidR="004D173E" w:rsidRPr="002131C2" w:rsidRDefault="004D173E" w:rsidP="004D173E">
      <w:pPr>
        <w:spacing w:after="0" w:line="360" w:lineRule="auto"/>
        <w:jc w:val="both"/>
        <w:rPr>
          <w:rFonts w:ascii="Times New Roman" w:eastAsia="Times New Roman" w:hAnsi="Times New Roman" w:cs="Times New Roman"/>
          <w:b/>
          <w:sz w:val="24"/>
          <w:szCs w:val="24"/>
        </w:rPr>
      </w:pPr>
      <w:r w:rsidRPr="002131C2">
        <w:rPr>
          <w:rFonts w:ascii="Times New Roman" w:eastAsia="Times New Roman" w:hAnsi="Times New Roman" w:cs="Times New Roman"/>
          <w:b/>
          <w:sz w:val="24"/>
          <w:szCs w:val="24"/>
        </w:rPr>
        <w:t xml:space="preserve">Introducción: </w:t>
      </w:r>
      <w:r w:rsidRPr="002131C2">
        <w:rPr>
          <w:rFonts w:ascii="Times New Roman" w:eastAsia="Times New Roman" w:hAnsi="Times New Roman" w:cs="Times New Roman"/>
          <w:sz w:val="24"/>
          <w:szCs w:val="24"/>
        </w:rPr>
        <w:t>Las personas que forman parte de las fuerzas armadas a nivel mundial han sido susceptibles al desarrollo del trastorno de estrés postraumático, debido a la exposición a condiciones que predisponen su desarrollo.</w:t>
      </w:r>
    </w:p>
    <w:p w14:paraId="1A410B9D" w14:textId="77777777" w:rsidR="004D173E" w:rsidRPr="002131C2" w:rsidRDefault="004D173E" w:rsidP="004D173E">
      <w:pPr>
        <w:spacing w:after="0" w:line="360" w:lineRule="auto"/>
        <w:rPr>
          <w:rFonts w:ascii="Times New Roman" w:eastAsia="Times New Roman" w:hAnsi="Times New Roman" w:cs="Times New Roman"/>
          <w:b/>
          <w:sz w:val="24"/>
          <w:szCs w:val="24"/>
        </w:rPr>
      </w:pPr>
      <w:r w:rsidRPr="002131C2">
        <w:rPr>
          <w:rFonts w:ascii="Times New Roman" w:eastAsia="Times New Roman" w:hAnsi="Times New Roman" w:cs="Times New Roman"/>
          <w:b/>
          <w:sz w:val="24"/>
          <w:szCs w:val="24"/>
        </w:rPr>
        <w:t xml:space="preserve">Objetivo: </w:t>
      </w:r>
      <w:r w:rsidRPr="002131C2">
        <w:rPr>
          <w:rFonts w:ascii="Times New Roman" w:eastAsia="Times New Roman" w:hAnsi="Times New Roman" w:cs="Times New Roman"/>
          <w:sz w:val="24"/>
          <w:szCs w:val="24"/>
        </w:rPr>
        <w:t>Establecer la frecuencia y posibles factores de riesgo asociados del trastorno de estrés postraumático en sujetos con lesiones en tórax</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sufridas en combate.</w:t>
      </w:r>
    </w:p>
    <w:p w14:paraId="4C6748F2" w14:textId="77777777" w:rsidR="004D173E" w:rsidRPr="002131C2" w:rsidRDefault="004D173E" w:rsidP="004D173E">
      <w:pPr>
        <w:spacing w:after="0" w:line="360" w:lineRule="auto"/>
        <w:jc w:val="both"/>
        <w:rPr>
          <w:rFonts w:ascii="Times New Roman" w:eastAsia="Times New Roman" w:hAnsi="Times New Roman" w:cs="Times New Roman"/>
          <w:b/>
          <w:sz w:val="24"/>
          <w:szCs w:val="24"/>
        </w:rPr>
      </w:pPr>
      <w:bookmarkStart w:id="0" w:name="_heading=h.gjdgxs" w:colFirst="0" w:colLast="0"/>
      <w:bookmarkEnd w:id="0"/>
      <w:r w:rsidRPr="002131C2">
        <w:rPr>
          <w:rFonts w:ascii="Times New Roman" w:eastAsia="Times New Roman" w:hAnsi="Times New Roman" w:cs="Times New Roman"/>
          <w:b/>
          <w:sz w:val="24"/>
          <w:szCs w:val="24"/>
        </w:rPr>
        <w:t xml:space="preserve">Métodos: </w:t>
      </w:r>
      <w:r w:rsidRPr="002131C2">
        <w:rPr>
          <w:rFonts w:ascii="Times New Roman" w:eastAsia="Times New Roman" w:hAnsi="Times New Roman" w:cs="Times New Roman"/>
          <w:sz w:val="24"/>
          <w:szCs w:val="24"/>
        </w:rPr>
        <w:t>Estudio comparativo entre sujetos con trauma de tórax sufrido en combate y militares sin lesión torácica con experiencia en combate, mediante la evaluación de un cuestionario diagnóstico de 24 preguntas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validado para Colombia del trastorno de estrés postraumático. Se incluyó población </w:t>
      </w:r>
      <w:r w:rsidRPr="002131C2">
        <w:rPr>
          <w:rFonts w:ascii="Times New Roman" w:eastAsia="Times New Roman" w:hAnsi="Times New Roman" w:cs="Times New Roman"/>
          <w:sz w:val="24"/>
          <w:szCs w:val="24"/>
        </w:rPr>
        <w:lastRenderedPageBreak/>
        <w:t>militar de mayores de 18 años y menores de 55 años, con trauma de tórax que tuvieron manejo médico o quirúrgico (toracotomía o laparotomía).</w:t>
      </w:r>
    </w:p>
    <w:p w14:paraId="31664D9F"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b/>
          <w:sz w:val="24"/>
          <w:szCs w:val="24"/>
        </w:rPr>
        <w:t>Resultados:</w:t>
      </w:r>
      <w:r w:rsidRPr="002131C2">
        <w:rPr>
          <w:rFonts w:ascii="Times New Roman" w:eastAsia="Times New Roman" w:hAnsi="Times New Roman" w:cs="Times New Roman"/>
          <w:sz w:val="24"/>
          <w:szCs w:val="24"/>
        </w:rPr>
        <w:t xml:space="preserve"> Ingresaron al estudio 45 sujetos, 25 con antecedente de trauma de tórax y 20 sanos con experiencia en combate</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2131C2">
        <w:rPr>
          <w:rFonts w:ascii="Times New Roman" w:eastAsia="Times New Roman" w:hAnsi="Times New Roman" w:cs="Times New Roman"/>
          <w:sz w:val="24"/>
          <w:szCs w:val="24"/>
        </w:rPr>
        <w:t>e los sujetos con trauma</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25 se evaluaron a los 3 meses y 11 a los 5 meses.</w:t>
      </w:r>
      <w:r w:rsidRPr="002131C2">
        <w:rPr>
          <w:rFonts w:ascii="Times New Roman" w:eastAsia="Times New Roman" w:hAnsi="Times New Roman" w:cs="Times New Roman"/>
          <w:b/>
          <w:sz w:val="24"/>
          <w:szCs w:val="24"/>
        </w:rPr>
        <w:t xml:space="preserve"> </w:t>
      </w:r>
      <w:r w:rsidRPr="002131C2">
        <w:rPr>
          <w:rFonts w:ascii="Times New Roman" w:eastAsia="Times New Roman" w:hAnsi="Times New Roman" w:cs="Times New Roman"/>
          <w:sz w:val="24"/>
          <w:szCs w:val="24"/>
        </w:rPr>
        <w:t>En los sujetos heridos en combate el promedio de edad fue de 24,1 años (DE: 4,99). A los 3 meses de valoración, el 36</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(p=</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xml:space="preserve">0,025) de los sujetos con antecedente de trauma de tórax cumplían criterios diagnósticos de trastorno de estrés postraumático, </w:t>
      </w:r>
      <w:r>
        <w:rPr>
          <w:rFonts w:ascii="Times New Roman" w:eastAsia="Times New Roman" w:hAnsi="Times New Roman" w:cs="Times New Roman"/>
          <w:sz w:val="24"/>
          <w:szCs w:val="24"/>
        </w:rPr>
        <w:t xml:space="preserve">lo cual </w:t>
      </w:r>
      <w:r w:rsidRPr="002131C2">
        <w:rPr>
          <w:rFonts w:ascii="Times New Roman" w:eastAsia="Times New Roman" w:hAnsi="Times New Roman" w:cs="Times New Roman"/>
          <w:sz w:val="24"/>
          <w:szCs w:val="24"/>
        </w:rPr>
        <w:t>evidenci</w:t>
      </w:r>
      <w:r>
        <w:rPr>
          <w:rFonts w:ascii="Times New Roman" w:eastAsia="Times New Roman" w:hAnsi="Times New Roman" w:cs="Times New Roman"/>
          <w:sz w:val="24"/>
          <w:szCs w:val="24"/>
        </w:rPr>
        <w:t>a</w:t>
      </w:r>
      <w:r w:rsidRPr="002131C2">
        <w:rPr>
          <w:rFonts w:ascii="Times New Roman" w:eastAsia="Times New Roman" w:hAnsi="Times New Roman" w:cs="Times New Roman"/>
          <w:sz w:val="24"/>
          <w:szCs w:val="24"/>
        </w:rPr>
        <w:t xml:space="preserve"> un aumento del 9,5</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xml:space="preserve">% a los </w:t>
      </w:r>
      <w:r>
        <w:rPr>
          <w:rFonts w:ascii="Times New Roman" w:eastAsia="Times New Roman" w:hAnsi="Times New Roman" w:cs="Times New Roman"/>
          <w:sz w:val="24"/>
          <w:szCs w:val="24"/>
        </w:rPr>
        <w:t>6</w:t>
      </w:r>
      <w:r w:rsidRPr="002131C2">
        <w:rPr>
          <w:rFonts w:ascii="Times New Roman" w:eastAsia="Times New Roman" w:hAnsi="Times New Roman" w:cs="Times New Roman"/>
          <w:sz w:val="24"/>
          <w:szCs w:val="24"/>
        </w:rPr>
        <w:t xml:space="preserve"> meses de seguimiento. </w:t>
      </w:r>
    </w:p>
    <w:p w14:paraId="3CBCA135"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b/>
          <w:sz w:val="24"/>
          <w:szCs w:val="24"/>
        </w:rPr>
        <w:t>Conclusión:</w:t>
      </w:r>
      <w:r w:rsidRPr="002131C2">
        <w:rPr>
          <w:rFonts w:ascii="Times New Roman" w:eastAsia="Times New Roman" w:hAnsi="Times New Roman" w:cs="Times New Roman"/>
          <w:sz w:val="24"/>
          <w:szCs w:val="24"/>
        </w:rPr>
        <w:t xml:space="preserve"> Existe mayor frecuencia del trastorno de estrés postraumático en sujetos expuestos a eventos traumáticos de tórax en áreas de conflictos armados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2131C2">
        <w:rPr>
          <w:rFonts w:ascii="Times New Roman" w:eastAsia="Times New Roman" w:hAnsi="Times New Roman" w:cs="Times New Roman"/>
          <w:sz w:val="24"/>
          <w:szCs w:val="24"/>
        </w:rPr>
        <w:t>a corta edad y los bajos niveles educativos podrían ser factores asociados a la aparición del trastorno.</w:t>
      </w:r>
    </w:p>
    <w:p w14:paraId="2B813CEE" w14:textId="77777777" w:rsidR="004D173E" w:rsidRPr="002131C2" w:rsidRDefault="004D173E" w:rsidP="004D173E">
      <w:pPr>
        <w:spacing w:after="0" w:line="360" w:lineRule="auto"/>
        <w:rPr>
          <w:rFonts w:ascii="Times New Roman" w:eastAsia="Times New Roman" w:hAnsi="Times New Roman" w:cs="Times New Roman"/>
          <w:sz w:val="24"/>
          <w:szCs w:val="24"/>
        </w:rPr>
      </w:pPr>
      <w:r w:rsidRPr="002131C2">
        <w:rPr>
          <w:rFonts w:ascii="Times New Roman" w:eastAsia="Times New Roman" w:hAnsi="Times New Roman" w:cs="Times New Roman"/>
          <w:b/>
          <w:sz w:val="24"/>
          <w:szCs w:val="24"/>
        </w:rPr>
        <w:t xml:space="preserve">Palabras clave: </w:t>
      </w:r>
      <w:r w:rsidRPr="002131C2">
        <w:rPr>
          <w:rFonts w:ascii="Times New Roman" w:eastAsia="Times New Roman" w:hAnsi="Times New Roman" w:cs="Times New Roman"/>
          <w:sz w:val="24"/>
          <w:szCs w:val="24"/>
        </w:rPr>
        <w:t xml:space="preserve">lesiones relacionadas con la guerra; trastornos de combate; enfermedad mental; trastorno de </w:t>
      </w:r>
      <w:r>
        <w:rPr>
          <w:rFonts w:ascii="Times New Roman" w:eastAsia="Times New Roman" w:hAnsi="Times New Roman" w:cs="Times New Roman"/>
          <w:sz w:val="24"/>
          <w:szCs w:val="24"/>
        </w:rPr>
        <w:t>e</w:t>
      </w:r>
      <w:r w:rsidRPr="002131C2">
        <w:rPr>
          <w:rFonts w:ascii="Times New Roman" w:eastAsia="Times New Roman" w:hAnsi="Times New Roman" w:cs="Times New Roman"/>
          <w:sz w:val="24"/>
          <w:szCs w:val="24"/>
        </w:rPr>
        <w:t xml:space="preserve">strés </w:t>
      </w:r>
      <w:r>
        <w:rPr>
          <w:rFonts w:ascii="Times New Roman" w:eastAsia="Times New Roman" w:hAnsi="Times New Roman" w:cs="Times New Roman"/>
          <w:sz w:val="24"/>
          <w:szCs w:val="24"/>
        </w:rPr>
        <w:t>p</w:t>
      </w:r>
      <w:r w:rsidRPr="002131C2">
        <w:rPr>
          <w:rFonts w:ascii="Times New Roman" w:eastAsia="Times New Roman" w:hAnsi="Times New Roman" w:cs="Times New Roman"/>
          <w:sz w:val="24"/>
          <w:szCs w:val="24"/>
        </w:rPr>
        <w:t>ostraumático.</w:t>
      </w:r>
    </w:p>
    <w:p w14:paraId="180B45AA" w14:textId="77777777" w:rsidR="004D173E" w:rsidRPr="002131C2" w:rsidRDefault="004D173E" w:rsidP="004D173E">
      <w:pPr>
        <w:spacing w:after="0" w:line="360" w:lineRule="auto"/>
        <w:rPr>
          <w:rFonts w:ascii="Times New Roman" w:eastAsia="Times New Roman" w:hAnsi="Times New Roman" w:cs="Times New Roman"/>
          <w:sz w:val="24"/>
          <w:szCs w:val="24"/>
        </w:rPr>
      </w:pPr>
    </w:p>
    <w:p w14:paraId="037C3E03" w14:textId="77777777" w:rsidR="004D173E" w:rsidRPr="002131C2" w:rsidRDefault="004D173E" w:rsidP="004D173E">
      <w:pPr>
        <w:spacing w:after="0" w:line="360" w:lineRule="auto"/>
        <w:rPr>
          <w:rFonts w:ascii="Times New Roman" w:eastAsia="Times New Roman" w:hAnsi="Times New Roman" w:cs="Times New Roman"/>
          <w:b/>
          <w:sz w:val="24"/>
          <w:szCs w:val="24"/>
          <w:lang w:val="en-US"/>
        </w:rPr>
      </w:pPr>
      <w:r w:rsidRPr="002131C2">
        <w:rPr>
          <w:rFonts w:ascii="Times New Roman" w:eastAsia="Times New Roman" w:hAnsi="Times New Roman" w:cs="Times New Roman"/>
          <w:b/>
          <w:sz w:val="24"/>
          <w:szCs w:val="24"/>
          <w:lang w:val="en-US"/>
        </w:rPr>
        <w:t>ABSTRACT</w:t>
      </w:r>
    </w:p>
    <w:p w14:paraId="5063B5DB" w14:textId="77777777" w:rsidR="004D173E" w:rsidRPr="001A2F47" w:rsidRDefault="004D173E" w:rsidP="004D173E">
      <w:pPr>
        <w:spacing w:after="0" w:line="360" w:lineRule="auto"/>
        <w:jc w:val="both"/>
        <w:rPr>
          <w:rFonts w:ascii="Times New Roman" w:eastAsia="Times New Roman" w:hAnsi="Times New Roman" w:cs="Times New Roman"/>
          <w:bCs/>
          <w:sz w:val="24"/>
          <w:szCs w:val="24"/>
          <w:lang w:val="en-US"/>
        </w:rPr>
      </w:pPr>
      <w:r w:rsidRPr="001A2F47">
        <w:rPr>
          <w:rFonts w:ascii="Times New Roman" w:eastAsia="Times New Roman" w:hAnsi="Times New Roman" w:cs="Times New Roman"/>
          <w:b/>
          <w:sz w:val="24"/>
          <w:szCs w:val="24"/>
          <w:lang w:val="en-US"/>
        </w:rPr>
        <w:t xml:space="preserve">Introduction: </w:t>
      </w:r>
      <w:r w:rsidRPr="001A2F47">
        <w:rPr>
          <w:rFonts w:ascii="Times New Roman" w:eastAsia="Times New Roman" w:hAnsi="Times New Roman" w:cs="Times New Roman"/>
          <w:bCs/>
          <w:sz w:val="24"/>
          <w:szCs w:val="24"/>
          <w:lang w:val="en-US"/>
        </w:rPr>
        <w:t>People who are part of the armed forces worldwide have been susceptible to the development of post-traumatic stress disorder, due to exposure to conditions that predispose its development.</w:t>
      </w:r>
    </w:p>
    <w:p w14:paraId="1C447850" w14:textId="77777777" w:rsidR="004D173E" w:rsidRPr="001A2F47" w:rsidRDefault="004D173E" w:rsidP="004D173E">
      <w:pPr>
        <w:spacing w:after="0" w:line="360" w:lineRule="auto"/>
        <w:jc w:val="both"/>
        <w:rPr>
          <w:rFonts w:ascii="Times New Roman" w:eastAsia="Times New Roman" w:hAnsi="Times New Roman" w:cs="Times New Roman"/>
          <w:bCs/>
          <w:sz w:val="24"/>
          <w:szCs w:val="24"/>
          <w:lang w:val="en-US"/>
        </w:rPr>
      </w:pPr>
      <w:r w:rsidRPr="001A2F47">
        <w:rPr>
          <w:rFonts w:ascii="Times New Roman" w:eastAsia="Times New Roman" w:hAnsi="Times New Roman" w:cs="Times New Roman"/>
          <w:b/>
          <w:sz w:val="24"/>
          <w:szCs w:val="24"/>
          <w:lang w:val="en-US"/>
        </w:rPr>
        <w:t>Objective:</w:t>
      </w:r>
      <w:r w:rsidRPr="001A2F47">
        <w:rPr>
          <w:rFonts w:ascii="Times New Roman" w:eastAsia="Times New Roman" w:hAnsi="Times New Roman" w:cs="Times New Roman"/>
          <w:bCs/>
          <w:sz w:val="24"/>
          <w:szCs w:val="24"/>
          <w:lang w:val="en-US"/>
        </w:rPr>
        <w:t xml:space="preserve"> To establish the frequency and possible associated risk factors of post-traumatic stress disorder in subjects with chest injuries, suffered in combat.</w:t>
      </w:r>
    </w:p>
    <w:p w14:paraId="09C8622B" w14:textId="77777777" w:rsidR="004D173E" w:rsidRPr="001A2F47" w:rsidRDefault="004D173E" w:rsidP="004D173E">
      <w:pPr>
        <w:spacing w:after="0" w:line="360" w:lineRule="auto"/>
        <w:jc w:val="both"/>
        <w:rPr>
          <w:rFonts w:ascii="Times New Roman" w:eastAsia="Times New Roman" w:hAnsi="Times New Roman" w:cs="Times New Roman"/>
          <w:bCs/>
          <w:sz w:val="24"/>
          <w:szCs w:val="24"/>
          <w:lang w:val="en-US"/>
        </w:rPr>
      </w:pPr>
      <w:r w:rsidRPr="001A2F47">
        <w:rPr>
          <w:rFonts w:ascii="Times New Roman" w:eastAsia="Times New Roman" w:hAnsi="Times New Roman" w:cs="Times New Roman"/>
          <w:b/>
          <w:sz w:val="24"/>
          <w:szCs w:val="24"/>
          <w:lang w:val="en-US"/>
        </w:rPr>
        <w:t xml:space="preserve">Methods: </w:t>
      </w:r>
      <w:r w:rsidRPr="001A2F47">
        <w:rPr>
          <w:rFonts w:ascii="Times New Roman" w:eastAsia="Times New Roman" w:hAnsi="Times New Roman" w:cs="Times New Roman"/>
          <w:bCs/>
          <w:sz w:val="24"/>
          <w:szCs w:val="24"/>
          <w:lang w:val="en-US"/>
        </w:rPr>
        <w:t>Comparative study between subjects with chest trauma suffered in combat and military without thoracic injury with experience in combat, by evaluating a 24-question diagnostic questionnaire, validated for Colombia, of post-traumatic stress disorder. Military population older than 18 years and younger than 55 years, with chest trauma who underwent medical or surgical management (thoracotomy or laparotomy) were included.</w:t>
      </w:r>
    </w:p>
    <w:p w14:paraId="676ABB93" w14:textId="77777777" w:rsidR="004D173E" w:rsidRPr="001A2F47" w:rsidRDefault="004D173E" w:rsidP="004D173E">
      <w:pPr>
        <w:spacing w:after="0" w:line="360" w:lineRule="auto"/>
        <w:jc w:val="both"/>
        <w:rPr>
          <w:rFonts w:ascii="Times New Roman" w:eastAsia="Times New Roman" w:hAnsi="Times New Roman" w:cs="Times New Roman"/>
          <w:bCs/>
          <w:sz w:val="24"/>
          <w:szCs w:val="24"/>
          <w:lang w:val="en-US"/>
        </w:rPr>
      </w:pPr>
      <w:r w:rsidRPr="00494075">
        <w:rPr>
          <w:rFonts w:ascii="Times New Roman" w:eastAsia="Times New Roman" w:hAnsi="Times New Roman" w:cs="Times New Roman"/>
          <w:b/>
          <w:sz w:val="24"/>
          <w:szCs w:val="24"/>
          <w:lang w:val="en-US"/>
        </w:rPr>
        <w:t>Results:</w:t>
      </w:r>
      <w:r w:rsidRPr="001A2F47">
        <w:rPr>
          <w:rFonts w:ascii="Times New Roman" w:eastAsia="Times New Roman" w:hAnsi="Times New Roman" w:cs="Times New Roman"/>
          <w:bCs/>
          <w:sz w:val="24"/>
          <w:szCs w:val="24"/>
          <w:lang w:val="en-US"/>
        </w:rPr>
        <w:t xml:space="preserve"> 45 subjects entered the study, 25 with a history of chest trauma and 20 healthy with combat experience. Of the trauma subjects, 25 were evaluated at 3 months and 11 at 5 months. In the subjects wounded in</w:t>
      </w:r>
      <w:r>
        <w:rPr>
          <w:rFonts w:ascii="Times New Roman" w:eastAsia="Times New Roman" w:hAnsi="Times New Roman" w:cs="Times New Roman"/>
          <w:bCs/>
          <w:sz w:val="24"/>
          <w:szCs w:val="24"/>
          <w:lang w:val="en-US"/>
        </w:rPr>
        <w:t xml:space="preserve"> combat, the average age was 24,1 years (SD: 4,</w:t>
      </w:r>
      <w:r w:rsidRPr="001A2F47">
        <w:rPr>
          <w:rFonts w:ascii="Times New Roman" w:eastAsia="Times New Roman" w:hAnsi="Times New Roman" w:cs="Times New Roman"/>
          <w:bCs/>
          <w:sz w:val="24"/>
          <w:szCs w:val="24"/>
          <w:lang w:val="en-US"/>
        </w:rPr>
        <w:t>99). At the 3-month evaluation, 36</w:t>
      </w:r>
      <w:r>
        <w:rPr>
          <w:rFonts w:ascii="Times New Roman" w:eastAsia="Times New Roman" w:hAnsi="Times New Roman" w:cs="Times New Roman"/>
          <w:bCs/>
          <w:sz w:val="24"/>
          <w:szCs w:val="24"/>
          <w:lang w:val="en-US"/>
        </w:rPr>
        <w:t xml:space="preserve"> % (p = </w:t>
      </w:r>
      <w:r>
        <w:rPr>
          <w:rFonts w:ascii="Times New Roman" w:eastAsia="Times New Roman" w:hAnsi="Times New Roman" w:cs="Times New Roman"/>
          <w:bCs/>
          <w:sz w:val="24"/>
          <w:szCs w:val="24"/>
          <w:lang w:val="en-US"/>
        </w:rPr>
        <w:lastRenderedPageBreak/>
        <w:t>0,</w:t>
      </w:r>
      <w:r w:rsidRPr="001A2F47">
        <w:rPr>
          <w:rFonts w:ascii="Times New Roman" w:eastAsia="Times New Roman" w:hAnsi="Times New Roman" w:cs="Times New Roman"/>
          <w:bCs/>
          <w:sz w:val="24"/>
          <w:szCs w:val="24"/>
          <w:lang w:val="en-US"/>
        </w:rPr>
        <w:t>025) of the subjects with a history of chest trauma met the diagnostic criteria for post-traumatic stress disorde</w:t>
      </w:r>
      <w:r>
        <w:rPr>
          <w:rFonts w:ascii="Times New Roman" w:eastAsia="Times New Roman" w:hAnsi="Times New Roman" w:cs="Times New Roman"/>
          <w:bCs/>
          <w:sz w:val="24"/>
          <w:szCs w:val="24"/>
          <w:lang w:val="en-US"/>
        </w:rPr>
        <w:t>r, which shows an increase of 9,</w:t>
      </w:r>
      <w:r w:rsidRPr="001A2F47">
        <w:rPr>
          <w:rFonts w:ascii="Times New Roman" w:eastAsia="Times New Roman" w:hAnsi="Times New Roman" w:cs="Times New Roman"/>
          <w:bCs/>
          <w:sz w:val="24"/>
          <w:szCs w:val="24"/>
          <w:lang w:val="en-US"/>
        </w:rPr>
        <w:t>5</w:t>
      </w:r>
      <w:r>
        <w:rPr>
          <w:rFonts w:ascii="Times New Roman" w:eastAsia="Times New Roman" w:hAnsi="Times New Roman" w:cs="Times New Roman"/>
          <w:bCs/>
          <w:sz w:val="24"/>
          <w:szCs w:val="24"/>
          <w:lang w:val="en-US"/>
        </w:rPr>
        <w:t> </w:t>
      </w:r>
      <w:r w:rsidRPr="001A2F47">
        <w:rPr>
          <w:rFonts w:ascii="Times New Roman" w:eastAsia="Times New Roman" w:hAnsi="Times New Roman" w:cs="Times New Roman"/>
          <w:bCs/>
          <w:sz w:val="24"/>
          <w:szCs w:val="24"/>
          <w:lang w:val="en-US"/>
        </w:rPr>
        <w:t>% at the 6-month follow-up.</w:t>
      </w:r>
    </w:p>
    <w:p w14:paraId="04AAD9D6" w14:textId="77777777" w:rsidR="004D173E" w:rsidRPr="001A2F47" w:rsidRDefault="004D173E" w:rsidP="004D173E">
      <w:pPr>
        <w:spacing w:after="0" w:line="360" w:lineRule="auto"/>
        <w:jc w:val="both"/>
        <w:rPr>
          <w:rFonts w:ascii="Times New Roman" w:eastAsia="Times New Roman" w:hAnsi="Times New Roman" w:cs="Times New Roman"/>
          <w:bCs/>
          <w:sz w:val="24"/>
          <w:szCs w:val="24"/>
          <w:lang w:val="en-US"/>
        </w:rPr>
      </w:pPr>
      <w:r w:rsidRPr="006612EB">
        <w:rPr>
          <w:rFonts w:ascii="Times New Roman" w:eastAsia="Times New Roman" w:hAnsi="Times New Roman" w:cs="Times New Roman"/>
          <w:b/>
          <w:sz w:val="24"/>
          <w:szCs w:val="24"/>
          <w:lang w:val="en-US"/>
        </w:rPr>
        <w:t>Conclusion:</w:t>
      </w:r>
      <w:r w:rsidRPr="001A2F47">
        <w:rPr>
          <w:rFonts w:ascii="Times New Roman" w:eastAsia="Times New Roman" w:hAnsi="Times New Roman" w:cs="Times New Roman"/>
          <w:bCs/>
          <w:sz w:val="24"/>
          <w:szCs w:val="24"/>
          <w:lang w:val="en-US"/>
        </w:rPr>
        <w:t xml:space="preserve"> There is a higher frequency of post-traumatic stress disorder in subjects exposed to traumatic chest events in areas of armed conflict. Young age and low educational levels could be factors associated with the appearance of the disorder.</w:t>
      </w:r>
    </w:p>
    <w:p w14:paraId="29739BA5" w14:textId="77777777" w:rsidR="004D173E" w:rsidRDefault="004D173E" w:rsidP="004D173E">
      <w:pPr>
        <w:spacing w:after="0" w:line="360" w:lineRule="auto"/>
        <w:jc w:val="both"/>
        <w:rPr>
          <w:rFonts w:ascii="Times New Roman" w:eastAsia="Times New Roman" w:hAnsi="Times New Roman" w:cs="Times New Roman"/>
          <w:sz w:val="24"/>
          <w:szCs w:val="24"/>
          <w:lang w:val="en-US"/>
        </w:rPr>
      </w:pPr>
      <w:r w:rsidRPr="002131C2">
        <w:rPr>
          <w:rFonts w:ascii="Times New Roman" w:eastAsia="Times New Roman" w:hAnsi="Times New Roman" w:cs="Times New Roman"/>
          <w:b/>
          <w:sz w:val="24"/>
          <w:szCs w:val="24"/>
          <w:lang w:val="en-US"/>
        </w:rPr>
        <w:t xml:space="preserve">Keywords: </w:t>
      </w:r>
      <w:r w:rsidRPr="002131C2">
        <w:rPr>
          <w:rFonts w:ascii="Times New Roman" w:eastAsia="Times New Roman" w:hAnsi="Times New Roman" w:cs="Times New Roman"/>
          <w:sz w:val="24"/>
          <w:szCs w:val="24"/>
          <w:lang w:val="en-US"/>
        </w:rPr>
        <w:t>war-</w:t>
      </w:r>
      <w:r>
        <w:rPr>
          <w:rFonts w:ascii="Times New Roman" w:eastAsia="Times New Roman" w:hAnsi="Times New Roman" w:cs="Times New Roman"/>
          <w:sz w:val="24"/>
          <w:szCs w:val="24"/>
          <w:lang w:val="en-US"/>
        </w:rPr>
        <w:t>r</w:t>
      </w:r>
      <w:r w:rsidRPr="002131C2">
        <w:rPr>
          <w:rFonts w:ascii="Times New Roman" w:eastAsia="Times New Roman" w:hAnsi="Times New Roman" w:cs="Times New Roman"/>
          <w:sz w:val="24"/>
          <w:szCs w:val="24"/>
          <w:lang w:val="en-US"/>
        </w:rPr>
        <w:t xml:space="preserve">elated </w:t>
      </w:r>
      <w:r>
        <w:rPr>
          <w:rFonts w:ascii="Times New Roman" w:eastAsia="Times New Roman" w:hAnsi="Times New Roman" w:cs="Times New Roman"/>
          <w:sz w:val="24"/>
          <w:szCs w:val="24"/>
          <w:lang w:val="en-US"/>
        </w:rPr>
        <w:t>i</w:t>
      </w:r>
      <w:r w:rsidRPr="002131C2">
        <w:rPr>
          <w:rFonts w:ascii="Times New Roman" w:eastAsia="Times New Roman" w:hAnsi="Times New Roman" w:cs="Times New Roman"/>
          <w:sz w:val="24"/>
          <w:szCs w:val="24"/>
          <w:lang w:val="en-US"/>
        </w:rPr>
        <w:t xml:space="preserve">njuries; combat </w:t>
      </w:r>
      <w:r>
        <w:rPr>
          <w:rFonts w:ascii="Times New Roman" w:eastAsia="Times New Roman" w:hAnsi="Times New Roman" w:cs="Times New Roman"/>
          <w:sz w:val="24"/>
          <w:szCs w:val="24"/>
          <w:lang w:val="en-US"/>
        </w:rPr>
        <w:t>d</w:t>
      </w:r>
      <w:r w:rsidRPr="002131C2">
        <w:rPr>
          <w:rFonts w:ascii="Times New Roman" w:eastAsia="Times New Roman" w:hAnsi="Times New Roman" w:cs="Times New Roman"/>
          <w:sz w:val="24"/>
          <w:szCs w:val="24"/>
          <w:lang w:val="en-US"/>
        </w:rPr>
        <w:t>isorders; mental disorders; post-traumatic stress disorder</w:t>
      </w:r>
      <w:r>
        <w:rPr>
          <w:rFonts w:ascii="Times New Roman" w:eastAsia="Times New Roman" w:hAnsi="Times New Roman" w:cs="Times New Roman"/>
          <w:sz w:val="24"/>
          <w:szCs w:val="24"/>
          <w:lang w:val="en-US"/>
        </w:rPr>
        <w:t>; PTSD</w:t>
      </w:r>
      <w:r w:rsidRPr="002131C2">
        <w:rPr>
          <w:rFonts w:ascii="Times New Roman" w:eastAsia="Times New Roman" w:hAnsi="Times New Roman" w:cs="Times New Roman"/>
          <w:sz w:val="24"/>
          <w:szCs w:val="24"/>
          <w:lang w:val="en-US"/>
        </w:rPr>
        <w:t>.</w:t>
      </w:r>
    </w:p>
    <w:p w14:paraId="5326C58F" w14:textId="77777777" w:rsidR="004D173E" w:rsidRDefault="004D173E" w:rsidP="004D173E">
      <w:pPr>
        <w:spacing w:after="0" w:line="360" w:lineRule="auto"/>
        <w:jc w:val="both"/>
        <w:rPr>
          <w:rFonts w:ascii="Times New Roman" w:eastAsia="Times New Roman" w:hAnsi="Times New Roman" w:cs="Times New Roman"/>
          <w:sz w:val="24"/>
          <w:szCs w:val="24"/>
          <w:lang w:val="en-US"/>
        </w:rPr>
      </w:pPr>
    </w:p>
    <w:p w14:paraId="1175D6C5" w14:textId="77777777" w:rsidR="004D173E" w:rsidRDefault="004D173E" w:rsidP="004D173E">
      <w:pPr>
        <w:spacing w:after="0" w:line="360" w:lineRule="auto"/>
        <w:jc w:val="both"/>
        <w:rPr>
          <w:rFonts w:ascii="Times New Roman" w:eastAsia="Times New Roman" w:hAnsi="Times New Roman" w:cs="Times New Roman"/>
          <w:sz w:val="24"/>
          <w:szCs w:val="24"/>
          <w:lang w:val="en-US"/>
        </w:rPr>
      </w:pPr>
    </w:p>
    <w:p w14:paraId="70BCF28B" w14:textId="77777777" w:rsidR="004D173E" w:rsidRPr="00234720" w:rsidRDefault="004D173E" w:rsidP="004D173E">
      <w:pPr>
        <w:spacing w:after="0" w:line="360" w:lineRule="auto"/>
        <w:jc w:val="both"/>
        <w:rPr>
          <w:rFonts w:ascii="Times New Roman" w:eastAsia="Times New Roman" w:hAnsi="Times New Roman" w:cs="Times New Roman"/>
          <w:sz w:val="24"/>
          <w:szCs w:val="24"/>
        </w:rPr>
      </w:pPr>
      <w:r w:rsidRPr="00234720">
        <w:rPr>
          <w:rFonts w:ascii="Times New Roman" w:eastAsia="Times New Roman" w:hAnsi="Times New Roman" w:cs="Times New Roman"/>
          <w:sz w:val="24"/>
          <w:szCs w:val="24"/>
        </w:rPr>
        <w:t>Recibido: 01/09/2021</w:t>
      </w:r>
    </w:p>
    <w:p w14:paraId="1BB1BA6E" w14:textId="77777777" w:rsidR="004D173E" w:rsidRPr="00234720" w:rsidRDefault="004D173E" w:rsidP="004D173E">
      <w:pPr>
        <w:spacing w:after="0" w:line="360" w:lineRule="auto"/>
        <w:jc w:val="both"/>
        <w:rPr>
          <w:rFonts w:ascii="Times New Roman" w:eastAsia="Times New Roman" w:hAnsi="Times New Roman" w:cs="Times New Roman"/>
          <w:sz w:val="24"/>
          <w:szCs w:val="24"/>
        </w:rPr>
      </w:pPr>
      <w:r w:rsidRPr="00234720">
        <w:rPr>
          <w:rFonts w:ascii="Times New Roman" w:eastAsia="Times New Roman" w:hAnsi="Times New Roman" w:cs="Times New Roman"/>
          <w:sz w:val="24"/>
          <w:szCs w:val="24"/>
        </w:rPr>
        <w:t>Aprobado: 05/11/2021</w:t>
      </w:r>
    </w:p>
    <w:p w14:paraId="0C49D239" w14:textId="77777777" w:rsidR="004D173E" w:rsidRPr="00234720" w:rsidRDefault="004D173E" w:rsidP="004D173E">
      <w:pPr>
        <w:spacing w:after="0" w:line="360" w:lineRule="auto"/>
        <w:jc w:val="both"/>
        <w:rPr>
          <w:rFonts w:ascii="Times New Roman" w:eastAsia="Times New Roman" w:hAnsi="Times New Roman" w:cs="Times New Roman"/>
          <w:sz w:val="24"/>
          <w:szCs w:val="24"/>
        </w:rPr>
      </w:pPr>
    </w:p>
    <w:p w14:paraId="07129A65" w14:textId="77777777" w:rsidR="004D173E" w:rsidRDefault="004D173E" w:rsidP="004D173E">
      <w:pPr>
        <w:spacing w:after="0" w:line="360" w:lineRule="auto"/>
        <w:jc w:val="center"/>
        <w:rPr>
          <w:rFonts w:ascii="Times New Roman" w:eastAsia="Times New Roman" w:hAnsi="Times New Roman" w:cs="Times New Roman"/>
          <w:b/>
          <w:sz w:val="24"/>
          <w:szCs w:val="24"/>
        </w:rPr>
      </w:pPr>
    </w:p>
    <w:p w14:paraId="6FB9C551" w14:textId="77777777" w:rsidR="004D173E" w:rsidRPr="00C4147E" w:rsidRDefault="004D173E" w:rsidP="004D173E">
      <w:pPr>
        <w:spacing w:after="0" w:line="360" w:lineRule="auto"/>
        <w:jc w:val="center"/>
        <w:rPr>
          <w:rFonts w:ascii="Times New Roman" w:eastAsia="Times New Roman" w:hAnsi="Times New Roman" w:cs="Times New Roman"/>
          <w:b/>
          <w:sz w:val="32"/>
          <w:szCs w:val="32"/>
        </w:rPr>
      </w:pPr>
      <w:r w:rsidRPr="00C4147E">
        <w:rPr>
          <w:rFonts w:ascii="Times New Roman" w:eastAsia="Times New Roman" w:hAnsi="Times New Roman" w:cs="Times New Roman"/>
          <w:b/>
          <w:sz w:val="32"/>
          <w:szCs w:val="32"/>
        </w:rPr>
        <w:t>INTRODUCCIÓN</w:t>
      </w:r>
    </w:p>
    <w:p w14:paraId="44D3B035" w14:textId="17557F1E" w:rsidR="004D173E"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sz w:val="24"/>
          <w:szCs w:val="24"/>
        </w:rPr>
        <w:t>A lo largo de la historia, las personas que forman parte de las fuerzas armadas a nivel mundial</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han sido susceptibles al desarrollo del </w:t>
      </w:r>
      <w:r>
        <w:rPr>
          <w:rFonts w:ascii="Times New Roman" w:eastAsia="Times New Roman" w:hAnsi="Times New Roman" w:cs="Times New Roman"/>
          <w:sz w:val="24"/>
          <w:szCs w:val="24"/>
        </w:rPr>
        <w:t>t</w:t>
      </w:r>
      <w:r w:rsidRPr="002131C2">
        <w:rPr>
          <w:rFonts w:ascii="Times New Roman" w:eastAsia="Times New Roman" w:hAnsi="Times New Roman" w:cs="Times New Roman"/>
          <w:sz w:val="24"/>
          <w:szCs w:val="24"/>
        </w:rPr>
        <w:t xml:space="preserve">rastorno de </w:t>
      </w:r>
      <w:r>
        <w:rPr>
          <w:rFonts w:ascii="Times New Roman" w:eastAsia="Times New Roman" w:hAnsi="Times New Roman" w:cs="Times New Roman"/>
          <w:sz w:val="24"/>
          <w:szCs w:val="24"/>
        </w:rPr>
        <w:t>e</w:t>
      </w:r>
      <w:r w:rsidRPr="002131C2">
        <w:rPr>
          <w:rFonts w:ascii="Times New Roman" w:eastAsia="Times New Roman" w:hAnsi="Times New Roman" w:cs="Times New Roman"/>
          <w:sz w:val="24"/>
          <w:szCs w:val="24"/>
        </w:rPr>
        <w:t xml:space="preserve">strés </w:t>
      </w:r>
      <w:r>
        <w:rPr>
          <w:rFonts w:ascii="Times New Roman" w:eastAsia="Times New Roman" w:hAnsi="Times New Roman" w:cs="Times New Roman"/>
          <w:sz w:val="24"/>
          <w:szCs w:val="24"/>
        </w:rPr>
        <w:t>p</w:t>
      </w:r>
      <w:r w:rsidRPr="002131C2">
        <w:rPr>
          <w:rFonts w:ascii="Times New Roman" w:eastAsia="Times New Roman" w:hAnsi="Times New Roman" w:cs="Times New Roman"/>
          <w:sz w:val="24"/>
          <w:szCs w:val="24"/>
        </w:rPr>
        <w:t>ostraumático (TEPT), debido a la exposición a eventos traumáticos y condiciones que predisponen a</w:t>
      </w:r>
      <w:r>
        <w:rPr>
          <w:rFonts w:ascii="Times New Roman" w:eastAsia="Times New Roman" w:hAnsi="Times New Roman" w:cs="Times New Roman"/>
          <w:sz w:val="24"/>
          <w:szCs w:val="24"/>
        </w:rPr>
        <w:t xml:space="preserve"> su</w:t>
      </w:r>
      <w:r w:rsidRPr="002131C2">
        <w:rPr>
          <w:rFonts w:ascii="Times New Roman" w:eastAsia="Times New Roman" w:hAnsi="Times New Roman" w:cs="Times New Roman"/>
          <w:sz w:val="24"/>
          <w:szCs w:val="24"/>
        </w:rPr>
        <w:t xml:space="preserve"> </w:t>
      </w:r>
      <w:r w:rsidR="00033AE0" w:rsidRPr="002131C2">
        <w:rPr>
          <w:rFonts w:ascii="Times New Roman" w:eastAsia="Times New Roman" w:hAnsi="Times New Roman" w:cs="Times New Roman"/>
          <w:sz w:val="24"/>
          <w:szCs w:val="24"/>
        </w:rPr>
        <w:t>desarrollo</w:t>
      </w:r>
      <w:r w:rsidR="00033AE0" w:rsidRPr="002131C2" w:rsidDel="00537942">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En la actualidad se estima una prevalencia del TEPT que oscila entre el 6</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al 20</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de la población general</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vertAlign w:val="superscript"/>
        </w:rPr>
        <w:t>(1,2,3)</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2131C2">
        <w:rPr>
          <w:rFonts w:ascii="Times New Roman" w:eastAsia="Times New Roman" w:hAnsi="Times New Roman" w:cs="Times New Roman"/>
          <w:sz w:val="24"/>
          <w:szCs w:val="24"/>
        </w:rPr>
        <w:t xml:space="preserve">in embargo, debido a </w:t>
      </w:r>
      <w:r>
        <w:rPr>
          <w:rFonts w:ascii="Times New Roman" w:eastAsia="Times New Roman" w:hAnsi="Times New Roman" w:cs="Times New Roman"/>
          <w:sz w:val="24"/>
          <w:szCs w:val="24"/>
        </w:rPr>
        <w:t>l</w:t>
      </w:r>
      <w:r w:rsidRPr="002131C2">
        <w:rPr>
          <w:rFonts w:ascii="Times New Roman" w:eastAsia="Times New Roman" w:hAnsi="Times New Roman" w:cs="Times New Roman"/>
          <w:sz w:val="24"/>
          <w:szCs w:val="24"/>
        </w:rPr>
        <w:t>a disminución en la frecuencia de los conflictos armados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se espera una reducción de </w:t>
      </w:r>
      <w:r>
        <w:rPr>
          <w:rFonts w:ascii="Times New Roman" w:eastAsia="Times New Roman" w:hAnsi="Times New Roman" w:cs="Times New Roman"/>
          <w:sz w:val="24"/>
          <w:szCs w:val="24"/>
        </w:rPr>
        <w:t>la prevalencia.</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2131C2">
        <w:rPr>
          <w:rFonts w:ascii="Times New Roman" w:eastAsia="Times New Roman" w:hAnsi="Times New Roman" w:cs="Times New Roman"/>
          <w:sz w:val="24"/>
          <w:szCs w:val="24"/>
        </w:rPr>
        <w:t>o obstante</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se estima que al menos </w:t>
      </w:r>
      <w:r>
        <w:rPr>
          <w:rFonts w:ascii="Times New Roman" w:eastAsia="Times New Roman" w:hAnsi="Times New Roman" w:cs="Times New Roman"/>
          <w:sz w:val="24"/>
          <w:szCs w:val="24"/>
        </w:rPr>
        <w:t>el</w:t>
      </w:r>
      <w:r w:rsidRPr="002131C2">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de los veteranos de guerra en los EE.UU.  padecerán esta enfermedad.</w:t>
      </w:r>
      <w:r w:rsidRPr="002131C2">
        <w:rPr>
          <w:rFonts w:ascii="Times New Roman" w:eastAsia="Times New Roman" w:hAnsi="Times New Roman" w:cs="Times New Roman"/>
          <w:sz w:val="24"/>
          <w:szCs w:val="24"/>
          <w:vertAlign w:val="superscript"/>
        </w:rPr>
        <w:t>(4)</w:t>
      </w:r>
      <w:r w:rsidRPr="002131C2">
        <w:rPr>
          <w:rFonts w:ascii="Times New Roman" w:eastAsia="Times New Roman" w:hAnsi="Times New Roman" w:cs="Times New Roman"/>
          <w:sz w:val="24"/>
          <w:szCs w:val="24"/>
        </w:rPr>
        <w:t xml:space="preserve"> </w:t>
      </w:r>
    </w:p>
    <w:p w14:paraId="081BBDCB" w14:textId="77777777" w:rsidR="004D173E"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sz w:val="24"/>
          <w:szCs w:val="24"/>
        </w:rPr>
        <w:t>En Colombia, la prevalencia se ha identificado hasta en un 52</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2</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w:t>
      </w:r>
      <w:r w:rsidRPr="002131C2">
        <w:rPr>
          <w:rFonts w:ascii="Times New Roman" w:eastAsia="Times New Roman" w:hAnsi="Times New Roman" w:cs="Times New Roman"/>
          <w:sz w:val="24"/>
          <w:szCs w:val="24"/>
        </w:rPr>
        <w:t xml:space="preserve"> la población militar</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agravada por extensos tiempos de jornada laboral y reexposición a situaciones estresantes y de riesgo para la vida.</w:t>
      </w:r>
      <w:r w:rsidRPr="002131C2">
        <w:rPr>
          <w:rFonts w:ascii="Times New Roman" w:eastAsia="Times New Roman" w:hAnsi="Times New Roman" w:cs="Times New Roman"/>
          <w:sz w:val="24"/>
          <w:szCs w:val="24"/>
          <w:vertAlign w:val="superscript"/>
        </w:rPr>
        <w:t>(5)</w:t>
      </w:r>
      <w:r w:rsidRPr="002131C2">
        <w:rPr>
          <w:rFonts w:ascii="Times New Roman" w:eastAsia="Times New Roman" w:hAnsi="Times New Roman" w:cs="Times New Roman"/>
          <w:sz w:val="24"/>
          <w:szCs w:val="24"/>
        </w:rPr>
        <w:t xml:space="preserve"> </w:t>
      </w:r>
    </w:p>
    <w:p w14:paraId="2B4CD4BD"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2131C2">
        <w:rPr>
          <w:rFonts w:ascii="Times New Roman" w:eastAsia="Times New Roman" w:hAnsi="Times New Roman" w:cs="Times New Roman"/>
          <w:sz w:val="24"/>
          <w:szCs w:val="24"/>
        </w:rPr>
        <w:t>l TEPT</w:t>
      </w:r>
      <w:r>
        <w:rPr>
          <w:rFonts w:ascii="Times New Roman" w:eastAsia="Times New Roman" w:hAnsi="Times New Roman" w:cs="Times New Roman"/>
          <w:sz w:val="24"/>
          <w:szCs w:val="24"/>
        </w:rPr>
        <w:t xml:space="preserve"> en Colombia,</w:t>
      </w:r>
      <w:r w:rsidRPr="002131C2">
        <w:rPr>
          <w:rFonts w:ascii="Times New Roman" w:eastAsia="Times New Roman" w:hAnsi="Times New Roman" w:cs="Times New Roman"/>
          <w:sz w:val="24"/>
          <w:szCs w:val="24"/>
        </w:rPr>
        <w:t xml:space="preserve"> es una de las alteraciones en la salud mental que más afectan personal militar activo, de reserva y veteranos</w:t>
      </w:r>
      <w:r>
        <w:rPr>
          <w:rFonts w:ascii="Times New Roman" w:eastAsia="Times New Roman" w:hAnsi="Times New Roman" w:cs="Times New Roman"/>
          <w:sz w:val="24"/>
          <w:szCs w:val="24"/>
        </w:rPr>
        <w:t xml:space="preserve">, debido a </w:t>
      </w:r>
      <w:r w:rsidRPr="002131C2">
        <w:rPr>
          <w:rFonts w:ascii="Times New Roman" w:eastAsia="Times New Roman" w:hAnsi="Times New Roman" w:cs="Times New Roman"/>
          <w:sz w:val="24"/>
          <w:szCs w:val="24"/>
        </w:rPr>
        <w:t>l</w:t>
      </w:r>
      <w:r>
        <w:rPr>
          <w:rFonts w:ascii="Times New Roman" w:eastAsia="Times New Roman" w:hAnsi="Times New Roman" w:cs="Times New Roman"/>
          <w:sz w:val="24"/>
          <w:szCs w:val="24"/>
        </w:rPr>
        <w:t>a</w:t>
      </w:r>
      <w:r w:rsidRPr="002131C2">
        <w:rPr>
          <w:rFonts w:ascii="Times New Roman" w:eastAsia="Times New Roman" w:hAnsi="Times New Roman" w:cs="Times New Roman"/>
          <w:sz w:val="24"/>
          <w:szCs w:val="24"/>
        </w:rPr>
        <w:t xml:space="preserve"> expo</w:t>
      </w:r>
      <w:r>
        <w:rPr>
          <w:rFonts w:ascii="Times New Roman" w:eastAsia="Times New Roman" w:hAnsi="Times New Roman" w:cs="Times New Roman"/>
          <w:sz w:val="24"/>
          <w:szCs w:val="24"/>
        </w:rPr>
        <w:t>sición</w:t>
      </w:r>
      <w:r w:rsidRPr="002131C2">
        <w:rPr>
          <w:rFonts w:ascii="Times New Roman" w:eastAsia="Times New Roman" w:hAnsi="Times New Roman" w:cs="Times New Roman"/>
          <w:sz w:val="24"/>
          <w:szCs w:val="24"/>
        </w:rPr>
        <w:t xml:space="preserve"> a situaciones de guerra y conflicto armado</w:t>
      </w:r>
      <w:r>
        <w:rPr>
          <w:rFonts w:ascii="Times New Roman" w:eastAsia="Times New Roman" w:hAnsi="Times New Roman" w:cs="Times New Roman"/>
          <w:sz w:val="24"/>
          <w:szCs w:val="24"/>
        </w:rPr>
        <w:t>. Por otra parte,</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han identificado </w:t>
      </w:r>
      <w:r w:rsidRPr="002131C2">
        <w:rPr>
          <w:rFonts w:ascii="Times New Roman" w:eastAsia="Times New Roman" w:hAnsi="Times New Roman" w:cs="Times New Roman"/>
          <w:sz w:val="24"/>
          <w:szCs w:val="24"/>
        </w:rPr>
        <w:t>componente</w:t>
      </w:r>
      <w:r>
        <w:rPr>
          <w:rFonts w:ascii="Times New Roman" w:eastAsia="Times New Roman" w:hAnsi="Times New Roman" w:cs="Times New Roman"/>
          <w:sz w:val="24"/>
          <w:szCs w:val="24"/>
        </w:rPr>
        <w:t>s</w:t>
      </w:r>
      <w:r w:rsidRPr="002131C2">
        <w:rPr>
          <w:rFonts w:ascii="Times New Roman" w:eastAsia="Times New Roman" w:hAnsi="Times New Roman" w:cs="Times New Roman"/>
          <w:sz w:val="24"/>
          <w:szCs w:val="24"/>
        </w:rPr>
        <w:t xml:space="preserve"> genético</w:t>
      </w:r>
      <w:r>
        <w:rPr>
          <w:rFonts w:ascii="Times New Roman" w:eastAsia="Times New Roman" w:hAnsi="Times New Roman" w:cs="Times New Roman"/>
          <w:sz w:val="24"/>
          <w:szCs w:val="24"/>
        </w:rPr>
        <w:t>s</w:t>
      </w:r>
      <w:r w:rsidRPr="002131C2">
        <w:rPr>
          <w:rFonts w:ascii="Times New Roman" w:eastAsia="Times New Roman" w:hAnsi="Times New Roman" w:cs="Times New Roman"/>
          <w:sz w:val="24"/>
          <w:szCs w:val="24"/>
        </w:rPr>
        <w:t>, condiciones socioculturales y económic</w:t>
      </w:r>
      <w:r>
        <w:rPr>
          <w:rFonts w:ascii="Times New Roman" w:eastAsia="Times New Roman" w:hAnsi="Times New Roman" w:cs="Times New Roman"/>
          <w:sz w:val="24"/>
          <w:szCs w:val="24"/>
        </w:rPr>
        <w:t>a</w:t>
      </w:r>
      <w:r w:rsidRPr="002131C2">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c</w:t>
      </w:r>
      <w:r w:rsidRPr="002131C2">
        <w:rPr>
          <w:rFonts w:ascii="Times New Roman" w:eastAsia="Times New Roman" w:hAnsi="Times New Roman" w:cs="Times New Roman"/>
          <w:sz w:val="24"/>
          <w:szCs w:val="24"/>
        </w:rPr>
        <w:t>omo determinantes en la etiopatogenia del trastorno.</w:t>
      </w:r>
      <w:r w:rsidRPr="002131C2">
        <w:rPr>
          <w:rFonts w:ascii="Times New Roman" w:eastAsia="Times New Roman" w:hAnsi="Times New Roman" w:cs="Times New Roman"/>
          <w:sz w:val="24"/>
          <w:szCs w:val="24"/>
          <w:vertAlign w:val="superscript"/>
        </w:rPr>
        <w:t>(4,6)</w:t>
      </w:r>
      <w:r w:rsidRPr="002131C2">
        <w:rPr>
          <w:rFonts w:ascii="Times New Roman" w:eastAsia="Times New Roman" w:hAnsi="Times New Roman" w:cs="Times New Roman"/>
          <w:sz w:val="24"/>
          <w:szCs w:val="24"/>
        </w:rPr>
        <w:t xml:space="preserve"> </w:t>
      </w:r>
    </w:p>
    <w:p w14:paraId="3D8A0EC8"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sz w:val="24"/>
          <w:szCs w:val="24"/>
        </w:rPr>
        <w:lastRenderedPageBreak/>
        <w:t>El trauma que se presenta en el conflicto armado</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definido como daño intencional al otro, puede tener repercusiones física</w:t>
      </w:r>
      <w:r>
        <w:rPr>
          <w:rFonts w:ascii="Times New Roman" w:eastAsia="Times New Roman" w:hAnsi="Times New Roman" w:cs="Times New Roman"/>
          <w:sz w:val="24"/>
          <w:szCs w:val="24"/>
        </w:rPr>
        <w:t>s</w:t>
      </w:r>
      <w:r w:rsidRPr="002131C2">
        <w:rPr>
          <w:rFonts w:ascii="Times New Roman" w:eastAsia="Times New Roman" w:hAnsi="Times New Roman" w:cs="Times New Roman"/>
          <w:sz w:val="24"/>
          <w:szCs w:val="24"/>
        </w:rPr>
        <w:t xml:space="preserve"> y psicológicas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2131C2">
        <w:rPr>
          <w:rFonts w:ascii="Times New Roman" w:eastAsia="Times New Roman" w:hAnsi="Times New Roman" w:cs="Times New Roman"/>
          <w:sz w:val="24"/>
          <w:szCs w:val="24"/>
        </w:rPr>
        <w:t>as heridas causadas por el daño directo de las armas de fuego, además de</w:t>
      </w:r>
      <w:r>
        <w:rPr>
          <w:rFonts w:ascii="Times New Roman" w:eastAsia="Times New Roman" w:hAnsi="Times New Roman" w:cs="Times New Roman"/>
          <w:sz w:val="24"/>
          <w:szCs w:val="24"/>
        </w:rPr>
        <w:t xml:space="preserve"> la posibilidad de</w:t>
      </w:r>
      <w:r w:rsidRPr="002131C2">
        <w:rPr>
          <w:rFonts w:ascii="Times New Roman" w:eastAsia="Times New Roman" w:hAnsi="Times New Roman" w:cs="Times New Roman"/>
          <w:sz w:val="24"/>
          <w:szCs w:val="24"/>
        </w:rPr>
        <w:t xml:space="preserve"> causar deformidades y dolor, potencian </w:t>
      </w:r>
      <w:r>
        <w:rPr>
          <w:rFonts w:ascii="Times New Roman" w:eastAsia="Times New Roman" w:hAnsi="Times New Roman" w:cs="Times New Roman"/>
          <w:sz w:val="24"/>
          <w:szCs w:val="24"/>
        </w:rPr>
        <w:t xml:space="preserve">el </w:t>
      </w:r>
      <w:r w:rsidRPr="002131C2">
        <w:rPr>
          <w:rFonts w:ascii="Times New Roman" w:eastAsia="Times New Roman" w:hAnsi="Times New Roman" w:cs="Times New Roman"/>
          <w:sz w:val="24"/>
          <w:szCs w:val="24"/>
        </w:rPr>
        <w:t>recuerdo para los sujetos que la</w:t>
      </w:r>
      <w:r>
        <w:rPr>
          <w:rFonts w:ascii="Times New Roman" w:eastAsia="Times New Roman" w:hAnsi="Times New Roman" w:cs="Times New Roman"/>
          <w:sz w:val="24"/>
          <w:szCs w:val="24"/>
        </w:rPr>
        <w:t>s</w:t>
      </w:r>
      <w:r w:rsidRPr="002131C2">
        <w:rPr>
          <w:rFonts w:ascii="Times New Roman" w:eastAsia="Times New Roman" w:hAnsi="Times New Roman" w:cs="Times New Roman"/>
          <w:sz w:val="24"/>
          <w:szCs w:val="24"/>
        </w:rPr>
        <w:t xml:space="preserve"> padecieron</w:t>
      </w:r>
      <w:r>
        <w:rPr>
          <w:rFonts w:ascii="Times New Roman" w:eastAsia="Times New Roman" w:hAnsi="Times New Roman" w:cs="Times New Roman"/>
          <w:sz w:val="24"/>
          <w:szCs w:val="24"/>
        </w:rPr>
        <w:t>. Pu</w:t>
      </w:r>
      <w:r w:rsidRPr="002131C2">
        <w:rPr>
          <w:rFonts w:ascii="Times New Roman" w:eastAsia="Times New Roman" w:hAnsi="Times New Roman" w:cs="Times New Roman"/>
          <w:sz w:val="24"/>
          <w:szCs w:val="24"/>
        </w:rPr>
        <w:t>ed</w:t>
      </w:r>
      <w:r>
        <w:rPr>
          <w:rFonts w:ascii="Times New Roman" w:eastAsia="Times New Roman" w:hAnsi="Times New Roman" w:cs="Times New Roman"/>
          <w:sz w:val="24"/>
          <w:szCs w:val="24"/>
        </w:rPr>
        <w:t>en</w:t>
      </w:r>
      <w:r w:rsidRPr="002131C2">
        <w:rPr>
          <w:rFonts w:ascii="Times New Roman" w:eastAsia="Times New Roman" w:hAnsi="Times New Roman" w:cs="Times New Roman"/>
          <w:sz w:val="24"/>
          <w:szCs w:val="24"/>
        </w:rPr>
        <w:t xml:space="preserve"> agravar o desencadenar depresión, ansiedad y TEPT, lo que impacta desfavorablemente en la calidad de vida.</w:t>
      </w:r>
      <w:r w:rsidRPr="002131C2">
        <w:rPr>
          <w:rFonts w:ascii="Times New Roman" w:eastAsia="Times New Roman" w:hAnsi="Times New Roman" w:cs="Times New Roman"/>
          <w:sz w:val="24"/>
          <w:szCs w:val="24"/>
          <w:vertAlign w:val="superscript"/>
        </w:rPr>
        <w:t>(7)</w:t>
      </w:r>
      <w:r w:rsidRPr="002131C2">
        <w:rPr>
          <w:rFonts w:ascii="Times New Roman" w:eastAsia="Times New Roman" w:hAnsi="Times New Roman" w:cs="Times New Roman"/>
          <w:sz w:val="24"/>
          <w:szCs w:val="24"/>
        </w:rPr>
        <w:t xml:space="preserve"> El trauma torácico en combate</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generalmente </w:t>
      </w:r>
      <w:r>
        <w:rPr>
          <w:rFonts w:ascii="Times New Roman" w:eastAsia="Times New Roman" w:hAnsi="Times New Roman" w:cs="Times New Roman"/>
          <w:sz w:val="24"/>
          <w:szCs w:val="24"/>
        </w:rPr>
        <w:t>es</w:t>
      </w:r>
      <w:r w:rsidRPr="002131C2">
        <w:rPr>
          <w:rFonts w:ascii="Times New Roman" w:eastAsia="Times New Roman" w:hAnsi="Times New Roman" w:cs="Times New Roman"/>
          <w:sz w:val="24"/>
          <w:szCs w:val="24"/>
        </w:rPr>
        <w:t xml:space="preserve"> grave</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puede afectar de manera importante la función pulmonar y </w:t>
      </w:r>
      <w:r>
        <w:rPr>
          <w:rFonts w:ascii="Times New Roman" w:eastAsia="Times New Roman" w:hAnsi="Times New Roman" w:cs="Times New Roman"/>
          <w:sz w:val="24"/>
          <w:szCs w:val="24"/>
        </w:rPr>
        <w:t xml:space="preserve">la </w:t>
      </w:r>
      <w:r w:rsidRPr="002131C2">
        <w:rPr>
          <w:rFonts w:ascii="Times New Roman" w:eastAsia="Times New Roman" w:hAnsi="Times New Roman" w:cs="Times New Roman"/>
          <w:sz w:val="24"/>
          <w:szCs w:val="24"/>
        </w:rPr>
        <w:t>salud mental</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w:t>
      </w:r>
      <w:r w:rsidRPr="002131C2">
        <w:rPr>
          <w:rFonts w:ascii="Times New Roman" w:eastAsia="Times New Roman" w:hAnsi="Times New Roman" w:cs="Times New Roman"/>
          <w:sz w:val="24"/>
          <w:szCs w:val="24"/>
        </w:rPr>
        <w:t xml:space="preserve"> disnea y disminución de la tolerancia al ejercicio</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quienes</w:t>
      </w:r>
      <w:r w:rsidRPr="002131C2">
        <w:rPr>
          <w:rFonts w:ascii="Times New Roman" w:eastAsia="Times New Roman" w:hAnsi="Times New Roman" w:cs="Times New Roman"/>
          <w:sz w:val="24"/>
          <w:szCs w:val="24"/>
        </w:rPr>
        <w:t xml:space="preserve"> lo padecieron</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puede acompañar a los trastornos psicológicos.</w:t>
      </w:r>
      <w:r w:rsidRPr="002131C2">
        <w:rPr>
          <w:rFonts w:ascii="Times New Roman" w:eastAsia="Times New Roman" w:hAnsi="Times New Roman" w:cs="Times New Roman"/>
          <w:sz w:val="24"/>
          <w:szCs w:val="24"/>
          <w:vertAlign w:val="superscript"/>
        </w:rPr>
        <w:t>(8,9,10)</w:t>
      </w:r>
      <w:r w:rsidRPr="002131C2">
        <w:rPr>
          <w:rFonts w:ascii="Times New Roman" w:eastAsia="Times New Roman" w:hAnsi="Times New Roman" w:cs="Times New Roman"/>
          <w:sz w:val="24"/>
          <w:szCs w:val="24"/>
        </w:rPr>
        <w:t xml:space="preserve"> </w:t>
      </w:r>
    </w:p>
    <w:p w14:paraId="7465EA5E"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sz w:val="24"/>
          <w:szCs w:val="24"/>
        </w:rPr>
        <w:t>El trauma torácico generado por lesiones no asociadas a conflicto</w:t>
      </w:r>
      <w:r>
        <w:rPr>
          <w:rFonts w:ascii="Times New Roman" w:eastAsia="Times New Roman" w:hAnsi="Times New Roman" w:cs="Times New Roman"/>
          <w:sz w:val="24"/>
          <w:szCs w:val="24"/>
        </w:rPr>
        <w:t>s</w:t>
      </w:r>
      <w:r w:rsidRPr="002131C2">
        <w:rPr>
          <w:rFonts w:ascii="Times New Roman" w:eastAsia="Times New Roman" w:hAnsi="Times New Roman" w:cs="Times New Roman"/>
          <w:sz w:val="24"/>
          <w:szCs w:val="24"/>
        </w:rPr>
        <w:t xml:space="preserve"> armado</w:t>
      </w:r>
      <w:r>
        <w:rPr>
          <w:rFonts w:ascii="Times New Roman" w:eastAsia="Times New Roman" w:hAnsi="Times New Roman" w:cs="Times New Roman"/>
          <w:sz w:val="24"/>
          <w:szCs w:val="24"/>
        </w:rPr>
        <w:t>s,</w:t>
      </w:r>
      <w:r w:rsidRPr="002131C2">
        <w:rPr>
          <w:rFonts w:ascii="Times New Roman" w:eastAsia="Times New Roman" w:hAnsi="Times New Roman" w:cs="Times New Roman"/>
          <w:sz w:val="24"/>
          <w:szCs w:val="24"/>
        </w:rPr>
        <w:t xml:space="preserve"> deja además de las secuelas físicas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condiciones como ansiedad, depresión, deterioro cognitivo, entre otras.</w:t>
      </w:r>
      <w:r w:rsidRPr="002131C2">
        <w:rPr>
          <w:rFonts w:ascii="Times New Roman" w:eastAsia="Times New Roman" w:hAnsi="Times New Roman" w:cs="Times New Roman"/>
          <w:sz w:val="24"/>
          <w:szCs w:val="24"/>
          <w:vertAlign w:val="superscript"/>
        </w:rPr>
        <w:t>(7,8,9,10)</w:t>
      </w:r>
      <w:r w:rsidRPr="002131C2">
        <w:rPr>
          <w:rFonts w:ascii="Times New Roman" w:eastAsia="Times New Roman" w:hAnsi="Times New Roman" w:cs="Times New Roman"/>
          <w:sz w:val="24"/>
          <w:szCs w:val="24"/>
        </w:rPr>
        <w:t xml:space="preserve"> No obstante, los datos específicos de la presencia de TEPT en pacientes con trauma de tórax en conflicto armado</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no se conocen. </w:t>
      </w:r>
    </w:p>
    <w:p w14:paraId="04DCFE94"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sz w:val="24"/>
          <w:szCs w:val="24"/>
        </w:rPr>
        <w:t xml:space="preserve">El objetivo del siguiente estudio es establecer la frecuencia y posibles factores de riesgo asociados del trastorno de estrés postraumático en sujetos con lesiones en tórax sufridas en combate.  </w:t>
      </w:r>
    </w:p>
    <w:p w14:paraId="2D1F32EF" w14:textId="77777777" w:rsidR="004D173E" w:rsidRPr="002131C2" w:rsidRDefault="004D173E" w:rsidP="004D173E">
      <w:pPr>
        <w:spacing w:after="0" w:line="360" w:lineRule="auto"/>
        <w:jc w:val="both"/>
        <w:rPr>
          <w:rFonts w:ascii="Times New Roman" w:eastAsia="Times New Roman" w:hAnsi="Times New Roman" w:cs="Times New Roman"/>
          <w:b/>
          <w:sz w:val="24"/>
          <w:szCs w:val="24"/>
        </w:rPr>
      </w:pPr>
    </w:p>
    <w:p w14:paraId="20F1B306" w14:textId="77777777" w:rsidR="004D173E" w:rsidRDefault="004D173E" w:rsidP="004D173E">
      <w:pPr>
        <w:spacing w:after="0" w:line="360" w:lineRule="auto"/>
        <w:jc w:val="center"/>
        <w:rPr>
          <w:rFonts w:ascii="Times New Roman" w:eastAsia="Times New Roman" w:hAnsi="Times New Roman" w:cs="Times New Roman"/>
          <w:b/>
          <w:sz w:val="24"/>
          <w:szCs w:val="24"/>
        </w:rPr>
      </w:pPr>
    </w:p>
    <w:p w14:paraId="736DA97F" w14:textId="77777777" w:rsidR="004D173E" w:rsidRPr="00234720" w:rsidRDefault="004D173E" w:rsidP="004D173E">
      <w:pPr>
        <w:spacing w:after="0" w:line="360" w:lineRule="auto"/>
        <w:jc w:val="center"/>
        <w:rPr>
          <w:rFonts w:ascii="Times New Roman" w:eastAsia="Times New Roman" w:hAnsi="Times New Roman" w:cs="Times New Roman"/>
          <w:b/>
          <w:sz w:val="32"/>
          <w:szCs w:val="32"/>
        </w:rPr>
      </w:pPr>
      <w:r w:rsidRPr="00234720">
        <w:rPr>
          <w:rFonts w:ascii="Times New Roman" w:eastAsia="Times New Roman" w:hAnsi="Times New Roman" w:cs="Times New Roman"/>
          <w:b/>
          <w:sz w:val="32"/>
          <w:szCs w:val="32"/>
        </w:rPr>
        <w:t>MÉTODOS</w:t>
      </w:r>
    </w:p>
    <w:p w14:paraId="510C4F71"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realizó un e</w:t>
      </w:r>
      <w:r w:rsidRPr="002131C2">
        <w:rPr>
          <w:rFonts w:ascii="Times New Roman" w:eastAsia="Times New Roman" w:hAnsi="Times New Roman" w:cs="Times New Roman"/>
          <w:sz w:val="24"/>
          <w:szCs w:val="24"/>
        </w:rPr>
        <w:t>studio comparativo entre sujetos con trauma de tórax sufrido en combate y sujetos sin lesión torácica</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con experiencia en combate</w:t>
      </w:r>
      <w:r>
        <w:rPr>
          <w:rFonts w:ascii="Times New Roman" w:eastAsia="Times New Roman" w:hAnsi="Times New Roman" w:cs="Times New Roman"/>
          <w:sz w:val="24"/>
          <w:szCs w:val="24"/>
        </w:rPr>
        <w:t>. Fue</w:t>
      </w:r>
      <w:r w:rsidRPr="002131C2">
        <w:rPr>
          <w:rFonts w:ascii="Times New Roman" w:eastAsia="Times New Roman" w:hAnsi="Times New Roman" w:cs="Times New Roman"/>
          <w:sz w:val="24"/>
          <w:szCs w:val="24"/>
        </w:rPr>
        <w:t xml:space="preserve"> realizado en el </w:t>
      </w:r>
      <w:r>
        <w:rPr>
          <w:rFonts w:ascii="Times New Roman" w:eastAsia="Times New Roman" w:hAnsi="Times New Roman" w:cs="Times New Roman"/>
          <w:sz w:val="24"/>
          <w:szCs w:val="24"/>
        </w:rPr>
        <w:t>D</w:t>
      </w:r>
      <w:r w:rsidRPr="002131C2">
        <w:rPr>
          <w:rFonts w:ascii="Times New Roman" w:eastAsia="Times New Roman" w:hAnsi="Times New Roman" w:cs="Times New Roman"/>
          <w:sz w:val="24"/>
          <w:szCs w:val="24"/>
        </w:rPr>
        <w:t xml:space="preserve">epartamento de </w:t>
      </w:r>
      <w:r>
        <w:rPr>
          <w:rFonts w:ascii="Times New Roman" w:eastAsia="Times New Roman" w:hAnsi="Times New Roman" w:cs="Times New Roman"/>
          <w:sz w:val="24"/>
          <w:szCs w:val="24"/>
        </w:rPr>
        <w:t>N</w:t>
      </w:r>
      <w:r w:rsidRPr="002131C2">
        <w:rPr>
          <w:rFonts w:ascii="Times New Roman" w:eastAsia="Times New Roman" w:hAnsi="Times New Roman" w:cs="Times New Roman"/>
          <w:sz w:val="24"/>
          <w:szCs w:val="24"/>
        </w:rPr>
        <w:t xml:space="preserve">eumología del </w:t>
      </w:r>
      <w:r>
        <w:rPr>
          <w:rFonts w:ascii="Times New Roman" w:eastAsia="Times New Roman" w:hAnsi="Times New Roman" w:cs="Times New Roman"/>
          <w:sz w:val="24"/>
          <w:szCs w:val="24"/>
        </w:rPr>
        <w:t>H</w:t>
      </w:r>
      <w:r w:rsidRPr="002131C2">
        <w:rPr>
          <w:rFonts w:ascii="Times New Roman" w:eastAsia="Times New Roman" w:hAnsi="Times New Roman" w:cs="Times New Roman"/>
          <w:sz w:val="24"/>
          <w:szCs w:val="24"/>
        </w:rPr>
        <w:t xml:space="preserve">ospital </w:t>
      </w:r>
      <w:r>
        <w:rPr>
          <w:rFonts w:ascii="Times New Roman" w:eastAsia="Times New Roman" w:hAnsi="Times New Roman" w:cs="Times New Roman"/>
          <w:sz w:val="24"/>
          <w:szCs w:val="24"/>
        </w:rPr>
        <w:t>M</w:t>
      </w:r>
      <w:r w:rsidRPr="002131C2">
        <w:rPr>
          <w:rFonts w:ascii="Times New Roman" w:eastAsia="Times New Roman" w:hAnsi="Times New Roman" w:cs="Times New Roman"/>
          <w:sz w:val="24"/>
          <w:szCs w:val="24"/>
        </w:rPr>
        <w:t xml:space="preserve">ilitar </w:t>
      </w:r>
      <w:r>
        <w:rPr>
          <w:rFonts w:ascii="Times New Roman" w:eastAsia="Times New Roman" w:hAnsi="Times New Roman" w:cs="Times New Roman"/>
          <w:sz w:val="24"/>
          <w:szCs w:val="24"/>
        </w:rPr>
        <w:t>C</w:t>
      </w:r>
      <w:r w:rsidRPr="002131C2">
        <w:rPr>
          <w:rFonts w:ascii="Times New Roman" w:eastAsia="Times New Roman" w:hAnsi="Times New Roman" w:cs="Times New Roman"/>
          <w:sz w:val="24"/>
          <w:szCs w:val="24"/>
        </w:rPr>
        <w:t xml:space="preserve">entral </w:t>
      </w:r>
      <w:r>
        <w:rPr>
          <w:rFonts w:ascii="Times New Roman" w:eastAsia="Times New Roman" w:hAnsi="Times New Roman" w:cs="Times New Roman"/>
          <w:sz w:val="24"/>
          <w:szCs w:val="24"/>
        </w:rPr>
        <w:t xml:space="preserve">de </w:t>
      </w:r>
      <w:r w:rsidRPr="002131C2">
        <w:rPr>
          <w:rFonts w:ascii="Times New Roman" w:eastAsia="Times New Roman" w:hAnsi="Times New Roman" w:cs="Times New Roman"/>
          <w:sz w:val="24"/>
          <w:szCs w:val="24"/>
        </w:rPr>
        <w:t>Bogotá, Colombia, entre los años 2017</w:t>
      </w:r>
      <w:r>
        <w:rPr>
          <w:rFonts w:ascii="Times New Roman" w:eastAsia="Times New Roman" w:hAnsi="Times New Roman" w:cs="Times New Roman"/>
          <w:sz w:val="24"/>
          <w:szCs w:val="24"/>
        </w:rPr>
        <w:t xml:space="preserve"> y </w:t>
      </w:r>
      <w:r w:rsidRPr="002131C2">
        <w:rPr>
          <w:rFonts w:ascii="Times New Roman" w:eastAsia="Times New Roman" w:hAnsi="Times New Roman" w:cs="Times New Roman"/>
          <w:sz w:val="24"/>
          <w:szCs w:val="24"/>
        </w:rPr>
        <w:t>2019</w:t>
      </w:r>
      <w:r>
        <w:rPr>
          <w:rFonts w:ascii="Times New Roman" w:eastAsia="Times New Roman" w:hAnsi="Times New Roman" w:cs="Times New Roman"/>
          <w:sz w:val="24"/>
          <w:szCs w:val="24"/>
        </w:rPr>
        <w:t xml:space="preserve"> (ambos incluidos)</w:t>
      </w:r>
      <w:r w:rsidRPr="002131C2">
        <w:rPr>
          <w:rFonts w:ascii="Times New Roman" w:eastAsia="Times New Roman" w:hAnsi="Times New Roman" w:cs="Times New Roman"/>
          <w:sz w:val="24"/>
          <w:szCs w:val="24"/>
        </w:rPr>
        <w:t xml:space="preserve">. Los sujetos con trauma eran evaluados con el cuestionario diagnóstico validado para Colombia de TEPT a los </w:t>
      </w:r>
      <w:r>
        <w:rPr>
          <w:rFonts w:ascii="Times New Roman" w:eastAsia="Times New Roman" w:hAnsi="Times New Roman" w:cs="Times New Roman"/>
          <w:sz w:val="24"/>
          <w:szCs w:val="24"/>
        </w:rPr>
        <w:t>3</w:t>
      </w:r>
      <w:r w:rsidRPr="002131C2">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6</w:t>
      </w:r>
      <w:r w:rsidRPr="002131C2">
        <w:rPr>
          <w:rFonts w:ascii="Times New Roman" w:eastAsia="Times New Roman" w:hAnsi="Times New Roman" w:cs="Times New Roman"/>
          <w:sz w:val="24"/>
          <w:szCs w:val="24"/>
        </w:rPr>
        <w:t xml:space="preserve"> meses de la lesión</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Cuando </w:t>
      </w:r>
      <w:r w:rsidRPr="002131C2">
        <w:rPr>
          <w:rFonts w:ascii="Times New Roman" w:eastAsia="Times New Roman" w:hAnsi="Times New Roman" w:cs="Times New Roman"/>
          <w:sz w:val="24"/>
          <w:szCs w:val="24"/>
        </w:rPr>
        <w:t>ingresaba el sujeto con trauma</w:t>
      </w:r>
      <w:r>
        <w:rPr>
          <w:rFonts w:ascii="Times New Roman" w:eastAsia="Times New Roman" w:hAnsi="Times New Roman" w:cs="Times New Roman"/>
          <w:sz w:val="24"/>
          <w:szCs w:val="24"/>
        </w:rPr>
        <w:t xml:space="preserve"> de tórax,</w:t>
      </w:r>
      <w:r w:rsidRPr="002131C2">
        <w:rPr>
          <w:rFonts w:ascii="Times New Roman" w:eastAsia="Times New Roman" w:hAnsi="Times New Roman" w:cs="Times New Roman"/>
          <w:sz w:val="24"/>
          <w:szCs w:val="24"/>
        </w:rPr>
        <w:t xml:space="preserve"> se realizaba la búsqueda de su control.</w:t>
      </w:r>
    </w:p>
    <w:p w14:paraId="605087E0" w14:textId="77777777" w:rsidR="004D173E" w:rsidRDefault="004D173E" w:rsidP="004D173E">
      <w:pPr>
        <w:spacing w:after="0" w:line="360" w:lineRule="auto"/>
        <w:jc w:val="both"/>
        <w:rPr>
          <w:rFonts w:ascii="Times New Roman" w:eastAsia="Times New Roman" w:hAnsi="Times New Roman" w:cs="Times New Roman"/>
          <w:sz w:val="24"/>
          <w:szCs w:val="24"/>
        </w:rPr>
      </w:pPr>
      <w:r w:rsidRPr="00234720">
        <w:rPr>
          <w:rFonts w:ascii="Times New Roman" w:eastAsia="Times New Roman" w:hAnsi="Times New Roman" w:cs="Times New Roman"/>
          <w:iCs/>
          <w:sz w:val="24"/>
          <w:szCs w:val="24"/>
        </w:rPr>
        <w:t>Criterios de elegibilidad</w:t>
      </w:r>
      <w:r>
        <w:rPr>
          <w:rFonts w:ascii="Times New Roman" w:eastAsia="Times New Roman" w:hAnsi="Times New Roman" w:cs="Times New Roman"/>
          <w:iCs/>
          <w:sz w:val="24"/>
          <w:szCs w:val="24"/>
        </w:rPr>
        <w:t xml:space="preserve">: </w:t>
      </w:r>
      <w:r w:rsidRPr="002131C2">
        <w:rPr>
          <w:rFonts w:ascii="Times New Roman" w:eastAsia="Times New Roman" w:hAnsi="Times New Roman" w:cs="Times New Roman"/>
          <w:sz w:val="24"/>
          <w:szCs w:val="24"/>
        </w:rPr>
        <w:t xml:space="preserve">población militar de mayores de 18 años y menores de 55 años, con trauma de tórax que tuvieron manejo médico o quirúrgico (toracotomía o laparotomía). </w:t>
      </w:r>
    </w:p>
    <w:p w14:paraId="0C7996D0" w14:textId="77777777" w:rsidR="004D173E"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sz w:val="24"/>
          <w:szCs w:val="24"/>
        </w:rPr>
        <w:t xml:space="preserve">Se excluyó </w:t>
      </w:r>
      <w:r>
        <w:rPr>
          <w:rFonts w:ascii="Times New Roman" w:eastAsia="Times New Roman" w:hAnsi="Times New Roman" w:cs="Times New Roman"/>
          <w:sz w:val="24"/>
          <w:szCs w:val="24"/>
        </w:rPr>
        <w:t>si tenía</w:t>
      </w:r>
      <w:r w:rsidRPr="002131C2">
        <w:rPr>
          <w:rFonts w:ascii="Times New Roman" w:eastAsia="Times New Roman" w:hAnsi="Times New Roman" w:cs="Times New Roman"/>
          <w:sz w:val="24"/>
          <w:szCs w:val="24"/>
        </w:rPr>
        <w:t xml:space="preserve"> antecedente de trauma abdominal, craneoencefálico, ótico, medular, osteomuscular, vascular y ocular; además, sujetos con incapacidad permanente para la comunicación verbal con o sin antecedentes de trauma</w:t>
      </w:r>
      <w:r>
        <w:rPr>
          <w:rFonts w:ascii="Times New Roman" w:eastAsia="Times New Roman" w:hAnsi="Times New Roman" w:cs="Times New Roman"/>
          <w:sz w:val="24"/>
          <w:szCs w:val="24"/>
        </w:rPr>
        <w:t xml:space="preserve"> de tórax</w:t>
      </w:r>
      <w:r w:rsidRPr="002131C2">
        <w:rPr>
          <w:rFonts w:ascii="Times New Roman" w:eastAsia="Times New Roman" w:hAnsi="Times New Roman" w:cs="Times New Roman"/>
          <w:sz w:val="24"/>
          <w:szCs w:val="24"/>
        </w:rPr>
        <w:t xml:space="preserve">. </w:t>
      </w:r>
    </w:p>
    <w:p w14:paraId="2F9B5566"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sz w:val="24"/>
          <w:szCs w:val="24"/>
        </w:rPr>
        <w:lastRenderedPageBreak/>
        <w:t xml:space="preserve">El cálculo del tamaño de muestra se realizó con el programa </w:t>
      </w:r>
      <w:proofErr w:type="spellStart"/>
      <w:r w:rsidRPr="002131C2">
        <w:rPr>
          <w:rFonts w:ascii="Times New Roman" w:eastAsia="Times New Roman" w:hAnsi="Times New Roman" w:cs="Times New Roman"/>
          <w:sz w:val="24"/>
          <w:szCs w:val="24"/>
        </w:rPr>
        <w:t>Epidat</w:t>
      </w:r>
      <w:proofErr w:type="spellEnd"/>
      <w:r w:rsidRPr="002131C2">
        <w:rPr>
          <w:rFonts w:ascii="Times New Roman" w:eastAsia="Times New Roman" w:hAnsi="Times New Roman" w:cs="Times New Roman"/>
          <w:sz w:val="24"/>
          <w:szCs w:val="24"/>
        </w:rPr>
        <w:t xml:space="preserve"> 4.0</w:t>
      </w:r>
      <w:r>
        <w:rPr>
          <w:rFonts w:ascii="Times New Roman" w:eastAsia="Times New Roman" w:hAnsi="Times New Roman" w:cs="Times New Roman"/>
          <w:sz w:val="24"/>
          <w:szCs w:val="24"/>
        </w:rPr>
        <w:t>. Se</w:t>
      </w:r>
      <w:r w:rsidRPr="002131C2">
        <w:rPr>
          <w:rFonts w:ascii="Times New Roman" w:eastAsia="Times New Roman" w:hAnsi="Times New Roman" w:cs="Times New Roman"/>
          <w:sz w:val="24"/>
          <w:szCs w:val="24"/>
        </w:rPr>
        <w:t xml:space="preserve"> consider</w:t>
      </w:r>
      <w:r>
        <w:rPr>
          <w:rFonts w:ascii="Times New Roman" w:eastAsia="Times New Roman" w:hAnsi="Times New Roman" w:cs="Times New Roman"/>
          <w:sz w:val="24"/>
          <w:szCs w:val="24"/>
        </w:rPr>
        <w:t>ó</w:t>
      </w:r>
      <w:r w:rsidRPr="002131C2">
        <w:rPr>
          <w:rFonts w:ascii="Times New Roman" w:eastAsia="Times New Roman" w:hAnsi="Times New Roman" w:cs="Times New Roman"/>
          <w:sz w:val="24"/>
          <w:szCs w:val="24"/>
        </w:rPr>
        <w:t xml:space="preserve"> una diferencia de medias estandarizadas de 2 para grupos independientes, potencia del 80</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y nivel de confianza del 95</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Resultó </w:t>
      </w:r>
      <w:r w:rsidRPr="002131C2">
        <w:rPr>
          <w:rFonts w:ascii="Times New Roman" w:eastAsia="Times New Roman" w:hAnsi="Times New Roman" w:cs="Times New Roman"/>
          <w:sz w:val="24"/>
          <w:szCs w:val="24"/>
        </w:rPr>
        <w:t>un mínimo de 21 sujetos en cada grupo de estudio.</w:t>
      </w:r>
    </w:p>
    <w:p w14:paraId="7527E77E"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sidRPr="00234720">
        <w:rPr>
          <w:rFonts w:ascii="Times New Roman" w:eastAsia="Times New Roman" w:hAnsi="Times New Roman" w:cs="Times New Roman"/>
          <w:iCs/>
          <w:sz w:val="24"/>
          <w:szCs w:val="24"/>
        </w:rPr>
        <w:t>Evaluación del TEPT</w:t>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p</w:t>
      </w:r>
      <w:r w:rsidRPr="002131C2">
        <w:rPr>
          <w:rFonts w:ascii="Times New Roman" w:eastAsia="Times New Roman" w:hAnsi="Times New Roman" w:cs="Times New Roman"/>
          <w:sz w:val="24"/>
          <w:szCs w:val="24"/>
        </w:rPr>
        <w:t>or medio de un cuestionario de 24 preguntas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se evaluaron los síntomas asociados al TEPT y se aplicaron los criterios diagnósticos del </w:t>
      </w:r>
      <w:proofErr w:type="spellStart"/>
      <w:r w:rsidRPr="002131C2">
        <w:rPr>
          <w:rFonts w:ascii="Times New Roman" w:eastAsia="Times New Roman" w:hAnsi="Times New Roman" w:cs="Times New Roman"/>
          <w:i/>
          <w:sz w:val="24"/>
          <w:szCs w:val="24"/>
        </w:rPr>
        <w:t>Diagnostic</w:t>
      </w:r>
      <w:proofErr w:type="spellEnd"/>
      <w:r w:rsidRPr="002131C2">
        <w:rPr>
          <w:rFonts w:ascii="Times New Roman" w:eastAsia="Times New Roman" w:hAnsi="Times New Roman" w:cs="Times New Roman"/>
          <w:i/>
          <w:sz w:val="24"/>
          <w:szCs w:val="24"/>
        </w:rPr>
        <w:t xml:space="preserve"> and </w:t>
      </w:r>
      <w:proofErr w:type="spellStart"/>
      <w:r w:rsidRPr="002131C2">
        <w:rPr>
          <w:rFonts w:ascii="Times New Roman" w:eastAsia="Times New Roman" w:hAnsi="Times New Roman" w:cs="Times New Roman"/>
          <w:i/>
          <w:sz w:val="24"/>
          <w:szCs w:val="24"/>
        </w:rPr>
        <w:t>Statistical</w:t>
      </w:r>
      <w:proofErr w:type="spellEnd"/>
      <w:r w:rsidRPr="002131C2">
        <w:rPr>
          <w:rFonts w:ascii="Times New Roman" w:eastAsia="Times New Roman" w:hAnsi="Times New Roman" w:cs="Times New Roman"/>
          <w:i/>
          <w:sz w:val="24"/>
          <w:szCs w:val="24"/>
        </w:rPr>
        <w:t xml:space="preserve"> Manual </w:t>
      </w:r>
      <w:proofErr w:type="spellStart"/>
      <w:r w:rsidRPr="002131C2">
        <w:rPr>
          <w:rFonts w:ascii="Times New Roman" w:eastAsia="Times New Roman" w:hAnsi="Times New Roman" w:cs="Times New Roman"/>
          <w:i/>
          <w:sz w:val="24"/>
          <w:szCs w:val="24"/>
        </w:rPr>
        <w:t>of</w:t>
      </w:r>
      <w:proofErr w:type="spellEnd"/>
      <w:r w:rsidRPr="002131C2">
        <w:rPr>
          <w:rFonts w:ascii="Times New Roman" w:eastAsia="Times New Roman" w:hAnsi="Times New Roman" w:cs="Times New Roman"/>
          <w:i/>
          <w:sz w:val="24"/>
          <w:szCs w:val="24"/>
        </w:rPr>
        <w:t xml:space="preserve">   Mental </w:t>
      </w:r>
      <w:proofErr w:type="spellStart"/>
      <w:r w:rsidRPr="002131C2">
        <w:rPr>
          <w:rFonts w:ascii="Times New Roman" w:eastAsia="Times New Roman" w:hAnsi="Times New Roman" w:cs="Times New Roman"/>
          <w:i/>
          <w:sz w:val="24"/>
          <w:szCs w:val="24"/>
        </w:rPr>
        <w:t>Disorders</w:t>
      </w:r>
      <w:proofErr w:type="spellEnd"/>
      <w:r w:rsidRPr="002131C2">
        <w:rPr>
          <w:rFonts w:ascii="Times New Roman" w:eastAsia="Times New Roman" w:hAnsi="Times New Roman" w:cs="Times New Roman"/>
          <w:sz w:val="24"/>
          <w:szCs w:val="24"/>
        </w:rPr>
        <w:t xml:space="preserve">, quinta edición (DSM-V) para este mismo trastorno. </w:t>
      </w:r>
    </w:p>
    <w:p w14:paraId="16E8CAE1" w14:textId="77777777" w:rsidR="004D173E"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sz w:val="24"/>
          <w:szCs w:val="24"/>
        </w:rPr>
        <w:t>Los criterios mencionados se aplicaron en los sujetos heridos en combate y sanos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con el fin de evaluar: </w:t>
      </w:r>
    </w:p>
    <w:p w14:paraId="7BBBE82F" w14:textId="77777777" w:rsidR="004D173E" w:rsidRDefault="004D173E" w:rsidP="004D173E">
      <w:pPr>
        <w:spacing w:after="0" w:line="360" w:lineRule="auto"/>
        <w:jc w:val="both"/>
        <w:rPr>
          <w:rFonts w:ascii="Times New Roman" w:eastAsia="Times New Roman" w:hAnsi="Times New Roman" w:cs="Times New Roman"/>
          <w:sz w:val="24"/>
          <w:szCs w:val="24"/>
        </w:rPr>
      </w:pPr>
    </w:p>
    <w:p w14:paraId="72C75A18" w14:textId="77777777" w:rsidR="004D173E" w:rsidRDefault="004D173E" w:rsidP="004D173E">
      <w:pPr>
        <w:pStyle w:val="Prrafodelista"/>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234720">
        <w:rPr>
          <w:rFonts w:ascii="Times New Roman" w:eastAsia="Times New Roman" w:hAnsi="Times New Roman" w:cs="Times New Roman"/>
          <w:sz w:val="24"/>
          <w:szCs w:val="24"/>
        </w:rPr>
        <w:t>riterio A</w:t>
      </w:r>
      <w:r>
        <w:rPr>
          <w:rFonts w:ascii="Times New Roman" w:eastAsia="Times New Roman" w:hAnsi="Times New Roman" w:cs="Times New Roman"/>
          <w:sz w:val="24"/>
          <w:szCs w:val="24"/>
        </w:rPr>
        <w:t>:</w:t>
      </w:r>
      <w:r w:rsidRPr="00234720">
        <w:rPr>
          <w:rFonts w:ascii="Times New Roman" w:eastAsia="Times New Roman" w:hAnsi="Times New Roman" w:cs="Times New Roman"/>
          <w:sz w:val="24"/>
          <w:szCs w:val="24"/>
        </w:rPr>
        <w:t xml:space="preserve"> exposición a la muerte o lesión grave</w:t>
      </w:r>
      <w:r>
        <w:rPr>
          <w:rFonts w:ascii="Times New Roman" w:eastAsia="Times New Roman" w:hAnsi="Times New Roman" w:cs="Times New Roman"/>
          <w:sz w:val="24"/>
          <w:szCs w:val="24"/>
        </w:rPr>
        <w:t>.</w:t>
      </w:r>
    </w:p>
    <w:p w14:paraId="64D830D8" w14:textId="77777777" w:rsidR="004D173E" w:rsidRDefault="004D173E" w:rsidP="004D173E">
      <w:pPr>
        <w:pStyle w:val="Prrafodelista"/>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234720">
        <w:rPr>
          <w:rFonts w:ascii="Times New Roman" w:eastAsia="Times New Roman" w:hAnsi="Times New Roman" w:cs="Times New Roman"/>
          <w:sz w:val="24"/>
          <w:szCs w:val="24"/>
        </w:rPr>
        <w:t>riterio B</w:t>
      </w:r>
      <w:r>
        <w:rPr>
          <w:rFonts w:ascii="Times New Roman" w:eastAsia="Times New Roman" w:hAnsi="Times New Roman" w:cs="Times New Roman"/>
          <w:sz w:val="24"/>
          <w:szCs w:val="24"/>
        </w:rPr>
        <w:t>:</w:t>
      </w:r>
      <w:r w:rsidRPr="00234720">
        <w:rPr>
          <w:rFonts w:ascii="Times New Roman" w:eastAsia="Times New Roman" w:hAnsi="Times New Roman" w:cs="Times New Roman"/>
          <w:sz w:val="24"/>
          <w:szCs w:val="24"/>
        </w:rPr>
        <w:t xml:space="preserve"> síntomas de intrusión</w:t>
      </w:r>
      <w:r>
        <w:rPr>
          <w:rFonts w:ascii="Times New Roman" w:eastAsia="Times New Roman" w:hAnsi="Times New Roman" w:cs="Times New Roman"/>
          <w:sz w:val="24"/>
          <w:szCs w:val="24"/>
        </w:rPr>
        <w:t>.</w:t>
      </w:r>
    </w:p>
    <w:p w14:paraId="54D6BE7C" w14:textId="77777777" w:rsidR="004D173E" w:rsidRDefault="004D173E" w:rsidP="004D173E">
      <w:pPr>
        <w:pStyle w:val="Prrafodelista"/>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234720">
        <w:rPr>
          <w:rFonts w:ascii="Times New Roman" w:eastAsia="Times New Roman" w:hAnsi="Times New Roman" w:cs="Times New Roman"/>
          <w:sz w:val="24"/>
          <w:szCs w:val="24"/>
        </w:rPr>
        <w:t>riterio C</w:t>
      </w:r>
      <w:r>
        <w:rPr>
          <w:rFonts w:ascii="Times New Roman" w:eastAsia="Times New Roman" w:hAnsi="Times New Roman" w:cs="Times New Roman"/>
          <w:sz w:val="24"/>
          <w:szCs w:val="24"/>
        </w:rPr>
        <w:t>:</w:t>
      </w:r>
      <w:r w:rsidRPr="00234720">
        <w:rPr>
          <w:rFonts w:ascii="Times New Roman" w:eastAsia="Times New Roman" w:hAnsi="Times New Roman" w:cs="Times New Roman"/>
          <w:sz w:val="24"/>
          <w:szCs w:val="24"/>
        </w:rPr>
        <w:t xml:space="preserve"> evitación persistente de estímulos asociados al suceso traumático</w:t>
      </w:r>
      <w:r>
        <w:rPr>
          <w:rFonts w:ascii="Times New Roman" w:eastAsia="Times New Roman" w:hAnsi="Times New Roman" w:cs="Times New Roman"/>
          <w:sz w:val="24"/>
          <w:szCs w:val="24"/>
        </w:rPr>
        <w:t>.</w:t>
      </w:r>
    </w:p>
    <w:p w14:paraId="4D568A17" w14:textId="77777777" w:rsidR="004D173E" w:rsidRDefault="004D173E" w:rsidP="004D173E">
      <w:pPr>
        <w:pStyle w:val="Prrafodelista"/>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234720">
        <w:rPr>
          <w:rFonts w:ascii="Times New Roman" w:eastAsia="Times New Roman" w:hAnsi="Times New Roman" w:cs="Times New Roman"/>
          <w:sz w:val="24"/>
          <w:szCs w:val="24"/>
        </w:rPr>
        <w:t>riterio D</w:t>
      </w:r>
      <w:r>
        <w:rPr>
          <w:rFonts w:ascii="Times New Roman" w:eastAsia="Times New Roman" w:hAnsi="Times New Roman" w:cs="Times New Roman"/>
          <w:sz w:val="24"/>
          <w:szCs w:val="24"/>
        </w:rPr>
        <w:t>:</w:t>
      </w:r>
      <w:r w:rsidRPr="00234720">
        <w:rPr>
          <w:rFonts w:ascii="Times New Roman" w:eastAsia="Times New Roman" w:hAnsi="Times New Roman" w:cs="Times New Roman"/>
          <w:sz w:val="24"/>
          <w:szCs w:val="24"/>
        </w:rPr>
        <w:t xml:space="preserve"> alteraciones negativas cognitivas y del estado de ánimo, asociadas al suceso traumático</w:t>
      </w:r>
      <w:r>
        <w:rPr>
          <w:rFonts w:ascii="Times New Roman" w:eastAsia="Times New Roman" w:hAnsi="Times New Roman" w:cs="Times New Roman"/>
          <w:sz w:val="24"/>
          <w:szCs w:val="24"/>
        </w:rPr>
        <w:t>.</w:t>
      </w:r>
    </w:p>
    <w:p w14:paraId="0BFC758A" w14:textId="77777777" w:rsidR="004D173E" w:rsidRDefault="004D173E" w:rsidP="004D173E">
      <w:pPr>
        <w:pStyle w:val="Prrafodelista"/>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234720">
        <w:rPr>
          <w:rFonts w:ascii="Times New Roman" w:eastAsia="Times New Roman" w:hAnsi="Times New Roman" w:cs="Times New Roman"/>
          <w:sz w:val="24"/>
          <w:szCs w:val="24"/>
        </w:rPr>
        <w:t>riterio E</w:t>
      </w:r>
      <w:r>
        <w:rPr>
          <w:rFonts w:ascii="Times New Roman" w:eastAsia="Times New Roman" w:hAnsi="Times New Roman" w:cs="Times New Roman"/>
          <w:sz w:val="24"/>
          <w:szCs w:val="24"/>
        </w:rPr>
        <w:t>:</w:t>
      </w:r>
      <w:r w:rsidRPr="00234720">
        <w:rPr>
          <w:rFonts w:ascii="Times New Roman" w:eastAsia="Times New Roman" w:hAnsi="Times New Roman" w:cs="Times New Roman"/>
          <w:sz w:val="24"/>
          <w:szCs w:val="24"/>
        </w:rPr>
        <w:t xml:space="preserve"> alteración importante de la alerta y reactividad</w:t>
      </w:r>
      <w:r>
        <w:rPr>
          <w:rFonts w:ascii="Times New Roman" w:eastAsia="Times New Roman" w:hAnsi="Times New Roman" w:cs="Times New Roman"/>
          <w:sz w:val="24"/>
          <w:szCs w:val="24"/>
        </w:rPr>
        <w:t>.</w:t>
      </w:r>
    </w:p>
    <w:p w14:paraId="6F35F929" w14:textId="77777777" w:rsidR="004D173E" w:rsidRDefault="004D173E" w:rsidP="004D173E">
      <w:pPr>
        <w:pStyle w:val="Prrafodelista"/>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234720">
        <w:rPr>
          <w:rFonts w:ascii="Times New Roman" w:eastAsia="Times New Roman" w:hAnsi="Times New Roman" w:cs="Times New Roman"/>
          <w:sz w:val="24"/>
          <w:szCs w:val="24"/>
        </w:rPr>
        <w:t>riterio F</w:t>
      </w:r>
      <w:r>
        <w:rPr>
          <w:rFonts w:ascii="Times New Roman" w:eastAsia="Times New Roman" w:hAnsi="Times New Roman" w:cs="Times New Roman"/>
          <w:sz w:val="24"/>
          <w:szCs w:val="24"/>
        </w:rPr>
        <w:t>:</w:t>
      </w:r>
      <w:r w:rsidRPr="00234720">
        <w:rPr>
          <w:rFonts w:ascii="Times New Roman" w:eastAsia="Times New Roman" w:hAnsi="Times New Roman" w:cs="Times New Roman"/>
          <w:sz w:val="24"/>
          <w:szCs w:val="24"/>
        </w:rPr>
        <w:t xml:space="preserve"> duración de la alteración superior a 1 mes</w:t>
      </w:r>
      <w:r>
        <w:rPr>
          <w:rFonts w:ascii="Times New Roman" w:eastAsia="Times New Roman" w:hAnsi="Times New Roman" w:cs="Times New Roman"/>
          <w:sz w:val="24"/>
          <w:szCs w:val="24"/>
        </w:rPr>
        <w:t>.</w:t>
      </w:r>
    </w:p>
    <w:p w14:paraId="04A4856C" w14:textId="77777777" w:rsidR="004D173E" w:rsidRDefault="004D173E" w:rsidP="004D173E">
      <w:pPr>
        <w:pStyle w:val="Prrafodelista"/>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234720">
        <w:rPr>
          <w:rFonts w:ascii="Times New Roman" w:eastAsia="Times New Roman" w:hAnsi="Times New Roman" w:cs="Times New Roman"/>
          <w:sz w:val="24"/>
          <w:szCs w:val="24"/>
        </w:rPr>
        <w:t>riterio G</w:t>
      </w:r>
      <w:r>
        <w:rPr>
          <w:rFonts w:ascii="Times New Roman" w:eastAsia="Times New Roman" w:hAnsi="Times New Roman" w:cs="Times New Roman"/>
          <w:sz w:val="24"/>
          <w:szCs w:val="24"/>
        </w:rPr>
        <w:t>:</w:t>
      </w:r>
      <w:r w:rsidRPr="00234720">
        <w:rPr>
          <w:rFonts w:ascii="Times New Roman" w:eastAsia="Times New Roman" w:hAnsi="Times New Roman" w:cs="Times New Roman"/>
          <w:sz w:val="24"/>
          <w:szCs w:val="24"/>
        </w:rPr>
        <w:t xml:space="preserve"> alteración clínicamente significativa o deterioro en lo social, laboral u otras áreas importantes del funcionamiento</w:t>
      </w:r>
      <w:r>
        <w:rPr>
          <w:rFonts w:ascii="Times New Roman" w:eastAsia="Times New Roman" w:hAnsi="Times New Roman" w:cs="Times New Roman"/>
          <w:sz w:val="24"/>
          <w:szCs w:val="24"/>
        </w:rPr>
        <w:t>.</w:t>
      </w:r>
    </w:p>
    <w:p w14:paraId="369F2686" w14:textId="77777777" w:rsidR="004D173E" w:rsidRDefault="004D173E" w:rsidP="004D173E">
      <w:pPr>
        <w:pStyle w:val="Prrafodelista"/>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234720">
        <w:rPr>
          <w:rFonts w:ascii="Times New Roman" w:eastAsia="Times New Roman" w:hAnsi="Times New Roman" w:cs="Times New Roman"/>
          <w:sz w:val="24"/>
          <w:szCs w:val="24"/>
        </w:rPr>
        <w:t>riterio H</w:t>
      </w:r>
      <w:r>
        <w:rPr>
          <w:rFonts w:ascii="Times New Roman" w:eastAsia="Times New Roman" w:hAnsi="Times New Roman" w:cs="Times New Roman"/>
          <w:sz w:val="24"/>
          <w:szCs w:val="24"/>
        </w:rPr>
        <w:t>:</w:t>
      </w:r>
      <w:r w:rsidRPr="00234720">
        <w:rPr>
          <w:rFonts w:ascii="Times New Roman" w:eastAsia="Times New Roman" w:hAnsi="Times New Roman" w:cs="Times New Roman"/>
          <w:sz w:val="24"/>
          <w:szCs w:val="24"/>
        </w:rPr>
        <w:t xml:space="preserve"> los síntomas no se pueden atribuir al consumo de sustancias </w:t>
      </w:r>
      <w:r>
        <w:rPr>
          <w:rFonts w:ascii="Times New Roman" w:eastAsia="Times New Roman" w:hAnsi="Times New Roman" w:cs="Times New Roman"/>
          <w:sz w:val="24"/>
          <w:szCs w:val="24"/>
        </w:rPr>
        <w:t>p</w:t>
      </w:r>
      <w:r w:rsidRPr="00234720">
        <w:rPr>
          <w:rFonts w:ascii="Times New Roman" w:eastAsia="Times New Roman" w:hAnsi="Times New Roman" w:cs="Times New Roman"/>
          <w:sz w:val="24"/>
          <w:szCs w:val="24"/>
        </w:rPr>
        <w:t>sicoactivas u otra afección médica.</w:t>
      </w:r>
      <w:r w:rsidRPr="00234720">
        <w:rPr>
          <w:rFonts w:ascii="Times New Roman" w:eastAsia="Times New Roman" w:hAnsi="Times New Roman" w:cs="Times New Roman"/>
          <w:sz w:val="24"/>
          <w:szCs w:val="24"/>
          <w:vertAlign w:val="superscript"/>
        </w:rPr>
        <w:t>(11)</w:t>
      </w:r>
      <w:r w:rsidRPr="00234720">
        <w:rPr>
          <w:rFonts w:ascii="Times New Roman" w:eastAsia="Times New Roman" w:hAnsi="Times New Roman" w:cs="Times New Roman"/>
          <w:sz w:val="24"/>
          <w:szCs w:val="24"/>
        </w:rPr>
        <w:t xml:space="preserve"> </w:t>
      </w:r>
    </w:p>
    <w:p w14:paraId="1295B58E" w14:textId="77777777" w:rsidR="004D173E" w:rsidRPr="00234720" w:rsidRDefault="004D173E" w:rsidP="004D173E">
      <w:pPr>
        <w:spacing w:after="0" w:line="360" w:lineRule="auto"/>
        <w:jc w:val="both"/>
        <w:rPr>
          <w:rFonts w:ascii="Times New Roman" w:eastAsia="Times New Roman" w:hAnsi="Times New Roman" w:cs="Times New Roman"/>
          <w:sz w:val="24"/>
          <w:szCs w:val="24"/>
        </w:rPr>
      </w:pPr>
    </w:p>
    <w:p w14:paraId="1462B805" w14:textId="77777777" w:rsidR="004D173E" w:rsidRPr="00234720" w:rsidRDefault="004D173E" w:rsidP="004D173E">
      <w:pPr>
        <w:spacing w:after="0" w:line="360" w:lineRule="auto"/>
        <w:jc w:val="both"/>
        <w:rPr>
          <w:rFonts w:ascii="Times New Roman" w:eastAsia="Times New Roman" w:hAnsi="Times New Roman" w:cs="Times New Roman"/>
          <w:sz w:val="24"/>
          <w:szCs w:val="24"/>
        </w:rPr>
      </w:pPr>
      <w:r w:rsidRPr="00234720">
        <w:rPr>
          <w:rFonts w:ascii="Times New Roman" w:eastAsia="Times New Roman" w:hAnsi="Times New Roman" w:cs="Times New Roman"/>
          <w:sz w:val="24"/>
          <w:szCs w:val="24"/>
        </w:rPr>
        <w:t xml:space="preserve">Se consideró que todos los sujetos en estudio sufrieron una amenaza de exposición a </w:t>
      </w:r>
      <w:r>
        <w:rPr>
          <w:rFonts w:ascii="Times New Roman" w:eastAsia="Times New Roman" w:hAnsi="Times New Roman" w:cs="Times New Roman"/>
          <w:sz w:val="24"/>
          <w:szCs w:val="24"/>
        </w:rPr>
        <w:t xml:space="preserve">la </w:t>
      </w:r>
      <w:r w:rsidRPr="00234720">
        <w:rPr>
          <w:rFonts w:ascii="Times New Roman" w:eastAsia="Times New Roman" w:hAnsi="Times New Roman" w:cs="Times New Roman"/>
          <w:sz w:val="24"/>
          <w:szCs w:val="24"/>
        </w:rPr>
        <w:t>muerte o lesión grave</w:t>
      </w:r>
      <w:r>
        <w:rPr>
          <w:rFonts w:ascii="Times New Roman" w:eastAsia="Times New Roman" w:hAnsi="Times New Roman" w:cs="Times New Roman"/>
          <w:sz w:val="24"/>
          <w:szCs w:val="24"/>
        </w:rPr>
        <w:t>.</w:t>
      </w:r>
      <w:r w:rsidRPr="002347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234720">
        <w:rPr>
          <w:rFonts w:ascii="Times New Roman" w:eastAsia="Times New Roman" w:hAnsi="Times New Roman" w:cs="Times New Roman"/>
          <w:sz w:val="24"/>
          <w:szCs w:val="24"/>
        </w:rPr>
        <w:t xml:space="preserve">demás, los síntomas asociados al TEPT presentaron una duración superior a </w:t>
      </w:r>
      <w:r>
        <w:rPr>
          <w:rFonts w:ascii="Times New Roman" w:eastAsia="Times New Roman" w:hAnsi="Times New Roman" w:cs="Times New Roman"/>
          <w:sz w:val="24"/>
          <w:szCs w:val="24"/>
        </w:rPr>
        <w:t>1</w:t>
      </w:r>
      <w:r w:rsidRPr="00234720">
        <w:rPr>
          <w:rFonts w:ascii="Times New Roman" w:eastAsia="Times New Roman" w:hAnsi="Times New Roman" w:cs="Times New Roman"/>
          <w:sz w:val="24"/>
          <w:szCs w:val="24"/>
        </w:rPr>
        <w:t xml:space="preserve"> mes y no son consecuencia </w:t>
      </w:r>
      <w:r>
        <w:rPr>
          <w:rFonts w:ascii="Times New Roman" w:eastAsia="Times New Roman" w:hAnsi="Times New Roman" w:cs="Times New Roman"/>
          <w:sz w:val="24"/>
          <w:szCs w:val="24"/>
        </w:rPr>
        <w:t>del</w:t>
      </w:r>
      <w:r w:rsidRPr="00234720">
        <w:rPr>
          <w:rFonts w:ascii="Times New Roman" w:eastAsia="Times New Roman" w:hAnsi="Times New Roman" w:cs="Times New Roman"/>
          <w:sz w:val="24"/>
          <w:szCs w:val="24"/>
        </w:rPr>
        <w:t xml:space="preserve"> consumo de sustancia</w:t>
      </w:r>
      <w:r>
        <w:rPr>
          <w:rFonts w:ascii="Times New Roman" w:eastAsia="Times New Roman" w:hAnsi="Times New Roman" w:cs="Times New Roman"/>
          <w:sz w:val="24"/>
          <w:szCs w:val="24"/>
        </w:rPr>
        <w:t>s</w:t>
      </w:r>
      <w:r w:rsidRPr="00234720">
        <w:rPr>
          <w:rFonts w:ascii="Times New Roman" w:eastAsia="Times New Roman" w:hAnsi="Times New Roman" w:cs="Times New Roman"/>
          <w:sz w:val="24"/>
          <w:szCs w:val="24"/>
        </w:rPr>
        <w:t xml:space="preserve"> psicoactiva</w:t>
      </w:r>
      <w:r>
        <w:rPr>
          <w:rFonts w:ascii="Times New Roman" w:eastAsia="Times New Roman" w:hAnsi="Times New Roman" w:cs="Times New Roman"/>
          <w:sz w:val="24"/>
          <w:szCs w:val="24"/>
        </w:rPr>
        <w:t>s</w:t>
      </w:r>
      <w:r w:rsidRPr="00234720">
        <w:rPr>
          <w:rFonts w:ascii="Times New Roman" w:eastAsia="Times New Roman" w:hAnsi="Times New Roman" w:cs="Times New Roman"/>
          <w:sz w:val="24"/>
          <w:szCs w:val="24"/>
        </w:rPr>
        <w:t xml:space="preserve"> o enfermedad médica de base.</w:t>
      </w:r>
    </w:p>
    <w:p w14:paraId="2A3A4A78" w14:textId="77777777" w:rsidR="004D173E" w:rsidRDefault="004D173E" w:rsidP="004D173E">
      <w:pPr>
        <w:spacing w:after="0" w:line="360" w:lineRule="auto"/>
        <w:jc w:val="both"/>
        <w:rPr>
          <w:rFonts w:ascii="Times New Roman" w:eastAsia="Times New Roman" w:hAnsi="Times New Roman" w:cs="Times New Roman"/>
          <w:sz w:val="24"/>
          <w:szCs w:val="24"/>
        </w:rPr>
      </w:pPr>
      <w:r w:rsidRPr="00234720">
        <w:rPr>
          <w:rFonts w:ascii="Times New Roman" w:eastAsia="Times New Roman" w:hAnsi="Times New Roman" w:cs="Times New Roman"/>
          <w:iCs/>
          <w:sz w:val="24"/>
          <w:szCs w:val="24"/>
        </w:rPr>
        <w:t>Variables</w:t>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s</w:t>
      </w:r>
      <w:r w:rsidRPr="002131C2">
        <w:rPr>
          <w:rFonts w:ascii="Times New Roman" w:eastAsia="Times New Roman" w:hAnsi="Times New Roman" w:cs="Times New Roman"/>
          <w:sz w:val="24"/>
          <w:szCs w:val="24"/>
        </w:rPr>
        <w:t>e evalu</w:t>
      </w:r>
      <w:r>
        <w:rPr>
          <w:rFonts w:ascii="Times New Roman" w:eastAsia="Times New Roman" w:hAnsi="Times New Roman" w:cs="Times New Roman"/>
          <w:sz w:val="24"/>
          <w:szCs w:val="24"/>
        </w:rPr>
        <w:t>aron en ambos grupos,</w:t>
      </w:r>
      <w:r w:rsidRPr="002131C2">
        <w:rPr>
          <w:rFonts w:ascii="Times New Roman" w:eastAsia="Times New Roman" w:hAnsi="Times New Roman" w:cs="Times New Roman"/>
          <w:sz w:val="24"/>
          <w:szCs w:val="24"/>
        </w:rPr>
        <w:t xml:space="preserve"> edad, grado militar, nivel educativo, días en hospitalización o en cuidado crítico, dolor y disnea. </w:t>
      </w:r>
    </w:p>
    <w:p w14:paraId="1947AF58"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sz w:val="24"/>
          <w:szCs w:val="24"/>
        </w:rPr>
        <w:t xml:space="preserve">Por medio de preguntas dirigidas </w:t>
      </w:r>
      <w:r>
        <w:rPr>
          <w:rFonts w:ascii="Times New Roman" w:eastAsia="Times New Roman" w:hAnsi="Times New Roman" w:cs="Times New Roman"/>
          <w:sz w:val="24"/>
          <w:szCs w:val="24"/>
        </w:rPr>
        <w:t>y de las</w:t>
      </w:r>
      <w:r w:rsidRPr="002131C2">
        <w:rPr>
          <w:rFonts w:ascii="Times New Roman" w:eastAsia="Times New Roman" w:hAnsi="Times New Roman" w:cs="Times New Roman"/>
          <w:sz w:val="24"/>
          <w:szCs w:val="24"/>
        </w:rPr>
        <w:t xml:space="preserve"> historias clínicas de los pacientes, </w:t>
      </w:r>
      <w:r>
        <w:rPr>
          <w:rFonts w:ascii="Times New Roman" w:eastAsia="Times New Roman" w:hAnsi="Times New Roman" w:cs="Times New Roman"/>
          <w:sz w:val="24"/>
          <w:szCs w:val="24"/>
        </w:rPr>
        <w:t xml:space="preserve">se recolectaron </w:t>
      </w:r>
      <w:r w:rsidRPr="002131C2">
        <w:rPr>
          <w:rFonts w:ascii="Times New Roman" w:eastAsia="Times New Roman" w:hAnsi="Times New Roman" w:cs="Times New Roman"/>
          <w:sz w:val="24"/>
          <w:szCs w:val="24"/>
        </w:rPr>
        <w:t>los datos sociodemográficos y clínicos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al ingreso y durante el seguimiento</w:t>
      </w:r>
      <w:r>
        <w:rPr>
          <w:rFonts w:ascii="Times New Roman" w:eastAsia="Times New Roman" w:hAnsi="Times New Roman" w:cs="Times New Roman"/>
          <w:sz w:val="24"/>
          <w:szCs w:val="24"/>
        </w:rPr>
        <w:t xml:space="preserve"> (grado militar: soldado; suboficial; </w:t>
      </w:r>
      <w:r>
        <w:rPr>
          <w:rFonts w:ascii="Times New Roman" w:eastAsia="Times New Roman" w:hAnsi="Times New Roman" w:cs="Times New Roman"/>
          <w:sz w:val="24"/>
          <w:szCs w:val="24"/>
        </w:rPr>
        <w:lastRenderedPageBreak/>
        <w:t xml:space="preserve">oficial y nivel educativo: primaria; bachillerato; técnico y universitario). Los recolectó </w:t>
      </w:r>
      <w:r w:rsidRPr="002131C2">
        <w:rPr>
          <w:rFonts w:ascii="Times New Roman" w:eastAsia="Times New Roman" w:hAnsi="Times New Roman" w:cs="Times New Roman"/>
          <w:sz w:val="24"/>
          <w:szCs w:val="24"/>
        </w:rPr>
        <w:t>un investigador con alta experiencia en la recolección de datos.</w:t>
      </w:r>
    </w:p>
    <w:p w14:paraId="6E1E7CF6" w14:textId="4FFA49E3" w:rsidR="004D173E" w:rsidRPr="002131C2" w:rsidRDefault="004D173E" w:rsidP="004D173E">
      <w:pPr>
        <w:spacing w:after="0" w:line="360" w:lineRule="auto"/>
        <w:jc w:val="both"/>
        <w:rPr>
          <w:rFonts w:ascii="Times New Roman" w:eastAsia="Times New Roman" w:hAnsi="Times New Roman" w:cs="Times New Roman"/>
          <w:sz w:val="24"/>
          <w:szCs w:val="24"/>
        </w:rPr>
      </w:pPr>
      <w:r w:rsidRPr="00234720">
        <w:rPr>
          <w:rFonts w:ascii="Times New Roman" w:eastAsia="Times New Roman" w:hAnsi="Times New Roman" w:cs="Times New Roman"/>
          <w:sz w:val="24"/>
          <w:szCs w:val="24"/>
        </w:rPr>
        <w:t>Análisis estadístico</w:t>
      </w:r>
      <w:r>
        <w:rPr>
          <w:rFonts w:ascii="Times New Roman" w:eastAsia="Times New Roman" w:hAnsi="Times New Roman" w:cs="Times New Roman"/>
          <w:sz w:val="24"/>
          <w:szCs w:val="24"/>
        </w:rPr>
        <w:t>: s</w:t>
      </w:r>
      <w:r w:rsidRPr="002131C2">
        <w:rPr>
          <w:rFonts w:ascii="Times New Roman" w:eastAsia="Times New Roman" w:hAnsi="Times New Roman" w:cs="Times New Roman"/>
          <w:sz w:val="24"/>
          <w:szCs w:val="24"/>
        </w:rPr>
        <w:t>e realizó un análisis descriptivo</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resumiendo las variables cualitativas por medio de frecuencias absolutas y relativas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2131C2">
        <w:rPr>
          <w:rFonts w:ascii="Times New Roman" w:eastAsia="Times New Roman" w:hAnsi="Times New Roman" w:cs="Times New Roman"/>
          <w:sz w:val="24"/>
          <w:szCs w:val="24"/>
        </w:rPr>
        <w:t xml:space="preserve">as variables cuantitativas </w:t>
      </w:r>
      <w:r>
        <w:rPr>
          <w:rFonts w:ascii="Times New Roman" w:eastAsia="Times New Roman" w:hAnsi="Times New Roman" w:cs="Times New Roman"/>
          <w:sz w:val="24"/>
          <w:szCs w:val="24"/>
        </w:rPr>
        <w:t xml:space="preserve">fueron resumidas </w:t>
      </w:r>
      <w:r w:rsidRPr="002131C2">
        <w:rPr>
          <w:rFonts w:ascii="Times New Roman" w:eastAsia="Times New Roman" w:hAnsi="Times New Roman" w:cs="Times New Roman"/>
          <w:sz w:val="24"/>
          <w:szCs w:val="24"/>
        </w:rPr>
        <w:t>por medio de promedios</w:t>
      </w:r>
      <w:r>
        <w:rPr>
          <w:rFonts w:ascii="Times New Roman" w:eastAsia="Times New Roman" w:hAnsi="Times New Roman" w:cs="Times New Roman"/>
          <w:sz w:val="24"/>
          <w:szCs w:val="24"/>
        </w:rPr>
        <w:t xml:space="preserve"> (</w:t>
      </w:r>
      <w:r w:rsidR="002A2DC3">
        <w:rPr>
          <w:rFonts w:ascii="Times New Roman" w:eastAsia="Times New Roman" w:hAnsi="Times New Roman" w:cs="Times New Roman"/>
          <w:sz w:val="24"/>
          <w:szCs w:val="24"/>
        </w:rPr>
        <w:t>X</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y desviación estándar</w:t>
      </w:r>
      <w:r>
        <w:rPr>
          <w:rFonts w:ascii="Times New Roman" w:eastAsia="Times New Roman" w:hAnsi="Times New Roman" w:cs="Times New Roman"/>
          <w:sz w:val="24"/>
          <w:szCs w:val="24"/>
        </w:rPr>
        <w:t xml:space="preserve"> (DE)</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2131C2">
        <w:rPr>
          <w:rFonts w:ascii="Times New Roman" w:eastAsia="Times New Roman" w:hAnsi="Times New Roman" w:cs="Times New Roman"/>
          <w:sz w:val="24"/>
          <w:szCs w:val="24"/>
        </w:rPr>
        <w:t>i la distribución era normal</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 no lo era, con la</w:t>
      </w:r>
      <w:r w:rsidRPr="002131C2">
        <w:rPr>
          <w:rFonts w:ascii="Times New Roman" w:eastAsia="Times New Roman" w:hAnsi="Times New Roman" w:cs="Times New Roman"/>
          <w:sz w:val="24"/>
          <w:szCs w:val="24"/>
        </w:rPr>
        <w:t xml:space="preserve"> mediana y rangos intercuartílicos. Las variables cualitativas a estudio se compararon con la prueba </w:t>
      </w:r>
      <w:r w:rsidRPr="00234720">
        <w:rPr>
          <w:rFonts w:ascii="Times New Roman" w:eastAsia="Times New Roman" w:hAnsi="Times New Roman" w:cs="Times New Roman"/>
          <w:i/>
          <w:iCs/>
          <w:sz w:val="24"/>
          <w:szCs w:val="24"/>
        </w:rPr>
        <w:t>ji</w:t>
      </w:r>
      <w:r w:rsidRPr="002131C2">
        <w:rPr>
          <w:rFonts w:ascii="Times New Roman" w:eastAsia="Times New Roman" w:hAnsi="Times New Roman" w:cs="Times New Roman"/>
          <w:sz w:val="24"/>
          <w:szCs w:val="24"/>
        </w:rPr>
        <w:t xml:space="preserve"> cuadrado y las variables cuantitativas con</w:t>
      </w:r>
      <w:r>
        <w:rPr>
          <w:rFonts w:ascii="Times New Roman" w:eastAsia="Times New Roman" w:hAnsi="Times New Roman" w:cs="Times New Roman"/>
          <w:sz w:val="24"/>
          <w:szCs w:val="24"/>
        </w:rPr>
        <w:t xml:space="preserve"> la</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2131C2">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S</w:t>
      </w:r>
      <w:r w:rsidRPr="002131C2">
        <w:rPr>
          <w:rFonts w:ascii="Times New Roman" w:eastAsia="Times New Roman" w:hAnsi="Times New Roman" w:cs="Times New Roman"/>
          <w:sz w:val="24"/>
          <w:szCs w:val="24"/>
        </w:rPr>
        <w:t>tudent o U de Mann Whitney</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dependiendo de su distribución. Se consideró una p significativa menor de 0,05, el análisis estadístico se realizó en el programa SPSS</w:t>
      </w:r>
      <w:r w:rsidR="001A6646">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v</w:t>
      </w:r>
      <w:r>
        <w:rPr>
          <w:rFonts w:ascii="Times New Roman" w:eastAsia="Times New Roman" w:hAnsi="Times New Roman" w:cs="Times New Roman"/>
          <w:sz w:val="24"/>
          <w:szCs w:val="24"/>
        </w:rPr>
        <w:t>.</w:t>
      </w:r>
      <w:r w:rsidR="00033AE0">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25.</w:t>
      </w:r>
    </w:p>
    <w:p w14:paraId="22ACD9D6" w14:textId="77777777" w:rsidR="004D173E" w:rsidRPr="002131C2" w:rsidRDefault="004D173E" w:rsidP="004D173E">
      <w:pPr>
        <w:spacing w:after="0" w:line="360" w:lineRule="auto"/>
        <w:jc w:val="both"/>
        <w:rPr>
          <w:rFonts w:ascii="Times New Roman" w:eastAsia="Times New Roman" w:hAnsi="Times New Roman" w:cs="Times New Roman"/>
          <w:b/>
          <w:sz w:val="24"/>
          <w:szCs w:val="24"/>
        </w:rPr>
      </w:pPr>
      <w:r w:rsidRPr="00234720">
        <w:rPr>
          <w:rFonts w:ascii="Times New Roman" w:eastAsia="Times New Roman" w:hAnsi="Times New Roman" w:cs="Times New Roman"/>
          <w:iCs/>
          <w:sz w:val="24"/>
          <w:szCs w:val="24"/>
        </w:rPr>
        <w:t>Consideraciones éticas</w:t>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e</w:t>
      </w:r>
      <w:r w:rsidRPr="002131C2">
        <w:rPr>
          <w:rFonts w:ascii="Times New Roman" w:eastAsia="Times New Roman" w:hAnsi="Times New Roman" w:cs="Times New Roman"/>
          <w:sz w:val="24"/>
          <w:szCs w:val="24"/>
        </w:rPr>
        <w:t xml:space="preserve">l protocolo se presentó y fue aprobado por el </w:t>
      </w:r>
      <w:r>
        <w:rPr>
          <w:rFonts w:ascii="Times New Roman" w:eastAsia="Times New Roman" w:hAnsi="Times New Roman" w:cs="Times New Roman"/>
          <w:sz w:val="24"/>
          <w:szCs w:val="24"/>
        </w:rPr>
        <w:t>C</w:t>
      </w:r>
      <w:r w:rsidRPr="002131C2">
        <w:rPr>
          <w:rFonts w:ascii="Times New Roman" w:eastAsia="Times New Roman" w:hAnsi="Times New Roman" w:cs="Times New Roman"/>
          <w:sz w:val="24"/>
          <w:szCs w:val="24"/>
        </w:rPr>
        <w:t xml:space="preserve">omité de </w:t>
      </w:r>
      <w:r>
        <w:rPr>
          <w:rFonts w:ascii="Times New Roman" w:eastAsia="Times New Roman" w:hAnsi="Times New Roman" w:cs="Times New Roman"/>
          <w:sz w:val="24"/>
          <w:szCs w:val="24"/>
        </w:rPr>
        <w:t>É</w:t>
      </w:r>
      <w:r w:rsidRPr="002131C2">
        <w:rPr>
          <w:rFonts w:ascii="Times New Roman" w:eastAsia="Times New Roman" w:hAnsi="Times New Roman" w:cs="Times New Roman"/>
          <w:sz w:val="24"/>
          <w:szCs w:val="24"/>
        </w:rPr>
        <w:t>tica de</w:t>
      </w:r>
      <w:r>
        <w:rPr>
          <w:rFonts w:ascii="Times New Roman" w:eastAsia="Times New Roman" w:hAnsi="Times New Roman" w:cs="Times New Roman"/>
          <w:sz w:val="24"/>
          <w:szCs w:val="24"/>
        </w:rPr>
        <w:t xml:space="preserve"> la I</w:t>
      </w:r>
      <w:r w:rsidRPr="002131C2">
        <w:rPr>
          <w:rFonts w:ascii="Times New Roman" w:eastAsia="Times New Roman" w:hAnsi="Times New Roman" w:cs="Times New Roman"/>
          <w:sz w:val="24"/>
          <w:szCs w:val="24"/>
        </w:rPr>
        <w:t>nvestigación del Hospital Militar Central (protocolo</w:t>
      </w:r>
      <w:r>
        <w:rPr>
          <w:rFonts w:ascii="Times New Roman" w:eastAsia="Times New Roman" w:hAnsi="Times New Roman" w:cs="Times New Roman"/>
          <w:sz w:val="24"/>
          <w:szCs w:val="24"/>
        </w:rPr>
        <w:t xml:space="preserve"> con</w:t>
      </w:r>
      <w:r w:rsidRPr="002131C2">
        <w:rPr>
          <w:rFonts w:ascii="Times New Roman" w:eastAsia="Times New Roman" w:hAnsi="Times New Roman" w:cs="Times New Roman"/>
          <w:sz w:val="24"/>
          <w:szCs w:val="24"/>
        </w:rPr>
        <w:t xml:space="preserve"> registro C-06-2011). La explicación del consentimiento informado se realizó a cada sujeto antes del ingreso al estudio.</w:t>
      </w:r>
    </w:p>
    <w:p w14:paraId="5C2DB2F1" w14:textId="77777777" w:rsidR="004D173E" w:rsidRPr="002131C2" w:rsidRDefault="004D173E" w:rsidP="004D173E">
      <w:pPr>
        <w:spacing w:after="0" w:line="360" w:lineRule="auto"/>
        <w:jc w:val="both"/>
        <w:rPr>
          <w:rFonts w:ascii="Times New Roman" w:eastAsia="Times New Roman" w:hAnsi="Times New Roman" w:cs="Times New Roman"/>
          <w:b/>
          <w:sz w:val="24"/>
          <w:szCs w:val="24"/>
        </w:rPr>
      </w:pPr>
    </w:p>
    <w:p w14:paraId="6036BD56" w14:textId="77777777" w:rsidR="004D173E" w:rsidRDefault="004D173E" w:rsidP="004D173E">
      <w:pPr>
        <w:spacing w:after="0" w:line="360" w:lineRule="auto"/>
        <w:jc w:val="center"/>
        <w:rPr>
          <w:rFonts w:ascii="Times New Roman" w:eastAsia="Times New Roman" w:hAnsi="Times New Roman" w:cs="Times New Roman"/>
          <w:b/>
          <w:sz w:val="24"/>
          <w:szCs w:val="24"/>
        </w:rPr>
      </w:pPr>
    </w:p>
    <w:p w14:paraId="2F0A7AC3" w14:textId="77777777" w:rsidR="004D173E" w:rsidRPr="00234720" w:rsidRDefault="004D173E" w:rsidP="004D173E">
      <w:pPr>
        <w:spacing w:after="0" w:line="360" w:lineRule="auto"/>
        <w:jc w:val="center"/>
        <w:rPr>
          <w:rFonts w:ascii="Times New Roman" w:eastAsia="Times New Roman" w:hAnsi="Times New Roman" w:cs="Times New Roman"/>
          <w:sz w:val="32"/>
          <w:szCs w:val="32"/>
        </w:rPr>
      </w:pPr>
      <w:r w:rsidRPr="00234720">
        <w:rPr>
          <w:rFonts w:ascii="Times New Roman" w:eastAsia="Times New Roman" w:hAnsi="Times New Roman" w:cs="Times New Roman"/>
          <w:b/>
          <w:sz w:val="32"/>
          <w:szCs w:val="32"/>
        </w:rPr>
        <w:t>RESULTADOS</w:t>
      </w:r>
    </w:p>
    <w:p w14:paraId="4014619B" w14:textId="77777777" w:rsidR="004D173E" w:rsidRDefault="004D173E" w:rsidP="004D173E">
      <w:pPr>
        <w:spacing w:after="0" w:line="360" w:lineRule="auto"/>
        <w:jc w:val="both"/>
        <w:rPr>
          <w:rFonts w:ascii="Times New Roman" w:eastAsia="Times New Roman" w:hAnsi="Times New Roman" w:cs="Times New Roman"/>
          <w:bCs/>
          <w:iCs/>
          <w:sz w:val="24"/>
          <w:szCs w:val="24"/>
        </w:rPr>
      </w:pPr>
      <w:r w:rsidRPr="002131C2">
        <w:rPr>
          <w:rFonts w:ascii="Times New Roman" w:eastAsia="Times New Roman" w:hAnsi="Times New Roman" w:cs="Times New Roman"/>
          <w:sz w:val="24"/>
          <w:szCs w:val="24"/>
        </w:rPr>
        <w:t>Ingresaron al estudio 45 sujetos, 25 con antecedente de trauma de tórax y 20 sujetos sanos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con experiencia en combate</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2131C2">
        <w:rPr>
          <w:rFonts w:ascii="Times New Roman" w:eastAsia="Times New Roman" w:hAnsi="Times New Roman" w:cs="Times New Roman"/>
          <w:sz w:val="24"/>
          <w:szCs w:val="24"/>
        </w:rPr>
        <w:t>e los sujetos con trauma</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25 se evaluaron a los </w:t>
      </w:r>
      <w:r>
        <w:rPr>
          <w:rFonts w:ascii="Times New Roman" w:eastAsia="Times New Roman" w:hAnsi="Times New Roman" w:cs="Times New Roman"/>
          <w:sz w:val="24"/>
          <w:szCs w:val="24"/>
        </w:rPr>
        <w:t>3</w:t>
      </w:r>
      <w:r w:rsidRPr="002131C2">
        <w:rPr>
          <w:rFonts w:ascii="Times New Roman" w:eastAsia="Times New Roman" w:hAnsi="Times New Roman" w:cs="Times New Roman"/>
          <w:sz w:val="24"/>
          <w:szCs w:val="24"/>
        </w:rPr>
        <w:t xml:space="preserve"> meses y 11 a los </w:t>
      </w:r>
      <w:r>
        <w:rPr>
          <w:rFonts w:ascii="Times New Roman" w:eastAsia="Times New Roman" w:hAnsi="Times New Roman" w:cs="Times New Roman"/>
          <w:sz w:val="24"/>
          <w:szCs w:val="24"/>
        </w:rPr>
        <w:t>6</w:t>
      </w:r>
      <w:r w:rsidRPr="002131C2">
        <w:rPr>
          <w:rFonts w:ascii="Times New Roman" w:eastAsia="Times New Roman" w:hAnsi="Times New Roman" w:cs="Times New Roman"/>
          <w:sz w:val="24"/>
          <w:szCs w:val="24"/>
        </w:rPr>
        <w:t xml:space="preserve"> meses.</w:t>
      </w:r>
      <w:r w:rsidRPr="002131C2">
        <w:rPr>
          <w:rFonts w:ascii="Times New Roman" w:eastAsia="Times New Roman" w:hAnsi="Times New Roman" w:cs="Times New Roman"/>
          <w:b/>
          <w:sz w:val="24"/>
          <w:szCs w:val="24"/>
        </w:rPr>
        <w:t xml:space="preserve"> </w:t>
      </w:r>
      <w:r w:rsidRPr="002131C2">
        <w:rPr>
          <w:rFonts w:ascii="Times New Roman" w:eastAsia="Times New Roman" w:hAnsi="Times New Roman" w:cs="Times New Roman"/>
          <w:sz w:val="24"/>
          <w:szCs w:val="24"/>
        </w:rPr>
        <w:t>En los sujetos heridos en combate</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el promedio de edad fue de 24,1 años (DE:4,99)</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solo</w:t>
      </w:r>
      <w:r w:rsidRPr="002131C2">
        <w:rPr>
          <w:rFonts w:ascii="Times New Roman" w:eastAsia="Times New Roman" w:hAnsi="Times New Roman" w:cs="Times New Roman"/>
          <w:sz w:val="24"/>
          <w:szCs w:val="24"/>
        </w:rPr>
        <w:t xml:space="preserve"> el 12</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de los sujetos con trauma eran universitarios. El dolor y la disnea se presentó en el 88</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(p&lt;</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0,01)</w:t>
      </w:r>
      <w:r>
        <w:rPr>
          <w:rFonts w:ascii="Times New Roman" w:eastAsia="Times New Roman" w:hAnsi="Times New Roman" w:cs="Times New Roman"/>
          <w:sz w:val="24"/>
          <w:szCs w:val="24"/>
        </w:rPr>
        <w:t xml:space="preserve"> </w:t>
      </w:r>
      <w:r w:rsidRPr="002131C2">
        <w:rPr>
          <w:rFonts w:ascii="Times New Roman" w:eastAsia="Times New Roman" w:hAnsi="Times New Roman" w:cs="Times New Roman"/>
          <w:sz w:val="24"/>
          <w:szCs w:val="24"/>
        </w:rPr>
        <w:t>y 72</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(p&lt;</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xml:space="preserve">0,01) de los sujetos con trauma de tórax. Las características de la población general se muestran en la </w:t>
      </w:r>
      <w:r w:rsidRPr="00234720">
        <w:rPr>
          <w:rFonts w:ascii="Times New Roman" w:eastAsia="Times New Roman" w:hAnsi="Times New Roman" w:cs="Times New Roman"/>
          <w:bCs/>
          <w:iCs/>
          <w:sz w:val="24"/>
          <w:szCs w:val="24"/>
        </w:rPr>
        <w:t>tabla 1.</w:t>
      </w:r>
    </w:p>
    <w:p w14:paraId="68F15E2F"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p>
    <w:p w14:paraId="6428B653" w14:textId="77777777" w:rsidR="00A9534D" w:rsidRDefault="00A9534D">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br w:type="page"/>
      </w:r>
    </w:p>
    <w:p w14:paraId="0EB719FA" w14:textId="560DA2BB" w:rsidR="004D173E" w:rsidRPr="00234720" w:rsidRDefault="004D173E" w:rsidP="004D173E">
      <w:pPr>
        <w:spacing w:after="0" w:line="360" w:lineRule="auto"/>
        <w:jc w:val="center"/>
        <w:rPr>
          <w:rFonts w:ascii="Times New Roman" w:eastAsia="Times New Roman" w:hAnsi="Times New Roman" w:cs="Times New Roman"/>
          <w:iCs/>
        </w:rPr>
      </w:pPr>
      <w:r w:rsidRPr="00234720">
        <w:rPr>
          <w:rFonts w:ascii="Times New Roman" w:eastAsia="Times New Roman" w:hAnsi="Times New Roman" w:cs="Times New Roman"/>
          <w:b/>
          <w:iCs/>
        </w:rPr>
        <w:lastRenderedPageBreak/>
        <w:t>Tabla 1 -</w:t>
      </w:r>
      <w:r w:rsidRPr="00234720">
        <w:rPr>
          <w:rFonts w:ascii="Times New Roman" w:eastAsia="Times New Roman" w:hAnsi="Times New Roman" w:cs="Times New Roman"/>
          <w:iCs/>
        </w:rPr>
        <w:t xml:space="preserve"> Características basales de la población a estudio</w:t>
      </w:r>
    </w:p>
    <w:p w14:paraId="57CF5AEB" w14:textId="2461F942" w:rsidR="004D173E" w:rsidRPr="002A2DC3" w:rsidRDefault="002A2DC3" w:rsidP="002A2DC3">
      <w:pPr>
        <w:spacing w:after="0" w:line="36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noProof/>
          <w:sz w:val="24"/>
          <w:szCs w:val="24"/>
        </w:rPr>
        <w:drawing>
          <wp:inline distT="0" distB="0" distL="0" distR="0" wp14:anchorId="5DA42A92" wp14:editId="358E0B74">
            <wp:extent cx="4410075" cy="30765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4410075" cy="3076575"/>
                    </a:xfrm>
                    <a:prstGeom prst="rect">
                      <a:avLst/>
                    </a:prstGeom>
                  </pic:spPr>
                </pic:pic>
              </a:graphicData>
            </a:graphic>
          </wp:inline>
        </w:drawing>
      </w:r>
    </w:p>
    <w:p w14:paraId="7DEDA3EB" w14:textId="77777777" w:rsidR="002A2DC3" w:rsidRPr="002A2DC3" w:rsidRDefault="002A2DC3" w:rsidP="004D173E">
      <w:pPr>
        <w:spacing w:after="0" w:line="360" w:lineRule="auto"/>
        <w:rPr>
          <w:rFonts w:ascii="Times New Roman" w:eastAsia="Times New Roman" w:hAnsi="Times New Roman" w:cs="Times New Roman"/>
          <w:iCs/>
          <w:sz w:val="24"/>
          <w:szCs w:val="24"/>
        </w:rPr>
      </w:pPr>
    </w:p>
    <w:p w14:paraId="48DFBD97" w14:textId="7095E611" w:rsidR="004D173E" w:rsidRPr="002131C2" w:rsidRDefault="004D173E" w:rsidP="004D173E">
      <w:pPr>
        <w:spacing w:after="0" w:line="360" w:lineRule="auto"/>
        <w:jc w:val="both"/>
        <w:rPr>
          <w:rFonts w:ascii="Times New Roman" w:eastAsia="Times New Roman" w:hAnsi="Times New Roman" w:cs="Times New Roman"/>
          <w:sz w:val="24"/>
          <w:szCs w:val="24"/>
        </w:rPr>
      </w:pPr>
      <w:r w:rsidRPr="00234720">
        <w:rPr>
          <w:rFonts w:ascii="Times New Roman" w:eastAsia="Times New Roman" w:hAnsi="Times New Roman" w:cs="Times New Roman"/>
          <w:iCs/>
          <w:sz w:val="24"/>
          <w:szCs w:val="24"/>
        </w:rPr>
        <w:t xml:space="preserve">Valoración psicológica del TEPT a los </w:t>
      </w:r>
      <w:r>
        <w:rPr>
          <w:rFonts w:ascii="Times New Roman" w:eastAsia="Times New Roman" w:hAnsi="Times New Roman" w:cs="Times New Roman"/>
          <w:iCs/>
          <w:sz w:val="24"/>
          <w:szCs w:val="24"/>
        </w:rPr>
        <w:t>3</w:t>
      </w:r>
      <w:r w:rsidRPr="00234720">
        <w:rPr>
          <w:rFonts w:ascii="Times New Roman" w:eastAsia="Times New Roman" w:hAnsi="Times New Roman" w:cs="Times New Roman"/>
          <w:iCs/>
          <w:sz w:val="24"/>
          <w:szCs w:val="24"/>
        </w:rPr>
        <w:t xml:space="preserve"> meses de seguimiento</w:t>
      </w:r>
      <w:r>
        <w:rPr>
          <w:rFonts w:ascii="Times New Roman" w:eastAsia="Times New Roman" w:hAnsi="Times New Roman" w:cs="Times New Roman"/>
          <w:iCs/>
          <w:sz w:val="24"/>
          <w:szCs w:val="24"/>
        </w:rPr>
        <w:t xml:space="preserve">: </w:t>
      </w:r>
      <w:r w:rsidRPr="002131C2">
        <w:rPr>
          <w:rFonts w:ascii="Times New Roman" w:eastAsia="Times New Roman" w:hAnsi="Times New Roman" w:cs="Times New Roman"/>
          <w:sz w:val="24"/>
          <w:szCs w:val="24"/>
        </w:rPr>
        <w:t>el 44 % de los sujetos habían percibido constantemente</w:t>
      </w:r>
      <w:r>
        <w:rPr>
          <w:rFonts w:ascii="Times New Roman" w:eastAsia="Times New Roman" w:hAnsi="Times New Roman" w:cs="Times New Roman"/>
          <w:sz w:val="24"/>
          <w:szCs w:val="24"/>
        </w:rPr>
        <w:t xml:space="preserve">, </w:t>
      </w:r>
      <w:r w:rsidRPr="002131C2">
        <w:rPr>
          <w:rFonts w:ascii="Times New Roman" w:eastAsia="Times New Roman" w:hAnsi="Times New Roman" w:cs="Times New Roman"/>
          <w:sz w:val="24"/>
          <w:szCs w:val="24"/>
        </w:rPr>
        <w:t>recuerdos sobre la situación traumática de tórax,</w:t>
      </w:r>
      <w:r>
        <w:rPr>
          <w:rFonts w:ascii="Times New Roman" w:eastAsia="Times New Roman" w:hAnsi="Times New Roman" w:cs="Times New Roman"/>
          <w:sz w:val="24"/>
          <w:szCs w:val="24"/>
        </w:rPr>
        <w:t xml:space="preserve"> lo cual los llevó</w:t>
      </w:r>
      <w:r w:rsidRPr="002131C2">
        <w:rPr>
          <w:rFonts w:ascii="Times New Roman" w:eastAsia="Times New Roman" w:hAnsi="Times New Roman" w:cs="Times New Roman"/>
          <w:sz w:val="24"/>
          <w:szCs w:val="24"/>
        </w:rPr>
        <w:t xml:space="preserve"> a la aparición de angustia, en comparación al 5</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xml:space="preserve">% en el grupo </w:t>
      </w:r>
      <w:r>
        <w:rPr>
          <w:rFonts w:ascii="Times New Roman" w:eastAsia="Times New Roman" w:hAnsi="Times New Roman" w:cs="Times New Roman"/>
          <w:sz w:val="24"/>
          <w:szCs w:val="24"/>
        </w:rPr>
        <w:t>sin trauma</w:t>
      </w:r>
      <w:r w:rsidRPr="002131C2">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0,05)</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2131C2">
        <w:rPr>
          <w:rFonts w:ascii="Times New Roman" w:eastAsia="Times New Roman" w:hAnsi="Times New Roman" w:cs="Times New Roman"/>
          <w:sz w:val="24"/>
          <w:szCs w:val="24"/>
        </w:rPr>
        <w:t>l 40</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de los sujetos con lesión torácica</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había somatizado recuerdos del trauma (p=</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0,012). A partir del evento traumático, el 48</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de los sujetos tenían dificultades para llevar a cabo las actividades cotidianas (p&lt;</w:t>
      </w:r>
      <w:r>
        <w:rPr>
          <w:rFonts w:ascii="Times New Roman" w:eastAsia="Times New Roman" w:hAnsi="Times New Roman" w:cs="Times New Roman"/>
          <w:sz w:val="24"/>
          <w:szCs w:val="24"/>
        </w:rPr>
        <w:t xml:space="preserve"> </w:t>
      </w:r>
      <w:r w:rsidRPr="002131C2">
        <w:rPr>
          <w:rFonts w:ascii="Times New Roman" w:eastAsia="Times New Roman" w:hAnsi="Times New Roman" w:cs="Times New Roman"/>
          <w:sz w:val="24"/>
          <w:szCs w:val="24"/>
        </w:rPr>
        <w:t>0,01) y el 60</w:t>
      </w:r>
      <w:r>
        <w:rPr>
          <w:rFonts w:ascii="Times New Roman" w:eastAsia="Times New Roman" w:hAnsi="Times New Roman" w:cs="Times New Roman"/>
          <w:sz w:val="24"/>
          <w:szCs w:val="24"/>
        </w:rPr>
        <w:t xml:space="preserve"> </w:t>
      </w:r>
      <w:r w:rsidRPr="002131C2">
        <w:rPr>
          <w:rFonts w:ascii="Times New Roman" w:eastAsia="Times New Roman" w:hAnsi="Times New Roman" w:cs="Times New Roman"/>
          <w:sz w:val="24"/>
          <w:szCs w:val="24"/>
        </w:rPr>
        <w:t>% disminuyó su ritmo de trabajo (p&lt;</w:t>
      </w:r>
      <w:r w:rsidR="00F62F7D">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0,01). El 36</w:t>
      </w:r>
      <w:r>
        <w:rPr>
          <w:rFonts w:ascii="Times New Roman" w:eastAsia="Times New Roman" w:hAnsi="Times New Roman" w:cs="Times New Roman"/>
          <w:sz w:val="24"/>
          <w:szCs w:val="24"/>
        </w:rPr>
        <w:t xml:space="preserve"> </w:t>
      </w:r>
      <w:r w:rsidRPr="002131C2">
        <w:rPr>
          <w:rFonts w:ascii="Times New Roman" w:eastAsia="Times New Roman" w:hAnsi="Times New Roman" w:cs="Times New Roman"/>
          <w:sz w:val="24"/>
          <w:szCs w:val="24"/>
        </w:rPr>
        <w:t>% (p=</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0,025) de los sujetos con antecedente de trauma de tórax</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cumplían criterios diagnósticos de TEPT</w:t>
      </w:r>
      <w:r w:rsidRPr="00234720">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w:t>
      </w:r>
      <w:r w:rsidRPr="00234720">
        <w:rPr>
          <w:rFonts w:ascii="Times New Roman" w:eastAsia="Times New Roman" w:hAnsi="Times New Roman" w:cs="Times New Roman"/>
          <w:bCs/>
          <w:iCs/>
          <w:sz w:val="24"/>
          <w:szCs w:val="24"/>
        </w:rPr>
        <w:t>tabla 2</w:t>
      </w:r>
      <w:r>
        <w:rPr>
          <w:rFonts w:ascii="Times New Roman" w:eastAsia="Times New Roman" w:hAnsi="Times New Roman" w:cs="Times New Roman"/>
          <w:bCs/>
          <w:iCs/>
          <w:sz w:val="24"/>
          <w:szCs w:val="24"/>
        </w:rPr>
        <w:t>)</w:t>
      </w:r>
      <w:r w:rsidRPr="00234720">
        <w:rPr>
          <w:rFonts w:ascii="Times New Roman" w:eastAsia="Times New Roman" w:hAnsi="Times New Roman" w:cs="Times New Roman"/>
          <w:bCs/>
          <w:iCs/>
          <w:sz w:val="24"/>
          <w:szCs w:val="24"/>
        </w:rPr>
        <w:t>.</w:t>
      </w:r>
    </w:p>
    <w:p w14:paraId="4A7929FD"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p>
    <w:p w14:paraId="254CAA79" w14:textId="77777777" w:rsidR="004D173E" w:rsidRDefault="004D173E" w:rsidP="004D173E">
      <w:pPr>
        <w:rPr>
          <w:rFonts w:ascii="Times New Roman" w:eastAsia="Times New Roman" w:hAnsi="Times New Roman" w:cs="Times New Roman"/>
          <w:b/>
          <w:iCs/>
        </w:rPr>
      </w:pPr>
      <w:r>
        <w:rPr>
          <w:rFonts w:ascii="Times New Roman" w:eastAsia="Times New Roman" w:hAnsi="Times New Roman" w:cs="Times New Roman"/>
          <w:b/>
          <w:iCs/>
        </w:rPr>
        <w:br w:type="page"/>
      </w:r>
    </w:p>
    <w:p w14:paraId="0934BC73" w14:textId="77777777" w:rsidR="004D173E" w:rsidRPr="00234720" w:rsidRDefault="004D173E" w:rsidP="004D173E">
      <w:pPr>
        <w:spacing w:after="0" w:line="360" w:lineRule="auto"/>
        <w:jc w:val="center"/>
        <w:rPr>
          <w:rFonts w:ascii="Times New Roman" w:eastAsia="Times New Roman" w:hAnsi="Times New Roman" w:cs="Times New Roman"/>
          <w:iCs/>
        </w:rPr>
      </w:pPr>
      <w:r w:rsidRPr="00234720">
        <w:rPr>
          <w:rFonts w:ascii="Times New Roman" w:eastAsia="Times New Roman" w:hAnsi="Times New Roman" w:cs="Times New Roman"/>
          <w:b/>
          <w:iCs/>
        </w:rPr>
        <w:lastRenderedPageBreak/>
        <w:t>Tabla 2</w:t>
      </w:r>
      <w:r>
        <w:rPr>
          <w:rFonts w:ascii="Times New Roman" w:eastAsia="Times New Roman" w:hAnsi="Times New Roman" w:cs="Times New Roman"/>
          <w:b/>
          <w:iCs/>
        </w:rPr>
        <w:t xml:space="preserve"> -</w:t>
      </w:r>
      <w:r w:rsidRPr="00234720">
        <w:rPr>
          <w:rFonts w:ascii="Times New Roman" w:eastAsia="Times New Roman" w:hAnsi="Times New Roman" w:cs="Times New Roman"/>
          <w:iCs/>
        </w:rPr>
        <w:t xml:space="preserve"> Criterios diagnósticos del TEPT</w:t>
      </w:r>
      <w:r>
        <w:rPr>
          <w:rFonts w:ascii="Times New Roman" w:eastAsia="Times New Roman" w:hAnsi="Times New Roman" w:cs="Times New Roman"/>
          <w:iCs/>
        </w:rPr>
        <w:t xml:space="preserve"> según el </w:t>
      </w:r>
      <w:r w:rsidRPr="00861316">
        <w:rPr>
          <w:rFonts w:ascii="Times New Roman" w:eastAsia="Times New Roman" w:hAnsi="Times New Roman" w:cs="Times New Roman"/>
          <w:iCs/>
        </w:rPr>
        <w:t>DSM-V</w:t>
      </w:r>
      <w:r>
        <w:rPr>
          <w:rFonts w:ascii="Times New Roman" w:eastAsia="Times New Roman" w:hAnsi="Times New Roman" w:cs="Times New Roman"/>
          <w:iCs/>
        </w:rPr>
        <w:t>,</w:t>
      </w:r>
      <w:r w:rsidRPr="00234720">
        <w:rPr>
          <w:rFonts w:ascii="Times New Roman" w:eastAsia="Times New Roman" w:hAnsi="Times New Roman" w:cs="Times New Roman"/>
          <w:iCs/>
        </w:rPr>
        <w:t xml:space="preserve"> a los </w:t>
      </w:r>
      <w:r>
        <w:rPr>
          <w:rFonts w:ascii="Times New Roman" w:eastAsia="Times New Roman" w:hAnsi="Times New Roman" w:cs="Times New Roman"/>
          <w:iCs/>
        </w:rPr>
        <w:t>3</w:t>
      </w:r>
      <w:r w:rsidRPr="00234720">
        <w:rPr>
          <w:rFonts w:ascii="Times New Roman" w:eastAsia="Times New Roman" w:hAnsi="Times New Roman" w:cs="Times New Roman"/>
          <w:iCs/>
        </w:rPr>
        <w:t xml:space="preserve"> meses</w:t>
      </w:r>
    </w:p>
    <w:tbl>
      <w:tblPr>
        <w:tblW w:w="6668" w:type="dxa"/>
        <w:jc w:val="center"/>
        <w:tblLayout w:type="fixed"/>
        <w:tblLook w:val="0400" w:firstRow="0" w:lastRow="0" w:firstColumn="0" w:lastColumn="0" w:noHBand="0" w:noVBand="1"/>
      </w:tblPr>
      <w:tblGrid>
        <w:gridCol w:w="1627"/>
        <w:gridCol w:w="1486"/>
        <w:gridCol w:w="1530"/>
        <w:gridCol w:w="1275"/>
        <w:gridCol w:w="750"/>
      </w:tblGrid>
      <w:tr w:rsidR="004D173E" w:rsidRPr="0054570F" w14:paraId="2D9E3232" w14:textId="77777777" w:rsidTr="00F62F7D">
        <w:trPr>
          <w:trHeight w:val="326"/>
          <w:jc w:val="center"/>
        </w:trPr>
        <w:tc>
          <w:tcPr>
            <w:tcW w:w="1627" w:type="dxa"/>
            <w:vMerge w:val="restart"/>
            <w:tcBorders>
              <w:top w:val="single" w:sz="8" w:space="0" w:color="000000"/>
              <w:left w:val="single" w:sz="8" w:space="0" w:color="000000"/>
              <w:right w:val="single" w:sz="8" w:space="0" w:color="000000"/>
            </w:tcBorders>
            <w:vAlign w:val="center"/>
          </w:tcPr>
          <w:p w14:paraId="472E4F1C" w14:textId="77777777" w:rsidR="004D173E" w:rsidRPr="00234720" w:rsidRDefault="004D173E" w:rsidP="00F64ABB">
            <w:pPr>
              <w:spacing w:after="0" w:line="360" w:lineRule="auto"/>
              <w:rPr>
                <w:rFonts w:ascii="Times New Roman" w:eastAsia="Times New Roman" w:hAnsi="Times New Roman" w:cs="Times New Roman"/>
                <w:b/>
                <w:bCs/>
                <w:sz w:val="18"/>
                <w:szCs w:val="18"/>
              </w:rPr>
            </w:pPr>
            <w:r w:rsidRPr="00234720">
              <w:rPr>
                <w:rFonts w:ascii="Times New Roman" w:eastAsia="Times New Roman" w:hAnsi="Times New Roman" w:cs="Times New Roman"/>
                <w:b/>
                <w:bCs/>
                <w:sz w:val="18"/>
                <w:szCs w:val="18"/>
              </w:rPr>
              <w:t>Criterios DSM-V</w:t>
            </w:r>
          </w:p>
        </w:tc>
        <w:tc>
          <w:tcPr>
            <w:tcW w:w="1486" w:type="dxa"/>
            <w:vMerge w:val="restart"/>
            <w:tcBorders>
              <w:top w:val="single" w:sz="8" w:space="0" w:color="000000"/>
              <w:left w:val="single" w:sz="8" w:space="0" w:color="000000"/>
              <w:bottom w:val="single" w:sz="8" w:space="0" w:color="000000"/>
              <w:right w:val="single" w:sz="8" w:space="0" w:color="000000"/>
            </w:tcBorders>
            <w:vAlign w:val="center"/>
          </w:tcPr>
          <w:p w14:paraId="569DBC03" w14:textId="77777777" w:rsidR="004D173E" w:rsidRDefault="004D173E" w:rsidP="00F64ABB">
            <w:pPr>
              <w:spacing w:after="0" w:line="360" w:lineRule="auto"/>
              <w:jc w:val="center"/>
              <w:rPr>
                <w:rFonts w:ascii="Times New Roman" w:eastAsia="Times New Roman" w:hAnsi="Times New Roman" w:cs="Times New Roman"/>
                <w:b/>
                <w:bCs/>
                <w:sz w:val="18"/>
                <w:szCs w:val="18"/>
              </w:rPr>
            </w:pPr>
            <w:r w:rsidRPr="00234720">
              <w:rPr>
                <w:rFonts w:ascii="Times New Roman" w:eastAsia="Times New Roman" w:hAnsi="Times New Roman" w:cs="Times New Roman"/>
                <w:b/>
                <w:bCs/>
                <w:sz w:val="18"/>
                <w:szCs w:val="18"/>
              </w:rPr>
              <w:t>Población total</w:t>
            </w:r>
            <w:r>
              <w:rPr>
                <w:rFonts w:ascii="Times New Roman" w:eastAsia="Times New Roman" w:hAnsi="Times New Roman" w:cs="Times New Roman"/>
                <w:b/>
                <w:bCs/>
                <w:sz w:val="18"/>
                <w:szCs w:val="18"/>
              </w:rPr>
              <w:t xml:space="preserve"> (</w:t>
            </w:r>
            <w:r w:rsidRPr="00234720">
              <w:rPr>
                <w:rFonts w:ascii="Times New Roman" w:eastAsia="Times New Roman" w:hAnsi="Times New Roman" w:cs="Times New Roman"/>
                <w:b/>
                <w:bCs/>
                <w:sz w:val="18"/>
                <w:szCs w:val="18"/>
              </w:rPr>
              <w:t>n=</w:t>
            </w:r>
            <w:r>
              <w:rPr>
                <w:rFonts w:ascii="Times New Roman" w:eastAsia="Times New Roman" w:hAnsi="Times New Roman" w:cs="Times New Roman"/>
                <w:b/>
                <w:bCs/>
                <w:sz w:val="18"/>
                <w:szCs w:val="18"/>
              </w:rPr>
              <w:t xml:space="preserve"> </w:t>
            </w:r>
            <w:r w:rsidRPr="00234720">
              <w:rPr>
                <w:rFonts w:ascii="Times New Roman" w:eastAsia="Times New Roman" w:hAnsi="Times New Roman" w:cs="Times New Roman"/>
                <w:b/>
                <w:bCs/>
                <w:sz w:val="18"/>
                <w:szCs w:val="18"/>
              </w:rPr>
              <w:t>45</w:t>
            </w:r>
            <w:r>
              <w:rPr>
                <w:rFonts w:ascii="Times New Roman" w:eastAsia="Times New Roman" w:hAnsi="Times New Roman" w:cs="Times New Roman"/>
                <w:b/>
                <w:bCs/>
                <w:sz w:val="18"/>
                <w:szCs w:val="18"/>
              </w:rPr>
              <w:t>)</w:t>
            </w:r>
          </w:p>
          <w:p w14:paraId="7C42ACEE" w14:textId="77777777" w:rsidR="004D173E" w:rsidRPr="00234720" w:rsidRDefault="004D173E" w:rsidP="00F64ABB">
            <w:pPr>
              <w:spacing w:after="0" w:line="36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 (%)</w:t>
            </w:r>
          </w:p>
        </w:tc>
        <w:tc>
          <w:tcPr>
            <w:tcW w:w="1530" w:type="dxa"/>
            <w:vMerge w:val="restart"/>
            <w:tcBorders>
              <w:top w:val="single" w:sz="8" w:space="0" w:color="000000"/>
              <w:left w:val="single" w:sz="8" w:space="0" w:color="000000"/>
              <w:bottom w:val="single" w:sz="8" w:space="0" w:color="000000"/>
              <w:right w:val="single" w:sz="8" w:space="0" w:color="000000"/>
            </w:tcBorders>
            <w:vAlign w:val="center"/>
          </w:tcPr>
          <w:p w14:paraId="24F1319B" w14:textId="77777777" w:rsidR="004D173E" w:rsidRDefault="004D173E" w:rsidP="00F64ABB">
            <w:pPr>
              <w:spacing w:after="0" w:line="360" w:lineRule="auto"/>
              <w:jc w:val="center"/>
              <w:rPr>
                <w:rFonts w:ascii="Times New Roman" w:eastAsia="Times New Roman" w:hAnsi="Times New Roman" w:cs="Times New Roman"/>
                <w:b/>
                <w:bCs/>
                <w:sz w:val="18"/>
                <w:szCs w:val="18"/>
              </w:rPr>
            </w:pPr>
            <w:r w:rsidRPr="00234720">
              <w:rPr>
                <w:rFonts w:ascii="Times New Roman" w:eastAsia="Times New Roman" w:hAnsi="Times New Roman" w:cs="Times New Roman"/>
                <w:b/>
                <w:bCs/>
                <w:sz w:val="18"/>
                <w:szCs w:val="18"/>
              </w:rPr>
              <w:t>Valoración 3 meses</w:t>
            </w:r>
            <w:r>
              <w:rPr>
                <w:rFonts w:ascii="Times New Roman" w:eastAsia="Times New Roman" w:hAnsi="Times New Roman" w:cs="Times New Roman"/>
                <w:b/>
                <w:bCs/>
                <w:sz w:val="18"/>
                <w:szCs w:val="18"/>
              </w:rPr>
              <w:t xml:space="preserve"> (</w:t>
            </w:r>
            <w:r w:rsidRPr="00234720">
              <w:rPr>
                <w:rFonts w:ascii="Times New Roman" w:eastAsia="Times New Roman" w:hAnsi="Times New Roman" w:cs="Times New Roman"/>
                <w:b/>
                <w:bCs/>
                <w:sz w:val="18"/>
                <w:szCs w:val="18"/>
              </w:rPr>
              <w:t>n=25</w:t>
            </w:r>
            <w:r>
              <w:rPr>
                <w:rFonts w:ascii="Times New Roman" w:eastAsia="Times New Roman" w:hAnsi="Times New Roman" w:cs="Times New Roman"/>
                <w:b/>
                <w:bCs/>
                <w:sz w:val="18"/>
                <w:szCs w:val="18"/>
              </w:rPr>
              <w:t>)</w:t>
            </w:r>
          </w:p>
          <w:p w14:paraId="5408C69F" w14:textId="77777777" w:rsidR="004D173E" w:rsidRPr="00234720" w:rsidRDefault="004D173E" w:rsidP="00F64ABB">
            <w:pPr>
              <w:spacing w:after="0" w:line="36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 (%)</w:t>
            </w:r>
          </w:p>
        </w:tc>
        <w:tc>
          <w:tcPr>
            <w:tcW w:w="1275" w:type="dxa"/>
            <w:vMerge w:val="restart"/>
            <w:tcBorders>
              <w:top w:val="single" w:sz="8" w:space="0" w:color="000000"/>
              <w:left w:val="single" w:sz="8" w:space="0" w:color="000000"/>
              <w:bottom w:val="single" w:sz="8" w:space="0" w:color="000000"/>
              <w:right w:val="single" w:sz="8" w:space="0" w:color="000000"/>
            </w:tcBorders>
            <w:vAlign w:val="center"/>
          </w:tcPr>
          <w:p w14:paraId="6FB8AE41" w14:textId="77777777" w:rsidR="004D173E" w:rsidRPr="00234720" w:rsidRDefault="004D173E" w:rsidP="00F64ABB">
            <w:pPr>
              <w:spacing w:after="0" w:line="360" w:lineRule="auto"/>
              <w:jc w:val="center"/>
              <w:rPr>
                <w:rFonts w:ascii="Times New Roman" w:eastAsia="Times New Roman" w:hAnsi="Times New Roman" w:cs="Times New Roman"/>
                <w:b/>
                <w:bCs/>
                <w:sz w:val="18"/>
                <w:szCs w:val="18"/>
              </w:rPr>
            </w:pPr>
            <w:r w:rsidRPr="00234720">
              <w:rPr>
                <w:rFonts w:ascii="Times New Roman" w:eastAsia="Times New Roman" w:hAnsi="Times New Roman" w:cs="Times New Roman"/>
                <w:b/>
                <w:bCs/>
                <w:sz w:val="18"/>
                <w:szCs w:val="18"/>
              </w:rPr>
              <w:t>Sanos</w:t>
            </w:r>
          </w:p>
          <w:p w14:paraId="1B01F46B" w14:textId="77777777" w:rsidR="004D173E" w:rsidRPr="00234720" w:rsidRDefault="004D173E" w:rsidP="00F64ABB">
            <w:pPr>
              <w:spacing w:after="0" w:line="36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r w:rsidRPr="00234720">
              <w:rPr>
                <w:rFonts w:ascii="Times New Roman" w:eastAsia="Times New Roman" w:hAnsi="Times New Roman" w:cs="Times New Roman"/>
                <w:b/>
                <w:bCs/>
                <w:sz w:val="18"/>
                <w:szCs w:val="18"/>
              </w:rPr>
              <w:t>n=</w:t>
            </w:r>
            <w:r>
              <w:rPr>
                <w:rFonts w:ascii="Times New Roman" w:eastAsia="Times New Roman" w:hAnsi="Times New Roman" w:cs="Times New Roman"/>
                <w:b/>
                <w:bCs/>
                <w:sz w:val="18"/>
                <w:szCs w:val="18"/>
              </w:rPr>
              <w:t xml:space="preserve"> </w:t>
            </w:r>
            <w:r w:rsidRPr="00234720">
              <w:rPr>
                <w:rFonts w:ascii="Times New Roman" w:eastAsia="Times New Roman" w:hAnsi="Times New Roman" w:cs="Times New Roman"/>
                <w:b/>
                <w:bCs/>
                <w:sz w:val="18"/>
                <w:szCs w:val="18"/>
              </w:rPr>
              <w:t>20</w:t>
            </w:r>
            <w:r>
              <w:rPr>
                <w:rFonts w:ascii="Times New Roman" w:eastAsia="Times New Roman" w:hAnsi="Times New Roman" w:cs="Times New Roman"/>
                <w:b/>
                <w:bCs/>
                <w:sz w:val="18"/>
                <w:szCs w:val="18"/>
              </w:rPr>
              <w:t>)</w:t>
            </w:r>
          </w:p>
          <w:p w14:paraId="350A69A4" w14:textId="77777777" w:rsidR="004D173E" w:rsidRPr="00234720" w:rsidRDefault="004D173E" w:rsidP="00F64ABB">
            <w:pPr>
              <w:spacing w:after="0" w:line="36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 (%)</w:t>
            </w:r>
          </w:p>
        </w:tc>
        <w:tc>
          <w:tcPr>
            <w:tcW w:w="750" w:type="dxa"/>
            <w:vMerge w:val="restart"/>
            <w:tcBorders>
              <w:top w:val="single" w:sz="8" w:space="0" w:color="000000"/>
              <w:left w:val="single" w:sz="8" w:space="0" w:color="000000"/>
              <w:bottom w:val="single" w:sz="8" w:space="0" w:color="000000"/>
              <w:right w:val="single" w:sz="8" w:space="0" w:color="000000"/>
            </w:tcBorders>
            <w:vAlign w:val="center"/>
          </w:tcPr>
          <w:p w14:paraId="6B8377F7" w14:textId="77777777" w:rsidR="004D173E" w:rsidRPr="00234720" w:rsidRDefault="004D173E" w:rsidP="00F64ABB">
            <w:pPr>
              <w:spacing w:after="0" w:line="360" w:lineRule="auto"/>
              <w:jc w:val="center"/>
              <w:rPr>
                <w:rFonts w:ascii="Times New Roman" w:eastAsia="Times New Roman" w:hAnsi="Times New Roman" w:cs="Times New Roman"/>
                <w:b/>
                <w:bCs/>
                <w:sz w:val="18"/>
                <w:szCs w:val="18"/>
              </w:rPr>
            </w:pPr>
            <w:r w:rsidRPr="00234720">
              <w:rPr>
                <w:rFonts w:ascii="Times New Roman" w:eastAsia="Times New Roman" w:hAnsi="Times New Roman" w:cs="Times New Roman"/>
                <w:b/>
                <w:bCs/>
                <w:sz w:val="18"/>
                <w:szCs w:val="18"/>
              </w:rPr>
              <w:t xml:space="preserve">Valor </w:t>
            </w:r>
            <w:r>
              <w:rPr>
                <w:rFonts w:ascii="Times New Roman" w:eastAsia="Times New Roman" w:hAnsi="Times New Roman" w:cs="Times New Roman"/>
                <w:b/>
                <w:bCs/>
                <w:sz w:val="18"/>
                <w:szCs w:val="18"/>
              </w:rPr>
              <w:t>p</w:t>
            </w:r>
          </w:p>
        </w:tc>
      </w:tr>
      <w:tr w:rsidR="004D173E" w:rsidRPr="0054570F" w14:paraId="6633063B" w14:textId="77777777" w:rsidTr="00F62F7D">
        <w:trPr>
          <w:trHeight w:val="310"/>
          <w:jc w:val="center"/>
        </w:trPr>
        <w:tc>
          <w:tcPr>
            <w:tcW w:w="1627" w:type="dxa"/>
            <w:vMerge/>
            <w:tcBorders>
              <w:left w:val="single" w:sz="8" w:space="0" w:color="000000"/>
              <w:right w:val="single" w:sz="8" w:space="0" w:color="000000"/>
            </w:tcBorders>
            <w:vAlign w:val="center"/>
          </w:tcPr>
          <w:p w14:paraId="28F87E8F" w14:textId="77777777" w:rsidR="004D173E" w:rsidRPr="00234720" w:rsidRDefault="004D173E" w:rsidP="00F64ABB">
            <w:pPr>
              <w:spacing w:after="0" w:line="360" w:lineRule="auto"/>
              <w:rPr>
                <w:rFonts w:ascii="Times New Roman" w:eastAsia="Times New Roman" w:hAnsi="Times New Roman" w:cs="Times New Roman"/>
                <w:b/>
                <w:bCs/>
                <w:sz w:val="18"/>
                <w:szCs w:val="18"/>
              </w:rPr>
            </w:pPr>
          </w:p>
        </w:tc>
        <w:tc>
          <w:tcPr>
            <w:tcW w:w="1486" w:type="dxa"/>
            <w:vMerge/>
            <w:tcBorders>
              <w:top w:val="single" w:sz="8" w:space="0" w:color="000000"/>
              <w:left w:val="single" w:sz="8" w:space="0" w:color="000000"/>
              <w:bottom w:val="single" w:sz="8" w:space="0" w:color="000000"/>
              <w:right w:val="single" w:sz="8" w:space="0" w:color="000000"/>
            </w:tcBorders>
            <w:vAlign w:val="center"/>
          </w:tcPr>
          <w:p w14:paraId="601BF7FC" w14:textId="77777777" w:rsidR="004D173E" w:rsidRPr="00234720" w:rsidRDefault="004D173E" w:rsidP="00F64ABB">
            <w:pPr>
              <w:widowControl w:val="0"/>
              <w:pBdr>
                <w:top w:val="nil"/>
                <w:left w:val="nil"/>
                <w:bottom w:val="nil"/>
                <w:right w:val="nil"/>
                <w:between w:val="nil"/>
              </w:pBdr>
              <w:spacing w:after="0" w:line="360" w:lineRule="auto"/>
              <w:jc w:val="center"/>
              <w:rPr>
                <w:rFonts w:ascii="Times New Roman" w:eastAsia="Times New Roman" w:hAnsi="Times New Roman" w:cs="Times New Roman"/>
                <w:b/>
                <w:bCs/>
                <w:sz w:val="18"/>
                <w:szCs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tcPr>
          <w:p w14:paraId="2C0555B1" w14:textId="77777777" w:rsidR="004D173E" w:rsidRPr="00234720" w:rsidRDefault="004D173E" w:rsidP="00F64ABB">
            <w:pPr>
              <w:widowControl w:val="0"/>
              <w:pBdr>
                <w:top w:val="nil"/>
                <w:left w:val="nil"/>
                <w:bottom w:val="nil"/>
                <w:right w:val="nil"/>
                <w:between w:val="nil"/>
              </w:pBdr>
              <w:spacing w:after="0" w:line="360" w:lineRule="auto"/>
              <w:jc w:val="center"/>
              <w:rPr>
                <w:rFonts w:ascii="Times New Roman" w:eastAsia="Times New Roman" w:hAnsi="Times New Roman" w:cs="Times New Roman"/>
                <w:b/>
                <w:bCs/>
                <w:sz w:val="18"/>
                <w:szCs w:val="18"/>
              </w:rPr>
            </w:pPr>
          </w:p>
        </w:tc>
        <w:tc>
          <w:tcPr>
            <w:tcW w:w="1275" w:type="dxa"/>
            <w:vMerge/>
            <w:tcBorders>
              <w:top w:val="single" w:sz="8" w:space="0" w:color="000000"/>
              <w:left w:val="single" w:sz="8" w:space="0" w:color="000000"/>
              <w:bottom w:val="single" w:sz="8" w:space="0" w:color="000000"/>
              <w:right w:val="single" w:sz="8" w:space="0" w:color="000000"/>
            </w:tcBorders>
            <w:vAlign w:val="center"/>
          </w:tcPr>
          <w:p w14:paraId="63B5244A" w14:textId="77777777" w:rsidR="004D173E" w:rsidRPr="00234720" w:rsidRDefault="004D173E" w:rsidP="00F64ABB">
            <w:pPr>
              <w:widowControl w:val="0"/>
              <w:pBdr>
                <w:top w:val="nil"/>
                <w:left w:val="nil"/>
                <w:bottom w:val="nil"/>
                <w:right w:val="nil"/>
                <w:between w:val="nil"/>
              </w:pBdr>
              <w:spacing w:after="0" w:line="360" w:lineRule="auto"/>
              <w:jc w:val="center"/>
              <w:rPr>
                <w:rFonts w:ascii="Times New Roman" w:eastAsia="Times New Roman" w:hAnsi="Times New Roman" w:cs="Times New Roman"/>
                <w:b/>
                <w:bCs/>
                <w:sz w:val="18"/>
                <w:szCs w:val="18"/>
              </w:rPr>
            </w:pPr>
          </w:p>
        </w:tc>
        <w:tc>
          <w:tcPr>
            <w:tcW w:w="750" w:type="dxa"/>
            <w:vMerge/>
            <w:tcBorders>
              <w:top w:val="single" w:sz="8" w:space="0" w:color="000000"/>
              <w:left w:val="single" w:sz="8" w:space="0" w:color="000000"/>
              <w:bottom w:val="single" w:sz="8" w:space="0" w:color="000000"/>
              <w:right w:val="single" w:sz="8" w:space="0" w:color="000000"/>
            </w:tcBorders>
            <w:vAlign w:val="center"/>
          </w:tcPr>
          <w:p w14:paraId="373E258B" w14:textId="77777777" w:rsidR="004D173E" w:rsidRPr="00234720" w:rsidRDefault="004D173E" w:rsidP="00F64ABB">
            <w:pPr>
              <w:widowControl w:val="0"/>
              <w:pBdr>
                <w:top w:val="nil"/>
                <w:left w:val="nil"/>
                <w:bottom w:val="nil"/>
                <w:right w:val="nil"/>
                <w:between w:val="nil"/>
              </w:pBdr>
              <w:spacing w:after="0" w:line="360" w:lineRule="auto"/>
              <w:jc w:val="center"/>
              <w:rPr>
                <w:rFonts w:ascii="Times New Roman" w:eastAsia="Times New Roman" w:hAnsi="Times New Roman" w:cs="Times New Roman"/>
                <w:b/>
                <w:bCs/>
                <w:sz w:val="18"/>
                <w:szCs w:val="18"/>
              </w:rPr>
            </w:pPr>
          </w:p>
        </w:tc>
      </w:tr>
      <w:tr w:rsidR="004D173E" w:rsidRPr="0054570F" w14:paraId="6FCD83E6" w14:textId="77777777" w:rsidTr="00F62F7D">
        <w:trPr>
          <w:trHeight w:val="310"/>
          <w:jc w:val="center"/>
        </w:trPr>
        <w:tc>
          <w:tcPr>
            <w:tcW w:w="1627" w:type="dxa"/>
            <w:vMerge/>
            <w:tcBorders>
              <w:left w:val="single" w:sz="8" w:space="0" w:color="000000"/>
              <w:bottom w:val="single" w:sz="8" w:space="0" w:color="000000"/>
              <w:right w:val="single" w:sz="8" w:space="0" w:color="000000"/>
            </w:tcBorders>
            <w:vAlign w:val="center"/>
          </w:tcPr>
          <w:p w14:paraId="4E83033D" w14:textId="77777777" w:rsidR="004D173E" w:rsidRPr="00234720" w:rsidRDefault="004D173E" w:rsidP="00F64ABB">
            <w:pPr>
              <w:spacing w:after="0" w:line="360" w:lineRule="auto"/>
              <w:rPr>
                <w:rFonts w:ascii="Times New Roman" w:eastAsia="Times New Roman" w:hAnsi="Times New Roman" w:cs="Times New Roman"/>
                <w:b/>
                <w:bCs/>
                <w:sz w:val="18"/>
                <w:szCs w:val="18"/>
              </w:rPr>
            </w:pPr>
          </w:p>
        </w:tc>
        <w:tc>
          <w:tcPr>
            <w:tcW w:w="1486" w:type="dxa"/>
            <w:vMerge/>
            <w:tcBorders>
              <w:top w:val="single" w:sz="8" w:space="0" w:color="000000"/>
              <w:left w:val="single" w:sz="8" w:space="0" w:color="000000"/>
              <w:bottom w:val="single" w:sz="8" w:space="0" w:color="000000"/>
              <w:right w:val="single" w:sz="8" w:space="0" w:color="000000"/>
            </w:tcBorders>
            <w:vAlign w:val="center"/>
          </w:tcPr>
          <w:p w14:paraId="13201407" w14:textId="77777777" w:rsidR="004D173E" w:rsidRPr="00234720" w:rsidRDefault="004D173E" w:rsidP="00F64ABB">
            <w:pPr>
              <w:widowControl w:val="0"/>
              <w:pBdr>
                <w:top w:val="nil"/>
                <w:left w:val="nil"/>
                <w:bottom w:val="nil"/>
                <w:right w:val="nil"/>
                <w:between w:val="nil"/>
              </w:pBdr>
              <w:spacing w:after="0" w:line="360" w:lineRule="auto"/>
              <w:jc w:val="center"/>
              <w:rPr>
                <w:rFonts w:ascii="Times New Roman" w:eastAsia="Times New Roman" w:hAnsi="Times New Roman" w:cs="Times New Roman"/>
                <w:b/>
                <w:bCs/>
                <w:sz w:val="18"/>
                <w:szCs w:val="18"/>
              </w:rPr>
            </w:pPr>
          </w:p>
        </w:tc>
        <w:tc>
          <w:tcPr>
            <w:tcW w:w="1530" w:type="dxa"/>
            <w:vMerge/>
            <w:tcBorders>
              <w:top w:val="single" w:sz="8" w:space="0" w:color="000000"/>
              <w:left w:val="single" w:sz="8" w:space="0" w:color="000000"/>
              <w:bottom w:val="single" w:sz="8" w:space="0" w:color="000000"/>
              <w:right w:val="single" w:sz="8" w:space="0" w:color="000000"/>
            </w:tcBorders>
            <w:vAlign w:val="center"/>
          </w:tcPr>
          <w:p w14:paraId="50AD145A" w14:textId="77777777" w:rsidR="004D173E" w:rsidRPr="00234720" w:rsidRDefault="004D173E" w:rsidP="00F64ABB">
            <w:pPr>
              <w:widowControl w:val="0"/>
              <w:pBdr>
                <w:top w:val="nil"/>
                <w:left w:val="nil"/>
                <w:bottom w:val="nil"/>
                <w:right w:val="nil"/>
                <w:between w:val="nil"/>
              </w:pBdr>
              <w:spacing w:after="0" w:line="360" w:lineRule="auto"/>
              <w:jc w:val="center"/>
              <w:rPr>
                <w:rFonts w:ascii="Times New Roman" w:eastAsia="Times New Roman" w:hAnsi="Times New Roman" w:cs="Times New Roman"/>
                <w:b/>
                <w:bCs/>
                <w:sz w:val="18"/>
                <w:szCs w:val="18"/>
              </w:rPr>
            </w:pPr>
          </w:p>
        </w:tc>
        <w:tc>
          <w:tcPr>
            <w:tcW w:w="1275" w:type="dxa"/>
            <w:vMerge/>
            <w:tcBorders>
              <w:top w:val="single" w:sz="8" w:space="0" w:color="000000"/>
              <w:left w:val="single" w:sz="8" w:space="0" w:color="000000"/>
              <w:bottom w:val="single" w:sz="8" w:space="0" w:color="000000"/>
              <w:right w:val="single" w:sz="8" w:space="0" w:color="000000"/>
            </w:tcBorders>
            <w:vAlign w:val="center"/>
          </w:tcPr>
          <w:p w14:paraId="1AF2A94C" w14:textId="77777777" w:rsidR="004D173E" w:rsidRPr="00234720" w:rsidRDefault="004D173E" w:rsidP="00F64ABB">
            <w:pPr>
              <w:widowControl w:val="0"/>
              <w:pBdr>
                <w:top w:val="nil"/>
                <w:left w:val="nil"/>
                <w:bottom w:val="nil"/>
                <w:right w:val="nil"/>
                <w:between w:val="nil"/>
              </w:pBdr>
              <w:spacing w:after="0" w:line="360" w:lineRule="auto"/>
              <w:jc w:val="center"/>
              <w:rPr>
                <w:rFonts w:ascii="Times New Roman" w:eastAsia="Times New Roman" w:hAnsi="Times New Roman" w:cs="Times New Roman"/>
                <w:b/>
                <w:bCs/>
                <w:sz w:val="18"/>
                <w:szCs w:val="18"/>
              </w:rPr>
            </w:pPr>
          </w:p>
        </w:tc>
        <w:tc>
          <w:tcPr>
            <w:tcW w:w="750" w:type="dxa"/>
            <w:vMerge/>
            <w:tcBorders>
              <w:top w:val="single" w:sz="8" w:space="0" w:color="000000"/>
              <w:left w:val="single" w:sz="8" w:space="0" w:color="000000"/>
              <w:bottom w:val="single" w:sz="8" w:space="0" w:color="000000"/>
              <w:right w:val="single" w:sz="8" w:space="0" w:color="000000"/>
            </w:tcBorders>
            <w:vAlign w:val="center"/>
          </w:tcPr>
          <w:p w14:paraId="6A5591F6" w14:textId="77777777" w:rsidR="004D173E" w:rsidRPr="00234720" w:rsidRDefault="004D173E" w:rsidP="00F64ABB">
            <w:pPr>
              <w:widowControl w:val="0"/>
              <w:pBdr>
                <w:top w:val="nil"/>
                <w:left w:val="nil"/>
                <w:bottom w:val="nil"/>
                <w:right w:val="nil"/>
                <w:between w:val="nil"/>
              </w:pBdr>
              <w:spacing w:after="0" w:line="360" w:lineRule="auto"/>
              <w:jc w:val="center"/>
              <w:rPr>
                <w:rFonts w:ascii="Times New Roman" w:eastAsia="Times New Roman" w:hAnsi="Times New Roman" w:cs="Times New Roman"/>
                <w:b/>
                <w:bCs/>
                <w:sz w:val="18"/>
                <w:szCs w:val="18"/>
              </w:rPr>
            </w:pPr>
          </w:p>
        </w:tc>
      </w:tr>
      <w:tr w:rsidR="004D173E" w:rsidRPr="00054492" w14:paraId="29C0511F" w14:textId="77777777" w:rsidTr="00F62F7D">
        <w:trPr>
          <w:trHeight w:val="72"/>
          <w:jc w:val="center"/>
        </w:trPr>
        <w:tc>
          <w:tcPr>
            <w:tcW w:w="1627" w:type="dxa"/>
            <w:tcBorders>
              <w:top w:val="single" w:sz="8" w:space="0" w:color="000000"/>
              <w:left w:val="single" w:sz="8" w:space="0" w:color="000000"/>
              <w:bottom w:val="single" w:sz="8" w:space="0" w:color="000000"/>
              <w:right w:val="single" w:sz="8" w:space="0" w:color="000000"/>
            </w:tcBorders>
            <w:vAlign w:val="center"/>
          </w:tcPr>
          <w:p w14:paraId="3A4A0039" w14:textId="77777777" w:rsidR="004D173E" w:rsidRPr="00234720" w:rsidRDefault="004D173E"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A</w:t>
            </w:r>
          </w:p>
        </w:tc>
        <w:tc>
          <w:tcPr>
            <w:tcW w:w="1486" w:type="dxa"/>
            <w:tcBorders>
              <w:top w:val="single" w:sz="8" w:space="0" w:color="000000"/>
              <w:left w:val="single" w:sz="8" w:space="0" w:color="000000"/>
              <w:bottom w:val="single" w:sz="8" w:space="0" w:color="000000"/>
              <w:right w:val="single" w:sz="8" w:space="0" w:color="000000"/>
            </w:tcBorders>
            <w:vAlign w:val="center"/>
          </w:tcPr>
          <w:p w14:paraId="43F75350"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33 (73,3)</w:t>
            </w:r>
          </w:p>
        </w:tc>
        <w:tc>
          <w:tcPr>
            <w:tcW w:w="1530" w:type="dxa"/>
            <w:tcBorders>
              <w:top w:val="single" w:sz="8" w:space="0" w:color="000000"/>
              <w:left w:val="single" w:sz="8" w:space="0" w:color="000000"/>
              <w:bottom w:val="single" w:sz="8" w:space="0" w:color="000000"/>
              <w:right w:val="single" w:sz="8" w:space="0" w:color="000000"/>
            </w:tcBorders>
            <w:vAlign w:val="center"/>
          </w:tcPr>
          <w:p w14:paraId="0243FE48"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18 (72,0)</w:t>
            </w:r>
          </w:p>
        </w:tc>
        <w:tc>
          <w:tcPr>
            <w:tcW w:w="1275" w:type="dxa"/>
            <w:tcBorders>
              <w:top w:val="single" w:sz="8" w:space="0" w:color="000000"/>
              <w:left w:val="single" w:sz="8" w:space="0" w:color="000000"/>
              <w:bottom w:val="single" w:sz="8" w:space="0" w:color="000000"/>
              <w:right w:val="single" w:sz="8" w:space="0" w:color="000000"/>
            </w:tcBorders>
            <w:vAlign w:val="center"/>
          </w:tcPr>
          <w:p w14:paraId="057EB7F2"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15 (75,0)</w:t>
            </w:r>
          </w:p>
        </w:tc>
        <w:tc>
          <w:tcPr>
            <w:tcW w:w="750" w:type="dxa"/>
            <w:tcBorders>
              <w:top w:val="single" w:sz="8" w:space="0" w:color="000000"/>
              <w:left w:val="single" w:sz="8" w:space="0" w:color="000000"/>
              <w:bottom w:val="single" w:sz="8" w:space="0" w:color="000000"/>
              <w:right w:val="single" w:sz="8" w:space="0" w:color="000000"/>
            </w:tcBorders>
            <w:vAlign w:val="center"/>
          </w:tcPr>
          <w:p w14:paraId="696383B3"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0,201</w:t>
            </w:r>
          </w:p>
        </w:tc>
      </w:tr>
      <w:tr w:rsidR="004D173E" w:rsidRPr="00054492" w14:paraId="6FE40A28" w14:textId="77777777" w:rsidTr="00F62F7D">
        <w:trPr>
          <w:trHeight w:val="72"/>
          <w:jc w:val="center"/>
        </w:trPr>
        <w:tc>
          <w:tcPr>
            <w:tcW w:w="1627" w:type="dxa"/>
            <w:tcBorders>
              <w:top w:val="single" w:sz="8" w:space="0" w:color="000000"/>
              <w:left w:val="single" w:sz="8" w:space="0" w:color="000000"/>
              <w:bottom w:val="single" w:sz="8" w:space="0" w:color="000000"/>
              <w:right w:val="single" w:sz="8" w:space="0" w:color="000000"/>
            </w:tcBorders>
            <w:vAlign w:val="center"/>
          </w:tcPr>
          <w:p w14:paraId="51F4DA6B" w14:textId="77777777" w:rsidR="004D173E" w:rsidRPr="00234720" w:rsidRDefault="004D173E"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B</w:t>
            </w:r>
          </w:p>
        </w:tc>
        <w:tc>
          <w:tcPr>
            <w:tcW w:w="1486" w:type="dxa"/>
            <w:tcBorders>
              <w:top w:val="single" w:sz="8" w:space="0" w:color="000000"/>
              <w:left w:val="single" w:sz="8" w:space="0" w:color="000000"/>
              <w:bottom w:val="single" w:sz="8" w:space="0" w:color="000000"/>
              <w:right w:val="single" w:sz="8" w:space="0" w:color="000000"/>
            </w:tcBorders>
            <w:vAlign w:val="center"/>
          </w:tcPr>
          <w:p w14:paraId="396C11A4"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29 (64,4)</w:t>
            </w:r>
          </w:p>
        </w:tc>
        <w:tc>
          <w:tcPr>
            <w:tcW w:w="1530" w:type="dxa"/>
            <w:tcBorders>
              <w:top w:val="single" w:sz="8" w:space="0" w:color="000000"/>
              <w:left w:val="single" w:sz="8" w:space="0" w:color="000000"/>
              <w:bottom w:val="single" w:sz="8" w:space="0" w:color="000000"/>
              <w:right w:val="single" w:sz="8" w:space="0" w:color="000000"/>
            </w:tcBorders>
            <w:vAlign w:val="center"/>
          </w:tcPr>
          <w:p w14:paraId="01ED8118"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21 (84,0)</w:t>
            </w:r>
          </w:p>
        </w:tc>
        <w:tc>
          <w:tcPr>
            <w:tcW w:w="1275" w:type="dxa"/>
            <w:tcBorders>
              <w:top w:val="single" w:sz="8" w:space="0" w:color="000000"/>
              <w:left w:val="single" w:sz="8" w:space="0" w:color="000000"/>
              <w:bottom w:val="single" w:sz="8" w:space="0" w:color="000000"/>
              <w:right w:val="single" w:sz="8" w:space="0" w:color="000000"/>
            </w:tcBorders>
            <w:vAlign w:val="center"/>
          </w:tcPr>
          <w:p w14:paraId="0F7E3842"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8 (40,0)</w:t>
            </w:r>
          </w:p>
        </w:tc>
        <w:tc>
          <w:tcPr>
            <w:tcW w:w="750" w:type="dxa"/>
            <w:tcBorders>
              <w:top w:val="single" w:sz="8" w:space="0" w:color="000000"/>
              <w:left w:val="single" w:sz="8" w:space="0" w:color="000000"/>
              <w:bottom w:val="single" w:sz="8" w:space="0" w:color="000000"/>
              <w:right w:val="single" w:sz="8" w:space="0" w:color="000000"/>
            </w:tcBorders>
            <w:vAlign w:val="center"/>
          </w:tcPr>
          <w:p w14:paraId="7840FAD7"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0,002</w:t>
            </w:r>
          </w:p>
        </w:tc>
      </w:tr>
      <w:tr w:rsidR="004D173E" w:rsidRPr="00054492" w14:paraId="0960D415" w14:textId="77777777" w:rsidTr="00F62F7D">
        <w:trPr>
          <w:trHeight w:val="72"/>
          <w:jc w:val="center"/>
        </w:trPr>
        <w:tc>
          <w:tcPr>
            <w:tcW w:w="1627" w:type="dxa"/>
            <w:tcBorders>
              <w:top w:val="single" w:sz="8" w:space="0" w:color="000000"/>
              <w:left w:val="single" w:sz="8" w:space="0" w:color="000000"/>
              <w:bottom w:val="single" w:sz="8" w:space="0" w:color="000000"/>
              <w:right w:val="single" w:sz="8" w:space="0" w:color="000000"/>
            </w:tcBorders>
            <w:vAlign w:val="center"/>
          </w:tcPr>
          <w:p w14:paraId="1A668AB5" w14:textId="77777777" w:rsidR="004D173E" w:rsidRPr="00234720" w:rsidRDefault="004D173E"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C</w:t>
            </w:r>
          </w:p>
        </w:tc>
        <w:tc>
          <w:tcPr>
            <w:tcW w:w="1486" w:type="dxa"/>
            <w:tcBorders>
              <w:top w:val="single" w:sz="8" w:space="0" w:color="000000"/>
              <w:left w:val="single" w:sz="8" w:space="0" w:color="000000"/>
              <w:bottom w:val="single" w:sz="8" w:space="0" w:color="000000"/>
              <w:right w:val="single" w:sz="8" w:space="0" w:color="000000"/>
            </w:tcBorders>
            <w:vAlign w:val="center"/>
          </w:tcPr>
          <w:p w14:paraId="6AE40410"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29 (64,4)</w:t>
            </w:r>
          </w:p>
        </w:tc>
        <w:tc>
          <w:tcPr>
            <w:tcW w:w="1530" w:type="dxa"/>
            <w:tcBorders>
              <w:top w:val="single" w:sz="8" w:space="0" w:color="000000"/>
              <w:left w:val="single" w:sz="8" w:space="0" w:color="000000"/>
              <w:bottom w:val="single" w:sz="8" w:space="0" w:color="000000"/>
              <w:right w:val="single" w:sz="8" w:space="0" w:color="000000"/>
            </w:tcBorders>
            <w:vAlign w:val="center"/>
          </w:tcPr>
          <w:p w14:paraId="487CD080"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20 (80,0)</w:t>
            </w:r>
          </w:p>
        </w:tc>
        <w:tc>
          <w:tcPr>
            <w:tcW w:w="1275" w:type="dxa"/>
            <w:tcBorders>
              <w:top w:val="single" w:sz="8" w:space="0" w:color="000000"/>
              <w:left w:val="single" w:sz="8" w:space="0" w:color="000000"/>
              <w:bottom w:val="single" w:sz="8" w:space="0" w:color="000000"/>
              <w:right w:val="single" w:sz="8" w:space="0" w:color="000000"/>
            </w:tcBorders>
            <w:vAlign w:val="center"/>
          </w:tcPr>
          <w:p w14:paraId="77578D8C"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9 (45,0)</w:t>
            </w:r>
          </w:p>
        </w:tc>
        <w:tc>
          <w:tcPr>
            <w:tcW w:w="750" w:type="dxa"/>
            <w:tcBorders>
              <w:top w:val="single" w:sz="8" w:space="0" w:color="000000"/>
              <w:left w:val="single" w:sz="8" w:space="0" w:color="000000"/>
              <w:bottom w:val="single" w:sz="8" w:space="0" w:color="000000"/>
              <w:right w:val="single" w:sz="8" w:space="0" w:color="000000"/>
            </w:tcBorders>
            <w:vAlign w:val="center"/>
          </w:tcPr>
          <w:p w14:paraId="74DE25E6"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0,015</w:t>
            </w:r>
          </w:p>
        </w:tc>
      </w:tr>
      <w:tr w:rsidR="004D173E" w:rsidRPr="00054492" w14:paraId="6E387B77" w14:textId="77777777" w:rsidTr="00F62F7D">
        <w:trPr>
          <w:trHeight w:val="72"/>
          <w:jc w:val="center"/>
        </w:trPr>
        <w:tc>
          <w:tcPr>
            <w:tcW w:w="1627" w:type="dxa"/>
            <w:tcBorders>
              <w:top w:val="single" w:sz="8" w:space="0" w:color="000000"/>
              <w:left w:val="single" w:sz="8" w:space="0" w:color="000000"/>
              <w:bottom w:val="single" w:sz="8" w:space="0" w:color="000000"/>
              <w:right w:val="single" w:sz="8" w:space="0" w:color="000000"/>
            </w:tcBorders>
            <w:vAlign w:val="center"/>
          </w:tcPr>
          <w:p w14:paraId="62B4CFEA" w14:textId="77777777" w:rsidR="004D173E" w:rsidRPr="00234720" w:rsidRDefault="004D173E"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D</w:t>
            </w:r>
          </w:p>
        </w:tc>
        <w:tc>
          <w:tcPr>
            <w:tcW w:w="1486" w:type="dxa"/>
            <w:tcBorders>
              <w:top w:val="single" w:sz="8" w:space="0" w:color="000000"/>
              <w:left w:val="single" w:sz="8" w:space="0" w:color="000000"/>
              <w:bottom w:val="single" w:sz="8" w:space="0" w:color="000000"/>
              <w:right w:val="single" w:sz="8" w:space="0" w:color="000000"/>
            </w:tcBorders>
            <w:vAlign w:val="center"/>
          </w:tcPr>
          <w:p w14:paraId="4D993D3E"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31 (68,9)</w:t>
            </w:r>
          </w:p>
        </w:tc>
        <w:tc>
          <w:tcPr>
            <w:tcW w:w="1530" w:type="dxa"/>
            <w:tcBorders>
              <w:top w:val="single" w:sz="8" w:space="0" w:color="000000"/>
              <w:left w:val="single" w:sz="8" w:space="0" w:color="000000"/>
              <w:bottom w:val="single" w:sz="8" w:space="0" w:color="000000"/>
              <w:right w:val="single" w:sz="8" w:space="0" w:color="000000"/>
            </w:tcBorders>
            <w:vAlign w:val="center"/>
          </w:tcPr>
          <w:p w14:paraId="0ACF4952"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23 (92,0)</w:t>
            </w:r>
          </w:p>
        </w:tc>
        <w:tc>
          <w:tcPr>
            <w:tcW w:w="1275" w:type="dxa"/>
            <w:tcBorders>
              <w:top w:val="single" w:sz="8" w:space="0" w:color="000000"/>
              <w:left w:val="single" w:sz="8" w:space="0" w:color="000000"/>
              <w:bottom w:val="single" w:sz="8" w:space="0" w:color="000000"/>
              <w:right w:val="single" w:sz="8" w:space="0" w:color="000000"/>
            </w:tcBorders>
            <w:vAlign w:val="center"/>
          </w:tcPr>
          <w:p w14:paraId="4D3C8171"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8 (40,0)</w:t>
            </w:r>
          </w:p>
        </w:tc>
        <w:tc>
          <w:tcPr>
            <w:tcW w:w="750" w:type="dxa"/>
            <w:tcBorders>
              <w:top w:val="single" w:sz="8" w:space="0" w:color="000000"/>
              <w:left w:val="single" w:sz="8" w:space="0" w:color="000000"/>
              <w:bottom w:val="single" w:sz="8" w:space="0" w:color="000000"/>
              <w:right w:val="single" w:sz="8" w:space="0" w:color="000000"/>
            </w:tcBorders>
            <w:vAlign w:val="center"/>
          </w:tcPr>
          <w:p w14:paraId="253E9DCD"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&lt;</w:t>
            </w:r>
            <w:r>
              <w:rPr>
                <w:rFonts w:ascii="Times New Roman" w:eastAsia="Times New Roman" w:hAnsi="Times New Roman" w:cs="Times New Roman"/>
                <w:sz w:val="18"/>
                <w:szCs w:val="18"/>
              </w:rPr>
              <w:t> </w:t>
            </w:r>
            <w:r w:rsidRPr="00234720">
              <w:rPr>
                <w:rFonts w:ascii="Times New Roman" w:eastAsia="Times New Roman" w:hAnsi="Times New Roman" w:cs="Times New Roman"/>
                <w:sz w:val="18"/>
                <w:szCs w:val="18"/>
              </w:rPr>
              <w:t>0,01</w:t>
            </w:r>
          </w:p>
        </w:tc>
      </w:tr>
      <w:tr w:rsidR="004D173E" w:rsidRPr="00054492" w14:paraId="0F4BE8A8" w14:textId="77777777" w:rsidTr="00F62F7D">
        <w:trPr>
          <w:trHeight w:val="72"/>
          <w:jc w:val="center"/>
        </w:trPr>
        <w:tc>
          <w:tcPr>
            <w:tcW w:w="1627" w:type="dxa"/>
            <w:tcBorders>
              <w:top w:val="single" w:sz="8" w:space="0" w:color="000000"/>
              <w:left w:val="single" w:sz="8" w:space="0" w:color="000000"/>
              <w:bottom w:val="single" w:sz="8" w:space="0" w:color="000000"/>
              <w:right w:val="single" w:sz="8" w:space="0" w:color="000000"/>
            </w:tcBorders>
            <w:vAlign w:val="center"/>
          </w:tcPr>
          <w:p w14:paraId="07E574B4" w14:textId="77777777" w:rsidR="004D173E" w:rsidRPr="00234720" w:rsidRDefault="004D173E"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E</w:t>
            </w:r>
          </w:p>
        </w:tc>
        <w:tc>
          <w:tcPr>
            <w:tcW w:w="1486" w:type="dxa"/>
            <w:tcBorders>
              <w:top w:val="single" w:sz="8" w:space="0" w:color="000000"/>
              <w:left w:val="single" w:sz="8" w:space="0" w:color="000000"/>
              <w:bottom w:val="single" w:sz="8" w:space="0" w:color="000000"/>
              <w:right w:val="single" w:sz="8" w:space="0" w:color="000000"/>
            </w:tcBorders>
            <w:vAlign w:val="center"/>
          </w:tcPr>
          <w:p w14:paraId="08BAC33C"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30 (66,7)</w:t>
            </w:r>
          </w:p>
        </w:tc>
        <w:tc>
          <w:tcPr>
            <w:tcW w:w="1530" w:type="dxa"/>
            <w:tcBorders>
              <w:top w:val="single" w:sz="8" w:space="0" w:color="000000"/>
              <w:left w:val="single" w:sz="8" w:space="0" w:color="000000"/>
              <w:bottom w:val="single" w:sz="8" w:space="0" w:color="000000"/>
              <w:right w:val="single" w:sz="8" w:space="0" w:color="000000"/>
            </w:tcBorders>
            <w:vAlign w:val="center"/>
          </w:tcPr>
          <w:p w14:paraId="7FE07DDB"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22 (48,9)</w:t>
            </w:r>
          </w:p>
        </w:tc>
        <w:tc>
          <w:tcPr>
            <w:tcW w:w="1275" w:type="dxa"/>
            <w:tcBorders>
              <w:top w:val="single" w:sz="8" w:space="0" w:color="000000"/>
              <w:left w:val="single" w:sz="8" w:space="0" w:color="000000"/>
              <w:bottom w:val="single" w:sz="8" w:space="0" w:color="000000"/>
              <w:right w:val="single" w:sz="8" w:space="0" w:color="000000"/>
            </w:tcBorders>
            <w:vAlign w:val="center"/>
          </w:tcPr>
          <w:p w14:paraId="62492913"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8 (17,8)</w:t>
            </w:r>
          </w:p>
        </w:tc>
        <w:tc>
          <w:tcPr>
            <w:tcW w:w="750" w:type="dxa"/>
            <w:tcBorders>
              <w:top w:val="single" w:sz="8" w:space="0" w:color="000000"/>
              <w:left w:val="single" w:sz="8" w:space="0" w:color="000000"/>
              <w:bottom w:val="single" w:sz="8" w:space="0" w:color="000000"/>
              <w:right w:val="single" w:sz="8" w:space="0" w:color="000000"/>
            </w:tcBorders>
            <w:vAlign w:val="center"/>
          </w:tcPr>
          <w:p w14:paraId="2BB9BB1C"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0,01</w:t>
            </w:r>
          </w:p>
        </w:tc>
      </w:tr>
      <w:tr w:rsidR="004D173E" w:rsidRPr="00054492" w14:paraId="67E415B2" w14:textId="77777777" w:rsidTr="00F62F7D">
        <w:trPr>
          <w:trHeight w:val="72"/>
          <w:jc w:val="center"/>
        </w:trPr>
        <w:tc>
          <w:tcPr>
            <w:tcW w:w="1627" w:type="dxa"/>
            <w:tcBorders>
              <w:top w:val="single" w:sz="8" w:space="0" w:color="000000"/>
              <w:left w:val="single" w:sz="8" w:space="0" w:color="000000"/>
              <w:bottom w:val="single" w:sz="8" w:space="0" w:color="000000"/>
              <w:right w:val="single" w:sz="8" w:space="0" w:color="000000"/>
            </w:tcBorders>
            <w:vAlign w:val="center"/>
          </w:tcPr>
          <w:p w14:paraId="6E293372" w14:textId="77777777" w:rsidR="004D173E" w:rsidRPr="00234720" w:rsidRDefault="004D173E"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F</w:t>
            </w:r>
          </w:p>
        </w:tc>
        <w:tc>
          <w:tcPr>
            <w:tcW w:w="1486" w:type="dxa"/>
            <w:tcBorders>
              <w:top w:val="single" w:sz="8" w:space="0" w:color="000000"/>
              <w:left w:val="single" w:sz="8" w:space="0" w:color="000000"/>
              <w:bottom w:val="single" w:sz="8" w:space="0" w:color="000000"/>
              <w:right w:val="single" w:sz="8" w:space="0" w:color="000000"/>
            </w:tcBorders>
            <w:vAlign w:val="center"/>
          </w:tcPr>
          <w:p w14:paraId="3DA78204"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45 (100,0)</w:t>
            </w:r>
          </w:p>
        </w:tc>
        <w:tc>
          <w:tcPr>
            <w:tcW w:w="1530" w:type="dxa"/>
            <w:tcBorders>
              <w:top w:val="single" w:sz="8" w:space="0" w:color="000000"/>
              <w:left w:val="single" w:sz="8" w:space="0" w:color="000000"/>
              <w:bottom w:val="single" w:sz="8" w:space="0" w:color="000000"/>
              <w:right w:val="single" w:sz="8" w:space="0" w:color="000000"/>
            </w:tcBorders>
            <w:vAlign w:val="center"/>
          </w:tcPr>
          <w:p w14:paraId="5E33B8FB"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25 (100,0)</w:t>
            </w:r>
          </w:p>
        </w:tc>
        <w:tc>
          <w:tcPr>
            <w:tcW w:w="1275" w:type="dxa"/>
            <w:tcBorders>
              <w:top w:val="single" w:sz="8" w:space="0" w:color="000000"/>
              <w:left w:val="single" w:sz="8" w:space="0" w:color="000000"/>
              <w:bottom w:val="single" w:sz="8" w:space="0" w:color="000000"/>
              <w:right w:val="single" w:sz="8" w:space="0" w:color="000000"/>
            </w:tcBorders>
            <w:vAlign w:val="center"/>
          </w:tcPr>
          <w:p w14:paraId="014C53BF"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20 (100,0)</w:t>
            </w:r>
          </w:p>
        </w:tc>
        <w:tc>
          <w:tcPr>
            <w:tcW w:w="750" w:type="dxa"/>
            <w:tcBorders>
              <w:top w:val="single" w:sz="8" w:space="0" w:color="000000"/>
              <w:left w:val="single" w:sz="8" w:space="0" w:color="000000"/>
              <w:bottom w:val="single" w:sz="8" w:space="0" w:color="000000"/>
              <w:right w:val="single" w:sz="8" w:space="0" w:color="000000"/>
            </w:tcBorders>
            <w:vAlign w:val="center"/>
          </w:tcPr>
          <w:p w14:paraId="683582B4"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w:t>
            </w:r>
          </w:p>
        </w:tc>
      </w:tr>
      <w:tr w:rsidR="004D173E" w:rsidRPr="00054492" w14:paraId="7552E4ED" w14:textId="77777777" w:rsidTr="00F62F7D">
        <w:trPr>
          <w:trHeight w:val="72"/>
          <w:jc w:val="center"/>
        </w:trPr>
        <w:tc>
          <w:tcPr>
            <w:tcW w:w="1627" w:type="dxa"/>
            <w:tcBorders>
              <w:top w:val="single" w:sz="8" w:space="0" w:color="000000"/>
              <w:left w:val="single" w:sz="8" w:space="0" w:color="000000"/>
              <w:bottom w:val="single" w:sz="8" w:space="0" w:color="000000"/>
              <w:right w:val="single" w:sz="8" w:space="0" w:color="000000"/>
            </w:tcBorders>
            <w:vAlign w:val="center"/>
          </w:tcPr>
          <w:p w14:paraId="34213EF5" w14:textId="77777777" w:rsidR="004D173E" w:rsidRPr="00234720" w:rsidRDefault="004D173E"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G</w:t>
            </w:r>
          </w:p>
        </w:tc>
        <w:tc>
          <w:tcPr>
            <w:tcW w:w="1486" w:type="dxa"/>
            <w:tcBorders>
              <w:top w:val="single" w:sz="8" w:space="0" w:color="000000"/>
              <w:left w:val="single" w:sz="8" w:space="0" w:color="000000"/>
              <w:bottom w:val="single" w:sz="8" w:space="0" w:color="000000"/>
              <w:right w:val="single" w:sz="8" w:space="0" w:color="000000"/>
            </w:tcBorders>
            <w:vAlign w:val="center"/>
          </w:tcPr>
          <w:p w14:paraId="7A79090E"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20 (44,4)</w:t>
            </w:r>
          </w:p>
        </w:tc>
        <w:tc>
          <w:tcPr>
            <w:tcW w:w="1530" w:type="dxa"/>
            <w:tcBorders>
              <w:top w:val="single" w:sz="8" w:space="0" w:color="000000"/>
              <w:left w:val="single" w:sz="8" w:space="0" w:color="000000"/>
              <w:bottom w:val="single" w:sz="8" w:space="0" w:color="000000"/>
              <w:right w:val="single" w:sz="8" w:space="0" w:color="000000"/>
            </w:tcBorders>
            <w:vAlign w:val="center"/>
          </w:tcPr>
          <w:p w14:paraId="105D45F1"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20 (80,0)</w:t>
            </w:r>
          </w:p>
        </w:tc>
        <w:tc>
          <w:tcPr>
            <w:tcW w:w="1275" w:type="dxa"/>
            <w:tcBorders>
              <w:top w:val="single" w:sz="8" w:space="0" w:color="000000"/>
              <w:left w:val="single" w:sz="8" w:space="0" w:color="000000"/>
              <w:bottom w:val="single" w:sz="8" w:space="0" w:color="000000"/>
              <w:right w:val="single" w:sz="8" w:space="0" w:color="000000"/>
            </w:tcBorders>
            <w:vAlign w:val="center"/>
          </w:tcPr>
          <w:p w14:paraId="6550D8BC"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 (0,0)</w:t>
            </w:r>
          </w:p>
        </w:tc>
        <w:tc>
          <w:tcPr>
            <w:tcW w:w="750" w:type="dxa"/>
            <w:tcBorders>
              <w:top w:val="single" w:sz="8" w:space="0" w:color="000000"/>
              <w:left w:val="single" w:sz="8" w:space="0" w:color="000000"/>
              <w:bottom w:val="single" w:sz="8" w:space="0" w:color="000000"/>
              <w:right w:val="single" w:sz="8" w:space="0" w:color="000000"/>
            </w:tcBorders>
            <w:vAlign w:val="center"/>
          </w:tcPr>
          <w:p w14:paraId="69978840"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&lt;</w:t>
            </w:r>
            <w:r>
              <w:rPr>
                <w:rFonts w:ascii="Times New Roman" w:eastAsia="Times New Roman" w:hAnsi="Times New Roman" w:cs="Times New Roman"/>
                <w:sz w:val="18"/>
                <w:szCs w:val="18"/>
              </w:rPr>
              <w:t> </w:t>
            </w:r>
            <w:r w:rsidRPr="00234720">
              <w:rPr>
                <w:rFonts w:ascii="Times New Roman" w:eastAsia="Times New Roman" w:hAnsi="Times New Roman" w:cs="Times New Roman"/>
                <w:sz w:val="18"/>
                <w:szCs w:val="18"/>
              </w:rPr>
              <w:t>0,01</w:t>
            </w:r>
          </w:p>
        </w:tc>
      </w:tr>
      <w:tr w:rsidR="004D173E" w:rsidRPr="00054492" w14:paraId="050E83E6" w14:textId="77777777" w:rsidTr="00F62F7D">
        <w:trPr>
          <w:trHeight w:val="72"/>
          <w:jc w:val="center"/>
        </w:trPr>
        <w:tc>
          <w:tcPr>
            <w:tcW w:w="1627" w:type="dxa"/>
            <w:tcBorders>
              <w:top w:val="single" w:sz="8" w:space="0" w:color="000000"/>
              <w:left w:val="single" w:sz="8" w:space="0" w:color="000000"/>
              <w:bottom w:val="single" w:sz="8" w:space="0" w:color="000000"/>
              <w:right w:val="single" w:sz="8" w:space="0" w:color="000000"/>
            </w:tcBorders>
            <w:vAlign w:val="center"/>
          </w:tcPr>
          <w:p w14:paraId="08254499" w14:textId="77777777" w:rsidR="004D173E" w:rsidRPr="00234720" w:rsidRDefault="004D173E"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H</w:t>
            </w:r>
          </w:p>
        </w:tc>
        <w:tc>
          <w:tcPr>
            <w:tcW w:w="1486" w:type="dxa"/>
            <w:tcBorders>
              <w:top w:val="single" w:sz="8" w:space="0" w:color="000000"/>
              <w:left w:val="single" w:sz="8" w:space="0" w:color="000000"/>
              <w:bottom w:val="single" w:sz="8" w:space="0" w:color="000000"/>
              <w:right w:val="single" w:sz="8" w:space="0" w:color="000000"/>
            </w:tcBorders>
            <w:vAlign w:val="center"/>
          </w:tcPr>
          <w:p w14:paraId="18C555A9"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45 (100,0)</w:t>
            </w:r>
          </w:p>
        </w:tc>
        <w:tc>
          <w:tcPr>
            <w:tcW w:w="1530" w:type="dxa"/>
            <w:tcBorders>
              <w:top w:val="single" w:sz="8" w:space="0" w:color="000000"/>
              <w:left w:val="single" w:sz="8" w:space="0" w:color="000000"/>
              <w:bottom w:val="single" w:sz="8" w:space="0" w:color="000000"/>
              <w:right w:val="single" w:sz="8" w:space="0" w:color="000000"/>
            </w:tcBorders>
            <w:vAlign w:val="center"/>
          </w:tcPr>
          <w:p w14:paraId="6573F116"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25 (100,0)</w:t>
            </w:r>
          </w:p>
        </w:tc>
        <w:tc>
          <w:tcPr>
            <w:tcW w:w="1275" w:type="dxa"/>
            <w:tcBorders>
              <w:top w:val="single" w:sz="8" w:space="0" w:color="000000"/>
              <w:left w:val="single" w:sz="8" w:space="0" w:color="000000"/>
              <w:bottom w:val="single" w:sz="8" w:space="0" w:color="000000"/>
              <w:right w:val="single" w:sz="8" w:space="0" w:color="000000"/>
            </w:tcBorders>
            <w:vAlign w:val="center"/>
          </w:tcPr>
          <w:p w14:paraId="2BF4B7C7"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20 (100,0)</w:t>
            </w:r>
          </w:p>
        </w:tc>
        <w:tc>
          <w:tcPr>
            <w:tcW w:w="750" w:type="dxa"/>
            <w:tcBorders>
              <w:top w:val="single" w:sz="8" w:space="0" w:color="000000"/>
              <w:left w:val="single" w:sz="8" w:space="0" w:color="000000"/>
              <w:bottom w:val="single" w:sz="8" w:space="0" w:color="000000"/>
              <w:right w:val="single" w:sz="8" w:space="0" w:color="000000"/>
            </w:tcBorders>
            <w:vAlign w:val="center"/>
          </w:tcPr>
          <w:p w14:paraId="663B1E83"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w:t>
            </w:r>
          </w:p>
        </w:tc>
      </w:tr>
      <w:tr w:rsidR="004D173E" w:rsidRPr="00054492" w14:paraId="48D3330A" w14:textId="77777777" w:rsidTr="00F62F7D">
        <w:trPr>
          <w:trHeight w:val="58"/>
          <w:jc w:val="center"/>
        </w:trPr>
        <w:tc>
          <w:tcPr>
            <w:tcW w:w="1627" w:type="dxa"/>
            <w:tcBorders>
              <w:top w:val="single" w:sz="8" w:space="0" w:color="000000"/>
              <w:left w:val="single" w:sz="8" w:space="0" w:color="000000"/>
              <w:bottom w:val="single" w:sz="8" w:space="0" w:color="000000"/>
              <w:right w:val="single" w:sz="8" w:space="0" w:color="000000"/>
            </w:tcBorders>
            <w:vAlign w:val="center"/>
          </w:tcPr>
          <w:p w14:paraId="18E6CF25" w14:textId="77777777" w:rsidR="004D173E" w:rsidRPr="00234720" w:rsidRDefault="004D173E"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Diagnóstico TEPT</w:t>
            </w:r>
          </w:p>
        </w:tc>
        <w:tc>
          <w:tcPr>
            <w:tcW w:w="1486" w:type="dxa"/>
            <w:tcBorders>
              <w:top w:val="single" w:sz="8" w:space="0" w:color="000000"/>
              <w:left w:val="single" w:sz="8" w:space="0" w:color="000000"/>
              <w:bottom w:val="single" w:sz="8" w:space="0" w:color="000000"/>
              <w:right w:val="single" w:sz="8" w:space="0" w:color="000000"/>
            </w:tcBorders>
            <w:vAlign w:val="center"/>
          </w:tcPr>
          <w:p w14:paraId="69A587F2"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9 (20,0)</w:t>
            </w:r>
          </w:p>
        </w:tc>
        <w:tc>
          <w:tcPr>
            <w:tcW w:w="1530" w:type="dxa"/>
            <w:tcBorders>
              <w:top w:val="single" w:sz="8" w:space="0" w:color="000000"/>
              <w:left w:val="single" w:sz="8" w:space="0" w:color="000000"/>
              <w:bottom w:val="single" w:sz="8" w:space="0" w:color="000000"/>
              <w:right w:val="single" w:sz="8" w:space="0" w:color="000000"/>
            </w:tcBorders>
            <w:vAlign w:val="center"/>
          </w:tcPr>
          <w:p w14:paraId="0E5D3006"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9 (36,0)</w:t>
            </w:r>
          </w:p>
        </w:tc>
        <w:tc>
          <w:tcPr>
            <w:tcW w:w="1275" w:type="dxa"/>
            <w:tcBorders>
              <w:top w:val="single" w:sz="8" w:space="0" w:color="000000"/>
              <w:left w:val="single" w:sz="8" w:space="0" w:color="000000"/>
              <w:bottom w:val="single" w:sz="8" w:space="0" w:color="000000"/>
              <w:right w:val="single" w:sz="8" w:space="0" w:color="000000"/>
            </w:tcBorders>
            <w:vAlign w:val="center"/>
          </w:tcPr>
          <w:p w14:paraId="2808193E"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 (0,0)</w:t>
            </w:r>
          </w:p>
        </w:tc>
        <w:tc>
          <w:tcPr>
            <w:tcW w:w="750" w:type="dxa"/>
            <w:tcBorders>
              <w:top w:val="single" w:sz="8" w:space="0" w:color="000000"/>
              <w:left w:val="single" w:sz="8" w:space="0" w:color="000000"/>
              <w:bottom w:val="single" w:sz="8" w:space="0" w:color="000000"/>
              <w:right w:val="single" w:sz="8" w:space="0" w:color="000000"/>
            </w:tcBorders>
            <w:vAlign w:val="center"/>
          </w:tcPr>
          <w:p w14:paraId="59BD28CD"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0,025</w:t>
            </w:r>
          </w:p>
        </w:tc>
      </w:tr>
    </w:tbl>
    <w:p w14:paraId="6959D60E" w14:textId="77777777" w:rsidR="004D173E" w:rsidRDefault="004D173E" w:rsidP="004D173E">
      <w:pPr>
        <w:spacing w:after="0" w:line="360" w:lineRule="auto"/>
        <w:rPr>
          <w:rFonts w:ascii="Times New Roman" w:eastAsia="Times New Roman" w:hAnsi="Times New Roman" w:cs="Times New Roman"/>
          <w:i/>
          <w:sz w:val="24"/>
          <w:szCs w:val="24"/>
        </w:rPr>
      </w:pPr>
    </w:p>
    <w:p w14:paraId="3675C59B" w14:textId="77777777" w:rsidR="004D173E" w:rsidRDefault="004D173E" w:rsidP="004D173E">
      <w:pPr>
        <w:spacing w:after="0" w:line="360" w:lineRule="auto"/>
        <w:jc w:val="both"/>
        <w:rPr>
          <w:rFonts w:ascii="Times New Roman" w:eastAsia="Times New Roman" w:hAnsi="Times New Roman" w:cs="Times New Roman"/>
          <w:bCs/>
          <w:iCs/>
          <w:sz w:val="24"/>
          <w:szCs w:val="24"/>
        </w:rPr>
      </w:pPr>
      <w:r w:rsidRPr="00234720">
        <w:rPr>
          <w:rFonts w:ascii="Times New Roman" w:eastAsia="Times New Roman" w:hAnsi="Times New Roman" w:cs="Times New Roman"/>
          <w:iCs/>
          <w:sz w:val="24"/>
          <w:szCs w:val="24"/>
        </w:rPr>
        <w:t xml:space="preserve">Valoración psicológica del TEPT a los </w:t>
      </w:r>
      <w:r>
        <w:rPr>
          <w:rFonts w:ascii="Times New Roman" w:eastAsia="Times New Roman" w:hAnsi="Times New Roman" w:cs="Times New Roman"/>
          <w:iCs/>
          <w:sz w:val="24"/>
          <w:szCs w:val="24"/>
        </w:rPr>
        <w:t>6</w:t>
      </w:r>
      <w:r w:rsidRPr="00234720">
        <w:rPr>
          <w:rFonts w:ascii="Times New Roman" w:eastAsia="Times New Roman" w:hAnsi="Times New Roman" w:cs="Times New Roman"/>
          <w:iCs/>
          <w:sz w:val="24"/>
          <w:szCs w:val="24"/>
        </w:rPr>
        <w:t xml:space="preserve"> meses de seguimiento</w:t>
      </w:r>
      <w:r>
        <w:rPr>
          <w:rFonts w:ascii="Times New Roman" w:eastAsia="Times New Roman" w:hAnsi="Times New Roman" w:cs="Times New Roman"/>
          <w:iCs/>
          <w:sz w:val="24"/>
          <w:szCs w:val="24"/>
        </w:rPr>
        <w:t xml:space="preserve">: </w:t>
      </w:r>
      <w:r w:rsidRPr="002131C2">
        <w:rPr>
          <w:rFonts w:ascii="Times New Roman" w:eastAsia="Times New Roman" w:hAnsi="Times New Roman" w:cs="Times New Roman"/>
          <w:sz w:val="24"/>
          <w:szCs w:val="24"/>
        </w:rPr>
        <w:t>A partir del evento traumático de tórax, el 45</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de los sujetos habían percibido suspicacia sobre lo que sucedía a su alrededor (p=</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0,01) y el 45</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disminuyó casi todas sus actividades sociales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en comparación al 5</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de los sujetos sin trauma (p&lt;</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0,01). Se evidenció un aumento del 9,5</w:t>
      </w:r>
      <w:r>
        <w:rPr>
          <w:rFonts w:ascii="Times New Roman" w:eastAsia="Times New Roman" w:hAnsi="Times New Roman" w:cs="Times New Roman"/>
          <w:sz w:val="24"/>
          <w:szCs w:val="24"/>
        </w:rPr>
        <w:t xml:space="preserve"> </w:t>
      </w:r>
      <w:r w:rsidRPr="002131C2">
        <w:rPr>
          <w:rFonts w:ascii="Times New Roman" w:eastAsia="Times New Roman" w:hAnsi="Times New Roman" w:cs="Times New Roman"/>
          <w:sz w:val="24"/>
          <w:szCs w:val="24"/>
        </w:rPr>
        <w:t>% de sujetos con antecedente de trauma de tórax</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que cumplieron los criterios diagnósticos de TEPT</w:t>
      </w:r>
      <w:r w:rsidRPr="002131C2">
        <w:rPr>
          <w:rFonts w:ascii="Times New Roman" w:eastAsia="Times New Roman" w:hAnsi="Times New Roman" w:cs="Times New Roman"/>
          <w:b/>
          <w:i/>
          <w:sz w:val="24"/>
          <w:szCs w:val="24"/>
        </w:rPr>
        <w:t xml:space="preserve"> </w:t>
      </w:r>
      <w:r w:rsidRPr="00234720">
        <w:rPr>
          <w:rFonts w:ascii="Times New Roman" w:eastAsia="Times New Roman" w:hAnsi="Times New Roman" w:cs="Times New Roman"/>
          <w:bCs/>
          <w:iCs/>
          <w:sz w:val="24"/>
          <w:szCs w:val="24"/>
        </w:rPr>
        <w:t>tabla 3.</w:t>
      </w:r>
    </w:p>
    <w:p w14:paraId="15A1772F" w14:textId="52BED333" w:rsidR="00F62F7D" w:rsidRDefault="00F62F7D">
      <w:pPr>
        <w:spacing w:after="0" w:line="240" w:lineRule="auto"/>
        <w:rPr>
          <w:rFonts w:ascii="Times New Roman" w:eastAsia="Times New Roman" w:hAnsi="Times New Roman" w:cs="Times New Roman"/>
          <w:b/>
          <w:iCs/>
        </w:rPr>
      </w:pPr>
    </w:p>
    <w:p w14:paraId="019899C8" w14:textId="789F62E2" w:rsidR="004D173E" w:rsidRPr="00234720" w:rsidRDefault="004D173E" w:rsidP="004D173E">
      <w:pPr>
        <w:spacing w:after="0" w:line="360" w:lineRule="auto"/>
        <w:jc w:val="center"/>
        <w:rPr>
          <w:rFonts w:ascii="Times New Roman" w:eastAsia="Times New Roman" w:hAnsi="Times New Roman" w:cs="Times New Roman"/>
          <w:iCs/>
        </w:rPr>
      </w:pPr>
      <w:r w:rsidRPr="00234720">
        <w:rPr>
          <w:rFonts w:ascii="Times New Roman" w:eastAsia="Times New Roman" w:hAnsi="Times New Roman" w:cs="Times New Roman"/>
          <w:b/>
          <w:iCs/>
        </w:rPr>
        <w:t>Tabla 3 -</w:t>
      </w:r>
      <w:r w:rsidRPr="00234720">
        <w:rPr>
          <w:rFonts w:ascii="Times New Roman" w:eastAsia="Times New Roman" w:hAnsi="Times New Roman" w:cs="Times New Roman"/>
          <w:iCs/>
        </w:rPr>
        <w:t xml:space="preserve"> Criterios diagnósticos del TEPT según el DSM-V a los 6 meses</w:t>
      </w:r>
    </w:p>
    <w:tbl>
      <w:tblPr>
        <w:tblW w:w="6510" w:type="dxa"/>
        <w:jc w:val="center"/>
        <w:tblLayout w:type="fixed"/>
        <w:tblLook w:val="0400" w:firstRow="0" w:lastRow="0" w:firstColumn="0" w:lastColumn="0" w:noHBand="0" w:noVBand="1"/>
      </w:tblPr>
      <w:tblGrid>
        <w:gridCol w:w="1833"/>
        <w:gridCol w:w="1440"/>
        <w:gridCol w:w="1421"/>
        <w:gridCol w:w="975"/>
        <w:gridCol w:w="841"/>
      </w:tblGrid>
      <w:tr w:rsidR="004D173E" w:rsidRPr="00AB64EF" w14:paraId="45B3D149" w14:textId="77777777" w:rsidTr="00997346">
        <w:trPr>
          <w:trHeight w:val="746"/>
          <w:jc w:val="center"/>
        </w:trPr>
        <w:tc>
          <w:tcPr>
            <w:tcW w:w="1833" w:type="dxa"/>
            <w:tcBorders>
              <w:top w:val="single" w:sz="8" w:space="0" w:color="000000"/>
              <w:left w:val="single" w:sz="8" w:space="0" w:color="000000"/>
              <w:right w:val="single" w:sz="8" w:space="0" w:color="000000"/>
            </w:tcBorders>
            <w:vAlign w:val="center"/>
          </w:tcPr>
          <w:p w14:paraId="56505031" w14:textId="77777777" w:rsidR="004D173E" w:rsidRPr="00234720" w:rsidRDefault="004D173E" w:rsidP="00F64ABB">
            <w:pPr>
              <w:spacing w:after="0" w:line="360" w:lineRule="auto"/>
              <w:jc w:val="center"/>
              <w:rPr>
                <w:rFonts w:ascii="Times New Roman" w:eastAsia="Times New Roman" w:hAnsi="Times New Roman" w:cs="Times New Roman"/>
                <w:b/>
                <w:bCs/>
                <w:sz w:val="18"/>
                <w:szCs w:val="18"/>
              </w:rPr>
            </w:pPr>
            <w:r w:rsidRPr="00234720">
              <w:rPr>
                <w:rFonts w:ascii="Times New Roman" w:eastAsia="Times New Roman" w:hAnsi="Times New Roman" w:cs="Times New Roman"/>
                <w:b/>
                <w:bCs/>
                <w:sz w:val="18"/>
                <w:szCs w:val="18"/>
              </w:rPr>
              <w:t>Criterios DSM-V</w:t>
            </w:r>
          </w:p>
        </w:tc>
        <w:tc>
          <w:tcPr>
            <w:tcW w:w="1440" w:type="dxa"/>
            <w:tcBorders>
              <w:top w:val="single" w:sz="8" w:space="0" w:color="000000"/>
              <w:left w:val="single" w:sz="8" w:space="0" w:color="000000"/>
              <w:bottom w:val="single" w:sz="8" w:space="0" w:color="000000"/>
              <w:right w:val="single" w:sz="8" w:space="0" w:color="000000"/>
            </w:tcBorders>
            <w:vAlign w:val="center"/>
          </w:tcPr>
          <w:p w14:paraId="62214D07" w14:textId="77777777" w:rsidR="004D173E" w:rsidRPr="00234720" w:rsidRDefault="004D173E" w:rsidP="00F64ABB">
            <w:pPr>
              <w:spacing w:after="0" w:line="360" w:lineRule="auto"/>
              <w:jc w:val="center"/>
              <w:rPr>
                <w:rFonts w:ascii="Times New Roman" w:eastAsia="Times New Roman" w:hAnsi="Times New Roman" w:cs="Times New Roman"/>
                <w:b/>
                <w:bCs/>
                <w:sz w:val="18"/>
                <w:szCs w:val="18"/>
              </w:rPr>
            </w:pPr>
            <w:r w:rsidRPr="00234720">
              <w:rPr>
                <w:rFonts w:ascii="Times New Roman" w:eastAsia="Times New Roman" w:hAnsi="Times New Roman" w:cs="Times New Roman"/>
                <w:b/>
                <w:bCs/>
                <w:sz w:val="18"/>
                <w:szCs w:val="18"/>
              </w:rPr>
              <w:t xml:space="preserve"> Población total </w:t>
            </w:r>
          </w:p>
          <w:p w14:paraId="3294FA0F" w14:textId="77777777" w:rsidR="004D173E" w:rsidRDefault="004D173E" w:rsidP="00F64ABB">
            <w:pPr>
              <w:spacing w:after="0" w:line="36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r w:rsidRPr="00234720">
              <w:rPr>
                <w:rFonts w:ascii="Times New Roman" w:eastAsia="Times New Roman" w:hAnsi="Times New Roman" w:cs="Times New Roman"/>
                <w:b/>
                <w:bCs/>
                <w:sz w:val="18"/>
                <w:szCs w:val="18"/>
              </w:rPr>
              <w:t>n=</w:t>
            </w:r>
            <w:r>
              <w:rPr>
                <w:rFonts w:ascii="Times New Roman" w:eastAsia="Times New Roman" w:hAnsi="Times New Roman" w:cs="Times New Roman"/>
                <w:b/>
                <w:bCs/>
                <w:sz w:val="18"/>
                <w:szCs w:val="18"/>
              </w:rPr>
              <w:t xml:space="preserve"> </w:t>
            </w:r>
            <w:r w:rsidRPr="00234720">
              <w:rPr>
                <w:rFonts w:ascii="Times New Roman" w:eastAsia="Times New Roman" w:hAnsi="Times New Roman" w:cs="Times New Roman"/>
                <w:b/>
                <w:bCs/>
                <w:sz w:val="18"/>
                <w:szCs w:val="18"/>
              </w:rPr>
              <w:t>31</w:t>
            </w:r>
            <w:r>
              <w:rPr>
                <w:rFonts w:ascii="Times New Roman" w:eastAsia="Times New Roman" w:hAnsi="Times New Roman" w:cs="Times New Roman"/>
                <w:b/>
                <w:bCs/>
                <w:sz w:val="18"/>
                <w:szCs w:val="18"/>
              </w:rPr>
              <w:t>)</w:t>
            </w:r>
          </w:p>
          <w:p w14:paraId="1849D63C" w14:textId="77777777" w:rsidR="004D173E" w:rsidRPr="00234720" w:rsidRDefault="004D173E" w:rsidP="00F64ABB">
            <w:pPr>
              <w:spacing w:after="0" w:line="36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 (%)</w:t>
            </w:r>
          </w:p>
        </w:tc>
        <w:tc>
          <w:tcPr>
            <w:tcW w:w="1421" w:type="dxa"/>
            <w:tcBorders>
              <w:top w:val="single" w:sz="8" w:space="0" w:color="000000"/>
              <w:left w:val="single" w:sz="8" w:space="0" w:color="000000"/>
              <w:bottom w:val="single" w:sz="8" w:space="0" w:color="000000"/>
              <w:right w:val="single" w:sz="8" w:space="0" w:color="000000"/>
            </w:tcBorders>
            <w:vAlign w:val="center"/>
          </w:tcPr>
          <w:p w14:paraId="63AC8BE5" w14:textId="77777777" w:rsidR="004D173E" w:rsidRDefault="004D173E" w:rsidP="00F64ABB">
            <w:pPr>
              <w:spacing w:after="0" w:line="360" w:lineRule="auto"/>
              <w:jc w:val="center"/>
              <w:rPr>
                <w:rFonts w:ascii="Times New Roman" w:eastAsia="Times New Roman" w:hAnsi="Times New Roman" w:cs="Times New Roman"/>
                <w:b/>
                <w:bCs/>
                <w:sz w:val="18"/>
                <w:szCs w:val="18"/>
              </w:rPr>
            </w:pPr>
            <w:r w:rsidRPr="00234720">
              <w:rPr>
                <w:rFonts w:ascii="Times New Roman" w:eastAsia="Times New Roman" w:hAnsi="Times New Roman" w:cs="Times New Roman"/>
                <w:b/>
                <w:bCs/>
                <w:sz w:val="18"/>
                <w:szCs w:val="18"/>
              </w:rPr>
              <w:t>Valoración 6 meses</w:t>
            </w:r>
            <w:r>
              <w:rPr>
                <w:rFonts w:ascii="Times New Roman" w:eastAsia="Times New Roman" w:hAnsi="Times New Roman" w:cs="Times New Roman"/>
                <w:b/>
                <w:bCs/>
                <w:sz w:val="18"/>
                <w:szCs w:val="18"/>
              </w:rPr>
              <w:t xml:space="preserve"> (</w:t>
            </w:r>
            <w:r w:rsidRPr="00234720">
              <w:rPr>
                <w:rFonts w:ascii="Times New Roman" w:eastAsia="Times New Roman" w:hAnsi="Times New Roman" w:cs="Times New Roman"/>
                <w:b/>
                <w:bCs/>
                <w:sz w:val="18"/>
                <w:szCs w:val="18"/>
              </w:rPr>
              <w:t>n= 11</w:t>
            </w:r>
            <w:r>
              <w:rPr>
                <w:rFonts w:ascii="Times New Roman" w:eastAsia="Times New Roman" w:hAnsi="Times New Roman" w:cs="Times New Roman"/>
                <w:b/>
                <w:bCs/>
                <w:sz w:val="18"/>
                <w:szCs w:val="18"/>
              </w:rPr>
              <w:t>)</w:t>
            </w:r>
          </w:p>
          <w:p w14:paraId="6D7FB0B2" w14:textId="77777777" w:rsidR="004D173E" w:rsidRPr="00234720" w:rsidRDefault="004D173E" w:rsidP="00F64ABB">
            <w:pPr>
              <w:spacing w:after="0" w:line="36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 (%)</w:t>
            </w:r>
          </w:p>
        </w:tc>
        <w:tc>
          <w:tcPr>
            <w:tcW w:w="975" w:type="dxa"/>
            <w:tcBorders>
              <w:top w:val="single" w:sz="8" w:space="0" w:color="000000"/>
              <w:left w:val="single" w:sz="8" w:space="0" w:color="000000"/>
              <w:bottom w:val="single" w:sz="8" w:space="0" w:color="000000"/>
              <w:right w:val="single" w:sz="8" w:space="0" w:color="000000"/>
            </w:tcBorders>
            <w:vAlign w:val="center"/>
          </w:tcPr>
          <w:p w14:paraId="56AA9B11" w14:textId="77777777" w:rsidR="004D173E" w:rsidRPr="00234720" w:rsidRDefault="004D173E" w:rsidP="00F64ABB">
            <w:pPr>
              <w:spacing w:after="0" w:line="360" w:lineRule="auto"/>
              <w:jc w:val="center"/>
              <w:rPr>
                <w:rFonts w:ascii="Times New Roman" w:eastAsia="Times New Roman" w:hAnsi="Times New Roman" w:cs="Times New Roman"/>
                <w:b/>
                <w:bCs/>
                <w:sz w:val="18"/>
                <w:szCs w:val="18"/>
              </w:rPr>
            </w:pPr>
            <w:r w:rsidRPr="00234720">
              <w:rPr>
                <w:rFonts w:ascii="Times New Roman" w:eastAsia="Times New Roman" w:hAnsi="Times New Roman" w:cs="Times New Roman"/>
                <w:b/>
                <w:bCs/>
                <w:sz w:val="18"/>
                <w:szCs w:val="18"/>
              </w:rPr>
              <w:t xml:space="preserve">Sanos </w:t>
            </w:r>
          </w:p>
          <w:p w14:paraId="6A0BC57F" w14:textId="77777777" w:rsidR="004D173E" w:rsidRDefault="004D173E" w:rsidP="00F64ABB">
            <w:pPr>
              <w:spacing w:after="0" w:line="36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r w:rsidRPr="00234720">
              <w:rPr>
                <w:rFonts w:ascii="Times New Roman" w:eastAsia="Times New Roman" w:hAnsi="Times New Roman" w:cs="Times New Roman"/>
                <w:b/>
                <w:bCs/>
                <w:sz w:val="18"/>
                <w:szCs w:val="18"/>
              </w:rPr>
              <w:t>n=</w:t>
            </w:r>
            <w:r>
              <w:rPr>
                <w:rFonts w:ascii="Times New Roman" w:eastAsia="Times New Roman" w:hAnsi="Times New Roman" w:cs="Times New Roman"/>
                <w:b/>
                <w:bCs/>
                <w:sz w:val="18"/>
                <w:szCs w:val="18"/>
              </w:rPr>
              <w:t xml:space="preserve"> </w:t>
            </w:r>
            <w:r w:rsidRPr="00234720">
              <w:rPr>
                <w:rFonts w:ascii="Times New Roman" w:eastAsia="Times New Roman" w:hAnsi="Times New Roman" w:cs="Times New Roman"/>
                <w:b/>
                <w:bCs/>
                <w:sz w:val="18"/>
                <w:szCs w:val="18"/>
              </w:rPr>
              <w:t>20</w:t>
            </w:r>
            <w:r>
              <w:rPr>
                <w:rFonts w:ascii="Times New Roman" w:eastAsia="Times New Roman" w:hAnsi="Times New Roman" w:cs="Times New Roman"/>
                <w:b/>
                <w:bCs/>
                <w:sz w:val="18"/>
                <w:szCs w:val="18"/>
              </w:rPr>
              <w:t>)</w:t>
            </w:r>
          </w:p>
          <w:p w14:paraId="60A48FAC" w14:textId="77777777" w:rsidR="004D173E" w:rsidRPr="00234720" w:rsidRDefault="004D173E" w:rsidP="00F64ABB">
            <w:pPr>
              <w:spacing w:after="0" w:line="36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 (%)</w:t>
            </w:r>
          </w:p>
        </w:tc>
        <w:tc>
          <w:tcPr>
            <w:tcW w:w="841" w:type="dxa"/>
            <w:tcBorders>
              <w:top w:val="single" w:sz="8" w:space="0" w:color="000000"/>
              <w:left w:val="single" w:sz="8" w:space="0" w:color="000000"/>
              <w:bottom w:val="single" w:sz="8" w:space="0" w:color="000000"/>
              <w:right w:val="single" w:sz="8" w:space="0" w:color="000000"/>
            </w:tcBorders>
            <w:vAlign w:val="center"/>
          </w:tcPr>
          <w:p w14:paraId="2428A0F6" w14:textId="77777777" w:rsidR="004D173E" w:rsidRPr="00234720" w:rsidRDefault="004D173E" w:rsidP="00F64ABB">
            <w:pPr>
              <w:spacing w:after="0" w:line="360" w:lineRule="auto"/>
              <w:jc w:val="center"/>
              <w:rPr>
                <w:rFonts w:ascii="Times New Roman" w:eastAsia="Times New Roman" w:hAnsi="Times New Roman" w:cs="Times New Roman"/>
                <w:b/>
                <w:bCs/>
                <w:sz w:val="18"/>
                <w:szCs w:val="18"/>
              </w:rPr>
            </w:pPr>
            <w:r w:rsidRPr="00234720">
              <w:rPr>
                <w:rFonts w:ascii="Times New Roman" w:eastAsia="Times New Roman" w:hAnsi="Times New Roman" w:cs="Times New Roman"/>
                <w:b/>
                <w:bCs/>
                <w:sz w:val="18"/>
                <w:szCs w:val="18"/>
              </w:rPr>
              <w:t xml:space="preserve">Valor </w:t>
            </w:r>
            <w:r>
              <w:rPr>
                <w:rFonts w:ascii="Times New Roman" w:eastAsia="Times New Roman" w:hAnsi="Times New Roman" w:cs="Times New Roman"/>
                <w:b/>
                <w:bCs/>
                <w:sz w:val="18"/>
                <w:szCs w:val="18"/>
              </w:rPr>
              <w:t>p</w:t>
            </w:r>
          </w:p>
        </w:tc>
      </w:tr>
      <w:tr w:rsidR="004D173E" w:rsidRPr="00AB64EF" w14:paraId="285FD039" w14:textId="77777777" w:rsidTr="00997346">
        <w:trPr>
          <w:trHeight w:val="55"/>
          <w:jc w:val="center"/>
        </w:trPr>
        <w:tc>
          <w:tcPr>
            <w:tcW w:w="1833" w:type="dxa"/>
            <w:tcBorders>
              <w:top w:val="single" w:sz="8" w:space="0" w:color="000000"/>
              <w:left w:val="single" w:sz="8" w:space="0" w:color="000000"/>
              <w:bottom w:val="single" w:sz="8" w:space="0" w:color="000000"/>
              <w:right w:val="single" w:sz="8" w:space="0" w:color="000000"/>
            </w:tcBorders>
            <w:vAlign w:val="center"/>
          </w:tcPr>
          <w:p w14:paraId="1E70C825" w14:textId="77777777" w:rsidR="004D173E" w:rsidRPr="00234720" w:rsidRDefault="004D173E"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A</w:t>
            </w:r>
          </w:p>
        </w:tc>
        <w:tc>
          <w:tcPr>
            <w:tcW w:w="1440" w:type="dxa"/>
            <w:tcBorders>
              <w:top w:val="single" w:sz="8" w:space="0" w:color="000000"/>
              <w:left w:val="single" w:sz="8" w:space="0" w:color="000000"/>
              <w:bottom w:val="single" w:sz="8" w:space="0" w:color="000000"/>
              <w:right w:val="single" w:sz="8" w:space="0" w:color="000000"/>
            </w:tcBorders>
            <w:vAlign w:val="center"/>
          </w:tcPr>
          <w:p w14:paraId="67BAF91F"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23 (74,2)</w:t>
            </w:r>
          </w:p>
        </w:tc>
        <w:tc>
          <w:tcPr>
            <w:tcW w:w="1421" w:type="dxa"/>
            <w:tcBorders>
              <w:top w:val="single" w:sz="8" w:space="0" w:color="000000"/>
              <w:left w:val="single" w:sz="8" w:space="0" w:color="000000"/>
              <w:bottom w:val="single" w:sz="8" w:space="0" w:color="000000"/>
              <w:right w:val="single" w:sz="8" w:space="0" w:color="000000"/>
            </w:tcBorders>
            <w:vAlign w:val="center"/>
          </w:tcPr>
          <w:p w14:paraId="0AF4179F"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8 (72,7)</w:t>
            </w:r>
          </w:p>
        </w:tc>
        <w:tc>
          <w:tcPr>
            <w:tcW w:w="975" w:type="dxa"/>
            <w:tcBorders>
              <w:top w:val="single" w:sz="8" w:space="0" w:color="000000"/>
              <w:left w:val="single" w:sz="8" w:space="0" w:color="000000"/>
              <w:bottom w:val="single" w:sz="8" w:space="0" w:color="000000"/>
              <w:right w:val="single" w:sz="8" w:space="0" w:color="000000"/>
            </w:tcBorders>
            <w:vAlign w:val="center"/>
          </w:tcPr>
          <w:p w14:paraId="513ADDD1"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15 (75,0)</w:t>
            </w:r>
          </w:p>
        </w:tc>
        <w:tc>
          <w:tcPr>
            <w:tcW w:w="841" w:type="dxa"/>
            <w:tcBorders>
              <w:top w:val="single" w:sz="8" w:space="0" w:color="000000"/>
              <w:left w:val="single" w:sz="8" w:space="0" w:color="000000"/>
              <w:bottom w:val="single" w:sz="8" w:space="0" w:color="000000"/>
              <w:right w:val="single" w:sz="8" w:space="0" w:color="000000"/>
            </w:tcBorders>
            <w:vAlign w:val="center"/>
          </w:tcPr>
          <w:p w14:paraId="5A5C7776"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0,890</w:t>
            </w:r>
          </w:p>
        </w:tc>
      </w:tr>
      <w:tr w:rsidR="004D173E" w:rsidRPr="00AB64EF" w14:paraId="1FC28EB8" w14:textId="77777777" w:rsidTr="00997346">
        <w:trPr>
          <w:trHeight w:val="55"/>
          <w:jc w:val="center"/>
        </w:trPr>
        <w:tc>
          <w:tcPr>
            <w:tcW w:w="1833" w:type="dxa"/>
            <w:tcBorders>
              <w:top w:val="single" w:sz="8" w:space="0" w:color="000000"/>
              <w:left w:val="single" w:sz="8" w:space="0" w:color="000000"/>
              <w:bottom w:val="single" w:sz="8" w:space="0" w:color="000000"/>
              <w:right w:val="single" w:sz="8" w:space="0" w:color="000000"/>
            </w:tcBorders>
            <w:vAlign w:val="center"/>
          </w:tcPr>
          <w:p w14:paraId="7EC3D2D3" w14:textId="77777777" w:rsidR="004D173E" w:rsidRPr="00234720" w:rsidRDefault="004D173E"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B</w:t>
            </w:r>
          </w:p>
        </w:tc>
        <w:tc>
          <w:tcPr>
            <w:tcW w:w="1440" w:type="dxa"/>
            <w:tcBorders>
              <w:top w:val="single" w:sz="8" w:space="0" w:color="000000"/>
              <w:left w:val="single" w:sz="8" w:space="0" w:color="000000"/>
              <w:bottom w:val="single" w:sz="8" w:space="0" w:color="000000"/>
              <w:right w:val="single" w:sz="8" w:space="0" w:color="000000"/>
            </w:tcBorders>
            <w:vAlign w:val="center"/>
          </w:tcPr>
          <w:p w14:paraId="397BEABB"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17 (54,8)</w:t>
            </w:r>
          </w:p>
        </w:tc>
        <w:tc>
          <w:tcPr>
            <w:tcW w:w="1421" w:type="dxa"/>
            <w:tcBorders>
              <w:top w:val="single" w:sz="8" w:space="0" w:color="000000"/>
              <w:left w:val="single" w:sz="8" w:space="0" w:color="000000"/>
              <w:bottom w:val="single" w:sz="8" w:space="0" w:color="000000"/>
              <w:right w:val="single" w:sz="8" w:space="0" w:color="000000"/>
            </w:tcBorders>
            <w:vAlign w:val="center"/>
          </w:tcPr>
          <w:p w14:paraId="61E8C7FF"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9 (81,8)</w:t>
            </w:r>
          </w:p>
        </w:tc>
        <w:tc>
          <w:tcPr>
            <w:tcW w:w="975" w:type="dxa"/>
            <w:tcBorders>
              <w:top w:val="single" w:sz="8" w:space="0" w:color="000000"/>
              <w:left w:val="single" w:sz="8" w:space="0" w:color="000000"/>
              <w:bottom w:val="single" w:sz="8" w:space="0" w:color="000000"/>
              <w:right w:val="single" w:sz="8" w:space="0" w:color="000000"/>
            </w:tcBorders>
            <w:vAlign w:val="center"/>
          </w:tcPr>
          <w:p w14:paraId="3A4D6717"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8 (40,0)</w:t>
            </w:r>
          </w:p>
        </w:tc>
        <w:tc>
          <w:tcPr>
            <w:tcW w:w="841" w:type="dxa"/>
            <w:tcBorders>
              <w:top w:val="single" w:sz="8" w:space="0" w:color="000000"/>
              <w:left w:val="single" w:sz="8" w:space="0" w:color="000000"/>
              <w:bottom w:val="single" w:sz="8" w:space="0" w:color="000000"/>
              <w:right w:val="single" w:sz="8" w:space="0" w:color="000000"/>
            </w:tcBorders>
            <w:vAlign w:val="center"/>
          </w:tcPr>
          <w:p w14:paraId="4678B4F2"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0,025</w:t>
            </w:r>
          </w:p>
        </w:tc>
      </w:tr>
      <w:tr w:rsidR="004D173E" w:rsidRPr="00AB64EF" w14:paraId="1FCFC8B5" w14:textId="77777777" w:rsidTr="00997346">
        <w:trPr>
          <w:trHeight w:val="55"/>
          <w:jc w:val="center"/>
        </w:trPr>
        <w:tc>
          <w:tcPr>
            <w:tcW w:w="1833" w:type="dxa"/>
            <w:tcBorders>
              <w:top w:val="single" w:sz="8" w:space="0" w:color="000000"/>
              <w:left w:val="single" w:sz="8" w:space="0" w:color="000000"/>
              <w:bottom w:val="single" w:sz="8" w:space="0" w:color="000000"/>
              <w:right w:val="single" w:sz="8" w:space="0" w:color="000000"/>
            </w:tcBorders>
            <w:vAlign w:val="center"/>
          </w:tcPr>
          <w:p w14:paraId="05E9E46A" w14:textId="77777777" w:rsidR="004D173E" w:rsidRPr="00234720" w:rsidRDefault="004D173E"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C</w:t>
            </w:r>
          </w:p>
        </w:tc>
        <w:tc>
          <w:tcPr>
            <w:tcW w:w="1440" w:type="dxa"/>
            <w:tcBorders>
              <w:top w:val="single" w:sz="8" w:space="0" w:color="000000"/>
              <w:left w:val="single" w:sz="8" w:space="0" w:color="000000"/>
              <w:bottom w:val="single" w:sz="8" w:space="0" w:color="000000"/>
              <w:right w:val="single" w:sz="8" w:space="0" w:color="000000"/>
            </w:tcBorders>
            <w:vAlign w:val="center"/>
          </w:tcPr>
          <w:p w14:paraId="78EC797E"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18 (58,1)</w:t>
            </w:r>
          </w:p>
        </w:tc>
        <w:tc>
          <w:tcPr>
            <w:tcW w:w="1421" w:type="dxa"/>
            <w:tcBorders>
              <w:top w:val="single" w:sz="8" w:space="0" w:color="000000"/>
              <w:left w:val="single" w:sz="8" w:space="0" w:color="000000"/>
              <w:bottom w:val="single" w:sz="8" w:space="0" w:color="000000"/>
              <w:right w:val="single" w:sz="8" w:space="0" w:color="000000"/>
            </w:tcBorders>
            <w:vAlign w:val="center"/>
          </w:tcPr>
          <w:p w14:paraId="22FDBF73"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9 (81,8)</w:t>
            </w:r>
          </w:p>
        </w:tc>
        <w:tc>
          <w:tcPr>
            <w:tcW w:w="975" w:type="dxa"/>
            <w:tcBorders>
              <w:top w:val="single" w:sz="8" w:space="0" w:color="000000"/>
              <w:left w:val="single" w:sz="8" w:space="0" w:color="000000"/>
              <w:bottom w:val="single" w:sz="8" w:space="0" w:color="000000"/>
              <w:right w:val="single" w:sz="8" w:space="0" w:color="000000"/>
            </w:tcBorders>
            <w:vAlign w:val="center"/>
          </w:tcPr>
          <w:p w14:paraId="7BA66F2C"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9 (45,0)</w:t>
            </w:r>
          </w:p>
        </w:tc>
        <w:tc>
          <w:tcPr>
            <w:tcW w:w="841" w:type="dxa"/>
            <w:tcBorders>
              <w:top w:val="single" w:sz="8" w:space="0" w:color="000000"/>
              <w:left w:val="single" w:sz="8" w:space="0" w:color="000000"/>
              <w:bottom w:val="single" w:sz="8" w:space="0" w:color="000000"/>
              <w:right w:val="single" w:sz="8" w:space="0" w:color="000000"/>
            </w:tcBorders>
            <w:vAlign w:val="center"/>
          </w:tcPr>
          <w:p w14:paraId="3B03E75E"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0,047</w:t>
            </w:r>
          </w:p>
        </w:tc>
      </w:tr>
      <w:tr w:rsidR="004D173E" w:rsidRPr="00AB64EF" w14:paraId="1112886E" w14:textId="77777777" w:rsidTr="00997346">
        <w:trPr>
          <w:trHeight w:val="55"/>
          <w:jc w:val="center"/>
        </w:trPr>
        <w:tc>
          <w:tcPr>
            <w:tcW w:w="1833" w:type="dxa"/>
            <w:tcBorders>
              <w:top w:val="single" w:sz="8" w:space="0" w:color="000000"/>
              <w:left w:val="single" w:sz="8" w:space="0" w:color="000000"/>
              <w:bottom w:val="single" w:sz="8" w:space="0" w:color="000000"/>
              <w:right w:val="single" w:sz="8" w:space="0" w:color="000000"/>
            </w:tcBorders>
            <w:vAlign w:val="center"/>
          </w:tcPr>
          <w:p w14:paraId="01538D24" w14:textId="77777777" w:rsidR="004D173E" w:rsidRPr="00234720" w:rsidRDefault="004D173E"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D</w:t>
            </w:r>
          </w:p>
        </w:tc>
        <w:tc>
          <w:tcPr>
            <w:tcW w:w="1440" w:type="dxa"/>
            <w:tcBorders>
              <w:top w:val="single" w:sz="8" w:space="0" w:color="000000"/>
              <w:left w:val="single" w:sz="8" w:space="0" w:color="000000"/>
              <w:bottom w:val="single" w:sz="8" w:space="0" w:color="000000"/>
              <w:right w:val="single" w:sz="8" w:space="0" w:color="000000"/>
            </w:tcBorders>
            <w:vAlign w:val="center"/>
          </w:tcPr>
          <w:p w14:paraId="7D5A5931"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18 (58,1)</w:t>
            </w:r>
          </w:p>
        </w:tc>
        <w:tc>
          <w:tcPr>
            <w:tcW w:w="1421" w:type="dxa"/>
            <w:tcBorders>
              <w:top w:val="single" w:sz="8" w:space="0" w:color="000000"/>
              <w:left w:val="single" w:sz="8" w:space="0" w:color="000000"/>
              <w:bottom w:val="single" w:sz="8" w:space="0" w:color="000000"/>
              <w:right w:val="single" w:sz="8" w:space="0" w:color="000000"/>
            </w:tcBorders>
            <w:vAlign w:val="center"/>
          </w:tcPr>
          <w:p w14:paraId="0E1CB912"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10 (90,9)</w:t>
            </w:r>
          </w:p>
        </w:tc>
        <w:tc>
          <w:tcPr>
            <w:tcW w:w="975" w:type="dxa"/>
            <w:tcBorders>
              <w:top w:val="single" w:sz="8" w:space="0" w:color="000000"/>
              <w:left w:val="single" w:sz="8" w:space="0" w:color="000000"/>
              <w:bottom w:val="single" w:sz="8" w:space="0" w:color="000000"/>
              <w:right w:val="single" w:sz="8" w:space="0" w:color="000000"/>
            </w:tcBorders>
            <w:vAlign w:val="center"/>
          </w:tcPr>
          <w:p w14:paraId="7EF4A7C0"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8 (40,0)</w:t>
            </w:r>
          </w:p>
        </w:tc>
        <w:tc>
          <w:tcPr>
            <w:tcW w:w="841" w:type="dxa"/>
            <w:tcBorders>
              <w:top w:val="single" w:sz="8" w:space="0" w:color="000000"/>
              <w:left w:val="single" w:sz="8" w:space="0" w:color="000000"/>
              <w:bottom w:val="single" w:sz="8" w:space="0" w:color="000000"/>
              <w:right w:val="single" w:sz="8" w:space="0" w:color="000000"/>
            </w:tcBorders>
            <w:vAlign w:val="center"/>
          </w:tcPr>
          <w:p w14:paraId="0AD46425"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0,006</w:t>
            </w:r>
          </w:p>
        </w:tc>
      </w:tr>
      <w:tr w:rsidR="004D173E" w:rsidRPr="00AB64EF" w14:paraId="36C31B71" w14:textId="77777777" w:rsidTr="00997346">
        <w:trPr>
          <w:trHeight w:val="55"/>
          <w:jc w:val="center"/>
        </w:trPr>
        <w:tc>
          <w:tcPr>
            <w:tcW w:w="1833" w:type="dxa"/>
            <w:tcBorders>
              <w:top w:val="single" w:sz="8" w:space="0" w:color="000000"/>
              <w:left w:val="single" w:sz="8" w:space="0" w:color="000000"/>
              <w:bottom w:val="single" w:sz="8" w:space="0" w:color="000000"/>
              <w:right w:val="single" w:sz="8" w:space="0" w:color="000000"/>
            </w:tcBorders>
            <w:vAlign w:val="center"/>
          </w:tcPr>
          <w:p w14:paraId="0F08A527" w14:textId="77777777" w:rsidR="004D173E" w:rsidRPr="00234720" w:rsidRDefault="004D173E"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E</w:t>
            </w:r>
          </w:p>
        </w:tc>
        <w:tc>
          <w:tcPr>
            <w:tcW w:w="1440" w:type="dxa"/>
            <w:tcBorders>
              <w:top w:val="single" w:sz="8" w:space="0" w:color="000000"/>
              <w:left w:val="single" w:sz="8" w:space="0" w:color="000000"/>
              <w:bottom w:val="single" w:sz="8" w:space="0" w:color="000000"/>
              <w:right w:val="single" w:sz="8" w:space="0" w:color="000000"/>
            </w:tcBorders>
            <w:vAlign w:val="center"/>
          </w:tcPr>
          <w:p w14:paraId="59B47DB1"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17 (54,8)</w:t>
            </w:r>
          </w:p>
        </w:tc>
        <w:tc>
          <w:tcPr>
            <w:tcW w:w="1421" w:type="dxa"/>
            <w:tcBorders>
              <w:top w:val="single" w:sz="8" w:space="0" w:color="000000"/>
              <w:left w:val="single" w:sz="8" w:space="0" w:color="000000"/>
              <w:bottom w:val="single" w:sz="8" w:space="0" w:color="000000"/>
              <w:right w:val="single" w:sz="8" w:space="0" w:color="000000"/>
            </w:tcBorders>
            <w:vAlign w:val="center"/>
          </w:tcPr>
          <w:p w14:paraId="7C46D5CD"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9 (81,8)</w:t>
            </w:r>
          </w:p>
        </w:tc>
        <w:tc>
          <w:tcPr>
            <w:tcW w:w="975" w:type="dxa"/>
            <w:tcBorders>
              <w:top w:val="single" w:sz="8" w:space="0" w:color="000000"/>
              <w:left w:val="single" w:sz="8" w:space="0" w:color="000000"/>
              <w:bottom w:val="single" w:sz="8" w:space="0" w:color="000000"/>
              <w:right w:val="single" w:sz="8" w:space="0" w:color="000000"/>
            </w:tcBorders>
            <w:vAlign w:val="center"/>
          </w:tcPr>
          <w:p w14:paraId="448505E5"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8 (40,0)</w:t>
            </w:r>
          </w:p>
        </w:tc>
        <w:tc>
          <w:tcPr>
            <w:tcW w:w="841" w:type="dxa"/>
            <w:tcBorders>
              <w:top w:val="single" w:sz="8" w:space="0" w:color="000000"/>
              <w:left w:val="single" w:sz="8" w:space="0" w:color="000000"/>
              <w:bottom w:val="single" w:sz="8" w:space="0" w:color="000000"/>
              <w:right w:val="single" w:sz="8" w:space="0" w:color="000000"/>
            </w:tcBorders>
            <w:vAlign w:val="center"/>
          </w:tcPr>
          <w:p w14:paraId="3E3FF5BD"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0,022</w:t>
            </w:r>
          </w:p>
        </w:tc>
      </w:tr>
      <w:tr w:rsidR="004D173E" w:rsidRPr="00AB64EF" w14:paraId="5ED19485" w14:textId="77777777" w:rsidTr="00997346">
        <w:trPr>
          <w:trHeight w:val="55"/>
          <w:jc w:val="center"/>
        </w:trPr>
        <w:tc>
          <w:tcPr>
            <w:tcW w:w="1833" w:type="dxa"/>
            <w:tcBorders>
              <w:top w:val="single" w:sz="8" w:space="0" w:color="000000"/>
              <w:left w:val="single" w:sz="8" w:space="0" w:color="000000"/>
              <w:bottom w:val="single" w:sz="8" w:space="0" w:color="000000"/>
              <w:right w:val="single" w:sz="8" w:space="0" w:color="000000"/>
            </w:tcBorders>
            <w:vAlign w:val="center"/>
          </w:tcPr>
          <w:p w14:paraId="76009856" w14:textId="77777777" w:rsidR="004D173E" w:rsidRPr="00234720" w:rsidRDefault="004D173E"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F</w:t>
            </w:r>
          </w:p>
        </w:tc>
        <w:tc>
          <w:tcPr>
            <w:tcW w:w="1440" w:type="dxa"/>
            <w:tcBorders>
              <w:top w:val="single" w:sz="8" w:space="0" w:color="000000"/>
              <w:left w:val="single" w:sz="8" w:space="0" w:color="000000"/>
              <w:bottom w:val="single" w:sz="8" w:space="0" w:color="000000"/>
              <w:right w:val="single" w:sz="8" w:space="0" w:color="000000"/>
            </w:tcBorders>
            <w:vAlign w:val="center"/>
          </w:tcPr>
          <w:p w14:paraId="0FE116BA"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31 (100,0)</w:t>
            </w:r>
          </w:p>
        </w:tc>
        <w:tc>
          <w:tcPr>
            <w:tcW w:w="1421" w:type="dxa"/>
            <w:tcBorders>
              <w:top w:val="single" w:sz="8" w:space="0" w:color="000000"/>
              <w:left w:val="single" w:sz="8" w:space="0" w:color="000000"/>
              <w:bottom w:val="single" w:sz="8" w:space="0" w:color="000000"/>
              <w:right w:val="single" w:sz="8" w:space="0" w:color="000000"/>
            </w:tcBorders>
            <w:vAlign w:val="center"/>
          </w:tcPr>
          <w:p w14:paraId="49319E3C"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11 (100,0)</w:t>
            </w:r>
          </w:p>
        </w:tc>
        <w:tc>
          <w:tcPr>
            <w:tcW w:w="975" w:type="dxa"/>
            <w:tcBorders>
              <w:top w:val="single" w:sz="8" w:space="0" w:color="000000"/>
              <w:left w:val="single" w:sz="8" w:space="0" w:color="000000"/>
              <w:bottom w:val="single" w:sz="8" w:space="0" w:color="000000"/>
              <w:right w:val="single" w:sz="8" w:space="0" w:color="000000"/>
            </w:tcBorders>
            <w:vAlign w:val="center"/>
          </w:tcPr>
          <w:p w14:paraId="0F903446"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20 (100,0)</w:t>
            </w:r>
          </w:p>
        </w:tc>
        <w:tc>
          <w:tcPr>
            <w:tcW w:w="841" w:type="dxa"/>
            <w:tcBorders>
              <w:top w:val="single" w:sz="8" w:space="0" w:color="000000"/>
              <w:left w:val="single" w:sz="8" w:space="0" w:color="000000"/>
              <w:bottom w:val="single" w:sz="8" w:space="0" w:color="000000"/>
              <w:right w:val="single" w:sz="8" w:space="0" w:color="000000"/>
            </w:tcBorders>
            <w:vAlign w:val="center"/>
          </w:tcPr>
          <w:p w14:paraId="2A32180E"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w:t>
            </w:r>
          </w:p>
        </w:tc>
      </w:tr>
      <w:tr w:rsidR="004D173E" w:rsidRPr="00AB64EF" w14:paraId="1F58451A" w14:textId="77777777" w:rsidTr="00997346">
        <w:trPr>
          <w:trHeight w:val="55"/>
          <w:jc w:val="center"/>
        </w:trPr>
        <w:tc>
          <w:tcPr>
            <w:tcW w:w="1833" w:type="dxa"/>
            <w:tcBorders>
              <w:top w:val="single" w:sz="8" w:space="0" w:color="000000"/>
              <w:left w:val="single" w:sz="8" w:space="0" w:color="000000"/>
              <w:bottom w:val="single" w:sz="8" w:space="0" w:color="000000"/>
              <w:right w:val="single" w:sz="8" w:space="0" w:color="000000"/>
            </w:tcBorders>
            <w:vAlign w:val="center"/>
          </w:tcPr>
          <w:p w14:paraId="293B9E71" w14:textId="77777777" w:rsidR="004D173E" w:rsidRPr="00234720" w:rsidRDefault="004D173E"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G</w:t>
            </w:r>
          </w:p>
        </w:tc>
        <w:tc>
          <w:tcPr>
            <w:tcW w:w="1440" w:type="dxa"/>
            <w:tcBorders>
              <w:top w:val="single" w:sz="8" w:space="0" w:color="000000"/>
              <w:left w:val="single" w:sz="8" w:space="0" w:color="000000"/>
              <w:bottom w:val="single" w:sz="8" w:space="0" w:color="000000"/>
              <w:right w:val="single" w:sz="8" w:space="0" w:color="000000"/>
            </w:tcBorders>
            <w:vAlign w:val="center"/>
          </w:tcPr>
          <w:p w14:paraId="6F3A0CA5"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8 (25,8)</w:t>
            </w:r>
          </w:p>
        </w:tc>
        <w:tc>
          <w:tcPr>
            <w:tcW w:w="1421" w:type="dxa"/>
            <w:tcBorders>
              <w:top w:val="single" w:sz="8" w:space="0" w:color="000000"/>
              <w:left w:val="single" w:sz="8" w:space="0" w:color="000000"/>
              <w:bottom w:val="single" w:sz="8" w:space="0" w:color="000000"/>
              <w:right w:val="single" w:sz="8" w:space="0" w:color="000000"/>
            </w:tcBorders>
            <w:vAlign w:val="center"/>
          </w:tcPr>
          <w:p w14:paraId="21040D9B"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8 (72,7)</w:t>
            </w:r>
          </w:p>
        </w:tc>
        <w:tc>
          <w:tcPr>
            <w:tcW w:w="975" w:type="dxa"/>
            <w:tcBorders>
              <w:top w:val="single" w:sz="8" w:space="0" w:color="000000"/>
              <w:left w:val="single" w:sz="8" w:space="0" w:color="000000"/>
              <w:bottom w:val="single" w:sz="8" w:space="0" w:color="000000"/>
              <w:right w:val="single" w:sz="8" w:space="0" w:color="000000"/>
            </w:tcBorders>
            <w:vAlign w:val="center"/>
          </w:tcPr>
          <w:p w14:paraId="338AA9EF"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 (0,0)</w:t>
            </w:r>
          </w:p>
        </w:tc>
        <w:tc>
          <w:tcPr>
            <w:tcW w:w="841" w:type="dxa"/>
            <w:tcBorders>
              <w:top w:val="single" w:sz="8" w:space="0" w:color="000000"/>
              <w:left w:val="single" w:sz="8" w:space="0" w:color="000000"/>
              <w:bottom w:val="single" w:sz="8" w:space="0" w:color="000000"/>
              <w:right w:val="single" w:sz="8" w:space="0" w:color="000000"/>
            </w:tcBorders>
            <w:vAlign w:val="center"/>
          </w:tcPr>
          <w:p w14:paraId="69A5F942"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&lt;</w:t>
            </w:r>
            <w:r>
              <w:rPr>
                <w:rFonts w:ascii="Times New Roman" w:eastAsia="Times New Roman" w:hAnsi="Times New Roman" w:cs="Times New Roman"/>
                <w:sz w:val="18"/>
                <w:szCs w:val="18"/>
              </w:rPr>
              <w:t> </w:t>
            </w:r>
            <w:r w:rsidRPr="00234720">
              <w:rPr>
                <w:rFonts w:ascii="Times New Roman" w:eastAsia="Times New Roman" w:hAnsi="Times New Roman" w:cs="Times New Roman"/>
                <w:sz w:val="18"/>
                <w:szCs w:val="18"/>
              </w:rPr>
              <w:t>0,01</w:t>
            </w:r>
          </w:p>
        </w:tc>
      </w:tr>
      <w:tr w:rsidR="004D173E" w:rsidRPr="00AB64EF" w14:paraId="2715F458" w14:textId="77777777" w:rsidTr="00997346">
        <w:trPr>
          <w:trHeight w:val="55"/>
          <w:jc w:val="center"/>
        </w:trPr>
        <w:tc>
          <w:tcPr>
            <w:tcW w:w="1833" w:type="dxa"/>
            <w:tcBorders>
              <w:top w:val="single" w:sz="8" w:space="0" w:color="000000"/>
              <w:left w:val="single" w:sz="8" w:space="0" w:color="000000"/>
              <w:bottom w:val="single" w:sz="8" w:space="0" w:color="000000"/>
              <w:right w:val="single" w:sz="8" w:space="0" w:color="000000"/>
            </w:tcBorders>
            <w:vAlign w:val="center"/>
          </w:tcPr>
          <w:p w14:paraId="185FAE0B" w14:textId="77777777" w:rsidR="004D173E" w:rsidRPr="00234720" w:rsidRDefault="004D173E"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H</w:t>
            </w:r>
          </w:p>
        </w:tc>
        <w:tc>
          <w:tcPr>
            <w:tcW w:w="1440" w:type="dxa"/>
            <w:tcBorders>
              <w:top w:val="single" w:sz="8" w:space="0" w:color="000000"/>
              <w:left w:val="single" w:sz="8" w:space="0" w:color="000000"/>
              <w:bottom w:val="single" w:sz="8" w:space="0" w:color="000000"/>
              <w:right w:val="single" w:sz="8" w:space="0" w:color="000000"/>
            </w:tcBorders>
            <w:vAlign w:val="center"/>
          </w:tcPr>
          <w:p w14:paraId="29A4AD4C"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31 (100,0)</w:t>
            </w:r>
          </w:p>
        </w:tc>
        <w:tc>
          <w:tcPr>
            <w:tcW w:w="1421" w:type="dxa"/>
            <w:tcBorders>
              <w:top w:val="single" w:sz="8" w:space="0" w:color="000000"/>
              <w:left w:val="single" w:sz="8" w:space="0" w:color="000000"/>
              <w:bottom w:val="single" w:sz="8" w:space="0" w:color="000000"/>
              <w:right w:val="single" w:sz="8" w:space="0" w:color="000000"/>
            </w:tcBorders>
            <w:vAlign w:val="center"/>
          </w:tcPr>
          <w:p w14:paraId="2D98F329"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11 (100,0)</w:t>
            </w:r>
          </w:p>
        </w:tc>
        <w:tc>
          <w:tcPr>
            <w:tcW w:w="975" w:type="dxa"/>
            <w:tcBorders>
              <w:top w:val="single" w:sz="8" w:space="0" w:color="000000"/>
              <w:left w:val="single" w:sz="8" w:space="0" w:color="000000"/>
              <w:bottom w:val="single" w:sz="8" w:space="0" w:color="000000"/>
              <w:right w:val="single" w:sz="8" w:space="0" w:color="000000"/>
            </w:tcBorders>
            <w:vAlign w:val="center"/>
          </w:tcPr>
          <w:p w14:paraId="5FB5285C"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20 (100,0)</w:t>
            </w:r>
          </w:p>
        </w:tc>
        <w:tc>
          <w:tcPr>
            <w:tcW w:w="841" w:type="dxa"/>
            <w:tcBorders>
              <w:top w:val="single" w:sz="8" w:space="0" w:color="000000"/>
              <w:left w:val="single" w:sz="8" w:space="0" w:color="000000"/>
              <w:bottom w:val="single" w:sz="8" w:space="0" w:color="000000"/>
              <w:right w:val="single" w:sz="8" w:space="0" w:color="000000"/>
            </w:tcBorders>
            <w:vAlign w:val="center"/>
          </w:tcPr>
          <w:p w14:paraId="43DA41AA"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w:t>
            </w:r>
          </w:p>
        </w:tc>
      </w:tr>
      <w:tr w:rsidR="004D173E" w:rsidRPr="00AB64EF" w14:paraId="45FE5EE9" w14:textId="77777777" w:rsidTr="00997346">
        <w:trPr>
          <w:trHeight w:val="45"/>
          <w:jc w:val="center"/>
        </w:trPr>
        <w:tc>
          <w:tcPr>
            <w:tcW w:w="1833" w:type="dxa"/>
            <w:tcBorders>
              <w:top w:val="single" w:sz="8" w:space="0" w:color="000000"/>
              <w:left w:val="single" w:sz="8" w:space="0" w:color="000000"/>
              <w:bottom w:val="single" w:sz="8" w:space="0" w:color="000000"/>
              <w:right w:val="single" w:sz="8" w:space="0" w:color="000000"/>
            </w:tcBorders>
            <w:vAlign w:val="center"/>
          </w:tcPr>
          <w:p w14:paraId="104BA8CA" w14:textId="77777777" w:rsidR="004D173E" w:rsidRPr="00234720" w:rsidRDefault="004D173E"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Diagnóstico TEPT</w:t>
            </w:r>
          </w:p>
        </w:tc>
        <w:tc>
          <w:tcPr>
            <w:tcW w:w="1440" w:type="dxa"/>
            <w:tcBorders>
              <w:top w:val="single" w:sz="8" w:space="0" w:color="000000"/>
              <w:left w:val="single" w:sz="8" w:space="0" w:color="000000"/>
              <w:bottom w:val="single" w:sz="8" w:space="0" w:color="000000"/>
              <w:right w:val="single" w:sz="8" w:space="0" w:color="000000"/>
            </w:tcBorders>
            <w:vAlign w:val="center"/>
          </w:tcPr>
          <w:p w14:paraId="41971889"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5 (16,1)</w:t>
            </w:r>
          </w:p>
        </w:tc>
        <w:tc>
          <w:tcPr>
            <w:tcW w:w="1421" w:type="dxa"/>
            <w:tcBorders>
              <w:top w:val="single" w:sz="8" w:space="0" w:color="000000"/>
              <w:left w:val="single" w:sz="8" w:space="0" w:color="000000"/>
              <w:bottom w:val="single" w:sz="8" w:space="0" w:color="000000"/>
              <w:right w:val="single" w:sz="8" w:space="0" w:color="000000"/>
            </w:tcBorders>
            <w:vAlign w:val="center"/>
          </w:tcPr>
          <w:p w14:paraId="5C9520BA"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5 (45,5)</w:t>
            </w:r>
          </w:p>
        </w:tc>
        <w:tc>
          <w:tcPr>
            <w:tcW w:w="975" w:type="dxa"/>
            <w:tcBorders>
              <w:top w:val="single" w:sz="8" w:space="0" w:color="000000"/>
              <w:left w:val="single" w:sz="8" w:space="0" w:color="000000"/>
              <w:bottom w:val="single" w:sz="8" w:space="0" w:color="000000"/>
              <w:right w:val="single" w:sz="8" w:space="0" w:color="000000"/>
            </w:tcBorders>
            <w:vAlign w:val="center"/>
          </w:tcPr>
          <w:p w14:paraId="60155B0E"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 (0,0)</w:t>
            </w:r>
          </w:p>
        </w:tc>
        <w:tc>
          <w:tcPr>
            <w:tcW w:w="841" w:type="dxa"/>
            <w:tcBorders>
              <w:top w:val="single" w:sz="8" w:space="0" w:color="000000"/>
              <w:left w:val="single" w:sz="8" w:space="0" w:color="000000"/>
              <w:bottom w:val="single" w:sz="8" w:space="0" w:color="000000"/>
              <w:right w:val="single" w:sz="8" w:space="0" w:color="000000"/>
            </w:tcBorders>
            <w:vAlign w:val="center"/>
          </w:tcPr>
          <w:p w14:paraId="2E531FF9" w14:textId="77777777" w:rsidR="004D173E" w:rsidRPr="00234720" w:rsidRDefault="004D173E"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0,006</w:t>
            </w:r>
          </w:p>
        </w:tc>
      </w:tr>
    </w:tbl>
    <w:p w14:paraId="4A8BE71D" w14:textId="77777777" w:rsidR="004D173E" w:rsidRDefault="004D173E" w:rsidP="004D173E">
      <w:pPr>
        <w:spacing w:after="0" w:line="360" w:lineRule="auto"/>
        <w:rPr>
          <w:rFonts w:ascii="Times New Roman" w:eastAsia="Times New Roman" w:hAnsi="Times New Roman" w:cs="Times New Roman"/>
          <w:i/>
          <w:sz w:val="24"/>
          <w:szCs w:val="24"/>
        </w:rPr>
      </w:pPr>
    </w:p>
    <w:p w14:paraId="742E0E89"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sidRPr="00234720">
        <w:rPr>
          <w:rFonts w:ascii="Times New Roman" w:eastAsia="Times New Roman" w:hAnsi="Times New Roman" w:cs="Times New Roman"/>
          <w:iCs/>
          <w:sz w:val="24"/>
          <w:szCs w:val="24"/>
        </w:rPr>
        <w:lastRenderedPageBreak/>
        <w:t xml:space="preserve">Valoración psicológica del TEPT a los </w:t>
      </w:r>
      <w:r>
        <w:rPr>
          <w:rFonts w:ascii="Times New Roman" w:eastAsia="Times New Roman" w:hAnsi="Times New Roman" w:cs="Times New Roman"/>
          <w:iCs/>
          <w:sz w:val="24"/>
          <w:szCs w:val="24"/>
        </w:rPr>
        <w:t>3</w:t>
      </w:r>
      <w:r w:rsidRPr="00234720">
        <w:rPr>
          <w:rFonts w:ascii="Times New Roman" w:eastAsia="Times New Roman" w:hAnsi="Times New Roman" w:cs="Times New Roman"/>
          <w:iCs/>
          <w:sz w:val="24"/>
          <w:szCs w:val="24"/>
        </w:rPr>
        <w:t xml:space="preserve"> y </w:t>
      </w:r>
      <w:r>
        <w:rPr>
          <w:rFonts w:ascii="Times New Roman" w:eastAsia="Times New Roman" w:hAnsi="Times New Roman" w:cs="Times New Roman"/>
          <w:iCs/>
          <w:sz w:val="24"/>
          <w:szCs w:val="24"/>
        </w:rPr>
        <w:t>6</w:t>
      </w:r>
      <w:r w:rsidRPr="00234720">
        <w:rPr>
          <w:rFonts w:ascii="Times New Roman" w:eastAsia="Times New Roman" w:hAnsi="Times New Roman" w:cs="Times New Roman"/>
          <w:iCs/>
          <w:sz w:val="24"/>
          <w:szCs w:val="24"/>
        </w:rPr>
        <w:t xml:space="preserve"> meses de seguimiento</w:t>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a</w:t>
      </w:r>
      <w:r w:rsidRPr="002131C2">
        <w:rPr>
          <w:rFonts w:ascii="Times New Roman" w:eastAsia="Times New Roman" w:hAnsi="Times New Roman" w:cs="Times New Roman"/>
          <w:sz w:val="24"/>
          <w:szCs w:val="24"/>
        </w:rPr>
        <w:t xml:space="preserve"> partir del evento traumático, el TEPT no disminuyó durante el periodo de seguimiento, en la </w:t>
      </w:r>
      <w:r w:rsidRPr="00234720">
        <w:rPr>
          <w:rFonts w:ascii="Times New Roman" w:eastAsia="Times New Roman" w:hAnsi="Times New Roman" w:cs="Times New Roman"/>
          <w:bCs/>
          <w:iCs/>
          <w:sz w:val="24"/>
          <w:szCs w:val="24"/>
        </w:rPr>
        <w:t>tabla 4</w:t>
      </w:r>
      <w:r w:rsidRPr="002131C2">
        <w:rPr>
          <w:rFonts w:ascii="Times New Roman" w:eastAsia="Times New Roman" w:hAnsi="Times New Roman" w:cs="Times New Roman"/>
          <w:sz w:val="24"/>
          <w:szCs w:val="24"/>
        </w:rPr>
        <w:t xml:space="preserve"> se muestran los criterios diagnósticos de TEPT</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en los sujetos con trauma</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seguidos a los </w:t>
      </w:r>
      <w:r>
        <w:rPr>
          <w:rFonts w:ascii="Times New Roman" w:eastAsia="Times New Roman" w:hAnsi="Times New Roman" w:cs="Times New Roman"/>
          <w:sz w:val="24"/>
          <w:szCs w:val="24"/>
        </w:rPr>
        <w:t>3</w:t>
      </w:r>
      <w:r w:rsidRPr="002131C2">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6</w:t>
      </w:r>
      <w:r w:rsidRPr="002131C2">
        <w:rPr>
          <w:rFonts w:ascii="Times New Roman" w:eastAsia="Times New Roman" w:hAnsi="Times New Roman" w:cs="Times New Roman"/>
          <w:sz w:val="24"/>
          <w:szCs w:val="24"/>
        </w:rPr>
        <w:t xml:space="preserve"> meses.</w:t>
      </w:r>
    </w:p>
    <w:p w14:paraId="25F09728" w14:textId="77777777" w:rsidR="004D173E" w:rsidRDefault="004D173E" w:rsidP="004D173E">
      <w:pPr>
        <w:spacing w:after="0" w:line="360" w:lineRule="auto"/>
        <w:jc w:val="center"/>
        <w:rPr>
          <w:rFonts w:ascii="Times New Roman" w:eastAsia="Times New Roman" w:hAnsi="Times New Roman" w:cs="Times New Roman"/>
          <w:b/>
          <w:i/>
          <w:sz w:val="24"/>
          <w:szCs w:val="24"/>
        </w:rPr>
      </w:pPr>
    </w:p>
    <w:p w14:paraId="19E396E6" w14:textId="77777777" w:rsidR="004D173E" w:rsidRPr="00234720" w:rsidRDefault="004D173E" w:rsidP="004D173E">
      <w:pPr>
        <w:spacing w:after="0" w:line="360" w:lineRule="auto"/>
        <w:jc w:val="center"/>
        <w:rPr>
          <w:rFonts w:ascii="Times New Roman" w:eastAsia="Times New Roman" w:hAnsi="Times New Roman" w:cs="Times New Roman"/>
          <w:iCs/>
        </w:rPr>
      </w:pPr>
      <w:r w:rsidRPr="00234720">
        <w:rPr>
          <w:rFonts w:ascii="Times New Roman" w:eastAsia="Times New Roman" w:hAnsi="Times New Roman" w:cs="Times New Roman"/>
          <w:b/>
          <w:iCs/>
        </w:rPr>
        <w:t>Tabla 4 -</w:t>
      </w:r>
      <w:r w:rsidRPr="00234720">
        <w:rPr>
          <w:rFonts w:ascii="Times New Roman" w:eastAsia="Times New Roman" w:hAnsi="Times New Roman" w:cs="Times New Roman"/>
          <w:iCs/>
        </w:rPr>
        <w:t xml:space="preserve"> Criterios diagnósticos del TEPT</w:t>
      </w:r>
      <w:r>
        <w:rPr>
          <w:rFonts w:ascii="Times New Roman" w:eastAsia="Times New Roman" w:hAnsi="Times New Roman" w:cs="Times New Roman"/>
          <w:iCs/>
        </w:rPr>
        <w:t xml:space="preserve"> según el </w:t>
      </w:r>
      <w:r w:rsidRPr="00861316">
        <w:rPr>
          <w:rFonts w:ascii="Times New Roman" w:eastAsia="Times New Roman" w:hAnsi="Times New Roman" w:cs="Times New Roman"/>
          <w:iCs/>
        </w:rPr>
        <w:t>DSM-V</w:t>
      </w:r>
      <w:r w:rsidRPr="00234720">
        <w:rPr>
          <w:rFonts w:ascii="Times New Roman" w:eastAsia="Times New Roman" w:hAnsi="Times New Roman" w:cs="Times New Roman"/>
          <w:iCs/>
        </w:rPr>
        <w:t xml:space="preserve"> a los </w:t>
      </w:r>
      <w:r>
        <w:rPr>
          <w:rFonts w:ascii="Times New Roman" w:eastAsia="Times New Roman" w:hAnsi="Times New Roman" w:cs="Times New Roman"/>
          <w:iCs/>
        </w:rPr>
        <w:t>3</w:t>
      </w:r>
      <w:r w:rsidRPr="00234720">
        <w:rPr>
          <w:rFonts w:ascii="Times New Roman" w:eastAsia="Times New Roman" w:hAnsi="Times New Roman" w:cs="Times New Roman"/>
          <w:iCs/>
        </w:rPr>
        <w:t xml:space="preserve"> y </w:t>
      </w:r>
      <w:r>
        <w:rPr>
          <w:rFonts w:ascii="Times New Roman" w:eastAsia="Times New Roman" w:hAnsi="Times New Roman" w:cs="Times New Roman"/>
          <w:iCs/>
        </w:rPr>
        <w:t>6</w:t>
      </w:r>
      <w:r w:rsidRPr="00234720">
        <w:rPr>
          <w:rFonts w:ascii="Times New Roman" w:eastAsia="Times New Roman" w:hAnsi="Times New Roman" w:cs="Times New Roman"/>
          <w:iCs/>
        </w:rPr>
        <w:t xml:space="preserve"> meses</w:t>
      </w:r>
    </w:p>
    <w:tbl>
      <w:tblPr>
        <w:tblW w:w="7153" w:type="dxa"/>
        <w:jc w:val="center"/>
        <w:tblLayout w:type="fixed"/>
        <w:tblLook w:val="0400" w:firstRow="0" w:lastRow="0" w:firstColumn="0" w:lastColumn="0" w:noHBand="0" w:noVBand="1"/>
      </w:tblPr>
      <w:tblGrid>
        <w:gridCol w:w="1650"/>
        <w:gridCol w:w="1758"/>
        <w:gridCol w:w="1487"/>
        <w:gridCol w:w="1410"/>
        <w:gridCol w:w="848"/>
      </w:tblGrid>
      <w:tr w:rsidR="00557517" w:rsidRPr="008677B1" w14:paraId="21A82885" w14:textId="77777777" w:rsidTr="00557517">
        <w:trPr>
          <w:trHeight w:val="310"/>
          <w:jc w:val="center"/>
        </w:trPr>
        <w:tc>
          <w:tcPr>
            <w:tcW w:w="1650" w:type="dxa"/>
            <w:vMerge w:val="restart"/>
            <w:tcBorders>
              <w:top w:val="single" w:sz="8" w:space="0" w:color="000000"/>
              <w:left w:val="single" w:sz="8" w:space="0" w:color="000000"/>
              <w:right w:val="single" w:sz="8" w:space="0" w:color="000000"/>
            </w:tcBorders>
            <w:vAlign w:val="center"/>
          </w:tcPr>
          <w:p w14:paraId="4B20C654" w14:textId="77777777" w:rsidR="00557517" w:rsidRPr="00234720" w:rsidRDefault="00557517" w:rsidP="00F64ABB">
            <w:pPr>
              <w:spacing w:after="0" w:line="360" w:lineRule="auto"/>
              <w:jc w:val="center"/>
              <w:rPr>
                <w:rFonts w:ascii="Times New Roman" w:eastAsia="Times New Roman" w:hAnsi="Times New Roman" w:cs="Times New Roman"/>
                <w:b/>
                <w:bCs/>
                <w:sz w:val="18"/>
                <w:szCs w:val="18"/>
              </w:rPr>
            </w:pPr>
            <w:r w:rsidRPr="00234720">
              <w:rPr>
                <w:rFonts w:ascii="Times New Roman" w:eastAsia="Times New Roman" w:hAnsi="Times New Roman" w:cs="Times New Roman"/>
                <w:b/>
                <w:bCs/>
                <w:sz w:val="18"/>
                <w:szCs w:val="18"/>
              </w:rPr>
              <w:t>Criterios DSM-V</w:t>
            </w:r>
          </w:p>
        </w:tc>
        <w:tc>
          <w:tcPr>
            <w:tcW w:w="1758" w:type="dxa"/>
            <w:vMerge w:val="restart"/>
            <w:tcBorders>
              <w:top w:val="single" w:sz="8" w:space="0" w:color="000000"/>
              <w:left w:val="single" w:sz="8" w:space="0" w:color="000000"/>
              <w:bottom w:val="single" w:sz="8" w:space="0" w:color="000000"/>
              <w:right w:val="single" w:sz="8" w:space="0" w:color="000000"/>
            </w:tcBorders>
            <w:vAlign w:val="center"/>
          </w:tcPr>
          <w:p w14:paraId="43655703" w14:textId="77777777" w:rsidR="00557517" w:rsidRPr="00234720" w:rsidRDefault="00557517" w:rsidP="00F64ABB">
            <w:pPr>
              <w:spacing w:after="0" w:line="360" w:lineRule="auto"/>
              <w:jc w:val="center"/>
              <w:rPr>
                <w:rFonts w:ascii="Times New Roman" w:eastAsia="Times New Roman" w:hAnsi="Times New Roman" w:cs="Times New Roman"/>
                <w:b/>
                <w:bCs/>
                <w:sz w:val="18"/>
                <w:szCs w:val="18"/>
              </w:rPr>
            </w:pPr>
            <w:r w:rsidRPr="00234720">
              <w:rPr>
                <w:rFonts w:ascii="Times New Roman" w:eastAsia="Times New Roman" w:hAnsi="Times New Roman" w:cs="Times New Roman"/>
                <w:b/>
                <w:bCs/>
                <w:sz w:val="18"/>
                <w:szCs w:val="18"/>
              </w:rPr>
              <w:t>Población total</w:t>
            </w:r>
          </w:p>
          <w:p w14:paraId="21C7E768" w14:textId="77777777" w:rsidR="00557517" w:rsidRDefault="00557517" w:rsidP="00F64ABB">
            <w:pPr>
              <w:spacing w:after="0" w:line="360" w:lineRule="auto"/>
              <w:jc w:val="center"/>
              <w:rPr>
                <w:rFonts w:ascii="Times New Roman" w:eastAsia="Times New Roman" w:hAnsi="Times New Roman" w:cs="Times New Roman"/>
                <w:b/>
                <w:bCs/>
                <w:sz w:val="18"/>
                <w:szCs w:val="18"/>
              </w:rPr>
            </w:pPr>
            <w:r w:rsidRPr="00234720">
              <w:rPr>
                <w:rFonts w:ascii="Times New Roman" w:eastAsia="Times New Roman" w:hAnsi="Times New Roman" w:cs="Times New Roman"/>
                <w:b/>
                <w:bCs/>
                <w:sz w:val="18"/>
                <w:szCs w:val="18"/>
              </w:rPr>
              <w:t>n=</w:t>
            </w:r>
            <w:r>
              <w:rPr>
                <w:rFonts w:ascii="Times New Roman" w:eastAsia="Times New Roman" w:hAnsi="Times New Roman" w:cs="Times New Roman"/>
                <w:b/>
                <w:bCs/>
                <w:sz w:val="18"/>
                <w:szCs w:val="18"/>
              </w:rPr>
              <w:t xml:space="preserve"> </w:t>
            </w:r>
            <w:r w:rsidRPr="00234720">
              <w:rPr>
                <w:rFonts w:ascii="Times New Roman" w:eastAsia="Times New Roman" w:hAnsi="Times New Roman" w:cs="Times New Roman"/>
                <w:b/>
                <w:bCs/>
                <w:sz w:val="18"/>
                <w:szCs w:val="18"/>
              </w:rPr>
              <w:t>36</w:t>
            </w:r>
          </w:p>
          <w:p w14:paraId="0D05480B" w14:textId="77777777" w:rsidR="00557517" w:rsidRPr="00234720" w:rsidRDefault="00557517" w:rsidP="00F64ABB">
            <w:pPr>
              <w:spacing w:after="0" w:line="36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 (%)</w:t>
            </w:r>
          </w:p>
        </w:tc>
        <w:tc>
          <w:tcPr>
            <w:tcW w:w="1487" w:type="dxa"/>
            <w:vMerge w:val="restart"/>
            <w:tcBorders>
              <w:top w:val="single" w:sz="8" w:space="0" w:color="000000"/>
              <w:left w:val="single" w:sz="8" w:space="0" w:color="000000"/>
              <w:bottom w:val="single" w:sz="8" w:space="0" w:color="000000"/>
              <w:right w:val="single" w:sz="8" w:space="0" w:color="000000"/>
            </w:tcBorders>
            <w:vAlign w:val="center"/>
          </w:tcPr>
          <w:p w14:paraId="1EA97782" w14:textId="77777777" w:rsidR="00557517" w:rsidRDefault="00557517" w:rsidP="00F64ABB">
            <w:pPr>
              <w:spacing w:after="0" w:line="360" w:lineRule="auto"/>
              <w:jc w:val="center"/>
              <w:rPr>
                <w:rFonts w:ascii="Times New Roman" w:eastAsia="Times New Roman" w:hAnsi="Times New Roman" w:cs="Times New Roman"/>
                <w:b/>
                <w:bCs/>
                <w:sz w:val="18"/>
                <w:szCs w:val="18"/>
              </w:rPr>
            </w:pPr>
            <w:r w:rsidRPr="00234720">
              <w:rPr>
                <w:rFonts w:ascii="Times New Roman" w:eastAsia="Times New Roman" w:hAnsi="Times New Roman" w:cs="Times New Roman"/>
                <w:b/>
                <w:bCs/>
                <w:sz w:val="18"/>
                <w:szCs w:val="18"/>
              </w:rPr>
              <w:t>Valoración 3 meses</w:t>
            </w:r>
            <w:r>
              <w:rPr>
                <w:rFonts w:ascii="Times New Roman" w:eastAsia="Times New Roman" w:hAnsi="Times New Roman" w:cs="Times New Roman"/>
                <w:b/>
                <w:bCs/>
                <w:sz w:val="18"/>
                <w:szCs w:val="18"/>
              </w:rPr>
              <w:t xml:space="preserve"> </w:t>
            </w:r>
            <w:r w:rsidRPr="00234720">
              <w:rPr>
                <w:rFonts w:ascii="Times New Roman" w:eastAsia="Times New Roman" w:hAnsi="Times New Roman" w:cs="Times New Roman"/>
                <w:b/>
                <w:bCs/>
                <w:sz w:val="18"/>
                <w:szCs w:val="18"/>
              </w:rPr>
              <w:t>n=</w:t>
            </w:r>
            <w:r>
              <w:rPr>
                <w:rFonts w:ascii="Times New Roman" w:eastAsia="Times New Roman" w:hAnsi="Times New Roman" w:cs="Times New Roman"/>
                <w:b/>
                <w:bCs/>
                <w:sz w:val="18"/>
                <w:szCs w:val="18"/>
              </w:rPr>
              <w:t xml:space="preserve"> </w:t>
            </w:r>
            <w:r w:rsidRPr="00234720">
              <w:rPr>
                <w:rFonts w:ascii="Times New Roman" w:eastAsia="Times New Roman" w:hAnsi="Times New Roman" w:cs="Times New Roman"/>
                <w:b/>
                <w:bCs/>
                <w:sz w:val="18"/>
                <w:szCs w:val="18"/>
              </w:rPr>
              <w:t>25</w:t>
            </w:r>
          </w:p>
          <w:p w14:paraId="665A81D4" w14:textId="77777777" w:rsidR="00557517" w:rsidRPr="00234720" w:rsidRDefault="00557517" w:rsidP="00F64ABB">
            <w:pPr>
              <w:spacing w:after="0" w:line="36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 (%)</w:t>
            </w:r>
          </w:p>
        </w:tc>
        <w:tc>
          <w:tcPr>
            <w:tcW w:w="1410" w:type="dxa"/>
            <w:vMerge w:val="restart"/>
            <w:tcBorders>
              <w:top w:val="single" w:sz="8" w:space="0" w:color="000000"/>
              <w:left w:val="single" w:sz="8" w:space="0" w:color="000000"/>
              <w:bottom w:val="single" w:sz="8" w:space="0" w:color="000000"/>
              <w:right w:val="single" w:sz="8" w:space="0" w:color="000000"/>
            </w:tcBorders>
            <w:vAlign w:val="center"/>
          </w:tcPr>
          <w:p w14:paraId="3933866C" w14:textId="77777777" w:rsidR="00557517" w:rsidRDefault="00557517" w:rsidP="00F64ABB">
            <w:pPr>
              <w:spacing w:after="0" w:line="360" w:lineRule="auto"/>
              <w:jc w:val="center"/>
              <w:rPr>
                <w:rFonts w:ascii="Times New Roman" w:eastAsia="Times New Roman" w:hAnsi="Times New Roman" w:cs="Times New Roman"/>
                <w:b/>
                <w:bCs/>
                <w:sz w:val="18"/>
                <w:szCs w:val="18"/>
              </w:rPr>
            </w:pPr>
            <w:r w:rsidRPr="00234720">
              <w:rPr>
                <w:rFonts w:ascii="Times New Roman" w:eastAsia="Times New Roman" w:hAnsi="Times New Roman" w:cs="Times New Roman"/>
                <w:b/>
                <w:bCs/>
                <w:sz w:val="18"/>
                <w:szCs w:val="18"/>
              </w:rPr>
              <w:t>Valoración 6 meses n=</w:t>
            </w:r>
            <w:r>
              <w:rPr>
                <w:rFonts w:ascii="Times New Roman" w:eastAsia="Times New Roman" w:hAnsi="Times New Roman" w:cs="Times New Roman"/>
                <w:b/>
                <w:bCs/>
                <w:sz w:val="18"/>
                <w:szCs w:val="18"/>
              </w:rPr>
              <w:t xml:space="preserve"> </w:t>
            </w:r>
            <w:r w:rsidRPr="00234720">
              <w:rPr>
                <w:rFonts w:ascii="Times New Roman" w:eastAsia="Times New Roman" w:hAnsi="Times New Roman" w:cs="Times New Roman"/>
                <w:b/>
                <w:bCs/>
                <w:sz w:val="18"/>
                <w:szCs w:val="18"/>
              </w:rPr>
              <w:t>11</w:t>
            </w:r>
          </w:p>
          <w:p w14:paraId="08B8A000" w14:textId="77777777" w:rsidR="00557517" w:rsidRPr="00234720" w:rsidRDefault="00557517" w:rsidP="00F64ABB">
            <w:pPr>
              <w:spacing w:after="0" w:line="36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 (%)</w:t>
            </w:r>
          </w:p>
        </w:tc>
        <w:tc>
          <w:tcPr>
            <w:tcW w:w="848" w:type="dxa"/>
            <w:vMerge w:val="restart"/>
            <w:tcBorders>
              <w:top w:val="single" w:sz="8" w:space="0" w:color="000000"/>
              <w:left w:val="single" w:sz="8" w:space="0" w:color="000000"/>
              <w:bottom w:val="single" w:sz="8" w:space="0" w:color="000000"/>
              <w:right w:val="single" w:sz="8" w:space="0" w:color="000000"/>
            </w:tcBorders>
            <w:vAlign w:val="center"/>
          </w:tcPr>
          <w:p w14:paraId="2DDECD68" w14:textId="77777777" w:rsidR="00557517" w:rsidRPr="00234720" w:rsidRDefault="00557517" w:rsidP="00F64ABB">
            <w:pPr>
              <w:spacing w:after="0" w:line="360" w:lineRule="auto"/>
              <w:jc w:val="center"/>
              <w:rPr>
                <w:rFonts w:ascii="Times New Roman" w:eastAsia="Times New Roman" w:hAnsi="Times New Roman" w:cs="Times New Roman"/>
                <w:b/>
                <w:bCs/>
                <w:sz w:val="18"/>
                <w:szCs w:val="18"/>
              </w:rPr>
            </w:pPr>
            <w:r w:rsidRPr="00234720">
              <w:rPr>
                <w:rFonts w:ascii="Times New Roman" w:eastAsia="Times New Roman" w:hAnsi="Times New Roman" w:cs="Times New Roman"/>
                <w:b/>
                <w:bCs/>
                <w:sz w:val="18"/>
                <w:szCs w:val="18"/>
              </w:rPr>
              <w:t xml:space="preserve">Valor </w:t>
            </w:r>
            <w:r>
              <w:rPr>
                <w:rFonts w:ascii="Times New Roman" w:eastAsia="Times New Roman" w:hAnsi="Times New Roman" w:cs="Times New Roman"/>
                <w:b/>
                <w:bCs/>
                <w:sz w:val="18"/>
                <w:szCs w:val="18"/>
              </w:rPr>
              <w:t>p</w:t>
            </w:r>
          </w:p>
        </w:tc>
      </w:tr>
      <w:tr w:rsidR="00557517" w:rsidRPr="008677B1" w14:paraId="64AE54BC" w14:textId="77777777" w:rsidTr="00557517">
        <w:trPr>
          <w:trHeight w:val="310"/>
          <w:jc w:val="center"/>
        </w:trPr>
        <w:tc>
          <w:tcPr>
            <w:tcW w:w="1650" w:type="dxa"/>
            <w:vMerge/>
            <w:tcBorders>
              <w:left w:val="single" w:sz="8" w:space="0" w:color="000000"/>
              <w:right w:val="single" w:sz="8" w:space="0" w:color="000000"/>
            </w:tcBorders>
            <w:vAlign w:val="center"/>
          </w:tcPr>
          <w:p w14:paraId="4B274C8F" w14:textId="77777777" w:rsidR="00557517" w:rsidRPr="00234720" w:rsidRDefault="00557517" w:rsidP="00F64ABB">
            <w:pPr>
              <w:spacing w:after="0" w:line="360" w:lineRule="auto"/>
              <w:rPr>
                <w:rFonts w:ascii="Times New Roman" w:eastAsia="Times New Roman" w:hAnsi="Times New Roman" w:cs="Times New Roman"/>
                <w:sz w:val="18"/>
                <w:szCs w:val="18"/>
              </w:rPr>
            </w:pPr>
          </w:p>
        </w:tc>
        <w:tc>
          <w:tcPr>
            <w:tcW w:w="1758" w:type="dxa"/>
            <w:vMerge/>
            <w:tcBorders>
              <w:top w:val="single" w:sz="8" w:space="0" w:color="000000"/>
              <w:left w:val="single" w:sz="8" w:space="0" w:color="000000"/>
              <w:bottom w:val="single" w:sz="8" w:space="0" w:color="000000"/>
              <w:right w:val="single" w:sz="8" w:space="0" w:color="000000"/>
            </w:tcBorders>
            <w:vAlign w:val="center"/>
          </w:tcPr>
          <w:p w14:paraId="3DB0E669" w14:textId="77777777" w:rsidR="00557517" w:rsidRPr="00234720" w:rsidRDefault="00557517" w:rsidP="00F64ABB">
            <w:pPr>
              <w:widowControl w:val="0"/>
              <w:pBdr>
                <w:top w:val="nil"/>
                <w:left w:val="nil"/>
                <w:bottom w:val="nil"/>
                <w:right w:val="nil"/>
                <w:between w:val="nil"/>
              </w:pBdr>
              <w:spacing w:after="0" w:line="360" w:lineRule="auto"/>
              <w:rPr>
                <w:rFonts w:ascii="Times New Roman" w:eastAsia="Times New Roman" w:hAnsi="Times New Roman" w:cs="Times New Roman"/>
                <w:sz w:val="18"/>
                <w:szCs w:val="18"/>
              </w:rPr>
            </w:pPr>
          </w:p>
        </w:tc>
        <w:tc>
          <w:tcPr>
            <w:tcW w:w="1487" w:type="dxa"/>
            <w:vMerge/>
            <w:tcBorders>
              <w:top w:val="single" w:sz="8" w:space="0" w:color="000000"/>
              <w:left w:val="single" w:sz="8" w:space="0" w:color="000000"/>
              <w:bottom w:val="single" w:sz="8" w:space="0" w:color="000000"/>
              <w:right w:val="single" w:sz="8" w:space="0" w:color="000000"/>
            </w:tcBorders>
            <w:vAlign w:val="center"/>
          </w:tcPr>
          <w:p w14:paraId="46842987" w14:textId="77777777" w:rsidR="00557517" w:rsidRPr="00234720" w:rsidRDefault="00557517" w:rsidP="00F64ABB">
            <w:pPr>
              <w:widowControl w:val="0"/>
              <w:pBdr>
                <w:top w:val="nil"/>
                <w:left w:val="nil"/>
                <w:bottom w:val="nil"/>
                <w:right w:val="nil"/>
                <w:between w:val="nil"/>
              </w:pBdr>
              <w:spacing w:after="0" w:line="360" w:lineRule="auto"/>
              <w:rPr>
                <w:rFonts w:ascii="Times New Roman" w:eastAsia="Times New Roman" w:hAnsi="Times New Roman" w:cs="Times New Roman"/>
                <w:sz w:val="18"/>
                <w:szCs w:val="18"/>
              </w:rPr>
            </w:pPr>
          </w:p>
        </w:tc>
        <w:tc>
          <w:tcPr>
            <w:tcW w:w="1410" w:type="dxa"/>
            <w:vMerge/>
            <w:tcBorders>
              <w:top w:val="single" w:sz="8" w:space="0" w:color="000000"/>
              <w:left w:val="single" w:sz="8" w:space="0" w:color="000000"/>
              <w:bottom w:val="single" w:sz="8" w:space="0" w:color="000000"/>
              <w:right w:val="single" w:sz="8" w:space="0" w:color="000000"/>
            </w:tcBorders>
            <w:vAlign w:val="center"/>
          </w:tcPr>
          <w:p w14:paraId="573A02A6" w14:textId="77777777" w:rsidR="00557517" w:rsidRPr="00234720" w:rsidRDefault="00557517" w:rsidP="00F64ABB">
            <w:pPr>
              <w:widowControl w:val="0"/>
              <w:pBdr>
                <w:top w:val="nil"/>
                <w:left w:val="nil"/>
                <w:bottom w:val="nil"/>
                <w:right w:val="nil"/>
                <w:between w:val="nil"/>
              </w:pBdr>
              <w:spacing w:after="0" w:line="360" w:lineRule="auto"/>
              <w:rPr>
                <w:rFonts w:ascii="Times New Roman" w:eastAsia="Times New Roman" w:hAnsi="Times New Roman" w:cs="Times New Roman"/>
                <w:sz w:val="18"/>
                <w:szCs w:val="18"/>
              </w:rPr>
            </w:pPr>
          </w:p>
        </w:tc>
        <w:tc>
          <w:tcPr>
            <w:tcW w:w="848" w:type="dxa"/>
            <w:vMerge/>
            <w:tcBorders>
              <w:top w:val="single" w:sz="8" w:space="0" w:color="000000"/>
              <w:left w:val="single" w:sz="8" w:space="0" w:color="000000"/>
              <w:bottom w:val="single" w:sz="8" w:space="0" w:color="000000"/>
              <w:right w:val="single" w:sz="8" w:space="0" w:color="000000"/>
            </w:tcBorders>
            <w:vAlign w:val="center"/>
          </w:tcPr>
          <w:p w14:paraId="678475A4" w14:textId="77777777" w:rsidR="00557517" w:rsidRPr="00234720" w:rsidRDefault="00557517" w:rsidP="00F64ABB">
            <w:pPr>
              <w:widowControl w:val="0"/>
              <w:pBdr>
                <w:top w:val="nil"/>
                <w:left w:val="nil"/>
                <w:bottom w:val="nil"/>
                <w:right w:val="nil"/>
                <w:between w:val="nil"/>
              </w:pBdr>
              <w:spacing w:after="0" w:line="360" w:lineRule="auto"/>
              <w:rPr>
                <w:rFonts w:ascii="Times New Roman" w:eastAsia="Times New Roman" w:hAnsi="Times New Roman" w:cs="Times New Roman"/>
                <w:sz w:val="18"/>
                <w:szCs w:val="18"/>
              </w:rPr>
            </w:pPr>
          </w:p>
        </w:tc>
      </w:tr>
      <w:tr w:rsidR="00557517" w:rsidRPr="008677B1" w14:paraId="40B4F8AF" w14:textId="77777777" w:rsidTr="00557517">
        <w:trPr>
          <w:trHeight w:val="310"/>
          <w:jc w:val="center"/>
        </w:trPr>
        <w:tc>
          <w:tcPr>
            <w:tcW w:w="1650" w:type="dxa"/>
            <w:vMerge/>
            <w:tcBorders>
              <w:left w:val="single" w:sz="8" w:space="0" w:color="000000"/>
              <w:bottom w:val="single" w:sz="8" w:space="0" w:color="000000"/>
              <w:right w:val="single" w:sz="8" w:space="0" w:color="000000"/>
            </w:tcBorders>
            <w:vAlign w:val="center"/>
          </w:tcPr>
          <w:p w14:paraId="0EF5AC62" w14:textId="77777777" w:rsidR="00557517" w:rsidRPr="00234720" w:rsidRDefault="00557517" w:rsidP="00F64ABB">
            <w:pPr>
              <w:spacing w:after="0" w:line="360" w:lineRule="auto"/>
              <w:rPr>
                <w:rFonts w:ascii="Times New Roman" w:eastAsia="Times New Roman" w:hAnsi="Times New Roman" w:cs="Times New Roman"/>
                <w:sz w:val="18"/>
                <w:szCs w:val="18"/>
              </w:rPr>
            </w:pPr>
          </w:p>
        </w:tc>
        <w:tc>
          <w:tcPr>
            <w:tcW w:w="1758" w:type="dxa"/>
            <w:vMerge/>
            <w:tcBorders>
              <w:top w:val="single" w:sz="8" w:space="0" w:color="000000"/>
              <w:left w:val="single" w:sz="8" w:space="0" w:color="000000"/>
              <w:bottom w:val="single" w:sz="8" w:space="0" w:color="000000"/>
              <w:right w:val="single" w:sz="8" w:space="0" w:color="000000"/>
            </w:tcBorders>
            <w:vAlign w:val="center"/>
          </w:tcPr>
          <w:p w14:paraId="01E2D74A" w14:textId="77777777" w:rsidR="00557517" w:rsidRPr="00234720" w:rsidRDefault="00557517" w:rsidP="00F64ABB">
            <w:pPr>
              <w:widowControl w:val="0"/>
              <w:pBdr>
                <w:top w:val="nil"/>
                <w:left w:val="nil"/>
                <w:bottom w:val="nil"/>
                <w:right w:val="nil"/>
                <w:between w:val="nil"/>
              </w:pBdr>
              <w:spacing w:after="0" w:line="360" w:lineRule="auto"/>
              <w:rPr>
                <w:rFonts w:ascii="Times New Roman" w:eastAsia="Times New Roman" w:hAnsi="Times New Roman" w:cs="Times New Roman"/>
                <w:sz w:val="18"/>
                <w:szCs w:val="18"/>
              </w:rPr>
            </w:pPr>
          </w:p>
        </w:tc>
        <w:tc>
          <w:tcPr>
            <w:tcW w:w="1487" w:type="dxa"/>
            <w:vMerge/>
            <w:tcBorders>
              <w:top w:val="single" w:sz="8" w:space="0" w:color="000000"/>
              <w:left w:val="single" w:sz="8" w:space="0" w:color="000000"/>
              <w:bottom w:val="single" w:sz="8" w:space="0" w:color="000000"/>
              <w:right w:val="single" w:sz="8" w:space="0" w:color="000000"/>
            </w:tcBorders>
            <w:vAlign w:val="center"/>
          </w:tcPr>
          <w:p w14:paraId="7669E162" w14:textId="77777777" w:rsidR="00557517" w:rsidRPr="00234720" w:rsidRDefault="00557517" w:rsidP="00F64ABB">
            <w:pPr>
              <w:widowControl w:val="0"/>
              <w:pBdr>
                <w:top w:val="nil"/>
                <w:left w:val="nil"/>
                <w:bottom w:val="nil"/>
                <w:right w:val="nil"/>
                <w:between w:val="nil"/>
              </w:pBdr>
              <w:spacing w:after="0" w:line="360" w:lineRule="auto"/>
              <w:rPr>
                <w:rFonts w:ascii="Times New Roman" w:eastAsia="Times New Roman" w:hAnsi="Times New Roman" w:cs="Times New Roman"/>
                <w:sz w:val="18"/>
                <w:szCs w:val="18"/>
              </w:rPr>
            </w:pPr>
          </w:p>
        </w:tc>
        <w:tc>
          <w:tcPr>
            <w:tcW w:w="1410" w:type="dxa"/>
            <w:vMerge/>
            <w:tcBorders>
              <w:top w:val="single" w:sz="8" w:space="0" w:color="000000"/>
              <w:left w:val="single" w:sz="8" w:space="0" w:color="000000"/>
              <w:bottom w:val="single" w:sz="8" w:space="0" w:color="000000"/>
              <w:right w:val="single" w:sz="8" w:space="0" w:color="000000"/>
            </w:tcBorders>
            <w:vAlign w:val="center"/>
          </w:tcPr>
          <w:p w14:paraId="56F872F3" w14:textId="77777777" w:rsidR="00557517" w:rsidRPr="00234720" w:rsidRDefault="00557517" w:rsidP="00F64ABB">
            <w:pPr>
              <w:widowControl w:val="0"/>
              <w:pBdr>
                <w:top w:val="nil"/>
                <w:left w:val="nil"/>
                <w:bottom w:val="nil"/>
                <w:right w:val="nil"/>
                <w:between w:val="nil"/>
              </w:pBdr>
              <w:spacing w:after="0" w:line="360" w:lineRule="auto"/>
              <w:rPr>
                <w:rFonts w:ascii="Times New Roman" w:eastAsia="Times New Roman" w:hAnsi="Times New Roman" w:cs="Times New Roman"/>
                <w:sz w:val="18"/>
                <w:szCs w:val="18"/>
              </w:rPr>
            </w:pPr>
          </w:p>
        </w:tc>
        <w:tc>
          <w:tcPr>
            <w:tcW w:w="848" w:type="dxa"/>
            <w:vMerge/>
            <w:tcBorders>
              <w:top w:val="single" w:sz="8" w:space="0" w:color="000000"/>
              <w:left w:val="single" w:sz="8" w:space="0" w:color="000000"/>
              <w:bottom w:val="single" w:sz="8" w:space="0" w:color="000000"/>
              <w:right w:val="single" w:sz="8" w:space="0" w:color="000000"/>
            </w:tcBorders>
            <w:vAlign w:val="center"/>
          </w:tcPr>
          <w:p w14:paraId="145EB8E9" w14:textId="77777777" w:rsidR="00557517" w:rsidRPr="00234720" w:rsidRDefault="00557517" w:rsidP="00F64ABB">
            <w:pPr>
              <w:widowControl w:val="0"/>
              <w:pBdr>
                <w:top w:val="nil"/>
                <w:left w:val="nil"/>
                <w:bottom w:val="nil"/>
                <w:right w:val="nil"/>
                <w:between w:val="nil"/>
              </w:pBdr>
              <w:spacing w:after="0" w:line="360" w:lineRule="auto"/>
              <w:rPr>
                <w:rFonts w:ascii="Times New Roman" w:eastAsia="Times New Roman" w:hAnsi="Times New Roman" w:cs="Times New Roman"/>
                <w:sz w:val="18"/>
                <w:szCs w:val="18"/>
              </w:rPr>
            </w:pPr>
          </w:p>
        </w:tc>
      </w:tr>
      <w:tr w:rsidR="00557517" w:rsidRPr="008677B1" w14:paraId="2655D8F0" w14:textId="77777777" w:rsidTr="00557517">
        <w:trPr>
          <w:trHeight w:val="55"/>
          <w:jc w:val="center"/>
        </w:trPr>
        <w:tc>
          <w:tcPr>
            <w:tcW w:w="1650" w:type="dxa"/>
            <w:tcBorders>
              <w:top w:val="single" w:sz="8" w:space="0" w:color="000000"/>
              <w:left w:val="single" w:sz="8" w:space="0" w:color="000000"/>
              <w:bottom w:val="single" w:sz="8" w:space="0" w:color="000000"/>
              <w:right w:val="single" w:sz="8" w:space="0" w:color="000000"/>
            </w:tcBorders>
            <w:vAlign w:val="center"/>
          </w:tcPr>
          <w:p w14:paraId="79B52F62" w14:textId="77777777" w:rsidR="00557517" w:rsidRPr="00234720" w:rsidRDefault="00557517"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A</w:t>
            </w:r>
          </w:p>
        </w:tc>
        <w:tc>
          <w:tcPr>
            <w:tcW w:w="1758" w:type="dxa"/>
            <w:tcBorders>
              <w:top w:val="single" w:sz="8" w:space="0" w:color="000000"/>
              <w:left w:val="single" w:sz="8" w:space="0" w:color="000000"/>
              <w:bottom w:val="single" w:sz="8" w:space="0" w:color="000000"/>
              <w:right w:val="single" w:sz="8" w:space="0" w:color="000000"/>
            </w:tcBorders>
            <w:vAlign w:val="center"/>
          </w:tcPr>
          <w:p w14:paraId="36E7AC54"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26 (72,2)</w:t>
            </w:r>
          </w:p>
        </w:tc>
        <w:tc>
          <w:tcPr>
            <w:tcW w:w="1487" w:type="dxa"/>
            <w:tcBorders>
              <w:top w:val="single" w:sz="8" w:space="0" w:color="000000"/>
              <w:left w:val="single" w:sz="8" w:space="0" w:color="000000"/>
              <w:bottom w:val="single" w:sz="8" w:space="0" w:color="000000"/>
              <w:right w:val="single" w:sz="8" w:space="0" w:color="000000"/>
            </w:tcBorders>
            <w:vAlign w:val="center"/>
          </w:tcPr>
          <w:p w14:paraId="70CAD161"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18 (72,3)</w:t>
            </w:r>
          </w:p>
        </w:tc>
        <w:tc>
          <w:tcPr>
            <w:tcW w:w="1410" w:type="dxa"/>
            <w:tcBorders>
              <w:top w:val="single" w:sz="8" w:space="0" w:color="000000"/>
              <w:left w:val="single" w:sz="8" w:space="0" w:color="000000"/>
              <w:bottom w:val="single" w:sz="8" w:space="0" w:color="000000"/>
              <w:right w:val="single" w:sz="8" w:space="0" w:color="000000"/>
            </w:tcBorders>
            <w:vAlign w:val="center"/>
          </w:tcPr>
          <w:p w14:paraId="2FCF5F4A"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8 (72,7)</w:t>
            </w:r>
          </w:p>
        </w:tc>
        <w:tc>
          <w:tcPr>
            <w:tcW w:w="848" w:type="dxa"/>
            <w:tcBorders>
              <w:top w:val="single" w:sz="8" w:space="0" w:color="000000"/>
              <w:left w:val="single" w:sz="8" w:space="0" w:color="000000"/>
              <w:bottom w:val="single" w:sz="8" w:space="0" w:color="000000"/>
              <w:right w:val="single" w:sz="8" w:space="0" w:color="000000"/>
            </w:tcBorders>
            <w:vAlign w:val="center"/>
          </w:tcPr>
          <w:p w14:paraId="418766D6"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0,964</w:t>
            </w:r>
          </w:p>
        </w:tc>
      </w:tr>
      <w:tr w:rsidR="00557517" w:rsidRPr="008677B1" w14:paraId="4BC76FAF" w14:textId="77777777" w:rsidTr="00557517">
        <w:trPr>
          <w:trHeight w:val="55"/>
          <w:jc w:val="center"/>
        </w:trPr>
        <w:tc>
          <w:tcPr>
            <w:tcW w:w="1650" w:type="dxa"/>
            <w:tcBorders>
              <w:top w:val="single" w:sz="8" w:space="0" w:color="000000"/>
              <w:left w:val="single" w:sz="8" w:space="0" w:color="000000"/>
              <w:bottom w:val="single" w:sz="8" w:space="0" w:color="000000"/>
              <w:right w:val="single" w:sz="8" w:space="0" w:color="000000"/>
            </w:tcBorders>
            <w:vAlign w:val="center"/>
          </w:tcPr>
          <w:p w14:paraId="46702357" w14:textId="77777777" w:rsidR="00557517" w:rsidRPr="00234720" w:rsidRDefault="00557517"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B</w:t>
            </w:r>
          </w:p>
        </w:tc>
        <w:tc>
          <w:tcPr>
            <w:tcW w:w="1758" w:type="dxa"/>
            <w:tcBorders>
              <w:top w:val="single" w:sz="8" w:space="0" w:color="000000"/>
              <w:left w:val="single" w:sz="8" w:space="0" w:color="000000"/>
              <w:bottom w:val="single" w:sz="8" w:space="0" w:color="000000"/>
              <w:right w:val="single" w:sz="8" w:space="0" w:color="000000"/>
            </w:tcBorders>
            <w:vAlign w:val="center"/>
          </w:tcPr>
          <w:p w14:paraId="57089B45"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30 (83,3)</w:t>
            </w:r>
          </w:p>
        </w:tc>
        <w:tc>
          <w:tcPr>
            <w:tcW w:w="1487" w:type="dxa"/>
            <w:tcBorders>
              <w:top w:val="single" w:sz="8" w:space="0" w:color="000000"/>
              <w:left w:val="single" w:sz="8" w:space="0" w:color="000000"/>
              <w:bottom w:val="single" w:sz="8" w:space="0" w:color="000000"/>
              <w:right w:val="single" w:sz="8" w:space="0" w:color="000000"/>
            </w:tcBorders>
            <w:vAlign w:val="center"/>
          </w:tcPr>
          <w:p w14:paraId="003977AB"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21 (84,2</w:t>
            </w:r>
          </w:p>
        </w:tc>
        <w:tc>
          <w:tcPr>
            <w:tcW w:w="1410" w:type="dxa"/>
            <w:tcBorders>
              <w:top w:val="single" w:sz="8" w:space="0" w:color="000000"/>
              <w:left w:val="single" w:sz="8" w:space="0" w:color="000000"/>
              <w:bottom w:val="single" w:sz="8" w:space="0" w:color="000000"/>
              <w:right w:val="single" w:sz="8" w:space="0" w:color="000000"/>
            </w:tcBorders>
            <w:vAlign w:val="center"/>
          </w:tcPr>
          <w:p w14:paraId="37B0872E"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9 (81,8)</w:t>
            </w:r>
          </w:p>
        </w:tc>
        <w:tc>
          <w:tcPr>
            <w:tcW w:w="848" w:type="dxa"/>
            <w:tcBorders>
              <w:top w:val="single" w:sz="8" w:space="0" w:color="000000"/>
              <w:left w:val="single" w:sz="8" w:space="0" w:color="000000"/>
              <w:bottom w:val="single" w:sz="8" w:space="0" w:color="000000"/>
              <w:right w:val="single" w:sz="8" w:space="0" w:color="000000"/>
            </w:tcBorders>
            <w:vAlign w:val="center"/>
          </w:tcPr>
          <w:p w14:paraId="0A3EC210"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0,871</w:t>
            </w:r>
          </w:p>
        </w:tc>
      </w:tr>
      <w:tr w:rsidR="00557517" w:rsidRPr="008677B1" w14:paraId="605B39ED" w14:textId="77777777" w:rsidTr="00557517">
        <w:trPr>
          <w:trHeight w:val="55"/>
          <w:jc w:val="center"/>
        </w:trPr>
        <w:tc>
          <w:tcPr>
            <w:tcW w:w="1650" w:type="dxa"/>
            <w:tcBorders>
              <w:top w:val="single" w:sz="8" w:space="0" w:color="000000"/>
              <w:left w:val="single" w:sz="8" w:space="0" w:color="000000"/>
              <w:bottom w:val="single" w:sz="8" w:space="0" w:color="000000"/>
              <w:right w:val="single" w:sz="8" w:space="0" w:color="000000"/>
            </w:tcBorders>
            <w:vAlign w:val="center"/>
          </w:tcPr>
          <w:p w14:paraId="3D146A16" w14:textId="77777777" w:rsidR="00557517" w:rsidRPr="00234720" w:rsidRDefault="00557517"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C</w:t>
            </w:r>
          </w:p>
        </w:tc>
        <w:tc>
          <w:tcPr>
            <w:tcW w:w="1758" w:type="dxa"/>
            <w:tcBorders>
              <w:top w:val="single" w:sz="8" w:space="0" w:color="000000"/>
              <w:left w:val="single" w:sz="8" w:space="0" w:color="000000"/>
              <w:bottom w:val="single" w:sz="8" w:space="0" w:color="000000"/>
              <w:right w:val="single" w:sz="8" w:space="0" w:color="000000"/>
            </w:tcBorders>
            <w:vAlign w:val="center"/>
          </w:tcPr>
          <w:p w14:paraId="53369BD8"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29 (80,6)</w:t>
            </w:r>
          </w:p>
        </w:tc>
        <w:tc>
          <w:tcPr>
            <w:tcW w:w="1487" w:type="dxa"/>
            <w:tcBorders>
              <w:top w:val="single" w:sz="8" w:space="0" w:color="000000"/>
              <w:left w:val="single" w:sz="8" w:space="0" w:color="000000"/>
              <w:bottom w:val="single" w:sz="8" w:space="0" w:color="000000"/>
              <w:right w:val="single" w:sz="8" w:space="0" w:color="000000"/>
            </w:tcBorders>
            <w:vAlign w:val="center"/>
          </w:tcPr>
          <w:p w14:paraId="71057CBD"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20 (80,7)</w:t>
            </w:r>
          </w:p>
        </w:tc>
        <w:tc>
          <w:tcPr>
            <w:tcW w:w="1410" w:type="dxa"/>
            <w:tcBorders>
              <w:top w:val="single" w:sz="8" w:space="0" w:color="000000"/>
              <w:left w:val="single" w:sz="8" w:space="0" w:color="000000"/>
              <w:bottom w:val="single" w:sz="8" w:space="0" w:color="000000"/>
              <w:right w:val="single" w:sz="8" w:space="0" w:color="000000"/>
            </w:tcBorders>
            <w:vAlign w:val="center"/>
          </w:tcPr>
          <w:p w14:paraId="7A8F659A"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9 (81,8)</w:t>
            </w:r>
          </w:p>
        </w:tc>
        <w:tc>
          <w:tcPr>
            <w:tcW w:w="848" w:type="dxa"/>
            <w:tcBorders>
              <w:top w:val="single" w:sz="8" w:space="0" w:color="000000"/>
              <w:left w:val="single" w:sz="8" w:space="0" w:color="000000"/>
              <w:bottom w:val="single" w:sz="8" w:space="0" w:color="000000"/>
              <w:right w:val="single" w:sz="8" w:space="0" w:color="000000"/>
            </w:tcBorders>
            <w:vAlign w:val="center"/>
          </w:tcPr>
          <w:p w14:paraId="6A39CA64"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0,899</w:t>
            </w:r>
          </w:p>
        </w:tc>
      </w:tr>
      <w:tr w:rsidR="00557517" w:rsidRPr="008677B1" w14:paraId="0AFAF750" w14:textId="77777777" w:rsidTr="00557517">
        <w:trPr>
          <w:trHeight w:val="55"/>
          <w:jc w:val="center"/>
        </w:trPr>
        <w:tc>
          <w:tcPr>
            <w:tcW w:w="1650" w:type="dxa"/>
            <w:tcBorders>
              <w:top w:val="single" w:sz="8" w:space="0" w:color="000000"/>
              <w:left w:val="single" w:sz="8" w:space="0" w:color="000000"/>
              <w:bottom w:val="single" w:sz="8" w:space="0" w:color="000000"/>
              <w:right w:val="single" w:sz="8" w:space="0" w:color="000000"/>
            </w:tcBorders>
            <w:vAlign w:val="center"/>
          </w:tcPr>
          <w:p w14:paraId="26CA1D6E" w14:textId="77777777" w:rsidR="00557517" w:rsidRPr="00234720" w:rsidRDefault="00557517"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D</w:t>
            </w:r>
          </w:p>
        </w:tc>
        <w:tc>
          <w:tcPr>
            <w:tcW w:w="1758" w:type="dxa"/>
            <w:tcBorders>
              <w:top w:val="single" w:sz="8" w:space="0" w:color="000000"/>
              <w:left w:val="single" w:sz="8" w:space="0" w:color="000000"/>
              <w:bottom w:val="single" w:sz="8" w:space="0" w:color="000000"/>
              <w:right w:val="single" w:sz="8" w:space="0" w:color="000000"/>
            </w:tcBorders>
            <w:vAlign w:val="center"/>
          </w:tcPr>
          <w:p w14:paraId="32D7C0C1"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33 (91,7)</w:t>
            </w:r>
          </w:p>
        </w:tc>
        <w:tc>
          <w:tcPr>
            <w:tcW w:w="1487" w:type="dxa"/>
            <w:tcBorders>
              <w:top w:val="single" w:sz="8" w:space="0" w:color="000000"/>
              <w:left w:val="single" w:sz="8" w:space="0" w:color="000000"/>
              <w:bottom w:val="single" w:sz="8" w:space="0" w:color="000000"/>
              <w:right w:val="single" w:sz="8" w:space="0" w:color="000000"/>
            </w:tcBorders>
            <w:vAlign w:val="center"/>
          </w:tcPr>
          <w:p w14:paraId="1A0A8402"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23 (92,6)</w:t>
            </w:r>
          </w:p>
        </w:tc>
        <w:tc>
          <w:tcPr>
            <w:tcW w:w="1410" w:type="dxa"/>
            <w:tcBorders>
              <w:top w:val="single" w:sz="8" w:space="0" w:color="000000"/>
              <w:left w:val="single" w:sz="8" w:space="0" w:color="000000"/>
              <w:bottom w:val="single" w:sz="8" w:space="0" w:color="000000"/>
              <w:right w:val="single" w:sz="8" w:space="0" w:color="000000"/>
            </w:tcBorders>
            <w:vAlign w:val="center"/>
          </w:tcPr>
          <w:p w14:paraId="2076F6AD"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10 (90,9)</w:t>
            </w:r>
          </w:p>
        </w:tc>
        <w:tc>
          <w:tcPr>
            <w:tcW w:w="848" w:type="dxa"/>
            <w:tcBorders>
              <w:top w:val="single" w:sz="8" w:space="0" w:color="000000"/>
              <w:left w:val="single" w:sz="8" w:space="0" w:color="000000"/>
              <w:bottom w:val="single" w:sz="8" w:space="0" w:color="000000"/>
              <w:right w:val="single" w:sz="8" w:space="0" w:color="000000"/>
            </w:tcBorders>
            <w:vAlign w:val="center"/>
          </w:tcPr>
          <w:p w14:paraId="0EE21C4C"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0,913</w:t>
            </w:r>
          </w:p>
        </w:tc>
      </w:tr>
      <w:tr w:rsidR="00557517" w:rsidRPr="008677B1" w14:paraId="4FB9495E" w14:textId="77777777" w:rsidTr="00557517">
        <w:trPr>
          <w:trHeight w:val="55"/>
          <w:jc w:val="center"/>
        </w:trPr>
        <w:tc>
          <w:tcPr>
            <w:tcW w:w="1650" w:type="dxa"/>
            <w:tcBorders>
              <w:top w:val="single" w:sz="8" w:space="0" w:color="000000"/>
              <w:left w:val="single" w:sz="8" w:space="0" w:color="000000"/>
              <w:bottom w:val="single" w:sz="8" w:space="0" w:color="000000"/>
              <w:right w:val="single" w:sz="8" w:space="0" w:color="000000"/>
            </w:tcBorders>
            <w:vAlign w:val="center"/>
          </w:tcPr>
          <w:p w14:paraId="58EE5C54" w14:textId="77777777" w:rsidR="00557517" w:rsidRPr="00234720" w:rsidRDefault="00557517"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E</w:t>
            </w:r>
          </w:p>
        </w:tc>
        <w:tc>
          <w:tcPr>
            <w:tcW w:w="1758" w:type="dxa"/>
            <w:tcBorders>
              <w:top w:val="single" w:sz="8" w:space="0" w:color="000000"/>
              <w:left w:val="single" w:sz="8" w:space="0" w:color="000000"/>
              <w:bottom w:val="single" w:sz="8" w:space="0" w:color="000000"/>
              <w:right w:val="single" w:sz="8" w:space="0" w:color="000000"/>
            </w:tcBorders>
            <w:vAlign w:val="center"/>
          </w:tcPr>
          <w:p w14:paraId="4B58D90F"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31 (86,1)</w:t>
            </w:r>
          </w:p>
        </w:tc>
        <w:tc>
          <w:tcPr>
            <w:tcW w:w="1487" w:type="dxa"/>
            <w:tcBorders>
              <w:top w:val="single" w:sz="8" w:space="0" w:color="000000"/>
              <w:left w:val="single" w:sz="8" w:space="0" w:color="000000"/>
              <w:bottom w:val="single" w:sz="8" w:space="0" w:color="000000"/>
              <w:right w:val="single" w:sz="8" w:space="0" w:color="000000"/>
            </w:tcBorders>
            <w:vAlign w:val="center"/>
          </w:tcPr>
          <w:p w14:paraId="2A8BE66C"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22 (88,2)</w:t>
            </w:r>
          </w:p>
        </w:tc>
        <w:tc>
          <w:tcPr>
            <w:tcW w:w="1410" w:type="dxa"/>
            <w:tcBorders>
              <w:top w:val="single" w:sz="8" w:space="0" w:color="000000"/>
              <w:left w:val="single" w:sz="8" w:space="0" w:color="000000"/>
              <w:bottom w:val="single" w:sz="8" w:space="0" w:color="000000"/>
              <w:right w:val="single" w:sz="8" w:space="0" w:color="000000"/>
            </w:tcBorders>
            <w:vAlign w:val="center"/>
          </w:tcPr>
          <w:p w14:paraId="54138C22"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9 (81,8)</w:t>
            </w:r>
          </w:p>
        </w:tc>
        <w:tc>
          <w:tcPr>
            <w:tcW w:w="848" w:type="dxa"/>
            <w:tcBorders>
              <w:top w:val="single" w:sz="8" w:space="0" w:color="000000"/>
              <w:left w:val="single" w:sz="8" w:space="0" w:color="000000"/>
              <w:bottom w:val="single" w:sz="8" w:space="0" w:color="000000"/>
              <w:right w:val="single" w:sz="8" w:space="0" w:color="000000"/>
            </w:tcBorders>
            <w:vAlign w:val="center"/>
          </w:tcPr>
          <w:p w14:paraId="0CF3D876"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0,621</w:t>
            </w:r>
          </w:p>
        </w:tc>
      </w:tr>
      <w:tr w:rsidR="00557517" w:rsidRPr="008677B1" w14:paraId="30B4C403" w14:textId="77777777" w:rsidTr="00557517">
        <w:trPr>
          <w:trHeight w:val="55"/>
          <w:jc w:val="center"/>
        </w:trPr>
        <w:tc>
          <w:tcPr>
            <w:tcW w:w="1650" w:type="dxa"/>
            <w:tcBorders>
              <w:top w:val="single" w:sz="8" w:space="0" w:color="000000"/>
              <w:left w:val="single" w:sz="8" w:space="0" w:color="000000"/>
              <w:bottom w:val="single" w:sz="8" w:space="0" w:color="000000"/>
              <w:right w:val="single" w:sz="8" w:space="0" w:color="000000"/>
            </w:tcBorders>
            <w:vAlign w:val="center"/>
          </w:tcPr>
          <w:p w14:paraId="12407657" w14:textId="77777777" w:rsidR="00557517" w:rsidRPr="00234720" w:rsidRDefault="00557517"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F</w:t>
            </w:r>
          </w:p>
        </w:tc>
        <w:tc>
          <w:tcPr>
            <w:tcW w:w="1758" w:type="dxa"/>
            <w:tcBorders>
              <w:top w:val="single" w:sz="8" w:space="0" w:color="000000"/>
              <w:left w:val="single" w:sz="8" w:space="0" w:color="000000"/>
              <w:bottom w:val="single" w:sz="8" w:space="0" w:color="000000"/>
              <w:right w:val="single" w:sz="8" w:space="0" w:color="000000"/>
            </w:tcBorders>
            <w:vAlign w:val="center"/>
          </w:tcPr>
          <w:p w14:paraId="4E08B442"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36 (100,0)</w:t>
            </w:r>
          </w:p>
        </w:tc>
        <w:tc>
          <w:tcPr>
            <w:tcW w:w="1487" w:type="dxa"/>
            <w:tcBorders>
              <w:top w:val="single" w:sz="8" w:space="0" w:color="000000"/>
              <w:left w:val="single" w:sz="8" w:space="0" w:color="000000"/>
              <w:bottom w:val="single" w:sz="8" w:space="0" w:color="000000"/>
              <w:right w:val="single" w:sz="8" w:space="0" w:color="000000"/>
            </w:tcBorders>
            <w:vAlign w:val="center"/>
          </w:tcPr>
          <w:p w14:paraId="3EF81AD9"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25 (100,0)</w:t>
            </w:r>
          </w:p>
        </w:tc>
        <w:tc>
          <w:tcPr>
            <w:tcW w:w="1410" w:type="dxa"/>
            <w:tcBorders>
              <w:top w:val="single" w:sz="8" w:space="0" w:color="000000"/>
              <w:left w:val="single" w:sz="8" w:space="0" w:color="000000"/>
              <w:bottom w:val="single" w:sz="8" w:space="0" w:color="000000"/>
              <w:right w:val="single" w:sz="8" w:space="0" w:color="000000"/>
            </w:tcBorders>
            <w:vAlign w:val="center"/>
          </w:tcPr>
          <w:p w14:paraId="4F2ACCA0"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11 (100,0)</w:t>
            </w:r>
          </w:p>
        </w:tc>
        <w:tc>
          <w:tcPr>
            <w:tcW w:w="848" w:type="dxa"/>
            <w:tcBorders>
              <w:top w:val="single" w:sz="8" w:space="0" w:color="000000"/>
              <w:left w:val="single" w:sz="8" w:space="0" w:color="000000"/>
              <w:bottom w:val="single" w:sz="8" w:space="0" w:color="000000"/>
              <w:right w:val="single" w:sz="8" w:space="0" w:color="000000"/>
            </w:tcBorders>
            <w:vAlign w:val="center"/>
          </w:tcPr>
          <w:p w14:paraId="37F8EF24"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w:t>
            </w:r>
          </w:p>
        </w:tc>
      </w:tr>
      <w:tr w:rsidR="00557517" w:rsidRPr="008677B1" w14:paraId="0E915F0E" w14:textId="77777777" w:rsidTr="00557517">
        <w:trPr>
          <w:trHeight w:val="55"/>
          <w:jc w:val="center"/>
        </w:trPr>
        <w:tc>
          <w:tcPr>
            <w:tcW w:w="1650" w:type="dxa"/>
            <w:tcBorders>
              <w:top w:val="single" w:sz="8" w:space="0" w:color="000000"/>
              <w:left w:val="single" w:sz="8" w:space="0" w:color="000000"/>
              <w:bottom w:val="single" w:sz="8" w:space="0" w:color="000000"/>
              <w:right w:val="single" w:sz="8" w:space="0" w:color="000000"/>
            </w:tcBorders>
            <w:vAlign w:val="center"/>
          </w:tcPr>
          <w:p w14:paraId="21D07132" w14:textId="77777777" w:rsidR="00557517" w:rsidRPr="00234720" w:rsidRDefault="00557517"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G</w:t>
            </w:r>
          </w:p>
        </w:tc>
        <w:tc>
          <w:tcPr>
            <w:tcW w:w="1758" w:type="dxa"/>
            <w:tcBorders>
              <w:top w:val="single" w:sz="8" w:space="0" w:color="000000"/>
              <w:left w:val="single" w:sz="8" w:space="0" w:color="000000"/>
              <w:bottom w:val="single" w:sz="8" w:space="0" w:color="000000"/>
              <w:right w:val="single" w:sz="8" w:space="0" w:color="000000"/>
            </w:tcBorders>
            <w:vAlign w:val="center"/>
          </w:tcPr>
          <w:p w14:paraId="5493574A"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28 (77,8)</w:t>
            </w:r>
          </w:p>
        </w:tc>
        <w:tc>
          <w:tcPr>
            <w:tcW w:w="1487" w:type="dxa"/>
            <w:tcBorders>
              <w:top w:val="single" w:sz="8" w:space="0" w:color="000000"/>
              <w:left w:val="single" w:sz="8" w:space="0" w:color="000000"/>
              <w:bottom w:val="single" w:sz="8" w:space="0" w:color="000000"/>
              <w:right w:val="single" w:sz="8" w:space="0" w:color="000000"/>
            </w:tcBorders>
            <w:vAlign w:val="center"/>
          </w:tcPr>
          <w:p w14:paraId="3388A0B4"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20 (80,4)</w:t>
            </w:r>
          </w:p>
        </w:tc>
        <w:tc>
          <w:tcPr>
            <w:tcW w:w="1410" w:type="dxa"/>
            <w:tcBorders>
              <w:top w:val="single" w:sz="8" w:space="0" w:color="000000"/>
              <w:left w:val="single" w:sz="8" w:space="0" w:color="000000"/>
              <w:bottom w:val="single" w:sz="8" w:space="0" w:color="000000"/>
              <w:right w:val="single" w:sz="8" w:space="0" w:color="000000"/>
            </w:tcBorders>
            <w:vAlign w:val="center"/>
          </w:tcPr>
          <w:p w14:paraId="1B89E5AC"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8 (72,7)</w:t>
            </w:r>
          </w:p>
        </w:tc>
        <w:tc>
          <w:tcPr>
            <w:tcW w:w="848" w:type="dxa"/>
            <w:tcBorders>
              <w:top w:val="single" w:sz="8" w:space="0" w:color="000000"/>
              <w:left w:val="single" w:sz="8" w:space="0" w:color="000000"/>
              <w:bottom w:val="single" w:sz="8" w:space="0" w:color="000000"/>
              <w:right w:val="single" w:sz="8" w:space="0" w:color="000000"/>
            </w:tcBorders>
            <w:vAlign w:val="center"/>
          </w:tcPr>
          <w:p w14:paraId="143CA784"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0,629</w:t>
            </w:r>
          </w:p>
        </w:tc>
      </w:tr>
      <w:tr w:rsidR="00557517" w:rsidRPr="008677B1" w14:paraId="03298FD3" w14:textId="77777777" w:rsidTr="00557517">
        <w:trPr>
          <w:trHeight w:val="55"/>
          <w:jc w:val="center"/>
        </w:trPr>
        <w:tc>
          <w:tcPr>
            <w:tcW w:w="1650" w:type="dxa"/>
            <w:tcBorders>
              <w:top w:val="single" w:sz="8" w:space="0" w:color="000000"/>
              <w:left w:val="single" w:sz="8" w:space="0" w:color="000000"/>
              <w:bottom w:val="single" w:sz="8" w:space="0" w:color="000000"/>
              <w:right w:val="single" w:sz="8" w:space="0" w:color="000000"/>
            </w:tcBorders>
            <w:vAlign w:val="center"/>
          </w:tcPr>
          <w:p w14:paraId="79F85926" w14:textId="77777777" w:rsidR="00557517" w:rsidRPr="00234720" w:rsidRDefault="00557517"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H</w:t>
            </w:r>
          </w:p>
        </w:tc>
        <w:tc>
          <w:tcPr>
            <w:tcW w:w="1758" w:type="dxa"/>
            <w:tcBorders>
              <w:top w:val="single" w:sz="8" w:space="0" w:color="000000"/>
              <w:left w:val="single" w:sz="8" w:space="0" w:color="000000"/>
              <w:bottom w:val="single" w:sz="8" w:space="0" w:color="000000"/>
              <w:right w:val="single" w:sz="8" w:space="0" w:color="000000"/>
            </w:tcBorders>
            <w:vAlign w:val="center"/>
          </w:tcPr>
          <w:p w14:paraId="4781086E"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36 (100,0)</w:t>
            </w:r>
          </w:p>
        </w:tc>
        <w:tc>
          <w:tcPr>
            <w:tcW w:w="1487" w:type="dxa"/>
            <w:tcBorders>
              <w:top w:val="single" w:sz="8" w:space="0" w:color="000000"/>
              <w:left w:val="single" w:sz="8" w:space="0" w:color="000000"/>
              <w:bottom w:val="single" w:sz="8" w:space="0" w:color="000000"/>
              <w:right w:val="single" w:sz="8" w:space="0" w:color="000000"/>
            </w:tcBorders>
            <w:vAlign w:val="center"/>
          </w:tcPr>
          <w:p w14:paraId="3C2D4717"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25 (100,0)</w:t>
            </w:r>
          </w:p>
        </w:tc>
        <w:tc>
          <w:tcPr>
            <w:tcW w:w="1410" w:type="dxa"/>
            <w:tcBorders>
              <w:top w:val="single" w:sz="8" w:space="0" w:color="000000"/>
              <w:left w:val="single" w:sz="8" w:space="0" w:color="000000"/>
              <w:bottom w:val="single" w:sz="8" w:space="0" w:color="000000"/>
              <w:right w:val="single" w:sz="8" w:space="0" w:color="000000"/>
            </w:tcBorders>
            <w:vAlign w:val="center"/>
          </w:tcPr>
          <w:p w14:paraId="300D231C"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11 (100,0)</w:t>
            </w:r>
          </w:p>
        </w:tc>
        <w:tc>
          <w:tcPr>
            <w:tcW w:w="848" w:type="dxa"/>
            <w:tcBorders>
              <w:top w:val="single" w:sz="8" w:space="0" w:color="000000"/>
              <w:left w:val="single" w:sz="8" w:space="0" w:color="000000"/>
              <w:bottom w:val="single" w:sz="8" w:space="0" w:color="000000"/>
              <w:right w:val="single" w:sz="8" w:space="0" w:color="000000"/>
            </w:tcBorders>
            <w:vAlign w:val="center"/>
          </w:tcPr>
          <w:p w14:paraId="0308B647"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w:t>
            </w:r>
          </w:p>
        </w:tc>
      </w:tr>
      <w:tr w:rsidR="00557517" w:rsidRPr="008677B1" w14:paraId="1C726571" w14:textId="77777777" w:rsidTr="00557517">
        <w:trPr>
          <w:trHeight w:val="45"/>
          <w:jc w:val="center"/>
        </w:trPr>
        <w:tc>
          <w:tcPr>
            <w:tcW w:w="1650" w:type="dxa"/>
            <w:tcBorders>
              <w:top w:val="single" w:sz="8" w:space="0" w:color="000000"/>
              <w:left w:val="single" w:sz="8" w:space="0" w:color="000000"/>
              <w:bottom w:val="single" w:sz="8" w:space="0" w:color="000000"/>
              <w:right w:val="single" w:sz="8" w:space="0" w:color="000000"/>
            </w:tcBorders>
            <w:vAlign w:val="center"/>
          </w:tcPr>
          <w:p w14:paraId="6C7F372F" w14:textId="77777777" w:rsidR="00557517" w:rsidRPr="00234720" w:rsidRDefault="00557517" w:rsidP="00F64ABB">
            <w:pPr>
              <w:spacing w:after="0" w:line="360" w:lineRule="auto"/>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Diagnóstico TEPT</w:t>
            </w:r>
          </w:p>
        </w:tc>
        <w:tc>
          <w:tcPr>
            <w:tcW w:w="1758" w:type="dxa"/>
            <w:tcBorders>
              <w:top w:val="single" w:sz="8" w:space="0" w:color="000000"/>
              <w:left w:val="single" w:sz="8" w:space="0" w:color="000000"/>
              <w:bottom w:val="single" w:sz="8" w:space="0" w:color="000000"/>
              <w:right w:val="single" w:sz="8" w:space="0" w:color="000000"/>
            </w:tcBorders>
            <w:vAlign w:val="center"/>
          </w:tcPr>
          <w:p w14:paraId="6774F619"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14 (38,9)</w:t>
            </w:r>
          </w:p>
        </w:tc>
        <w:tc>
          <w:tcPr>
            <w:tcW w:w="1487" w:type="dxa"/>
            <w:tcBorders>
              <w:top w:val="single" w:sz="8" w:space="0" w:color="000000"/>
              <w:left w:val="single" w:sz="8" w:space="0" w:color="000000"/>
              <w:bottom w:val="single" w:sz="8" w:space="0" w:color="000000"/>
              <w:right w:val="single" w:sz="8" w:space="0" w:color="000000"/>
            </w:tcBorders>
            <w:vAlign w:val="center"/>
          </w:tcPr>
          <w:p w14:paraId="0D121B7D"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9 (36,0)</w:t>
            </w:r>
          </w:p>
        </w:tc>
        <w:tc>
          <w:tcPr>
            <w:tcW w:w="1410" w:type="dxa"/>
            <w:tcBorders>
              <w:top w:val="single" w:sz="8" w:space="0" w:color="000000"/>
              <w:left w:val="single" w:sz="8" w:space="0" w:color="000000"/>
              <w:bottom w:val="single" w:sz="8" w:space="0" w:color="000000"/>
              <w:right w:val="single" w:sz="8" w:space="0" w:color="000000"/>
            </w:tcBorders>
            <w:vAlign w:val="center"/>
          </w:tcPr>
          <w:p w14:paraId="0AB54E4C"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5 (45,5)</w:t>
            </w:r>
          </w:p>
        </w:tc>
        <w:tc>
          <w:tcPr>
            <w:tcW w:w="848" w:type="dxa"/>
            <w:tcBorders>
              <w:top w:val="single" w:sz="8" w:space="0" w:color="000000"/>
              <w:left w:val="single" w:sz="8" w:space="0" w:color="000000"/>
              <w:bottom w:val="single" w:sz="8" w:space="0" w:color="000000"/>
              <w:right w:val="single" w:sz="8" w:space="0" w:color="000000"/>
            </w:tcBorders>
            <w:vAlign w:val="center"/>
          </w:tcPr>
          <w:p w14:paraId="688982D0" w14:textId="77777777" w:rsidR="00557517" w:rsidRPr="00234720" w:rsidRDefault="00557517" w:rsidP="00F64ABB">
            <w:pPr>
              <w:spacing w:after="0" w:line="360" w:lineRule="auto"/>
              <w:jc w:val="center"/>
              <w:rPr>
                <w:rFonts w:ascii="Times New Roman" w:eastAsia="Times New Roman" w:hAnsi="Times New Roman" w:cs="Times New Roman"/>
                <w:sz w:val="18"/>
                <w:szCs w:val="18"/>
              </w:rPr>
            </w:pPr>
            <w:r w:rsidRPr="00234720">
              <w:rPr>
                <w:rFonts w:ascii="Times New Roman" w:eastAsia="Times New Roman" w:hAnsi="Times New Roman" w:cs="Times New Roman"/>
                <w:sz w:val="18"/>
                <w:szCs w:val="18"/>
              </w:rPr>
              <w:t>0,592</w:t>
            </w:r>
          </w:p>
        </w:tc>
      </w:tr>
    </w:tbl>
    <w:p w14:paraId="6BAA67E8" w14:textId="77777777" w:rsidR="004D173E" w:rsidRPr="002131C2" w:rsidRDefault="004D173E" w:rsidP="004D173E">
      <w:pPr>
        <w:spacing w:after="0" w:line="360" w:lineRule="auto"/>
        <w:jc w:val="both"/>
        <w:rPr>
          <w:rFonts w:ascii="Times New Roman" w:eastAsia="Times New Roman" w:hAnsi="Times New Roman" w:cs="Times New Roman"/>
          <w:b/>
          <w:sz w:val="24"/>
          <w:szCs w:val="24"/>
        </w:rPr>
      </w:pPr>
      <w:r w:rsidRPr="002131C2">
        <w:rPr>
          <w:rFonts w:ascii="Times New Roman" w:eastAsia="Times New Roman" w:hAnsi="Times New Roman" w:cs="Times New Roman"/>
          <w:sz w:val="24"/>
          <w:szCs w:val="24"/>
        </w:rPr>
        <w:t> </w:t>
      </w:r>
    </w:p>
    <w:p w14:paraId="0361108B" w14:textId="77777777" w:rsidR="004D173E" w:rsidRDefault="004D173E" w:rsidP="004D173E">
      <w:pPr>
        <w:spacing w:after="0" w:line="360" w:lineRule="auto"/>
        <w:jc w:val="center"/>
        <w:rPr>
          <w:rFonts w:ascii="Times New Roman" w:eastAsia="Times New Roman" w:hAnsi="Times New Roman" w:cs="Times New Roman"/>
          <w:b/>
          <w:sz w:val="24"/>
          <w:szCs w:val="24"/>
        </w:rPr>
      </w:pPr>
    </w:p>
    <w:p w14:paraId="3DC44F48" w14:textId="77777777" w:rsidR="004D173E" w:rsidRPr="00234720" w:rsidRDefault="004D173E" w:rsidP="004D173E">
      <w:pPr>
        <w:spacing w:after="0" w:line="360" w:lineRule="auto"/>
        <w:jc w:val="center"/>
        <w:rPr>
          <w:rFonts w:ascii="Times New Roman" w:eastAsia="Times New Roman" w:hAnsi="Times New Roman" w:cs="Times New Roman"/>
          <w:b/>
          <w:sz w:val="32"/>
          <w:szCs w:val="32"/>
        </w:rPr>
      </w:pPr>
      <w:r w:rsidRPr="00234720">
        <w:rPr>
          <w:rFonts w:ascii="Times New Roman" w:eastAsia="Times New Roman" w:hAnsi="Times New Roman" w:cs="Times New Roman"/>
          <w:b/>
          <w:sz w:val="32"/>
          <w:szCs w:val="32"/>
        </w:rPr>
        <w:t>DISCUSIÓN</w:t>
      </w:r>
    </w:p>
    <w:p w14:paraId="2F224C22"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sz w:val="24"/>
          <w:szCs w:val="24"/>
        </w:rPr>
        <w:t xml:space="preserve">Se encontró que </w:t>
      </w:r>
      <w:r>
        <w:rPr>
          <w:rFonts w:ascii="Times New Roman" w:eastAsia="Times New Roman" w:hAnsi="Times New Roman" w:cs="Times New Roman"/>
          <w:sz w:val="24"/>
          <w:szCs w:val="24"/>
        </w:rPr>
        <w:t xml:space="preserve">los </w:t>
      </w:r>
      <w:r w:rsidRPr="002131C2">
        <w:rPr>
          <w:rFonts w:ascii="Times New Roman" w:eastAsia="Times New Roman" w:hAnsi="Times New Roman" w:cs="Times New Roman"/>
          <w:sz w:val="24"/>
          <w:szCs w:val="24"/>
        </w:rPr>
        <w:t xml:space="preserve">militares con antecedentes de trauma de tórax presentaron una frecuencia mayor de TEPT frente al grupo </w:t>
      </w:r>
      <w:r>
        <w:rPr>
          <w:rFonts w:ascii="Times New Roman" w:eastAsia="Times New Roman" w:hAnsi="Times New Roman" w:cs="Times New Roman"/>
          <w:sz w:val="24"/>
          <w:szCs w:val="24"/>
        </w:rPr>
        <w:t>sin antecedente de trauma</w:t>
      </w:r>
      <w:r w:rsidRPr="002131C2">
        <w:rPr>
          <w:rFonts w:ascii="Times New Roman" w:eastAsia="Times New Roman" w:hAnsi="Times New Roman" w:cs="Times New Roman"/>
          <w:sz w:val="24"/>
          <w:szCs w:val="24"/>
        </w:rPr>
        <w:t>, principalmente en sujetos con un bajo nivel educativo, bajo rango militar y corta edad</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2131C2">
        <w:rPr>
          <w:rFonts w:ascii="Times New Roman" w:eastAsia="Times New Roman" w:hAnsi="Times New Roman" w:cs="Times New Roman"/>
          <w:sz w:val="24"/>
          <w:szCs w:val="24"/>
        </w:rPr>
        <w:t xml:space="preserve">demás, se destacó una tasa de prevalencia elevada del trastorno a los </w:t>
      </w:r>
      <w:r>
        <w:rPr>
          <w:rFonts w:ascii="Times New Roman" w:eastAsia="Times New Roman" w:hAnsi="Times New Roman" w:cs="Times New Roman"/>
          <w:sz w:val="24"/>
          <w:szCs w:val="24"/>
        </w:rPr>
        <w:t>3</w:t>
      </w:r>
      <w:r w:rsidRPr="002131C2">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6</w:t>
      </w:r>
      <w:r w:rsidRPr="002131C2">
        <w:rPr>
          <w:rFonts w:ascii="Times New Roman" w:eastAsia="Times New Roman" w:hAnsi="Times New Roman" w:cs="Times New Roman"/>
          <w:sz w:val="24"/>
          <w:szCs w:val="24"/>
        </w:rPr>
        <w:t xml:space="preserve"> meses de seguimiento. El dolor y la disnea fueron</w:t>
      </w:r>
      <w:r>
        <w:rPr>
          <w:rFonts w:ascii="Times New Roman" w:eastAsia="Times New Roman" w:hAnsi="Times New Roman" w:cs="Times New Roman"/>
          <w:sz w:val="24"/>
          <w:szCs w:val="24"/>
        </w:rPr>
        <w:t xml:space="preserve"> los</w:t>
      </w:r>
      <w:r w:rsidRPr="002131C2">
        <w:rPr>
          <w:rFonts w:ascii="Times New Roman" w:eastAsia="Times New Roman" w:hAnsi="Times New Roman" w:cs="Times New Roman"/>
          <w:sz w:val="24"/>
          <w:szCs w:val="24"/>
        </w:rPr>
        <w:t xml:space="preserve"> síntomas físicos asociados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en sujetos con trauma de tórax y TEPT. A nivel general, la exposición a ambientes en los que peligra la integridad física y mental</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como los combates en sujetos jóvenes con baja formación educativa</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podrían ser factores que faciliten el desarrollo de TEPT en</w:t>
      </w:r>
      <w:r>
        <w:rPr>
          <w:rFonts w:ascii="Times New Roman" w:eastAsia="Times New Roman" w:hAnsi="Times New Roman" w:cs="Times New Roman"/>
          <w:sz w:val="24"/>
          <w:szCs w:val="24"/>
        </w:rPr>
        <w:t xml:space="preserve"> la</w:t>
      </w:r>
      <w:r w:rsidRPr="002131C2">
        <w:rPr>
          <w:rFonts w:ascii="Times New Roman" w:eastAsia="Times New Roman" w:hAnsi="Times New Roman" w:cs="Times New Roman"/>
          <w:sz w:val="24"/>
          <w:szCs w:val="24"/>
        </w:rPr>
        <w:t xml:space="preserve"> población militar.</w:t>
      </w:r>
    </w:p>
    <w:p w14:paraId="51CF790F"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sz w:val="24"/>
          <w:szCs w:val="24"/>
        </w:rPr>
        <w:t xml:space="preserve">La prevalencia del TEPT </w:t>
      </w:r>
      <w:r>
        <w:rPr>
          <w:rFonts w:ascii="Times New Roman" w:eastAsia="Times New Roman" w:hAnsi="Times New Roman" w:cs="Times New Roman"/>
          <w:sz w:val="24"/>
          <w:szCs w:val="24"/>
        </w:rPr>
        <w:t xml:space="preserve">en la población militar </w:t>
      </w:r>
      <w:r w:rsidRPr="002131C2">
        <w:rPr>
          <w:rFonts w:ascii="Times New Roman" w:eastAsia="Times New Roman" w:hAnsi="Times New Roman" w:cs="Times New Roman"/>
          <w:sz w:val="24"/>
          <w:szCs w:val="24"/>
        </w:rPr>
        <w:t>a nivel mundial</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varía entre el 2</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al 59</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vertAlign w:val="superscript"/>
        </w:rPr>
        <w:t>(12,13)</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2131C2">
        <w:rPr>
          <w:rFonts w:ascii="Times New Roman" w:eastAsia="Times New Roman" w:hAnsi="Times New Roman" w:cs="Times New Roman"/>
          <w:sz w:val="24"/>
          <w:szCs w:val="24"/>
        </w:rPr>
        <w:t xml:space="preserve">n Colombia, </w:t>
      </w:r>
      <w:r w:rsidRPr="002131C2">
        <w:rPr>
          <w:rFonts w:ascii="Times New Roman" w:eastAsia="Times New Roman" w:hAnsi="Times New Roman" w:cs="Times New Roman"/>
          <w:i/>
          <w:sz w:val="24"/>
          <w:szCs w:val="24"/>
        </w:rPr>
        <w:t xml:space="preserve">González </w:t>
      </w:r>
      <w:r w:rsidRPr="002131C2">
        <w:rPr>
          <w:rFonts w:ascii="Times New Roman" w:eastAsia="Times New Roman" w:hAnsi="Times New Roman" w:cs="Times New Roman"/>
          <w:sz w:val="24"/>
          <w:szCs w:val="24"/>
        </w:rPr>
        <w:t>y otros,</w:t>
      </w:r>
      <w:r w:rsidRPr="002131C2">
        <w:rPr>
          <w:rFonts w:ascii="Times New Roman" w:eastAsia="Times New Roman" w:hAnsi="Times New Roman" w:cs="Times New Roman"/>
          <w:sz w:val="24"/>
          <w:szCs w:val="24"/>
          <w:vertAlign w:val="superscript"/>
        </w:rPr>
        <w:t>(14)</w:t>
      </w:r>
      <w:r w:rsidRPr="002131C2">
        <w:rPr>
          <w:rFonts w:ascii="Times New Roman" w:eastAsia="Times New Roman" w:hAnsi="Times New Roman" w:cs="Times New Roman"/>
          <w:sz w:val="24"/>
          <w:szCs w:val="24"/>
        </w:rPr>
        <w:t xml:space="preserve"> realizaron un estudio de corte transversal en 124 trabajadores de las fuerzas armadas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entre los 20 a 48 años de edad, </w:t>
      </w:r>
      <w:r>
        <w:rPr>
          <w:rFonts w:ascii="Times New Roman" w:eastAsia="Times New Roman" w:hAnsi="Times New Roman" w:cs="Times New Roman"/>
          <w:sz w:val="24"/>
          <w:szCs w:val="24"/>
        </w:rPr>
        <w:t xml:space="preserve">e </w:t>
      </w:r>
      <w:r w:rsidRPr="002131C2">
        <w:rPr>
          <w:rFonts w:ascii="Times New Roman" w:eastAsia="Times New Roman" w:hAnsi="Times New Roman" w:cs="Times New Roman"/>
          <w:sz w:val="24"/>
          <w:szCs w:val="24"/>
        </w:rPr>
        <w:t>identifica</w:t>
      </w:r>
      <w:r>
        <w:rPr>
          <w:rFonts w:ascii="Times New Roman" w:eastAsia="Times New Roman" w:hAnsi="Times New Roman" w:cs="Times New Roman"/>
          <w:sz w:val="24"/>
          <w:szCs w:val="24"/>
        </w:rPr>
        <w:t>ron</w:t>
      </w:r>
      <w:r w:rsidRPr="002131C2">
        <w:rPr>
          <w:rFonts w:ascii="Times New Roman" w:eastAsia="Times New Roman" w:hAnsi="Times New Roman" w:cs="Times New Roman"/>
          <w:sz w:val="24"/>
          <w:szCs w:val="24"/>
        </w:rPr>
        <w:t xml:space="preserve">  una prevalencia de TEPT de </w:t>
      </w:r>
      <w:r w:rsidRPr="002131C2">
        <w:rPr>
          <w:rFonts w:ascii="Times New Roman" w:eastAsia="Times New Roman" w:hAnsi="Times New Roman" w:cs="Times New Roman"/>
          <w:sz w:val="24"/>
          <w:szCs w:val="24"/>
        </w:rPr>
        <w:lastRenderedPageBreak/>
        <w:t>aproximadamente 52,2</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y antecedente</w:t>
      </w:r>
      <w:r>
        <w:rPr>
          <w:rFonts w:ascii="Times New Roman" w:eastAsia="Times New Roman" w:hAnsi="Times New Roman" w:cs="Times New Roman"/>
          <w:sz w:val="24"/>
          <w:szCs w:val="24"/>
        </w:rPr>
        <w:t xml:space="preserve">s de algún problema de salud mental en </w:t>
      </w:r>
      <w:r w:rsidRPr="002131C2">
        <w:rPr>
          <w:rFonts w:ascii="Times New Roman" w:eastAsia="Times New Roman" w:hAnsi="Times New Roman" w:cs="Times New Roman"/>
          <w:sz w:val="24"/>
          <w:szCs w:val="24"/>
        </w:rPr>
        <w:t>el 12,9</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xml:space="preserve">%. Al comparar con los resultados </w:t>
      </w:r>
      <w:r>
        <w:rPr>
          <w:rFonts w:ascii="Times New Roman" w:eastAsia="Times New Roman" w:hAnsi="Times New Roman" w:cs="Times New Roman"/>
          <w:sz w:val="24"/>
          <w:szCs w:val="24"/>
        </w:rPr>
        <w:t>de</w:t>
      </w:r>
      <w:r w:rsidRPr="002131C2">
        <w:rPr>
          <w:rFonts w:ascii="Times New Roman" w:eastAsia="Times New Roman" w:hAnsi="Times New Roman" w:cs="Times New Roman"/>
          <w:sz w:val="24"/>
          <w:szCs w:val="24"/>
        </w:rPr>
        <w:t xml:space="preserve"> este estudio, </w:t>
      </w:r>
      <w:r>
        <w:rPr>
          <w:rFonts w:ascii="Times New Roman" w:eastAsia="Times New Roman" w:hAnsi="Times New Roman" w:cs="Times New Roman"/>
          <w:sz w:val="24"/>
          <w:szCs w:val="24"/>
        </w:rPr>
        <w:t>hay</w:t>
      </w:r>
      <w:r w:rsidRPr="002131C2">
        <w:rPr>
          <w:rFonts w:ascii="Times New Roman" w:eastAsia="Times New Roman" w:hAnsi="Times New Roman" w:cs="Times New Roman"/>
          <w:sz w:val="24"/>
          <w:szCs w:val="24"/>
        </w:rPr>
        <w:t xml:space="preserve"> una prevalencia menor que la reportada por </w:t>
      </w:r>
      <w:r w:rsidRPr="002131C2">
        <w:rPr>
          <w:rFonts w:ascii="Times New Roman" w:eastAsia="Times New Roman" w:hAnsi="Times New Roman" w:cs="Times New Roman"/>
          <w:i/>
          <w:sz w:val="24"/>
          <w:szCs w:val="24"/>
        </w:rPr>
        <w:t>González</w:t>
      </w:r>
      <w:r>
        <w:rPr>
          <w:rFonts w:ascii="Times New Roman" w:eastAsia="Times New Roman" w:hAnsi="Times New Roman" w:cs="Times New Roman"/>
          <w:i/>
          <w:sz w:val="24"/>
          <w:szCs w:val="24"/>
        </w:rPr>
        <w:t xml:space="preserve"> </w:t>
      </w:r>
      <w:r>
        <w:rPr>
          <w:rFonts w:ascii="Times New Roman" w:eastAsia="Times New Roman" w:hAnsi="Times New Roman" w:cs="Times New Roman"/>
          <w:iCs/>
          <w:sz w:val="24"/>
          <w:szCs w:val="24"/>
        </w:rPr>
        <w:t>y otros</w:t>
      </w:r>
      <w:r w:rsidRPr="002131C2">
        <w:rPr>
          <w:rFonts w:ascii="Times New Roman" w:eastAsia="Times New Roman" w:hAnsi="Times New Roman" w:cs="Times New Roman"/>
          <w:i/>
          <w:sz w:val="24"/>
          <w:szCs w:val="24"/>
        </w:rPr>
        <w:t>.</w:t>
      </w:r>
      <w:r w:rsidRPr="002131C2">
        <w:rPr>
          <w:rFonts w:ascii="Times New Roman" w:eastAsia="Times New Roman" w:hAnsi="Times New Roman" w:cs="Times New Roman"/>
          <w:sz w:val="24"/>
          <w:szCs w:val="24"/>
          <w:vertAlign w:val="superscript"/>
        </w:rPr>
        <w:t>(14)</w:t>
      </w:r>
      <w:r w:rsidRPr="002131C2">
        <w:rPr>
          <w:rFonts w:ascii="Times New Roman" w:eastAsia="Times New Roman" w:hAnsi="Times New Roman" w:cs="Times New Roman"/>
          <w:sz w:val="24"/>
          <w:szCs w:val="24"/>
        </w:rPr>
        <w:t xml:space="preserve"> Además, se identificaron como posibles factores asociados para el desarrollo del trastorno</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una edad de exposición temprana al evento traumático, un bajo nivel educativo, excesivos tiempos de jornada laboral y un número elevado de exposiciones a eventos potencialmente traumáticos. </w:t>
      </w:r>
    </w:p>
    <w:p w14:paraId="1F6423F2"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sz w:val="24"/>
          <w:szCs w:val="24"/>
        </w:rPr>
        <w:t>Los factores sociodemográficos pueden ser determinantes en el desarrollo TEPT en personal de las fuerzas militares.</w:t>
      </w:r>
      <w:r w:rsidRPr="002131C2">
        <w:rPr>
          <w:rFonts w:ascii="Times New Roman" w:eastAsia="Times New Roman" w:hAnsi="Times New Roman" w:cs="Times New Roman"/>
          <w:sz w:val="24"/>
          <w:szCs w:val="24"/>
          <w:vertAlign w:val="superscript"/>
        </w:rPr>
        <w:t>(15)</w:t>
      </w:r>
      <w:r w:rsidRPr="002131C2">
        <w:rPr>
          <w:rFonts w:ascii="Times New Roman" w:eastAsia="Times New Roman" w:hAnsi="Times New Roman" w:cs="Times New Roman"/>
          <w:sz w:val="24"/>
          <w:szCs w:val="24"/>
        </w:rPr>
        <w:t xml:space="preserve"> </w:t>
      </w:r>
      <w:proofErr w:type="spellStart"/>
      <w:r w:rsidRPr="002131C2">
        <w:rPr>
          <w:rFonts w:ascii="Times New Roman" w:eastAsia="Times New Roman" w:hAnsi="Times New Roman" w:cs="Times New Roman"/>
          <w:i/>
          <w:sz w:val="24"/>
          <w:szCs w:val="24"/>
        </w:rPr>
        <w:t>Dabbs</w:t>
      </w:r>
      <w:proofErr w:type="spellEnd"/>
      <w:r w:rsidRPr="002131C2">
        <w:rPr>
          <w:rFonts w:ascii="Times New Roman" w:eastAsia="Times New Roman" w:hAnsi="Times New Roman" w:cs="Times New Roman"/>
          <w:i/>
          <w:sz w:val="24"/>
          <w:szCs w:val="24"/>
        </w:rPr>
        <w:t xml:space="preserve"> </w:t>
      </w:r>
      <w:r w:rsidRPr="002131C2">
        <w:rPr>
          <w:rFonts w:ascii="Times New Roman" w:eastAsia="Times New Roman" w:hAnsi="Times New Roman" w:cs="Times New Roman"/>
          <w:sz w:val="24"/>
          <w:szCs w:val="24"/>
        </w:rPr>
        <w:t>y otros,</w:t>
      </w:r>
      <w:r w:rsidRPr="002131C2">
        <w:rPr>
          <w:rFonts w:ascii="Times New Roman" w:eastAsia="Times New Roman" w:hAnsi="Times New Roman" w:cs="Times New Roman"/>
          <w:sz w:val="24"/>
          <w:szCs w:val="24"/>
          <w:vertAlign w:val="superscript"/>
        </w:rPr>
        <w:t>(16)</w:t>
      </w:r>
      <w:r w:rsidRPr="002131C2">
        <w:rPr>
          <w:rFonts w:ascii="Times New Roman" w:eastAsia="Times New Roman" w:hAnsi="Times New Roman" w:cs="Times New Roman"/>
          <w:sz w:val="24"/>
          <w:szCs w:val="24"/>
        </w:rPr>
        <w:t xml:space="preserve"> realizaron un estudio retrospectivo</w:t>
      </w:r>
      <w:r>
        <w:rPr>
          <w:rFonts w:ascii="Times New Roman" w:eastAsia="Times New Roman" w:hAnsi="Times New Roman" w:cs="Times New Roman"/>
          <w:sz w:val="24"/>
          <w:szCs w:val="24"/>
        </w:rPr>
        <w:t xml:space="preserve"> en el cual</w:t>
      </w:r>
      <w:r w:rsidRPr="002131C2">
        <w:rPr>
          <w:rFonts w:ascii="Times New Roman" w:eastAsia="Times New Roman" w:hAnsi="Times New Roman" w:cs="Times New Roman"/>
          <w:sz w:val="24"/>
          <w:szCs w:val="24"/>
        </w:rPr>
        <w:t xml:space="preserve"> evalua</w:t>
      </w:r>
      <w:r>
        <w:rPr>
          <w:rFonts w:ascii="Times New Roman" w:eastAsia="Times New Roman" w:hAnsi="Times New Roman" w:cs="Times New Roman"/>
          <w:sz w:val="24"/>
          <w:szCs w:val="24"/>
        </w:rPr>
        <w:t>ron</w:t>
      </w:r>
      <w:r w:rsidRPr="002131C2">
        <w:rPr>
          <w:rFonts w:ascii="Times New Roman" w:eastAsia="Times New Roman" w:hAnsi="Times New Roman" w:cs="Times New Roman"/>
          <w:sz w:val="24"/>
          <w:szCs w:val="24"/>
        </w:rPr>
        <w:t xml:space="preserve"> 18</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606 militares</w:t>
      </w:r>
      <w:r>
        <w:rPr>
          <w:rFonts w:ascii="Times New Roman" w:eastAsia="Times New Roman" w:hAnsi="Times New Roman" w:cs="Times New Roman"/>
          <w:sz w:val="24"/>
          <w:szCs w:val="24"/>
        </w:rPr>
        <w:t>. D</w:t>
      </w:r>
      <w:r w:rsidRPr="002131C2">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ellos, </w:t>
      </w:r>
      <w:r w:rsidRPr="002131C2">
        <w:rPr>
          <w:rFonts w:ascii="Times New Roman" w:eastAsia="Times New Roman" w:hAnsi="Times New Roman" w:cs="Times New Roman"/>
          <w:sz w:val="24"/>
          <w:szCs w:val="24"/>
        </w:rPr>
        <w:t>el 21</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tenían diagnóstico de TEPT y el 79</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eran controles sanos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2131C2">
        <w:rPr>
          <w:rFonts w:ascii="Times New Roman" w:eastAsia="Times New Roman" w:hAnsi="Times New Roman" w:cs="Times New Roman"/>
          <w:sz w:val="24"/>
          <w:szCs w:val="24"/>
        </w:rPr>
        <w:t xml:space="preserve">videncia que un bajo nivel educativo y </w:t>
      </w:r>
      <w:r>
        <w:rPr>
          <w:rFonts w:ascii="Times New Roman" w:eastAsia="Times New Roman" w:hAnsi="Times New Roman" w:cs="Times New Roman"/>
          <w:sz w:val="24"/>
          <w:szCs w:val="24"/>
        </w:rPr>
        <w:t xml:space="preserve">bajo </w:t>
      </w:r>
      <w:r w:rsidRPr="002131C2">
        <w:rPr>
          <w:rFonts w:ascii="Times New Roman" w:eastAsia="Times New Roman" w:hAnsi="Times New Roman" w:cs="Times New Roman"/>
          <w:sz w:val="24"/>
          <w:szCs w:val="24"/>
        </w:rPr>
        <w:t>rango militar en la institución</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era</w:t>
      </w:r>
      <w:r>
        <w:rPr>
          <w:rFonts w:ascii="Times New Roman" w:eastAsia="Times New Roman" w:hAnsi="Times New Roman" w:cs="Times New Roman"/>
          <w:sz w:val="24"/>
          <w:szCs w:val="24"/>
        </w:rPr>
        <w:t>n</w:t>
      </w:r>
      <w:r w:rsidRPr="002131C2">
        <w:rPr>
          <w:rFonts w:ascii="Times New Roman" w:eastAsia="Times New Roman" w:hAnsi="Times New Roman" w:cs="Times New Roman"/>
          <w:sz w:val="24"/>
          <w:szCs w:val="24"/>
        </w:rPr>
        <w:t xml:space="preserve"> factor</w:t>
      </w:r>
      <w:r>
        <w:rPr>
          <w:rFonts w:ascii="Times New Roman" w:eastAsia="Times New Roman" w:hAnsi="Times New Roman" w:cs="Times New Roman"/>
          <w:sz w:val="24"/>
          <w:szCs w:val="24"/>
        </w:rPr>
        <w:t>es</w:t>
      </w:r>
      <w:r w:rsidRPr="002131C2">
        <w:rPr>
          <w:rFonts w:ascii="Times New Roman" w:eastAsia="Times New Roman" w:hAnsi="Times New Roman" w:cs="Times New Roman"/>
          <w:sz w:val="24"/>
          <w:szCs w:val="24"/>
        </w:rPr>
        <w:t xml:space="preserve"> asociado</w:t>
      </w:r>
      <w:r>
        <w:rPr>
          <w:rFonts w:ascii="Times New Roman" w:eastAsia="Times New Roman" w:hAnsi="Times New Roman" w:cs="Times New Roman"/>
          <w:sz w:val="24"/>
          <w:szCs w:val="24"/>
        </w:rPr>
        <w:t>s</w:t>
      </w:r>
      <w:r w:rsidRPr="002131C2">
        <w:rPr>
          <w:rFonts w:ascii="Times New Roman" w:eastAsia="Times New Roman" w:hAnsi="Times New Roman" w:cs="Times New Roman"/>
          <w:sz w:val="24"/>
          <w:szCs w:val="24"/>
        </w:rPr>
        <w:t xml:space="preserve"> a la presentación del trastorno. </w:t>
      </w:r>
      <w:r>
        <w:rPr>
          <w:rFonts w:ascii="Times New Roman" w:eastAsia="Times New Roman" w:hAnsi="Times New Roman" w:cs="Times New Roman"/>
          <w:sz w:val="24"/>
          <w:szCs w:val="24"/>
        </w:rPr>
        <w:t>Estos d</w:t>
      </w:r>
      <w:r w:rsidRPr="002131C2">
        <w:rPr>
          <w:rFonts w:ascii="Times New Roman" w:eastAsia="Times New Roman" w:hAnsi="Times New Roman" w:cs="Times New Roman"/>
          <w:sz w:val="24"/>
          <w:szCs w:val="24"/>
        </w:rPr>
        <w:t>atos</w:t>
      </w:r>
      <w:r>
        <w:rPr>
          <w:rFonts w:ascii="Times New Roman" w:eastAsia="Times New Roman" w:hAnsi="Times New Roman" w:cs="Times New Roman"/>
          <w:sz w:val="24"/>
          <w:szCs w:val="24"/>
        </w:rPr>
        <w:t xml:space="preserve"> son</w:t>
      </w:r>
      <w:r w:rsidRPr="002131C2">
        <w:rPr>
          <w:rFonts w:ascii="Times New Roman" w:eastAsia="Times New Roman" w:hAnsi="Times New Roman" w:cs="Times New Roman"/>
          <w:sz w:val="24"/>
          <w:szCs w:val="24"/>
        </w:rPr>
        <w:t xml:space="preserve"> similares a los encontrados en este estudio</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en el que un alto porcentaje de la población contaba con escolaridad entre primaria y bachillerato y grado militar de soldado;</w:t>
      </w:r>
      <w:r>
        <w:rPr>
          <w:rFonts w:ascii="Times New Roman" w:eastAsia="Times New Roman" w:hAnsi="Times New Roman" w:cs="Times New Roman"/>
          <w:sz w:val="24"/>
          <w:szCs w:val="24"/>
        </w:rPr>
        <w:t xml:space="preserve"> lo cual</w:t>
      </w:r>
      <w:r w:rsidRPr="002131C2">
        <w:rPr>
          <w:rFonts w:ascii="Times New Roman" w:eastAsia="Times New Roman" w:hAnsi="Times New Roman" w:cs="Times New Roman"/>
          <w:sz w:val="24"/>
          <w:szCs w:val="24"/>
        </w:rPr>
        <w:t xml:space="preserve"> explica la exposición a una carga de múltiples episodios de despliegues o combates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potencialmente estresantes y traumáticos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que contribuyen al desarrollo del trastorno.</w:t>
      </w:r>
    </w:p>
    <w:p w14:paraId="5FC3B92E"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sz w:val="24"/>
          <w:szCs w:val="24"/>
        </w:rPr>
        <w:t xml:space="preserve">Las lesiones o secuelas físicas pueden estar relacionadas con el desarrollo o empeoramiento de los síntomas del TEPT, sin importar si el trauma físico fue reciente </w:t>
      </w:r>
      <w:r>
        <w:rPr>
          <w:rFonts w:ascii="Times New Roman" w:eastAsia="Times New Roman" w:hAnsi="Times New Roman" w:cs="Times New Roman"/>
          <w:sz w:val="24"/>
          <w:szCs w:val="24"/>
        </w:rPr>
        <w:t>u</w:t>
      </w:r>
      <w:r w:rsidRPr="002131C2">
        <w:rPr>
          <w:rFonts w:ascii="Times New Roman" w:eastAsia="Times New Roman" w:hAnsi="Times New Roman" w:cs="Times New Roman"/>
          <w:sz w:val="24"/>
          <w:szCs w:val="24"/>
        </w:rPr>
        <w:t xml:space="preserve"> ocurrió meses o años anteriores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2131C2">
        <w:rPr>
          <w:rFonts w:ascii="Times New Roman" w:eastAsia="Times New Roman" w:hAnsi="Times New Roman" w:cs="Times New Roman"/>
          <w:sz w:val="24"/>
          <w:szCs w:val="24"/>
        </w:rPr>
        <w:t>proximadamente el 21</w:t>
      </w:r>
      <w:r>
        <w:rPr>
          <w:rFonts w:ascii="Times New Roman" w:eastAsia="Times New Roman" w:hAnsi="Times New Roman" w:cs="Times New Roman"/>
          <w:sz w:val="24"/>
          <w:szCs w:val="24"/>
        </w:rPr>
        <w:t> </w:t>
      </w:r>
      <w:r w:rsidRPr="002131C2">
        <w:rPr>
          <w:rFonts w:ascii="Times New Roman" w:eastAsia="Times New Roman" w:hAnsi="Times New Roman" w:cs="Times New Roman"/>
          <w:sz w:val="24"/>
          <w:szCs w:val="24"/>
        </w:rPr>
        <w:t>% de los sobrevivientes de lesiones traumáticas físicas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pueden desarrollar el trastorno durante el primer año después de la lesión.</w:t>
      </w:r>
      <w:r>
        <w:rPr>
          <w:rFonts w:ascii="Times New Roman" w:eastAsia="Times New Roman" w:hAnsi="Times New Roman" w:cs="Times New Roman"/>
          <w:sz w:val="24"/>
          <w:szCs w:val="24"/>
          <w:vertAlign w:val="superscript"/>
        </w:rPr>
        <w:t>(17,</w:t>
      </w:r>
      <w:r w:rsidRPr="002131C2">
        <w:rPr>
          <w:rFonts w:ascii="Times New Roman" w:eastAsia="Times New Roman" w:hAnsi="Times New Roman" w:cs="Times New Roman"/>
          <w:sz w:val="24"/>
          <w:szCs w:val="24"/>
          <w:vertAlign w:val="superscript"/>
        </w:rPr>
        <w:t>18)</w:t>
      </w:r>
      <w:r w:rsidRPr="002131C2">
        <w:rPr>
          <w:rFonts w:ascii="Times New Roman" w:eastAsia="Times New Roman" w:hAnsi="Times New Roman" w:cs="Times New Roman"/>
          <w:sz w:val="24"/>
          <w:szCs w:val="24"/>
        </w:rPr>
        <w:t xml:space="preserve"> En diversas investigaciones,</w:t>
      </w:r>
      <w:r w:rsidRPr="002131C2">
        <w:rPr>
          <w:rFonts w:ascii="Times New Roman" w:eastAsia="Times New Roman" w:hAnsi="Times New Roman" w:cs="Times New Roman"/>
          <w:sz w:val="24"/>
          <w:szCs w:val="24"/>
          <w:vertAlign w:val="superscript"/>
        </w:rPr>
        <w:t>(19,20)</w:t>
      </w:r>
      <w:r w:rsidRPr="002131C2">
        <w:rPr>
          <w:rFonts w:ascii="Times New Roman" w:eastAsia="Times New Roman" w:hAnsi="Times New Roman" w:cs="Times New Roman"/>
          <w:sz w:val="24"/>
          <w:szCs w:val="24"/>
        </w:rPr>
        <w:t xml:space="preserve"> las enfermedades psiquiátricas como la depresión, </w:t>
      </w:r>
      <w:r>
        <w:rPr>
          <w:rFonts w:ascii="Times New Roman" w:eastAsia="Times New Roman" w:hAnsi="Times New Roman" w:cs="Times New Roman"/>
          <w:sz w:val="24"/>
          <w:szCs w:val="24"/>
        </w:rPr>
        <w:t xml:space="preserve">la </w:t>
      </w:r>
      <w:r w:rsidRPr="002131C2">
        <w:rPr>
          <w:rFonts w:ascii="Times New Roman" w:eastAsia="Times New Roman" w:hAnsi="Times New Roman" w:cs="Times New Roman"/>
          <w:sz w:val="24"/>
          <w:szCs w:val="24"/>
        </w:rPr>
        <w:t>ansiedad y el TEPT</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se han reportado de manera simultánea en sujetos con antecedentes de un trauma craneoencefálico, abdominal, extremidades y torácico, incluso hasta </w:t>
      </w:r>
      <w:r>
        <w:rPr>
          <w:rFonts w:ascii="Times New Roman" w:eastAsia="Times New Roman" w:hAnsi="Times New Roman" w:cs="Times New Roman"/>
          <w:sz w:val="24"/>
          <w:szCs w:val="24"/>
        </w:rPr>
        <w:t>6</w:t>
      </w:r>
      <w:r w:rsidRPr="002131C2">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12</w:t>
      </w:r>
      <w:r w:rsidRPr="002131C2">
        <w:rPr>
          <w:rFonts w:ascii="Times New Roman" w:eastAsia="Times New Roman" w:hAnsi="Times New Roman" w:cs="Times New Roman"/>
          <w:sz w:val="24"/>
          <w:szCs w:val="24"/>
        </w:rPr>
        <w:t xml:space="preserve"> meses después del evento traumático. En el presente estudio</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el TEPT ya se había instaurado en un grupo considerable de sujetos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en los </w:t>
      </w:r>
      <w:r>
        <w:rPr>
          <w:rFonts w:ascii="Times New Roman" w:eastAsia="Times New Roman" w:hAnsi="Times New Roman" w:cs="Times New Roman"/>
          <w:sz w:val="24"/>
          <w:szCs w:val="24"/>
        </w:rPr>
        <w:t>3</w:t>
      </w:r>
      <w:r w:rsidRPr="002131C2">
        <w:rPr>
          <w:rFonts w:ascii="Times New Roman" w:eastAsia="Times New Roman" w:hAnsi="Times New Roman" w:cs="Times New Roman"/>
          <w:sz w:val="24"/>
          <w:szCs w:val="24"/>
        </w:rPr>
        <w:t xml:space="preserve"> meses iniciales del seguimiento y persistía con altos porcentajes a los </w:t>
      </w:r>
      <w:r>
        <w:rPr>
          <w:rFonts w:ascii="Times New Roman" w:eastAsia="Times New Roman" w:hAnsi="Times New Roman" w:cs="Times New Roman"/>
          <w:sz w:val="24"/>
          <w:szCs w:val="24"/>
        </w:rPr>
        <w:t>6</w:t>
      </w:r>
      <w:r w:rsidRPr="002131C2">
        <w:rPr>
          <w:rFonts w:ascii="Times New Roman" w:eastAsia="Times New Roman" w:hAnsi="Times New Roman" w:cs="Times New Roman"/>
          <w:sz w:val="24"/>
          <w:szCs w:val="24"/>
        </w:rPr>
        <w:t xml:space="preserve"> meses</w:t>
      </w:r>
      <w:r>
        <w:rPr>
          <w:rFonts w:ascii="Times New Roman" w:eastAsia="Times New Roman" w:hAnsi="Times New Roman" w:cs="Times New Roman"/>
          <w:sz w:val="24"/>
          <w:szCs w:val="24"/>
        </w:rPr>
        <w:t>.</w:t>
      </w:r>
    </w:p>
    <w:p w14:paraId="72A3F160"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sz w:val="24"/>
          <w:szCs w:val="24"/>
        </w:rPr>
        <w:t>Una de las principales limitaciones encontradas fue el predominio del sexo masculino y el tamaño de muestra, no obstante, la utilización de un grupo sin antecedente</w:t>
      </w:r>
      <w:r>
        <w:rPr>
          <w:rFonts w:ascii="Times New Roman" w:eastAsia="Times New Roman" w:hAnsi="Times New Roman" w:cs="Times New Roman"/>
          <w:sz w:val="24"/>
          <w:szCs w:val="24"/>
        </w:rPr>
        <w:t>s</w:t>
      </w:r>
      <w:r w:rsidRPr="002131C2">
        <w:rPr>
          <w:rFonts w:ascii="Times New Roman" w:eastAsia="Times New Roman" w:hAnsi="Times New Roman" w:cs="Times New Roman"/>
          <w:sz w:val="24"/>
          <w:szCs w:val="24"/>
        </w:rPr>
        <w:t xml:space="preserve"> de trauma</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es útil para estimar de manera confiable la presencia de esta enfermedad. Solo se realizó en el ámbito de la salud mental el diagnóstico del TEPT y no se evalu</w:t>
      </w:r>
      <w:r>
        <w:rPr>
          <w:rFonts w:ascii="Times New Roman" w:eastAsia="Times New Roman" w:hAnsi="Times New Roman" w:cs="Times New Roman"/>
          <w:sz w:val="24"/>
          <w:szCs w:val="24"/>
        </w:rPr>
        <w:t>aron</w:t>
      </w:r>
      <w:r w:rsidRPr="002131C2">
        <w:rPr>
          <w:rFonts w:ascii="Times New Roman" w:eastAsia="Times New Roman" w:hAnsi="Times New Roman" w:cs="Times New Roman"/>
          <w:sz w:val="24"/>
          <w:szCs w:val="24"/>
        </w:rPr>
        <w:t xml:space="preserve"> otras condiciones como ansiedad y depresión, sin embargo, los sujetos se analizaron por el grupo de investigadores con experiencia</w:t>
      </w:r>
      <w:r>
        <w:rPr>
          <w:rFonts w:ascii="Times New Roman" w:eastAsia="Times New Roman" w:hAnsi="Times New Roman" w:cs="Times New Roman"/>
          <w:sz w:val="24"/>
          <w:szCs w:val="24"/>
        </w:rPr>
        <w:t xml:space="preserve"> y se</w:t>
      </w:r>
      <w:r w:rsidRPr="002131C2">
        <w:rPr>
          <w:rFonts w:ascii="Times New Roman" w:eastAsia="Times New Roman" w:hAnsi="Times New Roman" w:cs="Times New Roman"/>
          <w:sz w:val="24"/>
          <w:szCs w:val="24"/>
        </w:rPr>
        <w:t xml:space="preserve"> logr</w:t>
      </w:r>
      <w:r>
        <w:rPr>
          <w:rFonts w:ascii="Times New Roman" w:eastAsia="Times New Roman" w:hAnsi="Times New Roman" w:cs="Times New Roman"/>
          <w:sz w:val="24"/>
          <w:szCs w:val="24"/>
        </w:rPr>
        <w:t>ó</w:t>
      </w:r>
      <w:r w:rsidRPr="002131C2">
        <w:rPr>
          <w:rFonts w:ascii="Times New Roman" w:eastAsia="Times New Roman" w:hAnsi="Times New Roman" w:cs="Times New Roman"/>
          <w:sz w:val="24"/>
          <w:szCs w:val="24"/>
        </w:rPr>
        <w:t xml:space="preserve"> un diagnóstico confiable de TEPT.</w:t>
      </w:r>
    </w:p>
    <w:p w14:paraId="166FDDA6"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sz w:val="24"/>
          <w:szCs w:val="24"/>
        </w:rPr>
        <w:lastRenderedPageBreak/>
        <w:t xml:space="preserve">El presente estudio forma parte de la escasa evidencia disponible </w:t>
      </w:r>
      <w:r>
        <w:rPr>
          <w:rFonts w:ascii="Times New Roman" w:eastAsia="Times New Roman" w:hAnsi="Times New Roman" w:cs="Times New Roman"/>
          <w:sz w:val="24"/>
          <w:szCs w:val="24"/>
        </w:rPr>
        <w:t>sobre</w:t>
      </w:r>
      <w:r w:rsidRPr="002131C2">
        <w:rPr>
          <w:rFonts w:ascii="Times New Roman" w:eastAsia="Times New Roman" w:hAnsi="Times New Roman" w:cs="Times New Roman"/>
          <w:sz w:val="24"/>
          <w:szCs w:val="24"/>
        </w:rPr>
        <w:t xml:space="preserve"> salud mental en personal militar</w:t>
      </w:r>
      <w:r>
        <w:rPr>
          <w:rFonts w:ascii="Times New Roman" w:eastAsia="Times New Roman" w:hAnsi="Times New Roman" w:cs="Times New Roman"/>
          <w:sz w:val="24"/>
          <w:szCs w:val="24"/>
        </w:rPr>
        <w:t xml:space="preserve"> de</w:t>
      </w:r>
      <w:r w:rsidRPr="002131C2">
        <w:rPr>
          <w:rFonts w:ascii="Times New Roman" w:eastAsia="Times New Roman" w:hAnsi="Times New Roman" w:cs="Times New Roman"/>
          <w:sz w:val="24"/>
          <w:szCs w:val="24"/>
        </w:rPr>
        <w:t xml:space="preserve"> países </w:t>
      </w:r>
      <w:r>
        <w:rPr>
          <w:rFonts w:ascii="Times New Roman" w:eastAsia="Times New Roman" w:hAnsi="Times New Roman" w:cs="Times New Roman"/>
          <w:sz w:val="24"/>
          <w:szCs w:val="24"/>
        </w:rPr>
        <w:t>l</w:t>
      </w:r>
      <w:r w:rsidRPr="002131C2">
        <w:rPr>
          <w:rFonts w:ascii="Times New Roman" w:eastAsia="Times New Roman" w:hAnsi="Times New Roman" w:cs="Times New Roman"/>
          <w:sz w:val="24"/>
          <w:szCs w:val="24"/>
        </w:rPr>
        <w:t>atinoam</w:t>
      </w:r>
      <w:r>
        <w:rPr>
          <w:rFonts w:ascii="Times New Roman" w:eastAsia="Times New Roman" w:hAnsi="Times New Roman" w:cs="Times New Roman"/>
          <w:sz w:val="24"/>
          <w:szCs w:val="24"/>
        </w:rPr>
        <w:t>e</w:t>
      </w:r>
      <w:r w:rsidRPr="002131C2">
        <w:rPr>
          <w:rFonts w:ascii="Times New Roman" w:eastAsia="Times New Roman" w:hAnsi="Times New Roman" w:cs="Times New Roman"/>
          <w:sz w:val="24"/>
          <w:szCs w:val="24"/>
        </w:rPr>
        <w:t>rica</w:t>
      </w:r>
      <w:r>
        <w:rPr>
          <w:rFonts w:ascii="Times New Roman" w:eastAsia="Times New Roman" w:hAnsi="Times New Roman" w:cs="Times New Roman"/>
          <w:sz w:val="24"/>
          <w:szCs w:val="24"/>
        </w:rPr>
        <w:t>nos</w:t>
      </w:r>
      <w:r w:rsidRPr="002131C2">
        <w:rPr>
          <w:rFonts w:ascii="Times New Roman" w:eastAsia="Times New Roman" w:hAnsi="Times New Roman" w:cs="Times New Roman"/>
          <w:sz w:val="24"/>
          <w:szCs w:val="24"/>
        </w:rPr>
        <w:t>, donde el conflicto armado es de alta prevalencia y relevancia. Es necesario un mayor número de estudios en población militar, y la evaluación de protocolos y medidas terapéuticas enfocadas en el manejo de estos sujetos.</w:t>
      </w:r>
    </w:p>
    <w:p w14:paraId="5C96E0D3"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sz w:val="24"/>
          <w:szCs w:val="24"/>
        </w:rPr>
        <w:t>Existe mayor frecuencia de TEPT en sujetos expuestos a eventos traumáticos de tórax en áreas de conflictos armados</w:t>
      </w:r>
      <w:r>
        <w:rPr>
          <w:rFonts w:ascii="Times New Roman" w:eastAsia="Times New Roman" w:hAnsi="Times New Roman" w:cs="Times New Roman"/>
          <w:sz w:val="24"/>
          <w:szCs w:val="24"/>
        </w:rPr>
        <w:t>.</w:t>
      </w:r>
      <w:r w:rsidRPr="00213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2131C2">
        <w:rPr>
          <w:rFonts w:ascii="Times New Roman" w:eastAsia="Times New Roman" w:hAnsi="Times New Roman" w:cs="Times New Roman"/>
          <w:sz w:val="24"/>
          <w:szCs w:val="24"/>
        </w:rPr>
        <w:t xml:space="preserve">a corta edad y los bajos niveles educativos podrían ser factores asociados a la aparición del trastorno. </w:t>
      </w:r>
      <w:r>
        <w:rPr>
          <w:rFonts w:ascii="Times New Roman" w:eastAsia="Times New Roman" w:hAnsi="Times New Roman" w:cs="Times New Roman"/>
          <w:sz w:val="24"/>
          <w:szCs w:val="24"/>
        </w:rPr>
        <w:t>Es</w:t>
      </w:r>
      <w:r w:rsidRPr="002131C2">
        <w:rPr>
          <w:rFonts w:ascii="Times New Roman" w:eastAsia="Times New Roman" w:hAnsi="Times New Roman" w:cs="Times New Roman"/>
          <w:sz w:val="24"/>
          <w:szCs w:val="24"/>
        </w:rPr>
        <w:t xml:space="preserve"> necesario un mayor número de estudios que se enfoquen en población militar de países latinoamericanos</w:t>
      </w:r>
      <w:r>
        <w:rPr>
          <w:rFonts w:ascii="Times New Roman" w:eastAsia="Times New Roman" w:hAnsi="Times New Roman" w:cs="Times New Roman"/>
          <w:sz w:val="24"/>
          <w:szCs w:val="24"/>
        </w:rPr>
        <w:t xml:space="preserve"> e </w:t>
      </w:r>
      <w:r w:rsidRPr="002131C2">
        <w:rPr>
          <w:rFonts w:ascii="Times New Roman" w:eastAsia="Times New Roman" w:hAnsi="Times New Roman" w:cs="Times New Roman"/>
          <w:sz w:val="24"/>
          <w:szCs w:val="24"/>
        </w:rPr>
        <w:t>impact</w:t>
      </w:r>
      <w:r>
        <w:rPr>
          <w:rFonts w:ascii="Times New Roman" w:eastAsia="Times New Roman" w:hAnsi="Times New Roman" w:cs="Times New Roman"/>
          <w:sz w:val="24"/>
          <w:szCs w:val="24"/>
        </w:rPr>
        <w:t>e</w:t>
      </w:r>
      <w:r w:rsidRPr="002131C2">
        <w:rPr>
          <w:rFonts w:ascii="Times New Roman" w:eastAsia="Times New Roman" w:hAnsi="Times New Roman" w:cs="Times New Roman"/>
          <w:sz w:val="24"/>
          <w:szCs w:val="24"/>
        </w:rPr>
        <w:t xml:space="preserve"> en métodos de prevención y manejo.</w:t>
      </w:r>
    </w:p>
    <w:p w14:paraId="233BEF59"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p>
    <w:p w14:paraId="4D59E400" w14:textId="77777777" w:rsidR="004D173E" w:rsidRPr="002131C2" w:rsidRDefault="004D173E" w:rsidP="004D173E">
      <w:pPr>
        <w:spacing w:after="0" w:line="360" w:lineRule="auto"/>
        <w:jc w:val="both"/>
        <w:rPr>
          <w:rFonts w:ascii="Times New Roman" w:eastAsia="Times New Roman" w:hAnsi="Times New Roman" w:cs="Times New Roman"/>
          <w:b/>
          <w:sz w:val="24"/>
          <w:szCs w:val="24"/>
        </w:rPr>
      </w:pPr>
    </w:p>
    <w:p w14:paraId="0C8CB676" w14:textId="77777777" w:rsidR="004D173E" w:rsidRPr="00234720" w:rsidRDefault="004D173E" w:rsidP="004D173E">
      <w:pPr>
        <w:spacing w:after="0" w:line="360" w:lineRule="auto"/>
        <w:jc w:val="center"/>
        <w:rPr>
          <w:rFonts w:ascii="Times New Roman" w:eastAsia="Times New Roman" w:hAnsi="Times New Roman" w:cs="Times New Roman"/>
          <w:b/>
          <w:sz w:val="32"/>
          <w:szCs w:val="32"/>
          <w:lang w:val="en-US"/>
        </w:rPr>
      </w:pPr>
      <w:r w:rsidRPr="00234720">
        <w:rPr>
          <w:rFonts w:ascii="Times New Roman" w:eastAsia="Times New Roman" w:hAnsi="Times New Roman" w:cs="Times New Roman"/>
          <w:b/>
          <w:sz w:val="32"/>
          <w:szCs w:val="32"/>
          <w:lang w:val="en-US"/>
        </w:rPr>
        <w:t>REFERENCIAS BIBLIOGRÁFICAS</w:t>
      </w:r>
    </w:p>
    <w:p w14:paraId="0D4073E9" w14:textId="77777777" w:rsidR="004D173E" w:rsidRPr="00234720" w:rsidRDefault="004D173E" w:rsidP="004D173E">
      <w:pPr>
        <w:spacing w:after="0" w:line="360" w:lineRule="auto"/>
        <w:rPr>
          <w:rFonts w:ascii="Times New Roman" w:eastAsia="Times New Roman" w:hAnsi="Times New Roman" w:cs="Times New Roman"/>
          <w:sz w:val="24"/>
          <w:szCs w:val="24"/>
          <w:lang w:val="en-US"/>
        </w:rPr>
      </w:pPr>
      <w:bookmarkStart w:id="1" w:name="_heading=h.7zk3gy5i4o6c" w:colFirst="0" w:colLast="0"/>
      <w:bookmarkEnd w:id="1"/>
      <w:r w:rsidRPr="00234720">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 xml:space="preserve"> </w:t>
      </w:r>
      <w:proofErr w:type="spellStart"/>
      <w:r w:rsidRPr="00234720">
        <w:rPr>
          <w:rFonts w:ascii="Times New Roman" w:eastAsia="Times New Roman" w:hAnsi="Times New Roman" w:cs="Times New Roman"/>
          <w:sz w:val="24"/>
          <w:szCs w:val="24"/>
          <w:lang w:val="en-US"/>
        </w:rPr>
        <w:t>Stevelink</w:t>
      </w:r>
      <w:proofErr w:type="spellEnd"/>
      <w:r w:rsidRPr="00234720">
        <w:rPr>
          <w:rFonts w:ascii="Times New Roman" w:eastAsia="Times New Roman" w:hAnsi="Times New Roman" w:cs="Times New Roman"/>
          <w:sz w:val="24"/>
          <w:szCs w:val="24"/>
          <w:lang w:val="en-US"/>
        </w:rPr>
        <w:t xml:space="preserve"> SAM, Jones M, Hull L, </w:t>
      </w:r>
      <w:proofErr w:type="spellStart"/>
      <w:r w:rsidRPr="00234720">
        <w:rPr>
          <w:rFonts w:ascii="Times New Roman" w:eastAsia="Times New Roman" w:hAnsi="Times New Roman" w:cs="Times New Roman"/>
          <w:sz w:val="24"/>
          <w:szCs w:val="24"/>
          <w:lang w:val="en-US"/>
        </w:rPr>
        <w:t>Pernet</w:t>
      </w:r>
      <w:proofErr w:type="spellEnd"/>
      <w:r w:rsidRPr="00234720">
        <w:rPr>
          <w:rFonts w:ascii="Times New Roman" w:eastAsia="Times New Roman" w:hAnsi="Times New Roman" w:cs="Times New Roman"/>
          <w:sz w:val="24"/>
          <w:szCs w:val="24"/>
          <w:lang w:val="en-US"/>
        </w:rPr>
        <w:t xml:space="preserve"> D, </w:t>
      </w:r>
      <w:proofErr w:type="spellStart"/>
      <w:r w:rsidRPr="00234720">
        <w:rPr>
          <w:rFonts w:ascii="Times New Roman" w:eastAsia="Times New Roman" w:hAnsi="Times New Roman" w:cs="Times New Roman"/>
          <w:sz w:val="24"/>
          <w:szCs w:val="24"/>
          <w:lang w:val="en-US"/>
        </w:rPr>
        <w:t>MacCrimmon</w:t>
      </w:r>
      <w:proofErr w:type="spellEnd"/>
      <w:r w:rsidRPr="00234720">
        <w:rPr>
          <w:rFonts w:ascii="Times New Roman" w:eastAsia="Times New Roman" w:hAnsi="Times New Roman" w:cs="Times New Roman"/>
          <w:sz w:val="24"/>
          <w:szCs w:val="24"/>
          <w:lang w:val="en-US"/>
        </w:rPr>
        <w:t xml:space="preserve"> S, Goodwin L, et al. Mental health outcomes at the end of the British involvement in the Iraq and Afghanistan conflicts: a cohort study. Br J Psychiatry. 2018;</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 xml:space="preserve">213(6):690-7. DOI: 10.1192/bjp.2018.175 </w:t>
      </w:r>
    </w:p>
    <w:p w14:paraId="7CAB571B" w14:textId="77777777" w:rsidR="004D173E" w:rsidRPr="00234720" w:rsidRDefault="004D173E" w:rsidP="004D173E">
      <w:pPr>
        <w:spacing w:after="0" w:line="360" w:lineRule="auto"/>
        <w:rPr>
          <w:rFonts w:ascii="Times New Roman" w:eastAsia="Times New Roman" w:hAnsi="Times New Roman" w:cs="Times New Roman"/>
          <w:sz w:val="24"/>
          <w:szCs w:val="24"/>
          <w:lang w:val="en-US"/>
        </w:rPr>
      </w:pPr>
      <w:r w:rsidRPr="00234720">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Fear NT, Jones M, Murphy D, Hull L, Iversen AC, Coker B, et al. What are the consequences of deployment to Iraq and Afghanistan on the mental health of the UK armed forces? A cohort study. Lancet. 2010;</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375(9728):1783-97. DOI: 10.1016/S0140-6736(10)60672-1</w:t>
      </w:r>
    </w:p>
    <w:p w14:paraId="5439A01E" w14:textId="77777777" w:rsidR="004D173E" w:rsidRPr="00234720" w:rsidRDefault="004D173E" w:rsidP="004D173E">
      <w:pPr>
        <w:spacing w:after="0" w:line="360" w:lineRule="auto"/>
        <w:rPr>
          <w:rFonts w:ascii="Times New Roman" w:eastAsia="Times New Roman" w:hAnsi="Times New Roman" w:cs="Times New Roman"/>
          <w:sz w:val="24"/>
          <w:szCs w:val="24"/>
          <w:lang w:val="en-US"/>
        </w:rPr>
      </w:pPr>
      <w:r w:rsidRPr="00234720">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 xml:space="preserve">Gates MA, </w:t>
      </w:r>
      <w:proofErr w:type="spellStart"/>
      <w:r w:rsidRPr="00234720">
        <w:rPr>
          <w:rFonts w:ascii="Times New Roman" w:eastAsia="Times New Roman" w:hAnsi="Times New Roman" w:cs="Times New Roman"/>
          <w:sz w:val="24"/>
          <w:szCs w:val="24"/>
          <w:lang w:val="en-US"/>
        </w:rPr>
        <w:t>Holowka</w:t>
      </w:r>
      <w:proofErr w:type="spellEnd"/>
      <w:r w:rsidRPr="00234720">
        <w:rPr>
          <w:rFonts w:ascii="Times New Roman" w:eastAsia="Times New Roman" w:hAnsi="Times New Roman" w:cs="Times New Roman"/>
          <w:sz w:val="24"/>
          <w:szCs w:val="24"/>
          <w:lang w:val="en-US"/>
        </w:rPr>
        <w:t xml:space="preserve"> DW, </w:t>
      </w:r>
      <w:proofErr w:type="spellStart"/>
      <w:r w:rsidRPr="00234720">
        <w:rPr>
          <w:rFonts w:ascii="Times New Roman" w:eastAsia="Times New Roman" w:hAnsi="Times New Roman" w:cs="Times New Roman"/>
          <w:sz w:val="24"/>
          <w:szCs w:val="24"/>
          <w:lang w:val="en-US"/>
        </w:rPr>
        <w:t>Vasterling</w:t>
      </w:r>
      <w:proofErr w:type="spellEnd"/>
      <w:r w:rsidRPr="00234720">
        <w:rPr>
          <w:rFonts w:ascii="Times New Roman" w:eastAsia="Times New Roman" w:hAnsi="Times New Roman" w:cs="Times New Roman"/>
          <w:sz w:val="24"/>
          <w:szCs w:val="24"/>
          <w:lang w:val="en-US"/>
        </w:rPr>
        <w:t xml:space="preserve"> JJ, Keane TM, Marx BP, Rosen RC. Posttraumatic stress disorder in veterans and military personnel: epidemiology, screening, and case recognition. Psychol Serv. 2012;</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 xml:space="preserve">9(4):361-82. DOI: 10.1037/a0027649 </w:t>
      </w:r>
    </w:p>
    <w:p w14:paraId="41C07BBC" w14:textId="77777777" w:rsidR="004D173E" w:rsidRPr="00234720" w:rsidRDefault="004D173E" w:rsidP="004D173E">
      <w:pPr>
        <w:spacing w:after="0" w:line="360" w:lineRule="auto"/>
        <w:rPr>
          <w:rFonts w:ascii="Times New Roman" w:eastAsia="Times New Roman" w:hAnsi="Times New Roman" w:cs="Times New Roman"/>
          <w:sz w:val="24"/>
          <w:szCs w:val="24"/>
          <w:lang w:val="en-US"/>
        </w:rPr>
      </w:pPr>
      <w:r w:rsidRPr="00234720">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 xml:space="preserve"> </w:t>
      </w:r>
      <w:proofErr w:type="spellStart"/>
      <w:r w:rsidRPr="00234720">
        <w:rPr>
          <w:rFonts w:ascii="Times New Roman" w:eastAsia="Times New Roman" w:hAnsi="Times New Roman" w:cs="Times New Roman"/>
          <w:sz w:val="24"/>
          <w:szCs w:val="24"/>
          <w:lang w:val="en-US"/>
        </w:rPr>
        <w:t>Ghaffarzadegan</w:t>
      </w:r>
      <w:proofErr w:type="spellEnd"/>
      <w:r w:rsidRPr="00234720">
        <w:rPr>
          <w:rFonts w:ascii="Times New Roman" w:eastAsia="Times New Roman" w:hAnsi="Times New Roman" w:cs="Times New Roman"/>
          <w:sz w:val="24"/>
          <w:szCs w:val="24"/>
          <w:lang w:val="en-US"/>
        </w:rPr>
        <w:t xml:space="preserve"> N, </w:t>
      </w:r>
      <w:proofErr w:type="spellStart"/>
      <w:r w:rsidRPr="00234720">
        <w:rPr>
          <w:rFonts w:ascii="Times New Roman" w:eastAsia="Times New Roman" w:hAnsi="Times New Roman" w:cs="Times New Roman"/>
          <w:sz w:val="24"/>
          <w:szCs w:val="24"/>
          <w:lang w:val="en-US"/>
        </w:rPr>
        <w:t>Ebrahimvandi</w:t>
      </w:r>
      <w:proofErr w:type="spellEnd"/>
      <w:r w:rsidRPr="00234720">
        <w:rPr>
          <w:rFonts w:ascii="Times New Roman" w:eastAsia="Times New Roman" w:hAnsi="Times New Roman" w:cs="Times New Roman"/>
          <w:sz w:val="24"/>
          <w:szCs w:val="24"/>
          <w:lang w:val="en-US"/>
        </w:rPr>
        <w:t xml:space="preserve"> A, </w:t>
      </w:r>
      <w:proofErr w:type="spellStart"/>
      <w:r w:rsidRPr="00234720">
        <w:rPr>
          <w:rFonts w:ascii="Times New Roman" w:eastAsia="Times New Roman" w:hAnsi="Times New Roman" w:cs="Times New Roman"/>
          <w:sz w:val="24"/>
          <w:szCs w:val="24"/>
          <w:lang w:val="en-US"/>
        </w:rPr>
        <w:t>Jalali</w:t>
      </w:r>
      <w:proofErr w:type="spellEnd"/>
      <w:r w:rsidRPr="00234720">
        <w:rPr>
          <w:rFonts w:ascii="Times New Roman" w:eastAsia="Times New Roman" w:hAnsi="Times New Roman" w:cs="Times New Roman"/>
          <w:sz w:val="24"/>
          <w:szCs w:val="24"/>
          <w:lang w:val="en-US"/>
        </w:rPr>
        <w:t xml:space="preserve"> MS. A Dynamic Model of Post-Traumatic Stress Disorder for Military Personnel and Veterans. </w:t>
      </w:r>
      <w:proofErr w:type="spellStart"/>
      <w:r w:rsidRPr="00234720">
        <w:rPr>
          <w:rFonts w:ascii="Times New Roman" w:eastAsia="Times New Roman" w:hAnsi="Times New Roman" w:cs="Times New Roman"/>
          <w:sz w:val="24"/>
          <w:szCs w:val="24"/>
          <w:lang w:val="en-US"/>
        </w:rPr>
        <w:t>PLoS</w:t>
      </w:r>
      <w:proofErr w:type="spellEnd"/>
      <w:r w:rsidRPr="00234720">
        <w:rPr>
          <w:rFonts w:ascii="Times New Roman" w:eastAsia="Times New Roman" w:hAnsi="Times New Roman" w:cs="Times New Roman"/>
          <w:sz w:val="24"/>
          <w:szCs w:val="24"/>
          <w:lang w:val="en-US"/>
        </w:rPr>
        <w:t xml:space="preserve"> One. 2016;</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 xml:space="preserve">11(10):e0161405. DOI: 10.1371/journal.pone.0161405 </w:t>
      </w:r>
    </w:p>
    <w:p w14:paraId="1057B72A" w14:textId="77777777" w:rsidR="004D173E" w:rsidRPr="00DD566A" w:rsidRDefault="004D173E" w:rsidP="004D173E">
      <w:pPr>
        <w:spacing w:after="0" w:line="360" w:lineRule="auto"/>
        <w:rPr>
          <w:rFonts w:ascii="Times New Roman" w:eastAsia="Times New Roman" w:hAnsi="Times New Roman" w:cs="Times New Roman"/>
          <w:sz w:val="24"/>
          <w:szCs w:val="24"/>
        </w:rPr>
      </w:pPr>
      <w:r w:rsidRPr="00234720">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 xml:space="preserve">Jones E, </w:t>
      </w:r>
      <w:proofErr w:type="spellStart"/>
      <w:r w:rsidRPr="00234720">
        <w:rPr>
          <w:rFonts w:ascii="Times New Roman" w:eastAsia="Times New Roman" w:hAnsi="Times New Roman" w:cs="Times New Roman"/>
          <w:sz w:val="24"/>
          <w:szCs w:val="24"/>
          <w:lang w:val="en-US"/>
        </w:rPr>
        <w:t>Wessely</w:t>
      </w:r>
      <w:proofErr w:type="spellEnd"/>
      <w:r w:rsidRPr="00234720">
        <w:rPr>
          <w:rFonts w:ascii="Times New Roman" w:eastAsia="Times New Roman" w:hAnsi="Times New Roman" w:cs="Times New Roman"/>
          <w:sz w:val="24"/>
          <w:szCs w:val="24"/>
          <w:lang w:val="en-US"/>
        </w:rPr>
        <w:t xml:space="preserve"> S. War syndromes: the impact of culture on medically unexplained symptoms. </w:t>
      </w:r>
      <w:proofErr w:type="spellStart"/>
      <w:r w:rsidRPr="00DD566A">
        <w:rPr>
          <w:rFonts w:ascii="Times New Roman" w:eastAsia="Times New Roman" w:hAnsi="Times New Roman" w:cs="Times New Roman"/>
          <w:sz w:val="24"/>
          <w:szCs w:val="24"/>
        </w:rPr>
        <w:t>Med</w:t>
      </w:r>
      <w:proofErr w:type="spellEnd"/>
      <w:r w:rsidRPr="00DD566A">
        <w:rPr>
          <w:rFonts w:ascii="Times New Roman" w:eastAsia="Times New Roman" w:hAnsi="Times New Roman" w:cs="Times New Roman"/>
          <w:sz w:val="24"/>
          <w:szCs w:val="24"/>
        </w:rPr>
        <w:t xml:space="preserve"> Hist. 2005;</w:t>
      </w:r>
      <w:r>
        <w:rPr>
          <w:rFonts w:ascii="Times New Roman" w:eastAsia="Times New Roman" w:hAnsi="Times New Roman" w:cs="Times New Roman"/>
          <w:sz w:val="24"/>
          <w:szCs w:val="24"/>
        </w:rPr>
        <w:t xml:space="preserve"> </w:t>
      </w:r>
      <w:r w:rsidRPr="00DD566A">
        <w:rPr>
          <w:rFonts w:ascii="Times New Roman" w:eastAsia="Times New Roman" w:hAnsi="Times New Roman" w:cs="Times New Roman"/>
          <w:sz w:val="24"/>
          <w:szCs w:val="24"/>
        </w:rPr>
        <w:t>49(1):</w:t>
      </w:r>
      <w:r>
        <w:rPr>
          <w:rFonts w:ascii="Times New Roman" w:eastAsia="Times New Roman" w:hAnsi="Times New Roman" w:cs="Times New Roman"/>
          <w:sz w:val="24"/>
          <w:szCs w:val="24"/>
        </w:rPr>
        <w:t xml:space="preserve"> </w:t>
      </w:r>
      <w:r w:rsidRPr="00DD566A">
        <w:rPr>
          <w:rFonts w:ascii="Times New Roman" w:eastAsia="Times New Roman" w:hAnsi="Times New Roman" w:cs="Times New Roman"/>
          <w:sz w:val="24"/>
          <w:szCs w:val="24"/>
        </w:rPr>
        <w:t>55-78. DOI: 10.1017/s0025727300008280</w:t>
      </w:r>
    </w:p>
    <w:p w14:paraId="101A6DE6" w14:textId="77777777" w:rsidR="004D173E" w:rsidRPr="00DD566A" w:rsidRDefault="004D173E" w:rsidP="004D173E">
      <w:pPr>
        <w:spacing w:after="0" w:line="360" w:lineRule="auto"/>
        <w:rPr>
          <w:rFonts w:ascii="Times New Roman" w:eastAsia="Times New Roman" w:hAnsi="Times New Roman" w:cs="Times New Roman"/>
          <w:sz w:val="24"/>
          <w:szCs w:val="24"/>
        </w:rPr>
      </w:pPr>
      <w:r w:rsidRPr="00DD566A">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proofErr w:type="spellStart"/>
      <w:r w:rsidRPr="00DD566A">
        <w:rPr>
          <w:rFonts w:ascii="Times New Roman" w:eastAsia="Times New Roman" w:hAnsi="Times New Roman" w:cs="Times New Roman"/>
          <w:sz w:val="24"/>
          <w:szCs w:val="24"/>
        </w:rPr>
        <w:t>Gonzalez</w:t>
      </w:r>
      <w:proofErr w:type="spellEnd"/>
      <w:r w:rsidRPr="00DD566A">
        <w:rPr>
          <w:rFonts w:ascii="Times New Roman" w:eastAsia="Times New Roman" w:hAnsi="Times New Roman" w:cs="Times New Roman"/>
          <w:sz w:val="24"/>
          <w:szCs w:val="24"/>
        </w:rPr>
        <w:t xml:space="preserve"> Penagos C, Moreno Bedoya JP, </w:t>
      </w:r>
      <w:proofErr w:type="spellStart"/>
      <w:r w:rsidRPr="00DD566A">
        <w:rPr>
          <w:rFonts w:ascii="Times New Roman" w:eastAsia="Times New Roman" w:hAnsi="Times New Roman" w:cs="Times New Roman"/>
          <w:sz w:val="24"/>
          <w:szCs w:val="24"/>
        </w:rPr>
        <w:t>Berbesi</w:t>
      </w:r>
      <w:proofErr w:type="spellEnd"/>
      <w:r w:rsidRPr="00DD566A">
        <w:rPr>
          <w:rFonts w:ascii="Times New Roman" w:eastAsia="Times New Roman" w:hAnsi="Times New Roman" w:cs="Times New Roman"/>
          <w:sz w:val="24"/>
          <w:szCs w:val="24"/>
        </w:rPr>
        <w:t xml:space="preserve"> </w:t>
      </w:r>
      <w:proofErr w:type="spellStart"/>
      <w:r w:rsidRPr="00DD566A">
        <w:rPr>
          <w:rFonts w:ascii="Times New Roman" w:eastAsia="Times New Roman" w:hAnsi="Times New Roman" w:cs="Times New Roman"/>
          <w:sz w:val="24"/>
          <w:szCs w:val="24"/>
        </w:rPr>
        <w:t>Fernandez</w:t>
      </w:r>
      <w:proofErr w:type="spellEnd"/>
      <w:r w:rsidRPr="00DD566A">
        <w:rPr>
          <w:rFonts w:ascii="Times New Roman" w:eastAsia="Times New Roman" w:hAnsi="Times New Roman" w:cs="Times New Roman"/>
          <w:sz w:val="24"/>
          <w:szCs w:val="24"/>
        </w:rPr>
        <w:t xml:space="preserve"> DY, Segura Cardona AM. Factores laborales asociados al riesgo de estrés postraumático en uniformados de un sector de Medellín. Rev. </w:t>
      </w:r>
      <w:r>
        <w:rPr>
          <w:rFonts w:ascii="Times New Roman" w:eastAsia="Times New Roman" w:hAnsi="Times New Roman" w:cs="Times New Roman"/>
          <w:sz w:val="24"/>
          <w:szCs w:val="24"/>
        </w:rPr>
        <w:lastRenderedPageBreak/>
        <w:t>S</w:t>
      </w:r>
      <w:r w:rsidRPr="00DD566A">
        <w:rPr>
          <w:rFonts w:ascii="Times New Roman" w:eastAsia="Times New Roman" w:hAnsi="Times New Roman" w:cs="Times New Roman"/>
          <w:sz w:val="24"/>
          <w:szCs w:val="24"/>
        </w:rPr>
        <w:t xml:space="preserve">alud </w:t>
      </w:r>
      <w:r>
        <w:rPr>
          <w:rFonts w:ascii="Times New Roman" w:eastAsia="Times New Roman" w:hAnsi="Times New Roman" w:cs="Times New Roman"/>
          <w:sz w:val="24"/>
          <w:szCs w:val="24"/>
        </w:rPr>
        <w:t>P</w:t>
      </w:r>
      <w:r w:rsidRPr="00DD566A">
        <w:rPr>
          <w:rFonts w:ascii="Times New Roman" w:eastAsia="Times New Roman" w:hAnsi="Times New Roman" w:cs="Times New Roman"/>
          <w:sz w:val="24"/>
          <w:szCs w:val="24"/>
        </w:rPr>
        <w:t>ública. 2013 [acceso: 31/07/2021];</w:t>
      </w:r>
      <w:r>
        <w:rPr>
          <w:rFonts w:ascii="Times New Roman" w:eastAsia="Times New Roman" w:hAnsi="Times New Roman" w:cs="Times New Roman"/>
          <w:sz w:val="24"/>
          <w:szCs w:val="24"/>
        </w:rPr>
        <w:t xml:space="preserve"> </w:t>
      </w:r>
      <w:r w:rsidRPr="00DD566A">
        <w:rPr>
          <w:rFonts w:ascii="Times New Roman" w:eastAsia="Times New Roman" w:hAnsi="Times New Roman" w:cs="Times New Roman"/>
          <w:sz w:val="24"/>
          <w:szCs w:val="24"/>
        </w:rPr>
        <w:t xml:space="preserve">15(3):335-41. Disponible en: </w:t>
      </w:r>
      <w:hyperlink r:id="rId15" w:history="1">
        <w:r w:rsidRPr="00F97C65">
          <w:rPr>
            <w:rStyle w:val="Hipervnculo"/>
            <w:rFonts w:ascii="Times New Roman" w:eastAsia="Times New Roman" w:hAnsi="Times New Roman" w:cs="Times New Roman"/>
            <w:sz w:val="24"/>
            <w:szCs w:val="24"/>
          </w:rPr>
          <w:t>https://revistas.unal.edu.co/index.php/revsaludpublica/article/view/30729</w:t>
        </w:r>
      </w:hyperlink>
      <w:r>
        <w:rPr>
          <w:rFonts w:ascii="Times New Roman" w:eastAsia="Times New Roman" w:hAnsi="Times New Roman" w:cs="Times New Roman"/>
          <w:sz w:val="24"/>
          <w:szCs w:val="24"/>
        </w:rPr>
        <w:t xml:space="preserve"> </w:t>
      </w:r>
      <w:r w:rsidRPr="00DD566A">
        <w:rPr>
          <w:rFonts w:ascii="Times New Roman" w:eastAsia="Times New Roman" w:hAnsi="Times New Roman" w:cs="Times New Roman"/>
          <w:sz w:val="24"/>
          <w:szCs w:val="24"/>
        </w:rPr>
        <w:t xml:space="preserve">  </w:t>
      </w:r>
    </w:p>
    <w:p w14:paraId="60F6C767" w14:textId="77777777" w:rsidR="004D173E" w:rsidRPr="00234720" w:rsidRDefault="004D173E" w:rsidP="004D173E">
      <w:pPr>
        <w:spacing w:after="0" w:line="360" w:lineRule="auto"/>
        <w:rPr>
          <w:rFonts w:ascii="Times New Roman" w:eastAsia="Times New Roman" w:hAnsi="Times New Roman" w:cs="Times New Roman"/>
          <w:sz w:val="24"/>
          <w:szCs w:val="24"/>
          <w:lang w:val="en-US"/>
        </w:rPr>
      </w:pPr>
      <w:r w:rsidRPr="00234720">
        <w:rPr>
          <w:rFonts w:ascii="Times New Roman" w:eastAsia="Times New Roman" w:hAnsi="Times New Roman" w:cs="Times New Roman"/>
          <w:sz w:val="24"/>
          <w:szCs w:val="24"/>
          <w:lang w:val="en-US"/>
        </w:rPr>
        <w:t>7.</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 xml:space="preserve">Robbins CB, </w:t>
      </w:r>
      <w:proofErr w:type="spellStart"/>
      <w:r w:rsidRPr="00234720">
        <w:rPr>
          <w:rFonts w:ascii="Times New Roman" w:eastAsia="Times New Roman" w:hAnsi="Times New Roman" w:cs="Times New Roman"/>
          <w:sz w:val="24"/>
          <w:szCs w:val="24"/>
          <w:lang w:val="en-US"/>
        </w:rPr>
        <w:t>Vreeman</w:t>
      </w:r>
      <w:proofErr w:type="spellEnd"/>
      <w:r w:rsidRPr="00234720">
        <w:rPr>
          <w:rFonts w:ascii="Times New Roman" w:eastAsia="Times New Roman" w:hAnsi="Times New Roman" w:cs="Times New Roman"/>
          <w:sz w:val="24"/>
          <w:szCs w:val="24"/>
          <w:lang w:val="en-US"/>
        </w:rPr>
        <w:t xml:space="preserve"> DJ, </w:t>
      </w:r>
      <w:proofErr w:type="spellStart"/>
      <w:r w:rsidRPr="00234720">
        <w:rPr>
          <w:rFonts w:ascii="Times New Roman" w:eastAsia="Times New Roman" w:hAnsi="Times New Roman" w:cs="Times New Roman"/>
          <w:sz w:val="24"/>
          <w:szCs w:val="24"/>
          <w:lang w:val="en-US"/>
        </w:rPr>
        <w:t>Sothmann</w:t>
      </w:r>
      <w:proofErr w:type="spellEnd"/>
      <w:r w:rsidRPr="00234720">
        <w:rPr>
          <w:rFonts w:ascii="Times New Roman" w:eastAsia="Times New Roman" w:hAnsi="Times New Roman" w:cs="Times New Roman"/>
          <w:sz w:val="24"/>
          <w:szCs w:val="24"/>
          <w:lang w:val="en-US"/>
        </w:rPr>
        <w:t xml:space="preserve"> MS, Wilson SL, </w:t>
      </w:r>
      <w:proofErr w:type="spellStart"/>
      <w:r w:rsidRPr="00234720">
        <w:rPr>
          <w:rFonts w:ascii="Times New Roman" w:eastAsia="Times New Roman" w:hAnsi="Times New Roman" w:cs="Times New Roman"/>
          <w:sz w:val="24"/>
          <w:szCs w:val="24"/>
          <w:lang w:val="en-US"/>
        </w:rPr>
        <w:t>Oldridge</w:t>
      </w:r>
      <w:proofErr w:type="spellEnd"/>
      <w:r w:rsidRPr="00234720">
        <w:rPr>
          <w:rFonts w:ascii="Times New Roman" w:eastAsia="Times New Roman" w:hAnsi="Times New Roman" w:cs="Times New Roman"/>
          <w:sz w:val="24"/>
          <w:szCs w:val="24"/>
          <w:lang w:val="en-US"/>
        </w:rPr>
        <w:t xml:space="preserve"> NB. A review of the long-term health outcomes associated with war-related amputation. Mil Med. 2009;</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174(6):</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588-92. DOI: 10.7205/milmed-d-00-0608</w:t>
      </w:r>
    </w:p>
    <w:p w14:paraId="764C92C1" w14:textId="77777777" w:rsidR="004D173E" w:rsidRPr="00234720" w:rsidRDefault="004D173E" w:rsidP="004D173E">
      <w:pPr>
        <w:spacing w:after="0" w:line="360" w:lineRule="auto"/>
        <w:rPr>
          <w:rFonts w:ascii="Times New Roman" w:eastAsia="Times New Roman" w:hAnsi="Times New Roman" w:cs="Times New Roman"/>
          <w:sz w:val="24"/>
          <w:szCs w:val="24"/>
          <w:lang w:val="en-US"/>
        </w:rPr>
      </w:pPr>
      <w:r w:rsidRPr="00234720">
        <w:rPr>
          <w:rFonts w:ascii="Times New Roman" w:eastAsia="Times New Roman" w:hAnsi="Times New Roman" w:cs="Times New Roman"/>
          <w:sz w:val="24"/>
          <w:szCs w:val="24"/>
          <w:lang w:val="en-US"/>
        </w:rPr>
        <w:t>8.</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 xml:space="preserve">Brooks MS, </w:t>
      </w:r>
      <w:proofErr w:type="spellStart"/>
      <w:r w:rsidRPr="00234720">
        <w:rPr>
          <w:rFonts w:ascii="Times New Roman" w:eastAsia="Times New Roman" w:hAnsi="Times New Roman" w:cs="Times New Roman"/>
          <w:sz w:val="24"/>
          <w:szCs w:val="24"/>
          <w:lang w:val="en-US"/>
        </w:rPr>
        <w:t>Laditka</w:t>
      </w:r>
      <w:proofErr w:type="spellEnd"/>
      <w:r w:rsidRPr="00234720">
        <w:rPr>
          <w:rFonts w:ascii="Times New Roman" w:eastAsia="Times New Roman" w:hAnsi="Times New Roman" w:cs="Times New Roman"/>
          <w:sz w:val="24"/>
          <w:szCs w:val="24"/>
          <w:lang w:val="en-US"/>
        </w:rPr>
        <w:t xml:space="preserve"> SB, </w:t>
      </w:r>
      <w:proofErr w:type="spellStart"/>
      <w:r w:rsidRPr="00234720">
        <w:rPr>
          <w:rFonts w:ascii="Times New Roman" w:eastAsia="Times New Roman" w:hAnsi="Times New Roman" w:cs="Times New Roman"/>
          <w:sz w:val="24"/>
          <w:szCs w:val="24"/>
          <w:lang w:val="en-US"/>
        </w:rPr>
        <w:t>Laditka</w:t>
      </w:r>
      <w:proofErr w:type="spellEnd"/>
      <w:r w:rsidRPr="00234720">
        <w:rPr>
          <w:rFonts w:ascii="Times New Roman" w:eastAsia="Times New Roman" w:hAnsi="Times New Roman" w:cs="Times New Roman"/>
          <w:sz w:val="24"/>
          <w:szCs w:val="24"/>
          <w:lang w:val="en-US"/>
        </w:rPr>
        <w:t xml:space="preserve"> JN. Long-term effects of military service on mental health among veterans of the Vietnam War era. Mil Med. 2008;</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173(6):570-5. DOI: 10.7205/milmed.173.6.570</w:t>
      </w:r>
    </w:p>
    <w:p w14:paraId="72A6FC3B" w14:textId="77777777" w:rsidR="004D173E" w:rsidRPr="00234720" w:rsidRDefault="004D173E" w:rsidP="004D173E">
      <w:pPr>
        <w:spacing w:after="0" w:line="360" w:lineRule="auto"/>
        <w:rPr>
          <w:rFonts w:ascii="Times New Roman" w:eastAsia="Times New Roman" w:hAnsi="Times New Roman" w:cs="Times New Roman"/>
          <w:sz w:val="24"/>
          <w:szCs w:val="24"/>
          <w:lang w:val="en-US"/>
        </w:rPr>
      </w:pPr>
      <w:r w:rsidRPr="00234720">
        <w:rPr>
          <w:rFonts w:ascii="Times New Roman" w:eastAsia="Times New Roman" w:hAnsi="Times New Roman" w:cs="Times New Roman"/>
          <w:sz w:val="24"/>
          <w:szCs w:val="24"/>
          <w:lang w:val="en-US"/>
        </w:rPr>
        <w:t>9.</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 xml:space="preserve">Livingston DH, Tripp T, Biggs C, </w:t>
      </w:r>
      <w:proofErr w:type="spellStart"/>
      <w:r w:rsidRPr="00234720">
        <w:rPr>
          <w:rFonts w:ascii="Times New Roman" w:eastAsia="Times New Roman" w:hAnsi="Times New Roman" w:cs="Times New Roman"/>
          <w:sz w:val="24"/>
          <w:szCs w:val="24"/>
          <w:lang w:val="en-US"/>
        </w:rPr>
        <w:t>Lavery</w:t>
      </w:r>
      <w:proofErr w:type="spellEnd"/>
      <w:r w:rsidRPr="00234720">
        <w:rPr>
          <w:rFonts w:ascii="Times New Roman" w:eastAsia="Times New Roman" w:hAnsi="Times New Roman" w:cs="Times New Roman"/>
          <w:sz w:val="24"/>
          <w:szCs w:val="24"/>
          <w:lang w:val="en-US"/>
        </w:rPr>
        <w:t xml:space="preserve"> RF. A fate worse than death? Long-term outcome of trauma patients admitted to the surgical intensive care unit. J Trauma. 2009;</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67(2):</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341-9. DOI: 10.1097/TA.0b013e3181a5cc34</w:t>
      </w:r>
    </w:p>
    <w:p w14:paraId="0B276909" w14:textId="77777777" w:rsidR="004D173E" w:rsidRPr="00234720" w:rsidRDefault="004D173E" w:rsidP="004D173E">
      <w:pPr>
        <w:spacing w:after="0" w:line="360" w:lineRule="auto"/>
        <w:rPr>
          <w:rFonts w:ascii="Times New Roman" w:eastAsia="Times New Roman" w:hAnsi="Times New Roman" w:cs="Times New Roman"/>
          <w:sz w:val="24"/>
          <w:szCs w:val="24"/>
          <w:lang w:val="en-US"/>
        </w:rPr>
      </w:pPr>
      <w:r w:rsidRPr="00234720">
        <w:rPr>
          <w:rFonts w:ascii="Times New Roman" w:eastAsia="Times New Roman" w:hAnsi="Times New Roman" w:cs="Times New Roman"/>
          <w:sz w:val="24"/>
          <w:szCs w:val="24"/>
          <w:lang w:val="en-US"/>
        </w:rPr>
        <w:t>10.</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 xml:space="preserve">Smith TC, Jacobson IG, Hooper TI, </w:t>
      </w:r>
      <w:proofErr w:type="spellStart"/>
      <w:r w:rsidRPr="00234720">
        <w:rPr>
          <w:rFonts w:ascii="Times New Roman" w:eastAsia="Times New Roman" w:hAnsi="Times New Roman" w:cs="Times New Roman"/>
          <w:sz w:val="24"/>
          <w:szCs w:val="24"/>
          <w:lang w:val="en-US"/>
        </w:rPr>
        <w:t>Leardmann</w:t>
      </w:r>
      <w:proofErr w:type="spellEnd"/>
      <w:r w:rsidRPr="00234720">
        <w:rPr>
          <w:rFonts w:ascii="Times New Roman" w:eastAsia="Times New Roman" w:hAnsi="Times New Roman" w:cs="Times New Roman"/>
          <w:sz w:val="24"/>
          <w:szCs w:val="24"/>
          <w:lang w:val="en-US"/>
        </w:rPr>
        <w:t xml:space="preserve"> CA, Boyko EJ, Smith B, et al. Millennium Cohort Study Team. Health impact of US military service in a large population-based military cohort: findings of the Millennium Cohort Study, 2001-2008. BMC Public Health. 2011;</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11:69. DOI: 10.1186/1471-2458-11-69</w:t>
      </w:r>
    </w:p>
    <w:p w14:paraId="01F52CA7" w14:textId="77777777" w:rsidR="004D173E" w:rsidRPr="00234720" w:rsidRDefault="004D173E" w:rsidP="004D173E">
      <w:pPr>
        <w:spacing w:after="0" w:line="360" w:lineRule="auto"/>
        <w:rPr>
          <w:rFonts w:ascii="Times New Roman" w:eastAsia="Times New Roman" w:hAnsi="Times New Roman" w:cs="Times New Roman"/>
          <w:sz w:val="24"/>
          <w:szCs w:val="24"/>
          <w:lang w:val="en-US"/>
        </w:rPr>
      </w:pPr>
      <w:r w:rsidRPr="00234720">
        <w:rPr>
          <w:rFonts w:ascii="Times New Roman" w:eastAsia="Times New Roman" w:hAnsi="Times New Roman" w:cs="Times New Roman"/>
          <w:sz w:val="24"/>
          <w:szCs w:val="24"/>
          <w:lang w:val="en-US"/>
        </w:rPr>
        <w:t>11.</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 xml:space="preserve">Pai A, </w:t>
      </w:r>
      <w:proofErr w:type="spellStart"/>
      <w:r w:rsidRPr="00234720">
        <w:rPr>
          <w:rFonts w:ascii="Times New Roman" w:eastAsia="Times New Roman" w:hAnsi="Times New Roman" w:cs="Times New Roman"/>
          <w:sz w:val="24"/>
          <w:szCs w:val="24"/>
          <w:lang w:val="en-US"/>
        </w:rPr>
        <w:t>Suris</w:t>
      </w:r>
      <w:proofErr w:type="spellEnd"/>
      <w:r w:rsidRPr="00234720">
        <w:rPr>
          <w:rFonts w:ascii="Times New Roman" w:eastAsia="Times New Roman" w:hAnsi="Times New Roman" w:cs="Times New Roman"/>
          <w:sz w:val="24"/>
          <w:szCs w:val="24"/>
          <w:lang w:val="en-US"/>
        </w:rPr>
        <w:t xml:space="preserve"> AM, North CS. Posttraumatic Stress Disorder in the DSM-5: Controversy, Change, and Conceptual Considerations. </w:t>
      </w:r>
      <w:proofErr w:type="spellStart"/>
      <w:r w:rsidRPr="00234720">
        <w:rPr>
          <w:rFonts w:ascii="Times New Roman" w:eastAsia="Times New Roman" w:hAnsi="Times New Roman" w:cs="Times New Roman"/>
          <w:sz w:val="24"/>
          <w:szCs w:val="24"/>
          <w:lang w:val="en-US"/>
        </w:rPr>
        <w:t>Behav</w:t>
      </w:r>
      <w:proofErr w:type="spellEnd"/>
      <w:r w:rsidRPr="00234720">
        <w:rPr>
          <w:rFonts w:ascii="Times New Roman" w:eastAsia="Times New Roman" w:hAnsi="Times New Roman" w:cs="Times New Roman"/>
          <w:sz w:val="24"/>
          <w:szCs w:val="24"/>
          <w:lang w:val="en-US"/>
        </w:rPr>
        <w:t xml:space="preserve"> Sci (Basel). 2017;</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7(1):7. DOI: 10.3390/bs7010007</w:t>
      </w:r>
    </w:p>
    <w:p w14:paraId="35BEC6DB" w14:textId="77777777" w:rsidR="004D173E" w:rsidRPr="00234720" w:rsidRDefault="004D173E" w:rsidP="004D173E">
      <w:pPr>
        <w:spacing w:after="0" w:line="360" w:lineRule="auto"/>
        <w:rPr>
          <w:rFonts w:ascii="Times New Roman" w:eastAsia="Times New Roman" w:hAnsi="Times New Roman" w:cs="Times New Roman"/>
          <w:sz w:val="24"/>
          <w:szCs w:val="24"/>
          <w:lang w:val="en-US"/>
        </w:rPr>
      </w:pPr>
      <w:r w:rsidRPr="00234720">
        <w:rPr>
          <w:rFonts w:ascii="Times New Roman" w:eastAsia="Times New Roman" w:hAnsi="Times New Roman" w:cs="Times New Roman"/>
          <w:sz w:val="24"/>
          <w:szCs w:val="24"/>
          <w:lang w:val="en-US"/>
        </w:rPr>
        <w:t>12.</w:t>
      </w:r>
      <w:r>
        <w:rPr>
          <w:rFonts w:ascii="Times New Roman" w:eastAsia="Times New Roman" w:hAnsi="Times New Roman" w:cs="Times New Roman"/>
          <w:sz w:val="24"/>
          <w:szCs w:val="24"/>
          <w:lang w:val="en-US"/>
        </w:rPr>
        <w:t xml:space="preserve"> </w:t>
      </w:r>
      <w:proofErr w:type="spellStart"/>
      <w:r w:rsidRPr="00234720">
        <w:rPr>
          <w:rFonts w:ascii="Times New Roman" w:eastAsia="Times New Roman" w:hAnsi="Times New Roman" w:cs="Times New Roman"/>
          <w:sz w:val="24"/>
          <w:szCs w:val="24"/>
          <w:lang w:val="en-US"/>
        </w:rPr>
        <w:t>Xue</w:t>
      </w:r>
      <w:proofErr w:type="spellEnd"/>
      <w:r w:rsidRPr="00234720">
        <w:rPr>
          <w:rFonts w:ascii="Times New Roman" w:eastAsia="Times New Roman" w:hAnsi="Times New Roman" w:cs="Times New Roman"/>
          <w:sz w:val="24"/>
          <w:szCs w:val="24"/>
          <w:lang w:val="en-US"/>
        </w:rPr>
        <w:t xml:space="preserve"> C, Ge Y, Tang B, Liu Y, Kang P, Wang M, Zhang L. A meta-analysis of risk factors for combat-related PTSD among military personnel and veterans. </w:t>
      </w:r>
      <w:proofErr w:type="spellStart"/>
      <w:r w:rsidRPr="00234720">
        <w:rPr>
          <w:rFonts w:ascii="Times New Roman" w:eastAsia="Times New Roman" w:hAnsi="Times New Roman" w:cs="Times New Roman"/>
          <w:sz w:val="24"/>
          <w:szCs w:val="24"/>
          <w:lang w:val="en-US"/>
        </w:rPr>
        <w:t>PLoS</w:t>
      </w:r>
      <w:proofErr w:type="spellEnd"/>
      <w:r w:rsidRPr="00234720">
        <w:rPr>
          <w:rFonts w:ascii="Times New Roman" w:eastAsia="Times New Roman" w:hAnsi="Times New Roman" w:cs="Times New Roman"/>
          <w:sz w:val="24"/>
          <w:szCs w:val="24"/>
          <w:lang w:val="en-US"/>
        </w:rPr>
        <w:t xml:space="preserve"> One. 2015;</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10(3):e0120270. DOI: 10.1371/journal.pone.0120270</w:t>
      </w:r>
    </w:p>
    <w:p w14:paraId="72DF7E46" w14:textId="77777777" w:rsidR="004D173E" w:rsidRPr="00DD566A" w:rsidRDefault="004D173E" w:rsidP="004D173E">
      <w:pPr>
        <w:spacing w:after="0" w:line="360" w:lineRule="auto"/>
        <w:rPr>
          <w:rFonts w:ascii="Times New Roman" w:eastAsia="Times New Roman" w:hAnsi="Times New Roman" w:cs="Times New Roman"/>
          <w:sz w:val="24"/>
          <w:szCs w:val="24"/>
        </w:rPr>
      </w:pPr>
      <w:r w:rsidRPr="00234720">
        <w:rPr>
          <w:rFonts w:ascii="Times New Roman" w:eastAsia="Times New Roman" w:hAnsi="Times New Roman" w:cs="Times New Roman"/>
          <w:sz w:val="24"/>
          <w:szCs w:val="24"/>
          <w:lang w:val="en-US"/>
        </w:rPr>
        <w:t>13.</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 xml:space="preserve">Dabbs C, Watkins EY, Fink DS, </w:t>
      </w:r>
      <w:proofErr w:type="spellStart"/>
      <w:r w:rsidRPr="00234720">
        <w:rPr>
          <w:rFonts w:ascii="Times New Roman" w:eastAsia="Times New Roman" w:hAnsi="Times New Roman" w:cs="Times New Roman"/>
          <w:sz w:val="24"/>
          <w:szCs w:val="24"/>
          <w:lang w:val="en-US"/>
        </w:rPr>
        <w:t>Eick</w:t>
      </w:r>
      <w:proofErr w:type="spellEnd"/>
      <w:r w:rsidRPr="00234720">
        <w:rPr>
          <w:rFonts w:ascii="Times New Roman" w:eastAsia="Times New Roman" w:hAnsi="Times New Roman" w:cs="Times New Roman"/>
          <w:sz w:val="24"/>
          <w:szCs w:val="24"/>
          <w:lang w:val="en-US"/>
        </w:rPr>
        <w:t xml:space="preserve">-Cost A, Millikan AM. Opiate-related dependence/abuse and PTSD exposure among the active-component U.S. military, 2001 to 2008. </w:t>
      </w:r>
      <w:r w:rsidRPr="00DD566A">
        <w:rPr>
          <w:rFonts w:ascii="Times New Roman" w:eastAsia="Times New Roman" w:hAnsi="Times New Roman" w:cs="Times New Roman"/>
          <w:sz w:val="24"/>
          <w:szCs w:val="24"/>
        </w:rPr>
        <w:t xml:space="preserve">Mil </w:t>
      </w:r>
      <w:proofErr w:type="spellStart"/>
      <w:r w:rsidRPr="00DD566A">
        <w:rPr>
          <w:rFonts w:ascii="Times New Roman" w:eastAsia="Times New Roman" w:hAnsi="Times New Roman" w:cs="Times New Roman"/>
          <w:sz w:val="24"/>
          <w:szCs w:val="24"/>
        </w:rPr>
        <w:t>Med</w:t>
      </w:r>
      <w:proofErr w:type="spellEnd"/>
      <w:r w:rsidRPr="00DD566A">
        <w:rPr>
          <w:rFonts w:ascii="Times New Roman" w:eastAsia="Times New Roman" w:hAnsi="Times New Roman" w:cs="Times New Roman"/>
          <w:sz w:val="24"/>
          <w:szCs w:val="24"/>
        </w:rPr>
        <w:t>. 2014;</w:t>
      </w:r>
      <w:r>
        <w:rPr>
          <w:rFonts w:ascii="Times New Roman" w:eastAsia="Times New Roman" w:hAnsi="Times New Roman" w:cs="Times New Roman"/>
          <w:sz w:val="24"/>
          <w:szCs w:val="24"/>
        </w:rPr>
        <w:t xml:space="preserve"> </w:t>
      </w:r>
      <w:r w:rsidRPr="00DD566A">
        <w:rPr>
          <w:rFonts w:ascii="Times New Roman" w:eastAsia="Times New Roman" w:hAnsi="Times New Roman" w:cs="Times New Roman"/>
          <w:sz w:val="24"/>
          <w:szCs w:val="24"/>
        </w:rPr>
        <w:t>179(8):</w:t>
      </w:r>
      <w:r>
        <w:rPr>
          <w:rFonts w:ascii="Times New Roman" w:eastAsia="Times New Roman" w:hAnsi="Times New Roman" w:cs="Times New Roman"/>
          <w:sz w:val="24"/>
          <w:szCs w:val="24"/>
        </w:rPr>
        <w:t xml:space="preserve"> </w:t>
      </w:r>
      <w:r w:rsidRPr="00DD566A">
        <w:rPr>
          <w:rFonts w:ascii="Times New Roman" w:eastAsia="Times New Roman" w:hAnsi="Times New Roman" w:cs="Times New Roman"/>
          <w:sz w:val="24"/>
          <w:szCs w:val="24"/>
        </w:rPr>
        <w:t>885-90. DOI: 10.7205/MILMED-D-14-00012</w:t>
      </w:r>
    </w:p>
    <w:p w14:paraId="02FC358D" w14:textId="77777777" w:rsidR="004D173E" w:rsidRPr="00DD566A" w:rsidRDefault="004D173E" w:rsidP="004D173E">
      <w:pPr>
        <w:spacing w:after="0" w:line="360" w:lineRule="auto"/>
        <w:rPr>
          <w:rFonts w:ascii="Times New Roman" w:eastAsia="Times New Roman" w:hAnsi="Times New Roman" w:cs="Times New Roman"/>
          <w:sz w:val="24"/>
          <w:szCs w:val="24"/>
        </w:rPr>
      </w:pPr>
      <w:r w:rsidRPr="00DD566A">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w:t>
      </w:r>
      <w:r w:rsidRPr="00DD566A">
        <w:rPr>
          <w:rFonts w:ascii="Times New Roman" w:eastAsia="Times New Roman" w:hAnsi="Times New Roman" w:cs="Times New Roman"/>
          <w:sz w:val="24"/>
          <w:szCs w:val="24"/>
        </w:rPr>
        <w:t xml:space="preserve">González-Penagos Catalina, Moreno-Bedoya Juan P, </w:t>
      </w:r>
      <w:proofErr w:type="spellStart"/>
      <w:r w:rsidRPr="00DD566A">
        <w:rPr>
          <w:rFonts w:ascii="Times New Roman" w:eastAsia="Times New Roman" w:hAnsi="Times New Roman" w:cs="Times New Roman"/>
          <w:sz w:val="24"/>
          <w:szCs w:val="24"/>
        </w:rPr>
        <w:t>Berbesi</w:t>
      </w:r>
      <w:proofErr w:type="spellEnd"/>
      <w:r w:rsidRPr="00DD566A">
        <w:rPr>
          <w:rFonts w:ascii="Times New Roman" w:eastAsia="Times New Roman" w:hAnsi="Times New Roman" w:cs="Times New Roman"/>
          <w:sz w:val="24"/>
          <w:szCs w:val="24"/>
        </w:rPr>
        <w:t xml:space="preserve">-Fernández </w:t>
      </w:r>
      <w:proofErr w:type="spellStart"/>
      <w:r w:rsidRPr="00DD566A">
        <w:rPr>
          <w:rFonts w:ascii="Times New Roman" w:eastAsia="Times New Roman" w:hAnsi="Times New Roman" w:cs="Times New Roman"/>
          <w:sz w:val="24"/>
          <w:szCs w:val="24"/>
        </w:rPr>
        <w:t>Dedsy</w:t>
      </w:r>
      <w:proofErr w:type="spellEnd"/>
      <w:r w:rsidRPr="00DD566A">
        <w:rPr>
          <w:rFonts w:ascii="Times New Roman" w:eastAsia="Times New Roman" w:hAnsi="Times New Roman" w:cs="Times New Roman"/>
          <w:sz w:val="24"/>
          <w:szCs w:val="24"/>
        </w:rPr>
        <w:t xml:space="preserve"> Y, Segura-Cardona Ángela M. Factores laborales asociados al riesgo de estrés postraumático en uniformados de un sector de Medellín. Rev. </w:t>
      </w:r>
      <w:r>
        <w:rPr>
          <w:rFonts w:ascii="Times New Roman" w:eastAsia="Times New Roman" w:hAnsi="Times New Roman" w:cs="Times New Roman"/>
          <w:sz w:val="24"/>
          <w:szCs w:val="24"/>
        </w:rPr>
        <w:t>S</w:t>
      </w:r>
      <w:r w:rsidRPr="00DD566A">
        <w:rPr>
          <w:rFonts w:ascii="Times New Roman" w:eastAsia="Times New Roman" w:hAnsi="Times New Roman" w:cs="Times New Roman"/>
          <w:sz w:val="24"/>
          <w:szCs w:val="24"/>
        </w:rPr>
        <w:t xml:space="preserve">alud </w:t>
      </w:r>
      <w:r>
        <w:rPr>
          <w:rFonts w:ascii="Times New Roman" w:eastAsia="Times New Roman" w:hAnsi="Times New Roman" w:cs="Times New Roman"/>
          <w:sz w:val="24"/>
          <w:szCs w:val="24"/>
        </w:rPr>
        <w:t>P</w:t>
      </w:r>
      <w:r w:rsidRPr="00DD566A">
        <w:rPr>
          <w:rFonts w:ascii="Times New Roman" w:eastAsia="Times New Roman" w:hAnsi="Times New Roman" w:cs="Times New Roman"/>
          <w:sz w:val="24"/>
          <w:szCs w:val="24"/>
        </w:rPr>
        <w:t xml:space="preserve">ública. 2013 [acceso: 31/07/2021]; 15(3): 335-41. Disponible en: </w:t>
      </w:r>
      <w:hyperlink r:id="rId16" w:history="1">
        <w:r w:rsidRPr="00F97C65">
          <w:rPr>
            <w:rStyle w:val="Hipervnculo"/>
            <w:rFonts w:ascii="Times New Roman" w:eastAsia="Times New Roman" w:hAnsi="Times New Roman" w:cs="Times New Roman"/>
            <w:sz w:val="24"/>
            <w:szCs w:val="24"/>
          </w:rPr>
          <w:t>http://www.scielo.org.co/scielo.php?script=sci_arttext&amp;pid=S0124-00642013000300001&amp;lng=en</w:t>
        </w:r>
      </w:hyperlink>
      <w:r>
        <w:rPr>
          <w:rFonts w:ascii="Times New Roman" w:eastAsia="Times New Roman" w:hAnsi="Times New Roman" w:cs="Times New Roman"/>
          <w:sz w:val="24"/>
          <w:szCs w:val="24"/>
        </w:rPr>
        <w:t xml:space="preserve"> </w:t>
      </w:r>
    </w:p>
    <w:p w14:paraId="209F07EA" w14:textId="77777777" w:rsidR="004D173E" w:rsidRPr="00234720" w:rsidRDefault="004D173E" w:rsidP="004D173E">
      <w:pPr>
        <w:spacing w:after="0" w:line="360" w:lineRule="auto"/>
        <w:rPr>
          <w:rFonts w:ascii="Times New Roman" w:eastAsia="Times New Roman" w:hAnsi="Times New Roman" w:cs="Times New Roman"/>
          <w:sz w:val="24"/>
          <w:szCs w:val="24"/>
          <w:lang w:val="en-US"/>
        </w:rPr>
      </w:pPr>
      <w:r w:rsidRPr="00234720">
        <w:rPr>
          <w:rFonts w:ascii="Times New Roman" w:eastAsia="Times New Roman" w:hAnsi="Times New Roman" w:cs="Times New Roman"/>
          <w:sz w:val="24"/>
          <w:szCs w:val="24"/>
          <w:lang w:val="en-US"/>
        </w:rPr>
        <w:t>15.</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 xml:space="preserve">Hartley TA, </w:t>
      </w:r>
      <w:proofErr w:type="spellStart"/>
      <w:r w:rsidRPr="00234720">
        <w:rPr>
          <w:rFonts w:ascii="Times New Roman" w:eastAsia="Times New Roman" w:hAnsi="Times New Roman" w:cs="Times New Roman"/>
          <w:sz w:val="24"/>
          <w:szCs w:val="24"/>
          <w:lang w:val="en-US"/>
        </w:rPr>
        <w:t>Violanti</w:t>
      </w:r>
      <w:proofErr w:type="spellEnd"/>
      <w:r w:rsidRPr="00234720">
        <w:rPr>
          <w:rFonts w:ascii="Times New Roman" w:eastAsia="Times New Roman" w:hAnsi="Times New Roman" w:cs="Times New Roman"/>
          <w:sz w:val="24"/>
          <w:szCs w:val="24"/>
          <w:lang w:val="en-US"/>
        </w:rPr>
        <w:t xml:space="preserve"> JM, Sarkisian K, Andrew ME, </w:t>
      </w:r>
      <w:proofErr w:type="spellStart"/>
      <w:r w:rsidRPr="00234720">
        <w:rPr>
          <w:rFonts w:ascii="Times New Roman" w:eastAsia="Times New Roman" w:hAnsi="Times New Roman" w:cs="Times New Roman"/>
          <w:sz w:val="24"/>
          <w:szCs w:val="24"/>
          <w:lang w:val="en-US"/>
        </w:rPr>
        <w:t>Burchfiel</w:t>
      </w:r>
      <w:proofErr w:type="spellEnd"/>
      <w:r w:rsidRPr="00234720">
        <w:rPr>
          <w:rFonts w:ascii="Times New Roman" w:eastAsia="Times New Roman" w:hAnsi="Times New Roman" w:cs="Times New Roman"/>
          <w:sz w:val="24"/>
          <w:szCs w:val="24"/>
          <w:lang w:val="en-US"/>
        </w:rPr>
        <w:t xml:space="preserve"> CM. PTSD symptoms among police officers: associations with frequency, recency, and types of traumatic events. Int J </w:t>
      </w:r>
      <w:proofErr w:type="spellStart"/>
      <w:r w:rsidRPr="00234720">
        <w:rPr>
          <w:rFonts w:ascii="Times New Roman" w:eastAsia="Times New Roman" w:hAnsi="Times New Roman" w:cs="Times New Roman"/>
          <w:sz w:val="24"/>
          <w:szCs w:val="24"/>
          <w:lang w:val="en-US"/>
        </w:rPr>
        <w:t>Emerg</w:t>
      </w:r>
      <w:proofErr w:type="spellEnd"/>
      <w:r w:rsidRPr="00234720">
        <w:rPr>
          <w:rFonts w:ascii="Times New Roman" w:eastAsia="Times New Roman" w:hAnsi="Times New Roman" w:cs="Times New Roman"/>
          <w:sz w:val="24"/>
          <w:szCs w:val="24"/>
          <w:lang w:val="en-US"/>
        </w:rPr>
        <w:t xml:space="preserve"> </w:t>
      </w:r>
      <w:proofErr w:type="spellStart"/>
      <w:r w:rsidRPr="00234720">
        <w:rPr>
          <w:rFonts w:ascii="Times New Roman" w:eastAsia="Times New Roman" w:hAnsi="Times New Roman" w:cs="Times New Roman"/>
          <w:sz w:val="24"/>
          <w:szCs w:val="24"/>
          <w:lang w:val="en-US"/>
        </w:rPr>
        <w:t>Ment</w:t>
      </w:r>
      <w:proofErr w:type="spellEnd"/>
      <w:r w:rsidRPr="00234720">
        <w:rPr>
          <w:rFonts w:ascii="Times New Roman" w:eastAsia="Times New Roman" w:hAnsi="Times New Roman" w:cs="Times New Roman"/>
          <w:sz w:val="24"/>
          <w:szCs w:val="24"/>
          <w:lang w:val="en-US"/>
        </w:rPr>
        <w:t xml:space="preserve"> Health. </w:t>
      </w:r>
      <w:r w:rsidRPr="00234720">
        <w:rPr>
          <w:rFonts w:ascii="Times New Roman" w:eastAsia="Times New Roman" w:hAnsi="Times New Roman" w:cs="Times New Roman"/>
          <w:sz w:val="24"/>
          <w:szCs w:val="24"/>
          <w:lang w:val="en-US"/>
        </w:rPr>
        <w:lastRenderedPageBreak/>
        <w:t>2013 [</w:t>
      </w:r>
      <w:proofErr w:type="spellStart"/>
      <w:r w:rsidRPr="00234720">
        <w:rPr>
          <w:rFonts w:ascii="Times New Roman" w:eastAsia="Times New Roman" w:hAnsi="Times New Roman" w:cs="Times New Roman"/>
          <w:sz w:val="24"/>
          <w:szCs w:val="24"/>
          <w:lang w:val="en-US"/>
        </w:rPr>
        <w:t>acceso</w:t>
      </w:r>
      <w:proofErr w:type="spellEnd"/>
      <w:r w:rsidRPr="00234720">
        <w:rPr>
          <w:rFonts w:ascii="Times New Roman" w:eastAsia="Times New Roman" w:hAnsi="Times New Roman" w:cs="Times New Roman"/>
          <w:sz w:val="24"/>
          <w:szCs w:val="24"/>
          <w:lang w:val="en-US"/>
        </w:rPr>
        <w:t xml:space="preserve">: 31/07/2021]; 15(4):241-53. Disponible </w:t>
      </w:r>
      <w:proofErr w:type="spellStart"/>
      <w:r w:rsidRPr="00234720">
        <w:rPr>
          <w:rFonts w:ascii="Times New Roman" w:eastAsia="Times New Roman" w:hAnsi="Times New Roman" w:cs="Times New Roman"/>
          <w:sz w:val="24"/>
          <w:szCs w:val="24"/>
          <w:lang w:val="en-US"/>
        </w:rPr>
        <w:t>en</w:t>
      </w:r>
      <w:proofErr w:type="spellEnd"/>
      <w:r w:rsidRPr="00234720">
        <w:rPr>
          <w:rFonts w:ascii="Times New Roman" w:eastAsia="Times New Roman" w:hAnsi="Times New Roman" w:cs="Times New Roman"/>
          <w:sz w:val="24"/>
          <w:szCs w:val="24"/>
          <w:lang w:val="en-US"/>
        </w:rPr>
        <w:t xml:space="preserve">: </w:t>
      </w:r>
      <w:hyperlink r:id="rId17" w:history="1">
        <w:r w:rsidRPr="00234720">
          <w:rPr>
            <w:rStyle w:val="Hipervnculo"/>
            <w:lang w:val="en-US"/>
          </w:rPr>
          <w:t>https://www.ncbi.nlm.nih.gov/pmc/articles/PMC4734407/</w:t>
        </w:r>
      </w:hyperlink>
      <w:r w:rsidRPr="00234720">
        <w:rPr>
          <w:rFonts w:ascii="Times New Roman" w:eastAsia="Times New Roman" w:hAnsi="Times New Roman" w:cs="Times New Roman"/>
          <w:sz w:val="24"/>
          <w:szCs w:val="24"/>
          <w:lang w:val="en-US"/>
        </w:rPr>
        <w:t xml:space="preserve"> </w:t>
      </w:r>
    </w:p>
    <w:p w14:paraId="0FFF5D80" w14:textId="77777777" w:rsidR="004D173E" w:rsidRPr="00234720" w:rsidRDefault="004D173E" w:rsidP="004D173E">
      <w:pPr>
        <w:spacing w:after="0" w:line="360" w:lineRule="auto"/>
        <w:rPr>
          <w:rFonts w:ascii="Times New Roman" w:eastAsia="Times New Roman" w:hAnsi="Times New Roman" w:cs="Times New Roman"/>
          <w:sz w:val="24"/>
          <w:szCs w:val="24"/>
          <w:lang w:val="en-US"/>
        </w:rPr>
      </w:pPr>
      <w:r w:rsidRPr="00234720">
        <w:rPr>
          <w:rFonts w:ascii="Times New Roman" w:eastAsia="Times New Roman" w:hAnsi="Times New Roman" w:cs="Times New Roman"/>
          <w:sz w:val="24"/>
          <w:szCs w:val="24"/>
          <w:lang w:val="en-US"/>
        </w:rPr>
        <w:t>16.</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 xml:space="preserve">Dabbs C, Watkins EY, Fink DS, </w:t>
      </w:r>
      <w:proofErr w:type="spellStart"/>
      <w:r w:rsidRPr="00234720">
        <w:rPr>
          <w:rFonts w:ascii="Times New Roman" w:eastAsia="Times New Roman" w:hAnsi="Times New Roman" w:cs="Times New Roman"/>
          <w:sz w:val="24"/>
          <w:szCs w:val="24"/>
          <w:lang w:val="en-US"/>
        </w:rPr>
        <w:t>Eick</w:t>
      </w:r>
      <w:proofErr w:type="spellEnd"/>
      <w:r w:rsidRPr="00234720">
        <w:rPr>
          <w:rFonts w:ascii="Times New Roman" w:eastAsia="Times New Roman" w:hAnsi="Times New Roman" w:cs="Times New Roman"/>
          <w:sz w:val="24"/>
          <w:szCs w:val="24"/>
          <w:lang w:val="en-US"/>
        </w:rPr>
        <w:t>-Cost A, Millikan AM. Opiate-related dependence/abuse and PTSD exposure among the active-component U.S. military, 2001 to 2008. Mil Med. 2014;</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179(8):885-90. DOI: 10.7205/MILMED-D-14-00012</w:t>
      </w:r>
    </w:p>
    <w:p w14:paraId="52B2B889" w14:textId="77777777" w:rsidR="004D173E" w:rsidRPr="00234720" w:rsidRDefault="004D173E" w:rsidP="004D173E">
      <w:pPr>
        <w:spacing w:after="0" w:line="360" w:lineRule="auto"/>
        <w:rPr>
          <w:rFonts w:ascii="Times New Roman" w:eastAsia="Times New Roman" w:hAnsi="Times New Roman" w:cs="Times New Roman"/>
          <w:sz w:val="24"/>
          <w:szCs w:val="24"/>
          <w:lang w:val="en-US"/>
        </w:rPr>
      </w:pPr>
      <w:r w:rsidRPr="00234720">
        <w:rPr>
          <w:rFonts w:ascii="Times New Roman" w:eastAsia="Times New Roman" w:hAnsi="Times New Roman" w:cs="Times New Roman"/>
          <w:sz w:val="24"/>
          <w:szCs w:val="24"/>
          <w:lang w:val="en-US"/>
        </w:rPr>
        <w:t>17.</w:t>
      </w:r>
      <w:r>
        <w:rPr>
          <w:rFonts w:ascii="Times New Roman" w:eastAsia="Times New Roman" w:hAnsi="Times New Roman" w:cs="Times New Roman"/>
          <w:sz w:val="24"/>
          <w:szCs w:val="24"/>
          <w:lang w:val="en-US"/>
        </w:rPr>
        <w:t xml:space="preserve"> </w:t>
      </w:r>
      <w:proofErr w:type="spellStart"/>
      <w:r w:rsidRPr="00234720">
        <w:rPr>
          <w:rFonts w:ascii="Times New Roman" w:eastAsia="Times New Roman" w:hAnsi="Times New Roman" w:cs="Times New Roman"/>
          <w:sz w:val="24"/>
          <w:szCs w:val="24"/>
          <w:lang w:val="en-US"/>
        </w:rPr>
        <w:t>deRoon</w:t>
      </w:r>
      <w:proofErr w:type="spellEnd"/>
      <w:r w:rsidRPr="00234720">
        <w:rPr>
          <w:rFonts w:ascii="Times New Roman" w:eastAsia="Times New Roman" w:hAnsi="Times New Roman" w:cs="Times New Roman"/>
          <w:sz w:val="24"/>
          <w:szCs w:val="24"/>
          <w:lang w:val="en-US"/>
        </w:rPr>
        <w:t>-Cassini TA, Hunt JC, Geier TJ, Warren AM, Ruggiero KJ, Scott K, et al. Screening and treating hospitalized trauma survivors for posttraumatic stress disorder and depression. J Trauma Acute Care Surg. 2019;</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87(2):</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440-50. DOI: 10.1097/TA.0000000000002370</w:t>
      </w:r>
    </w:p>
    <w:p w14:paraId="2D5E5316" w14:textId="77777777" w:rsidR="004D173E" w:rsidRPr="00234720" w:rsidRDefault="004D173E" w:rsidP="004D173E">
      <w:pPr>
        <w:spacing w:after="0" w:line="360" w:lineRule="auto"/>
        <w:rPr>
          <w:rFonts w:ascii="Times New Roman" w:eastAsia="Times New Roman" w:hAnsi="Times New Roman" w:cs="Times New Roman"/>
          <w:sz w:val="24"/>
          <w:szCs w:val="24"/>
          <w:lang w:val="en-US"/>
        </w:rPr>
      </w:pPr>
      <w:r w:rsidRPr="00234720">
        <w:rPr>
          <w:rFonts w:ascii="Times New Roman" w:eastAsia="Times New Roman" w:hAnsi="Times New Roman" w:cs="Times New Roman"/>
          <w:sz w:val="24"/>
          <w:szCs w:val="24"/>
          <w:lang w:val="en-US"/>
        </w:rPr>
        <w:t>18.</w:t>
      </w:r>
      <w:r>
        <w:rPr>
          <w:rFonts w:ascii="Times New Roman" w:eastAsia="Times New Roman" w:hAnsi="Times New Roman" w:cs="Times New Roman"/>
          <w:sz w:val="24"/>
          <w:szCs w:val="24"/>
          <w:lang w:val="en-US"/>
        </w:rPr>
        <w:t xml:space="preserve"> </w:t>
      </w:r>
      <w:proofErr w:type="spellStart"/>
      <w:r w:rsidRPr="00234720">
        <w:rPr>
          <w:rFonts w:ascii="Times New Roman" w:eastAsia="Times New Roman" w:hAnsi="Times New Roman" w:cs="Times New Roman"/>
          <w:sz w:val="24"/>
          <w:szCs w:val="24"/>
          <w:lang w:val="en-US"/>
        </w:rPr>
        <w:t>deRoon</w:t>
      </w:r>
      <w:proofErr w:type="spellEnd"/>
      <w:r w:rsidRPr="00234720">
        <w:rPr>
          <w:rFonts w:ascii="Times New Roman" w:eastAsia="Times New Roman" w:hAnsi="Times New Roman" w:cs="Times New Roman"/>
          <w:sz w:val="24"/>
          <w:szCs w:val="24"/>
          <w:lang w:val="en-US"/>
        </w:rPr>
        <w:t xml:space="preserve">-Cassini TA, Mancini AD, </w:t>
      </w:r>
      <w:proofErr w:type="spellStart"/>
      <w:r w:rsidRPr="00234720">
        <w:rPr>
          <w:rFonts w:ascii="Times New Roman" w:eastAsia="Times New Roman" w:hAnsi="Times New Roman" w:cs="Times New Roman"/>
          <w:sz w:val="24"/>
          <w:szCs w:val="24"/>
          <w:lang w:val="en-US"/>
        </w:rPr>
        <w:t>Rusch</w:t>
      </w:r>
      <w:proofErr w:type="spellEnd"/>
      <w:r w:rsidRPr="00234720">
        <w:rPr>
          <w:rFonts w:ascii="Times New Roman" w:eastAsia="Times New Roman" w:hAnsi="Times New Roman" w:cs="Times New Roman"/>
          <w:sz w:val="24"/>
          <w:szCs w:val="24"/>
          <w:lang w:val="en-US"/>
        </w:rPr>
        <w:t xml:space="preserve"> MD, </w:t>
      </w:r>
      <w:proofErr w:type="spellStart"/>
      <w:r w:rsidRPr="00234720">
        <w:rPr>
          <w:rFonts w:ascii="Times New Roman" w:eastAsia="Times New Roman" w:hAnsi="Times New Roman" w:cs="Times New Roman"/>
          <w:sz w:val="24"/>
          <w:szCs w:val="24"/>
          <w:lang w:val="en-US"/>
        </w:rPr>
        <w:t>Bonanno</w:t>
      </w:r>
      <w:proofErr w:type="spellEnd"/>
      <w:r w:rsidRPr="00234720">
        <w:rPr>
          <w:rFonts w:ascii="Times New Roman" w:eastAsia="Times New Roman" w:hAnsi="Times New Roman" w:cs="Times New Roman"/>
          <w:sz w:val="24"/>
          <w:szCs w:val="24"/>
          <w:lang w:val="en-US"/>
        </w:rPr>
        <w:t xml:space="preserve"> GA. Psychopathology and resilience following traumatic injury: a latent growth mixture model analysis. </w:t>
      </w:r>
      <w:proofErr w:type="spellStart"/>
      <w:r w:rsidRPr="00234720">
        <w:rPr>
          <w:rFonts w:ascii="Times New Roman" w:eastAsia="Times New Roman" w:hAnsi="Times New Roman" w:cs="Times New Roman"/>
          <w:sz w:val="24"/>
          <w:szCs w:val="24"/>
          <w:lang w:val="en-US"/>
        </w:rPr>
        <w:t>Rehabil</w:t>
      </w:r>
      <w:proofErr w:type="spellEnd"/>
      <w:r w:rsidRPr="00234720">
        <w:rPr>
          <w:rFonts w:ascii="Times New Roman" w:eastAsia="Times New Roman" w:hAnsi="Times New Roman" w:cs="Times New Roman"/>
          <w:sz w:val="24"/>
          <w:szCs w:val="24"/>
          <w:lang w:val="en-US"/>
        </w:rPr>
        <w:t xml:space="preserve"> Psychol. 2010;</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55(1):</w:t>
      </w:r>
      <w:r>
        <w:rPr>
          <w:rFonts w:ascii="Times New Roman" w:eastAsia="Times New Roman" w:hAnsi="Times New Roman" w:cs="Times New Roman"/>
          <w:sz w:val="24"/>
          <w:szCs w:val="24"/>
          <w:lang w:val="en-US"/>
        </w:rPr>
        <w:t xml:space="preserve"> </w:t>
      </w:r>
      <w:r w:rsidRPr="00234720">
        <w:rPr>
          <w:rFonts w:ascii="Times New Roman" w:eastAsia="Times New Roman" w:hAnsi="Times New Roman" w:cs="Times New Roman"/>
          <w:sz w:val="24"/>
          <w:szCs w:val="24"/>
          <w:lang w:val="en-US"/>
        </w:rPr>
        <w:t xml:space="preserve">1-11. </w:t>
      </w:r>
      <w:r>
        <w:rPr>
          <w:rFonts w:ascii="Times New Roman" w:eastAsia="Times New Roman" w:hAnsi="Times New Roman" w:cs="Times New Roman"/>
          <w:sz w:val="24"/>
          <w:szCs w:val="24"/>
          <w:lang w:val="en-US"/>
        </w:rPr>
        <w:t>DOI</w:t>
      </w:r>
      <w:r w:rsidRPr="00234720">
        <w:rPr>
          <w:rFonts w:ascii="Times New Roman" w:eastAsia="Times New Roman" w:hAnsi="Times New Roman" w:cs="Times New Roman"/>
          <w:sz w:val="24"/>
          <w:szCs w:val="24"/>
          <w:lang w:val="en-US"/>
        </w:rPr>
        <w:t>: 10.1037/a0018601</w:t>
      </w:r>
    </w:p>
    <w:p w14:paraId="16A63B60" w14:textId="77777777" w:rsidR="004D173E" w:rsidRPr="00234720" w:rsidRDefault="004D173E" w:rsidP="004D173E">
      <w:pPr>
        <w:spacing w:after="0" w:line="360" w:lineRule="auto"/>
        <w:rPr>
          <w:rFonts w:ascii="Times New Roman" w:eastAsia="Times New Roman" w:hAnsi="Times New Roman" w:cs="Times New Roman"/>
          <w:sz w:val="24"/>
          <w:szCs w:val="24"/>
          <w:lang w:val="en-US"/>
        </w:rPr>
      </w:pPr>
      <w:r w:rsidRPr="00234720">
        <w:rPr>
          <w:rFonts w:ascii="Times New Roman" w:eastAsia="Times New Roman" w:hAnsi="Times New Roman" w:cs="Times New Roman"/>
          <w:sz w:val="24"/>
          <w:szCs w:val="24"/>
          <w:lang w:val="en-US"/>
        </w:rPr>
        <w:t>19.</w:t>
      </w:r>
      <w:r>
        <w:rPr>
          <w:rFonts w:ascii="Times New Roman" w:eastAsia="Times New Roman" w:hAnsi="Times New Roman" w:cs="Times New Roman"/>
          <w:sz w:val="24"/>
          <w:szCs w:val="24"/>
          <w:lang w:val="en-US"/>
        </w:rPr>
        <w:t xml:space="preserve"> </w:t>
      </w:r>
      <w:proofErr w:type="spellStart"/>
      <w:r w:rsidRPr="00234720">
        <w:rPr>
          <w:rFonts w:ascii="Times New Roman" w:eastAsia="Times New Roman" w:hAnsi="Times New Roman" w:cs="Times New Roman"/>
          <w:sz w:val="24"/>
          <w:szCs w:val="24"/>
          <w:lang w:val="en-US"/>
        </w:rPr>
        <w:t>Petereit</w:t>
      </w:r>
      <w:proofErr w:type="spellEnd"/>
      <w:r w:rsidRPr="00234720">
        <w:rPr>
          <w:rFonts w:ascii="Times New Roman" w:eastAsia="Times New Roman" w:hAnsi="Times New Roman" w:cs="Times New Roman"/>
          <w:sz w:val="24"/>
          <w:szCs w:val="24"/>
          <w:lang w:val="en-US"/>
        </w:rPr>
        <w:t xml:space="preserve">-Haack G, </w:t>
      </w:r>
      <w:proofErr w:type="spellStart"/>
      <w:r w:rsidRPr="00234720">
        <w:rPr>
          <w:rFonts w:ascii="Times New Roman" w:eastAsia="Times New Roman" w:hAnsi="Times New Roman" w:cs="Times New Roman"/>
          <w:sz w:val="24"/>
          <w:szCs w:val="24"/>
          <w:lang w:val="en-US"/>
        </w:rPr>
        <w:t>Bolm-Audorff</w:t>
      </w:r>
      <w:proofErr w:type="spellEnd"/>
      <w:r w:rsidRPr="00234720">
        <w:rPr>
          <w:rFonts w:ascii="Times New Roman" w:eastAsia="Times New Roman" w:hAnsi="Times New Roman" w:cs="Times New Roman"/>
          <w:sz w:val="24"/>
          <w:szCs w:val="24"/>
          <w:lang w:val="en-US"/>
        </w:rPr>
        <w:t xml:space="preserve"> U, Romero Starke K, Seidler A. Occupational Risk for Post-Traumatic Stress Disorder and Trauma-Related Depression: A Systematic Review with Meta-Analysis. Int J Environ Res Public Health. 2020; 17(24):9369. DOI: 10.3390/ijerph17249369</w:t>
      </w:r>
    </w:p>
    <w:p w14:paraId="02409730" w14:textId="77777777" w:rsidR="004D173E" w:rsidRPr="002131C2" w:rsidRDefault="004D173E" w:rsidP="004D173E">
      <w:pPr>
        <w:spacing w:after="0" w:line="360" w:lineRule="auto"/>
        <w:rPr>
          <w:rFonts w:ascii="Times New Roman" w:eastAsia="Times New Roman" w:hAnsi="Times New Roman" w:cs="Times New Roman"/>
          <w:sz w:val="24"/>
          <w:szCs w:val="24"/>
        </w:rPr>
      </w:pPr>
      <w:r w:rsidRPr="00234720">
        <w:rPr>
          <w:rFonts w:ascii="Times New Roman" w:eastAsia="Times New Roman" w:hAnsi="Times New Roman" w:cs="Times New Roman"/>
          <w:sz w:val="24"/>
          <w:szCs w:val="24"/>
          <w:lang w:val="en-US"/>
        </w:rPr>
        <w:t xml:space="preserve">20. </w:t>
      </w:r>
      <w:proofErr w:type="spellStart"/>
      <w:r w:rsidRPr="00234720">
        <w:rPr>
          <w:rFonts w:ascii="Times New Roman" w:eastAsia="Times New Roman" w:hAnsi="Times New Roman" w:cs="Times New Roman"/>
          <w:sz w:val="24"/>
          <w:szCs w:val="24"/>
          <w:lang w:val="en-US"/>
        </w:rPr>
        <w:t>Bastidas-Goyes</w:t>
      </w:r>
      <w:proofErr w:type="spellEnd"/>
      <w:r w:rsidRPr="00234720">
        <w:rPr>
          <w:rFonts w:ascii="Times New Roman" w:eastAsia="Times New Roman" w:hAnsi="Times New Roman" w:cs="Times New Roman"/>
          <w:sz w:val="24"/>
          <w:szCs w:val="24"/>
          <w:lang w:val="en-US"/>
        </w:rPr>
        <w:t xml:space="preserve"> A, </w:t>
      </w:r>
      <w:proofErr w:type="spellStart"/>
      <w:r w:rsidRPr="00234720">
        <w:rPr>
          <w:rFonts w:ascii="Times New Roman" w:eastAsia="Times New Roman" w:hAnsi="Times New Roman" w:cs="Times New Roman"/>
          <w:sz w:val="24"/>
          <w:szCs w:val="24"/>
          <w:lang w:val="en-US"/>
        </w:rPr>
        <w:t>Hincapié</w:t>
      </w:r>
      <w:proofErr w:type="spellEnd"/>
      <w:r w:rsidRPr="00234720">
        <w:rPr>
          <w:rFonts w:ascii="Times New Roman" w:eastAsia="Times New Roman" w:hAnsi="Times New Roman" w:cs="Times New Roman"/>
          <w:sz w:val="24"/>
          <w:szCs w:val="24"/>
          <w:lang w:val="en-US"/>
        </w:rPr>
        <w:t xml:space="preserve">-Díaz G, </w:t>
      </w:r>
      <w:proofErr w:type="spellStart"/>
      <w:r w:rsidRPr="00234720">
        <w:rPr>
          <w:rFonts w:ascii="Times New Roman" w:eastAsia="Times New Roman" w:hAnsi="Times New Roman" w:cs="Times New Roman"/>
          <w:sz w:val="24"/>
          <w:szCs w:val="24"/>
          <w:lang w:val="en-US"/>
        </w:rPr>
        <w:t>Tuta</w:t>
      </w:r>
      <w:proofErr w:type="spellEnd"/>
      <w:r w:rsidRPr="00234720">
        <w:rPr>
          <w:rFonts w:ascii="Times New Roman" w:eastAsia="Times New Roman" w:hAnsi="Times New Roman" w:cs="Times New Roman"/>
          <w:sz w:val="24"/>
          <w:szCs w:val="24"/>
          <w:lang w:val="en-US"/>
        </w:rPr>
        <w:t xml:space="preserve">-Quintero E, Rodríguez-Rojas S. Analysis of lung function in a Colombian military with a medical history of thoracic trauma. </w:t>
      </w:r>
      <w:proofErr w:type="spellStart"/>
      <w:r w:rsidRPr="00DD566A">
        <w:rPr>
          <w:rFonts w:ascii="Times New Roman" w:eastAsia="Times New Roman" w:hAnsi="Times New Roman" w:cs="Times New Roman"/>
          <w:sz w:val="24"/>
          <w:szCs w:val="24"/>
        </w:rPr>
        <w:t>Rev</w:t>
      </w:r>
      <w:proofErr w:type="spellEnd"/>
      <w:r w:rsidRPr="00DD566A">
        <w:rPr>
          <w:rFonts w:ascii="Times New Roman" w:eastAsia="Times New Roman" w:hAnsi="Times New Roman" w:cs="Times New Roman"/>
          <w:sz w:val="24"/>
          <w:szCs w:val="24"/>
        </w:rPr>
        <w:t xml:space="preserve"> </w:t>
      </w:r>
      <w:proofErr w:type="spellStart"/>
      <w:r w:rsidRPr="00DD566A">
        <w:rPr>
          <w:rFonts w:ascii="Times New Roman" w:eastAsia="Times New Roman" w:hAnsi="Times New Roman" w:cs="Times New Roman"/>
          <w:sz w:val="24"/>
          <w:szCs w:val="24"/>
        </w:rPr>
        <w:t>Med</w:t>
      </w:r>
      <w:proofErr w:type="spellEnd"/>
      <w:r w:rsidRPr="00DD566A">
        <w:rPr>
          <w:rFonts w:ascii="Times New Roman" w:eastAsia="Times New Roman" w:hAnsi="Times New Roman" w:cs="Times New Roman"/>
          <w:sz w:val="24"/>
          <w:szCs w:val="24"/>
        </w:rPr>
        <w:t xml:space="preserve"> </w:t>
      </w:r>
      <w:proofErr w:type="spellStart"/>
      <w:r w:rsidRPr="00DD566A">
        <w:rPr>
          <w:rFonts w:ascii="Times New Roman" w:eastAsia="Times New Roman" w:hAnsi="Times New Roman" w:cs="Times New Roman"/>
          <w:sz w:val="24"/>
          <w:szCs w:val="24"/>
        </w:rPr>
        <w:t>Hosp</w:t>
      </w:r>
      <w:proofErr w:type="spellEnd"/>
      <w:r w:rsidRPr="00DD566A">
        <w:rPr>
          <w:rFonts w:ascii="Times New Roman" w:eastAsia="Times New Roman" w:hAnsi="Times New Roman" w:cs="Times New Roman"/>
          <w:sz w:val="24"/>
          <w:szCs w:val="24"/>
        </w:rPr>
        <w:t xml:space="preserve"> Gen Mex. 2021;</w:t>
      </w:r>
      <w:r>
        <w:rPr>
          <w:rFonts w:ascii="Times New Roman" w:eastAsia="Times New Roman" w:hAnsi="Times New Roman" w:cs="Times New Roman"/>
          <w:sz w:val="24"/>
          <w:szCs w:val="24"/>
        </w:rPr>
        <w:t xml:space="preserve"> </w:t>
      </w:r>
      <w:r w:rsidRPr="00DD566A">
        <w:rPr>
          <w:rFonts w:ascii="Times New Roman" w:eastAsia="Times New Roman" w:hAnsi="Times New Roman" w:cs="Times New Roman"/>
          <w:sz w:val="24"/>
          <w:szCs w:val="24"/>
        </w:rPr>
        <w:t>84(3):</w:t>
      </w:r>
      <w:r>
        <w:rPr>
          <w:rFonts w:ascii="Times New Roman" w:eastAsia="Times New Roman" w:hAnsi="Times New Roman" w:cs="Times New Roman"/>
          <w:sz w:val="24"/>
          <w:szCs w:val="24"/>
        </w:rPr>
        <w:t xml:space="preserve"> </w:t>
      </w:r>
      <w:r w:rsidRPr="00DD566A">
        <w:rPr>
          <w:rFonts w:ascii="Times New Roman" w:eastAsia="Times New Roman" w:hAnsi="Times New Roman" w:cs="Times New Roman"/>
          <w:sz w:val="24"/>
          <w:szCs w:val="24"/>
        </w:rPr>
        <w:t>110-15.  DOI: 10.24875/HGMX.21000005</w:t>
      </w:r>
    </w:p>
    <w:p w14:paraId="02F4C097" w14:textId="77777777" w:rsidR="004D173E" w:rsidRPr="002131C2" w:rsidRDefault="004D173E" w:rsidP="004D173E">
      <w:pPr>
        <w:spacing w:after="0" w:line="360" w:lineRule="auto"/>
        <w:rPr>
          <w:rFonts w:ascii="Times New Roman" w:eastAsia="Times New Roman" w:hAnsi="Times New Roman" w:cs="Times New Roman"/>
          <w:b/>
          <w:sz w:val="24"/>
          <w:szCs w:val="24"/>
        </w:rPr>
      </w:pPr>
    </w:p>
    <w:p w14:paraId="028D2486" w14:textId="77777777" w:rsidR="004D173E" w:rsidRDefault="004D173E" w:rsidP="004D173E">
      <w:pPr>
        <w:spacing w:after="0" w:line="360" w:lineRule="auto"/>
        <w:jc w:val="center"/>
        <w:rPr>
          <w:rFonts w:ascii="Times New Roman" w:eastAsia="Times New Roman" w:hAnsi="Times New Roman" w:cs="Times New Roman"/>
          <w:b/>
          <w:sz w:val="24"/>
          <w:szCs w:val="24"/>
        </w:rPr>
      </w:pPr>
    </w:p>
    <w:p w14:paraId="7BBECD9D" w14:textId="77777777" w:rsidR="004D173E" w:rsidRPr="002131C2" w:rsidRDefault="004D173E" w:rsidP="004D173E">
      <w:pPr>
        <w:spacing w:after="0" w:line="360" w:lineRule="auto"/>
        <w:jc w:val="center"/>
        <w:rPr>
          <w:rFonts w:ascii="Times New Roman" w:eastAsia="Times New Roman" w:hAnsi="Times New Roman" w:cs="Times New Roman"/>
          <w:b/>
          <w:sz w:val="24"/>
          <w:szCs w:val="24"/>
        </w:rPr>
      </w:pPr>
      <w:r w:rsidRPr="002131C2">
        <w:rPr>
          <w:rFonts w:ascii="Times New Roman" w:eastAsia="Times New Roman" w:hAnsi="Times New Roman" w:cs="Times New Roman"/>
          <w:b/>
          <w:sz w:val="24"/>
          <w:szCs w:val="24"/>
        </w:rPr>
        <w:t>Conflictos de interés</w:t>
      </w:r>
    </w:p>
    <w:p w14:paraId="61E2E74D"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r w:rsidRPr="002131C2">
        <w:rPr>
          <w:rFonts w:ascii="Times New Roman" w:eastAsia="Times New Roman" w:hAnsi="Times New Roman" w:cs="Times New Roman"/>
          <w:sz w:val="24"/>
          <w:szCs w:val="24"/>
        </w:rPr>
        <w:t>Los autores declaran no tener conflicto</w:t>
      </w:r>
      <w:r>
        <w:rPr>
          <w:rFonts w:ascii="Times New Roman" w:eastAsia="Times New Roman" w:hAnsi="Times New Roman" w:cs="Times New Roman"/>
          <w:sz w:val="24"/>
          <w:szCs w:val="24"/>
        </w:rPr>
        <w:t>s</w:t>
      </w:r>
      <w:r w:rsidRPr="002131C2">
        <w:rPr>
          <w:rFonts w:ascii="Times New Roman" w:eastAsia="Times New Roman" w:hAnsi="Times New Roman" w:cs="Times New Roman"/>
          <w:sz w:val="24"/>
          <w:szCs w:val="24"/>
        </w:rPr>
        <w:t xml:space="preserve"> de interés ni financiación.</w:t>
      </w:r>
    </w:p>
    <w:p w14:paraId="58D061FE" w14:textId="77777777" w:rsidR="004D173E" w:rsidRPr="002131C2" w:rsidRDefault="004D173E" w:rsidP="004D173E">
      <w:pPr>
        <w:spacing w:after="0" w:line="360" w:lineRule="auto"/>
        <w:jc w:val="both"/>
        <w:rPr>
          <w:rFonts w:ascii="Times New Roman" w:eastAsia="Times New Roman" w:hAnsi="Times New Roman" w:cs="Times New Roman"/>
          <w:sz w:val="24"/>
          <w:szCs w:val="24"/>
        </w:rPr>
      </w:pPr>
    </w:p>
    <w:p w14:paraId="4D4C3220" w14:textId="77777777" w:rsidR="004D173E" w:rsidRPr="002131C2" w:rsidRDefault="004D173E" w:rsidP="004D173E">
      <w:pPr>
        <w:spacing w:after="0" w:line="360" w:lineRule="auto"/>
        <w:jc w:val="center"/>
        <w:rPr>
          <w:rFonts w:ascii="Times New Roman" w:eastAsia="Times New Roman" w:hAnsi="Times New Roman" w:cs="Times New Roman"/>
          <w:b/>
          <w:sz w:val="24"/>
          <w:szCs w:val="24"/>
        </w:rPr>
      </w:pPr>
      <w:bookmarkStart w:id="2" w:name="_heading=h.30j0zll" w:colFirst="0" w:colLast="0"/>
      <w:bookmarkEnd w:id="2"/>
      <w:r w:rsidRPr="002131C2">
        <w:rPr>
          <w:rFonts w:ascii="Times New Roman" w:eastAsia="Times New Roman" w:hAnsi="Times New Roman" w:cs="Times New Roman"/>
          <w:b/>
          <w:sz w:val="24"/>
          <w:szCs w:val="24"/>
        </w:rPr>
        <w:t>Contribución de los autores</w:t>
      </w:r>
    </w:p>
    <w:p w14:paraId="7F2BE231" w14:textId="77777777" w:rsidR="004D173E" w:rsidRPr="002131C2" w:rsidRDefault="004D173E" w:rsidP="004D173E">
      <w:pPr>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r w:rsidRPr="002131C2">
        <w:rPr>
          <w:rFonts w:ascii="Times New Roman" w:eastAsia="Times New Roman" w:hAnsi="Times New Roman" w:cs="Times New Roman"/>
          <w:sz w:val="24"/>
          <w:szCs w:val="24"/>
          <w:highlight w:val="white"/>
        </w:rPr>
        <w:t xml:space="preserve">Conceptualización: </w:t>
      </w:r>
      <w:r w:rsidRPr="00234720">
        <w:rPr>
          <w:rFonts w:ascii="Times New Roman" w:eastAsia="Times New Roman" w:hAnsi="Times New Roman" w:cs="Times New Roman"/>
          <w:i/>
          <w:iCs/>
          <w:sz w:val="24"/>
          <w:szCs w:val="24"/>
          <w:highlight w:val="white"/>
        </w:rPr>
        <w:t xml:space="preserve">Alirio Bastidas </w:t>
      </w:r>
      <w:proofErr w:type="spellStart"/>
      <w:r w:rsidRPr="00234720">
        <w:rPr>
          <w:rFonts w:ascii="Times New Roman" w:eastAsia="Times New Roman" w:hAnsi="Times New Roman" w:cs="Times New Roman"/>
          <w:i/>
          <w:iCs/>
          <w:sz w:val="24"/>
          <w:szCs w:val="24"/>
          <w:highlight w:val="white"/>
        </w:rPr>
        <w:t>Goyes</w:t>
      </w:r>
      <w:proofErr w:type="spellEnd"/>
      <w:r w:rsidRPr="00234720">
        <w:rPr>
          <w:rFonts w:ascii="Times New Roman" w:eastAsia="Times New Roman" w:hAnsi="Times New Roman" w:cs="Times New Roman"/>
          <w:i/>
          <w:iCs/>
          <w:sz w:val="24"/>
          <w:szCs w:val="24"/>
          <w:highlight w:val="white"/>
        </w:rPr>
        <w:t xml:space="preserve">, Eduardo Tuta Quintero. </w:t>
      </w:r>
    </w:p>
    <w:p w14:paraId="51917992" w14:textId="77777777" w:rsidR="004D173E" w:rsidRPr="002131C2" w:rsidRDefault="004D173E" w:rsidP="004D173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2. </w:t>
      </w:r>
      <w:r w:rsidRPr="002131C2">
        <w:rPr>
          <w:rFonts w:ascii="Times New Roman" w:eastAsia="Times New Roman" w:hAnsi="Times New Roman" w:cs="Times New Roman"/>
          <w:sz w:val="24"/>
          <w:szCs w:val="24"/>
          <w:highlight w:val="white"/>
        </w:rPr>
        <w:t xml:space="preserve">Curación de datos: </w:t>
      </w:r>
      <w:r w:rsidRPr="00234720">
        <w:rPr>
          <w:rFonts w:ascii="Times New Roman" w:eastAsia="Times New Roman" w:hAnsi="Times New Roman" w:cs="Times New Roman"/>
          <w:i/>
          <w:iCs/>
          <w:sz w:val="24"/>
          <w:szCs w:val="24"/>
          <w:highlight w:val="white"/>
        </w:rPr>
        <w:t xml:space="preserve">Alirio Bastidas </w:t>
      </w:r>
      <w:proofErr w:type="spellStart"/>
      <w:r w:rsidRPr="00234720">
        <w:rPr>
          <w:rFonts w:ascii="Times New Roman" w:eastAsia="Times New Roman" w:hAnsi="Times New Roman" w:cs="Times New Roman"/>
          <w:i/>
          <w:iCs/>
          <w:sz w:val="24"/>
          <w:szCs w:val="24"/>
          <w:highlight w:val="white"/>
        </w:rPr>
        <w:t>Goyes</w:t>
      </w:r>
      <w:proofErr w:type="spellEnd"/>
      <w:r w:rsidRPr="00234720">
        <w:rPr>
          <w:rFonts w:ascii="Times New Roman" w:eastAsia="Times New Roman" w:hAnsi="Times New Roman" w:cs="Times New Roman"/>
          <w:i/>
          <w:iCs/>
          <w:sz w:val="24"/>
          <w:szCs w:val="24"/>
          <w:highlight w:val="white"/>
        </w:rPr>
        <w:t xml:space="preserve">, Eduardo Tuta Quintero, </w:t>
      </w:r>
      <w:r w:rsidRPr="00234720">
        <w:rPr>
          <w:rFonts w:ascii="Times New Roman" w:eastAsia="Times New Roman" w:hAnsi="Times New Roman" w:cs="Times New Roman"/>
          <w:i/>
          <w:iCs/>
          <w:sz w:val="24"/>
          <w:szCs w:val="24"/>
        </w:rPr>
        <w:t>Audrey</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proofErr w:type="spellStart"/>
      <w:r w:rsidRPr="00234720">
        <w:rPr>
          <w:rFonts w:ascii="Times New Roman" w:eastAsia="Times New Roman" w:hAnsi="Times New Roman" w:cs="Times New Roman"/>
          <w:i/>
          <w:iCs/>
          <w:sz w:val="24"/>
          <w:szCs w:val="24"/>
        </w:rPr>
        <w:t>Piotrostanalsky</w:t>
      </w:r>
      <w:proofErr w:type="spellEnd"/>
      <w:r w:rsidRPr="00234720">
        <w:rPr>
          <w:rFonts w:ascii="Times New Roman" w:eastAsia="Times New Roman" w:hAnsi="Times New Roman" w:cs="Times New Roman"/>
          <w:i/>
          <w:iCs/>
          <w:sz w:val="24"/>
          <w:szCs w:val="24"/>
        </w:rPr>
        <w:t xml:space="preserve">, Alejandro Rueda </w:t>
      </w:r>
      <w:proofErr w:type="spellStart"/>
      <w:r w:rsidRPr="00234720">
        <w:rPr>
          <w:rFonts w:ascii="Times New Roman" w:eastAsia="Times New Roman" w:hAnsi="Times New Roman" w:cs="Times New Roman"/>
          <w:i/>
          <w:iCs/>
          <w:sz w:val="24"/>
          <w:szCs w:val="24"/>
        </w:rPr>
        <w:t>Rodriguez</w:t>
      </w:r>
      <w:proofErr w:type="spellEnd"/>
      <w:r w:rsidRPr="00234720">
        <w:rPr>
          <w:rFonts w:ascii="Times New Roman" w:eastAsia="Times New Roman" w:hAnsi="Times New Roman" w:cs="Times New Roman"/>
          <w:i/>
          <w:iCs/>
          <w:sz w:val="24"/>
          <w:szCs w:val="24"/>
        </w:rPr>
        <w:t xml:space="preserve">, Silvia Contreras </w:t>
      </w:r>
      <w:proofErr w:type="spellStart"/>
      <w:r w:rsidRPr="00234720">
        <w:rPr>
          <w:rFonts w:ascii="Times New Roman" w:eastAsia="Times New Roman" w:hAnsi="Times New Roman" w:cs="Times New Roman"/>
          <w:i/>
          <w:iCs/>
          <w:sz w:val="24"/>
          <w:szCs w:val="24"/>
        </w:rPr>
        <w:t>Candelo</w:t>
      </w:r>
      <w:proofErr w:type="spellEnd"/>
      <w:r w:rsidRPr="00234720">
        <w:rPr>
          <w:rFonts w:ascii="Times New Roman" w:eastAsia="Times New Roman" w:hAnsi="Times New Roman" w:cs="Times New Roman"/>
          <w:i/>
          <w:iCs/>
          <w:sz w:val="24"/>
          <w:szCs w:val="24"/>
        </w:rPr>
        <w:t>.</w:t>
      </w:r>
    </w:p>
    <w:p w14:paraId="54F1B4F9" w14:textId="77777777" w:rsidR="004D173E" w:rsidRPr="00234720" w:rsidRDefault="004D173E" w:rsidP="004D173E">
      <w:pPr>
        <w:spacing w:after="0" w:line="360" w:lineRule="auto"/>
        <w:rPr>
          <w:rFonts w:ascii="Times New Roman" w:eastAsia="Times New Roman" w:hAnsi="Times New Roman" w:cs="Times New Roman"/>
          <w:i/>
          <w:iCs/>
          <w:sz w:val="24"/>
          <w:szCs w:val="24"/>
          <w:highlight w:val="white"/>
        </w:rPr>
      </w:pPr>
      <w:r>
        <w:rPr>
          <w:rFonts w:ascii="Times New Roman" w:eastAsia="Times New Roman" w:hAnsi="Times New Roman" w:cs="Times New Roman"/>
          <w:sz w:val="24"/>
          <w:szCs w:val="24"/>
          <w:highlight w:val="white"/>
        </w:rPr>
        <w:t xml:space="preserve">3. </w:t>
      </w:r>
      <w:r w:rsidRPr="002131C2">
        <w:rPr>
          <w:rFonts w:ascii="Times New Roman" w:eastAsia="Times New Roman" w:hAnsi="Times New Roman" w:cs="Times New Roman"/>
          <w:sz w:val="24"/>
          <w:szCs w:val="24"/>
          <w:highlight w:val="white"/>
        </w:rPr>
        <w:t xml:space="preserve">Análisis formal: </w:t>
      </w:r>
      <w:r w:rsidRPr="00234720">
        <w:rPr>
          <w:rFonts w:ascii="Times New Roman" w:eastAsia="Times New Roman" w:hAnsi="Times New Roman" w:cs="Times New Roman"/>
          <w:i/>
          <w:iCs/>
          <w:sz w:val="24"/>
          <w:szCs w:val="24"/>
          <w:highlight w:val="white"/>
        </w:rPr>
        <w:t xml:space="preserve">Alirio Bastidas </w:t>
      </w:r>
      <w:proofErr w:type="spellStart"/>
      <w:r w:rsidRPr="00234720">
        <w:rPr>
          <w:rFonts w:ascii="Times New Roman" w:eastAsia="Times New Roman" w:hAnsi="Times New Roman" w:cs="Times New Roman"/>
          <w:i/>
          <w:iCs/>
          <w:sz w:val="24"/>
          <w:szCs w:val="24"/>
          <w:highlight w:val="white"/>
        </w:rPr>
        <w:t>Goyes</w:t>
      </w:r>
      <w:proofErr w:type="spellEnd"/>
      <w:r w:rsidRPr="00234720">
        <w:rPr>
          <w:rFonts w:ascii="Times New Roman" w:eastAsia="Times New Roman" w:hAnsi="Times New Roman" w:cs="Times New Roman"/>
          <w:i/>
          <w:iCs/>
          <w:sz w:val="24"/>
          <w:szCs w:val="24"/>
          <w:highlight w:val="white"/>
        </w:rPr>
        <w:t xml:space="preserve">, Eduardo Tuta Quintero. </w:t>
      </w:r>
    </w:p>
    <w:p w14:paraId="57B8939D" w14:textId="77777777" w:rsidR="004D173E" w:rsidRPr="00234720" w:rsidRDefault="004D173E" w:rsidP="004D173E">
      <w:pPr>
        <w:spacing w:after="0" w:line="360" w:lineRule="auto"/>
        <w:rPr>
          <w:rFonts w:ascii="Times New Roman" w:eastAsia="Times New Roman" w:hAnsi="Times New Roman" w:cs="Times New Roman"/>
          <w:i/>
          <w:iCs/>
          <w:sz w:val="24"/>
          <w:szCs w:val="24"/>
        </w:rPr>
      </w:pPr>
      <w:r w:rsidRPr="00234720">
        <w:rPr>
          <w:rFonts w:ascii="Times New Roman" w:eastAsia="Times New Roman" w:hAnsi="Times New Roman" w:cs="Times New Roman"/>
          <w:sz w:val="24"/>
          <w:szCs w:val="24"/>
        </w:rPr>
        <w:t xml:space="preserve">4. Adquisición de fondos: </w:t>
      </w:r>
      <w:r w:rsidRPr="00234720">
        <w:rPr>
          <w:rFonts w:ascii="Times New Roman" w:eastAsia="Times New Roman" w:hAnsi="Times New Roman" w:cs="Times New Roman"/>
          <w:i/>
          <w:iCs/>
          <w:sz w:val="24"/>
          <w:szCs w:val="24"/>
        </w:rPr>
        <w:t xml:space="preserve">Alirio Bastidas </w:t>
      </w:r>
      <w:proofErr w:type="spellStart"/>
      <w:r w:rsidRPr="00234720">
        <w:rPr>
          <w:rFonts w:ascii="Times New Roman" w:eastAsia="Times New Roman" w:hAnsi="Times New Roman" w:cs="Times New Roman"/>
          <w:i/>
          <w:iCs/>
          <w:sz w:val="24"/>
          <w:szCs w:val="24"/>
        </w:rPr>
        <w:t>Goyes</w:t>
      </w:r>
      <w:proofErr w:type="spellEnd"/>
      <w:r w:rsidRPr="00234720">
        <w:rPr>
          <w:rFonts w:ascii="Times New Roman" w:eastAsia="Times New Roman" w:hAnsi="Times New Roman" w:cs="Times New Roman"/>
          <w:i/>
          <w:iCs/>
          <w:sz w:val="24"/>
          <w:szCs w:val="24"/>
        </w:rPr>
        <w:t xml:space="preserve">, Gustavo </w:t>
      </w:r>
      <w:proofErr w:type="spellStart"/>
      <w:r w:rsidRPr="00234720">
        <w:rPr>
          <w:rFonts w:ascii="Times New Roman" w:eastAsia="Times New Roman" w:hAnsi="Times New Roman" w:cs="Times New Roman"/>
          <w:i/>
          <w:iCs/>
          <w:sz w:val="24"/>
          <w:szCs w:val="24"/>
        </w:rPr>
        <w:t>Hincapíe</w:t>
      </w:r>
      <w:proofErr w:type="spellEnd"/>
      <w:r w:rsidRPr="00234720">
        <w:rPr>
          <w:rFonts w:ascii="Times New Roman" w:eastAsia="Times New Roman" w:hAnsi="Times New Roman" w:cs="Times New Roman"/>
          <w:i/>
          <w:iCs/>
          <w:sz w:val="24"/>
          <w:szCs w:val="24"/>
        </w:rPr>
        <w:t>-Díaz.</w:t>
      </w:r>
    </w:p>
    <w:p w14:paraId="5F03E219" w14:textId="77777777" w:rsidR="004D173E" w:rsidRPr="00234720" w:rsidRDefault="004D173E" w:rsidP="004D173E">
      <w:pPr>
        <w:spacing w:after="0" w:line="360" w:lineRule="auto"/>
        <w:rPr>
          <w:rFonts w:ascii="Times New Roman" w:eastAsia="Times New Roman" w:hAnsi="Times New Roman" w:cs="Times New Roman"/>
          <w:i/>
          <w:iCs/>
          <w:sz w:val="24"/>
          <w:szCs w:val="24"/>
          <w:highlight w:val="white"/>
        </w:rPr>
      </w:pPr>
      <w:r>
        <w:rPr>
          <w:rFonts w:ascii="Times New Roman" w:eastAsia="Times New Roman" w:hAnsi="Times New Roman" w:cs="Times New Roman"/>
          <w:sz w:val="24"/>
          <w:szCs w:val="24"/>
          <w:highlight w:val="white"/>
        </w:rPr>
        <w:lastRenderedPageBreak/>
        <w:t xml:space="preserve">5. </w:t>
      </w:r>
      <w:r w:rsidRPr="002131C2">
        <w:rPr>
          <w:rFonts w:ascii="Times New Roman" w:eastAsia="Times New Roman" w:hAnsi="Times New Roman" w:cs="Times New Roman"/>
          <w:sz w:val="24"/>
          <w:szCs w:val="24"/>
          <w:highlight w:val="white"/>
        </w:rPr>
        <w:t xml:space="preserve">Investigación: </w:t>
      </w:r>
      <w:r w:rsidRPr="00234720">
        <w:rPr>
          <w:rFonts w:ascii="Times New Roman" w:eastAsia="Times New Roman" w:hAnsi="Times New Roman" w:cs="Times New Roman"/>
          <w:i/>
          <w:iCs/>
          <w:sz w:val="24"/>
          <w:szCs w:val="24"/>
          <w:highlight w:val="white"/>
        </w:rPr>
        <w:t xml:space="preserve">Alirio Bastidas </w:t>
      </w:r>
      <w:proofErr w:type="spellStart"/>
      <w:r w:rsidRPr="00234720">
        <w:rPr>
          <w:rFonts w:ascii="Times New Roman" w:eastAsia="Times New Roman" w:hAnsi="Times New Roman" w:cs="Times New Roman"/>
          <w:i/>
          <w:iCs/>
          <w:sz w:val="24"/>
          <w:szCs w:val="24"/>
          <w:highlight w:val="white"/>
        </w:rPr>
        <w:t>Goyes</w:t>
      </w:r>
      <w:proofErr w:type="spellEnd"/>
      <w:r w:rsidRPr="00234720">
        <w:rPr>
          <w:rFonts w:ascii="Times New Roman" w:eastAsia="Times New Roman" w:hAnsi="Times New Roman" w:cs="Times New Roman"/>
          <w:i/>
          <w:iCs/>
          <w:sz w:val="24"/>
          <w:szCs w:val="24"/>
          <w:highlight w:val="white"/>
        </w:rPr>
        <w:t xml:space="preserve">, </w:t>
      </w:r>
      <w:r w:rsidRPr="00234720">
        <w:rPr>
          <w:rFonts w:ascii="Times New Roman" w:eastAsia="Times New Roman" w:hAnsi="Times New Roman" w:cs="Times New Roman"/>
          <w:i/>
          <w:iCs/>
          <w:sz w:val="24"/>
          <w:szCs w:val="24"/>
        </w:rPr>
        <w:t xml:space="preserve">Gustavo </w:t>
      </w:r>
      <w:proofErr w:type="spellStart"/>
      <w:r w:rsidRPr="00234720">
        <w:rPr>
          <w:rFonts w:ascii="Times New Roman" w:eastAsia="Times New Roman" w:hAnsi="Times New Roman" w:cs="Times New Roman"/>
          <w:i/>
          <w:iCs/>
          <w:sz w:val="24"/>
          <w:szCs w:val="24"/>
        </w:rPr>
        <w:t>Hincapíe</w:t>
      </w:r>
      <w:proofErr w:type="spellEnd"/>
      <w:r w:rsidRPr="00234720">
        <w:rPr>
          <w:rFonts w:ascii="Times New Roman" w:eastAsia="Times New Roman" w:hAnsi="Times New Roman" w:cs="Times New Roman"/>
          <w:i/>
          <w:iCs/>
          <w:sz w:val="24"/>
          <w:szCs w:val="24"/>
        </w:rPr>
        <w:t>-Díaz.</w:t>
      </w:r>
    </w:p>
    <w:p w14:paraId="3305C0C9" w14:textId="77777777" w:rsidR="004D173E" w:rsidRPr="00234720" w:rsidRDefault="004D173E" w:rsidP="004D173E">
      <w:pPr>
        <w:spacing w:after="0" w:line="360" w:lineRule="auto"/>
        <w:rPr>
          <w:rFonts w:ascii="Times New Roman" w:eastAsia="Times New Roman" w:hAnsi="Times New Roman" w:cs="Times New Roman"/>
          <w:i/>
          <w:iCs/>
          <w:sz w:val="24"/>
          <w:szCs w:val="24"/>
          <w:highlight w:val="white"/>
        </w:rPr>
      </w:pPr>
      <w:r>
        <w:rPr>
          <w:rFonts w:ascii="Times New Roman" w:eastAsia="Times New Roman" w:hAnsi="Times New Roman" w:cs="Times New Roman"/>
          <w:sz w:val="24"/>
          <w:szCs w:val="24"/>
          <w:highlight w:val="white"/>
        </w:rPr>
        <w:t xml:space="preserve">6. </w:t>
      </w:r>
      <w:r w:rsidRPr="002131C2">
        <w:rPr>
          <w:rFonts w:ascii="Times New Roman" w:eastAsia="Times New Roman" w:hAnsi="Times New Roman" w:cs="Times New Roman"/>
          <w:sz w:val="24"/>
          <w:szCs w:val="24"/>
          <w:highlight w:val="white"/>
        </w:rPr>
        <w:t xml:space="preserve">Metodología: </w:t>
      </w:r>
      <w:r w:rsidRPr="00234720">
        <w:rPr>
          <w:rFonts w:ascii="Times New Roman" w:eastAsia="Times New Roman" w:hAnsi="Times New Roman" w:cs="Times New Roman"/>
          <w:i/>
          <w:iCs/>
          <w:sz w:val="24"/>
          <w:szCs w:val="24"/>
          <w:highlight w:val="white"/>
        </w:rPr>
        <w:t xml:space="preserve">Alirio Bastidas </w:t>
      </w:r>
      <w:proofErr w:type="spellStart"/>
      <w:r w:rsidRPr="00234720">
        <w:rPr>
          <w:rFonts w:ascii="Times New Roman" w:eastAsia="Times New Roman" w:hAnsi="Times New Roman" w:cs="Times New Roman"/>
          <w:i/>
          <w:iCs/>
          <w:sz w:val="24"/>
          <w:szCs w:val="24"/>
          <w:highlight w:val="white"/>
        </w:rPr>
        <w:t>Goyes</w:t>
      </w:r>
      <w:proofErr w:type="spellEnd"/>
      <w:r w:rsidRPr="00234720">
        <w:rPr>
          <w:rFonts w:ascii="Times New Roman" w:eastAsia="Times New Roman" w:hAnsi="Times New Roman" w:cs="Times New Roman"/>
          <w:i/>
          <w:iCs/>
          <w:sz w:val="24"/>
          <w:szCs w:val="24"/>
          <w:highlight w:val="white"/>
        </w:rPr>
        <w:t>, Eduardo Tuta Quintero.</w:t>
      </w:r>
    </w:p>
    <w:p w14:paraId="7EC1A17A" w14:textId="77777777" w:rsidR="004D173E" w:rsidRPr="00234720" w:rsidRDefault="004D173E" w:rsidP="004D173E">
      <w:pPr>
        <w:spacing w:after="0" w:line="360" w:lineRule="auto"/>
        <w:rPr>
          <w:rFonts w:ascii="Times New Roman" w:eastAsia="Times New Roman" w:hAnsi="Times New Roman" w:cs="Times New Roman"/>
          <w:i/>
          <w:iCs/>
          <w:sz w:val="24"/>
          <w:szCs w:val="24"/>
          <w:highlight w:val="white"/>
        </w:rPr>
      </w:pPr>
      <w:r>
        <w:rPr>
          <w:rFonts w:ascii="Times New Roman" w:eastAsia="Times New Roman" w:hAnsi="Times New Roman" w:cs="Times New Roman"/>
          <w:sz w:val="24"/>
          <w:szCs w:val="24"/>
          <w:highlight w:val="white"/>
        </w:rPr>
        <w:t xml:space="preserve">8. </w:t>
      </w:r>
      <w:r w:rsidRPr="002131C2">
        <w:rPr>
          <w:rFonts w:ascii="Times New Roman" w:eastAsia="Times New Roman" w:hAnsi="Times New Roman" w:cs="Times New Roman"/>
          <w:sz w:val="24"/>
          <w:szCs w:val="24"/>
          <w:highlight w:val="white"/>
        </w:rPr>
        <w:t xml:space="preserve">Recursos: </w:t>
      </w:r>
      <w:r w:rsidRPr="00234720">
        <w:rPr>
          <w:rFonts w:ascii="Times New Roman" w:eastAsia="Times New Roman" w:hAnsi="Times New Roman" w:cs="Times New Roman"/>
          <w:i/>
          <w:iCs/>
          <w:sz w:val="24"/>
          <w:szCs w:val="24"/>
        </w:rPr>
        <w:t xml:space="preserve">Gustavo </w:t>
      </w:r>
      <w:proofErr w:type="spellStart"/>
      <w:r w:rsidRPr="00234720">
        <w:rPr>
          <w:rFonts w:ascii="Times New Roman" w:eastAsia="Times New Roman" w:hAnsi="Times New Roman" w:cs="Times New Roman"/>
          <w:i/>
          <w:iCs/>
          <w:sz w:val="24"/>
          <w:szCs w:val="24"/>
        </w:rPr>
        <w:t>Hincapíe</w:t>
      </w:r>
      <w:proofErr w:type="spellEnd"/>
      <w:r w:rsidRPr="00234720">
        <w:rPr>
          <w:rFonts w:ascii="Times New Roman" w:eastAsia="Times New Roman" w:hAnsi="Times New Roman" w:cs="Times New Roman"/>
          <w:i/>
          <w:iCs/>
          <w:sz w:val="24"/>
          <w:szCs w:val="24"/>
        </w:rPr>
        <w:t xml:space="preserve"> Díaz, Audrey </w:t>
      </w:r>
      <w:proofErr w:type="spellStart"/>
      <w:r w:rsidRPr="00234720">
        <w:rPr>
          <w:rFonts w:ascii="Times New Roman" w:eastAsia="Times New Roman" w:hAnsi="Times New Roman" w:cs="Times New Roman"/>
          <w:i/>
          <w:iCs/>
          <w:sz w:val="24"/>
          <w:szCs w:val="24"/>
        </w:rPr>
        <w:t>Piotrostanalsky</w:t>
      </w:r>
      <w:proofErr w:type="spellEnd"/>
      <w:r w:rsidRPr="00234720">
        <w:rPr>
          <w:rFonts w:ascii="Times New Roman" w:eastAsia="Times New Roman" w:hAnsi="Times New Roman" w:cs="Times New Roman"/>
          <w:i/>
          <w:iCs/>
          <w:sz w:val="24"/>
          <w:szCs w:val="24"/>
        </w:rPr>
        <w:t>.</w:t>
      </w:r>
    </w:p>
    <w:p w14:paraId="655CC9F1" w14:textId="77777777" w:rsidR="004D173E" w:rsidRPr="002131C2" w:rsidRDefault="004D173E" w:rsidP="004D173E">
      <w:pPr>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10. </w:t>
      </w:r>
      <w:r w:rsidRPr="002131C2">
        <w:rPr>
          <w:rFonts w:ascii="Times New Roman" w:eastAsia="Times New Roman" w:hAnsi="Times New Roman" w:cs="Times New Roman"/>
          <w:sz w:val="24"/>
          <w:szCs w:val="24"/>
          <w:highlight w:val="white"/>
        </w:rPr>
        <w:t xml:space="preserve">Supervisión: </w:t>
      </w:r>
      <w:r w:rsidRPr="00234720">
        <w:rPr>
          <w:rFonts w:ascii="Times New Roman" w:eastAsia="Times New Roman" w:hAnsi="Times New Roman" w:cs="Times New Roman"/>
          <w:i/>
          <w:iCs/>
          <w:sz w:val="24"/>
          <w:szCs w:val="24"/>
        </w:rPr>
        <w:t xml:space="preserve">Gustavo </w:t>
      </w:r>
      <w:proofErr w:type="spellStart"/>
      <w:r w:rsidRPr="00234720">
        <w:rPr>
          <w:rFonts w:ascii="Times New Roman" w:eastAsia="Times New Roman" w:hAnsi="Times New Roman" w:cs="Times New Roman"/>
          <w:i/>
          <w:iCs/>
          <w:sz w:val="24"/>
          <w:szCs w:val="24"/>
        </w:rPr>
        <w:t>Hincapíe</w:t>
      </w:r>
      <w:proofErr w:type="spellEnd"/>
      <w:r w:rsidRPr="00234720">
        <w:rPr>
          <w:rFonts w:ascii="Times New Roman" w:eastAsia="Times New Roman" w:hAnsi="Times New Roman" w:cs="Times New Roman"/>
          <w:i/>
          <w:iCs/>
          <w:sz w:val="24"/>
          <w:szCs w:val="24"/>
        </w:rPr>
        <w:t xml:space="preserve"> Díaz, Audrey </w:t>
      </w:r>
      <w:proofErr w:type="spellStart"/>
      <w:r w:rsidRPr="00234720">
        <w:rPr>
          <w:rFonts w:ascii="Times New Roman" w:eastAsia="Times New Roman" w:hAnsi="Times New Roman" w:cs="Times New Roman"/>
          <w:i/>
          <w:iCs/>
          <w:sz w:val="24"/>
          <w:szCs w:val="24"/>
        </w:rPr>
        <w:t>Piotrostanalsky</w:t>
      </w:r>
      <w:proofErr w:type="spellEnd"/>
      <w:r w:rsidRPr="00234720">
        <w:rPr>
          <w:rFonts w:ascii="Times New Roman" w:eastAsia="Times New Roman" w:hAnsi="Times New Roman" w:cs="Times New Roman"/>
          <w:i/>
          <w:iCs/>
          <w:sz w:val="24"/>
          <w:szCs w:val="24"/>
        </w:rPr>
        <w:t xml:space="preserve">, Silvia Contreras </w:t>
      </w:r>
      <w:proofErr w:type="spellStart"/>
      <w:r w:rsidRPr="00234720">
        <w:rPr>
          <w:rFonts w:ascii="Times New Roman" w:eastAsia="Times New Roman" w:hAnsi="Times New Roman" w:cs="Times New Roman"/>
          <w:i/>
          <w:iCs/>
          <w:sz w:val="24"/>
          <w:szCs w:val="24"/>
        </w:rPr>
        <w:t>Candelo</w:t>
      </w:r>
      <w:proofErr w:type="spellEnd"/>
      <w:r w:rsidRPr="00234720">
        <w:rPr>
          <w:rFonts w:ascii="Times New Roman" w:eastAsia="Times New Roman" w:hAnsi="Times New Roman" w:cs="Times New Roman"/>
          <w:i/>
          <w:iCs/>
          <w:sz w:val="24"/>
          <w:szCs w:val="24"/>
        </w:rPr>
        <w:t>.</w:t>
      </w:r>
    </w:p>
    <w:p w14:paraId="33BC0FDF" w14:textId="77777777" w:rsidR="004D173E" w:rsidRPr="00234720" w:rsidRDefault="004D173E" w:rsidP="004D173E">
      <w:pPr>
        <w:spacing w:after="0" w:line="360" w:lineRule="auto"/>
        <w:rPr>
          <w:rFonts w:ascii="Times New Roman" w:eastAsia="Times New Roman" w:hAnsi="Times New Roman" w:cs="Times New Roman"/>
          <w:i/>
          <w:iCs/>
          <w:sz w:val="24"/>
          <w:szCs w:val="24"/>
          <w:highlight w:val="white"/>
        </w:rPr>
      </w:pPr>
      <w:r>
        <w:rPr>
          <w:rFonts w:ascii="Times New Roman" w:eastAsia="Times New Roman" w:hAnsi="Times New Roman" w:cs="Times New Roman"/>
          <w:sz w:val="24"/>
          <w:szCs w:val="24"/>
          <w:highlight w:val="white"/>
        </w:rPr>
        <w:t xml:space="preserve">11. </w:t>
      </w:r>
      <w:r w:rsidRPr="002131C2">
        <w:rPr>
          <w:rFonts w:ascii="Times New Roman" w:eastAsia="Times New Roman" w:hAnsi="Times New Roman" w:cs="Times New Roman"/>
          <w:sz w:val="24"/>
          <w:szCs w:val="24"/>
          <w:highlight w:val="white"/>
        </w:rPr>
        <w:t xml:space="preserve">Validación: </w:t>
      </w:r>
      <w:r w:rsidRPr="00234720">
        <w:rPr>
          <w:rFonts w:ascii="Times New Roman" w:eastAsia="Times New Roman" w:hAnsi="Times New Roman" w:cs="Times New Roman"/>
          <w:i/>
          <w:iCs/>
          <w:sz w:val="24"/>
          <w:szCs w:val="24"/>
        </w:rPr>
        <w:t xml:space="preserve">Audrey </w:t>
      </w:r>
      <w:proofErr w:type="spellStart"/>
      <w:r w:rsidRPr="00234720">
        <w:rPr>
          <w:rFonts w:ascii="Times New Roman" w:eastAsia="Times New Roman" w:hAnsi="Times New Roman" w:cs="Times New Roman"/>
          <w:i/>
          <w:iCs/>
          <w:sz w:val="24"/>
          <w:szCs w:val="24"/>
        </w:rPr>
        <w:t>Piotrostanalsky</w:t>
      </w:r>
      <w:proofErr w:type="spellEnd"/>
      <w:r w:rsidRPr="00234720">
        <w:rPr>
          <w:rFonts w:ascii="Times New Roman" w:eastAsia="Times New Roman" w:hAnsi="Times New Roman" w:cs="Times New Roman"/>
          <w:i/>
          <w:iCs/>
          <w:sz w:val="24"/>
          <w:szCs w:val="24"/>
        </w:rPr>
        <w:t xml:space="preserve">, Alejandro Rueda </w:t>
      </w:r>
      <w:proofErr w:type="spellStart"/>
      <w:r w:rsidRPr="00234720">
        <w:rPr>
          <w:rFonts w:ascii="Times New Roman" w:eastAsia="Times New Roman" w:hAnsi="Times New Roman" w:cs="Times New Roman"/>
          <w:i/>
          <w:iCs/>
          <w:sz w:val="24"/>
          <w:szCs w:val="24"/>
        </w:rPr>
        <w:t>Rodriguez</w:t>
      </w:r>
      <w:proofErr w:type="spellEnd"/>
      <w:r w:rsidRPr="00234720">
        <w:rPr>
          <w:rFonts w:ascii="Times New Roman" w:eastAsia="Times New Roman" w:hAnsi="Times New Roman" w:cs="Times New Roman"/>
          <w:i/>
          <w:iCs/>
          <w:sz w:val="24"/>
          <w:szCs w:val="24"/>
        </w:rPr>
        <w:t>.</w:t>
      </w:r>
    </w:p>
    <w:p w14:paraId="50B9B860" w14:textId="77777777" w:rsidR="004D173E" w:rsidRPr="00234720" w:rsidRDefault="004D173E" w:rsidP="004D173E">
      <w:pPr>
        <w:spacing w:after="0" w:line="36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highlight w:val="white"/>
        </w:rPr>
        <w:t xml:space="preserve">12. </w:t>
      </w:r>
      <w:r w:rsidRPr="002131C2">
        <w:rPr>
          <w:rFonts w:ascii="Times New Roman" w:eastAsia="Times New Roman" w:hAnsi="Times New Roman" w:cs="Times New Roman"/>
          <w:sz w:val="24"/>
          <w:szCs w:val="24"/>
          <w:highlight w:val="white"/>
        </w:rPr>
        <w:t xml:space="preserve">Visualización: </w:t>
      </w:r>
      <w:r w:rsidRPr="00234720">
        <w:rPr>
          <w:rFonts w:ascii="Times New Roman" w:eastAsia="Times New Roman" w:hAnsi="Times New Roman" w:cs="Times New Roman"/>
          <w:i/>
          <w:iCs/>
          <w:sz w:val="24"/>
          <w:szCs w:val="24"/>
        </w:rPr>
        <w:t xml:space="preserve">Audrey </w:t>
      </w:r>
      <w:proofErr w:type="spellStart"/>
      <w:r w:rsidRPr="00234720">
        <w:rPr>
          <w:rFonts w:ascii="Times New Roman" w:eastAsia="Times New Roman" w:hAnsi="Times New Roman" w:cs="Times New Roman"/>
          <w:i/>
          <w:iCs/>
          <w:sz w:val="24"/>
          <w:szCs w:val="24"/>
        </w:rPr>
        <w:t>Piotrostanalsky</w:t>
      </w:r>
      <w:proofErr w:type="spellEnd"/>
      <w:r w:rsidRPr="00234720">
        <w:rPr>
          <w:rFonts w:ascii="Times New Roman" w:eastAsia="Times New Roman" w:hAnsi="Times New Roman" w:cs="Times New Roman"/>
          <w:i/>
          <w:iCs/>
          <w:sz w:val="24"/>
          <w:szCs w:val="24"/>
        </w:rPr>
        <w:t xml:space="preserve">, Alejandro Rueda </w:t>
      </w:r>
      <w:proofErr w:type="spellStart"/>
      <w:r w:rsidRPr="00234720">
        <w:rPr>
          <w:rFonts w:ascii="Times New Roman" w:eastAsia="Times New Roman" w:hAnsi="Times New Roman" w:cs="Times New Roman"/>
          <w:i/>
          <w:iCs/>
          <w:sz w:val="24"/>
          <w:szCs w:val="24"/>
        </w:rPr>
        <w:t>Rodriguez</w:t>
      </w:r>
      <w:proofErr w:type="spellEnd"/>
      <w:r w:rsidRPr="00234720">
        <w:rPr>
          <w:rFonts w:ascii="Times New Roman" w:eastAsia="Times New Roman" w:hAnsi="Times New Roman" w:cs="Times New Roman"/>
          <w:i/>
          <w:iCs/>
          <w:sz w:val="24"/>
          <w:szCs w:val="24"/>
        </w:rPr>
        <w:t>.</w:t>
      </w:r>
    </w:p>
    <w:p w14:paraId="7FE316F5" w14:textId="77777777" w:rsidR="004D173E" w:rsidRPr="002131C2" w:rsidRDefault="004D173E" w:rsidP="004D173E">
      <w:pPr>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13. </w:t>
      </w:r>
      <w:r w:rsidRPr="002131C2">
        <w:rPr>
          <w:rFonts w:ascii="Times New Roman" w:eastAsia="Times New Roman" w:hAnsi="Times New Roman" w:cs="Times New Roman"/>
          <w:sz w:val="24"/>
          <w:szCs w:val="24"/>
          <w:highlight w:val="white"/>
        </w:rPr>
        <w:t>Redacción – borrador original: A</w:t>
      </w:r>
      <w:r w:rsidRPr="00234720">
        <w:rPr>
          <w:rFonts w:ascii="Times New Roman" w:eastAsia="Times New Roman" w:hAnsi="Times New Roman" w:cs="Times New Roman"/>
          <w:i/>
          <w:iCs/>
          <w:sz w:val="24"/>
          <w:szCs w:val="24"/>
          <w:highlight w:val="white"/>
        </w:rPr>
        <w:t xml:space="preserve">lirio Bastidas </w:t>
      </w:r>
      <w:proofErr w:type="spellStart"/>
      <w:r w:rsidRPr="00234720">
        <w:rPr>
          <w:rFonts w:ascii="Times New Roman" w:eastAsia="Times New Roman" w:hAnsi="Times New Roman" w:cs="Times New Roman"/>
          <w:i/>
          <w:iCs/>
          <w:sz w:val="24"/>
          <w:szCs w:val="24"/>
          <w:highlight w:val="white"/>
        </w:rPr>
        <w:t>Goyes</w:t>
      </w:r>
      <w:proofErr w:type="spellEnd"/>
      <w:r w:rsidRPr="00234720">
        <w:rPr>
          <w:rFonts w:ascii="Times New Roman" w:eastAsia="Times New Roman" w:hAnsi="Times New Roman" w:cs="Times New Roman"/>
          <w:i/>
          <w:iCs/>
          <w:sz w:val="24"/>
          <w:szCs w:val="24"/>
          <w:highlight w:val="white"/>
        </w:rPr>
        <w:t>, Eduardo Tuta Quintero,</w:t>
      </w:r>
      <w:r w:rsidRPr="00234720">
        <w:rPr>
          <w:rFonts w:ascii="Times New Roman" w:eastAsia="Times New Roman" w:hAnsi="Times New Roman" w:cs="Times New Roman"/>
          <w:i/>
          <w:iCs/>
          <w:sz w:val="24"/>
          <w:szCs w:val="24"/>
        </w:rPr>
        <w:t xml:space="preserve"> Alejandro Rueda </w:t>
      </w:r>
      <w:proofErr w:type="spellStart"/>
      <w:r w:rsidRPr="00234720">
        <w:rPr>
          <w:rFonts w:ascii="Times New Roman" w:eastAsia="Times New Roman" w:hAnsi="Times New Roman" w:cs="Times New Roman"/>
          <w:i/>
          <w:iCs/>
          <w:sz w:val="24"/>
          <w:szCs w:val="24"/>
        </w:rPr>
        <w:t>Rodriguez</w:t>
      </w:r>
      <w:proofErr w:type="spellEnd"/>
      <w:r w:rsidRPr="00234720">
        <w:rPr>
          <w:rFonts w:ascii="Times New Roman" w:eastAsia="Times New Roman" w:hAnsi="Times New Roman" w:cs="Times New Roman"/>
          <w:i/>
          <w:iCs/>
          <w:sz w:val="24"/>
          <w:szCs w:val="24"/>
        </w:rPr>
        <w:t xml:space="preserve">, Silvia Contreras </w:t>
      </w:r>
      <w:proofErr w:type="spellStart"/>
      <w:r w:rsidRPr="00234720">
        <w:rPr>
          <w:rFonts w:ascii="Times New Roman" w:eastAsia="Times New Roman" w:hAnsi="Times New Roman" w:cs="Times New Roman"/>
          <w:i/>
          <w:iCs/>
          <w:sz w:val="24"/>
          <w:szCs w:val="24"/>
        </w:rPr>
        <w:t>Candelo</w:t>
      </w:r>
      <w:proofErr w:type="spellEnd"/>
      <w:r w:rsidRPr="00234720">
        <w:rPr>
          <w:rFonts w:ascii="Times New Roman" w:eastAsia="Times New Roman" w:hAnsi="Times New Roman" w:cs="Times New Roman"/>
          <w:i/>
          <w:iCs/>
          <w:sz w:val="24"/>
          <w:szCs w:val="24"/>
        </w:rPr>
        <w:t>.</w:t>
      </w:r>
    </w:p>
    <w:p w14:paraId="45F4BE46" w14:textId="77777777" w:rsidR="004D173E" w:rsidRPr="002131C2" w:rsidRDefault="004D173E" w:rsidP="004D173E">
      <w:pPr>
        <w:spacing w:after="0" w:line="360" w:lineRule="auto"/>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sz w:val="24"/>
          <w:szCs w:val="24"/>
          <w:highlight w:val="white"/>
        </w:rPr>
        <w:t xml:space="preserve">14. </w:t>
      </w:r>
      <w:r w:rsidRPr="002131C2">
        <w:rPr>
          <w:rFonts w:ascii="Times New Roman" w:eastAsia="Times New Roman" w:hAnsi="Times New Roman" w:cs="Times New Roman"/>
          <w:sz w:val="24"/>
          <w:szCs w:val="24"/>
          <w:highlight w:val="white"/>
        </w:rPr>
        <w:t xml:space="preserve">Redacción – revisión y edición: </w:t>
      </w:r>
      <w:r w:rsidRPr="00234720">
        <w:rPr>
          <w:rFonts w:ascii="Times New Roman" w:eastAsia="Times New Roman" w:hAnsi="Times New Roman" w:cs="Times New Roman"/>
          <w:i/>
          <w:iCs/>
          <w:sz w:val="24"/>
          <w:szCs w:val="24"/>
          <w:highlight w:val="white"/>
        </w:rPr>
        <w:t xml:space="preserve">Alirio Bastidas </w:t>
      </w:r>
      <w:proofErr w:type="spellStart"/>
      <w:r w:rsidRPr="00234720">
        <w:rPr>
          <w:rFonts w:ascii="Times New Roman" w:eastAsia="Times New Roman" w:hAnsi="Times New Roman" w:cs="Times New Roman"/>
          <w:i/>
          <w:iCs/>
          <w:sz w:val="24"/>
          <w:szCs w:val="24"/>
          <w:highlight w:val="white"/>
        </w:rPr>
        <w:t>Goyes</w:t>
      </w:r>
      <w:proofErr w:type="spellEnd"/>
      <w:r w:rsidRPr="00234720">
        <w:rPr>
          <w:rFonts w:ascii="Times New Roman" w:eastAsia="Times New Roman" w:hAnsi="Times New Roman" w:cs="Times New Roman"/>
          <w:i/>
          <w:iCs/>
          <w:sz w:val="24"/>
          <w:szCs w:val="24"/>
          <w:highlight w:val="white"/>
        </w:rPr>
        <w:t>, Eduardo Tuta Quintero.</w:t>
      </w:r>
    </w:p>
    <w:p w14:paraId="59345447" w14:textId="77777777" w:rsidR="00675476" w:rsidRPr="00391509" w:rsidRDefault="00675476" w:rsidP="00391509"/>
    <w:sectPr w:rsidR="00675476" w:rsidRPr="00391509" w:rsidSect="000F3690">
      <w:headerReference w:type="default" r:id="rId18"/>
      <w:footerReference w:type="even" r:id="rId19"/>
      <w:footerReference w:type="default" r:id="rId20"/>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C2712" w14:textId="77777777" w:rsidR="00D33032" w:rsidRDefault="00D33032">
      <w:r>
        <w:separator/>
      </w:r>
    </w:p>
  </w:endnote>
  <w:endnote w:type="continuationSeparator" w:id="0">
    <w:p w14:paraId="7A367882" w14:textId="77777777" w:rsidR="00D33032" w:rsidRDefault="00D3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1F2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BAF4E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B5CC" w14:textId="77777777" w:rsidR="000F3690" w:rsidRPr="00AE044C" w:rsidRDefault="000F3690" w:rsidP="00391509">
    <w:pPr>
      <w:pStyle w:val="Piedepgina"/>
      <w:ind w:right="360"/>
    </w:pPr>
    <w:r>
      <w:rPr>
        <w:noProof/>
      </w:rPr>
      <mc:AlternateContent>
        <mc:Choice Requires="wps">
          <w:drawing>
            <wp:anchor distT="0" distB="0" distL="114300" distR="114300" simplePos="0" relativeHeight="251658240" behindDoc="0" locked="0" layoutInCell="1" allowOverlap="1" wp14:anchorId="3190D1EE" wp14:editId="1BD25FFE">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41B57"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506D4CDE" w14:textId="77777777" w:rsidR="00675476" w:rsidRPr="004D173E" w:rsidRDefault="00D33032" w:rsidP="004D173E">
    <w:pPr>
      <w:pStyle w:val="Piedepgina"/>
      <w:spacing w:after="0"/>
      <w:ind w:right="357"/>
      <w:rPr>
        <w:rFonts w:ascii="Times New Roman" w:hAnsi="Times New Roman" w:cs="Times New Roman"/>
        <w:sz w:val="24"/>
        <w:szCs w:val="24"/>
      </w:rPr>
    </w:pPr>
    <w:hyperlink r:id="rId1" w:history="1">
      <w:r w:rsidR="00391509" w:rsidRPr="004D173E">
        <w:rPr>
          <w:rStyle w:val="Hipervnculo"/>
          <w:rFonts w:ascii="Times New Roman" w:hAnsi="Times New Roman" w:cs="Times New Roman"/>
          <w:sz w:val="24"/>
          <w:szCs w:val="24"/>
        </w:rPr>
        <w:t>http://scielo.sld.cu</w:t>
      </w:r>
    </w:hyperlink>
  </w:p>
  <w:p w14:paraId="0C2AC0DC" w14:textId="77777777" w:rsidR="00391509" w:rsidRPr="004D173E" w:rsidRDefault="00D33032" w:rsidP="004D173E">
    <w:pPr>
      <w:pStyle w:val="Piedepgina"/>
      <w:tabs>
        <w:tab w:val="clear" w:pos="4252"/>
        <w:tab w:val="left" w:pos="8504"/>
      </w:tabs>
      <w:spacing w:after="0"/>
      <w:ind w:right="357"/>
      <w:rPr>
        <w:rFonts w:ascii="Times New Roman" w:hAnsi="Times New Roman" w:cs="Times New Roman"/>
        <w:sz w:val="24"/>
        <w:szCs w:val="24"/>
      </w:rPr>
    </w:pPr>
    <w:hyperlink r:id="rId2" w:history="1">
      <w:r w:rsidR="00391509" w:rsidRPr="004D173E">
        <w:rPr>
          <w:rStyle w:val="Hipervnculo"/>
          <w:rFonts w:ascii="Times New Roman" w:hAnsi="Times New Roman" w:cs="Times New Roman"/>
          <w:sz w:val="24"/>
          <w:szCs w:val="24"/>
        </w:rPr>
        <w:t>http://www.revmedmilitar.sld.cu</w:t>
      </w:r>
    </w:hyperlink>
    <w:r w:rsidR="00391509" w:rsidRPr="004D173E">
      <w:rPr>
        <w:rFonts w:ascii="Times New Roman" w:hAnsi="Times New Roman" w:cs="Times New Roman"/>
        <w:sz w:val="24"/>
        <w:szCs w:val="24"/>
      </w:rPr>
      <w:t xml:space="preserve"> </w:t>
    </w:r>
    <w:r w:rsidR="00AE044C" w:rsidRPr="004D173E">
      <w:rPr>
        <w:rFonts w:ascii="Times New Roman" w:hAnsi="Times New Roman" w:cs="Times New Roman"/>
        <w:sz w:val="24"/>
        <w:szCs w:val="24"/>
      </w:rPr>
      <w:tab/>
    </w:r>
  </w:p>
  <w:p w14:paraId="5F357416" w14:textId="77777777" w:rsidR="00180CE9" w:rsidRPr="004D173E" w:rsidRDefault="00180CE9" w:rsidP="004D173E">
    <w:pPr>
      <w:pStyle w:val="Piedepgina"/>
      <w:spacing w:after="0"/>
      <w:ind w:right="357"/>
      <w:jc w:val="center"/>
      <w:rPr>
        <w:rFonts w:ascii="Times New Roman" w:hAnsi="Times New Roman" w:cs="Times New Roman"/>
        <w:sz w:val="18"/>
        <w:szCs w:val="18"/>
      </w:rPr>
    </w:pPr>
    <w:r w:rsidRPr="004D173E">
      <w:rPr>
        <w:rFonts w:ascii="Times New Roman" w:hAnsi="Times New Roman" w:cs="Times New Roman"/>
        <w:sz w:val="24"/>
        <w:szCs w:val="24"/>
      </w:rPr>
      <w:t xml:space="preserve">Bajo licencia </w:t>
    </w:r>
    <w:proofErr w:type="spellStart"/>
    <w:r w:rsidRPr="004D173E">
      <w:rPr>
        <w:rFonts w:ascii="Times New Roman" w:hAnsi="Times New Roman" w:cs="Times New Roman"/>
        <w:sz w:val="24"/>
        <w:szCs w:val="24"/>
      </w:rPr>
      <w:t>Creative</w:t>
    </w:r>
    <w:proofErr w:type="spellEnd"/>
    <w:r w:rsidRPr="004D173E">
      <w:rPr>
        <w:rFonts w:ascii="Times New Roman" w:hAnsi="Times New Roman" w:cs="Times New Roman"/>
        <w:sz w:val="24"/>
        <w:szCs w:val="24"/>
      </w:rPr>
      <w:t xml:space="preserve"> </w:t>
    </w:r>
    <w:proofErr w:type="spellStart"/>
    <w:r w:rsidRPr="004D173E">
      <w:rPr>
        <w:rFonts w:ascii="Times New Roman" w:hAnsi="Times New Roman" w:cs="Times New Roman"/>
        <w:sz w:val="24"/>
        <w:szCs w:val="24"/>
      </w:rPr>
      <w:t>Commons</w:t>
    </w:r>
    <w:proofErr w:type="spellEnd"/>
    <w:r w:rsidRPr="004D173E">
      <w:rPr>
        <w:rFonts w:ascii="Times New Roman" w:hAnsi="Times New Roman" w:cs="Times New Roman"/>
        <w:sz w:val="24"/>
        <w:szCs w:val="24"/>
      </w:rPr>
      <w:t xml:space="preserve"> </w:t>
    </w:r>
    <w:r w:rsidRPr="004D173E">
      <w:rPr>
        <w:rFonts w:ascii="Times New Roman" w:hAnsi="Times New Roman" w:cs="Times New Roman"/>
        <w:noProof/>
        <w:sz w:val="18"/>
        <w:szCs w:val="18"/>
      </w:rPr>
      <w:drawing>
        <wp:inline distT="0" distB="0" distL="0" distR="0" wp14:anchorId="70B96684" wp14:editId="139ECE97">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C55DB" w14:textId="77777777" w:rsidR="00D33032" w:rsidRDefault="00D33032">
      <w:r>
        <w:separator/>
      </w:r>
    </w:p>
  </w:footnote>
  <w:footnote w:type="continuationSeparator" w:id="0">
    <w:p w14:paraId="5DA30B5C" w14:textId="77777777" w:rsidR="00D33032" w:rsidRDefault="00D3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FE51" w14:textId="64AF18B2" w:rsidR="00CC376A" w:rsidRPr="004D173E" w:rsidRDefault="00B31971" w:rsidP="004D173E">
    <w:pPr>
      <w:pStyle w:val="Encabezado"/>
      <w:tabs>
        <w:tab w:val="left" w:pos="420"/>
      </w:tabs>
      <w:spacing w:after="0"/>
      <w:jc w:val="center"/>
      <w:rPr>
        <w:rFonts w:ascii="Times New Roman" w:hAnsi="Times New Roman" w:cs="Times New Roman"/>
        <w:sz w:val="24"/>
        <w:szCs w:val="24"/>
      </w:rPr>
    </w:pPr>
    <w:r w:rsidRPr="004D173E">
      <w:rPr>
        <w:rFonts w:ascii="Times New Roman" w:hAnsi="Times New Roman" w:cs="Times New Roman"/>
        <w:b/>
        <w:noProof/>
        <w:color w:val="00FFFF"/>
        <w:sz w:val="24"/>
        <w:szCs w:val="24"/>
      </w:rPr>
      <w:drawing>
        <wp:anchor distT="0" distB="0" distL="114300" distR="114300" simplePos="0" relativeHeight="251687936" behindDoc="0" locked="0" layoutInCell="1" allowOverlap="1" wp14:anchorId="39C65C1D" wp14:editId="09C89DC7">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4D173E">
      <w:rPr>
        <w:rFonts w:ascii="Times New Roman" w:hAnsi="Times New Roman" w:cs="Times New Roman"/>
        <w:sz w:val="24"/>
        <w:szCs w:val="24"/>
      </w:rPr>
      <w:t xml:space="preserve">Revista </w:t>
    </w:r>
    <w:r w:rsidR="00380D64" w:rsidRPr="004D173E">
      <w:rPr>
        <w:rFonts w:ascii="Times New Roman" w:hAnsi="Times New Roman" w:cs="Times New Roman"/>
        <w:sz w:val="24"/>
        <w:szCs w:val="24"/>
      </w:rPr>
      <w:t>Cubana de Medicina Militar.</w:t>
    </w:r>
    <w:r w:rsidR="00D85951" w:rsidRPr="004D173E">
      <w:rPr>
        <w:rFonts w:ascii="Times New Roman" w:hAnsi="Times New Roman" w:cs="Times New Roman"/>
        <w:sz w:val="24"/>
        <w:szCs w:val="24"/>
      </w:rPr>
      <w:t xml:space="preserve"> </w:t>
    </w:r>
    <w:r w:rsidR="00C8369A">
      <w:rPr>
        <w:rFonts w:ascii="Times New Roman" w:hAnsi="Times New Roman" w:cs="Times New Roman"/>
        <w:sz w:val="24"/>
        <w:szCs w:val="24"/>
      </w:rPr>
      <w:t>2021</w:t>
    </w:r>
    <w:r w:rsidR="003E03D5" w:rsidRPr="004D173E">
      <w:rPr>
        <w:rFonts w:ascii="Times New Roman" w:hAnsi="Times New Roman" w:cs="Times New Roman"/>
        <w:sz w:val="24"/>
        <w:szCs w:val="24"/>
      </w:rPr>
      <w:t>;</w:t>
    </w:r>
    <w:r w:rsidR="00C8369A">
      <w:rPr>
        <w:rFonts w:ascii="Times New Roman" w:hAnsi="Times New Roman" w:cs="Times New Roman"/>
        <w:sz w:val="24"/>
        <w:szCs w:val="24"/>
      </w:rPr>
      <w:t xml:space="preserve"> 50</w:t>
    </w:r>
    <w:r w:rsidR="00493701" w:rsidRPr="004D173E">
      <w:rPr>
        <w:rFonts w:ascii="Times New Roman" w:hAnsi="Times New Roman" w:cs="Times New Roman"/>
        <w:sz w:val="24"/>
        <w:szCs w:val="24"/>
      </w:rPr>
      <w:t>(</w:t>
    </w:r>
    <w:r w:rsidR="00C8369A">
      <w:rPr>
        <w:rFonts w:ascii="Times New Roman" w:hAnsi="Times New Roman" w:cs="Times New Roman"/>
        <w:sz w:val="24"/>
        <w:szCs w:val="24"/>
      </w:rPr>
      <w:t>4</w:t>
    </w:r>
    <w:r w:rsidR="00493701" w:rsidRPr="004D173E">
      <w:rPr>
        <w:rFonts w:ascii="Times New Roman" w:hAnsi="Times New Roman" w:cs="Times New Roman"/>
        <w:sz w:val="24"/>
        <w:szCs w:val="24"/>
      </w:rPr>
      <w:t>)</w:t>
    </w:r>
    <w:r w:rsidR="00391509" w:rsidRPr="004D173E">
      <w:rPr>
        <w:rFonts w:ascii="Times New Roman" w:hAnsi="Times New Roman" w:cs="Times New Roman"/>
        <w:sz w:val="24"/>
        <w:szCs w:val="24"/>
      </w:rPr>
      <w:t>:</w:t>
    </w:r>
    <w:r w:rsidR="00C8369A">
      <w:rPr>
        <w:rFonts w:ascii="Times New Roman" w:hAnsi="Times New Roman" w:cs="Times New Roman"/>
        <w:sz w:val="24"/>
        <w:szCs w:val="24"/>
      </w:rPr>
      <w:t xml:space="preserve"> e02101591</w:t>
    </w:r>
  </w:p>
  <w:p w14:paraId="7B8C5266" w14:textId="77777777" w:rsidR="00A477DE" w:rsidRDefault="000F3690">
    <w:r w:rsidRPr="00CC376A">
      <w:rPr>
        <w:rFonts w:ascii="Verdana" w:hAnsi="Verdana"/>
        <w:noProof/>
        <w:color w:val="00FFFF"/>
        <w:sz w:val="18"/>
        <w:szCs w:val="18"/>
      </w:rPr>
      <mc:AlternateContent>
        <mc:Choice Requires="wps">
          <w:drawing>
            <wp:anchor distT="0" distB="0" distL="114300" distR="114300" simplePos="0" relativeHeight="251657216" behindDoc="0" locked="0" layoutInCell="1" allowOverlap="1" wp14:anchorId="70599B94" wp14:editId="38B27720">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21C7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34580"/>
    <w:multiLevelType w:val="hybridMultilevel"/>
    <w:tmpl w:val="F82E9A4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F3C6CDA"/>
    <w:multiLevelType w:val="multilevel"/>
    <w:tmpl w:val="6A3E63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73E"/>
    <w:rsid w:val="00033AE0"/>
    <w:rsid w:val="000F3690"/>
    <w:rsid w:val="001221D1"/>
    <w:rsid w:val="00180CE9"/>
    <w:rsid w:val="0019735A"/>
    <w:rsid w:val="001A6646"/>
    <w:rsid w:val="00230DD5"/>
    <w:rsid w:val="002A2DC3"/>
    <w:rsid w:val="00380D64"/>
    <w:rsid w:val="00391509"/>
    <w:rsid w:val="003E03D5"/>
    <w:rsid w:val="00493701"/>
    <w:rsid w:val="004D173E"/>
    <w:rsid w:val="004E2065"/>
    <w:rsid w:val="005508A2"/>
    <w:rsid w:val="00557517"/>
    <w:rsid w:val="00566F71"/>
    <w:rsid w:val="00675476"/>
    <w:rsid w:val="007C430F"/>
    <w:rsid w:val="007D614D"/>
    <w:rsid w:val="00960D6A"/>
    <w:rsid w:val="00997346"/>
    <w:rsid w:val="009A0560"/>
    <w:rsid w:val="009B0917"/>
    <w:rsid w:val="00A23C0C"/>
    <w:rsid w:val="00A24542"/>
    <w:rsid w:val="00A477DE"/>
    <w:rsid w:val="00A512CF"/>
    <w:rsid w:val="00A71E65"/>
    <w:rsid w:val="00A9534D"/>
    <w:rsid w:val="00AE044C"/>
    <w:rsid w:val="00B31971"/>
    <w:rsid w:val="00B4380A"/>
    <w:rsid w:val="00B66ECB"/>
    <w:rsid w:val="00C7523A"/>
    <w:rsid w:val="00C8369A"/>
    <w:rsid w:val="00CC1B6E"/>
    <w:rsid w:val="00CC376A"/>
    <w:rsid w:val="00CC48A1"/>
    <w:rsid w:val="00D33032"/>
    <w:rsid w:val="00D85951"/>
    <w:rsid w:val="00E62606"/>
    <w:rsid w:val="00F62F7D"/>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C3311"/>
  <w15:docId w15:val="{EF498296-E7B8-47D2-85BC-4FD9FAD9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73E"/>
    <w:pPr>
      <w:spacing w:after="160" w:line="259" w:lineRule="auto"/>
    </w:pPr>
    <w:rPr>
      <w:rFonts w:ascii="Calibri" w:eastAsia="Calibri" w:hAnsi="Calibri" w:cs="Calibri"/>
      <w:sz w:val="22"/>
      <w:szCs w:val="22"/>
    </w:rPr>
  </w:style>
  <w:style w:type="paragraph" w:styleId="Ttulo1">
    <w:name w:val="heading 1"/>
    <w:basedOn w:val="Normal"/>
    <w:next w:val="Normal"/>
    <w:link w:val="Ttulo1Car"/>
    <w:rsid w:val="004D173E"/>
    <w:pPr>
      <w:keepNext/>
      <w:keepLines/>
      <w:spacing w:before="480" w:after="120"/>
      <w:outlineLvl w:val="0"/>
    </w:pPr>
    <w:rPr>
      <w:b/>
      <w:sz w:val="48"/>
      <w:szCs w:val="48"/>
    </w:rPr>
  </w:style>
  <w:style w:type="paragraph" w:styleId="Ttulo2">
    <w:name w:val="heading 2"/>
    <w:basedOn w:val="Normal"/>
    <w:next w:val="Normal"/>
    <w:link w:val="Ttulo2Car"/>
    <w:rsid w:val="004D173E"/>
    <w:pPr>
      <w:keepNext/>
      <w:keepLines/>
      <w:spacing w:before="360" w:after="80"/>
      <w:outlineLvl w:val="1"/>
    </w:pPr>
    <w:rPr>
      <w:b/>
      <w:sz w:val="36"/>
      <w:szCs w:val="36"/>
    </w:rPr>
  </w:style>
  <w:style w:type="paragraph" w:styleId="Ttulo3">
    <w:name w:val="heading 3"/>
    <w:basedOn w:val="Normal"/>
    <w:next w:val="Normal"/>
    <w:link w:val="Ttulo3Car"/>
    <w:rsid w:val="004D173E"/>
    <w:pPr>
      <w:keepNext/>
      <w:keepLines/>
      <w:spacing w:before="280" w:after="80"/>
      <w:outlineLvl w:val="2"/>
    </w:pPr>
    <w:rPr>
      <w:b/>
      <w:sz w:val="28"/>
      <w:szCs w:val="28"/>
    </w:rPr>
  </w:style>
  <w:style w:type="paragraph" w:styleId="Ttulo4">
    <w:name w:val="heading 4"/>
    <w:basedOn w:val="Normal"/>
    <w:next w:val="Normal"/>
    <w:link w:val="Ttulo4Car"/>
    <w:rsid w:val="004D173E"/>
    <w:pPr>
      <w:keepNext/>
      <w:keepLines/>
      <w:spacing w:before="240" w:after="40"/>
      <w:outlineLvl w:val="3"/>
    </w:pPr>
    <w:rPr>
      <w:b/>
      <w:sz w:val="24"/>
      <w:szCs w:val="24"/>
    </w:rPr>
  </w:style>
  <w:style w:type="paragraph" w:styleId="Ttulo5">
    <w:name w:val="heading 5"/>
    <w:basedOn w:val="Normal"/>
    <w:next w:val="Normal"/>
    <w:link w:val="Ttulo5Car"/>
    <w:rsid w:val="004D173E"/>
    <w:pPr>
      <w:keepNext/>
      <w:keepLines/>
      <w:spacing w:before="220" w:after="40"/>
      <w:outlineLvl w:val="4"/>
    </w:pPr>
    <w:rPr>
      <w:b/>
    </w:rPr>
  </w:style>
  <w:style w:type="paragraph" w:styleId="Ttulo6">
    <w:name w:val="heading 6"/>
    <w:basedOn w:val="Normal"/>
    <w:next w:val="Normal"/>
    <w:link w:val="Ttulo6Car"/>
    <w:rsid w:val="004D173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rsid w:val="004D173E"/>
    <w:rPr>
      <w:rFonts w:ascii="Calibri" w:eastAsia="Calibri" w:hAnsi="Calibri" w:cs="Calibri"/>
      <w:b/>
      <w:sz w:val="48"/>
      <w:szCs w:val="48"/>
    </w:rPr>
  </w:style>
  <w:style w:type="character" w:customStyle="1" w:styleId="Ttulo2Car">
    <w:name w:val="Título 2 Car"/>
    <w:basedOn w:val="Fuentedeprrafopredeter"/>
    <w:link w:val="Ttulo2"/>
    <w:rsid w:val="004D173E"/>
    <w:rPr>
      <w:rFonts w:ascii="Calibri" w:eastAsia="Calibri" w:hAnsi="Calibri" w:cs="Calibri"/>
      <w:b/>
      <w:sz w:val="36"/>
      <w:szCs w:val="36"/>
    </w:rPr>
  </w:style>
  <w:style w:type="character" w:customStyle="1" w:styleId="Ttulo3Car">
    <w:name w:val="Título 3 Car"/>
    <w:basedOn w:val="Fuentedeprrafopredeter"/>
    <w:link w:val="Ttulo3"/>
    <w:rsid w:val="004D173E"/>
    <w:rPr>
      <w:rFonts w:ascii="Calibri" w:eastAsia="Calibri" w:hAnsi="Calibri" w:cs="Calibri"/>
      <w:b/>
      <w:sz w:val="28"/>
      <w:szCs w:val="28"/>
    </w:rPr>
  </w:style>
  <w:style w:type="character" w:customStyle="1" w:styleId="Ttulo4Car">
    <w:name w:val="Título 4 Car"/>
    <w:basedOn w:val="Fuentedeprrafopredeter"/>
    <w:link w:val="Ttulo4"/>
    <w:rsid w:val="004D173E"/>
    <w:rPr>
      <w:rFonts w:ascii="Calibri" w:eastAsia="Calibri" w:hAnsi="Calibri" w:cs="Calibri"/>
      <w:b/>
      <w:sz w:val="24"/>
      <w:szCs w:val="24"/>
    </w:rPr>
  </w:style>
  <w:style w:type="character" w:customStyle="1" w:styleId="Ttulo5Car">
    <w:name w:val="Título 5 Car"/>
    <w:basedOn w:val="Fuentedeprrafopredeter"/>
    <w:link w:val="Ttulo5"/>
    <w:rsid w:val="004D173E"/>
    <w:rPr>
      <w:rFonts w:ascii="Calibri" w:eastAsia="Calibri" w:hAnsi="Calibri" w:cs="Calibri"/>
      <w:b/>
      <w:sz w:val="22"/>
      <w:szCs w:val="22"/>
    </w:rPr>
  </w:style>
  <w:style w:type="character" w:customStyle="1" w:styleId="Ttulo6Car">
    <w:name w:val="Título 6 Car"/>
    <w:basedOn w:val="Fuentedeprrafopredeter"/>
    <w:link w:val="Ttulo6"/>
    <w:rsid w:val="004D173E"/>
    <w:rPr>
      <w:rFonts w:ascii="Calibri" w:eastAsia="Calibri" w:hAnsi="Calibri" w:cs="Calibri"/>
      <w:b/>
    </w:rPr>
  </w:style>
  <w:style w:type="table" w:customStyle="1" w:styleId="TableNormal">
    <w:name w:val="Table Normal"/>
    <w:rsid w:val="004D173E"/>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styleId="Ttulo">
    <w:name w:val="Title"/>
    <w:basedOn w:val="Normal"/>
    <w:next w:val="Normal"/>
    <w:link w:val="TtuloCar"/>
    <w:rsid w:val="004D173E"/>
    <w:pPr>
      <w:keepNext/>
      <w:keepLines/>
      <w:spacing w:before="480" w:after="120"/>
    </w:pPr>
    <w:rPr>
      <w:b/>
      <w:sz w:val="72"/>
      <w:szCs w:val="72"/>
    </w:rPr>
  </w:style>
  <w:style w:type="character" w:customStyle="1" w:styleId="TtuloCar">
    <w:name w:val="Título Car"/>
    <w:basedOn w:val="Fuentedeprrafopredeter"/>
    <w:link w:val="Ttulo"/>
    <w:rsid w:val="004D173E"/>
    <w:rPr>
      <w:rFonts w:ascii="Calibri" w:eastAsia="Calibri" w:hAnsi="Calibri" w:cs="Calibri"/>
      <w:b/>
      <w:sz w:val="72"/>
      <w:szCs w:val="72"/>
    </w:rPr>
  </w:style>
  <w:style w:type="paragraph" w:styleId="Subttulo">
    <w:name w:val="Subtitle"/>
    <w:basedOn w:val="Normal"/>
    <w:next w:val="Normal"/>
    <w:link w:val="SubttuloCar"/>
    <w:rsid w:val="004D173E"/>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4D173E"/>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4D173E"/>
    <w:rPr>
      <w:sz w:val="16"/>
      <w:szCs w:val="16"/>
    </w:rPr>
  </w:style>
  <w:style w:type="paragraph" w:styleId="Textocomentario">
    <w:name w:val="annotation text"/>
    <w:basedOn w:val="Normal"/>
    <w:link w:val="TextocomentarioCar"/>
    <w:uiPriority w:val="99"/>
    <w:unhideWhenUsed/>
    <w:qFormat/>
    <w:rsid w:val="004D173E"/>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4D173E"/>
    <w:rPr>
      <w:rFonts w:ascii="Calibri" w:eastAsia="Calibri" w:hAnsi="Calibri" w:cs="Calibri"/>
    </w:rPr>
  </w:style>
  <w:style w:type="paragraph" w:styleId="Asuntodelcomentario">
    <w:name w:val="annotation subject"/>
    <w:basedOn w:val="Textocomentario"/>
    <w:next w:val="Textocomentario"/>
    <w:link w:val="AsuntodelcomentarioCar"/>
    <w:uiPriority w:val="99"/>
    <w:semiHidden/>
    <w:unhideWhenUsed/>
    <w:rsid w:val="004D173E"/>
    <w:rPr>
      <w:b/>
      <w:bCs/>
    </w:rPr>
  </w:style>
  <w:style w:type="character" w:customStyle="1" w:styleId="AsuntodelcomentarioCar">
    <w:name w:val="Asunto del comentario Car"/>
    <w:basedOn w:val="TextocomentarioCar"/>
    <w:link w:val="Asuntodelcomentario"/>
    <w:uiPriority w:val="99"/>
    <w:semiHidden/>
    <w:rsid w:val="004D173E"/>
    <w:rPr>
      <w:rFonts w:ascii="Calibri" w:eastAsia="Calibri" w:hAnsi="Calibri" w:cs="Calibri"/>
      <w:b/>
      <w:bCs/>
    </w:rPr>
  </w:style>
  <w:style w:type="character" w:styleId="Textoennegrita">
    <w:name w:val="Strong"/>
    <w:uiPriority w:val="22"/>
    <w:qFormat/>
    <w:rsid w:val="004D173E"/>
    <w:rPr>
      <w:b/>
      <w:bCs/>
    </w:rPr>
  </w:style>
  <w:style w:type="character" w:styleId="nfasis">
    <w:name w:val="Emphasis"/>
    <w:uiPriority w:val="20"/>
    <w:qFormat/>
    <w:rsid w:val="004D173E"/>
    <w:rPr>
      <w:i/>
      <w:iCs/>
    </w:rPr>
  </w:style>
  <w:style w:type="paragraph" w:customStyle="1" w:styleId="style3">
    <w:name w:val="style3"/>
    <w:basedOn w:val="Normal"/>
    <w:rsid w:val="004D17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4D173E"/>
    <w:rPr>
      <w:color w:val="605E5C"/>
      <w:shd w:val="clear" w:color="auto" w:fill="E1DFDD"/>
    </w:rPr>
  </w:style>
  <w:style w:type="paragraph" w:styleId="Prrafodelista">
    <w:name w:val="List Paragraph"/>
    <w:basedOn w:val="Normal"/>
    <w:uiPriority w:val="34"/>
    <w:qFormat/>
    <w:rsid w:val="004D173E"/>
    <w:pPr>
      <w:ind w:left="720"/>
      <w:contextualSpacing/>
    </w:pPr>
  </w:style>
  <w:style w:type="character" w:styleId="Mencinsinresolver">
    <w:name w:val="Unresolved Mention"/>
    <w:basedOn w:val="Fuentedeprrafopredeter"/>
    <w:uiPriority w:val="99"/>
    <w:semiHidden/>
    <w:unhideWhenUsed/>
    <w:rsid w:val="00197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243-2238" TargetMode="External"/><Relationship Id="rId13" Type="http://schemas.openxmlformats.org/officeDocument/2006/relationships/hyperlink" Target="mailto:alirio.bastidas@unisabana.edu.co"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2-8873-9779" TargetMode="External"/><Relationship Id="rId12" Type="http://schemas.openxmlformats.org/officeDocument/2006/relationships/hyperlink" Target="https://orcid.org/0000-0002-0582-0548" TargetMode="External"/><Relationship Id="rId17" Type="http://schemas.openxmlformats.org/officeDocument/2006/relationships/hyperlink" Target="https://www.ncbi.nlm.nih.gov/pmc/articles/PMC4734407/" TargetMode="External"/><Relationship Id="rId2" Type="http://schemas.openxmlformats.org/officeDocument/2006/relationships/styles" Target="styles.xml"/><Relationship Id="rId16" Type="http://schemas.openxmlformats.org/officeDocument/2006/relationships/hyperlink" Target="http://www.scielo.org.co/scielo.php?script=sci_arttext&amp;pid=S0124-00642013000300001&amp;lng=e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0419-0756" TargetMode="External"/><Relationship Id="rId5" Type="http://schemas.openxmlformats.org/officeDocument/2006/relationships/footnotes" Target="footnotes.xml"/><Relationship Id="rId15" Type="http://schemas.openxmlformats.org/officeDocument/2006/relationships/hyperlink" Target="https://revistas.unal.edu.co/index.php/revsaludpublica/article/view/30729" TargetMode="External"/><Relationship Id="rId10" Type="http://schemas.openxmlformats.org/officeDocument/2006/relationships/hyperlink" Target="https://orcid.org/0000-0001-8335-437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5220-51933" TargetMode="External"/><Relationship Id="rId14" Type="http://schemas.openxmlformats.org/officeDocument/2006/relationships/image" Target="media/image1.gi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37</TotalTime>
  <Pages>14</Pages>
  <Words>3885</Words>
  <Characters>21368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25203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13</cp:revision>
  <cp:lastPrinted>2021-11-14T21:18:00Z</cp:lastPrinted>
  <dcterms:created xsi:type="dcterms:W3CDTF">2021-11-08T20:11:00Z</dcterms:created>
  <dcterms:modified xsi:type="dcterms:W3CDTF">2021-11-14T21:30:00Z</dcterms:modified>
</cp:coreProperties>
</file>