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CE8A" w14:textId="77777777" w:rsidR="0078754E" w:rsidRPr="0078754E" w:rsidRDefault="0078754E" w:rsidP="0078754E">
      <w:pPr>
        <w:spacing w:line="360" w:lineRule="auto"/>
        <w:jc w:val="right"/>
        <w:rPr>
          <w:rFonts w:eastAsia="Calibri"/>
          <w:sz w:val="20"/>
          <w:szCs w:val="20"/>
          <w:lang w:val="es-ES" w:eastAsia="en-US"/>
        </w:rPr>
      </w:pPr>
      <w:r w:rsidRPr="0078754E">
        <w:rPr>
          <w:rFonts w:eastAsia="Calibri"/>
          <w:sz w:val="20"/>
          <w:szCs w:val="20"/>
          <w:lang w:val="es-ES" w:eastAsia="en-US"/>
        </w:rPr>
        <w:t>Artículo de investigación</w:t>
      </w:r>
    </w:p>
    <w:p w14:paraId="293D4876" w14:textId="77777777" w:rsidR="0078754E" w:rsidRPr="0078754E" w:rsidRDefault="0078754E" w:rsidP="0078754E">
      <w:pPr>
        <w:spacing w:line="360" w:lineRule="auto"/>
        <w:jc w:val="center"/>
        <w:rPr>
          <w:rFonts w:eastAsia="Calibri"/>
          <w:b/>
          <w:bCs/>
          <w:lang w:val="es-ES" w:eastAsia="en-US"/>
        </w:rPr>
      </w:pPr>
    </w:p>
    <w:p w14:paraId="2F119446" w14:textId="77777777" w:rsidR="0078754E" w:rsidRPr="0078754E" w:rsidRDefault="0078754E" w:rsidP="0078754E">
      <w:pPr>
        <w:spacing w:line="360" w:lineRule="auto"/>
        <w:jc w:val="center"/>
        <w:rPr>
          <w:rFonts w:eastAsia="Calibri"/>
          <w:b/>
          <w:bCs/>
          <w:sz w:val="28"/>
          <w:szCs w:val="28"/>
          <w:lang w:val="es-ES" w:eastAsia="en-US"/>
        </w:rPr>
      </w:pPr>
      <w:r w:rsidRPr="0078754E">
        <w:rPr>
          <w:rFonts w:eastAsia="Calibri"/>
          <w:b/>
          <w:bCs/>
          <w:sz w:val="28"/>
          <w:szCs w:val="28"/>
          <w:lang w:val="es-ES" w:eastAsia="en-US"/>
        </w:rPr>
        <w:t>Competencias cognitivas sobre profilaxis antibiótica de endocarditis infecciosa en estudiantes de odontología</w:t>
      </w:r>
    </w:p>
    <w:p w14:paraId="50720281" w14:textId="77777777" w:rsidR="0078754E" w:rsidRPr="0078754E" w:rsidRDefault="0078754E" w:rsidP="0078754E">
      <w:pPr>
        <w:spacing w:line="360" w:lineRule="auto"/>
        <w:jc w:val="center"/>
        <w:rPr>
          <w:rFonts w:eastAsia="Calibri"/>
          <w:bCs/>
          <w:sz w:val="28"/>
          <w:szCs w:val="28"/>
          <w:lang w:val="en-US" w:eastAsia="en-US"/>
        </w:rPr>
      </w:pPr>
      <w:r w:rsidRPr="0078754E">
        <w:rPr>
          <w:rFonts w:eastAsia="Calibri"/>
          <w:bCs/>
          <w:sz w:val="28"/>
          <w:szCs w:val="28"/>
          <w:lang w:val="en-US" w:eastAsia="en-US"/>
        </w:rPr>
        <w:t>Cognitive competencies on antibiotic prophylaxis of infective endocarditis in dentistry students</w:t>
      </w:r>
    </w:p>
    <w:p w14:paraId="40D6F27B" w14:textId="77777777" w:rsidR="0078754E" w:rsidRPr="0078754E" w:rsidRDefault="0078754E" w:rsidP="0078754E">
      <w:pPr>
        <w:spacing w:line="360" w:lineRule="auto"/>
        <w:jc w:val="both"/>
        <w:rPr>
          <w:rFonts w:eastAsia="Calibri"/>
          <w:b/>
          <w:bCs/>
          <w:lang w:val="en-US" w:eastAsia="en-US"/>
        </w:rPr>
      </w:pPr>
    </w:p>
    <w:p w14:paraId="11213227" w14:textId="77777777" w:rsidR="0078754E" w:rsidRPr="0078754E" w:rsidRDefault="0078754E" w:rsidP="0078754E">
      <w:pPr>
        <w:spacing w:line="360" w:lineRule="auto"/>
        <w:jc w:val="both"/>
        <w:rPr>
          <w:rFonts w:eastAsia="Calibri"/>
          <w:color w:val="000000"/>
          <w:kern w:val="2"/>
          <w:vertAlign w:val="superscript"/>
          <w:lang w:val="es-ES" w:eastAsia="en-US"/>
        </w:rPr>
      </w:pPr>
      <w:r w:rsidRPr="0078754E">
        <w:rPr>
          <w:rFonts w:eastAsia="Calibri"/>
          <w:color w:val="000000"/>
          <w:shd w:val="clear" w:color="auto" w:fill="FFFFFF"/>
          <w:lang w:val="es-ES" w:eastAsia="en-US"/>
        </w:rPr>
        <w:t>Andrea Paola Mercado-Hermoza</w:t>
      </w:r>
      <w:r w:rsidRPr="0078754E">
        <w:rPr>
          <w:rFonts w:eastAsia="Calibri"/>
          <w:color w:val="000000"/>
          <w:shd w:val="clear" w:color="auto" w:fill="FFFFFF"/>
          <w:vertAlign w:val="superscript"/>
          <w:lang w:val="es-ES" w:eastAsia="en-US"/>
        </w:rPr>
        <w:t xml:space="preserve">1 </w:t>
      </w:r>
      <w:hyperlink r:id="rId7" w:history="1">
        <w:r w:rsidRPr="0078754E">
          <w:rPr>
            <w:rFonts w:eastAsia="Calibri"/>
            <w:color w:val="0563C1"/>
            <w:lang w:val="es-ES" w:eastAsia="en-US"/>
          </w:rPr>
          <w:t>https://orcid.org/0000-0003-2540-4442</w:t>
        </w:r>
      </w:hyperlink>
      <w:r w:rsidRPr="0078754E">
        <w:rPr>
          <w:rFonts w:eastAsia="Calibri"/>
          <w:lang w:val="es-ES" w:eastAsia="en-US"/>
        </w:rPr>
        <w:t xml:space="preserve"> </w:t>
      </w:r>
    </w:p>
    <w:p w14:paraId="418DB100" w14:textId="0D931549" w:rsidR="0078754E" w:rsidRPr="0078754E" w:rsidRDefault="0078754E" w:rsidP="0078754E">
      <w:pPr>
        <w:spacing w:line="360" w:lineRule="auto"/>
        <w:jc w:val="both"/>
        <w:rPr>
          <w:rFonts w:eastAsia="Calibri"/>
          <w:color w:val="000000"/>
          <w:kern w:val="2"/>
          <w:vertAlign w:val="superscript"/>
          <w:lang w:val="es-ES" w:eastAsia="en-US"/>
        </w:rPr>
      </w:pPr>
      <w:r w:rsidRPr="0078754E">
        <w:rPr>
          <w:rFonts w:eastAsia="Calibri"/>
          <w:bCs/>
          <w:shd w:val="clear" w:color="auto" w:fill="FFFFFF"/>
          <w:lang w:val="es-ES" w:eastAsia="en-US"/>
        </w:rPr>
        <w:t>Victor Chumpitaz-Cerrate</w:t>
      </w:r>
      <w:r w:rsidRPr="0078754E">
        <w:rPr>
          <w:rFonts w:eastAsia="Calibri"/>
          <w:bCs/>
          <w:shd w:val="clear" w:color="auto" w:fill="FFFFFF"/>
          <w:vertAlign w:val="superscript"/>
          <w:lang w:val="es-ES" w:eastAsia="en-US"/>
        </w:rPr>
        <w:t>2,3</w:t>
      </w:r>
      <w:r w:rsidRPr="0078754E">
        <w:rPr>
          <w:rFonts w:eastAsia="Calibri"/>
          <w:bCs/>
          <w:shd w:val="clear" w:color="auto" w:fill="FFFFFF"/>
          <w:lang w:val="es-ES" w:eastAsia="en-US"/>
        </w:rPr>
        <w:t>*</w:t>
      </w:r>
      <w:r w:rsidRPr="0078754E">
        <w:rPr>
          <w:rFonts w:eastAsia="Calibri"/>
          <w:bCs/>
          <w:shd w:val="clear" w:color="auto" w:fill="FFFFFF"/>
          <w:vertAlign w:val="superscript"/>
          <w:lang w:val="es-ES" w:eastAsia="en-US"/>
        </w:rPr>
        <w:t xml:space="preserve"> </w:t>
      </w:r>
      <w:hyperlink r:id="rId8" w:history="1">
        <w:r w:rsidRPr="0078754E">
          <w:rPr>
            <w:rFonts w:eastAsia="SimSun"/>
            <w:color w:val="0563C1"/>
            <w:lang w:val="es-ES" w:eastAsia="en-US"/>
          </w:rPr>
          <w:t>https://orcid.org/0000-0001-7073-8076</w:t>
        </w:r>
      </w:hyperlink>
    </w:p>
    <w:p w14:paraId="73CC14A1" w14:textId="77777777" w:rsidR="0078754E" w:rsidRPr="0078754E" w:rsidRDefault="0078754E" w:rsidP="0078754E">
      <w:pPr>
        <w:spacing w:line="360" w:lineRule="auto"/>
        <w:contextualSpacing/>
        <w:jc w:val="both"/>
        <w:rPr>
          <w:rFonts w:eastAsia="Calibri"/>
          <w:bCs/>
          <w:shd w:val="clear" w:color="auto" w:fill="FFFFFF"/>
          <w:lang w:val="en-US" w:eastAsia="en-US"/>
        </w:rPr>
      </w:pPr>
      <w:r w:rsidRPr="0078754E">
        <w:rPr>
          <w:rFonts w:eastAsia="Calibri"/>
          <w:bCs/>
          <w:shd w:val="clear" w:color="auto" w:fill="FFFFFF"/>
          <w:lang w:val="en-US" w:eastAsia="en-US"/>
        </w:rPr>
        <w:t>Lesly Chávez-Rimache</w:t>
      </w:r>
      <w:r w:rsidRPr="0078754E">
        <w:rPr>
          <w:rFonts w:eastAsia="Calibri"/>
          <w:bCs/>
          <w:shd w:val="clear" w:color="auto" w:fill="FFFFFF"/>
          <w:vertAlign w:val="superscript"/>
          <w:lang w:val="en-US" w:eastAsia="en-US"/>
        </w:rPr>
        <w:t>4</w:t>
      </w:r>
      <w:r w:rsidRPr="0078754E">
        <w:rPr>
          <w:rFonts w:eastAsia="Calibri"/>
          <w:bCs/>
          <w:shd w:val="clear" w:color="auto" w:fill="FFFFFF"/>
          <w:lang w:val="en-US" w:eastAsia="en-US"/>
        </w:rPr>
        <w:t xml:space="preserve"> </w:t>
      </w:r>
      <w:hyperlink r:id="rId9" w:history="1">
        <w:r w:rsidRPr="0078754E">
          <w:rPr>
            <w:rFonts w:eastAsia="SimSun"/>
            <w:color w:val="0563C1"/>
            <w:lang w:val="en-US" w:eastAsia="en-US"/>
          </w:rPr>
          <w:t>https://orcid.org/0000-0001-9987-7475</w:t>
        </w:r>
      </w:hyperlink>
    </w:p>
    <w:p w14:paraId="77405733" w14:textId="77777777" w:rsidR="0078754E" w:rsidRPr="0078754E" w:rsidRDefault="0078754E" w:rsidP="0078754E">
      <w:pPr>
        <w:spacing w:line="360" w:lineRule="auto"/>
        <w:contextualSpacing/>
        <w:jc w:val="both"/>
        <w:rPr>
          <w:rFonts w:eastAsia="Calibri"/>
          <w:bCs/>
          <w:shd w:val="clear" w:color="auto" w:fill="FFFFFF"/>
          <w:lang w:val="es-ES" w:eastAsia="en-US"/>
        </w:rPr>
      </w:pPr>
      <w:r w:rsidRPr="0078754E">
        <w:rPr>
          <w:rFonts w:eastAsia="Calibri"/>
          <w:bCs/>
          <w:color w:val="000000"/>
          <w:kern w:val="2"/>
          <w:lang w:val="es-ES" w:eastAsia="en-US"/>
        </w:rPr>
        <w:t>Angie Sofia Aponte-Labán</w:t>
      </w:r>
      <w:r w:rsidRPr="0078754E">
        <w:rPr>
          <w:rFonts w:eastAsia="Calibri"/>
          <w:bCs/>
          <w:color w:val="000000"/>
          <w:kern w:val="2"/>
          <w:vertAlign w:val="superscript"/>
          <w:lang w:val="es-ES" w:eastAsia="en-US"/>
        </w:rPr>
        <w:t>2</w:t>
      </w:r>
      <w:r w:rsidRPr="0078754E">
        <w:rPr>
          <w:rFonts w:eastAsia="Calibri"/>
          <w:bCs/>
          <w:color w:val="000000"/>
          <w:kern w:val="2"/>
          <w:lang w:val="es-ES" w:eastAsia="en-US"/>
        </w:rPr>
        <w:t xml:space="preserve"> </w:t>
      </w:r>
      <w:hyperlink r:id="rId10" w:history="1">
        <w:r w:rsidRPr="0078754E">
          <w:rPr>
            <w:rFonts w:eastAsia="Calibri"/>
            <w:color w:val="0563C1"/>
            <w:kern w:val="2"/>
            <w:lang w:val="es-ES" w:eastAsia="en-US"/>
          </w:rPr>
          <w:t>https://orcid.org/0000-0002-8519-5200</w:t>
        </w:r>
      </w:hyperlink>
    </w:p>
    <w:p w14:paraId="7A5E4353" w14:textId="77777777" w:rsidR="0078754E" w:rsidRPr="0078754E" w:rsidRDefault="0078754E" w:rsidP="0078754E">
      <w:pPr>
        <w:spacing w:line="360" w:lineRule="auto"/>
        <w:contextualSpacing/>
        <w:jc w:val="both"/>
        <w:rPr>
          <w:rFonts w:eastAsia="Calibri"/>
          <w:bCs/>
          <w:shd w:val="clear" w:color="auto" w:fill="FFFFFF"/>
          <w:lang w:val="es-ES" w:eastAsia="en-US"/>
        </w:rPr>
      </w:pPr>
      <w:r w:rsidRPr="0078754E">
        <w:rPr>
          <w:rFonts w:eastAsia="SimSun"/>
          <w:bCs/>
          <w:lang w:val="es-ES" w:eastAsia="en-US"/>
        </w:rPr>
        <w:t>Vanessa Pérez-Jimenez</w:t>
      </w:r>
      <w:r w:rsidRPr="0078754E">
        <w:rPr>
          <w:rFonts w:eastAsia="SimSun"/>
          <w:bCs/>
          <w:vertAlign w:val="superscript"/>
          <w:lang w:val="es-ES" w:eastAsia="en-US"/>
        </w:rPr>
        <w:t>2</w:t>
      </w:r>
      <w:r w:rsidRPr="0078754E">
        <w:rPr>
          <w:rFonts w:eastAsia="SimSun"/>
          <w:bCs/>
          <w:lang w:val="es-ES" w:eastAsia="en-US"/>
        </w:rPr>
        <w:t xml:space="preserve"> </w:t>
      </w:r>
      <w:hyperlink r:id="rId11" w:history="1">
        <w:r w:rsidRPr="0078754E">
          <w:rPr>
            <w:rFonts w:eastAsia="Calibri"/>
            <w:color w:val="0563C1"/>
            <w:kern w:val="2"/>
            <w:lang w:val="es-ES" w:eastAsia="en-US"/>
          </w:rPr>
          <w:t>https://orcid.org/0000-0001-9249-915X</w:t>
        </w:r>
      </w:hyperlink>
      <w:r w:rsidRPr="0078754E">
        <w:rPr>
          <w:rFonts w:eastAsia="Calibri"/>
          <w:kern w:val="2"/>
          <w:lang w:val="es-ES" w:eastAsia="en-US"/>
        </w:rPr>
        <w:t xml:space="preserve"> </w:t>
      </w:r>
    </w:p>
    <w:p w14:paraId="0D49B47A" w14:textId="77777777" w:rsidR="0078754E" w:rsidRPr="0078754E" w:rsidRDefault="0078754E" w:rsidP="0078754E">
      <w:pPr>
        <w:spacing w:line="360" w:lineRule="auto"/>
        <w:contextualSpacing/>
        <w:jc w:val="both"/>
        <w:rPr>
          <w:rFonts w:eastAsia="Calibri"/>
          <w:b/>
          <w:shd w:val="clear" w:color="auto" w:fill="FFFFFF"/>
          <w:lang w:val="es-ES" w:eastAsia="en-US"/>
        </w:rPr>
      </w:pPr>
    </w:p>
    <w:p w14:paraId="5F9D6065" w14:textId="77777777" w:rsidR="0078754E" w:rsidRPr="0078754E" w:rsidRDefault="0078754E" w:rsidP="0078754E">
      <w:pPr>
        <w:spacing w:line="360" w:lineRule="auto"/>
        <w:jc w:val="both"/>
        <w:rPr>
          <w:rFonts w:eastAsia="Calibri"/>
          <w:lang w:val="es-ES" w:eastAsia="en-US"/>
        </w:rPr>
      </w:pPr>
      <w:r w:rsidRPr="0078754E">
        <w:rPr>
          <w:rFonts w:eastAsia="Calibri"/>
          <w:vertAlign w:val="superscript"/>
          <w:lang w:val="es-ES" w:eastAsia="en-US"/>
        </w:rPr>
        <w:t>1</w:t>
      </w:r>
      <w:r w:rsidRPr="0078754E">
        <w:rPr>
          <w:rFonts w:eastAsia="Calibri"/>
          <w:lang w:val="es-ES" w:eastAsia="en-US"/>
        </w:rPr>
        <w:t>Universidad Científica del Sur. Departamento de Odontología. Lima, Perú.</w:t>
      </w:r>
    </w:p>
    <w:p w14:paraId="3387E5BF" w14:textId="77777777" w:rsidR="0078754E" w:rsidRPr="0078754E" w:rsidRDefault="0078754E" w:rsidP="0078754E">
      <w:pPr>
        <w:autoSpaceDE w:val="0"/>
        <w:autoSpaceDN w:val="0"/>
        <w:adjustRightInd w:val="0"/>
        <w:spacing w:line="360" w:lineRule="auto"/>
        <w:contextualSpacing/>
        <w:jc w:val="both"/>
        <w:rPr>
          <w:rFonts w:eastAsia="Calibri"/>
          <w:color w:val="000000"/>
          <w:lang w:val="es-ES" w:eastAsia="en-US"/>
        </w:rPr>
      </w:pPr>
      <w:r w:rsidRPr="0078754E">
        <w:rPr>
          <w:rFonts w:eastAsia="Calibri"/>
          <w:vertAlign w:val="superscript"/>
          <w:lang w:val="es-ES" w:eastAsia="en-US"/>
        </w:rPr>
        <w:t>2</w:t>
      </w:r>
      <w:r w:rsidRPr="0078754E">
        <w:rPr>
          <w:rFonts w:eastAsia="Calibri"/>
          <w:color w:val="000000"/>
          <w:lang w:val="es-ES" w:eastAsia="en-US"/>
        </w:rPr>
        <w:t>Universidad Nacional Mayor de San Marcos. Grupo de Investigación en Ciencias Básicas Estomatológicas (ICBEST). Lima, Perú.</w:t>
      </w:r>
    </w:p>
    <w:p w14:paraId="7F85AF2B" w14:textId="77777777" w:rsidR="0078754E" w:rsidRPr="0078754E" w:rsidRDefault="0078754E" w:rsidP="0078754E">
      <w:pPr>
        <w:autoSpaceDE w:val="0"/>
        <w:autoSpaceDN w:val="0"/>
        <w:adjustRightInd w:val="0"/>
        <w:spacing w:line="360" w:lineRule="auto"/>
        <w:contextualSpacing/>
        <w:jc w:val="both"/>
        <w:rPr>
          <w:rFonts w:eastAsia="Calibri"/>
          <w:color w:val="000000"/>
          <w:lang w:val="es-ES" w:eastAsia="en-US"/>
        </w:rPr>
      </w:pPr>
      <w:r w:rsidRPr="0078754E">
        <w:rPr>
          <w:rFonts w:eastAsia="Calibri"/>
          <w:color w:val="000000"/>
          <w:vertAlign w:val="superscript"/>
          <w:lang w:val="es-ES" w:eastAsia="en-US"/>
        </w:rPr>
        <w:t>3</w:t>
      </w:r>
      <w:r w:rsidRPr="0078754E">
        <w:rPr>
          <w:rFonts w:eastAsia="Calibri"/>
          <w:color w:val="000000"/>
          <w:lang w:val="es-ES" w:eastAsia="en-US"/>
        </w:rPr>
        <w:t>Universidad Científica del Sur. Laboratorio de farmacología. Lima, Perú.</w:t>
      </w:r>
    </w:p>
    <w:p w14:paraId="469DFC35" w14:textId="77777777" w:rsidR="0078754E" w:rsidRPr="0078754E" w:rsidRDefault="0078754E" w:rsidP="0078754E">
      <w:pPr>
        <w:autoSpaceDE w:val="0"/>
        <w:autoSpaceDN w:val="0"/>
        <w:adjustRightInd w:val="0"/>
        <w:spacing w:line="360" w:lineRule="auto"/>
        <w:contextualSpacing/>
        <w:jc w:val="both"/>
        <w:rPr>
          <w:rFonts w:eastAsia="Calibri"/>
          <w:color w:val="000000"/>
          <w:lang w:val="es-ES" w:eastAsia="en-US"/>
        </w:rPr>
      </w:pPr>
      <w:r w:rsidRPr="0078754E">
        <w:rPr>
          <w:rFonts w:eastAsia="Calibri"/>
          <w:color w:val="000000"/>
          <w:vertAlign w:val="superscript"/>
          <w:lang w:val="es-ES" w:eastAsia="en-US"/>
        </w:rPr>
        <w:t>4</w:t>
      </w:r>
      <w:r w:rsidRPr="0078754E">
        <w:rPr>
          <w:rFonts w:eastAsia="Calibri"/>
          <w:color w:val="000000"/>
          <w:lang w:val="es-ES" w:eastAsia="en-US"/>
        </w:rPr>
        <w:t>Universidad San Ignacio de Loyola. Vicerrectorado de Investigación. Unidad de Investigación para la Generación y Síntesis de Evidencias en Salud. Lima, Perú.</w:t>
      </w:r>
    </w:p>
    <w:p w14:paraId="35E15333" w14:textId="77777777" w:rsidR="0078754E" w:rsidRPr="0078754E" w:rsidRDefault="0078754E" w:rsidP="0078754E">
      <w:pPr>
        <w:spacing w:line="360" w:lineRule="auto"/>
        <w:contextualSpacing/>
        <w:jc w:val="both"/>
        <w:rPr>
          <w:rFonts w:eastAsia="Calibri"/>
          <w:b/>
          <w:shd w:val="clear" w:color="auto" w:fill="FFFFFF"/>
          <w:lang w:val="es-ES" w:eastAsia="en-US"/>
        </w:rPr>
      </w:pPr>
    </w:p>
    <w:p w14:paraId="20418C1E" w14:textId="77777777" w:rsidR="0078754E" w:rsidRPr="0078754E" w:rsidRDefault="0078754E" w:rsidP="0078754E">
      <w:pPr>
        <w:tabs>
          <w:tab w:val="left" w:pos="0"/>
        </w:tabs>
        <w:autoSpaceDE w:val="0"/>
        <w:autoSpaceDN w:val="0"/>
        <w:adjustRightInd w:val="0"/>
        <w:spacing w:line="360" w:lineRule="auto"/>
        <w:rPr>
          <w:rFonts w:eastAsia="Calibri"/>
          <w:color w:val="000000"/>
          <w:lang w:val="es-ES" w:eastAsia="en-US"/>
        </w:rPr>
      </w:pPr>
      <w:r w:rsidRPr="0078754E">
        <w:rPr>
          <w:rFonts w:eastAsia="Calibri"/>
          <w:color w:val="000000"/>
          <w:lang w:val="es-ES" w:eastAsia="en-US"/>
        </w:rPr>
        <w:t xml:space="preserve">*Autor para la correspondencia. Correo electrónico: </w:t>
      </w:r>
      <w:hyperlink r:id="rId12" w:history="1">
        <w:r w:rsidRPr="0078754E">
          <w:rPr>
            <w:rFonts w:eastAsia="Calibri"/>
            <w:color w:val="0563C1"/>
            <w:lang w:val="es-ES" w:eastAsia="en-US"/>
          </w:rPr>
          <w:t>vchumpitazc@unmsm.edu.pe</w:t>
        </w:r>
      </w:hyperlink>
      <w:r w:rsidRPr="0078754E">
        <w:rPr>
          <w:rFonts w:eastAsia="Calibri"/>
          <w:color w:val="000000"/>
          <w:lang w:val="es-ES" w:eastAsia="en-US"/>
        </w:rPr>
        <w:t xml:space="preserve">  </w:t>
      </w:r>
    </w:p>
    <w:p w14:paraId="0DA92468" w14:textId="77777777" w:rsidR="0078754E" w:rsidRPr="0078754E" w:rsidRDefault="0078754E" w:rsidP="0078754E">
      <w:pPr>
        <w:tabs>
          <w:tab w:val="left" w:pos="0"/>
        </w:tabs>
        <w:autoSpaceDE w:val="0"/>
        <w:autoSpaceDN w:val="0"/>
        <w:adjustRightInd w:val="0"/>
        <w:spacing w:line="360" w:lineRule="auto"/>
        <w:rPr>
          <w:rFonts w:eastAsia="Calibri"/>
          <w:color w:val="000000"/>
          <w:lang w:val="es-ES" w:eastAsia="en-US"/>
        </w:rPr>
      </w:pPr>
    </w:p>
    <w:p w14:paraId="2CE66487" w14:textId="77777777" w:rsidR="0078754E" w:rsidRPr="0078754E" w:rsidRDefault="0078754E" w:rsidP="0078754E">
      <w:pPr>
        <w:spacing w:line="360" w:lineRule="auto"/>
        <w:contextualSpacing/>
        <w:jc w:val="both"/>
        <w:rPr>
          <w:rFonts w:eastAsia="Calibri"/>
          <w:b/>
          <w:shd w:val="clear" w:color="auto" w:fill="FFFFFF"/>
          <w:lang w:val="es-ES" w:eastAsia="en-US"/>
        </w:rPr>
      </w:pPr>
      <w:r w:rsidRPr="0078754E">
        <w:rPr>
          <w:rFonts w:eastAsia="Calibri"/>
          <w:b/>
          <w:shd w:val="clear" w:color="auto" w:fill="FFFFFF"/>
          <w:lang w:val="es-ES" w:eastAsia="en-US"/>
        </w:rPr>
        <w:t>RESUMEN</w:t>
      </w:r>
    </w:p>
    <w:p w14:paraId="1DAB521B"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b/>
          <w:shd w:val="clear" w:color="auto" w:fill="FFFFFF"/>
          <w:lang w:val="es-ES" w:eastAsia="en-US"/>
        </w:rPr>
        <w:t>Introducción:</w:t>
      </w:r>
      <w:r w:rsidRPr="0078754E">
        <w:rPr>
          <w:rFonts w:eastAsia="Calibri"/>
          <w:bCs/>
          <w:shd w:val="clear" w:color="auto" w:fill="FFFFFF"/>
          <w:lang w:val="es-ES" w:eastAsia="en-US"/>
        </w:rPr>
        <w:t xml:space="preserve"> La</w:t>
      </w:r>
      <w:r w:rsidRPr="0078754E">
        <w:rPr>
          <w:rFonts w:eastAsia="Calibri"/>
          <w:shd w:val="clear" w:color="auto" w:fill="FFFFFF"/>
          <w:lang w:val="es-ES" w:eastAsia="en-US"/>
        </w:rPr>
        <w:t xml:space="preserve"> endocarditis infecciosa es una enfermedad con riesgo de mortalidad que se puede originar por un tratamiento odontológico. Por ello, los cirujanos dentistas deben tener conocimientos básicos sobre la prevención de endocarditis infecciosa. </w:t>
      </w:r>
    </w:p>
    <w:p w14:paraId="50799F16"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b/>
          <w:shd w:val="clear" w:color="auto" w:fill="FFFFFF"/>
          <w:lang w:val="es-ES" w:eastAsia="en-US"/>
        </w:rPr>
        <w:t>Objetivo:</w:t>
      </w:r>
      <w:r w:rsidRPr="0078754E">
        <w:rPr>
          <w:rFonts w:eastAsia="Calibri"/>
          <w:shd w:val="clear" w:color="auto" w:fill="FFFFFF"/>
          <w:lang w:val="es-ES" w:eastAsia="en-US"/>
        </w:rPr>
        <w:t xml:space="preserve"> Determinar el nivel de conocimientos sobre la profilaxis antibiótica de endocarditis infecciosa previa a procedimientos odontológicos en estudiantes de pregrado y posgrado de estomatología.</w:t>
      </w:r>
    </w:p>
    <w:p w14:paraId="64D9018E"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b/>
          <w:shd w:val="clear" w:color="auto" w:fill="FFFFFF"/>
          <w:lang w:val="es-ES" w:eastAsia="en-US"/>
        </w:rPr>
        <w:lastRenderedPageBreak/>
        <w:t>Métodos:</w:t>
      </w:r>
      <w:r w:rsidRPr="0078754E">
        <w:rPr>
          <w:rFonts w:eastAsia="Calibri"/>
          <w:shd w:val="clear" w:color="auto" w:fill="FFFFFF"/>
          <w:lang w:val="es-ES" w:eastAsia="en-US"/>
        </w:rPr>
        <w:t xml:space="preserve"> Se diseñó un estudio descriptivo y transversal cuya muestra estuvo formada por 74 estudiantes de pregrado y 234 de posgrado de la carrera de Estomatología de la Universidad Científica del Sur en el año 2019. Se empleó un cuestionario previo validado en el Perú, conformado por 20 preguntas de opción múltiple y dividido en 4 dimensiones (epidemiología, etiopatogenia, indicación y farmacología de la profilaxis antibiótica de endocarditis infecciosa). Los resultados se categorizaron en nivel de conocimiento bajo, regular y alto.</w:t>
      </w:r>
    </w:p>
    <w:p w14:paraId="741D9A5F" w14:textId="3365AEEF" w:rsidR="0078754E" w:rsidRPr="0078754E" w:rsidRDefault="0078754E" w:rsidP="0078754E">
      <w:pPr>
        <w:autoSpaceDE w:val="0"/>
        <w:autoSpaceDN w:val="0"/>
        <w:adjustRightInd w:val="0"/>
        <w:spacing w:line="360" w:lineRule="auto"/>
        <w:jc w:val="both"/>
        <w:rPr>
          <w:rFonts w:eastAsia="Calibri"/>
          <w:shd w:val="clear" w:color="auto" w:fill="FFFFFF"/>
          <w:lang w:val="es-ES" w:eastAsia="en-US"/>
        </w:rPr>
      </w:pPr>
      <w:r w:rsidRPr="0078754E">
        <w:rPr>
          <w:rFonts w:eastAsia="Calibri"/>
          <w:b/>
          <w:shd w:val="clear" w:color="auto" w:fill="FFFFFF"/>
          <w:lang w:val="es-ES" w:eastAsia="en-US"/>
        </w:rPr>
        <w:t>Resultados:</w:t>
      </w:r>
      <w:r w:rsidRPr="0078754E">
        <w:rPr>
          <w:rFonts w:eastAsia="Calibri"/>
          <w:shd w:val="clear" w:color="auto" w:fill="FFFFFF"/>
          <w:lang w:val="es-ES" w:eastAsia="en-US"/>
        </w:rPr>
        <w:t xml:space="preserve"> El 73,1 % de los estudiantes presentó un nivel de conocimiento global bajo, mientras que el 23,7 % presentó un nivel regular y el 3,2 %; un nivel alto. La calificación promedio fue 8,71 ± 2,78 [IC95</w:t>
      </w:r>
      <w:r w:rsidR="007D3405">
        <w:rPr>
          <w:rFonts w:eastAsia="Calibri"/>
          <w:shd w:val="clear" w:color="auto" w:fill="FFFFFF"/>
          <w:lang w:val="es-ES" w:eastAsia="en-US"/>
        </w:rPr>
        <w:t> </w:t>
      </w:r>
      <w:r w:rsidRPr="0078754E">
        <w:rPr>
          <w:rFonts w:eastAsia="Calibri"/>
          <w:shd w:val="clear" w:color="auto" w:fill="FFFFFF"/>
          <w:lang w:val="es-ES" w:eastAsia="en-US"/>
        </w:rPr>
        <w:t xml:space="preserve">% 8,40 a 9,10]. Los estudiantes de pregrado tuvieron un puntaje de 8,64 ± 2,72 [IC95 % 8,01 a 9,26] y los de posgrado; 8,74 ± 2,80 [IC95 % 8,38 a 9,10]. </w:t>
      </w:r>
    </w:p>
    <w:p w14:paraId="2EB81D08"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b/>
          <w:shd w:val="clear" w:color="auto" w:fill="FFFFFF"/>
          <w:lang w:val="es-ES" w:eastAsia="en-US"/>
        </w:rPr>
        <w:t>Conclusión:</w:t>
      </w:r>
      <w:r w:rsidRPr="0078754E">
        <w:rPr>
          <w:rFonts w:eastAsia="Calibri"/>
          <w:shd w:val="clear" w:color="auto" w:fill="FFFFFF"/>
          <w:lang w:val="es-ES" w:eastAsia="en-US"/>
        </w:rPr>
        <w:t xml:space="preserve"> El nivel de conocimiento sobre profilaxis antibiótica para la prevención de endocarditis infecciosa previa a procedimientos odontológicos es bajo en pregrado y posgrado. </w:t>
      </w:r>
    </w:p>
    <w:p w14:paraId="683E92BF"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b/>
          <w:shd w:val="clear" w:color="auto" w:fill="FFFFFF"/>
          <w:lang w:val="es-ES" w:eastAsia="en-US"/>
        </w:rPr>
        <w:t>Palabras clave:</w:t>
      </w:r>
      <w:r w:rsidRPr="0078754E">
        <w:rPr>
          <w:rFonts w:eastAsia="Calibri"/>
          <w:shd w:val="clear" w:color="auto" w:fill="FFFFFF"/>
          <w:lang w:val="es-ES" w:eastAsia="en-US"/>
        </w:rPr>
        <w:t xml:space="preserve"> conocimiento; endocarditis bacteriana; estudiantes; farmacología; profilaxis antibiótica. </w:t>
      </w:r>
    </w:p>
    <w:p w14:paraId="4390973B" w14:textId="77777777" w:rsidR="0078754E" w:rsidRPr="0078754E" w:rsidRDefault="0078754E" w:rsidP="0078754E">
      <w:pPr>
        <w:spacing w:line="360" w:lineRule="auto"/>
        <w:contextualSpacing/>
        <w:jc w:val="both"/>
        <w:rPr>
          <w:rFonts w:eastAsia="Calibri"/>
          <w:b/>
          <w:color w:val="000000"/>
          <w:shd w:val="clear" w:color="auto" w:fill="FFFFFF"/>
          <w:lang w:val="es-ES" w:eastAsia="en-US"/>
        </w:rPr>
      </w:pPr>
    </w:p>
    <w:p w14:paraId="1D069737" w14:textId="77777777" w:rsidR="0078754E" w:rsidRPr="0078754E" w:rsidRDefault="0078754E" w:rsidP="0078754E">
      <w:pPr>
        <w:spacing w:line="360" w:lineRule="auto"/>
        <w:contextualSpacing/>
        <w:jc w:val="both"/>
        <w:rPr>
          <w:rFonts w:eastAsia="Calibri"/>
          <w:b/>
          <w:color w:val="000000"/>
          <w:shd w:val="clear" w:color="auto" w:fill="FFFFFF"/>
          <w:lang w:val="en-US" w:eastAsia="en-US"/>
        </w:rPr>
      </w:pPr>
      <w:r w:rsidRPr="0078754E">
        <w:rPr>
          <w:rFonts w:eastAsia="Calibri"/>
          <w:b/>
          <w:color w:val="000000"/>
          <w:shd w:val="clear" w:color="auto" w:fill="FFFFFF"/>
          <w:lang w:val="en-US" w:eastAsia="en-US"/>
        </w:rPr>
        <w:t>ABSTRACT</w:t>
      </w:r>
    </w:p>
    <w:p w14:paraId="20E3D839" w14:textId="77777777" w:rsidR="0078754E" w:rsidRPr="0078754E" w:rsidRDefault="0078754E" w:rsidP="0078754E">
      <w:pPr>
        <w:spacing w:line="360" w:lineRule="auto"/>
        <w:contextualSpacing/>
        <w:jc w:val="both"/>
        <w:rPr>
          <w:bCs/>
          <w:color w:val="000000"/>
          <w:shd w:val="clear" w:color="auto" w:fill="FFFFFF"/>
          <w:lang w:val="en-US" w:eastAsia="es-PE"/>
        </w:rPr>
      </w:pPr>
      <w:r w:rsidRPr="0078754E">
        <w:rPr>
          <w:b/>
          <w:color w:val="000000"/>
          <w:shd w:val="clear" w:color="auto" w:fill="FFFFFF"/>
          <w:lang w:val="en-US" w:eastAsia="es-PE"/>
        </w:rPr>
        <w:t xml:space="preserve">Introduction: </w:t>
      </w:r>
      <w:r w:rsidRPr="0078754E">
        <w:rPr>
          <w:bCs/>
          <w:color w:val="000000"/>
          <w:shd w:val="clear" w:color="auto" w:fill="FFFFFF"/>
          <w:lang w:val="en-US" w:eastAsia="es-PE"/>
        </w:rPr>
        <w:t xml:space="preserve">Infective endocarditis is a potentially life-threatening disease that can be caused by dental treatment. Therefore, dental surgeons should have basic knowledge about the prevention of infective endocarditis. </w:t>
      </w:r>
    </w:p>
    <w:p w14:paraId="5FEAC1DF" w14:textId="1C42D448" w:rsidR="0078754E" w:rsidRPr="0078754E" w:rsidRDefault="0078754E" w:rsidP="0078754E">
      <w:pPr>
        <w:spacing w:line="360" w:lineRule="auto"/>
        <w:contextualSpacing/>
        <w:jc w:val="both"/>
        <w:rPr>
          <w:b/>
          <w:color w:val="000000"/>
          <w:shd w:val="clear" w:color="auto" w:fill="FFFFFF"/>
          <w:lang w:val="en-US" w:eastAsia="es-PE"/>
        </w:rPr>
      </w:pPr>
      <w:r w:rsidRPr="0078754E">
        <w:rPr>
          <w:b/>
          <w:color w:val="000000"/>
          <w:shd w:val="clear" w:color="auto" w:fill="FFFFFF"/>
          <w:lang w:val="en-US" w:eastAsia="es-PE"/>
        </w:rPr>
        <w:t xml:space="preserve">Objective: </w:t>
      </w:r>
      <w:r w:rsidRPr="0078754E">
        <w:rPr>
          <w:bCs/>
          <w:color w:val="000000"/>
          <w:shd w:val="clear" w:color="auto" w:fill="FFFFFF"/>
          <w:lang w:val="en-US" w:eastAsia="es-PE"/>
        </w:rPr>
        <w:t>To determine the level of knowledge of antibiotic prophylaxis of infective endocarditis prior to dental procedures in undergraduate and postgraduate students of stomatology at the Universidad Cient</w:t>
      </w:r>
      <w:r w:rsidR="002118CA">
        <w:rPr>
          <w:bCs/>
          <w:color w:val="000000"/>
          <w:shd w:val="clear" w:color="auto" w:fill="FFFFFF"/>
          <w:lang w:val="en-US" w:eastAsia="es-PE"/>
        </w:rPr>
        <w:t>i</w:t>
      </w:r>
      <w:r w:rsidRPr="0078754E">
        <w:rPr>
          <w:bCs/>
          <w:color w:val="000000"/>
          <w:shd w:val="clear" w:color="auto" w:fill="FFFFFF"/>
          <w:lang w:val="en-US" w:eastAsia="es-PE"/>
        </w:rPr>
        <w:t>fica del Sur, Lima - Peru.</w:t>
      </w:r>
      <w:r w:rsidRPr="0078754E">
        <w:rPr>
          <w:b/>
          <w:color w:val="000000"/>
          <w:shd w:val="clear" w:color="auto" w:fill="FFFFFF"/>
          <w:lang w:val="en-US" w:eastAsia="es-PE"/>
        </w:rPr>
        <w:t xml:space="preserve"> </w:t>
      </w:r>
    </w:p>
    <w:p w14:paraId="4C1C6692" w14:textId="77777777" w:rsidR="0078754E" w:rsidRPr="0078754E" w:rsidRDefault="0078754E" w:rsidP="0078754E">
      <w:pPr>
        <w:spacing w:line="360" w:lineRule="auto"/>
        <w:contextualSpacing/>
        <w:jc w:val="both"/>
        <w:rPr>
          <w:bCs/>
          <w:color w:val="000000"/>
          <w:shd w:val="clear" w:color="auto" w:fill="FFFFFF"/>
          <w:lang w:val="en-US" w:eastAsia="es-PE"/>
        </w:rPr>
      </w:pPr>
      <w:r w:rsidRPr="0078754E">
        <w:rPr>
          <w:b/>
          <w:color w:val="000000"/>
          <w:shd w:val="clear" w:color="auto" w:fill="FFFFFF"/>
          <w:lang w:val="en-US" w:eastAsia="es-PE"/>
        </w:rPr>
        <w:t>Method:</w:t>
      </w:r>
      <w:r w:rsidRPr="0078754E">
        <w:rPr>
          <w:bCs/>
          <w:color w:val="000000"/>
          <w:shd w:val="clear" w:color="auto" w:fill="FFFFFF"/>
          <w:lang w:val="en-US" w:eastAsia="es-PE"/>
        </w:rPr>
        <w:t xml:space="preserve"> A descriptive and cross-sectional study was designed with a sample of 74 undergraduate and 234 graduate students of the Universidad Cientifica del Sur Stomatology career in 2019. A questionnaire previously validated in Peru was used, consisting of 20 multiple-choice questions, and divided into 4 dimensions (epidemiology, etiopathogenesis, indication, and pharmacology of antibiotic prophylaxis of infective endocarditis). The results were categorized into low, regular, and high levels of knowledge.</w:t>
      </w:r>
    </w:p>
    <w:p w14:paraId="7897D1B7" w14:textId="7A2A6693" w:rsidR="0078754E" w:rsidRPr="0078754E" w:rsidRDefault="0078754E" w:rsidP="0078754E">
      <w:pPr>
        <w:spacing w:line="360" w:lineRule="auto"/>
        <w:contextualSpacing/>
        <w:jc w:val="both"/>
        <w:rPr>
          <w:b/>
          <w:color w:val="000000"/>
          <w:shd w:val="clear" w:color="auto" w:fill="FFFFFF"/>
          <w:lang w:val="en-US" w:eastAsia="es-PE"/>
        </w:rPr>
      </w:pPr>
      <w:r w:rsidRPr="0078754E">
        <w:rPr>
          <w:b/>
          <w:color w:val="000000"/>
          <w:shd w:val="clear" w:color="auto" w:fill="FFFFFF"/>
          <w:lang w:val="en-US" w:eastAsia="es-PE"/>
        </w:rPr>
        <w:t xml:space="preserve">Results: </w:t>
      </w:r>
      <w:r w:rsidRPr="0078754E">
        <w:rPr>
          <w:bCs/>
          <w:color w:val="000000"/>
          <w:shd w:val="clear" w:color="auto" w:fill="FFFFFF"/>
          <w:lang w:val="en-US" w:eastAsia="es-PE"/>
        </w:rPr>
        <w:t>73.1% of the students presented a low level of global knowledge, while 23.7% presented a regular level</w:t>
      </w:r>
      <w:r w:rsidR="00B63462">
        <w:rPr>
          <w:bCs/>
          <w:color w:val="000000"/>
          <w:shd w:val="clear" w:color="auto" w:fill="FFFFFF"/>
          <w:lang w:val="en-US" w:eastAsia="es-PE"/>
        </w:rPr>
        <w:t>,</w:t>
      </w:r>
      <w:r w:rsidRPr="0078754E">
        <w:rPr>
          <w:bCs/>
          <w:color w:val="000000"/>
          <w:shd w:val="clear" w:color="auto" w:fill="FFFFFF"/>
          <w:lang w:val="en-US" w:eastAsia="es-PE"/>
        </w:rPr>
        <w:t xml:space="preserve"> and 3.2% a high level. The average score was 8.71 ± 2.78 [95% CI 8.40 to 9.10]. </w:t>
      </w:r>
      <w:r w:rsidRPr="0078754E">
        <w:rPr>
          <w:bCs/>
          <w:color w:val="000000"/>
          <w:shd w:val="clear" w:color="auto" w:fill="FFFFFF"/>
          <w:lang w:val="en-US" w:eastAsia="es-PE"/>
        </w:rPr>
        <w:lastRenderedPageBreak/>
        <w:t xml:space="preserve">Undergraduate students had a score of 8.64 ± 2.72 [CI 95% 8.01 to 9.26] and graduate students; 8.74 ± 2.80 [CI95% 8.38 to 9.10]. </w:t>
      </w:r>
    </w:p>
    <w:p w14:paraId="73556226" w14:textId="77777777" w:rsidR="0078754E" w:rsidRPr="0078754E" w:rsidRDefault="0078754E" w:rsidP="0078754E">
      <w:pPr>
        <w:spacing w:line="360" w:lineRule="auto"/>
        <w:contextualSpacing/>
        <w:jc w:val="both"/>
        <w:rPr>
          <w:bCs/>
          <w:color w:val="000000"/>
          <w:shd w:val="clear" w:color="auto" w:fill="FFFFFF"/>
          <w:lang w:val="en-US" w:eastAsia="es-PE"/>
        </w:rPr>
      </w:pPr>
      <w:r w:rsidRPr="0078754E">
        <w:rPr>
          <w:b/>
          <w:color w:val="000000"/>
          <w:shd w:val="clear" w:color="auto" w:fill="FFFFFF"/>
          <w:lang w:val="en-US" w:eastAsia="es-PE"/>
        </w:rPr>
        <w:t xml:space="preserve">Conclusion: </w:t>
      </w:r>
      <w:r w:rsidRPr="0078754E">
        <w:rPr>
          <w:bCs/>
          <w:color w:val="000000"/>
          <w:shd w:val="clear" w:color="auto" w:fill="FFFFFF"/>
          <w:lang w:val="en-US" w:eastAsia="es-PE"/>
        </w:rPr>
        <w:t xml:space="preserve">The level of knowledge of antibiotic prophylaxis for the prevention of infective endocarditis </w:t>
      </w:r>
      <w:r w:rsidRPr="0078754E">
        <w:rPr>
          <w:bCs/>
          <w:color w:val="000000"/>
          <w:u w:val="single"/>
          <w:shd w:val="clear" w:color="auto" w:fill="FFFFFF"/>
          <w:lang w:val="en-US" w:eastAsia="es-PE"/>
        </w:rPr>
        <w:t>prior</w:t>
      </w:r>
      <w:r w:rsidRPr="0078754E">
        <w:rPr>
          <w:bCs/>
          <w:color w:val="000000"/>
          <w:shd w:val="clear" w:color="auto" w:fill="FFFFFF"/>
          <w:lang w:val="en-US" w:eastAsia="es-PE"/>
        </w:rPr>
        <w:t xml:space="preserve"> to dental procedures was predominantly low in undergraduate and postgraduate students.</w:t>
      </w:r>
    </w:p>
    <w:p w14:paraId="2DA331A2" w14:textId="77777777" w:rsidR="0078754E" w:rsidRPr="0078754E" w:rsidRDefault="0078754E" w:rsidP="0078754E">
      <w:pPr>
        <w:spacing w:line="360" w:lineRule="auto"/>
        <w:contextualSpacing/>
        <w:jc w:val="both"/>
        <w:rPr>
          <w:bCs/>
          <w:color w:val="000000"/>
          <w:shd w:val="clear" w:color="auto" w:fill="FFFFFF"/>
          <w:lang w:val="en-US" w:eastAsia="es-PE"/>
        </w:rPr>
      </w:pPr>
      <w:r w:rsidRPr="0078754E">
        <w:rPr>
          <w:b/>
          <w:color w:val="000000"/>
          <w:shd w:val="clear" w:color="auto" w:fill="FFFFFF"/>
          <w:lang w:val="en-US" w:eastAsia="es-PE"/>
        </w:rPr>
        <w:t>Keywords:</w:t>
      </w:r>
      <w:r w:rsidRPr="0078754E">
        <w:rPr>
          <w:bCs/>
          <w:color w:val="000000"/>
          <w:shd w:val="clear" w:color="auto" w:fill="FFFFFF"/>
          <w:lang w:val="en-US" w:eastAsia="es-PE"/>
        </w:rPr>
        <w:t xml:space="preserve"> antibiotic prophylaxis; endocarditis bacterial; knowledge; pharmacology; students. </w:t>
      </w:r>
    </w:p>
    <w:p w14:paraId="68B3E7FE" w14:textId="77777777" w:rsidR="0078754E" w:rsidRPr="0078754E" w:rsidRDefault="0078754E" w:rsidP="0078754E">
      <w:pPr>
        <w:spacing w:line="360" w:lineRule="auto"/>
        <w:contextualSpacing/>
        <w:jc w:val="both"/>
        <w:rPr>
          <w:bCs/>
          <w:color w:val="000000"/>
          <w:shd w:val="clear" w:color="auto" w:fill="FFFFFF"/>
          <w:lang w:val="en-US" w:eastAsia="es-PE"/>
        </w:rPr>
      </w:pPr>
    </w:p>
    <w:p w14:paraId="58D7FACD" w14:textId="77777777" w:rsidR="0078754E" w:rsidRPr="0078754E" w:rsidRDefault="0078754E" w:rsidP="0078754E">
      <w:pPr>
        <w:spacing w:line="360" w:lineRule="auto"/>
        <w:contextualSpacing/>
        <w:jc w:val="both"/>
        <w:rPr>
          <w:bCs/>
          <w:color w:val="000000"/>
          <w:shd w:val="clear" w:color="auto" w:fill="FFFFFF"/>
          <w:lang w:val="en-US" w:eastAsia="es-PE"/>
        </w:rPr>
      </w:pPr>
    </w:p>
    <w:p w14:paraId="70BD6A27" w14:textId="77777777" w:rsidR="0078754E" w:rsidRPr="0078754E" w:rsidRDefault="0078754E" w:rsidP="0078754E">
      <w:pPr>
        <w:spacing w:line="360" w:lineRule="auto"/>
        <w:contextualSpacing/>
        <w:jc w:val="both"/>
        <w:rPr>
          <w:bCs/>
          <w:color w:val="000000"/>
          <w:shd w:val="clear" w:color="auto" w:fill="FFFFFF"/>
          <w:lang w:val="es-PE" w:eastAsia="es-PE"/>
        </w:rPr>
      </w:pPr>
      <w:r w:rsidRPr="0078754E">
        <w:rPr>
          <w:bCs/>
          <w:color w:val="000000"/>
          <w:shd w:val="clear" w:color="auto" w:fill="FFFFFF"/>
          <w:lang w:val="es-PE" w:eastAsia="es-PE"/>
        </w:rPr>
        <w:t>Recibido: 23/10/2023</w:t>
      </w:r>
    </w:p>
    <w:p w14:paraId="2D9E58A6" w14:textId="77777777" w:rsidR="0078754E" w:rsidRPr="0078754E" w:rsidRDefault="0078754E" w:rsidP="0078754E">
      <w:pPr>
        <w:spacing w:line="360" w:lineRule="auto"/>
        <w:contextualSpacing/>
        <w:jc w:val="both"/>
        <w:rPr>
          <w:rFonts w:eastAsia="Calibri"/>
          <w:lang w:val="es-PE" w:eastAsia="en-US"/>
        </w:rPr>
      </w:pPr>
      <w:r w:rsidRPr="0078754E">
        <w:rPr>
          <w:bCs/>
          <w:color w:val="000000"/>
          <w:shd w:val="clear" w:color="auto" w:fill="FFFFFF"/>
          <w:lang w:val="es-PE" w:eastAsia="es-PE"/>
        </w:rPr>
        <w:t>Aprobado: 30/12/2023</w:t>
      </w:r>
    </w:p>
    <w:p w14:paraId="2EBBA329" w14:textId="77777777" w:rsidR="0078754E" w:rsidRPr="0078754E" w:rsidRDefault="0078754E" w:rsidP="0078754E">
      <w:pPr>
        <w:spacing w:line="360" w:lineRule="auto"/>
        <w:contextualSpacing/>
        <w:jc w:val="center"/>
        <w:rPr>
          <w:rFonts w:eastAsia="Calibri"/>
          <w:b/>
          <w:bCs/>
          <w:sz w:val="32"/>
          <w:szCs w:val="32"/>
          <w:shd w:val="clear" w:color="auto" w:fill="FFFFFF"/>
          <w:lang w:val="es-ES" w:eastAsia="en-US"/>
        </w:rPr>
      </w:pPr>
    </w:p>
    <w:p w14:paraId="6F6F20FA" w14:textId="77777777" w:rsidR="0078754E" w:rsidRPr="0078754E" w:rsidRDefault="0078754E" w:rsidP="0078754E">
      <w:pPr>
        <w:spacing w:line="360" w:lineRule="auto"/>
        <w:contextualSpacing/>
        <w:jc w:val="center"/>
        <w:rPr>
          <w:rFonts w:eastAsia="Calibri"/>
          <w:b/>
          <w:bCs/>
          <w:sz w:val="32"/>
          <w:szCs w:val="32"/>
          <w:shd w:val="clear" w:color="auto" w:fill="FFFFFF"/>
          <w:lang w:val="es-ES" w:eastAsia="en-US"/>
        </w:rPr>
      </w:pPr>
    </w:p>
    <w:p w14:paraId="155102CB" w14:textId="77777777" w:rsidR="0078754E" w:rsidRPr="0078754E" w:rsidRDefault="0078754E" w:rsidP="0078754E">
      <w:pPr>
        <w:spacing w:line="360" w:lineRule="auto"/>
        <w:contextualSpacing/>
        <w:jc w:val="center"/>
        <w:rPr>
          <w:rFonts w:eastAsia="Calibri"/>
          <w:b/>
          <w:bCs/>
          <w:sz w:val="32"/>
          <w:szCs w:val="32"/>
          <w:shd w:val="clear" w:color="auto" w:fill="FFFFFF"/>
          <w:lang w:val="es-ES" w:eastAsia="en-US"/>
        </w:rPr>
      </w:pPr>
      <w:r w:rsidRPr="0078754E">
        <w:rPr>
          <w:rFonts w:eastAsia="Calibri"/>
          <w:b/>
          <w:bCs/>
          <w:sz w:val="32"/>
          <w:szCs w:val="32"/>
          <w:shd w:val="clear" w:color="auto" w:fill="FFFFFF"/>
          <w:lang w:val="es-ES" w:eastAsia="en-US"/>
        </w:rPr>
        <w:t>INTRODUCCIÓN</w:t>
      </w:r>
    </w:p>
    <w:p w14:paraId="5FE4F5D8"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La endocarditis infecciosa (EI) es una enfermedad con incidencia mundial de 13,80/100 000 habitantes al año.</w:t>
      </w:r>
      <w:r w:rsidRPr="0078754E">
        <w:rPr>
          <w:rFonts w:eastAsia="Calibri"/>
          <w:shd w:val="clear" w:color="auto" w:fill="FFFFFF"/>
          <w:vertAlign w:val="superscript"/>
          <w:lang w:val="es-ES" w:eastAsia="en-US"/>
        </w:rPr>
        <w:t>(1)</w:t>
      </w:r>
      <w:r w:rsidRPr="0078754E">
        <w:rPr>
          <w:rFonts w:eastAsia="Calibri"/>
          <w:shd w:val="clear" w:color="auto" w:fill="FFFFFF"/>
          <w:lang w:val="es-ES" w:eastAsia="en-US"/>
        </w:rPr>
        <w:t xml:space="preserve"> En Latinoamérica la tasa de incidencia anual fue de 24,25/100 000 habitantes.</w:t>
      </w:r>
      <w:r w:rsidRPr="0078754E">
        <w:rPr>
          <w:rFonts w:eastAsia="Calibri"/>
          <w:shd w:val="clear" w:color="auto" w:fill="FFFFFF"/>
          <w:vertAlign w:val="superscript"/>
          <w:lang w:val="es-ES" w:eastAsia="en-US"/>
        </w:rPr>
        <w:t xml:space="preserve">(1) </w:t>
      </w:r>
      <w:r w:rsidRPr="0078754E">
        <w:rPr>
          <w:rFonts w:eastAsia="Calibri"/>
          <w:shd w:val="clear" w:color="auto" w:fill="FFFFFF"/>
          <w:lang w:val="es-ES" w:eastAsia="en-US"/>
        </w:rPr>
        <w:t>La EI puede generarse por procedimientos odontológicos invasivos, en especial, en pacientes con válvulas cardíacas protésicas, trasplante cardíaco/insuficiencia valvular y enfermedades cardíacas congénitas.</w:t>
      </w:r>
      <w:r w:rsidRPr="0078754E">
        <w:rPr>
          <w:rFonts w:eastAsia="Calibri"/>
          <w:shd w:val="clear" w:color="auto" w:fill="FFFFFF"/>
          <w:vertAlign w:val="superscript"/>
          <w:lang w:val="es-ES" w:eastAsia="en-US"/>
        </w:rPr>
        <w:t>(2)</w:t>
      </w:r>
    </w:p>
    <w:p w14:paraId="6DB83FF9" w14:textId="77777777" w:rsidR="0078754E" w:rsidRPr="0078754E" w:rsidRDefault="0078754E" w:rsidP="0078754E">
      <w:pPr>
        <w:spacing w:line="360" w:lineRule="auto"/>
        <w:contextualSpacing/>
        <w:jc w:val="both"/>
        <w:rPr>
          <w:rFonts w:eastAsia="Calibri"/>
          <w:lang w:val="es-ES" w:eastAsia="en-US"/>
        </w:rPr>
      </w:pPr>
      <w:r w:rsidRPr="0078754E">
        <w:rPr>
          <w:rFonts w:eastAsia="Calibri"/>
          <w:lang w:val="es-ES" w:eastAsia="en-US"/>
        </w:rPr>
        <w:t>Diversas guías de práctica clínica, como la realizada por la Asociación Americana del Corazón (AHA, por sus siglas en inglés),</w:t>
      </w:r>
      <w:r w:rsidRPr="0078754E">
        <w:rPr>
          <w:rFonts w:eastAsia="Calibri"/>
          <w:vertAlign w:val="superscript"/>
          <w:lang w:val="es-ES" w:eastAsia="en-US"/>
        </w:rPr>
        <w:t xml:space="preserve">(3) </w:t>
      </w:r>
      <w:r w:rsidRPr="0078754E">
        <w:rPr>
          <w:rFonts w:eastAsia="Calibri"/>
          <w:lang w:val="es-ES" w:eastAsia="en-US"/>
        </w:rPr>
        <w:t>ofrecen recomendaciones para la profilaxis antibiótica (PA) en EI.</w:t>
      </w:r>
      <w:r w:rsidRPr="0078754E">
        <w:rPr>
          <w:rFonts w:eastAsia="Calibri"/>
          <w:shd w:val="clear" w:color="auto" w:fill="FFFFFF"/>
          <w:vertAlign w:val="superscript"/>
          <w:lang w:val="es-ES" w:eastAsia="en-US"/>
        </w:rPr>
        <w:t>(4)</w:t>
      </w:r>
      <w:r w:rsidRPr="0078754E">
        <w:rPr>
          <w:rFonts w:eastAsia="Calibri"/>
          <w:lang w:val="es-ES" w:eastAsia="en-US"/>
        </w:rPr>
        <w:t xml:space="preserve"> Sin embargo, han surgido discrepancias a través de los años, esto genera confusión entre los odontólogos.</w:t>
      </w:r>
      <w:r w:rsidRPr="0078754E">
        <w:rPr>
          <w:rFonts w:eastAsia="Calibri"/>
          <w:shd w:val="clear" w:color="auto" w:fill="FFFFFF"/>
          <w:vertAlign w:val="superscript"/>
          <w:lang w:val="es-ES" w:eastAsia="en-US"/>
        </w:rPr>
        <w:t>(5)</w:t>
      </w:r>
      <w:r w:rsidRPr="0078754E">
        <w:rPr>
          <w:rFonts w:eastAsia="Calibri"/>
          <w:vertAlign w:val="superscript"/>
          <w:lang w:val="es-ES" w:eastAsia="en-US"/>
        </w:rPr>
        <w:t xml:space="preserve"> </w:t>
      </w:r>
      <w:r w:rsidRPr="0078754E">
        <w:rPr>
          <w:rFonts w:eastAsia="Calibri"/>
          <w:lang w:val="es-ES" w:eastAsia="en-US"/>
        </w:rPr>
        <w:t>Este problema puede incrementarse en países con planes curriculares que no fortalecen la enseñanza de ciencias básicas y clínicas en odontología.</w:t>
      </w:r>
      <w:r w:rsidRPr="0078754E">
        <w:rPr>
          <w:rFonts w:eastAsia="Calibri"/>
          <w:vertAlign w:val="superscript"/>
          <w:lang w:val="es-ES" w:eastAsia="en-US"/>
        </w:rPr>
        <w:t>(6,7,8)</w:t>
      </w:r>
      <w:r w:rsidRPr="0078754E">
        <w:rPr>
          <w:rFonts w:eastAsia="Calibri"/>
          <w:lang w:val="es-ES" w:eastAsia="en-US"/>
        </w:rPr>
        <w:t xml:space="preserve"> </w:t>
      </w:r>
    </w:p>
    <w:p w14:paraId="507B31DC" w14:textId="77777777" w:rsidR="0078754E" w:rsidRPr="0078754E" w:rsidRDefault="0078754E" w:rsidP="0078754E">
      <w:pPr>
        <w:autoSpaceDE w:val="0"/>
        <w:autoSpaceDN w:val="0"/>
        <w:adjustRightInd w:val="0"/>
        <w:spacing w:line="360" w:lineRule="auto"/>
        <w:jc w:val="both"/>
        <w:rPr>
          <w:rFonts w:eastAsia="Calibri"/>
          <w:lang w:val="es-ES" w:eastAsia="en-US"/>
        </w:rPr>
      </w:pPr>
      <w:r w:rsidRPr="0078754E">
        <w:rPr>
          <w:rFonts w:eastAsia="Calibri"/>
          <w:lang w:val="es-ES" w:eastAsia="en-US"/>
        </w:rPr>
        <w:t xml:space="preserve">Para implementar políticas de cambio en la educación dental se requiere un análisis situacional del nivel de conocimiento sobre prevención y manejo de EI para su atención odontológica.  </w:t>
      </w:r>
    </w:p>
    <w:p w14:paraId="2134AF3F" w14:textId="77777777" w:rsidR="0078754E" w:rsidRPr="0078754E" w:rsidRDefault="0078754E" w:rsidP="0078754E">
      <w:pPr>
        <w:autoSpaceDE w:val="0"/>
        <w:autoSpaceDN w:val="0"/>
        <w:adjustRightInd w:val="0"/>
        <w:spacing w:line="360" w:lineRule="auto"/>
        <w:jc w:val="both"/>
        <w:rPr>
          <w:rFonts w:eastAsia="Calibri"/>
          <w:lang w:val="es-ES" w:eastAsia="en-US"/>
        </w:rPr>
      </w:pPr>
      <w:r w:rsidRPr="0078754E">
        <w:rPr>
          <w:rFonts w:eastAsia="Calibri"/>
          <w:lang w:val="es-ES" w:eastAsia="en-US"/>
        </w:rPr>
        <w:t>En la literatura</w:t>
      </w:r>
      <w:r w:rsidRPr="0078754E">
        <w:rPr>
          <w:rFonts w:eastAsia="Calibri"/>
          <w:vertAlign w:val="superscript"/>
          <w:lang w:val="es-ES" w:eastAsia="en-US"/>
        </w:rPr>
        <w:t>(9,10,11,12,13)</w:t>
      </w:r>
      <w:r w:rsidRPr="0078754E">
        <w:rPr>
          <w:rFonts w:eastAsia="Calibri"/>
          <w:lang w:val="es-ES" w:eastAsia="en-US"/>
        </w:rPr>
        <w:t xml:space="preserve"> se reporta un nivel de conocimiento de bajo a regular en estudiantes y cirujanos dentistas. En países en vías de desarrollo, es crucial evaluar el estado actual del nivel de conocimiento debido al impacto de la enfermedad en la salud pública. Además, los planes curriculares cambian y se requiere reevaluaciones para plantear estrategias que garanticen una educación odontológica adecuada. </w:t>
      </w:r>
    </w:p>
    <w:p w14:paraId="7D33D40E" w14:textId="77777777" w:rsidR="0078754E" w:rsidRPr="0078754E" w:rsidRDefault="0078754E" w:rsidP="0078754E">
      <w:pPr>
        <w:autoSpaceDE w:val="0"/>
        <w:autoSpaceDN w:val="0"/>
        <w:adjustRightInd w:val="0"/>
        <w:spacing w:line="360" w:lineRule="auto"/>
        <w:jc w:val="both"/>
        <w:rPr>
          <w:rFonts w:eastAsia="Calibri"/>
          <w:lang w:val="es-ES" w:eastAsia="en-US"/>
        </w:rPr>
      </w:pPr>
      <w:r w:rsidRPr="0078754E">
        <w:rPr>
          <w:rFonts w:eastAsia="Calibri"/>
          <w:lang w:val="es-ES" w:eastAsia="en-US"/>
        </w:rPr>
        <w:lastRenderedPageBreak/>
        <w:t xml:space="preserve">Un estudio previo de </w:t>
      </w:r>
      <w:r w:rsidRPr="0078754E">
        <w:rPr>
          <w:rFonts w:eastAsia="Calibri"/>
          <w:shd w:val="clear" w:color="auto" w:fill="FFFFFF"/>
          <w:lang w:val="es-ES" w:eastAsia="en-US"/>
        </w:rPr>
        <w:t>endocarditis infecciosa</w:t>
      </w:r>
      <w:r w:rsidRPr="0078754E">
        <w:rPr>
          <w:rFonts w:eastAsia="Calibri"/>
          <w:vertAlign w:val="superscript"/>
          <w:lang w:val="es-ES" w:eastAsia="en-US"/>
        </w:rPr>
        <w:t xml:space="preserve"> (14)</w:t>
      </w:r>
      <w:r w:rsidRPr="0078754E">
        <w:rPr>
          <w:rFonts w:eastAsia="Calibri"/>
          <w:shd w:val="clear" w:color="auto" w:fill="FFFFFF"/>
          <w:lang w:val="es-ES" w:eastAsia="en-US"/>
        </w:rPr>
        <w:t xml:space="preserve"> </w:t>
      </w:r>
      <w:r w:rsidRPr="0078754E">
        <w:rPr>
          <w:rFonts w:eastAsia="Calibri"/>
          <w:lang w:val="es-ES" w:eastAsia="en-US"/>
        </w:rPr>
        <w:t>reporta que el nivel de conocimiento global sobre EI en estudiantes de 2 universidades peruanas, eran bajos.</w:t>
      </w:r>
      <w:r w:rsidRPr="0078754E">
        <w:rPr>
          <w:rFonts w:eastAsia="Calibri"/>
          <w:vertAlign w:val="superscript"/>
          <w:lang w:val="es-ES" w:eastAsia="en-US"/>
        </w:rPr>
        <w:t xml:space="preserve"> </w:t>
      </w:r>
      <w:r w:rsidRPr="0078754E">
        <w:rPr>
          <w:rFonts w:eastAsia="Calibri"/>
          <w:lang w:val="es-ES" w:eastAsia="en-US"/>
        </w:rPr>
        <w:t xml:space="preserve"> </w:t>
      </w:r>
    </w:p>
    <w:p w14:paraId="485B2AED" w14:textId="77777777" w:rsidR="0078754E" w:rsidRPr="0078754E" w:rsidRDefault="0078754E" w:rsidP="0078754E">
      <w:pPr>
        <w:autoSpaceDE w:val="0"/>
        <w:autoSpaceDN w:val="0"/>
        <w:adjustRightInd w:val="0"/>
        <w:spacing w:line="360" w:lineRule="auto"/>
        <w:jc w:val="both"/>
        <w:rPr>
          <w:rFonts w:eastAsia="Calibri"/>
          <w:lang w:val="es-ES" w:eastAsia="en-US"/>
        </w:rPr>
      </w:pPr>
      <w:r w:rsidRPr="0078754E">
        <w:rPr>
          <w:rFonts w:eastAsia="Calibri"/>
          <w:lang w:val="es-ES" w:eastAsia="en-US"/>
        </w:rPr>
        <w:t>El presente estudio evaluó el nivel de conocimiento en una universidad privada con una población aproximada de 1000 estudiantes de odontología, entre pregrado y posgrado. Esto permitirá establecer mejoras en planes curriculares sobre ciencias básicas y clínicas en las universidades privadas que integran gran parte de la población odontológica del país.</w:t>
      </w:r>
    </w:p>
    <w:p w14:paraId="6C8A9A17" w14:textId="77777777" w:rsidR="0078754E" w:rsidRPr="0078754E" w:rsidRDefault="0078754E" w:rsidP="0078754E">
      <w:pPr>
        <w:spacing w:line="360" w:lineRule="auto"/>
        <w:contextualSpacing/>
        <w:jc w:val="both"/>
        <w:rPr>
          <w:rFonts w:eastAsia="Calibri"/>
          <w:lang w:val="es-ES" w:eastAsia="en-US"/>
        </w:rPr>
      </w:pPr>
      <w:r w:rsidRPr="0078754E">
        <w:rPr>
          <w:rFonts w:eastAsia="Calibri"/>
          <w:lang w:val="es-ES" w:eastAsia="en-US"/>
        </w:rPr>
        <w:t xml:space="preserve">El objetivo del estudio es determinar el nivel de conocimiento sobre profilaxis antibiótica de la EI previa a procedimientos odontológicos en estudiantes de pregrado y posgrado de estomatología. </w:t>
      </w:r>
    </w:p>
    <w:p w14:paraId="1C4655F3" w14:textId="77777777" w:rsidR="0078754E" w:rsidRPr="0078754E" w:rsidRDefault="0078754E" w:rsidP="0078754E">
      <w:pPr>
        <w:spacing w:line="360" w:lineRule="auto"/>
        <w:contextualSpacing/>
        <w:jc w:val="both"/>
        <w:rPr>
          <w:rFonts w:eastAsia="Calibri"/>
          <w:b/>
          <w:bCs/>
          <w:shd w:val="clear" w:color="auto" w:fill="FFFFFF"/>
          <w:lang w:val="es-ES" w:eastAsia="en-US"/>
        </w:rPr>
      </w:pPr>
    </w:p>
    <w:p w14:paraId="515C0CD7" w14:textId="77777777" w:rsidR="0078754E" w:rsidRPr="0078754E" w:rsidRDefault="0078754E" w:rsidP="0078754E">
      <w:pPr>
        <w:spacing w:line="360" w:lineRule="auto"/>
        <w:contextualSpacing/>
        <w:jc w:val="both"/>
        <w:rPr>
          <w:rFonts w:eastAsia="Calibri"/>
          <w:b/>
          <w:bCs/>
          <w:shd w:val="clear" w:color="auto" w:fill="FFFFFF"/>
          <w:lang w:val="es-ES" w:eastAsia="en-US"/>
        </w:rPr>
      </w:pPr>
    </w:p>
    <w:p w14:paraId="53656B79" w14:textId="77777777" w:rsidR="0078754E" w:rsidRPr="0078754E" w:rsidRDefault="0078754E" w:rsidP="0078754E">
      <w:pPr>
        <w:spacing w:line="360" w:lineRule="auto"/>
        <w:contextualSpacing/>
        <w:jc w:val="center"/>
        <w:rPr>
          <w:rFonts w:eastAsia="Calibri"/>
          <w:b/>
          <w:bCs/>
          <w:sz w:val="32"/>
          <w:szCs w:val="32"/>
          <w:lang w:val="es-ES" w:eastAsia="en-US"/>
        </w:rPr>
      </w:pPr>
      <w:r w:rsidRPr="0078754E">
        <w:rPr>
          <w:rFonts w:eastAsia="Calibri"/>
          <w:b/>
          <w:bCs/>
          <w:sz w:val="32"/>
          <w:szCs w:val="32"/>
          <w:shd w:val="clear" w:color="auto" w:fill="FFFFFF"/>
          <w:lang w:val="es-ES" w:eastAsia="en-US"/>
        </w:rPr>
        <w:t>MÉTODOS</w:t>
      </w:r>
    </w:p>
    <w:p w14:paraId="74D8D2DA"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Se realizó un estudio observacional y transversal en estudiantes de odontología de la Universidad Científica del Sur (Lima, Perú) durante el año 2019.</w:t>
      </w:r>
      <w:r w:rsidRPr="0078754E">
        <w:rPr>
          <w:rFonts w:eastAsia="Calibri"/>
          <w:b/>
          <w:bCs/>
          <w:shd w:val="clear" w:color="auto" w:fill="FFFFFF"/>
          <w:lang w:val="es-ES" w:eastAsia="en-US"/>
        </w:rPr>
        <w:t xml:space="preserve"> </w:t>
      </w:r>
      <w:r w:rsidRPr="0078754E">
        <w:rPr>
          <w:rFonts w:eastAsia="Calibri"/>
          <w:shd w:val="clear" w:color="auto" w:fill="FFFFFF"/>
          <w:lang w:val="es-ES" w:eastAsia="en-US"/>
        </w:rPr>
        <w:t xml:space="preserve">Se incluyeron a 308 estudiantes (74 de pregrado del séptimo al décimo ciclo y 234 de posgrado). </w:t>
      </w:r>
    </w:p>
    <w:p w14:paraId="3D1DE37E"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Se excluyeron</w:t>
      </w:r>
      <w:r w:rsidRPr="0078754E">
        <w:rPr>
          <w:rFonts w:eastAsia="Calibri"/>
          <w:lang w:val="es-ES" w:eastAsia="en-US"/>
        </w:rPr>
        <w:t xml:space="preserve"> estudiantes de pregrado no matriculados, que no aprobaron los cursos de farmacolog</w:t>
      </w:r>
      <w:r w:rsidRPr="0078754E">
        <w:rPr>
          <w:rFonts w:eastAsia="Calibri"/>
          <w:shd w:val="clear" w:color="auto" w:fill="FFFFFF"/>
          <w:lang w:val="es-ES" w:eastAsia="en-US"/>
        </w:rPr>
        <w:t xml:space="preserve">ía, patología general y oral, semiología y medicina estomatológica o a quienes no respondieron a las preguntas. </w:t>
      </w:r>
    </w:p>
    <w:p w14:paraId="3EAD1AA3"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 xml:space="preserve">Se analizaron las variables: sexo, edad, nivel de estudios (pregrado y posgrado), universidad de procedencia (solo para posgrado), nivel de conocimientos sobre la PA de EI previa a tratamientos odontológicos (epidemiología, etiopatogenia, indicación de PA y farmacología de la PA). </w:t>
      </w:r>
    </w:p>
    <w:p w14:paraId="11E3AC18"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La versión completa del instrumento se presenta como archivo complementario al artículo.</w:t>
      </w:r>
    </w:p>
    <w:p w14:paraId="664DD621"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Se empleó el cuestionario de una investigación previa realizada en la Universidad Nacional Mayor de San Marcos. Se solicitó el permiso a la investigadora principal.</w:t>
      </w:r>
      <w:r w:rsidRPr="0078754E">
        <w:rPr>
          <w:rFonts w:eastAsia="Calibri"/>
          <w:shd w:val="clear" w:color="auto" w:fill="FFFFFF"/>
          <w:vertAlign w:val="superscript"/>
          <w:lang w:val="es-ES" w:eastAsia="en-US"/>
        </w:rPr>
        <w:t>(14)</w:t>
      </w:r>
      <w:r w:rsidRPr="0078754E">
        <w:rPr>
          <w:rFonts w:eastAsia="Calibri"/>
          <w:shd w:val="clear" w:color="auto" w:fill="FFFFFF"/>
          <w:lang w:val="es-ES" w:eastAsia="en-US"/>
        </w:rPr>
        <w:t xml:space="preserve"> El cuestionario fue validado por juicio de expertos en microbiología y farmacología. Se realizó una prueba piloto en 30 internos de odontología de 3 universidades y se obtuvo una confiabilidad de 0,9 (alfa de Cronbach).</w:t>
      </w:r>
    </w:p>
    <w:p w14:paraId="531C9FC8"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 xml:space="preserve">El cuestionario tenía 20 preguntas cerradas de opción múltiple dividido en 4 dimensiones: epidemiología (2 preguntas), etiopatogenia (4 preguntas), indicación de PA (8 preguntas) y farmacología de la PA para la EI (6 preguntas). Para la evaluación se asignó un punto por cada respuesta correcta. Los resultados por </w:t>
      </w:r>
      <w:r w:rsidRPr="0078754E">
        <w:rPr>
          <w:rFonts w:eastAsia="Calibri"/>
          <w:shd w:val="clear" w:color="auto" w:fill="FFFFFF"/>
          <w:lang w:val="es-ES" w:eastAsia="en-US"/>
        </w:rPr>
        <w:lastRenderedPageBreak/>
        <w:t xml:space="preserve">dimensiones se dividieron en nivel de conocimiento sobre epidemiología: bajo (0 puntos), regular (1 punto) y alto (2 puntos); nivel de conocimiento sobre etiopatogenia: bajo (0-2 puntos), regular (3 puntos) y alto (4 puntos); nivel de conocimiento sobre la indicación de PA: bajo (0-3 puntos), regular (4-5 puntos) y alto (6-8 puntos); y nivel de conocimiento sobre farmacología de la PA para EI: bajo (0-2 puntos), regular (3- 4 puntos) y alto (5-6 puntos). El nivel de conocimiento global se definió según el siguiente rango: bajo (&lt; 10,5 puntos), regular (10,5-13 puntos) y alto (&gt; 13 puntos). </w:t>
      </w:r>
    </w:p>
    <w:p w14:paraId="0C2A95CC" w14:textId="77777777" w:rsidR="0078754E" w:rsidRPr="0078754E" w:rsidRDefault="0078754E" w:rsidP="0078754E">
      <w:pPr>
        <w:spacing w:line="360" w:lineRule="auto"/>
        <w:contextualSpacing/>
        <w:jc w:val="center"/>
        <w:rPr>
          <w:rFonts w:eastAsia="Calibri"/>
          <w:sz w:val="28"/>
          <w:szCs w:val="28"/>
          <w:shd w:val="clear" w:color="auto" w:fill="FFFFFF"/>
          <w:lang w:val="es-ES" w:eastAsia="en-US"/>
        </w:rPr>
      </w:pPr>
      <w:r w:rsidRPr="0078754E">
        <w:rPr>
          <w:rFonts w:eastAsia="Calibri"/>
          <w:b/>
          <w:bCs/>
          <w:sz w:val="28"/>
          <w:szCs w:val="28"/>
          <w:shd w:val="clear" w:color="auto" w:fill="FFFFFF"/>
          <w:lang w:val="es-ES" w:eastAsia="en-US"/>
        </w:rPr>
        <w:t>Prueba piloto</w:t>
      </w:r>
    </w:p>
    <w:p w14:paraId="58C17A4A"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Para la validez de contenido se realizó una prueba piloto en 25 estudiantes de pregrado del décimo ciclo de estomatología de la Universidad Científica del Sur del 2018. Las preguntas fueron adaptadas según la retroalimentación de los estudiantes para garantizar su comprensión.</w:t>
      </w:r>
    </w:p>
    <w:p w14:paraId="117D5828" w14:textId="77777777" w:rsidR="0078754E" w:rsidRPr="0078754E" w:rsidRDefault="0078754E" w:rsidP="0078754E">
      <w:pPr>
        <w:spacing w:line="360" w:lineRule="auto"/>
        <w:contextualSpacing/>
        <w:jc w:val="center"/>
        <w:rPr>
          <w:rFonts w:eastAsia="Calibri"/>
          <w:b/>
          <w:bCs/>
          <w:sz w:val="28"/>
          <w:szCs w:val="28"/>
          <w:lang w:val="es-ES" w:eastAsia="en-US"/>
        </w:rPr>
      </w:pPr>
      <w:r w:rsidRPr="0078754E">
        <w:rPr>
          <w:rFonts w:eastAsia="Calibri"/>
          <w:b/>
          <w:bCs/>
          <w:sz w:val="28"/>
          <w:szCs w:val="28"/>
          <w:lang w:val="es-ES" w:eastAsia="en-US"/>
        </w:rPr>
        <w:t>Procedimiento de recolección de datos</w:t>
      </w:r>
    </w:p>
    <w:p w14:paraId="10AB9FE5" w14:textId="77777777" w:rsidR="0078754E" w:rsidRPr="0078754E" w:rsidRDefault="0078754E" w:rsidP="0078754E">
      <w:pPr>
        <w:spacing w:line="360" w:lineRule="auto"/>
        <w:contextualSpacing/>
        <w:jc w:val="center"/>
        <w:rPr>
          <w:rFonts w:eastAsia="Calibri"/>
          <w:b/>
          <w:bCs/>
          <w:shd w:val="clear" w:color="auto" w:fill="FFFFFF"/>
          <w:lang w:val="es-ES" w:eastAsia="en-US"/>
        </w:rPr>
      </w:pPr>
      <w:r w:rsidRPr="0078754E">
        <w:rPr>
          <w:rFonts w:eastAsia="Calibri"/>
          <w:b/>
          <w:bCs/>
          <w:lang w:val="es-ES" w:eastAsia="en-US"/>
        </w:rPr>
        <w:t>Reclutamiento y selección de estudiantes</w:t>
      </w:r>
    </w:p>
    <w:p w14:paraId="2321D1DC" w14:textId="77777777" w:rsidR="0078754E" w:rsidRPr="0078754E" w:rsidRDefault="0078754E" w:rsidP="0078754E">
      <w:pPr>
        <w:spacing w:line="360" w:lineRule="auto"/>
        <w:contextualSpacing/>
        <w:jc w:val="both"/>
        <w:rPr>
          <w:rFonts w:eastAsia="Calibri"/>
          <w:b/>
          <w:bCs/>
          <w:shd w:val="clear" w:color="auto" w:fill="FFFFFF"/>
          <w:lang w:val="es-ES" w:eastAsia="en-US"/>
        </w:rPr>
      </w:pPr>
      <w:r w:rsidRPr="0078754E">
        <w:rPr>
          <w:rFonts w:eastAsia="Calibri"/>
          <w:lang w:val="es-ES" w:eastAsia="en-US"/>
        </w:rPr>
        <w:t>Se solicitó autorización a la coordinación de estomatología de la universidad para reclutar a los participantes. Además, se solicitaron datos académicos para evaluación de criterios de elegibilidad</w:t>
      </w:r>
      <w:r w:rsidRPr="0078754E">
        <w:rPr>
          <w:rFonts w:eastAsia="Calibri"/>
          <w:shd w:val="clear" w:color="auto" w:fill="FFFFFF"/>
          <w:lang w:val="es-ES" w:eastAsia="en-US"/>
        </w:rPr>
        <w:t>. Se brindó 20 minutos como tiempo máximo para responder el cuestionario, supervisado por un investigador. Luego, se entregó una ficha informativa sobre PA para la EI previa a procedimientos odontológicos</w:t>
      </w:r>
      <w:r w:rsidRPr="0078754E">
        <w:rPr>
          <w:rFonts w:eastAsia="Calibri"/>
          <w:b/>
          <w:bCs/>
          <w:shd w:val="clear" w:color="auto" w:fill="FFFFFF"/>
          <w:lang w:val="es-ES" w:eastAsia="en-US"/>
        </w:rPr>
        <w:t>.</w:t>
      </w:r>
    </w:p>
    <w:p w14:paraId="637CAB34" w14:textId="77777777" w:rsidR="0078754E" w:rsidRPr="0078754E" w:rsidRDefault="0078754E" w:rsidP="0078754E">
      <w:pPr>
        <w:spacing w:line="360" w:lineRule="auto"/>
        <w:contextualSpacing/>
        <w:jc w:val="center"/>
        <w:rPr>
          <w:rFonts w:eastAsia="Calibri"/>
          <w:b/>
          <w:bCs/>
          <w:sz w:val="28"/>
          <w:szCs w:val="28"/>
          <w:shd w:val="clear" w:color="auto" w:fill="FFFFFF"/>
          <w:lang w:val="es-ES" w:eastAsia="en-US"/>
        </w:rPr>
      </w:pPr>
      <w:r w:rsidRPr="0078754E">
        <w:rPr>
          <w:rFonts w:eastAsia="Calibri"/>
          <w:b/>
          <w:bCs/>
          <w:sz w:val="28"/>
          <w:szCs w:val="28"/>
          <w:shd w:val="clear" w:color="auto" w:fill="FFFFFF"/>
          <w:lang w:val="es-ES" w:eastAsia="en-US"/>
        </w:rPr>
        <w:t>Análisis estadístico</w:t>
      </w:r>
    </w:p>
    <w:p w14:paraId="40C0D244"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 xml:space="preserve">Se empleó el paquete estadístico IBM SPSS v.22.0. </w:t>
      </w:r>
      <w:bookmarkStart w:id="0" w:name="_Hlk148575608"/>
      <w:r w:rsidRPr="0078754E">
        <w:rPr>
          <w:rFonts w:eastAsia="Calibri"/>
          <w:shd w:val="clear" w:color="auto" w:fill="FFFFFF"/>
          <w:lang w:val="es-ES" w:eastAsia="en-US"/>
        </w:rPr>
        <w:t xml:space="preserve">Para variables categóricas, se presentaron frecuencias absolutas y relativas; para variables cuantitativas, la media y desviación estándar o mediana y rango intercuartílico. </w:t>
      </w:r>
      <w:bookmarkEnd w:id="0"/>
      <w:r w:rsidRPr="0078754E">
        <w:rPr>
          <w:rFonts w:eastAsia="Calibri"/>
          <w:shd w:val="clear" w:color="auto" w:fill="FFFFFF"/>
          <w:lang w:val="es-ES" w:eastAsia="en-US"/>
        </w:rPr>
        <w:t xml:space="preserve">Para variables categóricas, se emplearon </w:t>
      </w:r>
      <w:r w:rsidRPr="0078754E">
        <w:rPr>
          <w:rFonts w:eastAsia="Calibri"/>
          <w:i/>
          <w:iCs/>
          <w:shd w:val="clear" w:color="auto" w:fill="FFFFFF"/>
          <w:lang w:val="es-ES" w:eastAsia="en-US"/>
        </w:rPr>
        <w:t>ji</w:t>
      </w:r>
      <w:r w:rsidRPr="0078754E">
        <w:rPr>
          <w:rFonts w:eastAsia="Calibri"/>
          <w:shd w:val="clear" w:color="auto" w:fill="FFFFFF"/>
          <w:lang w:val="es-ES" w:eastAsia="en-US"/>
        </w:rPr>
        <w:t xml:space="preserve"> cuadrado de Pearson y la prueba exacta de Fisher, según el cumplimiento de los supuestos. Para variables cuantitativas, se empleó la prueba t de Student para muestras independientes y la prueba ANOVA con su prueba </w:t>
      </w:r>
      <w:r w:rsidRPr="0078754E">
        <w:rPr>
          <w:rFonts w:eastAsia="Calibri"/>
          <w:i/>
          <w:iCs/>
          <w:shd w:val="clear" w:color="auto" w:fill="FFFFFF"/>
          <w:lang w:val="es-ES" w:eastAsia="en-US"/>
        </w:rPr>
        <w:t>post hoc</w:t>
      </w:r>
      <w:r w:rsidRPr="0078754E">
        <w:rPr>
          <w:rFonts w:eastAsia="Calibri"/>
          <w:shd w:val="clear" w:color="auto" w:fill="FFFFFF"/>
          <w:lang w:val="es-ES" w:eastAsia="en-US"/>
        </w:rPr>
        <w:t>. Se consideró una prueba de hipótesis de 2 colas con un nivel de significación de 0,05.</w:t>
      </w:r>
    </w:p>
    <w:p w14:paraId="404F5584" w14:textId="77777777" w:rsidR="0078754E" w:rsidRPr="0078754E" w:rsidRDefault="0078754E" w:rsidP="0078754E">
      <w:pPr>
        <w:spacing w:line="360" w:lineRule="auto"/>
        <w:contextualSpacing/>
        <w:jc w:val="both"/>
        <w:rPr>
          <w:rFonts w:eastAsia="Calibri"/>
          <w:shd w:val="clear" w:color="auto" w:fill="FFFFFF"/>
          <w:lang w:val="es-ES" w:eastAsia="en-US"/>
        </w:rPr>
      </w:pPr>
    </w:p>
    <w:p w14:paraId="2659C5EF" w14:textId="77777777" w:rsidR="002118CA" w:rsidRDefault="002118CA">
      <w:pPr>
        <w:rPr>
          <w:rFonts w:eastAsia="Calibri"/>
          <w:b/>
          <w:bCs/>
          <w:sz w:val="28"/>
          <w:szCs w:val="28"/>
          <w:shd w:val="clear" w:color="auto" w:fill="FFFFFF"/>
          <w:lang w:val="es-ES" w:eastAsia="en-US"/>
        </w:rPr>
      </w:pPr>
      <w:r>
        <w:rPr>
          <w:rFonts w:eastAsia="Calibri"/>
          <w:b/>
          <w:bCs/>
          <w:sz w:val="28"/>
          <w:szCs w:val="28"/>
          <w:shd w:val="clear" w:color="auto" w:fill="FFFFFF"/>
          <w:lang w:val="es-ES" w:eastAsia="en-US"/>
        </w:rPr>
        <w:br w:type="page"/>
      </w:r>
    </w:p>
    <w:p w14:paraId="3E90887D" w14:textId="4AD69D35" w:rsidR="0078754E" w:rsidRPr="0078754E" w:rsidRDefault="0078754E" w:rsidP="0078754E">
      <w:pPr>
        <w:spacing w:line="360" w:lineRule="auto"/>
        <w:contextualSpacing/>
        <w:jc w:val="center"/>
        <w:rPr>
          <w:rFonts w:eastAsia="Calibri"/>
          <w:b/>
          <w:bCs/>
          <w:sz w:val="28"/>
          <w:szCs w:val="28"/>
          <w:shd w:val="clear" w:color="auto" w:fill="FFFFFF"/>
          <w:lang w:val="es-ES" w:eastAsia="en-US"/>
        </w:rPr>
      </w:pPr>
      <w:r w:rsidRPr="0078754E">
        <w:rPr>
          <w:rFonts w:eastAsia="Calibri"/>
          <w:b/>
          <w:bCs/>
          <w:sz w:val="28"/>
          <w:szCs w:val="28"/>
          <w:shd w:val="clear" w:color="auto" w:fill="FFFFFF"/>
          <w:lang w:val="es-ES" w:eastAsia="en-US"/>
        </w:rPr>
        <w:lastRenderedPageBreak/>
        <w:t>Consideraciones éticas</w:t>
      </w:r>
    </w:p>
    <w:p w14:paraId="49D0ED97" w14:textId="77777777" w:rsidR="0078754E" w:rsidRPr="0078754E" w:rsidRDefault="0078754E" w:rsidP="0078754E">
      <w:pPr>
        <w:spacing w:line="360" w:lineRule="auto"/>
        <w:contextualSpacing/>
        <w:jc w:val="both"/>
        <w:rPr>
          <w:rFonts w:eastAsia="Calibri"/>
          <w:shd w:val="clear" w:color="auto" w:fill="FFFFFF"/>
          <w:lang w:val="es-ES" w:eastAsia="en-US"/>
        </w:rPr>
      </w:pPr>
      <w:r w:rsidRPr="0078754E">
        <w:rPr>
          <w:rFonts w:eastAsia="Calibri"/>
          <w:shd w:val="clear" w:color="auto" w:fill="FFFFFF"/>
          <w:lang w:val="es-ES" w:eastAsia="en-US"/>
        </w:rPr>
        <w:t>El protocolo de investigación y consentimiento informado recibieron aprobación del Instituto de Investigación de la Universidad Científica del Sur. Se informó el propósito del estudio y confidencialidad de los datos. Los participantes firmaron el consentimiento informado.</w:t>
      </w:r>
    </w:p>
    <w:p w14:paraId="6F378CF3" w14:textId="77777777" w:rsidR="0078754E" w:rsidRPr="0078754E" w:rsidRDefault="0078754E" w:rsidP="0078754E">
      <w:pPr>
        <w:spacing w:line="360" w:lineRule="auto"/>
        <w:contextualSpacing/>
        <w:jc w:val="both"/>
        <w:rPr>
          <w:rFonts w:eastAsia="Calibri"/>
          <w:b/>
          <w:bCs/>
          <w:shd w:val="clear" w:color="auto" w:fill="FFFFFF"/>
          <w:lang w:val="es-ES" w:eastAsia="en-US"/>
        </w:rPr>
      </w:pPr>
    </w:p>
    <w:p w14:paraId="412730FA" w14:textId="77777777" w:rsidR="0078754E" w:rsidRPr="0078754E" w:rsidRDefault="0078754E" w:rsidP="0078754E">
      <w:pPr>
        <w:spacing w:line="360" w:lineRule="auto"/>
        <w:contextualSpacing/>
        <w:jc w:val="both"/>
        <w:rPr>
          <w:rFonts w:eastAsia="Calibri"/>
          <w:b/>
          <w:bCs/>
          <w:shd w:val="clear" w:color="auto" w:fill="FFFFFF"/>
          <w:lang w:val="es-ES" w:eastAsia="en-US"/>
        </w:rPr>
      </w:pPr>
    </w:p>
    <w:p w14:paraId="178EB37A" w14:textId="77777777" w:rsidR="0078754E" w:rsidRPr="0078754E" w:rsidRDefault="0078754E" w:rsidP="0078754E">
      <w:pPr>
        <w:spacing w:line="360" w:lineRule="auto"/>
        <w:contextualSpacing/>
        <w:jc w:val="center"/>
        <w:rPr>
          <w:rFonts w:eastAsia="Calibri"/>
          <w:b/>
          <w:bCs/>
          <w:sz w:val="32"/>
          <w:szCs w:val="32"/>
          <w:shd w:val="clear" w:color="auto" w:fill="FFFFFF"/>
          <w:lang w:val="es-ES" w:eastAsia="en-US"/>
        </w:rPr>
      </w:pPr>
      <w:r w:rsidRPr="0078754E">
        <w:rPr>
          <w:rFonts w:eastAsia="Calibri"/>
          <w:b/>
          <w:bCs/>
          <w:sz w:val="32"/>
          <w:szCs w:val="32"/>
          <w:shd w:val="clear" w:color="auto" w:fill="FFFFFF"/>
          <w:lang w:val="es-ES" w:eastAsia="en-US"/>
        </w:rPr>
        <w:t>RESULTADOS</w:t>
      </w:r>
    </w:p>
    <w:p w14:paraId="5887FBD4"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El 73,1 % (n= 225) fueron mujeres y el 26,9 % (n= 83); varones. La edad promedio de estudiantes de pregrado fue 22,58 ± 2,32 años y de los estudiantes de posgrado; 31,02 ± 6,11 años. El 24 % (n= 74) de estudiantes eran de pregrado y el 76 % (n= 234); de posgrado (tabla 1).</w:t>
      </w:r>
    </w:p>
    <w:p w14:paraId="73D4C9CE" w14:textId="77777777" w:rsidR="0078754E" w:rsidRPr="0078754E" w:rsidRDefault="0078754E" w:rsidP="0078754E">
      <w:pPr>
        <w:spacing w:line="360" w:lineRule="auto"/>
        <w:jc w:val="both"/>
        <w:rPr>
          <w:rFonts w:eastAsia="Calibri"/>
          <w:shd w:val="clear" w:color="auto" w:fill="FFFFFF"/>
          <w:lang w:val="es-ES" w:eastAsia="en-US"/>
        </w:rPr>
      </w:pPr>
    </w:p>
    <w:p w14:paraId="454EE337" w14:textId="77777777" w:rsidR="0078754E" w:rsidRPr="0078754E" w:rsidRDefault="0078754E" w:rsidP="0078754E">
      <w:pPr>
        <w:spacing w:line="360" w:lineRule="auto"/>
        <w:jc w:val="center"/>
        <w:rPr>
          <w:rFonts w:eastAsia="Calibri"/>
          <w:sz w:val="22"/>
          <w:szCs w:val="22"/>
          <w:shd w:val="clear" w:color="auto" w:fill="FFFFFF"/>
          <w:lang w:val="es-ES" w:eastAsia="en-US"/>
        </w:rPr>
      </w:pPr>
      <w:r w:rsidRPr="0078754E">
        <w:rPr>
          <w:rFonts w:eastAsia="Calibri"/>
          <w:b/>
          <w:bCs/>
          <w:sz w:val="22"/>
          <w:szCs w:val="22"/>
          <w:lang w:val="es-ES" w:eastAsia="en-US"/>
        </w:rPr>
        <w:t>Tabla 1 -</w:t>
      </w:r>
      <w:r w:rsidRPr="0078754E">
        <w:rPr>
          <w:rFonts w:eastAsia="Calibri"/>
          <w:sz w:val="22"/>
          <w:szCs w:val="22"/>
          <w:lang w:val="es-ES" w:eastAsia="en-US"/>
        </w:rPr>
        <w:t xml:space="preserve"> Características sociodemográficas de los estudiantes de pregrado y posgrado </w:t>
      </w:r>
      <w:r w:rsidRPr="0078754E">
        <w:rPr>
          <w:rFonts w:eastAsia="Calibri"/>
          <w:sz w:val="22"/>
          <w:szCs w:val="22"/>
          <w:shd w:val="clear" w:color="auto" w:fill="FFFFFF"/>
          <w:lang w:val="es-ES" w:eastAsia="en-US"/>
        </w:rPr>
        <w:t>de estomatología de la Universidad Científica del Sur</w:t>
      </w:r>
    </w:p>
    <w:p w14:paraId="5E5A37C5" w14:textId="0FD20B44" w:rsidR="0078754E" w:rsidRDefault="009C6EAE" w:rsidP="009C6EAE">
      <w:pPr>
        <w:spacing w:line="360" w:lineRule="auto"/>
        <w:jc w:val="center"/>
        <w:rPr>
          <w:rFonts w:eastAsia="Calibri"/>
          <w:shd w:val="clear" w:color="auto" w:fill="FFFFFF"/>
          <w:lang w:val="es-ES" w:eastAsia="en-US"/>
        </w:rPr>
      </w:pPr>
      <w:r w:rsidRPr="00801A3D">
        <w:rPr>
          <w:noProof/>
          <w:shd w:val="clear" w:color="auto" w:fill="FFFFFF"/>
          <w:lang w:eastAsia="es-ES"/>
        </w:rPr>
        <w:drawing>
          <wp:inline distT="0" distB="0" distL="0" distR="0" wp14:anchorId="0806F9F6" wp14:editId="0EB00612">
            <wp:extent cx="3209925" cy="1162050"/>
            <wp:effectExtent l="0" t="0" r="9525" b="0"/>
            <wp:docPr id="10" name="Imagen 10" descr="G:\15935\t01_1593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935\t01_15935.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1162050"/>
                    </a:xfrm>
                    <a:prstGeom prst="rect">
                      <a:avLst/>
                    </a:prstGeom>
                    <a:noFill/>
                    <a:ln>
                      <a:noFill/>
                    </a:ln>
                  </pic:spPr>
                </pic:pic>
              </a:graphicData>
            </a:graphic>
          </wp:inline>
        </w:drawing>
      </w:r>
    </w:p>
    <w:p w14:paraId="26E2529C" w14:textId="77777777" w:rsidR="009C6EAE" w:rsidRPr="0078754E" w:rsidRDefault="009C6EAE" w:rsidP="0078754E">
      <w:pPr>
        <w:spacing w:line="360" w:lineRule="auto"/>
        <w:jc w:val="both"/>
        <w:rPr>
          <w:rFonts w:eastAsia="Calibri"/>
          <w:shd w:val="clear" w:color="auto" w:fill="FFFFFF"/>
          <w:lang w:val="es-ES" w:eastAsia="en-US"/>
        </w:rPr>
      </w:pPr>
    </w:p>
    <w:p w14:paraId="7D9207DD"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Respecto al nivel de conocimiento sobre epidemiología de EI se encontró un nivel de conocimiento regular en 56,8 % (n= 42/74) de estudiantes de pregrado y un 54,7 % (n= 128/234) de posgrado.</w:t>
      </w:r>
    </w:p>
    <w:p w14:paraId="664491A9"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En relación con el nivel de conocimiento sobre etiopatogenia de la EI, los estudiantes de pregrado y posgrado presentaron un nivel de conocimiento bajo en 89,2 % (n= 66/74) y el 88,5 % (n= 207/234), de forma respectiva.</w:t>
      </w:r>
    </w:p>
    <w:p w14:paraId="6F94DB48"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Respecto al nivel de conocimiento sobre indicación de PA de la EI, los estudiantes de pregrado presentaron un nivel de conocimiento regular (51,4 %, n= 38/74), mientras que los de posgrado presentaron un nivel bajo (47,9 %, n= 112/234). </w:t>
      </w:r>
    </w:p>
    <w:p w14:paraId="3CAD3FA9" w14:textId="70763048"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lastRenderedPageBreak/>
        <w:t>Acerca del nivel de conocimiento sobre farmacología de PA de la EI, en los estudiantes de pregrado y posgrado predominó el nivel de conocimiento bajo en 51,4 % (n= 38/74) y 45,3 % (n= 106/234), respectivamente. La información más detallada se presenta en la tabla 2.</w:t>
      </w:r>
    </w:p>
    <w:p w14:paraId="5D6FFC73" w14:textId="77777777" w:rsidR="0078754E" w:rsidRPr="0078754E" w:rsidRDefault="0078754E" w:rsidP="0078754E">
      <w:pPr>
        <w:spacing w:line="360" w:lineRule="auto"/>
        <w:jc w:val="both"/>
        <w:rPr>
          <w:rFonts w:eastAsia="Calibri"/>
          <w:shd w:val="clear" w:color="auto" w:fill="FFFFFF"/>
          <w:lang w:val="es-ES" w:eastAsia="en-US"/>
        </w:rPr>
      </w:pPr>
    </w:p>
    <w:p w14:paraId="2C34C19D" w14:textId="77777777" w:rsidR="0078754E" w:rsidRPr="0078754E" w:rsidRDefault="0078754E" w:rsidP="0078754E">
      <w:pPr>
        <w:spacing w:line="360" w:lineRule="auto"/>
        <w:jc w:val="center"/>
        <w:rPr>
          <w:rFonts w:eastAsia="Calibri"/>
          <w:shd w:val="clear" w:color="auto" w:fill="FFFFFF"/>
          <w:lang w:val="es-ES" w:eastAsia="en-US"/>
        </w:rPr>
      </w:pPr>
      <w:r w:rsidRPr="0078754E">
        <w:rPr>
          <w:rFonts w:eastAsia="Calibri"/>
          <w:b/>
          <w:bCs/>
          <w:sz w:val="22"/>
          <w:szCs w:val="22"/>
          <w:shd w:val="clear" w:color="auto" w:fill="FFFFFF"/>
          <w:lang w:val="es-ES" w:eastAsia="en-US"/>
        </w:rPr>
        <w:t>Tabla 2 -</w:t>
      </w:r>
      <w:r w:rsidRPr="0078754E">
        <w:rPr>
          <w:rFonts w:eastAsia="Calibri"/>
          <w:b/>
          <w:sz w:val="22"/>
          <w:szCs w:val="22"/>
          <w:shd w:val="clear" w:color="auto" w:fill="FFFFFF"/>
          <w:lang w:val="es-ES" w:eastAsia="en-US"/>
        </w:rPr>
        <w:t xml:space="preserve"> </w:t>
      </w:r>
      <w:r w:rsidRPr="0078754E">
        <w:rPr>
          <w:rFonts w:eastAsia="Calibri"/>
          <w:sz w:val="22"/>
          <w:szCs w:val="22"/>
          <w:shd w:val="clear" w:color="auto" w:fill="FFFFFF"/>
          <w:lang w:val="es-ES" w:eastAsia="en-US"/>
        </w:rPr>
        <w:t xml:space="preserve">Nivel de conocimiento sobre profilaxis antibiótica para la prevención de la endocarditis infecciosa en estudiantes de estomatología </w:t>
      </w:r>
    </w:p>
    <w:p w14:paraId="3FEA711F" w14:textId="5CBEC154" w:rsidR="005862B6" w:rsidRDefault="005862B6" w:rsidP="0078754E">
      <w:pPr>
        <w:spacing w:line="360" w:lineRule="auto"/>
        <w:jc w:val="center"/>
        <w:rPr>
          <w:rFonts w:eastAsia="Calibri"/>
          <w:b/>
          <w:bCs/>
          <w:i/>
          <w:iCs/>
          <w:sz w:val="16"/>
          <w:szCs w:val="16"/>
          <w:vertAlign w:val="superscript"/>
          <w:lang w:val="es-ES" w:eastAsia="en-US"/>
        </w:rPr>
      </w:pPr>
      <w:r w:rsidRPr="00801A3D">
        <w:rPr>
          <w:noProof/>
          <w:shd w:val="clear" w:color="auto" w:fill="FFFFFF"/>
          <w:lang w:eastAsia="es-ES"/>
        </w:rPr>
        <w:drawing>
          <wp:inline distT="0" distB="0" distL="0" distR="0" wp14:anchorId="1D0BA33C" wp14:editId="628207F7">
            <wp:extent cx="4972050" cy="5162550"/>
            <wp:effectExtent l="0" t="0" r="0" b="0"/>
            <wp:docPr id="11" name="Imagen 11" descr="G:\15935\t02_1593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5935\t02_15935.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5162550"/>
                    </a:xfrm>
                    <a:prstGeom prst="rect">
                      <a:avLst/>
                    </a:prstGeom>
                    <a:noFill/>
                    <a:ln>
                      <a:noFill/>
                    </a:ln>
                  </pic:spPr>
                </pic:pic>
              </a:graphicData>
            </a:graphic>
          </wp:inline>
        </w:drawing>
      </w:r>
    </w:p>
    <w:p w14:paraId="6A3EF881" w14:textId="1FB00CDE" w:rsidR="0078754E" w:rsidRPr="0078754E" w:rsidRDefault="0078754E" w:rsidP="0078754E">
      <w:pPr>
        <w:spacing w:line="360" w:lineRule="auto"/>
        <w:jc w:val="center"/>
        <w:rPr>
          <w:rFonts w:eastAsia="Calibri"/>
          <w:sz w:val="16"/>
          <w:szCs w:val="16"/>
          <w:shd w:val="clear" w:color="auto" w:fill="FFFFFF"/>
          <w:lang w:val="es-ES" w:eastAsia="en-US"/>
        </w:rPr>
      </w:pPr>
      <w:r w:rsidRPr="0078754E">
        <w:rPr>
          <w:rFonts w:eastAsia="Calibri"/>
          <w:b/>
          <w:bCs/>
          <w:i/>
          <w:iCs/>
          <w:sz w:val="16"/>
          <w:szCs w:val="16"/>
          <w:vertAlign w:val="superscript"/>
          <w:lang w:val="es-ES" w:eastAsia="en-US"/>
        </w:rPr>
        <w:t>†</w:t>
      </w:r>
      <w:r w:rsidRPr="0078754E">
        <w:rPr>
          <w:rFonts w:eastAsia="Calibri"/>
          <w:b/>
          <w:bCs/>
          <w:sz w:val="16"/>
          <w:szCs w:val="16"/>
          <w:shd w:val="clear" w:color="auto" w:fill="FFFFFF"/>
          <w:vertAlign w:val="superscript"/>
          <w:lang w:val="es-ES" w:eastAsia="en-US"/>
        </w:rPr>
        <w:t xml:space="preserve">  </w:t>
      </w:r>
      <w:r w:rsidRPr="0078754E">
        <w:rPr>
          <w:rFonts w:eastAsia="Calibri"/>
          <w:sz w:val="16"/>
          <w:szCs w:val="16"/>
          <w:shd w:val="clear" w:color="auto" w:fill="FFFFFF"/>
          <w:lang w:val="es-ES" w:eastAsia="en-US"/>
        </w:rPr>
        <w:t>Prueba</w:t>
      </w:r>
      <w:r w:rsidRPr="0078754E">
        <w:rPr>
          <w:rFonts w:eastAsia="Calibri"/>
          <w:i/>
          <w:iCs/>
          <w:sz w:val="16"/>
          <w:szCs w:val="16"/>
          <w:shd w:val="clear" w:color="auto" w:fill="FFFFFF"/>
          <w:lang w:val="es-ES" w:eastAsia="en-US"/>
        </w:rPr>
        <w:t xml:space="preserve"> ji</w:t>
      </w:r>
      <w:r w:rsidRPr="0078754E">
        <w:rPr>
          <w:rFonts w:eastAsia="Calibri"/>
          <w:sz w:val="16"/>
          <w:szCs w:val="16"/>
          <w:shd w:val="clear" w:color="auto" w:fill="FFFFFF"/>
          <w:lang w:val="es-ES" w:eastAsia="en-US"/>
        </w:rPr>
        <w:t xml:space="preserve"> cuadrado de Pearson</w:t>
      </w:r>
      <w:r w:rsidR="006C367F">
        <w:rPr>
          <w:rFonts w:eastAsia="Calibri"/>
          <w:sz w:val="16"/>
          <w:szCs w:val="16"/>
          <w:shd w:val="clear" w:color="auto" w:fill="FFFFFF"/>
          <w:lang w:val="es-ES" w:eastAsia="en-US"/>
        </w:rPr>
        <w:t>.</w:t>
      </w:r>
    </w:p>
    <w:p w14:paraId="0CD0540B" w14:textId="41DDF35E" w:rsidR="0078754E" w:rsidRPr="0078754E" w:rsidRDefault="0078754E" w:rsidP="0078754E">
      <w:pPr>
        <w:spacing w:line="360" w:lineRule="auto"/>
        <w:jc w:val="center"/>
        <w:rPr>
          <w:rFonts w:eastAsia="Calibri"/>
          <w:sz w:val="16"/>
          <w:szCs w:val="16"/>
          <w:shd w:val="clear" w:color="auto" w:fill="FFFFFF"/>
          <w:lang w:val="es-ES" w:eastAsia="en-US"/>
        </w:rPr>
      </w:pPr>
      <w:r w:rsidRPr="0078754E">
        <w:rPr>
          <w:rFonts w:eastAsia="Calibri"/>
          <w:sz w:val="16"/>
          <w:szCs w:val="16"/>
          <w:shd w:val="clear" w:color="auto" w:fill="FFFFFF"/>
          <w:lang w:val="es-ES" w:eastAsia="en-US"/>
        </w:rPr>
        <w:t>* Prueba exacta de Fisher</w:t>
      </w:r>
      <w:r w:rsidR="006C367F">
        <w:rPr>
          <w:rFonts w:eastAsia="Calibri"/>
          <w:sz w:val="16"/>
          <w:szCs w:val="16"/>
          <w:shd w:val="clear" w:color="auto" w:fill="FFFFFF"/>
          <w:lang w:val="es-ES" w:eastAsia="en-US"/>
        </w:rPr>
        <w:t>.</w:t>
      </w:r>
    </w:p>
    <w:p w14:paraId="2F34E20B" w14:textId="77777777" w:rsidR="0078754E" w:rsidRPr="0078754E" w:rsidRDefault="0078754E" w:rsidP="0078754E">
      <w:pPr>
        <w:spacing w:line="360" w:lineRule="auto"/>
        <w:jc w:val="both"/>
        <w:rPr>
          <w:rFonts w:eastAsia="Calibri"/>
          <w:shd w:val="clear" w:color="auto" w:fill="FFFFFF"/>
          <w:lang w:val="es-ES" w:eastAsia="en-US"/>
        </w:rPr>
      </w:pPr>
    </w:p>
    <w:p w14:paraId="0F263356" w14:textId="77777777" w:rsidR="0078754E" w:rsidRPr="0078754E" w:rsidRDefault="0078754E" w:rsidP="0078754E">
      <w:pPr>
        <w:spacing w:line="360" w:lineRule="auto"/>
        <w:jc w:val="both"/>
        <w:rPr>
          <w:rFonts w:eastAsia="Calibri"/>
          <w:noProof/>
          <w:lang w:val="es-ES" w:eastAsia="en-US"/>
        </w:rPr>
      </w:pPr>
      <w:r w:rsidRPr="0078754E">
        <w:rPr>
          <w:rFonts w:eastAsia="Calibri"/>
          <w:shd w:val="clear" w:color="auto" w:fill="FFFFFF"/>
          <w:lang w:val="es-ES" w:eastAsia="en-US"/>
        </w:rPr>
        <w:lastRenderedPageBreak/>
        <w:t>Según el nivel de conocimiento global sobre PA para la prevención de EI en estudiantes de pregrado y posgrado, predominó el nivel de conocimiento bajo en 78,4 % (n= 58/74) y 71,4 % (n= 167/234), de forma respectiva (Fig. 1).</w:t>
      </w:r>
      <w:r w:rsidRPr="0078754E">
        <w:rPr>
          <w:rFonts w:eastAsia="Calibri"/>
          <w:noProof/>
          <w:lang w:val="es-ES" w:eastAsia="en-US"/>
        </w:rPr>
        <w:t xml:space="preserve"> </w:t>
      </w:r>
    </w:p>
    <w:p w14:paraId="478C1EFE" w14:textId="77777777" w:rsidR="0078754E" w:rsidRPr="0078754E" w:rsidRDefault="0078754E" w:rsidP="0078754E">
      <w:pPr>
        <w:spacing w:line="360" w:lineRule="auto"/>
        <w:jc w:val="both"/>
        <w:rPr>
          <w:rFonts w:eastAsia="Calibri"/>
          <w:shd w:val="clear" w:color="auto" w:fill="FFFFFF"/>
          <w:lang w:val="es-ES" w:eastAsia="en-US"/>
        </w:rPr>
      </w:pPr>
    </w:p>
    <w:p w14:paraId="658DCB51" w14:textId="77777777" w:rsidR="0078754E" w:rsidRPr="0078754E" w:rsidRDefault="0078754E" w:rsidP="0078754E">
      <w:pPr>
        <w:spacing w:line="360" w:lineRule="auto"/>
        <w:jc w:val="center"/>
        <w:rPr>
          <w:rFonts w:eastAsia="Calibri"/>
          <w:noProof/>
          <w:u w:val="single"/>
          <w:lang w:val="es-ES" w:eastAsia="en-US"/>
        </w:rPr>
      </w:pPr>
      <w:r w:rsidRPr="0078754E">
        <w:rPr>
          <w:rFonts w:eastAsia="Calibri"/>
          <w:noProof/>
          <w:lang w:val="es-ES" w:eastAsia="en-US"/>
        </w:rPr>
        <w:drawing>
          <wp:inline distT="0" distB="0" distL="0" distR="0" wp14:anchorId="4DE60896" wp14:editId="49939E45">
            <wp:extent cx="4254054" cy="31273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4272981" cy="3141289"/>
                    </a:xfrm>
                    <a:prstGeom prst="rect">
                      <a:avLst/>
                    </a:prstGeom>
                  </pic:spPr>
                </pic:pic>
              </a:graphicData>
            </a:graphic>
          </wp:inline>
        </w:drawing>
      </w:r>
    </w:p>
    <w:p w14:paraId="0BBDC27D" w14:textId="77777777" w:rsidR="0078754E" w:rsidRPr="0078754E" w:rsidRDefault="0078754E" w:rsidP="0078754E">
      <w:pPr>
        <w:spacing w:line="360" w:lineRule="auto"/>
        <w:jc w:val="center"/>
        <w:rPr>
          <w:rFonts w:eastAsia="Calibri"/>
          <w:sz w:val="22"/>
          <w:szCs w:val="22"/>
          <w:shd w:val="clear" w:color="auto" w:fill="FFFFFF"/>
          <w:lang w:val="es-ES" w:eastAsia="en-US"/>
        </w:rPr>
      </w:pPr>
      <w:r w:rsidRPr="0078754E">
        <w:rPr>
          <w:rFonts w:eastAsia="Calibri"/>
          <w:b/>
          <w:bCs/>
          <w:sz w:val="22"/>
          <w:szCs w:val="22"/>
          <w:shd w:val="clear" w:color="auto" w:fill="FFFFFF"/>
          <w:lang w:val="es-ES" w:eastAsia="en-US"/>
        </w:rPr>
        <w:t>Fig. 1 -</w:t>
      </w:r>
      <w:r w:rsidRPr="0078754E">
        <w:rPr>
          <w:rFonts w:eastAsia="Calibri"/>
          <w:sz w:val="22"/>
          <w:szCs w:val="22"/>
          <w:shd w:val="clear" w:color="auto" w:fill="FFFFFF"/>
          <w:lang w:val="es-ES" w:eastAsia="en-US"/>
        </w:rPr>
        <w:t xml:space="preserve"> Nivel de conocimiento global sobre profilaxis antibiótica para la prevención de la endocarditis infecciosa en estudiantes de pregrado y posgrado de estomatología.</w:t>
      </w:r>
    </w:p>
    <w:p w14:paraId="09DAE3A5" w14:textId="77777777" w:rsidR="0078754E" w:rsidRPr="0078754E" w:rsidRDefault="0078754E" w:rsidP="0078754E">
      <w:pPr>
        <w:spacing w:line="360" w:lineRule="auto"/>
        <w:jc w:val="center"/>
        <w:rPr>
          <w:rFonts w:eastAsia="Calibri"/>
          <w:shd w:val="clear" w:color="auto" w:fill="FFFFFF"/>
          <w:lang w:val="es-ES" w:eastAsia="en-US"/>
        </w:rPr>
      </w:pPr>
    </w:p>
    <w:p w14:paraId="2D5BE731"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Respecto al puntaje global, los estudiantes de pregrado obtuvieron un puntaje promedio de 8,64 ± 2,72 [IC95 % 8,01 a 9,26] y los de posgrado; 8,74 ± 2,80 [IC95 % 8,38 a 9,10] (tabla 3).</w:t>
      </w:r>
    </w:p>
    <w:p w14:paraId="39C109C2" w14:textId="77777777" w:rsidR="0078754E" w:rsidRPr="0078754E" w:rsidRDefault="0078754E" w:rsidP="0078754E">
      <w:pPr>
        <w:spacing w:line="360" w:lineRule="auto"/>
        <w:jc w:val="both"/>
        <w:rPr>
          <w:rFonts w:eastAsia="Calibri"/>
          <w:shd w:val="clear" w:color="auto" w:fill="FFFFFF"/>
          <w:lang w:val="es-ES" w:eastAsia="en-US"/>
        </w:rPr>
      </w:pPr>
    </w:p>
    <w:p w14:paraId="04326C03" w14:textId="77777777" w:rsidR="006C367F" w:rsidRDefault="006C367F">
      <w:pPr>
        <w:rPr>
          <w:rFonts w:eastAsia="Calibri"/>
          <w:b/>
          <w:bCs/>
          <w:sz w:val="22"/>
          <w:szCs w:val="22"/>
          <w:shd w:val="clear" w:color="auto" w:fill="FFFFFF"/>
          <w:lang w:val="es-ES" w:eastAsia="en-US"/>
        </w:rPr>
      </w:pPr>
      <w:r>
        <w:rPr>
          <w:rFonts w:eastAsia="Calibri"/>
          <w:b/>
          <w:bCs/>
          <w:sz w:val="22"/>
          <w:szCs w:val="22"/>
          <w:shd w:val="clear" w:color="auto" w:fill="FFFFFF"/>
          <w:lang w:val="es-ES" w:eastAsia="en-US"/>
        </w:rPr>
        <w:br w:type="page"/>
      </w:r>
    </w:p>
    <w:p w14:paraId="3DA031D7" w14:textId="3F2B88F8" w:rsidR="0078754E" w:rsidRPr="0078754E" w:rsidRDefault="0078754E" w:rsidP="0078754E">
      <w:pPr>
        <w:spacing w:line="360" w:lineRule="auto"/>
        <w:jc w:val="center"/>
        <w:rPr>
          <w:rFonts w:eastAsia="Calibri"/>
          <w:shd w:val="clear" w:color="auto" w:fill="FFFFFF"/>
          <w:lang w:val="es-ES" w:eastAsia="en-US"/>
        </w:rPr>
      </w:pPr>
      <w:r w:rsidRPr="0078754E">
        <w:rPr>
          <w:rFonts w:eastAsia="Calibri"/>
          <w:b/>
          <w:bCs/>
          <w:sz w:val="22"/>
          <w:szCs w:val="22"/>
          <w:shd w:val="clear" w:color="auto" w:fill="FFFFFF"/>
          <w:lang w:val="es-ES" w:eastAsia="en-US"/>
        </w:rPr>
        <w:lastRenderedPageBreak/>
        <w:t>Tabla 3 -</w:t>
      </w:r>
      <w:r w:rsidRPr="0078754E">
        <w:rPr>
          <w:rFonts w:eastAsia="Calibri"/>
          <w:sz w:val="22"/>
          <w:szCs w:val="22"/>
          <w:shd w:val="clear" w:color="auto" w:fill="FFFFFF"/>
          <w:lang w:val="es-ES" w:eastAsia="en-US"/>
        </w:rPr>
        <w:t xml:space="preserve"> </w:t>
      </w:r>
      <w:bookmarkStart w:id="1" w:name="_Hlk151250849"/>
      <w:r w:rsidRPr="0078754E">
        <w:rPr>
          <w:rFonts w:eastAsia="Calibri"/>
          <w:sz w:val="22"/>
          <w:szCs w:val="22"/>
          <w:shd w:val="clear" w:color="auto" w:fill="FFFFFF"/>
          <w:lang w:val="es-ES" w:eastAsia="en-US"/>
        </w:rPr>
        <w:t>Puntaje global sobre profilaxis antibiótica en endocarditis infecciosa en estudiantes de pregrado y posgrado</w:t>
      </w:r>
      <w:bookmarkEnd w:id="1"/>
    </w:p>
    <w:p w14:paraId="12BB1D70" w14:textId="2F64FB6D" w:rsidR="005862B6" w:rsidRDefault="005862B6" w:rsidP="0078754E">
      <w:pPr>
        <w:spacing w:line="360" w:lineRule="auto"/>
        <w:jc w:val="center"/>
        <w:rPr>
          <w:rFonts w:eastAsia="Calibri"/>
          <w:sz w:val="16"/>
          <w:szCs w:val="16"/>
          <w:shd w:val="clear" w:color="auto" w:fill="FFFFFF"/>
          <w:lang w:val="es-ES" w:eastAsia="en-US"/>
        </w:rPr>
      </w:pPr>
      <w:r w:rsidRPr="00801A3D">
        <w:rPr>
          <w:noProof/>
          <w:shd w:val="clear" w:color="auto" w:fill="FFFFFF"/>
          <w:lang w:eastAsia="es-ES"/>
        </w:rPr>
        <w:drawing>
          <wp:inline distT="0" distB="0" distL="0" distR="0" wp14:anchorId="500E3EBE" wp14:editId="4D89D710">
            <wp:extent cx="4695825" cy="1133475"/>
            <wp:effectExtent l="0" t="0" r="9525" b="9525"/>
            <wp:docPr id="3" name="Imagen 3" descr="G:\15935\t03_1593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5935\t03_15935.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5825" cy="1133475"/>
                    </a:xfrm>
                    <a:prstGeom prst="rect">
                      <a:avLst/>
                    </a:prstGeom>
                    <a:noFill/>
                    <a:ln>
                      <a:noFill/>
                    </a:ln>
                  </pic:spPr>
                </pic:pic>
              </a:graphicData>
            </a:graphic>
          </wp:inline>
        </w:drawing>
      </w:r>
    </w:p>
    <w:p w14:paraId="13F24665" w14:textId="484824DD" w:rsidR="0078754E" w:rsidRPr="0078754E" w:rsidRDefault="0078754E" w:rsidP="0078754E">
      <w:pPr>
        <w:spacing w:line="360" w:lineRule="auto"/>
        <w:jc w:val="center"/>
        <w:rPr>
          <w:rFonts w:eastAsia="Calibri"/>
          <w:sz w:val="16"/>
          <w:szCs w:val="16"/>
          <w:shd w:val="clear" w:color="auto" w:fill="FFFFFF"/>
          <w:lang w:val="es-ES" w:eastAsia="en-US"/>
        </w:rPr>
      </w:pPr>
      <w:r w:rsidRPr="0078754E">
        <w:rPr>
          <w:rFonts w:eastAsia="Calibri"/>
          <w:sz w:val="16"/>
          <w:szCs w:val="16"/>
          <w:shd w:val="clear" w:color="auto" w:fill="FFFFFF"/>
          <w:lang w:val="es-ES" w:eastAsia="en-US"/>
        </w:rPr>
        <w:t>*Prueba t de Student para muestras independientes.</w:t>
      </w:r>
    </w:p>
    <w:p w14:paraId="508356E6" w14:textId="77777777" w:rsidR="0078754E" w:rsidRPr="0078754E" w:rsidRDefault="0078754E" w:rsidP="0078754E">
      <w:pPr>
        <w:spacing w:line="360" w:lineRule="auto"/>
        <w:jc w:val="center"/>
        <w:rPr>
          <w:rFonts w:eastAsia="Calibri"/>
          <w:sz w:val="16"/>
          <w:szCs w:val="16"/>
          <w:shd w:val="clear" w:color="auto" w:fill="FFFFFF"/>
          <w:lang w:val="es-ES" w:eastAsia="en-US"/>
        </w:rPr>
      </w:pPr>
      <w:r w:rsidRPr="0078754E">
        <w:rPr>
          <w:rFonts w:eastAsia="Calibri"/>
          <w:sz w:val="16"/>
          <w:szCs w:val="16"/>
          <w:shd w:val="clear" w:color="auto" w:fill="FFFFFF"/>
          <w:lang w:val="es-ES" w:eastAsia="en-US"/>
        </w:rPr>
        <w:t>DE: Desviación estándar.</w:t>
      </w:r>
    </w:p>
    <w:p w14:paraId="59A996F6" w14:textId="60AF5588" w:rsidR="0078754E" w:rsidRPr="0078754E" w:rsidRDefault="0078754E" w:rsidP="0078754E">
      <w:pPr>
        <w:spacing w:line="360" w:lineRule="auto"/>
        <w:jc w:val="center"/>
        <w:rPr>
          <w:rFonts w:eastAsia="Calibri"/>
          <w:shd w:val="clear" w:color="auto" w:fill="FFFFFF"/>
          <w:lang w:val="es-ES" w:eastAsia="en-US"/>
        </w:rPr>
      </w:pPr>
    </w:p>
    <w:p w14:paraId="5A113A4D"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Al realizar una comparación del nivel de conocimientos entre estudiantes de pregrado y las especialidades del posgrado, se encontró una diferencia estadística significativa en el puntaje global obtenido (p= 0,036) (tabla 4). </w:t>
      </w:r>
    </w:p>
    <w:p w14:paraId="61F67B21" w14:textId="77777777" w:rsidR="0078754E" w:rsidRPr="0078754E" w:rsidRDefault="0078754E" w:rsidP="0078754E">
      <w:pPr>
        <w:tabs>
          <w:tab w:val="left" w:pos="1320"/>
        </w:tabs>
        <w:spacing w:line="360" w:lineRule="auto"/>
        <w:jc w:val="center"/>
        <w:rPr>
          <w:rFonts w:eastAsia="Calibri"/>
          <w:b/>
          <w:bCs/>
          <w:sz w:val="22"/>
          <w:szCs w:val="22"/>
          <w:shd w:val="clear" w:color="auto" w:fill="FFFFFF"/>
          <w:lang w:val="es-ES" w:eastAsia="en-US"/>
        </w:rPr>
      </w:pPr>
    </w:p>
    <w:p w14:paraId="47DE950D" w14:textId="77777777" w:rsidR="0078754E" w:rsidRPr="0078754E" w:rsidRDefault="0078754E" w:rsidP="0078754E">
      <w:pPr>
        <w:tabs>
          <w:tab w:val="left" w:pos="1320"/>
        </w:tabs>
        <w:spacing w:line="360" w:lineRule="auto"/>
        <w:jc w:val="center"/>
        <w:rPr>
          <w:rFonts w:eastAsia="Calibri"/>
          <w:shd w:val="clear" w:color="auto" w:fill="FFFFFF"/>
          <w:lang w:val="es-ES" w:eastAsia="en-US"/>
        </w:rPr>
      </w:pPr>
      <w:r w:rsidRPr="0078754E">
        <w:rPr>
          <w:rFonts w:eastAsia="Calibri"/>
          <w:b/>
          <w:bCs/>
          <w:sz w:val="22"/>
          <w:szCs w:val="22"/>
          <w:shd w:val="clear" w:color="auto" w:fill="FFFFFF"/>
          <w:lang w:val="es-ES" w:eastAsia="en-US"/>
        </w:rPr>
        <w:t>Tabla 4 -</w:t>
      </w:r>
      <w:r w:rsidRPr="0078754E">
        <w:rPr>
          <w:rFonts w:eastAsia="Calibri"/>
          <w:bCs/>
          <w:sz w:val="22"/>
          <w:szCs w:val="22"/>
          <w:shd w:val="clear" w:color="auto" w:fill="FFFFFF"/>
          <w:lang w:val="es-ES" w:eastAsia="en-US"/>
        </w:rPr>
        <w:t xml:space="preserve"> </w:t>
      </w:r>
      <w:bookmarkStart w:id="2" w:name="_Hlk151250885"/>
      <w:r w:rsidRPr="0078754E">
        <w:rPr>
          <w:rFonts w:eastAsia="Calibri"/>
          <w:sz w:val="22"/>
          <w:szCs w:val="22"/>
          <w:shd w:val="clear" w:color="auto" w:fill="FFFFFF"/>
          <w:lang w:val="es-ES" w:eastAsia="en-US"/>
        </w:rPr>
        <w:t>Nivel de conocimiento sobre profilaxis antibiótica para la prevención de endocarditis infecciosa entre pregrado y posgrado</w:t>
      </w:r>
      <w:bookmarkEnd w:id="2"/>
    </w:p>
    <w:p w14:paraId="0D64E57E" w14:textId="1AAF22E0" w:rsidR="005862B6" w:rsidRDefault="005862B6" w:rsidP="0078754E">
      <w:pPr>
        <w:spacing w:line="360" w:lineRule="auto"/>
        <w:jc w:val="center"/>
        <w:rPr>
          <w:rFonts w:eastAsia="Calibri"/>
          <w:sz w:val="16"/>
          <w:szCs w:val="16"/>
          <w:shd w:val="clear" w:color="auto" w:fill="FFFFFF"/>
          <w:lang w:val="es-ES" w:eastAsia="en-US"/>
        </w:rPr>
      </w:pPr>
      <w:r w:rsidRPr="00801A3D">
        <w:rPr>
          <w:noProof/>
          <w:shd w:val="clear" w:color="auto" w:fill="FFFFFF"/>
          <w:lang w:eastAsia="es-ES"/>
        </w:rPr>
        <w:drawing>
          <wp:inline distT="0" distB="0" distL="0" distR="0" wp14:anchorId="4BD9ADC3" wp14:editId="78EBE921">
            <wp:extent cx="5400040" cy="2308151"/>
            <wp:effectExtent l="0" t="0" r="0" b="0"/>
            <wp:docPr id="4" name="Imagen 4" descr="G:\15935\t04_1593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5935\t04_15935.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308151"/>
                    </a:xfrm>
                    <a:prstGeom prst="rect">
                      <a:avLst/>
                    </a:prstGeom>
                    <a:noFill/>
                    <a:ln>
                      <a:noFill/>
                    </a:ln>
                  </pic:spPr>
                </pic:pic>
              </a:graphicData>
            </a:graphic>
          </wp:inline>
        </w:drawing>
      </w:r>
    </w:p>
    <w:p w14:paraId="38EEDD11" w14:textId="221B53A7" w:rsidR="0078754E" w:rsidRPr="0078754E" w:rsidRDefault="0078754E" w:rsidP="0078754E">
      <w:pPr>
        <w:spacing w:line="360" w:lineRule="auto"/>
        <w:jc w:val="center"/>
        <w:rPr>
          <w:rFonts w:eastAsia="Calibri"/>
          <w:sz w:val="16"/>
          <w:szCs w:val="16"/>
          <w:shd w:val="clear" w:color="auto" w:fill="FFFFFF"/>
          <w:lang w:val="es-ES" w:eastAsia="en-US"/>
        </w:rPr>
      </w:pPr>
      <w:r w:rsidRPr="0078754E">
        <w:rPr>
          <w:rFonts w:eastAsia="Calibri"/>
          <w:sz w:val="16"/>
          <w:szCs w:val="16"/>
          <w:shd w:val="clear" w:color="auto" w:fill="FFFFFF"/>
          <w:lang w:val="es-ES" w:eastAsia="en-US"/>
        </w:rPr>
        <w:t>* Prueba estadística de Anova.</w:t>
      </w:r>
    </w:p>
    <w:p w14:paraId="3EA3A3A0" w14:textId="5DE941C0" w:rsidR="0078754E" w:rsidRPr="0078754E" w:rsidRDefault="0078754E" w:rsidP="0078754E">
      <w:pPr>
        <w:spacing w:line="360" w:lineRule="auto"/>
        <w:jc w:val="both"/>
        <w:rPr>
          <w:rFonts w:eastAsia="Calibri"/>
          <w:shd w:val="clear" w:color="auto" w:fill="FFFFFF"/>
          <w:lang w:val="es-ES" w:eastAsia="en-US"/>
        </w:rPr>
      </w:pPr>
    </w:p>
    <w:p w14:paraId="26C911C9"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Por ello se realizó una prueba </w:t>
      </w:r>
      <w:r w:rsidRPr="0078754E">
        <w:rPr>
          <w:rFonts w:eastAsia="Calibri"/>
          <w:i/>
          <w:iCs/>
          <w:shd w:val="clear" w:color="auto" w:fill="FFFFFF"/>
          <w:lang w:val="es-ES" w:eastAsia="en-US"/>
        </w:rPr>
        <w:t>post hoc</w:t>
      </w:r>
      <w:r w:rsidRPr="0078754E">
        <w:rPr>
          <w:rFonts w:eastAsia="Calibri"/>
          <w:shd w:val="clear" w:color="auto" w:fill="FFFFFF"/>
          <w:lang w:val="es-ES" w:eastAsia="en-US"/>
        </w:rPr>
        <w:t xml:space="preserve"> para las comparaciones entre grupos y se encontró que la especialidad de rehabilitación oral presentó un puntaje promedio menor que odontopediatría (p= 0,031). </w:t>
      </w:r>
    </w:p>
    <w:p w14:paraId="0ABC0BA3" w14:textId="77777777" w:rsidR="0078754E" w:rsidRPr="0078754E" w:rsidRDefault="0078754E" w:rsidP="0078754E">
      <w:pPr>
        <w:spacing w:line="360" w:lineRule="auto"/>
        <w:jc w:val="both"/>
        <w:rPr>
          <w:rFonts w:eastAsia="Calibri"/>
          <w:shd w:val="clear" w:color="auto" w:fill="FFFFFF"/>
          <w:lang w:val="es-ES" w:eastAsia="en-US"/>
        </w:rPr>
      </w:pPr>
    </w:p>
    <w:p w14:paraId="6B1727DB" w14:textId="77777777" w:rsidR="0078754E" w:rsidRPr="0078754E" w:rsidRDefault="0078754E" w:rsidP="0078754E">
      <w:pPr>
        <w:spacing w:line="360" w:lineRule="auto"/>
        <w:jc w:val="both"/>
        <w:rPr>
          <w:rFonts w:eastAsia="Calibri"/>
          <w:shd w:val="clear" w:color="auto" w:fill="FFFFFF"/>
          <w:lang w:val="es-ES" w:eastAsia="en-US"/>
        </w:rPr>
      </w:pPr>
    </w:p>
    <w:p w14:paraId="7260ECE0" w14:textId="77777777" w:rsidR="0078754E" w:rsidRPr="0078754E" w:rsidRDefault="0078754E" w:rsidP="0078754E">
      <w:pPr>
        <w:spacing w:line="360" w:lineRule="auto"/>
        <w:contextualSpacing/>
        <w:jc w:val="center"/>
        <w:rPr>
          <w:rFonts w:eastAsia="Calibri"/>
          <w:b/>
          <w:bCs/>
          <w:sz w:val="32"/>
          <w:szCs w:val="32"/>
          <w:shd w:val="clear" w:color="auto" w:fill="FFFFFF"/>
          <w:lang w:val="es-ES" w:eastAsia="en-US"/>
        </w:rPr>
      </w:pPr>
      <w:r w:rsidRPr="0078754E">
        <w:rPr>
          <w:rFonts w:eastAsia="Calibri"/>
          <w:b/>
          <w:bCs/>
          <w:sz w:val="32"/>
          <w:szCs w:val="32"/>
          <w:shd w:val="clear" w:color="auto" w:fill="FFFFFF"/>
          <w:lang w:val="es-ES" w:eastAsia="en-US"/>
        </w:rPr>
        <w:t>DISCUSIÓN</w:t>
      </w:r>
    </w:p>
    <w:p w14:paraId="0B6C3202" w14:textId="77777777" w:rsidR="0078754E" w:rsidRPr="0078754E" w:rsidRDefault="0078754E" w:rsidP="0078754E">
      <w:pPr>
        <w:spacing w:line="360" w:lineRule="auto"/>
        <w:jc w:val="both"/>
        <w:rPr>
          <w:rFonts w:eastAsia="Calibri"/>
          <w:shd w:val="clear" w:color="auto" w:fill="FFFFFF"/>
          <w:lang w:val="es-ES" w:eastAsia="en-US"/>
        </w:rPr>
      </w:pPr>
      <w:bookmarkStart w:id="3" w:name="_Hlk94438358"/>
      <w:r w:rsidRPr="0078754E">
        <w:rPr>
          <w:rFonts w:eastAsia="Calibri"/>
          <w:shd w:val="clear" w:color="auto" w:fill="FFFFFF"/>
          <w:lang w:val="es-ES" w:eastAsia="en-US"/>
        </w:rPr>
        <w:t xml:space="preserve">Se encontró un nivel de conocimiento global bajo sobre PA de EI en los estudiantes de pregrado y posgrado. Por cada dimensión, en ambos grupos, se encontró un nivel de conocimiento bajo sobre etiopatogenia y farmacología; y regular sobre epidemiología e indicación de PA. Además, el puntaje global promedio del nivel de conocimiento fue 8,71 ± 2,78 con una proporción de respuestas correctas de 43,55 %. </w:t>
      </w:r>
    </w:p>
    <w:p w14:paraId="50C7281B"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Estos resultados son similares a los reportados por </w:t>
      </w:r>
      <w:r w:rsidRPr="0078754E">
        <w:rPr>
          <w:rFonts w:eastAsia="Calibri"/>
          <w:i/>
          <w:iCs/>
          <w:shd w:val="clear" w:color="auto" w:fill="FFFFFF"/>
          <w:lang w:val="es-ES" w:eastAsia="en-US"/>
        </w:rPr>
        <w:t>Aragoneses</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(10)</w:t>
      </w:r>
      <w:r w:rsidRPr="0078754E">
        <w:rPr>
          <w:rFonts w:eastAsia="Calibri"/>
          <w:shd w:val="clear" w:color="auto" w:fill="FFFFFF"/>
          <w:lang w:val="es-ES" w:eastAsia="en-US"/>
        </w:rPr>
        <w:t xml:space="preserve"> quienes encontraron un nivel de conocimiento de 7,0 </w:t>
      </w:r>
      <w:r w:rsidRPr="0078754E">
        <w:rPr>
          <w:rFonts w:eastAsia="SimSun"/>
          <w:lang w:val="es-ES" w:eastAsia="en-US"/>
        </w:rPr>
        <w:t>(6,0 – 8,0)</w:t>
      </w:r>
      <w:r w:rsidRPr="0078754E">
        <w:rPr>
          <w:rFonts w:eastAsia="Calibri"/>
          <w:shd w:val="clear" w:color="auto" w:fill="FFFFFF"/>
          <w:lang w:val="es-ES" w:eastAsia="en-US"/>
        </w:rPr>
        <w:t xml:space="preserve"> en dentistas generales en Santo Domingo – República Dominicana y con </w:t>
      </w:r>
      <w:r w:rsidRPr="0078754E">
        <w:rPr>
          <w:rFonts w:eastAsia="Calibri"/>
          <w:i/>
          <w:iCs/>
          <w:shd w:val="clear" w:color="auto" w:fill="FFFFFF"/>
          <w:lang w:val="es-ES" w:eastAsia="en-US"/>
        </w:rPr>
        <w:t xml:space="preserve">Chumpitaz </w:t>
      </w:r>
      <w:r w:rsidRPr="0078754E">
        <w:rPr>
          <w:rFonts w:eastAsia="Calibri"/>
          <w:shd w:val="clear" w:color="auto" w:fill="FFFFFF"/>
          <w:lang w:val="es-ES" w:eastAsia="en-US"/>
        </w:rPr>
        <w:t>y otros,</w:t>
      </w:r>
      <w:r w:rsidRPr="0078754E">
        <w:rPr>
          <w:rFonts w:eastAsia="Calibri"/>
          <w:shd w:val="clear" w:color="auto" w:fill="FFFFFF"/>
          <w:vertAlign w:val="superscript"/>
          <w:lang w:val="es-ES" w:eastAsia="en-US"/>
        </w:rPr>
        <w:t>(14)</w:t>
      </w:r>
      <w:r w:rsidRPr="0078754E">
        <w:rPr>
          <w:rFonts w:eastAsia="Calibri"/>
          <w:shd w:val="clear" w:color="auto" w:fill="FFFFFF"/>
          <w:lang w:val="es-ES" w:eastAsia="en-US"/>
        </w:rPr>
        <w:t xml:space="preserve"> los cuales hallaron un promedio de 10,1 ± 2,95 (51 % de respuesta correctas) en estudiantes de odontología de 3 universidades de Lima-Perú. Esto puede evidenciar que en países de bajos y medianos ingresos se necesita implementar y fortalecer los programas en ciencias básicas y clínicas en pregrado. Puede haber variabilidad en la emisión de las recomendaciones y sus indicaciones por parte de los organismos locales e internacionales.  </w:t>
      </w:r>
    </w:p>
    <w:p w14:paraId="035A6230"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lang w:val="es-ES" w:eastAsia="en-US"/>
        </w:rPr>
        <w:t>Según un estudio,</w:t>
      </w:r>
      <w:r w:rsidRPr="0078754E">
        <w:rPr>
          <w:rFonts w:eastAsia="Calibri"/>
          <w:vertAlign w:val="superscript"/>
          <w:lang w:val="es-ES" w:eastAsia="en-US"/>
        </w:rPr>
        <w:t>(15)</w:t>
      </w:r>
      <w:r w:rsidRPr="0078754E">
        <w:rPr>
          <w:rFonts w:eastAsia="Calibri"/>
          <w:lang w:val="es-ES" w:eastAsia="en-US"/>
        </w:rPr>
        <w:t xml:space="preserve"> cuando se interrelaciona ciencias básicas con el área clínica desde el primer año del plan de estudios, hay un mejor aprendizaje en los estudiantes de odontología. La importancia de la educación continua es mantener al profesional actualizado en la atención de pacientes con riesgo de EI.</w:t>
      </w:r>
      <w:r w:rsidRPr="0078754E">
        <w:rPr>
          <w:rFonts w:eastAsia="Calibri"/>
          <w:vertAlign w:val="superscript"/>
          <w:lang w:val="es-ES" w:eastAsia="en-US"/>
        </w:rPr>
        <w:t>(13)</w:t>
      </w:r>
      <w:r w:rsidRPr="0078754E">
        <w:rPr>
          <w:rFonts w:eastAsia="Calibri"/>
          <w:shd w:val="clear" w:color="auto" w:fill="FFFFFF"/>
          <w:lang w:val="es-ES" w:eastAsia="en-US"/>
        </w:rPr>
        <w:t xml:space="preserve"> </w:t>
      </w:r>
    </w:p>
    <w:p w14:paraId="3D757EC4"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En este estudio, el nivel global de conocimientos sobre PA de EI, previa a procedimientos odontológicos de los estudiantes de pregrado (78,4 %) y posgrado (71,4 %) fue bajo. De forma similar </w:t>
      </w:r>
      <w:r w:rsidRPr="0078754E">
        <w:rPr>
          <w:rFonts w:eastAsia="Calibri"/>
          <w:i/>
          <w:iCs/>
          <w:shd w:val="clear" w:color="auto" w:fill="FFFFFF"/>
          <w:lang w:val="es-ES" w:eastAsia="en-US"/>
        </w:rPr>
        <w:t>Al Fouzan</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 xml:space="preserve">(16) </w:t>
      </w:r>
      <w:r w:rsidRPr="0078754E">
        <w:rPr>
          <w:rFonts w:eastAsia="Calibri"/>
          <w:shd w:val="clear" w:color="auto" w:fill="FFFFFF"/>
          <w:lang w:val="es-ES" w:eastAsia="en-US"/>
        </w:rPr>
        <w:t xml:space="preserve">reportan un promedio del porcentaje de respuestas correctas de un 52,2 % en internos, cirujanos dentistas y especialistas; concluyen que se necesita educación continua y mejora del plan de estudios de las universidades en Arabia Saudita. Por otro lado, </w:t>
      </w:r>
      <w:r w:rsidRPr="0078754E">
        <w:rPr>
          <w:rFonts w:eastAsia="Calibri"/>
          <w:i/>
          <w:iCs/>
          <w:shd w:val="clear" w:color="auto" w:fill="FFFFFF"/>
          <w:lang w:val="es-ES" w:eastAsia="en-US"/>
        </w:rPr>
        <w:t>Ahmadi-Motamayel</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(6)</w:t>
      </w:r>
      <w:r w:rsidRPr="0078754E">
        <w:rPr>
          <w:rFonts w:eastAsia="Calibri"/>
          <w:shd w:val="clear" w:color="auto" w:fill="FFFFFF"/>
          <w:lang w:val="es-ES" w:eastAsia="en-US"/>
        </w:rPr>
        <w:t xml:space="preserve"> reportan un nivel de conocimiento regular en estudiantes (65 %; n= 37/58) y dentistas (56 %; n= 54/96) en Irán. Este resultado difiere al estudio realizado debido a una diferencia en los planes de estudios. Según </w:t>
      </w:r>
      <w:r w:rsidRPr="0078754E">
        <w:rPr>
          <w:rFonts w:eastAsia="Calibri"/>
          <w:i/>
          <w:iCs/>
          <w:shd w:val="clear" w:color="auto" w:fill="FFFFFF"/>
          <w:lang w:val="es-ES" w:eastAsia="en-US"/>
        </w:rPr>
        <w:t>Dabaghi</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(17)</w:t>
      </w:r>
      <w:r w:rsidRPr="0078754E">
        <w:rPr>
          <w:rFonts w:eastAsia="Calibri"/>
          <w:shd w:val="clear" w:color="auto" w:fill="FFFFFF"/>
          <w:lang w:val="es-ES" w:eastAsia="en-US"/>
        </w:rPr>
        <w:t xml:space="preserve"> el plan de estudio iraní presenta una alta eficiencia (100 %) según el indicador de Loudvigsson, en comparación con otras facultades de odontología (EE. UU., Canadá y Japón).</w:t>
      </w:r>
    </w:p>
    <w:p w14:paraId="5F8CE8F0" w14:textId="77777777" w:rsidR="0078754E" w:rsidRPr="0078754E" w:rsidRDefault="0078754E" w:rsidP="0078754E">
      <w:pPr>
        <w:spacing w:line="360" w:lineRule="auto"/>
        <w:jc w:val="both"/>
        <w:rPr>
          <w:rFonts w:eastAsia="Calibri"/>
          <w:shd w:val="clear" w:color="auto" w:fill="FFFFFF"/>
          <w:vertAlign w:val="superscript"/>
          <w:lang w:val="es-ES" w:eastAsia="en-US"/>
        </w:rPr>
      </w:pPr>
      <w:r w:rsidRPr="0078754E">
        <w:rPr>
          <w:rFonts w:eastAsia="Calibri"/>
          <w:shd w:val="clear" w:color="auto" w:fill="FFFFFF"/>
          <w:lang w:val="es-ES" w:eastAsia="en-US"/>
        </w:rPr>
        <w:t xml:space="preserve">En relación con la epidemiología predominó el nivel de conocimiento regular en 56,8 % (n= 42/74) en pregrado y el 54,7 % (n= 128/234) en posgrado. De forma similar, </w:t>
      </w:r>
      <w:r w:rsidRPr="0078754E">
        <w:rPr>
          <w:rFonts w:eastAsia="Calibri"/>
          <w:i/>
          <w:iCs/>
          <w:shd w:val="clear" w:color="auto" w:fill="FFFFFF"/>
          <w:lang w:val="es-ES" w:eastAsia="en-US"/>
        </w:rPr>
        <w:t>Chumpitaz</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(14)</w:t>
      </w:r>
      <w:r w:rsidRPr="0078754E">
        <w:rPr>
          <w:rFonts w:eastAsia="Calibri"/>
          <w:shd w:val="clear" w:color="auto" w:fill="FFFFFF"/>
          <w:lang w:val="es-ES" w:eastAsia="en-US"/>
        </w:rPr>
        <w:t xml:space="preserve"> reportan que el </w:t>
      </w:r>
      <w:r w:rsidRPr="0078754E">
        <w:rPr>
          <w:rFonts w:eastAsia="Calibri"/>
          <w:shd w:val="clear" w:color="auto" w:fill="FFFFFF"/>
          <w:lang w:val="es-ES" w:eastAsia="en-US"/>
        </w:rPr>
        <w:lastRenderedPageBreak/>
        <w:t>55 % de estudiantes obtuvieron un nivel de conocimiento regular sobre epidemiología. Esto puede ser porque en el internado y durante las rotaciones hospitalarias, los estudiantes tienen más oportunidades para aprender sobre epidemiología local y general de las enfermedades.</w:t>
      </w:r>
    </w:p>
    <w:p w14:paraId="3BD120D2" w14:textId="77777777" w:rsidR="0078754E" w:rsidRPr="0078754E" w:rsidRDefault="0078754E" w:rsidP="0078754E">
      <w:pPr>
        <w:spacing w:line="360" w:lineRule="auto"/>
        <w:jc w:val="both"/>
        <w:rPr>
          <w:rFonts w:eastAsia="Calibri"/>
          <w:shd w:val="clear" w:color="auto" w:fill="FFFFFF"/>
          <w:vertAlign w:val="superscript"/>
          <w:lang w:val="es-ES" w:eastAsia="en-US"/>
        </w:rPr>
      </w:pPr>
      <w:r w:rsidRPr="0078754E">
        <w:rPr>
          <w:rFonts w:eastAsia="Calibri"/>
          <w:shd w:val="clear" w:color="auto" w:fill="FFFFFF"/>
          <w:lang w:val="es-ES" w:eastAsia="en-US"/>
        </w:rPr>
        <w:t xml:space="preserve">En la etiopatogenia de la EI, predominó el nivel de conocimiento bajo en 89,2 % (n= 66/74) de estudiantes de pregrado y 88,5 % (n= 207/234) de posgrado. De forma similar, </w:t>
      </w:r>
      <w:r w:rsidRPr="0078754E">
        <w:rPr>
          <w:rFonts w:eastAsia="Calibri"/>
          <w:i/>
          <w:iCs/>
          <w:shd w:val="clear" w:color="auto" w:fill="FFFFFF"/>
          <w:lang w:val="es-ES" w:eastAsia="en-US"/>
        </w:rPr>
        <w:t>Ahmadi-Motamayel</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(6)</w:t>
      </w:r>
      <w:r w:rsidRPr="0078754E">
        <w:rPr>
          <w:rFonts w:eastAsia="Calibri"/>
          <w:shd w:val="clear" w:color="auto" w:fill="FFFFFF"/>
          <w:lang w:val="es-ES" w:eastAsia="en-US"/>
        </w:rPr>
        <w:t xml:space="preserve"> reportan un bajo porcentaje de cirujanos dentistas (36 %, n= 35/96) y estudiantes (28 %, n= 16/58) de Irán que conocían el microorganismo causante de la EI, debida a procedimientos dentales. Por otro lado, </w:t>
      </w:r>
      <w:r w:rsidRPr="0078754E">
        <w:rPr>
          <w:rFonts w:eastAsia="Calibri"/>
          <w:i/>
          <w:iCs/>
          <w:shd w:val="clear" w:color="auto" w:fill="FFFFFF"/>
          <w:lang w:val="es-ES" w:eastAsia="en-US"/>
        </w:rPr>
        <w:t>De Wolf</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 xml:space="preserve">(12) </w:t>
      </w:r>
      <w:r w:rsidRPr="0078754E">
        <w:rPr>
          <w:rFonts w:eastAsia="Calibri"/>
          <w:shd w:val="clear" w:color="auto" w:fill="FFFFFF"/>
          <w:lang w:val="es-ES" w:eastAsia="en-US"/>
        </w:rPr>
        <w:t xml:space="preserve">reportaron que (87 %, n= 7917/10) y (64 %, n= 5824/10) de dentistas del norte de Bélgica identificaron procedimientos de bajo y alto riesgo para EI, respectivamente. De forma similar, </w:t>
      </w:r>
      <w:r w:rsidRPr="0078754E">
        <w:rPr>
          <w:rFonts w:eastAsia="Calibri"/>
          <w:i/>
          <w:iCs/>
          <w:shd w:val="clear" w:color="auto" w:fill="FFFFFF"/>
          <w:lang w:val="es-ES" w:eastAsia="en-US"/>
        </w:rPr>
        <w:t>Al-Fouzan</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(16)</w:t>
      </w:r>
      <w:r w:rsidRPr="0078754E">
        <w:rPr>
          <w:rFonts w:eastAsia="Calibri"/>
          <w:shd w:val="clear" w:color="auto" w:fill="FFFFFF"/>
          <w:lang w:val="es-ES" w:eastAsia="en-US"/>
        </w:rPr>
        <w:t xml:space="preserve"> reportan que en Arabia Saudita el 52,5 % (n= 416/790) de dentistas reconocían las condiciones cardiacas de alto y bajo riesgo que requerían PA por EI. Estas diferencias con los resultados de la presente investigación pueden deberse a que los planes de estudios en países desarrollados incluyen más temas de PA de la EI.</w:t>
      </w:r>
    </w:p>
    <w:p w14:paraId="60E4E5C3"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Las guías clínicas sobre la prescripción de PA en procedimientos odontológicos para prevenir EI presentan discrepancias. La AHA,</w:t>
      </w:r>
      <w:r w:rsidRPr="0078754E">
        <w:rPr>
          <w:rFonts w:eastAsia="Calibri"/>
          <w:shd w:val="clear" w:color="auto" w:fill="FFFFFF"/>
          <w:vertAlign w:val="superscript"/>
          <w:lang w:val="es-ES" w:eastAsia="en-US"/>
        </w:rPr>
        <w:t xml:space="preserve"> (4)</w:t>
      </w:r>
      <w:r w:rsidRPr="0078754E">
        <w:rPr>
          <w:rFonts w:eastAsia="Calibri"/>
          <w:shd w:val="clear" w:color="auto" w:fill="FFFFFF"/>
          <w:lang w:val="es-ES" w:eastAsia="en-US"/>
        </w:rPr>
        <w:t xml:space="preserve"> </w:t>
      </w:r>
      <w:r w:rsidRPr="0078754E">
        <w:rPr>
          <w:rFonts w:eastAsia="Calibri"/>
          <w:i/>
          <w:shd w:val="clear" w:color="auto" w:fill="FFFFFF"/>
          <w:lang w:val="es-ES" w:eastAsia="en-US"/>
        </w:rPr>
        <w:t>European Society of Cardiology</w:t>
      </w:r>
      <w:r w:rsidRPr="0078754E">
        <w:rPr>
          <w:rFonts w:eastAsia="Calibri"/>
          <w:shd w:val="clear" w:color="auto" w:fill="FFFFFF"/>
          <w:lang w:val="es-ES" w:eastAsia="en-US"/>
        </w:rPr>
        <w:t xml:space="preserve"> (ESC)</w:t>
      </w:r>
      <w:r w:rsidRPr="0078754E">
        <w:rPr>
          <w:rFonts w:eastAsia="Calibri"/>
          <w:shd w:val="clear" w:color="auto" w:fill="FFFFFF"/>
          <w:vertAlign w:val="superscript"/>
          <w:lang w:val="es-ES" w:eastAsia="en-US"/>
        </w:rPr>
        <w:t xml:space="preserve">(18) </w:t>
      </w:r>
      <w:r w:rsidRPr="0078754E">
        <w:rPr>
          <w:rFonts w:eastAsia="Calibri"/>
          <w:shd w:val="clear" w:color="auto" w:fill="FFFFFF"/>
          <w:lang w:val="es-ES" w:eastAsia="en-US"/>
        </w:rPr>
        <w:t xml:space="preserve">y la </w:t>
      </w:r>
      <w:r w:rsidRPr="0078754E">
        <w:rPr>
          <w:rFonts w:eastAsia="Calibri"/>
          <w:i/>
          <w:shd w:val="clear" w:color="auto" w:fill="FFFFFF"/>
          <w:lang w:val="es-ES" w:eastAsia="en-US"/>
        </w:rPr>
        <w:t>Japanese Circulation Society (</w:t>
      </w:r>
      <w:r w:rsidRPr="0078754E">
        <w:rPr>
          <w:rFonts w:eastAsia="Calibri"/>
          <w:shd w:val="clear" w:color="auto" w:fill="FFFFFF"/>
          <w:lang w:val="es-ES" w:eastAsia="en-US"/>
        </w:rPr>
        <w:t>JCS)</w:t>
      </w:r>
      <w:r w:rsidRPr="0078754E">
        <w:rPr>
          <w:rFonts w:eastAsia="Calibri"/>
          <w:shd w:val="clear" w:color="auto" w:fill="FFFFFF"/>
          <w:vertAlign w:val="superscript"/>
          <w:lang w:val="es-ES" w:eastAsia="en-US"/>
        </w:rPr>
        <w:t>(19)</w:t>
      </w:r>
      <w:r w:rsidRPr="0078754E">
        <w:rPr>
          <w:rFonts w:eastAsia="Calibri"/>
          <w:shd w:val="clear" w:color="auto" w:fill="FFFFFF"/>
          <w:lang w:val="es-ES" w:eastAsia="en-US"/>
        </w:rPr>
        <w:t xml:space="preserve"> sugieren su administración en pacientes con alto riesgo de desarrollar EI. Sin embargo, la guía NICE (</w:t>
      </w:r>
      <w:r w:rsidRPr="0078754E">
        <w:rPr>
          <w:rFonts w:eastAsia="Calibri"/>
          <w:i/>
          <w:shd w:val="clear" w:color="auto" w:fill="FFFFFF"/>
          <w:lang w:val="es-ES" w:eastAsia="en-US"/>
        </w:rPr>
        <w:t>National Institute for Health and Care Exccellence)</w:t>
      </w:r>
      <w:r w:rsidRPr="0078754E">
        <w:rPr>
          <w:rFonts w:eastAsia="Calibri"/>
          <w:shd w:val="clear" w:color="auto" w:fill="FFFFFF"/>
          <w:vertAlign w:val="superscript"/>
          <w:lang w:val="es-ES" w:eastAsia="en-US"/>
        </w:rPr>
        <w:t xml:space="preserve"> (20) </w:t>
      </w:r>
      <w:r w:rsidRPr="0078754E">
        <w:rPr>
          <w:rFonts w:eastAsia="Calibri"/>
          <w:shd w:val="clear" w:color="auto" w:fill="FFFFFF"/>
          <w:lang w:val="es-ES" w:eastAsia="en-US"/>
        </w:rPr>
        <w:t>no recomienda su uso para ningún procedimiento dental, debido a la falta de evidencia sobre su efectividad para reducir la EI.</w:t>
      </w:r>
      <w:r w:rsidRPr="0078754E">
        <w:rPr>
          <w:rFonts w:eastAsia="Calibri"/>
          <w:shd w:val="clear" w:color="auto" w:fill="FFFFFF"/>
          <w:vertAlign w:val="superscript"/>
          <w:lang w:val="es-ES" w:eastAsia="en-US"/>
        </w:rPr>
        <w:t xml:space="preserve"> (21)</w:t>
      </w:r>
      <w:r w:rsidRPr="0078754E">
        <w:rPr>
          <w:rFonts w:eastAsia="Calibri"/>
          <w:shd w:val="clear" w:color="auto" w:fill="FFFFFF"/>
          <w:lang w:val="es-ES" w:eastAsia="en-US"/>
        </w:rPr>
        <w:t xml:space="preserve"> En el estudio, se consideró las recomendaciones de la AHA por su amplia aceptación mundial. </w:t>
      </w:r>
    </w:p>
    <w:p w14:paraId="484F6300"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En la indicación de PA, predominó un nivel de conocimiento regular de un 51,4 % (n= 38/74) en pregrado y un nivel de conocimiento bajo en el 47,9 % (n= 112/234) en posgrado. </w:t>
      </w:r>
      <w:r w:rsidRPr="0078754E">
        <w:rPr>
          <w:rFonts w:eastAsia="Calibri"/>
          <w:i/>
          <w:iCs/>
          <w:shd w:val="clear" w:color="auto" w:fill="FFFFFF"/>
          <w:lang w:val="es-ES" w:eastAsia="en-US"/>
        </w:rPr>
        <w:t>Ryalat</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(8)</w:t>
      </w:r>
      <w:r w:rsidRPr="0078754E">
        <w:rPr>
          <w:rFonts w:eastAsia="Calibri"/>
          <w:shd w:val="clear" w:color="auto" w:fill="FFFFFF"/>
          <w:lang w:val="es-ES" w:eastAsia="en-US"/>
        </w:rPr>
        <w:t xml:space="preserve"> reportan que el 39 % (n= 50/127) de dentistas jordanos desconocen las pautas de prescripción de PA en pacientes con riesgo de EI. Esto puede deberse a la falta de capacitaciones y por la confusión producida por la diversidad de recomendaciones de las guías de práctica clínica sobre la prescripción de PA en procedimientos dentales y sus indicaciones sobre los grupos de riesgo que requiere de la prescripción de la PA.</w:t>
      </w:r>
    </w:p>
    <w:p w14:paraId="2895C5D4"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i/>
          <w:iCs/>
          <w:shd w:val="clear" w:color="auto" w:fill="FFFFFF"/>
          <w:lang w:val="es-ES" w:eastAsia="en-US"/>
        </w:rPr>
        <w:t>Bhayat</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(22)</w:t>
      </w:r>
      <w:r w:rsidRPr="0078754E">
        <w:rPr>
          <w:rFonts w:eastAsia="Calibri"/>
          <w:shd w:val="clear" w:color="auto" w:fill="FFFFFF"/>
          <w:lang w:val="es-ES" w:eastAsia="en-US"/>
        </w:rPr>
        <w:t xml:space="preserve"> reportan que el 97 % (n= 38/39) de dentistas que laboran en la Universidad de Taibah (Arabia Saudita) emplearon las pautas de la AHA para prevención de EI y el 65 % (n= 25/39) obtuvo </w:t>
      </w:r>
      <w:r w:rsidRPr="0078754E">
        <w:rPr>
          <w:rFonts w:eastAsia="Calibri"/>
          <w:shd w:val="clear" w:color="auto" w:fill="FFFFFF"/>
          <w:lang w:val="es-ES" w:eastAsia="en-US"/>
        </w:rPr>
        <w:lastRenderedPageBreak/>
        <w:t xml:space="preserve">respuestas correctas sobre prevención de EI. </w:t>
      </w:r>
      <w:r w:rsidRPr="0078754E">
        <w:rPr>
          <w:rFonts w:eastAsia="Calibri"/>
          <w:i/>
          <w:iCs/>
          <w:shd w:val="clear" w:color="auto" w:fill="FFFFFF"/>
          <w:lang w:val="es-ES" w:eastAsia="en-US"/>
        </w:rPr>
        <w:t>Bahamman</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(23)</w:t>
      </w:r>
      <w:r w:rsidRPr="0078754E">
        <w:rPr>
          <w:rFonts w:eastAsia="Calibri"/>
          <w:shd w:val="clear" w:color="auto" w:fill="FFFFFF"/>
          <w:lang w:val="es-ES" w:eastAsia="en-US"/>
        </w:rPr>
        <w:t xml:space="preserve"> reportan que cerca del 84 % de estudiantes de la Universidad King Abdulaziz - Arabia Saudita, obtuvieron respuestas correctas sobre los procedimientos que requieren PA según la guía de la AHA. Estos resultados similares pueden ser porque en Arabia Saudita las facultades de odontología enseñan las pautas de la AHA.</w:t>
      </w:r>
      <w:r w:rsidRPr="0078754E">
        <w:rPr>
          <w:rFonts w:eastAsia="Calibri"/>
          <w:shd w:val="clear" w:color="auto" w:fill="FFFFFF"/>
          <w:vertAlign w:val="superscript"/>
          <w:lang w:val="es-ES" w:eastAsia="en-US"/>
        </w:rPr>
        <w:t>(23)</w:t>
      </w:r>
      <w:r w:rsidRPr="0078754E">
        <w:rPr>
          <w:rFonts w:eastAsia="Calibri"/>
          <w:shd w:val="clear" w:color="auto" w:fill="FFFFFF"/>
          <w:lang w:val="es-ES" w:eastAsia="en-US"/>
        </w:rPr>
        <w:t xml:space="preserve"> Además, los odontólogos extranjeros deben registrarse en la Comisión Saudita de Especialidades Sanitarias y probar suficiencia profesional de conocimiento en el uso de esta guía de práctica clínica. </w:t>
      </w:r>
      <w:r w:rsidRPr="0078754E">
        <w:rPr>
          <w:rFonts w:eastAsia="Calibri"/>
          <w:i/>
          <w:iCs/>
          <w:shd w:val="clear" w:color="auto" w:fill="FFFFFF"/>
          <w:lang w:val="es-ES" w:eastAsia="en-US"/>
        </w:rPr>
        <w:t>Al-Mohaissen</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(24)</w:t>
      </w:r>
      <w:r w:rsidRPr="0078754E">
        <w:rPr>
          <w:rFonts w:eastAsia="Calibri"/>
          <w:shd w:val="clear" w:color="auto" w:fill="FFFFFF"/>
          <w:lang w:val="es-ES" w:eastAsia="en-US"/>
        </w:rPr>
        <w:t xml:space="preserve"> reportan que 81,2 % (n= 229/282) de cirujanos dentistas en Arabia Saudita muestran mayor conocimiento en cuanto al régimen de PA de EI. En contraste, </w:t>
      </w:r>
      <w:r w:rsidRPr="0078754E">
        <w:rPr>
          <w:rFonts w:eastAsia="Calibri"/>
          <w:i/>
          <w:iCs/>
          <w:shd w:val="clear" w:color="auto" w:fill="FFFFFF"/>
          <w:lang w:val="es-ES" w:eastAsia="en-US"/>
        </w:rPr>
        <w:t xml:space="preserve">Cummins </w:t>
      </w:r>
      <w:r w:rsidRPr="0078754E">
        <w:rPr>
          <w:rFonts w:eastAsia="Calibri"/>
          <w:shd w:val="clear" w:color="auto" w:fill="FFFFFF"/>
          <w:lang w:val="es-ES" w:eastAsia="en-US"/>
        </w:rPr>
        <w:t>y otros,</w:t>
      </w:r>
      <w:r w:rsidRPr="0078754E">
        <w:rPr>
          <w:rFonts w:eastAsia="Calibri"/>
          <w:shd w:val="clear" w:color="auto" w:fill="FFFFFF"/>
          <w:vertAlign w:val="superscript"/>
          <w:lang w:val="es-ES" w:eastAsia="en-US"/>
        </w:rPr>
        <w:t>(7)</w:t>
      </w:r>
      <w:r w:rsidRPr="0078754E">
        <w:rPr>
          <w:rFonts w:eastAsia="Calibri"/>
          <w:shd w:val="clear" w:color="auto" w:fill="FFFFFF"/>
          <w:lang w:val="es-ES" w:eastAsia="en-US"/>
        </w:rPr>
        <w:t xml:space="preserve"> en una revisión sistemática encontraron que el cumplimiento general de diversas directrices sobre PA en EI, osciló entre un 40 % y un 81 %. Entre los factores asociados al cumplimiento se reportó que la formación de posgrado influye de manera positiva en el nivel de conocimiento. Sin embargo, a mayor edad y tiempo dedicado a la práctica clínica influyen de forma negativa con el nivel de conocimiento sobre PA en EI</w:t>
      </w:r>
      <w:r w:rsidRPr="0078754E">
        <w:rPr>
          <w:rFonts w:eastAsia="Calibri"/>
          <w:color w:val="5B9BD5"/>
          <w:shd w:val="clear" w:color="auto" w:fill="FFFFFF"/>
          <w:lang w:val="es-ES" w:eastAsia="en-US"/>
        </w:rPr>
        <w:t xml:space="preserve">. </w:t>
      </w:r>
      <w:r w:rsidRPr="0078754E">
        <w:rPr>
          <w:rFonts w:eastAsia="Calibri"/>
          <w:i/>
          <w:iCs/>
          <w:shd w:val="clear" w:color="auto" w:fill="FFFFFF"/>
          <w:lang w:val="es-ES" w:eastAsia="en-US"/>
        </w:rPr>
        <w:t>Ahmadi-Motamayel</w:t>
      </w:r>
      <w:r w:rsidRPr="0078754E">
        <w:rPr>
          <w:rFonts w:eastAsia="Calibri"/>
          <w:shd w:val="clear" w:color="auto" w:fill="FFFFFF"/>
          <w:lang w:val="es-ES" w:eastAsia="en-US"/>
        </w:rPr>
        <w:t xml:space="preserve"> y otros</w:t>
      </w:r>
      <w:r w:rsidRPr="0078754E">
        <w:rPr>
          <w:rFonts w:eastAsia="Calibri"/>
          <w:shd w:val="clear" w:color="auto" w:fill="FFFFFF"/>
          <w:vertAlign w:val="superscript"/>
          <w:lang w:val="es-ES" w:eastAsia="en-US"/>
        </w:rPr>
        <w:t>(6)</w:t>
      </w:r>
      <w:r w:rsidRPr="0078754E">
        <w:rPr>
          <w:rFonts w:eastAsia="Calibri"/>
          <w:shd w:val="clear" w:color="auto" w:fill="FFFFFF"/>
          <w:lang w:val="es-ES" w:eastAsia="en-US"/>
        </w:rPr>
        <w:t xml:space="preserve"> reportan que, en odontólogos iraníes, a mayor edad y experiencia laboral, el nivel de conocimiento sobre PA de EI disminuyó. Esto podría deberse a que el envejecimiento y a mayor tiempo transcurrido desde la graduación puede conllevar a un desinterés en su actualización en cursos de educación continua. </w:t>
      </w:r>
    </w:p>
    <w:p w14:paraId="14D30CCB"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Respecto a la farmacología de la PA, predominó un nivel de conocimiento bajo en estudiantes de pregrado en 51,4 % (n= 38 /74) y en 45,3 % (n= 106/234) en posgrado. </w:t>
      </w:r>
      <w:r w:rsidRPr="0078754E">
        <w:rPr>
          <w:rFonts w:eastAsia="Calibri"/>
          <w:i/>
          <w:iCs/>
          <w:shd w:val="clear" w:color="auto" w:fill="FFFFFF"/>
          <w:lang w:val="es-ES" w:eastAsia="en-US"/>
        </w:rPr>
        <w:t xml:space="preserve">Aragoneses </w:t>
      </w:r>
      <w:r w:rsidRPr="0078754E">
        <w:rPr>
          <w:rFonts w:eastAsia="Calibri"/>
          <w:shd w:val="clear" w:color="auto" w:fill="FFFFFF"/>
          <w:lang w:val="es-ES" w:eastAsia="en-US"/>
        </w:rPr>
        <w:t>y otros</w:t>
      </w:r>
      <w:r w:rsidRPr="0078754E">
        <w:rPr>
          <w:rFonts w:eastAsia="Calibri"/>
          <w:shd w:val="clear" w:color="auto" w:fill="FFFFFF"/>
          <w:vertAlign w:val="superscript"/>
          <w:lang w:val="es-ES" w:eastAsia="en-US"/>
        </w:rPr>
        <w:t>(10)</w:t>
      </w:r>
      <w:r w:rsidRPr="0078754E">
        <w:rPr>
          <w:rFonts w:eastAsia="Calibri"/>
          <w:shd w:val="clear" w:color="auto" w:fill="FFFFFF"/>
          <w:lang w:val="es-ES" w:eastAsia="en-US"/>
        </w:rPr>
        <w:t xml:space="preserve"> encuentran que la mayoría de dentistas de República Dominicana conocen los antibióticos para la prevención de EI según la AHA (63,5 %; n= 47/7). Sin embargo, desconocían la dosis y momento de administración. Así también, </w:t>
      </w:r>
      <w:r w:rsidRPr="0078754E">
        <w:rPr>
          <w:rFonts w:eastAsia="Calibri"/>
          <w:i/>
          <w:iCs/>
          <w:shd w:val="clear" w:color="auto" w:fill="FFFFFF"/>
          <w:lang w:val="es-ES" w:eastAsia="en-US"/>
        </w:rPr>
        <w:t xml:space="preserve">Adeyemo </w:t>
      </w:r>
      <w:r w:rsidRPr="0078754E">
        <w:rPr>
          <w:rFonts w:eastAsia="Calibri"/>
          <w:shd w:val="clear" w:color="auto" w:fill="FFFFFF"/>
          <w:lang w:val="es-ES" w:eastAsia="en-US"/>
        </w:rPr>
        <w:t>y otros,</w:t>
      </w:r>
      <w:r w:rsidRPr="0078754E">
        <w:rPr>
          <w:rFonts w:eastAsia="Calibri"/>
          <w:shd w:val="clear" w:color="auto" w:fill="FFFFFF"/>
          <w:vertAlign w:val="superscript"/>
          <w:lang w:val="es-ES" w:eastAsia="en-US"/>
        </w:rPr>
        <w:t>(25)</w:t>
      </w:r>
      <w:r w:rsidRPr="0078754E">
        <w:rPr>
          <w:rFonts w:eastAsia="Calibri"/>
          <w:shd w:val="clear" w:color="auto" w:fill="FFFFFF"/>
          <w:lang w:val="es-ES" w:eastAsia="en-US"/>
        </w:rPr>
        <w:t xml:space="preserve"> concluyen que el 89 % (n= 127/143) de dentistas de Nigeria, conocen el antibiótico adecuado, el 9 % (n= 13/143) sabe la dosis correcta y el 57 % (n= 82/143) el tiempo de administración del antibiótico. Esto podría ser debido a que el 70 % de los encuestados se graduó antes de la actualización de las directrices de la AHA (2007). Y no se actualizaron de forma continua.</w:t>
      </w:r>
    </w:p>
    <w:p w14:paraId="7F9E72C0"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Los factores asociados al desconocimiento de los dentistas en la prescripción de PA son: tiempo transcurrido desde el término de su formación profesional, envejecimiento o ausencia de capacitaciones periódicas sobre el manejo de pacientes.</w:t>
      </w:r>
      <w:r w:rsidRPr="0078754E">
        <w:rPr>
          <w:rFonts w:eastAsia="Calibri"/>
          <w:shd w:val="clear" w:color="auto" w:fill="FFFFFF"/>
          <w:vertAlign w:val="superscript"/>
          <w:lang w:val="es-ES" w:eastAsia="en-US"/>
        </w:rPr>
        <w:t>(6)</w:t>
      </w:r>
      <w:r w:rsidRPr="0078754E">
        <w:rPr>
          <w:rFonts w:eastAsia="Calibri"/>
          <w:shd w:val="clear" w:color="auto" w:fill="FFFFFF"/>
          <w:lang w:val="es-ES" w:eastAsia="en-US"/>
        </w:rPr>
        <w:t xml:space="preserve"> El nivel bajo de conocimiento y aplicación de las </w:t>
      </w:r>
      <w:r w:rsidRPr="0078754E">
        <w:rPr>
          <w:rFonts w:eastAsia="Calibri"/>
          <w:shd w:val="clear" w:color="auto" w:fill="FFFFFF"/>
          <w:lang w:val="es-ES" w:eastAsia="en-US"/>
        </w:rPr>
        <w:lastRenderedPageBreak/>
        <w:t>recomendaciones genera inequidad en la atención de salud. Por ello es necesario reforzar en pregrado los conocimientos sobre PA de la EI según las directrices establecidas.</w:t>
      </w:r>
      <w:r w:rsidRPr="0078754E">
        <w:rPr>
          <w:rFonts w:eastAsia="Calibri"/>
          <w:shd w:val="clear" w:color="auto" w:fill="FFFFFF"/>
          <w:vertAlign w:val="superscript"/>
          <w:lang w:val="es-ES" w:eastAsia="en-US"/>
        </w:rPr>
        <w:t>(23)</w:t>
      </w:r>
      <w:r w:rsidRPr="0078754E">
        <w:rPr>
          <w:rFonts w:eastAsia="Calibri"/>
          <w:shd w:val="clear" w:color="auto" w:fill="FFFFFF"/>
          <w:lang w:val="es-ES" w:eastAsia="en-US"/>
        </w:rPr>
        <w:t xml:space="preserve"> </w:t>
      </w:r>
    </w:p>
    <w:p w14:paraId="7CA539FD"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Escasos estudios en América Latina</w:t>
      </w:r>
      <w:r w:rsidRPr="0078754E">
        <w:rPr>
          <w:rFonts w:eastAsia="Calibri"/>
          <w:shd w:val="clear" w:color="auto" w:fill="FFFFFF"/>
          <w:vertAlign w:val="superscript"/>
          <w:lang w:val="es-ES" w:eastAsia="en-US"/>
        </w:rPr>
        <w:t>(10,14)</w:t>
      </w:r>
      <w:r w:rsidRPr="0078754E">
        <w:rPr>
          <w:rFonts w:eastAsia="Calibri"/>
          <w:shd w:val="clear" w:color="auto" w:fill="FFFFFF"/>
          <w:lang w:val="es-ES" w:eastAsia="en-US"/>
        </w:rPr>
        <w:t xml:space="preserve"> explican el nivel de conocimientos en estudiantes de odontología y cirujanos dentistas sobre la PA, para EI. Además, consideran factores locales (horas de enseñanza, planes curriculares, etc.), que pueden incrementar la variabilidad de los resultados; resulta importante generar evidencia en esta área, para que sea empleada por los decisores. </w:t>
      </w:r>
      <w:bookmarkStart w:id="4" w:name="_Hlk151285396"/>
    </w:p>
    <w:p w14:paraId="69AEA40E"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El estudio tiene limitaciones como la falta de disponibilidad de tiempo de algunos estudiantes para responder la encuesta pudo conllevar a una pérdida representativa de la población objetivo. El poco tamaño de muestra de los estudiantes de posgrado, no permitió realizar una comparación adecuada del nivel de conocimiento sobre profilaxis antibiótica según la especialidad. </w:t>
      </w:r>
    </w:p>
    <w:bookmarkEnd w:id="4"/>
    <w:p w14:paraId="6BD8A4BE" w14:textId="77777777" w:rsidR="0078754E" w:rsidRPr="0078754E" w:rsidRDefault="0078754E" w:rsidP="0078754E">
      <w:pPr>
        <w:spacing w:line="360" w:lineRule="auto"/>
        <w:jc w:val="both"/>
        <w:rPr>
          <w:rFonts w:eastAsia="Calibri"/>
          <w:shd w:val="clear" w:color="auto" w:fill="FFFFFF"/>
          <w:lang w:val="es-ES" w:eastAsia="en-US"/>
        </w:rPr>
      </w:pPr>
      <w:r w:rsidRPr="0078754E">
        <w:rPr>
          <w:rFonts w:eastAsia="Calibri"/>
          <w:shd w:val="clear" w:color="auto" w:fill="FFFFFF"/>
          <w:lang w:val="es-ES" w:eastAsia="en-US"/>
        </w:rPr>
        <w:t xml:space="preserve">El nivel de conocimiento sobre profilaxis antibiótica para prevención de EI fue bajo en estudiantes de pregrado y posgrado de estomatología de la Universidad Científica del Sur. </w:t>
      </w:r>
      <w:bookmarkStart w:id="5" w:name="_Hlk92263874"/>
      <w:bookmarkEnd w:id="3"/>
    </w:p>
    <w:p w14:paraId="7135104C" w14:textId="77777777" w:rsidR="0078754E" w:rsidRPr="0078754E" w:rsidRDefault="0078754E" w:rsidP="0078754E">
      <w:pPr>
        <w:spacing w:line="360" w:lineRule="auto"/>
        <w:jc w:val="both"/>
        <w:rPr>
          <w:rFonts w:eastAsia="Calibri"/>
          <w:shd w:val="clear" w:color="auto" w:fill="FFFFFF"/>
          <w:lang w:val="es-ES" w:eastAsia="en-US"/>
        </w:rPr>
      </w:pPr>
    </w:p>
    <w:p w14:paraId="1BBF1671" w14:textId="77777777" w:rsidR="0078754E" w:rsidRPr="0078754E" w:rsidRDefault="0078754E" w:rsidP="0078754E">
      <w:pPr>
        <w:spacing w:line="360" w:lineRule="auto"/>
        <w:jc w:val="both"/>
        <w:rPr>
          <w:rFonts w:eastAsia="Calibri"/>
          <w:shd w:val="clear" w:color="auto" w:fill="FFFFFF"/>
          <w:lang w:val="es-ES" w:eastAsia="en-US"/>
        </w:rPr>
      </w:pPr>
    </w:p>
    <w:p w14:paraId="0CCCB702" w14:textId="77777777" w:rsidR="0078754E" w:rsidRPr="0078754E" w:rsidRDefault="0078754E" w:rsidP="0078754E">
      <w:pPr>
        <w:spacing w:line="360" w:lineRule="auto"/>
        <w:jc w:val="center"/>
        <w:rPr>
          <w:rFonts w:eastAsia="Calibri"/>
          <w:b/>
          <w:bCs/>
          <w:sz w:val="32"/>
          <w:szCs w:val="32"/>
          <w:lang w:val="es-ES" w:eastAsia="en-US"/>
        </w:rPr>
      </w:pPr>
      <w:r w:rsidRPr="0078754E">
        <w:rPr>
          <w:rFonts w:eastAsia="Calibri"/>
          <w:b/>
          <w:bCs/>
          <w:sz w:val="32"/>
          <w:szCs w:val="32"/>
          <w:lang w:val="es-ES" w:eastAsia="en-US"/>
        </w:rPr>
        <w:t>REFERENCIAS BIBLIOGRÁFICAS</w:t>
      </w:r>
    </w:p>
    <w:bookmarkEnd w:id="5"/>
    <w:p w14:paraId="249585EB" w14:textId="17B81620" w:rsidR="0078754E" w:rsidRPr="0078754E" w:rsidRDefault="0078754E" w:rsidP="0078754E">
      <w:pPr>
        <w:spacing w:line="360" w:lineRule="auto"/>
        <w:rPr>
          <w:rFonts w:eastAsia="Calibri"/>
          <w:lang w:val="en-US" w:eastAsia="en-US"/>
        </w:rPr>
      </w:pPr>
      <w:r w:rsidRPr="0078754E">
        <w:rPr>
          <w:rFonts w:eastAsia="Calibri"/>
          <w:lang w:val="es-MX" w:eastAsia="en-US"/>
        </w:rPr>
        <w:t>1.</w:t>
      </w:r>
      <w:r w:rsidR="00C11723">
        <w:rPr>
          <w:rFonts w:eastAsia="Calibri"/>
          <w:lang w:val="es-MX" w:eastAsia="en-US"/>
        </w:rPr>
        <w:t xml:space="preserve"> </w:t>
      </w:r>
      <w:r w:rsidRPr="0078754E">
        <w:rPr>
          <w:rFonts w:eastAsia="Calibri"/>
          <w:lang w:val="es-MX" w:eastAsia="en-US"/>
        </w:rPr>
        <w:t xml:space="preserve">Chen H, Zhan Y, Zhang K, Gao Y, Chen L, Zhan J, et al. </w:t>
      </w:r>
      <w:r w:rsidRPr="0078754E">
        <w:rPr>
          <w:rFonts w:eastAsia="Calibri"/>
          <w:lang w:val="en-US" w:eastAsia="en-US"/>
        </w:rPr>
        <w:t>The Global, Regional, and National Burden and Trends of Infective Endocarditis From 1990 to 2019: Results From the Global Burden of Disease Study 2019. Front Med. 2022; 9:774224. DOI: 10.3389/fmed.2022.774224</w:t>
      </w:r>
    </w:p>
    <w:p w14:paraId="173F5912" w14:textId="7B15BFBA" w:rsidR="0078754E" w:rsidRPr="0078754E" w:rsidRDefault="0078754E" w:rsidP="0078754E">
      <w:pPr>
        <w:spacing w:line="360" w:lineRule="auto"/>
        <w:jc w:val="both"/>
        <w:rPr>
          <w:rFonts w:eastAsia="Calibri"/>
          <w:sz w:val="22"/>
          <w:szCs w:val="22"/>
          <w:lang w:val="es-MX" w:eastAsia="en-US"/>
        </w:rPr>
      </w:pPr>
      <w:r w:rsidRPr="0078754E">
        <w:rPr>
          <w:rFonts w:eastAsia="Calibri"/>
          <w:lang w:val="en-US" w:eastAsia="en-US"/>
        </w:rPr>
        <w:t>2.</w:t>
      </w:r>
      <w:r w:rsidR="00C11723">
        <w:rPr>
          <w:rFonts w:eastAsia="Calibri"/>
          <w:lang w:val="en-US" w:eastAsia="en-US"/>
        </w:rPr>
        <w:t xml:space="preserve"> </w:t>
      </w:r>
      <w:bookmarkStart w:id="6" w:name="_Hlk153277138"/>
      <w:r w:rsidRPr="0078754E">
        <w:rPr>
          <w:rFonts w:eastAsia="Calibri"/>
          <w:color w:val="0F0F0F"/>
          <w:lang w:val="en-US" w:eastAsia="en-US"/>
        </w:rPr>
        <w:t>National Institute for Health and Care Excellence (NICE). Prophylaxis against infective endocarditis. 2015 [acceso: 22/04/2023].</w:t>
      </w:r>
      <w:r w:rsidRPr="0078754E">
        <w:rPr>
          <w:rFonts w:eastAsia="Calibri"/>
          <w:lang w:val="en-US" w:eastAsia="en-US"/>
        </w:rPr>
        <w:t xml:space="preserve"> </w:t>
      </w:r>
      <w:r w:rsidRPr="0078754E">
        <w:rPr>
          <w:rFonts w:eastAsia="Calibri"/>
          <w:lang w:val="es-MX" w:eastAsia="en-US"/>
        </w:rPr>
        <w:t xml:space="preserve">Disponible en: </w:t>
      </w:r>
      <w:hyperlink r:id="rId18" w:history="1">
        <w:r w:rsidRPr="0078754E">
          <w:rPr>
            <w:rFonts w:eastAsia="Calibri"/>
            <w:color w:val="0563C1"/>
            <w:lang w:val="es-MX" w:eastAsia="en-US"/>
          </w:rPr>
          <w:t>https://www.ncbi.nlm.nih.gov/books/NBK550305/</w:t>
        </w:r>
      </w:hyperlink>
      <w:r w:rsidRPr="0078754E">
        <w:rPr>
          <w:rFonts w:eastAsia="Calibri"/>
          <w:lang w:val="es-MX" w:eastAsia="en-US"/>
        </w:rPr>
        <w:t xml:space="preserve"> </w:t>
      </w:r>
      <w:r w:rsidRPr="0078754E" w:rsidDel="00E75D7E">
        <w:rPr>
          <w:rFonts w:eastAsia="Calibri"/>
          <w:lang w:val="es-MX" w:eastAsia="en-US"/>
        </w:rPr>
        <w:t xml:space="preserve"> </w:t>
      </w:r>
      <w:bookmarkEnd w:id="6"/>
    </w:p>
    <w:p w14:paraId="7448D310" w14:textId="3B47EDB8" w:rsidR="0078754E" w:rsidRPr="0078754E" w:rsidRDefault="0078754E" w:rsidP="0078754E">
      <w:pPr>
        <w:spacing w:line="360" w:lineRule="auto"/>
        <w:rPr>
          <w:rFonts w:eastAsia="Calibri"/>
          <w:sz w:val="22"/>
          <w:szCs w:val="22"/>
          <w:lang w:val="es-PE" w:eastAsia="en-US"/>
        </w:rPr>
      </w:pPr>
      <w:r w:rsidRPr="0078754E">
        <w:rPr>
          <w:rFonts w:eastAsia="Calibri"/>
          <w:lang w:val="en-US" w:eastAsia="en-US"/>
        </w:rPr>
        <w:t>3.</w:t>
      </w:r>
      <w:r w:rsidR="00C11723" w:rsidRPr="00C11723">
        <w:rPr>
          <w:rFonts w:eastAsia="Calibri"/>
          <w:lang w:val="en-US" w:eastAsia="en-US"/>
        </w:rPr>
        <w:t xml:space="preserve"> </w:t>
      </w:r>
      <w:r w:rsidRPr="0078754E">
        <w:rPr>
          <w:rFonts w:eastAsia="Calibri"/>
          <w:lang w:val="en-US" w:eastAsia="en-US"/>
        </w:rPr>
        <w:t xml:space="preserve">American Heart Association (AHA). Infective Endocarditis. </w:t>
      </w:r>
      <w:r w:rsidRPr="0078754E">
        <w:rPr>
          <w:rFonts w:eastAsia="Calibri"/>
          <w:lang w:val="es-PE" w:eastAsia="en-US"/>
        </w:rPr>
        <w:t>EE. UU; 2021. [acceso: 22/04/2023].</w:t>
      </w:r>
      <w:r w:rsidRPr="0078754E">
        <w:rPr>
          <w:rFonts w:eastAsia="Calibri"/>
          <w:lang w:val="es-ES" w:eastAsia="en-US"/>
        </w:rPr>
        <w:t xml:space="preserve"> Disponible en: </w:t>
      </w:r>
      <w:hyperlink r:id="rId19" w:history="1">
        <w:r w:rsidRPr="0078754E">
          <w:rPr>
            <w:rFonts w:eastAsia="Calibri"/>
            <w:color w:val="0563C1"/>
            <w:lang w:val="es-ES" w:eastAsia="en-US"/>
          </w:rPr>
          <w:t>https://www.heart.org/en/health-topics/infective-endocarditis</w:t>
        </w:r>
      </w:hyperlink>
      <w:r w:rsidRPr="0078754E">
        <w:rPr>
          <w:rFonts w:eastAsia="Calibri"/>
          <w:lang w:val="es-ES" w:eastAsia="en-US"/>
        </w:rPr>
        <w:t xml:space="preserve"> </w:t>
      </w:r>
    </w:p>
    <w:p w14:paraId="28D6109D" w14:textId="6D9EA6CB" w:rsidR="0078754E" w:rsidRPr="0078754E" w:rsidRDefault="0078754E" w:rsidP="0078754E">
      <w:pPr>
        <w:spacing w:line="360" w:lineRule="auto"/>
        <w:rPr>
          <w:rFonts w:eastAsia="Calibri"/>
          <w:lang w:val="en-US" w:eastAsia="en-US"/>
        </w:rPr>
      </w:pPr>
      <w:r w:rsidRPr="0078754E">
        <w:rPr>
          <w:rFonts w:eastAsia="Calibri"/>
          <w:lang w:val="en-US" w:eastAsia="en-US"/>
        </w:rPr>
        <w:t>4.</w:t>
      </w:r>
      <w:r w:rsidR="00C11723" w:rsidRPr="00C11723">
        <w:rPr>
          <w:rFonts w:eastAsia="Calibri"/>
          <w:lang w:val="en-US" w:eastAsia="en-US"/>
        </w:rPr>
        <w:t xml:space="preserve"> </w:t>
      </w:r>
      <w:r w:rsidRPr="0078754E">
        <w:rPr>
          <w:rFonts w:eastAsia="Calibri"/>
          <w:lang w:val="en-US" w:eastAsia="en-US"/>
        </w:rPr>
        <w:t>Goff DA, Mangino JE, Glassman AH, Goff D, Larsen P, Scheetz R. Review of guidelines for dental antibiotic prophylaxis for prevention of endocarditis and prosthetic joint infections and need for dental stewardship. Clin Infect Dis. 2020;71(2):455–62. DOI:10.1093/cid/ciz1118</w:t>
      </w:r>
    </w:p>
    <w:p w14:paraId="37481DFE"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 xml:space="preserve">5. Lockhart PB, Thornhill MH, Zhao J, Baddour LM, Gilbert GH, McKnight PE, et al. Factors that affect dentists’ use of antibiotic prophylaxis: Findings from The National Dental Practice-Based </w:t>
      </w:r>
      <w:r w:rsidRPr="0078754E">
        <w:rPr>
          <w:rFonts w:eastAsia="Calibri"/>
          <w:lang w:val="en-US" w:eastAsia="en-US"/>
        </w:rPr>
        <w:lastRenderedPageBreak/>
        <w:t>Research Network questionnaire. J Am Dent Assoc. 2022;153(6):552–62. DOI: 10.1016/j.adaj.2021.11.010</w:t>
      </w:r>
    </w:p>
    <w:p w14:paraId="64B373A3" w14:textId="741D7D4E" w:rsidR="0078754E" w:rsidRPr="0078754E" w:rsidRDefault="0078754E" w:rsidP="0078754E">
      <w:pPr>
        <w:spacing w:line="360" w:lineRule="auto"/>
        <w:rPr>
          <w:rFonts w:eastAsia="Calibri"/>
          <w:lang w:val="en-US" w:eastAsia="en-US"/>
        </w:rPr>
      </w:pPr>
      <w:r w:rsidRPr="0078754E">
        <w:rPr>
          <w:rFonts w:eastAsia="Calibri"/>
          <w:lang w:val="en-US" w:eastAsia="en-US"/>
        </w:rPr>
        <w:t>6.</w:t>
      </w:r>
      <w:r w:rsidR="00C11723" w:rsidRPr="00C11723">
        <w:rPr>
          <w:rFonts w:eastAsia="Calibri"/>
          <w:lang w:val="en-US" w:eastAsia="en-US"/>
        </w:rPr>
        <w:t xml:space="preserve"> </w:t>
      </w:r>
      <w:r w:rsidRPr="0078754E">
        <w:rPr>
          <w:rFonts w:eastAsia="Calibri"/>
          <w:lang w:val="en-US" w:eastAsia="en-US"/>
        </w:rPr>
        <w:t>Ahmadi-Motamayel F, Vaziri S, Roshanaei G. Knowledge of General Dentists and Senior Dental Students in Iran about Prevention of Infective Endocarditis. Chonnam Med J. 2012;48(1):15–20. DOI: 10.4068/cmj.2012.48.1.15</w:t>
      </w:r>
    </w:p>
    <w:p w14:paraId="5368104D" w14:textId="4FB81FBE" w:rsidR="0078754E" w:rsidRPr="0078754E" w:rsidRDefault="0078754E" w:rsidP="0078754E">
      <w:pPr>
        <w:spacing w:line="360" w:lineRule="auto"/>
        <w:rPr>
          <w:rFonts w:eastAsia="Calibri"/>
          <w:lang w:val="en-US" w:eastAsia="en-US"/>
        </w:rPr>
      </w:pPr>
      <w:r w:rsidRPr="0078754E">
        <w:rPr>
          <w:rFonts w:eastAsia="Calibri"/>
          <w:lang w:val="en-US" w:eastAsia="en-US"/>
        </w:rPr>
        <w:t>7.</w:t>
      </w:r>
      <w:r w:rsidR="00C11723" w:rsidRPr="00C11723">
        <w:rPr>
          <w:rFonts w:eastAsia="Calibri"/>
          <w:lang w:val="en-US" w:eastAsia="en-US"/>
        </w:rPr>
        <w:t xml:space="preserve"> </w:t>
      </w:r>
      <w:r w:rsidRPr="0078754E">
        <w:rPr>
          <w:rFonts w:eastAsia="Calibri"/>
          <w:lang w:val="en-US" w:eastAsia="en-US"/>
        </w:rPr>
        <w:t>Cummins J, McCarthy M, Esterman A, Karve A, Lee A. Knowledge and Compliance of Dentists’ and Dental Students’ With Respect to Relevant Guidelines for Prescribing Antibiotic Prophylaxis for the Prevention of Infective Endocarditis: A Systematic Review. J Evid-Based Dent Pract. 2020;20(1):101311. DOI: 10.1016/j.jebdp.2019.01.007</w:t>
      </w:r>
    </w:p>
    <w:p w14:paraId="5A463CE0" w14:textId="43ECA427" w:rsidR="0078754E" w:rsidRPr="0078754E" w:rsidRDefault="0078754E" w:rsidP="0078754E">
      <w:pPr>
        <w:spacing w:line="360" w:lineRule="auto"/>
        <w:rPr>
          <w:rFonts w:eastAsia="Calibri"/>
          <w:lang w:val="en-US" w:eastAsia="en-US"/>
        </w:rPr>
      </w:pPr>
      <w:r w:rsidRPr="0078754E">
        <w:rPr>
          <w:rFonts w:eastAsia="Calibri"/>
          <w:lang w:val="en-US" w:eastAsia="en-US"/>
        </w:rPr>
        <w:t>8.</w:t>
      </w:r>
      <w:r w:rsidR="00C11723" w:rsidRPr="00C11723">
        <w:rPr>
          <w:rFonts w:eastAsia="Calibri"/>
          <w:lang w:val="en-US" w:eastAsia="en-US"/>
        </w:rPr>
        <w:t xml:space="preserve"> </w:t>
      </w:r>
      <w:r w:rsidRPr="0078754E">
        <w:rPr>
          <w:rFonts w:eastAsia="Calibri"/>
          <w:lang w:val="en-US" w:eastAsia="en-US"/>
        </w:rPr>
        <w:t>Ryalat S, Hassona Y, Al-Shayyab M, Abo-Ghosh M, Sawair F. Dentists’ knowledge and practice regarding prevention of infective endocarditis. Eur J Dent. 2016;10(4):480–5. DOI: 10.4103/1305-7456.195158</w:t>
      </w:r>
    </w:p>
    <w:p w14:paraId="539A5496" w14:textId="1F2CD4FE" w:rsidR="0078754E" w:rsidRPr="0078754E" w:rsidRDefault="0078754E" w:rsidP="0078754E">
      <w:pPr>
        <w:spacing w:line="360" w:lineRule="auto"/>
        <w:rPr>
          <w:rFonts w:eastAsia="Calibri"/>
          <w:lang w:val="en-US" w:eastAsia="en-US"/>
        </w:rPr>
      </w:pPr>
      <w:r w:rsidRPr="0078754E">
        <w:rPr>
          <w:rFonts w:eastAsia="Calibri"/>
          <w:lang w:val="en-US" w:eastAsia="en-US"/>
        </w:rPr>
        <w:t>9.</w:t>
      </w:r>
      <w:r w:rsidR="00C11723" w:rsidRPr="00C11723">
        <w:rPr>
          <w:rFonts w:eastAsia="Calibri"/>
          <w:lang w:val="en-US" w:eastAsia="en-US"/>
        </w:rPr>
        <w:t xml:space="preserve"> </w:t>
      </w:r>
      <w:r w:rsidRPr="0078754E">
        <w:rPr>
          <w:rFonts w:eastAsia="Calibri"/>
          <w:lang w:val="en-US" w:eastAsia="en-US"/>
        </w:rPr>
        <w:t>Shati AA. Dentists’ knowledge and practices about infective endocarditis antibiotics prophylaxis among children in aseer region, Southwestern Saudi Arabia. Niger J Clin Pract. 2022; 25(2):123–9. DOI: 10.4103/njcp.njcp_651_20</w:t>
      </w:r>
    </w:p>
    <w:p w14:paraId="62ABD7F4"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10. Aragoneses JM, Aragoneses J, Brugal VA, Algar J, Suarez A. Evaluation of the Current Knowledge About Bacterial Endocarditis Prevention Among General Dentists in the City of Santo Domingo, Dominican Republic. Front Public Health. 2020; 8:585332. DOI: 10.3389/fpubh.2020.585332</w:t>
      </w:r>
    </w:p>
    <w:p w14:paraId="7588A732"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11. Šutej I, Par M, Lepur D, Peroš K, Pintarić H, Alajbeg I, et al. Dentists’ practice and compliance with current guidelines of infective endocarditis prophylaxis- National survey study. J Clin Exp Dent. 2021; 13(7):648–52. DOI: 10.4317/jced.58054</w:t>
      </w:r>
    </w:p>
    <w:p w14:paraId="16831729"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12. De Wolf D, Genouw A, Standaert C, Victor A, Vanoverbeke N, De Groote K, et al. Endocarditis prophylaxis in daily practice of pediatricians and dentists in Flanders. Eur J Pediatr. 2021; 180(2):397–405. DOI: 10.1007/s00431-020-03769-3</w:t>
      </w:r>
    </w:p>
    <w:p w14:paraId="3E1C4C3F" w14:textId="77777777" w:rsidR="0078754E" w:rsidRPr="0078754E" w:rsidRDefault="0078754E" w:rsidP="0078754E">
      <w:pPr>
        <w:spacing w:line="360" w:lineRule="auto"/>
        <w:rPr>
          <w:rFonts w:eastAsia="Calibri"/>
          <w:lang w:val="es-MX" w:eastAsia="en-US"/>
        </w:rPr>
      </w:pPr>
      <w:r w:rsidRPr="0078754E">
        <w:rPr>
          <w:rFonts w:eastAsia="Calibri"/>
          <w:lang w:val="en-US" w:eastAsia="en-US"/>
        </w:rPr>
        <w:t xml:space="preserve">13. </w:t>
      </w:r>
      <w:bookmarkStart w:id="7" w:name="_Hlk153277259"/>
      <w:r w:rsidRPr="0078754E">
        <w:rPr>
          <w:rFonts w:eastAsia="Calibri"/>
          <w:lang w:val="en-US" w:eastAsia="en-US"/>
        </w:rPr>
        <w:t xml:space="preserve">Lagha M, Khemiss M, Kallel I, Araissia A, Belkhir C, Sahtout S, et al. Involvement of Tunisian general practitioners in the management of patients at risk of infective endocarditis: A cross-sectional study. </w:t>
      </w:r>
      <w:r w:rsidRPr="0078754E">
        <w:rPr>
          <w:rFonts w:eastAsia="Calibri"/>
          <w:lang w:val="es-MX" w:eastAsia="en-US"/>
        </w:rPr>
        <w:t>Int J Dent. 2021:1-7.  DOI: 10.1155/2021/5542534</w:t>
      </w:r>
      <w:bookmarkEnd w:id="7"/>
    </w:p>
    <w:p w14:paraId="5EA5EA3F" w14:textId="77777777" w:rsidR="0078754E" w:rsidRPr="0078754E" w:rsidRDefault="0078754E" w:rsidP="0078754E">
      <w:pPr>
        <w:spacing w:line="360" w:lineRule="auto"/>
        <w:rPr>
          <w:rFonts w:eastAsia="Calibri"/>
          <w:lang w:val="es-MX" w:eastAsia="en-US"/>
        </w:rPr>
      </w:pPr>
      <w:r w:rsidRPr="0078754E">
        <w:rPr>
          <w:rFonts w:eastAsia="Calibri"/>
          <w:lang w:val="es-MX" w:eastAsia="en-US"/>
        </w:rPr>
        <w:lastRenderedPageBreak/>
        <w:t xml:space="preserve">14. Chumpitaz-Cerrate V, Aguirre-Montes P, Chávez-Rimache L. Nivel de conocimiento sobre profilaxis antibiótica de endocarditis infecciosa en estudiantes de Odontología de Lima. Rev Habanera Cienc Médicas. 2020 [acceso: 21/04/2023]; 19(1):125–42. Disponible en: </w:t>
      </w:r>
      <w:hyperlink r:id="rId20" w:history="1">
        <w:r w:rsidRPr="0078754E">
          <w:rPr>
            <w:rFonts w:eastAsia="Calibri"/>
            <w:color w:val="0563C1"/>
            <w:lang w:val="es-MX" w:eastAsia="en-US"/>
          </w:rPr>
          <w:t>http://www.revhabanera.sld.cu/index.php/rhab/article/view/2597</w:t>
        </w:r>
      </w:hyperlink>
      <w:r w:rsidRPr="0078754E">
        <w:rPr>
          <w:rFonts w:eastAsia="Calibri"/>
          <w:lang w:val="es-MX" w:eastAsia="en-US"/>
        </w:rPr>
        <w:t xml:space="preserve"> </w:t>
      </w:r>
    </w:p>
    <w:p w14:paraId="1E18592B"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 xml:space="preserve">15. Parikh N, Risinger D, Holland JN, Molony DA, van der Hoeven D. Evaluating dental students’ perspectives on the concurrent teaching of didactic and case-based courses. J Dent Educ. 2022;86(12):1643–52. DOI: 10.1002/jdd.13081  </w:t>
      </w:r>
    </w:p>
    <w:p w14:paraId="272177C7"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16. Al-Fouzan AF, Al-Shinaiber RM, Al-Baijan RS, Al-Balawi MM. Antibiotic prophylaxis against infective endocarditis in adult and child patients. Saudi Med J. 2015; 36(5):554–61. DOI: 10.15537/smj.2015.5.10738</w:t>
      </w:r>
    </w:p>
    <w:p w14:paraId="49FCC6C3"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17. Dabaghi-Tabriz F, Ghaffari R, Hanaee J, Barzegar M, Bilan N, Dehghani AH, et al. Comparison of General Dentistry Curriculum in Iran with Eight of the World’s Top Dental Faculties. Maedica. 2019;(2):104–15. DOI: 10.26574/maedica.2019.14.2.104</w:t>
      </w:r>
    </w:p>
    <w:p w14:paraId="01620CE5" w14:textId="77777777" w:rsidR="0078754E" w:rsidRPr="0078754E" w:rsidRDefault="0078754E" w:rsidP="00C11723">
      <w:pPr>
        <w:spacing w:line="360" w:lineRule="auto"/>
        <w:rPr>
          <w:rFonts w:eastAsia="Calibri"/>
          <w:lang w:val="en-US" w:eastAsia="en-US"/>
        </w:rPr>
      </w:pPr>
      <w:r w:rsidRPr="0078754E">
        <w:rPr>
          <w:rFonts w:eastAsia="Calibri"/>
          <w:lang w:val="en-US" w:eastAsia="en-US"/>
        </w:rPr>
        <w:t xml:space="preserve">18. </w:t>
      </w:r>
      <w:r w:rsidRPr="0078754E">
        <w:rPr>
          <w:color w:val="000000"/>
          <w:lang w:val="en-US" w:eastAsia="es-MX"/>
        </w:rPr>
        <w:t>‌</w:t>
      </w:r>
      <w:r w:rsidRPr="0078754E">
        <w:rPr>
          <w:rFonts w:eastAsia="Calibri"/>
          <w:color w:val="000000"/>
          <w:shd w:val="clear" w:color="auto" w:fill="FFFFFF"/>
          <w:lang w:val="en-US" w:eastAsia="en-US"/>
        </w:rPr>
        <w:t>Delgado V, Ajmone Marsan N, de Waha S, Bonaros N, Brida M, Burri H, et al. 2023 ESC Guidelines for the management of endocarditis. Eur Heart J. 2023;44(39):3948–4042. D</w:t>
      </w:r>
      <w:r w:rsidRPr="0078754E">
        <w:rPr>
          <w:rFonts w:eastAsia="Calibri"/>
          <w:color w:val="000000"/>
          <w:sz w:val="22"/>
          <w:szCs w:val="22"/>
          <w:shd w:val="clear" w:color="auto" w:fill="FFFFFF"/>
          <w:lang w:val="en-US" w:eastAsia="en-US"/>
        </w:rPr>
        <w:t>OI:</w:t>
      </w:r>
      <w:r w:rsidRPr="0078754E">
        <w:rPr>
          <w:rFonts w:eastAsia="Calibri"/>
          <w:color w:val="000000"/>
          <w:shd w:val="clear" w:color="auto" w:fill="FFFFFF"/>
          <w:lang w:val="en-US" w:eastAsia="en-US"/>
        </w:rPr>
        <w:t>10.1093/eurheartj/ehad193</w:t>
      </w:r>
    </w:p>
    <w:p w14:paraId="29956FCE" w14:textId="77777777" w:rsidR="0078754E" w:rsidRPr="0078754E" w:rsidRDefault="0078754E" w:rsidP="00C11723">
      <w:pPr>
        <w:spacing w:line="360" w:lineRule="auto"/>
        <w:rPr>
          <w:rFonts w:eastAsia="Calibri"/>
          <w:lang w:val="en-US" w:eastAsia="en-US"/>
        </w:rPr>
      </w:pPr>
      <w:r w:rsidRPr="0078754E">
        <w:rPr>
          <w:rFonts w:eastAsia="Calibri"/>
          <w:lang w:val="en-US" w:eastAsia="en-US"/>
        </w:rPr>
        <w:t>19. Nakatani S, Ohara T, Ashihara K, Izumi C, Iwanaga S, Eishi K, et al. JCS 2017 Guideline on Prevention and Treatment of Infective Endocarditis. Circ J Off J Jpn Circ Soc. 2019; 83(8):1767–809. DOI: 10.1016/j.ehj.2003.11.008</w:t>
      </w:r>
    </w:p>
    <w:p w14:paraId="64EEF7AB" w14:textId="77777777" w:rsidR="0078754E" w:rsidRPr="0078754E" w:rsidRDefault="0078754E" w:rsidP="00C11723">
      <w:pPr>
        <w:spacing w:line="360" w:lineRule="auto"/>
        <w:rPr>
          <w:rFonts w:eastAsia="Calibri"/>
          <w:lang w:val="es-MX" w:eastAsia="en-US"/>
        </w:rPr>
      </w:pPr>
      <w:r w:rsidRPr="0078754E">
        <w:rPr>
          <w:rFonts w:eastAsia="Calibri"/>
          <w:lang w:val="en-US" w:eastAsia="en-US"/>
        </w:rPr>
        <w:t xml:space="preserve">20. </w:t>
      </w:r>
      <w:bookmarkStart w:id="8" w:name="_Hlk153277552"/>
      <w:r w:rsidRPr="0078754E">
        <w:rPr>
          <w:rFonts w:eastAsia="Calibri"/>
          <w:color w:val="000000"/>
          <w:shd w:val="clear" w:color="auto" w:fill="FFFFFF"/>
          <w:lang w:val="en-US" w:eastAsia="en-US"/>
        </w:rPr>
        <w:t>National Institute for Health and Care Excellence (NICE). Prophylaxis against infective endocarditis: antimicrobial prophylaxis against infective endocarditis in adults and children undergoing interventional procedures.</w:t>
      </w:r>
      <w:r w:rsidRPr="0078754E">
        <w:rPr>
          <w:rFonts w:eastAsia="Calibri"/>
          <w:i/>
          <w:iCs/>
          <w:color w:val="000000"/>
          <w:shd w:val="clear" w:color="auto" w:fill="FFFFFF"/>
          <w:lang w:val="en-US" w:eastAsia="en-US"/>
        </w:rPr>
        <w:t xml:space="preserve"> </w:t>
      </w:r>
      <w:r w:rsidRPr="0078754E">
        <w:rPr>
          <w:rFonts w:eastAsia="Calibri"/>
          <w:color w:val="000000"/>
          <w:shd w:val="clear" w:color="auto" w:fill="FFFFFF"/>
          <w:lang w:val="es-MX" w:eastAsia="en-US"/>
        </w:rPr>
        <w:t xml:space="preserve">London; 2008. </w:t>
      </w:r>
      <w:r w:rsidRPr="0078754E">
        <w:rPr>
          <w:rFonts w:eastAsia="Calibri"/>
          <w:lang w:val="es-MX" w:eastAsia="en-US"/>
        </w:rPr>
        <w:t xml:space="preserve">[acceso: 21/04/2023]. </w:t>
      </w:r>
      <w:r w:rsidRPr="0078754E">
        <w:rPr>
          <w:rFonts w:eastAsia="Calibri"/>
          <w:color w:val="000000"/>
          <w:shd w:val="clear" w:color="auto" w:fill="FFFFFF"/>
          <w:lang w:val="es-MX" w:eastAsia="en-US"/>
        </w:rPr>
        <w:t xml:space="preserve">Disponible en: </w:t>
      </w:r>
      <w:hyperlink r:id="rId21" w:history="1">
        <w:r w:rsidRPr="0078754E">
          <w:rPr>
            <w:rFonts w:eastAsia="Calibri"/>
            <w:color w:val="0563C1"/>
            <w:shd w:val="clear" w:color="auto" w:fill="FFFFFF"/>
            <w:lang w:val="es-MX" w:eastAsia="en-US"/>
          </w:rPr>
          <w:t>https://www.nice.org.uk/guidance/cg64</w:t>
        </w:r>
      </w:hyperlink>
      <w:bookmarkEnd w:id="8"/>
      <w:r w:rsidRPr="0078754E">
        <w:rPr>
          <w:rFonts w:eastAsia="Calibri"/>
          <w:color w:val="000000"/>
          <w:shd w:val="clear" w:color="auto" w:fill="FFFFFF"/>
          <w:lang w:val="es-MX" w:eastAsia="en-US"/>
        </w:rPr>
        <w:t xml:space="preserve"> </w:t>
      </w:r>
    </w:p>
    <w:p w14:paraId="3EA04B8D"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21. Hussein H, Montesinos-Guevara C, Abouelkheir M, Brown RS, Hneiny L, Amer YS. Quality appraisal of antibiotic prophylaxis guidelines to prevent infective endocarditis following dental procedures: a systematic review. Oral Surg Oral Med Oral Pathol Oral Radiol. 2022; 134(5):562–72. DOI: 10.1016/j.oooo.2022.07.012</w:t>
      </w:r>
    </w:p>
    <w:p w14:paraId="267F3C16" w14:textId="77777777" w:rsidR="0078754E" w:rsidRPr="0078754E" w:rsidRDefault="0078754E" w:rsidP="0078754E">
      <w:pPr>
        <w:spacing w:line="360" w:lineRule="auto"/>
        <w:rPr>
          <w:rFonts w:eastAsia="Calibri"/>
          <w:lang w:val="en-US" w:eastAsia="en-US"/>
        </w:rPr>
      </w:pPr>
      <w:r w:rsidRPr="0078754E">
        <w:rPr>
          <w:rFonts w:eastAsia="Calibri"/>
          <w:lang w:val="en-US" w:eastAsia="en-US"/>
        </w:rPr>
        <w:lastRenderedPageBreak/>
        <w:t>22. Bhayat A, Jarab F, Mansuri S, Ahmad MS, Mahrous MS. Assessment of Knowledge of Dental Staff at a Saudi Arabian University Regarding the Prophylaxis for Infective Endocarditis. Open Dent J. 2013; 7:82–7. DOI: 10.2174/1874210601307010082</w:t>
      </w:r>
    </w:p>
    <w:p w14:paraId="7A30E5FD"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23. Bahammam MA, Abdelaziz NM. Awareness of Antimicrobial Prophylaxis for Infective Endocarditis Among Dental Students and Interns at a Teaching Hospital in Jeddah, Saudi Arabia. Open Dent J. 2015; 9:176-80. DOI: 10.2174/1874210601509010176</w:t>
      </w:r>
    </w:p>
    <w:p w14:paraId="40F41E7C"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 xml:space="preserve">24. Al-Mohaissen MA, Al-Mehisen R, Lee T, Al-Madi EM. Managing cardiac patients: Dentists’ knowledge, perceptions, and practices. Int Dent J. 2022;72(3):296–307. DOI: 10.1016/j.identj.2021.04.006 </w:t>
      </w:r>
    </w:p>
    <w:p w14:paraId="70425362" w14:textId="77777777" w:rsidR="0078754E" w:rsidRPr="0078754E" w:rsidRDefault="0078754E" w:rsidP="0078754E">
      <w:pPr>
        <w:spacing w:line="360" w:lineRule="auto"/>
        <w:rPr>
          <w:rFonts w:eastAsia="Calibri"/>
          <w:lang w:val="en-US" w:eastAsia="en-US"/>
        </w:rPr>
      </w:pPr>
      <w:r w:rsidRPr="0078754E">
        <w:rPr>
          <w:rFonts w:eastAsia="Calibri"/>
          <w:lang w:val="en-US" w:eastAsia="en-US"/>
        </w:rPr>
        <w:t xml:space="preserve">25. Adeyemo WL, Oderinu OH, Olojede ACO, Ayodele AOS, Fashina AA. Nigerian dentists’ knowledge of the current guidelines for preventing infective endocarditis. Community Dent Health. 2011 [acceso: 24/04/2023]; (2):178–81. Disponible en: </w:t>
      </w:r>
      <w:hyperlink r:id="rId22" w:history="1">
        <w:r w:rsidRPr="0078754E">
          <w:rPr>
            <w:rFonts w:eastAsia="Calibri"/>
            <w:color w:val="0563C1"/>
            <w:lang w:val="en-US" w:eastAsia="en-US"/>
          </w:rPr>
          <w:t>https://www.cdhjournal.org/issues/28-2-june-2011/368-nigerian-dentists-knowledge-of-the-current-guidelines-for-preventing-infective-endocarditis</w:t>
        </w:r>
      </w:hyperlink>
      <w:r w:rsidRPr="0078754E">
        <w:rPr>
          <w:rFonts w:eastAsia="Calibri"/>
          <w:lang w:val="en-US" w:eastAsia="en-US"/>
        </w:rPr>
        <w:t xml:space="preserve"> </w:t>
      </w:r>
    </w:p>
    <w:p w14:paraId="3B85DCB9" w14:textId="77777777" w:rsidR="0078754E" w:rsidRPr="0078754E" w:rsidRDefault="0078754E" w:rsidP="0078754E">
      <w:pPr>
        <w:spacing w:line="360" w:lineRule="auto"/>
        <w:rPr>
          <w:rFonts w:eastAsia="Calibri"/>
          <w:lang w:val="en-US" w:eastAsia="en-US"/>
        </w:rPr>
      </w:pPr>
    </w:p>
    <w:p w14:paraId="19718472" w14:textId="77777777" w:rsidR="0078754E" w:rsidRPr="0078754E" w:rsidRDefault="0078754E" w:rsidP="0078754E">
      <w:pPr>
        <w:spacing w:line="360" w:lineRule="auto"/>
        <w:rPr>
          <w:rFonts w:eastAsia="Calibri"/>
          <w:lang w:val="en-US" w:eastAsia="en-US"/>
        </w:rPr>
      </w:pPr>
    </w:p>
    <w:p w14:paraId="32F2B7B9" w14:textId="77777777" w:rsidR="0078754E" w:rsidRPr="0078754E" w:rsidRDefault="0078754E" w:rsidP="0078754E">
      <w:pPr>
        <w:tabs>
          <w:tab w:val="left" w:pos="0"/>
        </w:tabs>
        <w:autoSpaceDE w:val="0"/>
        <w:autoSpaceDN w:val="0"/>
        <w:adjustRightInd w:val="0"/>
        <w:spacing w:line="360" w:lineRule="auto"/>
        <w:jc w:val="center"/>
        <w:rPr>
          <w:b/>
          <w:bCs/>
          <w:color w:val="000000"/>
          <w:lang w:val="es-PE" w:eastAsia="en-US"/>
        </w:rPr>
      </w:pPr>
      <w:r w:rsidRPr="0078754E">
        <w:rPr>
          <w:rFonts w:eastAsia="Calibri"/>
          <w:b/>
          <w:bCs/>
          <w:color w:val="000000"/>
          <w:lang w:val="es-ES" w:eastAsia="en-US"/>
        </w:rPr>
        <w:t>Conflictos de interés</w:t>
      </w:r>
    </w:p>
    <w:p w14:paraId="247EF16D"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r w:rsidRPr="0078754E">
        <w:rPr>
          <w:rFonts w:eastAsia="Calibri"/>
          <w:b/>
          <w:bCs/>
          <w:color w:val="000000"/>
          <w:lang w:val="es-ES" w:eastAsia="en-US"/>
        </w:rPr>
        <w:t xml:space="preserve"> </w:t>
      </w:r>
      <w:r w:rsidRPr="0078754E">
        <w:rPr>
          <w:rFonts w:eastAsia="Calibri"/>
          <w:color w:val="000000"/>
          <w:lang w:val="es-ES" w:eastAsia="en-US"/>
        </w:rPr>
        <w:t>No existen conflictos de interés. El estudio fue autofinanciado.</w:t>
      </w:r>
    </w:p>
    <w:p w14:paraId="3500A56F"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p>
    <w:p w14:paraId="74D76E0F" w14:textId="77777777" w:rsidR="0078754E" w:rsidRPr="0078754E" w:rsidRDefault="0078754E" w:rsidP="0078754E">
      <w:pPr>
        <w:tabs>
          <w:tab w:val="left" w:pos="0"/>
        </w:tabs>
        <w:autoSpaceDE w:val="0"/>
        <w:autoSpaceDN w:val="0"/>
        <w:adjustRightInd w:val="0"/>
        <w:spacing w:line="360" w:lineRule="auto"/>
        <w:jc w:val="center"/>
        <w:rPr>
          <w:rFonts w:eastAsia="Calibri"/>
          <w:b/>
          <w:bCs/>
          <w:color w:val="000000"/>
          <w:lang w:val="es-ES" w:eastAsia="en-US"/>
        </w:rPr>
      </w:pPr>
      <w:r w:rsidRPr="0078754E">
        <w:rPr>
          <w:rFonts w:eastAsia="Calibri"/>
          <w:b/>
          <w:bCs/>
          <w:color w:val="000000"/>
          <w:lang w:val="es-ES" w:eastAsia="en-US"/>
        </w:rPr>
        <w:t>Contribuciones de los autores</w:t>
      </w:r>
    </w:p>
    <w:p w14:paraId="07A63462"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r w:rsidRPr="0078754E">
        <w:rPr>
          <w:rFonts w:eastAsia="Calibri"/>
          <w:color w:val="000000"/>
          <w:lang w:val="es-ES" w:eastAsia="en-US"/>
        </w:rPr>
        <w:t>Conceptualización:</w:t>
      </w:r>
      <w:r w:rsidRPr="0078754E">
        <w:rPr>
          <w:rFonts w:eastAsia="Calibri"/>
          <w:i/>
          <w:iCs/>
          <w:color w:val="000000"/>
          <w:lang w:val="es-ES" w:eastAsia="en-US"/>
        </w:rPr>
        <w:t xml:space="preserve">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y Lesly Chávez-Rimache.</w:t>
      </w:r>
    </w:p>
    <w:p w14:paraId="0E343BB1"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r w:rsidRPr="0078754E">
        <w:rPr>
          <w:rFonts w:eastAsia="Calibri"/>
          <w:color w:val="000000"/>
          <w:lang w:val="es-ES" w:eastAsia="en-US"/>
        </w:rPr>
        <w:t xml:space="preserve">Curación de datos: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y Lesly Chávez-Rimache.</w:t>
      </w:r>
    </w:p>
    <w:p w14:paraId="04E2AF99"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t xml:space="preserve">Análisis formal: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y Lesly Chávez-Rimache.</w:t>
      </w:r>
    </w:p>
    <w:p w14:paraId="07774033"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t xml:space="preserve">Investigación: </w:t>
      </w:r>
      <w:r w:rsidRPr="0078754E">
        <w:rPr>
          <w:rFonts w:eastAsia="Calibri"/>
          <w:i/>
          <w:iCs/>
          <w:color w:val="000000"/>
          <w:kern w:val="2"/>
          <w:lang w:val="es-ES" w:eastAsia="en-US"/>
        </w:rPr>
        <w:t xml:space="preserve">Andrea Paola Mercado-Hermoza, </w:t>
      </w:r>
      <w:r w:rsidRPr="0078754E">
        <w:rPr>
          <w:rFonts w:eastAsia="SimSun"/>
          <w:i/>
          <w:iCs/>
          <w:lang w:val="es-ES" w:eastAsia="en-US"/>
        </w:rPr>
        <w:t xml:space="preserve">Victor Chumpitaz-Cerrate, Lesly Chávez-Rimache, </w:t>
      </w:r>
      <w:r w:rsidRPr="0078754E">
        <w:rPr>
          <w:rFonts w:eastAsia="Calibri"/>
          <w:i/>
          <w:iCs/>
          <w:color w:val="000000"/>
          <w:kern w:val="2"/>
          <w:lang w:val="es-ES" w:eastAsia="en-US"/>
        </w:rPr>
        <w:t xml:space="preserve">Angie Sofia Aponte-Labán y </w:t>
      </w:r>
      <w:r w:rsidRPr="0078754E">
        <w:rPr>
          <w:rFonts w:eastAsia="SimSun"/>
          <w:i/>
          <w:iCs/>
          <w:lang w:val="es-ES" w:eastAsia="en-US"/>
        </w:rPr>
        <w:t>Vanessa Pérez-Jimenez.</w:t>
      </w:r>
    </w:p>
    <w:p w14:paraId="04E6A02D"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r w:rsidRPr="0078754E">
        <w:rPr>
          <w:rFonts w:eastAsia="Calibri"/>
          <w:color w:val="000000"/>
          <w:lang w:val="es-ES" w:eastAsia="en-US"/>
        </w:rPr>
        <w:t xml:space="preserve">Metodología: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Lesly Chávez-Rimache.</w:t>
      </w:r>
    </w:p>
    <w:p w14:paraId="1E9B81F1"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lastRenderedPageBreak/>
        <w:t xml:space="preserve">Administración del proyecto: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Lesly Chávez-Rimache.</w:t>
      </w:r>
    </w:p>
    <w:p w14:paraId="4ED4B8BE"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t xml:space="preserve">Recursos materiales: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Lesly Chávez-Rimache.</w:t>
      </w:r>
    </w:p>
    <w:p w14:paraId="51C021B8"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r w:rsidRPr="0078754E">
        <w:rPr>
          <w:rFonts w:eastAsia="Calibri"/>
          <w:color w:val="000000"/>
          <w:lang w:val="es-ES" w:eastAsia="en-US"/>
        </w:rPr>
        <w:t xml:space="preserve">Software: </w:t>
      </w:r>
      <w:r w:rsidRPr="0078754E">
        <w:rPr>
          <w:rFonts w:eastAsia="Calibri"/>
          <w:i/>
          <w:iCs/>
          <w:color w:val="000000"/>
          <w:kern w:val="2"/>
          <w:lang w:val="es-ES" w:eastAsia="en-US"/>
        </w:rPr>
        <w:t>Andrea Paola Mercado-Hermoza,</w:t>
      </w:r>
      <w:r w:rsidRPr="0078754E">
        <w:rPr>
          <w:rFonts w:eastAsia="SimSun"/>
          <w:i/>
          <w:iCs/>
          <w:lang w:val="es-ES" w:eastAsia="en-US"/>
        </w:rPr>
        <w:t xml:space="preserve"> Lesly Chávez-Rimache.</w:t>
      </w:r>
    </w:p>
    <w:p w14:paraId="52DA81BC" w14:textId="77777777" w:rsidR="0078754E" w:rsidRPr="0078754E" w:rsidRDefault="0078754E" w:rsidP="0078754E">
      <w:pPr>
        <w:tabs>
          <w:tab w:val="left" w:pos="0"/>
        </w:tabs>
        <w:autoSpaceDE w:val="0"/>
        <w:autoSpaceDN w:val="0"/>
        <w:adjustRightInd w:val="0"/>
        <w:spacing w:line="360" w:lineRule="auto"/>
        <w:jc w:val="both"/>
        <w:rPr>
          <w:rFonts w:eastAsia="Calibri"/>
          <w:color w:val="000000"/>
          <w:lang w:val="es-ES" w:eastAsia="en-US"/>
        </w:rPr>
      </w:pPr>
      <w:r w:rsidRPr="0078754E">
        <w:rPr>
          <w:rFonts w:eastAsia="Calibri"/>
          <w:color w:val="000000"/>
          <w:lang w:val="es-ES" w:eastAsia="en-US"/>
        </w:rPr>
        <w:t xml:space="preserve">Supervisión: </w:t>
      </w:r>
      <w:r w:rsidRPr="0078754E">
        <w:rPr>
          <w:rFonts w:eastAsia="Calibri"/>
          <w:i/>
          <w:iCs/>
          <w:color w:val="000000"/>
          <w:kern w:val="2"/>
          <w:lang w:val="es-ES" w:eastAsia="en-US"/>
        </w:rPr>
        <w:t xml:space="preserve">Andrea Paola Mercado-Hermoza, </w:t>
      </w:r>
      <w:r w:rsidRPr="0078754E">
        <w:rPr>
          <w:rFonts w:eastAsia="SimSun"/>
          <w:i/>
          <w:iCs/>
          <w:lang w:val="es-ES" w:eastAsia="en-US"/>
        </w:rPr>
        <w:t>Victor Chumpitaz-Cerrate, Lesly Chávez-Rimache.</w:t>
      </w:r>
    </w:p>
    <w:p w14:paraId="23AFE6BC"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t xml:space="preserve">Visualización: </w:t>
      </w:r>
      <w:r w:rsidRPr="0078754E">
        <w:rPr>
          <w:rFonts w:eastAsia="Calibri"/>
          <w:i/>
          <w:iCs/>
          <w:color w:val="000000"/>
          <w:kern w:val="2"/>
          <w:lang w:val="es-ES" w:eastAsia="en-US"/>
        </w:rPr>
        <w:t xml:space="preserve">Andrea Paola Mercado-Hermoza, </w:t>
      </w:r>
      <w:r w:rsidRPr="0078754E">
        <w:rPr>
          <w:rFonts w:eastAsia="SimSun"/>
          <w:i/>
          <w:iCs/>
          <w:lang w:val="es-ES" w:eastAsia="en-US"/>
        </w:rPr>
        <w:t xml:space="preserve">Victor Chumpitaz-Cerrate, Lesly Chávez-Rimache, </w:t>
      </w:r>
      <w:r w:rsidRPr="0078754E">
        <w:rPr>
          <w:rFonts w:eastAsia="Calibri"/>
          <w:i/>
          <w:iCs/>
          <w:color w:val="000000"/>
          <w:kern w:val="2"/>
          <w:lang w:val="es-ES" w:eastAsia="en-US"/>
        </w:rPr>
        <w:t xml:space="preserve">Angie Sofia Aponte-Labán, </w:t>
      </w:r>
      <w:r w:rsidRPr="0078754E">
        <w:rPr>
          <w:rFonts w:eastAsia="SimSun"/>
          <w:i/>
          <w:iCs/>
          <w:lang w:val="es-ES" w:eastAsia="en-US"/>
        </w:rPr>
        <w:t>Vanessa Pérez-Jimenez.</w:t>
      </w:r>
    </w:p>
    <w:p w14:paraId="2E33812E"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t xml:space="preserve">Redacción – borrador original: </w:t>
      </w:r>
      <w:r w:rsidRPr="0078754E">
        <w:rPr>
          <w:rFonts w:eastAsia="Calibri"/>
          <w:i/>
          <w:iCs/>
          <w:color w:val="000000"/>
          <w:kern w:val="2"/>
          <w:lang w:val="es-ES" w:eastAsia="en-US"/>
        </w:rPr>
        <w:t xml:space="preserve">Andrea Paola Mercado-Hermoza, </w:t>
      </w:r>
      <w:r w:rsidRPr="0078754E">
        <w:rPr>
          <w:rFonts w:eastAsia="SimSun"/>
          <w:i/>
          <w:iCs/>
          <w:lang w:val="es-ES" w:eastAsia="en-US"/>
        </w:rPr>
        <w:t xml:space="preserve">Victor Chumpitaz-Cerrate, Lesly Chávez-Rimache, </w:t>
      </w:r>
      <w:r w:rsidRPr="0078754E">
        <w:rPr>
          <w:rFonts w:eastAsia="Calibri"/>
          <w:i/>
          <w:iCs/>
          <w:color w:val="000000"/>
          <w:kern w:val="2"/>
          <w:lang w:val="es-ES" w:eastAsia="en-US"/>
        </w:rPr>
        <w:t xml:space="preserve">Angie Sofia Aponte-Labán, </w:t>
      </w:r>
      <w:r w:rsidRPr="0078754E">
        <w:rPr>
          <w:rFonts w:eastAsia="SimSun"/>
          <w:i/>
          <w:iCs/>
          <w:lang w:val="es-ES" w:eastAsia="en-US"/>
        </w:rPr>
        <w:t>Vanessa Pérez-Jimenez.</w:t>
      </w:r>
    </w:p>
    <w:p w14:paraId="08EF951C" w14:textId="77777777" w:rsidR="0078754E" w:rsidRPr="0078754E" w:rsidRDefault="0078754E" w:rsidP="0078754E">
      <w:pPr>
        <w:tabs>
          <w:tab w:val="left" w:pos="0"/>
        </w:tabs>
        <w:autoSpaceDE w:val="0"/>
        <w:autoSpaceDN w:val="0"/>
        <w:adjustRightInd w:val="0"/>
        <w:spacing w:line="360" w:lineRule="auto"/>
        <w:jc w:val="both"/>
        <w:rPr>
          <w:rFonts w:eastAsia="Calibri"/>
          <w:i/>
          <w:iCs/>
          <w:color w:val="000000"/>
          <w:lang w:val="es-ES" w:eastAsia="en-US"/>
        </w:rPr>
      </w:pPr>
      <w:r w:rsidRPr="0078754E">
        <w:rPr>
          <w:rFonts w:eastAsia="Calibri"/>
          <w:color w:val="000000"/>
          <w:lang w:val="es-ES" w:eastAsia="en-US"/>
        </w:rPr>
        <w:t xml:space="preserve">Redacción – revisión y edición: </w:t>
      </w:r>
      <w:r w:rsidRPr="0078754E">
        <w:rPr>
          <w:rFonts w:eastAsia="Calibri"/>
          <w:i/>
          <w:iCs/>
          <w:color w:val="000000"/>
          <w:kern w:val="2"/>
          <w:lang w:val="es-ES" w:eastAsia="en-US"/>
        </w:rPr>
        <w:t xml:space="preserve">Andrea Paola Mercado-Hermoza, </w:t>
      </w:r>
      <w:r w:rsidRPr="0078754E">
        <w:rPr>
          <w:rFonts w:eastAsia="SimSun"/>
          <w:i/>
          <w:iCs/>
          <w:lang w:val="es-ES" w:eastAsia="en-US"/>
        </w:rPr>
        <w:t xml:space="preserve">Victor Chumpitaz-Cerrate, Lesly Chávez-Rimache, </w:t>
      </w:r>
      <w:r w:rsidRPr="0078754E">
        <w:rPr>
          <w:rFonts w:eastAsia="Calibri"/>
          <w:i/>
          <w:iCs/>
          <w:color w:val="000000"/>
          <w:kern w:val="2"/>
          <w:lang w:val="es-ES" w:eastAsia="en-US"/>
        </w:rPr>
        <w:t xml:space="preserve">Angie Sofia Aponte-Labán, </w:t>
      </w:r>
      <w:r w:rsidRPr="0078754E">
        <w:rPr>
          <w:rFonts w:eastAsia="SimSun"/>
          <w:i/>
          <w:iCs/>
          <w:lang w:val="es-ES" w:eastAsia="en-US"/>
        </w:rPr>
        <w:t>Vanessa Pérez-Jimenez.</w:t>
      </w:r>
    </w:p>
    <w:p w14:paraId="78800EAF" w14:textId="77777777" w:rsidR="00675476" w:rsidRPr="0078754E" w:rsidRDefault="00675476" w:rsidP="00EA1FEF">
      <w:pPr>
        <w:pStyle w:val="PDFRevista"/>
        <w:rPr>
          <w:lang w:val="es-ES"/>
        </w:rPr>
      </w:pPr>
    </w:p>
    <w:sectPr w:rsidR="00675476" w:rsidRPr="0078754E"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6031" w14:textId="77777777" w:rsidR="003653DF" w:rsidRDefault="003653DF">
      <w:r>
        <w:separator/>
      </w:r>
    </w:p>
  </w:endnote>
  <w:endnote w:type="continuationSeparator" w:id="0">
    <w:p w14:paraId="61C67E7A" w14:textId="77777777" w:rsidR="003653DF" w:rsidRDefault="0036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C96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DB4B6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00DA"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71C3385F" wp14:editId="6956980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712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FAB6B42" w14:textId="77777777" w:rsidR="00675476" w:rsidRPr="00AE044C" w:rsidRDefault="003653DF" w:rsidP="00391509">
    <w:pPr>
      <w:pStyle w:val="Piedepgina"/>
      <w:ind w:right="360"/>
      <w:rPr>
        <w:sz w:val="22"/>
        <w:szCs w:val="22"/>
      </w:rPr>
    </w:pPr>
    <w:hyperlink r:id="rId1" w:history="1">
      <w:r w:rsidR="00391509" w:rsidRPr="00AE044C">
        <w:rPr>
          <w:rStyle w:val="Hipervnculo"/>
          <w:sz w:val="22"/>
          <w:szCs w:val="22"/>
        </w:rPr>
        <w:t>http://scielo.sld.cu</w:t>
      </w:r>
    </w:hyperlink>
  </w:p>
  <w:p w14:paraId="1E3EA86F" w14:textId="77777777" w:rsidR="00391509" w:rsidRPr="00AE044C" w:rsidRDefault="003653DF"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4D05BB3"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3A127C8A" wp14:editId="72407E9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B2B8" w14:textId="77777777" w:rsidR="003653DF" w:rsidRDefault="003653DF">
      <w:r>
        <w:separator/>
      </w:r>
    </w:p>
  </w:footnote>
  <w:footnote w:type="continuationSeparator" w:id="0">
    <w:p w14:paraId="11E837EB" w14:textId="77777777" w:rsidR="003653DF" w:rsidRDefault="0036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3A28" w14:textId="10A5E432" w:rsidR="00CC376A" w:rsidRPr="00AE044C" w:rsidRDefault="0078754E"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Pr>
        <w:sz w:val="22"/>
        <w:szCs w:val="22"/>
      </w:rPr>
      <w:t>e024015935</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272572EE" wp14:editId="62B6CFB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6F9B805"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A4C0669" wp14:editId="719EBCF0">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B25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02"/>
    <w:multiLevelType w:val="hybridMultilevel"/>
    <w:tmpl w:val="08C00DEE"/>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1F308D"/>
    <w:multiLevelType w:val="hybridMultilevel"/>
    <w:tmpl w:val="8DFA4F82"/>
    <w:lvl w:ilvl="0" w:tplc="1CE858C2">
      <w:start w:val="1"/>
      <w:numFmt w:val="decimal"/>
      <w:lvlText w:val="3.%1"/>
      <w:lvlJc w:val="left"/>
      <w:pPr>
        <w:ind w:left="2160" w:hanging="360"/>
      </w:pPr>
      <w:rPr>
        <w:rFonts w:hint="default"/>
      </w:rPr>
    </w:lvl>
    <w:lvl w:ilvl="1" w:tplc="280A0001">
      <w:start w:val="1"/>
      <w:numFmt w:val="bullet"/>
      <w:lvlText w:val=""/>
      <w:lvlJc w:val="left"/>
      <w:pPr>
        <w:ind w:left="2880" w:hanging="360"/>
      </w:pPr>
      <w:rPr>
        <w:rFonts w:ascii="Symbol" w:hAnsi="Symbol"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2" w15:restartNumberingAfterBreak="0">
    <w:nsid w:val="052C1075"/>
    <w:multiLevelType w:val="hybridMultilevel"/>
    <w:tmpl w:val="FA2281DC"/>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0ACD06E8"/>
    <w:multiLevelType w:val="hybridMultilevel"/>
    <w:tmpl w:val="298C6A4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B370AE"/>
    <w:multiLevelType w:val="hybridMultilevel"/>
    <w:tmpl w:val="18B6415C"/>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3793F0B"/>
    <w:multiLevelType w:val="hybridMultilevel"/>
    <w:tmpl w:val="80DA98B8"/>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703AD1"/>
    <w:multiLevelType w:val="hybridMultilevel"/>
    <w:tmpl w:val="E78205EE"/>
    <w:lvl w:ilvl="0" w:tplc="7062BC32">
      <w:start w:val="3"/>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58544E6"/>
    <w:multiLevelType w:val="hybridMultilevel"/>
    <w:tmpl w:val="F10CF1C8"/>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1315"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97427FA"/>
    <w:multiLevelType w:val="hybridMultilevel"/>
    <w:tmpl w:val="ACFE158A"/>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1599"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C301916"/>
    <w:multiLevelType w:val="hybridMultilevel"/>
    <w:tmpl w:val="4C2213FA"/>
    <w:lvl w:ilvl="0" w:tplc="D26E58A8">
      <w:start w:val="3"/>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174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C786D8D"/>
    <w:multiLevelType w:val="hybridMultilevel"/>
    <w:tmpl w:val="1DD8656C"/>
    <w:lvl w:ilvl="0" w:tplc="52BEACA2">
      <w:start w:val="15"/>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754122"/>
    <w:multiLevelType w:val="hybridMultilevel"/>
    <w:tmpl w:val="F88E1016"/>
    <w:lvl w:ilvl="0" w:tplc="52BEACA2">
      <w:start w:val="15"/>
      <w:numFmt w:val="decimal"/>
      <w:lvlText w:val="%1."/>
      <w:lvlJc w:val="left"/>
      <w:pPr>
        <w:ind w:left="1212" w:hanging="360"/>
      </w:pPr>
      <w:rPr>
        <w:rFonts w:hint="default"/>
      </w:rPr>
    </w:lvl>
    <w:lvl w:ilvl="1" w:tplc="280A0019">
      <w:start w:val="1"/>
      <w:numFmt w:val="lowerLetter"/>
      <w:lvlText w:val="%2."/>
      <w:lvlJc w:val="left"/>
      <w:pPr>
        <w:ind w:left="1212" w:hanging="360"/>
      </w:pPr>
    </w:lvl>
    <w:lvl w:ilvl="2" w:tplc="280A0019">
      <w:start w:val="1"/>
      <w:numFmt w:val="lowerLetter"/>
      <w:lvlText w:val="%3."/>
      <w:lvlJc w:val="left"/>
      <w:pPr>
        <w:ind w:left="1173" w:hanging="180"/>
      </w:pPr>
    </w:lvl>
    <w:lvl w:ilvl="3" w:tplc="280A000F" w:tentative="1">
      <w:start w:val="1"/>
      <w:numFmt w:val="decimal"/>
      <w:lvlText w:val="%4."/>
      <w:lvlJc w:val="left"/>
      <w:pPr>
        <w:ind w:left="2652" w:hanging="360"/>
      </w:pPr>
    </w:lvl>
    <w:lvl w:ilvl="4" w:tplc="280A0019" w:tentative="1">
      <w:start w:val="1"/>
      <w:numFmt w:val="lowerLetter"/>
      <w:lvlText w:val="%5."/>
      <w:lvlJc w:val="left"/>
      <w:pPr>
        <w:ind w:left="3372" w:hanging="360"/>
      </w:pPr>
    </w:lvl>
    <w:lvl w:ilvl="5" w:tplc="280A001B" w:tentative="1">
      <w:start w:val="1"/>
      <w:numFmt w:val="lowerRoman"/>
      <w:lvlText w:val="%6."/>
      <w:lvlJc w:val="right"/>
      <w:pPr>
        <w:ind w:left="4092" w:hanging="180"/>
      </w:pPr>
    </w:lvl>
    <w:lvl w:ilvl="6" w:tplc="280A000F" w:tentative="1">
      <w:start w:val="1"/>
      <w:numFmt w:val="decimal"/>
      <w:lvlText w:val="%7."/>
      <w:lvlJc w:val="left"/>
      <w:pPr>
        <w:ind w:left="4812" w:hanging="360"/>
      </w:pPr>
    </w:lvl>
    <w:lvl w:ilvl="7" w:tplc="280A0019" w:tentative="1">
      <w:start w:val="1"/>
      <w:numFmt w:val="lowerLetter"/>
      <w:lvlText w:val="%8."/>
      <w:lvlJc w:val="left"/>
      <w:pPr>
        <w:ind w:left="5532" w:hanging="360"/>
      </w:pPr>
    </w:lvl>
    <w:lvl w:ilvl="8" w:tplc="280A001B" w:tentative="1">
      <w:start w:val="1"/>
      <w:numFmt w:val="lowerRoman"/>
      <w:lvlText w:val="%9."/>
      <w:lvlJc w:val="right"/>
      <w:pPr>
        <w:ind w:left="6252" w:hanging="180"/>
      </w:pPr>
    </w:lvl>
  </w:abstractNum>
  <w:abstractNum w:abstractNumId="12" w15:restartNumberingAfterBreak="0">
    <w:nsid w:val="21003BDC"/>
    <w:multiLevelType w:val="hybridMultilevel"/>
    <w:tmpl w:val="21E250B2"/>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390085F"/>
    <w:multiLevelType w:val="hybridMultilevel"/>
    <w:tmpl w:val="17EACE0A"/>
    <w:lvl w:ilvl="0" w:tplc="192ADA80">
      <w:start w:val="1"/>
      <w:numFmt w:val="upperRoman"/>
      <w:lvlText w:val="%1."/>
      <w:lvlJc w:val="right"/>
      <w:pPr>
        <w:ind w:left="720" w:hanging="360"/>
      </w:pPr>
    </w:lvl>
    <w:lvl w:ilvl="1" w:tplc="280A000F">
      <w:start w:val="1"/>
      <w:numFmt w:val="decimal"/>
      <w:lvlText w:val="%2."/>
      <w:lvlJc w:val="left"/>
      <w:pPr>
        <w:ind w:left="1440" w:hanging="360"/>
      </w:pPr>
    </w:lvl>
    <w:lvl w:ilvl="2" w:tplc="280A0019">
      <w:start w:val="1"/>
      <w:numFmt w:val="lowerLetter"/>
      <w:lvlText w:val="%3."/>
      <w:lvlJc w:val="lef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86A2A34"/>
    <w:multiLevelType w:val="hybridMultilevel"/>
    <w:tmpl w:val="8D6251E4"/>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C085B25"/>
    <w:multiLevelType w:val="hybridMultilevel"/>
    <w:tmpl w:val="9926BBDE"/>
    <w:lvl w:ilvl="0" w:tplc="759EAE56">
      <w:start w:val="2"/>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FD2A67"/>
    <w:multiLevelType w:val="hybridMultilevel"/>
    <w:tmpl w:val="8BA4B6A8"/>
    <w:lvl w:ilvl="0" w:tplc="CACA349C">
      <w:start w:val="1"/>
      <w:numFmt w:val="upperRoman"/>
      <w:lvlText w:val="%1."/>
      <w:lvlJc w:val="right"/>
      <w:pPr>
        <w:ind w:left="720" w:hanging="360"/>
      </w:pPr>
    </w:lvl>
    <w:lvl w:ilvl="1" w:tplc="280A0019">
      <w:start w:val="1"/>
      <w:numFmt w:val="lowerLetter"/>
      <w:lvlText w:val="%2."/>
      <w:lvlJc w:val="left"/>
      <w:pPr>
        <w:ind w:left="1494"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0BD736F"/>
    <w:multiLevelType w:val="hybridMultilevel"/>
    <w:tmpl w:val="74ECF4C8"/>
    <w:lvl w:ilvl="0" w:tplc="52BEACA2">
      <w:start w:val="15"/>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7F14E35"/>
    <w:multiLevelType w:val="hybridMultilevel"/>
    <w:tmpl w:val="3162C28C"/>
    <w:lvl w:ilvl="0" w:tplc="AC12B9F2">
      <w:start w:val="1"/>
      <w:numFmt w:val="decimal"/>
      <w:lvlText w:val="6.%1"/>
      <w:lvlJc w:val="left"/>
      <w:pPr>
        <w:ind w:left="2160" w:hanging="360"/>
      </w:pPr>
      <w:rPr>
        <w:rFonts w:hint="default"/>
      </w:rPr>
    </w:lvl>
    <w:lvl w:ilvl="1" w:tplc="280A0003">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9" w15:restartNumberingAfterBreak="0">
    <w:nsid w:val="3B613C50"/>
    <w:multiLevelType w:val="hybridMultilevel"/>
    <w:tmpl w:val="F920CBE0"/>
    <w:lvl w:ilvl="0" w:tplc="52BEACA2">
      <w:start w:val="15"/>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BDB6E32"/>
    <w:multiLevelType w:val="hybridMultilevel"/>
    <w:tmpl w:val="B5CAB4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C042E"/>
    <w:multiLevelType w:val="hybridMultilevel"/>
    <w:tmpl w:val="F412F78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26A261C"/>
    <w:multiLevelType w:val="hybridMultilevel"/>
    <w:tmpl w:val="3D1CEE1C"/>
    <w:lvl w:ilvl="0" w:tplc="080A000F">
      <w:start w:val="1"/>
      <w:numFmt w:val="decimal"/>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4" w15:restartNumberingAfterBreak="0">
    <w:nsid w:val="4E985FB6"/>
    <w:multiLevelType w:val="hybridMultilevel"/>
    <w:tmpl w:val="06A67848"/>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202609F"/>
    <w:multiLevelType w:val="hybridMultilevel"/>
    <w:tmpl w:val="04207946"/>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3DB30AB"/>
    <w:multiLevelType w:val="hybridMultilevel"/>
    <w:tmpl w:val="9384A18A"/>
    <w:lvl w:ilvl="0" w:tplc="280A0013">
      <w:start w:val="1"/>
      <w:numFmt w:val="upperRoman"/>
      <w:lvlText w:val="%1."/>
      <w:lvlJc w:val="right"/>
      <w:pPr>
        <w:ind w:left="720" w:hanging="360"/>
      </w:pPr>
    </w:lvl>
    <w:lvl w:ilvl="1" w:tplc="280A000F">
      <w:start w:val="1"/>
      <w:numFmt w:val="decimal"/>
      <w:lvlText w:val="%2."/>
      <w:lvlJc w:val="left"/>
      <w:pPr>
        <w:ind w:left="1440" w:hanging="360"/>
      </w:pPr>
    </w:lvl>
    <w:lvl w:ilvl="2" w:tplc="280A0017">
      <w:start w:val="1"/>
      <w:numFmt w:val="lowerLetter"/>
      <w:lvlText w:val="%3)"/>
      <w:lvlJc w:val="left"/>
      <w:pPr>
        <w:ind w:left="2160" w:hanging="18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6400D3F"/>
    <w:multiLevelType w:val="hybridMultilevel"/>
    <w:tmpl w:val="C0B09982"/>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65A00C4"/>
    <w:multiLevelType w:val="hybridMultilevel"/>
    <w:tmpl w:val="0DA8453A"/>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8BB52EA"/>
    <w:multiLevelType w:val="hybridMultilevel"/>
    <w:tmpl w:val="64A6AEBE"/>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8E7652E"/>
    <w:multiLevelType w:val="hybridMultilevel"/>
    <w:tmpl w:val="A752824A"/>
    <w:lvl w:ilvl="0" w:tplc="280A0013">
      <w:start w:val="1"/>
      <w:numFmt w:val="upperRoman"/>
      <w:lvlText w:val="%1."/>
      <w:lvlJc w:val="right"/>
      <w:pPr>
        <w:ind w:left="720" w:hanging="360"/>
      </w:pPr>
    </w:lvl>
    <w:lvl w:ilvl="1" w:tplc="280A000F">
      <w:start w:val="1"/>
      <w:numFmt w:val="decimal"/>
      <w:lvlText w:val="%2."/>
      <w:lvlJc w:val="left"/>
      <w:pPr>
        <w:ind w:left="1440" w:hanging="360"/>
      </w:pPr>
    </w:lvl>
    <w:lvl w:ilvl="2" w:tplc="280A0019">
      <w:start w:val="1"/>
      <w:numFmt w:val="lowerLetter"/>
      <w:lvlText w:val="%3."/>
      <w:lvlJc w:val="left"/>
      <w:pPr>
        <w:ind w:left="1173" w:hanging="180"/>
      </w:pPr>
      <w:rPr>
        <w:rFonts w:hint="default"/>
      </w:r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CC24359"/>
    <w:multiLevelType w:val="hybridMultilevel"/>
    <w:tmpl w:val="00A07426"/>
    <w:lvl w:ilvl="0" w:tplc="D26E58A8">
      <w:start w:val="3"/>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D9C7945"/>
    <w:multiLevelType w:val="hybridMultilevel"/>
    <w:tmpl w:val="4476C816"/>
    <w:lvl w:ilvl="0" w:tplc="280A0013">
      <w:start w:val="1"/>
      <w:numFmt w:val="upperRoman"/>
      <w:lvlText w:val="%1."/>
      <w:lvlJc w:val="right"/>
      <w:pPr>
        <w:ind w:left="720" w:hanging="360"/>
      </w:pPr>
    </w:lvl>
    <w:lvl w:ilvl="1" w:tplc="280A000F">
      <w:start w:val="1"/>
      <w:numFmt w:val="decimal"/>
      <w:lvlText w:val="%2."/>
      <w:lvlJc w:val="left"/>
      <w:pPr>
        <w:ind w:left="1440" w:hanging="360"/>
      </w:pPr>
    </w:lvl>
    <w:lvl w:ilvl="2" w:tplc="280A0019">
      <w:start w:val="1"/>
      <w:numFmt w:val="lowerLetter"/>
      <w:lvlText w:val="%3."/>
      <w:lvlJc w:val="left"/>
      <w:pPr>
        <w:ind w:left="2160" w:hanging="18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E930735"/>
    <w:multiLevelType w:val="hybridMultilevel"/>
    <w:tmpl w:val="53E280FA"/>
    <w:lvl w:ilvl="0" w:tplc="AE1006BE">
      <w:start w:val="7"/>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2BF1374"/>
    <w:multiLevelType w:val="hybridMultilevel"/>
    <w:tmpl w:val="95FA2A74"/>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01">
      <w:start w:val="1"/>
      <w:numFmt w:val="bullet"/>
      <w:lvlText w:val=""/>
      <w:lvlJc w:val="left"/>
      <w:pPr>
        <w:ind w:left="2160" w:hanging="180"/>
      </w:pPr>
      <w:rPr>
        <w:rFonts w:ascii="Symbol" w:hAnsi="Symbol" w:hint="default"/>
      </w:r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3591533"/>
    <w:multiLevelType w:val="hybridMultilevel"/>
    <w:tmpl w:val="F74A5898"/>
    <w:lvl w:ilvl="0" w:tplc="280A0003">
      <w:start w:val="1"/>
      <w:numFmt w:val="bullet"/>
      <w:lvlText w:val="o"/>
      <w:lvlJc w:val="left"/>
      <w:pPr>
        <w:ind w:left="792" w:hanging="360"/>
      </w:pPr>
      <w:rPr>
        <w:rFonts w:ascii="Courier New" w:hAnsi="Courier New" w:cs="Courier New" w:hint="default"/>
      </w:rPr>
    </w:lvl>
    <w:lvl w:ilvl="1" w:tplc="280A0003" w:tentative="1">
      <w:start w:val="1"/>
      <w:numFmt w:val="bullet"/>
      <w:lvlText w:val="o"/>
      <w:lvlJc w:val="left"/>
      <w:pPr>
        <w:ind w:left="1512" w:hanging="360"/>
      </w:pPr>
      <w:rPr>
        <w:rFonts w:ascii="Courier New" w:hAnsi="Courier New" w:cs="Courier New" w:hint="default"/>
      </w:rPr>
    </w:lvl>
    <w:lvl w:ilvl="2" w:tplc="280A0005" w:tentative="1">
      <w:start w:val="1"/>
      <w:numFmt w:val="bullet"/>
      <w:lvlText w:val=""/>
      <w:lvlJc w:val="left"/>
      <w:pPr>
        <w:ind w:left="2232" w:hanging="360"/>
      </w:pPr>
      <w:rPr>
        <w:rFonts w:ascii="Wingdings" w:hAnsi="Wingdings" w:hint="default"/>
      </w:rPr>
    </w:lvl>
    <w:lvl w:ilvl="3" w:tplc="280A0001" w:tentative="1">
      <w:start w:val="1"/>
      <w:numFmt w:val="bullet"/>
      <w:lvlText w:val=""/>
      <w:lvlJc w:val="left"/>
      <w:pPr>
        <w:ind w:left="2952" w:hanging="360"/>
      </w:pPr>
      <w:rPr>
        <w:rFonts w:ascii="Symbol" w:hAnsi="Symbol" w:hint="default"/>
      </w:rPr>
    </w:lvl>
    <w:lvl w:ilvl="4" w:tplc="280A0003" w:tentative="1">
      <w:start w:val="1"/>
      <w:numFmt w:val="bullet"/>
      <w:lvlText w:val="o"/>
      <w:lvlJc w:val="left"/>
      <w:pPr>
        <w:ind w:left="3672" w:hanging="360"/>
      </w:pPr>
      <w:rPr>
        <w:rFonts w:ascii="Courier New" w:hAnsi="Courier New" w:cs="Courier New" w:hint="default"/>
      </w:rPr>
    </w:lvl>
    <w:lvl w:ilvl="5" w:tplc="280A0005" w:tentative="1">
      <w:start w:val="1"/>
      <w:numFmt w:val="bullet"/>
      <w:lvlText w:val=""/>
      <w:lvlJc w:val="left"/>
      <w:pPr>
        <w:ind w:left="4392" w:hanging="360"/>
      </w:pPr>
      <w:rPr>
        <w:rFonts w:ascii="Wingdings" w:hAnsi="Wingdings" w:hint="default"/>
      </w:rPr>
    </w:lvl>
    <w:lvl w:ilvl="6" w:tplc="280A0001" w:tentative="1">
      <w:start w:val="1"/>
      <w:numFmt w:val="bullet"/>
      <w:lvlText w:val=""/>
      <w:lvlJc w:val="left"/>
      <w:pPr>
        <w:ind w:left="5112" w:hanging="360"/>
      </w:pPr>
      <w:rPr>
        <w:rFonts w:ascii="Symbol" w:hAnsi="Symbol" w:hint="default"/>
      </w:rPr>
    </w:lvl>
    <w:lvl w:ilvl="7" w:tplc="280A0003" w:tentative="1">
      <w:start w:val="1"/>
      <w:numFmt w:val="bullet"/>
      <w:lvlText w:val="o"/>
      <w:lvlJc w:val="left"/>
      <w:pPr>
        <w:ind w:left="5832" w:hanging="360"/>
      </w:pPr>
      <w:rPr>
        <w:rFonts w:ascii="Courier New" w:hAnsi="Courier New" w:cs="Courier New" w:hint="default"/>
      </w:rPr>
    </w:lvl>
    <w:lvl w:ilvl="8" w:tplc="280A0005" w:tentative="1">
      <w:start w:val="1"/>
      <w:numFmt w:val="bullet"/>
      <w:lvlText w:val=""/>
      <w:lvlJc w:val="left"/>
      <w:pPr>
        <w:ind w:left="6552" w:hanging="360"/>
      </w:pPr>
      <w:rPr>
        <w:rFonts w:ascii="Wingdings" w:hAnsi="Wingdings" w:hint="default"/>
      </w:rPr>
    </w:lvl>
  </w:abstractNum>
  <w:abstractNum w:abstractNumId="36" w15:restartNumberingAfterBreak="0">
    <w:nsid w:val="654A1DF3"/>
    <w:multiLevelType w:val="hybridMultilevel"/>
    <w:tmpl w:val="5234F6CA"/>
    <w:lvl w:ilvl="0" w:tplc="52BEACA2">
      <w:start w:val="15"/>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4594C6A"/>
    <w:multiLevelType w:val="hybridMultilevel"/>
    <w:tmpl w:val="7452130E"/>
    <w:lvl w:ilvl="0" w:tplc="52BEACA2">
      <w:start w:val="15"/>
      <w:numFmt w:val="decimal"/>
      <w:lvlText w:val="%1."/>
      <w:lvlJc w:val="left"/>
      <w:pPr>
        <w:ind w:left="1440" w:hanging="360"/>
      </w:pPr>
      <w:rPr>
        <w:rFonts w:hint="default"/>
      </w:rPr>
    </w:lvl>
    <w:lvl w:ilvl="1" w:tplc="280A0019">
      <w:start w:val="1"/>
      <w:numFmt w:val="lowerLetter"/>
      <w:lvlText w:val="%2."/>
      <w:lvlJc w:val="left"/>
      <w:pPr>
        <w:ind w:left="1440"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56D29BE"/>
    <w:multiLevelType w:val="hybridMultilevel"/>
    <w:tmpl w:val="7B2CA772"/>
    <w:lvl w:ilvl="0" w:tplc="D26E58A8">
      <w:start w:val="3"/>
      <w:numFmt w:val="decimal"/>
      <w:lvlText w:val="%1."/>
      <w:lvlJc w:val="left"/>
      <w:pPr>
        <w:ind w:left="1440" w:hanging="360"/>
      </w:pPr>
      <w:rPr>
        <w:rFonts w:hint="default"/>
      </w:rPr>
    </w:lvl>
    <w:lvl w:ilvl="1" w:tplc="280A0019">
      <w:start w:val="1"/>
      <w:numFmt w:val="lowerLetter"/>
      <w:lvlText w:val="%2."/>
      <w:lvlJc w:val="left"/>
      <w:pPr>
        <w:ind w:left="1440" w:hanging="360"/>
      </w:pPr>
    </w:lvl>
    <w:lvl w:ilvl="2" w:tplc="2E6652A0">
      <w:start w:val="1"/>
      <w:numFmt w:val="lowerLetter"/>
      <w:lvlText w:val="%3."/>
      <w:lvlJc w:val="left"/>
      <w:pPr>
        <w:ind w:left="2160" w:hanging="180"/>
      </w:pPr>
      <w:rPr>
        <w:rFonts w:ascii="Arial" w:eastAsiaTheme="minorHAnsi" w:hAnsi="Arial" w:cs="Arial"/>
      </w:r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9F03C4E"/>
    <w:multiLevelType w:val="hybridMultilevel"/>
    <w:tmpl w:val="8FDEC686"/>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01">
      <w:start w:val="1"/>
      <w:numFmt w:val="bullet"/>
      <w:lvlText w:val=""/>
      <w:lvlJc w:val="left"/>
      <w:pPr>
        <w:ind w:left="2160" w:hanging="180"/>
      </w:pPr>
      <w:rPr>
        <w:rFonts w:ascii="Symbol" w:hAnsi="Symbo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3"/>
  </w:num>
  <w:num w:numId="2">
    <w:abstractNumId w:val="12"/>
  </w:num>
  <w:num w:numId="3">
    <w:abstractNumId w:val="4"/>
  </w:num>
  <w:num w:numId="4">
    <w:abstractNumId w:val="24"/>
  </w:num>
  <w:num w:numId="5">
    <w:abstractNumId w:val="29"/>
  </w:num>
  <w:num w:numId="6">
    <w:abstractNumId w:val="25"/>
  </w:num>
  <w:num w:numId="7">
    <w:abstractNumId w:val="1"/>
  </w:num>
  <w:num w:numId="8">
    <w:abstractNumId w:val="18"/>
  </w:num>
  <w:num w:numId="9">
    <w:abstractNumId w:val="2"/>
  </w:num>
  <w:num w:numId="10">
    <w:abstractNumId w:val="13"/>
  </w:num>
  <w:num w:numId="11">
    <w:abstractNumId w:val="3"/>
  </w:num>
  <w:num w:numId="12">
    <w:abstractNumId w:val="20"/>
  </w:num>
  <w:num w:numId="13">
    <w:abstractNumId w:val="15"/>
  </w:num>
  <w:num w:numId="14">
    <w:abstractNumId w:val="35"/>
  </w:num>
  <w:num w:numId="15">
    <w:abstractNumId w:val="21"/>
  </w:num>
  <w:num w:numId="16">
    <w:abstractNumId w:val="16"/>
  </w:num>
  <w:num w:numId="17">
    <w:abstractNumId w:val="39"/>
  </w:num>
  <w:num w:numId="18">
    <w:abstractNumId w:val="26"/>
  </w:num>
  <w:num w:numId="19">
    <w:abstractNumId w:val="34"/>
  </w:num>
  <w:num w:numId="20">
    <w:abstractNumId w:val="32"/>
  </w:num>
  <w:num w:numId="21">
    <w:abstractNumId w:val="30"/>
  </w:num>
  <w:num w:numId="22">
    <w:abstractNumId w:val="6"/>
  </w:num>
  <w:num w:numId="23">
    <w:abstractNumId w:val="38"/>
  </w:num>
  <w:num w:numId="24">
    <w:abstractNumId w:val="9"/>
  </w:num>
  <w:num w:numId="25">
    <w:abstractNumId w:val="31"/>
  </w:num>
  <w:num w:numId="26">
    <w:abstractNumId w:val="0"/>
  </w:num>
  <w:num w:numId="27">
    <w:abstractNumId w:val="5"/>
  </w:num>
  <w:num w:numId="28">
    <w:abstractNumId w:val="33"/>
  </w:num>
  <w:num w:numId="29">
    <w:abstractNumId w:val="14"/>
  </w:num>
  <w:num w:numId="30">
    <w:abstractNumId w:val="7"/>
  </w:num>
  <w:num w:numId="31">
    <w:abstractNumId w:val="27"/>
  </w:num>
  <w:num w:numId="32">
    <w:abstractNumId w:val="28"/>
  </w:num>
  <w:num w:numId="33">
    <w:abstractNumId w:val="8"/>
  </w:num>
  <w:num w:numId="34">
    <w:abstractNumId w:val="11"/>
  </w:num>
  <w:num w:numId="35">
    <w:abstractNumId w:val="17"/>
  </w:num>
  <w:num w:numId="36">
    <w:abstractNumId w:val="10"/>
  </w:num>
  <w:num w:numId="37">
    <w:abstractNumId w:val="19"/>
  </w:num>
  <w:num w:numId="38">
    <w:abstractNumId w:val="36"/>
  </w:num>
  <w:num w:numId="39">
    <w:abstractNumId w:val="3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4E"/>
    <w:rsid w:val="00057F45"/>
    <w:rsid w:val="000D3958"/>
    <w:rsid w:val="000F3690"/>
    <w:rsid w:val="001221D1"/>
    <w:rsid w:val="00165CB5"/>
    <w:rsid w:val="00180CE9"/>
    <w:rsid w:val="001E07B0"/>
    <w:rsid w:val="002118CA"/>
    <w:rsid w:val="00230DD5"/>
    <w:rsid w:val="00250AE9"/>
    <w:rsid w:val="003653DF"/>
    <w:rsid w:val="00380D64"/>
    <w:rsid w:val="00391509"/>
    <w:rsid w:val="003E03D5"/>
    <w:rsid w:val="00486BFA"/>
    <w:rsid w:val="00493701"/>
    <w:rsid w:val="004E2065"/>
    <w:rsid w:val="005508A2"/>
    <w:rsid w:val="0055115D"/>
    <w:rsid w:val="00566F71"/>
    <w:rsid w:val="005862B6"/>
    <w:rsid w:val="005918BD"/>
    <w:rsid w:val="006173A6"/>
    <w:rsid w:val="00675476"/>
    <w:rsid w:val="006C367F"/>
    <w:rsid w:val="0078754E"/>
    <w:rsid w:val="007C430F"/>
    <w:rsid w:val="007D2D0C"/>
    <w:rsid w:val="007D3405"/>
    <w:rsid w:val="007D614D"/>
    <w:rsid w:val="008622A8"/>
    <w:rsid w:val="008F7955"/>
    <w:rsid w:val="00915D3C"/>
    <w:rsid w:val="00960D6A"/>
    <w:rsid w:val="009A0560"/>
    <w:rsid w:val="009B0917"/>
    <w:rsid w:val="009C6EAE"/>
    <w:rsid w:val="009F0F96"/>
    <w:rsid w:val="00A23C0C"/>
    <w:rsid w:val="00A477DE"/>
    <w:rsid w:val="00A66186"/>
    <w:rsid w:val="00A71E65"/>
    <w:rsid w:val="00AE044C"/>
    <w:rsid w:val="00B31971"/>
    <w:rsid w:val="00B4380A"/>
    <w:rsid w:val="00B63462"/>
    <w:rsid w:val="00B66ECB"/>
    <w:rsid w:val="00C11723"/>
    <w:rsid w:val="00C65185"/>
    <w:rsid w:val="00C7523A"/>
    <w:rsid w:val="00CC1B6E"/>
    <w:rsid w:val="00CC376A"/>
    <w:rsid w:val="00CC48A1"/>
    <w:rsid w:val="00CF50E0"/>
    <w:rsid w:val="00D85951"/>
    <w:rsid w:val="00E62606"/>
    <w:rsid w:val="00EA1FEF"/>
    <w:rsid w:val="00EC5A6B"/>
    <w:rsid w:val="00EE301D"/>
    <w:rsid w:val="00F5248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AAD9D"/>
  <w15:docId w15:val="{2B2B8C51-32CC-48EE-989D-A40EB5E9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3">
    <w:name w:val="heading 3"/>
    <w:basedOn w:val="Normal"/>
    <w:link w:val="Ttulo3Car"/>
    <w:uiPriority w:val="9"/>
    <w:qFormat/>
    <w:rsid w:val="0078754E"/>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uiPriority w:val="99"/>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3Car">
    <w:name w:val="Título 3 Car"/>
    <w:basedOn w:val="Fuentedeprrafopredeter"/>
    <w:link w:val="Ttulo3"/>
    <w:uiPriority w:val="9"/>
    <w:rsid w:val="0078754E"/>
    <w:rPr>
      <w:b/>
      <w:bCs/>
      <w:sz w:val="27"/>
      <w:szCs w:val="27"/>
    </w:rPr>
  </w:style>
  <w:style w:type="numbering" w:customStyle="1" w:styleId="Sinlista1">
    <w:name w:val="Sin lista1"/>
    <w:next w:val="Sinlista"/>
    <w:uiPriority w:val="99"/>
    <w:semiHidden/>
    <w:unhideWhenUsed/>
    <w:rsid w:val="0078754E"/>
  </w:style>
  <w:style w:type="paragraph" w:styleId="Prrafodelista">
    <w:name w:val="List Paragraph"/>
    <w:basedOn w:val="Normal"/>
    <w:link w:val="PrrafodelistaCar"/>
    <w:uiPriority w:val="34"/>
    <w:qFormat/>
    <w:rsid w:val="0078754E"/>
    <w:pPr>
      <w:spacing w:after="160" w:line="259" w:lineRule="auto"/>
      <w:ind w:left="720"/>
      <w:contextualSpacing/>
    </w:pPr>
    <w:rPr>
      <w:rFonts w:ascii="Calibri" w:eastAsia="Calibri" w:hAnsi="Calibri" w:cs="Arial"/>
      <w:sz w:val="22"/>
      <w:szCs w:val="22"/>
      <w:lang w:val="es-ES" w:eastAsia="en-US"/>
    </w:rPr>
  </w:style>
  <w:style w:type="character" w:customStyle="1" w:styleId="PrrafodelistaCar">
    <w:name w:val="Párrafo de lista Car"/>
    <w:link w:val="Prrafodelista"/>
    <w:uiPriority w:val="34"/>
    <w:rsid w:val="0078754E"/>
    <w:rPr>
      <w:rFonts w:ascii="Calibri" w:eastAsia="Calibri" w:hAnsi="Calibri" w:cs="Arial"/>
      <w:sz w:val="22"/>
      <w:szCs w:val="22"/>
      <w:lang w:eastAsia="en-US"/>
    </w:rPr>
  </w:style>
  <w:style w:type="character" w:styleId="Textoennegrita">
    <w:name w:val="Strong"/>
    <w:basedOn w:val="Fuentedeprrafopredeter"/>
    <w:uiPriority w:val="22"/>
    <w:qFormat/>
    <w:rsid w:val="0078754E"/>
    <w:rPr>
      <w:b/>
      <w:bCs/>
    </w:rPr>
  </w:style>
  <w:style w:type="paragraph" w:styleId="HTMLconformatoprevio">
    <w:name w:val="HTML Preformatted"/>
    <w:basedOn w:val="Normal"/>
    <w:link w:val="HTMLconformatoprevioCar"/>
    <w:uiPriority w:val="99"/>
    <w:unhideWhenUsed/>
    <w:rsid w:val="0078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PE"/>
    </w:rPr>
  </w:style>
  <w:style w:type="character" w:customStyle="1" w:styleId="HTMLconformatoprevioCar">
    <w:name w:val="HTML con formato previo Car"/>
    <w:basedOn w:val="Fuentedeprrafopredeter"/>
    <w:link w:val="HTMLconformatoprevio"/>
    <w:uiPriority w:val="99"/>
    <w:rsid w:val="0078754E"/>
    <w:rPr>
      <w:rFonts w:ascii="Courier New" w:hAnsi="Courier New" w:cs="Courier New"/>
      <w:lang w:eastAsia="es-PE"/>
    </w:rPr>
  </w:style>
  <w:style w:type="table" w:customStyle="1" w:styleId="Tablaconcuadrcula1">
    <w:name w:val="Tabla con cuadrícula1"/>
    <w:basedOn w:val="Tablanormal"/>
    <w:next w:val="Tablaconcuadrcula"/>
    <w:uiPriority w:val="39"/>
    <w:rsid w:val="0078754E"/>
    <w:rPr>
      <w:rFonts w:ascii="Calibri" w:eastAsia="Calibri" w:hAnsi="Calibri" w:cs="Arial"/>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next w:val="Tablanormal2"/>
    <w:uiPriority w:val="42"/>
    <w:rsid w:val="0078754E"/>
    <w:rPr>
      <w:rFonts w:ascii="Calibri" w:eastAsia="Calibri" w:hAnsi="Calibri" w:cs="Arial"/>
      <w:sz w:val="22"/>
      <w:szCs w:val="22"/>
      <w:lang w:val="es-P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basedOn w:val="Fuentedeprrafopredeter"/>
    <w:uiPriority w:val="99"/>
    <w:semiHidden/>
    <w:unhideWhenUsed/>
    <w:rsid w:val="0078754E"/>
    <w:rPr>
      <w:sz w:val="16"/>
      <w:szCs w:val="16"/>
    </w:rPr>
  </w:style>
  <w:style w:type="paragraph" w:styleId="Textocomentario">
    <w:name w:val="annotation text"/>
    <w:basedOn w:val="Normal"/>
    <w:link w:val="TextocomentarioCar"/>
    <w:uiPriority w:val="99"/>
    <w:unhideWhenUsed/>
    <w:qFormat/>
    <w:rsid w:val="0078754E"/>
    <w:pPr>
      <w:spacing w:after="160"/>
    </w:pPr>
    <w:rPr>
      <w:rFonts w:ascii="Calibri" w:eastAsia="Calibri" w:hAnsi="Calibri" w:cs="Arial"/>
      <w:sz w:val="20"/>
      <w:szCs w:val="20"/>
      <w:lang w:val="es-ES" w:eastAsia="en-US"/>
    </w:rPr>
  </w:style>
  <w:style w:type="character" w:customStyle="1" w:styleId="TextocomentarioCar">
    <w:name w:val="Texto comentario Car"/>
    <w:basedOn w:val="Fuentedeprrafopredeter"/>
    <w:link w:val="Textocomentario"/>
    <w:uiPriority w:val="99"/>
    <w:qFormat/>
    <w:rsid w:val="0078754E"/>
    <w:rPr>
      <w:rFonts w:ascii="Calibri" w:eastAsia="Calibri" w:hAnsi="Calibri" w:cs="Arial"/>
      <w:lang w:eastAsia="en-US"/>
    </w:rPr>
  </w:style>
  <w:style w:type="paragraph" w:styleId="Asuntodelcomentario">
    <w:name w:val="annotation subject"/>
    <w:basedOn w:val="Textocomentario"/>
    <w:next w:val="Textocomentario"/>
    <w:link w:val="AsuntodelcomentarioCar"/>
    <w:uiPriority w:val="99"/>
    <w:semiHidden/>
    <w:unhideWhenUsed/>
    <w:rsid w:val="0078754E"/>
    <w:rPr>
      <w:b/>
      <w:bCs/>
    </w:rPr>
  </w:style>
  <w:style w:type="character" w:customStyle="1" w:styleId="AsuntodelcomentarioCar">
    <w:name w:val="Asunto del comentario Car"/>
    <w:basedOn w:val="TextocomentarioCar"/>
    <w:link w:val="Asuntodelcomentario"/>
    <w:uiPriority w:val="99"/>
    <w:semiHidden/>
    <w:rsid w:val="0078754E"/>
    <w:rPr>
      <w:rFonts w:ascii="Calibri" w:eastAsia="Calibri" w:hAnsi="Calibri" w:cs="Arial"/>
      <w:b/>
      <w:bCs/>
      <w:lang w:eastAsia="en-US"/>
    </w:rPr>
  </w:style>
  <w:style w:type="character" w:customStyle="1" w:styleId="y2iqfc">
    <w:name w:val="y2iqfc"/>
    <w:basedOn w:val="Fuentedeprrafopredeter"/>
    <w:rsid w:val="0078754E"/>
  </w:style>
  <w:style w:type="character" w:customStyle="1" w:styleId="Mencinsinresolver1">
    <w:name w:val="Mención sin resolver1"/>
    <w:basedOn w:val="Fuentedeprrafopredeter"/>
    <w:uiPriority w:val="99"/>
    <w:semiHidden/>
    <w:unhideWhenUsed/>
    <w:rsid w:val="0078754E"/>
    <w:rPr>
      <w:color w:val="605E5C"/>
      <w:shd w:val="clear" w:color="auto" w:fill="E1DFDD"/>
    </w:rPr>
  </w:style>
  <w:style w:type="paragraph" w:styleId="Bibliografa">
    <w:name w:val="Bibliography"/>
    <w:basedOn w:val="Normal"/>
    <w:next w:val="Normal"/>
    <w:uiPriority w:val="37"/>
    <w:unhideWhenUsed/>
    <w:rsid w:val="0078754E"/>
    <w:pPr>
      <w:tabs>
        <w:tab w:val="left" w:pos="384"/>
      </w:tabs>
      <w:spacing w:after="240"/>
      <w:ind w:left="384" w:hanging="384"/>
    </w:pPr>
    <w:rPr>
      <w:rFonts w:ascii="Calibri" w:eastAsia="Calibri" w:hAnsi="Calibri" w:cs="Arial"/>
      <w:sz w:val="22"/>
      <w:szCs w:val="22"/>
      <w:lang w:val="es-ES" w:eastAsia="en-US"/>
    </w:rPr>
  </w:style>
  <w:style w:type="paragraph" w:customStyle="1" w:styleId="Revisin1">
    <w:name w:val="Revisión1"/>
    <w:next w:val="Revisin"/>
    <w:hidden/>
    <w:uiPriority w:val="99"/>
    <w:semiHidden/>
    <w:rsid w:val="0078754E"/>
    <w:rPr>
      <w:rFonts w:ascii="Calibri" w:eastAsia="Calibri" w:hAnsi="Calibri" w:cs="Arial"/>
      <w:sz w:val="22"/>
      <w:szCs w:val="22"/>
      <w:lang w:val="es-PE" w:eastAsia="en-US"/>
    </w:rPr>
  </w:style>
  <w:style w:type="character" w:customStyle="1" w:styleId="cf01">
    <w:name w:val="cf01"/>
    <w:basedOn w:val="Fuentedeprrafopredeter"/>
    <w:rsid w:val="0078754E"/>
    <w:rPr>
      <w:rFonts w:ascii="Segoe UI" w:hAnsi="Segoe UI" w:cs="Segoe UI" w:hint="default"/>
      <w:sz w:val="18"/>
      <w:szCs w:val="18"/>
    </w:rPr>
  </w:style>
  <w:style w:type="paragraph" w:customStyle="1" w:styleId="Sinespaciado1">
    <w:name w:val="Sin espaciado1"/>
    <w:next w:val="Sinespaciado"/>
    <w:uiPriority w:val="1"/>
    <w:qFormat/>
    <w:rsid w:val="0078754E"/>
    <w:rPr>
      <w:rFonts w:ascii="Calibri" w:eastAsia="Calibri" w:hAnsi="Calibri" w:cs="Arial"/>
      <w:sz w:val="22"/>
      <w:szCs w:val="22"/>
      <w:lang w:val="es-PE" w:eastAsia="en-US"/>
    </w:rPr>
  </w:style>
  <w:style w:type="table" w:customStyle="1" w:styleId="Tablaconcuadrculaclara1">
    <w:name w:val="Tabla con cuadrícula clara1"/>
    <w:basedOn w:val="Tablanormal"/>
    <w:next w:val="Tablaconcuadrculaclara"/>
    <w:uiPriority w:val="40"/>
    <w:rsid w:val="0078754E"/>
    <w:rPr>
      <w:rFonts w:ascii="Calibri" w:eastAsia="SimSun"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1clara1">
    <w:name w:val="Tabla de lista 1 clara1"/>
    <w:basedOn w:val="Tablanormal"/>
    <w:next w:val="Tabladelista1clara"/>
    <w:uiPriority w:val="46"/>
    <w:rsid w:val="0078754E"/>
    <w:rPr>
      <w:rFonts w:ascii="Calibri" w:eastAsia="SimSun" w:hAnsi="Calibri" w:cs="Arial"/>
      <w:sz w:val="22"/>
      <w:szCs w:val="22"/>
      <w:lang w:val="en-US"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41">
    <w:name w:val="Tabla normal 41"/>
    <w:basedOn w:val="Tablanormal"/>
    <w:next w:val="Tablanormal4"/>
    <w:uiPriority w:val="44"/>
    <w:rsid w:val="0078754E"/>
    <w:rPr>
      <w:rFonts w:ascii="Calibri" w:eastAsia="SimSun" w:hAnsi="Calibri" w:cs="Arial"/>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pervnculovisitado1">
    <w:name w:val="Hipervínculo visitado1"/>
    <w:basedOn w:val="Fuentedeprrafopredeter"/>
    <w:uiPriority w:val="99"/>
    <w:semiHidden/>
    <w:unhideWhenUsed/>
    <w:rsid w:val="0078754E"/>
    <w:rPr>
      <w:color w:val="954F72"/>
      <w:u w:val="single"/>
    </w:rPr>
  </w:style>
  <w:style w:type="character" w:customStyle="1" w:styleId="Mencinsinresolver2">
    <w:name w:val="Mención sin resolver2"/>
    <w:basedOn w:val="Fuentedeprrafopredeter"/>
    <w:uiPriority w:val="99"/>
    <w:semiHidden/>
    <w:unhideWhenUsed/>
    <w:rsid w:val="0078754E"/>
    <w:rPr>
      <w:color w:val="605E5C"/>
      <w:shd w:val="clear" w:color="auto" w:fill="E1DFDD"/>
    </w:rPr>
  </w:style>
  <w:style w:type="paragraph" w:styleId="Textoindependiente">
    <w:name w:val="Body Text"/>
    <w:basedOn w:val="Normal"/>
    <w:link w:val="TextoindependienteCar"/>
    <w:uiPriority w:val="99"/>
    <w:unhideWhenUsed/>
    <w:rsid w:val="0078754E"/>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78754E"/>
    <w:rPr>
      <w:rFonts w:ascii="Arial" w:hAnsi="Arial" w:cs="Arial"/>
      <w:sz w:val="12"/>
      <w:szCs w:val="12"/>
    </w:rPr>
  </w:style>
  <w:style w:type="character" w:styleId="nfasis">
    <w:name w:val="Emphasis"/>
    <w:uiPriority w:val="20"/>
    <w:qFormat/>
    <w:rsid w:val="0078754E"/>
    <w:rPr>
      <w:i/>
      <w:iCs/>
    </w:rPr>
  </w:style>
  <w:style w:type="character" w:customStyle="1" w:styleId="ment">
    <w:name w:val="ment"/>
    <w:basedOn w:val="Fuentedeprrafopredeter"/>
    <w:rsid w:val="0078754E"/>
  </w:style>
  <w:style w:type="character" w:customStyle="1" w:styleId="s8">
    <w:name w:val="s8"/>
    <w:basedOn w:val="Fuentedeprrafopredeter"/>
    <w:rsid w:val="0078754E"/>
  </w:style>
  <w:style w:type="character" w:customStyle="1" w:styleId="apple-converted-space">
    <w:name w:val="apple-converted-space"/>
    <w:basedOn w:val="Fuentedeprrafopredeter"/>
    <w:rsid w:val="0078754E"/>
  </w:style>
  <w:style w:type="character" w:customStyle="1" w:styleId="s9">
    <w:name w:val="s9"/>
    <w:basedOn w:val="Fuentedeprrafopredeter"/>
    <w:rsid w:val="0078754E"/>
  </w:style>
  <w:style w:type="character" w:customStyle="1" w:styleId="Mencinsinresolver3">
    <w:name w:val="Mención sin resolver3"/>
    <w:basedOn w:val="Fuentedeprrafopredeter"/>
    <w:uiPriority w:val="99"/>
    <w:semiHidden/>
    <w:unhideWhenUsed/>
    <w:rsid w:val="0078754E"/>
    <w:rPr>
      <w:color w:val="605E5C"/>
      <w:shd w:val="clear" w:color="auto" w:fill="E1DFDD"/>
    </w:rPr>
  </w:style>
  <w:style w:type="character" w:customStyle="1" w:styleId="Mencinsinresolver4">
    <w:name w:val="Mención sin resolver4"/>
    <w:basedOn w:val="Fuentedeprrafopredeter"/>
    <w:uiPriority w:val="99"/>
    <w:semiHidden/>
    <w:unhideWhenUsed/>
    <w:rsid w:val="0078754E"/>
    <w:rPr>
      <w:color w:val="605E5C"/>
      <w:shd w:val="clear" w:color="auto" w:fill="E1DFDD"/>
    </w:rPr>
  </w:style>
  <w:style w:type="character" w:customStyle="1" w:styleId="Mencinsinresolver5">
    <w:name w:val="Mención sin resolver5"/>
    <w:basedOn w:val="Fuentedeprrafopredeter"/>
    <w:uiPriority w:val="99"/>
    <w:semiHidden/>
    <w:unhideWhenUsed/>
    <w:rsid w:val="0078754E"/>
    <w:rPr>
      <w:color w:val="605E5C"/>
      <w:shd w:val="clear" w:color="auto" w:fill="E1DFDD"/>
    </w:rPr>
  </w:style>
  <w:style w:type="table" w:styleId="Tablanormal2">
    <w:name w:val="Plain Table 2"/>
    <w:basedOn w:val="Tablanormal"/>
    <w:uiPriority w:val="42"/>
    <w:rsid w:val="007875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78754E"/>
    <w:rPr>
      <w:sz w:val="24"/>
      <w:szCs w:val="24"/>
      <w:lang w:val="es-ES_tradnl" w:eastAsia="es-ES_tradnl"/>
    </w:rPr>
  </w:style>
  <w:style w:type="paragraph" w:styleId="Sinespaciado">
    <w:name w:val="No Spacing"/>
    <w:uiPriority w:val="1"/>
    <w:qFormat/>
    <w:rsid w:val="0078754E"/>
    <w:rPr>
      <w:sz w:val="24"/>
      <w:szCs w:val="24"/>
      <w:lang w:val="es-ES_tradnl" w:eastAsia="es-ES_tradnl"/>
    </w:rPr>
  </w:style>
  <w:style w:type="table" w:styleId="Tablaconcuadrculaclara">
    <w:name w:val="Grid Table Light"/>
    <w:basedOn w:val="Tablanormal"/>
    <w:uiPriority w:val="40"/>
    <w:rsid w:val="007875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1clara">
    <w:name w:val="List Table 1 Light"/>
    <w:basedOn w:val="Tablanormal"/>
    <w:uiPriority w:val="46"/>
    <w:rsid w:val="0078754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4">
    <w:name w:val="Plain Table 4"/>
    <w:basedOn w:val="Tablanormal"/>
    <w:uiPriority w:val="44"/>
    <w:rsid w:val="007875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semiHidden/>
    <w:unhideWhenUsed/>
    <w:rsid w:val="00787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073-8076" TargetMode="External"/><Relationship Id="rId13" Type="http://schemas.openxmlformats.org/officeDocument/2006/relationships/image" Target="media/image1.png"/><Relationship Id="rId18" Type="http://schemas.openxmlformats.org/officeDocument/2006/relationships/hyperlink" Target="https://www.ncbi.nlm.nih.gov/books/NBK5503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ice.org.uk/guidance/cg64" TargetMode="External"/><Relationship Id="rId7" Type="http://schemas.openxmlformats.org/officeDocument/2006/relationships/hyperlink" Target="https://orcid.org/0000-0003-2540-4442" TargetMode="External"/><Relationship Id="rId12" Type="http://schemas.openxmlformats.org/officeDocument/2006/relationships/hyperlink" Target="mailto:vchumpitazc@unmsm.edu.pe"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revhabanera.sld.cu/index.php/rhab/article/view/25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249-915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1.xml"/><Relationship Id="rId10" Type="http://schemas.openxmlformats.org/officeDocument/2006/relationships/hyperlink" Target="https://orcid.org/0000-0002-8519-5200" TargetMode="External"/><Relationship Id="rId19" Type="http://schemas.openxmlformats.org/officeDocument/2006/relationships/hyperlink" Target="https://www.heart.org/en/health-topics/infective-endocarditis" TargetMode="External"/><Relationship Id="rId4" Type="http://schemas.openxmlformats.org/officeDocument/2006/relationships/webSettings" Target="webSettings.xml"/><Relationship Id="rId9" Type="http://schemas.openxmlformats.org/officeDocument/2006/relationships/hyperlink" Target="https://orcid.org/0000-0001-9987-7475" TargetMode="External"/><Relationship Id="rId14" Type="http://schemas.openxmlformats.org/officeDocument/2006/relationships/image" Target="media/image2.png"/><Relationship Id="rId22" Type="http://schemas.openxmlformats.org/officeDocument/2006/relationships/hyperlink" Target="https://www.cdhjournal.org/issues/28-2-june-2011/368-nigerian-dentists-knowledge-of-the-current-guidelines-for-preventing-infective-endocarditi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16</TotalTime>
  <Pages>17</Pages>
  <Words>4741</Words>
  <Characters>26077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30757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13</cp:revision>
  <cp:lastPrinted>2024-01-17T16:16:00Z</cp:lastPrinted>
  <dcterms:created xsi:type="dcterms:W3CDTF">2024-01-17T16:03:00Z</dcterms:created>
  <dcterms:modified xsi:type="dcterms:W3CDTF">2024-01-17T16:19:00Z</dcterms:modified>
</cp:coreProperties>
</file>