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F52B" w14:textId="77777777" w:rsidR="000F216F" w:rsidRPr="000F216F" w:rsidRDefault="000F216F" w:rsidP="000F216F">
      <w:pPr>
        <w:spacing w:line="360" w:lineRule="auto"/>
        <w:jc w:val="right"/>
        <w:rPr>
          <w:rFonts w:eastAsia="Calibri"/>
          <w:sz w:val="20"/>
          <w:szCs w:val="20"/>
          <w:lang w:val="es-ES" w:eastAsia="en-US"/>
        </w:rPr>
      </w:pPr>
      <w:r w:rsidRPr="000F216F">
        <w:rPr>
          <w:rFonts w:eastAsia="Calibri"/>
          <w:sz w:val="20"/>
          <w:szCs w:val="20"/>
          <w:lang w:val="es-ES" w:eastAsia="en-US"/>
        </w:rPr>
        <w:t>Artículo de investigación</w:t>
      </w:r>
    </w:p>
    <w:p w14:paraId="70A0712C" w14:textId="77777777" w:rsidR="000F216F" w:rsidRPr="000F216F" w:rsidRDefault="000F216F" w:rsidP="000F216F">
      <w:pPr>
        <w:spacing w:line="360" w:lineRule="auto"/>
        <w:jc w:val="right"/>
        <w:rPr>
          <w:rFonts w:eastAsia="Calibri"/>
          <w:lang w:val="es-ES" w:eastAsia="en-US"/>
        </w:rPr>
      </w:pPr>
    </w:p>
    <w:p w14:paraId="56229D3E" w14:textId="77777777" w:rsidR="000F216F" w:rsidRPr="000F216F" w:rsidRDefault="000F216F" w:rsidP="000F216F">
      <w:pPr>
        <w:spacing w:line="360" w:lineRule="auto"/>
        <w:jc w:val="center"/>
        <w:rPr>
          <w:rFonts w:eastAsia="Calibri"/>
          <w:b/>
          <w:bCs/>
          <w:color w:val="000000"/>
          <w:sz w:val="28"/>
          <w:szCs w:val="28"/>
          <w:lang w:val="es-ES" w:eastAsia="en-US"/>
        </w:rPr>
      </w:pPr>
      <w:r w:rsidRPr="000F216F">
        <w:rPr>
          <w:rFonts w:eastAsia="Calibri"/>
          <w:b/>
          <w:bCs/>
          <w:color w:val="000000"/>
          <w:sz w:val="28"/>
          <w:szCs w:val="28"/>
          <w:lang w:val="es-ES" w:eastAsia="en-US"/>
        </w:rPr>
        <w:t>Autopsia y certificados médicos de defunción en fallecidos relacionados con la COVID-19</w:t>
      </w:r>
    </w:p>
    <w:p w14:paraId="08F741E6" w14:textId="77777777" w:rsidR="000F216F" w:rsidRPr="000F216F" w:rsidRDefault="000F216F" w:rsidP="000F216F">
      <w:pPr>
        <w:spacing w:line="360" w:lineRule="auto"/>
        <w:jc w:val="center"/>
        <w:rPr>
          <w:rFonts w:eastAsia="Calibri"/>
          <w:lang w:val="en-US" w:eastAsia="en-US"/>
        </w:rPr>
      </w:pPr>
      <w:r w:rsidRPr="000F216F">
        <w:rPr>
          <w:sz w:val="28"/>
          <w:szCs w:val="28"/>
          <w:lang w:val="en" w:eastAsia="es-ES"/>
        </w:rPr>
        <w:t>Autopsy and medical death certificates in deaths related to COVID-19</w:t>
      </w:r>
    </w:p>
    <w:p w14:paraId="10A7B706" w14:textId="77777777" w:rsidR="000F216F" w:rsidRPr="000F216F" w:rsidRDefault="000F216F" w:rsidP="000F216F">
      <w:pPr>
        <w:spacing w:line="360" w:lineRule="auto"/>
        <w:jc w:val="center"/>
        <w:rPr>
          <w:rFonts w:eastAsia="Calibri"/>
          <w:lang w:val="en-US" w:eastAsia="en-US"/>
        </w:rPr>
      </w:pPr>
    </w:p>
    <w:p w14:paraId="0D2529F0" w14:textId="77777777" w:rsidR="000F216F" w:rsidRPr="000F216F" w:rsidRDefault="000F216F" w:rsidP="000F216F">
      <w:pPr>
        <w:spacing w:line="360" w:lineRule="auto"/>
        <w:rPr>
          <w:rFonts w:eastAsia="Calibri"/>
          <w:lang w:val="es-ES" w:eastAsia="en-US"/>
        </w:rPr>
      </w:pPr>
      <w:r w:rsidRPr="000F216F">
        <w:rPr>
          <w:rFonts w:eastAsia="Calibri"/>
          <w:lang w:val="es-ES" w:eastAsia="en-US"/>
        </w:rPr>
        <w:t>José Domingo Hurtado de Mendoza Amat</w:t>
      </w:r>
      <w:r w:rsidRPr="000F216F">
        <w:rPr>
          <w:rFonts w:eastAsia="Calibri"/>
          <w:vertAlign w:val="superscript"/>
          <w:lang w:val="es-ES" w:eastAsia="en-US"/>
        </w:rPr>
        <w:t>1</w:t>
      </w:r>
      <w:r w:rsidRPr="000F216F">
        <w:rPr>
          <w:rFonts w:eastAsia="Calibri"/>
          <w:lang w:val="es-ES" w:eastAsia="en-US"/>
        </w:rPr>
        <w:t xml:space="preserve">* </w:t>
      </w:r>
      <w:hyperlink r:id="rId7" w:history="1">
        <w:r w:rsidRPr="000F216F">
          <w:rPr>
            <w:rFonts w:eastAsia="Calibri"/>
            <w:color w:val="0563C1"/>
            <w:u w:val="single"/>
            <w:lang w:val="es-ES" w:eastAsia="en-US"/>
          </w:rPr>
          <w:t>https://orcid.org/0000-0002-6749-0986</w:t>
        </w:r>
      </w:hyperlink>
      <w:r w:rsidRPr="000F216F">
        <w:rPr>
          <w:rFonts w:eastAsia="Calibri"/>
          <w:lang w:val="es-ES" w:eastAsia="en-US"/>
        </w:rPr>
        <w:t xml:space="preserve"> </w:t>
      </w:r>
    </w:p>
    <w:p w14:paraId="65C69DF9" w14:textId="77777777" w:rsidR="000F216F" w:rsidRPr="000F216F" w:rsidRDefault="000F216F" w:rsidP="000F216F">
      <w:pPr>
        <w:spacing w:line="360" w:lineRule="auto"/>
        <w:rPr>
          <w:rFonts w:eastAsia="Calibri"/>
          <w:lang w:val="es-ES" w:eastAsia="en-US"/>
        </w:rPr>
      </w:pPr>
      <w:r w:rsidRPr="000F216F">
        <w:rPr>
          <w:rFonts w:eastAsia="Calibri"/>
          <w:lang w:val="es-ES" w:eastAsia="en-US"/>
        </w:rPr>
        <w:t>Teresita Montero González</w:t>
      </w:r>
      <w:r w:rsidRPr="000F216F">
        <w:rPr>
          <w:rFonts w:eastAsia="Calibri"/>
          <w:vertAlign w:val="superscript"/>
          <w:lang w:val="es-ES" w:eastAsia="en-US"/>
        </w:rPr>
        <w:t>1</w:t>
      </w:r>
      <w:r w:rsidRPr="000F216F">
        <w:rPr>
          <w:rFonts w:eastAsia="Calibri"/>
          <w:lang w:val="es-ES" w:eastAsia="en-US"/>
        </w:rPr>
        <w:t xml:space="preserve"> </w:t>
      </w:r>
      <w:hyperlink r:id="rId8" w:history="1">
        <w:r w:rsidRPr="000F216F">
          <w:rPr>
            <w:rFonts w:eastAsia="Calibri"/>
            <w:color w:val="0563C1"/>
            <w:u w:val="single"/>
            <w:lang w:val="es-ES" w:eastAsia="en-US"/>
          </w:rPr>
          <w:t>https://orcid.org/0000-0003-3372-6791</w:t>
        </w:r>
      </w:hyperlink>
      <w:r w:rsidRPr="000F216F">
        <w:rPr>
          <w:rFonts w:eastAsia="Calibri"/>
          <w:lang w:val="es-ES" w:eastAsia="en-US"/>
        </w:rPr>
        <w:t xml:space="preserve"> </w:t>
      </w:r>
    </w:p>
    <w:p w14:paraId="0FA745BB" w14:textId="77777777" w:rsidR="000F216F" w:rsidRPr="000F216F" w:rsidRDefault="000F216F" w:rsidP="000F216F">
      <w:pPr>
        <w:spacing w:line="360" w:lineRule="auto"/>
        <w:rPr>
          <w:rFonts w:eastAsia="Calibri"/>
          <w:lang w:val="es-ES" w:eastAsia="en-US"/>
        </w:rPr>
      </w:pPr>
      <w:r w:rsidRPr="000F216F">
        <w:rPr>
          <w:rFonts w:eastAsia="Calibri"/>
          <w:lang w:val="es-ES" w:eastAsia="en-US"/>
        </w:rPr>
        <w:t>Miguel Ángel Martínez Morales</w:t>
      </w:r>
      <w:r w:rsidRPr="000F216F">
        <w:rPr>
          <w:rFonts w:eastAsia="Calibri"/>
          <w:vertAlign w:val="superscript"/>
          <w:lang w:val="es-ES" w:eastAsia="en-US"/>
        </w:rPr>
        <w:t>2</w:t>
      </w:r>
      <w:r w:rsidRPr="000F216F">
        <w:rPr>
          <w:rFonts w:eastAsia="Calibri"/>
          <w:lang w:val="es-ES" w:eastAsia="en-US"/>
        </w:rPr>
        <w:t xml:space="preserve"> </w:t>
      </w:r>
      <w:hyperlink r:id="rId9" w:history="1">
        <w:r w:rsidRPr="000F216F">
          <w:rPr>
            <w:rFonts w:eastAsia="Calibri"/>
            <w:color w:val="0563C1"/>
            <w:u w:val="single"/>
            <w:lang w:val="es-ES" w:eastAsia="en-US"/>
          </w:rPr>
          <w:t>https://orcid.org/0000-0003-0625-1321</w:t>
        </w:r>
      </w:hyperlink>
      <w:r w:rsidRPr="000F216F">
        <w:rPr>
          <w:rFonts w:eastAsia="Calibri"/>
          <w:lang w:val="es-ES" w:eastAsia="en-US"/>
        </w:rPr>
        <w:t xml:space="preserve"> </w:t>
      </w:r>
    </w:p>
    <w:p w14:paraId="1F2ADC78" w14:textId="77777777" w:rsidR="000F216F" w:rsidRPr="000F216F" w:rsidRDefault="000F216F" w:rsidP="000F216F">
      <w:pPr>
        <w:spacing w:line="360" w:lineRule="auto"/>
        <w:rPr>
          <w:rFonts w:eastAsia="Calibri"/>
          <w:lang w:val="es-ES" w:eastAsia="en-US"/>
        </w:rPr>
      </w:pPr>
      <w:r w:rsidRPr="000F216F">
        <w:rPr>
          <w:rFonts w:eastAsia="Calibri"/>
          <w:lang w:val="es-ES" w:eastAsia="en-US"/>
        </w:rPr>
        <w:t xml:space="preserve">Israel </w:t>
      </w:r>
      <w:proofErr w:type="spellStart"/>
      <w:r w:rsidRPr="000F216F">
        <w:rPr>
          <w:rFonts w:eastAsia="Calibri"/>
          <w:lang w:val="es-ES" w:eastAsia="en-US"/>
        </w:rPr>
        <w:t>Borrajero</w:t>
      </w:r>
      <w:proofErr w:type="spellEnd"/>
      <w:r w:rsidRPr="000F216F">
        <w:rPr>
          <w:rFonts w:eastAsia="Calibri"/>
          <w:lang w:val="es-ES" w:eastAsia="en-US"/>
        </w:rPr>
        <w:t xml:space="preserve"> Martínez</w:t>
      </w:r>
      <w:r w:rsidRPr="000F216F">
        <w:rPr>
          <w:rFonts w:eastAsia="Calibri"/>
          <w:vertAlign w:val="superscript"/>
          <w:lang w:val="es-ES" w:eastAsia="en-US"/>
        </w:rPr>
        <w:t>3</w:t>
      </w:r>
      <w:r w:rsidRPr="000F216F">
        <w:rPr>
          <w:rFonts w:eastAsia="Calibri"/>
          <w:lang w:val="es-ES" w:eastAsia="en-US"/>
        </w:rPr>
        <w:t xml:space="preserve"> </w:t>
      </w:r>
      <w:hyperlink r:id="rId10" w:history="1">
        <w:r w:rsidRPr="000F216F">
          <w:rPr>
            <w:rFonts w:eastAsia="Calibri"/>
            <w:color w:val="0563C1"/>
            <w:u w:val="single"/>
            <w:lang w:val="es-ES" w:eastAsia="en-US"/>
          </w:rPr>
          <w:t>https://orcid.org/0000-0001-5645-3453</w:t>
        </w:r>
      </w:hyperlink>
      <w:r w:rsidRPr="000F216F">
        <w:rPr>
          <w:rFonts w:eastAsia="Calibri"/>
          <w:lang w:val="es-ES" w:eastAsia="en-US"/>
        </w:rPr>
        <w:t xml:space="preserve"> </w:t>
      </w:r>
    </w:p>
    <w:p w14:paraId="4A58B0A6" w14:textId="77777777" w:rsidR="000F216F" w:rsidRPr="000F216F" w:rsidRDefault="000F216F" w:rsidP="000F216F">
      <w:pPr>
        <w:spacing w:line="360" w:lineRule="auto"/>
        <w:rPr>
          <w:rFonts w:eastAsia="Calibri"/>
          <w:lang w:val="es-ES" w:eastAsia="en-US"/>
        </w:rPr>
      </w:pPr>
      <w:r w:rsidRPr="000F216F">
        <w:rPr>
          <w:rFonts w:eastAsia="Calibri"/>
          <w:lang w:val="es-ES" w:eastAsia="en-US"/>
        </w:rPr>
        <w:t>Virginia Capó de Paz</w:t>
      </w:r>
      <w:r w:rsidRPr="000F216F">
        <w:rPr>
          <w:rFonts w:eastAsia="Calibri"/>
          <w:vertAlign w:val="superscript"/>
          <w:lang w:val="es-ES" w:eastAsia="en-US"/>
        </w:rPr>
        <w:t>4</w:t>
      </w:r>
      <w:r w:rsidRPr="000F216F">
        <w:rPr>
          <w:rFonts w:eastAsia="Calibri"/>
          <w:lang w:val="es-ES" w:eastAsia="en-US"/>
        </w:rPr>
        <w:t xml:space="preserve"> </w:t>
      </w:r>
      <w:hyperlink r:id="rId11" w:history="1">
        <w:r w:rsidRPr="000F216F">
          <w:rPr>
            <w:rFonts w:eastAsia="Calibri"/>
            <w:color w:val="0563C1"/>
            <w:u w:val="single"/>
            <w:lang w:val="es-ES" w:eastAsia="en-US"/>
          </w:rPr>
          <w:t>https://orcid.org/0000-0002-9711-9475</w:t>
        </w:r>
      </w:hyperlink>
      <w:r w:rsidRPr="000F216F">
        <w:rPr>
          <w:rFonts w:eastAsia="Calibri"/>
          <w:lang w:val="es-ES" w:eastAsia="en-US"/>
        </w:rPr>
        <w:t xml:space="preserve"> </w:t>
      </w:r>
    </w:p>
    <w:p w14:paraId="477DADF7" w14:textId="77777777" w:rsidR="000F216F" w:rsidRPr="000F216F" w:rsidRDefault="000F216F" w:rsidP="000F216F">
      <w:pPr>
        <w:spacing w:line="360" w:lineRule="auto"/>
        <w:rPr>
          <w:rFonts w:eastAsia="Calibri"/>
          <w:lang w:val="es-ES" w:eastAsia="en-US"/>
        </w:rPr>
      </w:pPr>
      <w:r w:rsidRPr="000F216F">
        <w:rPr>
          <w:rFonts w:eastAsia="Calibri"/>
          <w:lang w:val="es-ES" w:eastAsia="en-US"/>
        </w:rPr>
        <w:t>Laura López Marín</w:t>
      </w:r>
      <w:r w:rsidRPr="000F216F">
        <w:rPr>
          <w:rFonts w:eastAsia="Calibri"/>
          <w:vertAlign w:val="superscript"/>
          <w:lang w:val="es-ES" w:eastAsia="en-US"/>
        </w:rPr>
        <w:t>5</w:t>
      </w:r>
      <w:r w:rsidRPr="000F216F">
        <w:rPr>
          <w:rFonts w:eastAsia="Calibri"/>
          <w:lang w:val="es-ES" w:eastAsia="en-US"/>
        </w:rPr>
        <w:t xml:space="preserve"> </w:t>
      </w:r>
      <w:hyperlink r:id="rId12" w:history="1">
        <w:r w:rsidRPr="000F216F">
          <w:rPr>
            <w:rFonts w:eastAsia="Calibri"/>
            <w:color w:val="0563C1"/>
            <w:u w:val="single"/>
            <w:lang w:val="es-ES" w:eastAsia="en-US"/>
          </w:rPr>
          <w:t>https://orcid.org/0000-0002-0251-5812</w:t>
        </w:r>
      </w:hyperlink>
      <w:r w:rsidRPr="000F216F">
        <w:rPr>
          <w:rFonts w:eastAsia="Calibri"/>
          <w:lang w:val="es-ES" w:eastAsia="en-US"/>
        </w:rPr>
        <w:t xml:space="preserve"> </w:t>
      </w:r>
    </w:p>
    <w:p w14:paraId="3B87B885" w14:textId="77777777" w:rsidR="000F216F" w:rsidRPr="000F216F" w:rsidRDefault="000F216F" w:rsidP="000F216F">
      <w:pPr>
        <w:spacing w:line="360" w:lineRule="auto"/>
        <w:rPr>
          <w:rFonts w:eastAsia="Calibri"/>
          <w:lang w:val="es-ES" w:eastAsia="en-US"/>
        </w:rPr>
      </w:pPr>
      <w:r w:rsidRPr="000F216F">
        <w:rPr>
          <w:rFonts w:eastAsia="Calibri"/>
          <w:lang w:val="es-ES" w:eastAsia="en-US"/>
        </w:rPr>
        <w:t>Carlos Domínguez Álvarez</w:t>
      </w:r>
      <w:r w:rsidRPr="000F216F">
        <w:rPr>
          <w:rFonts w:eastAsia="Calibri"/>
          <w:vertAlign w:val="superscript"/>
          <w:lang w:val="es-ES" w:eastAsia="en-US"/>
        </w:rPr>
        <w:t>3</w:t>
      </w:r>
      <w:r w:rsidRPr="000F216F">
        <w:rPr>
          <w:rFonts w:eastAsia="Calibri"/>
          <w:lang w:val="es-ES" w:eastAsia="en-US"/>
        </w:rPr>
        <w:t xml:space="preserve"> </w:t>
      </w:r>
      <w:hyperlink r:id="rId13" w:history="1">
        <w:r w:rsidRPr="000F216F">
          <w:rPr>
            <w:rFonts w:eastAsia="Calibri"/>
            <w:color w:val="0563C1"/>
            <w:u w:val="single"/>
            <w:lang w:val="es-ES" w:eastAsia="en-US"/>
          </w:rPr>
          <w:t>https://orcid.org/0000-0002-1502-8140</w:t>
        </w:r>
      </w:hyperlink>
      <w:r w:rsidRPr="000F216F">
        <w:rPr>
          <w:rFonts w:eastAsia="Calibri"/>
          <w:lang w:val="es-ES" w:eastAsia="en-US"/>
        </w:rPr>
        <w:t xml:space="preserve"> </w:t>
      </w:r>
    </w:p>
    <w:p w14:paraId="60BE8D59" w14:textId="77777777" w:rsidR="000F216F" w:rsidRPr="000F216F" w:rsidRDefault="000F216F" w:rsidP="000F216F">
      <w:pPr>
        <w:spacing w:line="360" w:lineRule="auto"/>
        <w:rPr>
          <w:rFonts w:eastAsia="Calibri"/>
          <w:lang w:val="es-ES" w:eastAsia="en-US"/>
        </w:rPr>
      </w:pPr>
      <w:proofErr w:type="spellStart"/>
      <w:r w:rsidRPr="000F216F">
        <w:rPr>
          <w:rFonts w:eastAsia="Calibri"/>
          <w:lang w:val="es-ES" w:eastAsia="en-US"/>
        </w:rPr>
        <w:t>Isisis</w:t>
      </w:r>
      <w:proofErr w:type="spellEnd"/>
      <w:r w:rsidRPr="000F216F">
        <w:rPr>
          <w:rFonts w:eastAsia="Calibri"/>
          <w:lang w:val="es-ES" w:eastAsia="en-US"/>
        </w:rPr>
        <w:t xml:space="preserve"> Alonso Expósito</w:t>
      </w:r>
      <w:r w:rsidRPr="000F216F">
        <w:rPr>
          <w:rFonts w:eastAsia="Calibri"/>
          <w:vertAlign w:val="superscript"/>
          <w:lang w:val="es-ES" w:eastAsia="en-US"/>
        </w:rPr>
        <w:t>2</w:t>
      </w:r>
      <w:r w:rsidRPr="000F216F">
        <w:rPr>
          <w:rFonts w:eastAsia="Calibri"/>
          <w:lang w:val="es-ES" w:eastAsia="en-US"/>
        </w:rPr>
        <w:t xml:space="preserve"> </w:t>
      </w:r>
      <w:hyperlink r:id="rId14" w:history="1">
        <w:r w:rsidRPr="000F216F">
          <w:rPr>
            <w:rFonts w:eastAsia="Calibri"/>
            <w:color w:val="0563C1"/>
            <w:u w:val="single"/>
            <w:lang w:val="es-ES" w:eastAsia="en-US"/>
          </w:rPr>
          <w:t>https://orcid.org/0000-0002-3742-8436</w:t>
        </w:r>
      </w:hyperlink>
      <w:r w:rsidRPr="000F216F">
        <w:rPr>
          <w:rFonts w:eastAsia="Calibri"/>
          <w:lang w:val="es-ES" w:eastAsia="en-US"/>
        </w:rPr>
        <w:t xml:space="preserve"> </w:t>
      </w:r>
    </w:p>
    <w:p w14:paraId="094170AB" w14:textId="77777777" w:rsidR="000F216F" w:rsidRPr="000F216F" w:rsidRDefault="000F216F" w:rsidP="000F216F">
      <w:pPr>
        <w:spacing w:line="360" w:lineRule="auto"/>
        <w:rPr>
          <w:rFonts w:eastAsia="Calibri"/>
          <w:lang w:val="es-ES" w:eastAsia="en-US"/>
        </w:rPr>
      </w:pPr>
      <w:r w:rsidRPr="000F216F">
        <w:rPr>
          <w:rFonts w:eastAsia="Calibri"/>
          <w:lang w:val="es-ES" w:eastAsia="en-US"/>
        </w:rPr>
        <w:t xml:space="preserve">Vanessa </w:t>
      </w:r>
      <w:proofErr w:type="spellStart"/>
      <w:r w:rsidRPr="000F216F">
        <w:rPr>
          <w:rFonts w:eastAsia="Calibri"/>
          <w:lang w:val="es-ES" w:eastAsia="en-US"/>
        </w:rPr>
        <w:t>Mazorra</w:t>
      </w:r>
      <w:proofErr w:type="spellEnd"/>
      <w:r w:rsidRPr="000F216F">
        <w:rPr>
          <w:rFonts w:eastAsia="Calibri"/>
          <w:lang w:val="es-ES" w:eastAsia="en-US"/>
        </w:rPr>
        <w:t xml:space="preserve"> Ramos</w:t>
      </w:r>
      <w:r w:rsidRPr="000F216F">
        <w:rPr>
          <w:rFonts w:eastAsia="Calibri"/>
          <w:vertAlign w:val="superscript"/>
          <w:lang w:val="es-ES" w:eastAsia="en-US"/>
        </w:rPr>
        <w:t xml:space="preserve">2 </w:t>
      </w:r>
      <w:hyperlink r:id="rId15" w:history="1">
        <w:r w:rsidRPr="000F216F">
          <w:rPr>
            <w:rFonts w:eastAsia="Calibri"/>
            <w:color w:val="0563C1"/>
            <w:u w:val="single"/>
            <w:lang w:val="es-ES" w:eastAsia="en-US"/>
          </w:rPr>
          <w:t>https://orcid.org/0000-0001-9417-7963</w:t>
        </w:r>
      </w:hyperlink>
    </w:p>
    <w:p w14:paraId="2E8C01BA" w14:textId="77777777" w:rsidR="000F216F" w:rsidRPr="000F216F" w:rsidRDefault="000F216F" w:rsidP="000F216F">
      <w:pPr>
        <w:spacing w:line="360" w:lineRule="auto"/>
        <w:rPr>
          <w:rFonts w:eastAsia="Calibri"/>
          <w:lang w:val="es-ES" w:eastAsia="en-US"/>
        </w:rPr>
      </w:pPr>
    </w:p>
    <w:p w14:paraId="4C2AF97D" w14:textId="77777777" w:rsidR="000F216F" w:rsidRPr="000F216F" w:rsidRDefault="000F216F" w:rsidP="000F216F">
      <w:pPr>
        <w:spacing w:line="360" w:lineRule="auto"/>
        <w:rPr>
          <w:rFonts w:eastAsia="Calibri"/>
          <w:lang w:val="es-ES" w:eastAsia="en-US"/>
        </w:rPr>
      </w:pPr>
      <w:r w:rsidRPr="000F216F">
        <w:rPr>
          <w:rFonts w:eastAsia="Calibri"/>
          <w:vertAlign w:val="superscript"/>
          <w:lang w:val="es-ES" w:eastAsia="en-US"/>
        </w:rPr>
        <w:t>1</w:t>
      </w:r>
      <w:r w:rsidRPr="000F216F">
        <w:rPr>
          <w:rFonts w:eastAsia="Calibri"/>
          <w:lang w:val="es-ES" w:eastAsia="en-US"/>
        </w:rPr>
        <w:t>Hospital Militar Central “Dr. Luis Díaz Soto”. La Habana, Cuba.</w:t>
      </w:r>
    </w:p>
    <w:p w14:paraId="27B1FDBD" w14:textId="77777777" w:rsidR="000F216F" w:rsidRPr="000F216F" w:rsidRDefault="000F216F" w:rsidP="000F216F">
      <w:pPr>
        <w:spacing w:line="360" w:lineRule="auto"/>
        <w:rPr>
          <w:rFonts w:eastAsia="Calibri"/>
          <w:lang w:val="es-ES" w:eastAsia="en-US"/>
        </w:rPr>
      </w:pPr>
      <w:r w:rsidRPr="000F216F">
        <w:rPr>
          <w:rFonts w:eastAsia="Calibri"/>
          <w:vertAlign w:val="superscript"/>
          <w:lang w:val="es-ES" w:eastAsia="en-US"/>
        </w:rPr>
        <w:t>2</w:t>
      </w:r>
      <w:r w:rsidRPr="000F216F">
        <w:rPr>
          <w:rFonts w:eastAsia="Calibri"/>
          <w:lang w:val="es-ES" w:eastAsia="en-US"/>
        </w:rPr>
        <w:t>Dirección de Registros Médicos y Estadísticas de Salud del Ministerio de Salud Pública. La Habana, Cuba.</w:t>
      </w:r>
    </w:p>
    <w:p w14:paraId="72600084" w14:textId="77777777" w:rsidR="000F216F" w:rsidRPr="000F216F" w:rsidRDefault="000F216F" w:rsidP="000F216F">
      <w:pPr>
        <w:spacing w:line="360" w:lineRule="auto"/>
        <w:rPr>
          <w:rFonts w:eastAsia="Calibri"/>
          <w:lang w:val="es-ES" w:eastAsia="en-US"/>
        </w:rPr>
      </w:pPr>
      <w:r w:rsidRPr="000F216F">
        <w:rPr>
          <w:rFonts w:eastAsia="Calibri"/>
          <w:vertAlign w:val="superscript"/>
          <w:lang w:val="es-ES" w:eastAsia="en-US"/>
        </w:rPr>
        <w:t>3</w:t>
      </w:r>
      <w:r w:rsidRPr="000F216F">
        <w:rPr>
          <w:rFonts w:eastAsia="Calibri"/>
          <w:lang w:val="es-ES" w:eastAsia="en-US"/>
        </w:rPr>
        <w:t>Hospital Hermanos Ameijeiras. La Habana, Cuba.</w:t>
      </w:r>
    </w:p>
    <w:p w14:paraId="6800C562" w14:textId="77777777" w:rsidR="000F216F" w:rsidRPr="000F216F" w:rsidRDefault="000F216F" w:rsidP="000F216F">
      <w:pPr>
        <w:spacing w:line="360" w:lineRule="auto"/>
        <w:rPr>
          <w:rFonts w:eastAsia="Calibri"/>
          <w:lang w:val="es-ES" w:eastAsia="en-US"/>
        </w:rPr>
      </w:pPr>
      <w:r w:rsidRPr="000F216F">
        <w:rPr>
          <w:rFonts w:eastAsia="Calibri"/>
          <w:vertAlign w:val="superscript"/>
          <w:lang w:val="es-ES" w:eastAsia="en-US"/>
        </w:rPr>
        <w:t>4</w:t>
      </w:r>
      <w:r w:rsidRPr="000F216F">
        <w:rPr>
          <w:rFonts w:eastAsia="Calibri"/>
          <w:lang w:val="es-ES" w:eastAsia="en-US"/>
        </w:rPr>
        <w:t xml:space="preserve">Instituto de Medicina Tropical “Pedro </w:t>
      </w:r>
      <w:proofErr w:type="spellStart"/>
      <w:r w:rsidRPr="000F216F">
        <w:rPr>
          <w:rFonts w:eastAsia="Calibri"/>
          <w:lang w:val="es-ES" w:eastAsia="en-US"/>
        </w:rPr>
        <w:t>Kourí</w:t>
      </w:r>
      <w:proofErr w:type="spellEnd"/>
      <w:r w:rsidRPr="000F216F">
        <w:rPr>
          <w:rFonts w:eastAsia="Calibri"/>
          <w:lang w:val="es-ES" w:eastAsia="en-US"/>
        </w:rPr>
        <w:t>”. La Habana, Cuba.</w:t>
      </w:r>
    </w:p>
    <w:p w14:paraId="00A11D24" w14:textId="77777777" w:rsidR="000F216F" w:rsidRPr="000F216F" w:rsidRDefault="000F216F" w:rsidP="000F216F">
      <w:pPr>
        <w:spacing w:line="360" w:lineRule="auto"/>
        <w:rPr>
          <w:rFonts w:eastAsia="Calibri"/>
          <w:lang w:val="es-ES" w:eastAsia="en-US"/>
        </w:rPr>
      </w:pPr>
      <w:r w:rsidRPr="000F216F">
        <w:rPr>
          <w:rFonts w:eastAsia="Calibri"/>
          <w:vertAlign w:val="superscript"/>
          <w:lang w:val="es-ES" w:eastAsia="en-US"/>
        </w:rPr>
        <w:t>5</w:t>
      </w:r>
      <w:r w:rsidRPr="000F216F">
        <w:rPr>
          <w:rFonts w:eastAsia="Calibri"/>
          <w:lang w:val="es-ES" w:eastAsia="en-US"/>
        </w:rPr>
        <w:t>Instituto de Nefrología “Dr. Abelardo Buch López”. La Habana, Cuba.</w:t>
      </w:r>
    </w:p>
    <w:p w14:paraId="3FE7AE11" w14:textId="77777777" w:rsidR="000F216F" w:rsidRPr="000F216F" w:rsidRDefault="000F216F" w:rsidP="000F216F">
      <w:pPr>
        <w:spacing w:line="360" w:lineRule="auto"/>
        <w:rPr>
          <w:rFonts w:eastAsia="Calibri"/>
          <w:lang w:val="es-ES" w:eastAsia="en-US"/>
        </w:rPr>
      </w:pPr>
    </w:p>
    <w:p w14:paraId="360DA0AA" w14:textId="77777777" w:rsidR="000F216F" w:rsidRPr="000F216F" w:rsidRDefault="000F216F" w:rsidP="000F216F">
      <w:pPr>
        <w:spacing w:line="360" w:lineRule="auto"/>
        <w:rPr>
          <w:rFonts w:eastAsia="Calibri"/>
          <w:lang w:val="es-ES" w:eastAsia="en-US"/>
        </w:rPr>
      </w:pPr>
      <w:r w:rsidRPr="000F216F">
        <w:rPr>
          <w:rFonts w:eastAsia="Calibri"/>
          <w:lang w:val="es-ES" w:eastAsia="en-US"/>
        </w:rPr>
        <w:t xml:space="preserve">*Autor para la correspondencia. Correo electrónico: </w:t>
      </w:r>
      <w:hyperlink r:id="rId16" w:history="1">
        <w:r w:rsidRPr="000F216F">
          <w:rPr>
            <w:rFonts w:eastAsia="Calibri"/>
            <w:color w:val="0563C1"/>
            <w:u w:val="single"/>
            <w:lang w:val="es-ES" w:eastAsia="en-US"/>
          </w:rPr>
          <w:t>jhurtado@infomed.sld.cu</w:t>
        </w:r>
      </w:hyperlink>
      <w:r w:rsidRPr="000F216F">
        <w:rPr>
          <w:rFonts w:eastAsia="Calibri"/>
          <w:lang w:val="es-ES" w:eastAsia="en-US"/>
        </w:rPr>
        <w:t xml:space="preserve"> </w:t>
      </w:r>
    </w:p>
    <w:p w14:paraId="43D95A92" w14:textId="77777777" w:rsidR="000F216F" w:rsidRPr="000F216F" w:rsidRDefault="000F216F" w:rsidP="000F216F">
      <w:pPr>
        <w:spacing w:line="360" w:lineRule="auto"/>
        <w:rPr>
          <w:rFonts w:eastAsia="Calibri"/>
          <w:lang w:val="es-ES" w:eastAsia="en-US"/>
        </w:rPr>
      </w:pPr>
    </w:p>
    <w:p w14:paraId="04747174" w14:textId="77777777" w:rsidR="000F216F" w:rsidRPr="000F216F" w:rsidRDefault="000F216F" w:rsidP="000F216F">
      <w:pPr>
        <w:spacing w:line="360" w:lineRule="auto"/>
        <w:rPr>
          <w:rFonts w:eastAsia="Calibri"/>
          <w:b/>
          <w:lang w:val="es-ES" w:eastAsia="en-US"/>
        </w:rPr>
      </w:pPr>
      <w:r w:rsidRPr="000F216F">
        <w:rPr>
          <w:rFonts w:eastAsia="Calibri"/>
          <w:b/>
          <w:lang w:val="es-ES" w:eastAsia="en-US"/>
        </w:rPr>
        <w:t>RESUMEN</w:t>
      </w:r>
    </w:p>
    <w:p w14:paraId="02311D86" w14:textId="77777777" w:rsidR="000F216F" w:rsidRPr="000F216F" w:rsidRDefault="000F216F" w:rsidP="000F216F">
      <w:pPr>
        <w:spacing w:line="360" w:lineRule="auto"/>
        <w:jc w:val="both"/>
        <w:rPr>
          <w:rFonts w:eastAsia="Calibri"/>
          <w:color w:val="000000"/>
          <w:lang w:val="es-ES" w:eastAsia="en-US"/>
        </w:rPr>
      </w:pPr>
      <w:r w:rsidRPr="000F216F">
        <w:rPr>
          <w:rFonts w:eastAsia="Calibri"/>
          <w:b/>
          <w:lang w:val="es-ES" w:eastAsia="en-US"/>
        </w:rPr>
        <w:t xml:space="preserve">Introducción: </w:t>
      </w:r>
      <w:r w:rsidRPr="000F216F">
        <w:rPr>
          <w:rFonts w:eastAsia="Calibri"/>
          <w:lang w:val="es-ES" w:eastAsia="en-US"/>
        </w:rPr>
        <w:t>La pandemia de la COVID-19 ha sido la mayor del siglo actual y motivo de numerosos trabajos científicos. En Cuba se ha constituido el Grupo Temporal de Anatomía Patológica para estudiar las autopsias de los fallecidos por la COVID-19 (más de 400).</w:t>
      </w:r>
      <w:r w:rsidRPr="000F216F">
        <w:rPr>
          <w:rFonts w:eastAsia="Calibri"/>
          <w:b/>
          <w:lang w:val="es-ES" w:eastAsia="en-US"/>
        </w:rPr>
        <w:t xml:space="preserve"> </w:t>
      </w:r>
      <w:r w:rsidRPr="000F216F">
        <w:rPr>
          <w:rFonts w:eastAsia="Calibri"/>
          <w:lang w:val="es-ES" w:eastAsia="en-US"/>
        </w:rPr>
        <w:t xml:space="preserve">Los </w:t>
      </w:r>
      <w:r w:rsidRPr="000F216F">
        <w:rPr>
          <w:rFonts w:eastAsia="Calibri"/>
          <w:color w:val="000000"/>
          <w:lang w:val="es-ES" w:eastAsia="en-US"/>
        </w:rPr>
        <w:t xml:space="preserve">certificados médicos de defunción, </w:t>
      </w:r>
      <w:r w:rsidRPr="000F216F">
        <w:rPr>
          <w:rFonts w:eastAsia="Calibri"/>
          <w:color w:val="000000"/>
          <w:lang w:val="es-ES" w:eastAsia="en-US"/>
        </w:rPr>
        <w:lastRenderedPageBreak/>
        <w:t xml:space="preserve">documentos de inestimable valor, en Cuba se reparan de acuerdo a los resultados de las autopsias, para elevar su calidad. </w:t>
      </w:r>
    </w:p>
    <w:p w14:paraId="314661DE" w14:textId="77777777" w:rsidR="000F216F" w:rsidRPr="000F216F" w:rsidRDefault="000F216F" w:rsidP="000F216F">
      <w:pPr>
        <w:spacing w:line="360" w:lineRule="auto"/>
        <w:jc w:val="both"/>
        <w:rPr>
          <w:rFonts w:eastAsia="Calibri"/>
          <w:color w:val="000000"/>
          <w:lang w:val="es-ES" w:eastAsia="en-US"/>
        </w:rPr>
      </w:pPr>
      <w:r w:rsidRPr="000F216F">
        <w:rPr>
          <w:rFonts w:eastAsia="Calibri"/>
          <w:b/>
          <w:color w:val="000000"/>
          <w:lang w:val="es-ES" w:eastAsia="en-US"/>
        </w:rPr>
        <w:t>Objetivos</w:t>
      </w:r>
      <w:r w:rsidRPr="000F216F">
        <w:rPr>
          <w:rFonts w:eastAsia="Calibri"/>
          <w:color w:val="000000"/>
          <w:lang w:val="es-ES" w:eastAsia="en-US"/>
        </w:rPr>
        <w:t xml:space="preserve">: Evaluar los resultados de las autopsias con diagnósticos de COVID-19, comparadas con los certificados médicos de defunción. </w:t>
      </w:r>
    </w:p>
    <w:p w14:paraId="7425405D" w14:textId="77777777" w:rsidR="000F216F" w:rsidRPr="000F216F" w:rsidRDefault="000F216F" w:rsidP="000F216F">
      <w:pPr>
        <w:spacing w:line="360" w:lineRule="auto"/>
        <w:jc w:val="both"/>
        <w:rPr>
          <w:rFonts w:eastAsia="Calibri"/>
          <w:lang w:val="es-ES" w:eastAsia="en-US"/>
        </w:rPr>
      </w:pPr>
      <w:r w:rsidRPr="000F216F">
        <w:rPr>
          <w:rFonts w:eastAsia="Calibri"/>
          <w:b/>
          <w:lang w:val="es-ES" w:eastAsia="en-US"/>
        </w:rPr>
        <w:t xml:space="preserve">Métodos: </w:t>
      </w:r>
      <w:r w:rsidRPr="000F216F">
        <w:rPr>
          <w:rFonts w:eastAsia="Calibri"/>
          <w:lang w:val="es-ES" w:eastAsia="en-US"/>
        </w:rPr>
        <w:t xml:space="preserve">Se evaluaron los diagnósticos de causas de muerte de 65 autopsias del año 2020 con sus certificados médicos de defunción.  Los diagnósticos fueron procesados en el Sistema Automatizado de Registro y Control de Anatomía Patológica. Se analizaron las causas directas de muerte, causas básicas de muerte, causas de muerte intermedias y causas de muerte contribuyentes. Se definió la coincidencia total de ambos diagnósticos, coincidencia parcial, no coincidencia o discrepancia diagnóstica y datos insuficientes. </w:t>
      </w:r>
    </w:p>
    <w:p w14:paraId="542321E6" w14:textId="77777777" w:rsidR="000F216F" w:rsidRPr="000F216F" w:rsidRDefault="000F216F" w:rsidP="000F216F">
      <w:pPr>
        <w:spacing w:line="360" w:lineRule="auto"/>
        <w:jc w:val="both"/>
        <w:rPr>
          <w:rFonts w:eastAsia="Calibri"/>
          <w:lang w:val="es-ES" w:eastAsia="en-US"/>
        </w:rPr>
      </w:pPr>
      <w:r w:rsidRPr="000F216F">
        <w:rPr>
          <w:rFonts w:eastAsia="Calibri"/>
          <w:b/>
          <w:lang w:val="es-ES" w:eastAsia="en-US"/>
        </w:rPr>
        <w:t xml:space="preserve">Resultados:  </w:t>
      </w:r>
      <w:r w:rsidRPr="000F216F">
        <w:rPr>
          <w:rFonts w:eastAsia="Calibri"/>
          <w:lang w:val="es-ES" w:eastAsia="en-US"/>
        </w:rPr>
        <w:t>Las discrepancias diagnósticas de causa básica y directa de muerte son 46,2 % y 60,0 % del total de casos y 19,4 % y 64,5 % cuando la COVID-19 fue causa básica de muerte. Las elevadas cifras de discrepancias diagnósticas, se corresponden con las reportadas en estudios previos,</w:t>
      </w:r>
      <w:r w:rsidRPr="000F216F">
        <w:rPr>
          <w:rFonts w:eastAsia="Calibri"/>
          <w:vertAlign w:val="subscript"/>
          <w:lang w:val="es-ES" w:eastAsia="en-US"/>
        </w:rPr>
        <w:t xml:space="preserve"> </w:t>
      </w:r>
      <w:r w:rsidRPr="000F216F">
        <w:rPr>
          <w:rFonts w:eastAsia="Calibri"/>
          <w:lang w:val="es-ES" w:eastAsia="en-US"/>
        </w:rPr>
        <w:t>tanto en diagnósticos clínicos como en los certificados médicos de defunción.</w:t>
      </w:r>
    </w:p>
    <w:p w14:paraId="62D866F8" w14:textId="77777777" w:rsidR="000F216F" w:rsidRPr="000F216F" w:rsidRDefault="000F216F" w:rsidP="000F216F">
      <w:pPr>
        <w:spacing w:line="360" w:lineRule="auto"/>
        <w:jc w:val="both"/>
        <w:rPr>
          <w:rFonts w:eastAsia="Calibri"/>
          <w:lang w:val="es-ES" w:eastAsia="en-US"/>
        </w:rPr>
      </w:pPr>
      <w:r w:rsidRPr="000F216F">
        <w:rPr>
          <w:rFonts w:eastAsia="Calibri"/>
          <w:b/>
          <w:bCs/>
          <w:lang w:val="es-ES" w:eastAsia="en-US"/>
        </w:rPr>
        <w:t>C</w:t>
      </w:r>
      <w:r w:rsidRPr="000F216F">
        <w:rPr>
          <w:rFonts w:eastAsia="Calibri"/>
          <w:b/>
          <w:lang w:val="es-ES" w:eastAsia="en-US"/>
        </w:rPr>
        <w:t>onclusiones:</w:t>
      </w:r>
      <w:r w:rsidRPr="000F216F">
        <w:rPr>
          <w:rFonts w:eastAsia="Calibri"/>
          <w:lang w:val="es-ES" w:eastAsia="en-US"/>
        </w:rPr>
        <w:t xml:space="preserve"> Existe elevadas cifras de discrepancias diagnósticas en </w:t>
      </w:r>
      <w:r w:rsidRPr="000F216F">
        <w:rPr>
          <w:rFonts w:eastAsia="Calibri"/>
          <w:color w:val="000000"/>
          <w:lang w:val="es-ES" w:eastAsia="en-US"/>
        </w:rPr>
        <w:t>los resultados de las autopsias con diagnósticos de COVID-19, comparadas con los certificados médicos de defunción.</w:t>
      </w:r>
    </w:p>
    <w:p w14:paraId="22F31FF2" w14:textId="77777777" w:rsidR="000F216F" w:rsidRPr="000F216F" w:rsidRDefault="000F216F" w:rsidP="000F216F">
      <w:pPr>
        <w:spacing w:line="360" w:lineRule="auto"/>
        <w:jc w:val="both"/>
        <w:rPr>
          <w:rFonts w:eastAsia="Calibri"/>
          <w:lang w:val="es-ES" w:eastAsia="en-US"/>
        </w:rPr>
      </w:pPr>
      <w:r w:rsidRPr="000F216F">
        <w:rPr>
          <w:rFonts w:eastAsia="Calibri"/>
          <w:b/>
          <w:bCs/>
          <w:lang w:val="es-ES" w:eastAsia="en-US"/>
        </w:rPr>
        <w:t>Palabras clave:</w:t>
      </w:r>
      <w:r w:rsidRPr="000F216F">
        <w:rPr>
          <w:rFonts w:eastAsia="Calibri"/>
          <w:lang w:val="es-ES" w:eastAsia="en-US"/>
        </w:rPr>
        <w:t xml:space="preserve"> COVID-19; autopsia; </w:t>
      </w:r>
      <w:r w:rsidRPr="000F216F">
        <w:rPr>
          <w:rFonts w:eastAsia="Calibri"/>
          <w:color w:val="000000"/>
          <w:lang w:val="es-ES" w:eastAsia="en-US"/>
        </w:rPr>
        <w:t>certificado médico de defunción</w:t>
      </w:r>
      <w:r w:rsidRPr="000F216F">
        <w:rPr>
          <w:rFonts w:eastAsia="Calibri"/>
          <w:lang w:val="es-ES" w:eastAsia="en-US"/>
        </w:rPr>
        <w:t>; discrepancia diagnóstica; causa de muerte; SARCAP.</w:t>
      </w:r>
    </w:p>
    <w:p w14:paraId="641D574F" w14:textId="77777777" w:rsidR="000F216F" w:rsidRPr="000F216F" w:rsidRDefault="000F216F" w:rsidP="000F216F">
      <w:pPr>
        <w:spacing w:line="360" w:lineRule="auto"/>
        <w:rPr>
          <w:rFonts w:eastAsia="Calibri"/>
          <w:b/>
          <w:lang w:val="es-ES" w:eastAsia="en-US"/>
        </w:rPr>
      </w:pPr>
    </w:p>
    <w:p w14:paraId="54AB6E14" w14:textId="77777777" w:rsidR="000F216F" w:rsidRPr="000F216F" w:rsidRDefault="000F216F" w:rsidP="000F216F">
      <w:pPr>
        <w:spacing w:line="360" w:lineRule="auto"/>
        <w:jc w:val="both"/>
        <w:rPr>
          <w:rFonts w:eastAsia="Calibri"/>
          <w:b/>
          <w:lang w:val="en-US" w:eastAsia="en-US"/>
        </w:rPr>
      </w:pPr>
      <w:r w:rsidRPr="000F216F">
        <w:rPr>
          <w:rFonts w:eastAsia="Calibri"/>
          <w:b/>
          <w:lang w:val="en-US" w:eastAsia="en-US"/>
        </w:rPr>
        <w:t>ABSTRACT</w:t>
      </w:r>
    </w:p>
    <w:p w14:paraId="4FAAE32F" w14:textId="77777777" w:rsidR="000F216F" w:rsidRPr="000F216F" w:rsidRDefault="000F216F" w:rsidP="000F216F">
      <w:pPr>
        <w:spacing w:line="360" w:lineRule="auto"/>
        <w:jc w:val="both"/>
        <w:rPr>
          <w:rFonts w:eastAsia="Calibri"/>
          <w:lang w:val="en-US" w:eastAsia="en-US"/>
        </w:rPr>
      </w:pPr>
      <w:r w:rsidRPr="000F216F">
        <w:rPr>
          <w:rFonts w:eastAsia="Calibri"/>
          <w:b/>
          <w:bCs/>
          <w:lang w:val="en-US" w:eastAsia="en-US"/>
        </w:rPr>
        <w:t>Introduction:</w:t>
      </w:r>
      <w:r w:rsidRPr="000F216F">
        <w:rPr>
          <w:rFonts w:eastAsia="Calibri"/>
          <w:lang w:val="en-US" w:eastAsia="en-US"/>
        </w:rPr>
        <w:t xml:space="preserve"> The COVID-19 pandemic has been the largest in the current century and the reason for numerous scientific works. In Cuba, the Temporary Group of Pathological Anatomy has been established to study the autopsies of those who died from COVID-19 (more than 400). The medical death certificates, documents of inestimable value, in Cuba are repaired according to the results of the autopsies, to raise their quality.</w:t>
      </w:r>
    </w:p>
    <w:p w14:paraId="69DA6DD2" w14:textId="77777777" w:rsidR="000F216F" w:rsidRPr="000F216F" w:rsidRDefault="000F216F" w:rsidP="000F216F">
      <w:pPr>
        <w:spacing w:line="360" w:lineRule="auto"/>
        <w:jc w:val="both"/>
        <w:rPr>
          <w:rFonts w:eastAsia="Calibri"/>
          <w:lang w:val="en-US" w:eastAsia="en-US"/>
        </w:rPr>
      </w:pPr>
      <w:r w:rsidRPr="000F216F">
        <w:rPr>
          <w:rFonts w:eastAsia="Calibri"/>
          <w:b/>
          <w:bCs/>
          <w:lang w:val="en-US" w:eastAsia="en-US"/>
        </w:rPr>
        <w:t>Objectives:</w:t>
      </w:r>
      <w:r w:rsidRPr="000F216F">
        <w:rPr>
          <w:rFonts w:eastAsia="Calibri"/>
          <w:lang w:val="en-US" w:eastAsia="en-US"/>
        </w:rPr>
        <w:t xml:space="preserve"> To evaluate the results of autopsies with COVID-19 diagnoses, compared to medical death certificates.</w:t>
      </w:r>
    </w:p>
    <w:p w14:paraId="7BB3F2C4" w14:textId="77777777" w:rsidR="000F216F" w:rsidRPr="000F216F" w:rsidRDefault="000F216F" w:rsidP="000F216F">
      <w:pPr>
        <w:spacing w:line="360" w:lineRule="auto"/>
        <w:jc w:val="both"/>
        <w:rPr>
          <w:rFonts w:eastAsia="Calibri"/>
          <w:lang w:val="en-US" w:eastAsia="en-US"/>
        </w:rPr>
      </w:pPr>
      <w:r w:rsidRPr="000F216F">
        <w:rPr>
          <w:rFonts w:eastAsia="Calibri"/>
          <w:b/>
          <w:bCs/>
          <w:lang w:val="en-US" w:eastAsia="en-US"/>
        </w:rPr>
        <w:t>Methods:</w:t>
      </w:r>
      <w:r w:rsidRPr="000F216F">
        <w:rPr>
          <w:rFonts w:eastAsia="Calibri"/>
          <w:lang w:val="en-US" w:eastAsia="en-US"/>
        </w:rPr>
        <w:t xml:space="preserve"> The diagnoses of causes of death of 65 autopsies of the year 2020 were evaluated with their medical death certificates. The diagnoses were processed in the Automated System for the Registration </w:t>
      </w:r>
      <w:r w:rsidRPr="000F216F">
        <w:rPr>
          <w:rFonts w:eastAsia="Calibri"/>
          <w:lang w:val="en-US" w:eastAsia="en-US"/>
        </w:rPr>
        <w:lastRenderedPageBreak/>
        <w:t>and Control of Pathology. Direct causes of death, basic causes of death, intermediate causes of death, and contributing causes of death were analyzed. The total agreement of both diagnoses was defined, partial agreement, diagnostic mismatch or discrepancy, and insufficient data.</w:t>
      </w:r>
    </w:p>
    <w:p w14:paraId="41755578" w14:textId="77777777" w:rsidR="000F216F" w:rsidRPr="000F216F" w:rsidRDefault="000F216F" w:rsidP="000F216F">
      <w:pPr>
        <w:spacing w:line="360" w:lineRule="auto"/>
        <w:jc w:val="both"/>
        <w:rPr>
          <w:rFonts w:eastAsia="Calibri"/>
          <w:lang w:val="en-US" w:eastAsia="en-US"/>
        </w:rPr>
      </w:pPr>
      <w:r w:rsidRPr="000F216F">
        <w:rPr>
          <w:rFonts w:eastAsia="Calibri"/>
          <w:b/>
          <w:bCs/>
          <w:lang w:val="en-US" w:eastAsia="en-US"/>
        </w:rPr>
        <w:t>Results:</w:t>
      </w:r>
      <w:r w:rsidRPr="000F216F">
        <w:rPr>
          <w:rFonts w:eastAsia="Calibri"/>
          <w:lang w:val="en-US" w:eastAsia="en-US"/>
        </w:rPr>
        <w:t xml:space="preserve"> Diagnostic discrepancies of basic and direct cause of death are 46.2 % and 60.0 % of all cases and 19.4 % and 64.5 % when COVID-19 was basic cause of death. The high figures for diagnostic discrepancies correspond to those reported in previous studies, both in clinical diagnoses and in medical death certificates.</w:t>
      </w:r>
    </w:p>
    <w:p w14:paraId="4D5CB7A2" w14:textId="77777777" w:rsidR="000F216F" w:rsidRPr="000F216F" w:rsidRDefault="000F216F" w:rsidP="000F216F">
      <w:pPr>
        <w:spacing w:line="360" w:lineRule="auto"/>
        <w:jc w:val="both"/>
        <w:rPr>
          <w:lang w:val="en" w:eastAsia="es-ES"/>
        </w:rPr>
      </w:pPr>
      <w:r w:rsidRPr="000F216F">
        <w:rPr>
          <w:rFonts w:eastAsia="Calibri"/>
          <w:b/>
          <w:bCs/>
          <w:lang w:val="en-US" w:eastAsia="en-US"/>
        </w:rPr>
        <w:t>Conclusions:</w:t>
      </w:r>
      <w:r w:rsidRPr="000F216F">
        <w:rPr>
          <w:rFonts w:eastAsia="Calibri"/>
          <w:lang w:val="en-US" w:eastAsia="en-US"/>
        </w:rPr>
        <w:t xml:space="preserve"> There are high numbers of diagnostic discrepancies compared with the results of autopsies with COVID-19 diagnoses, compared to medical death certificates.</w:t>
      </w:r>
    </w:p>
    <w:p w14:paraId="78FD8FEC" w14:textId="77777777" w:rsidR="000F216F" w:rsidRPr="000F216F" w:rsidRDefault="000F216F" w:rsidP="000F216F">
      <w:pPr>
        <w:spacing w:line="360" w:lineRule="auto"/>
        <w:jc w:val="both"/>
        <w:rPr>
          <w:rFonts w:eastAsia="Calibri"/>
          <w:lang w:val="en-US" w:eastAsia="en-US"/>
        </w:rPr>
      </w:pPr>
      <w:r w:rsidRPr="000F216F">
        <w:rPr>
          <w:rFonts w:eastAsia="Calibri"/>
          <w:b/>
          <w:bCs/>
          <w:lang w:val="en-US" w:eastAsia="en-US"/>
        </w:rPr>
        <w:t>Keywords:</w:t>
      </w:r>
      <w:r w:rsidRPr="000F216F">
        <w:rPr>
          <w:rFonts w:eastAsia="Calibri"/>
          <w:lang w:val="en-US" w:eastAsia="en-US"/>
        </w:rPr>
        <w:t xml:space="preserve"> COVID-19; autopsy; medical death certificates; diagnostic discrepancies; causes of death; SARCAP.</w:t>
      </w:r>
    </w:p>
    <w:p w14:paraId="32875B47" w14:textId="77777777" w:rsidR="000F216F" w:rsidRPr="000F216F" w:rsidRDefault="000F216F" w:rsidP="000F216F">
      <w:pPr>
        <w:spacing w:line="360" w:lineRule="auto"/>
        <w:jc w:val="both"/>
        <w:rPr>
          <w:rFonts w:eastAsia="Calibri"/>
          <w:lang w:val="en-US" w:eastAsia="en-US"/>
        </w:rPr>
      </w:pPr>
    </w:p>
    <w:p w14:paraId="0DC58717" w14:textId="77777777" w:rsidR="000F216F" w:rsidRPr="000F216F" w:rsidRDefault="000F216F" w:rsidP="000F216F">
      <w:pPr>
        <w:spacing w:line="360" w:lineRule="auto"/>
        <w:jc w:val="both"/>
        <w:rPr>
          <w:rFonts w:eastAsia="Calibri"/>
          <w:lang w:val="en-US" w:eastAsia="en-US"/>
        </w:rPr>
      </w:pPr>
    </w:p>
    <w:p w14:paraId="6DDC3E17" w14:textId="77777777" w:rsidR="000F216F" w:rsidRPr="000F216F" w:rsidRDefault="000F216F" w:rsidP="000F216F">
      <w:pPr>
        <w:spacing w:line="360" w:lineRule="auto"/>
        <w:jc w:val="both"/>
        <w:rPr>
          <w:rFonts w:eastAsia="Calibri"/>
          <w:lang w:val="es-CU" w:eastAsia="en-US"/>
        </w:rPr>
      </w:pPr>
      <w:r w:rsidRPr="000F216F">
        <w:rPr>
          <w:rFonts w:eastAsia="Calibri"/>
          <w:lang w:val="es-CU" w:eastAsia="en-US"/>
        </w:rPr>
        <w:t>Recibido: 12/10/2021</w:t>
      </w:r>
    </w:p>
    <w:p w14:paraId="3546F629" w14:textId="77777777" w:rsidR="000F216F" w:rsidRPr="000F216F" w:rsidRDefault="000F216F" w:rsidP="000F216F">
      <w:pPr>
        <w:spacing w:line="360" w:lineRule="auto"/>
        <w:jc w:val="both"/>
        <w:rPr>
          <w:rFonts w:eastAsia="Calibri"/>
          <w:lang w:val="es-CU" w:eastAsia="en-US"/>
        </w:rPr>
      </w:pPr>
      <w:r w:rsidRPr="000F216F">
        <w:rPr>
          <w:rFonts w:eastAsia="Calibri"/>
          <w:lang w:val="es-CU" w:eastAsia="en-US"/>
        </w:rPr>
        <w:t>Aprobado: 11/12/2021</w:t>
      </w:r>
    </w:p>
    <w:p w14:paraId="7E5E5BD5" w14:textId="77777777" w:rsidR="000F216F" w:rsidRPr="000F216F" w:rsidRDefault="000F216F" w:rsidP="000F216F">
      <w:pPr>
        <w:spacing w:line="360" w:lineRule="auto"/>
        <w:jc w:val="both"/>
        <w:rPr>
          <w:rFonts w:eastAsia="Calibri"/>
          <w:lang w:val="es-CU" w:eastAsia="en-US"/>
        </w:rPr>
      </w:pPr>
    </w:p>
    <w:p w14:paraId="04F5EB86" w14:textId="77777777" w:rsidR="000F216F" w:rsidRPr="000F216F" w:rsidRDefault="000F216F" w:rsidP="000F216F">
      <w:pPr>
        <w:spacing w:line="360" w:lineRule="auto"/>
        <w:jc w:val="both"/>
        <w:rPr>
          <w:rFonts w:eastAsia="Calibri"/>
          <w:lang w:val="es-ES" w:eastAsia="en-US"/>
        </w:rPr>
      </w:pPr>
    </w:p>
    <w:p w14:paraId="695931F1" w14:textId="77777777" w:rsidR="000F216F" w:rsidRPr="000F216F" w:rsidRDefault="000F216F" w:rsidP="000F216F">
      <w:pPr>
        <w:spacing w:line="360" w:lineRule="auto"/>
        <w:jc w:val="center"/>
        <w:rPr>
          <w:rFonts w:eastAsia="Calibri"/>
          <w:b/>
          <w:bCs/>
          <w:sz w:val="32"/>
          <w:szCs w:val="32"/>
          <w:lang w:val="es-ES" w:eastAsia="en-US"/>
        </w:rPr>
      </w:pPr>
      <w:r w:rsidRPr="000F216F">
        <w:rPr>
          <w:rFonts w:eastAsia="Calibri"/>
          <w:b/>
          <w:bCs/>
          <w:sz w:val="32"/>
          <w:szCs w:val="32"/>
          <w:lang w:val="es-ES" w:eastAsia="en-US"/>
        </w:rPr>
        <w:t>INTRODUCCIÓN</w:t>
      </w:r>
    </w:p>
    <w:p w14:paraId="1DDDE895"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La pandemia de la COVID-19 ha sido la mayor del siglo actual y el mayor desastre sanitario, social y económico sufrido por la humanidad desde la Segunda Guerra Mundial, lo cual es motivo de numerosos trabajos científicos, interesados en encontrar solución a los múltiples problemas que causa. Las autopsias, ampliamente reconocidas como el mejor y más completo estudio de las causas de muerte (CM), han sido limitadas en cantidad en distintos países.</w:t>
      </w:r>
      <w:r w:rsidRPr="000F216F">
        <w:rPr>
          <w:rFonts w:eastAsia="Calibri"/>
          <w:vertAlign w:val="superscript"/>
          <w:lang w:val="es-ES" w:eastAsia="en-US"/>
        </w:rPr>
        <w:t>(1)</w:t>
      </w:r>
      <w:r w:rsidRPr="000F216F">
        <w:rPr>
          <w:rFonts w:eastAsia="Calibri"/>
          <w:lang w:val="es-ES" w:eastAsia="en-US"/>
        </w:rPr>
        <w:t xml:space="preserve"> En Cuba, desde que se aprobó el primer protocolo del Ministerio de Salud Pública (Minsap) para el enfrentamiento a la COVID-19, se estableció la realización de autopsias parciales a pacientes sospechosos. Posteriormente se autorizó además, en los confirmados, lo cual ha sido acogido por un grupo de patólogos y técnicos, a lo largo del país, desde el mes de abril del 2020, cuando además, se constituyó el Grupo Temporal de Anatomía Patológica, integrado por profesores de la especialidad, autores de este trabajo, para estudiar las autopsias de los fallecidos </w:t>
      </w:r>
      <w:r w:rsidRPr="000F216F">
        <w:rPr>
          <w:rFonts w:eastAsia="Calibri"/>
          <w:lang w:val="es-ES" w:eastAsia="en-US"/>
        </w:rPr>
        <w:lastRenderedPageBreak/>
        <w:t>relacionados con la COVID-19 en Cuba.</w:t>
      </w:r>
      <w:r w:rsidRPr="000F216F">
        <w:rPr>
          <w:rFonts w:eastAsia="Calibri"/>
          <w:vertAlign w:val="superscript"/>
          <w:lang w:val="es-ES" w:eastAsia="en-US"/>
        </w:rPr>
        <w:t>(2)</w:t>
      </w:r>
      <w:r w:rsidRPr="000F216F">
        <w:rPr>
          <w:rFonts w:eastAsia="Calibri"/>
          <w:lang w:val="es-ES" w:eastAsia="en-US"/>
        </w:rPr>
        <w:t xml:space="preserve"> Se cumplen todas las normas de bioseguridad establecidas; hasta el mes de agosto del 2021, el grupo ha estudiado más de 400 autopsias. </w:t>
      </w:r>
    </w:p>
    <w:p w14:paraId="65306389" w14:textId="77777777" w:rsidR="000F216F" w:rsidRPr="000F216F" w:rsidRDefault="000F216F" w:rsidP="000F216F">
      <w:pPr>
        <w:spacing w:line="360" w:lineRule="auto"/>
        <w:jc w:val="both"/>
        <w:rPr>
          <w:rFonts w:eastAsia="Calibri"/>
          <w:color w:val="000000"/>
          <w:lang w:val="es-ES" w:eastAsia="en-US"/>
        </w:rPr>
      </w:pPr>
      <w:r w:rsidRPr="000F216F">
        <w:rPr>
          <w:rFonts w:eastAsia="Calibri"/>
          <w:lang w:val="es-ES" w:eastAsia="en-US"/>
        </w:rPr>
        <w:t xml:space="preserve">Los </w:t>
      </w:r>
      <w:r w:rsidRPr="000F216F">
        <w:rPr>
          <w:rFonts w:eastAsia="Calibri"/>
          <w:color w:val="000000"/>
          <w:lang w:val="es-ES" w:eastAsia="en-US"/>
        </w:rPr>
        <w:t>certificados médicos de defunción (CMD) son documentos de inestimable valor, por ser la fuente principal de las estadísticas de mortalidad de un país y por tanto es necesaria su mayor calidad.</w:t>
      </w:r>
      <w:r w:rsidRPr="000F216F">
        <w:rPr>
          <w:rFonts w:eastAsia="Calibri"/>
          <w:vertAlign w:val="superscript"/>
          <w:lang w:val="es-ES" w:eastAsia="en-US"/>
        </w:rPr>
        <w:t>(3,4,5,6,7)</w:t>
      </w:r>
      <w:r w:rsidRPr="000F216F">
        <w:rPr>
          <w:rFonts w:eastAsia="Calibri"/>
          <w:color w:val="000000"/>
          <w:lang w:val="es-ES" w:eastAsia="en-US"/>
        </w:rPr>
        <w:t xml:space="preserve"> En Cuba, se realizan en los hospitales, las llamadas reuniones de “reparo” del CMD. Se comparan los diagnósticos de CM de las autopsias, con los del CMD y se le hacen las aclaraciones necesarias, para obtener la mayor calidad de estos documentos.</w:t>
      </w:r>
    </w:p>
    <w:p w14:paraId="0C675C95" w14:textId="77777777" w:rsidR="000F216F" w:rsidRPr="000F216F" w:rsidRDefault="000F216F" w:rsidP="000F216F">
      <w:pPr>
        <w:spacing w:line="360" w:lineRule="auto"/>
        <w:jc w:val="both"/>
        <w:rPr>
          <w:rFonts w:eastAsia="Calibri"/>
          <w:color w:val="000000"/>
          <w:lang w:val="es-ES" w:eastAsia="en-US"/>
        </w:rPr>
      </w:pPr>
      <w:r w:rsidRPr="000F216F">
        <w:rPr>
          <w:rFonts w:eastAsia="Calibri"/>
          <w:color w:val="000000"/>
          <w:lang w:val="es-ES" w:eastAsia="en-US"/>
        </w:rPr>
        <w:t xml:space="preserve">Las publicaciones que comparan y evalúan los diagnósticos de CM en los CMD son escasos, entre otros factores, debido a la escasez de autopsias realizadas mundialmente. </w:t>
      </w:r>
    </w:p>
    <w:p w14:paraId="7457837D" w14:textId="77777777" w:rsidR="000F216F" w:rsidRPr="000F216F" w:rsidRDefault="000F216F" w:rsidP="000F216F">
      <w:pPr>
        <w:spacing w:line="360" w:lineRule="auto"/>
        <w:jc w:val="both"/>
        <w:rPr>
          <w:rFonts w:eastAsia="Calibri"/>
          <w:lang w:val="es-ES" w:eastAsia="en-US"/>
        </w:rPr>
      </w:pPr>
      <w:r w:rsidRPr="000F216F">
        <w:rPr>
          <w:rFonts w:eastAsia="Calibri"/>
          <w:color w:val="000000"/>
          <w:lang w:val="es-ES" w:eastAsia="en-US"/>
        </w:rPr>
        <w:t>Este trabajo se realiza con el objetivo de comparar los resultados de las autopsias realizadas a los pacientes fallecidos con diagnósticos de COVID-19, con los de los CMD y evaluar su calidad.</w:t>
      </w:r>
    </w:p>
    <w:p w14:paraId="5C5C3790" w14:textId="77777777" w:rsidR="000F216F" w:rsidRPr="000F216F" w:rsidRDefault="000F216F" w:rsidP="000F216F">
      <w:pPr>
        <w:spacing w:line="360" w:lineRule="auto"/>
        <w:jc w:val="both"/>
        <w:rPr>
          <w:rFonts w:eastAsia="Calibri"/>
          <w:b/>
          <w:lang w:val="es-ES" w:eastAsia="en-US"/>
        </w:rPr>
      </w:pPr>
    </w:p>
    <w:p w14:paraId="58CC718B" w14:textId="77777777" w:rsidR="000F216F" w:rsidRPr="000F216F" w:rsidRDefault="000F216F" w:rsidP="000F216F">
      <w:pPr>
        <w:spacing w:line="360" w:lineRule="auto"/>
        <w:jc w:val="both"/>
        <w:rPr>
          <w:rFonts w:eastAsia="Calibri"/>
          <w:b/>
          <w:lang w:val="es-ES" w:eastAsia="en-US"/>
        </w:rPr>
      </w:pPr>
    </w:p>
    <w:p w14:paraId="362CC05B" w14:textId="77777777" w:rsidR="000F216F" w:rsidRPr="000F216F" w:rsidRDefault="000F216F" w:rsidP="000F216F">
      <w:pPr>
        <w:spacing w:line="360" w:lineRule="auto"/>
        <w:jc w:val="center"/>
        <w:rPr>
          <w:rFonts w:eastAsia="Calibri"/>
          <w:b/>
          <w:sz w:val="32"/>
          <w:szCs w:val="32"/>
          <w:lang w:val="es-ES" w:eastAsia="en-US"/>
        </w:rPr>
      </w:pPr>
      <w:r w:rsidRPr="000F216F">
        <w:rPr>
          <w:rFonts w:eastAsia="Calibri"/>
          <w:b/>
          <w:sz w:val="32"/>
          <w:szCs w:val="32"/>
          <w:lang w:val="es-ES" w:eastAsia="en-US"/>
        </w:rPr>
        <w:t>MÉTODOS</w:t>
      </w:r>
    </w:p>
    <w:p w14:paraId="6DDC3B3F"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Se realizó un estudio comparativo, de los diagnósticos de CM de 65 autopsias y los de los CMD, de pacientes fallecidos relacionados con la COVID-19, durante el año 2020.  Estos diagnósticos fueron introducidos y procesados en el Sistema Automatizado de Registro y Control de Anatomía Patológica (SARCAP).</w:t>
      </w:r>
      <w:r w:rsidRPr="000F216F">
        <w:rPr>
          <w:rFonts w:eastAsia="Calibri"/>
          <w:vertAlign w:val="superscript"/>
          <w:lang w:val="es-ES" w:eastAsia="en-US"/>
        </w:rPr>
        <w:t>(1)</w:t>
      </w:r>
      <w:r w:rsidRPr="000F216F">
        <w:rPr>
          <w:rFonts w:eastAsia="Calibri"/>
          <w:lang w:val="es-ES" w:eastAsia="en-US"/>
        </w:rPr>
        <w:t xml:space="preserve"> Las autopsias, realizadas según la metodología establecida en Cuba,</w:t>
      </w:r>
      <w:r w:rsidRPr="000F216F">
        <w:rPr>
          <w:rFonts w:eastAsia="Calibri"/>
          <w:vertAlign w:val="superscript"/>
          <w:lang w:val="es-ES" w:eastAsia="en-US"/>
        </w:rPr>
        <w:t>(8)</w:t>
      </w:r>
      <w:r w:rsidRPr="000F216F">
        <w:rPr>
          <w:rFonts w:eastAsia="Calibri"/>
          <w:lang w:val="es-ES" w:eastAsia="en-US"/>
        </w:rPr>
        <w:t xml:space="preserve"> fueron llevadas a cabo por patólogos y técnicos de los siguientes hospitales: Hospital Militar Central “Dr. Luis Díaz Soto”; Hospital Clínico Quirúrgico “Salvador Allende”; Hospital Militar “Dr. Mario Muñoz Monroy”; Hospital Militar “Comandante Manuel Fajardo Rivero” y Hospital Clínico Quirúrgico “Amalia </w:t>
      </w:r>
      <w:proofErr w:type="spellStart"/>
      <w:r w:rsidRPr="000F216F">
        <w:rPr>
          <w:rFonts w:eastAsia="Calibri"/>
          <w:lang w:val="es-ES" w:eastAsia="en-US"/>
        </w:rPr>
        <w:t>Simoni</w:t>
      </w:r>
      <w:proofErr w:type="spellEnd"/>
      <w:r w:rsidRPr="000F216F">
        <w:rPr>
          <w:rFonts w:eastAsia="Calibri"/>
          <w:lang w:val="es-ES" w:eastAsia="en-US"/>
        </w:rPr>
        <w:t>”. La metodología cubana sigue los criterios de organizaciones internacionales.</w:t>
      </w:r>
      <w:r w:rsidRPr="000F216F">
        <w:rPr>
          <w:rFonts w:eastAsia="Calibri"/>
          <w:vertAlign w:val="superscript"/>
          <w:lang w:val="es-ES" w:eastAsia="en-US"/>
        </w:rPr>
        <w:t>(9,10)</w:t>
      </w:r>
      <w:r w:rsidRPr="000F216F">
        <w:rPr>
          <w:rFonts w:eastAsia="Calibri"/>
          <w:lang w:val="es-ES" w:eastAsia="en-US"/>
        </w:rPr>
        <w:t xml:space="preserve"> </w:t>
      </w:r>
    </w:p>
    <w:p w14:paraId="34D9D813"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El procedimiento para la comparación y evaluación de los diagnósticos, se realizó según la metodología establecida por el SARCAP.</w:t>
      </w:r>
      <w:r w:rsidRPr="000F216F">
        <w:rPr>
          <w:rFonts w:eastAsia="Calibri"/>
          <w:vertAlign w:val="superscript"/>
          <w:lang w:val="es-ES" w:eastAsia="en-US"/>
        </w:rPr>
        <w:t>(1)</w:t>
      </w:r>
    </w:p>
    <w:p w14:paraId="244311DE"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 xml:space="preserve">El control de calidad externo, es decir, la evaluación de los diagnósticos </w:t>
      </w:r>
      <w:r w:rsidRPr="000F216F">
        <w:rPr>
          <w:rFonts w:eastAsia="Calibri"/>
          <w:i/>
          <w:iCs/>
          <w:lang w:val="es-ES" w:eastAsia="en-US"/>
        </w:rPr>
        <w:t>pre mortem</w:t>
      </w:r>
      <w:r w:rsidRPr="000F216F">
        <w:rPr>
          <w:rFonts w:eastAsia="Calibri"/>
          <w:lang w:val="es-ES" w:eastAsia="en-US"/>
        </w:rPr>
        <w:t>, se facilita al mostrar el SARCAP, los diagnósticos de CM clínicos y anatomopatológicos, así como los espacios para identificar mediante las letras T, P, N, I, es decir:</w:t>
      </w:r>
    </w:p>
    <w:p w14:paraId="3C1137A2" w14:textId="77777777" w:rsidR="000F216F" w:rsidRPr="000F216F" w:rsidRDefault="000F216F" w:rsidP="000F216F">
      <w:pPr>
        <w:spacing w:line="360" w:lineRule="auto"/>
        <w:jc w:val="both"/>
        <w:rPr>
          <w:rFonts w:eastAsia="Calibri"/>
          <w:lang w:val="es-ES" w:eastAsia="en-US"/>
        </w:rPr>
      </w:pPr>
    </w:p>
    <w:p w14:paraId="7B900E5A" w14:textId="77777777" w:rsidR="000F216F" w:rsidRPr="000F216F" w:rsidRDefault="000F216F" w:rsidP="000F216F">
      <w:pPr>
        <w:numPr>
          <w:ilvl w:val="0"/>
          <w:numId w:val="6"/>
        </w:numPr>
        <w:spacing w:line="360" w:lineRule="auto"/>
        <w:jc w:val="both"/>
        <w:rPr>
          <w:rFonts w:eastAsia="Calibri"/>
          <w:lang w:val="es-ES" w:eastAsia="en-US"/>
        </w:rPr>
      </w:pPr>
      <w:r w:rsidRPr="000F216F">
        <w:rPr>
          <w:rFonts w:eastAsia="Calibri"/>
          <w:lang w:val="es-ES" w:eastAsia="en-US"/>
        </w:rPr>
        <w:t>T: coincidencia total de ambos diagnósticos</w:t>
      </w:r>
    </w:p>
    <w:p w14:paraId="60837DFE" w14:textId="77777777" w:rsidR="000F216F" w:rsidRPr="000F216F" w:rsidRDefault="000F216F" w:rsidP="000F216F">
      <w:pPr>
        <w:numPr>
          <w:ilvl w:val="0"/>
          <w:numId w:val="6"/>
        </w:numPr>
        <w:spacing w:line="360" w:lineRule="auto"/>
        <w:jc w:val="both"/>
        <w:rPr>
          <w:rFonts w:eastAsia="Calibri"/>
          <w:lang w:val="es-ES" w:eastAsia="en-US"/>
        </w:rPr>
      </w:pPr>
      <w:r w:rsidRPr="000F216F">
        <w:rPr>
          <w:rFonts w:eastAsia="Calibri"/>
          <w:lang w:val="es-ES" w:eastAsia="en-US"/>
        </w:rPr>
        <w:lastRenderedPageBreak/>
        <w:t>P: coincidencia parcial de ambos diagnósticos</w:t>
      </w:r>
    </w:p>
    <w:p w14:paraId="2F85574F" w14:textId="77777777" w:rsidR="000F216F" w:rsidRPr="000F216F" w:rsidRDefault="000F216F" w:rsidP="000F216F">
      <w:pPr>
        <w:numPr>
          <w:ilvl w:val="0"/>
          <w:numId w:val="6"/>
        </w:numPr>
        <w:spacing w:line="360" w:lineRule="auto"/>
        <w:jc w:val="both"/>
        <w:rPr>
          <w:rFonts w:eastAsia="Calibri"/>
          <w:lang w:val="pt-PT" w:eastAsia="en-US"/>
        </w:rPr>
      </w:pPr>
      <w:r w:rsidRPr="000F216F">
        <w:rPr>
          <w:rFonts w:eastAsia="Calibri"/>
          <w:lang w:val="pt-PT" w:eastAsia="en-US"/>
        </w:rPr>
        <w:t>N: no coincidencia o discrepancia diagnóstica</w:t>
      </w:r>
    </w:p>
    <w:p w14:paraId="297349F7" w14:textId="77777777" w:rsidR="000F216F" w:rsidRPr="000F216F" w:rsidRDefault="000F216F" w:rsidP="000F216F">
      <w:pPr>
        <w:numPr>
          <w:ilvl w:val="0"/>
          <w:numId w:val="6"/>
        </w:numPr>
        <w:spacing w:line="360" w:lineRule="auto"/>
        <w:jc w:val="both"/>
        <w:rPr>
          <w:rFonts w:eastAsia="Calibri"/>
          <w:lang w:val="es-ES" w:eastAsia="en-US"/>
        </w:rPr>
      </w:pPr>
      <w:r w:rsidRPr="000F216F">
        <w:rPr>
          <w:rFonts w:eastAsia="Calibri"/>
          <w:lang w:val="es-ES" w:eastAsia="en-US"/>
        </w:rPr>
        <w:t xml:space="preserve">I: datos insuficientes (cuando no se precisa el diagnóstico </w:t>
      </w:r>
      <w:r w:rsidRPr="000F216F">
        <w:rPr>
          <w:rFonts w:eastAsia="Calibri"/>
          <w:i/>
          <w:iCs/>
          <w:lang w:val="es-ES" w:eastAsia="en-US"/>
        </w:rPr>
        <w:t>pre mortem</w:t>
      </w:r>
      <w:r w:rsidRPr="000F216F">
        <w:rPr>
          <w:rFonts w:eastAsia="Calibri"/>
          <w:lang w:val="es-ES" w:eastAsia="en-US"/>
        </w:rPr>
        <w:t xml:space="preserve"> o </w:t>
      </w:r>
      <w:r w:rsidRPr="000F216F">
        <w:rPr>
          <w:rFonts w:eastAsia="Calibri"/>
          <w:i/>
          <w:iCs/>
          <w:lang w:val="es-ES" w:eastAsia="en-US"/>
        </w:rPr>
        <w:t>post mortem</w:t>
      </w:r>
      <w:r w:rsidRPr="000F216F">
        <w:rPr>
          <w:rFonts w:eastAsia="Calibri"/>
          <w:lang w:val="es-ES" w:eastAsia="en-US"/>
        </w:rPr>
        <w:t xml:space="preserve"> o ambos).</w:t>
      </w:r>
    </w:p>
    <w:p w14:paraId="46E96185" w14:textId="77777777" w:rsidR="000F216F" w:rsidRPr="000F216F" w:rsidRDefault="000F216F" w:rsidP="000F216F">
      <w:pPr>
        <w:spacing w:line="360" w:lineRule="auto"/>
        <w:jc w:val="both"/>
        <w:rPr>
          <w:rFonts w:eastAsia="Calibri"/>
          <w:lang w:val="es-ES" w:eastAsia="en-US"/>
        </w:rPr>
      </w:pPr>
    </w:p>
    <w:p w14:paraId="024F0E87"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Se evalúan las causas directas de muerte (CDM) y las causas básicas de muerte (CBM) de forma independiente; aunque en el análisis es global se analiza el proceso que lleva al paciente a la muerte, incluyendo las causas de muerte intermedias (CIM) y las contribuyentes (CC).  Todos los casos en que los códigos de CM (CBM y CDM) coincidan, se evalúan automáticamente como T (coincidencia total).</w:t>
      </w:r>
    </w:p>
    <w:p w14:paraId="2DECF10A"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 xml:space="preserve">Como coincidencias P se consideran aquellas en que el diagnóstico </w:t>
      </w:r>
      <w:r w:rsidRPr="000F216F">
        <w:rPr>
          <w:rFonts w:eastAsia="Calibri"/>
          <w:i/>
          <w:iCs/>
          <w:lang w:val="es-ES" w:eastAsia="en-US"/>
        </w:rPr>
        <w:t>pre mortem</w:t>
      </w:r>
      <w:r w:rsidRPr="000F216F">
        <w:rPr>
          <w:rFonts w:eastAsia="Calibri"/>
          <w:lang w:val="es-ES" w:eastAsia="en-US"/>
        </w:rPr>
        <w:t xml:space="preserve"> es correcto en general y no en lo particular (ejemplo; se diagnostica correctamente un cáncer, pero no el sitio primario). También se considera como coincidencia P, cuando se hacen varios diagnósticos y se acierta en uno.  </w:t>
      </w:r>
    </w:p>
    <w:p w14:paraId="75E7D59D"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 xml:space="preserve">El SARCAP muestra los diagnósticos </w:t>
      </w:r>
      <w:r w:rsidRPr="000F216F">
        <w:rPr>
          <w:rFonts w:eastAsia="Calibri"/>
          <w:i/>
          <w:iCs/>
          <w:lang w:val="es-ES" w:eastAsia="en-US"/>
        </w:rPr>
        <w:t>pre mortem</w:t>
      </w:r>
      <w:r w:rsidRPr="000F216F">
        <w:rPr>
          <w:rFonts w:eastAsia="Calibri"/>
          <w:lang w:val="es-ES" w:eastAsia="en-US"/>
        </w:rPr>
        <w:t xml:space="preserve"> (clínicos y en este trabajo, los de los CMD) y </w:t>
      </w:r>
      <w:r w:rsidRPr="000F216F">
        <w:rPr>
          <w:rFonts w:eastAsia="Calibri"/>
          <w:i/>
          <w:iCs/>
          <w:lang w:val="es-ES" w:eastAsia="en-US"/>
        </w:rPr>
        <w:t>post mortem</w:t>
      </w:r>
      <w:r w:rsidRPr="000F216F">
        <w:rPr>
          <w:rFonts w:eastAsia="Calibri"/>
          <w:lang w:val="es-ES" w:eastAsia="en-US"/>
        </w:rPr>
        <w:t>, ordenados para su revisión y análisis. Se incluye la posibilidad de revisar toda la información, contenida en el informe o protocolo de la autopsia y evaluar los casos P y N, tanto de CBM o CDM, como Clase I o Clase II, de la Clasificación de Goldman</w:t>
      </w:r>
      <w:r w:rsidRPr="000F216F">
        <w:rPr>
          <w:rFonts w:eastAsia="Calibri"/>
          <w:vertAlign w:val="superscript"/>
          <w:lang w:val="es-ES" w:eastAsia="en-US"/>
        </w:rPr>
        <w:t xml:space="preserve"> </w:t>
      </w:r>
      <w:r w:rsidRPr="000F216F">
        <w:rPr>
          <w:rFonts w:eastAsia="Calibri"/>
          <w:lang w:val="es-ES" w:eastAsia="en-US"/>
        </w:rPr>
        <w:t xml:space="preserve">modificada por </w:t>
      </w:r>
      <w:proofErr w:type="spellStart"/>
      <w:r w:rsidRPr="000F216F">
        <w:rPr>
          <w:rFonts w:eastAsia="Calibri"/>
          <w:lang w:val="es-ES" w:eastAsia="en-US"/>
        </w:rPr>
        <w:t>Battle</w:t>
      </w:r>
      <w:proofErr w:type="spellEnd"/>
      <w:r w:rsidRPr="000F216F">
        <w:rPr>
          <w:rFonts w:eastAsia="Calibri"/>
          <w:lang w:val="es-ES" w:eastAsia="en-US"/>
        </w:rPr>
        <w:t>.</w:t>
      </w:r>
      <w:r w:rsidRPr="000F216F">
        <w:rPr>
          <w:rFonts w:eastAsia="Calibri"/>
          <w:vertAlign w:val="superscript"/>
          <w:lang w:val="es-ES" w:eastAsia="en-US"/>
        </w:rPr>
        <w:t>(11,12)</w:t>
      </w:r>
      <w:r w:rsidRPr="000F216F">
        <w:rPr>
          <w:rFonts w:eastAsia="Calibri"/>
          <w:lang w:val="es-ES" w:eastAsia="en-US"/>
        </w:rPr>
        <w:t xml:space="preserve"> Cuando se precisan los diagnósticos, se mejoran en consecuencia, los CMD.</w:t>
      </w:r>
    </w:p>
    <w:p w14:paraId="59FAD5BB" w14:textId="77777777" w:rsidR="000F216F" w:rsidRPr="000F216F" w:rsidRDefault="000F216F" w:rsidP="000F216F">
      <w:pPr>
        <w:spacing w:line="360" w:lineRule="auto"/>
        <w:jc w:val="both"/>
        <w:rPr>
          <w:rFonts w:eastAsia="Calibri"/>
          <w:lang w:val="es-ES" w:eastAsia="en-US"/>
        </w:rPr>
      </w:pPr>
    </w:p>
    <w:p w14:paraId="06E63DC7" w14:textId="77777777" w:rsidR="000F216F" w:rsidRPr="000F216F" w:rsidRDefault="000F216F" w:rsidP="000F216F">
      <w:pPr>
        <w:spacing w:line="360" w:lineRule="auto"/>
        <w:jc w:val="both"/>
        <w:rPr>
          <w:rFonts w:eastAsia="Calibri"/>
          <w:b/>
          <w:lang w:val="es-ES" w:eastAsia="en-US"/>
        </w:rPr>
      </w:pPr>
    </w:p>
    <w:p w14:paraId="49DCC2C6" w14:textId="77777777" w:rsidR="000F216F" w:rsidRPr="000F216F" w:rsidRDefault="000F216F" w:rsidP="000F216F">
      <w:pPr>
        <w:spacing w:line="360" w:lineRule="auto"/>
        <w:jc w:val="center"/>
        <w:rPr>
          <w:rFonts w:eastAsia="Calibri"/>
          <w:b/>
          <w:sz w:val="32"/>
          <w:szCs w:val="32"/>
          <w:lang w:val="es-ES" w:eastAsia="en-US"/>
        </w:rPr>
      </w:pPr>
      <w:r w:rsidRPr="000F216F">
        <w:rPr>
          <w:rFonts w:eastAsia="Calibri"/>
          <w:b/>
          <w:sz w:val="32"/>
          <w:szCs w:val="32"/>
          <w:lang w:val="es-ES" w:eastAsia="en-US"/>
        </w:rPr>
        <w:t>RESULTADOS</w:t>
      </w:r>
    </w:p>
    <w:p w14:paraId="35290AB6"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Las 65 autopsias realizadas representan un 45,5 % de las 143 reportadas por el Minsap en 2020, según el anuario estadístico.</w:t>
      </w:r>
      <w:r w:rsidRPr="000F216F">
        <w:rPr>
          <w:rFonts w:eastAsia="Calibri"/>
          <w:vertAlign w:val="superscript"/>
          <w:lang w:val="es-ES" w:eastAsia="en-US"/>
        </w:rPr>
        <w:t>(5)</w:t>
      </w:r>
      <w:r w:rsidRPr="000F216F">
        <w:rPr>
          <w:rFonts w:eastAsia="Calibri"/>
          <w:lang w:val="es-ES" w:eastAsia="en-US"/>
        </w:rPr>
        <w:t xml:space="preserve"> Los resultados, al evaluar los diagnósticos de CM de las autopsias con los CMD, se muestran en la tabla 1.</w:t>
      </w:r>
    </w:p>
    <w:p w14:paraId="028CA75C" w14:textId="77777777" w:rsidR="000F216F" w:rsidRPr="000F216F" w:rsidRDefault="000F216F" w:rsidP="000F216F">
      <w:pPr>
        <w:spacing w:line="360" w:lineRule="auto"/>
        <w:jc w:val="both"/>
        <w:rPr>
          <w:rFonts w:eastAsia="Calibri"/>
          <w:lang w:val="es-ES" w:eastAsia="en-US"/>
        </w:rPr>
      </w:pPr>
    </w:p>
    <w:p w14:paraId="68FD3396" w14:textId="77777777" w:rsidR="000F216F" w:rsidRPr="000F216F" w:rsidRDefault="000F216F" w:rsidP="000F216F">
      <w:pPr>
        <w:spacing w:line="360" w:lineRule="auto"/>
        <w:jc w:val="center"/>
        <w:rPr>
          <w:rFonts w:eastAsia="Calibri"/>
          <w:bCs/>
          <w:sz w:val="22"/>
          <w:szCs w:val="22"/>
          <w:lang w:val="es-ES" w:eastAsia="en-US"/>
        </w:rPr>
      </w:pPr>
      <w:r w:rsidRPr="000F216F">
        <w:rPr>
          <w:rFonts w:eastAsia="Calibri"/>
          <w:b/>
          <w:sz w:val="22"/>
          <w:szCs w:val="22"/>
          <w:lang w:val="es-ES" w:eastAsia="en-US"/>
        </w:rPr>
        <w:t>Tabla 1 -</w:t>
      </w:r>
      <w:r w:rsidRPr="000F216F">
        <w:rPr>
          <w:rFonts w:eastAsia="Calibri"/>
          <w:bCs/>
          <w:sz w:val="22"/>
          <w:szCs w:val="22"/>
          <w:lang w:val="es-ES" w:eastAsia="en-US"/>
        </w:rPr>
        <w:t xml:space="preserve"> Coincidencia de las causas de muerte en los CMD, basado en los diagnósticos de 65 autopsias de pacientes fallecidos por la COVID-19</w:t>
      </w:r>
    </w:p>
    <w:p w14:paraId="5FABF359" w14:textId="7BE5E86C" w:rsidR="000F216F" w:rsidRDefault="00FD3DB1" w:rsidP="00FD3DB1">
      <w:pPr>
        <w:spacing w:line="360" w:lineRule="auto"/>
        <w:jc w:val="center"/>
        <w:rPr>
          <w:rFonts w:eastAsia="Calibri"/>
          <w:lang w:val="es-ES" w:eastAsia="en-US"/>
        </w:rPr>
      </w:pPr>
      <w:r>
        <w:rPr>
          <w:rFonts w:eastAsia="Calibri"/>
          <w:noProof/>
          <w:lang w:val="es-ES" w:eastAsia="en-US"/>
        </w:rPr>
        <w:drawing>
          <wp:inline distT="0" distB="0" distL="0" distR="0" wp14:anchorId="3E126CDF" wp14:editId="36ADB7FB">
            <wp:extent cx="2352675" cy="8572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7">
                      <a:extLst>
                        <a:ext uri="{28A0092B-C50C-407E-A947-70E740481C1C}">
                          <a14:useLocalDpi xmlns:a14="http://schemas.microsoft.com/office/drawing/2010/main" val="0"/>
                        </a:ext>
                      </a:extLst>
                    </a:blip>
                    <a:stretch>
                      <a:fillRect/>
                    </a:stretch>
                  </pic:blipFill>
                  <pic:spPr>
                    <a:xfrm>
                      <a:off x="0" y="0"/>
                      <a:ext cx="2352675" cy="857250"/>
                    </a:xfrm>
                    <a:prstGeom prst="rect">
                      <a:avLst/>
                    </a:prstGeom>
                  </pic:spPr>
                </pic:pic>
              </a:graphicData>
            </a:graphic>
          </wp:inline>
        </w:drawing>
      </w:r>
    </w:p>
    <w:p w14:paraId="750A1C3D" w14:textId="77777777" w:rsidR="00FD3DB1" w:rsidRPr="000F216F" w:rsidRDefault="00FD3DB1" w:rsidP="00FD3DB1">
      <w:pPr>
        <w:spacing w:line="360" w:lineRule="auto"/>
        <w:jc w:val="center"/>
        <w:rPr>
          <w:rFonts w:eastAsia="Calibri"/>
          <w:lang w:val="es-ES" w:eastAsia="en-US"/>
        </w:rPr>
      </w:pPr>
    </w:p>
    <w:p w14:paraId="62A38974" w14:textId="77777777" w:rsidR="000F216F" w:rsidRPr="000F216F" w:rsidRDefault="000F216F" w:rsidP="000F216F">
      <w:pPr>
        <w:spacing w:line="360" w:lineRule="auto"/>
        <w:rPr>
          <w:rFonts w:eastAsia="Calibri"/>
          <w:lang w:val="es-ES" w:eastAsia="en-US"/>
        </w:rPr>
      </w:pPr>
      <w:r w:rsidRPr="000F216F">
        <w:rPr>
          <w:rFonts w:eastAsia="Calibri"/>
          <w:lang w:val="es-ES" w:eastAsia="en-US"/>
        </w:rPr>
        <w:lastRenderedPageBreak/>
        <w:t>En 31 autopsias se diagnosticó como CBM la COVID-19. En estos casos, los resultados se muestran en la tabla 2.</w:t>
      </w:r>
    </w:p>
    <w:p w14:paraId="36DD051A" w14:textId="77777777" w:rsidR="000F216F" w:rsidRPr="000F216F" w:rsidRDefault="000F216F" w:rsidP="000F216F">
      <w:pPr>
        <w:spacing w:line="360" w:lineRule="auto"/>
        <w:rPr>
          <w:rFonts w:eastAsia="Calibri"/>
          <w:b/>
          <w:lang w:val="es-ES" w:eastAsia="en-US"/>
        </w:rPr>
      </w:pPr>
    </w:p>
    <w:p w14:paraId="581987BE" w14:textId="77777777" w:rsidR="000F216F" w:rsidRPr="000F216F" w:rsidRDefault="000F216F" w:rsidP="000F216F">
      <w:pPr>
        <w:spacing w:line="360" w:lineRule="auto"/>
        <w:jc w:val="center"/>
        <w:rPr>
          <w:rFonts w:eastAsia="Calibri"/>
          <w:bCs/>
          <w:sz w:val="22"/>
          <w:szCs w:val="22"/>
          <w:lang w:val="es-ES" w:eastAsia="en-US"/>
        </w:rPr>
      </w:pPr>
      <w:r w:rsidRPr="000F216F">
        <w:rPr>
          <w:rFonts w:eastAsia="Calibri"/>
          <w:b/>
          <w:sz w:val="22"/>
          <w:szCs w:val="22"/>
          <w:lang w:val="es-ES" w:eastAsia="en-US"/>
        </w:rPr>
        <w:t>Tabla 2 -</w:t>
      </w:r>
      <w:r w:rsidRPr="000F216F">
        <w:rPr>
          <w:rFonts w:eastAsia="Calibri"/>
          <w:bCs/>
          <w:sz w:val="22"/>
          <w:szCs w:val="22"/>
          <w:lang w:val="es-ES" w:eastAsia="en-US"/>
        </w:rPr>
        <w:t xml:space="preserve"> Coincidencia de las CM en los CMD de los pacientes fallecidos por la COVID-19 como CBM</w:t>
      </w:r>
    </w:p>
    <w:p w14:paraId="7B52BE3C" w14:textId="6AD5360D" w:rsidR="000F216F" w:rsidRDefault="00FD3DB1" w:rsidP="00FD3DB1">
      <w:pPr>
        <w:spacing w:line="360" w:lineRule="auto"/>
        <w:jc w:val="center"/>
        <w:rPr>
          <w:rFonts w:eastAsia="Calibri"/>
          <w:b/>
          <w:lang w:val="es-ES" w:eastAsia="en-US"/>
        </w:rPr>
      </w:pPr>
      <w:r>
        <w:rPr>
          <w:rFonts w:eastAsia="Calibri"/>
          <w:b/>
          <w:noProof/>
          <w:lang w:val="es-ES" w:eastAsia="en-US"/>
        </w:rPr>
        <w:drawing>
          <wp:inline distT="0" distB="0" distL="0" distR="0" wp14:anchorId="1087840A" wp14:editId="10CB0AA3">
            <wp:extent cx="3086100" cy="857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8">
                      <a:extLst>
                        <a:ext uri="{28A0092B-C50C-407E-A947-70E740481C1C}">
                          <a14:useLocalDpi xmlns:a14="http://schemas.microsoft.com/office/drawing/2010/main" val="0"/>
                        </a:ext>
                      </a:extLst>
                    </a:blip>
                    <a:stretch>
                      <a:fillRect/>
                    </a:stretch>
                  </pic:blipFill>
                  <pic:spPr>
                    <a:xfrm>
                      <a:off x="0" y="0"/>
                      <a:ext cx="3086100" cy="857250"/>
                    </a:xfrm>
                    <a:prstGeom prst="rect">
                      <a:avLst/>
                    </a:prstGeom>
                  </pic:spPr>
                </pic:pic>
              </a:graphicData>
            </a:graphic>
          </wp:inline>
        </w:drawing>
      </w:r>
    </w:p>
    <w:p w14:paraId="5B55F9E3" w14:textId="77777777" w:rsidR="00FD3DB1" w:rsidRPr="000F216F" w:rsidRDefault="00FD3DB1" w:rsidP="000F216F">
      <w:pPr>
        <w:spacing w:line="360" w:lineRule="auto"/>
        <w:rPr>
          <w:rFonts w:eastAsia="Calibri"/>
          <w:b/>
          <w:lang w:val="es-ES" w:eastAsia="en-US"/>
        </w:rPr>
      </w:pPr>
    </w:p>
    <w:p w14:paraId="30590580" w14:textId="77777777" w:rsidR="000F216F" w:rsidRPr="000F216F" w:rsidRDefault="000F216F" w:rsidP="000F216F">
      <w:pPr>
        <w:spacing w:line="360" w:lineRule="auto"/>
        <w:jc w:val="both"/>
        <w:rPr>
          <w:rFonts w:eastAsia="Calibri"/>
          <w:bCs/>
          <w:lang w:val="es-ES" w:eastAsia="en-US"/>
        </w:rPr>
      </w:pPr>
      <w:r w:rsidRPr="000F216F">
        <w:rPr>
          <w:rFonts w:eastAsia="Calibri"/>
          <w:bCs/>
          <w:lang w:val="es-ES" w:eastAsia="en-US"/>
        </w:rPr>
        <w:t>En 34 autopsias, los diagnósticos no fueron por la COVID-19 como CBM. La coincidencia de las CM en los CMD, se muestra en la tabla 3.</w:t>
      </w:r>
    </w:p>
    <w:p w14:paraId="6234CEB3" w14:textId="77777777" w:rsidR="000F216F" w:rsidRPr="000F216F" w:rsidRDefault="000F216F" w:rsidP="000F216F">
      <w:pPr>
        <w:spacing w:line="360" w:lineRule="auto"/>
        <w:jc w:val="both"/>
        <w:rPr>
          <w:rFonts w:eastAsia="Calibri"/>
          <w:bCs/>
          <w:sz w:val="22"/>
          <w:szCs w:val="22"/>
          <w:lang w:val="es-ES" w:eastAsia="en-US"/>
        </w:rPr>
      </w:pPr>
    </w:p>
    <w:p w14:paraId="1EEA82A5" w14:textId="77777777" w:rsidR="000F216F" w:rsidRPr="000F216F" w:rsidRDefault="000F216F" w:rsidP="000F216F">
      <w:pPr>
        <w:spacing w:line="360" w:lineRule="auto"/>
        <w:jc w:val="center"/>
        <w:rPr>
          <w:rFonts w:eastAsia="Calibri"/>
          <w:bCs/>
          <w:sz w:val="22"/>
          <w:szCs w:val="22"/>
          <w:lang w:val="es-ES" w:eastAsia="en-US"/>
        </w:rPr>
      </w:pPr>
      <w:r w:rsidRPr="000F216F">
        <w:rPr>
          <w:rFonts w:eastAsia="Calibri"/>
          <w:b/>
          <w:sz w:val="22"/>
          <w:szCs w:val="22"/>
          <w:lang w:val="es-ES" w:eastAsia="en-US"/>
        </w:rPr>
        <w:t>Tabla 3 -</w:t>
      </w:r>
      <w:r w:rsidRPr="000F216F">
        <w:rPr>
          <w:rFonts w:eastAsia="Calibri"/>
          <w:bCs/>
          <w:sz w:val="22"/>
          <w:szCs w:val="22"/>
          <w:lang w:val="es-ES" w:eastAsia="en-US"/>
        </w:rPr>
        <w:t xml:space="preserve"> Coincidencia de las CM en los CMD de pacientes fallecidos sin diagnóstico de COVID-19 como CBM</w:t>
      </w:r>
    </w:p>
    <w:p w14:paraId="1F84E74C" w14:textId="2F1EAAB1" w:rsidR="000F216F" w:rsidRDefault="002B1BFD" w:rsidP="002B1BFD">
      <w:pPr>
        <w:spacing w:line="360" w:lineRule="auto"/>
        <w:jc w:val="center"/>
        <w:rPr>
          <w:rFonts w:eastAsia="Calibri"/>
          <w:b/>
          <w:lang w:val="es-ES" w:eastAsia="en-US"/>
        </w:rPr>
      </w:pPr>
      <w:r>
        <w:rPr>
          <w:rFonts w:eastAsia="Calibri"/>
          <w:b/>
          <w:noProof/>
          <w:lang w:val="es-ES" w:eastAsia="en-US"/>
        </w:rPr>
        <w:drawing>
          <wp:inline distT="0" distB="0" distL="0" distR="0" wp14:anchorId="46870238" wp14:editId="25D2B9B8">
            <wp:extent cx="3295650" cy="8572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9">
                      <a:extLst>
                        <a:ext uri="{28A0092B-C50C-407E-A947-70E740481C1C}">
                          <a14:useLocalDpi xmlns:a14="http://schemas.microsoft.com/office/drawing/2010/main" val="0"/>
                        </a:ext>
                      </a:extLst>
                    </a:blip>
                    <a:stretch>
                      <a:fillRect/>
                    </a:stretch>
                  </pic:blipFill>
                  <pic:spPr>
                    <a:xfrm>
                      <a:off x="0" y="0"/>
                      <a:ext cx="3295650" cy="857250"/>
                    </a:xfrm>
                    <a:prstGeom prst="rect">
                      <a:avLst/>
                    </a:prstGeom>
                  </pic:spPr>
                </pic:pic>
              </a:graphicData>
            </a:graphic>
          </wp:inline>
        </w:drawing>
      </w:r>
    </w:p>
    <w:p w14:paraId="345C039F" w14:textId="77777777" w:rsidR="002B1BFD" w:rsidRPr="000F216F" w:rsidRDefault="002B1BFD" w:rsidP="000F216F">
      <w:pPr>
        <w:spacing w:line="360" w:lineRule="auto"/>
        <w:rPr>
          <w:rFonts w:eastAsia="Calibri"/>
          <w:b/>
          <w:lang w:val="es-ES" w:eastAsia="en-US"/>
        </w:rPr>
      </w:pPr>
    </w:p>
    <w:p w14:paraId="48AA217B" w14:textId="523F3CF8" w:rsidR="000F216F" w:rsidRDefault="000F216F" w:rsidP="000F216F">
      <w:pPr>
        <w:spacing w:line="360" w:lineRule="auto"/>
        <w:rPr>
          <w:rFonts w:eastAsia="Calibri"/>
          <w:bCs/>
          <w:lang w:val="es-ES" w:eastAsia="en-US"/>
        </w:rPr>
      </w:pPr>
      <w:r w:rsidRPr="000F216F">
        <w:rPr>
          <w:rFonts w:eastAsia="Calibri"/>
          <w:bCs/>
          <w:lang w:val="es-ES" w:eastAsia="en-US"/>
        </w:rPr>
        <w:t>En la tabla 4 se muestran los diagnósticos de CDM por anatomía patológica y por la clínica, en 18 pacientes fallecidos sin diagnóstico de COVID-19 como CBM.</w:t>
      </w:r>
    </w:p>
    <w:p w14:paraId="718BC0CD" w14:textId="2A271A05" w:rsidR="00CE035D" w:rsidRDefault="00CE035D" w:rsidP="00CE035D">
      <w:pPr>
        <w:spacing w:line="360" w:lineRule="auto"/>
        <w:jc w:val="both"/>
        <w:rPr>
          <w:rFonts w:eastAsia="Calibri"/>
          <w:bCs/>
          <w:lang w:val="es-ES" w:eastAsia="en-US"/>
        </w:rPr>
      </w:pPr>
      <w:r w:rsidRPr="000F216F">
        <w:rPr>
          <w:rFonts w:eastAsia="Calibri"/>
          <w:bCs/>
          <w:lang w:val="es-ES" w:eastAsia="en-US"/>
        </w:rPr>
        <w:t>En la tabla 5 se recogen los diagnósticos clínicos de CBM y CC de las 34 autopsias de fallecidos sin diagnóstico de la COVID-19 como CBM.</w:t>
      </w:r>
    </w:p>
    <w:p w14:paraId="50EB7B1E" w14:textId="77777777" w:rsidR="00F36DC7" w:rsidRPr="000F216F" w:rsidRDefault="00F36DC7" w:rsidP="00F36DC7">
      <w:pPr>
        <w:spacing w:line="360" w:lineRule="auto"/>
        <w:jc w:val="both"/>
        <w:rPr>
          <w:rFonts w:eastAsia="Calibri"/>
          <w:lang w:val="es-ES" w:eastAsia="en-US"/>
        </w:rPr>
      </w:pPr>
      <w:r w:rsidRPr="000F216F">
        <w:rPr>
          <w:rFonts w:eastAsia="Calibri"/>
          <w:lang w:val="es-ES" w:eastAsia="en-US"/>
        </w:rPr>
        <w:t xml:space="preserve">La cifra de CBM en la tabla 5 suman 24; las 10 restantes, incluyen un tumor maligno de próstata (por tanto, en total los tumores malignos suman 5) y 1 caso de aterosclerosis cerebral (que eleva los casos de aterosclerosis a 5). </w:t>
      </w:r>
    </w:p>
    <w:p w14:paraId="74DF0197" w14:textId="77777777" w:rsidR="00F36DC7" w:rsidRPr="000F216F" w:rsidRDefault="00F36DC7" w:rsidP="00F36DC7">
      <w:pPr>
        <w:spacing w:line="360" w:lineRule="auto"/>
        <w:jc w:val="both"/>
        <w:rPr>
          <w:rFonts w:eastAsia="Calibri"/>
          <w:lang w:val="es-ES" w:eastAsia="en-US"/>
        </w:rPr>
      </w:pPr>
      <w:r w:rsidRPr="000F216F">
        <w:rPr>
          <w:rFonts w:eastAsia="Calibri"/>
          <w:lang w:val="es-ES" w:eastAsia="en-US"/>
        </w:rPr>
        <w:t>Las CC</w:t>
      </w:r>
      <w:r>
        <w:rPr>
          <w:rFonts w:eastAsia="Calibri"/>
          <w:lang w:val="es-ES" w:eastAsia="en-US"/>
        </w:rPr>
        <w:t>,</w:t>
      </w:r>
      <w:r w:rsidRPr="000F216F">
        <w:rPr>
          <w:rFonts w:eastAsia="Calibri"/>
          <w:lang w:val="es-ES" w:eastAsia="en-US"/>
        </w:rPr>
        <w:t xml:space="preserve"> en la tabla</w:t>
      </w:r>
      <w:r>
        <w:rPr>
          <w:rFonts w:eastAsia="Calibri"/>
          <w:lang w:val="es-ES" w:eastAsia="en-US"/>
        </w:rPr>
        <w:t xml:space="preserve"> 5 suman</w:t>
      </w:r>
      <w:r w:rsidRPr="000F216F">
        <w:rPr>
          <w:rFonts w:eastAsia="Calibri"/>
          <w:lang w:val="es-ES" w:eastAsia="en-US"/>
        </w:rPr>
        <w:t xml:space="preserve"> 37, debido a que pueden ser hasta 2 en cada autopsia. Esto explica que sumen en total 59 diagnósticos. Las 22 restantes son independientes, no guardan relación entre sí, ni con las que aparecen en la tabla.</w:t>
      </w:r>
    </w:p>
    <w:p w14:paraId="391E0D28" w14:textId="2A4CF9F0" w:rsidR="00F36DC7" w:rsidRPr="000F216F" w:rsidRDefault="00F36DC7" w:rsidP="00F36DC7">
      <w:pPr>
        <w:spacing w:line="360" w:lineRule="auto"/>
        <w:jc w:val="both"/>
        <w:rPr>
          <w:rFonts w:eastAsia="Calibri"/>
          <w:bCs/>
          <w:lang w:val="es-ES" w:eastAsia="en-US"/>
        </w:rPr>
      </w:pPr>
      <w:r w:rsidRPr="000F216F">
        <w:rPr>
          <w:rFonts w:eastAsia="Calibri"/>
          <w:lang w:val="es-ES" w:eastAsia="en-US"/>
        </w:rPr>
        <w:t>Dentro de los 34 casos en los cuales la COVID-19 no se diagnosticó en la autopsia como CBM, hubo 9 en los que se diagnosticó como causa contribuyente.</w:t>
      </w:r>
    </w:p>
    <w:p w14:paraId="5F12DBEB" w14:textId="77777777" w:rsidR="00CE035D" w:rsidRPr="000F216F" w:rsidRDefault="00CE035D" w:rsidP="000F216F">
      <w:pPr>
        <w:spacing w:line="360" w:lineRule="auto"/>
        <w:rPr>
          <w:rFonts w:eastAsia="Calibri"/>
          <w:bCs/>
          <w:lang w:val="es-ES" w:eastAsia="en-US"/>
        </w:rPr>
      </w:pPr>
    </w:p>
    <w:p w14:paraId="6083BE55" w14:textId="6CA3B712" w:rsidR="000F216F" w:rsidRPr="000F216F" w:rsidRDefault="000F216F" w:rsidP="000F216F">
      <w:pPr>
        <w:spacing w:line="360" w:lineRule="auto"/>
        <w:jc w:val="center"/>
        <w:rPr>
          <w:rFonts w:eastAsia="Calibri"/>
          <w:bCs/>
          <w:sz w:val="22"/>
          <w:szCs w:val="22"/>
          <w:lang w:val="es-ES" w:eastAsia="en-US"/>
        </w:rPr>
      </w:pPr>
      <w:r w:rsidRPr="000F216F">
        <w:rPr>
          <w:rFonts w:eastAsia="Calibri"/>
          <w:b/>
          <w:sz w:val="22"/>
          <w:szCs w:val="22"/>
          <w:lang w:val="es-ES" w:eastAsia="en-US"/>
        </w:rPr>
        <w:t>Tabla 4 -</w:t>
      </w:r>
      <w:r w:rsidRPr="000F216F">
        <w:rPr>
          <w:rFonts w:eastAsia="Calibri"/>
          <w:bCs/>
          <w:sz w:val="22"/>
          <w:szCs w:val="22"/>
          <w:lang w:val="es-ES" w:eastAsia="en-US"/>
        </w:rPr>
        <w:t xml:space="preserve"> Diagnósticos de CDM anatomopatológicas y CDM clínicas, de 18 autopsias de pacientes fallecidos sin diagnóstico de la COVID-19 como CBM</w:t>
      </w:r>
    </w:p>
    <w:p w14:paraId="64AB28E4" w14:textId="183D9E17" w:rsidR="00CE035D" w:rsidRDefault="00CE035D" w:rsidP="000F216F">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0EE6A8E8" wp14:editId="7A24ED6E">
            <wp:extent cx="3629025" cy="41052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0">
                      <a:extLst>
                        <a:ext uri="{28A0092B-C50C-407E-A947-70E740481C1C}">
                          <a14:useLocalDpi xmlns:a14="http://schemas.microsoft.com/office/drawing/2010/main" val="0"/>
                        </a:ext>
                      </a:extLst>
                    </a:blip>
                    <a:stretch>
                      <a:fillRect/>
                    </a:stretch>
                  </pic:blipFill>
                  <pic:spPr>
                    <a:xfrm>
                      <a:off x="0" y="0"/>
                      <a:ext cx="3629025" cy="4105275"/>
                    </a:xfrm>
                    <a:prstGeom prst="rect">
                      <a:avLst/>
                    </a:prstGeom>
                  </pic:spPr>
                </pic:pic>
              </a:graphicData>
            </a:graphic>
          </wp:inline>
        </w:drawing>
      </w:r>
    </w:p>
    <w:p w14:paraId="08E43A87" w14:textId="30FC9349" w:rsidR="000F216F" w:rsidRPr="000F216F" w:rsidRDefault="000F216F" w:rsidP="000F216F">
      <w:pPr>
        <w:spacing w:line="360" w:lineRule="auto"/>
        <w:jc w:val="center"/>
        <w:rPr>
          <w:rFonts w:eastAsia="Calibri"/>
          <w:sz w:val="16"/>
          <w:szCs w:val="16"/>
          <w:lang w:val="es-ES" w:eastAsia="en-US"/>
        </w:rPr>
      </w:pPr>
      <w:r w:rsidRPr="000F216F">
        <w:rPr>
          <w:rFonts w:eastAsia="Calibri"/>
          <w:sz w:val="16"/>
          <w:szCs w:val="16"/>
          <w:lang w:val="es-ES" w:eastAsia="en-US"/>
        </w:rPr>
        <w:t>TEP: tromboembolismo pulmonar; SDMO: síndrome de disfunción múltiple de órganos</w:t>
      </w:r>
      <w:r w:rsidR="00161978">
        <w:rPr>
          <w:rFonts w:eastAsia="Calibri"/>
          <w:sz w:val="16"/>
          <w:szCs w:val="16"/>
          <w:lang w:val="es-ES" w:eastAsia="en-US"/>
        </w:rPr>
        <w:t>;</w:t>
      </w:r>
      <w:r w:rsidRPr="000F216F">
        <w:rPr>
          <w:rFonts w:eastAsia="Calibri"/>
          <w:sz w:val="16"/>
          <w:szCs w:val="16"/>
          <w:lang w:val="es-ES" w:eastAsia="en-US"/>
        </w:rPr>
        <w:t xml:space="preserve"> EPP: edema pulmonar de permeabilidad; DMO: daño múltiple de órganos; IMA: infarto del miocardio agudo.</w:t>
      </w:r>
    </w:p>
    <w:p w14:paraId="36A60B02" w14:textId="77777777" w:rsidR="000F216F" w:rsidRPr="000F216F" w:rsidRDefault="000F216F" w:rsidP="000F216F">
      <w:pPr>
        <w:spacing w:line="360" w:lineRule="auto"/>
        <w:jc w:val="both"/>
        <w:rPr>
          <w:rFonts w:eastAsia="Calibri"/>
          <w:lang w:val="es-ES" w:eastAsia="en-US"/>
        </w:rPr>
      </w:pPr>
    </w:p>
    <w:p w14:paraId="3A7FAC44" w14:textId="77777777" w:rsidR="00675C06" w:rsidRDefault="00675C06">
      <w:pPr>
        <w:rPr>
          <w:rFonts w:eastAsia="Calibri"/>
          <w:b/>
          <w:sz w:val="22"/>
          <w:szCs w:val="22"/>
          <w:lang w:val="es-ES" w:eastAsia="en-US"/>
        </w:rPr>
      </w:pPr>
      <w:r>
        <w:rPr>
          <w:rFonts w:eastAsia="Calibri"/>
          <w:b/>
          <w:sz w:val="22"/>
          <w:szCs w:val="22"/>
          <w:lang w:val="es-ES" w:eastAsia="en-US"/>
        </w:rPr>
        <w:br w:type="page"/>
      </w:r>
    </w:p>
    <w:p w14:paraId="0F2E0297" w14:textId="2B60C559" w:rsidR="000F216F" w:rsidRPr="000F216F" w:rsidRDefault="000F216F" w:rsidP="000F216F">
      <w:pPr>
        <w:spacing w:line="360" w:lineRule="auto"/>
        <w:jc w:val="center"/>
        <w:rPr>
          <w:rFonts w:eastAsia="Calibri"/>
          <w:bCs/>
          <w:sz w:val="22"/>
          <w:szCs w:val="22"/>
          <w:lang w:val="es-ES" w:eastAsia="en-US"/>
        </w:rPr>
      </w:pPr>
      <w:r w:rsidRPr="000F216F">
        <w:rPr>
          <w:rFonts w:eastAsia="Calibri"/>
          <w:b/>
          <w:sz w:val="22"/>
          <w:szCs w:val="22"/>
          <w:lang w:val="es-ES" w:eastAsia="en-US"/>
        </w:rPr>
        <w:lastRenderedPageBreak/>
        <w:t>Tabla 5 -</w:t>
      </w:r>
      <w:r w:rsidRPr="000F216F">
        <w:rPr>
          <w:rFonts w:eastAsia="Calibri"/>
          <w:bCs/>
          <w:sz w:val="22"/>
          <w:szCs w:val="22"/>
          <w:lang w:val="es-ES" w:eastAsia="en-US"/>
        </w:rPr>
        <w:t xml:space="preserve"> Diagnósticos clínicos de CBM y CC de muerte, de pacientes fallecidos sin diagnóstico de la COVID-19 como CBM</w:t>
      </w:r>
    </w:p>
    <w:p w14:paraId="1AD3C652" w14:textId="4D3B9538" w:rsidR="00675C06" w:rsidRDefault="00675C06" w:rsidP="000F216F">
      <w:pPr>
        <w:spacing w:line="360" w:lineRule="auto"/>
        <w:jc w:val="center"/>
        <w:rPr>
          <w:rFonts w:eastAsia="Calibri"/>
          <w:sz w:val="16"/>
          <w:szCs w:val="16"/>
          <w:lang w:val="es-ES" w:eastAsia="en-US"/>
        </w:rPr>
      </w:pPr>
      <w:r>
        <w:rPr>
          <w:rFonts w:eastAsia="Calibri"/>
          <w:noProof/>
          <w:sz w:val="16"/>
          <w:szCs w:val="16"/>
          <w:lang w:val="es-ES" w:eastAsia="en-US"/>
        </w:rPr>
        <w:drawing>
          <wp:inline distT="0" distB="0" distL="0" distR="0" wp14:anchorId="01D85AFE" wp14:editId="56A6D1E6">
            <wp:extent cx="4705350" cy="2057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21">
                      <a:extLst>
                        <a:ext uri="{28A0092B-C50C-407E-A947-70E740481C1C}">
                          <a14:useLocalDpi xmlns:a14="http://schemas.microsoft.com/office/drawing/2010/main" val="0"/>
                        </a:ext>
                      </a:extLst>
                    </a:blip>
                    <a:stretch>
                      <a:fillRect/>
                    </a:stretch>
                  </pic:blipFill>
                  <pic:spPr>
                    <a:xfrm>
                      <a:off x="0" y="0"/>
                      <a:ext cx="4705350" cy="2057400"/>
                    </a:xfrm>
                    <a:prstGeom prst="rect">
                      <a:avLst/>
                    </a:prstGeom>
                  </pic:spPr>
                </pic:pic>
              </a:graphicData>
            </a:graphic>
          </wp:inline>
        </w:drawing>
      </w:r>
    </w:p>
    <w:p w14:paraId="56CF3057" w14:textId="6B8CFD06" w:rsidR="000F216F" w:rsidRPr="000F216F" w:rsidRDefault="000F216F" w:rsidP="000F216F">
      <w:pPr>
        <w:spacing w:line="360" w:lineRule="auto"/>
        <w:jc w:val="center"/>
        <w:rPr>
          <w:rFonts w:eastAsia="Calibri"/>
          <w:sz w:val="16"/>
          <w:szCs w:val="16"/>
          <w:lang w:val="es-ES" w:eastAsia="en-US"/>
        </w:rPr>
      </w:pPr>
      <w:r w:rsidRPr="000F216F">
        <w:rPr>
          <w:rFonts w:eastAsia="Calibri"/>
          <w:sz w:val="16"/>
          <w:szCs w:val="16"/>
          <w:lang w:val="es-ES" w:eastAsia="en-US"/>
        </w:rPr>
        <w:t>EPOC: enfermedad pulmonar obstructiva crónica; TM: tumor maligno.</w:t>
      </w:r>
    </w:p>
    <w:p w14:paraId="657E5D8F" w14:textId="77777777" w:rsidR="000F216F" w:rsidRPr="000F216F" w:rsidRDefault="000F216F" w:rsidP="000F216F">
      <w:pPr>
        <w:spacing w:line="360" w:lineRule="auto"/>
        <w:rPr>
          <w:rFonts w:eastAsia="Calibri"/>
          <w:lang w:val="es-ES" w:eastAsia="en-US"/>
        </w:rPr>
      </w:pPr>
    </w:p>
    <w:p w14:paraId="13D9A336" w14:textId="28178A73" w:rsidR="000F216F" w:rsidRPr="000F216F" w:rsidRDefault="000F216F" w:rsidP="000F216F">
      <w:pPr>
        <w:spacing w:line="360" w:lineRule="auto"/>
        <w:jc w:val="both"/>
        <w:rPr>
          <w:rFonts w:eastAsia="Calibri"/>
          <w:lang w:val="es-ES" w:eastAsia="en-US"/>
        </w:rPr>
      </w:pPr>
    </w:p>
    <w:p w14:paraId="0E19BB29" w14:textId="77777777" w:rsidR="000F216F" w:rsidRPr="000F216F" w:rsidRDefault="000F216F" w:rsidP="000F216F">
      <w:pPr>
        <w:spacing w:line="360" w:lineRule="auto"/>
        <w:jc w:val="center"/>
        <w:rPr>
          <w:rFonts w:eastAsia="Calibri"/>
          <w:b/>
          <w:sz w:val="32"/>
          <w:szCs w:val="32"/>
          <w:vertAlign w:val="superscript"/>
          <w:lang w:val="es-ES" w:eastAsia="en-US"/>
        </w:rPr>
      </w:pPr>
      <w:r w:rsidRPr="000F216F">
        <w:rPr>
          <w:rFonts w:eastAsia="Calibri"/>
          <w:b/>
          <w:sz w:val="32"/>
          <w:szCs w:val="32"/>
          <w:lang w:val="es-ES" w:eastAsia="en-US"/>
        </w:rPr>
        <w:t>DISCUSIÓN</w:t>
      </w:r>
    </w:p>
    <w:p w14:paraId="0C2DD23D"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Se destaca el elevado número de autopsias en los pacientes fallecidos con o por la COVID-19 en Cuba,</w:t>
      </w:r>
      <w:r w:rsidRPr="000F216F">
        <w:rPr>
          <w:rFonts w:eastAsia="Calibri"/>
          <w:bCs/>
          <w:vertAlign w:val="superscript"/>
          <w:lang w:val="es-ES" w:eastAsia="en-US"/>
        </w:rPr>
        <w:t>(2)</w:t>
      </w:r>
      <w:r w:rsidRPr="000F216F">
        <w:rPr>
          <w:rFonts w:eastAsia="Calibri"/>
          <w:lang w:val="es-ES" w:eastAsia="en-US"/>
        </w:rPr>
        <w:t xml:space="preserve"> lo cual se corresponde con el elevado índice de autopsias tradicionalmente realizado. En otros países no se autorizó la realización de las autopsias, o al hacerlas se estudiaban pocos órganos, a veces solo el pulmón.</w:t>
      </w:r>
      <w:r w:rsidRPr="000F216F">
        <w:rPr>
          <w:rFonts w:eastAsia="Calibri"/>
          <w:vertAlign w:val="superscript"/>
          <w:lang w:val="es-ES" w:eastAsia="en-US"/>
        </w:rPr>
        <w:t>(13,14,15,16,17)</w:t>
      </w:r>
    </w:p>
    <w:p w14:paraId="54E7266E" w14:textId="77777777" w:rsidR="000F216F" w:rsidRPr="000F216F" w:rsidRDefault="000F216F" w:rsidP="000F216F">
      <w:pPr>
        <w:spacing w:line="360" w:lineRule="auto"/>
        <w:jc w:val="both"/>
        <w:rPr>
          <w:rFonts w:eastAsia="Calibri"/>
          <w:bCs/>
          <w:vertAlign w:val="superscript"/>
          <w:lang w:val="es-ES" w:eastAsia="en-US"/>
        </w:rPr>
      </w:pPr>
      <w:r w:rsidRPr="000F216F">
        <w:rPr>
          <w:rFonts w:eastAsia="Calibri"/>
          <w:lang w:val="es-ES" w:eastAsia="en-US"/>
        </w:rPr>
        <w:t>En Cuba, las autopsias se realizan con todas las medidas de protección,</w:t>
      </w:r>
      <w:r w:rsidRPr="000F216F">
        <w:rPr>
          <w:rFonts w:eastAsia="Calibri"/>
          <w:bCs/>
          <w:vertAlign w:val="superscript"/>
          <w:lang w:val="es-ES" w:eastAsia="en-US"/>
        </w:rPr>
        <w:t>(2,6)</w:t>
      </w:r>
      <w:r w:rsidRPr="000F216F">
        <w:rPr>
          <w:rFonts w:eastAsia="Calibri"/>
          <w:lang w:val="es-ES" w:eastAsia="en-US"/>
        </w:rPr>
        <w:t xml:space="preserve"> y se estudian todos los órganos imprescindibles, incluso para el diagnóstico del daño múltiple de órganos, como expresión morfológica del síndrome de disfunción múltiple de órganos.</w:t>
      </w:r>
      <w:r w:rsidRPr="000F216F">
        <w:rPr>
          <w:rFonts w:eastAsia="Calibri"/>
          <w:bCs/>
          <w:vertAlign w:val="superscript"/>
          <w:lang w:val="es-ES" w:eastAsia="en-US"/>
        </w:rPr>
        <w:t>(1,19)</w:t>
      </w:r>
    </w:p>
    <w:p w14:paraId="42BA339C"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Las publicaciones sobre la evaluación de diagnósticos clínicos de CM, con los de las autopsias, son relativamente frecuentes;</w:t>
      </w:r>
      <w:r w:rsidRPr="000F216F">
        <w:rPr>
          <w:rFonts w:eastAsia="Calibri"/>
          <w:vertAlign w:val="superscript"/>
          <w:lang w:val="es-ES" w:eastAsia="en-US"/>
        </w:rPr>
        <w:t>(1,11,12,20,21)</w:t>
      </w:r>
      <w:r w:rsidRPr="000F216F">
        <w:rPr>
          <w:rFonts w:eastAsia="Calibri"/>
          <w:lang w:val="es-ES" w:eastAsia="en-US"/>
        </w:rPr>
        <w:t xml:space="preserve"> sin embargo, son escasas cuando los diagnósticos de las autopsias son comparados con los CMD. Como se señaló, la escasez de autopsias en otros países, en parte lo explica y es lógico que algunas de estas publicaciones sean cubanas.</w:t>
      </w:r>
      <w:r w:rsidRPr="000F216F">
        <w:rPr>
          <w:rFonts w:eastAsia="Calibri"/>
          <w:vertAlign w:val="superscript"/>
          <w:lang w:val="es-ES" w:eastAsia="en-US"/>
        </w:rPr>
        <w:t>(22,23)</w:t>
      </w:r>
    </w:p>
    <w:p w14:paraId="7C5AC5DA"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Las facilidades del SARCAP,</w:t>
      </w:r>
      <w:r w:rsidRPr="000F216F">
        <w:rPr>
          <w:rFonts w:eastAsia="Calibri"/>
          <w:vertAlign w:val="superscript"/>
          <w:lang w:val="es-ES" w:eastAsia="en-US"/>
        </w:rPr>
        <w:t>(1)</w:t>
      </w:r>
      <w:r w:rsidRPr="000F216F">
        <w:rPr>
          <w:rFonts w:eastAsia="Calibri"/>
          <w:lang w:val="es-ES" w:eastAsia="en-US"/>
        </w:rPr>
        <w:t xml:space="preserve"> han permitido la evaluación más completa de los CMD y expresar con mayor exactitud los resultados presentados, tanto en las CBM como en las CDM.</w:t>
      </w:r>
    </w:p>
    <w:p w14:paraId="416548C3"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De las 65 autopsias de pacientes fallecidos relacionados con la COVID-19, al comparar con los CMD, las discrepancias diagnósticas fueron del 60 % en las CDM y 46,2 % en la CBM. Cuando se compararon las 31 autopsias en las cuales la COVID-19 fue CBM, es decir, los pacientes fallecieron por la COVID-</w:t>
      </w:r>
      <w:r w:rsidRPr="000F216F">
        <w:rPr>
          <w:rFonts w:eastAsia="Calibri"/>
          <w:lang w:val="es-ES" w:eastAsia="en-US"/>
        </w:rPr>
        <w:lastRenderedPageBreak/>
        <w:t>19, las discrepancias fueron del 64,5 % en la CDM y 19,4 % en la CBM. Esto permite el reparo de los CMD y mayor exactitud de los datos estadísticos de la mortalidad de la enfermedad en Cuba.</w:t>
      </w:r>
    </w:p>
    <w:p w14:paraId="65A53163"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Las elevadas cifras de discrepancias diagnósticas, se corresponden con las reportadas en estudios previos,</w:t>
      </w:r>
      <w:r w:rsidRPr="000F216F">
        <w:rPr>
          <w:rFonts w:eastAsia="Calibri"/>
          <w:vertAlign w:val="subscript"/>
          <w:lang w:val="es-ES" w:eastAsia="en-US"/>
        </w:rPr>
        <w:t xml:space="preserve"> </w:t>
      </w:r>
      <w:r w:rsidRPr="000F216F">
        <w:rPr>
          <w:rFonts w:eastAsia="Calibri"/>
          <w:lang w:val="es-ES" w:eastAsia="en-US"/>
        </w:rPr>
        <w:t>tanto en diagnósticos clínicos como, en especial en los CMD.</w:t>
      </w:r>
      <w:r w:rsidRPr="000F216F">
        <w:rPr>
          <w:rFonts w:eastAsia="Calibri"/>
          <w:bCs/>
          <w:vertAlign w:val="superscript"/>
          <w:lang w:val="es-ES" w:eastAsia="en-US"/>
        </w:rPr>
        <w:t>(1,21,22)</w:t>
      </w:r>
      <w:r w:rsidRPr="000F216F">
        <w:rPr>
          <w:rFonts w:eastAsia="Calibri"/>
          <w:lang w:val="es-ES" w:eastAsia="en-US"/>
        </w:rPr>
        <w:t xml:space="preserve"> Al comparar según la clasificación de Goldman,</w:t>
      </w:r>
      <w:r w:rsidRPr="000F216F">
        <w:rPr>
          <w:rFonts w:eastAsia="Calibri"/>
          <w:bCs/>
          <w:vertAlign w:val="superscript"/>
          <w:lang w:val="es-ES" w:eastAsia="en-US"/>
        </w:rPr>
        <w:t>(9)</w:t>
      </w:r>
      <w:r w:rsidRPr="000F216F">
        <w:rPr>
          <w:rFonts w:eastAsia="Calibri"/>
          <w:lang w:val="es-ES" w:eastAsia="en-US"/>
        </w:rPr>
        <w:t xml:space="preserve"> modificada por </w:t>
      </w:r>
      <w:proofErr w:type="spellStart"/>
      <w:r w:rsidRPr="000F216F">
        <w:rPr>
          <w:rFonts w:eastAsia="Calibri"/>
          <w:lang w:val="es-ES" w:eastAsia="en-US"/>
        </w:rPr>
        <w:t>Battle</w:t>
      </w:r>
      <w:proofErr w:type="spellEnd"/>
      <w:r w:rsidRPr="000F216F">
        <w:rPr>
          <w:rFonts w:eastAsia="Calibri"/>
          <w:lang w:val="es-ES" w:eastAsia="en-US"/>
        </w:rPr>
        <w:t>,</w:t>
      </w:r>
      <w:r w:rsidRPr="000F216F">
        <w:rPr>
          <w:rFonts w:eastAsia="Calibri"/>
          <w:bCs/>
          <w:smallCaps/>
          <w:vertAlign w:val="superscript"/>
          <w:lang w:val="es-ES" w:eastAsia="en-US"/>
        </w:rPr>
        <w:t>(10</w:t>
      </w:r>
      <w:r w:rsidRPr="000F216F">
        <w:rPr>
          <w:rFonts w:eastAsia="Calibri"/>
          <w:bCs/>
          <w:vertAlign w:val="superscript"/>
          <w:lang w:val="es-ES" w:eastAsia="en-US"/>
        </w:rPr>
        <w:t>)</w:t>
      </w:r>
      <w:r w:rsidRPr="000F216F">
        <w:rPr>
          <w:rFonts w:eastAsia="Calibri"/>
          <w:lang w:val="es-ES" w:eastAsia="en-US"/>
        </w:rPr>
        <w:t xml:space="preserve"> todos los casos de discrepancias se correspondieron</w:t>
      </w:r>
      <w:r w:rsidRPr="000F216F">
        <w:rPr>
          <w:rFonts w:eastAsia="Calibri"/>
          <w:vertAlign w:val="superscript"/>
          <w:lang w:val="es-ES" w:eastAsia="en-US"/>
        </w:rPr>
        <w:t xml:space="preserve"> </w:t>
      </w:r>
      <w:r w:rsidRPr="000F216F">
        <w:rPr>
          <w:rFonts w:eastAsia="Calibri"/>
          <w:lang w:val="es-ES" w:eastAsia="en-US"/>
        </w:rPr>
        <w:t xml:space="preserve">con la clase II (discrepancias diagnósticas sin impacto adverso en la supervivencia del paciente). </w:t>
      </w:r>
    </w:p>
    <w:p w14:paraId="0D6486EC"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 xml:space="preserve">Este trabajo demuestra la importancia de los estudios de CM multicausales, porque se precisan los diagnósticos de las CDM, muchas veces soslayados cuando los estudios son </w:t>
      </w:r>
      <w:proofErr w:type="spellStart"/>
      <w:r w:rsidRPr="000F216F">
        <w:rPr>
          <w:rFonts w:eastAsia="Calibri"/>
          <w:lang w:val="es-ES" w:eastAsia="en-US"/>
        </w:rPr>
        <w:t>monocausales</w:t>
      </w:r>
      <w:proofErr w:type="spellEnd"/>
      <w:r w:rsidRPr="000F216F">
        <w:rPr>
          <w:rFonts w:eastAsia="Calibri"/>
          <w:lang w:val="es-ES" w:eastAsia="en-US"/>
        </w:rPr>
        <w:t xml:space="preserve">. </w:t>
      </w:r>
    </w:p>
    <w:p w14:paraId="6498CB0C"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 xml:space="preserve">Los estudios multicausales, ningún país los aplica en sus estadísticas vitales, pero es necesario aplicarlos en el diagnóstico de las autopsias y los CMD, en especial, al evaluar los CMD y repararlos, en base a los diagnósticos realizados en las autopsias, más aún si se pretende utilizarlos en trabajos de investigación. </w:t>
      </w:r>
    </w:p>
    <w:p w14:paraId="54B277DB"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 xml:space="preserve">Existe elevadas cifras de discrepancias diagnósticas en </w:t>
      </w:r>
      <w:r w:rsidRPr="000F216F">
        <w:rPr>
          <w:rFonts w:eastAsia="Calibri"/>
          <w:color w:val="000000"/>
          <w:lang w:val="es-ES" w:eastAsia="en-US"/>
        </w:rPr>
        <w:t>los resultados de las autopsias con diagnósticos de COVID-19, comparadas con los certificados médicos de defunción.</w:t>
      </w:r>
    </w:p>
    <w:p w14:paraId="5DACE6FF" w14:textId="77777777" w:rsidR="000F216F" w:rsidRPr="000F216F" w:rsidRDefault="000F216F" w:rsidP="000F216F">
      <w:pPr>
        <w:spacing w:line="360" w:lineRule="auto"/>
        <w:jc w:val="both"/>
        <w:rPr>
          <w:rFonts w:eastAsia="Calibri"/>
          <w:lang w:val="es-ES" w:eastAsia="en-US"/>
        </w:rPr>
      </w:pPr>
      <w:r w:rsidRPr="000F216F">
        <w:rPr>
          <w:rFonts w:eastAsia="Calibri"/>
          <w:lang w:val="es-ES" w:eastAsia="en-US"/>
        </w:rPr>
        <w:t>Los resultados estimulan a continuar este trabajo en Cuba y otros países; para de esta forma elevar cada vez más la calidad del llenado de los CMD y, por ende, mayor confiabilidad de las estadísticas vitales.</w:t>
      </w:r>
    </w:p>
    <w:p w14:paraId="4D26A7B1" w14:textId="77777777" w:rsidR="000F216F" w:rsidRPr="000F216F" w:rsidRDefault="000F216F" w:rsidP="000F216F">
      <w:pPr>
        <w:spacing w:line="360" w:lineRule="auto"/>
        <w:jc w:val="both"/>
        <w:rPr>
          <w:rFonts w:eastAsia="Calibri"/>
          <w:b/>
          <w:lang w:val="es-ES" w:eastAsia="en-US"/>
        </w:rPr>
      </w:pPr>
    </w:p>
    <w:p w14:paraId="5EFC1015" w14:textId="77777777" w:rsidR="000F216F" w:rsidRPr="000F216F" w:rsidRDefault="000F216F" w:rsidP="000F216F">
      <w:pPr>
        <w:spacing w:line="360" w:lineRule="auto"/>
        <w:jc w:val="both"/>
        <w:rPr>
          <w:rFonts w:eastAsia="Calibri"/>
          <w:b/>
          <w:lang w:val="es-ES" w:eastAsia="en-US"/>
        </w:rPr>
      </w:pPr>
    </w:p>
    <w:p w14:paraId="0701ED38" w14:textId="77777777" w:rsidR="000F216F" w:rsidRPr="000F216F" w:rsidRDefault="000F216F" w:rsidP="000F216F">
      <w:pPr>
        <w:spacing w:line="360" w:lineRule="auto"/>
        <w:jc w:val="center"/>
        <w:rPr>
          <w:rFonts w:eastAsia="Calibri"/>
          <w:b/>
          <w:sz w:val="32"/>
          <w:szCs w:val="32"/>
          <w:lang w:val="es-ES" w:eastAsia="en-US"/>
        </w:rPr>
      </w:pPr>
      <w:r w:rsidRPr="000F216F">
        <w:rPr>
          <w:rFonts w:eastAsia="Calibri"/>
          <w:b/>
          <w:sz w:val="32"/>
          <w:szCs w:val="32"/>
          <w:lang w:val="es-ES" w:eastAsia="en-US"/>
        </w:rPr>
        <w:t>REFERENCIAS BIBLIOGRÁFICAS</w:t>
      </w:r>
    </w:p>
    <w:p w14:paraId="6FF62CEC"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1. Hurtado de Mendoza Amat J. Autopsia. Garantía de calidad en la medicina. 2da. ed. La Habana: Editorial Ciencias Médicas; 2014. [acceso 21/05/2021]. Disponible en: </w:t>
      </w:r>
      <w:hyperlink r:id="rId22" w:history="1">
        <w:r w:rsidRPr="000F216F">
          <w:rPr>
            <w:color w:val="0563C1"/>
            <w:u w:val="single"/>
            <w:lang w:val="es-ES" w:eastAsia="es-ES"/>
          </w:rPr>
          <w:t>http://www.bvs.sld.cu/libros/autopsia_garantia_2daedicion/autopsia_completo.pdf</w:t>
        </w:r>
      </w:hyperlink>
      <w:r w:rsidRPr="000F216F">
        <w:rPr>
          <w:color w:val="000000"/>
          <w:lang w:val="es-ES" w:eastAsia="es-ES"/>
        </w:rPr>
        <w:t xml:space="preserve"> </w:t>
      </w:r>
    </w:p>
    <w:p w14:paraId="522640AF"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2.  Capó de Paz V, </w:t>
      </w:r>
      <w:proofErr w:type="spellStart"/>
      <w:r w:rsidRPr="000F216F">
        <w:rPr>
          <w:color w:val="000000"/>
          <w:lang w:val="es-ES" w:eastAsia="es-ES"/>
        </w:rPr>
        <w:t>Borrajero</w:t>
      </w:r>
      <w:proofErr w:type="spellEnd"/>
      <w:r w:rsidRPr="000F216F">
        <w:rPr>
          <w:color w:val="000000"/>
          <w:lang w:val="es-ES" w:eastAsia="es-ES"/>
        </w:rPr>
        <w:t xml:space="preserve"> Martínez I, Montero González T, Hurtado de Mendoza Amat J, de Armas Rodríguez Y, Domínguez Álvarez C. Hallazgos de autopsias de 50 fallecidos con SARS-CoV-2 en Cuba entre abril y septiembre de 2020. Anales de la Academia de Ciencias de Cuba. 2021 [acceso: 21/05/2021];11(2):e994. Disponible en: </w:t>
      </w:r>
      <w:hyperlink r:id="rId23" w:history="1">
        <w:r w:rsidRPr="000F216F">
          <w:rPr>
            <w:color w:val="0563C1"/>
            <w:u w:val="single"/>
            <w:lang w:val="es-ES" w:eastAsia="es-ES"/>
          </w:rPr>
          <w:t>http://www.revistaccuba.cu/index.php/revacc/article/view/</w:t>
        </w:r>
      </w:hyperlink>
      <w:r w:rsidRPr="000F216F">
        <w:rPr>
          <w:color w:val="000000"/>
          <w:lang w:val="es-ES" w:eastAsia="es-ES"/>
        </w:rPr>
        <w:t xml:space="preserve">   </w:t>
      </w:r>
    </w:p>
    <w:p w14:paraId="208C6998"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3. Crespo Alonso S. Análisis comparativo del certificado médico de defunción en los periodos 1989-1992 y 1996-1997 en Sabadell. Interpretación según legislación vigente [Tesis doctoral]. Barcelona: </w:t>
      </w:r>
      <w:proofErr w:type="spellStart"/>
      <w:r w:rsidRPr="000F216F">
        <w:rPr>
          <w:color w:val="000000"/>
          <w:lang w:val="es-ES" w:eastAsia="es-ES"/>
        </w:rPr>
        <w:t>Universitat</w:t>
      </w:r>
      <w:proofErr w:type="spellEnd"/>
      <w:r w:rsidRPr="000F216F">
        <w:rPr>
          <w:color w:val="000000"/>
          <w:lang w:val="es-ES" w:eastAsia="es-ES"/>
        </w:rPr>
        <w:t xml:space="preserve"> Autónoma de Barcelona; 2004. [acceso: 21/05/2021]. Disponible en: </w:t>
      </w:r>
      <w:hyperlink r:id="rId24" w:history="1">
        <w:r w:rsidRPr="000F216F">
          <w:rPr>
            <w:color w:val="0563C1"/>
            <w:u w:val="single"/>
            <w:lang w:val="es-ES" w:eastAsia="es-ES"/>
          </w:rPr>
          <w:t>https://www.tesisenred.net/bitstream/handle/10803/5565/sca1de1.pdf?sequence=1&amp;isAllowed=y</w:t>
        </w:r>
      </w:hyperlink>
      <w:r w:rsidRPr="000F216F">
        <w:rPr>
          <w:color w:val="000000"/>
          <w:lang w:val="es-ES" w:eastAsia="es-ES"/>
        </w:rPr>
        <w:t xml:space="preserve">  </w:t>
      </w:r>
    </w:p>
    <w:p w14:paraId="45BBB4E6"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lastRenderedPageBreak/>
        <w:t xml:space="preserve">4. Nevado Montero J. Actuación médica ante el fallecimiento (certificación de la defunción o judicialización de la muerte): consecuencias legales. </w:t>
      </w:r>
      <w:proofErr w:type="spellStart"/>
      <w:r w:rsidRPr="000F216F">
        <w:rPr>
          <w:color w:val="000000"/>
          <w:lang w:val="es-ES" w:eastAsia="es-ES"/>
        </w:rPr>
        <w:t>Cuad</w:t>
      </w:r>
      <w:proofErr w:type="spellEnd"/>
      <w:r w:rsidRPr="000F216F">
        <w:rPr>
          <w:color w:val="000000"/>
          <w:lang w:val="es-ES" w:eastAsia="es-ES"/>
        </w:rPr>
        <w:t xml:space="preserve"> </w:t>
      </w:r>
      <w:proofErr w:type="spellStart"/>
      <w:r w:rsidRPr="000F216F">
        <w:rPr>
          <w:color w:val="000000"/>
          <w:lang w:val="es-ES" w:eastAsia="es-ES"/>
        </w:rPr>
        <w:t>Med</w:t>
      </w:r>
      <w:proofErr w:type="spellEnd"/>
      <w:r w:rsidRPr="000F216F">
        <w:rPr>
          <w:color w:val="000000"/>
          <w:lang w:val="es-ES" w:eastAsia="es-ES"/>
        </w:rPr>
        <w:t xml:space="preserve"> Forense. 2018 [acceso 21/08/2021]; 24(1-2):50-4. Disponible en: </w:t>
      </w:r>
      <w:hyperlink r:id="rId25" w:history="1">
        <w:r w:rsidRPr="000F216F">
          <w:rPr>
            <w:color w:val="0563C1"/>
            <w:u w:val="single"/>
            <w:lang w:val="es-ES" w:eastAsia="es-ES"/>
          </w:rPr>
          <w:t>https://scielo.isciii.es/scielo.php?script=sci_arttext&amp;pid=S1135-76062018000100050</w:t>
        </w:r>
      </w:hyperlink>
      <w:r w:rsidRPr="000F216F">
        <w:rPr>
          <w:color w:val="000000"/>
          <w:lang w:val="es-ES" w:eastAsia="es-ES"/>
        </w:rPr>
        <w:t xml:space="preserve">  </w:t>
      </w:r>
    </w:p>
    <w:p w14:paraId="5ED06271" w14:textId="38B27671"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5. Ministerio de Salud Pública. Anuario Estadístico de Cuba. 2020.</w:t>
      </w:r>
      <w:r w:rsidR="00BE19CF">
        <w:rPr>
          <w:color w:val="000000"/>
          <w:lang w:val="es-ES" w:eastAsia="es-ES"/>
        </w:rPr>
        <w:t xml:space="preserve"> </w:t>
      </w:r>
      <w:r w:rsidRPr="000F216F">
        <w:rPr>
          <w:color w:val="000000"/>
          <w:lang w:val="es-ES" w:eastAsia="es-ES"/>
        </w:rPr>
        <w:t>La Habana: Dirección Nacional de Registros Médicos y Estadísticas de Salud;</w:t>
      </w:r>
      <w:r w:rsidR="00BE19CF">
        <w:rPr>
          <w:color w:val="000000"/>
          <w:lang w:val="es-ES" w:eastAsia="es-ES"/>
        </w:rPr>
        <w:t xml:space="preserve"> </w:t>
      </w:r>
      <w:r w:rsidRPr="000F216F">
        <w:rPr>
          <w:color w:val="000000"/>
          <w:lang w:val="es-ES" w:eastAsia="es-ES"/>
        </w:rPr>
        <w:t>2021. [acceso: 26/08/2021]. Disponible en:</w:t>
      </w:r>
      <w:r w:rsidR="00BE19CF">
        <w:rPr>
          <w:color w:val="000000"/>
          <w:lang w:val="es-ES" w:eastAsia="es-ES"/>
        </w:rPr>
        <w:t xml:space="preserve"> </w:t>
      </w:r>
      <w:hyperlink r:id="rId26" w:history="1">
        <w:r w:rsidRPr="000F216F">
          <w:rPr>
            <w:color w:val="0563C1"/>
            <w:u w:val="single"/>
            <w:lang w:val="es-ES" w:eastAsia="es-ES"/>
          </w:rPr>
          <w:t>https://files.sld.cu/bvscuba/files/2021/08/Anuario-Estadistico-Español-2020-Definitivo.pdf</w:t>
        </w:r>
      </w:hyperlink>
      <w:r w:rsidRPr="000F216F">
        <w:rPr>
          <w:color w:val="000000"/>
          <w:lang w:val="es-ES" w:eastAsia="es-ES"/>
        </w:rPr>
        <w:t xml:space="preserve"> </w:t>
      </w:r>
    </w:p>
    <w:p w14:paraId="7B5D7B50"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6. Secretaría de salud. Gobierno de México. Correcto llenado del certificado de defunción muertes por virus SARS-COV2 (COVID-19). 2020. [acceso: 02/09/2021]. Disponible en: </w:t>
      </w:r>
      <w:hyperlink r:id="rId27" w:history="1">
        <w:r w:rsidRPr="000F216F">
          <w:rPr>
            <w:color w:val="0563C1"/>
            <w:u w:val="single"/>
            <w:lang w:val="es-ES" w:eastAsia="es-ES"/>
          </w:rPr>
          <w:t>https://coronavirus.gob.mx/wpcontent/uploads/2020/04/Correcto_llenado_del_certificado_de_defuncion_muertes_por_COVID-19.pdf</w:t>
        </w:r>
      </w:hyperlink>
      <w:r w:rsidRPr="000F216F">
        <w:rPr>
          <w:color w:val="000000"/>
          <w:lang w:val="es-ES" w:eastAsia="es-ES"/>
        </w:rPr>
        <w:t xml:space="preserve"> </w:t>
      </w:r>
    </w:p>
    <w:p w14:paraId="4C50AC57"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7. </w:t>
      </w:r>
      <w:proofErr w:type="spellStart"/>
      <w:r w:rsidRPr="000F216F">
        <w:rPr>
          <w:color w:val="000000"/>
          <w:lang w:val="es-ES" w:eastAsia="es-ES"/>
        </w:rPr>
        <w:t>Teijeira-Alvareza</w:t>
      </w:r>
      <w:proofErr w:type="spellEnd"/>
      <w:r w:rsidRPr="000F216F">
        <w:rPr>
          <w:color w:val="000000"/>
          <w:lang w:val="es-ES" w:eastAsia="es-ES"/>
        </w:rPr>
        <w:t xml:space="preserve"> R, León-</w:t>
      </w:r>
      <w:proofErr w:type="spellStart"/>
      <w:r w:rsidRPr="000F216F">
        <w:rPr>
          <w:color w:val="000000"/>
          <w:lang w:val="es-ES" w:eastAsia="es-ES"/>
        </w:rPr>
        <w:t>Sanzc</w:t>
      </w:r>
      <w:proofErr w:type="spellEnd"/>
      <w:r w:rsidRPr="000F216F">
        <w:rPr>
          <w:color w:val="000000"/>
          <w:lang w:val="es-ES" w:eastAsia="es-ES"/>
        </w:rPr>
        <w:t xml:space="preserve"> M, Castro-Herranz S, </w:t>
      </w:r>
      <w:proofErr w:type="spellStart"/>
      <w:r w:rsidRPr="000F216F">
        <w:rPr>
          <w:color w:val="000000"/>
          <w:lang w:val="es-ES" w:eastAsia="es-ES"/>
        </w:rPr>
        <w:t>Floristán-Floristán</w:t>
      </w:r>
      <w:proofErr w:type="spellEnd"/>
      <w:r w:rsidRPr="000F216F">
        <w:rPr>
          <w:color w:val="000000"/>
          <w:lang w:val="es-ES" w:eastAsia="es-ES"/>
        </w:rPr>
        <w:t xml:space="preserve"> Y, Salazar-Lozano M, Moreno-</w:t>
      </w:r>
      <w:proofErr w:type="spellStart"/>
      <w:r w:rsidRPr="000F216F">
        <w:rPr>
          <w:color w:val="000000"/>
          <w:lang w:val="es-ES" w:eastAsia="es-ES"/>
        </w:rPr>
        <w:t>Iribas</w:t>
      </w:r>
      <w:proofErr w:type="spellEnd"/>
      <w:r w:rsidRPr="000F216F">
        <w:rPr>
          <w:color w:val="000000"/>
          <w:lang w:val="es-ES" w:eastAsia="es-ES"/>
        </w:rPr>
        <w:t xml:space="preserve"> M. La certificación de la defunción de casos de COVID-19 en España. </w:t>
      </w:r>
      <w:proofErr w:type="spellStart"/>
      <w:r w:rsidRPr="000F216F">
        <w:rPr>
          <w:color w:val="000000"/>
          <w:lang w:val="es-ES" w:eastAsia="es-ES"/>
        </w:rPr>
        <w:t>Rev</w:t>
      </w:r>
      <w:proofErr w:type="spellEnd"/>
      <w:r w:rsidRPr="000F216F">
        <w:rPr>
          <w:color w:val="000000"/>
          <w:lang w:val="es-ES" w:eastAsia="es-ES"/>
        </w:rPr>
        <w:t xml:space="preserve"> </w:t>
      </w:r>
      <w:proofErr w:type="spellStart"/>
      <w:r w:rsidRPr="000F216F">
        <w:rPr>
          <w:color w:val="000000"/>
          <w:lang w:val="es-ES" w:eastAsia="es-ES"/>
        </w:rPr>
        <w:t>Esp</w:t>
      </w:r>
      <w:proofErr w:type="spellEnd"/>
      <w:r w:rsidRPr="000F216F">
        <w:rPr>
          <w:color w:val="000000"/>
          <w:lang w:val="es-ES" w:eastAsia="es-ES"/>
        </w:rPr>
        <w:t xml:space="preserve"> </w:t>
      </w:r>
      <w:proofErr w:type="spellStart"/>
      <w:r w:rsidRPr="000F216F">
        <w:rPr>
          <w:color w:val="000000"/>
          <w:lang w:val="es-ES" w:eastAsia="es-ES"/>
        </w:rPr>
        <w:t>Med</w:t>
      </w:r>
      <w:proofErr w:type="spellEnd"/>
      <w:r w:rsidRPr="000F216F">
        <w:rPr>
          <w:color w:val="000000"/>
          <w:lang w:val="es-ES" w:eastAsia="es-ES"/>
        </w:rPr>
        <w:t xml:space="preserve"> Legal. 2020 [acceso: 02/092021]; 46(3):101-8.. Disponible en: </w:t>
      </w:r>
      <w:hyperlink r:id="rId28" w:history="1">
        <w:r w:rsidRPr="000F216F">
          <w:rPr>
            <w:color w:val="0563C1"/>
            <w:u w:val="single"/>
            <w:lang w:val="es-ES" w:eastAsia="es-ES"/>
          </w:rPr>
          <w:t>https://www.elsevier.es/es-revista-revista-espanola-medicina-legal-285-pdf-S0377473220300262</w:t>
        </w:r>
      </w:hyperlink>
      <w:r w:rsidRPr="000F216F">
        <w:rPr>
          <w:color w:val="000000"/>
          <w:lang w:val="es-ES" w:eastAsia="es-ES"/>
        </w:rPr>
        <w:t xml:space="preserve"> </w:t>
      </w:r>
    </w:p>
    <w:p w14:paraId="4DF05E3F"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8. Montero González T, Hurtado de Mendoza Amat J, Fraga Martínez Y, Torres Gómez Y, Laguna Oliva L. Metodología para realizar autopsias en el proceso de enfrentamiento a la COVID-19. Revista Cubana de Medicina Militar. 2020 [acceso: 25/08/2021]; 49(3): e0200840. Disponible en:  </w:t>
      </w:r>
      <w:hyperlink r:id="rId29" w:history="1">
        <w:r w:rsidRPr="000F216F">
          <w:rPr>
            <w:color w:val="0563C1"/>
            <w:u w:val="single"/>
            <w:lang w:val="es-ES" w:eastAsia="es-ES"/>
          </w:rPr>
          <w:t>http://www.revmedmilitar.sld.cu/index.php/mil/article/view/840/562</w:t>
        </w:r>
      </w:hyperlink>
      <w:r w:rsidRPr="000F216F">
        <w:rPr>
          <w:color w:val="000000"/>
          <w:lang w:val="es-ES" w:eastAsia="es-ES"/>
        </w:rPr>
        <w:t xml:space="preserve">  </w:t>
      </w:r>
    </w:p>
    <w:p w14:paraId="195C6C28" w14:textId="77777777" w:rsidR="000F216F" w:rsidRPr="000F216F" w:rsidRDefault="000F216F" w:rsidP="000F216F">
      <w:pPr>
        <w:shd w:val="clear" w:color="auto" w:fill="FFFFFF"/>
        <w:spacing w:line="360" w:lineRule="auto"/>
        <w:rPr>
          <w:color w:val="000000"/>
          <w:lang w:val="es-ES" w:eastAsia="es-ES"/>
        </w:rPr>
      </w:pPr>
      <w:r w:rsidRPr="000F216F">
        <w:rPr>
          <w:color w:val="000000"/>
          <w:lang w:val="en-US" w:eastAsia="es-ES"/>
        </w:rPr>
        <w:t xml:space="preserve">9. Center for Disease Control and Prevention. U.S. </w:t>
      </w:r>
      <w:proofErr w:type="spellStart"/>
      <w:r w:rsidRPr="000F216F">
        <w:rPr>
          <w:color w:val="000000"/>
          <w:lang w:val="en-US" w:eastAsia="es-ES"/>
        </w:rPr>
        <w:t>Departament</w:t>
      </w:r>
      <w:proofErr w:type="spellEnd"/>
      <w:r w:rsidRPr="000F216F">
        <w:rPr>
          <w:color w:val="000000"/>
          <w:lang w:val="en-US" w:eastAsia="es-ES"/>
        </w:rPr>
        <w:t xml:space="preserve"> of Health &amp; Human Service: USA.gov. Collection and submission of postmortem specimens from deceased persons with known or suspected COVID-19 (Interim Guidance). </w:t>
      </w:r>
      <w:r w:rsidRPr="000F216F">
        <w:rPr>
          <w:color w:val="000000"/>
          <w:lang w:val="es-CU" w:eastAsia="es-ES"/>
        </w:rPr>
        <w:t xml:space="preserve">2020 [actualizado: 01/05/2020; acceso: 07/05/2020]. </w:t>
      </w:r>
      <w:r w:rsidRPr="000F216F">
        <w:rPr>
          <w:color w:val="000000"/>
          <w:lang w:val="es-ES" w:eastAsia="es-ES"/>
        </w:rPr>
        <w:t xml:space="preserve">Disponible en: </w:t>
      </w:r>
      <w:hyperlink r:id="rId30" w:history="1">
        <w:r w:rsidRPr="000F216F">
          <w:rPr>
            <w:color w:val="0563C1"/>
            <w:u w:val="single"/>
            <w:lang w:val="es-ES" w:eastAsia="es-ES"/>
          </w:rPr>
          <w:t>https://eaaf.org/wp-content/uploads/covid19-PDFs/EEUU/CDC-guidance-postmortem-specimens.pdf</w:t>
        </w:r>
      </w:hyperlink>
      <w:r w:rsidRPr="000F216F">
        <w:rPr>
          <w:color w:val="000000"/>
          <w:lang w:val="es-ES" w:eastAsia="es-ES"/>
        </w:rPr>
        <w:t xml:space="preserve"> </w:t>
      </w:r>
    </w:p>
    <w:p w14:paraId="09AE0922" w14:textId="77777777" w:rsidR="000F216F" w:rsidRPr="000F216F" w:rsidRDefault="000F216F" w:rsidP="000F216F">
      <w:pPr>
        <w:shd w:val="clear" w:color="auto" w:fill="FFFFFF"/>
        <w:spacing w:line="360" w:lineRule="auto"/>
        <w:rPr>
          <w:color w:val="000000"/>
          <w:lang w:val="es-ES" w:eastAsia="es-ES"/>
        </w:rPr>
      </w:pPr>
      <w:r w:rsidRPr="000F216F">
        <w:rPr>
          <w:color w:val="000000"/>
          <w:lang w:val="en-US" w:eastAsia="es-ES"/>
        </w:rPr>
        <w:t xml:space="preserve">10. WHO. Infection prevention and control for the safe management of a dead body in the context of COVID-19. </w:t>
      </w:r>
      <w:r w:rsidRPr="000F216F">
        <w:rPr>
          <w:color w:val="000000"/>
          <w:lang w:val="es-ES" w:eastAsia="es-ES"/>
        </w:rPr>
        <w:t xml:space="preserve">Ginebra: WHO; 2020. [acceso: 02/092021]. Disponible en: </w:t>
      </w:r>
      <w:hyperlink r:id="rId31" w:history="1">
        <w:r w:rsidRPr="000F216F">
          <w:rPr>
            <w:color w:val="0563C1"/>
            <w:u w:val="single"/>
            <w:lang w:val="es-ES" w:eastAsia="es-ES"/>
          </w:rPr>
          <w:t>https://www.who.int/publications-detail-redirect/infection-prevention-and-control-for-the-safe-management-of-a-dead-body-in-the-context-of-covid-19-interim-guidance</w:t>
        </w:r>
      </w:hyperlink>
      <w:r w:rsidRPr="000F216F">
        <w:rPr>
          <w:color w:val="000000"/>
          <w:lang w:val="es-ES" w:eastAsia="es-ES"/>
        </w:rPr>
        <w:t xml:space="preserve">  </w:t>
      </w:r>
    </w:p>
    <w:p w14:paraId="74A12594" w14:textId="77777777" w:rsidR="000F216F" w:rsidRPr="000F216F" w:rsidRDefault="000F216F" w:rsidP="000F216F">
      <w:pPr>
        <w:shd w:val="clear" w:color="auto" w:fill="FFFFFF"/>
        <w:spacing w:line="360" w:lineRule="auto"/>
        <w:rPr>
          <w:color w:val="000000"/>
          <w:lang w:val="es-CU" w:eastAsia="es-ES"/>
        </w:rPr>
      </w:pPr>
      <w:r w:rsidRPr="000F216F">
        <w:rPr>
          <w:color w:val="000000"/>
          <w:lang w:val="en-US" w:eastAsia="es-ES"/>
        </w:rPr>
        <w:lastRenderedPageBreak/>
        <w:t xml:space="preserve">11. Goldman L, </w:t>
      </w:r>
      <w:proofErr w:type="spellStart"/>
      <w:r w:rsidRPr="000F216F">
        <w:rPr>
          <w:color w:val="000000"/>
          <w:lang w:val="en-US" w:eastAsia="es-ES"/>
        </w:rPr>
        <w:t>Sayson</w:t>
      </w:r>
      <w:proofErr w:type="spellEnd"/>
      <w:r w:rsidRPr="000F216F">
        <w:rPr>
          <w:color w:val="000000"/>
          <w:lang w:val="en-US" w:eastAsia="es-ES"/>
        </w:rPr>
        <w:t xml:space="preserve"> R, Robbins S, Cohn L, </w:t>
      </w:r>
      <w:proofErr w:type="spellStart"/>
      <w:r w:rsidRPr="000F216F">
        <w:rPr>
          <w:color w:val="000000"/>
          <w:lang w:val="en-US" w:eastAsia="es-ES"/>
        </w:rPr>
        <w:t>Bettmann</w:t>
      </w:r>
      <w:proofErr w:type="spellEnd"/>
      <w:r w:rsidRPr="000F216F">
        <w:rPr>
          <w:color w:val="000000"/>
          <w:lang w:val="en-US" w:eastAsia="es-ES"/>
        </w:rPr>
        <w:t xml:space="preserve"> M, Weisberg M. The value of autopsy in three medical eras. </w:t>
      </w:r>
      <w:r w:rsidRPr="000F216F">
        <w:rPr>
          <w:color w:val="000000"/>
          <w:lang w:val="es-ES" w:eastAsia="es-ES"/>
        </w:rPr>
        <w:t xml:space="preserve">N Engl J </w:t>
      </w:r>
      <w:proofErr w:type="spellStart"/>
      <w:r w:rsidRPr="000F216F">
        <w:rPr>
          <w:color w:val="000000"/>
          <w:lang w:val="es-ES" w:eastAsia="es-ES"/>
        </w:rPr>
        <w:t>Med</w:t>
      </w:r>
      <w:proofErr w:type="spellEnd"/>
      <w:r w:rsidRPr="000F216F">
        <w:rPr>
          <w:color w:val="000000"/>
          <w:lang w:val="es-ES" w:eastAsia="es-ES"/>
        </w:rPr>
        <w:t xml:space="preserve">. 1983 [acceso: 25/08/2021]; 308:1000-5. </w:t>
      </w:r>
      <w:r w:rsidRPr="000F216F">
        <w:rPr>
          <w:color w:val="000000"/>
          <w:lang w:val="es-CU" w:eastAsia="es-ES"/>
        </w:rPr>
        <w:t xml:space="preserve">Disponible en: </w:t>
      </w:r>
      <w:hyperlink r:id="rId32" w:history="1">
        <w:r w:rsidRPr="000F216F">
          <w:rPr>
            <w:color w:val="0563C1"/>
            <w:u w:val="single"/>
            <w:lang w:val="es-CU" w:eastAsia="es-ES"/>
          </w:rPr>
          <w:t>https://www.nejm.org/doi/full/10.1056/NEJM198304283081704</w:t>
        </w:r>
      </w:hyperlink>
      <w:r w:rsidRPr="000F216F">
        <w:rPr>
          <w:color w:val="000000"/>
          <w:lang w:val="es-CU" w:eastAsia="es-ES"/>
        </w:rPr>
        <w:t xml:space="preserve">  </w:t>
      </w:r>
    </w:p>
    <w:p w14:paraId="652BA2DD" w14:textId="77777777" w:rsidR="000F216F" w:rsidRPr="000F216F" w:rsidRDefault="000F216F" w:rsidP="000F216F">
      <w:pPr>
        <w:shd w:val="clear" w:color="auto" w:fill="FFFFFF"/>
        <w:spacing w:line="360" w:lineRule="auto"/>
        <w:rPr>
          <w:color w:val="000000"/>
          <w:lang w:val="en-US" w:eastAsia="es-ES"/>
        </w:rPr>
      </w:pPr>
      <w:r w:rsidRPr="000F216F">
        <w:rPr>
          <w:color w:val="000000"/>
          <w:lang w:val="en-US" w:eastAsia="es-ES"/>
        </w:rPr>
        <w:t xml:space="preserve">12. Battle R, Pathak D, Humble C, Key C, </w:t>
      </w:r>
      <w:proofErr w:type="spellStart"/>
      <w:r w:rsidRPr="000F216F">
        <w:rPr>
          <w:color w:val="000000"/>
          <w:lang w:val="en-US" w:eastAsia="es-ES"/>
        </w:rPr>
        <w:t>Vanatta</w:t>
      </w:r>
      <w:proofErr w:type="spellEnd"/>
      <w:r w:rsidRPr="000F216F">
        <w:rPr>
          <w:color w:val="000000"/>
          <w:lang w:val="en-US" w:eastAsia="es-ES"/>
        </w:rPr>
        <w:t xml:space="preserve"> P, Hill R, et al. Factors influencing discrepancies between pre- and post-mortem diagnoses. JAMA. 1987 [</w:t>
      </w:r>
      <w:proofErr w:type="spellStart"/>
      <w:r w:rsidRPr="000F216F">
        <w:rPr>
          <w:color w:val="000000"/>
          <w:lang w:val="en-US" w:eastAsia="es-ES"/>
        </w:rPr>
        <w:t>acceso</w:t>
      </w:r>
      <w:proofErr w:type="spellEnd"/>
      <w:r w:rsidRPr="000F216F">
        <w:rPr>
          <w:color w:val="000000"/>
          <w:lang w:val="en-US" w:eastAsia="es-ES"/>
        </w:rPr>
        <w:t xml:space="preserve"> 25/08/2021]; 258:339-44.. Disponible </w:t>
      </w:r>
      <w:proofErr w:type="spellStart"/>
      <w:r w:rsidRPr="000F216F">
        <w:rPr>
          <w:color w:val="000000"/>
          <w:lang w:val="en-US" w:eastAsia="es-ES"/>
        </w:rPr>
        <w:t>en</w:t>
      </w:r>
      <w:proofErr w:type="spellEnd"/>
      <w:r w:rsidRPr="000F216F">
        <w:rPr>
          <w:color w:val="000000"/>
          <w:lang w:val="en-US" w:eastAsia="es-ES"/>
        </w:rPr>
        <w:t xml:space="preserve">: </w:t>
      </w:r>
      <w:hyperlink r:id="rId33" w:history="1">
        <w:r w:rsidRPr="000F216F">
          <w:rPr>
            <w:color w:val="0563C1"/>
            <w:u w:val="single"/>
            <w:lang w:val="en-US" w:eastAsia="es-ES"/>
          </w:rPr>
          <w:t>https://jamanetwork.com/journals/jama/article-abstract/367171</w:t>
        </w:r>
      </w:hyperlink>
      <w:r w:rsidRPr="000F216F">
        <w:rPr>
          <w:color w:val="000000"/>
          <w:lang w:val="en-US" w:eastAsia="es-ES"/>
        </w:rPr>
        <w:t xml:space="preserve"> </w:t>
      </w:r>
    </w:p>
    <w:p w14:paraId="5613DB1D" w14:textId="77777777" w:rsidR="000F216F" w:rsidRPr="000F216F" w:rsidRDefault="000F216F" w:rsidP="000F216F">
      <w:pPr>
        <w:shd w:val="clear" w:color="auto" w:fill="FFFFFF"/>
        <w:spacing w:line="360" w:lineRule="auto"/>
        <w:rPr>
          <w:color w:val="000000"/>
          <w:lang w:val="en-US" w:eastAsia="es-ES"/>
        </w:rPr>
      </w:pPr>
      <w:r w:rsidRPr="000F216F">
        <w:rPr>
          <w:color w:val="000000"/>
          <w:lang w:val="en-US" w:eastAsia="es-ES"/>
        </w:rPr>
        <w:t xml:space="preserve">13. </w:t>
      </w:r>
      <w:proofErr w:type="spellStart"/>
      <w:r w:rsidRPr="000F216F">
        <w:rPr>
          <w:color w:val="000000"/>
          <w:lang w:val="en-US" w:eastAsia="es-ES"/>
        </w:rPr>
        <w:t>Elezkurtaj</w:t>
      </w:r>
      <w:proofErr w:type="spellEnd"/>
      <w:r w:rsidRPr="000F216F">
        <w:rPr>
          <w:color w:val="000000"/>
          <w:lang w:val="en-US" w:eastAsia="es-ES"/>
        </w:rPr>
        <w:t xml:space="preserve"> S, Greuel S, </w:t>
      </w:r>
      <w:proofErr w:type="spellStart"/>
      <w:r w:rsidRPr="000F216F">
        <w:rPr>
          <w:color w:val="000000"/>
          <w:lang w:val="en-US" w:eastAsia="es-ES"/>
        </w:rPr>
        <w:t>Ihlow</w:t>
      </w:r>
      <w:proofErr w:type="spellEnd"/>
      <w:r w:rsidRPr="000F216F">
        <w:rPr>
          <w:color w:val="000000"/>
          <w:lang w:val="en-US" w:eastAsia="es-ES"/>
        </w:rPr>
        <w:t xml:space="preserve"> J, Michaelis EG, Bischoff P, Kunze CA, et al. Causes of death and comorbidities in hospitalized patients with COVID‑19. Nature. 2021 [</w:t>
      </w:r>
      <w:proofErr w:type="spellStart"/>
      <w:r w:rsidRPr="000F216F">
        <w:rPr>
          <w:color w:val="000000"/>
          <w:lang w:val="en-US" w:eastAsia="es-ES"/>
        </w:rPr>
        <w:t>acceso</w:t>
      </w:r>
      <w:proofErr w:type="spellEnd"/>
      <w:r w:rsidRPr="000F216F">
        <w:rPr>
          <w:color w:val="000000"/>
          <w:lang w:val="en-US" w:eastAsia="es-ES"/>
        </w:rPr>
        <w:t xml:space="preserve">: 25/08/2021]. Disponible </w:t>
      </w:r>
      <w:proofErr w:type="spellStart"/>
      <w:r w:rsidRPr="000F216F">
        <w:rPr>
          <w:color w:val="000000"/>
          <w:lang w:val="en-US" w:eastAsia="es-ES"/>
        </w:rPr>
        <w:t>en</w:t>
      </w:r>
      <w:proofErr w:type="spellEnd"/>
      <w:r w:rsidRPr="000F216F">
        <w:rPr>
          <w:color w:val="000000"/>
          <w:lang w:val="en-US" w:eastAsia="es-ES"/>
        </w:rPr>
        <w:t xml:space="preserve">: </w:t>
      </w:r>
      <w:hyperlink r:id="rId34" w:history="1">
        <w:r w:rsidRPr="000F216F">
          <w:rPr>
            <w:color w:val="0563C1"/>
            <w:u w:val="single"/>
            <w:lang w:val="en-US" w:eastAsia="es-ES"/>
          </w:rPr>
          <w:t>https://doi.org/10.1038/s41598-021-82862-5</w:t>
        </w:r>
      </w:hyperlink>
      <w:r w:rsidRPr="000F216F">
        <w:rPr>
          <w:color w:val="000000"/>
          <w:lang w:val="en-US" w:eastAsia="es-ES"/>
        </w:rPr>
        <w:t xml:space="preserve">  </w:t>
      </w:r>
    </w:p>
    <w:p w14:paraId="52C9D7C7" w14:textId="77777777" w:rsidR="000F216F" w:rsidRPr="000F216F" w:rsidRDefault="000F216F" w:rsidP="000F216F">
      <w:pPr>
        <w:shd w:val="clear" w:color="auto" w:fill="FFFFFF"/>
        <w:spacing w:line="360" w:lineRule="auto"/>
        <w:rPr>
          <w:color w:val="000000"/>
          <w:lang w:val="es-ES" w:eastAsia="es-ES"/>
        </w:rPr>
      </w:pPr>
      <w:r w:rsidRPr="000F216F">
        <w:rPr>
          <w:color w:val="000000"/>
          <w:lang w:val="en-US" w:eastAsia="es-ES"/>
        </w:rPr>
        <w:t xml:space="preserve">14. Romanova ES, </w:t>
      </w:r>
      <w:proofErr w:type="spellStart"/>
      <w:r w:rsidRPr="000F216F">
        <w:rPr>
          <w:color w:val="000000"/>
          <w:lang w:val="en-US" w:eastAsia="es-ES"/>
        </w:rPr>
        <w:t>Vasilyev</w:t>
      </w:r>
      <w:proofErr w:type="spellEnd"/>
      <w:r w:rsidRPr="000F216F">
        <w:rPr>
          <w:color w:val="000000"/>
          <w:lang w:val="en-US" w:eastAsia="es-ES"/>
        </w:rPr>
        <w:t xml:space="preserve"> VV, </w:t>
      </w:r>
      <w:proofErr w:type="spellStart"/>
      <w:r w:rsidRPr="000F216F">
        <w:rPr>
          <w:color w:val="000000"/>
          <w:lang w:val="en-US" w:eastAsia="es-ES"/>
        </w:rPr>
        <w:t>Startseva</w:t>
      </w:r>
      <w:proofErr w:type="spellEnd"/>
      <w:r w:rsidRPr="000F216F">
        <w:rPr>
          <w:color w:val="000000"/>
          <w:lang w:val="en-US" w:eastAsia="es-ES"/>
        </w:rPr>
        <w:t xml:space="preserve"> G, </w:t>
      </w:r>
      <w:proofErr w:type="spellStart"/>
      <w:r w:rsidRPr="000F216F">
        <w:rPr>
          <w:color w:val="000000"/>
          <w:lang w:val="en-US" w:eastAsia="es-ES"/>
        </w:rPr>
        <w:t>Karev</w:t>
      </w:r>
      <w:proofErr w:type="spellEnd"/>
      <w:r w:rsidRPr="000F216F">
        <w:rPr>
          <w:color w:val="000000"/>
          <w:lang w:val="en-US" w:eastAsia="es-ES"/>
        </w:rPr>
        <w:t xml:space="preserve"> V, Rybakova MG, PG P. Cause of death based on systematic post-mortem studies in patients with positive SARS-CoV-2 tissue PCR during the COVID-19 pandemic. </w:t>
      </w:r>
      <w:r w:rsidRPr="000F216F">
        <w:rPr>
          <w:color w:val="000000"/>
          <w:lang w:val="es-ES" w:eastAsia="es-ES"/>
        </w:rPr>
        <w:t xml:space="preserve">J </w:t>
      </w:r>
      <w:proofErr w:type="spellStart"/>
      <w:r w:rsidRPr="000F216F">
        <w:rPr>
          <w:color w:val="000000"/>
          <w:lang w:val="es-ES" w:eastAsia="es-ES"/>
        </w:rPr>
        <w:t>Intern</w:t>
      </w:r>
      <w:proofErr w:type="spellEnd"/>
      <w:r w:rsidRPr="000F216F">
        <w:rPr>
          <w:color w:val="000000"/>
          <w:lang w:val="es-ES" w:eastAsia="es-ES"/>
        </w:rPr>
        <w:t xml:space="preserve"> </w:t>
      </w:r>
      <w:proofErr w:type="spellStart"/>
      <w:r w:rsidRPr="000F216F">
        <w:rPr>
          <w:color w:val="000000"/>
          <w:lang w:val="es-ES" w:eastAsia="es-ES"/>
        </w:rPr>
        <w:t>Med</w:t>
      </w:r>
      <w:proofErr w:type="spellEnd"/>
      <w:r w:rsidRPr="000F216F">
        <w:rPr>
          <w:color w:val="000000"/>
          <w:lang w:val="es-ES" w:eastAsia="es-ES"/>
        </w:rPr>
        <w:t xml:space="preserve">. 2021 [acceso: 25/08/2021]; 290(3): 655-65. Disponible en: </w:t>
      </w:r>
      <w:hyperlink r:id="rId35" w:history="1">
        <w:r w:rsidRPr="000F216F">
          <w:rPr>
            <w:color w:val="0563C1"/>
            <w:u w:val="single"/>
            <w:lang w:val="es-ES" w:eastAsia="es-ES"/>
          </w:rPr>
          <w:t>https://doi.org/10.1111/joim.13300</w:t>
        </w:r>
      </w:hyperlink>
      <w:r w:rsidRPr="000F216F">
        <w:rPr>
          <w:color w:val="000000"/>
          <w:lang w:val="es-ES" w:eastAsia="es-ES"/>
        </w:rPr>
        <w:t xml:space="preserve">  </w:t>
      </w:r>
    </w:p>
    <w:p w14:paraId="2467CAE1" w14:textId="77777777" w:rsidR="000F216F" w:rsidRPr="000F216F" w:rsidRDefault="000F216F" w:rsidP="000F216F">
      <w:pPr>
        <w:shd w:val="clear" w:color="auto" w:fill="FFFFFF"/>
        <w:spacing w:line="360" w:lineRule="auto"/>
        <w:rPr>
          <w:color w:val="000000"/>
          <w:lang w:val="es-ES" w:eastAsia="es-ES"/>
        </w:rPr>
      </w:pPr>
      <w:r w:rsidRPr="000F216F">
        <w:rPr>
          <w:color w:val="000000"/>
          <w:lang w:val="en-US" w:eastAsia="es-ES"/>
        </w:rPr>
        <w:t xml:space="preserve">15. Slater TA, Straw S, </w:t>
      </w:r>
      <w:proofErr w:type="spellStart"/>
      <w:r w:rsidRPr="000F216F">
        <w:rPr>
          <w:color w:val="000000"/>
          <w:lang w:val="en-US" w:eastAsia="es-ES"/>
        </w:rPr>
        <w:t>Drozd</w:t>
      </w:r>
      <w:proofErr w:type="spellEnd"/>
      <w:r w:rsidRPr="000F216F">
        <w:rPr>
          <w:color w:val="000000"/>
          <w:lang w:val="en-US" w:eastAsia="es-ES"/>
        </w:rPr>
        <w:t xml:space="preserve"> M, </w:t>
      </w:r>
      <w:proofErr w:type="spellStart"/>
      <w:r w:rsidRPr="000F216F">
        <w:rPr>
          <w:color w:val="000000"/>
          <w:lang w:val="en-US" w:eastAsia="es-ES"/>
        </w:rPr>
        <w:t>Kamalathasan</w:t>
      </w:r>
      <w:proofErr w:type="spellEnd"/>
      <w:r w:rsidRPr="000F216F">
        <w:rPr>
          <w:color w:val="000000"/>
          <w:lang w:val="en-US" w:eastAsia="es-ES"/>
        </w:rPr>
        <w:t xml:space="preserve"> S, Cowley A, KK W. Dying ‘due to’ or ‘with’ COVID-19: a cause of death analysis in </w:t>
      </w:r>
      <w:proofErr w:type="spellStart"/>
      <w:r w:rsidRPr="000F216F">
        <w:rPr>
          <w:color w:val="000000"/>
          <w:lang w:val="en-US" w:eastAsia="es-ES"/>
        </w:rPr>
        <w:t>hospitalised</w:t>
      </w:r>
      <w:proofErr w:type="spellEnd"/>
      <w:r w:rsidRPr="000F216F">
        <w:rPr>
          <w:color w:val="000000"/>
          <w:lang w:val="en-US" w:eastAsia="es-ES"/>
        </w:rPr>
        <w:t xml:space="preserve"> patients. </w:t>
      </w:r>
      <w:proofErr w:type="spellStart"/>
      <w:r w:rsidRPr="000F216F">
        <w:rPr>
          <w:color w:val="000000"/>
          <w:lang w:val="es-ES" w:eastAsia="es-ES"/>
        </w:rPr>
        <w:t>Clinical</w:t>
      </w:r>
      <w:proofErr w:type="spellEnd"/>
      <w:r w:rsidRPr="000F216F">
        <w:rPr>
          <w:color w:val="000000"/>
          <w:lang w:val="es-ES" w:eastAsia="es-ES"/>
        </w:rPr>
        <w:t xml:space="preserve"> medicine. 2020 [acceso: 21/05/2021]; 20(5):e189-90. Disponible en:  </w:t>
      </w:r>
      <w:hyperlink r:id="rId36" w:history="1">
        <w:r w:rsidRPr="000F216F">
          <w:rPr>
            <w:color w:val="0563C1"/>
            <w:u w:val="single"/>
            <w:lang w:val="es-ES" w:eastAsia="es-ES"/>
          </w:rPr>
          <w:t>https://doi:10.7861/clinmed.2020-0440</w:t>
        </w:r>
      </w:hyperlink>
      <w:r w:rsidRPr="000F216F">
        <w:rPr>
          <w:color w:val="000000"/>
          <w:lang w:val="es-ES" w:eastAsia="es-ES"/>
        </w:rPr>
        <w:t xml:space="preserve">   </w:t>
      </w:r>
    </w:p>
    <w:p w14:paraId="3CDEEE8F"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16. </w:t>
      </w:r>
      <w:proofErr w:type="spellStart"/>
      <w:r w:rsidRPr="000F216F">
        <w:rPr>
          <w:color w:val="000000"/>
          <w:lang w:val="es-ES" w:eastAsia="es-ES"/>
        </w:rPr>
        <w:t>Piamo</w:t>
      </w:r>
      <w:proofErr w:type="spellEnd"/>
      <w:r w:rsidRPr="000F216F">
        <w:rPr>
          <w:color w:val="000000"/>
          <w:lang w:val="es-ES" w:eastAsia="es-ES"/>
        </w:rPr>
        <w:t>-Morales AJ, García-Rojas M, García-Rojas M, Campo-</w:t>
      </w:r>
      <w:proofErr w:type="spellStart"/>
      <w:r w:rsidRPr="000F216F">
        <w:rPr>
          <w:color w:val="000000"/>
          <w:lang w:val="es-ES" w:eastAsia="es-ES"/>
        </w:rPr>
        <w:t>Beroes</w:t>
      </w:r>
      <w:proofErr w:type="spellEnd"/>
      <w:r w:rsidRPr="000F216F">
        <w:rPr>
          <w:color w:val="000000"/>
          <w:lang w:val="es-ES" w:eastAsia="es-ES"/>
        </w:rPr>
        <w:t xml:space="preserve"> O. Hallazgos de autopsias en la infección por COVID-19. </w:t>
      </w:r>
      <w:proofErr w:type="spellStart"/>
      <w:r w:rsidRPr="000F216F">
        <w:rPr>
          <w:color w:val="000000"/>
          <w:lang w:val="es-ES" w:eastAsia="es-ES"/>
        </w:rPr>
        <w:t>Arch</w:t>
      </w:r>
      <w:proofErr w:type="spellEnd"/>
      <w:r w:rsidRPr="000F216F">
        <w:rPr>
          <w:color w:val="000000"/>
          <w:lang w:val="es-ES" w:eastAsia="es-ES"/>
        </w:rPr>
        <w:t xml:space="preserve"> </w:t>
      </w:r>
      <w:proofErr w:type="spellStart"/>
      <w:r w:rsidRPr="000F216F">
        <w:rPr>
          <w:color w:val="000000"/>
          <w:lang w:val="es-ES" w:eastAsia="es-ES"/>
        </w:rPr>
        <w:t>Méd</w:t>
      </w:r>
      <w:proofErr w:type="spellEnd"/>
      <w:r w:rsidRPr="000F216F">
        <w:rPr>
          <w:color w:val="000000"/>
          <w:lang w:val="es-ES" w:eastAsia="es-ES"/>
        </w:rPr>
        <w:t xml:space="preserve"> Camagüey. 2020 [acceso 26/08/2021]; 24(6):[aprox. 8 p.]. Disponible en: </w:t>
      </w:r>
      <w:hyperlink r:id="rId37" w:history="1">
        <w:r w:rsidRPr="000F216F">
          <w:rPr>
            <w:color w:val="0563C1"/>
            <w:u w:val="single"/>
            <w:lang w:val="es-ES" w:eastAsia="es-ES"/>
          </w:rPr>
          <w:t>http://www.revistaamc.sld.cu/index.php/amc/article/view/7572</w:t>
        </w:r>
      </w:hyperlink>
      <w:r w:rsidRPr="000F216F">
        <w:rPr>
          <w:color w:val="000000"/>
          <w:lang w:val="es-ES" w:eastAsia="es-ES"/>
        </w:rPr>
        <w:t xml:space="preserve"> </w:t>
      </w:r>
    </w:p>
    <w:p w14:paraId="4F72AF1A"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17. Vega Jiménez J. La autopsia clínica como herramienta diagnóstica imprescindible para la crisis sanitaria por la COVID-19. </w:t>
      </w:r>
      <w:proofErr w:type="spellStart"/>
      <w:r w:rsidRPr="000F216F">
        <w:rPr>
          <w:color w:val="000000"/>
          <w:lang w:val="es-ES" w:eastAsia="es-ES"/>
        </w:rPr>
        <w:t>Rev</w:t>
      </w:r>
      <w:proofErr w:type="spellEnd"/>
      <w:r w:rsidRPr="000F216F">
        <w:rPr>
          <w:color w:val="000000"/>
          <w:lang w:val="es-ES" w:eastAsia="es-ES"/>
        </w:rPr>
        <w:t xml:space="preserve"> Cubana Salud Pública. 2020 [acceso: 05/09/2021]; 46(suppl.1): e2520. Disponible en: </w:t>
      </w:r>
      <w:hyperlink r:id="rId38" w:history="1">
        <w:r w:rsidRPr="000F216F">
          <w:rPr>
            <w:color w:val="0563C1"/>
            <w:u w:val="single"/>
            <w:lang w:val="es-ES" w:eastAsia="es-ES"/>
          </w:rPr>
          <w:t>http://scielo.sld.cu/scielo.php?script=sci_arttext&amp;pid=S0864-34662020000500002&amp;lng=es&amp;nrm=iso</w:t>
        </w:r>
      </w:hyperlink>
      <w:r w:rsidRPr="000F216F">
        <w:rPr>
          <w:color w:val="000000"/>
          <w:lang w:val="es-ES" w:eastAsia="es-ES"/>
        </w:rPr>
        <w:t xml:space="preserve"> </w:t>
      </w:r>
    </w:p>
    <w:p w14:paraId="7DB45966" w14:textId="77777777" w:rsidR="000F216F" w:rsidRPr="000F216F" w:rsidRDefault="000F216F" w:rsidP="000F216F">
      <w:pPr>
        <w:shd w:val="clear" w:color="auto" w:fill="FFFFFF"/>
        <w:spacing w:line="360" w:lineRule="auto"/>
        <w:rPr>
          <w:color w:val="000000"/>
          <w:lang w:val="es-ES" w:eastAsia="es-ES"/>
        </w:rPr>
      </w:pPr>
      <w:r w:rsidRPr="000F216F">
        <w:rPr>
          <w:color w:val="000000"/>
          <w:lang w:val="en-US" w:eastAsia="es-ES"/>
        </w:rPr>
        <w:t xml:space="preserve">18. </w:t>
      </w:r>
      <w:proofErr w:type="spellStart"/>
      <w:r w:rsidRPr="000F216F">
        <w:rPr>
          <w:color w:val="000000"/>
          <w:lang w:val="en-US" w:eastAsia="es-ES"/>
        </w:rPr>
        <w:t>Rusu</w:t>
      </w:r>
      <w:proofErr w:type="spellEnd"/>
      <w:r w:rsidRPr="000F216F">
        <w:rPr>
          <w:color w:val="000000"/>
          <w:lang w:val="en-US" w:eastAsia="es-ES"/>
        </w:rPr>
        <w:t xml:space="preserve"> S, </w:t>
      </w:r>
      <w:proofErr w:type="spellStart"/>
      <w:r w:rsidRPr="000F216F">
        <w:rPr>
          <w:color w:val="000000"/>
          <w:lang w:val="en-US" w:eastAsia="es-ES"/>
        </w:rPr>
        <w:t>Lavis</w:t>
      </w:r>
      <w:proofErr w:type="spellEnd"/>
      <w:r w:rsidRPr="000F216F">
        <w:rPr>
          <w:color w:val="000000"/>
          <w:lang w:val="en-US" w:eastAsia="es-ES"/>
        </w:rPr>
        <w:t xml:space="preserve"> P, </w:t>
      </w:r>
      <w:proofErr w:type="spellStart"/>
      <w:r w:rsidRPr="000F216F">
        <w:rPr>
          <w:color w:val="000000"/>
          <w:lang w:val="en-US" w:eastAsia="es-ES"/>
        </w:rPr>
        <w:t>Domingues</w:t>
      </w:r>
      <w:proofErr w:type="spellEnd"/>
      <w:r w:rsidRPr="000F216F">
        <w:rPr>
          <w:color w:val="000000"/>
          <w:lang w:val="en-US" w:eastAsia="es-ES"/>
        </w:rPr>
        <w:t xml:space="preserve"> Salgado V, Van </w:t>
      </w:r>
      <w:proofErr w:type="spellStart"/>
      <w:r w:rsidRPr="000F216F">
        <w:rPr>
          <w:color w:val="000000"/>
          <w:lang w:val="en-US" w:eastAsia="es-ES"/>
        </w:rPr>
        <w:t>Craynest</w:t>
      </w:r>
      <w:proofErr w:type="spellEnd"/>
      <w:r w:rsidRPr="000F216F">
        <w:rPr>
          <w:color w:val="000000"/>
          <w:lang w:val="en-US" w:eastAsia="es-ES"/>
        </w:rPr>
        <w:t xml:space="preserve"> MP, </w:t>
      </w:r>
      <w:proofErr w:type="spellStart"/>
      <w:r w:rsidRPr="000F216F">
        <w:rPr>
          <w:color w:val="000000"/>
          <w:lang w:val="en-US" w:eastAsia="es-ES"/>
        </w:rPr>
        <w:t>Creteur</w:t>
      </w:r>
      <w:proofErr w:type="spellEnd"/>
      <w:r w:rsidRPr="000F216F">
        <w:rPr>
          <w:color w:val="000000"/>
          <w:lang w:val="en-US" w:eastAsia="es-ES"/>
        </w:rPr>
        <w:t xml:space="preserve"> J, Salmon I, et al. Comparison of antemortem clinical diagnosis and post-mortem findings in intensive care unit patients </w:t>
      </w:r>
      <w:proofErr w:type="spellStart"/>
      <w:r w:rsidRPr="000F216F">
        <w:rPr>
          <w:color w:val="000000"/>
          <w:lang w:val="en-US" w:eastAsia="es-ES"/>
        </w:rPr>
        <w:t>Virchows</w:t>
      </w:r>
      <w:proofErr w:type="spellEnd"/>
      <w:r w:rsidRPr="000F216F">
        <w:rPr>
          <w:color w:val="000000"/>
          <w:lang w:val="en-US" w:eastAsia="es-ES"/>
        </w:rPr>
        <w:t xml:space="preserve"> </w:t>
      </w:r>
      <w:proofErr w:type="spellStart"/>
      <w:r w:rsidRPr="000F216F">
        <w:rPr>
          <w:color w:val="000000"/>
          <w:lang w:val="en-US" w:eastAsia="es-ES"/>
        </w:rPr>
        <w:t>Archiv</w:t>
      </w:r>
      <w:proofErr w:type="spellEnd"/>
      <w:r w:rsidRPr="000F216F">
        <w:rPr>
          <w:color w:val="000000"/>
          <w:lang w:val="en-US" w:eastAsia="es-ES"/>
        </w:rPr>
        <w:t xml:space="preserve">. </w:t>
      </w:r>
      <w:r w:rsidRPr="000F216F">
        <w:rPr>
          <w:color w:val="000000"/>
          <w:lang w:val="es-ES" w:eastAsia="es-ES"/>
        </w:rPr>
        <w:t xml:space="preserve">2021 [acceso: 21/05/2021]; 479: 385-92. Disponible en: </w:t>
      </w:r>
      <w:hyperlink r:id="rId39" w:history="1">
        <w:r w:rsidRPr="000F216F">
          <w:rPr>
            <w:color w:val="0563C1"/>
            <w:u w:val="single"/>
            <w:lang w:val="es-ES" w:eastAsia="es-ES"/>
          </w:rPr>
          <w:t>https://doi.org/10.1007/s00428-020-03016-y</w:t>
        </w:r>
      </w:hyperlink>
      <w:r w:rsidRPr="000F216F">
        <w:rPr>
          <w:color w:val="000000"/>
          <w:lang w:val="es-ES" w:eastAsia="es-ES"/>
        </w:rPr>
        <w:t xml:space="preserve"> </w:t>
      </w:r>
    </w:p>
    <w:p w14:paraId="0AD69FE9"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19. Hurtado de Mendoza Amat J, Montero González T, </w:t>
      </w:r>
      <w:proofErr w:type="spellStart"/>
      <w:r w:rsidRPr="000F216F">
        <w:rPr>
          <w:color w:val="000000"/>
          <w:lang w:val="es-ES" w:eastAsia="es-ES"/>
        </w:rPr>
        <w:t>Borrajero</w:t>
      </w:r>
      <w:proofErr w:type="spellEnd"/>
      <w:r w:rsidRPr="000F216F">
        <w:rPr>
          <w:color w:val="000000"/>
          <w:lang w:val="es-ES" w:eastAsia="es-ES"/>
        </w:rPr>
        <w:t xml:space="preserve"> Martínez I, Capó de Paz V, López Marín L, Domínguez Álvarez C. Respuesta inflamatoria sistémica de la COVID-19 y su expresión </w:t>
      </w:r>
      <w:r w:rsidRPr="000F216F">
        <w:rPr>
          <w:color w:val="000000"/>
          <w:lang w:val="es-ES" w:eastAsia="es-ES"/>
        </w:rPr>
        <w:lastRenderedPageBreak/>
        <w:t xml:space="preserve">morfológica, el daño múltiple de órganos. </w:t>
      </w:r>
      <w:proofErr w:type="spellStart"/>
      <w:r w:rsidRPr="000F216F">
        <w:rPr>
          <w:color w:val="000000"/>
          <w:lang w:val="es-ES" w:eastAsia="es-ES"/>
        </w:rPr>
        <w:t>Rev</w:t>
      </w:r>
      <w:proofErr w:type="spellEnd"/>
      <w:r w:rsidRPr="000F216F">
        <w:rPr>
          <w:color w:val="000000"/>
          <w:lang w:val="es-ES" w:eastAsia="es-ES"/>
        </w:rPr>
        <w:t xml:space="preserve"> </w:t>
      </w:r>
      <w:proofErr w:type="spellStart"/>
      <w:r w:rsidRPr="000F216F">
        <w:rPr>
          <w:color w:val="000000"/>
          <w:lang w:val="es-ES" w:eastAsia="es-ES"/>
        </w:rPr>
        <w:t>Cub</w:t>
      </w:r>
      <w:proofErr w:type="spellEnd"/>
      <w:r w:rsidRPr="000F216F">
        <w:rPr>
          <w:color w:val="000000"/>
          <w:lang w:val="es-ES" w:eastAsia="es-ES"/>
        </w:rPr>
        <w:t xml:space="preserve"> </w:t>
      </w:r>
      <w:proofErr w:type="spellStart"/>
      <w:r w:rsidRPr="000F216F">
        <w:rPr>
          <w:color w:val="000000"/>
          <w:lang w:val="es-ES" w:eastAsia="es-ES"/>
        </w:rPr>
        <w:t>Med</w:t>
      </w:r>
      <w:proofErr w:type="spellEnd"/>
      <w:r w:rsidRPr="000F216F">
        <w:rPr>
          <w:color w:val="000000"/>
          <w:lang w:val="es-ES" w:eastAsia="es-ES"/>
        </w:rPr>
        <w:t xml:space="preserve"> Mil. 2021 [acceso: 21/09/2021]; 50(3): e02101592. Disponible en: </w:t>
      </w:r>
      <w:hyperlink r:id="rId40" w:history="1">
        <w:r w:rsidRPr="000F216F">
          <w:rPr>
            <w:color w:val="0563C1"/>
            <w:u w:val="single"/>
            <w:lang w:val="es-ES" w:eastAsia="es-ES"/>
          </w:rPr>
          <w:t>http://www.revmedmilitar.sld.cu/index.php/mil/article/view/1592/1040</w:t>
        </w:r>
      </w:hyperlink>
      <w:r w:rsidRPr="000F216F">
        <w:rPr>
          <w:color w:val="000000"/>
          <w:lang w:val="es-ES" w:eastAsia="es-ES"/>
        </w:rPr>
        <w:t xml:space="preserve">  </w:t>
      </w:r>
    </w:p>
    <w:p w14:paraId="66C158E0" w14:textId="77777777" w:rsidR="000F216F" w:rsidRPr="000F216F" w:rsidRDefault="000F216F" w:rsidP="000F216F">
      <w:pPr>
        <w:shd w:val="clear" w:color="auto" w:fill="FFFFFF"/>
        <w:spacing w:line="360" w:lineRule="auto"/>
        <w:rPr>
          <w:color w:val="000000"/>
          <w:lang w:val="es-CU" w:eastAsia="es-ES"/>
        </w:rPr>
      </w:pPr>
      <w:r w:rsidRPr="000F216F">
        <w:rPr>
          <w:color w:val="000000"/>
          <w:lang w:val="en-US" w:eastAsia="es-ES"/>
        </w:rPr>
        <w:t xml:space="preserve">20. van den Tweel JG, Wittekind C. The medical autopsy as quality assurance tool in clinical medicine: dreams and realities. </w:t>
      </w:r>
      <w:proofErr w:type="spellStart"/>
      <w:r w:rsidRPr="000F216F">
        <w:rPr>
          <w:color w:val="000000"/>
          <w:lang w:val="es-CU" w:eastAsia="es-ES"/>
        </w:rPr>
        <w:t>Virchows</w:t>
      </w:r>
      <w:proofErr w:type="spellEnd"/>
      <w:r w:rsidRPr="000F216F">
        <w:rPr>
          <w:color w:val="000000"/>
          <w:lang w:val="es-CU" w:eastAsia="es-ES"/>
        </w:rPr>
        <w:t xml:space="preserve"> </w:t>
      </w:r>
      <w:proofErr w:type="spellStart"/>
      <w:r w:rsidRPr="000F216F">
        <w:rPr>
          <w:color w:val="000000"/>
          <w:lang w:val="es-CU" w:eastAsia="es-ES"/>
        </w:rPr>
        <w:t>Arch</w:t>
      </w:r>
      <w:proofErr w:type="spellEnd"/>
      <w:r w:rsidRPr="000F216F">
        <w:rPr>
          <w:color w:val="000000"/>
          <w:lang w:val="es-CU" w:eastAsia="es-ES"/>
        </w:rPr>
        <w:t xml:space="preserve">. 2016; 468(1): 75-81. DOI 10.1007/s00428-015-1833-5 </w:t>
      </w:r>
    </w:p>
    <w:p w14:paraId="227B8229"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21. Montero González T, Hurtado de Mendoza Amat J, Fraga Martínez Y, Laguna Oliva L, del Rosario Cruz L, Torres Gómez Y. Experiencia en autopsias de fallecidos con la COVID-19 en el Hospital Militar Central “Dr. Luis Díaz Soto”. </w:t>
      </w:r>
      <w:proofErr w:type="spellStart"/>
      <w:r w:rsidRPr="000F216F">
        <w:rPr>
          <w:color w:val="000000"/>
          <w:lang w:val="es-ES" w:eastAsia="es-ES"/>
        </w:rPr>
        <w:t>Rev</w:t>
      </w:r>
      <w:proofErr w:type="spellEnd"/>
      <w:r w:rsidRPr="000F216F">
        <w:rPr>
          <w:color w:val="000000"/>
          <w:lang w:val="es-ES" w:eastAsia="es-ES"/>
        </w:rPr>
        <w:t xml:space="preserve"> Cubana </w:t>
      </w:r>
      <w:proofErr w:type="spellStart"/>
      <w:r w:rsidRPr="000F216F">
        <w:rPr>
          <w:color w:val="000000"/>
          <w:lang w:val="es-ES" w:eastAsia="es-ES"/>
        </w:rPr>
        <w:t>Med</w:t>
      </w:r>
      <w:proofErr w:type="spellEnd"/>
      <w:r w:rsidRPr="000F216F">
        <w:rPr>
          <w:color w:val="000000"/>
          <w:lang w:val="es-ES" w:eastAsia="es-ES"/>
        </w:rPr>
        <w:t xml:space="preserve"> </w:t>
      </w:r>
      <w:proofErr w:type="spellStart"/>
      <w:r w:rsidRPr="000F216F">
        <w:rPr>
          <w:color w:val="000000"/>
          <w:lang w:val="es-ES" w:eastAsia="es-ES"/>
        </w:rPr>
        <w:t>Milit</w:t>
      </w:r>
      <w:proofErr w:type="spellEnd"/>
      <w:r w:rsidRPr="000F216F">
        <w:rPr>
          <w:color w:val="000000"/>
          <w:lang w:val="es-ES" w:eastAsia="es-ES"/>
        </w:rPr>
        <w:t xml:space="preserve">. 2020 [acceso: 26/8/2021]; 49(4): e0200850. Disponible en: </w:t>
      </w:r>
      <w:hyperlink r:id="rId41" w:history="1">
        <w:r w:rsidRPr="000F216F">
          <w:rPr>
            <w:color w:val="0563C1"/>
            <w:u w:val="single"/>
            <w:lang w:val="es-ES" w:eastAsia="es-ES"/>
          </w:rPr>
          <w:t>http://www.revmedmilitar.sld.cu/index.php/mil/article/view/850</w:t>
        </w:r>
      </w:hyperlink>
      <w:r w:rsidRPr="000F216F">
        <w:rPr>
          <w:color w:val="000000"/>
          <w:lang w:val="es-ES" w:eastAsia="es-ES"/>
        </w:rPr>
        <w:t xml:space="preserve">  </w:t>
      </w:r>
    </w:p>
    <w:p w14:paraId="773D313D"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22. </w:t>
      </w:r>
      <w:proofErr w:type="spellStart"/>
      <w:r w:rsidRPr="000F216F">
        <w:rPr>
          <w:color w:val="000000"/>
          <w:lang w:val="es-ES" w:eastAsia="es-ES"/>
        </w:rPr>
        <w:t>Durruthy</w:t>
      </w:r>
      <w:proofErr w:type="spellEnd"/>
      <w:r w:rsidRPr="000F216F">
        <w:rPr>
          <w:color w:val="000000"/>
          <w:lang w:val="es-ES" w:eastAsia="es-ES"/>
        </w:rPr>
        <w:t xml:space="preserve"> Wilson O, Sifontes Estrada M, Martínez Varona C, Olazábal Hernández A. Del certificado de defunción al protocolo de necropsias: causas básicas de muerte. Archivo Médico de Camagüey. 2011 [acceso: 21/05/2021]; 15(3): 539-49. Disponible en: </w:t>
      </w:r>
      <w:hyperlink r:id="rId42" w:history="1">
        <w:r w:rsidRPr="000F216F">
          <w:rPr>
            <w:color w:val="0563C1"/>
            <w:u w:val="single"/>
            <w:lang w:val="es-ES" w:eastAsia="es-ES"/>
          </w:rPr>
          <w:t>http://www.revistaamc.sld.cu/index.php/amc/article/view/34</w:t>
        </w:r>
      </w:hyperlink>
      <w:r w:rsidRPr="000F216F">
        <w:rPr>
          <w:color w:val="000000"/>
          <w:lang w:val="es-ES" w:eastAsia="es-ES"/>
        </w:rPr>
        <w:t xml:space="preserve"> </w:t>
      </w:r>
    </w:p>
    <w:p w14:paraId="0196E2E8" w14:textId="77777777" w:rsidR="000F216F" w:rsidRPr="000F216F" w:rsidRDefault="000F216F" w:rsidP="000F216F">
      <w:pPr>
        <w:shd w:val="clear" w:color="auto" w:fill="FFFFFF"/>
        <w:spacing w:line="360" w:lineRule="auto"/>
        <w:rPr>
          <w:color w:val="000000"/>
          <w:lang w:val="es-ES" w:eastAsia="es-ES"/>
        </w:rPr>
      </w:pPr>
      <w:r w:rsidRPr="000F216F">
        <w:rPr>
          <w:color w:val="000000"/>
          <w:lang w:val="es-ES" w:eastAsia="es-ES"/>
        </w:rPr>
        <w:t xml:space="preserve">23. Armas Rojas N, Bonet Gorbea M, Castañeda Abascal I, Ríos </w:t>
      </w:r>
      <w:proofErr w:type="spellStart"/>
      <w:r w:rsidRPr="000F216F">
        <w:rPr>
          <w:color w:val="000000"/>
          <w:lang w:val="es-ES" w:eastAsia="es-ES"/>
        </w:rPr>
        <w:t>Masabot</w:t>
      </w:r>
      <w:proofErr w:type="spellEnd"/>
      <w:r w:rsidRPr="000F216F">
        <w:rPr>
          <w:color w:val="000000"/>
          <w:lang w:val="es-ES" w:eastAsia="es-ES"/>
        </w:rPr>
        <w:t xml:space="preserve"> E, </w:t>
      </w:r>
      <w:proofErr w:type="spellStart"/>
      <w:r w:rsidRPr="000F216F">
        <w:rPr>
          <w:color w:val="000000"/>
          <w:lang w:val="es-ES" w:eastAsia="es-ES"/>
        </w:rPr>
        <w:t>Bastanzuri</w:t>
      </w:r>
      <w:proofErr w:type="spellEnd"/>
      <w:r w:rsidRPr="000F216F">
        <w:rPr>
          <w:color w:val="000000"/>
          <w:lang w:val="es-ES" w:eastAsia="es-ES"/>
        </w:rPr>
        <w:t xml:space="preserve"> Pagés M, Ramos Valle I. Diferencias entre la consignación de causa de muerte del Certificado de defunción y la del Informe Necrópsico. Revista Cubana de Salud Pública. 1998 [acceso: 26/8/2021]; 24(1): 32-40. Disponible en: </w:t>
      </w:r>
      <w:hyperlink r:id="rId43" w:history="1">
        <w:r w:rsidRPr="000F216F">
          <w:rPr>
            <w:color w:val="0563C1"/>
            <w:u w:val="single"/>
            <w:lang w:val="es-ES" w:eastAsia="es-ES"/>
          </w:rPr>
          <w:t>http://scielo.sld.cu/scielo.php?script=sci_arttext&amp;pid=S0864-34661998000100005&amp;lng=es&amp;tlng=es</w:t>
        </w:r>
      </w:hyperlink>
      <w:r w:rsidRPr="000F216F">
        <w:rPr>
          <w:color w:val="000000"/>
          <w:lang w:val="es-ES" w:eastAsia="es-ES"/>
        </w:rPr>
        <w:t xml:space="preserve"> </w:t>
      </w:r>
    </w:p>
    <w:p w14:paraId="148B8792" w14:textId="77777777" w:rsidR="000F216F" w:rsidRPr="000F216F" w:rsidRDefault="000F216F" w:rsidP="000F216F">
      <w:pPr>
        <w:autoSpaceDE w:val="0"/>
        <w:autoSpaceDN w:val="0"/>
        <w:adjustRightInd w:val="0"/>
        <w:spacing w:line="360" w:lineRule="auto"/>
        <w:jc w:val="both"/>
        <w:rPr>
          <w:rFonts w:eastAsia="Calibri"/>
          <w:b/>
          <w:lang w:val="es-ES" w:eastAsia="es-ES"/>
        </w:rPr>
      </w:pPr>
    </w:p>
    <w:p w14:paraId="47DCA2BD" w14:textId="77777777" w:rsidR="000F216F" w:rsidRPr="000F216F" w:rsidRDefault="000F216F" w:rsidP="000F216F">
      <w:pPr>
        <w:autoSpaceDE w:val="0"/>
        <w:autoSpaceDN w:val="0"/>
        <w:adjustRightInd w:val="0"/>
        <w:spacing w:line="360" w:lineRule="auto"/>
        <w:jc w:val="both"/>
        <w:rPr>
          <w:rFonts w:eastAsia="Calibri"/>
          <w:b/>
          <w:lang w:val="es-ES" w:eastAsia="es-ES"/>
        </w:rPr>
      </w:pPr>
    </w:p>
    <w:p w14:paraId="765C0290" w14:textId="77777777" w:rsidR="000F216F" w:rsidRPr="000F216F" w:rsidRDefault="000F216F" w:rsidP="000F216F">
      <w:pPr>
        <w:autoSpaceDE w:val="0"/>
        <w:autoSpaceDN w:val="0"/>
        <w:adjustRightInd w:val="0"/>
        <w:spacing w:line="360" w:lineRule="auto"/>
        <w:jc w:val="center"/>
        <w:rPr>
          <w:rFonts w:eastAsia="Calibri"/>
          <w:b/>
          <w:lang w:val="es-ES" w:eastAsia="es-ES"/>
        </w:rPr>
      </w:pPr>
      <w:r w:rsidRPr="000F216F">
        <w:rPr>
          <w:rFonts w:eastAsia="Calibri"/>
          <w:b/>
          <w:lang w:val="es-ES" w:eastAsia="es-ES"/>
        </w:rPr>
        <w:t>Conflictos de intereses</w:t>
      </w:r>
    </w:p>
    <w:p w14:paraId="42DB4500" w14:textId="77777777" w:rsidR="000F216F" w:rsidRPr="000F216F" w:rsidRDefault="000F216F" w:rsidP="000F216F">
      <w:pPr>
        <w:autoSpaceDE w:val="0"/>
        <w:autoSpaceDN w:val="0"/>
        <w:adjustRightInd w:val="0"/>
        <w:spacing w:line="360" w:lineRule="auto"/>
        <w:jc w:val="both"/>
        <w:rPr>
          <w:rFonts w:eastAsia="Calibri"/>
          <w:lang w:val="es-ES" w:eastAsia="es-ES"/>
        </w:rPr>
      </w:pPr>
      <w:r w:rsidRPr="000F216F">
        <w:rPr>
          <w:rFonts w:eastAsia="Calibri"/>
          <w:lang w:val="es-ES" w:eastAsia="es-ES"/>
        </w:rPr>
        <w:t>Los autores declaran que no hay conflictos de intereses.</w:t>
      </w:r>
    </w:p>
    <w:p w14:paraId="70F2E00C" w14:textId="77777777" w:rsidR="000F216F" w:rsidRPr="000F216F" w:rsidRDefault="000F216F" w:rsidP="000F216F">
      <w:pPr>
        <w:autoSpaceDE w:val="0"/>
        <w:autoSpaceDN w:val="0"/>
        <w:adjustRightInd w:val="0"/>
        <w:spacing w:line="360" w:lineRule="auto"/>
        <w:jc w:val="both"/>
        <w:rPr>
          <w:rFonts w:eastAsia="Calibri"/>
          <w:lang w:val="es-ES" w:eastAsia="es-ES"/>
        </w:rPr>
      </w:pPr>
    </w:p>
    <w:p w14:paraId="308A1E67" w14:textId="77777777" w:rsidR="000F216F" w:rsidRPr="000F216F" w:rsidRDefault="000F216F" w:rsidP="000F216F">
      <w:pPr>
        <w:autoSpaceDE w:val="0"/>
        <w:autoSpaceDN w:val="0"/>
        <w:adjustRightInd w:val="0"/>
        <w:spacing w:line="360" w:lineRule="auto"/>
        <w:jc w:val="center"/>
        <w:rPr>
          <w:rFonts w:eastAsia="Calibri"/>
          <w:b/>
          <w:bCs/>
          <w:lang w:val="es-ES" w:eastAsia="es-ES"/>
        </w:rPr>
      </w:pPr>
      <w:r w:rsidRPr="000F216F">
        <w:rPr>
          <w:rFonts w:eastAsia="Calibri"/>
          <w:b/>
          <w:bCs/>
          <w:lang w:val="es-ES" w:eastAsia="es-ES"/>
        </w:rPr>
        <w:t>Contribuciones de los autores</w:t>
      </w:r>
    </w:p>
    <w:p w14:paraId="3DBD1A94" w14:textId="77777777" w:rsidR="000F216F" w:rsidRPr="000F216F" w:rsidRDefault="000F216F" w:rsidP="000F216F">
      <w:pPr>
        <w:autoSpaceDE w:val="0"/>
        <w:autoSpaceDN w:val="0"/>
        <w:adjustRightInd w:val="0"/>
        <w:spacing w:line="360" w:lineRule="auto"/>
        <w:jc w:val="both"/>
        <w:rPr>
          <w:rFonts w:eastAsia="Calibri"/>
          <w:lang w:val="es-ES" w:eastAsia="es-ES"/>
        </w:rPr>
      </w:pPr>
      <w:r w:rsidRPr="000F216F">
        <w:rPr>
          <w:rFonts w:eastAsia="Calibri"/>
          <w:lang w:val="es-ES" w:eastAsia="es-ES"/>
        </w:rPr>
        <w:t xml:space="preserve">Conceptualización: </w:t>
      </w:r>
      <w:r w:rsidRPr="000F216F">
        <w:rPr>
          <w:rFonts w:eastAsia="Calibri"/>
          <w:i/>
          <w:iCs/>
          <w:lang w:val="es-ES" w:eastAsia="es-ES"/>
        </w:rPr>
        <w:t xml:space="preserve">José Hurtado de Mendoza Amat, Teresita Montero González, Miguel Ángel Martínez Morales, </w:t>
      </w:r>
      <w:proofErr w:type="spellStart"/>
      <w:r w:rsidRPr="000F216F">
        <w:rPr>
          <w:rFonts w:eastAsia="Calibri"/>
          <w:i/>
          <w:iCs/>
          <w:lang w:val="es-ES" w:eastAsia="es-ES"/>
        </w:rPr>
        <w:t>Isisis</w:t>
      </w:r>
      <w:proofErr w:type="spellEnd"/>
      <w:r w:rsidRPr="000F216F">
        <w:rPr>
          <w:rFonts w:eastAsia="Calibri"/>
          <w:i/>
          <w:iCs/>
          <w:lang w:val="es-ES" w:eastAsia="es-ES"/>
        </w:rPr>
        <w:t xml:space="preserve"> Alonso Expósito.</w:t>
      </w:r>
    </w:p>
    <w:p w14:paraId="1AB16C58" w14:textId="77777777" w:rsidR="000F216F" w:rsidRPr="000F216F" w:rsidRDefault="000F216F" w:rsidP="000F216F">
      <w:pPr>
        <w:autoSpaceDE w:val="0"/>
        <w:autoSpaceDN w:val="0"/>
        <w:adjustRightInd w:val="0"/>
        <w:spacing w:line="360" w:lineRule="auto"/>
        <w:jc w:val="both"/>
        <w:rPr>
          <w:rFonts w:eastAsia="Calibri"/>
          <w:lang w:val="es-ES" w:eastAsia="es-ES"/>
        </w:rPr>
      </w:pPr>
      <w:r w:rsidRPr="000F216F">
        <w:rPr>
          <w:rFonts w:eastAsia="Calibri"/>
          <w:lang w:val="es-ES" w:eastAsia="es-ES"/>
        </w:rPr>
        <w:t xml:space="preserve">Curación de datos: </w:t>
      </w:r>
      <w:r w:rsidRPr="000F216F">
        <w:rPr>
          <w:rFonts w:eastAsia="Calibri"/>
          <w:i/>
          <w:iCs/>
          <w:lang w:val="es-ES" w:eastAsia="es-ES"/>
        </w:rPr>
        <w:t xml:space="preserve">José Hurtado de Mendoza Amat, Miguel Ángel Martínez Morales, Teresita Montero González, Vanessa </w:t>
      </w:r>
      <w:proofErr w:type="spellStart"/>
      <w:r w:rsidRPr="000F216F">
        <w:rPr>
          <w:rFonts w:eastAsia="Calibri"/>
          <w:i/>
          <w:iCs/>
          <w:lang w:val="es-ES" w:eastAsia="es-ES"/>
        </w:rPr>
        <w:t>Mazorra</w:t>
      </w:r>
      <w:proofErr w:type="spellEnd"/>
      <w:r w:rsidRPr="000F216F">
        <w:rPr>
          <w:rFonts w:eastAsia="Calibri"/>
          <w:i/>
          <w:iCs/>
          <w:lang w:val="es-ES" w:eastAsia="es-ES"/>
        </w:rPr>
        <w:t xml:space="preserve"> Ramos.</w:t>
      </w:r>
    </w:p>
    <w:p w14:paraId="239637E0" w14:textId="77777777" w:rsidR="000F216F" w:rsidRPr="000F216F" w:rsidRDefault="000F216F" w:rsidP="000F216F">
      <w:pPr>
        <w:autoSpaceDE w:val="0"/>
        <w:autoSpaceDN w:val="0"/>
        <w:adjustRightInd w:val="0"/>
        <w:spacing w:line="360" w:lineRule="auto"/>
        <w:jc w:val="both"/>
        <w:rPr>
          <w:rFonts w:eastAsia="Calibri"/>
          <w:lang w:val="es-ES" w:eastAsia="es-ES"/>
        </w:rPr>
      </w:pPr>
      <w:r w:rsidRPr="000F216F">
        <w:rPr>
          <w:rFonts w:eastAsia="Calibri"/>
          <w:lang w:val="es-ES" w:eastAsia="es-ES"/>
        </w:rPr>
        <w:t xml:space="preserve">Análisis formal: </w:t>
      </w:r>
      <w:r w:rsidRPr="000F216F">
        <w:rPr>
          <w:rFonts w:eastAsia="Calibri"/>
          <w:i/>
          <w:iCs/>
          <w:lang w:val="es-ES" w:eastAsia="es-ES"/>
        </w:rPr>
        <w:t>José Hurtado de Mendoza Amat, Teresita Montero González.</w:t>
      </w:r>
    </w:p>
    <w:p w14:paraId="54EA3FED" w14:textId="77777777" w:rsidR="000F216F" w:rsidRPr="000F216F" w:rsidRDefault="000F216F" w:rsidP="000F216F">
      <w:pPr>
        <w:autoSpaceDE w:val="0"/>
        <w:autoSpaceDN w:val="0"/>
        <w:adjustRightInd w:val="0"/>
        <w:spacing w:line="360" w:lineRule="auto"/>
        <w:jc w:val="both"/>
        <w:rPr>
          <w:rFonts w:eastAsia="Calibri"/>
          <w:lang w:val="es-ES" w:eastAsia="es-ES"/>
        </w:rPr>
      </w:pPr>
      <w:r w:rsidRPr="000F216F">
        <w:rPr>
          <w:rFonts w:eastAsia="Calibri"/>
          <w:lang w:val="es-ES" w:eastAsia="es-ES"/>
        </w:rPr>
        <w:lastRenderedPageBreak/>
        <w:t xml:space="preserve">Investigación: </w:t>
      </w:r>
      <w:r w:rsidRPr="000F216F">
        <w:rPr>
          <w:rFonts w:eastAsia="Calibri"/>
          <w:i/>
          <w:iCs/>
          <w:lang w:val="es-ES" w:eastAsia="es-ES"/>
        </w:rPr>
        <w:t xml:space="preserve">José Hurtado de Mendoza Amat, Teresita Montero González, Israel </w:t>
      </w:r>
      <w:proofErr w:type="spellStart"/>
      <w:r w:rsidRPr="000F216F">
        <w:rPr>
          <w:rFonts w:eastAsia="Calibri"/>
          <w:i/>
          <w:iCs/>
          <w:lang w:val="es-ES" w:eastAsia="es-ES"/>
        </w:rPr>
        <w:t>Borrajero</w:t>
      </w:r>
      <w:proofErr w:type="spellEnd"/>
      <w:r w:rsidRPr="000F216F">
        <w:rPr>
          <w:rFonts w:eastAsia="Calibri"/>
          <w:i/>
          <w:iCs/>
          <w:lang w:val="es-ES" w:eastAsia="es-ES"/>
        </w:rPr>
        <w:t xml:space="preserve"> Martínez, Virginia Capó de Paz, Laura López Marín, Carlos Domínguez Álvarez.</w:t>
      </w:r>
    </w:p>
    <w:p w14:paraId="39A33FBD" w14:textId="77777777" w:rsidR="000F216F" w:rsidRPr="000F216F" w:rsidRDefault="000F216F" w:rsidP="000F216F">
      <w:pPr>
        <w:autoSpaceDE w:val="0"/>
        <w:autoSpaceDN w:val="0"/>
        <w:adjustRightInd w:val="0"/>
        <w:spacing w:line="360" w:lineRule="auto"/>
        <w:jc w:val="both"/>
        <w:rPr>
          <w:rFonts w:eastAsia="Calibri"/>
          <w:lang w:val="es-ES" w:eastAsia="es-ES"/>
        </w:rPr>
      </w:pPr>
      <w:r w:rsidRPr="000F216F">
        <w:rPr>
          <w:rFonts w:eastAsia="Calibri"/>
          <w:lang w:val="es-ES" w:eastAsia="es-ES"/>
        </w:rPr>
        <w:t xml:space="preserve">Metodología: </w:t>
      </w:r>
      <w:r w:rsidRPr="000F216F">
        <w:rPr>
          <w:rFonts w:eastAsia="Calibri"/>
          <w:i/>
          <w:iCs/>
          <w:lang w:val="es-ES" w:eastAsia="es-ES"/>
        </w:rPr>
        <w:t>José Hurtado de Mendoza Amat, Teresita Montero González, Miguel Ángel Martínez Morales.</w:t>
      </w:r>
    </w:p>
    <w:p w14:paraId="46D10AEE" w14:textId="77777777" w:rsidR="000F216F" w:rsidRPr="000F216F" w:rsidRDefault="000F216F" w:rsidP="000F216F">
      <w:pPr>
        <w:autoSpaceDE w:val="0"/>
        <w:autoSpaceDN w:val="0"/>
        <w:adjustRightInd w:val="0"/>
        <w:spacing w:line="360" w:lineRule="auto"/>
        <w:jc w:val="both"/>
        <w:rPr>
          <w:rFonts w:eastAsia="Calibri"/>
          <w:lang w:val="es-ES" w:eastAsia="es-ES"/>
        </w:rPr>
      </w:pPr>
      <w:r w:rsidRPr="000F216F">
        <w:rPr>
          <w:rFonts w:eastAsia="Calibri"/>
          <w:lang w:val="es-ES" w:eastAsia="es-ES"/>
        </w:rPr>
        <w:t xml:space="preserve">Administración del proyecto: </w:t>
      </w:r>
      <w:r w:rsidRPr="000F216F">
        <w:rPr>
          <w:rFonts w:eastAsia="Calibri"/>
          <w:i/>
          <w:iCs/>
          <w:lang w:val="es-ES" w:eastAsia="es-ES"/>
        </w:rPr>
        <w:t>José Hurtado de Mendoza Amat, Miguel Ángel Martínez Morales.</w:t>
      </w:r>
    </w:p>
    <w:p w14:paraId="5C9D1B0F" w14:textId="77777777" w:rsidR="000F216F" w:rsidRPr="000F216F" w:rsidRDefault="000F216F" w:rsidP="000F216F">
      <w:pPr>
        <w:autoSpaceDE w:val="0"/>
        <w:autoSpaceDN w:val="0"/>
        <w:adjustRightInd w:val="0"/>
        <w:spacing w:line="360" w:lineRule="auto"/>
        <w:jc w:val="both"/>
        <w:rPr>
          <w:rFonts w:eastAsia="Calibri"/>
          <w:lang w:val="es-ES" w:eastAsia="es-ES"/>
        </w:rPr>
      </w:pPr>
      <w:r w:rsidRPr="000F216F">
        <w:rPr>
          <w:rFonts w:eastAsia="Calibri"/>
          <w:lang w:val="es-ES" w:eastAsia="es-ES"/>
        </w:rPr>
        <w:t xml:space="preserve">Recursos materiales: </w:t>
      </w:r>
      <w:r w:rsidRPr="000F216F">
        <w:rPr>
          <w:rFonts w:eastAsia="Calibri"/>
          <w:i/>
          <w:iCs/>
          <w:lang w:val="es-ES" w:eastAsia="es-ES"/>
        </w:rPr>
        <w:t xml:space="preserve">José Hurtado de Mendoza Amat, Vanessa </w:t>
      </w:r>
      <w:proofErr w:type="spellStart"/>
      <w:r w:rsidRPr="000F216F">
        <w:rPr>
          <w:rFonts w:eastAsia="Calibri"/>
          <w:i/>
          <w:iCs/>
          <w:lang w:val="es-ES" w:eastAsia="es-ES"/>
        </w:rPr>
        <w:t>Mazorra</w:t>
      </w:r>
      <w:proofErr w:type="spellEnd"/>
      <w:r w:rsidRPr="000F216F">
        <w:rPr>
          <w:rFonts w:eastAsia="Calibri"/>
          <w:i/>
          <w:iCs/>
          <w:lang w:val="es-ES" w:eastAsia="es-ES"/>
        </w:rPr>
        <w:t xml:space="preserve"> Ramos.</w:t>
      </w:r>
    </w:p>
    <w:p w14:paraId="1223FD0C" w14:textId="77777777" w:rsidR="000F216F" w:rsidRPr="000F216F" w:rsidRDefault="000F216F" w:rsidP="000F216F">
      <w:pPr>
        <w:autoSpaceDE w:val="0"/>
        <w:autoSpaceDN w:val="0"/>
        <w:adjustRightInd w:val="0"/>
        <w:spacing w:line="360" w:lineRule="auto"/>
        <w:jc w:val="both"/>
        <w:rPr>
          <w:rFonts w:eastAsia="Calibri"/>
          <w:i/>
          <w:iCs/>
          <w:lang w:val="es-ES" w:eastAsia="es-ES"/>
        </w:rPr>
      </w:pPr>
      <w:r w:rsidRPr="000F216F">
        <w:rPr>
          <w:rFonts w:eastAsia="Calibri"/>
          <w:lang w:val="es-ES" w:eastAsia="es-ES"/>
        </w:rPr>
        <w:t xml:space="preserve">Software: </w:t>
      </w:r>
      <w:r w:rsidRPr="000F216F">
        <w:rPr>
          <w:rFonts w:eastAsia="Calibri"/>
          <w:i/>
          <w:iCs/>
          <w:lang w:val="es-ES" w:eastAsia="es-ES"/>
        </w:rPr>
        <w:t>José Hurtado de Mendoza Amat, Teresita Montero González.</w:t>
      </w:r>
    </w:p>
    <w:p w14:paraId="09AF6CBC" w14:textId="77777777" w:rsidR="000F216F" w:rsidRPr="000F216F" w:rsidRDefault="000F216F" w:rsidP="000F216F">
      <w:pPr>
        <w:autoSpaceDE w:val="0"/>
        <w:autoSpaceDN w:val="0"/>
        <w:adjustRightInd w:val="0"/>
        <w:spacing w:line="360" w:lineRule="auto"/>
        <w:jc w:val="both"/>
        <w:rPr>
          <w:rFonts w:eastAsia="Calibri"/>
          <w:lang w:val="es-ES" w:eastAsia="es-ES"/>
        </w:rPr>
      </w:pPr>
      <w:r w:rsidRPr="000F216F">
        <w:rPr>
          <w:rFonts w:eastAsia="Calibri"/>
          <w:lang w:val="es-ES" w:eastAsia="es-ES"/>
        </w:rPr>
        <w:t xml:space="preserve">Supervisión: </w:t>
      </w:r>
      <w:r w:rsidRPr="000F216F">
        <w:rPr>
          <w:rFonts w:eastAsia="Calibri"/>
          <w:i/>
          <w:iCs/>
          <w:lang w:val="es-ES" w:eastAsia="es-ES"/>
        </w:rPr>
        <w:t xml:space="preserve">Israel </w:t>
      </w:r>
      <w:proofErr w:type="spellStart"/>
      <w:r w:rsidRPr="000F216F">
        <w:rPr>
          <w:rFonts w:eastAsia="Calibri"/>
          <w:i/>
          <w:iCs/>
          <w:lang w:val="es-ES" w:eastAsia="es-ES"/>
        </w:rPr>
        <w:t>Borrajero</w:t>
      </w:r>
      <w:proofErr w:type="spellEnd"/>
      <w:r w:rsidRPr="000F216F">
        <w:rPr>
          <w:rFonts w:eastAsia="Calibri"/>
          <w:i/>
          <w:iCs/>
          <w:lang w:val="es-ES" w:eastAsia="es-ES"/>
        </w:rPr>
        <w:t xml:space="preserve"> Martínez.</w:t>
      </w:r>
    </w:p>
    <w:p w14:paraId="29EB24B1" w14:textId="77777777" w:rsidR="000F216F" w:rsidRPr="000F216F" w:rsidRDefault="000F216F" w:rsidP="000F216F">
      <w:pPr>
        <w:autoSpaceDE w:val="0"/>
        <w:autoSpaceDN w:val="0"/>
        <w:adjustRightInd w:val="0"/>
        <w:spacing w:line="360" w:lineRule="auto"/>
        <w:jc w:val="both"/>
        <w:rPr>
          <w:rFonts w:eastAsia="Calibri"/>
          <w:lang w:val="es-ES" w:eastAsia="es-ES"/>
        </w:rPr>
      </w:pPr>
      <w:r w:rsidRPr="000F216F">
        <w:rPr>
          <w:rFonts w:eastAsia="Calibri"/>
          <w:lang w:val="es-ES" w:eastAsia="es-ES"/>
        </w:rPr>
        <w:t xml:space="preserve">Redacción del borrador original: </w:t>
      </w:r>
      <w:r w:rsidRPr="000F216F">
        <w:rPr>
          <w:rFonts w:eastAsia="Calibri"/>
          <w:i/>
          <w:iCs/>
          <w:lang w:val="es-ES" w:eastAsia="es-ES"/>
        </w:rPr>
        <w:t>José Hurtado de Mendoza Amat.</w:t>
      </w:r>
    </w:p>
    <w:p w14:paraId="3CEB5D36" w14:textId="77777777" w:rsidR="000F216F" w:rsidRPr="000F216F" w:rsidRDefault="000F216F" w:rsidP="000F216F">
      <w:pPr>
        <w:autoSpaceDE w:val="0"/>
        <w:autoSpaceDN w:val="0"/>
        <w:adjustRightInd w:val="0"/>
        <w:spacing w:line="360" w:lineRule="auto"/>
        <w:jc w:val="both"/>
        <w:rPr>
          <w:rFonts w:eastAsia="Calibri"/>
          <w:lang w:val="es-ES" w:eastAsia="es-ES"/>
        </w:rPr>
      </w:pPr>
      <w:r w:rsidRPr="000F216F">
        <w:rPr>
          <w:rFonts w:eastAsia="Calibri"/>
          <w:lang w:val="es-ES" w:eastAsia="es-ES"/>
        </w:rPr>
        <w:t xml:space="preserve">Redacción, revisión y edición: </w:t>
      </w:r>
      <w:r w:rsidRPr="000F216F">
        <w:rPr>
          <w:rFonts w:eastAsia="Calibri"/>
          <w:i/>
          <w:iCs/>
          <w:lang w:val="es-ES" w:eastAsia="es-ES"/>
        </w:rPr>
        <w:t xml:space="preserve">José Hurtado de Mendoza Amat, Teresita Montero González, Miguel Ángel Martínez Morales, Virginia Capó de Paz, Laura López Marín, </w:t>
      </w:r>
      <w:proofErr w:type="spellStart"/>
      <w:r w:rsidRPr="000F216F">
        <w:rPr>
          <w:rFonts w:eastAsia="Calibri"/>
          <w:i/>
          <w:iCs/>
          <w:lang w:val="es-ES" w:eastAsia="es-ES"/>
        </w:rPr>
        <w:t>Isisis</w:t>
      </w:r>
      <w:proofErr w:type="spellEnd"/>
      <w:r w:rsidRPr="000F216F">
        <w:rPr>
          <w:rFonts w:eastAsia="Calibri"/>
          <w:i/>
          <w:iCs/>
          <w:lang w:val="es-ES" w:eastAsia="es-ES"/>
        </w:rPr>
        <w:t xml:space="preserve"> Alonso Expósito.</w:t>
      </w:r>
    </w:p>
    <w:p w14:paraId="65B5C33C" w14:textId="77777777" w:rsidR="00675476" w:rsidRPr="000F216F" w:rsidRDefault="00675476" w:rsidP="000F216F">
      <w:pPr>
        <w:spacing w:line="360" w:lineRule="auto"/>
        <w:rPr>
          <w:lang w:val="es-ES"/>
        </w:rPr>
      </w:pPr>
    </w:p>
    <w:sectPr w:rsidR="00675476" w:rsidRPr="000F216F" w:rsidSect="00486BFA">
      <w:headerReference w:type="default" r:id="rId44"/>
      <w:footerReference w:type="even" r:id="rId45"/>
      <w:footerReference w:type="default" r:id="rId46"/>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637BD" w14:textId="77777777" w:rsidR="00284414" w:rsidRDefault="00284414">
      <w:r>
        <w:separator/>
      </w:r>
    </w:p>
  </w:endnote>
  <w:endnote w:type="continuationSeparator" w:id="0">
    <w:p w14:paraId="1EF0C17A" w14:textId="77777777" w:rsidR="00284414" w:rsidRDefault="0028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AA6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4CA62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D971" w14:textId="725E41CC" w:rsidR="000F3690" w:rsidRPr="00AE044C" w:rsidRDefault="000F216F"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5502CFA0" wp14:editId="44E3CDE2">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4AF4B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17936ACB" w14:textId="77777777" w:rsidR="00675476" w:rsidRPr="00AE044C" w:rsidRDefault="00284414" w:rsidP="00391509">
    <w:pPr>
      <w:pStyle w:val="Piedepgina"/>
      <w:ind w:right="360"/>
      <w:rPr>
        <w:sz w:val="22"/>
        <w:szCs w:val="22"/>
      </w:rPr>
    </w:pPr>
    <w:hyperlink r:id="rId1" w:history="1">
      <w:r w:rsidR="00391509" w:rsidRPr="00AE044C">
        <w:rPr>
          <w:rStyle w:val="Hipervnculo"/>
          <w:sz w:val="22"/>
          <w:szCs w:val="22"/>
        </w:rPr>
        <w:t>http://scielo.sld.cu</w:t>
      </w:r>
    </w:hyperlink>
  </w:p>
  <w:p w14:paraId="0D749DB4" w14:textId="77777777" w:rsidR="00391509" w:rsidRPr="00AE044C" w:rsidRDefault="00284414"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DD2BF75" w14:textId="2DC5F06D"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0F216F" w:rsidRPr="000F216F">
      <w:rPr>
        <w:rFonts w:ascii="Verdana" w:hAnsi="Verdana"/>
        <w:noProof/>
        <w:sz w:val="18"/>
        <w:szCs w:val="18"/>
        <w:lang w:val="en-US" w:eastAsia="en-US"/>
      </w:rPr>
      <w:drawing>
        <wp:inline distT="0" distB="0" distL="0" distR="0" wp14:anchorId="67E41E90" wp14:editId="028B1C36">
          <wp:extent cx="638175" cy="14668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18335" w14:textId="77777777" w:rsidR="00284414" w:rsidRDefault="00284414">
      <w:r>
        <w:separator/>
      </w:r>
    </w:p>
  </w:footnote>
  <w:footnote w:type="continuationSeparator" w:id="0">
    <w:p w14:paraId="6DE096AF" w14:textId="77777777" w:rsidR="00284414" w:rsidRDefault="00284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586E" w14:textId="19721D21" w:rsidR="00CC376A" w:rsidRPr="00AE044C" w:rsidRDefault="000F216F"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D8252E3" wp14:editId="3A84B63E">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8C6C1F">
      <w:rPr>
        <w:sz w:val="22"/>
        <w:szCs w:val="22"/>
      </w:rPr>
      <w:t>2021</w:t>
    </w:r>
    <w:r w:rsidR="003E03D5">
      <w:rPr>
        <w:sz w:val="22"/>
        <w:szCs w:val="22"/>
      </w:rPr>
      <w:t>;</w:t>
    </w:r>
    <w:r w:rsidR="008C6C1F">
      <w:rPr>
        <w:sz w:val="22"/>
        <w:szCs w:val="22"/>
      </w:rPr>
      <w:t xml:space="preserve"> 50</w:t>
    </w:r>
    <w:r w:rsidR="00493701" w:rsidRPr="00AE044C">
      <w:rPr>
        <w:sz w:val="22"/>
        <w:szCs w:val="22"/>
      </w:rPr>
      <w:t>(</w:t>
    </w:r>
    <w:r w:rsidR="008C6C1F">
      <w:rPr>
        <w:sz w:val="22"/>
        <w:szCs w:val="22"/>
      </w:rPr>
      <w:t>4</w:t>
    </w:r>
    <w:r w:rsidR="00493701" w:rsidRPr="00AE044C">
      <w:rPr>
        <w:sz w:val="22"/>
        <w:szCs w:val="22"/>
      </w:rPr>
      <w:t>)</w:t>
    </w:r>
    <w:r w:rsidR="00391509" w:rsidRPr="00AE044C">
      <w:rPr>
        <w:sz w:val="22"/>
        <w:szCs w:val="22"/>
      </w:rPr>
      <w:t>:</w:t>
    </w:r>
    <w:r w:rsidR="008C6C1F">
      <w:rPr>
        <w:sz w:val="22"/>
        <w:szCs w:val="22"/>
      </w:rPr>
      <w:t xml:space="preserve"> e02101657</w:t>
    </w:r>
  </w:p>
  <w:p w14:paraId="3D9C4110" w14:textId="047B5E46" w:rsidR="00A477DE" w:rsidRDefault="000F216F">
    <w:r>
      <w:rPr>
        <w:noProof/>
      </w:rPr>
      <mc:AlternateContent>
        <mc:Choice Requires="wps">
          <w:drawing>
            <wp:anchor distT="0" distB="0" distL="114300" distR="114300" simplePos="0" relativeHeight="251657216" behindDoc="0" locked="0" layoutInCell="1" allowOverlap="1" wp14:anchorId="3BB2CA2C" wp14:editId="552EEE5E">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54A40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1FF"/>
    <w:multiLevelType w:val="hybridMultilevel"/>
    <w:tmpl w:val="C88C6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0E74A3"/>
    <w:multiLevelType w:val="hybridMultilevel"/>
    <w:tmpl w:val="C88C6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0F0B60"/>
    <w:multiLevelType w:val="hybridMultilevel"/>
    <w:tmpl w:val="3B66078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717272"/>
    <w:multiLevelType w:val="hybridMultilevel"/>
    <w:tmpl w:val="C88C6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98541E8"/>
    <w:multiLevelType w:val="hybridMultilevel"/>
    <w:tmpl w:val="230256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BB026A3"/>
    <w:multiLevelType w:val="multilevel"/>
    <w:tmpl w:val="01A8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86FB8"/>
    <w:multiLevelType w:val="multilevel"/>
    <w:tmpl w:val="7F9C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B0F9C"/>
    <w:multiLevelType w:val="hybridMultilevel"/>
    <w:tmpl w:val="301CF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7"/>
  </w:num>
  <w:num w:numId="7">
    <w:abstractNumId w:val="4"/>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6F"/>
    <w:rsid w:val="000D692F"/>
    <w:rsid w:val="000F216F"/>
    <w:rsid w:val="000F3690"/>
    <w:rsid w:val="001221D1"/>
    <w:rsid w:val="00161978"/>
    <w:rsid w:val="00180CE9"/>
    <w:rsid w:val="00230DD5"/>
    <w:rsid w:val="00284414"/>
    <w:rsid w:val="002B1BFD"/>
    <w:rsid w:val="00380D64"/>
    <w:rsid w:val="00391509"/>
    <w:rsid w:val="003E03D5"/>
    <w:rsid w:val="00486BFA"/>
    <w:rsid w:val="00493701"/>
    <w:rsid w:val="004E2065"/>
    <w:rsid w:val="005508A2"/>
    <w:rsid w:val="00566F71"/>
    <w:rsid w:val="005918BD"/>
    <w:rsid w:val="006173A6"/>
    <w:rsid w:val="00625742"/>
    <w:rsid w:val="00675476"/>
    <w:rsid w:val="00675C06"/>
    <w:rsid w:val="00732C70"/>
    <w:rsid w:val="007C430F"/>
    <w:rsid w:val="007D614D"/>
    <w:rsid w:val="008C6C1F"/>
    <w:rsid w:val="00960D6A"/>
    <w:rsid w:val="009A0560"/>
    <w:rsid w:val="009B0917"/>
    <w:rsid w:val="00A23C0C"/>
    <w:rsid w:val="00A477DE"/>
    <w:rsid w:val="00A71E65"/>
    <w:rsid w:val="00AE044C"/>
    <w:rsid w:val="00B31971"/>
    <w:rsid w:val="00B4380A"/>
    <w:rsid w:val="00B66ECB"/>
    <w:rsid w:val="00BE19CF"/>
    <w:rsid w:val="00C7523A"/>
    <w:rsid w:val="00CC1B6E"/>
    <w:rsid w:val="00CC376A"/>
    <w:rsid w:val="00CC48A1"/>
    <w:rsid w:val="00CE035D"/>
    <w:rsid w:val="00CF50E0"/>
    <w:rsid w:val="00D85951"/>
    <w:rsid w:val="00E62606"/>
    <w:rsid w:val="00EC5A6B"/>
    <w:rsid w:val="00F36DC7"/>
    <w:rsid w:val="00FD3DB1"/>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FAB5D"/>
  <w15:docId w15:val="{62ACF472-BBD8-4DBF-A372-1331FA28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0F216F"/>
    <w:pPr>
      <w:keepNext/>
      <w:keepLines/>
      <w:spacing w:before="240" w:line="259" w:lineRule="auto"/>
      <w:outlineLvl w:val="0"/>
    </w:pPr>
    <w:rPr>
      <w:rFonts w:ascii="Calibri Light" w:hAnsi="Calibri Light"/>
      <w:color w:val="2E74B5"/>
      <w:sz w:val="32"/>
      <w:szCs w:val="32"/>
      <w:lang w:val="es-ES" w:eastAsia="en-US"/>
    </w:rPr>
  </w:style>
  <w:style w:type="paragraph" w:styleId="Ttulo2">
    <w:name w:val="heading 2"/>
    <w:basedOn w:val="Normal"/>
    <w:next w:val="Normal"/>
    <w:link w:val="Ttulo2Car"/>
    <w:uiPriority w:val="9"/>
    <w:semiHidden/>
    <w:unhideWhenUsed/>
    <w:qFormat/>
    <w:rsid w:val="000F216F"/>
    <w:pPr>
      <w:keepNext/>
      <w:keepLines/>
      <w:spacing w:before="40" w:line="259" w:lineRule="auto"/>
      <w:outlineLvl w:val="1"/>
    </w:pPr>
    <w:rPr>
      <w:rFonts w:ascii="Calibri Light" w:hAnsi="Calibri Light"/>
      <w:color w:val="2E74B5"/>
      <w:sz w:val="26"/>
      <w:szCs w:val="26"/>
      <w:lang w:val="es-ES" w:eastAsia="en-US"/>
    </w:rPr>
  </w:style>
  <w:style w:type="paragraph" w:styleId="Ttulo3">
    <w:name w:val="heading 3"/>
    <w:basedOn w:val="Normal"/>
    <w:next w:val="Normal"/>
    <w:link w:val="Ttulo3Car"/>
    <w:uiPriority w:val="9"/>
    <w:semiHidden/>
    <w:unhideWhenUsed/>
    <w:qFormat/>
    <w:rsid w:val="000F216F"/>
    <w:pPr>
      <w:keepNext/>
      <w:spacing w:before="240" w:after="60"/>
      <w:outlineLvl w:val="2"/>
    </w:pPr>
    <w:rPr>
      <w:rFonts w:ascii="Calibri Light" w:hAnsi="Calibri Light"/>
      <w:color w:val="1F376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0F216F"/>
    <w:rPr>
      <w:rFonts w:ascii="Calibri Light" w:hAnsi="Calibri Light"/>
      <w:color w:val="2E74B5"/>
      <w:sz w:val="32"/>
      <w:szCs w:val="32"/>
      <w:lang w:val="es-ES" w:eastAsia="en-US"/>
    </w:rPr>
  </w:style>
  <w:style w:type="character" w:customStyle="1" w:styleId="Ttulo2Car">
    <w:name w:val="Título 2 Car"/>
    <w:basedOn w:val="Fuentedeprrafopredeter"/>
    <w:link w:val="Ttulo2"/>
    <w:uiPriority w:val="9"/>
    <w:semiHidden/>
    <w:rsid w:val="000F216F"/>
    <w:rPr>
      <w:rFonts w:ascii="Calibri Light" w:hAnsi="Calibri Light"/>
      <w:color w:val="2E74B5"/>
      <w:sz w:val="26"/>
      <w:szCs w:val="26"/>
      <w:lang w:val="es-ES" w:eastAsia="en-US"/>
    </w:rPr>
  </w:style>
  <w:style w:type="paragraph" w:customStyle="1" w:styleId="Ttulo31">
    <w:name w:val="Título 31"/>
    <w:basedOn w:val="Normal"/>
    <w:next w:val="Normal"/>
    <w:uiPriority w:val="9"/>
    <w:semiHidden/>
    <w:unhideWhenUsed/>
    <w:qFormat/>
    <w:rsid w:val="000F216F"/>
    <w:pPr>
      <w:keepNext/>
      <w:keepLines/>
      <w:spacing w:before="40" w:line="259" w:lineRule="auto"/>
      <w:outlineLvl w:val="2"/>
    </w:pPr>
    <w:rPr>
      <w:rFonts w:ascii="Calibri Light" w:hAnsi="Calibri Light"/>
      <w:color w:val="1F3763"/>
      <w:lang w:val="es-ES" w:eastAsia="en-US"/>
    </w:rPr>
  </w:style>
  <w:style w:type="numbering" w:customStyle="1" w:styleId="Sinlista1">
    <w:name w:val="Sin lista1"/>
    <w:next w:val="Sinlista"/>
    <w:uiPriority w:val="99"/>
    <w:semiHidden/>
    <w:unhideWhenUsed/>
    <w:rsid w:val="000F216F"/>
  </w:style>
  <w:style w:type="character" w:styleId="Textoennegrita">
    <w:name w:val="Strong"/>
    <w:uiPriority w:val="22"/>
    <w:qFormat/>
    <w:rsid w:val="000F216F"/>
    <w:rPr>
      <w:b/>
      <w:bCs/>
    </w:rPr>
  </w:style>
  <w:style w:type="paragraph" w:styleId="Prrafodelista">
    <w:name w:val="List Paragraph"/>
    <w:basedOn w:val="Normal"/>
    <w:uiPriority w:val="34"/>
    <w:qFormat/>
    <w:rsid w:val="000F216F"/>
    <w:pPr>
      <w:spacing w:after="160" w:line="259" w:lineRule="auto"/>
      <w:ind w:left="708"/>
    </w:pPr>
    <w:rPr>
      <w:rFonts w:ascii="Calibri" w:eastAsia="Calibri" w:hAnsi="Calibri"/>
      <w:sz w:val="22"/>
      <w:szCs w:val="22"/>
      <w:lang w:val="es-ES" w:eastAsia="en-US"/>
    </w:rPr>
  </w:style>
  <w:style w:type="paragraph" w:styleId="Textocomentario">
    <w:name w:val="annotation text"/>
    <w:basedOn w:val="Normal"/>
    <w:link w:val="TextocomentarioCar"/>
    <w:uiPriority w:val="99"/>
    <w:unhideWhenUsed/>
    <w:rsid w:val="000F216F"/>
    <w:pPr>
      <w:spacing w:after="160" w:line="259" w:lineRule="auto"/>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rsid w:val="000F216F"/>
    <w:rPr>
      <w:rFonts w:ascii="Calibri" w:eastAsia="Calibri" w:hAnsi="Calibri"/>
      <w:lang w:val="es-ES" w:eastAsia="en-US"/>
    </w:rPr>
  </w:style>
  <w:style w:type="paragraph" w:styleId="Textosinformato">
    <w:name w:val="Plain Text"/>
    <w:basedOn w:val="Normal"/>
    <w:link w:val="TextosinformatoCar"/>
    <w:uiPriority w:val="99"/>
    <w:rsid w:val="000F216F"/>
    <w:rPr>
      <w:rFonts w:ascii="Courier New" w:hAnsi="Courier New"/>
      <w:sz w:val="20"/>
      <w:szCs w:val="20"/>
      <w:lang w:val="es-ES" w:eastAsia="es-ES"/>
    </w:rPr>
  </w:style>
  <w:style w:type="character" w:customStyle="1" w:styleId="TextosinformatoCar">
    <w:name w:val="Texto sin formato Car"/>
    <w:basedOn w:val="Fuentedeprrafopredeter"/>
    <w:link w:val="Textosinformato"/>
    <w:uiPriority w:val="99"/>
    <w:rsid w:val="000F216F"/>
    <w:rPr>
      <w:rFonts w:ascii="Courier New" w:hAnsi="Courier New"/>
      <w:lang w:val="es-ES" w:eastAsia="es-ES"/>
    </w:rPr>
  </w:style>
  <w:style w:type="character" w:styleId="Hipervnculovisitado">
    <w:name w:val="FollowedHyperlink"/>
    <w:uiPriority w:val="99"/>
    <w:semiHidden/>
    <w:unhideWhenUsed/>
    <w:rsid w:val="000F216F"/>
    <w:rPr>
      <w:color w:val="954F72"/>
      <w:u w:val="single"/>
    </w:rPr>
  </w:style>
  <w:style w:type="character" w:styleId="Refdecomentario">
    <w:name w:val="annotation reference"/>
    <w:uiPriority w:val="99"/>
    <w:semiHidden/>
    <w:unhideWhenUsed/>
    <w:rsid w:val="000F216F"/>
    <w:rPr>
      <w:sz w:val="16"/>
      <w:szCs w:val="16"/>
    </w:rPr>
  </w:style>
  <w:style w:type="paragraph" w:styleId="Asuntodelcomentario">
    <w:name w:val="annotation subject"/>
    <w:basedOn w:val="Textocomentario"/>
    <w:next w:val="Textocomentario"/>
    <w:link w:val="AsuntodelcomentarioCar"/>
    <w:uiPriority w:val="99"/>
    <w:semiHidden/>
    <w:unhideWhenUsed/>
    <w:rsid w:val="000F216F"/>
    <w:rPr>
      <w:b/>
      <w:bCs/>
    </w:rPr>
  </w:style>
  <w:style w:type="character" w:customStyle="1" w:styleId="AsuntodelcomentarioCar">
    <w:name w:val="Asunto del comentario Car"/>
    <w:basedOn w:val="TextocomentarioCar"/>
    <w:link w:val="Asuntodelcomentario"/>
    <w:uiPriority w:val="99"/>
    <w:semiHidden/>
    <w:rsid w:val="000F216F"/>
    <w:rPr>
      <w:rFonts w:ascii="Calibri" w:eastAsia="Calibri" w:hAnsi="Calibri"/>
      <w:b/>
      <w:bCs/>
      <w:lang w:val="es-ES" w:eastAsia="en-US"/>
    </w:rPr>
  </w:style>
  <w:style w:type="paragraph" w:styleId="Textoindependiente">
    <w:name w:val="Body Text"/>
    <w:basedOn w:val="Normal"/>
    <w:link w:val="TextoindependienteCar"/>
    <w:unhideWhenUsed/>
    <w:rsid w:val="000F216F"/>
    <w:pPr>
      <w:spacing w:after="120"/>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rsid w:val="000F216F"/>
    <w:rPr>
      <w:rFonts w:ascii="Calibri" w:eastAsia="Calibri" w:hAnsi="Calibri"/>
      <w:sz w:val="22"/>
      <w:szCs w:val="22"/>
      <w:lang w:val="es-ES_tradnl" w:eastAsia="en-US"/>
    </w:rPr>
  </w:style>
  <w:style w:type="paragraph" w:styleId="HTMLconformatoprevio">
    <w:name w:val="HTML Preformatted"/>
    <w:basedOn w:val="Normal"/>
    <w:link w:val="HTMLconformatoprevioCar"/>
    <w:uiPriority w:val="99"/>
    <w:semiHidden/>
    <w:unhideWhenUsed/>
    <w:rsid w:val="000F2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0F216F"/>
    <w:rPr>
      <w:rFonts w:ascii="Courier New" w:hAnsi="Courier New" w:cs="Courier New"/>
      <w:lang w:val="es-ES" w:eastAsia="es-ES"/>
    </w:rPr>
  </w:style>
  <w:style w:type="character" w:customStyle="1" w:styleId="y2iqfc">
    <w:name w:val="y2iqfc"/>
    <w:rsid w:val="000F216F"/>
  </w:style>
  <w:style w:type="character" w:customStyle="1" w:styleId="article-title">
    <w:name w:val="article-title"/>
    <w:rsid w:val="000F216F"/>
  </w:style>
  <w:style w:type="character" w:customStyle="1" w:styleId="Ttulo3Car">
    <w:name w:val="Título 3 Car"/>
    <w:link w:val="Ttulo3"/>
    <w:uiPriority w:val="9"/>
    <w:semiHidden/>
    <w:rsid w:val="000F216F"/>
    <w:rPr>
      <w:rFonts w:ascii="Calibri Light" w:eastAsia="Times New Roman" w:hAnsi="Calibri Light" w:cs="Times New Roman"/>
      <w:color w:val="1F3763"/>
      <w:sz w:val="24"/>
      <w:szCs w:val="24"/>
      <w:lang w:val="es-ES" w:eastAsia="en-US"/>
    </w:rPr>
  </w:style>
  <w:style w:type="character" w:customStyle="1" w:styleId="Mencinsinresolver1">
    <w:name w:val="Mención sin resolver1"/>
    <w:uiPriority w:val="99"/>
    <w:semiHidden/>
    <w:unhideWhenUsed/>
    <w:rsid w:val="000F216F"/>
    <w:rPr>
      <w:color w:val="605E5C"/>
      <w:shd w:val="clear" w:color="auto" w:fill="E1DFDD"/>
    </w:rPr>
  </w:style>
  <w:style w:type="character" w:customStyle="1" w:styleId="Ttulo3Car1">
    <w:name w:val="Título 3 Car1"/>
    <w:basedOn w:val="Fuentedeprrafopredeter"/>
    <w:link w:val="Ttulo3"/>
    <w:semiHidden/>
    <w:rsid w:val="000F216F"/>
    <w:rPr>
      <w:rFonts w:asciiTheme="majorHAnsi" w:eastAsiaTheme="majorEastAsia" w:hAnsiTheme="majorHAnsi" w:cstheme="majorBidi"/>
      <w:b/>
      <w:bCs/>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372-6791" TargetMode="External"/><Relationship Id="rId13" Type="http://schemas.openxmlformats.org/officeDocument/2006/relationships/hyperlink" Target="https://orcid.org/0000-0002-1502-8140" TargetMode="External"/><Relationship Id="rId18" Type="http://schemas.openxmlformats.org/officeDocument/2006/relationships/image" Target="media/image2.gif"/><Relationship Id="rId26" Type="http://schemas.openxmlformats.org/officeDocument/2006/relationships/hyperlink" Target="https://files.sld.cu/bvscuba/files/2021/08/Anuario-Estadistico-Espa&#241;ol-2020-Definitivo.pdf" TargetMode="External"/><Relationship Id="rId39" Type="http://schemas.openxmlformats.org/officeDocument/2006/relationships/hyperlink" Target="https://doi.org/10.1007/s00428-020-03016-y" TargetMode="External"/><Relationship Id="rId3" Type="http://schemas.openxmlformats.org/officeDocument/2006/relationships/settings" Target="settings.xml"/><Relationship Id="rId21" Type="http://schemas.openxmlformats.org/officeDocument/2006/relationships/image" Target="media/image5.gif"/><Relationship Id="rId34" Type="http://schemas.openxmlformats.org/officeDocument/2006/relationships/hyperlink" Target="https://doi.org/10.1038/s41598-021-82862-5" TargetMode="External"/><Relationship Id="rId42" Type="http://schemas.openxmlformats.org/officeDocument/2006/relationships/hyperlink" Target="http://www.revistaamc.sld.cu/index.php/amc/article/view/34" TargetMode="External"/><Relationship Id="rId47" Type="http://schemas.openxmlformats.org/officeDocument/2006/relationships/fontTable" Target="fontTable.xml"/><Relationship Id="rId7" Type="http://schemas.openxmlformats.org/officeDocument/2006/relationships/hyperlink" Target="https://orcid.org/0000-0002-6749-0986" TargetMode="External"/><Relationship Id="rId12" Type="http://schemas.openxmlformats.org/officeDocument/2006/relationships/hyperlink" Target="https://orcid.org/0000-0002-0251-5812" TargetMode="External"/><Relationship Id="rId17" Type="http://schemas.openxmlformats.org/officeDocument/2006/relationships/image" Target="media/image1.gif"/><Relationship Id="rId25" Type="http://schemas.openxmlformats.org/officeDocument/2006/relationships/hyperlink" Target="https://scielo.isciii.es/scielo.php?script=sci_arttext&amp;pid=S1135-76062018000100050" TargetMode="External"/><Relationship Id="rId33" Type="http://schemas.openxmlformats.org/officeDocument/2006/relationships/hyperlink" Target="https://jamanetwork.com/journals/jama/article-abstract/367171" TargetMode="External"/><Relationship Id="rId38" Type="http://schemas.openxmlformats.org/officeDocument/2006/relationships/hyperlink" Target="http://scielo.sld.cu/scielo.php?script=sci_arttext&amp;pid=S0864-34662020000500002&amp;lng=es&amp;nrm=iso"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jhurtado@infomed.sld.cu" TargetMode="External"/><Relationship Id="rId20" Type="http://schemas.openxmlformats.org/officeDocument/2006/relationships/image" Target="media/image4.gif"/><Relationship Id="rId29" Type="http://schemas.openxmlformats.org/officeDocument/2006/relationships/hyperlink" Target="http://www.revmedmilitar.sld.cu/index.php/mil/article/view/840/562" TargetMode="External"/><Relationship Id="rId41" Type="http://schemas.openxmlformats.org/officeDocument/2006/relationships/hyperlink" Target="http://www.revmedmilitar.sld.cu/index.php/mil/article/view/8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9711-9475" TargetMode="External"/><Relationship Id="rId24" Type="http://schemas.openxmlformats.org/officeDocument/2006/relationships/hyperlink" Target="https://www.tesisenred.net/bitstream/handle/10803/5565/sca1de1.pdf?sequence=1&amp;isAllowed=y" TargetMode="External"/><Relationship Id="rId32" Type="http://schemas.openxmlformats.org/officeDocument/2006/relationships/hyperlink" Target="https://www.nejm.org/doi/full/10.1056/NEJM198304283081704" TargetMode="External"/><Relationship Id="rId37" Type="http://schemas.openxmlformats.org/officeDocument/2006/relationships/hyperlink" Target="http://www.revistaamc.sld.cu/index.php/amc/article/view/7572" TargetMode="External"/><Relationship Id="rId40" Type="http://schemas.openxmlformats.org/officeDocument/2006/relationships/hyperlink" Target="http://www.revmedmilitar.sld.cu/index.php/mil/article/view/1592/1040"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rcid.org/0000-0001-9417-7963" TargetMode="External"/><Relationship Id="rId23" Type="http://schemas.openxmlformats.org/officeDocument/2006/relationships/hyperlink" Target="http://www.revistaccuba.cu/index.php/revacc/article/view/" TargetMode="External"/><Relationship Id="rId28" Type="http://schemas.openxmlformats.org/officeDocument/2006/relationships/hyperlink" Target="https://www.elsevier.es/es-revista-revista-espanola-medicina-legal-285-pdf-S0377473220300262" TargetMode="External"/><Relationship Id="rId36" Type="http://schemas.openxmlformats.org/officeDocument/2006/relationships/hyperlink" Target="https://doi:10.7861/clinmed.2020-0440" TargetMode="External"/><Relationship Id="rId10" Type="http://schemas.openxmlformats.org/officeDocument/2006/relationships/hyperlink" Target="https://orcid.org/0000-0001-5645-3453" TargetMode="External"/><Relationship Id="rId19" Type="http://schemas.openxmlformats.org/officeDocument/2006/relationships/image" Target="media/image3.gif"/><Relationship Id="rId31" Type="http://schemas.openxmlformats.org/officeDocument/2006/relationships/hyperlink" Target="https://www.who.int/publications-detail-redirect/infection-prevention-and-control-for-the-safe-management-of-a-dead-body-in-the-context-of-covid-19-interim-guidance"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0625-1321" TargetMode="External"/><Relationship Id="rId14" Type="http://schemas.openxmlformats.org/officeDocument/2006/relationships/hyperlink" Target="https://orcid.org/0000-0002-3742-8436" TargetMode="External"/><Relationship Id="rId22" Type="http://schemas.openxmlformats.org/officeDocument/2006/relationships/hyperlink" Target="http://www.bvs.sld.cu/libros/autopsia_garantia_2daedicion/autopsia_completo.pdf" TargetMode="External"/><Relationship Id="rId27" Type="http://schemas.openxmlformats.org/officeDocument/2006/relationships/hyperlink" Target="https://coronavirus.gob.mx/wpcontent/uploads/2020/04/Correcto_llenado_del_certificado_de_defuncion_muertes_por_COVID-19.pdf" TargetMode="External"/><Relationship Id="rId30" Type="http://schemas.openxmlformats.org/officeDocument/2006/relationships/hyperlink" Target="https://eaaf.org/wp-content/uploads/covid19-PDFs/EEUU/CDC-guidance-postmortem-specimens.pdf" TargetMode="External"/><Relationship Id="rId35" Type="http://schemas.openxmlformats.org/officeDocument/2006/relationships/hyperlink" Target="https://doi.org/10.1111/joim.13300" TargetMode="External"/><Relationship Id="rId43" Type="http://schemas.openxmlformats.org/officeDocument/2006/relationships/hyperlink" Target="http://scielo.sld.cu/scielo.php?script=sci_arttext&amp;pid=S0864-34661998000100005&amp;lng=es&amp;tlng=es" TargetMode="Externa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28</TotalTime>
  <Pages>13</Pages>
  <Words>3914</Words>
  <Characters>21532</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25396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12</cp:revision>
  <cp:lastPrinted>2010-09-13T21:29:00Z</cp:lastPrinted>
  <dcterms:created xsi:type="dcterms:W3CDTF">2021-11-15T00:41:00Z</dcterms:created>
  <dcterms:modified xsi:type="dcterms:W3CDTF">2021-11-15T01:09:00Z</dcterms:modified>
</cp:coreProperties>
</file>