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805A" w14:textId="77777777" w:rsidR="00F9509D" w:rsidRPr="00F9509D" w:rsidRDefault="00F9509D" w:rsidP="00F9509D">
      <w:pPr>
        <w:spacing w:line="360" w:lineRule="auto"/>
        <w:jc w:val="right"/>
        <w:rPr>
          <w:rFonts w:eastAsia="Calibri"/>
          <w:bCs/>
          <w:sz w:val="20"/>
          <w:szCs w:val="20"/>
        </w:rPr>
      </w:pPr>
      <w:r w:rsidRPr="00F9509D">
        <w:rPr>
          <w:rFonts w:eastAsia="Calibri"/>
          <w:bCs/>
          <w:sz w:val="20"/>
          <w:szCs w:val="20"/>
        </w:rPr>
        <w:t>Artículo de investigación</w:t>
      </w:r>
    </w:p>
    <w:p w14:paraId="7466AEE5" w14:textId="77777777" w:rsidR="00F9509D" w:rsidRPr="00F9509D" w:rsidRDefault="00F9509D" w:rsidP="00F9509D">
      <w:pPr>
        <w:spacing w:line="360" w:lineRule="auto"/>
        <w:jc w:val="right"/>
        <w:rPr>
          <w:rFonts w:eastAsia="Calibri"/>
          <w:lang w:val="es-ES" w:eastAsia="en-US"/>
        </w:rPr>
      </w:pPr>
    </w:p>
    <w:p w14:paraId="22507BDC" w14:textId="77777777" w:rsidR="00F9509D" w:rsidRPr="00F9509D" w:rsidRDefault="00F9509D" w:rsidP="00F9509D">
      <w:pPr>
        <w:spacing w:line="360" w:lineRule="auto"/>
        <w:jc w:val="center"/>
        <w:rPr>
          <w:rFonts w:eastAsia="Calibri"/>
          <w:b/>
          <w:i/>
          <w:sz w:val="28"/>
          <w:szCs w:val="28"/>
          <w:lang w:val="es-ES" w:eastAsia="en-US"/>
        </w:rPr>
      </w:pPr>
      <w:r w:rsidRPr="00F9509D">
        <w:rPr>
          <w:rFonts w:eastAsia="Calibri"/>
          <w:b/>
          <w:sz w:val="28"/>
          <w:szCs w:val="28"/>
          <w:lang w:val="es-ES" w:eastAsia="en-US"/>
        </w:rPr>
        <w:t xml:space="preserve">Leche fermentada simbiótica y triple terapia en el tratamiento de </w:t>
      </w:r>
      <w:proofErr w:type="spellStart"/>
      <w:r w:rsidRPr="00F9509D">
        <w:rPr>
          <w:rFonts w:eastAsia="Calibri"/>
          <w:b/>
          <w:i/>
          <w:sz w:val="28"/>
          <w:szCs w:val="28"/>
          <w:lang w:val="es-ES" w:eastAsia="en-US"/>
        </w:rPr>
        <w:t>Helicobacter</w:t>
      </w:r>
      <w:proofErr w:type="spellEnd"/>
      <w:r w:rsidRPr="00F9509D">
        <w:rPr>
          <w:rFonts w:eastAsia="Calibri"/>
          <w:b/>
          <w:i/>
          <w:sz w:val="28"/>
          <w:szCs w:val="28"/>
          <w:lang w:val="es-ES" w:eastAsia="en-US"/>
        </w:rPr>
        <w:t xml:space="preserve"> pylori</w:t>
      </w:r>
    </w:p>
    <w:p w14:paraId="04AC5EE6" w14:textId="77777777" w:rsidR="00F9509D" w:rsidRPr="00F9509D" w:rsidRDefault="00F9509D" w:rsidP="00F9509D">
      <w:pPr>
        <w:spacing w:line="360" w:lineRule="auto"/>
        <w:jc w:val="center"/>
        <w:rPr>
          <w:rFonts w:eastAsia="Calibri"/>
          <w:sz w:val="28"/>
          <w:szCs w:val="28"/>
          <w:lang w:val="en-US" w:eastAsia="en-US"/>
        </w:rPr>
      </w:pPr>
      <w:r w:rsidRPr="00F9509D">
        <w:rPr>
          <w:rFonts w:eastAsia="Calibri"/>
          <w:sz w:val="28"/>
          <w:szCs w:val="28"/>
          <w:lang w:val="en-US" w:eastAsia="en-US"/>
        </w:rPr>
        <w:t xml:space="preserve">Symbiotic fermented milk and triple therapy in the treatment of </w:t>
      </w:r>
      <w:r w:rsidRPr="00F9509D">
        <w:rPr>
          <w:rFonts w:eastAsia="Calibri"/>
          <w:i/>
          <w:sz w:val="28"/>
          <w:szCs w:val="28"/>
          <w:lang w:val="en-US" w:eastAsia="en-US"/>
        </w:rPr>
        <w:t>Helicobacter pylori</w:t>
      </w:r>
    </w:p>
    <w:p w14:paraId="63C144F7" w14:textId="77777777" w:rsidR="00F9509D" w:rsidRPr="00F9509D" w:rsidRDefault="00F9509D" w:rsidP="00F9509D">
      <w:pPr>
        <w:spacing w:line="360" w:lineRule="auto"/>
        <w:contextualSpacing/>
        <w:jc w:val="both"/>
        <w:rPr>
          <w:rFonts w:eastAsia="Calibri"/>
          <w:lang w:val="en-US" w:eastAsia="en-US"/>
        </w:rPr>
      </w:pPr>
    </w:p>
    <w:p w14:paraId="087FA667" w14:textId="77777777" w:rsidR="00F9509D" w:rsidRPr="00F9509D" w:rsidRDefault="00F9509D" w:rsidP="00F9509D">
      <w:pPr>
        <w:spacing w:line="360" w:lineRule="auto"/>
        <w:contextualSpacing/>
        <w:jc w:val="both"/>
        <w:rPr>
          <w:rFonts w:eastAsia="Calibri"/>
          <w:lang w:val="es-CU" w:eastAsia="en-US"/>
        </w:rPr>
      </w:pPr>
      <w:r w:rsidRPr="00F9509D">
        <w:rPr>
          <w:rFonts w:eastAsia="Calibri"/>
          <w:lang w:val="es-CU" w:eastAsia="en-US"/>
        </w:rPr>
        <w:t>Ileana Gil Llanes</w:t>
      </w:r>
      <w:r w:rsidRPr="00F9509D">
        <w:rPr>
          <w:rFonts w:eastAsia="Calibri"/>
          <w:vertAlign w:val="superscript"/>
          <w:lang w:val="es-CU" w:eastAsia="en-US"/>
        </w:rPr>
        <w:t>1</w:t>
      </w:r>
      <w:r w:rsidRPr="00F9509D">
        <w:rPr>
          <w:rFonts w:eastAsia="Calibri"/>
          <w:lang w:val="es-CU" w:eastAsia="en-US"/>
        </w:rPr>
        <w:t xml:space="preserve"> </w:t>
      </w:r>
      <w:hyperlink r:id="rId7" w:history="1">
        <w:r w:rsidRPr="00F9509D">
          <w:rPr>
            <w:rFonts w:eastAsia="Calibri"/>
            <w:color w:val="0563C1"/>
            <w:u w:val="single"/>
            <w:lang w:val="es-CU" w:eastAsia="en-US"/>
          </w:rPr>
          <w:t>https://orcid.org/0000-0002-8351-9646</w:t>
        </w:r>
      </w:hyperlink>
      <w:r w:rsidRPr="00F9509D">
        <w:rPr>
          <w:rFonts w:eastAsia="Calibri"/>
          <w:lang w:val="es-CU" w:eastAsia="en-US"/>
        </w:rPr>
        <w:t xml:space="preserve">  </w:t>
      </w:r>
    </w:p>
    <w:p w14:paraId="241F7BC3" w14:textId="77777777" w:rsidR="00F9509D" w:rsidRPr="00F9509D" w:rsidRDefault="00F9509D" w:rsidP="00F9509D">
      <w:pPr>
        <w:spacing w:line="360" w:lineRule="auto"/>
        <w:contextualSpacing/>
        <w:jc w:val="both"/>
        <w:rPr>
          <w:rFonts w:eastAsia="Calibri"/>
          <w:lang w:val="es-CU" w:eastAsia="en-US"/>
        </w:rPr>
      </w:pPr>
      <w:r w:rsidRPr="00F9509D">
        <w:rPr>
          <w:rFonts w:eastAsia="Calibri"/>
          <w:lang w:val="es-CU" w:eastAsia="en-US"/>
        </w:rPr>
        <w:t>Lisset Barroso Márquez</w:t>
      </w:r>
      <w:r w:rsidRPr="00F9509D">
        <w:rPr>
          <w:rFonts w:eastAsia="Calibri"/>
          <w:vertAlign w:val="superscript"/>
          <w:lang w:val="es-CU" w:eastAsia="en-US"/>
        </w:rPr>
        <w:t>2</w:t>
      </w:r>
      <w:r w:rsidRPr="00F9509D">
        <w:rPr>
          <w:rFonts w:eastAsia="Calibri"/>
          <w:lang w:val="es-CU" w:eastAsia="en-US"/>
        </w:rPr>
        <w:t xml:space="preserve">* </w:t>
      </w:r>
      <w:hyperlink r:id="rId8" w:history="1">
        <w:r w:rsidRPr="00F9509D">
          <w:rPr>
            <w:rFonts w:eastAsia="Calibri"/>
            <w:color w:val="0563C1"/>
            <w:u w:val="single"/>
            <w:lang w:val="es-CU" w:eastAsia="en-US"/>
          </w:rPr>
          <w:t>https://orcid.org/0000-0002-3043-1763</w:t>
        </w:r>
      </w:hyperlink>
      <w:r w:rsidRPr="00F9509D">
        <w:rPr>
          <w:rFonts w:eastAsia="Calibri"/>
          <w:lang w:val="es-CU" w:eastAsia="en-US"/>
        </w:rPr>
        <w:t xml:space="preserve">  </w:t>
      </w:r>
    </w:p>
    <w:p w14:paraId="66DBA01C" w14:textId="77777777" w:rsidR="00F9509D" w:rsidRPr="00F9509D" w:rsidRDefault="00F9509D" w:rsidP="00F9509D">
      <w:pPr>
        <w:spacing w:line="360" w:lineRule="auto"/>
        <w:contextualSpacing/>
        <w:jc w:val="both"/>
        <w:rPr>
          <w:rFonts w:eastAsia="Calibri"/>
          <w:lang w:val="es-CU" w:eastAsia="en-US"/>
        </w:rPr>
      </w:pPr>
      <w:proofErr w:type="spellStart"/>
      <w:r w:rsidRPr="00F9509D">
        <w:rPr>
          <w:rFonts w:eastAsia="Calibri"/>
          <w:lang w:val="es-CU" w:eastAsia="en-US"/>
        </w:rPr>
        <w:t>Oxalis</w:t>
      </w:r>
      <w:proofErr w:type="spellEnd"/>
      <w:r w:rsidRPr="00F9509D">
        <w:rPr>
          <w:rFonts w:eastAsia="Calibri"/>
          <w:lang w:val="es-CU" w:eastAsia="en-US"/>
        </w:rPr>
        <w:t xml:space="preserve"> Rodríguez Martínez</w:t>
      </w:r>
      <w:r w:rsidRPr="00F9509D">
        <w:rPr>
          <w:rFonts w:eastAsia="Calibri"/>
          <w:vertAlign w:val="superscript"/>
          <w:lang w:val="es-CU" w:eastAsia="en-US"/>
        </w:rPr>
        <w:t>3</w:t>
      </w:r>
      <w:r w:rsidRPr="00F9509D">
        <w:rPr>
          <w:rFonts w:eastAsia="Calibri"/>
          <w:lang w:val="es-CU" w:eastAsia="en-US"/>
        </w:rPr>
        <w:t xml:space="preserve"> </w:t>
      </w:r>
      <w:hyperlink r:id="rId9" w:history="1">
        <w:r w:rsidRPr="00F9509D">
          <w:rPr>
            <w:rFonts w:eastAsia="Calibri"/>
            <w:color w:val="0563C1"/>
            <w:u w:val="single"/>
            <w:lang w:val="es-CU" w:eastAsia="en-US"/>
          </w:rPr>
          <w:t>https://orcid.org/0000-0002-9691-2738</w:t>
        </w:r>
      </w:hyperlink>
      <w:r w:rsidRPr="00F9509D">
        <w:rPr>
          <w:rFonts w:eastAsia="Calibri"/>
          <w:lang w:val="es-CU" w:eastAsia="en-US"/>
        </w:rPr>
        <w:t xml:space="preserve"> </w:t>
      </w:r>
    </w:p>
    <w:p w14:paraId="129A3BD3" w14:textId="3B33AA6B" w:rsidR="00F9509D" w:rsidRPr="00F9509D" w:rsidRDefault="00F9509D" w:rsidP="00F9509D">
      <w:pPr>
        <w:spacing w:line="360" w:lineRule="auto"/>
        <w:contextualSpacing/>
        <w:jc w:val="both"/>
        <w:rPr>
          <w:rFonts w:eastAsia="Calibri"/>
          <w:lang w:val="es-CU" w:eastAsia="en-US"/>
        </w:rPr>
      </w:pPr>
      <w:r w:rsidRPr="00F9509D">
        <w:rPr>
          <w:rFonts w:eastAsia="Calibri"/>
          <w:lang w:val="es-CU" w:eastAsia="en-US"/>
        </w:rPr>
        <w:t>Lissette Chao González</w:t>
      </w:r>
      <w:r w:rsidRPr="00F9509D">
        <w:rPr>
          <w:rFonts w:eastAsia="Calibri"/>
          <w:vertAlign w:val="superscript"/>
          <w:lang w:val="es-CU" w:eastAsia="en-US"/>
        </w:rPr>
        <w:t>2</w:t>
      </w:r>
      <w:r w:rsidRPr="00F9509D">
        <w:rPr>
          <w:rFonts w:eastAsia="Calibri"/>
          <w:lang w:val="es-CU" w:eastAsia="en-US"/>
        </w:rPr>
        <w:t xml:space="preserve"> </w:t>
      </w:r>
      <w:hyperlink r:id="rId10" w:history="1">
        <w:r w:rsidR="00E95B1E" w:rsidRPr="00AD627F">
          <w:rPr>
            <w:rStyle w:val="Hipervnculo"/>
            <w:rFonts w:eastAsia="Calibri"/>
            <w:lang w:val="es-ES" w:eastAsia="en-US"/>
          </w:rPr>
          <w:t>https://orcid.org/0000-0003-0817-2424</w:t>
        </w:r>
      </w:hyperlink>
      <w:r w:rsidR="00E95B1E">
        <w:rPr>
          <w:rFonts w:eastAsia="Calibri"/>
          <w:lang w:val="es-ES" w:eastAsia="en-US"/>
        </w:rPr>
        <w:t xml:space="preserve"> </w:t>
      </w:r>
      <w:r w:rsidRPr="00F9509D">
        <w:rPr>
          <w:rFonts w:eastAsia="Calibri"/>
          <w:lang w:val="es-CU" w:eastAsia="en-US"/>
        </w:rPr>
        <w:t xml:space="preserve"> </w:t>
      </w:r>
    </w:p>
    <w:p w14:paraId="41F5C579" w14:textId="77777777" w:rsidR="00F9509D" w:rsidRPr="00F9509D" w:rsidRDefault="00F9509D" w:rsidP="00F9509D">
      <w:pPr>
        <w:spacing w:line="360" w:lineRule="auto"/>
        <w:contextualSpacing/>
        <w:jc w:val="both"/>
        <w:rPr>
          <w:rFonts w:eastAsia="Calibri"/>
          <w:lang w:val="es-CU" w:eastAsia="en-US"/>
        </w:rPr>
      </w:pPr>
      <w:r w:rsidRPr="00F9509D">
        <w:rPr>
          <w:rFonts w:eastAsia="Calibri"/>
          <w:lang w:val="es-CU" w:eastAsia="en-US"/>
        </w:rPr>
        <w:t xml:space="preserve">Marcia </w:t>
      </w:r>
      <w:proofErr w:type="spellStart"/>
      <w:r w:rsidRPr="00F9509D">
        <w:rPr>
          <w:rFonts w:eastAsia="Calibri"/>
          <w:lang w:val="es-CU" w:eastAsia="en-US"/>
        </w:rPr>
        <w:t>Samada</w:t>
      </w:r>
      <w:proofErr w:type="spellEnd"/>
      <w:r w:rsidRPr="00F9509D">
        <w:rPr>
          <w:rFonts w:eastAsia="Calibri"/>
          <w:lang w:val="es-CU" w:eastAsia="en-US"/>
        </w:rPr>
        <w:t xml:space="preserve"> Suárez</w:t>
      </w:r>
      <w:r w:rsidRPr="00F9509D">
        <w:rPr>
          <w:rFonts w:eastAsia="Calibri"/>
          <w:vertAlign w:val="superscript"/>
          <w:lang w:val="es-CU" w:eastAsia="en-US"/>
        </w:rPr>
        <w:t>2</w:t>
      </w:r>
      <w:r w:rsidRPr="00F9509D">
        <w:rPr>
          <w:rFonts w:eastAsia="Calibri"/>
          <w:lang w:val="es-CU" w:eastAsia="en-US"/>
        </w:rPr>
        <w:t xml:space="preserve"> </w:t>
      </w:r>
      <w:hyperlink r:id="rId11" w:history="1">
        <w:r w:rsidRPr="00F9509D">
          <w:rPr>
            <w:rFonts w:eastAsia="Calibri"/>
            <w:color w:val="0563C1"/>
            <w:u w:val="single"/>
            <w:lang w:val="es-CU" w:eastAsia="en-US"/>
          </w:rPr>
          <w:t>https://orcid.org/0000-0003-3795-3801</w:t>
        </w:r>
      </w:hyperlink>
      <w:r w:rsidRPr="00F9509D">
        <w:rPr>
          <w:rFonts w:eastAsia="Calibri"/>
          <w:lang w:val="es-CU" w:eastAsia="en-US"/>
        </w:rPr>
        <w:t xml:space="preserve"> </w:t>
      </w:r>
    </w:p>
    <w:p w14:paraId="0CA5992A" w14:textId="77777777" w:rsidR="00F9509D" w:rsidRPr="00F9509D" w:rsidRDefault="00F9509D" w:rsidP="00F9509D">
      <w:pPr>
        <w:spacing w:line="360" w:lineRule="auto"/>
        <w:contextualSpacing/>
        <w:jc w:val="both"/>
        <w:rPr>
          <w:rFonts w:eastAsia="Calibri"/>
          <w:lang w:val="es-CU" w:eastAsia="en-US"/>
        </w:rPr>
      </w:pPr>
      <w:proofErr w:type="spellStart"/>
      <w:r w:rsidRPr="00F9509D">
        <w:rPr>
          <w:rFonts w:eastAsia="Calibri"/>
          <w:lang w:val="es-CU" w:eastAsia="en-US"/>
        </w:rPr>
        <w:t>Yunia</w:t>
      </w:r>
      <w:proofErr w:type="spellEnd"/>
      <w:r w:rsidRPr="00F9509D">
        <w:rPr>
          <w:rFonts w:eastAsia="Calibri"/>
          <w:lang w:val="es-CU" w:eastAsia="en-US"/>
        </w:rPr>
        <w:t xml:space="preserve"> Tusen Toledo</w:t>
      </w:r>
      <w:r w:rsidRPr="00F9509D">
        <w:rPr>
          <w:rFonts w:eastAsia="Calibri"/>
          <w:vertAlign w:val="superscript"/>
          <w:lang w:val="es-CU" w:eastAsia="en-US"/>
        </w:rPr>
        <w:t>4</w:t>
      </w:r>
      <w:r w:rsidRPr="00F9509D">
        <w:rPr>
          <w:rFonts w:eastAsia="Calibri"/>
          <w:lang w:val="es-CU" w:eastAsia="en-US"/>
        </w:rPr>
        <w:t xml:space="preserve"> </w:t>
      </w:r>
      <w:hyperlink r:id="rId12" w:history="1">
        <w:r w:rsidRPr="00F9509D">
          <w:rPr>
            <w:rFonts w:eastAsia="Calibri"/>
            <w:color w:val="0563C1"/>
            <w:u w:val="single"/>
            <w:lang w:val="es-CU" w:eastAsia="en-US"/>
          </w:rPr>
          <w:t>https://orcid.org/0000-0001-7996-239X</w:t>
        </w:r>
      </w:hyperlink>
      <w:r w:rsidRPr="00F9509D">
        <w:rPr>
          <w:rFonts w:eastAsia="Calibri"/>
          <w:lang w:val="es-CU" w:eastAsia="en-US"/>
        </w:rPr>
        <w:t xml:space="preserve"> </w:t>
      </w:r>
    </w:p>
    <w:p w14:paraId="47F18A71" w14:textId="77777777" w:rsidR="00F9509D" w:rsidRPr="00F9509D" w:rsidRDefault="00F9509D" w:rsidP="00F9509D">
      <w:pPr>
        <w:spacing w:line="360" w:lineRule="auto"/>
        <w:contextualSpacing/>
        <w:jc w:val="both"/>
        <w:rPr>
          <w:rFonts w:eastAsia="Calibri"/>
          <w:lang w:val="es-CU" w:eastAsia="en-US"/>
        </w:rPr>
      </w:pPr>
      <w:r w:rsidRPr="00F9509D">
        <w:rPr>
          <w:rFonts w:eastAsia="Calibri"/>
          <w:lang w:val="es-CU" w:eastAsia="en-US"/>
        </w:rPr>
        <w:t>Ludmila Martínez Leyva</w:t>
      </w:r>
      <w:r w:rsidRPr="00F9509D">
        <w:rPr>
          <w:rFonts w:eastAsia="Calibri"/>
          <w:vertAlign w:val="superscript"/>
          <w:lang w:val="es-CU" w:eastAsia="en-US"/>
        </w:rPr>
        <w:t>5</w:t>
      </w:r>
      <w:r w:rsidRPr="00F9509D">
        <w:rPr>
          <w:rFonts w:eastAsia="Calibri"/>
          <w:lang w:val="es-CU" w:eastAsia="en-US"/>
        </w:rPr>
        <w:t xml:space="preserve"> </w:t>
      </w:r>
      <w:hyperlink r:id="rId13" w:history="1">
        <w:r w:rsidRPr="00F9509D">
          <w:rPr>
            <w:rFonts w:eastAsia="Calibri"/>
            <w:color w:val="0563C1"/>
            <w:u w:val="single"/>
            <w:lang w:val="es-CU" w:eastAsia="en-US"/>
          </w:rPr>
          <w:t>https://orcid.org/0000-0002-4333-4030</w:t>
        </w:r>
      </w:hyperlink>
      <w:r w:rsidRPr="00F9509D">
        <w:rPr>
          <w:rFonts w:eastAsia="Calibri"/>
          <w:lang w:val="es-CU" w:eastAsia="en-US"/>
        </w:rPr>
        <w:t xml:space="preserve">  </w:t>
      </w:r>
    </w:p>
    <w:p w14:paraId="1858F502" w14:textId="77777777" w:rsidR="00F9509D" w:rsidRPr="00F9509D" w:rsidRDefault="00F9509D" w:rsidP="00F9509D">
      <w:pPr>
        <w:spacing w:line="360" w:lineRule="auto"/>
        <w:contextualSpacing/>
        <w:jc w:val="both"/>
        <w:rPr>
          <w:rFonts w:eastAsia="Calibri"/>
          <w:lang w:val="es-CU" w:eastAsia="en-US"/>
        </w:rPr>
      </w:pPr>
    </w:p>
    <w:p w14:paraId="27BC0D0B" w14:textId="77777777" w:rsidR="00F9509D" w:rsidRPr="00F9509D" w:rsidRDefault="00F9509D" w:rsidP="00F9509D">
      <w:pPr>
        <w:spacing w:line="360" w:lineRule="auto"/>
        <w:contextualSpacing/>
        <w:jc w:val="both"/>
        <w:rPr>
          <w:rFonts w:eastAsia="Calibri"/>
          <w:lang w:val="es-CU" w:eastAsia="en-US"/>
        </w:rPr>
      </w:pPr>
      <w:r w:rsidRPr="00F9509D">
        <w:rPr>
          <w:rFonts w:eastAsia="Calibri"/>
          <w:vertAlign w:val="superscript"/>
          <w:lang w:val="es-CU" w:eastAsia="en-US"/>
        </w:rPr>
        <w:t>1</w:t>
      </w:r>
      <w:r w:rsidRPr="00F9509D">
        <w:rPr>
          <w:rFonts w:eastAsia="Calibri"/>
          <w:lang w:val="es-CU" w:eastAsia="en-US"/>
        </w:rPr>
        <w:t xml:space="preserve">Policlínico “Ángel Machaco </w:t>
      </w:r>
      <w:proofErr w:type="spellStart"/>
      <w:r w:rsidRPr="00F9509D">
        <w:rPr>
          <w:rFonts w:eastAsia="Calibri"/>
          <w:lang w:val="es-CU" w:eastAsia="en-US"/>
        </w:rPr>
        <w:t>Ameijeiras</w:t>
      </w:r>
      <w:proofErr w:type="spellEnd"/>
      <w:r w:rsidRPr="00F9509D">
        <w:rPr>
          <w:rFonts w:eastAsia="Calibri"/>
          <w:lang w:val="es-CU" w:eastAsia="en-US"/>
        </w:rPr>
        <w:t>”. La Habana, Cuba.</w:t>
      </w:r>
    </w:p>
    <w:p w14:paraId="744D2520" w14:textId="77777777" w:rsidR="00F9509D" w:rsidRPr="00F9509D" w:rsidRDefault="00F9509D" w:rsidP="00F9509D">
      <w:pPr>
        <w:spacing w:line="360" w:lineRule="auto"/>
        <w:contextualSpacing/>
        <w:jc w:val="both"/>
        <w:rPr>
          <w:rFonts w:eastAsia="Calibri"/>
          <w:lang w:val="es-CU" w:eastAsia="en-US"/>
        </w:rPr>
      </w:pPr>
      <w:r w:rsidRPr="00F9509D">
        <w:rPr>
          <w:rFonts w:eastAsia="Calibri"/>
          <w:vertAlign w:val="superscript"/>
          <w:lang w:val="es-CU" w:eastAsia="en-US"/>
        </w:rPr>
        <w:t>2</w:t>
      </w:r>
      <w:r w:rsidRPr="00F9509D">
        <w:rPr>
          <w:rFonts w:eastAsia="Calibri"/>
          <w:lang w:val="es-CU" w:eastAsia="en-US"/>
        </w:rPr>
        <w:t>Centro de Investigaciones Médico Quirúrgicas. La Habana, Cuba.</w:t>
      </w:r>
    </w:p>
    <w:p w14:paraId="4E963D6D" w14:textId="77777777" w:rsidR="00F9509D" w:rsidRPr="00F9509D" w:rsidRDefault="00F9509D" w:rsidP="00F9509D">
      <w:pPr>
        <w:spacing w:line="360" w:lineRule="auto"/>
        <w:contextualSpacing/>
        <w:jc w:val="both"/>
        <w:rPr>
          <w:rFonts w:eastAsia="Calibri"/>
          <w:lang w:val="es-CU" w:eastAsia="en-US"/>
        </w:rPr>
      </w:pPr>
      <w:r w:rsidRPr="00F9509D">
        <w:rPr>
          <w:rFonts w:eastAsia="Calibri"/>
          <w:vertAlign w:val="superscript"/>
          <w:lang w:val="es-CU" w:eastAsia="en-US"/>
        </w:rPr>
        <w:t>3</w:t>
      </w:r>
      <w:r w:rsidRPr="00F9509D">
        <w:rPr>
          <w:rFonts w:eastAsia="Calibri"/>
          <w:lang w:val="es-CU" w:eastAsia="en-US"/>
        </w:rPr>
        <w:t>Centro de Investigaciones Pesqueras. Sección de Microbiología de los Alimentos. La Habana, Cuba.</w:t>
      </w:r>
    </w:p>
    <w:p w14:paraId="74BF61BA" w14:textId="77777777" w:rsidR="00F9509D" w:rsidRPr="00F9509D" w:rsidRDefault="00F9509D" w:rsidP="00F9509D">
      <w:pPr>
        <w:spacing w:line="360" w:lineRule="auto"/>
        <w:contextualSpacing/>
        <w:jc w:val="both"/>
        <w:rPr>
          <w:rFonts w:eastAsia="Calibri"/>
          <w:lang w:val="es-CU" w:eastAsia="en-US"/>
        </w:rPr>
      </w:pPr>
      <w:r w:rsidRPr="00F9509D">
        <w:rPr>
          <w:rFonts w:eastAsia="Calibri"/>
          <w:vertAlign w:val="superscript"/>
          <w:lang w:val="es-CU" w:eastAsia="en-US"/>
        </w:rPr>
        <w:t>4</w:t>
      </w:r>
      <w:r w:rsidRPr="00F9509D">
        <w:rPr>
          <w:rFonts w:eastAsia="Calibri"/>
          <w:lang w:val="es-CU" w:eastAsia="en-US"/>
        </w:rPr>
        <w:t>Centro de Investigaciones Clínicas. La Habana, Cuba.</w:t>
      </w:r>
    </w:p>
    <w:p w14:paraId="6D150252" w14:textId="77777777" w:rsidR="00F9509D" w:rsidRPr="00F9509D" w:rsidRDefault="00F9509D" w:rsidP="00F9509D">
      <w:pPr>
        <w:spacing w:line="360" w:lineRule="auto"/>
        <w:contextualSpacing/>
        <w:jc w:val="both"/>
        <w:rPr>
          <w:rFonts w:eastAsia="Calibri"/>
          <w:lang w:val="es-CU" w:eastAsia="en-US"/>
        </w:rPr>
      </w:pPr>
      <w:r w:rsidRPr="00F9509D">
        <w:rPr>
          <w:rFonts w:eastAsia="Calibri"/>
          <w:vertAlign w:val="superscript"/>
          <w:lang w:val="es-CU" w:eastAsia="en-US"/>
        </w:rPr>
        <w:t>5</w:t>
      </w:r>
      <w:r w:rsidRPr="00F9509D">
        <w:rPr>
          <w:rFonts w:eastAsia="Calibri"/>
          <w:lang w:val="es-CU" w:eastAsia="en-US"/>
        </w:rPr>
        <w:t>Hospital Militar Central “Dr. Carlos J. Finlay”. La Habana, Cuba.</w:t>
      </w:r>
    </w:p>
    <w:p w14:paraId="5A06F767" w14:textId="77777777" w:rsidR="00F9509D" w:rsidRPr="00F9509D" w:rsidRDefault="00F9509D" w:rsidP="00F9509D">
      <w:pPr>
        <w:spacing w:line="360" w:lineRule="auto"/>
        <w:contextualSpacing/>
        <w:jc w:val="both"/>
        <w:rPr>
          <w:rFonts w:eastAsia="Calibri"/>
          <w:lang w:val="es-CU" w:eastAsia="en-US"/>
        </w:rPr>
      </w:pPr>
    </w:p>
    <w:p w14:paraId="584E0EBF" w14:textId="77777777" w:rsidR="00F9509D" w:rsidRPr="00F9509D" w:rsidRDefault="00F9509D" w:rsidP="00F9509D">
      <w:pPr>
        <w:spacing w:line="360" w:lineRule="auto"/>
        <w:contextualSpacing/>
        <w:jc w:val="both"/>
        <w:rPr>
          <w:rFonts w:eastAsia="Calibri"/>
          <w:lang w:val="es-CU" w:eastAsia="en-US"/>
        </w:rPr>
      </w:pPr>
      <w:r w:rsidRPr="00F9509D">
        <w:rPr>
          <w:rFonts w:eastAsia="Calibri"/>
          <w:lang w:val="es-CU" w:eastAsia="en-US"/>
        </w:rPr>
        <w:t xml:space="preserve">*Autor para la correspondencia. Correo electrónico: </w:t>
      </w:r>
      <w:hyperlink r:id="rId14" w:history="1">
        <w:r w:rsidRPr="00F9509D">
          <w:rPr>
            <w:rFonts w:eastAsia="Calibri"/>
            <w:color w:val="0563C1"/>
            <w:u w:val="single"/>
            <w:lang w:val="es-CU" w:eastAsia="en-US"/>
          </w:rPr>
          <w:t>lisetbaromar77@gmail.com</w:t>
        </w:r>
      </w:hyperlink>
      <w:r w:rsidRPr="00F9509D">
        <w:rPr>
          <w:rFonts w:eastAsia="Calibri"/>
          <w:lang w:val="es-CU" w:eastAsia="en-US"/>
        </w:rPr>
        <w:t xml:space="preserve"> </w:t>
      </w:r>
    </w:p>
    <w:p w14:paraId="4598978B" w14:textId="77777777" w:rsidR="00F9509D" w:rsidRPr="00F9509D" w:rsidRDefault="00F9509D" w:rsidP="00F9509D">
      <w:pPr>
        <w:spacing w:line="360" w:lineRule="auto"/>
        <w:rPr>
          <w:rFonts w:eastAsia="Calibri"/>
          <w:b/>
          <w:lang w:val="es-ES" w:eastAsia="en-US"/>
        </w:rPr>
      </w:pPr>
    </w:p>
    <w:p w14:paraId="09FA8764" w14:textId="77777777" w:rsidR="00F9509D" w:rsidRPr="00F9509D" w:rsidRDefault="00F9509D" w:rsidP="00F9509D">
      <w:pPr>
        <w:spacing w:line="360" w:lineRule="auto"/>
        <w:rPr>
          <w:rFonts w:eastAsia="Calibri"/>
          <w:b/>
          <w:lang w:val="es-ES" w:eastAsia="en-US"/>
        </w:rPr>
      </w:pPr>
      <w:r w:rsidRPr="00F9509D">
        <w:rPr>
          <w:rFonts w:eastAsia="Calibri"/>
          <w:b/>
          <w:lang w:val="es-ES" w:eastAsia="en-US"/>
        </w:rPr>
        <w:t xml:space="preserve">RESUMEN </w:t>
      </w:r>
    </w:p>
    <w:p w14:paraId="6B28BD46"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b/>
          <w:color w:val="000000"/>
          <w:lang w:val="es-ES" w:eastAsia="en-US"/>
        </w:rPr>
        <w:t xml:space="preserve">Introducción: </w:t>
      </w:r>
      <w:proofErr w:type="spellStart"/>
      <w:r w:rsidRPr="00F9509D">
        <w:rPr>
          <w:rFonts w:eastAsia="Calibri"/>
          <w:i/>
          <w:color w:val="000000"/>
          <w:lang w:val="es-ES" w:eastAsia="en-US"/>
        </w:rPr>
        <w:t>Helicobacter</w:t>
      </w:r>
      <w:proofErr w:type="spellEnd"/>
      <w:r w:rsidRPr="00F9509D">
        <w:rPr>
          <w:rFonts w:eastAsia="Calibri"/>
          <w:i/>
          <w:color w:val="000000"/>
          <w:lang w:val="es-ES" w:eastAsia="en-US"/>
        </w:rPr>
        <w:t xml:space="preserve"> pylori </w:t>
      </w:r>
      <w:r w:rsidRPr="00F9509D">
        <w:rPr>
          <w:rFonts w:eastAsia="Calibri"/>
          <w:color w:val="000000"/>
          <w:lang w:val="es-ES" w:eastAsia="en-US"/>
        </w:rPr>
        <w:t>se relaciona con enfermedades benignas y malignas gastrointestinales. No se dispone de un esquema ideal para su erradicación, pero el uso de probióticos y prebióticos puede servir como terapia adyuvante.</w:t>
      </w:r>
    </w:p>
    <w:p w14:paraId="14F21E3E"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b/>
          <w:color w:val="000000"/>
          <w:lang w:val="es-ES" w:eastAsia="en-US"/>
        </w:rPr>
        <w:lastRenderedPageBreak/>
        <w:t xml:space="preserve">Objetivo: </w:t>
      </w:r>
      <w:r w:rsidRPr="00F9509D">
        <w:rPr>
          <w:rFonts w:eastAsia="Calibri"/>
          <w:color w:val="000000"/>
          <w:lang w:val="es-ES" w:eastAsia="en-US"/>
        </w:rPr>
        <w:t xml:space="preserve">Describir las manifestaciones clínicas, endoscópicas, histopatológicas y la erradicación de la infección por </w:t>
      </w:r>
      <w:proofErr w:type="spellStart"/>
      <w:r w:rsidRPr="00F9509D">
        <w:rPr>
          <w:rFonts w:eastAsia="Calibri"/>
          <w:i/>
          <w:color w:val="000000"/>
          <w:lang w:val="es-ES" w:eastAsia="en-US"/>
        </w:rPr>
        <w:t>Helicobacter</w:t>
      </w:r>
      <w:proofErr w:type="spellEnd"/>
      <w:r w:rsidRPr="00F9509D">
        <w:rPr>
          <w:rFonts w:eastAsia="Calibri"/>
          <w:i/>
          <w:color w:val="000000"/>
          <w:lang w:val="es-ES" w:eastAsia="en-US"/>
        </w:rPr>
        <w:t xml:space="preserve"> pylori</w:t>
      </w:r>
      <w:r w:rsidRPr="00F9509D">
        <w:rPr>
          <w:rFonts w:eastAsia="Calibri"/>
          <w:color w:val="000000"/>
          <w:lang w:val="es-ES" w:eastAsia="en-US"/>
        </w:rPr>
        <w:t xml:space="preserve"> en los pacientes tratados con triple terapia y leche fermentada simbiótica.</w:t>
      </w:r>
    </w:p>
    <w:p w14:paraId="277EF516" w14:textId="77777777" w:rsidR="00F9509D" w:rsidRPr="00F9509D" w:rsidRDefault="00F9509D" w:rsidP="00F9509D">
      <w:pPr>
        <w:spacing w:line="360" w:lineRule="auto"/>
        <w:jc w:val="both"/>
        <w:rPr>
          <w:lang w:val="es-US" w:eastAsia="en-US"/>
        </w:rPr>
      </w:pPr>
      <w:r w:rsidRPr="00F9509D">
        <w:rPr>
          <w:rFonts w:eastAsia="Calibri"/>
          <w:b/>
          <w:lang w:val="es-ES" w:eastAsia="en-US"/>
        </w:rPr>
        <w:t xml:space="preserve">Métodos: </w:t>
      </w:r>
      <w:r w:rsidRPr="00F9509D">
        <w:rPr>
          <w:rFonts w:eastAsia="Calibri"/>
          <w:lang w:val="es-ES" w:eastAsia="en-US"/>
        </w:rPr>
        <w:t xml:space="preserve">Se realizó un estudio descriptivo, entre enero de 2017 y mayo de 2019, en 30 pacientes con </w:t>
      </w:r>
      <w:proofErr w:type="spellStart"/>
      <w:r w:rsidRPr="00F9509D">
        <w:rPr>
          <w:rFonts w:eastAsia="Calibri"/>
          <w:i/>
          <w:lang w:val="es-ES" w:eastAsia="en-US"/>
        </w:rPr>
        <w:t>Helicobacter</w:t>
      </w:r>
      <w:proofErr w:type="spellEnd"/>
      <w:r w:rsidRPr="00F9509D">
        <w:rPr>
          <w:rFonts w:eastAsia="Calibri"/>
          <w:i/>
          <w:lang w:val="es-ES" w:eastAsia="en-US"/>
        </w:rPr>
        <w:t xml:space="preserve"> pylori </w:t>
      </w:r>
      <w:r w:rsidRPr="00F9509D">
        <w:rPr>
          <w:rFonts w:eastAsia="Calibri"/>
          <w:lang w:val="es-ES" w:eastAsia="en-US"/>
        </w:rPr>
        <w:t xml:space="preserve">(diagnosticado mediante estudio histopatológico y prueba de ureasa). Las variables incluidas fueron: edad, sexo, manifestaciones clínicas, diagnóstico endoscópico e histopatológico y erradicación de la bacteria. </w:t>
      </w:r>
      <w:r w:rsidRPr="00F9509D">
        <w:rPr>
          <w:lang w:val="es-US" w:eastAsia="en-US"/>
        </w:rPr>
        <w:t>Para el análisis de los resultados se emplearon estadísticas descriptivas (porcentaje y medidas de tendencia central).</w:t>
      </w:r>
    </w:p>
    <w:p w14:paraId="4C8D082F" w14:textId="77777777" w:rsidR="00F9509D" w:rsidRPr="00F9509D" w:rsidRDefault="00F9509D" w:rsidP="00F9509D">
      <w:pPr>
        <w:autoSpaceDE w:val="0"/>
        <w:autoSpaceDN w:val="0"/>
        <w:adjustRightInd w:val="0"/>
        <w:spacing w:line="360" w:lineRule="auto"/>
        <w:jc w:val="both"/>
        <w:rPr>
          <w:rFonts w:eastAsia="Arial"/>
          <w:color w:val="000000"/>
          <w:lang w:val="es-ES" w:eastAsia="es-ES" w:bidi="es-ES"/>
        </w:rPr>
      </w:pPr>
      <w:r w:rsidRPr="00F9509D">
        <w:rPr>
          <w:rFonts w:eastAsia="Calibri"/>
          <w:b/>
          <w:color w:val="000000"/>
          <w:lang w:val="es-ES" w:eastAsia="en-US"/>
        </w:rPr>
        <w:t xml:space="preserve">Resultados: </w:t>
      </w:r>
      <w:r w:rsidRPr="00F9509D">
        <w:rPr>
          <w:rFonts w:eastAsia="Calibri"/>
          <w:color w:val="000000"/>
          <w:lang w:val="es-ES" w:eastAsia="en-US"/>
        </w:rPr>
        <w:t>Hubo 71 % de pacientes femeninos. La edad media fue de 48,6 ± 16,3</w:t>
      </w:r>
      <w:r w:rsidRPr="00F9509D">
        <w:rPr>
          <w:rFonts w:eastAsia="Arial"/>
          <w:color w:val="000000"/>
          <w:lang w:val="es-ES" w:eastAsia="es-ES" w:bidi="es-ES"/>
        </w:rPr>
        <w:t xml:space="preserve"> años (mínima 18 y máxima de 74 años). La dispepsia estuvo presente en 46,6 % pacientes. La gastritis eritematosa </w:t>
      </w:r>
      <w:proofErr w:type="spellStart"/>
      <w:r w:rsidRPr="00F9509D">
        <w:rPr>
          <w:rFonts w:eastAsia="Arial"/>
          <w:color w:val="000000"/>
          <w:lang w:val="es-ES" w:eastAsia="es-ES" w:bidi="es-ES"/>
        </w:rPr>
        <w:t>antral</w:t>
      </w:r>
      <w:proofErr w:type="spellEnd"/>
      <w:r w:rsidRPr="00F9509D">
        <w:rPr>
          <w:rFonts w:eastAsia="Arial"/>
          <w:color w:val="000000"/>
          <w:lang w:val="es-ES" w:eastAsia="es-ES" w:bidi="es-ES"/>
        </w:rPr>
        <w:t xml:space="preserve">, </w:t>
      </w:r>
      <w:proofErr w:type="spellStart"/>
      <w:r w:rsidRPr="00F9509D">
        <w:rPr>
          <w:rFonts w:eastAsia="Arial"/>
          <w:color w:val="000000"/>
          <w:lang w:val="es-ES" w:eastAsia="es-ES" w:bidi="es-ES"/>
        </w:rPr>
        <w:t>antral</w:t>
      </w:r>
      <w:proofErr w:type="spellEnd"/>
      <w:r w:rsidRPr="00F9509D">
        <w:rPr>
          <w:rFonts w:eastAsia="Arial"/>
          <w:color w:val="000000"/>
          <w:lang w:val="es-ES" w:eastAsia="es-ES" w:bidi="es-ES"/>
        </w:rPr>
        <w:t xml:space="preserve"> </w:t>
      </w:r>
      <w:proofErr w:type="spellStart"/>
      <w:r w:rsidRPr="00F9509D">
        <w:rPr>
          <w:rFonts w:eastAsia="Arial"/>
          <w:color w:val="000000"/>
          <w:lang w:val="es-ES" w:eastAsia="es-ES" w:bidi="es-ES"/>
        </w:rPr>
        <w:t>eritematoerosiva</w:t>
      </w:r>
      <w:proofErr w:type="spellEnd"/>
      <w:r w:rsidRPr="00F9509D">
        <w:rPr>
          <w:rFonts w:eastAsia="Arial"/>
          <w:color w:val="000000"/>
          <w:lang w:val="es-ES" w:eastAsia="es-ES" w:bidi="es-ES"/>
        </w:rPr>
        <w:t xml:space="preserve"> y </w:t>
      </w:r>
      <w:proofErr w:type="spellStart"/>
      <w:r w:rsidRPr="00F9509D">
        <w:rPr>
          <w:rFonts w:eastAsia="Arial"/>
          <w:color w:val="000000"/>
          <w:lang w:val="es-ES" w:eastAsia="es-ES" w:bidi="es-ES"/>
        </w:rPr>
        <w:t>eritemato</w:t>
      </w:r>
      <w:proofErr w:type="spellEnd"/>
      <w:r w:rsidRPr="00F9509D">
        <w:rPr>
          <w:rFonts w:eastAsia="Arial"/>
          <w:color w:val="000000"/>
          <w:lang w:val="es-ES" w:eastAsia="es-ES" w:bidi="es-ES"/>
        </w:rPr>
        <w:t xml:space="preserve"> nodular se presentaron en 23,3 % cada una. La gastritis crónica atrófica moderada estuvo presente en el 40 % de los individuos. En 96,7 % enfermos se erradicó la bacteria. </w:t>
      </w:r>
    </w:p>
    <w:p w14:paraId="597FDFF2" w14:textId="77777777" w:rsidR="00F9509D" w:rsidRPr="00F9509D" w:rsidRDefault="00F9509D" w:rsidP="00F9509D">
      <w:pPr>
        <w:autoSpaceDE w:val="0"/>
        <w:autoSpaceDN w:val="0"/>
        <w:adjustRightInd w:val="0"/>
        <w:spacing w:line="360" w:lineRule="auto"/>
        <w:jc w:val="both"/>
        <w:rPr>
          <w:rFonts w:eastAsia="Arial"/>
          <w:color w:val="000000"/>
          <w:lang w:val="es-ES" w:eastAsia="es-ES" w:bidi="es-ES"/>
        </w:rPr>
      </w:pPr>
      <w:r w:rsidRPr="00F9509D">
        <w:rPr>
          <w:rFonts w:eastAsia="Arial"/>
          <w:b/>
          <w:color w:val="000000"/>
          <w:lang w:val="es-ES" w:eastAsia="es-ES" w:bidi="es-ES"/>
        </w:rPr>
        <w:t xml:space="preserve">Conclusiones: </w:t>
      </w:r>
      <w:r w:rsidRPr="00F9509D">
        <w:rPr>
          <w:rFonts w:eastAsia="Arial"/>
          <w:color w:val="000000"/>
          <w:lang w:val="es-ES" w:eastAsia="es-ES" w:bidi="es-ES"/>
        </w:rPr>
        <w:t xml:space="preserve">La dispepsia y la gastritis crónica atrófica moderada representan el síntoma y el diagnóstico histopatológico más frecuente, respectivamente. La gastritis eritematosa </w:t>
      </w:r>
      <w:proofErr w:type="spellStart"/>
      <w:r w:rsidRPr="00F9509D">
        <w:rPr>
          <w:rFonts w:eastAsia="Arial"/>
          <w:color w:val="000000"/>
          <w:lang w:val="es-ES" w:eastAsia="es-ES" w:bidi="es-ES"/>
        </w:rPr>
        <w:t>antral</w:t>
      </w:r>
      <w:proofErr w:type="spellEnd"/>
      <w:r w:rsidRPr="00F9509D">
        <w:rPr>
          <w:rFonts w:eastAsia="Arial"/>
          <w:color w:val="000000"/>
          <w:lang w:val="es-ES" w:eastAsia="es-ES" w:bidi="es-ES"/>
        </w:rPr>
        <w:t xml:space="preserve">, </w:t>
      </w:r>
      <w:proofErr w:type="spellStart"/>
      <w:r w:rsidRPr="00F9509D">
        <w:rPr>
          <w:rFonts w:eastAsia="Arial"/>
          <w:color w:val="000000"/>
          <w:lang w:val="es-ES" w:eastAsia="es-ES" w:bidi="es-ES"/>
        </w:rPr>
        <w:t>antral</w:t>
      </w:r>
      <w:proofErr w:type="spellEnd"/>
      <w:r w:rsidRPr="00F9509D">
        <w:rPr>
          <w:rFonts w:eastAsia="Arial"/>
          <w:color w:val="000000"/>
          <w:lang w:val="es-ES" w:eastAsia="es-ES" w:bidi="es-ES"/>
        </w:rPr>
        <w:t xml:space="preserve"> </w:t>
      </w:r>
      <w:proofErr w:type="spellStart"/>
      <w:r w:rsidRPr="00F9509D">
        <w:rPr>
          <w:rFonts w:eastAsia="Arial"/>
          <w:color w:val="000000"/>
          <w:lang w:val="es-ES" w:eastAsia="es-ES" w:bidi="es-ES"/>
        </w:rPr>
        <w:t>eritematoerosiva</w:t>
      </w:r>
      <w:proofErr w:type="spellEnd"/>
      <w:r w:rsidRPr="00F9509D">
        <w:rPr>
          <w:rFonts w:eastAsia="Arial"/>
          <w:color w:val="000000"/>
          <w:lang w:val="es-ES" w:eastAsia="es-ES" w:bidi="es-ES"/>
        </w:rPr>
        <w:t xml:space="preserve"> y </w:t>
      </w:r>
      <w:proofErr w:type="spellStart"/>
      <w:r w:rsidRPr="00F9509D">
        <w:rPr>
          <w:rFonts w:eastAsia="Arial"/>
          <w:color w:val="000000"/>
          <w:lang w:val="es-ES" w:eastAsia="es-ES" w:bidi="es-ES"/>
        </w:rPr>
        <w:t>eritematonodular</w:t>
      </w:r>
      <w:proofErr w:type="spellEnd"/>
      <w:r w:rsidRPr="00F9509D">
        <w:rPr>
          <w:rFonts w:eastAsia="Arial"/>
          <w:color w:val="000000"/>
          <w:lang w:val="es-ES" w:eastAsia="es-ES" w:bidi="es-ES"/>
        </w:rPr>
        <w:t xml:space="preserve"> constituyen los diagnósticos endoscópicos más comunes. La tasa de erradicación de </w:t>
      </w:r>
      <w:r w:rsidRPr="00F9509D">
        <w:rPr>
          <w:rFonts w:eastAsia="Arial"/>
          <w:i/>
          <w:color w:val="000000"/>
          <w:lang w:val="es-ES" w:eastAsia="es-ES" w:bidi="es-ES"/>
        </w:rPr>
        <w:t>H. pylori</w:t>
      </w:r>
      <w:r w:rsidRPr="00F9509D">
        <w:rPr>
          <w:rFonts w:eastAsia="Arial"/>
          <w:color w:val="000000"/>
          <w:lang w:val="es-ES" w:eastAsia="es-ES" w:bidi="es-ES"/>
        </w:rPr>
        <w:t xml:space="preserve"> es elevada.</w:t>
      </w:r>
    </w:p>
    <w:p w14:paraId="19BF1DD5" w14:textId="77777777" w:rsidR="00F9509D" w:rsidRPr="00F9509D" w:rsidRDefault="00F9509D" w:rsidP="00F9509D">
      <w:pPr>
        <w:spacing w:line="360" w:lineRule="auto"/>
        <w:jc w:val="both"/>
        <w:rPr>
          <w:rFonts w:eastAsia="Calibri"/>
          <w:lang w:val="es-ES" w:eastAsia="en-US"/>
        </w:rPr>
      </w:pPr>
      <w:r w:rsidRPr="00F9509D">
        <w:rPr>
          <w:rFonts w:eastAsia="Calibri"/>
          <w:b/>
          <w:lang w:val="es-ES" w:eastAsia="en-US"/>
        </w:rPr>
        <w:t xml:space="preserve">Palabras clave: </w:t>
      </w:r>
      <w:proofErr w:type="spellStart"/>
      <w:r w:rsidRPr="00F9509D">
        <w:rPr>
          <w:rFonts w:eastAsia="Calibri"/>
          <w:i/>
          <w:lang w:val="es-ES" w:eastAsia="en-US"/>
        </w:rPr>
        <w:t>Helicobacter</w:t>
      </w:r>
      <w:proofErr w:type="spellEnd"/>
      <w:r w:rsidRPr="00F9509D">
        <w:rPr>
          <w:rFonts w:eastAsia="Calibri"/>
          <w:i/>
          <w:lang w:val="es-ES" w:eastAsia="en-US"/>
        </w:rPr>
        <w:t xml:space="preserve"> pylori;</w:t>
      </w:r>
      <w:r w:rsidRPr="00F9509D">
        <w:rPr>
          <w:rFonts w:eastAsia="Calibri"/>
          <w:lang w:val="es-ES" w:eastAsia="en-US"/>
        </w:rPr>
        <w:t xml:space="preserve"> leche fermentada simbiótica; probióticos.</w:t>
      </w:r>
    </w:p>
    <w:p w14:paraId="53E842D4"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p>
    <w:p w14:paraId="10589FAD" w14:textId="77777777" w:rsidR="00F9509D" w:rsidRPr="00F9509D" w:rsidRDefault="00F9509D" w:rsidP="00F9509D">
      <w:pPr>
        <w:tabs>
          <w:tab w:val="left" w:pos="6795"/>
        </w:tabs>
        <w:spacing w:line="360" w:lineRule="auto"/>
        <w:jc w:val="both"/>
        <w:rPr>
          <w:rFonts w:eastAsia="Calibri"/>
          <w:lang w:val="en-US" w:eastAsia="en-US" w:bidi="en-US"/>
        </w:rPr>
      </w:pPr>
      <w:r w:rsidRPr="00F9509D">
        <w:rPr>
          <w:rFonts w:eastAsia="Calibri"/>
          <w:b/>
          <w:lang w:val="en-US" w:eastAsia="en-US" w:bidi="en-US"/>
        </w:rPr>
        <w:t>ABSTRACT</w:t>
      </w:r>
    </w:p>
    <w:p w14:paraId="32F26F77" w14:textId="77777777" w:rsidR="00F9509D" w:rsidRPr="00F9509D" w:rsidRDefault="00F9509D" w:rsidP="00F9509D">
      <w:pPr>
        <w:tabs>
          <w:tab w:val="left" w:pos="6795"/>
        </w:tabs>
        <w:spacing w:line="360" w:lineRule="auto"/>
        <w:jc w:val="both"/>
        <w:rPr>
          <w:rFonts w:eastAsia="Calibri"/>
          <w:lang w:val="en-US" w:eastAsia="en-US" w:bidi="en-US"/>
        </w:rPr>
      </w:pPr>
      <w:r w:rsidRPr="00F9509D">
        <w:rPr>
          <w:rFonts w:eastAsia="Calibri"/>
          <w:b/>
          <w:lang w:val="en-US" w:eastAsia="en-US" w:bidi="en-US"/>
        </w:rPr>
        <w:t>Introduction</w:t>
      </w:r>
      <w:r w:rsidRPr="00F9509D">
        <w:rPr>
          <w:rFonts w:eastAsia="Calibri"/>
          <w:lang w:val="en-US" w:eastAsia="en-US" w:bidi="en-US"/>
        </w:rPr>
        <w:t xml:space="preserve">: </w:t>
      </w:r>
      <w:r w:rsidRPr="00F9509D">
        <w:rPr>
          <w:rFonts w:eastAsia="Calibri"/>
          <w:i/>
          <w:lang w:val="en-US" w:eastAsia="en-US" w:bidi="en-US"/>
        </w:rPr>
        <w:t>Helicobacter pylori</w:t>
      </w:r>
      <w:r w:rsidRPr="00F9509D">
        <w:rPr>
          <w:rFonts w:eastAsia="Calibri"/>
          <w:lang w:val="en-US" w:eastAsia="en-US" w:bidi="en-US"/>
        </w:rPr>
        <w:t xml:space="preserve"> infection has a wide worldwide distribution and is related to benign and malignant gastrointestinal diseases. Although there is no ideal scheme to eradicate the bacteria, the use of probiotics and prebiotics can serve as adjunctive therapy.</w:t>
      </w:r>
    </w:p>
    <w:p w14:paraId="19AAE3E0" w14:textId="77777777" w:rsidR="00F9509D" w:rsidRPr="00F9509D" w:rsidRDefault="00F9509D" w:rsidP="00F9509D">
      <w:pPr>
        <w:tabs>
          <w:tab w:val="left" w:pos="6795"/>
        </w:tabs>
        <w:spacing w:line="360" w:lineRule="auto"/>
        <w:jc w:val="both"/>
        <w:rPr>
          <w:rFonts w:eastAsia="Calibri"/>
          <w:lang w:val="en-US" w:eastAsia="en-US" w:bidi="en-US"/>
        </w:rPr>
      </w:pPr>
      <w:r w:rsidRPr="00F9509D">
        <w:rPr>
          <w:rFonts w:eastAsia="Calibri"/>
          <w:b/>
          <w:lang w:val="en-US" w:eastAsia="en-US" w:bidi="en-US"/>
        </w:rPr>
        <w:t>Objective</w:t>
      </w:r>
      <w:r w:rsidRPr="00F9509D">
        <w:rPr>
          <w:rFonts w:eastAsia="Calibri"/>
          <w:lang w:val="en-US" w:eastAsia="en-US" w:bidi="en-US"/>
        </w:rPr>
        <w:t xml:space="preserve">: To describe the clinical, endoscopic, histopathological manifestations and the eradication of </w:t>
      </w:r>
      <w:r w:rsidRPr="00F9509D">
        <w:rPr>
          <w:rFonts w:eastAsia="Calibri"/>
          <w:i/>
          <w:lang w:val="en-US" w:eastAsia="en-US" w:bidi="en-US"/>
        </w:rPr>
        <w:t>Helicobacter pylori</w:t>
      </w:r>
      <w:r w:rsidRPr="00F9509D">
        <w:rPr>
          <w:rFonts w:eastAsia="Calibri"/>
          <w:lang w:val="en-US" w:eastAsia="en-US" w:bidi="en-US"/>
        </w:rPr>
        <w:t xml:space="preserve"> infection in patients treated with triple therapy and symbiotic fermented milk.</w:t>
      </w:r>
    </w:p>
    <w:p w14:paraId="4BF4D254" w14:textId="77777777" w:rsidR="00F9509D" w:rsidRPr="00F9509D" w:rsidRDefault="00F9509D" w:rsidP="00F9509D">
      <w:pPr>
        <w:tabs>
          <w:tab w:val="left" w:pos="6795"/>
        </w:tabs>
        <w:spacing w:line="360" w:lineRule="auto"/>
        <w:jc w:val="both"/>
        <w:rPr>
          <w:rFonts w:eastAsia="Calibri"/>
          <w:lang w:val="en-US" w:eastAsia="en-US" w:bidi="en-US"/>
        </w:rPr>
      </w:pPr>
      <w:r w:rsidRPr="00F9509D">
        <w:rPr>
          <w:rFonts w:eastAsia="Calibri"/>
          <w:b/>
          <w:lang w:val="en-US" w:eastAsia="en-US" w:bidi="en-US"/>
        </w:rPr>
        <w:t>Method</w:t>
      </w:r>
      <w:r w:rsidRPr="00F9509D">
        <w:rPr>
          <w:rFonts w:eastAsia="Calibri"/>
          <w:lang w:val="en-US" w:eastAsia="en-US" w:bidi="en-US"/>
        </w:rPr>
        <w:t xml:space="preserve">: A descriptive, cross-sectional study was carried out from January 2017 to May 2019. 30 patients with </w:t>
      </w:r>
      <w:r w:rsidRPr="00F9509D">
        <w:rPr>
          <w:rFonts w:eastAsia="Calibri"/>
          <w:i/>
          <w:lang w:val="en-US" w:eastAsia="en-US" w:bidi="en-US"/>
        </w:rPr>
        <w:t xml:space="preserve">Helicobacter pylori </w:t>
      </w:r>
      <w:r w:rsidRPr="00F9509D">
        <w:rPr>
          <w:rFonts w:eastAsia="Calibri"/>
          <w:lang w:val="en-US" w:eastAsia="en-US" w:bidi="en-US"/>
        </w:rPr>
        <w:t xml:space="preserve">infection (diagnosed by histopathological study and urease test) were included. The variables included were: age, sex, clinical manifestations, endoscopic and histopathological </w:t>
      </w:r>
      <w:r w:rsidRPr="00F9509D">
        <w:rPr>
          <w:rFonts w:eastAsia="Calibri"/>
          <w:lang w:val="en-US" w:eastAsia="en-US" w:bidi="en-US"/>
        </w:rPr>
        <w:lastRenderedPageBreak/>
        <w:t>diagnosis, and eradication of the bacteria. Descriptive statistics (percentage and measures of central tendency) were used to analyze the results.</w:t>
      </w:r>
    </w:p>
    <w:p w14:paraId="0A35C513" w14:textId="77777777" w:rsidR="00F9509D" w:rsidRPr="00F9509D" w:rsidRDefault="00F9509D" w:rsidP="00F9509D">
      <w:pPr>
        <w:tabs>
          <w:tab w:val="left" w:pos="6795"/>
        </w:tabs>
        <w:spacing w:line="360" w:lineRule="auto"/>
        <w:jc w:val="both"/>
        <w:rPr>
          <w:rFonts w:eastAsia="Calibri"/>
          <w:lang w:val="en-US" w:eastAsia="en-US" w:bidi="en-US"/>
        </w:rPr>
      </w:pPr>
      <w:r w:rsidRPr="00F9509D">
        <w:rPr>
          <w:rFonts w:eastAsia="Calibri"/>
          <w:b/>
          <w:lang w:val="en-US" w:eastAsia="en-US" w:bidi="en-US"/>
        </w:rPr>
        <w:t>Results</w:t>
      </w:r>
      <w:r w:rsidRPr="00F9509D">
        <w:rPr>
          <w:rFonts w:eastAsia="Calibri"/>
          <w:lang w:val="en-US" w:eastAsia="en-US" w:bidi="en-US"/>
        </w:rPr>
        <w:t xml:space="preserve">: There were 71 % female patients. The mean age was 48,6 ± 16,3 years; minimum age of 18 and maximum of 74 years. Dyspepsia was present in 46,6 % of patients and epigastric pain in 33,3 %. Erythematous antral, antral erythematous </w:t>
      </w:r>
      <w:proofErr w:type="spellStart"/>
      <w:r w:rsidRPr="00F9509D">
        <w:rPr>
          <w:rFonts w:eastAsia="Calibri"/>
          <w:lang w:val="en-US" w:eastAsia="en-US" w:bidi="en-US"/>
        </w:rPr>
        <w:t>erythematonodular</w:t>
      </w:r>
      <w:proofErr w:type="spellEnd"/>
      <w:r w:rsidRPr="00F9509D">
        <w:rPr>
          <w:rFonts w:eastAsia="Calibri"/>
          <w:lang w:val="en-US" w:eastAsia="en-US" w:bidi="en-US"/>
        </w:rPr>
        <w:t xml:space="preserve"> and </w:t>
      </w:r>
      <w:proofErr w:type="spellStart"/>
      <w:r w:rsidRPr="00F9509D">
        <w:rPr>
          <w:rFonts w:eastAsia="Calibri"/>
          <w:lang w:val="en-US" w:eastAsia="en-US" w:bidi="en-US"/>
        </w:rPr>
        <w:t>erythematonodular</w:t>
      </w:r>
      <w:proofErr w:type="spellEnd"/>
      <w:r w:rsidRPr="00F9509D">
        <w:rPr>
          <w:rFonts w:eastAsia="Calibri"/>
          <w:lang w:val="en-US" w:eastAsia="en-US" w:bidi="en-US"/>
        </w:rPr>
        <w:t xml:space="preserve"> gastritis occurred in 23,3% each. Moderate atrophic chronic gastritis was found in 40 % of individuals. </w:t>
      </w:r>
      <w:r w:rsidRPr="00F9509D">
        <w:rPr>
          <w:rFonts w:eastAsia="Calibri"/>
          <w:i/>
          <w:lang w:val="en-US" w:eastAsia="en-US" w:bidi="en-US"/>
        </w:rPr>
        <w:t>Helicobacter pylori</w:t>
      </w:r>
      <w:r w:rsidRPr="00F9509D">
        <w:rPr>
          <w:rFonts w:eastAsia="Calibri"/>
          <w:lang w:val="en-US" w:eastAsia="en-US" w:bidi="en-US"/>
        </w:rPr>
        <w:t xml:space="preserve"> was eradicated in 96,7 % of patients.</w:t>
      </w:r>
    </w:p>
    <w:p w14:paraId="4BD6143D" w14:textId="77777777" w:rsidR="00F9509D" w:rsidRPr="00F9509D" w:rsidRDefault="00F9509D" w:rsidP="00F9509D">
      <w:pPr>
        <w:tabs>
          <w:tab w:val="left" w:pos="6795"/>
        </w:tabs>
        <w:spacing w:line="360" w:lineRule="auto"/>
        <w:jc w:val="both"/>
        <w:rPr>
          <w:rFonts w:eastAsia="Calibri"/>
          <w:lang w:val="en-US" w:eastAsia="en-US" w:bidi="en-US"/>
        </w:rPr>
      </w:pPr>
      <w:r w:rsidRPr="00F9509D">
        <w:rPr>
          <w:rFonts w:eastAsia="Calibri"/>
          <w:b/>
          <w:lang w:val="en-US" w:eastAsia="en-US" w:bidi="en-US"/>
        </w:rPr>
        <w:t>Conclusions</w:t>
      </w:r>
      <w:r w:rsidRPr="00F9509D">
        <w:rPr>
          <w:rFonts w:eastAsia="Calibri"/>
          <w:lang w:val="en-US" w:eastAsia="en-US" w:bidi="en-US"/>
        </w:rPr>
        <w:t xml:space="preserve">: Female sex and the fourth decade of life predominated. Dyspepsia and moderate atrophic chronic gastritis are the most frequent symptom and histopathological diagnosis, respectively. Erythematous antral, antral erythematous, and </w:t>
      </w:r>
      <w:proofErr w:type="spellStart"/>
      <w:r w:rsidRPr="00F9509D">
        <w:rPr>
          <w:rFonts w:eastAsia="Calibri"/>
          <w:lang w:val="en-US" w:eastAsia="en-US" w:bidi="en-US"/>
        </w:rPr>
        <w:t>erythematonodular</w:t>
      </w:r>
      <w:proofErr w:type="spellEnd"/>
      <w:r w:rsidRPr="00F9509D">
        <w:rPr>
          <w:rFonts w:eastAsia="Calibri"/>
          <w:lang w:val="en-US" w:eastAsia="en-US" w:bidi="en-US"/>
        </w:rPr>
        <w:t xml:space="preserve"> gastritis represent the most common endoscopic diagnoses. The eradication rate of </w:t>
      </w:r>
      <w:r w:rsidRPr="00F9509D">
        <w:rPr>
          <w:rFonts w:eastAsia="Calibri"/>
          <w:i/>
          <w:lang w:val="en-US" w:eastAsia="en-US" w:bidi="en-US"/>
        </w:rPr>
        <w:t>Helicobacter pylori</w:t>
      </w:r>
      <w:r w:rsidRPr="00F9509D">
        <w:rPr>
          <w:rFonts w:eastAsia="Calibri"/>
          <w:lang w:val="en-US" w:eastAsia="en-US" w:bidi="en-US"/>
        </w:rPr>
        <w:t xml:space="preserve"> was high.</w:t>
      </w:r>
    </w:p>
    <w:p w14:paraId="6ED333AF" w14:textId="77777777" w:rsidR="00F9509D" w:rsidRPr="00F9509D" w:rsidRDefault="00F9509D" w:rsidP="00F9509D">
      <w:pPr>
        <w:tabs>
          <w:tab w:val="left" w:pos="6795"/>
        </w:tabs>
        <w:spacing w:line="360" w:lineRule="auto"/>
        <w:jc w:val="both"/>
        <w:rPr>
          <w:rFonts w:eastAsia="Calibri"/>
          <w:lang w:val="en-US" w:eastAsia="en-US" w:bidi="en-US"/>
        </w:rPr>
      </w:pPr>
      <w:r w:rsidRPr="00F9509D">
        <w:rPr>
          <w:rFonts w:eastAsia="Calibri"/>
          <w:b/>
          <w:lang w:val="en-US" w:eastAsia="en-US" w:bidi="en-US"/>
        </w:rPr>
        <w:t>Keywords</w:t>
      </w:r>
      <w:r w:rsidRPr="00F9509D">
        <w:rPr>
          <w:rFonts w:eastAsia="Calibri"/>
          <w:lang w:val="en-US" w:eastAsia="en-US" w:bidi="en-US"/>
        </w:rPr>
        <w:t xml:space="preserve">: </w:t>
      </w:r>
      <w:r w:rsidRPr="00F9509D">
        <w:rPr>
          <w:rFonts w:eastAsia="Calibri"/>
          <w:i/>
          <w:lang w:val="en-US" w:eastAsia="en-US" w:bidi="en-US"/>
        </w:rPr>
        <w:t>Helicobacter pylori</w:t>
      </w:r>
      <w:r w:rsidRPr="00F9509D">
        <w:rPr>
          <w:rFonts w:eastAsia="Calibri"/>
          <w:lang w:val="en-US" w:eastAsia="en-US" w:bidi="en-US"/>
        </w:rPr>
        <w:t>; symbiotic fermented milk; probiotics.</w:t>
      </w:r>
    </w:p>
    <w:p w14:paraId="3772C460" w14:textId="77777777" w:rsidR="00F9509D" w:rsidRPr="00F9509D" w:rsidRDefault="00F9509D" w:rsidP="00F9509D">
      <w:pPr>
        <w:tabs>
          <w:tab w:val="left" w:pos="6795"/>
        </w:tabs>
        <w:spacing w:line="360" w:lineRule="auto"/>
        <w:jc w:val="both"/>
        <w:rPr>
          <w:rFonts w:eastAsia="Calibri"/>
          <w:lang w:val="en-US" w:eastAsia="en-US" w:bidi="en-US"/>
        </w:rPr>
      </w:pPr>
    </w:p>
    <w:p w14:paraId="48E45DD5" w14:textId="77777777" w:rsidR="00F9509D" w:rsidRPr="00F9509D" w:rsidRDefault="00F9509D" w:rsidP="00F9509D">
      <w:pPr>
        <w:tabs>
          <w:tab w:val="left" w:pos="6795"/>
        </w:tabs>
        <w:spacing w:line="360" w:lineRule="auto"/>
        <w:jc w:val="both"/>
        <w:rPr>
          <w:rFonts w:eastAsia="Calibri"/>
          <w:lang w:val="en-US" w:eastAsia="en-US" w:bidi="en-US"/>
        </w:rPr>
      </w:pPr>
    </w:p>
    <w:p w14:paraId="7BF08EBD" w14:textId="77777777" w:rsidR="00F9509D" w:rsidRPr="00F9509D" w:rsidRDefault="00F9509D" w:rsidP="00F9509D">
      <w:pPr>
        <w:tabs>
          <w:tab w:val="left" w:pos="6795"/>
        </w:tabs>
        <w:spacing w:line="360" w:lineRule="auto"/>
        <w:jc w:val="both"/>
        <w:rPr>
          <w:rFonts w:eastAsia="Calibri"/>
          <w:lang w:val="es-CU" w:eastAsia="en-US" w:bidi="en-US"/>
        </w:rPr>
      </w:pPr>
      <w:r w:rsidRPr="00F9509D">
        <w:rPr>
          <w:rFonts w:eastAsia="Calibri"/>
          <w:lang w:val="es-CU" w:eastAsia="en-US" w:bidi="en-US"/>
        </w:rPr>
        <w:t>Recibido: 22/10/2021</w:t>
      </w:r>
    </w:p>
    <w:p w14:paraId="56A0EB1C" w14:textId="77777777" w:rsidR="00F9509D" w:rsidRPr="00F9509D" w:rsidRDefault="00F9509D" w:rsidP="00F9509D">
      <w:pPr>
        <w:tabs>
          <w:tab w:val="left" w:pos="6795"/>
        </w:tabs>
        <w:spacing w:line="360" w:lineRule="auto"/>
        <w:jc w:val="both"/>
        <w:rPr>
          <w:rFonts w:eastAsia="Calibri"/>
          <w:lang w:val="es-CU" w:eastAsia="en-US" w:bidi="en-US"/>
        </w:rPr>
      </w:pPr>
      <w:r w:rsidRPr="00F9509D">
        <w:rPr>
          <w:rFonts w:eastAsia="Calibri"/>
          <w:lang w:val="es-CU" w:eastAsia="en-US" w:bidi="en-US"/>
        </w:rPr>
        <w:t>Aprobado: 26/02/2022</w:t>
      </w:r>
    </w:p>
    <w:p w14:paraId="76687426" w14:textId="77777777" w:rsidR="00F9509D" w:rsidRPr="00F9509D" w:rsidRDefault="00F9509D" w:rsidP="00F9509D">
      <w:pPr>
        <w:tabs>
          <w:tab w:val="left" w:pos="6795"/>
        </w:tabs>
        <w:spacing w:line="360" w:lineRule="auto"/>
        <w:jc w:val="both"/>
        <w:rPr>
          <w:rFonts w:eastAsia="Calibri"/>
          <w:lang w:val="es-CU" w:eastAsia="en-US" w:bidi="en-US"/>
        </w:rPr>
      </w:pPr>
    </w:p>
    <w:p w14:paraId="203CD3FC" w14:textId="77777777" w:rsidR="00F9509D" w:rsidRPr="00F9509D" w:rsidRDefault="00F9509D" w:rsidP="00F9509D">
      <w:pPr>
        <w:tabs>
          <w:tab w:val="left" w:pos="6795"/>
        </w:tabs>
        <w:spacing w:line="360" w:lineRule="auto"/>
        <w:rPr>
          <w:rFonts w:eastAsia="Calibri"/>
          <w:b/>
          <w:lang w:val="es-VE" w:eastAsia="en-US" w:bidi="en-US"/>
        </w:rPr>
      </w:pPr>
    </w:p>
    <w:p w14:paraId="589D3FE4" w14:textId="77777777" w:rsidR="00F9509D" w:rsidRPr="00F9509D" w:rsidRDefault="00F9509D" w:rsidP="00F9509D">
      <w:pPr>
        <w:tabs>
          <w:tab w:val="left" w:pos="6795"/>
        </w:tabs>
        <w:spacing w:line="360" w:lineRule="auto"/>
        <w:jc w:val="center"/>
        <w:rPr>
          <w:rFonts w:eastAsia="Calibri"/>
          <w:b/>
          <w:sz w:val="32"/>
          <w:szCs w:val="32"/>
          <w:lang w:val="es-VE" w:eastAsia="en-US" w:bidi="en-US"/>
        </w:rPr>
      </w:pPr>
      <w:r w:rsidRPr="00F9509D">
        <w:rPr>
          <w:rFonts w:eastAsia="Calibri"/>
          <w:b/>
          <w:sz w:val="32"/>
          <w:szCs w:val="32"/>
          <w:lang w:val="es-VE" w:eastAsia="en-US" w:bidi="en-US"/>
        </w:rPr>
        <w:t>INTRODUCCIÓN</w:t>
      </w:r>
    </w:p>
    <w:p w14:paraId="23A8E366"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La bacteria </w:t>
      </w:r>
      <w:proofErr w:type="spellStart"/>
      <w:r w:rsidRPr="00F9509D">
        <w:rPr>
          <w:rFonts w:eastAsia="Calibri"/>
          <w:i/>
          <w:color w:val="000000"/>
          <w:lang w:val="es-ES" w:eastAsia="en-US"/>
        </w:rPr>
        <w:t>Helicobacter</w:t>
      </w:r>
      <w:proofErr w:type="spellEnd"/>
      <w:r w:rsidRPr="00F9509D">
        <w:rPr>
          <w:rFonts w:eastAsia="Calibri"/>
          <w:i/>
          <w:color w:val="000000"/>
          <w:lang w:val="es-ES" w:eastAsia="en-US"/>
        </w:rPr>
        <w:t xml:space="preserve"> pylor</w:t>
      </w:r>
      <w:r w:rsidRPr="00F9509D">
        <w:rPr>
          <w:rFonts w:eastAsia="Calibri"/>
          <w:color w:val="000000"/>
          <w:lang w:val="es-ES" w:eastAsia="en-US"/>
        </w:rPr>
        <w:t>i (</w:t>
      </w:r>
      <w:r w:rsidRPr="00F9509D">
        <w:rPr>
          <w:rFonts w:eastAsia="Calibri"/>
          <w:i/>
          <w:color w:val="000000"/>
          <w:lang w:val="es-ES" w:eastAsia="en-US"/>
        </w:rPr>
        <w:t>H. pylori</w:t>
      </w:r>
      <w:r w:rsidRPr="00F9509D">
        <w:rPr>
          <w:rFonts w:eastAsia="Calibri"/>
          <w:color w:val="000000"/>
          <w:lang w:val="es-ES" w:eastAsia="en-US"/>
        </w:rPr>
        <w:t xml:space="preserve">), inicialmente denominada </w:t>
      </w:r>
      <w:proofErr w:type="spellStart"/>
      <w:r w:rsidRPr="00F9509D">
        <w:rPr>
          <w:rFonts w:eastAsia="Calibri"/>
          <w:i/>
          <w:color w:val="000000"/>
          <w:lang w:val="es-ES" w:eastAsia="en-US"/>
        </w:rPr>
        <w:t>Campylobacter</w:t>
      </w:r>
      <w:proofErr w:type="spellEnd"/>
      <w:r w:rsidRPr="00F9509D">
        <w:rPr>
          <w:rFonts w:eastAsia="Calibri"/>
          <w:i/>
          <w:color w:val="000000"/>
          <w:lang w:val="es-ES" w:eastAsia="en-US"/>
        </w:rPr>
        <w:t xml:space="preserve"> </w:t>
      </w:r>
      <w:proofErr w:type="spellStart"/>
      <w:r w:rsidRPr="00F9509D">
        <w:rPr>
          <w:rFonts w:eastAsia="Calibri"/>
          <w:i/>
          <w:color w:val="000000"/>
          <w:lang w:val="es-ES" w:eastAsia="en-US"/>
        </w:rPr>
        <w:t>pyloridis</w:t>
      </w:r>
      <w:proofErr w:type="spellEnd"/>
      <w:r w:rsidRPr="00F9509D">
        <w:rPr>
          <w:rFonts w:eastAsia="Calibri"/>
          <w:i/>
          <w:color w:val="000000"/>
          <w:lang w:val="es-ES" w:eastAsia="en-US"/>
        </w:rPr>
        <w:t xml:space="preserve">, </w:t>
      </w:r>
      <w:r w:rsidRPr="00F9509D">
        <w:rPr>
          <w:rFonts w:eastAsia="Calibri"/>
          <w:color w:val="000000"/>
          <w:lang w:val="es-ES" w:eastAsia="en-US"/>
        </w:rPr>
        <w:t>tiene distribución cosmopolita. Se reporta una prevalencia de 79,1 % en África; 63,4 % en América Latina y el Caribe y un 54,4 % en Asia. Las áreas menos afectadas son América del Norte y Oceanía, con tasas de 37,1 % y 24,1 % respectivamente.</w:t>
      </w:r>
      <w:r w:rsidRPr="00F9509D">
        <w:rPr>
          <w:rFonts w:eastAsia="Calibri"/>
          <w:color w:val="000000"/>
          <w:vertAlign w:val="superscript"/>
          <w:lang w:val="es-ES" w:eastAsia="en-US"/>
        </w:rPr>
        <w:t xml:space="preserve">(1,2) </w:t>
      </w:r>
      <w:r w:rsidRPr="00F9509D">
        <w:rPr>
          <w:rFonts w:eastAsia="Calibri"/>
          <w:color w:val="000000"/>
          <w:lang w:val="es-ES" w:eastAsia="en-US"/>
        </w:rPr>
        <w:t>Trabajos realizados en Cuba,</w:t>
      </w:r>
      <w:r w:rsidRPr="00F9509D">
        <w:rPr>
          <w:rFonts w:eastAsia="Calibri"/>
          <w:color w:val="000000"/>
          <w:vertAlign w:val="superscript"/>
          <w:lang w:val="es-ES" w:eastAsia="en-US"/>
        </w:rPr>
        <w:t>(3,4)</w:t>
      </w:r>
      <w:r w:rsidRPr="00F9509D">
        <w:rPr>
          <w:rFonts w:eastAsia="Calibri"/>
          <w:color w:val="000000"/>
          <w:lang w:val="es-ES" w:eastAsia="en-US"/>
        </w:rPr>
        <w:t xml:space="preserve"> reportan  una elevada prevalencia de la infección en adultos.</w:t>
      </w:r>
    </w:p>
    <w:p w14:paraId="2128842B" w14:textId="77777777" w:rsidR="00F9509D" w:rsidRPr="00F9509D" w:rsidRDefault="00F9509D" w:rsidP="00F9509D">
      <w:pPr>
        <w:spacing w:line="360" w:lineRule="auto"/>
        <w:jc w:val="both"/>
        <w:rPr>
          <w:rFonts w:eastAsia="Calibri"/>
          <w:lang w:val="es-ES" w:eastAsia="en-US"/>
        </w:rPr>
      </w:pPr>
      <w:r w:rsidRPr="00F9509D">
        <w:rPr>
          <w:rFonts w:eastAsia="Calibri"/>
          <w:lang w:val="es-ES" w:eastAsia="en-US"/>
        </w:rPr>
        <w:t xml:space="preserve">La infección crónica por </w:t>
      </w:r>
      <w:r w:rsidRPr="00F9509D">
        <w:rPr>
          <w:rFonts w:eastAsia="Calibri"/>
          <w:i/>
          <w:lang w:val="es-ES" w:eastAsia="en-US"/>
        </w:rPr>
        <w:t xml:space="preserve">H. pylori </w:t>
      </w:r>
      <w:r w:rsidRPr="00F9509D">
        <w:rPr>
          <w:rFonts w:eastAsia="Calibri"/>
          <w:lang w:val="es-ES" w:eastAsia="en-US"/>
        </w:rPr>
        <w:t xml:space="preserve">se ha relacionado con diversas enfermedades del tracto gastrointestinal superior, entre las que destacan: gastritis, úlcera péptica duodenal y gástrica, cáncer gástrico y linfoma no </w:t>
      </w:r>
      <w:proofErr w:type="spellStart"/>
      <w:r w:rsidRPr="00F9509D">
        <w:rPr>
          <w:rFonts w:eastAsia="Calibri"/>
          <w:lang w:val="es-ES" w:eastAsia="en-US"/>
        </w:rPr>
        <w:t>Hodking</w:t>
      </w:r>
      <w:proofErr w:type="spellEnd"/>
      <w:r w:rsidRPr="00F9509D">
        <w:rPr>
          <w:rFonts w:eastAsia="Calibri"/>
          <w:lang w:val="es-ES" w:eastAsia="en-US"/>
        </w:rPr>
        <w:t xml:space="preserve"> asociado a mucosa (MALT). Ocasionalmente, puede causar anemia ferropénica, trombocitopenia inmune y anemia por deficiencia de vitamina B12.</w:t>
      </w:r>
      <w:r w:rsidRPr="00F9509D">
        <w:rPr>
          <w:rFonts w:eastAsia="Calibri"/>
          <w:vertAlign w:val="superscript"/>
          <w:lang w:val="es-ES" w:eastAsia="en-US"/>
        </w:rPr>
        <w:t>(5)</w:t>
      </w:r>
    </w:p>
    <w:p w14:paraId="2A631D5F" w14:textId="77777777" w:rsidR="00F9509D" w:rsidRPr="00F9509D" w:rsidRDefault="00F9509D" w:rsidP="00F9509D">
      <w:pPr>
        <w:autoSpaceDE w:val="0"/>
        <w:autoSpaceDN w:val="0"/>
        <w:adjustRightInd w:val="0"/>
        <w:spacing w:line="360" w:lineRule="auto"/>
        <w:jc w:val="both"/>
        <w:rPr>
          <w:rFonts w:eastAsia="Calibri"/>
          <w:vertAlign w:val="superscript"/>
          <w:lang w:val="es-ES" w:eastAsia="en-US"/>
        </w:rPr>
      </w:pPr>
      <w:r w:rsidRPr="00F9509D">
        <w:rPr>
          <w:rFonts w:eastAsia="Calibri"/>
          <w:color w:val="000000"/>
          <w:lang w:val="es-ES" w:eastAsia="en-US"/>
        </w:rPr>
        <w:lastRenderedPageBreak/>
        <w:t xml:space="preserve">La comunidad médica ha encaminado sus esfuerzos a la búsqueda de esquemas terapéuticos efectivos para su erradicación. Estos se han basado en el uso combinado de antibióticos e inhibidores de la secreción ácida. A pesar de los adelantos en este sentido, las tasas de infección continúan elevadas en muchas regiones del mundo. </w:t>
      </w:r>
      <w:r w:rsidRPr="00F9509D">
        <w:rPr>
          <w:rFonts w:eastAsia="Calibri"/>
          <w:lang w:val="es-ES" w:eastAsia="en-US"/>
        </w:rPr>
        <w:t xml:space="preserve">Existen varias circunstancias que se relacionan con las bajas tasas de erradicación de la bacteria y entre ellas se encuentran: la inadecuada supresión de ácido, los múltiples sitios de crecimiento del germen, la </w:t>
      </w:r>
      <w:proofErr w:type="spellStart"/>
      <w:r w:rsidRPr="00F9509D">
        <w:rPr>
          <w:rFonts w:eastAsia="Calibri"/>
          <w:lang w:val="es-ES" w:eastAsia="en-US"/>
        </w:rPr>
        <w:t>subdosificación</w:t>
      </w:r>
      <w:proofErr w:type="spellEnd"/>
      <w:r w:rsidRPr="00F9509D">
        <w:rPr>
          <w:rFonts w:eastAsia="Calibri"/>
          <w:lang w:val="es-ES" w:eastAsia="en-US"/>
        </w:rPr>
        <w:t xml:space="preserve"> de los medicamentos, la falta de adherencia al tratamiento y la resistencia a los antibióticos.</w:t>
      </w:r>
      <w:r w:rsidRPr="00F9509D">
        <w:rPr>
          <w:rFonts w:eastAsia="Calibri"/>
          <w:vertAlign w:val="superscript"/>
          <w:lang w:val="es-ES" w:eastAsia="en-US"/>
        </w:rPr>
        <w:t xml:space="preserve">(5) </w:t>
      </w:r>
      <w:r w:rsidRPr="00F9509D">
        <w:rPr>
          <w:rFonts w:eastAsia="Calibri"/>
          <w:lang w:val="es-ES" w:eastAsia="en-US"/>
        </w:rPr>
        <w:t>Para optimizar el tratamiento y lograr alcanzar tasas de erradicación por encima del 90 %, con efectos secundarios que no superen el 5 %, se ha evaluado el uso de probióticos.</w:t>
      </w:r>
      <w:r w:rsidRPr="00F9509D">
        <w:rPr>
          <w:rFonts w:eastAsia="Calibri"/>
          <w:vertAlign w:val="superscript"/>
          <w:lang w:val="es-ES" w:eastAsia="en-US"/>
        </w:rPr>
        <w:t>(6,7)</w:t>
      </w:r>
    </w:p>
    <w:p w14:paraId="376A7E62" w14:textId="77777777" w:rsidR="00F9509D" w:rsidRPr="00F9509D" w:rsidRDefault="00F9509D" w:rsidP="00F9509D">
      <w:pPr>
        <w:spacing w:line="360" w:lineRule="auto"/>
        <w:jc w:val="both"/>
        <w:rPr>
          <w:rFonts w:eastAsia="Calibri"/>
          <w:lang w:val="es-ES" w:eastAsia="en-US"/>
        </w:rPr>
      </w:pPr>
      <w:r w:rsidRPr="00F9509D">
        <w:rPr>
          <w:rFonts w:eastAsia="Calibri"/>
          <w:color w:val="000000"/>
          <w:lang w:val="es-ES" w:eastAsia="en-US"/>
        </w:rPr>
        <w:t xml:space="preserve">Los probióticos son organismos vivos que al ser ingeridos en cantidades adecuadas confieren un beneficio saludable en el hospedero. En cambio, los prebióticos son ingredientes fermentados selectivamente, que dan lugar a cambios específicos en la composición y la actividad de la microbiota gastrointestinal y confieren beneficios para mejorar la salud del hospedero. </w:t>
      </w:r>
      <w:r w:rsidRPr="00F9509D">
        <w:rPr>
          <w:rFonts w:eastAsia="Calibri"/>
          <w:lang w:val="es-ES" w:eastAsia="en-US"/>
        </w:rPr>
        <w:t>Los simbióticos son combinaciones de probióticos y prebióticos.</w:t>
      </w:r>
      <w:r w:rsidRPr="00F9509D">
        <w:rPr>
          <w:rFonts w:eastAsia="Calibri"/>
          <w:vertAlign w:val="superscript"/>
          <w:lang w:val="es-ES" w:eastAsia="en-US"/>
        </w:rPr>
        <w:t xml:space="preserve">(8,9) </w:t>
      </w:r>
      <w:r w:rsidRPr="00F9509D">
        <w:rPr>
          <w:rFonts w:eastAsia="Calibri"/>
          <w:lang w:val="es-ES" w:eastAsia="en-US"/>
        </w:rPr>
        <w:t xml:space="preserve">No se dispone de suficiente evidencia para avalar el uso aislado de un probiótico en la erradicación del </w:t>
      </w:r>
      <w:r w:rsidRPr="00F9509D">
        <w:rPr>
          <w:rFonts w:eastAsia="Calibri"/>
          <w:i/>
          <w:lang w:val="es-ES" w:eastAsia="en-US"/>
        </w:rPr>
        <w:t xml:space="preserve">H. pylori. </w:t>
      </w:r>
      <w:r w:rsidRPr="00F9509D">
        <w:rPr>
          <w:rFonts w:eastAsia="Calibri"/>
          <w:lang w:val="es-ES" w:eastAsia="en-US"/>
        </w:rPr>
        <w:t>Sin embargo, algunas publicaciones sugieren que ciertos probióticos pueden servir como terapia adyuvante.</w:t>
      </w:r>
      <w:r w:rsidRPr="00F9509D">
        <w:rPr>
          <w:rFonts w:eastAsia="Calibri"/>
          <w:vertAlign w:val="superscript"/>
          <w:lang w:val="es-ES" w:eastAsia="en-US"/>
        </w:rPr>
        <w:t>(10,11)</w:t>
      </w:r>
    </w:p>
    <w:p w14:paraId="0B7F4A46" w14:textId="77777777" w:rsidR="00F9509D" w:rsidRPr="00F9509D" w:rsidRDefault="00F9509D" w:rsidP="00F9509D">
      <w:pPr>
        <w:tabs>
          <w:tab w:val="left" w:pos="6795"/>
        </w:tabs>
        <w:spacing w:line="360" w:lineRule="auto"/>
        <w:jc w:val="both"/>
        <w:rPr>
          <w:rFonts w:eastAsia="Calibri"/>
          <w:lang w:val="es-VE" w:eastAsia="en-US" w:bidi="en-US"/>
        </w:rPr>
      </w:pPr>
      <w:r w:rsidRPr="00F9509D">
        <w:rPr>
          <w:rFonts w:eastAsia="Calibri"/>
          <w:lang w:val="es-VE" w:eastAsia="en-US" w:bidi="en-US"/>
        </w:rPr>
        <w:t xml:space="preserve">Esta investigación se realiza con el objetivo de </w:t>
      </w:r>
      <w:r w:rsidRPr="00F9509D">
        <w:rPr>
          <w:rFonts w:eastAsia="Calibri"/>
          <w:lang w:val="es-ES" w:eastAsia="en-US" w:bidi="en-US"/>
        </w:rPr>
        <w:t xml:space="preserve">describir las manifestaciones clínicas, endoscópicas, histopatológicas y la erradicación de la infección por </w:t>
      </w:r>
      <w:r w:rsidRPr="00F9509D">
        <w:rPr>
          <w:rFonts w:eastAsia="Calibri"/>
          <w:i/>
          <w:lang w:val="es-ES" w:eastAsia="en-US" w:bidi="en-US"/>
        </w:rPr>
        <w:t>H. pylori</w:t>
      </w:r>
      <w:r w:rsidRPr="00F9509D">
        <w:rPr>
          <w:rFonts w:eastAsia="Calibri"/>
          <w:lang w:val="es-ES" w:eastAsia="en-US" w:bidi="en-US"/>
        </w:rPr>
        <w:t xml:space="preserve"> en los pacientes tratados con triple terapia y leche fermentada simbiótica</w:t>
      </w:r>
      <w:r w:rsidRPr="00F9509D">
        <w:rPr>
          <w:rFonts w:eastAsia="Calibri"/>
          <w:lang w:val="es-VE" w:eastAsia="en-US" w:bidi="en-US"/>
        </w:rPr>
        <w:t>.</w:t>
      </w:r>
    </w:p>
    <w:p w14:paraId="2D511CA6" w14:textId="77777777" w:rsidR="00F9509D" w:rsidRPr="00F9509D" w:rsidRDefault="00F9509D" w:rsidP="00F9509D">
      <w:pPr>
        <w:tabs>
          <w:tab w:val="left" w:pos="6795"/>
        </w:tabs>
        <w:spacing w:line="360" w:lineRule="auto"/>
        <w:jc w:val="both"/>
        <w:rPr>
          <w:rFonts w:eastAsia="Calibri"/>
          <w:lang w:val="es-VE" w:eastAsia="en-US" w:bidi="en-US"/>
        </w:rPr>
      </w:pPr>
    </w:p>
    <w:p w14:paraId="1BC4CF25" w14:textId="77777777" w:rsidR="00F9509D" w:rsidRPr="00F9509D" w:rsidRDefault="00F9509D" w:rsidP="00F9509D">
      <w:pPr>
        <w:tabs>
          <w:tab w:val="left" w:pos="6795"/>
        </w:tabs>
        <w:spacing w:line="360" w:lineRule="auto"/>
        <w:jc w:val="both"/>
        <w:rPr>
          <w:rFonts w:eastAsia="Calibri"/>
          <w:lang w:val="es-VE" w:eastAsia="en-US" w:bidi="en-US"/>
        </w:rPr>
      </w:pPr>
    </w:p>
    <w:p w14:paraId="684B72D0" w14:textId="77777777" w:rsidR="00F9509D" w:rsidRPr="00F9509D" w:rsidRDefault="00F9509D" w:rsidP="00F9509D">
      <w:pPr>
        <w:tabs>
          <w:tab w:val="left" w:pos="6795"/>
        </w:tabs>
        <w:spacing w:line="360" w:lineRule="auto"/>
        <w:jc w:val="center"/>
        <w:rPr>
          <w:rFonts w:eastAsia="Calibri"/>
          <w:b/>
          <w:sz w:val="32"/>
          <w:szCs w:val="32"/>
          <w:lang w:val="es-VE" w:eastAsia="en-US" w:bidi="en-US"/>
        </w:rPr>
      </w:pPr>
      <w:r w:rsidRPr="00F9509D">
        <w:rPr>
          <w:rFonts w:eastAsia="Calibri"/>
          <w:b/>
          <w:sz w:val="32"/>
          <w:szCs w:val="32"/>
          <w:lang w:val="es-VE" w:eastAsia="en-US" w:bidi="en-US"/>
        </w:rPr>
        <w:t>MÉTODOS</w:t>
      </w:r>
    </w:p>
    <w:p w14:paraId="3180947E"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Se realizó un estudio descriptivo, de una serie de casos de 30 pacientes con infección por </w:t>
      </w:r>
      <w:r w:rsidRPr="00F9509D">
        <w:rPr>
          <w:rFonts w:eastAsia="Calibri"/>
          <w:i/>
          <w:color w:val="000000"/>
          <w:lang w:val="es-ES" w:eastAsia="en-US"/>
        </w:rPr>
        <w:t>H. pylori</w:t>
      </w:r>
      <w:r w:rsidRPr="00F9509D">
        <w:rPr>
          <w:rFonts w:eastAsia="Calibri"/>
          <w:color w:val="000000"/>
          <w:lang w:val="es-ES" w:eastAsia="en-US"/>
        </w:rPr>
        <w:t xml:space="preserve">, tratados con triple terapia y leche fermentada simbiótica, en el Centro de Investigaciones Médico Quirúrgicas (CIMEQ), en el periodo comprendido entre enero del 2017 y mayo del 2019. </w:t>
      </w:r>
      <w:r w:rsidRPr="00F9509D">
        <w:rPr>
          <w:rFonts w:eastAsia="Calibri"/>
          <w:color w:val="000000"/>
          <w:lang w:val="es-VE" w:eastAsia="en-US" w:bidi="en-US"/>
        </w:rPr>
        <w:t>Se excluyeron los pacientes con antecedentes de alergia medicamentosa a los antibióticos utilizados; h</w:t>
      </w:r>
      <w:proofErr w:type="spellStart"/>
      <w:r w:rsidRPr="00F9509D">
        <w:rPr>
          <w:rFonts w:eastAsia="Calibri"/>
          <w:color w:val="000000"/>
          <w:lang w:val="es-ES" w:eastAsia="en-US" w:bidi="en-US"/>
        </w:rPr>
        <w:t>aber</w:t>
      </w:r>
      <w:proofErr w:type="spellEnd"/>
      <w:r w:rsidRPr="00F9509D">
        <w:rPr>
          <w:rFonts w:eastAsia="Calibri"/>
          <w:color w:val="000000"/>
          <w:lang w:val="es-VE" w:eastAsia="en-US" w:bidi="en-US"/>
        </w:rPr>
        <w:t xml:space="preserve"> realizado tratamiento con </w:t>
      </w:r>
      <w:r w:rsidRPr="00F9509D">
        <w:rPr>
          <w:rFonts w:eastAsia="Calibri"/>
          <w:color w:val="000000"/>
          <w:lang w:val="es-ES" w:eastAsia="en-US"/>
        </w:rPr>
        <w:t xml:space="preserve">inhibidores de la bomba de protones, bloqueadores de los receptores H2, antibióticos o probióticos, 30 días previos a la realización de la endoscopia; pacientes que consumieron </w:t>
      </w:r>
      <w:r w:rsidRPr="00F9509D">
        <w:rPr>
          <w:rFonts w:eastAsia="Calibri"/>
          <w:color w:val="000000"/>
          <w:lang w:val="es-ES" w:eastAsia="en-US"/>
        </w:rPr>
        <w:lastRenderedPageBreak/>
        <w:t xml:space="preserve">antinflamatorios no esteroideos 6 meses previos al diagnóstico; y pacientes que habían realizado tratamiento </w:t>
      </w:r>
      <w:proofErr w:type="spellStart"/>
      <w:r w:rsidRPr="00F9509D">
        <w:rPr>
          <w:rFonts w:eastAsia="Calibri"/>
          <w:color w:val="000000"/>
          <w:lang w:val="es-ES" w:eastAsia="en-US"/>
        </w:rPr>
        <w:t>erradicador</w:t>
      </w:r>
      <w:proofErr w:type="spellEnd"/>
      <w:r w:rsidRPr="00F9509D">
        <w:rPr>
          <w:rFonts w:eastAsia="Calibri"/>
          <w:color w:val="000000"/>
          <w:lang w:val="es-ES" w:eastAsia="en-US"/>
        </w:rPr>
        <w:t xml:space="preserve"> en los 6 meses previos al estudio.</w:t>
      </w:r>
    </w:p>
    <w:p w14:paraId="2CCD7413" w14:textId="77777777" w:rsidR="00F9509D" w:rsidRPr="00F9509D" w:rsidRDefault="00F9509D" w:rsidP="00F9509D">
      <w:pPr>
        <w:autoSpaceDE w:val="0"/>
        <w:autoSpaceDN w:val="0"/>
        <w:adjustRightInd w:val="0"/>
        <w:spacing w:line="360" w:lineRule="auto"/>
        <w:jc w:val="both"/>
        <w:rPr>
          <w:rFonts w:eastAsia="Calibri"/>
          <w:color w:val="000000"/>
          <w:lang w:val="es-VE" w:eastAsia="en-US" w:bidi="en-US"/>
        </w:rPr>
      </w:pPr>
      <w:r w:rsidRPr="00F9509D">
        <w:rPr>
          <w:rFonts w:eastAsia="Calibri"/>
          <w:color w:val="000000"/>
          <w:lang w:val="es-VE" w:eastAsia="en-US" w:bidi="en-US"/>
        </w:rPr>
        <w:t>Se empleó el siguiente esquema de tratamiento, al cual se le añadió leche fermentada simbiótica:</w:t>
      </w:r>
    </w:p>
    <w:p w14:paraId="60EACF9F" w14:textId="77777777" w:rsidR="00F9509D" w:rsidRPr="00F9509D" w:rsidRDefault="00F9509D" w:rsidP="00F9509D">
      <w:pPr>
        <w:autoSpaceDE w:val="0"/>
        <w:autoSpaceDN w:val="0"/>
        <w:adjustRightInd w:val="0"/>
        <w:spacing w:line="360" w:lineRule="auto"/>
        <w:jc w:val="both"/>
        <w:rPr>
          <w:rFonts w:eastAsia="Calibri"/>
          <w:color w:val="000000"/>
          <w:lang w:val="es-VE" w:eastAsia="en-US" w:bidi="en-US"/>
        </w:rPr>
      </w:pPr>
    </w:p>
    <w:p w14:paraId="2B2BF4FC" w14:textId="77777777" w:rsidR="00F9509D" w:rsidRPr="00F9509D" w:rsidRDefault="00F9509D" w:rsidP="003B1602">
      <w:pPr>
        <w:numPr>
          <w:ilvl w:val="0"/>
          <w:numId w:val="11"/>
        </w:numPr>
        <w:autoSpaceDE w:val="0"/>
        <w:autoSpaceDN w:val="0"/>
        <w:adjustRightInd w:val="0"/>
        <w:spacing w:line="360" w:lineRule="auto"/>
        <w:ind w:left="714" w:hanging="357"/>
        <w:jc w:val="both"/>
        <w:rPr>
          <w:rFonts w:eastAsia="Calibri"/>
          <w:color w:val="000000"/>
          <w:lang w:val="es-VE" w:eastAsia="en-US" w:bidi="en-US"/>
        </w:rPr>
      </w:pPr>
      <w:r w:rsidRPr="00F9509D">
        <w:rPr>
          <w:rFonts w:eastAsia="Calibri"/>
          <w:color w:val="000000"/>
          <w:lang w:val="es-VE" w:eastAsia="en-US" w:bidi="en-US"/>
        </w:rPr>
        <w:t xml:space="preserve">Omeprazol (20 mg): 20 mg cada12 horas por 14 días. </w:t>
      </w:r>
    </w:p>
    <w:p w14:paraId="50622271" w14:textId="77777777" w:rsidR="00F9509D" w:rsidRPr="00F9509D" w:rsidRDefault="00F9509D" w:rsidP="003B1602">
      <w:pPr>
        <w:numPr>
          <w:ilvl w:val="0"/>
          <w:numId w:val="11"/>
        </w:numPr>
        <w:autoSpaceDE w:val="0"/>
        <w:autoSpaceDN w:val="0"/>
        <w:adjustRightInd w:val="0"/>
        <w:spacing w:line="360" w:lineRule="auto"/>
        <w:ind w:left="714" w:hanging="357"/>
        <w:jc w:val="both"/>
        <w:rPr>
          <w:rFonts w:eastAsia="Calibri"/>
          <w:color w:val="000000"/>
          <w:lang w:val="es-VE" w:eastAsia="en-US" w:bidi="en-US"/>
        </w:rPr>
      </w:pPr>
      <w:r w:rsidRPr="00F9509D">
        <w:rPr>
          <w:rFonts w:eastAsia="Calibri"/>
          <w:color w:val="000000"/>
          <w:lang w:val="es-VE" w:eastAsia="en-US" w:bidi="en-US"/>
        </w:rPr>
        <w:t xml:space="preserve">Amoxicilina (500 mg): 1 g cada12 horas por 14 días. </w:t>
      </w:r>
    </w:p>
    <w:p w14:paraId="5FD01A0C" w14:textId="77777777" w:rsidR="00F9509D" w:rsidRPr="00F9509D" w:rsidRDefault="00F9509D" w:rsidP="003B1602">
      <w:pPr>
        <w:numPr>
          <w:ilvl w:val="0"/>
          <w:numId w:val="11"/>
        </w:numPr>
        <w:autoSpaceDE w:val="0"/>
        <w:autoSpaceDN w:val="0"/>
        <w:adjustRightInd w:val="0"/>
        <w:spacing w:line="360" w:lineRule="auto"/>
        <w:ind w:left="714" w:hanging="357"/>
        <w:jc w:val="both"/>
        <w:rPr>
          <w:rFonts w:eastAsia="Calibri"/>
          <w:color w:val="000000"/>
          <w:lang w:val="es-VE" w:eastAsia="en-US" w:bidi="en-US"/>
        </w:rPr>
      </w:pPr>
      <w:r w:rsidRPr="00F9509D">
        <w:rPr>
          <w:rFonts w:eastAsia="Calibri"/>
          <w:color w:val="000000"/>
          <w:lang w:val="es-VE" w:eastAsia="en-US" w:bidi="en-US"/>
        </w:rPr>
        <w:t xml:space="preserve">Claritromicina (500 mg): 500 mg cada 12 horas por 14 días. </w:t>
      </w:r>
    </w:p>
    <w:p w14:paraId="4D8425C3" w14:textId="77777777" w:rsidR="00F9509D" w:rsidRPr="00F9509D" w:rsidRDefault="00F9509D" w:rsidP="00F9509D">
      <w:pPr>
        <w:autoSpaceDE w:val="0"/>
        <w:autoSpaceDN w:val="0"/>
        <w:adjustRightInd w:val="0"/>
        <w:spacing w:line="360" w:lineRule="auto"/>
        <w:jc w:val="both"/>
        <w:rPr>
          <w:rFonts w:eastAsia="Calibri"/>
          <w:color w:val="000000"/>
          <w:lang w:val="es-VE" w:eastAsia="en-US" w:bidi="en-US"/>
        </w:rPr>
      </w:pPr>
    </w:p>
    <w:p w14:paraId="61A976CA" w14:textId="77777777" w:rsidR="00F9509D" w:rsidRPr="00F9509D" w:rsidRDefault="00F9509D" w:rsidP="00F9509D">
      <w:pPr>
        <w:autoSpaceDE w:val="0"/>
        <w:autoSpaceDN w:val="0"/>
        <w:adjustRightInd w:val="0"/>
        <w:spacing w:line="360" w:lineRule="auto"/>
        <w:jc w:val="both"/>
        <w:rPr>
          <w:rFonts w:eastAsia="Calibri"/>
          <w:color w:val="000000"/>
          <w:lang w:val="es-VE" w:eastAsia="en-US" w:bidi="en-US"/>
        </w:rPr>
      </w:pPr>
      <w:r w:rsidRPr="00F9509D">
        <w:rPr>
          <w:rFonts w:eastAsia="Calibri"/>
          <w:color w:val="000000"/>
          <w:lang w:val="es-VE" w:eastAsia="en-US" w:bidi="en-US"/>
        </w:rPr>
        <w:t xml:space="preserve">La leche fermentada simbiótica se entregó en un envase de cuatro litros, mantenidos a temperatura entre 4 °C y 6 °C. Para el diagnóstico de la infección por </w:t>
      </w:r>
      <w:r w:rsidRPr="00F9509D">
        <w:rPr>
          <w:rFonts w:eastAsia="Calibri"/>
          <w:i/>
          <w:iCs/>
          <w:color w:val="000000"/>
          <w:lang w:val="es-VE" w:eastAsia="en-US" w:bidi="en-US"/>
        </w:rPr>
        <w:t>H. Pylori</w:t>
      </w:r>
      <w:r w:rsidRPr="00F9509D">
        <w:rPr>
          <w:rFonts w:eastAsia="Calibri"/>
          <w:color w:val="000000"/>
          <w:lang w:val="es-VE" w:eastAsia="en-US" w:bidi="en-US"/>
        </w:rPr>
        <w:t xml:space="preserve"> se tuvo en cuenta la positividad del estudio histopatológico y la prueba de ureasa. </w:t>
      </w:r>
    </w:p>
    <w:p w14:paraId="3D3F1221" w14:textId="77777777" w:rsidR="00F9509D" w:rsidRPr="00F9509D" w:rsidRDefault="00F9509D" w:rsidP="00F9509D">
      <w:pPr>
        <w:autoSpaceDE w:val="0"/>
        <w:autoSpaceDN w:val="0"/>
        <w:adjustRightInd w:val="0"/>
        <w:spacing w:line="360" w:lineRule="auto"/>
        <w:jc w:val="center"/>
        <w:rPr>
          <w:rFonts w:eastAsia="Calibri"/>
          <w:b/>
          <w:color w:val="000000"/>
          <w:sz w:val="28"/>
          <w:szCs w:val="28"/>
          <w:lang w:val="es-ES" w:eastAsia="en-US"/>
        </w:rPr>
      </w:pPr>
      <w:r w:rsidRPr="00F9509D">
        <w:rPr>
          <w:rFonts w:eastAsia="Calibri"/>
          <w:b/>
          <w:color w:val="000000"/>
          <w:sz w:val="28"/>
          <w:szCs w:val="28"/>
          <w:lang w:val="es-ES" w:eastAsia="en-US"/>
        </w:rPr>
        <w:t>Procedimientos</w:t>
      </w:r>
    </w:p>
    <w:p w14:paraId="37A7414C"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A todos los pacientes que acuden a la consulta de gastroenterología, con criterio de endoscopia digestiva superior se les realiza toma de muestra para diagnóstico histopatológico de </w:t>
      </w:r>
      <w:r w:rsidRPr="00F9509D">
        <w:rPr>
          <w:rFonts w:eastAsia="Calibri"/>
          <w:i/>
          <w:iCs/>
          <w:color w:val="000000"/>
          <w:lang w:val="es-ES" w:eastAsia="en-US"/>
        </w:rPr>
        <w:t xml:space="preserve">H. pylori </w:t>
      </w:r>
      <w:r w:rsidRPr="00F9509D">
        <w:rPr>
          <w:rFonts w:eastAsia="Calibri"/>
          <w:color w:val="000000"/>
          <w:lang w:val="es-ES" w:eastAsia="en-US"/>
        </w:rPr>
        <w:t xml:space="preserve">y test de ureasa. Para ello se emplea un video gastroscopio marca Olympus </w:t>
      </w:r>
      <w:proofErr w:type="spellStart"/>
      <w:r w:rsidRPr="00F9509D">
        <w:rPr>
          <w:rFonts w:eastAsia="Calibri"/>
          <w:color w:val="000000"/>
          <w:lang w:val="es-ES" w:eastAsia="en-US"/>
        </w:rPr>
        <w:t>Evis</w:t>
      </w:r>
      <w:proofErr w:type="spellEnd"/>
      <w:r w:rsidRPr="00F9509D">
        <w:rPr>
          <w:rFonts w:eastAsia="Calibri"/>
          <w:color w:val="000000"/>
          <w:lang w:val="es-ES" w:eastAsia="en-US"/>
        </w:rPr>
        <w:t xml:space="preserve"> Lucera GIF-H260. Previa administración de anestesia local orofaríngea con lidocaína al 10 %, se realiza endoscopia digestiva superior. Se realizan 2 biopsias de la región </w:t>
      </w:r>
      <w:proofErr w:type="spellStart"/>
      <w:r w:rsidRPr="00F9509D">
        <w:rPr>
          <w:rFonts w:eastAsia="Calibri"/>
          <w:color w:val="000000"/>
          <w:lang w:val="es-ES" w:eastAsia="en-US"/>
        </w:rPr>
        <w:t>antral</w:t>
      </w:r>
      <w:proofErr w:type="spellEnd"/>
      <w:r w:rsidRPr="00F9509D">
        <w:rPr>
          <w:rFonts w:eastAsia="Calibri"/>
          <w:color w:val="000000"/>
          <w:lang w:val="es-ES" w:eastAsia="en-US"/>
        </w:rPr>
        <w:t xml:space="preserve"> y 2 del cuerpo gástrico. Una de las muestras de antro es utilizada para la realización del test de ureasa; el resto se coloca en frascos con formol al 10 % y se envía al departamento de Anatomía Patológica para realizar el diagnóstico histopatológico y la determinación de </w:t>
      </w:r>
      <w:r w:rsidRPr="00F9509D">
        <w:rPr>
          <w:rFonts w:eastAsia="Calibri"/>
          <w:i/>
          <w:iCs/>
          <w:color w:val="000000"/>
          <w:lang w:val="es-ES" w:eastAsia="en-US"/>
        </w:rPr>
        <w:t xml:space="preserve">H. pylori </w:t>
      </w:r>
      <w:r w:rsidRPr="00F9509D">
        <w:rPr>
          <w:rFonts w:eastAsia="Calibri"/>
          <w:iCs/>
          <w:color w:val="000000"/>
          <w:lang w:val="es-ES" w:eastAsia="en-US"/>
        </w:rPr>
        <w:t>(</w:t>
      </w:r>
      <w:r w:rsidRPr="00F9509D">
        <w:rPr>
          <w:rFonts w:eastAsia="Calibri"/>
          <w:color w:val="000000"/>
          <w:lang w:val="es-ES" w:eastAsia="en-US"/>
        </w:rPr>
        <w:t>mediante la tinción con hematoxilina y eosina).</w:t>
      </w:r>
    </w:p>
    <w:p w14:paraId="2680DB20"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La muestra de mucosa gástrica para la prueba de ureasa se deposita en un tubo seco, nuevo, de 1 </w:t>
      </w:r>
      <w:proofErr w:type="spellStart"/>
      <w:r w:rsidRPr="00F9509D">
        <w:rPr>
          <w:rFonts w:eastAsia="Calibri"/>
          <w:color w:val="000000"/>
          <w:lang w:val="es-ES" w:eastAsia="en-US"/>
        </w:rPr>
        <w:t>mL</w:t>
      </w:r>
      <w:proofErr w:type="spellEnd"/>
      <w:r w:rsidRPr="00F9509D">
        <w:rPr>
          <w:rFonts w:eastAsia="Calibri"/>
          <w:color w:val="000000"/>
          <w:lang w:val="es-ES" w:eastAsia="en-US"/>
        </w:rPr>
        <w:t xml:space="preserve"> y se le añade 2 gotas del reactivo de ureasa. Se evalúa en un período de 24 horas. Si el reactivo cambia su color a rosado o violeta se considera positivo el test; si no cambia su coloración, es considerado negativo de infección por </w:t>
      </w:r>
      <w:r w:rsidRPr="00F9509D">
        <w:rPr>
          <w:rFonts w:eastAsia="Calibri"/>
          <w:i/>
          <w:iCs/>
          <w:color w:val="000000"/>
          <w:lang w:val="es-ES" w:eastAsia="en-US"/>
        </w:rPr>
        <w:t>H. pylori</w:t>
      </w:r>
      <w:r w:rsidRPr="00F9509D">
        <w:rPr>
          <w:rFonts w:eastAsia="Calibri"/>
          <w:color w:val="000000"/>
          <w:lang w:val="es-ES" w:eastAsia="en-US"/>
        </w:rPr>
        <w:t>.</w:t>
      </w:r>
    </w:p>
    <w:p w14:paraId="38631E49"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Al concluir el tratamiento, se evalúa la erradicación de la bacteria mediante estudio histopatológico y test de ureasa. </w:t>
      </w:r>
    </w:p>
    <w:p w14:paraId="6A5468D7" w14:textId="77777777" w:rsidR="003B1602" w:rsidRDefault="003B1602">
      <w:pPr>
        <w:rPr>
          <w:rFonts w:eastAsia="Calibri"/>
          <w:b/>
          <w:color w:val="000000"/>
          <w:sz w:val="28"/>
          <w:szCs w:val="28"/>
          <w:lang w:val="es-ES" w:eastAsia="en-US"/>
        </w:rPr>
      </w:pPr>
      <w:r>
        <w:rPr>
          <w:rFonts w:eastAsia="Calibri"/>
          <w:b/>
          <w:color w:val="000000"/>
          <w:sz w:val="28"/>
          <w:szCs w:val="28"/>
          <w:lang w:val="es-ES" w:eastAsia="en-US"/>
        </w:rPr>
        <w:br w:type="page"/>
      </w:r>
    </w:p>
    <w:p w14:paraId="4D8DB12F" w14:textId="31677DDE" w:rsidR="00F9509D" w:rsidRPr="00F9509D" w:rsidRDefault="00F9509D" w:rsidP="00F9509D">
      <w:pPr>
        <w:autoSpaceDE w:val="0"/>
        <w:autoSpaceDN w:val="0"/>
        <w:adjustRightInd w:val="0"/>
        <w:spacing w:line="360" w:lineRule="auto"/>
        <w:jc w:val="center"/>
        <w:rPr>
          <w:rFonts w:eastAsia="Calibri"/>
          <w:b/>
          <w:color w:val="000000"/>
          <w:sz w:val="28"/>
          <w:szCs w:val="28"/>
          <w:lang w:val="es-ES" w:eastAsia="en-US"/>
        </w:rPr>
      </w:pPr>
      <w:r w:rsidRPr="00F9509D">
        <w:rPr>
          <w:rFonts w:eastAsia="Calibri"/>
          <w:b/>
          <w:color w:val="000000"/>
          <w:sz w:val="28"/>
          <w:szCs w:val="28"/>
          <w:lang w:val="es-ES" w:eastAsia="en-US"/>
        </w:rPr>
        <w:lastRenderedPageBreak/>
        <w:t>Variables</w:t>
      </w:r>
    </w:p>
    <w:p w14:paraId="4FD329AC" w14:textId="77777777" w:rsidR="00F9509D" w:rsidRPr="00F9509D" w:rsidRDefault="00F9509D" w:rsidP="00F9509D">
      <w:pPr>
        <w:tabs>
          <w:tab w:val="left" w:pos="6795"/>
        </w:tabs>
        <w:spacing w:line="360" w:lineRule="auto"/>
        <w:jc w:val="both"/>
        <w:rPr>
          <w:rFonts w:eastAsia="Calibri"/>
          <w:lang w:val="es-ES" w:eastAsia="en-US"/>
        </w:rPr>
      </w:pPr>
      <w:r w:rsidRPr="00F9509D">
        <w:rPr>
          <w:rFonts w:eastAsia="Calibri"/>
          <w:lang w:val="es-ES" w:eastAsia="en-US"/>
        </w:rPr>
        <w:t xml:space="preserve">Fueron recogidas las siguientes: edad; sexo; manifestaciones clínicas (epigastralgia, vómitos, náuseas, dispepsia, dolor abdominal no epigástrico); diagnóstico endoscópico (presencia de lesiones en el tracto gastrointestinal superior diagnosticadas durante el proceder endoscópico definidas como: úlcera del bulbo duodenal, úlcera gástrica y gastritis); diagnóstico histopatológico (según la clasificación de </w:t>
      </w:r>
      <w:proofErr w:type="spellStart"/>
      <w:r w:rsidRPr="00F9509D">
        <w:rPr>
          <w:rFonts w:eastAsia="Calibri"/>
          <w:i/>
          <w:lang w:val="es-ES" w:eastAsia="en-US"/>
        </w:rPr>
        <w:t>Sidney</w:t>
      </w:r>
      <w:proofErr w:type="spellEnd"/>
      <w:r w:rsidRPr="00F9509D">
        <w:rPr>
          <w:rFonts w:eastAsia="Calibri"/>
          <w:lang w:val="es-ES" w:eastAsia="en-US"/>
        </w:rPr>
        <w:t>.</w:t>
      </w:r>
      <w:r w:rsidRPr="00F9509D">
        <w:rPr>
          <w:rFonts w:eastAsia="Calibri"/>
          <w:vertAlign w:val="superscript"/>
          <w:lang w:val="es-ES" w:eastAsia="en-US"/>
        </w:rPr>
        <w:t>(12)</w:t>
      </w:r>
      <w:r w:rsidRPr="00F9509D">
        <w:rPr>
          <w:rFonts w:eastAsia="Calibri"/>
          <w:lang w:val="es-ES" w:eastAsia="en-US"/>
        </w:rPr>
        <w:t xml:space="preserve">); erradicación de la bacteria (ausencia de </w:t>
      </w:r>
      <w:r w:rsidRPr="00F9509D">
        <w:rPr>
          <w:rFonts w:eastAsia="Calibri"/>
          <w:i/>
          <w:iCs/>
          <w:lang w:val="es-ES" w:eastAsia="en-US"/>
        </w:rPr>
        <w:t xml:space="preserve">H. pylori </w:t>
      </w:r>
      <w:r w:rsidRPr="00F9509D">
        <w:rPr>
          <w:rFonts w:eastAsia="Calibri"/>
          <w:lang w:val="es-ES" w:eastAsia="en-US"/>
        </w:rPr>
        <w:t>a las 6 semanas de finalizado el tratamiento; confirmado mediante estudio histopatológico y test de ureasa).</w:t>
      </w:r>
    </w:p>
    <w:p w14:paraId="72F27DE7" w14:textId="77777777" w:rsidR="00F9509D" w:rsidRPr="00F9509D" w:rsidRDefault="00F9509D" w:rsidP="00F9509D">
      <w:pPr>
        <w:autoSpaceDE w:val="0"/>
        <w:autoSpaceDN w:val="0"/>
        <w:adjustRightInd w:val="0"/>
        <w:spacing w:line="360" w:lineRule="auto"/>
        <w:jc w:val="both"/>
        <w:rPr>
          <w:rFonts w:eastAsia="Calibri"/>
          <w:lang w:val="es-VE" w:eastAsia="en-US" w:bidi="en-US"/>
        </w:rPr>
      </w:pPr>
      <w:r w:rsidRPr="00F9509D">
        <w:rPr>
          <w:rFonts w:eastAsia="Arial"/>
          <w:lang w:val="es-VE" w:eastAsia="en-US" w:bidi="en-US"/>
        </w:rPr>
        <w:t xml:space="preserve">Los datos fueron extraídos de la </w:t>
      </w:r>
      <w:r w:rsidRPr="00F9509D">
        <w:rPr>
          <w:rFonts w:eastAsia="Calibri"/>
          <w:lang w:val="es-VE" w:eastAsia="en-US" w:bidi="en-US"/>
        </w:rPr>
        <w:t>Base de datos “</w:t>
      </w:r>
      <w:proofErr w:type="spellStart"/>
      <w:r w:rsidRPr="00F9509D">
        <w:rPr>
          <w:rFonts w:eastAsia="Calibri"/>
          <w:lang w:val="es-VE" w:eastAsia="en-US" w:bidi="en-US"/>
        </w:rPr>
        <w:t>ProGastro</w:t>
      </w:r>
      <w:proofErr w:type="spellEnd"/>
      <w:r w:rsidRPr="00F9509D">
        <w:rPr>
          <w:rFonts w:eastAsia="Calibri"/>
          <w:lang w:val="es-VE" w:eastAsia="en-US" w:bidi="en-US"/>
        </w:rPr>
        <w:t xml:space="preserve"> v12.11.14.94</w:t>
      </w:r>
      <w:r w:rsidRPr="00F9509D">
        <w:rPr>
          <w:rFonts w:eastAsia="Arial"/>
          <w:lang w:val="es-VE" w:eastAsia="en-US" w:bidi="en-US"/>
        </w:rPr>
        <w:t>.</w:t>
      </w:r>
      <w:r w:rsidRPr="00F9509D">
        <w:rPr>
          <w:rFonts w:eastAsia="Calibri"/>
          <w:lang w:val="es-VE" w:eastAsia="en-US" w:bidi="en-US"/>
        </w:rPr>
        <w:t xml:space="preserve"> Endoscopia superior. CIMEQ 2017-2019” y la información de las variables epidemiológicas, directamente con los pacientes, una vez concluida la prueba.</w:t>
      </w:r>
    </w:p>
    <w:p w14:paraId="5BD4FFA0" w14:textId="77777777" w:rsidR="00F9509D" w:rsidRPr="00F9509D" w:rsidRDefault="00F9509D" w:rsidP="00F9509D">
      <w:pPr>
        <w:spacing w:line="360" w:lineRule="auto"/>
        <w:jc w:val="both"/>
        <w:rPr>
          <w:rFonts w:eastAsia="Calibri"/>
          <w:lang w:val="es-US" w:eastAsia="en-US"/>
        </w:rPr>
      </w:pPr>
      <w:r w:rsidRPr="00F9509D">
        <w:rPr>
          <w:rFonts w:eastAsia="Calibri"/>
          <w:lang w:val="es-US" w:eastAsia="en-US"/>
        </w:rPr>
        <w:t xml:space="preserve">Los datos fueron procesados por el paquete estadístico SPSS v. 25.0 para Windows. Se utilizaron medidas descriptivas de resumen (porcentajes, medias y desviaciones estándar) de acuerdo al tipo de variable. </w:t>
      </w:r>
    </w:p>
    <w:p w14:paraId="155F8EF2" w14:textId="77777777" w:rsidR="00F9509D" w:rsidRPr="00F9509D" w:rsidRDefault="00F9509D" w:rsidP="00F9509D">
      <w:pPr>
        <w:spacing w:line="360" w:lineRule="auto"/>
        <w:ind w:right="-1"/>
        <w:jc w:val="both"/>
        <w:rPr>
          <w:rFonts w:eastAsia="Calibri"/>
          <w:lang w:val="es-US" w:eastAsia="en-US"/>
        </w:rPr>
      </w:pPr>
      <w:r w:rsidRPr="00F9509D">
        <w:rPr>
          <w:lang w:val="es-US" w:eastAsia="en-US"/>
        </w:rPr>
        <w:t>La investigación se realizó según los preceptos establecidos en el Código Internacional de Ética Médica y los que competen a las investigaciones biomédicas en humanos contemplados en la Declaración de Helsinki.</w:t>
      </w:r>
      <w:r w:rsidRPr="00F9509D">
        <w:rPr>
          <w:vertAlign w:val="superscript"/>
          <w:lang w:val="es-US" w:eastAsia="en-US"/>
        </w:rPr>
        <w:t>(13)</w:t>
      </w:r>
      <w:r w:rsidRPr="00F9509D">
        <w:rPr>
          <w:rFonts w:eastAsia="Calibri"/>
          <w:lang w:val="es-US" w:eastAsia="en-US"/>
        </w:rPr>
        <w:t xml:space="preserve"> Fue aprobada por el Comité de Ética del centro donde se realizó el estudio.  </w:t>
      </w:r>
    </w:p>
    <w:p w14:paraId="0DFB8A05" w14:textId="77777777" w:rsidR="00F9509D" w:rsidRPr="00F9509D" w:rsidRDefault="00F9509D" w:rsidP="00F9509D">
      <w:pPr>
        <w:spacing w:line="360" w:lineRule="auto"/>
        <w:ind w:right="-1"/>
        <w:jc w:val="both"/>
        <w:rPr>
          <w:rFonts w:eastAsia="Calibri"/>
          <w:lang w:val="es-US" w:eastAsia="en-US"/>
        </w:rPr>
      </w:pPr>
    </w:p>
    <w:p w14:paraId="05EAACD3" w14:textId="77777777" w:rsidR="00F9509D" w:rsidRPr="00F9509D" w:rsidRDefault="00F9509D" w:rsidP="00F9509D">
      <w:pPr>
        <w:spacing w:line="360" w:lineRule="auto"/>
        <w:rPr>
          <w:rFonts w:eastAsia="Calibri"/>
          <w:b/>
          <w:lang w:val="es-ES" w:eastAsia="en-US"/>
        </w:rPr>
      </w:pPr>
    </w:p>
    <w:p w14:paraId="16F4C750" w14:textId="77777777" w:rsidR="00F9509D" w:rsidRPr="00F9509D" w:rsidRDefault="00F9509D" w:rsidP="00F9509D">
      <w:pPr>
        <w:spacing w:line="360" w:lineRule="auto"/>
        <w:jc w:val="center"/>
        <w:rPr>
          <w:rFonts w:eastAsia="Calibri"/>
          <w:b/>
          <w:sz w:val="32"/>
          <w:szCs w:val="32"/>
          <w:lang w:val="es-ES" w:eastAsia="en-US"/>
        </w:rPr>
      </w:pPr>
      <w:r w:rsidRPr="00F9509D">
        <w:rPr>
          <w:rFonts w:eastAsia="Calibri"/>
          <w:b/>
          <w:sz w:val="32"/>
          <w:szCs w:val="32"/>
          <w:lang w:val="es-ES" w:eastAsia="en-US"/>
        </w:rPr>
        <w:t>RESULTADOS</w:t>
      </w:r>
    </w:p>
    <w:p w14:paraId="478F056E" w14:textId="77777777" w:rsidR="00F9509D" w:rsidRPr="00F9509D" w:rsidRDefault="00F9509D" w:rsidP="00F9509D">
      <w:pPr>
        <w:spacing w:line="360" w:lineRule="auto"/>
        <w:jc w:val="both"/>
        <w:rPr>
          <w:rFonts w:eastAsia="Arial"/>
          <w:lang w:val="es-ES" w:eastAsia="es-ES" w:bidi="es-ES"/>
        </w:rPr>
      </w:pPr>
      <w:r w:rsidRPr="00F9509D">
        <w:rPr>
          <w:rFonts w:eastAsia="Arial"/>
          <w:lang w:val="es-ES" w:eastAsia="es-ES" w:bidi="es-ES"/>
        </w:rPr>
        <w:t xml:space="preserve">De los 30 pacientes estudiados, 22 (71 %) pertenecían al sexo femenino y 9 (29 %) al masculino. La edad media fue de </w:t>
      </w:r>
      <w:r w:rsidRPr="00F9509D">
        <w:rPr>
          <w:rFonts w:eastAsia="Calibri"/>
          <w:lang w:val="es-ES" w:eastAsia="en-US"/>
        </w:rPr>
        <w:t>48,6 años ± 16,3</w:t>
      </w:r>
      <w:r w:rsidRPr="00F9509D">
        <w:rPr>
          <w:rFonts w:eastAsia="Arial"/>
          <w:lang w:val="es-ES" w:eastAsia="es-ES" w:bidi="es-ES"/>
        </w:rPr>
        <w:t xml:space="preserve"> años; con mínima de 18 y máxima de 74 años. El 96,7 % de los enfermos erradicó la infección por </w:t>
      </w:r>
      <w:r w:rsidRPr="00F9509D">
        <w:rPr>
          <w:rFonts w:eastAsia="Arial"/>
          <w:i/>
          <w:lang w:val="es-ES" w:eastAsia="es-ES" w:bidi="es-ES"/>
        </w:rPr>
        <w:t>H. pylori</w:t>
      </w:r>
      <w:r w:rsidRPr="00F9509D">
        <w:rPr>
          <w:rFonts w:eastAsia="Arial"/>
          <w:lang w:val="es-ES" w:eastAsia="es-ES" w:bidi="es-ES"/>
        </w:rPr>
        <w:t xml:space="preserve">. </w:t>
      </w:r>
    </w:p>
    <w:p w14:paraId="54D01DBC" w14:textId="77777777" w:rsidR="00F9509D" w:rsidRPr="00F9509D" w:rsidRDefault="00F9509D" w:rsidP="00F9509D">
      <w:pPr>
        <w:spacing w:line="360" w:lineRule="auto"/>
        <w:jc w:val="both"/>
        <w:rPr>
          <w:rFonts w:eastAsia="Calibri"/>
          <w:color w:val="000000"/>
          <w:lang w:val="es-ES" w:eastAsia="en-US"/>
        </w:rPr>
      </w:pPr>
      <w:r w:rsidRPr="00F9509D">
        <w:rPr>
          <w:rFonts w:eastAsia="Calibri"/>
          <w:color w:val="000000"/>
          <w:lang w:val="es-ES" w:eastAsia="en-US"/>
        </w:rPr>
        <w:t>La dispepsia se presentó en 46,6 % pacientes, seguida por la epigastralgia en 33,3 %. Las náuseas (3,3 %), los vómitos (6,6 %) y las diarreas (13,3 %) fueron poco frecuentes y solo 1 paciente presentó dolor abdominal no epigástrico, que representó un 3,3 % (tabla 1). Hubo pacientes con más de un síntoma.</w:t>
      </w:r>
    </w:p>
    <w:p w14:paraId="4F1187CB" w14:textId="77777777" w:rsidR="00F9509D" w:rsidRPr="00F9509D" w:rsidRDefault="00F9509D" w:rsidP="00F9509D">
      <w:pPr>
        <w:spacing w:line="360" w:lineRule="auto"/>
        <w:jc w:val="both"/>
        <w:rPr>
          <w:rFonts w:eastAsia="Calibri"/>
          <w:color w:val="000000"/>
          <w:lang w:val="es-ES" w:eastAsia="en-US"/>
        </w:rPr>
      </w:pPr>
    </w:p>
    <w:p w14:paraId="3666F9DA" w14:textId="77777777" w:rsidR="00D71501" w:rsidRDefault="00D71501">
      <w:pPr>
        <w:rPr>
          <w:rFonts w:eastAsia="Calibri"/>
          <w:b/>
          <w:color w:val="000000"/>
          <w:sz w:val="22"/>
          <w:szCs w:val="22"/>
          <w:lang w:val="es-ES" w:eastAsia="en-US"/>
        </w:rPr>
      </w:pPr>
      <w:r>
        <w:rPr>
          <w:rFonts w:eastAsia="Calibri"/>
          <w:b/>
          <w:color w:val="000000"/>
          <w:sz w:val="22"/>
          <w:szCs w:val="22"/>
          <w:lang w:val="es-ES" w:eastAsia="en-US"/>
        </w:rPr>
        <w:br w:type="page"/>
      </w:r>
    </w:p>
    <w:p w14:paraId="6E93500F" w14:textId="02E8C1FF" w:rsidR="00F9509D" w:rsidRPr="00F9509D" w:rsidRDefault="00F9509D" w:rsidP="00F9509D">
      <w:pPr>
        <w:autoSpaceDE w:val="0"/>
        <w:autoSpaceDN w:val="0"/>
        <w:adjustRightInd w:val="0"/>
        <w:spacing w:line="360" w:lineRule="auto"/>
        <w:jc w:val="center"/>
        <w:rPr>
          <w:rFonts w:eastAsia="Calibri"/>
          <w:color w:val="000000"/>
          <w:sz w:val="22"/>
          <w:szCs w:val="22"/>
          <w:lang w:val="es-ES" w:eastAsia="en-US"/>
        </w:rPr>
      </w:pPr>
      <w:r w:rsidRPr="00F9509D">
        <w:rPr>
          <w:rFonts w:eastAsia="Calibri"/>
          <w:b/>
          <w:color w:val="000000"/>
          <w:sz w:val="22"/>
          <w:szCs w:val="22"/>
          <w:lang w:val="es-ES" w:eastAsia="en-US"/>
        </w:rPr>
        <w:lastRenderedPageBreak/>
        <w:t>Tabla 1 -</w:t>
      </w:r>
      <w:r w:rsidRPr="00F9509D">
        <w:rPr>
          <w:rFonts w:eastAsia="Calibri"/>
          <w:color w:val="000000"/>
          <w:sz w:val="22"/>
          <w:szCs w:val="22"/>
          <w:lang w:val="es-ES" w:eastAsia="en-US"/>
        </w:rPr>
        <w:t xml:space="preserve"> Manifestaciones clínicas en pacientes tratados con triple terapia y leche fermentada simbiótica </w:t>
      </w:r>
    </w:p>
    <w:tbl>
      <w:tblPr>
        <w:tblW w:w="4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200" w:firstRow="0" w:lastRow="0" w:firstColumn="0" w:lastColumn="0" w:noHBand="1" w:noVBand="0"/>
      </w:tblPr>
      <w:tblGrid>
        <w:gridCol w:w="3474"/>
        <w:gridCol w:w="665"/>
        <w:gridCol w:w="798"/>
      </w:tblGrid>
      <w:tr w:rsidR="00F9509D" w:rsidRPr="00F9509D" w14:paraId="59A5F99D" w14:textId="77777777" w:rsidTr="00AB3835">
        <w:trPr>
          <w:trHeight w:val="288"/>
          <w:jc w:val="center"/>
        </w:trPr>
        <w:tc>
          <w:tcPr>
            <w:tcW w:w="3474" w:type="dxa"/>
            <w:shd w:val="clear" w:color="auto" w:fill="FFFFFF"/>
            <w:vAlign w:val="center"/>
            <w:hideMark/>
          </w:tcPr>
          <w:p w14:paraId="24733D12" w14:textId="77777777" w:rsidR="00F9509D" w:rsidRPr="00F9509D" w:rsidRDefault="00F9509D" w:rsidP="00F9509D">
            <w:pPr>
              <w:spacing w:line="360" w:lineRule="auto"/>
              <w:jc w:val="center"/>
              <w:rPr>
                <w:rFonts w:eastAsia="Calibri"/>
                <w:b/>
                <w:color w:val="000000"/>
                <w:sz w:val="18"/>
                <w:szCs w:val="18"/>
                <w:lang w:val="es-ES" w:eastAsia="en-US"/>
              </w:rPr>
            </w:pPr>
            <w:r w:rsidRPr="00F9509D">
              <w:rPr>
                <w:rFonts w:eastAsia="Calibri"/>
                <w:b/>
                <w:color w:val="000000"/>
                <w:sz w:val="18"/>
                <w:szCs w:val="18"/>
                <w:lang w:val="es-ES" w:eastAsia="en-US"/>
              </w:rPr>
              <w:t>Manifestaciones clínicas</w:t>
            </w:r>
          </w:p>
        </w:tc>
        <w:tc>
          <w:tcPr>
            <w:tcW w:w="665" w:type="dxa"/>
            <w:shd w:val="clear" w:color="auto" w:fill="FFFFFF"/>
            <w:vAlign w:val="center"/>
            <w:hideMark/>
          </w:tcPr>
          <w:p w14:paraId="73FAAB7C" w14:textId="77777777" w:rsidR="00F9509D" w:rsidRPr="00F9509D" w:rsidRDefault="00F9509D" w:rsidP="00F9509D">
            <w:pPr>
              <w:spacing w:line="360" w:lineRule="auto"/>
              <w:jc w:val="center"/>
              <w:rPr>
                <w:rFonts w:eastAsia="Calibri"/>
                <w:b/>
                <w:color w:val="000000"/>
                <w:sz w:val="18"/>
                <w:szCs w:val="18"/>
                <w:lang w:val="es-ES" w:eastAsia="en-US"/>
              </w:rPr>
            </w:pPr>
            <w:r w:rsidRPr="00F9509D">
              <w:rPr>
                <w:rFonts w:eastAsia="Calibri"/>
                <w:b/>
                <w:color w:val="000000"/>
                <w:sz w:val="18"/>
                <w:szCs w:val="18"/>
                <w:lang w:val="es-ES" w:eastAsia="en-US"/>
              </w:rPr>
              <w:t>n</w:t>
            </w:r>
          </w:p>
        </w:tc>
        <w:tc>
          <w:tcPr>
            <w:tcW w:w="798" w:type="dxa"/>
            <w:shd w:val="clear" w:color="auto" w:fill="FFFFFF"/>
            <w:vAlign w:val="center"/>
            <w:hideMark/>
          </w:tcPr>
          <w:p w14:paraId="7291ACFA" w14:textId="77777777" w:rsidR="00F9509D" w:rsidRPr="00F9509D" w:rsidRDefault="00F9509D" w:rsidP="00F9509D">
            <w:pPr>
              <w:spacing w:line="360" w:lineRule="auto"/>
              <w:jc w:val="center"/>
              <w:rPr>
                <w:rFonts w:eastAsia="Calibri"/>
                <w:b/>
                <w:color w:val="000000"/>
                <w:sz w:val="18"/>
                <w:szCs w:val="18"/>
                <w:lang w:val="es-ES" w:eastAsia="en-US"/>
              </w:rPr>
            </w:pPr>
            <w:r w:rsidRPr="00F9509D">
              <w:rPr>
                <w:rFonts w:eastAsia="Calibri"/>
                <w:b/>
                <w:color w:val="000000"/>
                <w:sz w:val="18"/>
                <w:szCs w:val="18"/>
                <w:lang w:val="es-ES" w:eastAsia="en-US"/>
              </w:rPr>
              <w:t>%</w:t>
            </w:r>
          </w:p>
        </w:tc>
      </w:tr>
      <w:tr w:rsidR="00F9509D" w:rsidRPr="00F9509D" w14:paraId="53ED7945" w14:textId="77777777" w:rsidTr="00AB3835">
        <w:trPr>
          <w:trHeight w:val="250"/>
          <w:jc w:val="center"/>
        </w:trPr>
        <w:tc>
          <w:tcPr>
            <w:tcW w:w="3474" w:type="dxa"/>
            <w:shd w:val="clear" w:color="auto" w:fill="FFFFFF"/>
            <w:vAlign w:val="center"/>
            <w:hideMark/>
          </w:tcPr>
          <w:p w14:paraId="4F65F38C" w14:textId="77777777" w:rsidR="00F9509D" w:rsidRPr="00F9509D" w:rsidRDefault="00F9509D" w:rsidP="00F9509D">
            <w:pPr>
              <w:spacing w:line="360" w:lineRule="auto"/>
              <w:rPr>
                <w:rFonts w:eastAsia="Calibri"/>
                <w:sz w:val="18"/>
                <w:szCs w:val="18"/>
                <w:lang w:val="es-ES" w:eastAsia="en-US"/>
              </w:rPr>
            </w:pPr>
            <w:r w:rsidRPr="00F9509D">
              <w:rPr>
                <w:rFonts w:eastAsia="Calibri"/>
                <w:sz w:val="18"/>
                <w:szCs w:val="18"/>
                <w:lang w:val="es-ES" w:eastAsia="en-US"/>
              </w:rPr>
              <w:t>Dispepsia</w:t>
            </w:r>
          </w:p>
        </w:tc>
        <w:tc>
          <w:tcPr>
            <w:tcW w:w="665" w:type="dxa"/>
            <w:shd w:val="clear" w:color="auto" w:fill="FFFFFF"/>
            <w:vAlign w:val="center"/>
            <w:hideMark/>
          </w:tcPr>
          <w:p w14:paraId="153D10D6"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14</w:t>
            </w:r>
          </w:p>
        </w:tc>
        <w:tc>
          <w:tcPr>
            <w:tcW w:w="798" w:type="dxa"/>
            <w:shd w:val="clear" w:color="auto" w:fill="FFFFFF"/>
            <w:vAlign w:val="center"/>
            <w:hideMark/>
          </w:tcPr>
          <w:p w14:paraId="62BBA673"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46,6</w:t>
            </w:r>
          </w:p>
        </w:tc>
      </w:tr>
      <w:tr w:rsidR="00F9509D" w:rsidRPr="00F9509D" w14:paraId="368A5655" w14:textId="77777777" w:rsidTr="00AB3835">
        <w:trPr>
          <w:trHeight w:val="212"/>
          <w:jc w:val="center"/>
        </w:trPr>
        <w:tc>
          <w:tcPr>
            <w:tcW w:w="3474" w:type="dxa"/>
            <w:shd w:val="clear" w:color="auto" w:fill="FFFFFF"/>
            <w:vAlign w:val="center"/>
            <w:hideMark/>
          </w:tcPr>
          <w:p w14:paraId="585230B2" w14:textId="77777777" w:rsidR="00F9509D" w:rsidRPr="00F9509D" w:rsidRDefault="00F9509D" w:rsidP="00F9509D">
            <w:pPr>
              <w:spacing w:line="360" w:lineRule="auto"/>
              <w:rPr>
                <w:rFonts w:eastAsia="Calibri"/>
                <w:color w:val="000000"/>
                <w:sz w:val="18"/>
                <w:szCs w:val="18"/>
                <w:lang w:val="es-ES" w:eastAsia="en-US"/>
              </w:rPr>
            </w:pPr>
            <w:r w:rsidRPr="00F9509D">
              <w:rPr>
                <w:rFonts w:eastAsia="Calibri"/>
                <w:color w:val="000000"/>
                <w:sz w:val="18"/>
                <w:szCs w:val="18"/>
                <w:lang w:val="es-ES" w:eastAsia="en-US"/>
              </w:rPr>
              <w:t>Epigastralgia</w:t>
            </w:r>
          </w:p>
        </w:tc>
        <w:tc>
          <w:tcPr>
            <w:tcW w:w="665" w:type="dxa"/>
            <w:shd w:val="clear" w:color="auto" w:fill="FFFFFF"/>
            <w:vAlign w:val="center"/>
            <w:hideMark/>
          </w:tcPr>
          <w:p w14:paraId="6422F454"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10</w:t>
            </w:r>
          </w:p>
        </w:tc>
        <w:tc>
          <w:tcPr>
            <w:tcW w:w="798" w:type="dxa"/>
            <w:shd w:val="clear" w:color="auto" w:fill="FFFFFF"/>
            <w:vAlign w:val="center"/>
            <w:hideMark/>
          </w:tcPr>
          <w:p w14:paraId="2C04284A"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33,3</w:t>
            </w:r>
          </w:p>
        </w:tc>
      </w:tr>
      <w:tr w:rsidR="00F9509D" w:rsidRPr="00F9509D" w14:paraId="4736E61B" w14:textId="77777777" w:rsidTr="00AB3835">
        <w:trPr>
          <w:trHeight w:val="174"/>
          <w:jc w:val="center"/>
        </w:trPr>
        <w:tc>
          <w:tcPr>
            <w:tcW w:w="3474" w:type="dxa"/>
            <w:shd w:val="clear" w:color="auto" w:fill="FFFFFF"/>
            <w:vAlign w:val="center"/>
          </w:tcPr>
          <w:p w14:paraId="741EBE3D" w14:textId="77777777" w:rsidR="00F9509D" w:rsidRPr="00F9509D" w:rsidRDefault="00F9509D" w:rsidP="00F9509D">
            <w:pPr>
              <w:spacing w:line="360" w:lineRule="auto"/>
              <w:rPr>
                <w:rFonts w:eastAsia="Calibri"/>
                <w:color w:val="000000"/>
                <w:sz w:val="18"/>
                <w:szCs w:val="18"/>
                <w:lang w:val="es-ES" w:eastAsia="en-US"/>
              </w:rPr>
            </w:pPr>
            <w:r w:rsidRPr="00F9509D">
              <w:rPr>
                <w:rFonts w:eastAsia="Calibri"/>
                <w:color w:val="000000"/>
                <w:sz w:val="18"/>
                <w:szCs w:val="18"/>
                <w:lang w:val="es-ES" w:eastAsia="en-US"/>
              </w:rPr>
              <w:t>Diarreas</w:t>
            </w:r>
          </w:p>
        </w:tc>
        <w:tc>
          <w:tcPr>
            <w:tcW w:w="665" w:type="dxa"/>
            <w:shd w:val="clear" w:color="auto" w:fill="FFFFFF"/>
            <w:vAlign w:val="center"/>
          </w:tcPr>
          <w:p w14:paraId="5A750F50"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4</w:t>
            </w:r>
          </w:p>
        </w:tc>
        <w:tc>
          <w:tcPr>
            <w:tcW w:w="798" w:type="dxa"/>
            <w:shd w:val="clear" w:color="auto" w:fill="FFFFFF"/>
            <w:vAlign w:val="center"/>
          </w:tcPr>
          <w:p w14:paraId="57D9524B"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13,3</w:t>
            </w:r>
          </w:p>
        </w:tc>
      </w:tr>
      <w:tr w:rsidR="00F9509D" w:rsidRPr="00F9509D" w14:paraId="528A4975" w14:textId="77777777" w:rsidTr="00AB3835">
        <w:trPr>
          <w:trHeight w:val="136"/>
          <w:jc w:val="center"/>
        </w:trPr>
        <w:tc>
          <w:tcPr>
            <w:tcW w:w="3474" w:type="dxa"/>
            <w:shd w:val="clear" w:color="auto" w:fill="FFFFFF"/>
            <w:vAlign w:val="center"/>
          </w:tcPr>
          <w:p w14:paraId="20267200" w14:textId="77777777" w:rsidR="00F9509D" w:rsidRPr="00F9509D" w:rsidRDefault="00F9509D" w:rsidP="00F9509D">
            <w:pPr>
              <w:spacing w:line="360" w:lineRule="auto"/>
              <w:rPr>
                <w:rFonts w:eastAsia="Calibri"/>
                <w:color w:val="000000"/>
                <w:sz w:val="18"/>
                <w:szCs w:val="18"/>
                <w:lang w:val="es-ES" w:eastAsia="en-US"/>
              </w:rPr>
            </w:pPr>
            <w:r w:rsidRPr="00F9509D">
              <w:rPr>
                <w:rFonts w:eastAsia="Calibri"/>
                <w:color w:val="000000"/>
                <w:sz w:val="18"/>
                <w:szCs w:val="18"/>
                <w:lang w:val="es-ES" w:eastAsia="en-US"/>
              </w:rPr>
              <w:t>Vómitos</w:t>
            </w:r>
          </w:p>
        </w:tc>
        <w:tc>
          <w:tcPr>
            <w:tcW w:w="665" w:type="dxa"/>
            <w:shd w:val="clear" w:color="auto" w:fill="FFFFFF"/>
            <w:vAlign w:val="center"/>
          </w:tcPr>
          <w:p w14:paraId="7DF03BD1"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2</w:t>
            </w:r>
          </w:p>
        </w:tc>
        <w:tc>
          <w:tcPr>
            <w:tcW w:w="798" w:type="dxa"/>
            <w:shd w:val="clear" w:color="auto" w:fill="FFFFFF"/>
            <w:vAlign w:val="center"/>
          </w:tcPr>
          <w:p w14:paraId="0433CE9F"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6,6</w:t>
            </w:r>
          </w:p>
        </w:tc>
      </w:tr>
      <w:tr w:rsidR="00F9509D" w:rsidRPr="00F9509D" w14:paraId="570FDF15" w14:textId="77777777" w:rsidTr="00AB3835">
        <w:trPr>
          <w:trHeight w:val="241"/>
          <w:jc w:val="center"/>
        </w:trPr>
        <w:tc>
          <w:tcPr>
            <w:tcW w:w="3474" w:type="dxa"/>
            <w:shd w:val="clear" w:color="auto" w:fill="FFFFFF"/>
            <w:vAlign w:val="center"/>
            <w:hideMark/>
          </w:tcPr>
          <w:p w14:paraId="1E30E0FA" w14:textId="77777777" w:rsidR="00F9509D" w:rsidRPr="00F9509D" w:rsidRDefault="00F9509D" w:rsidP="00F9509D">
            <w:pPr>
              <w:spacing w:line="360" w:lineRule="auto"/>
              <w:rPr>
                <w:rFonts w:eastAsia="Calibri"/>
                <w:color w:val="000000"/>
                <w:sz w:val="18"/>
                <w:szCs w:val="18"/>
                <w:lang w:val="es-ES" w:eastAsia="en-US"/>
              </w:rPr>
            </w:pPr>
            <w:r w:rsidRPr="00F9509D">
              <w:rPr>
                <w:rFonts w:eastAsia="Calibri"/>
                <w:color w:val="000000"/>
                <w:sz w:val="18"/>
                <w:szCs w:val="18"/>
                <w:lang w:val="es-ES" w:eastAsia="en-US"/>
              </w:rPr>
              <w:t>Náuseas</w:t>
            </w:r>
          </w:p>
        </w:tc>
        <w:tc>
          <w:tcPr>
            <w:tcW w:w="665" w:type="dxa"/>
            <w:shd w:val="clear" w:color="auto" w:fill="FFFFFF"/>
            <w:vAlign w:val="center"/>
            <w:hideMark/>
          </w:tcPr>
          <w:p w14:paraId="543397A2"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1</w:t>
            </w:r>
          </w:p>
        </w:tc>
        <w:tc>
          <w:tcPr>
            <w:tcW w:w="798" w:type="dxa"/>
            <w:shd w:val="clear" w:color="auto" w:fill="FFFFFF"/>
            <w:vAlign w:val="center"/>
            <w:hideMark/>
          </w:tcPr>
          <w:p w14:paraId="5A4D0043"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3.3</w:t>
            </w:r>
          </w:p>
        </w:tc>
      </w:tr>
      <w:tr w:rsidR="00F9509D" w:rsidRPr="00F9509D" w14:paraId="4322E529" w14:textId="77777777" w:rsidTr="00AB3835">
        <w:trPr>
          <w:trHeight w:val="202"/>
          <w:jc w:val="center"/>
        </w:trPr>
        <w:tc>
          <w:tcPr>
            <w:tcW w:w="3474" w:type="dxa"/>
            <w:shd w:val="clear" w:color="auto" w:fill="FFFFFF"/>
            <w:vAlign w:val="center"/>
            <w:hideMark/>
          </w:tcPr>
          <w:p w14:paraId="16EE132E" w14:textId="77777777" w:rsidR="00F9509D" w:rsidRPr="00F9509D" w:rsidRDefault="00F9509D" w:rsidP="00F9509D">
            <w:pPr>
              <w:spacing w:line="360" w:lineRule="auto"/>
              <w:rPr>
                <w:rFonts w:eastAsia="Calibri"/>
                <w:color w:val="000000"/>
                <w:sz w:val="18"/>
                <w:szCs w:val="18"/>
                <w:lang w:val="es-ES" w:eastAsia="en-US"/>
              </w:rPr>
            </w:pPr>
            <w:r w:rsidRPr="00F9509D">
              <w:rPr>
                <w:rFonts w:eastAsia="Calibri"/>
                <w:color w:val="000000"/>
                <w:sz w:val="18"/>
                <w:szCs w:val="18"/>
                <w:lang w:val="es-ES" w:eastAsia="en-US"/>
              </w:rPr>
              <w:t>Dolor abdominal no epigástrico</w:t>
            </w:r>
          </w:p>
        </w:tc>
        <w:tc>
          <w:tcPr>
            <w:tcW w:w="665" w:type="dxa"/>
            <w:shd w:val="clear" w:color="auto" w:fill="FFFFFF"/>
            <w:vAlign w:val="center"/>
            <w:hideMark/>
          </w:tcPr>
          <w:p w14:paraId="46628A6D"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1</w:t>
            </w:r>
          </w:p>
        </w:tc>
        <w:tc>
          <w:tcPr>
            <w:tcW w:w="798" w:type="dxa"/>
            <w:shd w:val="clear" w:color="auto" w:fill="FFFFFF"/>
            <w:vAlign w:val="center"/>
            <w:hideMark/>
          </w:tcPr>
          <w:p w14:paraId="4D6552B6"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3,3</w:t>
            </w:r>
          </w:p>
        </w:tc>
      </w:tr>
    </w:tbl>
    <w:p w14:paraId="2CBE35F4" w14:textId="77777777" w:rsidR="00F9509D" w:rsidRPr="00F9509D" w:rsidRDefault="00F9509D" w:rsidP="00F9509D">
      <w:pPr>
        <w:spacing w:line="360" w:lineRule="auto"/>
        <w:ind w:left="720"/>
        <w:jc w:val="both"/>
        <w:rPr>
          <w:rFonts w:eastAsia="Calibri"/>
          <w:lang w:val="es-ES" w:eastAsia="en-US"/>
        </w:rPr>
      </w:pPr>
    </w:p>
    <w:p w14:paraId="1828A63D"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Como se observa en la tabla 2, la gastritis </w:t>
      </w:r>
      <w:proofErr w:type="spellStart"/>
      <w:r w:rsidRPr="00F9509D">
        <w:rPr>
          <w:rFonts w:eastAsia="Calibri"/>
          <w:color w:val="000000"/>
          <w:lang w:val="es-ES" w:eastAsia="en-US"/>
        </w:rPr>
        <w:t>antral</w:t>
      </w:r>
      <w:proofErr w:type="spellEnd"/>
      <w:r w:rsidRPr="00F9509D">
        <w:rPr>
          <w:rFonts w:eastAsia="Calibri"/>
          <w:color w:val="000000"/>
          <w:lang w:val="es-ES" w:eastAsia="en-US"/>
        </w:rPr>
        <w:t xml:space="preserve"> eritematosa, la gastritis </w:t>
      </w:r>
      <w:proofErr w:type="spellStart"/>
      <w:r w:rsidRPr="00F9509D">
        <w:rPr>
          <w:rFonts w:eastAsia="Calibri"/>
          <w:color w:val="000000"/>
          <w:lang w:val="es-ES" w:eastAsia="en-US"/>
        </w:rPr>
        <w:t>antral</w:t>
      </w:r>
      <w:proofErr w:type="spellEnd"/>
      <w:r w:rsidRPr="00F9509D">
        <w:rPr>
          <w:rFonts w:eastAsia="Calibri"/>
          <w:color w:val="000000"/>
          <w:lang w:val="es-ES" w:eastAsia="en-US"/>
        </w:rPr>
        <w:t xml:space="preserve"> </w:t>
      </w:r>
      <w:proofErr w:type="spellStart"/>
      <w:r w:rsidRPr="00F9509D">
        <w:rPr>
          <w:rFonts w:eastAsia="Calibri"/>
          <w:color w:val="000000"/>
          <w:lang w:val="es-ES" w:eastAsia="en-US"/>
        </w:rPr>
        <w:t>eritemato</w:t>
      </w:r>
      <w:proofErr w:type="spellEnd"/>
      <w:r w:rsidRPr="00F9509D">
        <w:rPr>
          <w:rFonts w:eastAsia="Calibri"/>
          <w:color w:val="000000"/>
          <w:lang w:val="es-ES" w:eastAsia="en-US"/>
        </w:rPr>
        <w:t xml:space="preserve">-erosiva, la gastritis </w:t>
      </w:r>
      <w:proofErr w:type="spellStart"/>
      <w:r w:rsidRPr="00F9509D">
        <w:rPr>
          <w:rFonts w:eastAsia="Calibri"/>
          <w:color w:val="000000"/>
          <w:lang w:val="es-ES" w:eastAsia="en-US"/>
        </w:rPr>
        <w:t>antral</w:t>
      </w:r>
      <w:proofErr w:type="spellEnd"/>
      <w:r w:rsidRPr="00F9509D">
        <w:rPr>
          <w:rFonts w:eastAsia="Calibri"/>
          <w:color w:val="000000"/>
          <w:lang w:val="es-ES" w:eastAsia="en-US"/>
        </w:rPr>
        <w:t xml:space="preserve"> </w:t>
      </w:r>
      <w:proofErr w:type="spellStart"/>
      <w:r w:rsidRPr="00F9509D">
        <w:rPr>
          <w:rFonts w:eastAsia="Calibri"/>
          <w:color w:val="000000"/>
          <w:lang w:val="es-ES" w:eastAsia="en-US"/>
        </w:rPr>
        <w:t>eritemato</w:t>
      </w:r>
      <w:proofErr w:type="spellEnd"/>
      <w:r w:rsidRPr="00F9509D">
        <w:rPr>
          <w:rFonts w:eastAsia="Calibri"/>
          <w:color w:val="000000"/>
          <w:lang w:val="es-ES" w:eastAsia="en-US"/>
        </w:rPr>
        <w:t xml:space="preserve"> - nodular y la </w:t>
      </w:r>
      <w:proofErr w:type="spellStart"/>
      <w:r w:rsidRPr="00F9509D">
        <w:rPr>
          <w:rFonts w:eastAsia="Calibri"/>
          <w:color w:val="000000"/>
          <w:lang w:val="es-ES" w:eastAsia="en-US"/>
        </w:rPr>
        <w:t>pangastritis</w:t>
      </w:r>
      <w:proofErr w:type="spellEnd"/>
      <w:r w:rsidRPr="00F9509D">
        <w:rPr>
          <w:rFonts w:eastAsia="Calibri"/>
          <w:color w:val="000000"/>
          <w:lang w:val="es-ES" w:eastAsia="en-US"/>
        </w:rPr>
        <w:t xml:space="preserve"> eritematosa tuvieron frecuencias similares (7 pacientes cada una, para un 23,3 % en cada diagnóstico). La úlcera duodenal se presentó con mayor frecuencia que la gástrica y 4 pacientes (13,3 %) presentaron </w:t>
      </w:r>
      <w:proofErr w:type="spellStart"/>
      <w:r w:rsidRPr="00F9509D">
        <w:rPr>
          <w:rFonts w:eastAsia="Calibri"/>
          <w:color w:val="000000"/>
          <w:lang w:val="es-ES" w:eastAsia="en-US"/>
        </w:rPr>
        <w:t>pangastritis</w:t>
      </w:r>
      <w:proofErr w:type="spellEnd"/>
      <w:r w:rsidRPr="00F9509D">
        <w:rPr>
          <w:rFonts w:eastAsia="Calibri"/>
          <w:color w:val="000000"/>
          <w:lang w:val="es-ES" w:eastAsia="en-US"/>
        </w:rPr>
        <w:t xml:space="preserve"> </w:t>
      </w:r>
      <w:proofErr w:type="spellStart"/>
      <w:r w:rsidRPr="00F9509D">
        <w:rPr>
          <w:rFonts w:eastAsia="Calibri"/>
          <w:color w:val="000000"/>
          <w:lang w:val="es-ES" w:eastAsia="en-US"/>
        </w:rPr>
        <w:t>eritematonodular</w:t>
      </w:r>
      <w:proofErr w:type="spellEnd"/>
      <w:r w:rsidRPr="00F9509D">
        <w:rPr>
          <w:rFonts w:eastAsia="Calibri"/>
          <w:color w:val="000000"/>
          <w:lang w:val="es-ES" w:eastAsia="en-US"/>
        </w:rPr>
        <w:t>.</w:t>
      </w:r>
    </w:p>
    <w:p w14:paraId="6A7E2868"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p>
    <w:p w14:paraId="04E10B1B" w14:textId="77777777" w:rsidR="00F9509D" w:rsidRPr="00F9509D" w:rsidRDefault="00F9509D" w:rsidP="00F9509D">
      <w:pPr>
        <w:autoSpaceDE w:val="0"/>
        <w:autoSpaceDN w:val="0"/>
        <w:adjustRightInd w:val="0"/>
        <w:spacing w:line="360" w:lineRule="auto"/>
        <w:jc w:val="center"/>
        <w:rPr>
          <w:rFonts w:eastAsia="Calibri"/>
          <w:sz w:val="22"/>
          <w:szCs w:val="22"/>
          <w:lang w:val="es-VE" w:eastAsia="en-US"/>
        </w:rPr>
      </w:pPr>
      <w:r w:rsidRPr="00F9509D">
        <w:rPr>
          <w:rFonts w:eastAsia="Calibri"/>
          <w:b/>
          <w:color w:val="000000"/>
          <w:sz w:val="22"/>
          <w:szCs w:val="22"/>
          <w:lang w:val="es-ES" w:eastAsia="en-US"/>
        </w:rPr>
        <w:t>Tabla 2 -</w:t>
      </w:r>
      <w:r w:rsidRPr="00F9509D">
        <w:rPr>
          <w:rFonts w:eastAsia="Calibri"/>
          <w:color w:val="000000"/>
          <w:sz w:val="22"/>
          <w:szCs w:val="22"/>
          <w:lang w:val="es-ES" w:eastAsia="en-US"/>
        </w:rPr>
        <w:t xml:space="preserve"> Diagnósticos endoscópicos en pacientes tratados con triple terapia y leche fermentada simbiótica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51"/>
        <w:gridCol w:w="317"/>
        <w:gridCol w:w="531"/>
      </w:tblGrid>
      <w:tr w:rsidR="00F9509D" w:rsidRPr="00F9509D" w14:paraId="065A2C73" w14:textId="77777777" w:rsidTr="00AB3835">
        <w:trPr>
          <w:trHeight w:val="223"/>
          <w:jc w:val="center"/>
        </w:trPr>
        <w:tc>
          <w:tcPr>
            <w:tcW w:w="0" w:type="auto"/>
            <w:shd w:val="clear" w:color="auto" w:fill="auto"/>
            <w:vAlign w:val="center"/>
            <w:hideMark/>
          </w:tcPr>
          <w:p w14:paraId="4873BECF" w14:textId="77777777" w:rsidR="00F9509D" w:rsidRPr="00F9509D" w:rsidRDefault="00F9509D" w:rsidP="00F9509D">
            <w:pPr>
              <w:spacing w:line="360" w:lineRule="auto"/>
              <w:jc w:val="center"/>
              <w:rPr>
                <w:rFonts w:eastAsia="Calibri"/>
                <w:b/>
                <w:sz w:val="18"/>
                <w:szCs w:val="18"/>
                <w:lang w:val="es-ES" w:eastAsia="en-US"/>
              </w:rPr>
            </w:pPr>
            <w:r w:rsidRPr="00F9509D">
              <w:rPr>
                <w:rFonts w:eastAsia="Calibri"/>
                <w:b/>
                <w:sz w:val="18"/>
                <w:szCs w:val="18"/>
                <w:lang w:val="es-ES" w:eastAsia="en-US"/>
              </w:rPr>
              <w:t>Diagnósticos endoscópicos</w:t>
            </w:r>
          </w:p>
        </w:tc>
        <w:tc>
          <w:tcPr>
            <w:tcW w:w="0" w:type="auto"/>
            <w:shd w:val="clear" w:color="auto" w:fill="auto"/>
            <w:vAlign w:val="center"/>
            <w:hideMark/>
          </w:tcPr>
          <w:p w14:paraId="1B6BE74A" w14:textId="77777777" w:rsidR="00F9509D" w:rsidRPr="00F9509D" w:rsidRDefault="00F9509D" w:rsidP="00F9509D">
            <w:pPr>
              <w:spacing w:line="360" w:lineRule="auto"/>
              <w:jc w:val="center"/>
              <w:rPr>
                <w:rFonts w:eastAsia="Calibri"/>
                <w:b/>
                <w:sz w:val="18"/>
                <w:szCs w:val="18"/>
                <w:lang w:val="es-ES" w:eastAsia="en-US"/>
              </w:rPr>
            </w:pPr>
            <w:r w:rsidRPr="00F9509D">
              <w:rPr>
                <w:rFonts w:eastAsia="Calibri"/>
                <w:b/>
                <w:sz w:val="18"/>
                <w:szCs w:val="18"/>
                <w:lang w:val="es-ES" w:eastAsia="en-US"/>
              </w:rPr>
              <w:t>n</w:t>
            </w:r>
          </w:p>
        </w:tc>
        <w:tc>
          <w:tcPr>
            <w:tcW w:w="0" w:type="auto"/>
            <w:shd w:val="clear" w:color="auto" w:fill="auto"/>
            <w:vAlign w:val="center"/>
            <w:hideMark/>
          </w:tcPr>
          <w:p w14:paraId="1594BE6E" w14:textId="77777777" w:rsidR="00F9509D" w:rsidRPr="00F9509D" w:rsidRDefault="00F9509D" w:rsidP="00F9509D">
            <w:pPr>
              <w:spacing w:line="360" w:lineRule="auto"/>
              <w:jc w:val="center"/>
              <w:rPr>
                <w:rFonts w:eastAsia="Calibri"/>
                <w:b/>
                <w:sz w:val="18"/>
                <w:szCs w:val="18"/>
                <w:lang w:val="es-ES" w:eastAsia="en-US"/>
              </w:rPr>
            </w:pPr>
            <w:r w:rsidRPr="00F9509D">
              <w:rPr>
                <w:rFonts w:eastAsia="Calibri"/>
                <w:b/>
                <w:sz w:val="18"/>
                <w:szCs w:val="18"/>
                <w:lang w:val="es-ES" w:eastAsia="en-US"/>
              </w:rPr>
              <w:t>%</w:t>
            </w:r>
          </w:p>
        </w:tc>
      </w:tr>
      <w:tr w:rsidR="00F9509D" w:rsidRPr="00F9509D" w14:paraId="66150ADB" w14:textId="77777777" w:rsidTr="00AB3835">
        <w:trPr>
          <w:trHeight w:val="327"/>
          <w:jc w:val="center"/>
        </w:trPr>
        <w:tc>
          <w:tcPr>
            <w:tcW w:w="0" w:type="auto"/>
            <w:shd w:val="clear" w:color="auto" w:fill="auto"/>
            <w:vAlign w:val="center"/>
            <w:hideMark/>
          </w:tcPr>
          <w:p w14:paraId="4C67EAE1" w14:textId="77777777" w:rsidR="00F9509D" w:rsidRPr="00F9509D" w:rsidRDefault="00F9509D" w:rsidP="00F9509D">
            <w:pPr>
              <w:spacing w:line="360" w:lineRule="auto"/>
              <w:rPr>
                <w:rFonts w:eastAsia="Calibri"/>
                <w:sz w:val="18"/>
                <w:szCs w:val="18"/>
                <w:lang w:val="es-ES" w:eastAsia="en-US"/>
              </w:rPr>
            </w:pPr>
            <w:r w:rsidRPr="00F9509D">
              <w:rPr>
                <w:rFonts w:eastAsia="Calibri"/>
                <w:sz w:val="18"/>
                <w:szCs w:val="18"/>
                <w:lang w:val="es-HN" w:eastAsia="en-US"/>
              </w:rPr>
              <w:t>Gastritis antral eritematosa</w:t>
            </w:r>
          </w:p>
        </w:tc>
        <w:tc>
          <w:tcPr>
            <w:tcW w:w="0" w:type="auto"/>
            <w:shd w:val="clear" w:color="auto" w:fill="auto"/>
            <w:vAlign w:val="center"/>
            <w:hideMark/>
          </w:tcPr>
          <w:p w14:paraId="49AA8EEE"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7</w:t>
            </w:r>
          </w:p>
        </w:tc>
        <w:tc>
          <w:tcPr>
            <w:tcW w:w="0" w:type="auto"/>
            <w:shd w:val="clear" w:color="auto" w:fill="auto"/>
            <w:vAlign w:val="center"/>
            <w:hideMark/>
          </w:tcPr>
          <w:p w14:paraId="2F3A2E75"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23,3</w:t>
            </w:r>
          </w:p>
        </w:tc>
      </w:tr>
      <w:tr w:rsidR="00F9509D" w:rsidRPr="00F9509D" w14:paraId="4241281F" w14:textId="77777777" w:rsidTr="00AB3835">
        <w:trPr>
          <w:trHeight w:val="133"/>
          <w:jc w:val="center"/>
        </w:trPr>
        <w:tc>
          <w:tcPr>
            <w:tcW w:w="0" w:type="auto"/>
            <w:shd w:val="clear" w:color="auto" w:fill="auto"/>
            <w:vAlign w:val="center"/>
            <w:hideMark/>
          </w:tcPr>
          <w:p w14:paraId="504E50EB" w14:textId="77777777" w:rsidR="00F9509D" w:rsidRPr="00F9509D" w:rsidRDefault="00F9509D" w:rsidP="00F9509D">
            <w:pPr>
              <w:spacing w:line="360" w:lineRule="auto"/>
              <w:rPr>
                <w:rFonts w:eastAsia="Calibri"/>
                <w:sz w:val="18"/>
                <w:szCs w:val="18"/>
                <w:lang w:val="es-ES" w:eastAsia="en-US"/>
              </w:rPr>
            </w:pPr>
            <w:r w:rsidRPr="00F9509D">
              <w:rPr>
                <w:rFonts w:eastAsia="Calibri"/>
                <w:sz w:val="18"/>
                <w:szCs w:val="18"/>
                <w:lang w:val="es-ES" w:eastAsia="en-US"/>
              </w:rPr>
              <w:t xml:space="preserve">Gastritis </w:t>
            </w:r>
            <w:proofErr w:type="spellStart"/>
            <w:r w:rsidRPr="00F9509D">
              <w:rPr>
                <w:rFonts w:eastAsia="Calibri"/>
                <w:sz w:val="18"/>
                <w:szCs w:val="18"/>
                <w:lang w:val="es-ES" w:eastAsia="en-US"/>
              </w:rPr>
              <w:t>antral</w:t>
            </w:r>
            <w:proofErr w:type="spellEnd"/>
            <w:r w:rsidRPr="00F9509D">
              <w:rPr>
                <w:rFonts w:eastAsia="Calibri"/>
                <w:sz w:val="18"/>
                <w:szCs w:val="18"/>
                <w:lang w:val="es-ES" w:eastAsia="en-US"/>
              </w:rPr>
              <w:t xml:space="preserve"> eritematosa erosiva</w:t>
            </w:r>
          </w:p>
        </w:tc>
        <w:tc>
          <w:tcPr>
            <w:tcW w:w="0" w:type="auto"/>
            <w:shd w:val="clear" w:color="auto" w:fill="auto"/>
            <w:vAlign w:val="center"/>
            <w:hideMark/>
          </w:tcPr>
          <w:p w14:paraId="67832DA5"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7</w:t>
            </w:r>
          </w:p>
        </w:tc>
        <w:tc>
          <w:tcPr>
            <w:tcW w:w="0" w:type="auto"/>
            <w:shd w:val="clear" w:color="auto" w:fill="auto"/>
            <w:vAlign w:val="center"/>
            <w:hideMark/>
          </w:tcPr>
          <w:p w14:paraId="2E7B10D3"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23,3</w:t>
            </w:r>
          </w:p>
        </w:tc>
      </w:tr>
      <w:tr w:rsidR="00F9509D" w:rsidRPr="00F9509D" w14:paraId="6B1FC029" w14:textId="77777777" w:rsidTr="00AB3835">
        <w:trPr>
          <w:trHeight w:val="236"/>
          <w:jc w:val="center"/>
        </w:trPr>
        <w:tc>
          <w:tcPr>
            <w:tcW w:w="0" w:type="auto"/>
            <w:shd w:val="clear" w:color="auto" w:fill="auto"/>
            <w:vAlign w:val="center"/>
            <w:hideMark/>
          </w:tcPr>
          <w:p w14:paraId="58AD1350" w14:textId="77777777" w:rsidR="00F9509D" w:rsidRPr="00F9509D" w:rsidRDefault="00F9509D" w:rsidP="00F9509D">
            <w:pPr>
              <w:spacing w:line="360" w:lineRule="auto"/>
              <w:rPr>
                <w:rFonts w:eastAsia="Calibri"/>
                <w:sz w:val="18"/>
                <w:szCs w:val="18"/>
                <w:lang w:val="es-ES" w:eastAsia="en-US"/>
              </w:rPr>
            </w:pPr>
            <w:r w:rsidRPr="00F9509D">
              <w:rPr>
                <w:rFonts w:eastAsia="Calibri"/>
                <w:sz w:val="18"/>
                <w:szCs w:val="18"/>
                <w:lang w:val="es-ES" w:eastAsia="en-US"/>
              </w:rPr>
              <w:t xml:space="preserve">Gastritis </w:t>
            </w:r>
            <w:proofErr w:type="spellStart"/>
            <w:r w:rsidRPr="00F9509D">
              <w:rPr>
                <w:rFonts w:eastAsia="Calibri"/>
                <w:sz w:val="18"/>
                <w:szCs w:val="18"/>
                <w:lang w:val="es-ES" w:eastAsia="en-US"/>
              </w:rPr>
              <w:t>antral</w:t>
            </w:r>
            <w:proofErr w:type="spellEnd"/>
            <w:r w:rsidRPr="00F9509D">
              <w:rPr>
                <w:rFonts w:eastAsia="Calibri"/>
                <w:sz w:val="18"/>
                <w:szCs w:val="18"/>
                <w:lang w:val="es-ES" w:eastAsia="en-US"/>
              </w:rPr>
              <w:t xml:space="preserve"> eritematosa nodular</w:t>
            </w:r>
          </w:p>
        </w:tc>
        <w:tc>
          <w:tcPr>
            <w:tcW w:w="0" w:type="auto"/>
            <w:shd w:val="clear" w:color="auto" w:fill="auto"/>
            <w:vAlign w:val="center"/>
            <w:hideMark/>
          </w:tcPr>
          <w:p w14:paraId="02CACD0B"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7</w:t>
            </w:r>
          </w:p>
        </w:tc>
        <w:tc>
          <w:tcPr>
            <w:tcW w:w="0" w:type="auto"/>
            <w:shd w:val="clear" w:color="auto" w:fill="auto"/>
            <w:vAlign w:val="center"/>
            <w:hideMark/>
          </w:tcPr>
          <w:p w14:paraId="3928BE77"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23,3</w:t>
            </w:r>
          </w:p>
        </w:tc>
      </w:tr>
      <w:tr w:rsidR="00F9509D" w:rsidRPr="00F9509D" w14:paraId="6A187B24" w14:textId="77777777" w:rsidTr="00AB3835">
        <w:trPr>
          <w:trHeight w:val="198"/>
          <w:jc w:val="center"/>
        </w:trPr>
        <w:tc>
          <w:tcPr>
            <w:tcW w:w="0" w:type="auto"/>
            <w:shd w:val="clear" w:color="auto" w:fill="auto"/>
            <w:vAlign w:val="center"/>
            <w:hideMark/>
          </w:tcPr>
          <w:p w14:paraId="3C1BC913" w14:textId="77777777" w:rsidR="00F9509D" w:rsidRPr="00F9509D" w:rsidRDefault="00F9509D" w:rsidP="00F9509D">
            <w:pPr>
              <w:spacing w:line="360" w:lineRule="auto"/>
              <w:rPr>
                <w:rFonts w:eastAsia="Calibri"/>
                <w:sz w:val="18"/>
                <w:szCs w:val="18"/>
                <w:lang w:val="es-ES" w:eastAsia="en-US"/>
              </w:rPr>
            </w:pPr>
            <w:proofErr w:type="spellStart"/>
            <w:r w:rsidRPr="00F9509D">
              <w:rPr>
                <w:rFonts w:eastAsia="Calibri"/>
                <w:sz w:val="18"/>
                <w:szCs w:val="18"/>
                <w:lang w:val="es-ES" w:eastAsia="en-US"/>
              </w:rPr>
              <w:t>Pangastritis</w:t>
            </w:r>
            <w:proofErr w:type="spellEnd"/>
            <w:r w:rsidRPr="00F9509D">
              <w:rPr>
                <w:rFonts w:eastAsia="Calibri"/>
                <w:sz w:val="18"/>
                <w:szCs w:val="18"/>
                <w:lang w:val="es-ES" w:eastAsia="en-US"/>
              </w:rPr>
              <w:t xml:space="preserve"> eritematosa</w:t>
            </w:r>
          </w:p>
        </w:tc>
        <w:tc>
          <w:tcPr>
            <w:tcW w:w="0" w:type="auto"/>
            <w:shd w:val="clear" w:color="auto" w:fill="auto"/>
            <w:vAlign w:val="center"/>
            <w:hideMark/>
          </w:tcPr>
          <w:p w14:paraId="10FDB233"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7</w:t>
            </w:r>
          </w:p>
        </w:tc>
        <w:tc>
          <w:tcPr>
            <w:tcW w:w="0" w:type="auto"/>
            <w:shd w:val="clear" w:color="auto" w:fill="auto"/>
            <w:vAlign w:val="center"/>
            <w:hideMark/>
          </w:tcPr>
          <w:p w14:paraId="6FAA0F43"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23,3</w:t>
            </w:r>
          </w:p>
        </w:tc>
      </w:tr>
      <w:tr w:rsidR="00F9509D" w:rsidRPr="00F9509D" w14:paraId="46E71E93" w14:textId="77777777" w:rsidTr="00AB3835">
        <w:trPr>
          <w:trHeight w:val="160"/>
          <w:jc w:val="center"/>
        </w:trPr>
        <w:tc>
          <w:tcPr>
            <w:tcW w:w="0" w:type="auto"/>
            <w:shd w:val="clear" w:color="auto" w:fill="auto"/>
            <w:vAlign w:val="center"/>
          </w:tcPr>
          <w:p w14:paraId="48391362" w14:textId="77777777" w:rsidR="00F9509D" w:rsidRPr="00F9509D" w:rsidRDefault="00F9509D" w:rsidP="00F9509D">
            <w:pPr>
              <w:spacing w:line="360" w:lineRule="auto"/>
              <w:rPr>
                <w:rFonts w:eastAsia="Calibri"/>
                <w:sz w:val="18"/>
                <w:szCs w:val="18"/>
                <w:lang w:val="es-ES" w:eastAsia="en-US"/>
              </w:rPr>
            </w:pPr>
            <w:r w:rsidRPr="00F9509D">
              <w:rPr>
                <w:rFonts w:eastAsia="Calibri"/>
                <w:sz w:val="18"/>
                <w:szCs w:val="18"/>
                <w:lang w:val="es-ES" w:eastAsia="en-US"/>
              </w:rPr>
              <w:t>Úlcera duodenal</w:t>
            </w:r>
          </w:p>
        </w:tc>
        <w:tc>
          <w:tcPr>
            <w:tcW w:w="0" w:type="auto"/>
            <w:shd w:val="clear" w:color="auto" w:fill="auto"/>
            <w:vAlign w:val="center"/>
          </w:tcPr>
          <w:p w14:paraId="50A96161"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4</w:t>
            </w:r>
          </w:p>
        </w:tc>
        <w:tc>
          <w:tcPr>
            <w:tcW w:w="0" w:type="auto"/>
            <w:shd w:val="clear" w:color="auto" w:fill="auto"/>
            <w:vAlign w:val="center"/>
          </w:tcPr>
          <w:p w14:paraId="0D09AAB8"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13,3</w:t>
            </w:r>
          </w:p>
        </w:tc>
      </w:tr>
      <w:tr w:rsidR="00F9509D" w:rsidRPr="00F9509D" w14:paraId="0B24F43D" w14:textId="77777777" w:rsidTr="00AB3835">
        <w:trPr>
          <w:trHeight w:val="264"/>
          <w:jc w:val="center"/>
        </w:trPr>
        <w:tc>
          <w:tcPr>
            <w:tcW w:w="0" w:type="auto"/>
            <w:shd w:val="clear" w:color="auto" w:fill="auto"/>
            <w:vAlign w:val="center"/>
          </w:tcPr>
          <w:p w14:paraId="2B8CBD0D" w14:textId="77777777" w:rsidR="00F9509D" w:rsidRPr="00F9509D" w:rsidRDefault="00F9509D" w:rsidP="00F9509D">
            <w:pPr>
              <w:spacing w:line="360" w:lineRule="auto"/>
              <w:rPr>
                <w:rFonts w:eastAsia="Calibri"/>
                <w:sz w:val="18"/>
                <w:szCs w:val="18"/>
                <w:lang w:val="es-ES" w:eastAsia="en-US"/>
              </w:rPr>
            </w:pPr>
            <w:proofErr w:type="spellStart"/>
            <w:r w:rsidRPr="00F9509D">
              <w:rPr>
                <w:rFonts w:eastAsia="Calibri"/>
                <w:sz w:val="18"/>
                <w:szCs w:val="18"/>
                <w:lang w:val="es-ES" w:eastAsia="en-US"/>
              </w:rPr>
              <w:t>Pangastritis</w:t>
            </w:r>
            <w:proofErr w:type="spellEnd"/>
            <w:r w:rsidRPr="00F9509D">
              <w:rPr>
                <w:rFonts w:eastAsia="Calibri"/>
                <w:sz w:val="18"/>
                <w:szCs w:val="18"/>
                <w:lang w:val="es-ES" w:eastAsia="en-US"/>
              </w:rPr>
              <w:t xml:space="preserve"> eritematosa nodular</w:t>
            </w:r>
          </w:p>
        </w:tc>
        <w:tc>
          <w:tcPr>
            <w:tcW w:w="0" w:type="auto"/>
            <w:shd w:val="clear" w:color="auto" w:fill="auto"/>
            <w:vAlign w:val="center"/>
          </w:tcPr>
          <w:p w14:paraId="513D78C8"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4</w:t>
            </w:r>
          </w:p>
        </w:tc>
        <w:tc>
          <w:tcPr>
            <w:tcW w:w="0" w:type="auto"/>
            <w:shd w:val="clear" w:color="auto" w:fill="auto"/>
            <w:vAlign w:val="center"/>
          </w:tcPr>
          <w:p w14:paraId="3E4F816C"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13,3</w:t>
            </w:r>
          </w:p>
        </w:tc>
      </w:tr>
      <w:tr w:rsidR="00F9509D" w:rsidRPr="00F9509D" w14:paraId="0AA4C9F4" w14:textId="77777777" w:rsidTr="00AB3835">
        <w:trPr>
          <w:trHeight w:val="226"/>
          <w:jc w:val="center"/>
        </w:trPr>
        <w:tc>
          <w:tcPr>
            <w:tcW w:w="0" w:type="auto"/>
            <w:shd w:val="clear" w:color="auto" w:fill="auto"/>
            <w:vAlign w:val="center"/>
          </w:tcPr>
          <w:p w14:paraId="23BA8022" w14:textId="77777777" w:rsidR="00F9509D" w:rsidRPr="00F9509D" w:rsidRDefault="00F9509D" w:rsidP="00F9509D">
            <w:pPr>
              <w:spacing w:line="360" w:lineRule="auto"/>
              <w:rPr>
                <w:rFonts w:eastAsia="Calibri"/>
                <w:sz w:val="18"/>
                <w:szCs w:val="18"/>
                <w:lang w:val="es-ES" w:eastAsia="en-US"/>
              </w:rPr>
            </w:pPr>
            <w:r w:rsidRPr="00F9509D">
              <w:rPr>
                <w:rFonts w:eastAsia="Calibri"/>
                <w:sz w:val="18"/>
                <w:szCs w:val="18"/>
                <w:lang w:val="es-ES" w:eastAsia="en-US"/>
              </w:rPr>
              <w:t>Úlcera gástrica</w:t>
            </w:r>
          </w:p>
        </w:tc>
        <w:tc>
          <w:tcPr>
            <w:tcW w:w="0" w:type="auto"/>
            <w:shd w:val="clear" w:color="auto" w:fill="auto"/>
            <w:vAlign w:val="center"/>
          </w:tcPr>
          <w:p w14:paraId="44D26621"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2</w:t>
            </w:r>
          </w:p>
        </w:tc>
        <w:tc>
          <w:tcPr>
            <w:tcW w:w="0" w:type="auto"/>
            <w:shd w:val="clear" w:color="auto" w:fill="auto"/>
            <w:vAlign w:val="center"/>
          </w:tcPr>
          <w:p w14:paraId="56A4C84B"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6,6</w:t>
            </w:r>
          </w:p>
        </w:tc>
      </w:tr>
    </w:tbl>
    <w:p w14:paraId="6EE44DE9" w14:textId="77777777" w:rsidR="00F9509D" w:rsidRPr="00F9509D" w:rsidRDefault="00F9509D" w:rsidP="00F9509D">
      <w:pPr>
        <w:spacing w:line="360" w:lineRule="auto"/>
        <w:ind w:firstLine="708"/>
        <w:rPr>
          <w:rFonts w:eastAsia="Calibri"/>
          <w:lang w:val="es-VE" w:eastAsia="en-US"/>
        </w:rPr>
      </w:pPr>
    </w:p>
    <w:p w14:paraId="478DCD4B"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La tabla 3 muestra las frecuencias del diagnóstico histopatológico. La gastritis crónica atrófica moderada fue el más frecuente en 12 (40 %) pacientes, seguido de la gastritis crónica no atrófica (8; 26,6 %). Solo 1 paciente (3,3 %) presentó metaplasia intestinal. </w:t>
      </w:r>
    </w:p>
    <w:p w14:paraId="26099495"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p>
    <w:p w14:paraId="3DED6C00" w14:textId="77777777" w:rsidR="00D71501" w:rsidRDefault="00D71501">
      <w:pPr>
        <w:rPr>
          <w:rFonts w:eastAsia="Calibri"/>
          <w:b/>
          <w:color w:val="000000"/>
          <w:sz w:val="22"/>
          <w:szCs w:val="22"/>
          <w:lang w:val="es-ES" w:eastAsia="en-US"/>
        </w:rPr>
      </w:pPr>
      <w:r>
        <w:rPr>
          <w:rFonts w:eastAsia="Calibri"/>
          <w:b/>
          <w:color w:val="000000"/>
          <w:sz w:val="22"/>
          <w:szCs w:val="22"/>
          <w:lang w:val="es-ES" w:eastAsia="en-US"/>
        </w:rPr>
        <w:br w:type="page"/>
      </w:r>
    </w:p>
    <w:p w14:paraId="5895E5E7" w14:textId="278BEC1A" w:rsidR="00F9509D" w:rsidRPr="00F9509D" w:rsidRDefault="00F9509D" w:rsidP="00F9509D">
      <w:pPr>
        <w:autoSpaceDE w:val="0"/>
        <w:autoSpaceDN w:val="0"/>
        <w:adjustRightInd w:val="0"/>
        <w:spacing w:line="360" w:lineRule="auto"/>
        <w:jc w:val="center"/>
        <w:rPr>
          <w:rFonts w:eastAsia="Calibri"/>
          <w:color w:val="000000"/>
          <w:sz w:val="22"/>
          <w:szCs w:val="22"/>
          <w:lang w:val="es-ES" w:eastAsia="en-US"/>
        </w:rPr>
      </w:pPr>
      <w:r w:rsidRPr="00F9509D">
        <w:rPr>
          <w:rFonts w:eastAsia="Calibri"/>
          <w:b/>
          <w:color w:val="000000"/>
          <w:sz w:val="22"/>
          <w:szCs w:val="22"/>
          <w:lang w:val="es-ES" w:eastAsia="en-US"/>
        </w:rPr>
        <w:lastRenderedPageBreak/>
        <w:t>Tabla 3 -</w:t>
      </w:r>
      <w:r w:rsidRPr="00F9509D">
        <w:rPr>
          <w:rFonts w:eastAsia="Calibri"/>
          <w:color w:val="000000"/>
          <w:sz w:val="22"/>
          <w:szCs w:val="22"/>
          <w:lang w:val="es-ES" w:eastAsia="en-US"/>
        </w:rPr>
        <w:t xml:space="preserve"> Diagnóstico histopatológico en pacientes tratados con triple terapia y leche fermentada simbiótica </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106"/>
        <w:gridCol w:w="643"/>
        <w:gridCol w:w="798"/>
      </w:tblGrid>
      <w:tr w:rsidR="00F9509D" w:rsidRPr="00F9509D" w14:paraId="16F22FC3" w14:textId="77777777" w:rsidTr="00AB3835">
        <w:trPr>
          <w:trHeight w:val="342"/>
          <w:jc w:val="center"/>
        </w:trPr>
        <w:tc>
          <w:tcPr>
            <w:tcW w:w="4106" w:type="dxa"/>
            <w:shd w:val="clear" w:color="auto" w:fill="FFFFFF"/>
            <w:vAlign w:val="center"/>
          </w:tcPr>
          <w:p w14:paraId="09A1BD97" w14:textId="77777777" w:rsidR="00F9509D" w:rsidRPr="00F9509D" w:rsidRDefault="00F9509D" w:rsidP="00F9509D">
            <w:pPr>
              <w:spacing w:line="360" w:lineRule="auto"/>
              <w:jc w:val="center"/>
              <w:rPr>
                <w:rFonts w:eastAsia="Calibri"/>
                <w:b/>
                <w:bCs/>
                <w:sz w:val="18"/>
                <w:szCs w:val="18"/>
                <w:lang w:val="es-ES" w:eastAsia="en-US"/>
              </w:rPr>
            </w:pPr>
            <w:r w:rsidRPr="00F9509D">
              <w:rPr>
                <w:rFonts w:eastAsia="Calibri"/>
                <w:b/>
                <w:bCs/>
                <w:sz w:val="18"/>
                <w:szCs w:val="18"/>
                <w:lang w:val="es-ES" w:eastAsia="en-US"/>
              </w:rPr>
              <w:t>Diagnósticos histológicos</w:t>
            </w:r>
          </w:p>
        </w:tc>
        <w:tc>
          <w:tcPr>
            <w:tcW w:w="643" w:type="dxa"/>
            <w:shd w:val="clear" w:color="auto" w:fill="FFFFFF"/>
            <w:vAlign w:val="center"/>
          </w:tcPr>
          <w:p w14:paraId="1CF30833" w14:textId="77777777" w:rsidR="00F9509D" w:rsidRPr="00F9509D" w:rsidRDefault="00F9509D" w:rsidP="00F9509D">
            <w:pPr>
              <w:spacing w:line="360" w:lineRule="auto"/>
              <w:jc w:val="center"/>
              <w:rPr>
                <w:rFonts w:eastAsia="Calibri"/>
                <w:b/>
                <w:sz w:val="18"/>
                <w:szCs w:val="18"/>
                <w:lang w:val="es-ES" w:eastAsia="en-US"/>
              </w:rPr>
            </w:pPr>
            <w:r w:rsidRPr="00F9509D">
              <w:rPr>
                <w:rFonts w:eastAsia="Calibri"/>
                <w:b/>
                <w:sz w:val="18"/>
                <w:szCs w:val="18"/>
                <w:lang w:val="es-ES" w:eastAsia="en-US"/>
              </w:rPr>
              <w:t>n</w:t>
            </w:r>
          </w:p>
        </w:tc>
        <w:tc>
          <w:tcPr>
            <w:tcW w:w="798" w:type="dxa"/>
            <w:shd w:val="clear" w:color="auto" w:fill="FFFFFF"/>
            <w:vAlign w:val="center"/>
          </w:tcPr>
          <w:p w14:paraId="328E44CD" w14:textId="77777777" w:rsidR="00F9509D" w:rsidRPr="00F9509D" w:rsidRDefault="00F9509D" w:rsidP="00F9509D">
            <w:pPr>
              <w:spacing w:line="360" w:lineRule="auto"/>
              <w:jc w:val="center"/>
              <w:rPr>
                <w:rFonts w:eastAsia="Calibri"/>
                <w:b/>
                <w:sz w:val="18"/>
                <w:szCs w:val="18"/>
                <w:lang w:val="es-ES" w:eastAsia="en-US"/>
              </w:rPr>
            </w:pPr>
            <w:r w:rsidRPr="00F9509D">
              <w:rPr>
                <w:rFonts w:eastAsia="Calibri"/>
                <w:b/>
                <w:sz w:val="18"/>
                <w:szCs w:val="18"/>
                <w:lang w:val="es-ES" w:eastAsia="en-US"/>
              </w:rPr>
              <w:t>%</w:t>
            </w:r>
          </w:p>
        </w:tc>
      </w:tr>
      <w:tr w:rsidR="00F9509D" w:rsidRPr="00F9509D" w14:paraId="7D4CABF0" w14:textId="77777777" w:rsidTr="00AB3835">
        <w:trPr>
          <w:trHeight w:val="263"/>
          <w:jc w:val="center"/>
        </w:trPr>
        <w:tc>
          <w:tcPr>
            <w:tcW w:w="4106" w:type="dxa"/>
            <w:shd w:val="clear" w:color="auto" w:fill="FFFFFF"/>
            <w:vAlign w:val="center"/>
          </w:tcPr>
          <w:p w14:paraId="641F03A9" w14:textId="77777777" w:rsidR="00F9509D" w:rsidRPr="00F9509D" w:rsidRDefault="00F9509D" w:rsidP="00F9509D">
            <w:pPr>
              <w:spacing w:line="360" w:lineRule="auto"/>
              <w:rPr>
                <w:rFonts w:eastAsia="Calibri"/>
                <w:bCs/>
                <w:color w:val="000000"/>
                <w:sz w:val="18"/>
                <w:szCs w:val="18"/>
                <w:lang w:val="es-ES" w:eastAsia="en-US"/>
              </w:rPr>
            </w:pPr>
            <w:r w:rsidRPr="00F9509D">
              <w:rPr>
                <w:rFonts w:eastAsia="Calibri"/>
                <w:bCs/>
                <w:color w:val="000000"/>
                <w:sz w:val="18"/>
                <w:szCs w:val="18"/>
                <w:lang w:val="es-ES" w:eastAsia="en-US"/>
              </w:rPr>
              <w:t>Gastritis crónica atrófica moderada</w:t>
            </w:r>
          </w:p>
        </w:tc>
        <w:tc>
          <w:tcPr>
            <w:tcW w:w="643" w:type="dxa"/>
            <w:shd w:val="clear" w:color="auto" w:fill="FFFFFF"/>
            <w:vAlign w:val="center"/>
          </w:tcPr>
          <w:p w14:paraId="14DC509A"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12</w:t>
            </w:r>
          </w:p>
        </w:tc>
        <w:tc>
          <w:tcPr>
            <w:tcW w:w="798" w:type="dxa"/>
            <w:shd w:val="clear" w:color="auto" w:fill="FFFFFF"/>
            <w:vAlign w:val="center"/>
          </w:tcPr>
          <w:p w14:paraId="630CCE21"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40</w:t>
            </w:r>
          </w:p>
        </w:tc>
      </w:tr>
      <w:tr w:rsidR="00F9509D" w:rsidRPr="00F9509D" w14:paraId="3298C0F2" w14:textId="77777777" w:rsidTr="00AB3835">
        <w:trPr>
          <w:trHeight w:val="96"/>
          <w:jc w:val="center"/>
        </w:trPr>
        <w:tc>
          <w:tcPr>
            <w:tcW w:w="4106" w:type="dxa"/>
            <w:shd w:val="clear" w:color="auto" w:fill="FFFFFF"/>
            <w:vAlign w:val="center"/>
          </w:tcPr>
          <w:p w14:paraId="016D223C" w14:textId="77777777" w:rsidR="00F9509D" w:rsidRPr="00F9509D" w:rsidRDefault="00F9509D" w:rsidP="00F9509D">
            <w:pPr>
              <w:spacing w:line="360" w:lineRule="auto"/>
              <w:rPr>
                <w:rFonts w:eastAsia="Calibri"/>
                <w:bCs/>
                <w:color w:val="000000"/>
                <w:sz w:val="18"/>
                <w:szCs w:val="18"/>
                <w:lang w:val="es-ES" w:eastAsia="en-US"/>
              </w:rPr>
            </w:pPr>
            <w:r w:rsidRPr="00F9509D">
              <w:rPr>
                <w:rFonts w:eastAsia="Calibri"/>
                <w:bCs/>
                <w:color w:val="000000"/>
                <w:sz w:val="18"/>
                <w:szCs w:val="18"/>
                <w:lang w:val="es-ES" w:eastAsia="en-US"/>
              </w:rPr>
              <w:t>Gastritis crónica no atrófica</w:t>
            </w:r>
          </w:p>
        </w:tc>
        <w:tc>
          <w:tcPr>
            <w:tcW w:w="643" w:type="dxa"/>
            <w:shd w:val="clear" w:color="auto" w:fill="FFFFFF"/>
            <w:vAlign w:val="center"/>
          </w:tcPr>
          <w:p w14:paraId="52C6F7A4"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8</w:t>
            </w:r>
          </w:p>
        </w:tc>
        <w:tc>
          <w:tcPr>
            <w:tcW w:w="798" w:type="dxa"/>
            <w:shd w:val="clear" w:color="auto" w:fill="FFFFFF"/>
            <w:vAlign w:val="center"/>
          </w:tcPr>
          <w:p w14:paraId="36172FFD"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26,6</w:t>
            </w:r>
          </w:p>
        </w:tc>
      </w:tr>
      <w:tr w:rsidR="00F9509D" w:rsidRPr="00F9509D" w14:paraId="1CAE1113" w14:textId="77777777" w:rsidTr="00AB3835">
        <w:trPr>
          <w:trHeight w:val="201"/>
          <w:jc w:val="center"/>
        </w:trPr>
        <w:tc>
          <w:tcPr>
            <w:tcW w:w="4106" w:type="dxa"/>
            <w:shd w:val="clear" w:color="auto" w:fill="FFFFFF"/>
            <w:vAlign w:val="center"/>
          </w:tcPr>
          <w:p w14:paraId="292EDB0F" w14:textId="77777777" w:rsidR="00F9509D" w:rsidRPr="00F9509D" w:rsidRDefault="00F9509D" w:rsidP="00F9509D">
            <w:pPr>
              <w:spacing w:line="360" w:lineRule="auto"/>
              <w:rPr>
                <w:rFonts w:eastAsia="Calibri"/>
                <w:bCs/>
                <w:color w:val="000000"/>
                <w:sz w:val="18"/>
                <w:szCs w:val="18"/>
                <w:lang w:val="es-ES" w:eastAsia="en-US"/>
              </w:rPr>
            </w:pPr>
            <w:r w:rsidRPr="00F9509D">
              <w:rPr>
                <w:rFonts w:eastAsia="Calibri"/>
                <w:bCs/>
                <w:color w:val="000000"/>
                <w:sz w:val="18"/>
                <w:szCs w:val="18"/>
                <w:lang w:val="es-ES" w:eastAsia="en-US"/>
              </w:rPr>
              <w:t>Gastritis crónica atrófica ligera</w:t>
            </w:r>
          </w:p>
        </w:tc>
        <w:tc>
          <w:tcPr>
            <w:tcW w:w="643" w:type="dxa"/>
            <w:shd w:val="clear" w:color="auto" w:fill="FFFFFF"/>
            <w:vAlign w:val="center"/>
          </w:tcPr>
          <w:p w14:paraId="05968B72"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7</w:t>
            </w:r>
          </w:p>
        </w:tc>
        <w:tc>
          <w:tcPr>
            <w:tcW w:w="798" w:type="dxa"/>
            <w:shd w:val="clear" w:color="auto" w:fill="FFFFFF"/>
            <w:vAlign w:val="center"/>
          </w:tcPr>
          <w:p w14:paraId="7B704258" w14:textId="77777777" w:rsidR="00F9509D" w:rsidRPr="00F9509D" w:rsidRDefault="00F9509D" w:rsidP="00F9509D">
            <w:pPr>
              <w:spacing w:line="360" w:lineRule="auto"/>
              <w:jc w:val="center"/>
              <w:rPr>
                <w:rFonts w:eastAsia="Calibri"/>
                <w:color w:val="000000"/>
                <w:sz w:val="18"/>
                <w:szCs w:val="18"/>
                <w:lang w:val="es-ES" w:eastAsia="en-US"/>
              </w:rPr>
            </w:pPr>
            <w:r w:rsidRPr="00F9509D">
              <w:rPr>
                <w:rFonts w:eastAsia="Calibri"/>
                <w:color w:val="000000"/>
                <w:sz w:val="18"/>
                <w:szCs w:val="18"/>
                <w:lang w:val="es-ES" w:eastAsia="en-US"/>
              </w:rPr>
              <w:t>23,3</w:t>
            </w:r>
          </w:p>
        </w:tc>
      </w:tr>
      <w:tr w:rsidR="00F9509D" w:rsidRPr="00F9509D" w14:paraId="6C829C14" w14:textId="77777777" w:rsidTr="00AB3835">
        <w:trPr>
          <w:trHeight w:val="162"/>
          <w:jc w:val="center"/>
        </w:trPr>
        <w:tc>
          <w:tcPr>
            <w:tcW w:w="4106" w:type="dxa"/>
            <w:shd w:val="clear" w:color="auto" w:fill="FFFFFF"/>
            <w:vAlign w:val="center"/>
          </w:tcPr>
          <w:p w14:paraId="5CD1B6FB" w14:textId="77777777" w:rsidR="00F9509D" w:rsidRPr="00F9509D" w:rsidRDefault="00F9509D" w:rsidP="00F9509D">
            <w:pPr>
              <w:spacing w:line="360" w:lineRule="auto"/>
              <w:rPr>
                <w:rFonts w:eastAsia="Calibri"/>
                <w:bCs/>
                <w:sz w:val="18"/>
                <w:szCs w:val="18"/>
                <w:lang w:val="es-ES" w:eastAsia="en-US"/>
              </w:rPr>
            </w:pPr>
            <w:r w:rsidRPr="00F9509D">
              <w:rPr>
                <w:rFonts w:eastAsia="Calibri"/>
                <w:bCs/>
                <w:sz w:val="18"/>
                <w:szCs w:val="18"/>
                <w:lang w:val="es-ES" w:eastAsia="en-US"/>
              </w:rPr>
              <w:t>Gastritis crónica atrófica severa</w:t>
            </w:r>
          </w:p>
        </w:tc>
        <w:tc>
          <w:tcPr>
            <w:tcW w:w="643" w:type="dxa"/>
            <w:shd w:val="clear" w:color="auto" w:fill="FFFFFF"/>
            <w:vAlign w:val="center"/>
          </w:tcPr>
          <w:p w14:paraId="7465940C"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2</w:t>
            </w:r>
          </w:p>
        </w:tc>
        <w:tc>
          <w:tcPr>
            <w:tcW w:w="798" w:type="dxa"/>
            <w:shd w:val="clear" w:color="auto" w:fill="FFFFFF"/>
            <w:vAlign w:val="center"/>
          </w:tcPr>
          <w:p w14:paraId="77ED7A88"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6,6</w:t>
            </w:r>
          </w:p>
        </w:tc>
      </w:tr>
      <w:tr w:rsidR="00F9509D" w:rsidRPr="00F9509D" w14:paraId="7F174548" w14:textId="77777777" w:rsidTr="00AB3835">
        <w:trPr>
          <w:trHeight w:val="252"/>
          <w:jc w:val="center"/>
        </w:trPr>
        <w:tc>
          <w:tcPr>
            <w:tcW w:w="4106" w:type="dxa"/>
            <w:shd w:val="clear" w:color="auto" w:fill="FFFFFF"/>
            <w:vAlign w:val="center"/>
          </w:tcPr>
          <w:p w14:paraId="69AAA206" w14:textId="77777777" w:rsidR="00F9509D" w:rsidRPr="00F9509D" w:rsidRDefault="00F9509D" w:rsidP="00F9509D">
            <w:pPr>
              <w:spacing w:line="360" w:lineRule="auto"/>
              <w:rPr>
                <w:rFonts w:eastAsia="Calibri"/>
                <w:bCs/>
                <w:sz w:val="18"/>
                <w:szCs w:val="18"/>
                <w:lang w:val="es-ES" w:eastAsia="en-US"/>
              </w:rPr>
            </w:pPr>
            <w:r w:rsidRPr="00F9509D">
              <w:rPr>
                <w:rFonts w:eastAsia="Calibri"/>
                <w:bCs/>
                <w:sz w:val="18"/>
                <w:szCs w:val="18"/>
                <w:lang w:val="es-ES" w:eastAsia="en-US"/>
              </w:rPr>
              <w:t>Gastritis crónica atrófica con metaplasia intestinal</w:t>
            </w:r>
          </w:p>
        </w:tc>
        <w:tc>
          <w:tcPr>
            <w:tcW w:w="643" w:type="dxa"/>
            <w:shd w:val="clear" w:color="auto" w:fill="FFFFFF"/>
            <w:vAlign w:val="center"/>
          </w:tcPr>
          <w:p w14:paraId="5216BCA3"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1</w:t>
            </w:r>
          </w:p>
        </w:tc>
        <w:tc>
          <w:tcPr>
            <w:tcW w:w="798" w:type="dxa"/>
            <w:shd w:val="clear" w:color="auto" w:fill="FFFFFF"/>
            <w:vAlign w:val="center"/>
          </w:tcPr>
          <w:p w14:paraId="4D4F87BD"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3,3</w:t>
            </w:r>
          </w:p>
        </w:tc>
      </w:tr>
      <w:tr w:rsidR="00F9509D" w:rsidRPr="00F9509D" w14:paraId="09C4BE07" w14:textId="77777777" w:rsidTr="00AB3835">
        <w:trPr>
          <w:trHeight w:val="332"/>
          <w:jc w:val="center"/>
        </w:trPr>
        <w:tc>
          <w:tcPr>
            <w:tcW w:w="4106" w:type="dxa"/>
            <w:shd w:val="clear" w:color="auto" w:fill="FFFFFF"/>
            <w:vAlign w:val="center"/>
          </w:tcPr>
          <w:p w14:paraId="3AC9E360" w14:textId="77777777" w:rsidR="00F9509D" w:rsidRPr="00F9509D" w:rsidRDefault="00F9509D" w:rsidP="00F9509D">
            <w:pPr>
              <w:spacing w:line="360" w:lineRule="auto"/>
              <w:rPr>
                <w:rFonts w:eastAsia="Calibri"/>
                <w:sz w:val="18"/>
                <w:szCs w:val="18"/>
                <w:lang w:val="es-ES" w:eastAsia="en-US"/>
              </w:rPr>
            </w:pPr>
            <w:r w:rsidRPr="00F9509D">
              <w:rPr>
                <w:rFonts w:eastAsia="Calibri"/>
                <w:sz w:val="18"/>
                <w:szCs w:val="18"/>
                <w:lang w:val="es-ES" w:eastAsia="en-US"/>
              </w:rPr>
              <w:t>Total</w:t>
            </w:r>
          </w:p>
        </w:tc>
        <w:tc>
          <w:tcPr>
            <w:tcW w:w="643" w:type="dxa"/>
            <w:shd w:val="clear" w:color="auto" w:fill="FFFFFF"/>
            <w:vAlign w:val="center"/>
          </w:tcPr>
          <w:p w14:paraId="6E24BC67"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30</w:t>
            </w:r>
          </w:p>
        </w:tc>
        <w:tc>
          <w:tcPr>
            <w:tcW w:w="798" w:type="dxa"/>
            <w:shd w:val="clear" w:color="auto" w:fill="FFFFFF"/>
            <w:vAlign w:val="center"/>
          </w:tcPr>
          <w:p w14:paraId="125CB627" w14:textId="77777777" w:rsidR="00F9509D" w:rsidRPr="00F9509D" w:rsidRDefault="00F9509D" w:rsidP="00F9509D">
            <w:pPr>
              <w:spacing w:line="360" w:lineRule="auto"/>
              <w:jc w:val="center"/>
              <w:rPr>
                <w:rFonts w:eastAsia="Calibri"/>
                <w:sz w:val="18"/>
                <w:szCs w:val="18"/>
                <w:lang w:val="es-ES" w:eastAsia="en-US"/>
              </w:rPr>
            </w:pPr>
            <w:r w:rsidRPr="00F9509D">
              <w:rPr>
                <w:rFonts w:eastAsia="Calibri"/>
                <w:sz w:val="18"/>
                <w:szCs w:val="18"/>
                <w:lang w:val="es-ES" w:eastAsia="en-US"/>
              </w:rPr>
              <w:t>100</w:t>
            </w:r>
          </w:p>
        </w:tc>
      </w:tr>
    </w:tbl>
    <w:p w14:paraId="5BBACD6F"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p>
    <w:p w14:paraId="286812B0" w14:textId="77777777" w:rsidR="00F9509D" w:rsidRPr="00F9509D" w:rsidRDefault="00F9509D" w:rsidP="00F9509D">
      <w:pPr>
        <w:autoSpaceDE w:val="0"/>
        <w:autoSpaceDN w:val="0"/>
        <w:adjustRightInd w:val="0"/>
        <w:spacing w:line="360" w:lineRule="auto"/>
        <w:rPr>
          <w:rFonts w:eastAsia="Calibri"/>
          <w:b/>
          <w:color w:val="000000"/>
          <w:lang w:val="es-ES" w:eastAsia="en-US"/>
        </w:rPr>
      </w:pPr>
    </w:p>
    <w:p w14:paraId="3BA1AAFA" w14:textId="77777777" w:rsidR="00F9509D" w:rsidRPr="00F9509D" w:rsidRDefault="00F9509D" w:rsidP="00F9509D">
      <w:pPr>
        <w:autoSpaceDE w:val="0"/>
        <w:autoSpaceDN w:val="0"/>
        <w:adjustRightInd w:val="0"/>
        <w:spacing w:line="360" w:lineRule="auto"/>
        <w:jc w:val="center"/>
        <w:rPr>
          <w:rFonts w:eastAsia="Calibri"/>
          <w:b/>
          <w:color w:val="000000"/>
          <w:sz w:val="32"/>
          <w:szCs w:val="32"/>
          <w:lang w:val="es-ES" w:eastAsia="en-US"/>
        </w:rPr>
      </w:pPr>
      <w:r w:rsidRPr="00F9509D">
        <w:rPr>
          <w:rFonts w:eastAsia="Calibri"/>
          <w:b/>
          <w:color w:val="000000"/>
          <w:sz w:val="32"/>
          <w:szCs w:val="32"/>
          <w:lang w:val="es-ES" w:eastAsia="en-US"/>
        </w:rPr>
        <w:t>DISCUSIÓN</w:t>
      </w:r>
    </w:p>
    <w:p w14:paraId="442905C6" w14:textId="77777777" w:rsidR="00F9509D" w:rsidRPr="00F9509D" w:rsidRDefault="00F9509D" w:rsidP="00F9509D">
      <w:pPr>
        <w:autoSpaceDE w:val="0"/>
        <w:autoSpaceDN w:val="0"/>
        <w:adjustRightInd w:val="0"/>
        <w:spacing w:line="360" w:lineRule="auto"/>
        <w:jc w:val="both"/>
        <w:rPr>
          <w:rFonts w:eastAsia="Calibri"/>
          <w:color w:val="000000"/>
          <w:vertAlign w:val="superscript"/>
          <w:lang w:val="es-ES" w:eastAsia="en-US"/>
        </w:rPr>
      </w:pPr>
      <w:r w:rsidRPr="00F9509D">
        <w:rPr>
          <w:rFonts w:eastAsia="Calibri"/>
          <w:color w:val="000000"/>
          <w:lang w:val="es-ES" w:eastAsia="en-US"/>
        </w:rPr>
        <w:t xml:space="preserve">Las características demográficas en este estudio fueron similares a lo reportado en la literatura, que indica una elevada prevalencia de la infección por </w:t>
      </w:r>
      <w:r w:rsidRPr="00F9509D">
        <w:rPr>
          <w:rFonts w:eastAsia="Calibri"/>
          <w:i/>
          <w:iCs/>
          <w:color w:val="000000"/>
          <w:lang w:val="es-ES" w:eastAsia="en-US"/>
        </w:rPr>
        <w:t xml:space="preserve">H. pylori </w:t>
      </w:r>
      <w:r w:rsidRPr="00F9509D">
        <w:rPr>
          <w:rFonts w:eastAsia="Calibri"/>
          <w:color w:val="000000"/>
          <w:lang w:val="es-ES" w:eastAsia="en-US"/>
        </w:rPr>
        <w:t>en el grupo etario por encima de 40 años. Los resultados en cuanto al sexo son discordantes.</w:t>
      </w:r>
      <w:r w:rsidRPr="00F9509D">
        <w:rPr>
          <w:rFonts w:eastAsia="Calibri"/>
          <w:color w:val="000000"/>
          <w:vertAlign w:val="superscript"/>
          <w:lang w:val="es-ES" w:eastAsia="en-US"/>
        </w:rPr>
        <w:t xml:space="preserve">(5,14) </w:t>
      </w:r>
      <w:r w:rsidRPr="00F9509D">
        <w:rPr>
          <w:rFonts w:eastAsia="Calibri"/>
          <w:color w:val="000000"/>
          <w:lang w:val="es-ES" w:eastAsia="en-US"/>
        </w:rPr>
        <w:t>La epigastralgia y la dispepsia son síntomas frecuentes de indicación de endoscopia digestiva superior, lo cual coincide con lo reportado en esta investigación.</w:t>
      </w:r>
      <w:r w:rsidRPr="00F9509D">
        <w:rPr>
          <w:rFonts w:eastAsia="Calibri"/>
          <w:color w:val="000000"/>
          <w:vertAlign w:val="superscript"/>
          <w:lang w:val="es-ES" w:eastAsia="en-US"/>
        </w:rPr>
        <w:t>(15)</w:t>
      </w:r>
    </w:p>
    <w:p w14:paraId="74CF454F"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color w:val="000000"/>
          <w:lang w:val="es-ES" w:eastAsia="en-US"/>
        </w:rPr>
        <w:t xml:space="preserve">La dispepsia es un síntoma relacionado con la infección por </w:t>
      </w:r>
      <w:r w:rsidRPr="00F9509D">
        <w:rPr>
          <w:rFonts w:eastAsia="Calibri"/>
          <w:i/>
          <w:iCs/>
          <w:color w:val="000000"/>
          <w:lang w:val="es-ES" w:eastAsia="en-US"/>
        </w:rPr>
        <w:t>H. pylori</w:t>
      </w:r>
      <w:r w:rsidRPr="00F9509D">
        <w:rPr>
          <w:rFonts w:eastAsia="Calibri"/>
          <w:color w:val="000000"/>
          <w:lang w:val="es-ES" w:eastAsia="en-US"/>
        </w:rPr>
        <w:t xml:space="preserve"> y constituye la indicación más frecuente de endoscopia digestiva superior y de tratamiento </w:t>
      </w:r>
      <w:proofErr w:type="spellStart"/>
      <w:r w:rsidRPr="00F9509D">
        <w:rPr>
          <w:rFonts w:eastAsia="Calibri"/>
          <w:color w:val="000000"/>
          <w:lang w:val="es-ES" w:eastAsia="en-US"/>
        </w:rPr>
        <w:t>erradicador</w:t>
      </w:r>
      <w:proofErr w:type="spellEnd"/>
      <w:r w:rsidRPr="00F9509D">
        <w:rPr>
          <w:rFonts w:eastAsia="Calibri"/>
          <w:color w:val="000000"/>
          <w:lang w:val="es-ES" w:eastAsia="en-US"/>
        </w:rPr>
        <w:t>.</w:t>
      </w:r>
      <w:r w:rsidRPr="00F9509D">
        <w:rPr>
          <w:rFonts w:eastAsia="Calibri"/>
          <w:color w:val="000000"/>
          <w:vertAlign w:val="superscript"/>
          <w:lang w:val="es-ES" w:eastAsia="en-US"/>
        </w:rPr>
        <w:t>(16)</w:t>
      </w:r>
      <w:r w:rsidRPr="00F9509D">
        <w:rPr>
          <w:rFonts w:eastAsia="Calibri"/>
          <w:color w:val="000000"/>
          <w:lang w:val="es-ES" w:eastAsia="en-US"/>
        </w:rPr>
        <w:t xml:space="preserve"> Una investigación realizada por </w:t>
      </w:r>
      <w:r w:rsidRPr="00F9509D">
        <w:rPr>
          <w:rFonts w:eastAsia="Calibri"/>
          <w:i/>
          <w:color w:val="000000"/>
          <w:lang w:val="es-ES" w:eastAsia="en-US"/>
        </w:rPr>
        <w:t>Martínez</w:t>
      </w:r>
      <w:r w:rsidRPr="00F9509D">
        <w:rPr>
          <w:rFonts w:eastAsia="Calibri"/>
          <w:color w:val="000000"/>
          <w:lang w:val="es-ES" w:eastAsia="en-US"/>
        </w:rPr>
        <w:t xml:space="preserve"> y otros,</w:t>
      </w:r>
      <w:r w:rsidRPr="00F9509D">
        <w:rPr>
          <w:rFonts w:eastAsia="Calibri"/>
          <w:color w:val="000000"/>
          <w:vertAlign w:val="superscript"/>
          <w:lang w:val="es-ES" w:eastAsia="en-US"/>
        </w:rPr>
        <w:t xml:space="preserve">(17) </w:t>
      </w:r>
      <w:r w:rsidRPr="00F9509D">
        <w:rPr>
          <w:rFonts w:eastAsia="Calibri"/>
          <w:color w:val="000000"/>
          <w:lang w:val="es-ES" w:eastAsia="en-US"/>
        </w:rPr>
        <w:t xml:space="preserve">describe una elevada prevalencia de la infección en pacientes dispépticos. </w:t>
      </w:r>
    </w:p>
    <w:p w14:paraId="4EA2D35F" w14:textId="77777777" w:rsidR="00F9509D" w:rsidRPr="00F9509D" w:rsidRDefault="00F9509D" w:rsidP="00F9509D">
      <w:pPr>
        <w:autoSpaceDE w:val="0"/>
        <w:autoSpaceDN w:val="0"/>
        <w:adjustRightInd w:val="0"/>
        <w:spacing w:line="360" w:lineRule="auto"/>
        <w:jc w:val="both"/>
        <w:rPr>
          <w:rFonts w:eastAsia="Calibri"/>
          <w:vertAlign w:val="superscript"/>
          <w:lang w:val="es-ES" w:eastAsia="en-US"/>
        </w:rPr>
      </w:pPr>
      <w:r w:rsidRPr="00F9509D">
        <w:rPr>
          <w:rFonts w:eastAsia="Calibri"/>
          <w:lang w:val="es-ES" w:eastAsia="en-US"/>
        </w:rPr>
        <w:t xml:space="preserve">De manera general, las manifestaciones clínicas de los pacientes, en el presente estudio coincide con lo reportado. Se conoce que la infección por </w:t>
      </w:r>
      <w:r w:rsidRPr="00F9509D">
        <w:rPr>
          <w:rFonts w:eastAsia="Calibri"/>
          <w:i/>
          <w:iCs/>
          <w:lang w:val="es-ES" w:eastAsia="en-US"/>
        </w:rPr>
        <w:t xml:space="preserve">H. pylori </w:t>
      </w:r>
      <w:r w:rsidRPr="00F9509D">
        <w:rPr>
          <w:rFonts w:eastAsia="Calibri"/>
          <w:lang w:val="es-ES" w:eastAsia="en-US"/>
        </w:rPr>
        <w:t>causa síntomas dispépticos al inducir trastornos motores, causar hipersensibilidad visceral, alteraciones en la secreción de ácido y generar cambios inflamatorios activos y persistentes en la mucosa gastroduodenal.</w:t>
      </w:r>
      <w:r w:rsidRPr="00F9509D">
        <w:rPr>
          <w:rFonts w:eastAsia="Calibri"/>
          <w:vertAlign w:val="superscript"/>
          <w:lang w:val="es-ES" w:eastAsia="en-US"/>
        </w:rPr>
        <w:t xml:space="preserve">(18) </w:t>
      </w:r>
    </w:p>
    <w:p w14:paraId="5793BE19" w14:textId="77777777" w:rsidR="00F9509D" w:rsidRPr="00F9509D" w:rsidRDefault="00F9509D" w:rsidP="00F9509D">
      <w:pPr>
        <w:autoSpaceDE w:val="0"/>
        <w:autoSpaceDN w:val="0"/>
        <w:adjustRightInd w:val="0"/>
        <w:spacing w:line="360" w:lineRule="auto"/>
        <w:jc w:val="both"/>
        <w:rPr>
          <w:rFonts w:eastAsia="Calibri"/>
          <w:lang w:val="es-ES" w:eastAsia="en-US"/>
        </w:rPr>
      </w:pPr>
      <w:r w:rsidRPr="00F9509D">
        <w:rPr>
          <w:rFonts w:eastAsia="Calibri"/>
          <w:lang w:val="es-ES" w:eastAsia="en-US"/>
        </w:rPr>
        <w:t xml:space="preserve">El antro gástrico constituye el área más afectada por el </w:t>
      </w:r>
      <w:r w:rsidRPr="00F9509D">
        <w:rPr>
          <w:rFonts w:eastAsia="Calibri"/>
          <w:i/>
          <w:iCs/>
          <w:lang w:val="es-ES" w:eastAsia="en-US"/>
        </w:rPr>
        <w:t>H. pylori</w:t>
      </w:r>
      <w:r w:rsidRPr="00F9509D">
        <w:rPr>
          <w:rFonts w:eastAsia="Calibri"/>
          <w:lang w:val="es-ES" w:eastAsia="en-US"/>
        </w:rPr>
        <w:t xml:space="preserve">. A este nivel, la bacteria desencadena una respuesta inflamatoria que según su intensidad determinará o no un daño en la mucosa. Esto explica por qué se determina su presencia a nivel </w:t>
      </w:r>
      <w:proofErr w:type="spellStart"/>
      <w:r w:rsidRPr="00F9509D">
        <w:rPr>
          <w:rFonts w:eastAsia="Calibri"/>
          <w:lang w:val="es-ES" w:eastAsia="en-US"/>
        </w:rPr>
        <w:t>antral</w:t>
      </w:r>
      <w:proofErr w:type="spellEnd"/>
      <w:r w:rsidRPr="00F9509D">
        <w:rPr>
          <w:rFonts w:eastAsia="Calibri"/>
          <w:lang w:val="es-ES" w:eastAsia="en-US"/>
        </w:rPr>
        <w:t>. Los resultados en relación al diagnóstico endoscópico coinciden con lo reportado por otros autores,</w:t>
      </w:r>
      <w:r w:rsidRPr="00F9509D">
        <w:rPr>
          <w:rFonts w:eastAsia="Calibri"/>
          <w:vertAlign w:val="superscript"/>
          <w:lang w:val="es-ES" w:eastAsia="en-US"/>
        </w:rPr>
        <w:t>(19,20,21)</w:t>
      </w:r>
      <w:r w:rsidRPr="00F9509D">
        <w:rPr>
          <w:rFonts w:eastAsia="Calibri"/>
          <w:lang w:val="es-ES" w:eastAsia="en-US"/>
        </w:rPr>
        <w:t xml:space="preserve"> que señalan que más del 50 % de la infección tiene localización </w:t>
      </w:r>
      <w:proofErr w:type="spellStart"/>
      <w:r w:rsidRPr="00F9509D">
        <w:rPr>
          <w:rFonts w:eastAsia="Calibri"/>
          <w:lang w:val="es-ES" w:eastAsia="en-US"/>
        </w:rPr>
        <w:t>antral</w:t>
      </w:r>
      <w:proofErr w:type="spellEnd"/>
      <w:r w:rsidRPr="00F9509D">
        <w:rPr>
          <w:rFonts w:eastAsia="Calibri"/>
          <w:lang w:val="es-ES" w:eastAsia="en-US"/>
        </w:rPr>
        <w:t>.</w:t>
      </w:r>
    </w:p>
    <w:p w14:paraId="59F0B613" w14:textId="77777777" w:rsidR="00F9509D" w:rsidRPr="00F9509D" w:rsidRDefault="00F9509D" w:rsidP="00F9509D">
      <w:pPr>
        <w:autoSpaceDE w:val="0"/>
        <w:autoSpaceDN w:val="0"/>
        <w:adjustRightInd w:val="0"/>
        <w:spacing w:line="360" w:lineRule="auto"/>
        <w:jc w:val="both"/>
        <w:rPr>
          <w:rFonts w:eastAsia="Calibri"/>
          <w:vertAlign w:val="superscript"/>
          <w:lang w:val="es-ES" w:eastAsia="en-US"/>
        </w:rPr>
      </w:pPr>
      <w:r w:rsidRPr="00F9509D">
        <w:rPr>
          <w:rFonts w:eastAsia="Calibri"/>
          <w:lang w:val="es-ES" w:eastAsia="en-US"/>
        </w:rPr>
        <w:t>En otros estudios</w:t>
      </w:r>
      <w:r w:rsidRPr="00F9509D">
        <w:rPr>
          <w:rFonts w:eastAsia="Calibri"/>
          <w:vertAlign w:val="superscript"/>
          <w:lang w:val="es-ES" w:eastAsia="en-US"/>
        </w:rPr>
        <w:t>(19,20,21)</w:t>
      </w:r>
      <w:r w:rsidRPr="00F9509D">
        <w:rPr>
          <w:rFonts w:eastAsia="Calibri"/>
          <w:lang w:val="es-ES" w:eastAsia="en-US"/>
        </w:rPr>
        <w:t xml:space="preserve"> se reporta la gastritis eritematosa </w:t>
      </w:r>
      <w:proofErr w:type="spellStart"/>
      <w:r w:rsidRPr="00F9509D">
        <w:rPr>
          <w:rFonts w:eastAsia="Calibri"/>
          <w:lang w:val="es-ES" w:eastAsia="en-US"/>
        </w:rPr>
        <w:t>antral</w:t>
      </w:r>
      <w:proofErr w:type="spellEnd"/>
      <w:r w:rsidRPr="00F9509D">
        <w:rPr>
          <w:rFonts w:eastAsia="Calibri"/>
          <w:lang w:val="es-ES" w:eastAsia="en-US"/>
        </w:rPr>
        <w:t xml:space="preserve">, como el diagnóstico endoscópico más frecuente, seguido de la úlcera gastroduodenal; lo cual no coincide con este estudio, pues hubo baja </w:t>
      </w:r>
      <w:r w:rsidRPr="00F9509D">
        <w:rPr>
          <w:rFonts w:eastAsia="Calibri"/>
          <w:lang w:val="es-ES" w:eastAsia="en-US"/>
        </w:rPr>
        <w:lastRenderedPageBreak/>
        <w:t>incidencia de úlcera péptica. Se plantea que esta enfermedad ha disminuido, sobre todo en áreas donde la infección ha descendido significativamente, con mayor frecuencia de presentación de la úlcera gástrica respecto a la duodenal, asociado a un mayor uso de antinflamatorios no esteroideos (este fue un criterio de exclusión en esta investigación).</w:t>
      </w:r>
    </w:p>
    <w:p w14:paraId="0285CD73" w14:textId="77777777" w:rsidR="00F9509D" w:rsidRPr="00F9509D" w:rsidRDefault="00F9509D" w:rsidP="00F9509D">
      <w:pPr>
        <w:autoSpaceDE w:val="0"/>
        <w:autoSpaceDN w:val="0"/>
        <w:adjustRightInd w:val="0"/>
        <w:spacing w:line="360" w:lineRule="auto"/>
        <w:jc w:val="both"/>
        <w:rPr>
          <w:rFonts w:eastAsia="Calibri"/>
          <w:lang w:val="es-ES" w:eastAsia="en-US"/>
        </w:rPr>
      </w:pPr>
      <w:r w:rsidRPr="00F9509D">
        <w:rPr>
          <w:rFonts w:eastAsia="Calibri"/>
          <w:lang w:val="es-ES" w:eastAsia="en-US"/>
        </w:rPr>
        <w:t xml:space="preserve">La atrofia gástrica, la metaplasia intestinal y la displasia gástrica son consideradas lesiones premalignas; su existencia implica mayor riesgo para el desarrollo de cáncer gástrico. </w:t>
      </w:r>
      <w:r w:rsidRPr="00F9509D">
        <w:rPr>
          <w:rFonts w:eastAsia="Calibri"/>
          <w:i/>
          <w:lang w:val="es-ES" w:eastAsia="en-US"/>
        </w:rPr>
        <w:t>Correa</w:t>
      </w:r>
      <w:r w:rsidRPr="00F9509D">
        <w:rPr>
          <w:rFonts w:eastAsia="Calibri"/>
          <w:lang w:val="es-ES" w:eastAsia="en-US"/>
        </w:rPr>
        <w:t xml:space="preserve"> y otros,</w:t>
      </w:r>
      <w:r w:rsidRPr="00F9509D">
        <w:rPr>
          <w:rFonts w:eastAsia="Calibri"/>
          <w:vertAlign w:val="superscript"/>
          <w:lang w:val="es-ES" w:eastAsia="en-US"/>
        </w:rPr>
        <w:t>(22)</w:t>
      </w:r>
      <w:r w:rsidRPr="00F9509D">
        <w:rPr>
          <w:rFonts w:eastAsia="Calibri"/>
          <w:lang w:val="es-ES" w:eastAsia="en-US"/>
        </w:rPr>
        <w:t xml:space="preserve"> estudian la prevalencia del </w:t>
      </w:r>
      <w:r w:rsidRPr="00F9509D">
        <w:rPr>
          <w:rFonts w:eastAsia="Calibri"/>
          <w:i/>
          <w:iCs/>
          <w:lang w:val="es-ES" w:eastAsia="en-US"/>
        </w:rPr>
        <w:t xml:space="preserve">H. pylori </w:t>
      </w:r>
      <w:r w:rsidRPr="00F9509D">
        <w:rPr>
          <w:rFonts w:eastAsia="Calibri"/>
          <w:lang w:val="es-ES" w:eastAsia="en-US"/>
        </w:rPr>
        <w:t>y las características histopatológicas en biopsias gástricas de pacientes dispépticos; informan gastritis crónica en el 99,9 % de los casos, pero a diferencia del actual estudio, la prevalencia de atrofia fue muy baja, mientras que la de la metaplasia fue considerablemente alta (13,3 %).</w:t>
      </w:r>
    </w:p>
    <w:p w14:paraId="62276062" w14:textId="77777777" w:rsidR="00F9509D" w:rsidRPr="00F9509D" w:rsidRDefault="00F9509D" w:rsidP="00F9509D">
      <w:pPr>
        <w:autoSpaceDE w:val="0"/>
        <w:autoSpaceDN w:val="0"/>
        <w:adjustRightInd w:val="0"/>
        <w:spacing w:line="360" w:lineRule="auto"/>
        <w:jc w:val="both"/>
        <w:rPr>
          <w:rFonts w:eastAsia="Calibri"/>
          <w:vertAlign w:val="superscript"/>
          <w:lang w:val="es-ES" w:eastAsia="en-US"/>
        </w:rPr>
      </w:pPr>
      <w:r w:rsidRPr="00F9509D">
        <w:rPr>
          <w:rFonts w:eastAsia="Calibri"/>
          <w:lang w:val="es-ES" w:eastAsia="en-US"/>
        </w:rPr>
        <w:t xml:space="preserve">El trabajo de </w:t>
      </w:r>
      <w:r w:rsidRPr="00F9509D">
        <w:rPr>
          <w:rFonts w:eastAsia="Calibri"/>
          <w:i/>
          <w:lang w:val="es-ES" w:eastAsia="en-US"/>
        </w:rPr>
        <w:t>Alonso</w:t>
      </w:r>
      <w:r w:rsidRPr="00F9509D">
        <w:rPr>
          <w:rFonts w:eastAsia="Calibri"/>
          <w:lang w:val="es-ES" w:eastAsia="en-US"/>
        </w:rPr>
        <w:t xml:space="preserve"> y otros</w:t>
      </w:r>
      <w:r w:rsidRPr="00F9509D">
        <w:rPr>
          <w:rFonts w:eastAsia="Calibri"/>
          <w:vertAlign w:val="superscript"/>
          <w:lang w:val="es-ES" w:eastAsia="en-US"/>
        </w:rPr>
        <w:t>(19)</w:t>
      </w:r>
      <w:r w:rsidRPr="00F9509D">
        <w:rPr>
          <w:rFonts w:eastAsia="Calibri"/>
          <w:lang w:val="es-ES" w:eastAsia="en-US"/>
        </w:rPr>
        <w:t xml:space="preserve"> difiere de los resultados del presente estudio. Encontraron mayor prevalencia de la gastritis crónica no atrófica y solo el 14,4 % de los pacientes presenta atrofia gástrica. Otra investigación</w:t>
      </w:r>
      <w:r w:rsidRPr="00F9509D">
        <w:rPr>
          <w:rFonts w:eastAsia="Calibri"/>
          <w:vertAlign w:val="superscript"/>
          <w:lang w:val="es-ES" w:eastAsia="en-US"/>
        </w:rPr>
        <w:t xml:space="preserve"> </w:t>
      </w:r>
      <w:r w:rsidRPr="00F9509D">
        <w:rPr>
          <w:rFonts w:eastAsia="Calibri"/>
          <w:lang w:val="es-ES" w:eastAsia="en-US"/>
        </w:rPr>
        <w:t>reporta un resultado similar;</w:t>
      </w:r>
      <w:r w:rsidRPr="00F9509D">
        <w:rPr>
          <w:rFonts w:eastAsia="Calibri"/>
          <w:vertAlign w:val="superscript"/>
          <w:lang w:val="es-ES" w:eastAsia="en-US"/>
        </w:rPr>
        <w:t>(23)</w:t>
      </w:r>
      <w:r w:rsidRPr="00F9509D">
        <w:rPr>
          <w:rFonts w:eastAsia="Calibri"/>
          <w:lang w:val="es-ES" w:eastAsia="en-US"/>
        </w:rPr>
        <w:t xml:space="preserve"> el 63,7 % presentó gastritis crónica no atrófica</w:t>
      </w:r>
      <w:r w:rsidRPr="00F9509D">
        <w:rPr>
          <w:rFonts w:eastAsia="Calibri"/>
          <w:i/>
          <w:iCs/>
          <w:lang w:val="es-ES" w:eastAsia="en-US"/>
        </w:rPr>
        <w:t xml:space="preserve"> </w:t>
      </w:r>
      <w:r w:rsidRPr="00F9509D">
        <w:rPr>
          <w:rFonts w:eastAsia="Calibri"/>
          <w:lang w:val="es-ES" w:eastAsia="en-US"/>
        </w:rPr>
        <w:t>y 23,5 %, gastritis crónica atrófica, sin embargo, el 7,8 % tuvo metaplasia intestinal gástrica. Este hecho puede estar relacionado con el nivel de virulencia de la bacteria.</w:t>
      </w:r>
      <w:r w:rsidRPr="00F9509D">
        <w:rPr>
          <w:rFonts w:eastAsia="Calibri"/>
          <w:vertAlign w:val="superscript"/>
          <w:lang w:val="es-ES" w:eastAsia="en-US"/>
        </w:rPr>
        <w:t xml:space="preserve"> </w:t>
      </w:r>
    </w:p>
    <w:p w14:paraId="1BA984DF" w14:textId="77777777" w:rsidR="00F9509D" w:rsidRPr="00F9509D" w:rsidRDefault="00F9509D" w:rsidP="00F9509D">
      <w:pPr>
        <w:autoSpaceDE w:val="0"/>
        <w:autoSpaceDN w:val="0"/>
        <w:adjustRightInd w:val="0"/>
        <w:spacing w:line="360" w:lineRule="auto"/>
        <w:jc w:val="both"/>
        <w:rPr>
          <w:rFonts w:eastAsia="Calibri"/>
          <w:vertAlign w:val="superscript"/>
          <w:lang w:val="es-ES" w:eastAsia="en-US"/>
        </w:rPr>
      </w:pPr>
      <w:r w:rsidRPr="00F9509D">
        <w:rPr>
          <w:rFonts w:eastAsia="Calibri"/>
          <w:lang w:val="es-ES" w:eastAsia="en-US"/>
        </w:rPr>
        <w:t xml:space="preserve">La endoscopia convencional, aún en manos expertas es insuficiente para el diagnóstico correcto de la gastritis atrófica y la metaplasia intestinal gástrica. La endoscopia con luz blanca no visualiza claramente tales cambios en la mucosa y por tanto, las biopsias son tomadas aleatoriamente, por lo cual se sugiere utilizar otros métodos endoscópicos para optimizar el diagnóstico, como la </w:t>
      </w:r>
      <w:proofErr w:type="spellStart"/>
      <w:r w:rsidRPr="00F9509D">
        <w:rPr>
          <w:rFonts w:eastAsia="Calibri"/>
          <w:lang w:val="es-ES" w:eastAsia="en-US"/>
        </w:rPr>
        <w:t>cromoendoscopia</w:t>
      </w:r>
      <w:proofErr w:type="spellEnd"/>
      <w:r w:rsidRPr="00F9509D">
        <w:rPr>
          <w:rFonts w:eastAsia="Calibri"/>
          <w:lang w:val="es-ES" w:eastAsia="en-US"/>
        </w:rPr>
        <w:t>, la magnificación endoscópica y la imagen de banda estrecha.</w:t>
      </w:r>
      <w:r w:rsidRPr="00F9509D">
        <w:rPr>
          <w:rFonts w:eastAsia="Calibri"/>
          <w:vertAlign w:val="superscript"/>
          <w:lang w:val="es-ES" w:eastAsia="en-US"/>
        </w:rPr>
        <w:t>(24)</w:t>
      </w:r>
    </w:p>
    <w:p w14:paraId="515B0D64" w14:textId="77777777" w:rsidR="00F9509D" w:rsidRPr="00F9509D" w:rsidRDefault="00F9509D" w:rsidP="00F9509D">
      <w:pPr>
        <w:autoSpaceDE w:val="0"/>
        <w:autoSpaceDN w:val="0"/>
        <w:adjustRightInd w:val="0"/>
        <w:spacing w:line="360" w:lineRule="auto"/>
        <w:jc w:val="both"/>
        <w:rPr>
          <w:rFonts w:eastAsia="Calibri"/>
          <w:vertAlign w:val="superscript"/>
          <w:lang w:val="es-ES" w:eastAsia="en-US"/>
        </w:rPr>
      </w:pPr>
      <w:r w:rsidRPr="00F9509D">
        <w:rPr>
          <w:rFonts w:eastAsia="Calibri"/>
          <w:lang w:val="es-ES" w:eastAsia="en-US"/>
        </w:rPr>
        <w:t xml:space="preserve">Desde el descubrimiento del </w:t>
      </w:r>
      <w:r w:rsidRPr="00F9509D">
        <w:rPr>
          <w:rFonts w:eastAsia="Calibri"/>
          <w:i/>
          <w:iCs/>
          <w:lang w:val="es-ES" w:eastAsia="en-US"/>
        </w:rPr>
        <w:t xml:space="preserve">H. Pylori </w:t>
      </w:r>
      <w:r w:rsidRPr="00F9509D">
        <w:rPr>
          <w:rFonts w:eastAsia="Calibri"/>
          <w:lang w:val="es-ES" w:eastAsia="en-US"/>
        </w:rPr>
        <w:t>en la mucosa gástrica, los tratamientos han estado encaminados a su erradicación, sin embargo, la resistencia antibiótica, los efectos adversos y la no adherencia al tratamiento, no han permitido lograr ese objetivo. Los actuales consensos recomiendan tasas de erradicación superiores o cercanas al 90 %, como se describió en la presente investigación.</w:t>
      </w:r>
      <w:r w:rsidRPr="00F9509D">
        <w:rPr>
          <w:rFonts w:eastAsia="Calibri"/>
          <w:vertAlign w:val="superscript"/>
          <w:lang w:val="es-ES" w:eastAsia="en-US"/>
        </w:rPr>
        <w:t>(25,26)</w:t>
      </w:r>
    </w:p>
    <w:p w14:paraId="2D1D9FE1" w14:textId="77777777" w:rsidR="00F9509D" w:rsidRPr="00F9509D" w:rsidRDefault="00F9509D" w:rsidP="00F9509D">
      <w:pPr>
        <w:autoSpaceDE w:val="0"/>
        <w:autoSpaceDN w:val="0"/>
        <w:adjustRightInd w:val="0"/>
        <w:spacing w:line="360" w:lineRule="auto"/>
        <w:jc w:val="both"/>
        <w:rPr>
          <w:rFonts w:eastAsia="Calibri"/>
          <w:vertAlign w:val="superscript"/>
          <w:lang w:val="es-ES" w:eastAsia="en-US"/>
        </w:rPr>
      </w:pPr>
      <w:r w:rsidRPr="00F9509D">
        <w:rPr>
          <w:rFonts w:eastAsia="Calibri"/>
          <w:lang w:val="es-ES" w:eastAsia="en-US"/>
        </w:rPr>
        <w:t>El uso de probióticos como adyuvante a la terapia triple o cuádruple ha sido utilizado con resultados discrepantes. La suplementación de la terapia antimicrobiana con determinadas cepas de probióticos (</w:t>
      </w:r>
      <w:r w:rsidRPr="00F9509D">
        <w:rPr>
          <w:rFonts w:eastAsia="Calibri"/>
          <w:i/>
          <w:iCs/>
          <w:lang w:val="es-ES" w:eastAsia="en-US"/>
        </w:rPr>
        <w:t xml:space="preserve">L. </w:t>
      </w:r>
      <w:proofErr w:type="spellStart"/>
      <w:r w:rsidRPr="00F9509D">
        <w:rPr>
          <w:rFonts w:eastAsia="Calibri"/>
          <w:i/>
          <w:iCs/>
          <w:lang w:val="es-ES" w:eastAsia="en-US"/>
        </w:rPr>
        <w:t>acidophilus</w:t>
      </w:r>
      <w:proofErr w:type="spellEnd"/>
      <w:r w:rsidRPr="00F9509D">
        <w:rPr>
          <w:rFonts w:eastAsia="Calibri"/>
          <w:i/>
          <w:iCs/>
          <w:lang w:val="es-ES" w:eastAsia="en-US"/>
        </w:rPr>
        <w:t xml:space="preserve">, Lactobacillus </w:t>
      </w:r>
      <w:proofErr w:type="spellStart"/>
      <w:r w:rsidRPr="00F9509D">
        <w:rPr>
          <w:rFonts w:eastAsia="Calibri"/>
          <w:i/>
          <w:iCs/>
          <w:lang w:val="es-ES" w:eastAsia="en-US"/>
        </w:rPr>
        <w:t>casei</w:t>
      </w:r>
      <w:proofErr w:type="spellEnd"/>
      <w:r w:rsidRPr="00F9509D">
        <w:rPr>
          <w:rFonts w:eastAsia="Calibri"/>
          <w:i/>
          <w:iCs/>
          <w:lang w:val="es-ES" w:eastAsia="en-US"/>
        </w:rPr>
        <w:t xml:space="preserve"> DN-114001, Lactobacillus </w:t>
      </w:r>
      <w:proofErr w:type="spellStart"/>
      <w:r w:rsidRPr="00F9509D">
        <w:rPr>
          <w:rFonts w:eastAsia="Calibri"/>
          <w:i/>
          <w:iCs/>
          <w:lang w:val="es-ES" w:eastAsia="en-US"/>
        </w:rPr>
        <w:t>gasseri</w:t>
      </w:r>
      <w:proofErr w:type="spellEnd"/>
      <w:r w:rsidRPr="00F9509D">
        <w:rPr>
          <w:rFonts w:eastAsia="Calibri"/>
          <w:i/>
          <w:iCs/>
          <w:lang w:val="es-ES" w:eastAsia="en-US"/>
        </w:rPr>
        <w:t xml:space="preserve"> y </w:t>
      </w:r>
      <w:proofErr w:type="spellStart"/>
      <w:r w:rsidRPr="00F9509D">
        <w:rPr>
          <w:rFonts w:eastAsia="Calibri"/>
          <w:i/>
          <w:iCs/>
          <w:lang w:val="es-ES" w:eastAsia="en-US"/>
        </w:rPr>
        <w:t>Bifidobacterium</w:t>
      </w:r>
      <w:proofErr w:type="spellEnd"/>
      <w:r w:rsidRPr="00F9509D">
        <w:rPr>
          <w:rFonts w:eastAsia="Calibri"/>
          <w:i/>
          <w:iCs/>
          <w:lang w:val="es-ES" w:eastAsia="en-US"/>
        </w:rPr>
        <w:t xml:space="preserve"> </w:t>
      </w:r>
      <w:proofErr w:type="spellStart"/>
      <w:r w:rsidRPr="00F9509D">
        <w:rPr>
          <w:rFonts w:eastAsia="Calibri"/>
          <w:i/>
          <w:iCs/>
          <w:lang w:val="es-ES" w:eastAsia="en-US"/>
        </w:rPr>
        <w:t>infantis</w:t>
      </w:r>
      <w:proofErr w:type="spellEnd"/>
      <w:r w:rsidRPr="00F9509D">
        <w:rPr>
          <w:rFonts w:eastAsia="Calibri"/>
          <w:lang w:val="es-ES" w:eastAsia="en-US"/>
        </w:rPr>
        <w:t xml:space="preserve">) pueden ser utilizadas para incrementar las tasas de erradicación, en particular cuando las terapias </w:t>
      </w:r>
      <w:proofErr w:type="spellStart"/>
      <w:r w:rsidRPr="00F9509D">
        <w:rPr>
          <w:rFonts w:eastAsia="Calibri"/>
          <w:lang w:val="es-ES" w:eastAsia="en-US"/>
        </w:rPr>
        <w:t>erradicadoras</w:t>
      </w:r>
      <w:proofErr w:type="spellEnd"/>
      <w:r w:rsidRPr="00F9509D">
        <w:rPr>
          <w:rFonts w:eastAsia="Calibri"/>
          <w:lang w:val="es-ES" w:eastAsia="en-US"/>
        </w:rPr>
        <w:t xml:space="preserve"> son insuficientes.</w:t>
      </w:r>
      <w:r w:rsidRPr="00F9509D">
        <w:rPr>
          <w:rFonts w:eastAsia="Calibri"/>
          <w:vertAlign w:val="superscript"/>
          <w:lang w:val="es-ES" w:eastAsia="en-US"/>
        </w:rPr>
        <w:t xml:space="preserve">(27) </w:t>
      </w:r>
      <w:r w:rsidRPr="00F9509D">
        <w:rPr>
          <w:rFonts w:eastAsia="Calibri"/>
          <w:lang w:val="es-ES" w:eastAsia="en-US"/>
        </w:rPr>
        <w:t xml:space="preserve">Los resultados de esta investigación concuerdan con los de </w:t>
      </w:r>
      <w:proofErr w:type="spellStart"/>
      <w:r w:rsidRPr="00F9509D">
        <w:rPr>
          <w:rFonts w:eastAsia="Calibri"/>
          <w:i/>
          <w:lang w:val="es-ES" w:eastAsia="en-US"/>
        </w:rPr>
        <w:t>Dang</w:t>
      </w:r>
      <w:proofErr w:type="spellEnd"/>
      <w:r w:rsidRPr="00F9509D">
        <w:rPr>
          <w:rFonts w:eastAsia="Calibri"/>
          <w:i/>
          <w:lang w:val="es-ES" w:eastAsia="en-US"/>
        </w:rPr>
        <w:t xml:space="preserve"> Y</w:t>
      </w:r>
      <w:r w:rsidRPr="00F9509D">
        <w:rPr>
          <w:rFonts w:eastAsia="Calibri"/>
          <w:lang w:val="es-ES" w:eastAsia="en-US"/>
        </w:rPr>
        <w:t xml:space="preserve"> </w:t>
      </w:r>
      <w:proofErr w:type="spellStart"/>
      <w:r w:rsidRPr="00F9509D">
        <w:rPr>
          <w:rFonts w:eastAsia="Calibri"/>
          <w:lang w:val="es-ES" w:eastAsia="en-US"/>
        </w:rPr>
        <w:t>y</w:t>
      </w:r>
      <w:proofErr w:type="spellEnd"/>
      <w:r w:rsidRPr="00F9509D">
        <w:rPr>
          <w:rFonts w:eastAsia="Calibri"/>
          <w:lang w:val="es-ES" w:eastAsia="en-US"/>
        </w:rPr>
        <w:t xml:space="preserve"> otros</w:t>
      </w:r>
      <w:r w:rsidRPr="00F9509D">
        <w:rPr>
          <w:rFonts w:eastAsia="Calibri"/>
          <w:vertAlign w:val="superscript"/>
          <w:lang w:val="es-ES" w:eastAsia="en-US"/>
        </w:rPr>
        <w:t xml:space="preserve">(27) </w:t>
      </w:r>
      <w:r w:rsidRPr="00F9509D">
        <w:rPr>
          <w:rFonts w:eastAsia="Calibri"/>
          <w:lang w:val="es-ES" w:eastAsia="en-US"/>
        </w:rPr>
        <w:t xml:space="preserve">y </w:t>
      </w:r>
      <w:r w:rsidRPr="00F9509D">
        <w:rPr>
          <w:rFonts w:eastAsia="Calibri"/>
          <w:i/>
          <w:lang w:val="es-ES" w:eastAsia="en-US"/>
        </w:rPr>
        <w:lastRenderedPageBreak/>
        <w:t>Zhang M</w:t>
      </w:r>
      <w:r w:rsidRPr="00F9509D">
        <w:rPr>
          <w:rFonts w:eastAsia="Calibri"/>
          <w:lang w:val="es-ES" w:eastAsia="en-US"/>
        </w:rPr>
        <w:t xml:space="preserve"> y otros,</w:t>
      </w:r>
      <w:r w:rsidRPr="00F9509D">
        <w:rPr>
          <w:rFonts w:eastAsia="Calibri"/>
          <w:color w:val="000000"/>
          <w:vertAlign w:val="superscript"/>
          <w:lang w:val="es-ES" w:eastAsia="en-US"/>
        </w:rPr>
        <w:t>(28</w:t>
      </w:r>
      <w:r w:rsidRPr="00F9509D">
        <w:rPr>
          <w:rFonts w:eastAsia="Calibri"/>
          <w:vertAlign w:val="superscript"/>
          <w:lang w:val="es-ES" w:eastAsia="en-US"/>
        </w:rPr>
        <w:t xml:space="preserve">) </w:t>
      </w:r>
      <w:r w:rsidRPr="00F9509D">
        <w:rPr>
          <w:rFonts w:eastAsia="Calibri"/>
          <w:lang w:val="es-ES" w:eastAsia="en-US"/>
        </w:rPr>
        <w:t xml:space="preserve">quienes plantean que </w:t>
      </w:r>
      <w:r w:rsidRPr="00F9509D">
        <w:rPr>
          <w:rFonts w:eastAsia="Calibri"/>
          <w:color w:val="000000"/>
          <w:lang w:val="es-ES" w:eastAsia="en-US"/>
        </w:rPr>
        <w:t xml:space="preserve">el uso de suplementos probióticos junto a las terapias </w:t>
      </w:r>
      <w:proofErr w:type="spellStart"/>
      <w:r w:rsidRPr="00F9509D">
        <w:rPr>
          <w:rFonts w:eastAsia="Calibri"/>
          <w:color w:val="000000"/>
          <w:lang w:val="es-ES" w:eastAsia="en-US"/>
        </w:rPr>
        <w:t>erradicadoras</w:t>
      </w:r>
      <w:proofErr w:type="spellEnd"/>
      <w:r w:rsidRPr="00F9509D">
        <w:rPr>
          <w:rFonts w:eastAsia="Calibri"/>
          <w:color w:val="000000"/>
          <w:lang w:val="es-ES" w:eastAsia="en-US"/>
        </w:rPr>
        <w:t>, incrementan las tasas de erradicación.</w:t>
      </w:r>
    </w:p>
    <w:p w14:paraId="648B3974"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r w:rsidRPr="00F9509D">
        <w:rPr>
          <w:rFonts w:eastAsia="Calibri"/>
          <w:lang w:val="es-ES" w:eastAsia="en-US"/>
        </w:rPr>
        <w:t xml:space="preserve">En los pacientes estudiados predomina el sexo femenino, la cuarta década de la vida; </w:t>
      </w:r>
      <w:r w:rsidRPr="00F9509D">
        <w:rPr>
          <w:rFonts w:eastAsia="Arial"/>
          <w:color w:val="000000"/>
          <w:lang w:val="es-ES" w:eastAsia="es-ES" w:bidi="es-ES"/>
        </w:rPr>
        <w:t xml:space="preserve">el síntoma y el diagnóstico histopatológico más frecuentes fueron la dispepsia y la gastritis crónica atrófica moderada. La gastritis eritematosa </w:t>
      </w:r>
      <w:proofErr w:type="spellStart"/>
      <w:r w:rsidRPr="00F9509D">
        <w:rPr>
          <w:rFonts w:eastAsia="Arial"/>
          <w:color w:val="000000"/>
          <w:lang w:val="es-ES" w:eastAsia="es-ES" w:bidi="es-ES"/>
        </w:rPr>
        <w:t>antral</w:t>
      </w:r>
      <w:proofErr w:type="spellEnd"/>
      <w:r w:rsidRPr="00F9509D">
        <w:rPr>
          <w:rFonts w:eastAsia="Arial"/>
          <w:color w:val="000000"/>
          <w:lang w:val="es-ES" w:eastAsia="es-ES" w:bidi="es-ES"/>
        </w:rPr>
        <w:t xml:space="preserve">, </w:t>
      </w:r>
      <w:proofErr w:type="spellStart"/>
      <w:r w:rsidRPr="00F9509D">
        <w:rPr>
          <w:rFonts w:eastAsia="Arial"/>
          <w:color w:val="000000"/>
          <w:lang w:val="es-ES" w:eastAsia="es-ES" w:bidi="es-ES"/>
        </w:rPr>
        <w:t>antral</w:t>
      </w:r>
      <w:proofErr w:type="spellEnd"/>
      <w:r w:rsidRPr="00F9509D">
        <w:rPr>
          <w:rFonts w:eastAsia="Arial"/>
          <w:color w:val="000000"/>
          <w:lang w:val="es-ES" w:eastAsia="es-ES" w:bidi="es-ES"/>
        </w:rPr>
        <w:t xml:space="preserve"> </w:t>
      </w:r>
      <w:proofErr w:type="spellStart"/>
      <w:r w:rsidRPr="00F9509D">
        <w:rPr>
          <w:rFonts w:eastAsia="Arial"/>
          <w:color w:val="000000"/>
          <w:lang w:val="es-ES" w:eastAsia="es-ES" w:bidi="es-ES"/>
        </w:rPr>
        <w:t>eritematoerosiva</w:t>
      </w:r>
      <w:proofErr w:type="spellEnd"/>
      <w:r w:rsidRPr="00F9509D">
        <w:rPr>
          <w:rFonts w:eastAsia="Arial"/>
          <w:color w:val="000000"/>
          <w:lang w:val="es-ES" w:eastAsia="es-ES" w:bidi="es-ES"/>
        </w:rPr>
        <w:t xml:space="preserve"> y </w:t>
      </w:r>
      <w:proofErr w:type="spellStart"/>
      <w:r w:rsidRPr="00F9509D">
        <w:rPr>
          <w:rFonts w:eastAsia="Arial"/>
          <w:color w:val="000000"/>
          <w:lang w:val="es-ES" w:eastAsia="es-ES" w:bidi="es-ES"/>
        </w:rPr>
        <w:t>eritematonodular</w:t>
      </w:r>
      <w:proofErr w:type="spellEnd"/>
      <w:r w:rsidRPr="00F9509D">
        <w:rPr>
          <w:rFonts w:eastAsia="Arial"/>
          <w:color w:val="000000"/>
          <w:lang w:val="es-ES" w:eastAsia="es-ES" w:bidi="es-ES"/>
        </w:rPr>
        <w:t xml:space="preserve"> fueron los diagnósticos endoscópicos más comunes. La tasa de erradicación del </w:t>
      </w:r>
      <w:r w:rsidRPr="00F9509D">
        <w:rPr>
          <w:rFonts w:eastAsia="Arial"/>
          <w:i/>
          <w:color w:val="000000"/>
          <w:lang w:val="es-ES" w:eastAsia="es-ES" w:bidi="es-ES"/>
        </w:rPr>
        <w:t>H. pylori</w:t>
      </w:r>
      <w:r w:rsidRPr="00F9509D">
        <w:rPr>
          <w:rFonts w:eastAsia="Arial"/>
          <w:color w:val="000000"/>
          <w:lang w:val="es-ES" w:eastAsia="es-ES" w:bidi="es-ES"/>
        </w:rPr>
        <w:t xml:space="preserve"> es elevada.</w:t>
      </w:r>
    </w:p>
    <w:p w14:paraId="4C27F241" w14:textId="77777777" w:rsidR="00F9509D" w:rsidRPr="00F9509D" w:rsidRDefault="00F9509D" w:rsidP="00F9509D">
      <w:pPr>
        <w:autoSpaceDE w:val="0"/>
        <w:autoSpaceDN w:val="0"/>
        <w:adjustRightInd w:val="0"/>
        <w:spacing w:line="360" w:lineRule="auto"/>
        <w:jc w:val="both"/>
        <w:rPr>
          <w:rFonts w:eastAsia="Calibri"/>
          <w:color w:val="000000"/>
          <w:lang w:val="es-ES" w:eastAsia="en-US"/>
        </w:rPr>
      </w:pPr>
    </w:p>
    <w:p w14:paraId="33857CA8" w14:textId="77777777" w:rsidR="00F9509D" w:rsidRPr="00F9509D" w:rsidRDefault="00F9509D" w:rsidP="00F9509D">
      <w:pPr>
        <w:autoSpaceDE w:val="0"/>
        <w:autoSpaceDN w:val="0"/>
        <w:adjustRightInd w:val="0"/>
        <w:spacing w:line="360" w:lineRule="auto"/>
        <w:jc w:val="both"/>
        <w:rPr>
          <w:rFonts w:eastAsia="Calibri"/>
          <w:b/>
          <w:lang w:val="es-ES" w:eastAsia="en-US"/>
        </w:rPr>
      </w:pPr>
    </w:p>
    <w:p w14:paraId="230C1917" w14:textId="77777777" w:rsidR="00F9509D" w:rsidRPr="00F9509D" w:rsidRDefault="00F9509D" w:rsidP="00F9509D">
      <w:pPr>
        <w:autoSpaceDE w:val="0"/>
        <w:autoSpaceDN w:val="0"/>
        <w:adjustRightInd w:val="0"/>
        <w:spacing w:line="360" w:lineRule="auto"/>
        <w:jc w:val="center"/>
        <w:rPr>
          <w:rFonts w:eastAsia="Calibri"/>
          <w:b/>
          <w:sz w:val="32"/>
          <w:szCs w:val="32"/>
          <w:lang w:val="es-CU" w:eastAsia="en-US"/>
        </w:rPr>
      </w:pPr>
      <w:r w:rsidRPr="00F9509D">
        <w:rPr>
          <w:rFonts w:eastAsia="Calibri"/>
          <w:b/>
          <w:sz w:val="32"/>
          <w:szCs w:val="32"/>
          <w:lang w:val="es-CU" w:eastAsia="en-US"/>
        </w:rPr>
        <w:t>REFERENCIAS BIBLIOGRÁFICAS</w:t>
      </w:r>
    </w:p>
    <w:p w14:paraId="222B5BF4" w14:textId="77777777" w:rsidR="00F9509D" w:rsidRPr="00F9509D" w:rsidRDefault="00F9509D" w:rsidP="00F9509D">
      <w:pPr>
        <w:spacing w:line="360" w:lineRule="auto"/>
        <w:rPr>
          <w:rFonts w:eastAsia="Calibri"/>
          <w:lang w:val="es-US" w:eastAsia="en-US"/>
        </w:rPr>
      </w:pPr>
      <w:r w:rsidRPr="00F9509D">
        <w:rPr>
          <w:rFonts w:eastAsia="Calibri"/>
          <w:lang w:val="en-US" w:eastAsia="en-US"/>
        </w:rPr>
        <w:t xml:space="preserve">1. </w:t>
      </w:r>
      <w:proofErr w:type="spellStart"/>
      <w:r w:rsidRPr="00F9509D">
        <w:rPr>
          <w:rFonts w:eastAsia="Calibri"/>
          <w:lang w:val="en-US" w:eastAsia="en-US"/>
        </w:rPr>
        <w:t>Afsahi</w:t>
      </w:r>
      <w:proofErr w:type="spellEnd"/>
      <w:r w:rsidRPr="00F9509D">
        <w:rPr>
          <w:rFonts w:eastAsia="Calibri"/>
          <w:lang w:val="en-US" w:eastAsia="en-US"/>
        </w:rPr>
        <w:t xml:space="preserve"> A, </w:t>
      </w:r>
      <w:proofErr w:type="spellStart"/>
      <w:r w:rsidRPr="00F9509D">
        <w:rPr>
          <w:rFonts w:eastAsia="Calibri"/>
          <w:lang w:val="en-US" w:eastAsia="en-US"/>
        </w:rPr>
        <w:t>Mahmoudi</w:t>
      </w:r>
      <w:proofErr w:type="spellEnd"/>
      <w:r w:rsidRPr="00F9509D">
        <w:rPr>
          <w:rFonts w:eastAsia="Calibri"/>
          <w:lang w:val="en-US" w:eastAsia="en-US"/>
        </w:rPr>
        <w:t xml:space="preserve"> H, Ebrahimi A, </w:t>
      </w:r>
      <w:proofErr w:type="spellStart"/>
      <w:r w:rsidRPr="00F9509D">
        <w:rPr>
          <w:rFonts w:eastAsia="Calibri"/>
          <w:lang w:val="en-US" w:eastAsia="en-US"/>
        </w:rPr>
        <w:t>Aeini</w:t>
      </w:r>
      <w:proofErr w:type="spellEnd"/>
      <w:r w:rsidRPr="00F9509D">
        <w:rPr>
          <w:rFonts w:eastAsia="Calibri"/>
          <w:lang w:val="en-US" w:eastAsia="en-US"/>
        </w:rPr>
        <w:t xml:space="preserve"> Z, </w:t>
      </w:r>
      <w:proofErr w:type="spellStart"/>
      <w:r w:rsidRPr="00F9509D">
        <w:rPr>
          <w:rFonts w:eastAsia="Calibri"/>
          <w:lang w:val="en-US" w:eastAsia="en-US"/>
        </w:rPr>
        <w:t>Esmaeili</w:t>
      </w:r>
      <w:proofErr w:type="spellEnd"/>
      <w:r w:rsidRPr="00F9509D">
        <w:rPr>
          <w:rFonts w:eastAsia="Calibri"/>
          <w:lang w:val="en-US" w:eastAsia="en-US"/>
        </w:rPr>
        <w:t xml:space="preserve"> D. Evaluation of the Effect of </w:t>
      </w:r>
      <w:r w:rsidRPr="00F9509D">
        <w:rPr>
          <w:rFonts w:eastAsia="Arial"/>
          <w:i/>
          <w:lang w:val="en-US" w:eastAsia="en-US"/>
        </w:rPr>
        <w:t xml:space="preserve">Lactobacillus planetarium </w:t>
      </w:r>
      <w:r w:rsidRPr="00F9509D">
        <w:rPr>
          <w:rFonts w:eastAsia="Calibri"/>
          <w:lang w:val="en-US" w:eastAsia="en-US"/>
        </w:rPr>
        <w:t xml:space="preserve">Probiotics Produced from Broad Bean Seed in Prevention of </w:t>
      </w:r>
      <w:r w:rsidRPr="00F9509D">
        <w:rPr>
          <w:rFonts w:eastAsia="Arial"/>
          <w:i/>
          <w:lang w:val="en-US" w:eastAsia="en-US"/>
        </w:rPr>
        <w:t>Helicobacter pylori</w:t>
      </w:r>
      <w:r w:rsidRPr="00F9509D">
        <w:rPr>
          <w:rFonts w:eastAsia="Calibri"/>
          <w:lang w:val="en-US" w:eastAsia="en-US"/>
        </w:rPr>
        <w:t xml:space="preserve"> in Stomach Tissue of C57BL/6 Mice. </w:t>
      </w:r>
      <w:r w:rsidRPr="00F9509D">
        <w:rPr>
          <w:rFonts w:eastAsia="Calibri"/>
          <w:lang w:val="es-US" w:eastAsia="en-US"/>
        </w:rPr>
        <w:t xml:space="preserve">J </w:t>
      </w:r>
      <w:proofErr w:type="spellStart"/>
      <w:r w:rsidRPr="00F9509D">
        <w:rPr>
          <w:rFonts w:eastAsia="Calibri"/>
          <w:lang w:val="es-US" w:eastAsia="en-US"/>
        </w:rPr>
        <w:t>Cancer</w:t>
      </w:r>
      <w:proofErr w:type="spellEnd"/>
      <w:r w:rsidRPr="00F9509D">
        <w:rPr>
          <w:rFonts w:eastAsia="Calibri"/>
          <w:lang w:val="es-US" w:eastAsia="en-US"/>
        </w:rPr>
        <w:t xml:space="preserve"> </w:t>
      </w:r>
      <w:proofErr w:type="spellStart"/>
      <w:r w:rsidRPr="00F9509D">
        <w:rPr>
          <w:rFonts w:eastAsia="Calibri"/>
          <w:lang w:val="es-US" w:eastAsia="en-US"/>
        </w:rPr>
        <w:t>Sci</w:t>
      </w:r>
      <w:proofErr w:type="spellEnd"/>
      <w:r w:rsidRPr="00F9509D">
        <w:rPr>
          <w:rFonts w:eastAsia="Calibri"/>
          <w:lang w:val="es-US" w:eastAsia="en-US"/>
        </w:rPr>
        <w:t xml:space="preserve"> .2018 </w:t>
      </w:r>
      <w:r w:rsidRPr="00F9509D">
        <w:rPr>
          <w:rFonts w:eastAsia="Calibri"/>
          <w:lang w:val="es-ES" w:eastAsia="en-US"/>
        </w:rPr>
        <w:t>[acceso: 19/06/2021]</w:t>
      </w:r>
      <w:r w:rsidRPr="00F9509D">
        <w:rPr>
          <w:rFonts w:eastAsia="Calibri"/>
          <w:lang w:val="es-US" w:eastAsia="en-US"/>
        </w:rPr>
        <w:t xml:space="preserve">; 10(4):85-9. Disponible en: </w:t>
      </w:r>
      <w:hyperlink r:id="rId15" w:history="1">
        <w:r w:rsidRPr="00F9509D">
          <w:rPr>
            <w:rFonts w:eastAsia="Calibri"/>
            <w:color w:val="0563C1"/>
            <w:u w:val="single"/>
            <w:lang w:val="es-US" w:eastAsia="en-US"/>
          </w:rPr>
          <w:t>https://www.hilarispublisher.com/open-access/evaluation-of-the-effect-of-lactobacillus-planetarium-probioticsproduced-from-broad-bean-seed-in-prevention-of-helicobacter-pylori-1948-5956-1000524.pdf</w:t>
        </w:r>
      </w:hyperlink>
    </w:p>
    <w:p w14:paraId="747355E3" w14:textId="77777777" w:rsidR="00F9509D" w:rsidRPr="00F9509D" w:rsidRDefault="00F9509D" w:rsidP="00F9509D">
      <w:pPr>
        <w:spacing w:line="360" w:lineRule="auto"/>
        <w:rPr>
          <w:rFonts w:eastAsia="Calibri"/>
          <w:lang w:val="es-ES" w:eastAsia="en-US"/>
        </w:rPr>
      </w:pPr>
      <w:r w:rsidRPr="00F9509D">
        <w:rPr>
          <w:rFonts w:eastAsia="Calibri"/>
          <w:lang w:val="en-US" w:eastAsia="en-US"/>
        </w:rPr>
        <w:t xml:space="preserve">2. </w:t>
      </w:r>
      <w:proofErr w:type="spellStart"/>
      <w:r w:rsidRPr="00F9509D">
        <w:rPr>
          <w:rFonts w:eastAsia="Calibri"/>
          <w:lang w:val="en-US" w:eastAsia="en-US"/>
        </w:rPr>
        <w:t>Hooi</w:t>
      </w:r>
      <w:proofErr w:type="spellEnd"/>
      <w:r w:rsidRPr="00F9509D">
        <w:rPr>
          <w:rFonts w:eastAsia="Calibri"/>
          <w:lang w:val="en-US" w:eastAsia="en-US"/>
        </w:rPr>
        <w:t xml:space="preserve"> JKY, Lai WY, Ng WK, Suen MMY, Underwood FE, </w:t>
      </w:r>
      <w:proofErr w:type="spellStart"/>
      <w:r w:rsidRPr="00F9509D">
        <w:rPr>
          <w:rFonts w:eastAsia="Calibri"/>
          <w:lang w:val="en-US" w:eastAsia="en-US"/>
        </w:rPr>
        <w:t>Tanyingoh</w:t>
      </w:r>
      <w:proofErr w:type="spellEnd"/>
      <w:r w:rsidRPr="00F9509D">
        <w:rPr>
          <w:rFonts w:eastAsia="Calibri"/>
          <w:lang w:val="en-US" w:eastAsia="en-US"/>
        </w:rPr>
        <w:t xml:space="preserve"> D, et al. Global Prevalence of </w:t>
      </w:r>
      <w:r w:rsidRPr="00F9509D">
        <w:rPr>
          <w:rFonts w:eastAsia="Arial"/>
          <w:i/>
          <w:lang w:val="en-US" w:eastAsia="en-US"/>
        </w:rPr>
        <w:t>Helicobacter pylori</w:t>
      </w:r>
      <w:r w:rsidRPr="00F9509D">
        <w:rPr>
          <w:rFonts w:eastAsia="Calibri"/>
          <w:lang w:val="en-US" w:eastAsia="en-US"/>
        </w:rPr>
        <w:t xml:space="preserve"> Infection: Systematic Review and Meta-Analysis. </w:t>
      </w:r>
      <w:proofErr w:type="spellStart"/>
      <w:r w:rsidRPr="00F9509D">
        <w:rPr>
          <w:rFonts w:eastAsia="Calibri"/>
          <w:lang w:val="es-US" w:eastAsia="en-US"/>
        </w:rPr>
        <w:t>Gastroenterology</w:t>
      </w:r>
      <w:proofErr w:type="spellEnd"/>
      <w:r w:rsidRPr="00F9509D">
        <w:rPr>
          <w:rFonts w:eastAsia="Calibri"/>
          <w:lang w:val="es-US" w:eastAsia="en-US"/>
        </w:rPr>
        <w:t>. 2017 [</w:t>
      </w:r>
      <w:r w:rsidRPr="00F9509D">
        <w:rPr>
          <w:rFonts w:eastAsia="Calibri"/>
          <w:lang w:val="es-ES" w:eastAsia="en-US"/>
        </w:rPr>
        <w:t>acceso: 19/06/2021</w:t>
      </w:r>
      <w:r w:rsidRPr="00F9509D">
        <w:rPr>
          <w:rFonts w:eastAsia="Calibri"/>
          <w:lang w:val="es-US" w:eastAsia="en-US"/>
        </w:rPr>
        <w:t xml:space="preserve">]; 153(2): 420-29. Disponible en: </w:t>
      </w:r>
      <w:hyperlink r:id="rId16" w:history="1">
        <w:r w:rsidRPr="00F9509D">
          <w:rPr>
            <w:rFonts w:eastAsia="Calibri"/>
            <w:color w:val="0563C1"/>
            <w:u w:val="single"/>
            <w:lang w:val="es-ES" w:eastAsia="en-US"/>
          </w:rPr>
          <w:t>https://doi.org/10.1053/j.gastro.2017.04.022</w:t>
        </w:r>
      </w:hyperlink>
    </w:p>
    <w:p w14:paraId="07B2D2CA"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3. Piñol Jiménez F, Paniagua Estévez M, </w:t>
      </w:r>
      <w:proofErr w:type="spellStart"/>
      <w:r w:rsidRPr="00F9509D">
        <w:rPr>
          <w:rFonts w:eastAsia="Calibri"/>
          <w:lang w:val="es-ES" w:eastAsia="en-US"/>
        </w:rPr>
        <w:t>Gra</w:t>
      </w:r>
      <w:proofErr w:type="spellEnd"/>
      <w:r w:rsidRPr="00F9509D">
        <w:rPr>
          <w:rFonts w:eastAsia="Calibri"/>
          <w:lang w:val="es-ES" w:eastAsia="en-US"/>
        </w:rPr>
        <w:t xml:space="preserve"> Oramas B, Reyes de la Cruz M. </w:t>
      </w:r>
      <w:proofErr w:type="spellStart"/>
      <w:r w:rsidRPr="00F9509D">
        <w:rPr>
          <w:rFonts w:eastAsia="Calibri"/>
          <w:i/>
          <w:lang w:val="es-ES" w:eastAsia="en-US"/>
        </w:rPr>
        <w:t>Helicobacter</w:t>
      </w:r>
      <w:proofErr w:type="spellEnd"/>
      <w:r w:rsidRPr="00F9509D">
        <w:rPr>
          <w:rFonts w:eastAsia="Calibri"/>
          <w:i/>
          <w:lang w:val="es-ES" w:eastAsia="en-US"/>
        </w:rPr>
        <w:t xml:space="preserve"> pylori</w:t>
      </w:r>
      <w:r w:rsidRPr="00F9509D">
        <w:rPr>
          <w:rFonts w:eastAsia="Calibri"/>
          <w:lang w:val="es-ES" w:eastAsia="en-US"/>
        </w:rPr>
        <w:t xml:space="preserve"> y lesiones endoscópicas e histológicas en mucosa gástrica de pacientes de 50 años y más. </w:t>
      </w:r>
      <w:proofErr w:type="spellStart"/>
      <w:r w:rsidRPr="00F9509D">
        <w:rPr>
          <w:rFonts w:eastAsia="Calibri"/>
          <w:lang w:val="es-ES" w:eastAsia="en-US"/>
        </w:rPr>
        <w:t>Rev</w:t>
      </w:r>
      <w:proofErr w:type="spellEnd"/>
      <w:r w:rsidRPr="00F9509D">
        <w:rPr>
          <w:rFonts w:eastAsia="Calibri"/>
          <w:lang w:val="es-ES" w:eastAsia="en-US"/>
        </w:rPr>
        <w:t xml:space="preserve"> Cubana </w:t>
      </w:r>
      <w:proofErr w:type="spellStart"/>
      <w:r w:rsidRPr="00F9509D">
        <w:rPr>
          <w:rFonts w:eastAsia="Calibri"/>
          <w:lang w:val="es-ES" w:eastAsia="en-US"/>
        </w:rPr>
        <w:t>Med</w:t>
      </w:r>
      <w:proofErr w:type="spellEnd"/>
      <w:r w:rsidRPr="00F9509D">
        <w:rPr>
          <w:rFonts w:eastAsia="Calibri"/>
          <w:lang w:val="es-ES" w:eastAsia="en-US"/>
        </w:rPr>
        <w:t xml:space="preserve">. 2008 [acceso: 19/06/2021]; 47(2): 1-14 Disponible en: </w:t>
      </w:r>
      <w:hyperlink r:id="rId17" w:history="1">
        <w:r w:rsidRPr="00F9509D">
          <w:rPr>
            <w:rFonts w:eastAsia="Calibri"/>
            <w:color w:val="0563C1"/>
            <w:u w:val="single"/>
            <w:lang w:val="es-ES" w:eastAsia="en-US"/>
          </w:rPr>
          <w:t>http://scielo.sld.cu/scielo.php?script=sci_arttext&amp;pid=S0034-75232008000200006&amp;lng=es</w:t>
        </w:r>
      </w:hyperlink>
    </w:p>
    <w:p w14:paraId="724D4375"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4. González-Carbajal M, Martínez L, Montero TJ, Cañete R. Diagnóstico mediante histología y test de ureasa de la infección por </w:t>
      </w:r>
      <w:proofErr w:type="spellStart"/>
      <w:r w:rsidRPr="00F9509D">
        <w:rPr>
          <w:rFonts w:eastAsia="Arial"/>
          <w:i/>
          <w:lang w:val="es-ES" w:eastAsia="en-US"/>
        </w:rPr>
        <w:t>Helicobacter</w:t>
      </w:r>
      <w:proofErr w:type="spellEnd"/>
      <w:r w:rsidRPr="00F9509D">
        <w:rPr>
          <w:rFonts w:eastAsia="Arial"/>
          <w:i/>
          <w:lang w:val="es-ES" w:eastAsia="en-US"/>
        </w:rPr>
        <w:t xml:space="preserve"> pylori</w:t>
      </w:r>
      <w:r w:rsidRPr="00F9509D">
        <w:rPr>
          <w:rFonts w:eastAsia="Calibri"/>
          <w:lang w:val="es-ES" w:eastAsia="en-US"/>
        </w:rPr>
        <w:t xml:space="preserve"> en el Instituto Cubano de Gastroenterología. </w:t>
      </w:r>
      <w:proofErr w:type="spellStart"/>
      <w:r w:rsidRPr="00F9509D">
        <w:rPr>
          <w:rFonts w:eastAsia="Calibri"/>
          <w:lang w:val="es-ES" w:eastAsia="en-US"/>
        </w:rPr>
        <w:t>Rev</w:t>
      </w:r>
      <w:proofErr w:type="spellEnd"/>
      <w:r w:rsidRPr="00F9509D">
        <w:rPr>
          <w:rFonts w:eastAsia="Calibri"/>
          <w:lang w:val="es-ES" w:eastAsia="en-US"/>
        </w:rPr>
        <w:t xml:space="preserve"> </w:t>
      </w:r>
      <w:proofErr w:type="spellStart"/>
      <w:r w:rsidRPr="00F9509D">
        <w:rPr>
          <w:rFonts w:eastAsia="Calibri"/>
          <w:lang w:val="es-ES" w:eastAsia="en-US"/>
        </w:rPr>
        <w:t>Panam</w:t>
      </w:r>
      <w:proofErr w:type="spellEnd"/>
      <w:r w:rsidRPr="00F9509D">
        <w:rPr>
          <w:rFonts w:eastAsia="Calibri"/>
          <w:lang w:val="es-ES" w:eastAsia="en-US"/>
        </w:rPr>
        <w:t xml:space="preserve"> </w:t>
      </w:r>
      <w:proofErr w:type="spellStart"/>
      <w:r w:rsidRPr="00F9509D">
        <w:rPr>
          <w:rFonts w:eastAsia="Calibri"/>
          <w:lang w:val="es-ES" w:eastAsia="en-US"/>
        </w:rPr>
        <w:t>Infectol</w:t>
      </w:r>
      <w:proofErr w:type="spellEnd"/>
      <w:r w:rsidRPr="00F9509D">
        <w:rPr>
          <w:rFonts w:eastAsia="Calibri"/>
          <w:lang w:val="es-ES" w:eastAsia="en-US"/>
        </w:rPr>
        <w:t xml:space="preserve">. 2009 [acceso: 19/06/2021]; 11(1):7-10. Disponible en: </w:t>
      </w:r>
      <w:hyperlink r:id="rId18" w:history="1">
        <w:r w:rsidRPr="00F9509D">
          <w:rPr>
            <w:rFonts w:eastAsia="Calibri"/>
            <w:color w:val="0563C1"/>
            <w:u w:val="single"/>
            <w:lang w:val="es-ES" w:eastAsia="en-US"/>
          </w:rPr>
          <w:t>https://www.academia.edu/23062502/Diagnóstico_mediante_histología_y_test_de_ureasa_de_la_infección_por_Helicobacter_pylori_en_el_Instituto_Cubano_de_Gastroenterología_Helicobacter_pylori_infections_diagnostic_by_histology_and_ureasa_test</w:t>
        </w:r>
      </w:hyperlink>
    </w:p>
    <w:p w14:paraId="1921C290" w14:textId="77777777" w:rsidR="00F9509D" w:rsidRPr="00F9509D" w:rsidRDefault="00F9509D" w:rsidP="00F9509D">
      <w:pPr>
        <w:spacing w:line="360" w:lineRule="auto"/>
        <w:rPr>
          <w:rFonts w:eastAsia="Calibri"/>
          <w:lang w:val="es-US" w:eastAsia="en-US"/>
        </w:rPr>
      </w:pPr>
      <w:r w:rsidRPr="00F9509D">
        <w:rPr>
          <w:rFonts w:eastAsia="Calibri"/>
          <w:lang w:val="es-ES" w:eastAsia="en-US"/>
        </w:rPr>
        <w:lastRenderedPageBreak/>
        <w:t xml:space="preserve">5. Laserna A, Barahona-Correa JE, Alba LH. Manejo de la infección por </w:t>
      </w:r>
      <w:proofErr w:type="spellStart"/>
      <w:r w:rsidRPr="00F9509D">
        <w:rPr>
          <w:rFonts w:eastAsia="Calibri"/>
          <w:i/>
          <w:lang w:val="es-ES" w:eastAsia="en-US"/>
        </w:rPr>
        <w:t>Helicobacter</w:t>
      </w:r>
      <w:proofErr w:type="spellEnd"/>
      <w:r w:rsidRPr="00F9509D">
        <w:rPr>
          <w:rFonts w:eastAsia="Calibri"/>
          <w:i/>
          <w:lang w:val="es-ES" w:eastAsia="en-US"/>
        </w:rPr>
        <w:t xml:space="preserve"> pylori</w:t>
      </w:r>
      <w:r w:rsidRPr="00F9509D">
        <w:rPr>
          <w:rFonts w:eastAsia="Calibri"/>
          <w:lang w:val="es-ES" w:eastAsia="en-US"/>
        </w:rPr>
        <w:t xml:space="preserve">: apreciación crítica de la literatura. </w:t>
      </w:r>
      <w:proofErr w:type="spellStart"/>
      <w:r w:rsidRPr="00F9509D">
        <w:rPr>
          <w:rFonts w:eastAsia="Calibri"/>
          <w:lang w:val="es-US" w:eastAsia="en-US"/>
        </w:rPr>
        <w:t>Univ</w:t>
      </w:r>
      <w:proofErr w:type="spellEnd"/>
      <w:r w:rsidRPr="00F9509D">
        <w:rPr>
          <w:rFonts w:eastAsia="Calibri"/>
          <w:lang w:val="es-US" w:eastAsia="en-US"/>
        </w:rPr>
        <w:t xml:space="preserve"> </w:t>
      </w:r>
      <w:proofErr w:type="spellStart"/>
      <w:r w:rsidRPr="00F9509D">
        <w:rPr>
          <w:rFonts w:eastAsia="Calibri"/>
          <w:lang w:val="es-US" w:eastAsia="en-US"/>
        </w:rPr>
        <w:t>Med</w:t>
      </w:r>
      <w:proofErr w:type="spellEnd"/>
      <w:r w:rsidRPr="00F9509D">
        <w:rPr>
          <w:rFonts w:eastAsia="Calibri"/>
          <w:lang w:val="es-US" w:eastAsia="en-US"/>
        </w:rPr>
        <w:t>. 2018 [</w:t>
      </w:r>
      <w:r w:rsidRPr="00F9509D">
        <w:rPr>
          <w:rFonts w:eastAsia="Calibri"/>
          <w:lang w:val="es-ES" w:eastAsia="en-US"/>
        </w:rPr>
        <w:t>acceso: 19/06/2021</w:t>
      </w:r>
      <w:r w:rsidRPr="00F9509D">
        <w:rPr>
          <w:rFonts w:eastAsia="Calibri"/>
          <w:lang w:val="es-US" w:eastAsia="en-US"/>
        </w:rPr>
        <w:t xml:space="preserve">]; 59(3): 1-10. Disponible en: </w:t>
      </w:r>
      <w:hyperlink r:id="rId19" w:tgtFrame="_blank" w:history="1">
        <w:r w:rsidRPr="00F9509D">
          <w:rPr>
            <w:rFonts w:eastAsia="Calibri"/>
            <w:color w:val="0563C1"/>
            <w:u w:val="single"/>
            <w:lang w:val="es-US" w:eastAsia="en-US"/>
          </w:rPr>
          <w:t>http://dx.doi.org/10.11144/Javeriana.umed59-3.pylo</w:t>
        </w:r>
      </w:hyperlink>
    </w:p>
    <w:p w14:paraId="3F31C6E2" w14:textId="77777777" w:rsidR="00F9509D" w:rsidRPr="00F9509D" w:rsidRDefault="00F9509D" w:rsidP="00F9509D">
      <w:pPr>
        <w:spacing w:line="360" w:lineRule="auto"/>
        <w:rPr>
          <w:rFonts w:eastAsia="Calibri"/>
          <w:lang w:val="es-ES" w:eastAsia="en-US"/>
        </w:rPr>
      </w:pPr>
      <w:r w:rsidRPr="00F9509D">
        <w:rPr>
          <w:rFonts w:eastAsia="Calibri"/>
          <w:lang w:val="es-US" w:eastAsia="en-US"/>
        </w:rPr>
        <w:t xml:space="preserve">6. Molina-Infante J, Corti R, </w:t>
      </w:r>
      <w:proofErr w:type="spellStart"/>
      <w:r w:rsidRPr="00F9509D">
        <w:rPr>
          <w:rFonts w:eastAsia="Calibri"/>
          <w:lang w:val="es-US" w:eastAsia="en-US"/>
        </w:rPr>
        <w:t>Doweck</w:t>
      </w:r>
      <w:proofErr w:type="spellEnd"/>
      <w:r w:rsidRPr="00F9509D">
        <w:rPr>
          <w:rFonts w:eastAsia="Calibri"/>
          <w:lang w:val="es-US" w:eastAsia="en-US"/>
        </w:rPr>
        <w:t xml:space="preserve"> J, </w:t>
      </w:r>
      <w:proofErr w:type="spellStart"/>
      <w:r w:rsidRPr="00F9509D">
        <w:rPr>
          <w:rFonts w:eastAsia="Calibri"/>
          <w:lang w:val="es-US" w:eastAsia="en-US"/>
        </w:rPr>
        <w:t>McNicholl</w:t>
      </w:r>
      <w:proofErr w:type="spellEnd"/>
      <w:r w:rsidRPr="00F9509D">
        <w:rPr>
          <w:rFonts w:eastAsia="Calibri"/>
          <w:lang w:val="es-US" w:eastAsia="en-US"/>
        </w:rPr>
        <w:t xml:space="preserve"> AG, Gisbert JP. </w:t>
      </w:r>
      <w:r w:rsidRPr="00F9509D">
        <w:rPr>
          <w:rFonts w:eastAsia="Calibri"/>
          <w:lang w:val="es-ES" w:eastAsia="en-US"/>
        </w:rPr>
        <w:t xml:space="preserve">Avances recientes en el tratamiento de la infección por </w:t>
      </w:r>
      <w:proofErr w:type="spellStart"/>
      <w:r w:rsidRPr="00F9509D">
        <w:rPr>
          <w:rFonts w:eastAsia="Arial"/>
          <w:i/>
          <w:lang w:val="es-ES" w:eastAsia="en-US"/>
        </w:rPr>
        <w:t>Helicobacter</w:t>
      </w:r>
      <w:proofErr w:type="spellEnd"/>
      <w:r w:rsidRPr="00F9509D">
        <w:rPr>
          <w:rFonts w:eastAsia="Arial"/>
          <w:i/>
          <w:lang w:val="es-ES" w:eastAsia="en-US"/>
        </w:rPr>
        <w:t xml:space="preserve"> pylori</w:t>
      </w:r>
      <w:r w:rsidRPr="00F9509D">
        <w:rPr>
          <w:rFonts w:eastAsia="Calibri"/>
          <w:lang w:val="es-ES" w:eastAsia="en-US"/>
        </w:rPr>
        <w:t xml:space="preserve">. Acta </w:t>
      </w:r>
      <w:proofErr w:type="spellStart"/>
      <w:r w:rsidRPr="00F9509D">
        <w:rPr>
          <w:rFonts w:eastAsia="Calibri"/>
          <w:lang w:val="es-ES" w:eastAsia="en-US"/>
        </w:rPr>
        <w:t>Gastroenterol</w:t>
      </w:r>
      <w:proofErr w:type="spellEnd"/>
      <w:r w:rsidRPr="00F9509D">
        <w:rPr>
          <w:rFonts w:eastAsia="Calibri"/>
          <w:lang w:val="es-ES" w:eastAsia="en-US"/>
        </w:rPr>
        <w:t xml:space="preserve"> </w:t>
      </w:r>
      <w:proofErr w:type="spellStart"/>
      <w:r w:rsidRPr="00F9509D">
        <w:rPr>
          <w:rFonts w:eastAsia="Calibri"/>
          <w:lang w:val="es-ES" w:eastAsia="en-US"/>
        </w:rPr>
        <w:t>Latinoam</w:t>
      </w:r>
      <w:proofErr w:type="spellEnd"/>
      <w:r w:rsidRPr="00F9509D">
        <w:rPr>
          <w:rFonts w:eastAsia="Calibri"/>
          <w:lang w:val="es-ES" w:eastAsia="en-US"/>
        </w:rPr>
        <w:t xml:space="preserve">. 2017 [acceso: 19/06/2021]; 47(1):75-85. Disponible en: </w:t>
      </w:r>
      <w:hyperlink r:id="rId20" w:history="1">
        <w:r w:rsidRPr="00F9509D">
          <w:rPr>
            <w:rFonts w:eastAsia="Calibri"/>
            <w:color w:val="0563C1"/>
            <w:u w:val="single"/>
            <w:lang w:val="es-ES" w:eastAsia="en-US"/>
          </w:rPr>
          <w:t>https://www.actagastro.org/numeros-anteriores/2017/Vol-47-N1/Vol47N1-PDF15.pdf</w:t>
        </w:r>
      </w:hyperlink>
    </w:p>
    <w:p w14:paraId="73A7AB42"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7. Gisbert JP, Molina-Infante J. Tratamiento actual de la infección por </w:t>
      </w:r>
      <w:proofErr w:type="spellStart"/>
      <w:r w:rsidRPr="00F9509D">
        <w:rPr>
          <w:rFonts w:eastAsia="Arial"/>
          <w:i/>
          <w:lang w:val="es-ES" w:eastAsia="en-US"/>
        </w:rPr>
        <w:t>Helicobacter</w:t>
      </w:r>
      <w:proofErr w:type="spellEnd"/>
      <w:r w:rsidRPr="00F9509D">
        <w:rPr>
          <w:rFonts w:eastAsia="Arial"/>
          <w:i/>
          <w:lang w:val="es-ES" w:eastAsia="en-US"/>
        </w:rPr>
        <w:t xml:space="preserve"> pylori. </w:t>
      </w:r>
      <w:proofErr w:type="spellStart"/>
      <w:r w:rsidRPr="00F9509D">
        <w:rPr>
          <w:rFonts w:eastAsia="Calibri"/>
          <w:lang w:val="es-ES" w:eastAsia="en-US"/>
        </w:rPr>
        <w:t>Med</w:t>
      </w:r>
      <w:proofErr w:type="spellEnd"/>
      <w:r w:rsidRPr="00F9509D">
        <w:rPr>
          <w:rFonts w:eastAsia="Calibri"/>
          <w:lang w:val="es-ES" w:eastAsia="en-US"/>
        </w:rPr>
        <w:t xml:space="preserve"> Clin (</w:t>
      </w:r>
      <w:proofErr w:type="spellStart"/>
      <w:r w:rsidRPr="00F9509D">
        <w:rPr>
          <w:rFonts w:eastAsia="Calibri"/>
          <w:lang w:val="es-ES" w:eastAsia="en-US"/>
        </w:rPr>
        <w:t>Barc</w:t>
      </w:r>
      <w:proofErr w:type="spellEnd"/>
      <w:r w:rsidRPr="00F9509D">
        <w:rPr>
          <w:rFonts w:eastAsia="Calibri"/>
          <w:lang w:val="es-ES" w:eastAsia="en-US"/>
        </w:rPr>
        <w:t xml:space="preserve">). 2017 [acceso: 19/06/2021]; 148(1):20-2. Disponible en: </w:t>
      </w:r>
      <w:hyperlink r:id="rId21" w:history="1">
        <w:r w:rsidRPr="00F9509D">
          <w:rPr>
            <w:rFonts w:eastAsia="Calibri"/>
            <w:color w:val="0563C1"/>
            <w:u w:val="single"/>
            <w:lang w:val="es-ES" w:eastAsia="en-US"/>
          </w:rPr>
          <w:t>https://doi.org/10.1016/j.medcli.2016.10.026</w:t>
        </w:r>
      </w:hyperlink>
    </w:p>
    <w:p w14:paraId="0261F70B" w14:textId="77777777" w:rsidR="00F9509D" w:rsidRPr="00F9509D" w:rsidRDefault="00F9509D" w:rsidP="00F9509D">
      <w:pPr>
        <w:spacing w:line="360" w:lineRule="auto"/>
        <w:rPr>
          <w:rFonts w:eastAsia="Calibri"/>
          <w:lang w:val="es-ES" w:eastAsia="en-US"/>
        </w:rPr>
      </w:pPr>
      <w:r w:rsidRPr="00F9509D">
        <w:rPr>
          <w:rFonts w:eastAsia="Calibri"/>
          <w:lang w:val="en-US" w:eastAsia="en-US"/>
        </w:rPr>
        <w:t xml:space="preserve">8. </w:t>
      </w:r>
      <w:proofErr w:type="spellStart"/>
      <w:r w:rsidRPr="00F9509D">
        <w:rPr>
          <w:rFonts w:eastAsia="Calibri"/>
          <w:lang w:val="en-US" w:eastAsia="en-US"/>
        </w:rPr>
        <w:t>Guarner</w:t>
      </w:r>
      <w:proofErr w:type="spellEnd"/>
      <w:r w:rsidRPr="00F9509D">
        <w:rPr>
          <w:rFonts w:eastAsia="Calibri"/>
          <w:lang w:val="en-US" w:eastAsia="en-US"/>
        </w:rPr>
        <w:t xml:space="preserve"> F, Sanders ME, Eliakim R, </w:t>
      </w:r>
      <w:proofErr w:type="spellStart"/>
      <w:r w:rsidRPr="00F9509D">
        <w:rPr>
          <w:rFonts w:eastAsia="Calibri"/>
          <w:lang w:val="en-US" w:eastAsia="en-US"/>
        </w:rPr>
        <w:t>Fedorak</w:t>
      </w:r>
      <w:proofErr w:type="spellEnd"/>
      <w:r w:rsidRPr="00F9509D">
        <w:rPr>
          <w:rFonts w:eastAsia="Calibri"/>
          <w:lang w:val="en-US" w:eastAsia="en-US"/>
        </w:rPr>
        <w:t xml:space="preserve"> R, </w:t>
      </w:r>
      <w:proofErr w:type="spellStart"/>
      <w:r w:rsidRPr="00F9509D">
        <w:rPr>
          <w:rFonts w:eastAsia="Calibri"/>
          <w:lang w:val="en-US" w:eastAsia="en-US"/>
        </w:rPr>
        <w:t>Gangl</w:t>
      </w:r>
      <w:proofErr w:type="spellEnd"/>
      <w:r w:rsidRPr="00F9509D">
        <w:rPr>
          <w:rFonts w:eastAsia="Calibri"/>
          <w:lang w:val="en-US" w:eastAsia="en-US"/>
        </w:rPr>
        <w:t xml:space="preserve"> A, </w:t>
      </w:r>
      <w:proofErr w:type="spellStart"/>
      <w:r w:rsidRPr="00F9509D">
        <w:rPr>
          <w:rFonts w:eastAsia="Calibri"/>
          <w:lang w:val="en-US" w:eastAsia="en-US"/>
        </w:rPr>
        <w:t>Garisch</w:t>
      </w:r>
      <w:proofErr w:type="spellEnd"/>
      <w:r w:rsidRPr="00F9509D">
        <w:rPr>
          <w:rFonts w:eastAsia="Calibri"/>
          <w:lang w:val="en-US" w:eastAsia="en-US"/>
        </w:rPr>
        <w:t xml:space="preserve"> J, et al. </w:t>
      </w:r>
      <w:r w:rsidRPr="00F9509D">
        <w:rPr>
          <w:rFonts w:eastAsia="Calibri"/>
          <w:lang w:val="es-ES" w:eastAsia="en-US"/>
        </w:rPr>
        <w:t xml:space="preserve">Probióticos y prebióticos. WGO; 2017. [acceso: 19/06/2021]. Disponible en: </w:t>
      </w:r>
      <w:hyperlink r:id="rId22" w:history="1">
        <w:r w:rsidRPr="00F9509D">
          <w:rPr>
            <w:rFonts w:eastAsia="Calibri"/>
            <w:color w:val="0563C1"/>
            <w:u w:val="single"/>
            <w:lang w:val="es-ES" w:eastAsia="en-US"/>
          </w:rPr>
          <w:t>https://www.worldgastroenterology.org/UserFiles/file/guidelines/probiotics-and-prebiotics-spanish-2017.pdf</w:t>
        </w:r>
      </w:hyperlink>
    </w:p>
    <w:p w14:paraId="034F226A"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9. Oliveira G, González-Molero I. Actualización de probióticos, prebióticos y simbióticos en nutrición clínica. </w:t>
      </w:r>
      <w:proofErr w:type="spellStart"/>
      <w:r w:rsidRPr="00F9509D">
        <w:rPr>
          <w:rFonts w:eastAsia="Calibri"/>
          <w:lang w:val="es-ES" w:eastAsia="en-US"/>
        </w:rPr>
        <w:t>Endocrinol</w:t>
      </w:r>
      <w:proofErr w:type="spellEnd"/>
      <w:r w:rsidRPr="00F9509D">
        <w:rPr>
          <w:rFonts w:eastAsia="Calibri"/>
          <w:lang w:val="es-ES" w:eastAsia="en-US"/>
        </w:rPr>
        <w:t xml:space="preserve"> </w:t>
      </w:r>
      <w:proofErr w:type="spellStart"/>
      <w:r w:rsidRPr="00F9509D">
        <w:rPr>
          <w:rFonts w:eastAsia="Calibri"/>
          <w:lang w:val="es-ES" w:eastAsia="en-US"/>
        </w:rPr>
        <w:t>Nutr</w:t>
      </w:r>
      <w:proofErr w:type="spellEnd"/>
      <w:r w:rsidRPr="00F9509D">
        <w:rPr>
          <w:rFonts w:eastAsia="Calibri"/>
          <w:lang w:val="es-ES" w:eastAsia="en-US"/>
        </w:rPr>
        <w:t xml:space="preserve">. 2016 [acceso: 19/06/2021]; 63(9): 482-94. Disponible en: </w:t>
      </w:r>
      <w:hyperlink r:id="rId23" w:history="1">
        <w:r w:rsidRPr="00F9509D">
          <w:rPr>
            <w:rFonts w:eastAsia="Calibri"/>
            <w:color w:val="0563C1"/>
            <w:u w:val="single"/>
            <w:lang w:val="es-ES" w:eastAsia="en-US"/>
          </w:rPr>
          <w:t>https://www.elsevier.es/es-revista-endocrinologia-nutricion-12-articulo-actualizacion-probioticos-prebioticos-simbioticos-nutricion-S1575092216301139</w:t>
        </w:r>
      </w:hyperlink>
    </w:p>
    <w:p w14:paraId="0DE7DF94" w14:textId="77777777" w:rsidR="00F9509D" w:rsidRPr="00F9509D" w:rsidRDefault="00F9509D" w:rsidP="00F9509D">
      <w:pPr>
        <w:spacing w:line="360" w:lineRule="auto"/>
        <w:rPr>
          <w:rFonts w:eastAsia="Calibri"/>
          <w:lang w:val="es-CU" w:eastAsia="en-US"/>
        </w:rPr>
      </w:pPr>
      <w:r w:rsidRPr="00F9509D">
        <w:rPr>
          <w:rFonts w:eastAsia="Calibri"/>
          <w:lang w:val="es-ES" w:eastAsia="en-US"/>
        </w:rPr>
        <w:t xml:space="preserve">10. </w:t>
      </w:r>
      <w:proofErr w:type="spellStart"/>
      <w:r w:rsidRPr="00F9509D">
        <w:rPr>
          <w:rFonts w:eastAsia="Calibri"/>
          <w:lang w:val="es-ES" w:eastAsia="en-US"/>
        </w:rPr>
        <w:t>Eslami</w:t>
      </w:r>
      <w:proofErr w:type="spellEnd"/>
      <w:r w:rsidRPr="00F9509D">
        <w:rPr>
          <w:rFonts w:eastAsia="Calibri"/>
          <w:lang w:val="es-ES" w:eastAsia="en-US"/>
        </w:rPr>
        <w:t xml:space="preserve"> M, </w:t>
      </w:r>
      <w:proofErr w:type="spellStart"/>
      <w:r w:rsidRPr="00F9509D">
        <w:rPr>
          <w:rFonts w:eastAsia="Calibri"/>
          <w:lang w:val="es-ES" w:eastAsia="en-US"/>
        </w:rPr>
        <w:t>Yousefi</w:t>
      </w:r>
      <w:proofErr w:type="spellEnd"/>
      <w:r w:rsidRPr="00F9509D">
        <w:rPr>
          <w:rFonts w:eastAsia="Calibri"/>
          <w:lang w:val="es-ES" w:eastAsia="en-US"/>
        </w:rPr>
        <w:t xml:space="preserve"> M, </w:t>
      </w:r>
      <w:proofErr w:type="spellStart"/>
      <w:r w:rsidRPr="00F9509D">
        <w:rPr>
          <w:rFonts w:eastAsia="Calibri"/>
          <w:lang w:val="es-ES" w:eastAsia="en-US"/>
        </w:rPr>
        <w:t>Kokhaei</w:t>
      </w:r>
      <w:proofErr w:type="spellEnd"/>
      <w:r w:rsidRPr="00F9509D">
        <w:rPr>
          <w:rFonts w:eastAsia="Calibri"/>
          <w:lang w:val="es-ES" w:eastAsia="en-US"/>
        </w:rPr>
        <w:t xml:space="preserve"> P, </w:t>
      </w:r>
      <w:proofErr w:type="spellStart"/>
      <w:r w:rsidRPr="00F9509D">
        <w:rPr>
          <w:rFonts w:eastAsia="Calibri"/>
          <w:lang w:val="es-ES" w:eastAsia="en-US"/>
        </w:rPr>
        <w:t>Moghadas</w:t>
      </w:r>
      <w:proofErr w:type="spellEnd"/>
      <w:r w:rsidRPr="00F9509D">
        <w:rPr>
          <w:rFonts w:eastAsia="Calibri"/>
          <w:lang w:val="es-ES" w:eastAsia="en-US"/>
        </w:rPr>
        <w:t xml:space="preserve"> AJ, </w:t>
      </w:r>
      <w:proofErr w:type="spellStart"/>
      <w:r w:rsidRPr="00F9509D">
        <w:rPr>
          <w:rFonts w:eastAsia="Calibri"/>
          <w:lang w:val="es-ES" w:eastAsia="en-US"/>
        </w:rPr>
        <w:t>Moghadam</w:t>
      </w:r>
      <w:proofErr w:type="spellEnd"/>
      <w:r w:rsidRPr="00F9509D">
        <w:rPr>
          <w:rFonts w:eastAsia="Calibri"/>
          <w:lang w:val="es-ES" w:eastAsia="en-US"/>
        </w:rPr>
        <w:t xml:space="preserve"> BS, </w:t>
      </w:r>
      <w:proofErr w:type="spellStart"/>
      <w:r w:rsidRPr="00F9509D">
        <w:rPr>
          <w:rFonts w:eastAsia="Calibri"/>
          <w:lang w:val="es-ES" w:eastAsia="en-US"/>
        </w:rPr>
        <w:t>Arabkari</w:t>
      </w:r>
      <w:proofErr w:type="spellEnd"/>
      <w:r w:rsidRPr="00F9509D">
        <w:rPr>
          <w:rFonts w:eastAsia="Calibri"/>
          <w:lang w:val="es-ES" w:eastAsia="en-US"/>
        </w:rPr>
        <w:t xml:space="preserve"> V, et al. </w:t>
      </w:r>
      <w:r w:rsidRPr="00F9509D">
        <w:rPr>
          <w:rFonts w:eastAsia="Calibri"/>
          <w:lang w:val="en-US" w:eastAsia="en-US"/>
        </w:rPr>
        <w:t xml:space="preserve">Are probiotics useful for therapy of </w:t>
      </w:r>
      <w:r w:rsidRPr="00F9509D">
        <w:rPr>
          <w:rFonts w:eastAsia="Arial"/>
          <w:i/>
          <w:lang w:val="en-US" w:eastAsia="en-US"/>
        </w:rPr>
        <w:t>Helicobacter pylori</w:t>
      </w:r>
      <w:r w:rsidRPr="00F9509D">
        <w:rPr>
          <w:rFonts w:eastAsia="Calibri"/>
          <w:lang w:val="en-US" w:eastAsia="en-US"/>
        </w:rPr>
        <w:t xml:space="preserve"> diseases? Comp Immunol Microbiol Infect Dis. 2019 [</w:t>
      </w:r>
      <w:proofErr w:type="spellStart"/>
      <w:r w:rsidRPr="00F9509D">
        <w:rPr>
          <w:rFonts w:eastAsia="Calibri"/>
          <w:lang w:val="en-US" w:eastAsia="en-US"/>
        </w:rPr>
        <w:t>acceso</w:t>
      </w:r>
      <w:proofErr w:type="spellEnd"/>
      <w:r w:rsidRPr="00F9509D">
        <w:rPr>
          <w:rFonts w:eastAsia="Calibri"/>
          <w:lang w:val="en-US" w:eastAsia="en-US"/>
        </w:rPr>
        <w:t xml:space="preserve">: 19/06/2021]; 64:99-108. </w:t>
      </w:r>
      <w:r w:rsidRPr="00F9509D">
        <w:rPr>
          <w:rFonts w:eastAsia="Calibri"/>
          <w:lang w:val="es-CU" w:eastAsia="en-US"/>
        </w:rPr>
        <w:t xml:space="preserve">Disponible en: </w:t>
      </w:r>
      <w:hyperlink r:id="rId24" w:history="1">
        <w:r w:rsidRPr="00F9509D">
          <w:rPr>
            <w:rFonts w:eastAsia="Calibri"/>
            <w:color w:val="0563C1"/>
            <w:u w:val="single"/>
            <w:lang w:val="es-CU" w:eastAsia="en-US"/>
          </w:rPr>
          <w:t>https://doi.org/10.1016/j.cimid.2019.02.010</w:t>
        </w:r>
      </w:hyperlink>
    </w:p>
    <w:p w14:paraId="1378FB8B" w14:textId="77777777" w:rsidR="00F9509D" w:rsidRPr="00F9509D" w:rsidRDefault="00F9509D" w:rsidP="00F9509D">
      <w:pPr>
        <w:spacing w:line="360" w:lineRule="auto"/>
        <w:rPr>
          <w:rFonts w:eastAsia="Calibri"/>
          <w:lang w:val="es-US" w:eastAsia="en-US"/>
        </w:rPr>
      </w:pPr>
      <w:r w:rsidRPr="00F9509D">
        <w:rPr>
          <w:rFonts w:eastAsia="Calibri"/>
          <w:lang w:val="es-CU" w:eastAsia="en-US"/>
        </w:rPr>
        <w:t xml:space="preserve">11. LÜ M, </w:t>
      </w:r>
      <w:proofErr w:type="spellStart"/>
      <w:r w:rsidRPr="00F9509D">
        <w:rPr>
          <w:rFonts w:eastAsia="Calibri"/>
          <w:lang w:val="es-CU" w:eastAsia="en-US"/>
        </w:rPr>
        <w:t>Yu</w:t>
      </w:r>
      <w:proofErr w:type="spellEnd"/>
      <w:r w:rsidRPr="00F9509D">
        <w:rPr>
          <w:rFonts w:eastAsia="Calibri"/>
          <w:lang w:val="es-CU" w:eastAsia="en-US"/>
        </w:rPr>
        <w:t xml:space="preserve"> S, Deng J, Yan Q, Yang C, </w:t>
      </w:r>
      <w:proofErr w:type="spellStart"/>
      <w:r w:rsidRPr="00F9509D">
        <w:rPr>
          <w:rFonts w:eastAsia="Calibri"/>
          <w:lang w:val="es-CU" w:eastAsia="en-US"/>
        </w:rPr>
        <w:t>XiaG</w:t>
      </w:r>
      <w:proofErr w:type="spellEnd"/>
      <w:r w:rsidRPr="00F9509D">
        <w:rPr>
          <w:rFonts w:eastAsia="Calibri"/>
          <w:lang w:val="es-CU" w:eastAsia="en-US"/>
        </w:rPr>
        <w:t xml:space="preserve">, et al. </w:t>
      </w:r>
      <w:r w:rsidRPr="00F9509D">
        <w:rPr>
          <w:rFonts w:eastAsia="Calibri"/>
          <w:lang w:val="en-US" w:eastAsia="en-US"/>
        </w:rPr>
        <w:t xml:space="preserve">Efficacy of Probiotic Supplementation Therapy for </w:t>
      </w:r>
      <w:r w:rsidRPr="00F9509D">
        <w:rPr>
          <w:rFonts w:eastAsia="Arial"/>
          <w:i/>
          <w:lang w:val="en-US" w:eastAsia="en-US"/>
        </w:rPr>
        <w:t xml:space="preserve">Helicobacter pylori </w:t>
      </w:r>
      <w:r w:rsidRPr="00F9509D">
        <w:rPr>
          <w:rFonts w:eastAsia="Calibri"/>
          <w:lang w:val="en-US" w:eastAsia="en-US"/>
        </w:rPr>
        <w:t xml:space="preserve">Eradication: A Meta-analysis of Randomized Controlled Trials. </w:t>
      </w:r>
      <w:proofErr w:type="spellStart"/>
      <w:r w:rsidRPr="00F9509D">
        <w:rPr>
          <w:rFonts w:eastAsia="Calibri"/>
          <w:lang w:val="en-US" w:eastAsia="en-US"/>
        </w:rPr>
        <w:t>PLoS</w:t>
      </w:r>
      <w:proofErr w:type="spellEnd"/>
      <w:r w:rsidRPr="00F9509D">
        <w:rPr>
          <w:rFonts w:eastAsia="Calibri"/>
          <w:lang w:val="en-US" w:eastAsia="en-US"/>
        </w:rPr>
        <w:t xml:space="preserve"> ONE. 2016 [</w:t>
      </w:r>
      <w:proofErr w:type="spellStart"/>
      <w:r w:rsidRPr="00F9509D">
        <w:rPr>
          <w:rFonts w:eastAsia="Calibri"/>
          <w:lang w:val="en-US" w:eastAsia="en-US"/>
        </w:rPr>
        <w:t>acceso</w:t>
      </w:r>
      <w:proofErr w:type="spellEnd"/>
      <w:r w:rsidRPr="00F9509D">
        <w:rPr>
          <w:rFonts w:eastAsia="Calibri"/>
          <w:lang w:val="en-US" w:eastAsia="en-US"/>
        </w:rPr>
        <w:t xml:space="preserve">: 19/06/2021]; 11(10):1-26. </w:t>
      </w:r>
      <w:r w:rsidRPr="00F9509D">
        <w:rPr>
          <w:rFonts w:eastAsia="Calibri"/>
          <w:lang w:val="es-US" w:eastAsia="en-US"/>
        </w:rPr>
        <w:t xml:space="preserve">Disponible en: </w:t>
      </w:r>
      <w:hyperlink r:id="rId25" w:history="1">
        <w:r w:rsidRPr="00F9509D">
          <w:rPr>
            <w:rFonts w:eastAsia="Calibri"/>
            <w:color w:val="0563C1"/>
            <w:u w:val="single"/>
            <w:lang w:val="es-US" w:eastAsia="en-US"/>
          </w:rPr>
          <w:t>https://doi.org/10.1371/journal.pone.0163743</w:t>
        </w:r>
      </w:hyperlink>
    </w:p>
    <w:p w14:paraId="2356B9FD"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12. Hernández HR. Estómago. En: Hernández HR. Endoscopia digestiva superior diagnóstica. La Habana: ECIMED; 2014.</w:t>
      </w:r>
      <w:r w:rsidRPr="00F9509D">
        <w:rPr>
          <w:rFonts w:eastAsia="Calibri"/>
          <w:color w:val="FF0000"/>
          <w:lang w:val="es-ES" w:eastAsia="en-US"/>
        </w:rPr>
        <w:t xml:space="preserve"> </w:t>
      </w:r>
      <w:r w:rsidRPr="00F9509D">
        <w:rPr>
          <w:rFonts w:eastAsia="Calibri"/>
          <w:lang w:val="es-ES" w:eastAsia="en-US"/>
        </w:rPr>
        <w:t xml:space="preserve">Disponible en: </w:t>
      </w:r>
      <w:hyperlink r:id="rId26" w:history="1">
        <w:r w:rsidRPr="00F9509D">
          <w:rPr>
            <w:rFonts w:eastAsia="Calibri"/>
            <w:color w:val="0563C1"/>
            <w:u w:val="single"/>
            <w:lang w:val="es-ES" w:eastAsia="en-US"/>
          </w:rPr>
          <w:t>https://es.slideshare.net/661125/manual-de-endoscopia-digestiva-superior-diagnstica</w:t>
        </w:r>
      </w:hyperlink>
    </w:p>
    <w:p w14:paraId="5129F2EC" w14:textId="77777777" w:rsidR="00F9509D" w:rsidRPr="00F9509D" w:rsidRDefault="00F9509D" w:rsidP="00F9509D">
      <w:pPr>
        <w:spacing w:line="360" w:lineRule="auto"/>
        <w:rPr>
          <w:rFonts w:eastAsia="Calibri"/>
          <w:lang w:val="es-ES" w:eastAsia="en-US"/>
        </w:rPr>
      </w:pPr>
      <w:r w:rsidRPr="00F9509D">
        <w:rPr>
          <w:rFonts w:eastAsia="DengXian"/>
          <w:lang w:val="es-US" w:eastAsia="en-US"/>
        </w:rPr>
        <w:lastRenderedPageBreak/>
        <w:t xml:space="preserve">13. Asociación Médica Mundial AMM. Declaración de Helsinki de la AMM - Principios éticos para las investigaciones médicas en seres humanos. 64ª Asamblea General; 2013. Fortaleza, Brasil: Asociación Médica Mundial (AMM); 2013.  </w:t>
      </w:r>
      <w:r w:rsidRPr="00F9509D">
        <w:rPr>
          <w:rFonts w:eastAsia="Calibri"/>
          <w:lang w:val="es-US" w:eastAsia="en-US"/>
        </w:rPr>
        <w:t>[</w:t>
      </w:r>
      <w:r w:rsidRPr="00F9509D">
        <w:rPr>
          <w:rFonts w:eastAsia="Calibri"/>
          <w:lang w:val="es-ES" w:eastAsia="en-US"/>
        </w:rPr>
        <w:t>acceso: 19/06/2021</w:t>
      </w:r>
      <w:r w:rsidRPr="00F9509D">
        <w:rPr>
          <w:rFonts w:eastAsia="Calibri"/>
          <w:lang w:val="es-US" w:eastAsia="en-US"/>
        </w:rPr>
        <w:t xml:space="preserve">]. </w:t>
      </w:r>
      <w:r w:rsidRPr="00F9509D">
        <w:rPr>
          <w:rFonts w:eastAsia="DengXian"/>
          <w:lang w:val="es-US" w:eastAsia="en-US"/>
        </w:rPr>
        <w:t xml:space="preserve">Disponible en: </w:t>
      </w:r>
      <w:hyperlink r:id="rId27" w:history="1">
        <w:r w:rsidRPr="00F9509D">
          <w:rPr>
            <w:rFonts w:eastAsia="DengXian"/>
            <w:color w:val="0563C1"/>
            <w:u w:val="single"/>
            <w:lang w:val="es-US" w:eastAsia="en-US"/>
          </w:rPr>
          <w:t>https://www.wma.net/es/policies-post/declaracion-de-helsinki-de-la-amm-principios-eticos-para-las-investigaciones-medicas-en-seres-humanos/</w:t>
        </w:r>
      </w:hyperlink>
    </w:p>
    <w:p w14:paraId="51593175" w14:textId="77777777" w:rsidR="00F9509D" w:rsidRPr="00F9509D" w:rsidRDefault="00F9509D" w:rsidP="00F9509D">
      <w:pPr>
        <w:spacing w:line="360" w:lineRule="auto"/>
        <w:rPr>
          <w:rFonts w:eastAsia="Calibri"/>
          <w:lang w:val="es-US" w:eastAsia="en-US"/>
        </w:rPr>
      </w:pPr>
      <w:r w:rsidRPr="00F9509D">
        <w:rPr>
          <w:rFonts w:eastAsia="Calibri"/>
          <w:lang w:val="en-US" w:eastAsia="en-US"/>
        </w:rPr>
        <w:t xml:space="preserve">14. Homan M, Orel R. Are probiotics useful in </w:t>
      </w:r>
      <w:r w:rsidRPr="00F9509D">
        <w:rPr>
          <w:rFonts w:eastAsia="Arial"/>
          <w:i/>
          <w:lang w:val="en-US" w:eastAsia="en-US"/>
        </w:rPr>
        <w:t>Helicobacter pylori</w:t>
      </w:r>
      <w:r w:rsidRPr="00F9509D">
        <w:rPr>
          <w:rFonts w:eastAsia="Calibri"/>
          <w:lang w:val="en-US" w:eastAsia="en-US"/>
        </w:rPr>
        <w:t xml:space="preserve"> eradication? </w:t>
      </w:r>
      <w:r w:rsidRPr="00F9509D">
        <w:rPr>
          <w:rFonts w:eastAsia="Calibri"/>
          <w:lang w:val="es-US" w:eastAsia="en-US"/>
        </w:rPr>
        <w:t xml:space="preserve">Word J </w:t>
      </w:r>
      <w:proofErr w:type="spellStart"/>
      <w:r w:rsidRPr="00F9509D">
        <w:rPr>
          <w:rFonts w:eastAsia="Calibri"/>
          <w:lang w:val="es-US" w:eastAsia="en-US"/>
        </w:rPr>
        <w:t>Gastroenterol</w:t>
      </w:r>
      <w:proofErr w:type="spellEnd"/>
      <w:r w:rsidRPr="00F9509D">
        <w:rPr>
          <w:rFonts w:eastAsia="Calibri"/>
          <w:lang w:val="es-US" w:eastAsia="en-US"/>
        </w:rPr>
        <w:t>. 2015 [</w:t>
      </w:r>
      <w:r w:rsidRPr="00F9509D">
        <w:rPr>
          <w:rFonts w:eastAsia="Calibri"/>
          <w:lang w:val="es-ES" w:eastAsia="en-US"/>
        </w:rPr>
        <w:t>acceso: 19/06/2021</w:t>
      </w:r>
      <w:r w:rsidRPr="00F9509D">
        <w:rPr>
          <w:rFonts w:eastAsia="Calibri"/>
          <w:lang w:val="es-US" w:eastAsia="en-US"/>
        </w:rPr>
        <w:t xml:space="preserve">]; 21(37):10644-53. Disponible en: </w:t>
      </w:r>
      <w:hyperlink r:id="rId28" w:history="1">
        <w:r w:rsidRPr="00F9509D">
          <w:rPr>
            <w:rFonts w:eastAsia="Calibri"/>
            <w:color w:val="0563C1"/>
            <w:u w:val="single"/>
            <w:lang w:val="es-US" w:eastAsia="en-US"/>
          </w:rPr>
          <w:t>https://doi.org/10.3748/wjg.v21.i37.10644</w:t>
        </w:r>
      </w:hyperlink>
    </w:p>
    <w:p w14:paraId="65CB3AA8"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15. Marín González AM, Zambrano Pérez RD, Uribe Echeverry PT, Arturo Arias BL, Jaramillo Arredondo MS, López Arias PA, et al. Asociación clínica, patológica y microbiológica de </w:t>
      </w:r>
      <w:proofErr w:type="spellStart"/>
      <w:r w:rsidRPr="00F9509D">
        <w:rPr>
          <w:rFonts w:eastAsia="Calibri"/>
          <w:i/>
          <w:lang w:val="es-ES" w:eastAsia="en-US"/>
        </w:rPr>
        <w:t>Helicobacter</w:t>
      </w:r>
      <w:proofErr w:type="spellEnd"/>
      <w:r w:rsidRPr="00F9509D">
        <w:rPr>
          <w:rFonts w:eastAsia="Calibri"/>
          <w:i/>
          <w:lang w:val="es-ES" w:eastAsia="en-US"/>
        </w:rPr>
        <w:t xml:space="preserve"> pylori</w:t>
      </w:r>
      <w:r w:rsidRPr="00F9509D">
        <w:rPr>
          <w:rFonts w:eastAsia="Calibri"/>
          <w:lang w:val="es-ES" w:eastAsia="en-US"/>
        </w:rPr>
        <w:t xml:space="preserve"> en biopsias gástricas en el departamento de Caldas-Colombia. Rev. </w:t>
      </w:r>
      <w:proofErr w:type="spellStart"/>
      <w:r w:rsidRPr="00F9509D">
        <w:rPr>
          <w:rFonts w:eastAsia="Calibri"/>
          <w:lang w:val="es-ES" w:eastAsia="en-US"/>
        </w:rPr>
        <w:t>Gastroenterol</w:t>
      </w:r>
      <w:proofErr w:type="spellEnd"/>
      <w:r w:rsidRPr="00F9509D">
        <w:rPr>
          <w:rFonts w:eastAsia="Calibri"/>
          <w:lang w:val="es-ES" w:eastAsia="en-US"/>
        </w:rPr>
        <w:t xml:space="preserve">. Perú. 2018 [acceso: 19/06/2021]; 38(2): 144-50. Disponible en: </w:t>
      </w:r>
      <w:hyperlink r:id="rId29" w:history="1">
        <w:r w:rsidRPr="00F9509D">
          <w:rPr>
            <w:rFonts w:eastAsia="Calibri"/>
            <w:color w:val="0563C1"/>
            <w:u w:val="single"/>
            <w:lang w:val="es-ES" w:eastAsia="en-US"/>
          </w:rPr>
          <w:t>http://www.scielo.org.pe/scielo.php?script=sci_arttext&amp;pid=S1022-51292018000200006&amp;lng=es</w:t>
        </w:r>
      </w:hyperlink>
    </w:p>
    <w:p w14:paraId="4096211D" w14:textId="77777777" w:rsidR="00F9509D" w:rsidRPr="00F9509D" w:rsidRDefault="00F9509D" w:rsidP="00F9509D">
      <w:pPr>
        <w:spacing w:line="360" w:lineRule="auto"/>
        <w:rPr>
          <w:rFonts w:eastAsia="Calibri"/>
          <w:lang w:val="es-US" w:eastAsia="en-US"/>
        </w:rPr>
      </w:pPr>
      <w:r w:rsidRPr="00F9509D">
        <w:rPr>
          <w:rFonts w:eastAsia="Calibri"/>
          <w:lang w:val="es-ES" w:eastAsia="en-US"/>
        </w:rPr>
        <w:t xml:space="preserve">16. </w:t>
      </w:r>
      <w:proofErr w:type="spellStart"/>
      <w:r w:rsidRPr="00F9509D">
        <w:rPr>
          <w:rFonts w:eastAsia="Calibri"/>
          <w:lang w:val="es-ES" w:eastAsia="en-US"/>
        </w:rPr>
        <w:t>Khosravi</w:t>
      </w:r>
      <w:proofErr w:type="spellEnd"/>
      <w:r w:rsidRPr="00F9509D">
        <w:rPr>
          <w:rFonts w:eastAsia="Calibri"/>
          <w:lang w:val="es-ES" w:eastAsia="en-US"/>
        </w:rPr>
        <w:t xml:space="preserve"> Y, </w:t>
      </w:r>
      <w:proofErr w:type="spellStart"/>
      <w:r w:rsidRPr="00F9509D">
        <w:rPr>
          <w:rFonts w:eastAsia="Calibri"/>
          <w:lang w:val="es-ES" w:eastAsia="en-US"/>
        </w:rPr>
        <w:t>Dieye</w:t>
      </w:r>
      <w:proofErr w:type="spellEnd"/>
      <w:r w:rsidRPr="00F9509D">
        <w:rPr>
          <w:rFonts w:eastAsia="Calibri"/>
          <w:lang w:val="es-ES" w:eastAsia="en-US"/>
        </w:rPr>
        <w:t xml:space="preserve"> Y, </w:t>
      </w:r>
      <w:proofErr w:type="spellStart"/>
      <w:r w:rsidRPr="00F9509D">
        <w:rPr>
          <w:rFonts w:eastAsia="Calibri"/>
          <w:lang w:val="es-ES" w:eastAsia="en-US"/>
        </w:rPr>
        <w:t>Poh</w:t>
      </w:r>
      <w:proofErr w:type="spellEnd"/>
      <w:r w:rsidRPr="00F9509D">
        <w:rPr>
          <w:rFonts w:eastAsia="Calibri"/>
          <w:lang w:val="es-ES" w:eastAsia="en-US"/>
        </w:rPr>
        <w:t xml:space="preserve"> BH, Ng CG, </w:t>
      </w:r>
      <w:proofErr w:type="spellStart"/>
      <w:r w:rsidRPr="00F9509D">
        <w:rPr>
          <w:rFonts w:eastAsia="Calibri"/>
          <w:lang w:val="es-ES" w:eastAsia="en-US"/>
        </w:rPr>
        <w:t>Loke</w:t>
      </w:r>
      <w:proofErr w:type="spellEnd"/>
      <w:r w:rsidRPr="00F9509D">
        <w:rPr>
          <w:rFonts w:eastAsia="Calibri"/>
          <w:lang w:val="es-ES" w:eastAsia="en-US"/>
        </w:rPr>
        <w:t xml:space="preserve"> MF, </w:t>
      </w:r>
      <w:proofErr w:type="spellStart"/>
      <w:r w:rsidRPr="00F9509D">
        <w:rPr>
          <w:rFonts w:eastAsia="Calibri"/>
          <w:lang w:val="es-ES" w:eastAsia="en-US"/>
        </w:rPr>
        <w:t>Goh</w:t>
      </w:r>
      <w:proofErr w:type="spellEnd"/>
      <w:r w:rsidRPr="00F9509D">
        <w:rPr>
          <w:rFonts w:eastAsia="Calibri"/>
          <w:lang w:val="es-ES" w:eastAsia="en-US"/>
        </w:rPr>
        <w:t xml:space="preserve"> KL, et al. </w:t>
      </w:r>
      <w:r w:rsidRPr="00F9509D">
        <w:rPr>
          <w:rFonts w:eastAsia="Calibri"/>
          <w:lang w:val="en-US" w:eastAsia="en-US"/>
        </w:rPr>
        <w:t xml:space="preserve">Culturable bacterial microbiota of the stomach of </w:t>
      </w:r>
      <w:r w:rsidRPr="00F9509D">
        <w:rPr>
          <w:rFonts w:eastAsia="Arial"/>
          <w:i/>
          <w:lang w:val="en-US" w:eastAsia="en-US"/>
        </w:rPr>
        <w:t>Helicobacter pylori</w:t>
      </w:r>
      <w:r w:rsidRPr="00F9509D">
        <w:rPr>
          <w:rFonts w:eastAsia="Calibri"/>
          <w:lang w:val="en-US" w:eastAsia="en-US"/>
        </w:rPr>
        <w:t xml:space="preserve"> positive and negative gastric disease patients. </w:t>
      </w:r>
      <w:proofErr w:type="spellStart"/>
      <w:r w:rsidRPr="00F9509D">
        <w:rPr>
          <w:rFonts w:eastAsia="Calibri"/>
          <w:lang w:val="es-US" w:eastAsia="en-US"/>
        </w:rPr>
        <w:t>Sci</w:t>
      </w:r>
      <w:proofErr w:type="spellEnd"/>
      <w:r w:rsidRPr="00F9509D">
        <w:rPr>
          <w:rFonts w:eastAsia="Calibri"/>
          <w:lang w:val="es-US" w:eastAsia="en-US"/>
        </w:rPr>
        <w:t xml:space="preserve"> </w:t>
      </w:r>
      <w:proofErr w:type="spellStart"/>
      <w:r w:rsidRPr="00F9509D">
        <w:rPr>
          <w:rFonts w:eastAsia="Calibri"/>
          <w:lang w:val="es-US" w:eastAsia="en-US"/>
        </w:rPr>
        <w:t>World</w:t>
      </w:r>
      <w:proofErr w:type="spellEnd"/>
      <w:r w:rsidRPr="00F9509D">
        <w:rPr>
          <w:rFonts w:eastAsia="Calibri"/>
          <w:lang w:val="es-US" w:eastAsia="en-US"/>
        </w:rPr>
        <w:t xml:space="preserve"> J. 2014 [</w:t>
      </w:r>
      <w:r w:rsidRPr="00F9509D">
        <w:rPr>
          <w:rFonts w:eastAsia="Calibri"/>
          <w:lang w:val="es-ES" w:eastAsia="en-US"/>
        </w:rPr>
        <w:t>acceso: 19/06/2021</w:t>
      </w:r>
      <w:r w:rsidRPr="00F9509D">
        <w:rPr>
          <w:rFonts w:eastAsia="Calibri"/>
          <w:lang w:val="es-US" w:eastAsia="en-US"/>
        </w:rPr>
        <w:t xml:space="preserve">]; 2014:1-10. Disponible en: </w:t>
      </w:r>
      <w:hyperlink r:id="rId30" w:history="1">
        <w:r w:rsidRPr="00F9509D">
          <w:rPr>
            <w:rFonts w:eastAsia="Calibri"/>
            <w:color w:val="0563C1"/>
            <w:u w:val="single"/>
            <w:lang w:val="es-US" w:eastAsia="en-US"/>
          </w:rPr>
          <w:t>https://doi.org/10.1155/2014/610421</w:t>
        </w:r>
      </w:hyperlink>
    </w:p>
    <w:p w14:paraId="5A812675"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17. Martínez Leyva L, Gutiérrez </w:t>
      </w:r>
      <w:proofErr w:type="spellStart"/>
      <w:r w:rsidRPr="00F9509D">
        <w:rPr>
          <w:rFonts w:eastAsia="Calibri"/>
          <w:lang w:val="es-ES" w:eastAsia="en-US"/>
        </w:rPr>
        <w:t>Cowan</w:t>
      </w:r>
      <w:proofErr w:type="spellEnd"/>
      <w:r w:rsidRPr="00F9509D">
        <w:rPr>
          <w:rFonts w:eastAsia="Calibri"/>
          <w:lang w:val="es-ES" w:eastAsia="en-US"/>
        </w:rPr>
        <w:t xml:space="preserve"> B, Rodríguez Boris L, Reyes Zamora O, Varona Linares Y, Páez Suárez D. Diagnóstico de la infección por </w:t>
      </w:r>
      <w:proofErr w:type="spellStart"/>
      <w:r w:rsidRPr="00F9509D">
        <w:rPr>
          <w:rFonts w:eastAsia="Calibri"/>
          <w:i/>
          <w:lang w:val="es-ES" w:eastAsia="en-US"/>
        </w:rPr>
        <w:t>Helicobacter</w:t>
      </w:r>
      <w:proofErr w:type="spellEnd"/>
      <w:r w:rsidRPr="00F9509D">
        <w:rPr>
          <w:rFonts w:eastAsia="Calibri"/>
          <w:i/>
          <w:lang w:val="es-ES" w:eastAsia="en-US"/>
        </w:rPr>
        <w:t xml:space="preserve"> pylori</w:t>
      </w:r>
      <w:r w:rsidRPr="00F9509D">
        <w:rPr>
          <w:rFonts w:eastAsia="Calibri"/>
          <w:lang w:val="es-ES" w:eastAsia="en-US"/>
        </w:rPr>
        <w:t xml:space="preserve"> mediante serología, histología y cultivo. </w:t>
      </w:r>
      <w:proofErr w:type="spellStart"/>
      <w:r w:rsidRPr="00F9509D">
        <w:rPr>
          <w:rFonts w:eastAsia="Calibri"/>
          <w:lang w:val="es-ES" w:eastAsia="en-US"/>
        </w:rPr>
        <w:t>Rev</w:t>
      </w:r>
      <w:proofErr w:type="spellEnd"/>
      <w:r w:rsidRPr="00F9509D">
        <w:rPr>
          <w:rFonts w:eastAsia="Calibri"/>
          <w:lang w:val="es-ES" w:eastAsia="en-US"/>
        </w:rPr>
        <w:t xml:space="preserve"> </w:t>
      </w:r>
      <w:proofErr w:type="spellStart"/>
      <w:r w:rsidRPr="00F9509D">
        <w:rPr>
          <w:rFonts w:eastAsia="Calibri"/>
          <w:lang w:val="es-ES" w:eastAsia="en-US"/>
        </w:rPr>
        <w:t>Cub</w:t>
      </w:r>
      <w:proofErr w:type="spellEnd"/>
      <w:r w:rsidRPr="00F9509D">
        <w:rPr>
          <w:rFonts w:eastAsia="Calibri"/>
          <w:lang w:val="es-ES" w:eastAsia="en-US"/>
        </w:rPr>
        <w:t xml:space="preserve"> </w:t>
      </w:r>
      <w:proofErr w:type="spellStart"/>
      <w:r w:rsidRPr="00F9509D">
        <w:rPr>
          <w:rFonts w:eastAsia="Calibri"/>
          <w:lang w:val="es-ES" w:eastAsia="en-US"/>
        </w:rPr>
        <w:t>Med</w:t>
      </w:r>
      <w:proofErr w:type="spellEnd"/>
      <w:r w:rsidRPr="00F9509D">
        <w:rPr>
          <w:rFonts w:eastAsia="Calibri"/>
          <w:lang w:val="es-ES" w:eastAsia="en-US"/>
        </w:rPr>
        <w:t xml:space="preserve"> Mil. 2016 [acceso: 19/06/2021]; 45(3): 344-53. Disponible en: </w:t>
      </w:r>
      <w:hyperlink r:id="rId31" w:history="1">
        <w:r w:rsidRPr="00F9509D">
          <w:rPr>
            <w:rFonts w:eastAsia="Calibri"/>
            <w:color w:val="0563C1"/>
            <w:u w:val="single"/>
            <w:lang w:val="es-ES" w:eastAsia="en-US"/>
          </w:rPr>
          <w:t>http://scielo.sld.cu/scielo.php?script=sci_arttext&amp;pid=S0138-65572016000300009&amp;lng=es</w:t>
        </w:r>
      </w:hyperlink>
    </w:p>
    <w:p w14:paraId="27AD36F0"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18. Rodríguez JL, Carmona R. Dispepsia funcional y dispepsia asociada a infección por </w:t>
      </w:r>
      <w:proofErr w:type="spellStart"/>
      <w:r w:rsidRPr="00F9509D">
        <w:rPr>
          <w:rFonts w:eastAsia="Arial"/>
          <w:i/>
          <w:lang w:val="es-ES" w:eastAsia="en-US"/>
        </w:rPr>
        <w:t>Helicobacter</w:t>
      </w:r>
      <w:proofErr w:type="spellEnd"/>
      <w:r w:rsidRPr="00F9509D">
        <w:rPr>
          <w:rFonts w:eastAsia="Arial"/>
          <w:i/>
          <w:lang w:val="es-ES" w:eastAsia="en-US"/>
        </w:rPr>
        <w:t xml:space="preserve"> pylori</w:t>
      </w:r>
      <w:r w:rsidRPr="00F9509D">
        <w:rPr>
          <w:rFonts w:eastAsia="Calibri"/>
          <w:lang w:val="es-ES" w:eastAsia="en-US"/>
        </w:rPr>
        <w:t xml:space="preserve">: ¿son entidades con características clínicas diferentes? </w:t>
      </w:r>
      <w:proofErr w:type="spellStart"/>
      <w:r w:rsidRPr="00F9509D">
        <w:rPr>
          <w:rFonts w:eastAsia="Calibri"/>
          <w:lang w:val="es-ES" w:eastAsia="en-US"/>
        </w:rPr>
        <w:t>Rev</w:t>
      </w:r>
      <w:proofErr w:type="spellEnd"/>
      <w:r w:rsidRPr="00F9509D">
        <w:rPr>
          <w:rFonts w:eastAsia="Calibri"/>
          <w:lang w:val="es-ES" w:eastAsia="en-US"/>
        </w:rPr>
        <w:t xml:space="preserve"> </w:t>
      </w:r>
      <w:proofErr w:type="spellStart"/>
      <w:r w:rsidRPr="00F9509D">
        <w:rPr>
          <w:rFonts w:eastAsia="Calibri"/>
          <w:lang w:val="es-ES" w:eastAsia="en-US"/>
        </w:rPr>
        <w:t>Gastroenterol</w:t>
      </w:r>
      <w:proofErr w:type="spellEnd"/>
      <w:r w:rsidRPr="00F9509D">
        <w:rPr>
          <w:rFonts w:eastAsia="Calibri"/>
          <w:lang w:val="es-ES" w:eastAsia="en-US"/>
        </w:rPr>
        <w:t xml:space="preserve"> México. 2016 [acceso: 19/06/2021]; 81(3):126-33. Disponible en: </w:t>
      </w:r>
      <w:hyperlink r:id="rId32" w:history="1">
        <w:r w:rsidRPr="00F9509D">
          <w:rPr>
            <w:rFonts w:eastAsia="Calibri"/>
            <w:color w:val="0563C1"/>
            <w:u w:val="single"/>
            <w:lang w:val="es-ES" w:eastAsia="en-US"/>
          </w:rPr>
          <w:t>http://www.revistagastroenterologiamexico.org/es-pdf-S0375090616300349</w:t>
        </w:r>
      </w:hyperlink>
    </w:p>
    <w:p w14:paraId="3B216643"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19. Alonso Soto J, Rojas Guerrero M, Díaz Rondón B, Arocha </w:t>
      </w:r>
      <w:proofErr w:type="spellStart"/>
      <w:r w:rsidRPr="00F9509D">
        <w:rPr>
          <w:rFonts w:eastAsia="Calibri"/>
          <w:lang w:val="es-ES" w:eastAsia="en-US"/>
        </w:rPr>
        <w:t>Stalella</w:t>
      </w:r>
      <w:proofErr w:type="spellEnd"/>
      <w:r w:rsidRPr="00F9509D">
        <w:rPr>
          <w:rFonts w:eastAsia="Calibri"/>
          <w:lang w:val="es-ES" w:eastAsia="en-US"/>
        </w:rPr>
        <w:t xml:space="preserve"> K, Manzano Carbonell T, Chao González L. Terapia clásica frente a terapia secuencial en la erradicación de la infección por </w:t>
      </w:r>
      <w:proofErr w:type="spellStart"/>
      <w:r w:rsidRPr="00F9509D">
        <w:rPr>
          <w:rFonts w:eastAsia="Calibri"/>
          <w:i/>
          <w:lang w:val="es-ES" w:eastAsia="en-US"/>
        </w:rPr>
        <w:t>Helicobacter</w:t>
      </w:r>
      <w:proofErr w:type="spellEnd"/>
      <w:r w:rsidRPr="00F9509D">
        <w:rPr>
          <w:rFonts w:eastAsia="Calibri"/>
          <w:i/>
          <w:lang w:val="es-ES" w:eastAsia="en-US"/>
        </w:rPr>
        <w:t xml:space="preserve"> pylori</w:t>
      </w:r>
      <w:r w:rsidRPr="00F9509D">
        <w:rPr>
          <w:rFonts w:eastAsia="Calibri"/>
          <w:lang w:val="es-ES" w:eastAsia="en-US"/>
        </w:rPr>
        <w:t xml:space="preserve">. </w:t>
      </w:r>
      <w:proofErr w:type="spellStart"/>
      <w:r w:rsidRPr="00F9509D">
        <w:rPr>
          <w:rFonts w:eastAsia="Calibri"/>
          <w:lang w:val="es-ES" w:eastAsia="en-US"/>
        </w:rPr>
        <w:t>Rev</w:t>
      </w:r>
      <w:proofErr w:type="spellEnd"/>
      <w:r w:rsidRPr="00F9509D">
        <w:rPr>
          <w:rFonts w:eastAsia="Calibri"/>
          <w:lang w:val="es-ES" w:eastAsia="en-US"/>
        </w:rPr>
        <w:t xml:space="preserve"> Cubana </w:t>
      </w:r>
      <w:proofErr w:type="spellStart"/>
      <w:r w:rsidRPr="00F9509D">
        <w:rPr>
          <w:rFonts w:eastAsia="Calibri"/>
          <w:lang w:val="es-ES" w:eastAsia="en-US"/>
        </w:rPr>
        <w:t>Med</w:t>
      </w:r>
      <w:proofErr w:type="spellEnd"/>
      <w:r w:rsidRPr="00F9509D">
        <w:rPr>
          <w:rFonts w:eastAsia="Calibri"/>
          <w:lang w:val="es-ES" w:eastAsia="en-US"/>
        </w:rPr>
        <w:t xml:space="preserve">. 2016 [acceso: 19/06/2021]; 55(3): 211-23. Disponible en: </w:t>
      </w:r>
      <w:hyperlink r:id="rId33" w:history="1">
        <w:r w:rsidRPr="00F9509D">
          <w:rPr>
            <w:rFonts w:eastAsia="Calibri"/>
            <w:color w:val="0563C1"/>
            <w:u w:val="single"/>
            <w:lang w:val="es-ES" w:eastAsia="en-US"/>
          </w:rPr>
          <w:t>http://scielo.sld.cu/scielo.php?script=sci_arttext&amp;pid=S0034-75232016000300004&amp;lng=es</w:t>
        </w:r>
      </w:hyperlink>
    </w:p>
    <w:p w14:paraId="0B5CE059" w14:textId="77777777" w:rsidR="00F9509D" w:rsidRPr="00F9509D" w:rsidRDefault="00F9509D" w:rsidP="00F9509D">
      <w:pPr>
        <w:spacing w:line="360" w:lineRule="auto"/>
        <w:rPr>
          <w:rFonts w:eastAsia="Calibri"/>
          <w:lang w:val="en-US" w:eastAsia="en-US"/>
        </w:rPr>
      </w:pPr>
      <w:r w:rsidRPr="00F9509D">
        <w:rPr>
          <w:rFonts w:eastAsia="Calibri"/>
          <w:lang w:val="es-ES" w:eastAsia="en-US"/>
        </w:rPr>
        <w:lastRenderedPageBreak/>
        <w:t xml:space="preserve">20. Oliveros R, Pinilla RE, Facundo H, Sánchez R. Cáncer gástrico: una enfermedad prevenible. Estrategias para intervención en la historia natural. </w:t>
      </w:r>
      <w:proofErr w:type="spellStart"/>
      <w:r w:rsidRPr="00F9509D">
        <w:rPr>
          <w:rFonts w:eastAsia="Calibri"/>
          <w:lang w:val="es-ES" w:eastAsia="en-US"/>
        </w:rPr>
        <w:t>Rev</w:t>
      </w:r>
      <w:proofErr w:type="spellEnd"/>
      <w:r w:rsidRPr="00F9509D">
        <w:rPr>
          <w:rFonts w:eastAsia="Calibri"/>
          <w:lang w:val="es-ES" w:eastAsia="en-US"/>
        </w:rPr>
        <w:t xml:space="preserve"> </w:t>
      </w:r>
      <w:proofErr w:type="spellStart"/>
      <w:r w:rsidRPr="00F9509D">
        <w:rPr>
          <w:rFonts w:eastAsia="Calibri"/>
          <w:lang w:val="es-ES" w:eastAsia="en-US"/>
        </w:rPr>
        <w:t>Colomb</w:t>
      </w:r>
      <w:proofErr w:type="spellEnd"/>
      <w:r w:rsidRPr="00F9509D">
        <w:rPr>
          <w:rFonts w:eastAsia="Calibri"/>
          <w:lang w:val="es-ES" w:eastAsia="en-US"/>
        </w:rPr>
        <w:t xml:space="preserve"> </w:t>
      </w:r>
      <w:proofErr w:type="spellStart"/>
      <w:r w:rsidRPr="00F9509D">
        <w:rPr>
          <w:rFonts w:eastAsia="Calibri"/>
          <w:lang w:val="es-ES" w:eastAsia="en-US"/>
        </w:rPr>
        <w:t>Gastroenterol</w:t>
      </w:r>
      <w:proofErr w:type="spellEnd"/>
      <w:r w:rsidRPr="00F9509D">
        <w:rPr>
          <w:rFonts w:eastAsia="Calibri"/>
          <w:lang w:val="es-ES" w:eastAsia="en-US"/>
        </w:rPr>
        <w:t xml:space="preserve">. </w:t>
      </w:r>
      <w:r w:rsidRPr="00F9509D">
        <w:rPr>
          <w:rFonts w:eastAsia="Calibri"/>
          <w:lang w:val="en-US" w:eastAsia="en-US"/>
        </w:rPr>
        <w:t>2019 [</w:t>
      </w:r>
      <w:proofErr w:type="spellStart"/>
      <w:r w:rsidRPr="00F9509D">
        <w:rPr>
          <w:rFonts w:eastAsia="Calibri"/>
          <w:lang w:val="en-US" w:eastAsia="en-US"/>
        </w:rPr>
        <w:t>acceso</w:t>
      </w:r>
      <w:proofErr w:type="spellEnd"/>
      <w:r w:rsidRPr="00F9509D">
        <w:rPr>
          <w:rFonts w:eastAsia="Calibri"/>
          <w:lang w:val="en-US" w:eastAsia="en-US"/>
        </w:rPr>
        <w:t xml:space="preserve">: 19/06/2021]; 34(2):177-89. Disponible </w:t>
      </w:r>
      <w:proofErr w:type="spellStart"/>
      <w:r w:rsidRPr="00F9509D">
        <w:rPr>
          <w:rFonts w:eastAsia="Calibri"/>
          <w:lang w:val="en-US" w:eastAsia="en-US"/>
        </w:rPr>
        <w:t>en</w:t>
      </w:r>
      <w:proofErr w:type="spellEnd"/>
      <w:r w:rsidRPr="00F9509D">
        <w:rPr>
          <w:rFonts w:eastAsia="Calibri"/>
          <w:lang w:val="en-US" w:eastAsia="en-US"/>
        </w:rPr>
        <w:t xml:space="preserve">: </w:t>
      </w:r>
      <w:hyperlink r:id="rId34" w:history="1">
        <w:r w:rsidRPr="00F9509D">
          <w:rPr>
            <w:rFonts w:eastAsia="Calibri"/>
            <w:color w:val="0563C1"/>
            <w:u w:val="single"/>
            <w:lang w:val="en-US" w:eastAsia="en-US"/>
          </w:rPr>
          <w:t>https://doi.org/10.22516/25007440.394</w:t>
        </w:r>
      </w:hyperlink>
    </w:p>
    <w:p w14:paraId="05177F2B" w14:textId="77777777" w:rsidR="00F9509D" w:rsidRPr="00F9509D" w:rsidRDefault="00F9509D" w:rsidP="00F9509D">
      <w:pPr>
        <w:spacing w:line="360" w:lineRule="auto"/>
        <w:rPr>
          <w:rFonts w:eastAsia="Calibri"/>
          <w:lang w:val="es-US" w:eastAsia="en-US"/>
        </w:rPr>
      </w:pPr>
      <w:r w:rsidRPr="00F9509D">
        <w:rPr>
          <w:rFonts w:eastAsia="Calibri"/>
          <w:lang w:val="en-US" w:eastAsia="en-US"/>
        </w:rPr>
        <w:t xml:space="preserve">21. </w:t>
      </w:r>
      <w:proofErr w:type="spellStart"/>
      <w:r w:rsidRPr="00F9509D">
        <w:rPr>
          <w:rFonts w:eastAsia="Calibri"/>
          <w:lang w:val="en-US" w:eastAsia="en-US"/>
        </w:rPr>
        <w:t>Vaiserman</w:t>
      </w:r>
      <w:proofErr w:type="spellEnd"/>
      <w:r w:rsidRPr="00F9509D">
        <w:rPr>
          <w:rFonts w:eastAsia="Calibri"/>
          <w:lang w:val="en-US" w:eastAsia="en-US"/>
        </w:rPr>
        <w:t xml:space="preserve"> AM, </w:t>
      </w:r>
      <w:proofErr w:type="spellStart"/>
      <w:r w:rsidRPr="00F9509D">
        <w:rPr>
          <w:rFonts w:eastAsia="Calibri"/>
          <w:lang w:val="en-US" w:eastAsia="en-US"/>
        </w:rPr>
        <w:t>Koliada</w:t>
      </w:r>
      <w:proofErr w:type="spellEnd"/>
      <w:r w:rsidRPr="00F9509D">
        <w:rPr>
          <w:rFonts w:eastAsia="Calibri"/>
          <w:lang w:val="en-US" w:eastAsia="en-US"/>
        </w:rPr>
        <w:t xml:space="preserve"> AK, Marotta F. Gut microbiota: A player in aging and a target for anti-aging intervention. </w:t>
      </w:r>
      <w:proofErr w:type="spellStart"/>
      <w:r w:rsidRPr="00F9509D">
        <w:rPr>
          <w:rFonts w:eastAsia="Calibri"/>
          <w:lang w:val="es-US" w:eastAsia="en-US"/>
        </w:rPr>
        <w:t>Ageing</w:t>
      </w:r>
      <w:proofErr w:type="spellEnd"/>
      <w:r w:rsidRPr="00F9509D">
        <w:rPr>
          <w:rFonts w:eastAsia="Calibri"/>
          <w:lang w:val="es-US" w:eastAsia="en-US"/>
        </w:rPr>
        <w:t xml:space="preserve"> Res Rev. 2017 [</w:t>
      </w:r>
      <w:r w:rsidRPr="00F9509D">
        <w:rPr>
          <w:rFonts w:eastAsia="Calibri"/>
          <w:lang w:val="es-ES" w:eastAsia="en-US"/>
        </w:rPr>
        <w:t>acceso: 19/06/2021</w:t>
      </w:r>
      <w:r w:rsidRPr="00F9509D">
        <w:rPr>
          <w:rFonts w:eastAsia="Calibri"/>
          <w:lang w:val="es-US" w:eastAsia="en-US"/>
        </w:rPr>
        <w:t xml:space="preserve">]; 35:36-45. Disponible en: </w:t>
      </w:r>
      <w:hyperlink r:id="rId35" w:history="1">
        <w:r w:rsidRPr="00F9509D">
          <w:rPr>
            <w:rFonts w:eastAsia="Calibri"/>
            <w:color w:val="0563C1"/>
            <w:u w:val="single"/>
            <w:lang w:val="es-US" w:eastAsia="en-US"/>
          </w:rPr>
          <w:t>https://doi.org/10.1016/j.arr.2017.01.001</w:t>
        </w:r>
      </w:hyperlink>
    </w:p>
    <w:p w14:paraId="71763703"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22. Correa S, Cardona AF, Correa T, Correa LA, García HI, Estrada S. Prevalencia de </w:t>
      </w:r>
      <w:proofErr w:type="spellStart"/>
      <w:r w:rsidRPr="00F9509D">
        <w:rPr>
          <w:rFonts w:eastAsia="Arial"/>
          <w:i/>
          <w:lang w:val="es-ES" w:eastAsia="en-US"/>
        </w:rPr>
        <w:t>Helicobacter</w:t>
      </w:r>
      <w:proofErr w:type="spellEnd"/>
      <w:r w:rsidRPr="00F9509D">
        <w:rPr>
          <w:rFonts w:eastAsia="Arial"/>
          <w:i/>
          <w:lang w:val="es-ES" w:eastAsia="en-US"/>
        </w:rPr>
        <w:t xml:space="preserve"> pylori</w:t>
      </w:r>
      <w:r w:rsidRPr="00F9509D">
        <w:rPr>
          <w:rFonts w:eastAsia="Calibri"/>
          <w:lang w:val="es-ES" w:eastAsia="en-US"/>
        </w:rPr>
        <w:t xml:space="preserve"> y características histopatológicas en biopsias gástricas de pacientes con síntomas dispépticos en un centro de referencia de Medellín. </w:t>
      </w:r>
      <w:proofErr w:type="spellStart"/>
      <w:r w:rsidRPr="00F9509D">
        <w:rPr>
          <w:rFonts w:eastAsia="Calibri"/>
          <w:lang w:val="es-ES" w:eastAsia="en-US"/>
        </w:rPr>
        <w:t>Rev</w:t>
      </w:r>
      <w:proofErr w:type="spellEnd"/>
      <w:r w:rsidRPr="00F9509D">
        <w:rPr>
          <w:rFonts w:eastAsia="Calibri"/>
          <w:lang w:val="es-ES" w:eastAsia="en-US"/>
        </w:rPr>
        <w:t xml:space="preserve"> Col </w:t>
      </w:r>
      <w:proofErr w:type="spellStart"/>
      <w:r w:rsidRPr="00F9509D">
        <w:rPr>
          <w:rFonts w:eastAsia="Calibri"/>
          <w:lang w:val="es-ES" w:eastAsia="en-US"/>
        </w:rPr>
        <w:t>Gastroenterol</w:t>
      </w:r>
      <w:proofErr w:type="spellEnd"/>
      <w:r w:rsidRPr="00F9509D">
        <w:rPr>
          <w:rFonts w:eastAsia="Calibri"/>
          <w:lang w:val="es-ES" w:eastAsia="en-US"/>
        </w:rPr>
        <w:t xml:space="preserve">. 2016 [acceso: 19/06/2021]; 31(1):9-15. Disponible en: </w:t>
      </w:r>
      <w:hyperlink r:id="rId36" w:history="1">
        <w:r w:rsidRPr="00F9509D">
          <w:rPr>
            <w:rFonts w:eastAsia="Calibri"/>
            <w:color w:val="0563C1"/>
            <w:u w:val="single"/>
            <w:lang w:val="es-ES" w:eastAsia="en-US"/>
          </w:rPr>
          <w:t>https://doi.org/10.22516/25007440.67</w:t>
        </w:r>
      </w:hyperlink>
    </w:p>
    <w:p w14:paraId="5F29563D" w14:textId="77777777" w:rsidR="00F9509D" w:rsidRPr="00F9509D" w:rsidRDefault="00F9509D" w:rsidP="00F9509D">
      <w:pPr>
        <w:spacing w:line="360" w:lineRule="auto"/>
        <w:rPr>
          <w:rFonts w:eastAsia="Calibri"/>
          <w:lang w:val="es-ES" w:eastAsia="en-US"/>
        </w:rPr>
      </w:pPr>
      <w:r w:rsidRPr="00F9509D">
        <w:rPr>
          <w:rFonts w:eastAsia="Calibri"/>
          <w:lang w:val="es-ES" w:eastAsia="en-US"/>
        </w:rPr>
        <w:t xml:space="preserve">23. Latorre G, Jiménez M, Robles C, Jensen E, Ramos B, </w:t>
      </w:r>
      <w:proofErr w:type="spellStart"/>
      <w:r w:rsidRPr="00F9509D">
        <w:rPr>
          <w:rFonts w:eastAsia="Calibri"/>
          <w:lang w:val="es-ES" w:eastAsia="en-US"/>
        </w:rPr>
        <w:t>Fritzsche</w:t>
      </w:r>
      <w:proofErr w:type="spellEnd"/>
      <w:r w:rsidRPr="00F9509D">
        <w:rPr>
          <w:rFonts w:eastAsia="Calibri"/>
          <w:lang w:val="es-ES" w:eastAsia="en-US"/>
        </w:rPr>
        <w:t xml:space="preserve"> M, et al. Aumento de detección de lesiones gástricas premalignas mediante protocolo </w:t>
      </w:r>
      <w:proofErr w:type="spellStart"/>
      <w:r w:rsidRPr="00F9509D">
        <w:rPr>
          <w:rFonts w:eastAsia="Calibri"/>
          <w:lang w:val="es-ES" w:eastAsia="en-US"/>
        </w:rPr>
        <w:t>Sydney</w:t>
      </w:r>
      <w:proofErr w:type="spellEnd"/>
      <w:r w:rsidRPr="00F9509D">
        <w:rPr>
          <w:rFonts w:eastAsia="Calibri"/>
          <w:lang w:val="es-ES" w:eastAsia="en-US"/>
        </w:rPr>
        <w:t xml:space="preserve"> en comparación con biopsias no protocolizadas. </w:t>
      </w:r>
      <w:proofErr w:type="spellStart"/>
      <w:r w:rsidRPr="00F9509D">
        <w:rPr>
          <w:rFonts w:eastAsia="Calibri"/>
          <w:lang w:val="es-ES" w:eastAsia="en-US"/>
        </w:rPr>
        <w:t>Rev</w:t>
      </w:r>
      <w:proofErr w:type="spellEnd"/>
      <w:r w:rsidRPr="00F9509D">
        <w:rPr>
          <w:rFonts w:eastAsia="Calibri"/>
          <w:lang w:val="es-ES" w:eastAsia="en-US"/>
        </w:rPr>
        <w:t xml:space="preserve"> </w:t>
      </w:r>
      <w:proofErr w:type="spellStart"/>
      <w:r w:rsidRPr="00F9509D">
        <w:rPr>
          <w:rFonts w:eastAsia="Calibri"/>
          <w:lang w:val="es-ES" w:eastAsia="en-US"/>
        </w:rPr>
        <w:t>Gastroenterol</w:t>
      </w:r>
      <w:proofErr w:type="spellEnd"/>
      <w:r w:rsidRPr="00F9509D">
        <w:rPr>
          <w:rFonts w:eastAsia="Calibri"/>
          <w:lang w:val="es-ES" w:eastAsia="en-US"/>
        </w:rPr>
        <w:t xml:space="preserve"> </w:t>
      </w:r>
      <w:proofErr w:type="spellStart"/>
      <w:r w:rsidRPr="00F9509D">
        <w:rPr>
          <w:rFonts w:eastAsia="Calibri"/>
          <w:lang w:val="es-ES" w:eastAsia="en-US"/>
        </w:rPr>
        <w:t>Latinoam</w:t>
      </w:r>
      <w:proofErr w:type="spellEnd"/>
      <w:r w:rsidRPr="00F9509D">
        <w:rPr>
          <w:rFonts w:eastAsia="Calibri"/>
          <w:lang w:val="es-ES" w:eastAsia="en-US"/>
        </w:rPr>
        <w:t xml:space="preserve">. 2016 [acceso: 19/06/2021]; 27(4): 207-14. Disponible en: </w:t>
      </w:r>
      <w:hyperlink r:id="rId37" w:history="1">
        <w:r w:rsidRPr="00F9509D">
          <w:rPr>
            <w:rFonts w:eastAsia="Calibri"/>
            <w:color w:val="0563C1"/>
            <w:u w:val="single"/>
            <w:lang w:val="es-ES" w:eastAsia="en-US"/>
          </w:rPr>
          <w:t>https://gastrolat.org/DOI/PDF/10.0716/gastrolat2016n400002.pdf</w:t>
        </w:r>
      </w:hyperlink>
    </w:p>
    <w:p w14:paraId="4FDE4E95" w14:textId="77777777" w:rsidR="00F9509D" w:rsidRPr="00F9509D" w:rsidRDefault="00F9509D" w:rsidP="00F9509D">
      <w:pPr>
        <w:spacing w:line="360" w:lineRule="auto"/>
        <w:rPr>
          <w:rFonts w:eastAsia="Calibri"/>
          <w:lang w:val="es-US" w:eastAsia="en-US"/>
        </w:rPr>
      </w:pPr>
      <w:r w:rsidRPr="00F9509D">
        <w:rPr>
          <w:rFonts w:eastAsia="Calibri"/>
          <w:lang w:val="es-ES" w:eastAsia="en-US"/>
        </w:rPr>
        <w:t xml:space="preserve">24. Sobrino-Cossío S, </w:t>
      </w:r>
      <w:proofErr w:type="spellStart"/>
      <w:r w:rsidRPr="00F9509D">
        <w:rPr>
          <w:rFonts w:eastAsia="Calibri"/>
          <w:lang w:val="es-ES" w:eastAsia="en-US"/>
        </w:rPr>
        <w:t>Abdo</w:t>
      </w:r>
      <w:proofErr w:type="spellEnd"/>
      <w:r w:rsidRPr="00F9509D">
        <w:rPr>
          <w:rFonts w:eastAsia="Calibri"/>
          <w:lang w:val="es-ES" w:eastAsia="en-US"/>
        </w:rPr>
        <w:t xml:space="preserve"> JM, </w:t>
      </w:r>
      <w:proofErr w:type="spellStart"/>
      <w:r w:rsidRPr="00F9509D">
        <w:rPr>
          <w:rFonts w:eastAsia="Calibri"/>
          <w:lang w:val="es-ES" w:eastAsia="en-US"/>
        </w:rPr>
        <w:t>Emurac</w:t>
      </w:r>
      <w:proofErr w:type="spellEnd"/>
      <w:r w:rsidRPr="00F9509D">
        <w:rPr>
          <w:rFonts w:eastAsia="Calibri"/>
          <w:lang w:val="es-ES" w:eastAsia="en-US"/>
        </w:rPr>
        <w:t xml:space="preserve"> F, Galvis-García ES, Márquez ML, Mateos-Pérez G, et al. La eficacia de la imagen de banda estrecha para la detección de metaplasia intestinal en pacientes adultos con síntomas de dispepsia. </w:t>
      </w:r>
      <w:proofErr w:type="spellStart"/>
      <w:r w:rsidRPr="00F9509D">
        <w:rPr>
          <w:rFonts w:eastAsia="Calibri"/>
          <w:lang w:val="es-US" w:eastAsia="en-US"/>
        </w:rPr>
        <w:t>Rev</w:t>
      </w:r>
      <w:proofErr w:type="spellEnd"/>
      <w:r w:rsidRPr="00F9509D">
        <w:rPr>
          <w:rFonts w:eastAsia="Calibri"/>
          <w:lang w:val="es-US" w:eastAsia="en-US"/>
        </w:rPr>
        <w:t xml:space="preserve"> </w:t>
      </w:r>
      <w:proofErr w:type="spellStart"/>
      <w:r w:rsidRPr="00F9509D">
        <w:rPr>
          <w:rFonts w:eastAsia="Calibri"/>
          <w:lang w:val="es-US" w:eastAsia="en-US"/>
        </w:rPr>
        <w:t>Gastroenterol</w:t>
      </w:r>
      <w:proofErr w:type="spellEnd"/>
      <w:r w:rsidRPr="00F9509D">
        <w:rPr>
          <w:rFonts w:eastAsia="Calibri"/>
          <w:lang w:val="es-US" w:eastAsia="en-US"/>
        </w:rPr>
        <w:t xml:space="preserve"> México. 2018 [</w:t>
      </w:r>
      <w:r w:rsidRPr="00F9509D">
        <w:rPr>
          <w:rFonts w:eastAsia="Calibri"/>
          <w:lang w:val="es-ES" w:eastAsia="en-US"/>
        </w:rPr>
        <w:t>acceso: 19/06/2021</w:t>
      </w:r>
      <w:r w:rsidRPr="00F9509D">
        <w:rPr>
          <w:rFonts w:eastAsia="Calibri"/>
          <w:lang w:val="es-US" w:eastAsia="en-US"/>
        </w:rPr>
        <w:t xml:space="preserve">]; 83(3):245-52. Disponible en: </w:t>
      </w:r>
      <w:hyperlink r:id="rId38" w:history="1">
        <w:r w:rsidRPr="00F9509D">
          <w:rPr>
            <w:rFonts w:eastAsia="Calibri"/>
            <w:color w:val="0563C1"/>
            <w:u w:val="single"/>
            <w:lang w:val="es-US" w:eastAsia="en-US"/>
          </w:rPr>
          <w:t>http://www.revistagastroenterologiamexico.org/en-la-eficacia-imagen-banda-estrecha-articulo-resumen-S0375090618300247</w:t>
        </w:r>
      </w:hyperlink>
    </w:p>
    <w:p w14:paraId="1E797D9A" w14:textId="77777777" w:rsidR="00F9509D" w:rsidRPr="00F9509D" w:rsidRDefault="00F9509D" w:rsidP="00F9509D">
      <w:pPr>
        <w:spacing w:line="360" w:lineRule="auto"/>
        <w:rPr>
          <w:rFonts w:eastAsia="Calibri"/>
          <w:lang w:val="es-US" w:eastAsia="en-US"/>
        </w:rPr>
      </w:pPr>
      <w:r w:rsidRPr="00F9509D">
        <w:rPr>
          <w:rFonts w:eastAsia="Calibri"/>
          <w:lang w:val="en-US" w:eastAsia="en-US"/>
        </w:rPr>
        <w:t xml:space="preserve">25. Chey WD, </w:t>
      </w:r>
      <w:proofErr w:type="spellStart"/>
      <w:r w:rsidRPr="00F9509D">
        <w:rPr>
          <w:rFonts w:eastAsia="Calibri"/>
          <w:lang w:val="en-US" w:eastAsia="en-US"/>
        </w:rPr>
        <w:t>Leontiadi</w:t>
      </w:r>
      <w:proofErr w:type="spellEnd"/>
      <w:r w:rsidRPr="00F9509D">
        <w:rPr>
          <w:rFonts w:eastAsia="Calibri"/>
          <w:lang w:val="en-US" w:eastAsia="en-US"/>
        </w:rPr>
        <w:t xml:space="preserve"> GI, </w:t>
      </w:r>
      <w:proofErr w:type="spellStart"/>
      <w:r w:rsidRPr="00F9509D">
        <w:rPr>
          <w:rFonts w:eastAsia="Calibri"/>
          <w:lang w:val="en-US" w:eastAsia="en-US"/>
        </w:rPr>
        <w:t>Howden</w:t>
      </w:r>
      <w:proofErr w:type="spellEnd"/>
      <w:r w:rsidRPr="00F9509D">
        <w:rPr>
          <w:rFonts w:eastAsia="Calibri"/>
          <w:lang w:val="en-US" w:eastAsia="en-US"/>
        </w:rPr>
        <w:t xml:space="preserve"> CW, Moss SF. ACG clinical guideline: treatment of </w:t>
      </w:r>
      <w:r w:rsidRPr="00F9509D">
        <w:rPr>
          <w:rFonts w:eastAsia="Arial"/>
          <w:i/>
          <w:lang w:val="en-US" w:eastAsia="en-US"/>
        </w:rPr>
        <w:t>Helicobacter pylori</w:t>
      </w:r>
      <w:r w:rsidRPr="00F9509D">
        <w:rPr>
          <w:rFonts w:eastAsia="Calibri"/>
          <w:lang w:val="en-US" w:eastAsia="en-US"/>
        </w:rPr>
        <w:t xml:space="preserve"> infection. </w:t>
      </w:r>
      <w:r w:rsidRPr="00F9509D">
        <w:rPr>
          <w:rFonts w:eastAsia="Calibri"/>
          <w:lang w:val="es-US" w:eastAsia="en-US"/>
        </w:rPr>
        <w:t xml:space="preserve">Am J </w:t>
      </w:r>
      <w:proofErr w:type="spellStart"/>
      <w:r w:rsidRPr="00F9509D">
        <w:rPr>
          <w:rFonts w:eastAsia="Calibri"/>
          <w:lang w:val="es-US" w:eastAsia="en-US"/>
        </w:rPr>
        <w:t>Gastroenterol</w:t>
      </w:r>
      <w:proofErr w:type="spellEnd"/>
      <w:r w:rsidRPr="00F9509D">
        <w:rPr>
          <w:rFonts w:eastAsia="Calibri"/>
          <w:lang w:val="es-US" w:eastAsia="en-US"/>
        </w:rPr>
        <w:t>. 2017 [</w:t>
      </w:r>
      <w:r w:rsidRPr="00F9509D">
        <w:rPr>
          <w:rFonts w:eastAsia="Calibri"/>
          <w:lang w:val="es-ES" w:eastAsia="en-US"/>
        </w:rPr>
        <w:t>acceso: 19/06/2021</w:t>
      </w:r>
      <w:r w:rsidRPr="00F9509D">
        <w:rPr>
          <w:rFonts w:eastAsia="Calibri"/>
          <w:lang w:val="es-US" w:eastAsia="en-US"/>
        </w:rPr>
        <w:t xml:space="preserve">]; 112(2): 212-39. Disponible en: </w:t>
      </w:r>
      <w:hyperlink r:id="rId39" w:history="1">
        <w:r w:rsidRPr="00F9509D">
          <w:rPr>
            <w:rFonts w:eastAsia="Calibri"/>
            <w:color w:val="0563C1"/>
            <w:u w:val="single"/>
            <w:lang w:val="es-US" w:eastAsia="en-US"/>
          </w:rPr>
          <w:t>https://doi.org/10.1038/ajg.2016.563</w:t>
        </w:r>
      </w:hyperlink>
    </w:p>
    <w:p w14:paraId="35D43DC2" w14:textId="77777777" w:rsidR="00F9509D" w:rsidRPr="00F9509D" w:rsidRDefault="00F9509D" w:rsidP="00F9509D">
      <w:pPr>
        <w:spacing w:line="360" w:lineRule="auto"/>
        <w:rPr>
          <w:rFonts w:eastAsia="Calibri"/>
          <w:lang w:val="en-US" w:eastAsia="en-US"/>
        </w:rPr>
      </w:pPr>
      <w:r w:rsidRPr="00F9509D">
        <w:rPr>
          <w:rFonts w:eastAsia="Calibri"/>
          <w:lang w:val="en-US" w:eastAsia="en-US"/>
        </w:rPr>
        <w:t xml:space="preserve">26. </w:t>
      </w:r>
      <w:proofErr w:type="spellStart"/>
      <w:r w:rsidRPr="00F9509D">
        <w:rPr>
          <w:rFonts w:eastAsia="Calibri"/>
          <w:lang w:val="en-US" w:eastAsia="en-US"/>
        </w:rPr>
        <w:t>Fallone</w:t>
      </w:r>
      <w:proofErr w:type="spellEnd"/>
      <w:r w:rsidRPr="00F9509D">
        <w:rPr>
          <w:rFonts w:eastAsia="Calibri"/>
          <w:lang w:val="en-US" w:eastAsia="en-US"/>
        </w:rPr>
        <w:t xml:space="preserve"> CA, Chiba N, van </w:t>
      </w:r>
      <w:proofErr w:type="spellStart"/>
      <w:r w:rsidRPr="00F9509D">
        <w:rPr>
          <w:rFonts w:eastAsia="Calibri"/>
          <w:lang w:val="en-US" w:eastAsia="en-US"/>
        </w:rPr>
        <w:t>Zanten</w:t>
      </w:r>
      <w:proofErr w:type="spellEnd"/>
      <w:r w:rsidRPr="00F9509D">
        <w:rPr>
          <w:rFonts w:eastAsia="Calibri"/>
          <w:lang w:val="en-US" w:eastAsia="en-US"/>
        </w:rPr>
        <w:t xml:space="preserve"> SV, Fischbach L, </w:t>
      </w:r>
      <w:proofErr w:type="spellStart"/>
      <w:r w:rsidRPr="00F9509D">
        <w:rPr>
          <w:rFonts w:eastAsia="Calibri"/>
          <w:lang w:val="en-US" w:eastAsia="en-US"/>
        </w:rPr>
        <w:t>Gisbert</w:t>
      </w:r>
      <w:proofErr w:type="spellEnd"/>
      <w:r w:rsidRPr="00F9509D">
        <w:rPr>
          <w:rFonts w:eastAsia="Calibri"/>
          <w:lang w:val="en-US" w:eastAsia="en-US"/>
        </w:rPr>
        <w:t xml:space="preserve"> JP, Hunt RH, et al. The Toronto Consensus for the Treatment of </w:t>
      </w:r>
      <w:r w:rsidRPr="00F9509D">
        <w:rPr>
          <w:rFonts w:eastAsia="Arial"/>
          <w:i/>
          <w:lang w:val="en-US" w:eastAsia="en-US"/>
        </w:rPr>
        <w:t>Helicobacter pylori</w:t>
      </w:r>
      <w:r w:rsidRPr="00F9509D">
        <w:rPr>
          <w:rFonts w:eastAsia="Calibri"/>
          <w:lang w:val="en-US" w:eastAsia="en-US"/>
        </w:rPr>
        <w:t xml:space="preserve"> infection in adults. Gastroenterology. 2016 [</w:t>
      </w:r>
      <w:proofErr w:type="spellStart"/>
      <w:r w:rsidRPr="00F9509D">
        <w:rPr>
          <w:rFonts w:eastAsia="Calibri"/>
          <w:lang w:val="en-US" w:eastAsia="en-US"/>
        </w:rPr>
        <w:t>acceso</w:t>
      </w:r>
      <w:proofErr w:type="spellEnd"/>
      <w:r w:rsidRPr="00F9509D">
        <w:rPr>
          <w:rFonts w:eastAsia="Calibri"/>
          <w:lang w:val="en-US" w:eastAsia="en-US"/>
        </w:rPr>
        <w:t xml:space="preserve">: 19/06/2021]; 151(1):51-69. Disponible </w:t>
      </w:r>
      <w:proofErr w:type="spellStart"/>
      <w:r w:rsidRPr="00F9509D">
        <w:rPr>
          <w:rFonts w:eastAsia="Calibri"/>
          <w:lang w:val="en-US" w:eastAsia="en-US"/>
        </w:rPr>
        <w:t>en</w:t>
      </w:r>
      <w:proofErr w:type="spellEnd"/>
      <w:r w:rsidRPr="00F9509D">
        <w:rPr>
          <w:rFonts w:eastAsia="Calibri"/>
          <w:lang w:val="en-US" w:eastAsia="en-US"/>
        </w:rPr>
        <w:t xml:space="preserve">: </w:t>
      </w:r>
      <w:hyperlink r:id="rId40" w:history="1">
        <w:r w:rsidRPr="00F9509D">
          <w:rPr>
            <w:rFonts w:eastAsia="Calibri"/>
            <w:color w:val="0563C1"/>
            <w:u w:val="single"/>
            <w:lang w:val="en-US" w:eastAsia="en-US"/>
          </w:rPr>
          <w:t>https://doi.org/10.1053/j.gastro.2016.04.006</w:t>
        </w:r>
      </w:hyperlink>
    </w:p>
    <w:p w14:paraId="2A5219E3" w14:textId="77777777" w:rsidR="00F9509D" w:rsidRPr="00F9509D" w:rsidRDefault="00F9509D" w:rsidP="00F9509D">
      <w:pPr>
        <w:spacing w:line="360" w:lineRule="auto"/>
        <w:rPr>
          <w:rFonts w:eastAsia="Calibri"/>
          <w:lang w:val="es-US" w:eastAsia="en-US"/>
        </w:rPr>
      </w:pPr>
      <w:r w:rsidRPr="00F9509D">
        <w:rPr>
          <w:rFonts w:eastAsia="Calibri"/>
          <w:lang w:val="en-US" w:eastAsia="en-US"/>
        </w:rPr>
        <w:t xml:space="preserve">27. Dang Y, Reinhardt JD, Zhou X, Zhang G. The Effect of Probiotics Supplementation on </w:t>
      </w:r>
      <w:r w:rsidRPr="00F9509D">
        <w:rPr>
          <w:rFonts w:eastAsia="Arial"/>
          <w:i/>
          <w:lang w:val="en-US" w:eastAsia="en-US"/>
        </w:rPr>
        <w:t>Helicobacter pylori</w:t>
      </w:r>
      <w:r w:rsidRPr="00F9509D">
        <w:rPr>
          <w:rFonts w:eastAsia="Calibri"/>
          <w:lang w:val="en-US" w:eastAsia="en-US"/>
        </w:rPr>
        <w:t xml:space="preserve"> Eradication Rates and Side Effects during Eradication Therapy: A Meta-Analysis. </w:t>
      </w:r>
      <w:proofErr w:type="spellStart"/>
      <w:r w:rsidRPr="00F9509D">
        <w:rPr>
          <w:rFonts w:eastAsia="Calibri"/>
          <w:lang w:val="es-US" w:eastAsia="en-US"/>
        </w:rPr>
        <w:lastRenderedPageBreak/>
        <w:t>PLoS</w:t>
      </w:r>
      <w:proofErr w:type="spellEnd"/>
      <w:r w:rsidRPr="00F9509D">
        <w:rPr>
          <w:rFonts w:eastAsia="Calibri"/>
          <w:lang w:val="es-US" w:eastAsia="en-US"/>
        </w:rPr>
        <w:t xml:space="preserve"> ONE. 2014 [</w:t>
      </w:r>
      <w:r w:rsidRPr="00F9509D">
        <w:rPr>
          <w:rFonts w:eastAsia="Calibri"/>
          <w:lang w:val="es-ES" w:eastAsia="en-US"/>
        </w:rPr>
        <w:t>acceso: 19/06/2021</w:t>
      </w:r>
      <w:r w:rsidRPr="00F9509D">
        <w:rPr>
          <w:rFonts w:eastAsia="Calibri"/>
          <w:lang w:val="es-US" w:eastAsia="en-US"/>
        </w:rPr>
        <w:t xml:space="preserve">]; 9(11):1-15. Disponible en: </w:t>
      </w:r>
      <w:hyperlink r:id="rId41" w:history="1">
        <w:r w:rsidRPr="00F9509D">
          <w:rPr>
            <w:rFonts w:eastAsia="Calibri"/>
            <w:color w:val="0563C1"/>
            <w:u w:val="single"/>
            <w:lang w:val="es-US" w:eastAsia="en-US"/>
          </w:rPr>
          <w:t>https://doi.org/10.1371/journal.pone.0111030</w:t>
        </w:r>
      </w:hyperlink>
    </w:p>
    <w:p w14:paraId="2AB7EE36" w14:textId="77777777" w:rsidR="00F9509D" w:rsidRPr="00F9509D" w:rsidRDefault="00F9509D" w:rsidP="00F9509D">
      <w:pPr>
        <w:autoSpaceDE w:val="0"/>
        <w:autoSpaceDN w:val="0"/>
        <w:adjustRightInd w:val="0"/>
        <w:spacing w:line="360" w:lineRule="auto"/>
        <w:rPr>
          <w:rFonts w:eastAsia="Calibri"/>
          <w:lang w:val="es-ES" w:eastAsia="en-US"/>
        </w:rPr>
      </w:pPr>
      <w:r w:rsidRPr="00F9509D">
        <w:rPr>
          <w:rFonts w:eastAsia="Calibri"/>
          <w:lang w:val="en-US" w:eastAsia="en-US"/>
        </w:rPr>
        <w:t xml:space="preserve">28. Zhang MM, Qian W, Qin YY, He J, Zhou YH. Probiotics in </w:t>
      </w:r>
      <w:r w:rsidRPr="00F9509D">
        <w:rPr>
          <w:rFonts w:eastAsia="Arial"/>
          <w:i/>
          <w:lang w:val="en-US" w:eastAsia="en-US"/>
        </w:rPr>
        <w:t>Helicobacter pylori</w:t>
      </w:r>
      <w:r w:rsidRPr="00F9509D">
        <w:rPr>
          <w:rFonts w:eastAsia="Calibri"/>
          <w:lang w:val="en-US" w:eastAsia="en-US"/>
        </w:rPr>
        <w:t xml:space="preserve"> eradication therapy: A systematic review and meta-analysis. </w:t>
      </w:r>
      <w:proofErr w:type="spellStart"/>
      <w:r w:rsidRPr="00F9509D">
        <w:rPr>
          <w:rFonts w:eastAsia="Calibri"/>
          <w:lang w:val="es-ES" w:eastAsia="en-US"/>
        </w:rPr>
        <w:t>World</w:t>
      </w:r>
      <w:proofErr w:type="spellEnd"/>
      <w:r w:rsidRPr="00F9509D">
        <w:rPr>
          <w:rFonts w:eastAsia="Calibri"/>
          <w:lang w:val="es-ES" w:eastAsia="en-US"/>
        </w:rPr>
        <w:t xml:space="preserve"> J </w:t>
      </w:r>
      <w:proofErr w:type="spellStart"/>
      <w:r w:rsidRPr="00F9509D">
        <w:rPr>
          <w:rFonts w:eastAsia="Calibri"/>
          <w:lang w:val="es-ES" w:eastAsia="en-US"/>
        </w:rPr>
        <w:t>Gastroenterol</w:t>
      </w:r>
      <w:proofErr w:type="spellEnd"/>
      <w:r w:rsidRPr="00F9509D">
        <w:rPr>
          <w:rFonts w:eastAsia="Calibri"/>
          <w:lang w:val="es-ES" w:eastAsia="en-US"/>
        </w:rPr>
        <w:t xml:space="preserve">. 2015 [acceso: 19/06/2021]; 21(14):4345-57. Disponible en: </w:t>
      </w:r>
      <w:hyperlink r:id="rId42" w:history="1">
        <w:r w:rsidRPr="00F9509D">
          <w:rPr>
            <w:rFonts w:eastAsia="Calibri"/>
            <w:color w:val="0563C1"/>
            <w:u w:val="single"/>
            <w:lang w:val="es-ES" w:eastAsia="en-US"/>
          </w:rPr>
          <w:t>https://doi.org/10.3748/wjg.v21.i14.4345</w:t>
        </w:r>
      </w:hyperlink>
    </w:p>
    <w:p w14:paraId="6D3A51CD" w14:textId="77777777" w:rsidR="00F9509D" w:rsidRPr="00F9509D" w:rsidRDefault="00F9509D" w:rsidP="00F9509D">
      <w:pPr>
        <w:autoSpaceDE w:val="0"/>
        <w:autoSpaceDN w:val="0"/>
        <w:adjustRightInd w:val="0"/>
        <w:spacing w:line="360" w:lineRule="auto"/>
        <w:jc w:val="both"/>
        <w:rPr>
          <w:rFonts w:eastAsia="Calibri"/>
          <w:b/>
          <w:color w:val="000000"/>
          <w:lang w:val="es-ES" w:eastAsia="en-US"/>
        </w:rPr>
      </w:pPr>
    </w:p>
    <w:p w14:paraId="71610A8C" w14:textId="77777777" w:rsidR="00F9509D" w:rsidRPr="00F9509D" w:rsidRDefault="00F9509D" w:rsidP="00F9509D">
      <w:pPr>
        <w:autoSpaceDE w:val="0"/>
        <w:autoSpaceDN w:val="0"/>
        <w:adjustRightInd w:val="0"/>
        <w:spacing w:line="360" w:lineRule="auto"/>
        <w:rPr>
          <w:rFonts w:eastAsia="Calibri"/>
          <w:b/>
          <w:lang w:eastAsia="zh-CN"/>
        </w:rPr>
      </w:pPr>
    </w:p>
    <w:p w14:paraId="32DE9E69" w14:textId="77777777" w:rsidR="00F9509D" w:rsidRPr="00F9509D" w:rsidRDefault="00F9509D" w:rsidP="00F9509D">
      <w:pPr>
        <w:autoSpaceDE w:val="0"/>
        <w:autoSpaceDN w:val="0"/>
        <w:adjustRightInd w:val="0"/>
        <w:spacing w:line="360" w:lineRule="auto"/>
        <w:jc w:val="center"/>
        <w:rPr>
          <w:rFonts w:eastAsia="Calibri"/>
          <w:b/>
          <w:lang w:eastAsia="zh-CN"/>
        </w:rPr>
      </w:pPr>
      <w:r w:rsidRPr="00F9509D">
        <w:rPr>
          <w:rFonts w:eastAsia="Calibri"/>
          <w:b/>
          <w:lang w:eastAsia="zh-CN"/>
        </w:rPr>
        <w:t>Conflictos de interés</w:t>
      </w:r>
    </w:p>
    <w:p w14:paraId="216FFE3C" w14:textId="77777777" w:rsidR="00F9509D" w:rsidRPr="00F9509D" w:rsidRDefault="00F9509D" w:rsidP="00F9509D">
      <w:pPr>
        <w:spacing w:line="360" w:lineRule="auto"/>
      </w:pPr>
      <w:r w:rsidRPr="00F9509D">
        <w:t>No existen conflictos de interés.</w:t>
      </w:r>
    </w:p>
    <w:p w14:paraId="60790056" w14:textId="77777777" w:rsidR="00F9509D" w:rsidRPr="00F9509D" w:rsidRDefault="00F9509D" w:rsidP="00F9509D">
      <w:pPr>
        <w:spacing w:line="360" w:lineRule="auto"/>
        <w:rPr>
          <w:b/>
        </w:rPr>
      </w:pPr>
    </w:p>
    <w:p w14:paraId="1D0EDA75" w14:textId="77777777" w:rsidR="00F9509D" w:rsidRPr="00F9509D" w:rsidRDefault="00F9509D" w:rsidP="00F9509D">
      <w:pPr>
        <w:spacing w:line="360" w:lineRule="auto"/>
        <w:jc w:val="center"/>
        <w:rPr>
          <w:bCs/>
        </w:rPr>
      </w:pPr>
      <w:r w:rsidRPr="00F9509D">
        <w:rPr>
          <w:b/>
        </w:rPr>
        <w:t>Contribuciones de los autores</w:t>
      </w:r>
    </w:p>
    <w:p w14:paraId="5DDF6D9A" w14:textId="77777777" w:rsidR="00F9509D" w:rsidRPr="00F9509D" w:rsidRDefault="00F9509D" w:rsidP="00F9509D">
      <w:pPr>
        <w:tabs>
          <w:tab w:val="left" w:pos="0"/>
        </w:tabs>
        <w:spacing w:line="360" w:lineRule="auto"/>
        <w:rPr>
          <w:i/>
          <w:iCs/>
        </w:rPr>
      </w:pPr>
      <w:r w:rsidRPr="00F9509D">
        <w:rPr>
          <w:lang w:val="es-ES"/>
        </w:rPr>
        <w:t xml:space="preserve">Conceptualización: </w:t>
      </w:r>
      <w:r w:rsidRPr="00F9509D">
        <w:rPr>
          <w:i/>
          <w:iCs/>
          <w:lang w:val="es-ES"/>
        </w:rPr>
        <w:t>Ileana Gil Llanes, Lisset Barroso Márquez.</w:t>
      </w:r>
    </w:p>
    <w:p w14:paraId="5F7CA880" w14:textId="77777777" w:rsidR="00F9509D" w:rsidRPr="00F9509D" w:rsidRDefault="00F9509D" w:rsidP="00F9509D">
      <w:pPr>
        <w:tabs>
          <w:tab w:val="left" w:pos="0"/>
        </w:tabs>
        <w:spacing w:line="360" w:lineRule="auto"/>
      </w:pPr>
      <w:r w:rsidRPr="00F9509D">
        <w:t xml:space="preserve">Curación de datos: </w:t>
      </w:r>
      <w:proofErr w:type="spellStart"/>
      <w:r w:rsidRPr="00F9509D">
        <w:rPr>
          <w:i/>
          <w:iCs/>
          <w:lang w:val="es-ES"/>
        </w:rPr>
        <w:t>Oxalis</w:t>
      </w:r>
      <w:proofErr w:type="spellEnd"/>
      <w:r w:rsidRPr="00F9509D">
        <w:rPr>
          <w:i/>
          <w:iCs/>
          <w:lang w:val="es-ES"/>
        </w:rPr>
        <w:t xml:space="preserve"> Rodríguez Martínez.</w:t>
      </w:r>
    </w:p>
    <w:p w14:paraId="4C59247F" w14:textId="77777777" w:rsidR="00F9509D" w:rsidRPr="00F9509D" w:rsidRDefault="00F9509D" w:rsidP="00F9509D">
      <w:pPr>
        <w:tabs>
          <w:tab w:val="left" w:pos="0"/>
        </w:tabs>
        <w:spacing w:line="360" w:lineRule="auto"/>
        <w:rPr>
          <w:i/>
          <w:iCs/>
        </w:rPr>
      </w:pPr>
      <w:r w:rsidRPr="00F9509D">
        <w:t xml:space="preserve">Análisis formal: </w:t>
      </w:r>
      <w:r w:rsidRPr="00F9509D">
        <w:rPr>
          <w:i/>
          <w:iCs/>
          <w:lang w:val="es-ES"/>
        </w:rPr>
        <w:t>Lissette Chao González.</w:t>
      </w:r>
    </w:p>
    <w:p w14:paraId="12D9E87E" w14:textId="77777777" w:rsidR="00F9509D" w:rsidRPr="00F9509D" w:rsidRDefault="00F9509D" w:rsidP="00F9509D">
      <w:pPr>
        <w:tabs>
          <w:tab w:val="left" w:pos="0"/>
        </w:tabs>
        <w:spacing w:line="360" w:lineRule="auto"/>
      </w:pPr>
      <w:r w:rsidRPr="00F9509D">
        <w:t xml:space="preserve">Investigación: </w:t>
      </w:r>
      <w:r w:rsidRPr="00F9509D">
        <w:rPr>
          <w:i/>
          <w:iCs/>
          <w:lang w:val="es-ES"/>
        </w:rPr>
        <w:t xml:space="preserve">Marcia </w:t>
      </w:r>
      <w:proofErr w:type="spellStart"/>
      <w:r w:rsidRPr="00F9509D">
        <w:rPr>
          <w:i/>
          <w:iCs/>
          <w:lang w:val="es-ES"/>
        </w:rPr>
        <w:t>Samada</w:t>
      </w:r>
      <w:proofErr w:type="spellEnd"/>
      <w:r w:rsidRPr="00F9509D">
        <w:rPr>
          <w:i/>
          <w:iCs/>
          <w:lang w:val="es-ES"/>
        </w:rPr>
        <w:t xml:space="preserve"> Suárez.</w:t>
      </w:r>
    </w:p>
    <w:p w14:paraId="4CB8E0C5" w14:textId="77777777" w:rsidR="00F9509D" w:rsidRPr="00F9509D" w:rsidRDefault="00F9509D" w:rsidP="00F9509D">
      <w:pPr>
        <w:tabs>
          <w:tab w:val="left" w:pos="0"/>
        </w:tabs>
        <w:spacing w:line="360" w:lineRule="auto"/>
      </w:pPr>
      <w:r w:rsidRPr="00F9509D">
        <w:t xml:space="preserve">Metodología: </w:t>
      </w:r>
      <w:proofErr w:type="spellStart"/>
      <w:r w:rsidRPr="00F9509D">
        <w:rPr>
          <w:i/>
          <w:iCs/>
          <w:lang w:val="es-ES"/>
        </w:rPr>
        <w:t>Yunia</w:t>
      </w:r>
      <w:proofErr w:type="spellEnd"/>
      <w:r w:rsidRPr="00F9509D">
        <w:rPr>
          <w:i/>
          <w:iCs/>
          <w:lang w:val="es-ES"/>
        </w:rPr>
        <w:t xml:space="preserve"> Tusen Toledo.</w:t>
      </w:r>
    </w:p>
    <w:p w14:paraId="6B93CBD7" w14:textId="77777777" w:rsidR="00F9509D" w:rsidRPr="00F9509D" w:rsidRDefault="00F9509D" w:rsidP="00F9509D">
      <w:pPr>
        <w:tabs>
          <w:tab w:val="left" w:pos="0"/>
        </w:tabs>
        <w:spacing w:line="360" w:lineRule="auto"/>
        <w:rPr>
          <w:i/>
          <w:iCs/>
        </w:rPr>
      </w:pPr>
      <w:r w:rsidRPr="00F9509D">
        <w:t xml:space="preserve">Supervisión: </w:t>
      </w:r>
      <w:r w:rsidRPr="00F9509D">
        <w:rPr>
          <w:i/>
          <w:iCs/>
          <w:lang w:val="es-ES"/>
        </w:rPr>
        <w:t xml:space="preserve">Lissette Chao González, Marcia </w:t>
      </w:r>
      <w:proofErr w:type="spellStart"/>
      <w:r w:rsidRPr="00F9509D">
        <w:rPr>
          <w:i/>
          <w:iCs/>
          <w:lang w:val="es-ES"/>
        </w:rPr>
        <w:t>Samada</w:t>
      </w:r>
      <w:proofErr w:type="spellEnd"/>
      <w:r w:rsidRPr="00F9509D">
        <w:rPr>
          <w:i/>
          <w:iCs/>
          <w:lang w:val="es-ES"/>
        </w:rPr>
        <w:t xml:space="preserve"> Suárez.</w:t>
      </w:r>
    </w:p>
    <w:p w14:paraId="1FFFF4FD" w14:textId="77777777" w:rsidR="00F9509D" w:rsidRPr="00F9509D" w:rsidRDefault="00F9509D" w:rsidP="00F9509D">
      <w:pPr>
        <w:tabs>
          <w:tab w:val="left" w:pos="0"/>
        </w:tabs>
        <w:spacing w:line="360" w:lineRule="auto"/>
      </w:pPr>
      <w:r w:rsidRPr="00F9509D">
        <w:t xml:space="preserve">Redacción – borrador original: </w:t>
      </w:r>
      <w:r w:rsidRPr="00F9509D">
        <w:rPr>
          <w:i/>
          <w:iCs/>
          <w:lang w:val="es-ES"/>
        </w:rPr>
        <w:t>Lisset Barroso Márquez.</w:t>
      </w:r>
    </w:p>
    <w:p w14:paraId="39664762" w14:textId="77777777" w:rsidR="00F9509D" w:rsidRPr="00F9509D" w:rsidRDefault="00F9509D" w:rsidP="00F9509D">
      <w:pPr>
        <w:tabs>
          <w:tab w:val="left" w:pos="0"/>
        </w:tabs>
        <w:spacing w:line="360" w:lineRule="auto"/>
        <w:rPr>
          <w:rFonts w:eastAsia="DengXian"/>
          <w:lang w:eastAsia="zh-CN"/>
        </w:rPr>
      </w:pPr>
      <w:r w:rsidRPr="00F9509D">
        <w:t xml:space="preserve">Redacción – revisión y edición: </w:t>
      </w:r>
      <w:r w:rsidRPr="00F9509D">
        <w:rPr>
          <w:i/>
          <w:iCs/>
          <w:lang w:val="es-ES"/>
        </w:rPr>
        <w:t>Lisset Barroso Márquez,</w:t>
      </w:r>
      <w:r w:rsidRPr="00F9509D">
        <w:rPr>
          <w:i/>
          <w:iCs/>
        </w:rPr>
        <w:t xml:space="preserve"> Ludmila Martínez Leyva.</w:t>
      </w:r>
    </w:p>
    <w:p w14:paraId="0833A28D" w14:textId="77777777" w:rsidR="00675476" w:rsidRPr="00F9509D" w:rsidRDefault="00675476" w:rsidP="00EA1FEF">
      <w:pPr>
        <w:pStyle w:val="PDFRevista"/>
        <w:rPr>
          <w:lang w:val="es-ES_tradnl"/>
        </w:rPr>
      </w:pPr>
    </w:p>
    <w:sectPr w:rsidR="00675476" w:rsidRPr="00F9509D" w:rsidSect="00FD3DF8">
      <w:headerReference w:type="default" r:id="rId43"/>
      <w:footerReference w:type="even" r:id="rId44"/>
      <w:footerReference w:type="default" r:id="rId4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B8C1" w14:textId="77777777" w:rsidR="003D32E5" w:rsidRDefault="003D32E5">
      <w:r>
        <w:separator/>
      </w:r>
    </w:p>
  </w:endnote>
  <w:endnote w:type="continuationSeparator" w:id="0">
    <w:p w14:paraId="64943652" w14:textId="77777777" w:rsidR="003D32E5" w:rsidRDefault="003D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801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6C37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A930"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4CFCAA9" wp14:editId="429E8AD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9692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7C78F99" w14:textId="77777777" w:rsidR="00675476" w:rsidRPr="00AE044C" w:rsidRDefault="003D32E5" w:rsidP="00391509">
    <w:pPr>
      <w:pStyle w:val="Piedepgina"/>
      <w:ind w:right="360"/>
      <w:rPr>
        <w:sz w:val="22"/>
        <w:szCs w:val="22"/>
      </w:rPr>
    </w:pPr>
    <w:hyperlink r:id="rId1" w:history="1">
      <w:r w:rsidR="00391509" w:rsidRPr="00AE044C">
        <w:rPr>
          <w:rStyle w:val="Hipervnculo"/>
          <w:sz w:val="22"/>
          <w:szCs w:val="22"/>
        </w:rPr>
        <w:t>http://scielo.sld.cu</w:t>
      </w:r>
    </w:hyperlink>
  </w:p>
  <w:p w14:paraId="5DDCAF7B" w14:textId="77777777" w:rsidR="00391509" w:rsidRPr="00AE044C" w:rsidRDefault="003D32E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644E5C9"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57402A19" wp14:editId="539BE76F">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AB8B" w14:textId="77777777" w:rsidR="003D32E5" w:rsidRDefault="003D32E5">
      <w:r>
        <w:separator/>
      </w:r>
    </w:p>
  </w:footnote>
  <w:footnote w:type="continuationSeparator" w:id="0">
    <w:p w14:paraId="1A8B500F" w14:textId="77777777" w:rsidR="003D32E5" w:rsidRDefault="003D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5709" w14:textId="39E9F1A4" w:rsidR="00CC376A" w:rsidRPr="00AE044C" w:rsidRDefault="00116D72"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e02201662</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6EFD6110" wp14:editId="09819D19">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4778BCCD"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C748C57" wp14:editId="2E38D1A7">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491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5A3F"/>
    <w:multiLevelType w:val="hybridMultilevel"/>
    <w:tmpl w:val="7CCE7BF6"/>
    <w:lvl w:ilvl="0" w:tplc="9DA40510">
      <w:start w:val="2"/>
      <w:numFmt w:val="bullet"/>
      <w:lvlText w:val="-"/>
      <w:lvlJc w:val="left"/>
      <w:pPr>
        <w:ind w:left="720" w:hanging="360"/>
      </w:pPr>
      <w:rPr>
        <w:rFonts w:ascii="Calibri" w:eastAsiaTheme="minorHAnsi" w:hAnsi="Calibri" w:cs="Calibri" w:hint="default"/>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A432CB"/>
    <w:multiLevelType w:val="hybridMultilevel"/>
    <w:tmpl w:val="C6762B4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6695B45"/>
    <w:multiLevelType w:val="hybridMultilevel"/>
    <w:tmpl w:val="4C001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1A324F6"/>
    <w:multiLevelType w:val="multilevel"/>
    <w:tmpl w:val="DB76B6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F3C27"/>
    <w:multiLevelType w:val="hybridMultilevel"/>
    <w:tmpl w:val="03ECB650"/>
    <w:lvl w:ilvl="0" w:tplc="2F74CA22">
      <w:start w:val="6"/>
      <w:numFmt w:val="bullet"/>
      <w:lvlText w:val="-"/>
      <w:lvlJc w:val="left"/>
      <w:pPr>
        <w:ind w:left="1080" w:hanging="360"/>
      </w:pPr>
      <w:rPr>
        <w:rFonts w:ascii="Verdana" w:eastAsia="Calibri" w:hAnsi="Verdana"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5CED4404"/>
    <w:multiLevelType w:val="hybridMultilevel"/>
    <w:tmpl w:val="84B6E1B8"/>
    <w:lvl w:ilvl="0" w:tplc="C2502F6C">
      <w:start w:val="1"/>
      <w:numFmt w:val="decimal"/>
      <w:lvlText w:val="%1."/>
      <w:lvlJc w:val="left"/>
      <w:pPr>
        <w:ind w:left="720" w:hanging="360"/>
      </w:pPr>
      <w:rPr>
        <w:rFonts w:hint="default"/>
        <w:sz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326EF5"/>
    <w:multiLevelType w:val="multilevel"/>
    <w:tmpl w:val="EDA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51A82"/>
    <w:multiLevelType w:val="hybridMultilevel"/>
    <w:tmpl w:val="3E1C1018"/>
    <w:lvl w:ilvl="0" w:tplc="A4721B2A">
      <w:start w:val="1"/>
      <w:numFmt w:val="decimal"/>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10884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56C37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A4A7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A6635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2C9D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792A8F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8E14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3CEA7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73ED15E6"/>
    <w:multiLevelType w:val="hybridMultilevel"/>
    <w:tmpl w:val="79C63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C21C74"/>
    <w:multiLevelType w:val="hybridMultilevel"/>
    <w:tmpl w:val="80303396"/>
    <w:lvl w:ilvl="0" w:tplc="BC12A95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2"/>
  </w:num>
  <w:num w:numId="5">
    <w:abstractNumId w:val="8"/>
  </w:num>
  <w:num w:numId="6">
    <w:abstractNumId w:val="6"/>
  </w:num>
  <w:num w:numId="7">
    <w:abstractNumId w:val="10"/>
  </w:num>
  <w:num w:numId="8">
    <w:abstractNumId w:val="4"/>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9D"/>
    <w:rsid w:val="00057F45"/>
    <w:rsid w:val="000D3958"/>
    <w:rsid w:val="000F3690"/>
    <w:rsid w:val="00116D72"/>
    <w:rsid w:val="001221D1"/>
    <w:rsid w:val="00165CB5"/>
    <w:rsid w:val="00180CE9"/>
    <w:rsid w:val="00230DD5"/>
    <w:rsid w:val="00250AE9"/>
    <w:rsid w:val="00380D64"/>
    <w:rsid w:val="00391509"/>
    <w:rsid w:val="003B1602"/>
    <w:rsid w:val="003D32E5"/>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71501"/>
    <w:rsid w:val="00D85951"/>
    <w:rsid w:val="00E62606"/>
    <w:rsid w:val="00E95B1E"/>
    <w:rsid w:val="00EA1FEF"/>
    <w:rsid w:val="00EC5A6B"/>
    <w:rsid w:val="00EE301D"/>
    <w:rsid w:val="00F84144"/>
    <w:rsid w:val="00F9509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6BFE9"/>
  <w15:docId w15:val="{DFC42B33-B280-4891-8385-3FF6188F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numbering" w:customStyle="1" w:styleId="Sinlista1">
    <w:name w:val="Sin lista1"/>
    <w:next w:val="Sinlista"/>
    <w:uiPriority w:val="99"/>
    <w:semiHidden/>
    <w:unhideWhenUsed/>
    <w:rsid w:val="00F9509D"/>
  </w:style>
  <w:style w:type="paragraph" w:customStyle="1" w:styleId="Default">
    <w:name w:val="Default"/>
    <w:rsid w:val="00F9509D"/>
    <w:pPr>
      <w:autoSpaceDE w:val="0"/>
      <w:autoSpaceDN w:val="0"/>
      <w:adjustRightInd w:val="0"/>
    </w:pPr>
    <w:rPr>
      <w:rFonts w:ascii="Arial" w:eastAsia="Calibri" w:hAnsi="Arial" w:cs="Arial"/>
      <w:color w:val="000000"/>
      <w:sz w:val="24"/>
      <w:szCs w:val="24"/>
      <w:lang w:eastAsia="en-US"/>
    </w:rPr>
  </w:style>
  <w:style w:type="table" w:customStyle="1" w:styleId="Tablaconcuadrcula1">
    <w:name w:val="Tabla con cuadrícula1"/>
    <w:basedOn w:val="Tablanormal"/>
    <w:next w:val="Tablaconcuadrcula"/>
    <w:rsid w:val="00F9509D"/>
    <w:tblPr>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tblCellSpacing w:w="0" w:type="auto"/>
    </w:trPr>
  </w:style>
  <w:style w:type="paragraph" w:styleId="Prrafodelista">
    <w:name w:val="List Paragraph"/>
    <w:basedOn w:val="Normal"/>
    <w:uiPriority w:val="34"/>
    <w:qFormat/>
    <w:rsid w:val="00F9509D"/>
    <w:pPr>
      <w:spacing w:after="160" w:line="259" w:lineRule="auto"/>
      <w:ind w:left="720"/>
      <w:contextualSpacing/>
    </w:pPr>
    <w:rPr>
      <w:rFonts w:ascii="Calibri" w:eastAsia="Calibri" w:hAnsi="Calibri"/>
      <w:sz w:val="22"/>
      <w:szCs w:val="22"/>
      <w:lang w:val="es-ES" w:eastAsia="en-US"/>
    </w:rPr>
  </w:style>
  <w:style w:type="table" w:customStyle="1" w:styleId="TableGrid">
    <w:name w:val="TableGrid"/>
    <w:rsid w:val="00F9509D"/>
    <w:rPr>
      <w:rFonts w:ascii="Calibri" w:eastAsia="SimSun" w:hAnsi="Calibri"/>
      <w:sz w:val="22"/>
      <w:szCs w:val="22"/>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F9509D"/>
    <w:rPr>
      <w:color w:val="605E5C"/>
      <w:shd w:val="clear" w:color="auto" w:fill="E1DFDD"/>
    </w:rPr>
  </w:style>
  <w:style w:type="character" w:styleId="Refdecomentario">
    <w:name w:val="annotation reference"/>
    <w:basedOn w:val="Fuentedeprrafopredeter"/>
    <w:uiPriority w:val="99"/>
    <w:semiHidden/>
    <w:unhideWhenUsed/>
    <w:rsid w:val="00F9509D"/>
    <w:rPr>
      <w:sz w:val="16"/>
      <w:szCs w:val="16"/>
    </w:rPr>
  </w:style>
  <w:style w:type="paragraph" w:styleId="Textocomentario">
    <w:name w:val="annotation text"/>
    <w:basedOn w:val="Normal"/>
    <w:link w:val="TextocomentarioCar"/>
    <w:uiPriority w:val="99"/>
    <w:unhideWhenUsed/>
    <w:rsid w:val="00F9509D"/>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F9509D"/>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F9509D"/>
    <w:rPr>
      <w:b/>
      <w:bCs/>
    </w:rPr>
  </w:style>
  <w:style w:type="character" w:customStyle="1" w:styleId="AsuntodelcomentarioCar">
    <w:name w:val="Asunto del comentario Car"/>
    <w:basedOn w:val="TextocomentarioCar"/>
    <w:link w:val="Asuntodelcomentario"/>
    <w:uiPriority w:val="99"/>
    <w:semiHidden/>
    <w:rsid w:val="00F9509D"/>
    <w:rPr>
      <w:rFonts w:ascii="Calibri" w:eastAsia="Calibri" w:hAnsi="Calibri"/>
      <w:b/>
      <w:bCs/>
      <w:lang w:eastAsia="en-US"/>
    </w:rPr>
  </w:style>
  <w:style w:type="character" w:customStyle="1" w:styleId="orcid-id-https">
    <w:name w:val="orcid-id-https"/>
    <w:basedOn w:val="Fuentedeprrafopredeter"/>
    <w:rsid w:val="00F9509D"/>
  </w:style>
  <w:style w:type="character" w:styleId="Textoennegrita">
    <w:name w:val="Strong"/>
    <w:basedOn w:val="Fuentedeprrafopredeter"/>
    <w:uiPriority w:val="22"/>
    <w:qFormat/>
    <w:rsid w:val="00F9509D"/>
    <w:rPr>
      <w:b/>
      <w:bCs/>
    </w:rPr>
  </w:style>
  <w:style w:type="paragraph" w:styleId="Revisin">
    <w:name w:val="Revision"/>
    <w:hidden/>
    <w:uiPriority w:val="99"/>
    <w:semiHidden/>
    <w:rsid w:val="00F9509D"/>
    <w:rPr>
      <w:rFonts w:ascii="Calibri" w:eastAsia="Calibri" w:hAnsi="Calibri"/>
      <w:sz w:val="22"/>
      <w:szCs w:val="22"/>
      <w:lang w:eastAsia="en-US"/>
    </w:rPr>
  </w:style>
  <w:style w:type="paragraph" w:styleId="HTMLconformatoprevio">
    <w:name w:val="HTML Preformatted"/>
    <w:basedOn w:val="Normal"/>
    <w:link w:val="HTMLconformatoprevioCar"/>
    <w:uiPriority w:val="99"/>
    <w:semiHidden/>
    <w:unhideWhenUsed/>
    <w:rsid w:val="00F9509D"/>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semiHidden/>
    <w:rsid w:val="00F9509D"/>
    <w:rPr>
      <w:rFonts w:ascii="Consolas" w:eastAsia="Calibri" w:hAnsi="Consolas"/>
      <w:lang w:eastAsia="en-US"/>
    </w:rPr>
  </w:style>
  <w:style w:type="character" w:customStyle="1" w:styleId="Mencinsinresolver2">
    <w:name w:val="Mención sin resolver2"/>
    <w:basedOn w:val="Fuentedeprrafopredeter"/>
    <w:uiPriority w:val="99"/>
    <w:semiHidden/>
    <w:unhideWhenUsed/>
    <w:rsid w:val="00F9509D"/>
    <w:rPr>
      <w:color w:val="605E5C"/>
      <w:shd w:val="clear" w:color="auto" w:fill="E1DFDD"/>
    </w:rPr>
  </w:style>
  <w:style w:type="character" w:styleId="Mencinsinresolver">
    <w:name w:val="Unresolved Mention"/>
    <w:basedOn w:val="Fuentedeprrafopredeter"/>
    <w:uiPriority w:val="99"/>
    <w:semiHidden/>
    <w:unhideWhenUsed/>
    <w:rsid w:val="00F9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043-1763" TargetMode="External"/><Relationship Id="rId13" Type="http://schemas.openxmlformats.org/officeDocument/2006/relationships/hyperlink" Target="https://orcid.org/0000-0002-4333-4030" TargetMode="External"/><Relationship Id="rId18" Type="http://schemas.openxmlformats.org/officeDocument/2006/relationships/hyperlink" Target="https://www.academia.edu/23062502/Diagn&#243;stico_mediante_histolog&#237;a_y_test_de_ureasa_de_la_infecci&#243;n_por_Helicobacter_pylori_en_el_Instituto_Cubano_de_Gastroenterolog&#237;a_Helicobacter_pylori_infections_diagnostic_by_histology_and_ureasa_test" TargetMode="External"/><Relationship Id="rId26" Type="http://schemas.openxmlformats.org/officeDocument/2006/relationships/hyperlink" Target="https://es.slideshare.net/661125/manual-de-endoscopia-digestiva-superior-diagnstica" TargetMode="External"/><Relationship Id="rId39" Type="http://schemas.openxmlformats.org/officeDocument/2006/relationships/hyperlink" Target="https://doi.org/10.1038/ajg.2016.563" TargetMode="External"/><Relationship Id="rId3" Type="http://schemas.openxmlformats.org/officeDocument/2006/relationships/settings" Target="settings.xml"/><Relationship Id="rId21" Type="http://schemas.openxmlformats.org/officeDocument/2006/relationships/hyperlink" Target="https://doi.org/10.1016/j.medcli.2016.10.026" TargetMode="External"/><Relationship Id="rId34" Type="http://schemas.openxmlformats.org/officeDocument/2006/relationships/hyperlink" Target="https://doi.org/10.22516/25007440.394" TargetMode="External"/><Relationship Id="rId42" Type="http://schemas.openxmlformats.org/officeDocument/2006/relationships/hyperlink" Target="https://doi.org/10.3748/wjg.v21.i14.4345" TargetMode="External"/><Relationship Id="rId47" Type="http://schemas.openxmlformats.org/officeDocument/2006/relationships/theme" Target="theme/theme1.xml"/><Relationship Id="rId7" Type="http://schemas.openxmlformats.org/officeDocument/2006/relationships/hyperlink" Target="https://orcid.org/0000-0002-8351-9646" TargetMode="External"/><Relationship Id="rId12" Type="http://schemas.openxmlformats.org/officeDocument/2006/relationships/hyperlink" Target="https://orcid.org/0000-0001-7996-239X" TargetMode="External"/><Relationship Id="rId17" Type="http://schemas.openxmlformats.org/officeDocument/2006/relationships/hyperlink" Target="http://scielo.sld.cu/scielo.php?script=sci_arttext&amp;pid=S0034-75232008000200006&amp;lng=es" TargetMode="External"/><Relationship Id="rId25" Type="http://schemas.openxmlformats.org/officeDocument/2006/relationships/hyperlink" Target="https://doi.org/10.1371/journal.pone.0163743" TargetMode="External"/><Relationship Id="rId33" Type="http://schemas.openxmlformats.org/officeDocument/2006/relationships/hyperlink" Target="http://scielo.sld.cu/scielo.php?script=sci_arttext&amp;pid=S0034-75232016000300004&amp;lng=es" TargetMode="External"/><Relationship Id="rId38" Type="http://schemas.openxmlformats.org/officeDocument/2006/relationships/hyperlink" Target="http://www.revistagastroenterologiamexico.org/en-la-eficacia-imagen-banda-estrecha-articulo-resumen-S037509061830024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3/j.gastro.2017.04.022" TargetMode="External"/><Relationship Id="rId20" Type="http://schemas.openxmlformats.org/officeDocument/2006/relationships/hyperlink" Target="https://www.actagastro.org/numeros-anteriores/2017/Vol-47-N1/Vol47N1-PDF15.pdf" TargetMode="External"/><Relationship Id="rId29" Type="http://schemas.openxmlformats.org/officeDocument/2006/relationships/hyperlink" Target="http://www.scielo.org.pe/scielo.php?script=sci_arttext&amp;pid=S1022-51292018000200006&amp;lng=es" TargetMode="External"/><Relationship Id="rId41" Type="http://schemas.openxmlformats.org/officeDocument/2006/relationships/hyperlink" Target="https://doi.org/10.1371/journal.pone.0111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795-3801" TargetMode="External"/><Relationship Id="rId24" Type="http://schemas.openxmlformats.org/officeDocument/2006/relationships/hyperlink" Target="https://doi.org/10.1016/j.cimid.2019.02.010" TargetMode="External"/><Relationship Id="rId32" Type="http://schemas.openxmlformats.org/officeDocument/2006/relationships/hyperlink" Target="http://www.revistagastroenterologiamexico.org/es-pdf-S0375090616300349" TargetMode="External"/><Relationship Id="rId37" Type="http://schemas.openxmlformats.org/officeDocument/2006/relationships/hyperlink" Target="https://gastrolat.org/DOI/PDF/10.0716/gastrolat2016n400002.pdf" TargetMode="External"/><Relationship Id="rId40" Type="http://schemas.openxmlformats.org/officeDocument/2006/relationships/hyperlink" Target="https://doi.org/10.1053/j.gastro.2016.04.006"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ilarispublisher.com/open-access/evaluation-of-the-effect-of-lactobacillus-planetarium-probioticsproduced-from-broad-bean-seed-in-prevention-of-helicobacter-pylori-1948-5956-1000524.pdf" TargetMode="External"/><Relationship Id="rId23" Type="http://schemas.openxmlformats.org/officeDocument/2006/relationships/hyperlink" Target="https://www.elsevier.es/es-revista-endocrinologia-nutricion-12-articulo-actualizacion-probioticos-prebioticos-simbioticos-nutricion-S1575092216301139" TargetMode="External"/><Relationship Id="rId28" Type="http://schemas.openxmlformats.org/officeDocument/2006/relationships/hyperlink" Target="https://doi.org/10.3748/wjg.v21.i37.10644" TargetMode="External"/><Relationship Id="rId36" Type="http://schemas.openxmlformats.org/officeDocument/2006/relationships/hyperlink" Target="https://doi.org/10.22516/25007440.67" TargetMode="External"/><Relationship Id="rId10" Type="http://schemas.openxmlformats.org/officeDocument/2006/relationships/hyperlink" Target="https://orcid.org/0000-0003-0817-2424" TargetMode="External"/><Relationship Id="rId19" Type="http://schemas.openxmlformats.org/officeDocument/2006/relationships/hyperlink" Target="http://dx.doi.org/10.11144/Javeriana.umed59-3.pylo" TargetMode="External"/><Relationship Id="rId31" Type="http://schemas.openxmlformats.org/officeDocument/2006/relationships/hyperlink" Target="http://scielo.sld.cu/scielo.php?script=sci_arttext&amp;pid=S0138-65572016000300009&amp;lng=es"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9691-2738" TargetMode="External"/><Relationship Id="rId14" Type="http://schemas.openxmlformats.org/officeDocument/2006/relationships/hyperlink" Target="mailto:lisetbaromar77@gmail.com" TargetMode="External"/><Relationship Id="rId22" Type="http://schemas.openxmlformats.org/officeDocument/2006/relationships/hyperlink" Target="https://www.worldgastroenterology.org/UserFiles/file/guidelines/probiotics-and-prebiotics-spanish-2017.pdf" TargetMode="External"/><Relationship Id="rId27" Type="http://schemas.openxmlformats.org/officeDocument/2006/relationships/hyperlink" Target="https://www.wma.net/es/policies-post/declaracion-de-helsinki-de-la-amm-principios-eticos-para-las-investigaciones-medicas-en-seres-humanos/" TargetMode="External"/><Relationship Id="rId30" Type="http://schemas.openxmlformats.org/officeDocument/2006/relationships/hyperlink" Target="https://doi.org/10.1155/2014/610421" TargetMode="External"/><Relationship Id="rId35" Type="http://schemas.openxmlformats.org/officeDocument/2006/relationships/hyperlink" Target="https://doi.org/10.1016/j.arr.2017.01.001"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27</TotalTime>
  <Pages>14</Pages>
  <Words>4744</Words>
  <Characters>26092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30775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6</cp:revision>
  <cp:lastPrinted>2022-03-04T23:51:00Z</cp:lastPrinted>
  <dcterms:created xsi:type="dcterms:W3CDTF">2022-03-04T23:49:00Z</dcterms:created>
  <dcterms:modified xsi:type="dcterms:W3CDTF">2022-03-05T00:17:00Z</dcterms:modified>
</cp:coreProperties>
</file>