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287B1" w14:textId="77777777" w:rsidR="009D6C84" w:rsidRPr="00AA7161" w:rsidRDefault="009D6C84" w:rsidP="009D6C84">
      <w:pPr>
        <w:widowControl w:val="0"/>
        <w:spacing w:line="360" w:lineRule="auto"/>
        <w:jc w:val="right"/>
        <w:rPr>
          <w:bCs/>
          <w:sz w:val="20"/>
          <w:szCs w:val="20"/>
          <w:lang w:val="es-ES" w:eastAsia="en-US"/>
        </w:rPr>
      </w:pPr>
      <w:r w:rsidRPr="00AA7161">
        <w:rPr>
          <w:bCs/>
          <w:sz w:val="20"/>
          <w:szCs w:val="20"/>
          <w:lang w:val="es-ES" w:eastAsia="en-US"/>
        </w:rPr>
        <w:t>Artículo de investigación</w:t>
      </w:r>
    </w:p>
    <w:p w14:paraId="096C776F" w14:textId="77777777" w:rsidR="009D6C84" w:rsidRPr="00AA7161" w:rsidRDefault="009D6C84" w:rsidP="009D6C84">
      <w:pPr>
        <w:widowControl w:val="0"/>
        <w:spacing w:line="360" w:lineRule="auto"/>
        <w:jc w:val="right"/>
        <w:rPr>
          <w:bCs/>
          <w:lang w:val="es-ES" w:eastAsia="en-US"/>
        </w:rPr>
      </w:pPr>
    </w:p>
    <w:p w14:paraId="212E808B" w14:textId="77777777" w:rsidR="009D6C84" w:rsidRPr="00AA7161" w:rsidRDefault="009D6C84" w:rsidP="009D6C84">
      <w:pPr>
        <w:widowControl w:val="0"/>
        <w:spacing w:line="360" w:lineRule="auto"/>
        <w:jc w:val="center"/>
        <w:rPr>
          <w:b/>
          <w:sz w:val="28"/>
          <w:szCs w:val="28"/>
          <w:lang w:val="es-ES" w:eastAsia="en-US"/>
        </w:rPr>
      </w:pPr>
      <w:r w:rsidRPr="00AA7161">
        <w:rPr>
          <w:b/>
          <w:sz w:val="28"/>
          <w:szCs w:val="28"/>
          <w:lang w:val="es-ES" w:eastAsia="en-US"/>
        </w:rPr>
        <w:t>El tratamiento con Jusvinza disminuye la hiperinflamación y la hipercoagulación en pacientes críticos con la COVID-19</w:t>
      </w:r>
    </w:p>
    <w:p w14:paraId="10061636" w14:textId="77777777" w:rsidR="009D6C84" w:rsidRPr="00AA7161" w:rsidRDefault="009D6C84" w:rsidP="009D6C84">
      <w:pPr>
        <w:widowControl w:val="0"/>
        <w:spacing w:line="360" w:lineRule="auto"/>
        <w:jc w:val="center"/>
        <w:rPr>
          <w:bCs/>
          <w:sz w:val="28"/>
          <w:szCs w:val="28"/>
          <w:lang w:val="en" w:eastAsia="en-US"/>
        </w:rPr>
      </w:pPr>
      <w:r w:rsidRPr="00AA7161">
        <w:rPr>
          <w:bCs/>
          <w:sz w:val="28"/>
          <w:szCs w:val="28"/>
          <w:lang w:val="en" w:eastAsia="en-US"/>
        </w:rPr>
        <w:t>The treatment with Jusvinza reduces hyperinflammation and hypercoagulation in critical ill patients with COVID-19</w:t>
      </w:r>
    </w:p>
    <w:p w14:paraId="548ED48E" w14:textId="77777777" w:rsidR="009D6C84" w:rsidRPr="00AA7161" w:rsidRDefault="009D6C84" w:rsidP="009D6C84">
      <w:pPr>
        <w:spacing w:line="360" w:lineRule="auto"/>
        <w:jc w:val="both"/>
        <w:rPr>
          <w:rFonts w:eastAsia="Calibri"/>
          <w:lang w:val="en-US" w:eastAsia="en-US"/>
        </w:rPr>
      </w:pPr>
    </w:p>
    <w:p w14:paraId="067D3B9C" w14:textId="77777777" w:rsidR="009D6C84" w:rsidRPr="00AA7161" w:rsidRDefault="009D6C84" w:rsidP="009D6C84">
      <w:pPr>
        <w:spacing w:line="360" w:lineRule="auto"/>
        <w:jc w:val="both"/>
        <w:rPr>
          <w:rFonts w:eastAsia="Calibri"/>
          <w:lang w:val="es-CU" w:eastAsia="en-US"/>
        </w:rPr>
      </w:pPr>
      <w:r w:rsidRPr="00AA7161">
        <w:rPr>
          <w:rFonts w:eastAsia="Calibri"/>
          <w:lang w:val="es-CU" w:eastAsia="en-US"/>
        </w:rPr>
        <w:t>Rafael Venegas Rodríguez</w:t>
      </w:r>
      <w:r w:rsidRPr="00AA7161">
        <w:rPr>
          <w:rFonts w:eastAsia="Calibri"/>
          <w:vertAlign w:val="superscript"/>
          <w:lang w:val="es-CU" w:eastAsia="en-US"/>
        </w:rPr>
        <w:t>1</w:t>
      </w:r>
      <w:r w:rsidRPr="00AA7161">
        <w:rPr>
          <w:rFonts w:eastAsia="Calibri"/>
          <w:lang w:val="es-CU" w:eastAsia="en-US"/>
        </w:rPr>
        <w:t xml:space="preserve"> </w:t>
      </w:r>
      <w:hyperlink r:id="rId7" w:history="1">
        <w:r w:rsidRPr="00AA7161">
          <w:rPr>
            <w:rFonts w:eastAsia="Calibri"/>
            <w:u w:val="single"/>
            <w:lang w:val="es-CU" w:eastAsia="en-US"/>
          </w:rPr>
          <w:t>https://orcid.org/0000-0001-5956-6672</w:t>
        </w:r>
      </w:hyperlink>
      <w:r w:rsidRPr="00AA7161">
        <w:rPr>
          <w:rFonts w:eastAsia="Calibri"/>
          <w:lang w:val="es-CU" w:eastAsia="en-US"/>
        </w:rPr>
        <w:t xml:space="preserve"> </w:t>
      </w:r>
    </w:p>
    <w:p w14:paraId="0D6471FE" w14:textId="5B36FE9A" w:rsidR="009D6C84" w:rsidRPr="00AA7161" w:rsidRDefault="009D6C84" w:rsidP="009D6C84">
      <w:pPr>
        <w:spacing w:line="360" w:lineRule="auto"/>
        <w:jc w:val="both"/>
        <w:rPr>
          <w:rFonts w:eastAsia="Calibri"/>
          <w:lang w:val="es-CU" w:eastAsia="en-US"/>
        </w:rPr>
      </w:pPr>
      <w:r w:rsidRPr="00AA7161">
        <w:rPr>
          <w:rFonts w:eastAsia="Calibri"/>
          <w:lang w:val="es-CU" w:eastAsia="en-US"/>
        </w:rPr>
        <w:t>Anabel Serrano Díaz</w:t>
      </w:r>
      <w:r w:rsidRPr="00AA7161">
        <w:rPr>
          <w:rFonts w:eastAsia="Calibri"/>
          <w:vertAlign w:val="superscript"/>
          <w:lang w:val="es-CU" w:eastAsia="en-US"/>
        </w:rPr>
        <w:t>2</w:t>
      </w:r>
      <w:r w:rsidRPr="00AA7161">
        <w:rPr>
          <w:rFonts w:eastAsia="Calibri"/>
          <w:lang w:val="es-CU" w:eastAsia="en-US"/>
        </w:rPr>
        <w:t xml:space="preserve"> </w:t>
      </w:r>
      <w:hyperlink r:id="rId8" w:history="1">
        <w:r w:rsidRPr="00AA7161">
          <w:rPr>
            <w:rFonts w:eastAsia="Calibri"/>
            <w:u w:val="single"/>
            <w:lang w:val="es-CU" w:eastAsia="en-US"/>
          </w:rPr>
          <w:t>https://orcid.org/0000-0002-8301-5771</w:t>
        </w:r>
      </w:hyperlink>
      <w:r w:rsidRPr="00AA7161">
        <w:rPr>
          <w:rFonts w:eastAsia="Calibri"/>
          <w:lang w:val="es-CU" w:eastAsia="en-US"/>
        </w:rPr>
        <w:t xml:space="preserve"> </w:t>
      </w:r>
    </w:p>
    <w:p w14:paraId="6175D817" w14:textId="77777777" w:rsidR="009D6C84" w:rsidRPr="00AA7161" w:rsidRDefault="009D6C84" w:rsidP="009D6C84">
      <w:pPr>
        <w:spacing w:line="360" w:lineRule="auto"/>
        <w:jc w:val="both"/>
        <w:rPr>
          <w:rFonts w:eastAsia="Calibri"/>
          <w:lang w:val="es-CU" w:eastAsia="en-US"/>
        </w:rPr>
      </w:pPr>
      <w:r w:rsidRPr="00AA7161">
        <w:rPr>
          <w:rFonts w:eastAsia="Calibri"/>
          <w:lang w:val="es-CU" w:eastAsia="en-US"/>
        </w:rPr>
        <w:t>Rubén Peña Ruiz</w:t>
      </w:r>
      <w:r w:rsidRPr="00AA7161">
        <w:rPr>
          <w:rFonts w:eastAsia="Calibri"/>
          <w:vertAlign w:val="superscript"/>
          <w:lang w:val="es-CU" w:eastAsia="en-US"/>
        </w:rPr>
        <w:t>1</w:t>
      </w:r>
      <w:r w:rsidRPr="00AA7161">
        <w:rPr>
          <w:rFonts w:eastAsia="Calibri"/>
          <w:lang w:val="es-CU" w:eastAsia="en-US"/>
        </w:rPr>
        <w:t xml:space="preserve"> </w:t>
      </w:r>
      <w:hyperlink r:id="rId9" w:history="1">
        <w:r w:rsidRPr="00AA7161">
          <w:rPr>
            <w:rFonts w:eastAsia="Calibri"/>
            <w:u w:val="single"/>
            <w:lang w:val="es-CU" w:eastAsia="en-US"/>
          </w:rPr>
          <w:t>https://orcid.org/0000-0002-4204-1084</w:t>
        </w:r>
      </w:hyperlink>
      <w:r w:rsidRPr="00AA7161">
        <w:rPr>
          <w:rFonts w:eastAsia="Calibri"/>
          <w:lang w:val="es-CU" w:eastAsia="en-US"/>
        </w:rPr>
        <w:t xml:space="preserve"> </w:t>
      </w:r>
    </w:p>
    <w:p w14:paraId="00EFDAC1" w14:textId="77777777" w:rsidR="009D6C84" w:rsidRPr="00AA7161" w:rsidRDefault="009D6C84" w:rsidP="009D6C84">
      <w:pPr>
        <w:spacing w:line="360" w:lineRule="auto"/>
        <w:jc w:val="both"/>
        <w:rPr>
          <w:rFonts w:eastAsia="Calibri"/>
          <w:lang w:val="es-CU" w:eastAsia="en-US"/>
        </w:rPr>
      </w:pPr>
      <w:r w:rsidRPr="00AA7161">
        <w:rPr>
          <w:rFonts w:eastAsia="Calibri"/>
          <w:lang w:val="es-CU" w:eastAsia="en-US"/>
        </w:rPr>
        <w:t>Raúl Santana Sánchez</w:t>
      </w:r>
      <w:r w:rsidRPr="00AA7161">
        <w:rPr>
          <w:rFonts w:eastAsia="Calibri"/>
          <w:vertAlign w:val="superscript"/>
          <w:lang w:val="es-CU" w:eastAsia="en-US"/>
        </w:rPr>
        <w:t>1</w:t>
      </w:r>
      <w:r w:rsidRPr="00AA7161">
        <w:rPr>
          <w:rFonts w:eastAsia="Calibri"/>
          <w:lang w:val="es-CU" w:eastAsia="en-US"/>
        </w:rPr>
        <w:t xml:space="preserve"> </w:t>
      </w:r>
      <w:hyperlink r:id="rId10" w:history="1">
        <w:r w:rsidRPr="00AA7161">
          <w:rPr>
            <w:rFonts w:eastAsia="Calibri"/>
            <w:u w:val="single"/>
            <w:lang w:val="es-CU" w:eastAsia="en-US"/>
          </w:rPr>
          <w:t>https://orcid.org/0000-0002-5761-1393</w:t>
        </w:r>
      </w:hyperlink>
      <w:r w:rsidRPr="00AA7161">
        <w:rPr>
          <w:rFonts w:eastAsia="Calibri"/>
          <w:lang w:val="es-CU" w:eastAsia="en-US"/>
        </w:rPr>
        <w:t xml:space="preserve"> </w:t>
      </w:r>
    </w:p>
    <w:p w14:paraId="0CA7BCEA" w14:textId="77777777" w:rsidR="009D6C84" w:rsidRPr="00AA7161" w:rsidRDefault="009D6C84" w:rsidP="009D6C84">
      <w:pPr>
        <w:spacing w:line="360" w:lineRule="auto"/>
        <w:jc w:val="both"/>
        <w:rPr>
          <w:rFonts w:eastAsia="Calibri"/>
          <w:lang w:val="es-CU" w:eastAsia="en-US"/>
        </w:rPr>
      </w:pPr>
      <w:proofErr w:type="spellStart"/>
      <w:r w:rsidRPr="00AA7161">
        <w:rPr>
          <w:rFonts w:eastAsia="Calibri"/>
          <w:lang w:val="es-CU" w:eastAsia="en-US"/>
        </w:rPr>
        <w:t>Aliusha</w:t>
      </w:r>
      <w:proofErr w:type="spellEnd"/>
      <w:r w:rsidRPr="00AA7161">
        <w:rPr>
          <w:rFonts w:eastAsia="Calibri"/>
          <w:lang w:val="es-CU" w:eastAsia="en-US"/>
        </w:rPr>
        <w:t xml:space="preserve"> </w:t>
      </w:r>
      <w:proofErr w:type="spellStart"/>
      <w:r w:rsidRPr="00AA7161">
        <w:rPr>
          <w:rFonts w:eastAsia="Calibri"/>
          <w:lang w:val="es-CU" w:eastAsia="en-US"/>
        </w:rPr>
        <w:t>Rittoles</w:t>
      </w:r>
      <w:proofErr w:type="spellEnd"/>
      <w:r w:rsidRPr="00AA7161">
        <w:rPr>
          <w:rFonts w:eastAsia="Calibri"/>
          <w:lang w:val="es-CU" w:eastAsia="en-US"/>
        </w:rPr>
        <w:t xml:space="preserve"> Navarro</w:t>
      </w:r>
      <w:r w:rsidRPr="00AA7161">
        <w:rPr>
          <w:rFonts w:eastAsia="Calibri"/>
          <w:vertAlign w:val="superscript"/>
          <w:lang w:val="es-CU" w:eastAsia="en-US"/>
        </w:rPr>
        <w:t>1</w:t>
      </w:r>
      <w:r w:rsidRPr="00AA7161">
        <w:rPr>
          <w:rFonts w:eastAsia="Calibri"/>
          <w:lang w:val="es-CU" w:eastAsia="en-US"/>
        </w:rPr>
        <w:t xml:space="preserve"> </w:t>
      </w:r>
      <w:hyperlink r:id="rId11" w:history="1">
        <w:r w:rsidRPr="00AA7161">
          <w:rPr>
            <w:rFonts w:eastAsia="Calibri"/>
            <w:u w:val="single"/>
            <w:lang w:val="es-CU" w:eastAsia="en-US"/>
          </w:rPr>
          <w:t>https://orcid.org/0000-0003-1331-9021</w:t>
        </w:r>
      </w:hyperlink>
      <w:r w:rsidRPr="00AA7161">
        <w:rPr>
          <w:rFonts w:eastAsia="Calibri"/>
          <w:lang w:val="es-CU" w:eastAsia="en-US"/>
        </w:rPr>
        <w:t xml:space="preserve"> </w:t>
      </w:r>
    </w:p>
    <w:p w14:paraId="1A07033A" w14:textId="77777777" w:rsidR="009D6C84" w:rsidRPr="00AA7161" w:rsidRDefault="009D6C84" w:rsidP="009D6C84">
      <w:pPr>
        <w:spacing w:line="360" w:lineRule="auto"/>
        <w:jc w:val="both"/>
        <w:rPr>
          <w:rFonts w:eastAsia="Calibri"/>
          <w:lang w:val="es-CU" w:eastAsia="en-US"/>
        </w:rPr>
      </w:pPr>
      <w:r w:rsidRPr="00AA7161">
        <w:rPr>
          <w:rFonts w:eastAsia="Calibri"/>
          <w:lang w:val="es-CU" w:eastAsia="en-US"/>
        </w:rPr>
        <w:t xml:space="preserve">Inti </w:t>
      </w:r>
      <w:proofErr w:type="spellStart"/>
      <w:r w:rsidRPr="00AA7161">
        <w:rPr>
          <w:rFonts w:eastAsia="Calibri"/>
          <w:lang w:val="es-CU" w:eastAsia="en-US"/>
        </w:rPr>
        <w:t>Grecesqui</w:t>
      </w:r>
      <w:proofErr w:type="spellEnd"/>
      <w:r w:rsidRPr="00AA7161">
        <w:rPr>
          <w:rFonts w:eastAsia="Calibri"/>
          <w:lang w:val="es-CU" w:eastAsia="en-US"/>
        </w:rPr>
        <w:t xml:space="preserve"> Cruz</w:t>
      </w:r>
      <w:r w:rsidRPr="00AA7161">
        <w:rPr>
          <w:rFonts w:eastAsia="Calibri"/>
          <w:vertAlign w:val="superscript"/>
          <w:lang w:val="es-CU" w:eastAsia="en-US"/>
        </w:rPr>
        <w:t>1</w:t>
      </w:r>
      <w:r w:rsidRPr="00AA7161">
        <w:rPr>
          <w:rFonts w:eastAsia="Calibri"/>
          <w:lang w:val="es-CU" w:eastAsia="en-US"/>
        </w:rPr>
        <w:t xml:space="preserve"> </w:t>
      </w:r>
      <w:hyperlink r:id="rId12" w:history="1">
        <w:r w:rsidRPr="00AA7161">
          <w:rPr>
            <w:rFonts w:eastAsia="Calibri"/>
            <w:u w:val="single"/>
            <w:lang w:val="es-CU" w:eastAsia="en-US"/>
          </w:rPr>
          <w:t>https://orcid.org/0000-0001-6333-1622</w:t>
        </w:r>
      </w:hyperlink>
      <w:r w:rsidRPr="00AA7161">
        <w:rPr>
          <w:rFonts w:eastAsia="Calibri"/>
          <w:lang w:val="es-CU" w:eastAsia="en-US"/>
        </w:rPr>
        <w:t xml:space="preserve"> </w:t>
      </w:r>
    </w:p>
    <w:p w14:paraId="1A13791D" w14:textId="77777777" w:rsidR="009D6C84" w:rsidRPr="00AA7161" w:rsidRDefault="009D6C84" w:rsidP="009D6C84">
      <w:pPr>
        <w:spacing w:line="360" w:lineRule="auto"/>
        <w:jc w:val="both"/>
        <w:rPr>
          <w:rFonts w:eastAsia="Calibri"/>
          <w:lang w:val="es-CU" w:eastAsia="en-US"/>
        </w:rPr>
      </w:pPr>
      <w:r w:rsidRPr="00AA7161">
        <w:rPr>
          <w:rFonts w:eastAsia="Calibri"/>
          <w:lang w:val="es-CU" w:eastAsia="en-US"/>
        </w:rPr>
        <w:t>Liam Manuel Pérez Aguilera</w:t>
      </w:r>
      <w:r w:rsidRPr="00AA7161">
        <w:rPr>
          <w:rFonts w:eastAsia="Calibri"/>
          <w:vertAlign w:val="superscript"/>
          <w:lang w:val="es-CU" w:eastAsia="en-US"/>
        </w:rPr>
        <w:t>1</w:t>
      </w:r>
      <w:r w:rsidRPr="00AA7161">
        <w:rPr>
          <w:rFonts w:eastAsia="Calibri"/>
          <w:lang w:val="es-CU" w:eastAsia="en-US"/>
        </w:rPr>
        <w:t xml:space="preserve"> </w:t>
      </w:r>
      <w:hyperlink r:id="rId13" w:history="1">
        <w:r w:rsidRPr="00AA7161">
          <w:rPr>
            <w:rFonts w:eastAsia="Calibri"/>
            <w:u w:val="single"/>
            <w:lang w:val="es-CU" w:eastAsia="en-US"/>
          </w:rPr>
          <w:t>https://orcid.org/0000-0003-0883-4475</w:t>
        </w:r>
      </w:hyperlink>
      <w:r w:rsidRPr="00AA7161">
        <w:rPr>
          <w:rFonts w:eastAsia="Calibri"/>
          <w:lang w:val="es-CU" w:eastAsia="en-US"/>
        </w:rPr>
        <w:t xml:space="preserve"> </w:t>
      </w:r>
    </w:p>
    <w:p w14:paraId="781A0FBB" w14:textId="77777777" w:rsidR="009D6C84" w:rsidRPr="00AA7161" w:rsidRDefault="009D6C84" w:rsidP="009D6C84">
      <w:pPr>
        <w:spacing w:line="360" w:lineRule="auto"/>
        <w:jc w:val="both"/>
        <w:rPr>
          <w:rFonts w:eastAsia="Calibri"/>
          <w:lang w:val="es-CU" w:eastAsia="en-US"/>
        </w:rPr>
      </w:pPr>
      <w:proofErr w:type="spellStart"/>
      <w:r w:rsidRPr="00AA7161">
        <w:rPr>
          <w:rFonts w:eastAsia="Calibri"/>
          <w:lang w:val="es-CU" w:eastAsia="en-US"/>
        </w:rPr>
        <w:t>Anadys</w:t>
      </w:r>
      <w:proofErr w:type="spellEnd"/>
      <w:r w:rsidRPr="00AA7161">
        <w:rPr>
          <w:rFonts w:eastAsia="Calibri"/>
          <w:lang w:val="es-CU" w:eastAsia="en-US"/>
        </w:rPr>
        <w:t xml:space="preserve"> Segura Fernández</w:t>
      </w:r>
      <w:r w:rsidRPr="00AA7161">
        <w:rPr>
          <w:rFonts w:eastAsia="Calibri"/>
          <w:vertAlign w:val="superscript"/>
          <w:lang w:val="es-CU" w:eastAsia="en-US"/>
        </w:rPr>
        <w:t>1</w:t>
      </w:r>
      <w:r w:rsidRPr="00AA7161">
        <w:rPr>
          <w:rFonts w:eastAsia="Calibri"/>
          <w:lang w:val="es-CU" w:eastAsia="en-US"/>
        </w:rPr>
        <w:t xml:space="preserve"> </w:t>
      </w:r>
      <w:hyperlink r:id="rId14" w:history="1">
        <w:r w:rsidRPr="00AA7161">
          <w:rPr>
            <w:rFonts w:eastAsia="Calibri"/>
            <w:u w:val="single"/>
            <w:lang w:val="es-CU" w:eastAsia="en-US"/>
          </w:rPr>
          <w:t>https://orcid.org/0000-0001-8640-1961</w:t>
        </w:r>
      </w:hyperlink>
      <w:r w:rsidRPr="00AA7161">
        <w:rPr>
          <w:rFonts w:eastAsia="Calibri"/>
          <w:lang w:val="es-CU" w:eastAsia="en-US"/>
        </w:rPr>
        <w:t xml:space="preserve"> </w:t>
      </w:r>
    </w:p>
    <w:p w14:paraId="1ADA785A" w14:textId="77777777" w:rsidR="009D6C84" w:rsidRPr="00AA7161" w:rsidRDefault="009D6C84" w:rsidP="009D6C84">
      <w:pPr>
        <w:spacing w:line="360" w:lineRule="auto"/>
        <w:jc w:val="both"/>
        <w:rPr>
          <w:rFonts w:eastAsia="Calibri"/>
          <w:lang w:val="es-CU" w:eastAsia="en-US"/>
        </w:rPr>
      </w:pPr>
      <w:r w:rsidRPr="00AA7161">
        <w:rPr>
          <w:rFonts w:eastAsia="Calibri"/>
          <w:lang w:val="es-CU" w:eastAsia="en-US"/>
        </w:rPr>
        <w:t>Mabel Hernández-Cedeño</w:t>
      </w:r>
      <w:r w:rsidRPr="00AA7161">
        <w:rPr>
          <w:rFonts w:eastAsia="Calibri"/>
          <w:vertAlign w:val="superscript"/>
          <w:lang w:val="es-CU" w:eastAsia="en-US"/>
        </w:rPr>
        <w:t>2</w:t>
      </w:r>
      <w:r w:rsidRPr="00AA7161">
        <w:rPr>
          <w:rFonts w:eastAsia="Calibri"/>
          <w:lang w:val="es-CU" w:eastAsia="en-US"/>
        </w:rPr>
        <w:t xml:space="preserve"> </w:t>
      </w:r>
      <w:hyperlink r:id="rId15" w:history="1">
        <w:r w:rsidRPr="00AA7161">
          <w:rPr>
            <w:rFonts w:eastAsia="Calibri"/>
            <w:u w:val="single"/>
            <w:lang w:val="es-CU" w:eastAsia="en-US"/>
          </w:rPr>
          <w:t>https://orcid.org/0000-0002-6162-7160</w:t>
        </w:r>
      </w:hyperlink>
      <w:r w:rsidRPr="00AA7161">
        <w:rPr>
          <w:rFonts w:eastAsia="Calibri"/>
          <w:lang w:val="es-CU" w:eastAsia="en-US"/>
        </w:rPr>
        <w:t xml:space="preserve"> </w:t>
      </w:r>
    </w:p>
    <w:p w14:paraId="4A47D6DB" w14:textId="77777777" w:rsidR="009D6C84" w:rsidRPr="00AA7161" w:rsidRDefault="009D6C84" w:rsidP="009D6C84">
      <w:pPr>
        <w:spacing w:line="360" w:lineRule="auto"/>
        <w:jc w:val="both"/>
        <w:rPr>
          <w:rFonts w:eastAsia="Calibri"/>
          <w:lang w:val="es-CU" w:eastAsia="en-US"/>
        </w:rPr>
      </w:pPr>
      <w:r w:rsidRPr="00AA7161">
        <w:rPr>
          <w:rFonts w:eastAsia="Calibri"/>
          <w:lang w:val="es-CU" w:eastAsia="en-US"/>
        </w:rPr>
        <w:t>Leticia Rosario Cruz</w:t>
      </w:r>
      <w:r w:rsidRPr="00AA7161">
        <w:rPr>
          <w:rFonts w:eastAsia="Calibri"/>
          <w:vertAlign w:val="superscript"/>
          <w:lang w:val="es-CU" w:eastAsia="en-US"/>
        </w:rPr>
        <w:t>1</w:t>
      </w:r>
      <w:r w:rsidRPr="00AA7161">
        <w:rPr>
          <w:rFonts w:eastAsia="Calibri"/>
          <w:lang w:val="es-CU" w:eastAsia="en-US"/>
        </w:rPr>
        <w:t xml:space="preserve"> </w:t>
      </w:r>
      <w:hyperlink r:id="rId16" w:history="1">
        <w:r w:rsidRPr="00AA7161">
          <w:rPr>
            <w:rFonts w:eastAsia="Calibri"/>
            <w:u w:val="single"/>
            <w:lang w:val="es-CU" w:eastAsia="en-US"/>
          </w:rPr>
          <w:t>https://orcid.org/0000-0002-7863-4586</w:t>
        </w:r>
      </w:hyperlink>
      <w:r w:rsidRPr="00AA7161">
        <w:rPr>
          <w:rFonts w:eastAsia="Calibri"/>
          <w:lang w:val="es-CU" w:eastAsia="en-US"/>
        </w:rPr>
        <w:t xml:space="preserve"> </w:t>
      </w:r>
    </w:p>
    <w:p w14:paraId="410A784F" w14:textId="77777777" w:rsidR="009D6C84" w:rsidRPr="00AA7161" w:rsidRDefault="009D6C84" w:rsidP="009D6C84">
      <w:pPr>
        <w:spacing w:line="360" w:lineRule="auto"/>
        <w:jc w:val="both"/>
        <w:rPr>
          <w:rFonts w:eastAsia="Calibri"/>
          <w:lang w:val="es-CU" w:eastAsia="en-US"/>
        </w:rPr>
      </w:pPr>
      <w:proofErr w:type="spellStart"/>
      <w:r w:rsidRPr="00AA7161">
        <w:rPr>
          <w:rFonts w:eastAsia="Calibri"/>
          <w:lang w:val="es-CU" w:eastAsia="en-US"/>
        </w:rPr>
        <w:t>Deyli</w:t>
      </w:r>
      <w:proofErr w:type="spellEnd"/>
      <w:r w:rsidRPr="00AA7161">
        <w:rPr>
          <w:rFonts w:eastAsia="Calibri"/>
          <w:lang w:val="es-CU" w:eastAsia="en-US"/>
        </w:rPr>
        <w:t xml:space="preserve"> Chacón Montano</w:t>
      </w:r>
      <w:r w:rsidRPr="00AA7161">
        <w:rPr>
          <w:rFonts w:eastAsia="Calibri"/>
          <w:vertAlign w:val="superscript"/>
          <w:lang w:val="es-CU" w:eastAsia="en-US"/>
        </w:rPr>
        <w:t>1</w:t>
      </w:r>
      <w:r w:rsidRPr="00AA7161">
        <w:rPr>
          <w:rFonts w:eastAsia="Calibri"/>
          <w:lang w:val="es-CU" w:eastAsia="en-US"/>
        </w:rPr>
        <w:t xml:space="preserve"> </w:t>
      </w:r>
      <w:hyperlink r:id="rId17" w:history="1">
        <w:r w:rsidRPr="00AA7161">
          <w:rPr>
            <w:rFonts w:eastAsia="Calibri"/>
            <w:u w:val="single"/>
            <w:lang w:val="es-CU" w:eastAsia="en-US"/>
          </w:rPr>
          <w:t>https://orcid.org/0000-0002-9208-0874</w:t>
        </w:r>
      </w:hyperlink>
      <w:r w:rsidRPr="00AA7161">
        <w:rPr>
          <w:rFonts w:eastAsia="Calibri"/>
          <w:lang w:val="es-CU" w:eastAsia="en-US"/>
        </w:rPr>
        <w:t xml:space="preserve"> </w:t>
      </w:r>
    </w:p>
    <w:p w14:paraId="49B645FE" w14:textId="77777777" w:rsidR="009D6C84" w:rsidRPr="00AA7161" w:rsidRDefault="009D6C84" w:rsidP="009D6C84">
      <w:pPr>
        <w:spacing w:line="360" w:lineRule="auto"/>
        <w:jc w:val="both"/>
        <w:rPr>
          <w:rFonts w:eastAsia="Calibri"/>
          <w:lang w:val="es-CU" w:eastAsia="en-US"/>
        </w:rPr>
      </w:pPr>
      <w:proofErr w:type="spellStart"/>
      <w:r w:rsidRPr="00AA7161">
        <w:rPr>
          <w:rFonts w:eastAsia="Calibri"/>
          <w:lang w:val="es-CU" w:eastAsia="en-US"/>
        </w:rPr>
        <w:t>Gillian</w:t>
      </w:r>
      <w:proofErr w:type="spellEnd"/>
      <w:r w:rsidRPr="00AA7161">
        <w:rPr>
          <w:rFonts w:eastAsia="Calibri"/>
          <w:lang w:val="es-CU" w:eastAsia="en-US"/>
        </w:rPr>
        <w:t xml:space="preserve"> Martínez-Donato</w:t>
      </w:r>
      <w:r w:rsidRPr="00AA7161">
        <w:rPr>
          <w:rFonts w:eastAsia="Calibri"/>
          <w:vertAlign w:val="superscript"/>
          <w:lang w:val="es-CU" w:eastAsia="en-US"/>
        </w:rPr>
        <w:t>2</w:t>
      </w:r>
      <w:r w:rsidRPr="00AA7161">
        <w:rPr>
          <w:rFonts w:eastAsia="Calibri"/>
          <w:lang w:val="es-CU" w:eastAsia="en-US"/>
        </w:rPr>
        <w:t xml:space="preserve"> </w:t>
      </w:r>
      <w:hyperlink r:id="rId18" w:history="1">
        <w:r w:rsidRPr="00AA7161">
          <w:rPr>
            <w:rFonts w:eastAsia="Calibri"/>
            <w:u w:val="single"/>
            <w:lang w:val="es-CU" w:eastAsia="en-US"/>
          </w:rPr>
          <w:t>https://orcid.org/0000-0002-7797-4255</w:t>
        </w:r>
      </w:hyperlink>
      <w:r w:rsidRPr="00AA7161">
        <w:rPr>
          <w:rFonts w:eastAsia="Calibri"/>
          <w:lang w:val="es-CU" w:eastAsia="en-US"/>
        </w:rPr>
        <w:t xml:space="preserve"> </w:t>
      </w:r>
    </w:p>
    <w:p w14:paraId="70A7EC33" w14:textId="77777777" w:rsidR="009D6C84" w:rsidRPr="00AA7161" w:rsidRDefault="009D6C84" w:rsidP="009D6C84">
      <w:pPr>
        <w:spacing w:line="360" w:lineRule="auto"/>
        <w:jc w:val="both"/>
        <w:rPr>
          <w:rFonts w:eastAsia="Calibri"/>
          <w:lang w:val="es-CU" w:eastAsia="en-US"/>
        </w:rPr>
      </w:pPr>
      <w:r w:rsidRPr="00AA7161">
        <w:rPr>
          <w:rFonts w:eastAsia="Calibri"/>
          <w:lang w:val="es-CU" w:eastAsia="en-US"/>
        </w:rPr>
        <w:t>Gerardo Guillén-Nieto</w:t>
      </w:r>
      <w:r w:rsidRPr="00AA7161">
        <w:rPr>
          <w:rFonts w:eastAsia="Calibri"/>
          <w:vertAlign w:val="superscript"/>
          <w:lang w:val="es-CU" w:eastAsia="en-US"/>
        </w:rPr>
        <w:t>2</w:t>
      </w:r>
      <w:r w:rsidRPr="00AA7161">
        <w:rPr>
          <w:rFonts w:eastAsia="Calibri"/>
          <w:lang w:val="es-CU" w:eastAsia="en-US"/>
        </w:rPr>
        <w:t xml:space="preserve"> </w:t>
      </w:r>
      <w:hyperlink r:id="rId19" w:history="1">
        <w:r w:rsidRPr="00AA7161">
          <w:rPr>
            <w:rFonts w:eastAsia="Calibri"/>
            <w:u w:val="single"/>
            <w:lang w:val="es-CU" w:eastAsia="en-US"/>
          </w:rPr>
          <w:t>https://orcid.org/0000-0003-3098-0970</w:t>
        </w:r>
      </w:hyperlink>
      <w:r w:rsidRPr="00AA7161">
        <w:rPr>
          <w:rFonts w:eastAsia="Calibri"/>
          <w:lang w:val="es-CU" w:eastAsia="en-US"/>
        </w:rPr>
        <w:t xml:space="preserve"> </w:t>
      </w:r>
    </w:p>
    <w:p w14:paraId="751D52F1" w14:textId="77777777" w:rsidR="009D6C84" w:rsidRPr="00AA7161" w:rsidRDefault="009D6C84" w:rsidP="009D6C84">
      <w:pPr>
        <w:spacing w:line="360" w:lineRule="auto"/>
        <w:jc w:val="both"/>
        <w:rPr>
          <w:rFonts w:eastAsia="Calibri"/>
          <w:lang w:val="es-CU" w:eastAsia="en-US"/>
        </w:rPr>
      </w:pPr>
      <w:r w:rsidRPr="00AA7161">
        <w:rPr>
          <w:rFonts w:eastAsia="Calibri"/>
          <w:lang w:val="es-CU" w:eastAsia="en-US"/>
        </w:rPr>
        <w:t>María del Carmen Domínguez Horta</w:t>
      </w:r>
      <w:r w:rsidRPr="00AA7161">
        <w:rPr>
          <w:rFonts w:eastAsia="Calibri"/>
          <w:vertAlign w:val="superscript"/>
          <w:lang w:val="es-CU" w:eastAsia="en-US"/>
        </w:rPr>
        <w:t>2</w:t>
      </w:r>
      <w:r w:rsidRPr="00AA7161">
        <w:rPr>
          <w:rFonts w:eastAsia="Calibri"/>
          <w:lang w:val="es-CU" w:eastAsia="en-US"/>
        </w:rPr>
        <w:t>*</w:t>
      </w:r>
      <w:r w:rsidRPr="00AA7161">
        <w:rPr>
          <w:rFonts w:eastAsia="Calibri"/>
          <w:vertAlign w:val="superscript"/>
          <w:lang w:val="es-CU" w:eastAsia="en-US"/>
        </w:rPr>
        <w:t xml:space="preserve"> </w:t>
      </w:r>
      <w:hyperlink r:id="rId20" w:history="1">
        <w:r w:rsidRPr="00AA7161">
          <w:rPr>
            <w:rFonts w:eastAsia="Calibri"/>
            <w:u w:val="single"/>
            <w:lang w:val="es-CU" w:eastAsia="en-US"/>
          </w:rPr>
          <w:t>https://orcid.org/0000-0002-0616-7376</w:t>
        </w:r>
      </w:hyperlink>
    </w:p>
    <w:p w14:paraId="0103CF7B" w14:textId="77777777" w:rsidR="009D6C84" w:rsidRPr="00AA7161" w:rsidRDefault="009D6C84" w:rsidP="009D6C84">
      <w:pPr>
        <w:spacing w:line="360" w:lineRule="auto"/>
        <w:jc w:val="both"/>
        <w:rPr>
          <w:rFonts w:eastAsia="Calibri"/>
          <w:lang w:val="es-CU" w:eastAsia="en-US"/>
        </w:rPr>
      </w:pPr>
    </w:p>
    <w:p w14:paraId="0A3B52C4" w14:textId="77777777" w:rsidR="009D6C84" w:rsidRPr="00AA7161" w:rsidRDefault="009D6C84" w:rsidP="009D6C84">
      <w:pPr>
        <w:spacing w:line="360" w:lineRule="auto"/>
        <w:jc w:val="both"/>
        <w:rPr>
          <w:rFonts w:eastAsia="Calibri"/>
          <w:lang w:val="es-CU" w:eastAsia="en-US"/>
        </w:rPr>
      </w:pPr>
      <w:r w:rsidRPr="00AA7161">
        <w:rPr>
          <w:rFonts w:eastAsia="Calibri"/>
          <w:vertAlign w:val="superscript"/>
          <w:lang w:val="es-CU" w:eastAsia="en-US"/>
        </w:rPr>
        <w:t>1</w:t>
      </w:r>
      <w:r w:rsidRPr="00AA7161">
        <w:rPr>
          <w:rFonts w:eastAsia="Calibri"/>
          <w:lang w:val="es-CU" w:eastAsia="en-US"/>
        </w:rPr>
        <w:t>Hospital Militar Central “Dr. Luis Díaz Soto”. La Habana, Cuba.</w:t>
      </w:r>
    </w:p>
    <w:p w14:paraId="20E2DBB5" w14:textId="77777777" w:rsidR="009D6C84" w:rsidRPr="00AA7161" w:rsidRDefault="009D6C84" w:rsidP="009D6C84">
      <w:pPr>
        <w:spacing w:line="360" w:lineRule="auto"/>
        <w:jc w:val="both"/>
        <w:rPr>
          <w:rFonts w:eastAsia="Calibri"/>
          <w:lang w:val="es-CU" w:eastAsia="en-US"/>
        </w:rPr>
      </w:pPr>
      <w:r w:rsidRPr="00AA7161">
        <w:rPr>
          <w:rFonts w:eastAsia="Calibri"/>
          <w:vertAlign w:val="superscript"/>
          <w:lang w:val="es-CU" w:eastAsia="en-US"/>
        </w:rPr>
        <w:t>2</w:t>
      </w:r>
      <w:r w:rsidRPr="00AA7161">
        <w:rPr>
          <w:rFonts w:eastAsia="Calibri"/>
          <w:lang w:val="es-CU" w:eastAsia="en-US"/>
        </w:rPr>
        <w:t>Centro de Ingeniería Genética y Biotecnología. La Habana, Cuba.</w:t>
      </w:r>
    </w:p>
    <w:p w14:paraId="3A137E11" w14:textId="77777777" w:rsidR="009D6C84" w:rsidRPr="00AA7161" w:rsidRDefault="009D6C84" w:rsidP="009D6C84">
      <w:pPr>
        <w:spacing w:line="360" w:lineRule="auto"/>
        <w:jc w:val="both"/>
        <w:rPr>
          <w:rFonts w:eastAsia="Calibri"/>
          <w:lang w:val="es-CU" w:eastAsia="en-US"/>
        </w:rPr>
      </w:pPr>
    </w:p>
    <w:p w14:paraId="18D82310" w14:textId="77777777" w:rsidR="009D6C84" w:rsidRPr="00AA7161" w:rsidRDefault="009D6C84" w:rsidP="009D6C84">
      <w:pPr>
        <w:spacing w:line="360" w:lineRule="auto"/>
        <w:jc w:val="both"/>
        <w:rPr>
          <w:rFonts w:eastAsia="Calibri"/>
          <w:lang w:val="es-CU" w:eastAsia="en-US"/>
        </w:rPr>
      </w:pPr>
      <w:r w:rsidRPr="00AA7161">
        <w:rPr>
          <w:rFonts w:eastAsia="Calibri"/>
          <w:lang w:val="es-CU" w:eastAsia="en-US"/>
        </w:rPr>
        <w:t xml:space="preserve">*Autor para la correspondencia. Correo electrónico: </w:t>
      </w:r>
      <w:hyperlink r:id="rId21" w:history="1">
        <w:r w:rsidRPr="00AA7161">
          <w:rPr>
            <w:rFonts w:eastAsia="Calibri"/>
            <w:u w:val="single"/>
            <w:lang w:val="es-CU" w:eastAsia="en-US"/>
          </w:rPr>
          <w:t>mcarmen.dominguez@cigb.edu.cu</w:t>
        </w:r>
      </w:hyperlink>
      <w:r w:rsidRPr="00AA7161">
        <w:rPr>
          <w:rFonts w:eastAsia="Calibri"/>
          <w:lang w:val="es-CU" w:eastAsia="en-US"/>
        </w:rPr>
        <w:t xml:space="preserve"> </w:t>
      </w:r>
    </w:p>
    <w:p w14:paraId="36C5E68B" w14:textId="77777777" w:rsidR="009D6C84" w:rsidRPr="00AA7161" w:rsidRDefault="009D6C84" w:rsidP="009D6C84">
      <w:pPr>
        <w:spacing w:line="360" w:lineRule="auto"/>
        <w:jc w:val="both"/>
        <w:rPr>
          <w:rFonts w:eastAsia="Calibri"/>
          <w:lang w:val="es-CU" w:eastAsia="en-US"/>
        </w:rPr>
      </w:pPr>
    </w:p>
    <w:p w14:paraId="612A3225" w14:textId="67D23222" w:rsidR="009D6C84" w:rsidRPr="00AA7161" w:rsidRDefault="00FB45B4" w:rsidP="009D6C84">
      <w:pPr>
        <w:widowControl w:val="0"/>
        <w:spacing w:line="360" w:lineRule="auto"/>
        <w:rPr>
          <w:b/>
          <w:lang w:val="es-ES" w:eastAsia="en-US"/>
        </w:rPr>
      </w:pPr>
      <w:r w:rsidRPr="00AA7161">
        <w:rPr>
          <w:b/>
          <w:lang w:val="es-ES" w:eastAsia="en-US"/>
        </w:rPr>
        <w:br w:type="page"/>
      </w:r>
      <w:r w:rsidR="009D6C84" w:rsidRPr="00AA7161">
        <w:rPr>
          <w:b/>
          <w:lang w:val="es-ES" w:eastAsia="en-US"/>
        </w:rPr>
        <w:lastRenderedPageBreak/>
        <w:t>RESUMEN</w:t>
      </w:r>
    </w:p>
    <w:p w14:paraId="2AD29281" w14:textId="77777777" w:rsidR="009D6C84" w:rsidRPr="00AA7161" w:rsidRDefault="009D6C84" w:rsidP="009D6C84">
      <w:pPr>
        <w:widowControl w:val="0"/>
        <w:spacing w:line="360" w:lineRule="auto"/>
        <w:jc w:val="both"/>
        <w:rPr>
          <w:lang w:val="es-ES" w:eastAsia="en-US"/>
        </w:rPr>
      </w:pPr>
      <w:r w:rsidRPr="00AA7161">
        <w:rPr>
          <w:b/>
          <w:lang w:val="es-ES" w:eastAsia="en-US"/>
        </w:rPr>
        <w:t xml:space="preserve">Introducción: </w:t>
      </w:r>
      <w:r w:rsidRPr="00AA7161">
        <w:rPr>
          <w:lang w:val="es-ES" w:eastAsia="en-US"/>
        </w:rPr>
        <w:t>La infección con el SARS-CoV-2 induce un estado protrombótico en los pacientes, atribuible a la combinación de la respuesta hiperinflamatoria y la hipoxia. En Cuba, se usa el fármaco Jusvinza, basado en un péptido inmunomodulador, para el tratamiento de los pacientes con la COVID-19, que presenten signos y síntomas de hiperinflamación.</w:t>
      </w:r>
    </w:p>
    <w:p w14:paraId="6B4B2944" w14:textId="77777777" w:rsidR="009D6C84" w:rsidRPr="00AA7161" w:rsidRDefault="009D6C84" w:rsidP="009D6C84">
      <w:pPr>
        <w:widowControl w:val="0"/>
        <w:spacing w:line="360" w:lineRule="auto"/>
        <w:jc w:val="both"/>
        <w:rPr>
          <w:lang w:val="es-ES" w:eastAsia="en-US"/>
        </w:rPr>
      </w:pPr>
      <w:r w:rsidRPr="00AA7161">
        <w:rPr>
          <w:b/>
          <w:lang w:val="es-ES" w:eastAsia="en-US"/>
        </w:rPr>
        <w:t>Objetivos:</w:t>
      </w:r>
      <w:r w:rsidRPr="00AA7161">
        <w:rPr>
          <w:lang w:val="es-ES" w:eastAsia="en-US"/>
        </w:rPr>
        <w:t xml:space="preserve"> Describir la evolución clínica y las variaciones de biomarcadores asociados con la inflamación y la coagulación, en un grupo de pacientes críticos con la COVID-19, tratados con Jusvinza, en comparación con un grupo de pacientes que no recibieron tratamiento con este péptido.</w:t>
      </w:r>
    </w:p>
    <w:p w14:paraId="3D7AFDB4" w14:textId="77777777" w:rsidR="009D6C84" w:rsidRPr="00AA7161" w:rsidRDefault="009D6C84" w:rsidP="009D6C84">
      <w:pPr>
        <w:widowControl w:val="0"/>
        <w:spacing w:line="360" w:lineRule="auto"/>
        <w:jc w:val="both"/>
        <w:rPr>
          <w:lang w:val="es-ES" w:eastAsia="en-US"/>
        </w:rPr>
      </w:pPr>
      <w:r w:rsidRPr="00AA7161">
        <w:rPr>
          <w:b/>
          <w:lang w:val="es-ES" w:eastAsia="en-US"/>
        </w:rPr>
        <w:t>Métodos:</w:t>
      </w:r>
      <w:r w:rsidRPr="00AA7161">
        <w:rPr>
          <w:lang w:val="es-ES" w:eastAsia="en-US"/>
        </w:rPr>
        <w:t xml:space="preserve"> Se incluyeron 40 pacientes críticos con la COVID-19; se dividieron en 2 grupos: 20 pacientes tratados con Jusvinza y 20 no fueron tratados con dicho péptido (grupo control). Las características demográficas, comorbilidades, signos vitales, parámetros respiratorios, biomarcadores de la inflamación y de la coagulación se obtuvieron a partir de las historias clínicas de cada paciente. </w:t>
      </w:r>
    </w:p>
    <w:p w14:paraId="3263C0BA" w14:textId="77777777" w:rsidR="009D6C84" w:rsidRPr="00AA7161" w:rsidRDefault="009D6C84" w:rsidP="009D6C84">
      <w:pPr>
        <w:widowControl w:val="0"/>
        <w:spacing w:line="360" w:lineRule="auto"/>
        <w:jc w:val="both"/>
        <w:rPr>
          <w:b/>
          <w:lang w:val="es-ES" w:eastAsia="en-US"/>
        </w:rPr>
      </w:pPr>
      <w:r w:rsidRPr="00AA7161">
        <w:rPr>
          <w:b/>
          <w:lang w:val="es-ES" w:eastAsia="en-US"/>
        </w:rPr>
        <w:t xml:space="preserve">Resultados: </w:t>
      </w:r>
      <w:r w:rsidRPr="00AA7161">
        <w:rPr>
          <w:lang w:val="es-ES" w:eastAsia="en-US"/>
        </w:rPr>
        <w:t>El tratamiento con Jusvinza indujo una mejoría clínica en los pacientes, asociada con la disminución de varios biomarcadores de la inflamación y la coagulación.  La sobrevida de los pacientes tratados con Jusvinza fue significativamente superior a la sobrevida de los pacientes no tratados con este péptido.</w:t>
      </w:r>
    </w:p>
    <w:p w14:paraId="37E56D59" w14:textId="77777777" w:rsidR="009D6C84" w:rsidRPr="00AA7161" w:rsidRDefault="009D6C84" w:rsidP="009D6C84">
      <w:pPr>
        <w:widowControl w:val="0"/>
        <w:spacing w:line="360" w:lineRule="auto"/>
        <w:jc w:val="both"/>
        <w:rPr>
          <w:lang w:val="es-ES" w:eastAsia="en-US"/>
        </w:rPr>
      </w:pPr>
      <w:r w:rsidRPr="00AA7161">
        <w:rPr>
          <w:b/>
          <w:lang w:val="es-ES" w:eastAsia="en-US"/>
        </w:rPr>
        <w:t xml:space="preserve">Conclusiones: </w:t>
      </w:r>
      <w:r w:rsidRPr="00AA7161">
        <w:rPr>
          <w:lang w:val="es-ES" w:eastAsia="en-US"/>
        </w:rPr>
        <w:t>Jusvinza es capaz de controlar la hiperinflamación y la hipercoagulación en pacientes críticos con la COVID-19.</w:t>
      </w:r>
    </w:p>
    <w:p w14:paraId="77A0B7A2" w14:textId="79453F17" w:rsidR="009D6C84" w:rsidRPr="00AA7161" w:rsidRDefault="009D6C84" w:rsidP="009D6C84">
      <w:pPr>
        <w:spacing w:line="360" w:lineRule="auto"/>
        <w:jc w:val="both"/>
        <w:rPr>
          <w:rFonts w:eastAsia="Calibri"/>
          <w:lang w:val="es-ES" w:eastAsia="en-US"/>
        </w:rPr>
      </w:pPr>
      <w:r w:rsidRPr="00AA7161">
        <w:rPr>
          <w:rFonts w:eastAsia="Calibri"/>
          <w:b/>
          <w:lang w:val="es-ES" w:eastAsia="en-US"/>
        </w:rPr>
        <w:t xml:space="preserve">Palabras clave: </w:t>
      </w:r>
      <w:r w:rsidRPr="00AA7161">
        <w:rPr>
          <w:rFonts w:eastAsia="Calibri"/>
          <w:lang w:val="es-ES" w:eastAsia="en-US"/>
        </w:rPr>
        <w:t>COVI</w:t>
      </w:r>
      <w:r w:rsidR="003E77B7">
        <w:rPr>
          <w:rFonts w:eastAsia="Calibri"/>
          <w:lang w:val="es-ES" w:eastAsia="en-US"/>
        </w:rPr>
        <w:t>D</w:t>
      </w:r>
      <w:r w:rsidRPr="00AA7161">
        <w:rPr>
          <w:rFonts w:eastAsia="Calibri"/>
          <w:lang w:val="es-ES" w:eastAsia="en-US"/>
        </w:rPr>
        <w:t>-19; hiperinflamación; hipercoagulación HSP60; CIGB-258; Jusvinza.</w:t>
      </w:r>
    </w:p>
    <w:p w14:paraId="6BB1CCEB" w14:textId="77777777" w:rsidR="009D6C84" w:rsidRPr="00AA7161" w:rsidRDefault="009D6C84" w:rsidP="009D6C84">
      <w:pPr>
        <w:spacing w:line="360" w:lineRule="auto"/>
        <w:jc w:val="both"/>
        <w:rPr>
          <w:rFonts w:eastAsia="Calibri"/>
          <w:lang w:val="es-ES" w:eastAsia="en-US"/>
        </w:rPr>
      </w:pPr>
    </w:p>
    <w:p w14:paraId="1F0F3202" w14:textId="77777777" w:rsidR="009D6C84" w:rsidRPr="00AA7161" w:rsidRDefault="009D6C84" w:rsidP="009D6C84">
      <w:pPr>
        <w:spacing w:line="360" w:lineRule="auto"/>
        <w:jc w:val="both"/>
        <w:rPr>
          <w:rFonts w:eastAsia="Calibri"/>
          <w:b/>
          <w:lang w:val="en-US" w:eastAsia="en-US"/>
        </w:rPr>
      </w:pPr>
      <w:r w:rsidRPr="00AA7161">
        <w:rPr>
          <w:rFonts w:eastAsia="Calibri"/>
          <w:b/>
          <w:lang w:val="en-US" w:eastAsia="en-US"/>
        </w:rPr>
        <w:t xml:space="preserve">ABSTRACT </w:t>
      </w:r>
    </w:p>
    <w:p w14:paraId="24FE3A17" w14:textId="77777777" w:rsidR="009D6C84" w:rsidRPr="00AA7161" w:rsidRDefault="009D6C84" w:rsidP="009D6C84">
      <w:pPr>
        <w:shd w:val="clear" w:color="auto" w:fill="FFFFFF"/>
        <w:spacing w:line="360" w:lineRule="auto"/>
        <w:jc w:val="both"/>
        <w:rPr>
          <w:lang w:val="en" w:eastAsia="en-US"/>
        </w:rPr>
      </w:pPr>
      <w:r w:rsidRPr="00AA7161">
        <w:rPr>
          <w:rFonts w:eastAsia="Calibri"/>
          <w:b/>
          <w:lang w:val="en-US" w:eastAsia="en-US"/>
        </w:rPr>
        <w:t xml:space="preserve">Introduction:  </w:t>
      </w:r>
      <w:r w:rsidRPr="00AA7161">
        <w:rPr>
          <w:lang w:val="en" w:eastAsia="en-US"/>
        </w:rPr>
        <w:t>Infection with SARS-CoV-2 induces a prothrombotic state in patients, by the combination of hyperinflammatory response and hypoxia. In Cuba, the drug called Jusvinza, based on an immunomodulatory peptide, is used for the treatment of patients with COVID-19, who present signs and symptoms of hyperinflammation.</w:t>
      </w:r>
    </w:p>
    <w:p w14:paraId="48074325" w14:textId="77777777" w:rsidR="009D6C84" w:rsidRPr="00AA7161" w:rsidRDefault="009D6C84" w:rsidP="009D6C84">
      <w:pPr>
        <w:widowControl w:val="0"/>
        <w:spacing w:line="360" w:lineRule="auto"/>
        <w:jc w:val="both"/>
        <w:rPr>
          <w:lang w:val="en-US" w:eastAsia="en-US"/>
        </w:rPr>
      </w:pPr>
      <w:r w:rsidRPr="00AA7161">
        <w:rPr>
          <w:rFonts w:eastAsia="Calibri"/>
          <w:b/>
          <w:lang w:val="en-US" w:eastAsia="en-US"/>
        </w:rPr>
        <w:t>Objectives:</w:t>
      </w:r>
      <w:r w:rsidRPr="00AA7161">
        <w:rPr>
          <w:lang w:val="en-US" w:eastAsia="en-US"/>
        </w:rPr>
        <w:t xml:space="preserve"> To describe the clinical course and behavior of various biomarkers associated with the inflammation and coagulation, in a group of critically ill patients with COVID-19 treated with Jusvinza, compared to a group of patients who did not receive treatment with this peptide.</w:t>
      </w:r>
    </w:p>
    <w:p w14:paraId="59A7C485" w14:textId="77777777" w:rsidR="009D6C84" w:rsidRPr="00AA7161" w:rsidRDefault="009D6C84" w:rsidP="009D6C84">
      <w:pPr>
        <w:widowControl w:val="0"/>
        <w:spacing w:line="360" w:lineRule="auto"/>
        <w:jc w:val="both"/>
        <w:rPr>
          <w:lang w:val="en" w:eastAsia="en-US"/>
        </w:rPr>
      </w:pPr>
      <w:r w:rsidRPr="00AA7161">
        <w:rPr>
          <w:b/>
          <w:lang w:val="en" w:eastAsia="en-US"/>
        </w:rPr>
        <w:lastRenderedPageBreak/>
        <w:t>Methods:</w:t>
      </w:r>
      <w:r w:rsidRPr="00AA7161">
        <w:rPr>
          <w:lang w:val="en" w:eastAsia="en-US"/>
        </w:rPr>
        <w:t xml:space="preserve"> 40 critically ill patients with COVID-19 were included. The patients were divided into 2 groups: 20 patients were treated with Jusvinza and 20 were not treated with this peptide (control group). Demographic characteristics, comorbidities, vital signs, respiratory parameters and inflammation and coagulation biomarkers were obtained from the medical records of each patient. </w:t>
      </w:r>
    </w:p>
    <w:p w14:paraId="142B199B" w14:textId="77777777" w:rsidR="009D6C84" w:rsidRPr="00AA7161" w:rsidRDefault="009D6C84" w:rsidP="009D6C84">
      <w:pPr>
        <w:widowControl w:val="0"/>
        <w:spacing w:line="360" w:lineRule="auto"/>
        <w:jc w:val="both"/>
        <w:rPr>
          <w:lang w:val="en-US" w:eastAsia="en-US"/>
        </w:rPr>
      </w:pPr>
      <w:r w:rsidRPr="00AA7161">
        <w:rPr>
          <w:rFonts w:eastAsia="Calibri"/>
          <w:b/>
          <w:lang w:val="en-US" w:eastAsia="en-US"/>
        </w:rPr>
        <w:t>Results:</w:t>
      </w:r>
      <w:r w:rsidRPr="00AA7161">
        <w:rPr>
          <w:lang w:val="en" w:eastAsia="en-US"/>
        </w:rPr>
        <w:t xml:space="preserve"> Treatment with Jusvinza induced a clinical improvement in the patients, associated with the decrease of several inflammation and coagulation biomarkers. Patients treated with Jusvinza had a significantly higher survival than patients not treated with this peptide.</w:t>
      </w:r>
    </w:p>
    <w:p w14:paraId="54820961" w14:textId="77777777" w:rsidR="009D6C84" w:rsidRPr="00AA7161" w:rsidRDefault="009D6C84" w:rsidP="009D6C84">
      <w:pPr>
        <w:widowControl w:val="0"/>
        <w:spacing w:line="360" w:lineRule="auto"/>
        <w:jc w:val="both"/>
        <w:rPr>
          <w:lang w:val="en" w:eastAsia="en-US"/>
        </w:rPr>
      </w:pPr>
      <w:r w:rsidRPr="00AA7161">
        <w:rPr>
          <w:b/>
          <w:lang w:val="en" w:eastAsia="en-US"/>
        </w:rPr>
        <w:t>Conclusions:</w:t>
      </w:r>
      <w:r w:rsidRPr="00AA7161">
        <w:rPr>
          <w:lang w:val="en" w:eastAsia="en-US"/>
        </w:rPr>
        <w:t xml:space="preserve"> Jusvinza is able to control hyperinflammation and hypercoagulation in critical ill patients with COVID-19.</w:t>
      </w:r>
    </w:p>
    <w:p w14:paraId="1BAE9F50" w14:textId="77777777" w:rsidR="009D6C84" w:rsidRPr="00AA7161" w:rsidRDefault="009D6C84" w:rsidP="009D6C84">
      <w:pPr>
        <w:spacing w:line="360" w:lineRule="auto"/>
        <w:jc w:val="both"/>
        <w:rPr>
          <w:rFonts w:eastAsia="Calibri"/>
          <w:lang w:val="en-US" w:eastAsia="en-US"/>
        </w:rPr>
      </w:pPr>
      <w:r w:rsidRPr="00AA7161">
        <w:rPr>
          <w:rFonts w:eastAsia="Calibri"/>
          <w:b/>
          <w:lang w:val="en-US" w:eastAsia="en-US"/>
        </w:rPr>
        <w:t xml:space="preserve">Keywords:  </w:t>
      </w:r>
      <w:r w:rsidRPr="00AA7161">
        <w:rPr>
          <w:lang w:val="en" w:eastAsia="en-US"/>
        </w:rPr>
        <w:t>COVID-19; hyperinflammation</w:t>
      </w:r>
      <w:r w:rsidRPr="00AA7161">
        <w:rPr>
          <w:rFonts w:eastAsia="Calibri"/>
          <w:lang w:val="en-US" w:eastAsia="en-US"/>
        </w:rPr>
        <w:t>; hypercoagulation, HSP60; CIGB-258; Jusvinza.</w:t>
      </w:r>
    </w:p>
    <w:p w14:paraId="15228812" w14:textId="77777777" w:rsidR="009D6C84" w:rsidRPr="00AA7161" w:rsidRDefault="009D6C84" w:rsidP="009D6C84">
      <w:pPr>
        <w:spacing w:line="360" w:lineRule="auto"/>
        <w:jc w:val="both"/>
        <w:rPr>
          <w:rFonts w:eastAsia="Calibri"/>
          <w:lang w:val="en-US" w:eastAsia="en-US"/>
        </w:rPr>
      </w:pPr>
    </w:p>
    <w:p w14:paraId="68CAE35E" w14:textId="77777777" w:rsidR="009D6C84" w:rsidRPr="00AA7161" w:rsidRDefault="009D6C84" w:rsidP="009D6C84">
      <w:pPr>
        <w:spacing w:line="360" w:lineRule="auto"/>
        <w:jc w:val="both"/>
        <w:rPr>
          <w:rFonts w:eastAsia="Calibri"/>
          <w:lang w:val="en-US" w:eastAsia="en-US"/>
        </w:rPr>
      </w:pPr>
    </w:p>
    <w:p w14:paraId="4A817C44" w14:textId="77777777" w:rsidR="009D6C84" w:rsidRPr="00AA7161" w:rsidRDefault="009D6C84" w:rsidP="009D6C84">
      <w:pPr>
        <w:spacing w:line="360" w:lineRule="auto"/>
        <w:jc w:val="both"/>
        <w:rPr>
          <w:rFonts w:eastAsia="Calibri"/>
          <w:lang w:val="es-CU" w:eastAsia="en-US"/>
        </w:rPr>
      </w:pPr>
      <w:r w:rsidRPr="00AA7161">
        <w:rPr>
          <w:rFonts w:eastAsia="Calibri"/>
          <w:lang w:val="es-CU" w:eastAsia="en-US"/>
        </w:rPr>
        <w:t>Recibido: 18/10/2021</w:t>
      </w:r>
    </w:p>
    <w:p w14:paraId="648924DA" w14:textId="77777777" w:rsidR="009D6C84" w:rsidRPr="00AA7161" w:rsidRDefault="009D6C84" w:rsidP="009D6C84">
      <w:pPr>
        <w:spacing w:line="360" w:lineRule="auto"/>
        <w:jc w:val="both"/>
        <w:rPr>
          <w:rFonts w:eastAsia="Calibri"/>
          <w:lang w:val="es-CU" w:eastAsia="en-US"/>
        </w:rPr>
      </w:pPr>
      <w:r w:rsidRPr="00AA7161">
        <w:rPr>
          <w:rFonts w:eastAsia="Calibri"/>
          <w:lang w:val="es-CU" w:eastAsia="en-US"/>
        </w:rPr>
        <w:t>Aprobado: 19/11/2021</w:t>
      </w:r>
    </w:p>
    <w:p w14:paraId="7C57AB77" w14:textId="77777777" w:rsidR="009D6C84" w:rsidRPr="00AA7161" w:rsidRDefault="009D6C84" w:rsidP="009D6C84">
      <w:pPr>
        <w:widowControl w:val="0"/>
        <w:spacing w:line="360" w:lineRule="auto"/>
        <w:jc w:val="both"/>
        <w:rPr>
          <w:vanish/>
          <w:lang w:val="es-CU" w:eastAsia="en-US"/>
        </w:rPr>
      </w:pPr>
      <w:r w:rsidRPr="00AA7161">
        <w:rPr>
          <w:vanish/>
          <w:lang w:val="es-CU" w:eastAsia="en-US"/>
        </w:rPr>
        <w:t>Conclusions: Jusvinza is able to control hyperinflammation and hypercoagulation in critical patients with COVID-19.</w:t>
      </w:r>
    </w:p>
    <w:p w14:paraId="4A59E020" w14:textId="77777777" w:rsidR="009D6C84" w:rsidRPr="00AA7161" w:rsidRDefault="009D6C84" w:rsidP="009D6C84">
      <w:pPr>
        <w:widowControl w:val="0"/>
        <w:spacing w:line="360" w:lineRule="auto"/>
        <w:jc w:val="both"/>
        <w:rPr>
          <w:vanish/>
          <w:lang w:val="es-CU" w:eastAsia="en-US"/>
        </w:rPr>
      </w:pPr>
      <w:r w:rsidRPr="00AA7161">
        <w:rPr>
          <w:vanish/>
          <w:lang w:val="es-CU" w:eastAsia="en-US"/>
        </w:rPr>
        <w:t>Conclusiones: Jusvinza es capaz de controlar la hiperinflamación y la hipercoagulación en pacientes críticos con COVID-19.</w:t>
      </w:r>
    </w:p>
    <w:p w14:paraId="74F81B0A" w14:textId="77777777" w:rsidR="009D6C84" w:rsidRPr="00AA7161" w:rsidRDefault="009D6C84" w:rsidP="009D6C84">
      <w:pPr>
        <w:widowControl w:val="0"/>
        <w:spacing w:line="360" w:lineRule="auto"/>
        <w:jc w:val="both"/>
        <w:rPr>
          <w:vanish/>
          <w:lang w:val="es-CU" w:eastAsia="en-US"/>
        </w:rPr>
      </w:pPr>
      <w:r w:rsidRPr="00AA7161">
        <w:rPr>
          <w:vanish/>
          <w:lang w:val="es-CU" w:eastAsia="en-US"/>
        </w:rPr>
        <w:t>Conclusions: Jusvinza is able to control the hyperinflammation and hypercoagulable in critically ill patients with COVID-19.</w:t>
      </w:r>
    </w:p>
    <w:p w14:paraId="6D3252A7" w14:textId="77777777" w:rsidR="009D6C84" w:rsidRPr="00AA7161" w:rsidRDefault="009D6C84" w:rsidP="009D6C84">
      <w:pPr>
        <w:widowControl w:val="0"/>
        <w:spacing w:line="360" w:lineRule="auto"/>
        <w:jc w:val="both"/>
        <w:rPr>
          <w:vanish/>
          <w:lang w:val="es-CU" w:eastAsia="en-US"/>
        </w:rPr>
      </w:pPr>
      <w:r w:rsidRPr="00AA7161">
        <w:rPr>
          <w:vanish/>
          <w:lang w:val="es-CU" w:eastAsia="en-US"/>
        </w:rPr>
        <w:t>Conclusiones: Jusvinza es capaz de controlar la hiperinflamación e hipercoagulabilidad en pacientes críticos con COVID-19.</w:t>
      </w:r>
    </w:p>
    <w:p w14:paraId="3E99D2F8" w14:textId="77777777" w:rsidR="009D6C84" w:rsidRPr="00AA7161" w:rsidRDefault="009D6C84" w:rsidP="009D6C84">
      <w:pPr>
        <w:widowControl w:val="0"/>
        <w:spacing w:line="360" w:lineRule="auto"/>
        <w:jc w:val="both"/>
        <w:rPr>
          <w:vanish/>
          <w:lang w:val="es-CU" w:eastAsia="en-US"/>
        </w:rPr>
      </w:pPr>
      <w:r w:rsidRPr="00AA7161">
        <w:rPr>
          <w:vanish/>
          <w:lang w:val="es-CU" w:eastAsia="en-US"/>
        </w:rPr>
        <w:t>No se han podido cargar todos los resultados</w:t>
      </w:r>
    </w:p>
    <w:p w14:paraId="2E3F4924" w14:textId="77777777" w:rsidR="009D6C84" w:rsidRPr="00AA7161" w:rsidRDefault="009D6C84" w:rsidP="009D6C84">
      <w:pPr>
        <w:widowControl w:val="0"/>
        <w:spacing w:line="360" w:lineRule="auto"/>
        <w:jc w:val="both"/>
        <w:rPr>
          <w:vanish/>
          <w:lang w:val="es-CU" w:eastAsia="en-US"/>
        </w:rPr>
      </w:pPr>
      <w:r w:rsidRPr="00AA7161">
        <w:rPr>
          <w:vanish/>
          <w:lang w:val="es-CU" w:eastAsia="en-US"/>
        </w:rPr>
        <w:t>Reintentar</w:t>
      </w:r>
    </w:p>
    <w:p w14:paraId="4CE5A3C6" w14:textId="77777777" w:rsidR="009D6C84" w:rsidRPr="00AA7161" w:rsidRDefault="009D6C84" w:rsidP="009D6C84">
      <w:pPr>
        <w:widowControl w:val="0"/>
        <w:spacing w:line="360" w:lineRule="auto"/>
        <w:jc w:val="both"/>
        <w:rPr>
          <w:vanish/>
          <w:lang w:val="es-CU" w:eastAsia="en-US"/>
        </w:rPr>
      </w:pPr>
      <w:r w:rsidRPr="00AA7161">
        <w:rPr>
          <w:vanish/>
          <w:lang w:val="es-CU" w:eastAsia="en-US"/>
        </w:rPr>
        <w:t>Intentándolo de nuevo...</w:t>
      </w:r>
    </w:p>
    <w:p w14:paraId="20C8B787" w14:textId="77777777" w:rsidR="009D6C84" w:rsidRPr="00AA7161" w:rsidRDefault="009D6C84" w:rsidP="009D6C84">
      <w:pPr>
        <w:widowControl w:val="0"/>
        <w:spacing w:line="360" w:lineRule="auto"/>
        <w:jc w:val="both"/>
        <w:rPr>
          <w:vanish/>
          <w:lang w:val="es-CU" w:eastAsia="en-US"/>
        </w:rPr>
      </w:pPr>
      <w:r w:rsidRPr="00AA7161">
        <w:rPr>
          <w:vanish/>
          <w:lang w:val="es-CU" w:eastAsia="en-US"/>
        </w:rPr>
        <w:t>Intentándolo de nuevo...</w:t>
      </w:r>
    </w:p>
    <w:p w14:paraId="4F356C4A" w14:textId="77777777" w:rsidR="009D6C84" w:rsidRPr="00AA7161" w:rsidRDefault="009D6C84" w:rsidP="009D6C84">
      <w:pPr>
        <w:widowControl w:val="0"/>
        <w:spacing w:line="360" w:lineRule="auto"/>
        <w:jc w:val="both"/>
        <w:rPr>
          <w:vanish/>
          <w:lang w:val="es-CU" w:eastAsia="en-US"/>
        </w:rPr>
      </w:pPr>
      <w:r w:rsidRPr="00AA7161">
        <w:rPr>
          <w:vanish/>
          <w:lang w:val="es-CU" w:eastAsia="en-US"/>
        </w:rPr>
        <w:t>Demographic characteristics, comorbidities, vital signs, and respiratory parameters were obtained from the medical records of each patient.</w:t>
      </w:r>
    </w:p>
    <w:p w14:paraId="4F884034" w14:textId="77777777" w:rsidR="009D6C84" w:rsidRPr="00AA7161" w:rsidRDefault="009D6C84" w:rsidP="009D6C84">
      <w:pPr>
        <w:widowControl w:val="0"/>
        <w:spacing w:line="360" w:lineRule="auto"/>
        <w:jc w:val="both"/>
        <w:rPr>
          <w:vanish/>
          <w:lang w:val="es-CU" w:eastAsia="en-US"/>
        </w:rPr>
      </w:pPr>
      <w:r w:rsidRPr="00AA7161">
        <w:rPr>
          <w:vanish/>
          <w:lang w:val="es-CU" w:eastAsia="en-US"/>
        </w:rPr>
        <w:t>De las historias clínicas de cada paciente se obtuvieron características demográficas, comorbilidades, signos vitales y parámetros respiratorios.</w:t>
      </w:r>
    </w:p>
    <w:p w14:paraId="3913E541" w14:textId="77777777" w:rsidR="009D6C84" w:rsidRPr="00AA7161" w:rsidRDefault="009D6C84" w:rsidP="009D6C84">
      <w:pPr>
        <w:widowControl w:val="0"/>
        <w:spacing w:line="360" w:lineRule="auto"/>
        <w:jc w:val="both"/>
        <w:rPr>
          <w:vanish/>
          <w:lang w:val="es-CU" w:eastAsia="en-US"/>
        </w:rPr>
      </w:pPr>
      <w:r w:rsidRPr="00AA7161">
        <w:rPr>
          <w:vanish/>
          <w:lang w:val="es-CU" w:eastAsia="en-US"/>
        </w:rPr>
        <w:t>Demographic characteristics, comorbidities, vital signs, and respiratory parameters were obtained from each patient's medical records.</w:t>
      </w:r>
    </w:p>
    <w:p w14:paraId="4B4ECAB3" w14:textId="77777777" w:rsidR="009D6C84" w:rsidRPr="00AA7161" w:rsidRDefault="009D6C84" w:rsidP="009D6C84">
      <w:pPr>
        <w:widowControl w:val="0"/>
        <w:spacing w:line="360" w:lineRule="auto"/>
        <w:jc w:val="both"/>
        <w:rPr>
          <w:vanish/>
          <w:lang w:val="es-CU" w:eastAsia="en-US"/>
        </w:rPr>
      </w:pPr>
      <w:r w:rsidRPr="00AA7161">
        <w:rPr>
          <w:vanish/>
          <w:lang w:val="es-CU" w:eastAsia="en-US"/>
        </w:rPr>
        <w:t>Se obtuvieron características demográficas, comorbilidades, signos vitales y parámetros respiratorios de la historia clínica de cada paciente.</w:t>
      </w:r>
    </w:p>
    <w:p w14:paraId="28C317EF" w14:textId="77777777" w:rsidR="009D6C84" w:rsidRPr="00AA7161" w:rsidRDefault="009D6C84" w:rsidP="009D6C84">
      <w:pPr>
        <w:widowControl w:val="0"/>
        <w:spacing w:line="360" w:lineRule="auto"/>
        <w:jc w:val="both"/>
        <w:rPr>
          <w:vanish/>
          <w:lang w:val="es-CU" w:eastAsia="en-US"/>
        </w:rPr>
      </w:pPr>
      <w:r w:rsidRPr="00AA7161">
        <w:rPr>
          <w:vanish/>
          <w:lang w:val="es-CU" w:eastAsia="en-US"/>
        </w:rPr>
        <w:t>No se han podido cargar todos los resultados</w:t>
      </w:r>
    </w:p>
    <w:p w14:paraId="5F79FCAC" w14:textId="77777777" w:rsidR="009D6C84" w:rsidRPr="00AA7161" w:rsidRDefault="009D6C84" w:rsidP="009D6C84">
      <w:pPr>
        <w:widowControl w:val="0"/>
        <w:spacing w:line="360" w:lineRule="auto"/>
        <w:jc w:val="both"/>
        <w:rPr>
          <w:vanish/>
          <w:lang w:val="es-CU" w:eastAsia="en-US"/>
        </w:rPr>
      </w:pPr>
      <w:r w:rsidRPr="00AA7161">
        <w:rPr>
          <w:vanish/>
          <w:lang w:val="es-CU" w:eastAsia="en-US"/>
        </w:rPr>
        <w:t>Reintentar</w:t>
      </w:r>
    </w:p>
    <w:p w14:paraId="65DF2BF2" w14:textId="77777777" w:rsidR="009D6C84" w:rsidRPr="00AA7161" w:rsidRDefault="009D6C84" w:rsidP="009D6C84">
      <w:pPr>
        <w:widowControl w:val="0"/>
        <w:spacing w:line="360" w:lineRule="auto"/>
        <w:jc w:val="both"/>
        <w:rPr>
          <w:vanish/>
          <w:lang w:val="es-CU" w:eastAsia="en-US"/>
        </w:rPr>
      </w:pPr>
      <w:r w:rsidRPr="00AA7161">
        <w:rPr>
          <w:vanish/>
          <w:lang w:val="es-CU" w:eastAsia="en-US"/>
        </w:rPr>
        <w:t>Intentándolo de nuevo...</w:t>
      </w:r>
    </w:p>
    <w:p w14:paraId="3DA5DE79" w14:textId="77777777" w:rsidR="009D6C84" w:rsidRPr="00AA7161" w:rsidRDefault="009D6C84" w:rsidP="009D6C84">
      <w:pPr>
        <w:widowControl w:val="0"/>
        <w:spacing w:line="360" w:lineRule="auto"/>
        <w:jc w:val="both"/>
        <w:rPr>
          <w:vanish/>
          <w:lang w:val="es-CU" w:eastAsia="en-US"/>
        </w:rPr>
      </w:pPr>
      <w:r w:rsidRPr="00AA7161">
        <w:rPr>
          <w:vanish/>
          <w:lang w:val="es-CU" w:eastAsia="en-US"/>
        </w:rPr>
        <w:t>Intentándolo de nuevo...</w:t>
      </w:r>
    </w:p>
    <w:p w14:paraId="1F548F97" w14:textId="77777777" w:rsidR="009D6C84" w:rsidRPr="00AA7161" w:rsidRDefault="009D6C84" w:rsidP="009D6C84">
      <w:pPr>
        <w:widowControl w:val="0"/>
        <w:tabs>
          <w:tab w:val="center" w:pos="4680"/>
          <w:tab w:val="right" w:pos="9360"/>
        </w:tabs>
        <w:spacing w:line="360" w:lineRule="auto"/>
        <w:rPr>
          <w:b/>
          <w:lang w:val="es-CU" w:eastAsia="en-US"/>
        </w:rPr>
      </w:pPr>
    </w:p>
    <w:p w14:paraId="0A156036" w14:textId="77777777" w:rsidR="009D6C84" w:rsidRPr="00AA7161" w:rsidRDefault="009D6C84" w:rsidP="009D6C84">
      <w:pPr>
        <w:widowControl w:val="0"/>
        <w:tabs>
          <w:tab w:val="center" w:pos="4680"/>
          <w:tab w:val="right" w:pos="9360"/>
        </w:tabs>
        <w:spacing w:line="360" w:lineRule="auto"/>
        <w:rPr>
          <w:b/>
          <w:lang w:val="es-CU" w:eastAsia="en-US"/>
        </w:rPr>
      </w:pPr>
    </w:p>
    <w:p w14:paraId="7118AE9D" w14:textId="77777777" w:rsidR="009D6C84" w:rsidRPr="00AA7161" w:rsidRDefault="009D6C84" w:rsidP="009D6C84">
      <w:pPr>
        <w:widowControl w:val="0"/>
        <w:tabs>
          <w:tab w:val="center" w:pos="4680"/>
          <w:tab w:val="right" w:pos="9360"/>
        </w:tabs>
        <w:spacing w:line="360" w:lineRule="auto"/>
        <w:jc w:val="center"/>
        <w:rPr>
          <w:b/>
          <w:sz w:val="32"/>
          <w:szCs w:val="32"/>
          <w:lang w:val="es-ES" w:eastAsia="en-US"/>
        </w:rPr>
      </w:pPr>
      <w:r w:rsidRPr="00AA7161">
        <w:rPr>
          <w:b/>
          <w:sz w:val="32"/>
          <w:szCs w:val="32"/>
          <w:lang w:val="es-ES" w:eastAsia="en-US"/>
        </w:rPr>
        <w:t>INTRODUCCIÓN</w:t>
      </w:r>
    </w:p>
    <w:p w14:paraId="5AEFA350"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La COVID-19 se describió por primera vez, a finales de 2019 en la provincia Wuhan, </w:t>
      </w:r>
      <w:proofErr w:type="gramStart"/>
      <w:r w:rsidRPr="00AA7161">
        <w:rPr>
          <w:lang w:val="es-ES" w:eastAsia="en-US"/>
        </w:rPr>
        <w:t>China.</w:t>
      </w:r>
      <w:r w:rsidRPr="00AA7161">
        <w:rPr>
          <w:vertAlign w:val="superscript"/>
          <w:lang w:val="es-ES" w:eastAsia="en-US"/>
        </w:rPr>
        <w:t>(</w:t>
      </w:r>
      <w:proofErr w:type="gramEnd"/>
      <w:r w:rsidRPr="00AA7161">
        <w:rPr>
          <w:vertAlign w:val="superscript"/>
          <w:lang w:val="es-ES" w:eastAsia="en-US"/>
        </w:rPr>
        <w:t xml:space="preserve">1) </w:t>
      </w:r>
      <w:r w:rsidRPr="00AA7161">
        <w:rPr>
          <w:lang w:val="es-ES" w:eastAsia="en-US"/>
        </w:rPr>
        <w:t>Hasta el 28 de septiembre del 2020, se habían informado 232 426 039 personas afectadas por esta enfermedad en todo el mundo, de las cuales 4 758 486 habían fallecido.</w:t>
      </w:r>
      <w:r w:rsidRPr="00AA7161">
        <w:rPr>
          <w:vertAlign w:val="superscript"/>
          <w:lang w:val="es-ES" w:eastAsia="en-US"/>
        </w:rPr>
        <w:t>(2)</w:t>
      </w:r>
    </w:p>
    <w:p w14:paraId="36590BA8"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El espectro clínico de la COVID-19 es amplio y complejo. Pueden presentarse, desde casos asintomáticos, hasta pacientes con una evolución expedita al síndrome de dificultad respiratoria aguda (SDRA) y la </w:t>
      </w:r>
      <w:proofErr w:type="gramStart"/>
      <w:r w:rsidRPr="00AA7161">
        <w:rPr>
          <w:lang w:val="es-ES" w:eastAsia="en-US"/>
        </w:rPr>
        <w:t>muerte.</w:t>
      </w:r>
      <w:r w:rsidRPr="00AA7161">
        <w:rPr>
          <w:vertAlign w:val="superscript"/>
          <w:lang w:val="es-ES" w:eastAsia="en-US"/>
        </w:rPr>
        <w:t>(</w:t>
      </w:r>
      <w:proofErr w:type="gramEnd"/>
      <w:r w:rsidRPr="00AA7161">
        <w:rPr>
          <w:vertAlign w:val="superscript"/>
          <w:lang w:val="es-ES" w:eastAsia="en-US"/>
        </w:rPr>
        <w:t>3)</w:t>
      </w:r>
      <w:r w:rsidRPr="00AA7161">
        <w:rPr>
          <w:lang w:val="es-ES" w:eastAsia="en-US"/>
        </w:rPr>
        <w:t xml:space="preserve"> Los enfermos que transitan hacia los estadios graves, presentan una respuesta inflamatoria exacerbada, evidenciada por el aumento de la concentración sérica de los biomarcadores de la inflamación.</w:t>
      </w:r>
      <w:r w:rsidRPr="00AA7161">
        <w:rPr>
          <w:vertAlign w:val="superscript"/>
          <w:lang w:val="es-ES" w:eastAsia="en-US"/>
        </w:rPr>
        <w:t>(4)</w:t>
      </w:r>
    </w:p>
    <w:p w14:paraId="1120EC79" w14:textId="77777777" w:rsidR="009D6C84" w:rsidRPr="00AA7161" w:rsidRDefault="009D6C84" w:rsidP="009D6C84">
      <w:pPr>
        <w:widowControl w:val="0"/>
        <w:spacing w:line="360" w:lineRule="auto"/>
        <w:jc w:val="both"/>
        <w:rPr>
          <w:lang w:val="es-ES" w:eastAsia="en-US"/>
        </w:rPr>
      </w:pPr>
      <w:r w:rsidRPr="00AA7161">
        <w:rPr>
          <w:lang w:val="es-ES" w:eastAsia="en-US"/>
        </w:rPr>
        <w:t>Numerosos estudios informan un nexo entre la infección por el SARS-CoV-2 y el desencadenamiento de un estado procoagulante, que incrementa el riesgo de complicaciones trombóticas arteriales y venosas, con un desenlace fatal.</w:t>
      </w:r>
      <w:r w:rsidRPr="00AA7161">
        <w:rPr>
          <w:vertAlign w:val="superscript"/>
          <w:lang w:val="es-ES" w:eastAsia="en-US"/>
        </w:rPr>
        <w:t>(5)</w:t>
      </w:r>
      <w:r w:rsidRPr="00AA7161">
        <w:rPr>
          <w:lang w:val="es-ES" w:eastAsia="en-US"/>
        </w:rPr>
        <w:t xml:space="preserve"> La activación excesiva del sistema inmunitario innato, causada por este virus, </w:t>
      </w:r>
      <w:r w:rsidRPr="00AA7161">
        <w:rPr>
          <w:lang w:val="es-ES" w:eastAsia="en-US"/>
        </w:rPr>
        <w:lastRenderedPageBreak/>
        <w:t>desencadena un incremento significativo en las concentraciones de varios mediadores de la inflamación, los cuales contribuyen al consiguiente  daño del sistema microvascular y la activación del sistema de la coagulación.</w:t>
      </w:r>
      <w:r w:rsidRPr="00AA7161">
        <w:rPr>
          <w:vertAlign w:val="superscript"/>
          <w:lang w:val="es-ES" w:eastAsia="en-US"/>
        </w:rPr>
        <w:t>(6)</w:t>
      </w:r>
      <w:r w:rsidRPr="00AA7161">
        <w:rPr>
          <w:lang w:val="es-ES" w:eastAsia="en-US"/>
        </w:rPr>
        <w:t xml:space="preserve"> </w:t>
      </w:r>
    </w:p>
    <w:p w14:paraId="371C9987" w14:textId="77777777" w:rsidR="009D6C84" w:rsidRPr="00AA7161" w:rsidRDefault="009D6C84" w:rsidP="009D6C84">
      <w:pPr>
        <w:spacing w:line="360" w:lineRule="auto"/>
        <w:jc w:val="both"/>
        <w:rPr>
          <w:lang w:val="es-ES" w:eastAsia="en-US"/>
        </w:rPr>
      </w:pPr>
      <w:r w:rsidRPr="00AA7161">
        <w:rPr>
          <w:lang w:val="es-ES" w:eastAsia="en-US"/>
        </w:rPr>
        <w:t>En este escenario, es crucial el tratamiento de la hiperinflamación. Con este objetivo, en el mundo se utilizan tratamientos aprobados para las enfermedades autoinmunes e inflamatorias,</w:t>
      </w:r>
      <w:r w:rsidRPr="00AA7161">
        <w:rPr>
          <w:vertAlign w:val="superscript"/>
          <w:lang w:val="es-ES" w:eastAsia="en-US"/>
        </w:rPr>
        <w:t xml:space="preserve"> </w:t>
      </w:r>
      <w:r w:rsidRPr="00AA7161">
        <w:rPr>
          <w:lang w:val="es-ES" w:eastAsia="en-US"/>
        </w:rPr>
        <w:t xml:space="preserve">sin embargo, estos fármacos son inmunosupresores y su uso puede conllevar al deterioro del estado general del paciente con la COVID-19; ya que se ha comprobado que el SARS-CoV-2 persiste durante el transcurso de la enfermedad y para su eliminación eficaz, el sistema inmunológico no debe estar </w:t>
      </w:r>
      <w:proofErr w:type="gramStart"/>
      <w:r w:rsidRPr="00AA7161">
        <w:rPr>
          <w:lang w:val="es-ES" w:eastAsia="en-US"/>
        </w:rPr>
        <w:t>suprimido.</w:t>
      </w:r>
      <w:r w:rsidRPr="00AA7161">
        <w:rPr>
          <w:vertAlign w:val="superscript"/>
          <w:lang w:val="es-ES" w:eastAsia="en-US"/>
        </w:rPr>
        <w:t>(</w:t>
      </w:r>
      <w:proofErr w:type="gramEnd"/>
      <w:r w:rsidRPr="00AA7161">
        <w:rPr>
          <w:vertAlign w:val="superscript"/>
          <w:lang w:val="es-ES" w:eastAsia="en-US"/>
        </w:rPr>
        <w:t>7,8)</w:t>
      </w:r>
    </w:p>
    <w:p w14:paraId="5F3A9307" w14:textId="77777777" w:rsidR="009D6C84" w:rsidRPr="00AA7161" w:rsidRDefault="009D6C84" w:rsidP="009D6C84">
      <w:pPr>
        <w:widowControl w:val="0"/>
        <w:spacing w:line="360" w:lineRule="auto"/>
        <w:jc w:val="both"/>
        <w:rPr>
          <w:lang w:val="es-ES" w:eastAsia="en-US"/>
        </w:rPr>
      </w:pPr>
      <w:r w:rsidRPr="00AA7161">
        <w:rPr>
          <w:lang w:val="es-ES" w:eastAsia="en-US"/>
        </w:rPr>
        <w:t>En Cuba se usa el fármaco Jusvinza (código CIGB-258), para el tratamiento de los pacientes con la COVID-19 que presenten signos de hiperinflamación. Este fármaco recibió una autorización de uso de emergencia (AUE), concedido por la autoridad reguladora de medicamentos de Cuba (CECMED</w:t>
      </w:r>
      <w:proofErr w:type="gramStart"/>
      <w:r w:rsidRPr="00AA7161">
        <w:rPr>
          <w:lang w:val="es-ES" w:eastAsia="en-US"/>
        </w:rPr>
        <w:t>).</w:t>
      </w:r>
      <w:r w:rsidRPr="00AA7161">
        <w:rPr>
          <w:vertAlign w:val="superscript"/>
          <w:lang w:val="es-ES" w:eastAsia="en-US"/>
        </w:rPr>
        <w:t>(</w:t>
      </w:r>
      <w:bookmarkStart w:id="0" w:name="_Ref77059265"/>
      <w:proofErr w:type="gramEnd"/>
      <w:r w:rsidRPr="00AA7161">
        <w:rPr>
          <w:vertAlign w:val="superscript"/>
          <w:lang w:val="es-ES" w:eastAsia="en-US"/>
        </w:rPr>
        <w:t>9</w:t>
      </w:r>
      <w:bookmarkEnd w:id="0"/>
      <w:r w:rsidRPr="00AA7161">
        <w:rPr>
          <w:vertAlign w:val="superscript"/>
          <w:lang w:val="es-ES" w:eastAsia="en-US"/>
        </w:rPr>
        <w:t>)</w:t>
      </w:r>
    </w:p>
    <w:p w14:paraId="65275C37" w14:textId="77777777" w:rsidR="009D6C84" w:rsidRPr="00AA7161" w:rsidRDefault="009D6C84" w:rsidP="009D6C84">
      <w:pPr>
        <w:widowControl w:val="0"/>
        <w:spacing w:line="360" w:lineRule="auto"/>
        <w:jc w:val="both"/>
        <w:rPr>
          <w:lang w:val="es-ES" w:eastAsia="en-US"/>
        </w:rPr>
      </w:pPr>
      <w:r w:rsidRPr="00AA7161">
        <w:rPr>
          <w:lang w:val="es-ES" w:eastAsia="en-US"/>
        </w:rPr>
        <w:t>La incorporación de Jusvinza al protocolo nacional cubano, aprobado por el Ministerio de Salud Pública (Minsap), para el tratamiento de pacientes con la COVID-19, tuvo lugar el 27 de abril del 2020. El uso de Jusvinza ha impactado en la disminución de la tasa de letalidad en Cuba; de 4,16 en abril de 2020</w:t>
      </w:r>
      <w:r w:rsidRPr="00AA7161">
        <w:rPr>
          <w:vertAlign w:val="superscript"/>
          <w:lang w:val="es-ES" w:eastAsia="en-US"/>
        </w:rPr>
        <w:t>(10)</w:t>
      </w:r>
      <w:r w:rsidRPr="00AA7161">
        <w:rPr>
          <w:lang w:val="es-ES" w:eastAsia="en-US"/>
        </w:rPr>
        <w:t xml:space="preserve"> a 0,65 en septiembre del </w:t>
      </w:r>
      <w:proofErr w:type="gramStart"/>
      <w:r w:rsidRPr="00AA7161">
        <w:rPr>
          <w:lang w:val="es-ES" w:eastAsia="en-US"/>
        </w:rPr>
        <w:t>2021.</w:t>
      </w:r>
      <w:r w:rsidRPr="00AA7161">
        <w:rPr>
          <w:vertAlign w:val="superscript"/>
          <w:lang w:val="es-ES" w:eastAsia="en-US"/>
        </w:rPr>
        <w:t>(</w:t>
      </w:r>
      <w:proofErr w:type="gramEnd"/>
      <w:r w:rsidRPr="00AA7161">
        <w:rPr>
          <w:vertAlign w:val="superscript"/>
          <w:lang w:val="es-ES" w:eastAsia="en-US"/>
        </w:rPr>
        <w:t>11)</w:t>
      </w:r>
    </w:p>
    <w:p w14:paraId="3209A0AB"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Jusvinza es un péptido inmunomodulador con propiedades antiinflamatorias. Este fármaco fue desarrollado en el Centro de Ingeniería Genética y Biotecnología (CIGB) de Cuba, para el tratamiento de las enfermedades autoinmunes, específicamente la artritis reumatoide (AR). Se ha comprobado que induce mecanismos reguladores de la respuesta inmunitaria en sistemas experimentales y en pacientes con </w:t>
      </w:r>
      <w:proofErr w:type="gramStart"/>
      <w:r w:rsidRPr="00AA7161">
        <w:rPr>
          <w:lang w:val="es-ES" w:eastAsia="en-US"/>
        </w:rPr>
        <w:t>AR.</w:t>
      </w:r>
      <w:r w:rsidRPr="00AA7161">
        <w:rPr>
          <w:vertAlign w:val="superscript"/>
          <w:lang w:val="es-ES" w:eastAsia="en-US"/>
        </w:rPr>
        <w:t>(</w:t>
      </w:r>
      <w:bookmarkStart w:id="1" w:name="_Ref69571304"/>
      <w:bookmarkStart w:id="2" w:name="_Ref69571271"/>
      <w:proofErr w:type="gramEnd"/>
      <w:r w:rsidRPr="00AA7161">
        <w:rPr>
          <w:vertAlign w:val="superscript"/>
          <w:lang w:val="es-ES" w:eastAsia="en-US"/>
        </w:rPr>
        <w:t>12,13,14,15,16,17</w:t>
      </w:r>
      <w:bookmarkEnd w:id="1"/>
      <w:bookmarkEnd w:id="2"/>
      <w:r w:rsidRPr="00AA7161">
        <w:rPr>
          <w:vertAlign w:val="superscript"/>
          <w:lang w:val="es-ES" w:eastAsia="en-US"/>
        </w:rPr>
        <w:t>)</w:t>
      </w:r>
    </w:p>
    <w:p w14:paraId="36658F2C"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En los pacientes con la COVID-19, se ha demostrado que el tratamiento con Jusvinza promueve una mejoría clínica y radiológica, en correspondencia con su perfil de farmacocinética y biodistribución, asociada con una disminución de los biomarcadores de la inflamación sistémica. Además, el tratamiento temprano con Jusvinza, evita la progresión hacia las formas graves de la </w:t>
      </w:r>
      <w:proofErr w:type="gramStart"/>
      <w:r w:rsidRPr="00AA7161">
        <w:rPr>
          <w:lang w:val="es-ES" w:eastAsia="en-US"/>
        </w:rPr>
        <w:t>enfermedad.</w:t>
      </w:r>
      <w:r w:rsidRPr="00AA7161">
        <w:rPr>
          <w:vertAlign w:val="superscript"/>
          <w:lang w:val="es-ES" w:eastAsia="en-US"/>
        </w:rPr>
        <w:t>(</w:t>
      </w:r>
      <w:bookmarkStart w:id="3" w:name="_Ref76986037"/>
      <w:proofErr w:type="gramEnd"/>
      <w:r w:rsidRPr="00AA7161">
        <w:rPr>
          <w:vertAlign w:val="superscript"/>
          <w:lang w:val="es-ES" w:eastAsia="en-US"/>
        </w:rPr>
        <w:t>18,19,20</w:t>
      </w:r>
      <w:bookmarkEnd w:id="3"/>
      <w:r w:rsidRPr="00AA7161">
        <w:rPr>
          <w:vertAlign w:val="superscript"/>
          <w:lang w:val="es-ES" w:eastAsia="en-US"/>
        </w:rPr>
        <w:t>)</w:t>
      </w:r>
      <w:r w:rsidRPr="00AA7161">
        <w:rPr>
          <w:lang w:val="es-ES" w:eastAsia="en-US"/>
        </w:rPr>
        <w:t xml:space="preserve"> La forma más grave de la COVID-19, corresponde al estado crítico. </w:t>
      </w:r>
    </w:p>
    <w:p w14:paraId="713256A9" w14:textId="77777777" w:rsidR="009D6C84" w:rsidRPr="00AA7161" w:rsidRDefault="009D6C84" w:rsidP="009D6C84">
      <w:pPr>
        <w:shd w:val="clear" w:color="auto" w:fill="FFFFFF"/>
        <w:spacing w:line="360" w:lineRule="auto"/>
        <w:rPr>
          <w:vanish/>
          <w:lang w:val="en-US" w:eastAsia="en-US"/>
        </w:rPr>
      </w:pPr>
      <w:r w:rsidRPr="00AA7161">
        <w:rPr>
          <w:vanish/>
          <w:lang w:val="es-ES" w:eastAsia="en-US"/>
        </w:rPr>
        <w:t>• Sepsis.</w:t>
      </w:r>
    </w:p>
    <w:p w14:paraId="33337CC5" w14:textId="77777777" w:rsidR="009D6C84" w:rsidRPr="00AA7161" w:rsidRDefault="009D6C84" w:rsidP="009D6C84">
      <w:pPr>
        <w:shd w:val="clear" w:color="auto" w:fill="FFFFFF"/>
        <w:spacing w:line="360" w:lineRule="auto"/>
        <w:rPr>
          <w:vanish/>
          <w:lang w:val="en" w:eastAsia="en-US"/>
        </w:rPr>
      </w:pPr>
      <w:r w:rsidRPr="00AA7161">
        <w:rPr>
          <w:vanish/>
          <w:lang w:val="en" w:eastAsia="en-US"/>
        </w:rPr>
        <w:t>...</w:t>
      </w:r>
    </w:p>
    <w:p w14:paraId="59465048" w14:textId="77777777" w:rsidR="009D6C84" w:rsidRPr="00AA7161" w:rsidRDefault="009D6C84" w:rsidP="009D6C84">
      <w:pPr>
        <w:shd w:val="clear" w:color="auto" w:fill="FFFFFF"/>
        <w:spacing w:line="360" w:lineRule="auto"/>
        <w:rPr>
          <w:vanish/>
          <w:lang w:val="es-ES" w:eastAsia="en-US"/>
        </w:rPr>
      </w:pPr>
      <w:r w:rsidRPr="00AA7161">
        <w:rPr>
          <w:vanish/>
          <w:lang w:val="es-ES" w:eastAsia="en-US"/>
        </w:rPr>
        <w:t>• Septicemia.</w:t>
      </w:r>
    </w:p>
    <w:p w14:paraId="7982B544" w14:textId="77777777" w:rsidR="009D6C84" w:rsidRPr="00AA7161" w:rsidRDefault="009D6C84" w:rsidP="009D6C84">
      <w:pPr>
        <w:shd w:val="clear" w:color="auto" w:fill="FFFFFF"/>
        <w:spacing w:line="360" w:lineRule="auto"/>
        <w:rPr>
          <w:vanish/>
          <w:lang w:val="en" w:eastAsia="en-US"/>
        </w:rPr>
      </w:pPr>
      <w:r w:rsidRPr="00AA7161">
        <w:rPr>
          <w:vanish/>
          <w:lang w:val="en" w:eastAsia="en-US"/>
        </w:rPr>
        <w:t>...</w:t>
      </w:r>
    </w:p>
    <w:p w14:paraId="2670ED1D" w14:textId="77777777" w:rsidR="009D6C84" w:rsidRPr="00AA7161" w:rsidRDefault="009D6C84" w:rsidP="009D6C84">
      <w:pPr>
        <w:shd w:val="clear" w:color="auto" w:fill="FFFFFF"/>
        <w:spacing w:line="360" w:lineRule="auto"/>
        <w:rPr>
          <w:vanish/>
          <w:lang w:val="es-ES" w:eastAsia="en-US"/>
        </w:rPr>
      </w:pPr>
      <w:r w:rsidRPr="00AA7161">
        <w:rPr>
          <w:vanish/>
          <w:lang w:val="es-ES" w:eastAsia="en-US"/>
        </w:rPr>
        <w:t>No se han podido cargar todos los resultados</w:t>
      </w:r>
    </w:p>
    <w:p w14:paraId="55452B4E" w14:textId="77777777" w:rsidR="009D6C84" w:rsidRPr="00AA7161" w:rsidRDefault="009D6C84" w:rsidP="009D6C84">
      <w:pPr>
        <w:shd w:val="clear" w:color="auto" w:fill="FFFFFF"/>
        <w:spacing w:line="360" w:lineRule="auto"/>
        <w:rPr>
          <w:vanish/>
          <w:lang w:val="es-ES" w:eastAsia="en-US"/>
        </w:rPr>
      </w:pPr>
      <w:r w:rsidRPr="00AA7161">
        <w:rPr>
          <w:vanish/>
          <w:lang w:val="es-ES" w:eastAsia="en-US"/>
        </w:rPr>
        <w:t>Reintentar</w:t>
      </w:r>
    </w:p>
    <w:p w14:paraId="599B2AE6" w14:textId="77777777" w:rsidR="009D6C84" w:rsidRPr="00AA7161" w:rsidRDefault="009D6C84" w:rsidP="009D6C84">
      <w:pPr>
        <w:shd w:val="clear" w:color="auto" w:fill="FFFFFF"/>
        <w:spacing w:line="360" w:lineRule="auto"/>
        <w:rPr>
          <w:vanish/>
          <w:lang w:val="es-ES" w:eastAsia="en-US"/>
        </w:rPr>
      </w:pPr>
      <w:r w:rsidRPr="00AA7161">
        <w:rPr>
          <w:vanish/>
          <w:lang w:val="es-ES" w:eastAsia="en-US"/>
        </w:rPr>
        <w:t>Intentándolo de nuevo...</w:t>
      </w:r>
    </w:p>
    <w:p w14:paraId="30C9920C" w14:textId="77777777" w:rsidR="009D6C84" w:rsidRPr="00AA7161" w:rsidRDefault="009D6C84" w:rsidP="009D6C84">
      <w:pPr>
        <w:shd w:val="clear" w:color="auto" w:fill="FFFFFF"/>
        <w:spacing w:line="360" w:lineRule="auto"/>
        <w:rPr>
          <w:vanish/>
          <w:lang w:val="es-ES" w:eastAsia="en-US"/>
        </w:rPr>
      </w:pPr>
      <w:r w:rsidRPr="00AA7161">
        <w:rPr>
          <w:vanish/>
          <w:lang w:val="es-ES" w:eastAsia="en-US"/>
        </w:rPr>
        <w:t>Intentándolo de nuevo...</w:t>
      </w:r>
    </w:p>
    <w:p w14:paraId="3FF49DB1"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El presente estudio tiene como objetivo describir la evolución clínica y las variaciones de biomarcadores asociados con la inflamación y la coagulación, en un grupo de pacientes con la COVID-19 en estado crítico, tratados con Jusvinza, en comparación con un grupo de pacientes que no recibieron tratamiento </w:t>
      </w:r>
      <w:r w:rsidRPr="00AA7161">
        <w:rPr>
          <w:lang w:val="es-ES" w:eastAsia="en-US"/>
        </w:rPr>
        <w:lastRenderedPageBreak/>
        <w:t>con este fármaco.</w:t>
      </w:r>
    </w:p>
    <w:p w14:paraId="26526625" w14:textId="77777777" w:rsidR="009D6C84" w:rsidRPr="00AA7161" w:rsidRDefault="009D6C84" w:rsidP="009D6C84">
      <w:pPr>
        <w:widowControl w:val="0"/>
        <w:spacing w:line="360" w:lineRule="auto"/>
        <w:jc w:val="both"/>
        <w:rPr>
          <w:lang w:val="es-ES" w:eastAsia="en-US"/>
        </w:rPr>
      </w:pPr>
    </w:p>
    <w:p w14:paraId="422560EC" w14:textId="77777777" w:rsidR="009D6C84" w:rsidRPr="00AA7161" w:rsidRDefault="009D6C84" w:rsidP="009D6C84">
      <w:pPr>
        <w:widowControl w:val="0"/>
        <w:spacing w:line="360" w:lineRule="auto"/>
        <w:jc w:val="both"/>
        <w:rPr>
          <w:lang w:val="es-ES" w:eastAsia="en-US"/>
        </w:rPr>
      </w:pPr>
    </w:p>
    <w:p w14:paraId="2F042284" w14:textId="77777777" w:rsidR="009D6C84" w:rsidRPr="00AA7161" w:rsidRDefault="009D6C84" w:rsidP="009D6C84">
      <w:pPr>
        <w:widowControl w:val="0"/>
        <w:spacing w:line="360" w:lineRule="auto"/>
        <w:jc w:val="center"/>
        <w:rPr>
          <w:b/>
          <w:sz w:val="32"/>
          <w:szCs w:val="32"/>
          <w:lang w:val="es-ES" w:eastAsia="en-US"/>
        </w:rPr>
      </w:pPr>
      <w:r w:rsidRPr="00AA7161">
        <w:rPr>
          <w:b/>
          <w:sz w:val="32"/>
          <w:szCs w:val="32"/>
          <w:lang w:val="es-ES" w:eastAsia="en-US"/>
        </w:rPr>
        <w:t>MÉTODOS</w:t>
      </w:r>
    </w:p>
    <w:p w14:paraId="4CACE131"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Se realizó un estudio observacional, retrospectivo, conforme con lo establecido en la Declaración de Helsinki para la investigación en </w:t>
      </w:r>
      <w:proofErr w:type="gramStart"/>
      <w:r w:rsidRPr="00AA7161">
        <w:rPr>
          <w:lang w:val="es-ES" w:eastAsia="en-US"/>
        </w:rPr>
        <w:t>humanos</w:t>
      </w:r>
      <w:r w:rsidRPr="00AA7161">
        <w:rPr>
          <w:vertAlign w:val="superscript"/>
          <w:lang w:val="es-ES" w:eastAsia="en-US"/>
        </w:rPr>
        <w:t>(</w:t>
      </w:r>
      <w:proofErr w:type="gramEnd"/>
      <w:r w:rsidRPr="00AA7161">
        <w:rPr>
          <w:vertAlign w:val="superscript"/>
          <w:lang w:val="es-ES" w:eastAsia="en-US"/>
        </w:rPr>
        <w:t xml:space="preserve">21) </w:t>
      </w:r>
      <w:r w:rsidRPr="00AA7161">
        <w:rPr>
          <w:lang w:val="es-ES" w:eastAsia="en-US"/>
        </w:rPr>
        <w:t>y las directrices de la Conferencia Internacional de Armonización. El Comité de Ética y el Consejo Científico del Hospital Militar Central “Dr. Luis Díaz Soto” (sitio clínico) aprobaron la ejecución de este estudio.</w:t>
      </w:r>
    </w:p>
    <w:p w14:paraId="1F47FA55"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Esta investigación no incluyó intervención clínica en los pacientes. Se utilizaron las historias clínicas para obtener los datos de las variables primarias y secundarias definidas en el estudio. Los datos fueron recopilados en una base de datos, según los siguientes criterios de inclusión y exclusión: </w:t>
      </w:r>
    </w:p>
    <w:p w14:paraId="275B4714" w14:textId="77777777" w:rsidR="009D6C84" w:rsidRPr="00AA7161" w:rsidRDefault="009D6C84" w:rsidP="009D6C84">
      <w:pPr>
        <w:widowControl w:val="0"/>
        <w:spacing w:line="360" w:lineRule="auto"/>
        <w:jc w:val="both"/>
        <w:rPr>
          <w:lang w:val="es-ES" w:eastAsia="en-US"/>
        </w:rPr>
      </w:pPr>
    </w:p>
    <w:p w14:paraId="73C28694" w14:textId="77777777" w:rsidR="009D6C84" w:rsidRPr="00AA7161" w:rsidRDefault="009D6C84" w:rsidP="009D6C84">
      <w:pPr>
        <w:widowControl w:val="0"/>
        <w:spacing w:line="360" w:lineRule="auto"/>
        <w:ind w:left="720"/>
        <w:jc w:val="both"/>
        <w:rPr>
          <w:lang w:val="es-ES" w:eastAsia="en-US"/>
        </w:rPr>
      </w:pPr>
      <w:r w:rsidRPr="00AA7161">
        <w:rPr>
          <w:lang w:val="es-ES" w:eastAsia="en-US"/>
        </w:rPr>
        <w:t>1) Paciente con diagnóstico positivo de SARS-CoV-2, por la reacción en cadena de la polimerasa con transcriptasa inversa en tiempo real (RT-PCR).</w:t>
      </w:r>
    </w:p>
    <w:p w14:paraId="08B1E470" w14:textId="77777777" w:rsidR="009D6C84" w:rsidRPr="00AA7161" w:rsidRDefault="009D6C84" w:rsidP="009D6C84">
      <w:pPr>
        <w:widowControl w:val="0"/>
        <w:spacing w:line="360" w:lineRule="auto"/>
        <w:ind w:left="720"/>
        <w:jc w:val="both"/>
        <w:rPr>
          <w:lang w:val="es-ES" w:eastAsia="en-US"/>
        </w:rPr>
      </w:pPr>
      <w:r w:rsidRPr="00AA7161">
        <w:rPr>
          <w:lang w:val="es-ES" w:eastAsia="en-US"/>
        </w:rPr>
        <w:t>2) Paciente clasificado como crítico, según el protocolo nacional cubano aprobado por el Minsap para la COVID-</w:t>
      </w:r>
      <w:proofErr w:type="gramStart"/>
      <w:r w:rsidRPr="00AA7161">
        <w:rPr>
          <w:lang w:val="es-ES" w:eastAsia="en-US"/>
        </w:rPr>
        <w:t>19.</w:t>
      </w:r>
      <w:r w:rsidRPr="00AA7161">
        <w:rPr>
          <w:vertAlign w:val="superscript"/>
          <w:lang w:val="es-ES" w:eastAsia="en-US"/>
        </w:rPr>
        <w:t>(</w:t>
      </w:r>
      <w:proofErr w:type="gramEnd"/>
      <w:r w:rsidRPr="00AA7161">
        <w:rPr>
          <w:vertAlign w:val="superscript"/>
          <w:lang w:val="es-ES" w:eastAsia="en-US"/>
        </w:rPr>
        <w:t>22)</w:t>
      </w:r>
      <w:r w:rsidRPr="00AA7161">
        <w:rPr>
          <w:lang w:val="es-ES" w:eastAsia="en-US"/>
        </w:rPr>
        <w:t xml:space="preserve"> Los criterios para esta clasificación fueron: (a) paciente con SDRA, evidenciado por la relación entre PaO2 / FiO2 ≤ 300 mmHg;</w:t>
      </w:r>
      <w:r w:rsidRPr="00AA7161">
        <w:rPr>
          <w:vertAlign w:val="superscript"/>
          <w:lang w:val="es-ES" w:eastAsia="en-US"/>
        </w:rPr>
        <w:t>(23)</w:t>
      </w:r>
      <w:r w:rsidRPr="00AA7161">
        <w:rPr>
          <w:lang w:val="es-ES" w:eastAsia="en-US"/>
        </w:rPr>
        <w:t xml:space="preserve"> (b) paciente con una evaluación secuencial de insuficiencia orgánica (SOFA) &gt; 2; y (c) paciente con un patrón intersticial multilobar bilateral &gt; 50 % en las radiografías de tórax.</w:t>
      </w:r>
    </w:p>
    <w:p w14:paraId="2B955C27" w14:textId="77777777" w:rsidR="009D6C84" w:rsidRPr="00AA7161" w:rsidRDefault="009D6C84" w:rsidP="009D6C84">
      <w:pPr>
        <w:widowControl w:val="0"/>
        <w:spacing w:line="360" w:lineRule="auto"/>
        <w:ind w:left="720"/>
        <w:jc w:val="both"/>
        <w:rPr>
          <w:lang w:val="es-ES" w:eastAsia="en-US"/>
        </w:rPr>
      </w:pPr>
      <w:r w:rsidRPr="00AA7161">
        <w:rPr>
          <w:lang w:val="es-ES" w:eastAsia="en-US"/>
        </w:rPr>
        <w:t xml:space="preserve">3) Paciente que no falleció durante las primeras 48 horas de atención en la unidad de cuidados intensivos (UCI). </w:t>
      </w:r>
    </w:p>
    <w:p w14:paraId="1BFD183D" w14:textId="77777777" w:rsidR="009D6C84" w:rsidRPr="00AA7161" w:rsidRDefault="009D6C84" w:rsidP="009D6C84">
      <w:pPr>
        <w:widowControl w:val="0"/>
        <w:spacing w:line="360" w:lineRule="auto"/>
        <w:ind w:left="720"/>
        <w:jc w:val="both"/>
        <w:rPr>
          <w:lang w:val="es-ES" w:eastAsia="en-US"/>
        </w:rPr>
      </w:pPr>
      <w:r w:rsidRPr="00AA7161">
        <w:rPr>
          <w:lang w:val="es-ES" w:eastAsia="en-US"/>
        </w:rPr>
        <w:t xml:space="preserve">4) Paciente no incluido en otro ensayo clínico. </w:t>
      </w:r>
    </w:p>
    <w:p w14:paraId="5797AE5B" w14:textId="77777777" w:rsidR="009D6C84" w:rsidRPr="00AA7161" w:rsidRDefault="009D6C84" w:rsidP="009D6C84">
      <w:pPr>
        <w:widowControl w:val="0"/>
        <w:spacing w:line="360" w:lineRule="auto"/>
        <w:ind w:left="720"/>
        <w:jc w:val="both"/>
        <w:rPr>
          <w:lang w:val="es-ES" w:eastAsia="en-US"/>
        </w:rPr>
      </w:pPr>
      <w:r w:rsidRPr="00AA7161">
        <w:rPr>
          <w:lang w:val="es-ES" w:eastAsia="en-US"/>
        </w:rPr>
        <w:t>5) Paciente admitido en la UCI, dentro del plazo del primero al 25 de junio del 2021 (Fig. 1).</w:t>
      </w:r>
    </w:p>
    <w:p w14:paraId="7108BCDC" w14:textId="77777777" w:rsidR="009D6C84" w:rsidRPr="00AA7161" w:rsidRDefault="009D6C84" w:rsidP="009D6C84">
      <w:pPr>
        <w:widowControl w:val="0"/>
        <w:spacing w:line="360" w:lineRule="auto"/>
        <w:rPr>
          <w:lang w:val="es-ES" w:eastAsia="en-US"/>
        </w:rPr>
      </w:pPr>
    </w:p>
    <w:p w14:paraId="77424206" w14:textId="77777777" w:rsidR="009D6C84" w:rsidRPr="00AA7161" w:rsidRDefault="009D6C84" w:rsidP="009D6C84">
      <w:pPr>
        <w:widowControl w:val="0"/>
        <w:spacing w:line="360" w:lineRule="auto"/>
        <w:rPr>
          <w:lang w:val="es-ES" w:eastAsia="en-US"/>
        </w:rPr>
      </w:pPr>
      <w:r w:rsidRPr="00AA7161">
        <w:rPr>
          <w:lang w:val="es-ES" w:eastAsia="en-US"/>
        </w:rPr>
        <w:t>La variable principal del estudio fue la sobrevida de los pacientes, con seguimiento hasta el 25 de julio del 2021. El fallecimiento se identificó en la revisión de las historias clínicas, mediante la nota médica que anunciaba que el paciente había fallecido.</w:t>
      </w:r>
      <w:r w:rsidRPr="00AA7161">
        <w:rPr>
          <w:vanish/>
          <w:lang w:val="es-ES" w:eastAsia="en-US"/>
        </w:rPr>
        <w:t>El criterio de valoración principal fue la muerte con seguimiento hasta el 5 de mayo de 2020. La mortalidad se identificó en la revisión de recursos humanos mediante una nota médica que anunciaba que el paciente había fallecido con la hora de la muerte.The primary endpoint was death with follow-up through May 5, 2020. Mortality was identified at the HR review by a medical note announcing that the patient had passed away with the time of death.</w:t>
      </w:r>
    </w:p>
    <w:p w14:paraId="43EBD4FE" w14:textId="77777777" w:rsidR="009D6C84" w:rsidRPr="00AA7161" w:rsidRDefault="009D6C84" w:rsidP="009D6C84">
      <w:pPr>
        <w:widowControl w:val="0"/>
        <w:spacing w:line="360" w:lineRule="auto"/>
        <w:jc w:val="both"/>
        <w:rPr>
          <w:vanish/>
          <w:lang w:val="es-ES" w:eastAsia="en-US"/>
        </w:rPr>
      </w:pPr>
      <w:r w:rsidRPr="00AA7161">
        <w:rPr>
          <w:vanish/>
          <w:lang w:val="es-ES" w:eastAsia="en-US"/>
        </w:rPr>
        <w:t>El criterio principal de valoración fue la muerte con seguimiento hasta el 5 de mayo de 2020. La mortalidad se identificó en la revisión de RR.HH. mediante una nota médica que anunciaba que el paciente había fallecido con la hora de la muerte.</w:t>
      </w:r>
    </w:p>
    <w:p w14:paraId="4956F501" w14:textId="77777777" w:rsidR="009D6C84" w:rsidRPr="00AA7161" w:rsidRDefault="009D6C84" w:rsidP="009D6C84">
      <w:pPr>
        <w:widowControl w:val="0"/>
        <w:spacing w:line="360" w:lineRule="auto"/>
        <w:jc w:val="both"/>
        <w:rPr>
          <w:vanish/>
          <w:lang w:val="en" w:eastAsia="en-US"/>
        </w:rPr>
      </w:pPr>
      <w:r w:rsidRPr="00AA7161">
        <w:rPr>
          <w:vanish/>
          <w:lang w:val="en" w:eastAsia="en-US"/>
        </w:rPr>
        <w:t>The primary endpoint was death with follow-up to May 5, 2020. Mortality was identified in the HR review by a medical note announcing that the patient had died with the time of death.</w:t>
      </w:r>
    </w:p>
    <w:p w14:paraId="28021450" w14:textId="77777777" w:rsidR="009D6C84" w:rsidRPr="00AA7161" w:rsidRDefault="009D6C84" w:rsidP="009D6C84">
      <w:pPr>
        <w:widowControl w:val="0"/>
        <w:spacing w:line="360" w:lineRule="auto"/>
        <w:jc w:val="both"/>
        <w:rPr>
          <w:vanish/>
          <w:lang w:val="es-ES" w:eastAsia="en-US"/>
        </w:rPr>
      </w:pPr>
      <w:r w:rsidRPr="00AA7161">
        <w:rPr>
          <w:vanish/>
          <w:lang w:val="es-ES" w:eastAsia="en-US"/>
        </w:rPr>
        <w:t>No se han podido cargar todos los resultados</w:t>
      </w:r>
    </w:p>
    <w:p w14:paraId="72D1F895" w14:textId="77777777" w:rsidR="009D6C84" w:rsidRPr="00AA7161" w:rsidRDefault="009D6C84" w:rsidP="009D6C84">
      <w:pPr>
        <w:widowControl w:val="0"/>
        <w:spacing w:line="360" w:lineRule="auto"/>
        <w:jc w:val="both"/>
        <w:rPr>
          <w:vanish/>
          <w:lang w:val="es-ES" w:eastAsia="en-US"/>
        </w:rPr>
      </w:pPr>
      <w:r w:rsidRPr="00AA7161">
        <w:rPr>
          <w:vanish/>
          <w:lang w:val="es-ES" w:eastAsia="en-US"/>
        </w:rPr>
        <w:t>Reintentar</w:t>
      </w:r>
    </w:p>
    <w:p w14:paraId="7C3A5CD1" w14:textId="77777777" w:rsidR="009D6C84" w:rsidRPr="00AA7161" w:rsidRDefault="009D6C84" w:rsidP="009D6C84">
      <w:pPr>
        <w:widowControl w:val="0"/>
        <w:spacing w:line="360" w:lineRule="auto"/>
        <w:jc w:val="both"/>
        <w:rPr>
          <w:vanish/>
          <w:lang w:val="es-ES" w:eastAsia="en-US"/>
        </w:rPr>
      </w:pPr>
      <w:r w:rsidRPr="00AA7161">
        <w:rPr>
          <w:vanish/>
          <w:lang w:val="es-ES" w:eastAsia="en-US"/>
        </w:rPr>
        <w:t>Intentándolo de nuevo...</w:t>
      </w:r>
    </w:p>
    <w:p w14:paraId="6607C552" w14:textId="77777777" w:rsidR="009D6C84" w:rsidRPr="00AA7161" w:rsidRDefault="009D6C84" w:rsidP="009D6C84">
      <w:pPr>
        <w:widowControl w:val="0"/>
        <w:spacing w:line="360" w:lineRule="auto"/>
        <w:jc w:val="both"/>
        <w:rPr>
          <w:vanish/>
          <w:lang w:val="es-ES" w:eastAsia="en-US"/>
        </w:rPr>
      </w:pPr>
      <w:r w:rsidRPr="00AA7161">
        <w:rPr>
          <w:vanish/>
          <w:lang w:val="es-ES" w:eastAsia="en-US"/>
        </w:rPr>
        <w:t>Intentándolo de nuevo...</w:t>
      </w:r>
    </w:p>
    <w:p w14:paraId="5329BD52"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Las variables secundarias fueron: efectos de Jusvinza sobre los signos vitales; parámetros de ventilación; </w:t>
      </w:r>
      <w:r w:rsidRPr="00AA7161">
        <w:rPr>
          <w:lang w:val="es-ES" w:eastAsia="en-US"/>
        </w:rPr>
        <w:lastRenderedPageBreak/>
        <w:t>biomarcadores de inflamación y coagulación. Los signos vitales recopilados fueron: presión arterial media (mmHg), frecuencia cardíaca (latidos/ min), frecuencia respiratoria (rpm). Los parámetros ventilatorios incluidos fueron: saturación de oxígeno en sangre SO2 (%), presión parcial de oxígeno</w:t>
      </w:r>
      <w:r w:rsidRPr="00AA7161">
        <w:rPr>
          <w:rFonts w:eastAsia="Calibri"/>
          <w:lang w:val="es-ES" w:eastAsia="en-US"/>
        </w:rPr>
        <w:t xml:space="preserve"> </w:t>
      </w:r>
      <w:r w:rsidRPr="00AA7161">
        <w:rPr>
          <w:lang w:val="es-ES" w:eastAsia="en-US"/>
        </w:rPr>
        <w:t xml:space="preserve">PO2 (mmHg) y P/ F </w:t>
      </w:r>
      <w:r w:rsidRPr="00AA7161">
        <w:rPr>
          <w:rFonts w:eastAsia="Calibri"/>
          <w:lang w:val="es-ES" w:eastAsia="en-US"/>
        </w:rPr>
        <w:t xml:space="preserve">(PaO2/ FiO2). </w:t>
      </w:r>
    </w:p>
    <w:p w14:paraId="0350C72A" w14:textId="77777777" w:rsidR="009D6C84" w:rsidRPr="00AA7161" w:rsidRDefault="009D6C84" w:rsidP="009D6C84">
      <w:pPr>
        <w:widowControl w:val="0"/>
        <w:spacing w:line="360" w:lineRule="auto"/>
        <w:jc w:val="both"/>
        <w:rPr>
          <w:lang w:val="es-ES" w:eastAsia="en-US"/>
        </w:rPr>
      </w:pPr>
      <w:r w:rsidRPr="00AA7161">
        <w:rPr>
          <w:lang w:val="es-ES" w:eastAsia="en-US"/>
        </w:rPr>
        <w:t>Se registraron a partir de las historias clínicas, los valores de los biomarcadores de la inflamación: índice neutrófilos/ linfocitos (INL), proteína C reactiva (</w:t>
      </w:r>
      <w:proofErr w:type="spellStart"/>
      <w:r w:rsidRPr="00AA7161">
        <w:rPr>
          <w:lang w:val="es-ES" w:eastAsia="en-US"/>
        </w:rPr>
        <w:t>pCR</w:t>
      </w:r>
      <w:proofErr w:type="spellEnd"/>
      <w:r w:rsidRPr="00AA7161">
        <w:rPr>
          <w:lang w:val="es-ES" w:eastAsia="en-US"/>
        </w:rPr>
        <w:t>), eritrosedimentación (ERITRO), lactato deshidrogenasa (LDH) y ferritina. Además, los valores de los marcadores de la coagulación   dímero D (DD) y fibrinógeno.</w:t>
      </w:r>
    </w:p>
    <w:p w14:paraId="4CF5379A" w14:textId="77777777" w:rsidR="009D6C84" w:rsidRPr="00AA7161" w:rsidRDefault="009D6C84" w:rsidP="009D6C84">
      <w:pPr>
        <w:widowControl w:val="0"/>
        <w:spacing w:line="360" w:lineRule="auto"/>
        <w:jc w:val="both"/>
        <w:rPr>
          <w:lang w:val="es-ES" w:eastAsia="en-US"/>
        </w:rPr>
      </w:pPr>
      <w:r w:rsidRPr="00AA7161">
        <w:rPr>
          <w:lang w:val="es-ES" w:eastAsia="en-US"/>
        </w:rPr>
        <w:t>Los pacientes se separaron en dos grupos: 1) tratados con Jusvinza; y 2) no tratados con Jusvinza (grupo control).</w:t>
      </w:r>
    </w:p>
    <w:p w14:paraId="7662E244" w14:textId="77777777" w:rsidR="009D6C84" w:rsidRPr="00AA7161" w:rsidRDefault="009D6C84" w:rsidP="009D6C84">
      <w:pPr>
        <w:widowControl w:val="0"/>
        <w:spacing w:line="360" w:lineRule="auto"/>
        <w:jc w:val="both"/>
        <w:rPr>
          <w:vanish/>
          <w:lang w:val="en-US" w:eastAsia="en-US"/>
        </w:rPr>
      </w:pPr>
    </w:p>
    <w:p w14:paraId="4A8F3AF2" w14:textId="77777777" w:rsidR="009D6C84" w:rsidRPr="00AA7161" w:rsidRDefault="009D6C84" w:rsidP="009D6C84">
      <w:pPr>
        <w:widowControl w:val="0"/>
        <w:spacing w:line="360" w:lineRule="auto"/>
        <w:jc w:val="both"/>
        <w:rPr>
          <w:vanish/>
          <w:lang w:val="en" w:eastAsia="en-US"/>
        </w:rPr>
      </w:pPr>
      <w:r w:rsidRPr="00AA7161">
        <w:rPr>
          <w:vanish/>
          <w:lang w:val="en" w:eastAsia="en-US"/>
        </w:rPr>
        <w:t>For the therapeutic effect of Jusvinza, the patients were divided into two groups: 1) treated with Jusvinza, -2) not treated with Jusvinza (control group).</w:t>
      </w:r>
    </w:p>
    <w:p w14:paraId="73D533A6" w14:textId="77777777" w:rsidR="009D6C84" w:rsidRPr="00AA7161" w:rsidRDefault="009D6C84" w:rsidP="009D6C84">
      <w:pPr>
        <w:widowControl w:val="0"/>
        <w:spacing w:line="360" w:lineRule="auto"/>
        <w:jc w:val="both"/>
        <w:rPr>
          <w:vanish/>
          <w:lang w:val="es-ES" w:eastAsia="en-US"/>
        </w:rPr>
      </w:pPr>
      <w:r w:rsidRPr="00AA7161">
        <w:rPr>
          <w:vanish/>
          <w:lang w:val="es-ES" w:eastAsia="en-US"/>
        </w:rPr>
        <w:t>Para el efecto terapéutico de Jusvinza, los pacientes se dividieron en dos grupos: 1) tratados con Jusvinza, -2) no tratados con Jusvinza (grupo de control).</w:t>
      </w:r>
    </w:p>
    <w:p w14:paraId="552B4A0F" w14:textId="77777777" w:rsidR="009D6C84" w:rsidRPr="00AA7161" w:rsidRDefault="009D6C84" w:rsidP="009D6C84">
      <w:pPr>
        <w:widowControl w:val="0"/>
        <w:spacing w:line="360" w:lineRule="auto"/>
        <w:jc w:val="both"/>
        <w:rPr>
          <w:vanish/>
          <w:lang w:val="en" w:eastAsia="en-US"/>
        </w:rPr>
      </w:pPr>
      <w:r w:rsidRPr="00AA7161">
        <w:rPr>
          <w:vanish/>
          <w:lang w:val="en" w:eastAsia="en-US"/>
        </w:rPr>
        <w:t>For the therapeutic effect of Jusvinza, the patients were divided into two groups: 1) treated with Jusvinza, -2) not treated with Jusvinza (control group).</w:t>
      </w:r>
    </w:p>
    <w:p w14:paraId="78C50ADF" w14:textId="77777777" w:rsidR="009D6C84" w:rsidRPr="00AA7161" w:rsidRDefault="009D6C84" w:rsidP="009D6C84">
      <w:pPr>
        <w:widowControl w:val="0"/>
        <w:spacing w:line="360" w:lineRule="auto"/>
        <w:jc w:val="both"/>
        <w:rPr>
          <w:vanish/>
          <w:lang w:val="es-ES" w:eastAsia="en-US"/>
        </w:rPr>
      </w:pPr>
      <w:r w:rsidRPr="00AA7161">
        <w:rPr>
          <w:vanish/>
          <w:lang w:val="es-ES" w:eastAsia="en-US"/>
        </w:rPr>
        <w:t>No se han podido cargar todos los resultados</w:t>
      </w:r>
    </w:p>
    <w:p w14:paraId="3A3EFCA8" w14:textId="77777777" w:rsidR="009D6C84" w:rsidRPr="00AA7161" w:rsidRDefault="009D6C84" w:rsidP="009D6C84">
      <w:pPr>
        <w:widowControl w:val="0"/>
        <w:spacing w:line="360" w:lineRule="auto"/>
        <w:jc w:val="both"/>
        <w:rPr>
          <w:vanish/>
          <w:lang w:val="es-ES" w:eastAsia="en-US"/>
        </w:rPr>
      </w:pPr>
      <w:r w:rsidRPr="00AA7161">
        <w:rPr>
          <w:vanish/>
          <w:lang w:val="es-ES" w:eastAsia="en-US"/>
        </w:rPr>
        <w:t>Reintentar</w:t>
      </w:r>
    </w:p>
    <w:p w14:paraId="1D6F8563" w14:textId="77777777" w:rsidR="009D6C84" w:rsidRPr="00AA7161" w:rsidRDefault="009D6C84" w:rsidP="009D6C84">
      <w:pPr>
        <w:widowControl w:val="0"/>
        <w:spacing w:line="360" w:lineRule="auto"/>
        <w:jc w:val="both"/>
        <w:rPr>
          <w:vanish/>
          <w:lang w:val="es-ES" w:eastAsia="en-US"/>
        </w:rPr>
      </w:pPr>
      <w:r w:rsidRPr="00AA7161">
        <w:rPr>
          <w:vanish/>
          <w:lang w:val="es-ES" w:eastAsia="en-US"/>
        </w:rPr>
        <w:t>Intentándolo de nuevo...</w:t>
      </w:r>
    </w:p>
    <w:p w14:paraId="5A5CDDF6" w14:textId="77777777" w:rsidR="009D6C84" w:rsidRPr="00AA7161" w:rsidRDefault="009D6C84" w:rsidP="009D6C84">
      <w:pPr>
        <w:widowControl w:val="0"/>
        <w:spacing w:line="360" w:lineRule="auto"/>
        <w:jc w:val="both"/>
        <w:rPr>
          <w:vanish/>
          <w:lang w:val="es-ES" w:eastAsia="en-US"/>
        </w:rPr>
      </w:pPr>
      <w:r w:rsidRPr="00AA7161">
        <w:rPr>
          <w:vanish/>
          <w:lang w:val="es-ES" w:eastAsia="en-US"/>
        </w:rPr>
        <w:t>Intentándolo de nuevo...</w:t>
      </w:r>
    </w:p>
    <w:p w14:paraId="37BC0CA5" w14:textId="77777777" w:rsidR="009D6C84" w:rsidRPr="00AA7161" w:rsidRDefault="009D6C84" w:rsidP="009D6C84">
      <w:pPr>
        <w:widowControl w:val="0"/>
        <w:spacing w:line="360" w:lineRule="auto"/>
        <w:jc w:val="both"/>
        <w:rPr>
          <w:vanish/>
          <w:lang w:val="es-ES" w:eastAsia="en-US"/>
        </w:rPr>
      </w:pPr>
      <w:r w:rsidRPr="00AA7161">
        <w:rPr>
          <w:vanish/>
          <w:lang w:val="es-ES" w:eastAsia="en-US"/>
        </w:rPr>
        <w:t>No se han podido cargar todos los resultados</w:t>
      </w:r>
    </w:p>
    <w:p w14:paraId="443DED75" w14:textId="77777777" w:rsidR="009D6C84" w:rsidRPr="00AA7161" w:rsidRDefault="009D6C84" w:rsidP="009D6C84">
      <w:pPr>
        <w:widowControl w:val="0"/>
        <w:spacing w:line="360" w:lineRule="auto"/>
        <w:jc w:val="both"/>
        <w:rPr>
          <w:vanish/>
          <w:lang w:val="es-ES" w:eastAsia="en-US"/>
        </w:rPr>
      </w:pPr>
      <w:r w:rsidRPr="00AA7161">
        <w:rPr>
          <w:vanish/>
          <w:lang w:val="es-ES" w:eastAsia="en-US"/>
        </w:rPr>
        <w:t>Reintentar</w:t>
      </w:r>
    </w:p>
    <w:p w14:paraId="16CB8157" w14:textId="77777777" w:rsidR="009D6C84" w:rsidRPr="00AA7161" w:rsidRDefault="009D6C84" w:rsidP="009D6C84">
      <w:pPr>
        <w:widowControl w:val="0"/>
        <w:spacing w:line="360" w:lineRule="auto"/>
        <w:jc w:val="both"/>
        <w:rPr>
          <w:vanish/>
          <w:lang w:val="es-ES" w:eastAsia="en-US"/>
        </w:rPr>
      </w:pPr>
      <w:r w:rsidRPr="00AA7161">
        <w:rPr>
          <w:vanish/>
          <w:lang w:val="es-ES" w:eastAsia="en-US"/>
        </w:rPr>
        <w:t>Intentándolo de nuevo...</w:t>
      </w:r>
    </w:p>
    <w:p w14:paraId="182DA64C" w14:textId="77777777" w:rsidR="009D6C84" w:rsidRPr="00AA7161" w:rsidRDefault="009D6C84" w:rsidP="009D6C84">
      <w:pPr>
        <w:widowControl w:val="0"/>
        <w:spacing w:line="360" w:lineRule="auto"/>
        <w:jc w:val="both"/>
        <w:rPr>
          <w:vanish/>
          <w:lang w:val="es-ES" w:eastAsia="en-US"/>
        </w:rPr>
      </w:pPr>
      <w:r w:rsidRPr="00AA7161">
        <w:rPr>
          <w:vanish/>
          <w:lang w:val="es-ES" w:eastAsia="en-US"/>
        </w:rPr>
        <w:t>Intentándolo de nuevo...</w:t>
      </w:r>
    </w:p>
    <w:p w14:paraId="2A517439" w14:textId="77777777" w:rsidR="009D6C84" w:rsidRPr="00AA7161" w:rsidRDefault="009D6C84" w:rsidP="009D6C84">
      <w:pPr>
        <w:widowControl w:val="0"/>
        <w:spacing w:line="360" w:lineRule="auto"/>
        <w:jc w:val="both"/>
        <w:rPr>
          <w:lang w:val="es-ES" w:eastAsia="en-US"/>
        </w:rPr>
      </w:pPr>
      <w:r w:rsidRPr="00AA7161">
        <w:rPr>
          <w:lang w:val="es-ES" w:eastAsia="en-US"/>
        </w:rPr>
        <w:t>El grupo tratado con Jusvinza se conformó a partir de los pacientes en cuyas historias clínicas se encontró registrado el uso de este fármaco, según el protocolo cubano de actuación contra la COVID-</w:t>
      </w:r>
      <w:proofErr w:type="gramStart"/>
      <w:r w:rsidRPr="00AA7161">
        <w:rPr>
          <w:lang w:val="es-ES" w:eastAsia="en-US"/>
        </w:rPr>
        <w:t>19.</w:t>
      </w:r>
      <w:r w:rsidRPr="00AA7161">
        <w:rPr>
          <w:vertAlign w:val="superscript"/>
          <w:lang w:val="es-ES" w:eastAsia="en-US"/>
        </w:rPr>
        <w:t>(</w:t>
      </w:r>
      <w:proofErr w:type="gramEnd"/>
      <w:r w:rsidRPr="00AA7161">
        <w:rPr>
          <w:vertAlign w:val="superscript"/>
          <w:lang w:val="es-ES" w:eastAsia="en-US"/>
        </w:rPr>
        <w:t>22)</w:t>
      </w:r>
    </w:p>
    <w:p w14:paraId="11E4748B" w14:textId="77777777" w:rsidR="009D6C84" w:rsidRPr="00AA7161" w:rsidRDefault="009D6C84" w:rsidP="009D6C84">
      <w:pPr>
        <w:widowControl w:val="0"/>
        <w:spacing w:line="360" w:lineRule="auto"/>
        <w:jc w:val="both"/>
        <w:rPr>
          <w:vanish/>
          <w:lang w:val="en-US" w:eastAsia="en-US"/>
        </w:rPr>
      </w:pPr>
      <w:r w:rsidRPr="00AA7161">
        <w:rPr>
          <w:vanish/>
          <w:lang w:val="es-ES" w:eastAsia="en-US"/>
        </w:rPr>
        <w:t>El tratamiento con Jusvinza se definió como citas de la administración del fármaco en el HR.</w:t>
      </w:r>
    </w:p>
    <w:p w14:paraId="0457B711" w14:textId="77777777" w:rsidR="009D6C84" w:rsidRPr="00AA7161" w:rsidRDefault="009D6C84" w:rsidP="009D6C84">
      <w:pPr>
        <w:widowControl w:val="0"/>
        <w:spacing w:line="360" w:lineRule="auto"/>
        <w:jc w:val="both"/>
        <w:rPr>
          <w:vanish/>
          <w:lang w:val="en" w:eastAsia="en-US"/>
        </w:rPr>
      </w:pPr>
      <w:r w:rsidRPr="00AA7161">
        <w:rPr>
          <w:vanish/>
          <w:lang w:val="en" w:eastAsia="en-US"/>
        </w:rPr>
        <w:t>Jusvinza treatment was defined as appointments of drug administration in the HR.</w:t>
      </w:r>
    </w:p>
    <w:p w14:paraId="3416ADFD" w14:textId="77777777" w:rsidR="009D6C84" w:rsidRPr="00AA7161" w:rsidRDefault="009D6C84" w:rsidP="009D6C84">
      <w:pPr>
        <w:widowControl w:val="0"/>
        <w:spacing w:line="360" w:lineRule="auto"/>
        <w:jc w:val="both"/>
        <w:rPr>
          <w:vanish/>
          <w:lang w:val="es-ES" w:eastAsia="en-US"/>
        </w:rPr>
      </w:pPr>
      <w:r w:rsidRPr="00AA7161">
        <w:rPr>
          <w:vanish/>
          <w:lang w:val="es-ES" w:eastAsia="en-US"/>
        </w:rPr>
        <w:t>El tratamiento con Jusvinza se definió como las citas de la administración de fármacos en el HR.</w:t>
      </w:r>
    </w:p>
    <w:p w14:paraId="651DA032" w14:textId="77777777" w:rsidR="009D6C84" w:rsidRPr="00AA7161" w:rsidRDefault="009D6C84" w:rsidP="009D6C84">
      <w:pPr>
        <w:widowControl w:val="0"/>
        <w:spacing w:line="360" w:lineRule="auto"/>
        <w:jc w:val="both"/>
        <w:rPr>
          <w:vanish/>
          <w:lang w:val="en" w:eastAsia="en-US"/>
        </w:rPr>
      </w:pPr>
      <w:r w:rsidRPr="00AA7161">
        <w:rPr>
          <w:vanish/>
          <w:lang w:val="en" w:eastAsia="en-US"/>
        </w:rPr>
        <w:t>Jusvinza treatment was defined as HR drug administration appointments.</w:t>
      </w:r>
    </w:p>
    <w:p w14:paraId="3C977D79" w14:textId="77777777" w:rsidR="009D6C84" w:rsidRPr="00AA7161" w:rsidRDefault="009D6C84" w:rsidP="009D6C84">
      <w:pPr>
        <w:widowControl w:val="0"/>
        <w:spacing w:line="360" w:lineRule="auto"/>
        <w:jc w:val="both"/>
        <w:rPr>
          <w:vanish/>
          <w:lang w:val="es-ES" w:eastAsia="en-US"/>
        </w:rPr>
      </w:pPr>
      <w:r w:rsidRPr="00AA7161">
        <w:rPr>
          <w:vanish/>
          <w:lang w:val="es-ES" w:eastAsia="en-US"/>
        </w:rPr>
        <w:t>No se han podido cargar todos los resultados</w:t>
      </w:r>
    </w:p>
    <w:p w14:paraId="1AB56699" w14:textId="77777777" w:rsidR="009D6C84" w:rsidRPr="00AA7161" w:rsidRDefault="009D6C84" w:rsidP="009D6C84">
      <w:pPr>
        <w:widowControl w:val="0"/>
        <w:spacing w:line="360" w:lineRule="auto"/>
        <w:jc w:val="both"/>
        <w:rPr>
          <w:vanish/>
          <w:lang w:val="es-ES" w:eastAsia="en-US"/>
        </w:rPr>
      </w:pPr>
      <w:r w:rsidRPr="00AA7161">
        <w:rPr>
          <w:vanish/>
          <w:lang w:val="es-ES" w:eastAsia="en-US"/>
        </w:rPr>
        <w:t>Reintentar</w:t>
      </w:r>
    </w:p>
    <w:p w14:paraId="3C2DB4AE" w14:textId="77777777" w:rsidR="009D6C84" w:rsidRPr="00AA7161" w:rsidRDefault="009D6C84" w:rsidP="009D6C84">
      <w:pPr>
        <w:widowControl w:val="0"/>
        <w:spacing w:line="360" w:lineRule="auto"/>
        <w:jc w:val="both"/>
        <w:rPr>
          <w:vanish/>
          <w:lang w:val="es-ES" w:eastAsia="en-US"/>
        </w:rPr>
      </w:pPr>
      <w:r w:rsidRPr="00AA7161">
        <w:rPr>
          <w:vanish/>
          <w:lang w:val="es-ES" w:eastAsia="en-US"/>
        </w:rPr>
        <w:t>Intentándolo de nuevo...</w:t>
      </w:r>
    </w:p>
    <w:p w14:paraId="40793A6C" w14:textId="77777777" w:rsidR="009D6C84" w:rsidRPr="00AA7161" w:rsidRDefault="009D6C84" w:rsidP="009D6C84">
      <w:pPr>
        <w:widowControl w:val="0"/>
        <w:spacing w:line="360" w:lineRule="auto"/>
        <w:jc w:val="both"/>
        <w:rPr>
          <w:vanish/>
          <w:lang w:val="es-ES" w:eastAsia="en-US"/>
        </w:rPr>
      </w:pPr>
      <w:r w:rsidRPr="00AA7161">
        <w:rPr>
          <w:vanish/>
          <w:lang w:val="es-ES" w:eastAsia="en-US"/>
        </w:rPr>
        <w:t>Intentándolo de nuevo...</w:t>
      </w:r>
    </w:p>
    <w:p w14:paraId="05C31874"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Si no se encontraron datos de administración de Jusvinza en la historia clínica, se documentó como que estos pacientes no habían recibido el fármaco y fueron incluidos en el grupo control. </w:t>
      </w:r>
    </w:p>
    <w:p w14:paraId="288DDE1A" w14:textId="42219A36" w:rsidR="009D6C84" w:rsidRPr="00AA7161" w:rsidRDefault="009D6C84" w:rsidP="009D6C84">
      <w:pPr>
        <w:widowControl w:val="0"/>
        <w:spacing w:line="360" w:lineRule="auto"/>
        <w:jc w:val="both"/>
        <w:rPr>
          <w:lang w:val="es-ES" w:eastAsia="en-US"/>
        </w:rPr>
      </w:pPr>
      <w:r w:rsidRPr="00AA7161">
        <w:rPr>
          <w:lang w:val="es-ES" w:eastAsia="en-US"/>
        </w:rPr>
        <w:t>Se recogieron los datos de 40 pacientes, 20 en cada grupo (Fig. 1).</w:t>
      </w:r>
    </w:p>
    <w:p w14:paraId="1E25DB11" w14:textId="2D51DFA9" w:rsidR="00C7104D" w:rsidRPr="00AA7161" w:rsidRDefault="00C7104D" w:rsidP="009D6C84">
      <w:pPr>
        <w:widowControl w:val="0"/>
        <w:spacing w:line="360" w:lineRule="auto"/>
        <w:jc w:val="both"/>
        <w:rPr>
          <w:lang w:val="es-ES" w:eastAsia="en-US"/>
        </w:rPr>
      </w:pPr>
    </w:p>
    <w:p w14:paraId="38FE30FC" w14:textId="34EA6521" w:rsidR="00C7104D" w:rsidRPr="00AA7161" w:rsidRDefault="001635FD" w:rsidP="00C7104D">
      <w:pPr>
        <w:widowControl w:val="0"/>
        <w:spacing w:line="360" w:lineRule="auto"/>
        <w:jc w:val="center"/>
        <w:rPr>
          <w:rFonts w:eastAsia="Calibri"/>
          <w:lang w:val="es-ES" w:eastAsia="en-US"/>
        </w:rPr>
      </w:pPr>
      <w:r w:rsidRPr="00AA7161">
        <w:rPr>
          <w:noProof/>
          <w:lang w:val="es-ES" w:eastAsia="en-US"/>
        </w:rPr>
        <w:drawing>
          <wp:inline distT="0" distB="0" distL="0" distR="0" wp14:anchorId="3688DAE4" wp14:editId="74FD4FC6">
            <wp:extent cx="6334125" cy="225742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34125" cy="2257425"/>
                    </a:xfrm>
                    <a:prstGeom prst="rect">
                      <a:avLst/>
                    </a:prstGeom>
                    <a:noFill/>
                    <a:ln>
                      <a:noFill/>
                    </a:ln>
                  </pic:spPr>
                </pic:pic>
              </a:graphicData>
            </a:graphic>
          </wp:inline>
        </w:drawing>
      </w:r>
    </w:p>
    <w:p w14:paraId="50EA17FE" w14:textId="77777777" w:rsidR="009D6C84" w:rsidRPr="00AA7161" w:rsidRDefault="009D6C84" w:rsidP="009D6C84">
      <w:pPr>
        <w:spacing w:line="360" w:lineRule="auto"/>
        <w:jc w:val="center"/>
        <w:rPr>
          <w:bCs/>
          <w:iCs/>
          <w:sz w:val="22"/>
          <w:szCs w:val="22"/>
          <w:lang w:val="es-CU" w:eastAsia="en-US"/>
        </w:rPr>
      </w:pPr>
      <w:r w:rsidRPr="00AA7161">
        <w:rPr>
          <w:b/>
          <w:iCs/>
          <w:sz w:val="22"/>
          <w:szCs w:val="22"/>
          <w:lang w:val="es-CU" w:eastAsia="en-US"/>
        </w:rPr>
        <w:t>Fig. 1 -</w:t>
      </w:r>
      <w:r w:rsidRPr="00AA7161">
        <w:rPr>
          <w:bCs/>
          <w:iCs/>
          <w:sz w:val="22"/>
          <w:szCs w:val="22"/>
          <w:lang w:val="es-CU" w:eastAsia="en-US"/>
        </w:rPr>
        <w:t xml:space="preserve"> Diseño del estudio.</w:t>
      </w:r>
    </w:p>
    <w:p w14:paraId="3FA746FC" w14:textId="77777777" w:rsidR="009D6C84" w:rsidRPr="00AA7161" w:rsidRDefault="009D6C84" w:rsidP="009D6C84">
      <w:pPr>
        <w:widowControl w:val="0"/>
        <w:spacing w:line="360" w:lineRule="auto"/>
        <w:jc w:val="both"/>
        <w:rPr>
          <w:lang w:val="es-ES" w:eastAsia="en-US"/>
        </w:rPr>
      </w:pPr>
    </w:p>
    <w:p w14:paraId="0F5B17FA"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Los pacientes que recibieron Jusvinza fueron tratados según lo establecido en el protocolo cubano de </w:t>
      </w:r>
      <w:r w:rsidRPr="00AA7161">
        <w:rPr>
          <w:lang w:val="es-ES" w:eastAsia="en-US"/>
        </w:rPr>
        <w:lastRenderedPageBreak/>
        <w:t>actuación contra la COVID-</w:t>
      </w:r>
      <w:proofErr w:type="gramStart"/>
      <w:r w:rsidRPr="00AA7161">
        <w:rPr>
          <w:lang w:val="es-ES" w:eastAsia="en-US"/>
        </w:rPr>
        <w:t>19.</w:t>
      </w:r>
      <w:r w:rsidRPr="00AA7161">
        <w:rPr>
          <w:vertAlign w:val="superscript"/>
          <w:lang w:val="es-ES" w:eastAsia="en-US"/>
        </w:rPr>
        <w:t>(</w:t>
      </w:r>
      <w:proofErr w:type="gramEnd"/>
      <w:r w:rsidRPr="00AA7161">
        <w:rPr>
          <w:vertAlign w:val="superscript"/>
          <w:lang w:val="es-ES" w:eastAsia="en-US"/>
        </w:rPr>
        <w:t>22)</w:t>
      </w:r>
      <w:r w:rsidRPr="00AA7161">
        <w:rPr>
          <w:lang w:val="es-ES" w:eastAsia="en-US"/>
        </w:rPr>
        <w:t xml:space="preserve"> El tratamiento consistió en la administración i.v. de 2 mg de Jusvinza cada 12 horas. Según se registró en las historias clínicas, se obtuvieron muestras de suero antes del tratamiento y después de 24, 48, 72 horas y 7 días de tratamiento. Se precisó el tiempo cero (T0), como el momento en que ingresaron los pacientes en la UCI y se les realizó la primera extracción de sangre. En el caso del grupo tratado con Jusvinza, coincide con el tiempo antes de recibir la primera dosis. A los no tratados con Jusvinza, se les realizó extracción de sangre en T0 y después a las 24, 48, 72 horas y 7 días de su ingreso en la UCI. </w:t>
      </w:r>
    </w:p>
    <w:p w14:paraId="34B390E9" w14:textId="77777777" w:rsidR="009D6C84" w:rsidRPr="00AA7161" w:rsidRDefault="009D6C84" w:rsidP="009D6C84">
      <w:pPr>
        <w:widowControl w:val="0"/>
        <w:spacing w:line="360" w:lineRule="auto"/>
        <w:jc w:val="both"/>
        <w:rPr>
          <w:b/>
          <w:lang w:val="es-ES" w:eastAsia="en-US"/>
        </w:rPr>
      </w:pPr>
      <w:r w:rsidRPr="00AA7161">
        <w:rPr>
          <w:lang w:val="es-ES" w:eastAsia="en-US"/>
        </w:rPr>
        <w:t>Los datos de seguridad de los pacientes, fueron recolectados de acuerdo a la Resolución 45/2007</w:t>
      </w:r>
      <w:r w:rsidRPr="00AA7161">
        <w:rPr>
          <w:vertAlign w:val="superscript"/>
          <w:lang w:val="es-ES" w:eastAsia="en-US"/>
        </w:rPr>
        <w:t xml:space="preserve">(24) </w:t>
      </w:r>
      <w:r w:rsidRPr="00AA7161">
        <w:rPr>
          <w:lang w:val="es-ES" w:eastAsia="en-US"/>
        </w:rPr>
        <w:t xml:space="preserve">del CECMED, “Requisitos para reportar eventos adversos en ensayos clínicos en curso, con base en las regulaciones de la OMS”. </w:t>
      </w:r>
    </w:p>
    <w:p w14:paraId="67CB123C" w14:textId="77777777" w:rsidR="009D6C84" w:rsidRPr="00AA7161" w:rsidRDefault="009D6C84" w:rsidP="009D6C84">
      <w:pPr>
        <w:widowControl w:val="0"/>
        <w:spacing w:line="360" w:lineRule="auto"/>
        <w:jc w:val="both"/>
        <w:rPr>
          <w:lang w:val="es-ES" w:eastAsia="en-US"/>
        </w:rPr>
      </w:pPr>
      <w:r w:rsidRPr="00AA7161">
        <w:rPr>
          <w:lang w:val="es-ES" w:eastAsia="en-US"/>
        </w:rPr>
        <w:t>Los eventos adversos se compararon descriptivamente entre el T0 y los datos recopilados de los pacientes diariamente, según las buenas prácticas clínicas de la UCI del Hospital Militar Central “Dr. Luis Díaz Soto”.</w:t>
      </w:r>
    </w:p>
    <w:p w14:paraId="74876E98"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Los signos vitales, parámetros ventilatorios y de laboratorio, se analizaron a través del paquete estadístico </w:t>
      </w:r>
      <w:proofErr w:type="spellStart"/>
      <w:r w:rsidRPr="00AA7161">
        <w:rPr>
          <w:lang w:val="es-ES" w:eastAsia="en-US"/>
        </w:rPr>
        <w:t>GraphPad</w:t>
      </w:r>
      <w:proofErr w:type="spellEnd"/>
      <w:r w:rsidRPr="00AA7161">
        <w:rPr>
          <w:lang w:val="es-ES" w:eastAsia="en-US"/>
        </w:rPr>
        <w:t xml:space="preserve"> </w:t>
      </w:r>
      <w:proofErr w:type="spellStart"/>
      <w:r w:rsidRPr="00AA7161">
        <w:rPr>
          <w:lang w:val="es-ES" w:eastAsia="en-US"/>
        </w:rPr>
        <w:t>Prism</w:t>
      </w:r>
      <w:proofErr w:type="spellEnd"/>
      <w:r w:rsidRPr="00AA7161">
        <w:rPr>
          <w:lang w:val="es-ES" w:eastAsia="en-US"/>
        </w:rPr>
        <w:t>, versión 8.02 (</w:t>
      </w:r>
      <w:proofErr w:type="spellStart"/>
      <w:r w:rsidRPr="00AA7161">
        <w:rPr>
          <w:lang w:val="es-ES" w:eastAsia="en-US"/>
        </w:rPr>
        <w:t>GraphPadSofware</w:t>
      </w:r>
      <w:proofErr w:type="spellEnd"/>
      <w:r w:rsidRPr="00AA7161">
        <w:rPr>
          <w:lang w:val="es-ES" w:eastAsia="en-US"/>
        </w:rPr>
        <w:t xml:space="preserve">, San Diego California, EE.UU.). Los datos se examinaron para determinar normalidad y la igualdad de varianza con las pruebas de </w:t>
      </w:r>
      <w:proofErr w:type="spellStart"/>
      <w:r w:rsidRPr="00AA7161">
        <w:rPr>
          <w:lang w:val="es-ES" w:eastAsia="en-US"/>
        </w:rPr>
        <w:t>Kolmogorov-Smirnov</w:t>
      </w:r>
      <w:proofErr w:type="spellEnd"/>
      <w:r w:rsidRPr="00AA7161">
        <w:rPr>
          <w:lang w:val="es-ES" w:eastAsia="en-US"/>
        </w:rPr>
        <w:t xml:space="preserve"> y Bartlett, respectivamente. Todas las comparaciones entre el grupo tratado con Jusvinza y el grupo control, así como las comparaciones en T0, a las 24, 48, 72 h y 7 días, se realizaron usando un ANOVA bidireccional, prueba de Bonferroni. Se consideraron estadísticamente significativos los valores de p&lt; 0,05. Los resultados se representaron como la media ± la desviación estándar.</w:t>
      </w:r>
    </w:p>
    <w:p w14:paraId="0AAAC584"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El efecto de Jusvinza sobre la sobrevida de los pacientes, también fue analizado con </w:t>
      </w:r>
      <w:proofErr w:type="spellStart"/>
      <w:r w:rsidRPr="00AA7161">
        <w:rPr>
          <w:lang w:val="es-ES" w:eastAsia="en-US"/>
        </w:rPr>
        <w:t>GraphPadPrism</w:t>
      </w:r>
      <w:proofErr w:type="spellEnd"/>
      <w:r w:rsidRPr="00AA7161">
        <w:rPr>
          <w:lang w:val="es-ES" w:eastAsia="en-US"/>
        </w:rPr>
        <w:t xml:space="preserve"> versión 8.02, usando la prueba exacta de Fisher.</w:t>
      </w:r>
    </w:p>
    <w:p w14:paraId="54681C03" w14:textId="77777777" w:rsidR="009D6C84" w:rsidRPr="00AA7161" w:rsidRDefault="009D6C84" w:rsidP="009D6C84">
      <w:pPr>
        <w:widowControl w:val="0"/>
        <w:spacing w:line="360" w:lineRule="auto"/>
        <w:jc w:val="both"/>
        <w:rPr>
          <w:lang w:val="es-ES" w:eastAsia="en-US"/>
        </w:rPr>
      </w:pPr>
    </w:p>
    <w:p w14:paraId="39078EBC" w14:textId="77777777" w:rsidR="009D6C84" w:rsidRPr="00AA7161" w:rsidRDefault="009D6C84" w:rsidP="009D6C84">
      <w:pPr>
        <w:widowControl w:val="0"/>
        <w:spacing w:line="360" w:lineRule="auto"/>
        <w:jc w:val="both"/>
        <w:rPr>
          <w:lang w:val="es-ES" w:eastAsia="en-US"/>
        </w:rPr>
      </w:pPr>
    </w:p>
    <w:p w14:paraId="71FB8E7F" w14:textId="39B609B0" w:rsidR="009D6C84" w:rsidRPr="00AA7161" w:rsidRDefault="005F707A" w:rsidP="009D6C84">
      <w:pPr>
        <w:spacing w:line="360" w:lineRule="auto"/>
        <w:jc w:val="center"/>
        <w:rPr>
          <w:b/>
          <w:sz w:val="32"/>
          <w:szCs w:val="32"/>
          <w:lang w:val="es-ES" w:eastAsia="en-US"/>
        </w:rPr>
      </w:pPr>
      <w:r w:rsidRPr="00AA7161">
        <w:rPr>
          <w:b/>
          <w:sz w:val="32"/>
          <w:szCs w:val="32"/>
          <w:lang w:val="es-ES" w:eastAsia="en-US"/>
        </w:rPr>
        <w:br w:type="page"/>
      </w:r>
      <w:r w:rsidR="009D6C84" w:rsidRPr="00AA7161">
        <w:rPr>
          <w:b/>
          <w:sz w:val="32"/>
          <w:szCs w:val="32"/>
          <w:lang w:val="es-ES" w:eastAsia="en-US"/>
        </w:rPr>
        <w:lastRenderedPageBreak/>
        <w:t>RESULTADOS</w:t>
      </w:r>
    </w:p>
    <w:p w14:paraId="5A9693EC" w14:textId="77777777" w:rsidR="009D6C84" w:rsidRPr="00AA7161" w:rsidRDefault="009D6C84" w:rsidP="009D6C84">
      <w:pPr>
        <w:widowControl w:val="0"/>
        <w:spacing w:line="360" w:lineRule="auto"/>
        <w:jc w:val="center"/>
        <w:rPr>
          <w:b/>
          <w:sz w:val="28"/>
          <w:szCs w:val="28"/>
          <w:lang w:val="es-ES" w:eastAsia="en-US"/>
        </w:rPr>
      </w:pPr>
      <w:r w:rsidRPr="00AA7161">
        <w:rPr>
          <w:b/>
          <w:sz w:val="28"/>
          <w:szCs w:val="28"/>
          <w:lang w:val="es-ES" w:eastAsia="en-US"/>
        </w:rPr>
        <w:t>Edad, comorbilidades y desenlace clínico</w:t>
      </w:r>
    </w:p>
    <w:p w14:paraId="5DB5B341"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La edad, comorbilidades y desenlace clínico final de los pacientes se resumen en la tabla 1. </w:t>
      </w:r>
    </w:p>
    <w:p w14:paraId="1EAA9B62" w14:textId="77777777" w:rsidR="009D6C84" w:rsidRPr="00AA7161" w:rsidRDefault="009D6C84" w:rsidP="009D6C84">
      <w:pPr>
        <w:widowControl w:val="0"/>
        <w:spacing w:line="360" w:lineRule="auto"/>
        <w:jc w:val="both"/>
        <w:rPr>
          <w:rFonts w:eastAsia="Calibri"/>
          <w:b/>
          <w:lang w:val="es-ES" w:eastAsia="en-US"/>
        </w:rPr>
      </w:pPr>
      <w:r w:rsidRPr="00AA7161">
        <w:rPr>
          <w:rFonts w:eastAsia="Calibri"/>
          <w:b/>
          <w:lang w:val="es-ES" w:eastAsia="en-US"/>
        </w:rPr>
        <w:t xml:space="preserve"> </w:t>
      </w:r>
    </w:p>
    <w:p w14:paraId="1217BF1E" w14:textId="77777777" w:rsidR="009D6C84" w:rsidRPr="00AA7161" w:rsidRDefault="009D6C84" w:rsidP="009D6C84">
      <w:pPr>
        <w:widowControl w:val="0"/>
        <w:spacing w:line="360" w:lineRule="auto"/>
        <w:jc w:val="center"/>
        <w:rPr>
          <w:bCs/>
          <w:sz w:val="22"/>
          <w:szCs w:val="22"/>
          <w:lang w:val="es-ES" w:eastAsia="en-US"/>
        </w:rPr>
      </w:pPr>
      <w:r w:rsidRPr="00AA7161">
        <w:rPr>
          <w:rFonts w:eastAsia="Calibri"/>
          <w:b/>
          <w:sz w:val="22"/>
          <w:szCs w:val="22"/>
          <w:lang w:val="es-ES" w:eastAsia="en-US"/>
        </w:rPr>
        <w:t>Tabla 1 -</w:t>
      </w:r>
      <w:r w:rsidRPr="00AA7161">
        <w:rPr>
          <w:rFonts w:eastAsia="Calibri"/>
          <w:bCs/>
          <w:sz w:val="22"/>
          <w:szCs w:val="22"/>
          <w:lang w:val="es-ES" w:eastAsia="en-US"/>
        </w:rPr>
        <w:t xml:space="preserve"> Edad, comorbilidades y desenlace clínico final</w:t>
      </w:r>
    </w:p>
    <w:tbl>
      <w:tblPr>
        <w:tblStyle w:val="Tablanormal21"/>
        <w:tblW w:w="8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256"/>
        <w:gridCol w:w="1737"/>
        <w:gridCol w:w="1046"/>
        <w:gridCol w:w="1160"/>
        <w:gridCol w:w="1064"/>
      </w:tblGrid>
      <w:tr w:rsidR="00242FDF" w:rsidRPr="00AA7161" w14:paraId="1EAD232A" w14:textId="77777777" w:rsidTr="00813A68">
        <w:trPr>
          <w:cnfStyle w:val="100000000000" w:firstRow="1" w:lastRow="0" w:firstColumn="0" w:lastColumn="0" w:oddVBand="0" w:evenVBand="0" w:oddHBand="0" w:evenHBand="0" w:firstRowFirstColumn="0" w:firstRowLastColumn="0" w:lastRowFirstColumn="0" w:lastRowLastColumn="0"/>
          <w:trHeight w:val="606"/>
          <w:jc w:val="center"/>
        </w:trPr>
        <w:tc>
          <w:tcPr>
            <w:tcW w:w="3256" w:type="dxa"/>
            <w:shd w:val="clear" w:color="auto" w:fill="auto"/>
            <w:vAlign w:val="center"/>
            <w:hideMark/>
          </w:tcPr>
          <w:p w14:paraId="340BA470"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ES" w:eastAsia="en-US"/>
              </w:rPr>
              <w:t>Características</w:t>
            </w:r>
          </w:p>
        </w:tc>
        <w:tc>
          <w:tcPr>
            <w:tcW w:w="1737" w:type="dxa"/>
            <w:shd w:val="clear" w:color="auto" w:fill="auto"/>
            <w:vAlign w:val="center"/>
            <w:hideMark/>
          </w:tcPr>
          <w:p w14:paraId="3DB01B8E" w14:textId="77777777" w:rsidR="009D6C84" w:rsidRPr="00AA7161" w:rsidRDefault="009D6C84" w:rsidP="009D6C84">
            <w:pPr>
              <w:spacing w:line="360" w:lineRule="auto"/>
              <w:jc w:val="center"/>
              <w:rPr>
                <w:rFonts w:ascii="Times New Roman" w:hAnsi="Times New Roman"/>
                <w:sz w:val="18"/>
                <w:szCs w:val="18"/>
                <w:lang w:val="es-ES" w:eastAsia="en-US"/>
              </w:rPr>
            </w:pPr>
            <w:proofErr w:type="gramStart"/>
            <w:r w:rsidRPr="00AA7161">
              <w:rPr>
                <w:rFonts w:ascii="Times New Roman" w:hAnsi="Times New Roman"/>
                <w:sz w:val="18"/>
                <w:szCs w:val="18"/>
                <w:lang w:val="es-ES" w:eastAsia="en-US"/>
              </w:rPr>
              <w:t>Total</w:t>
            </w:r>
            <w:proofErr w:type="gramEnd"/>
            <w:r w:rsidRPr="00AA7161">
              <w:rPr>
                <w:rFonts w:ascii="Times New Roman" w:hAnsi="Times New Roman"/>
                <w:sz w:val="18"/>
                <w:szCs w:val="18"/>
                <w:lang w:val="es-ES" w:eastAsia="en-US"/>
              </w:rPr>
              <w:t xml:space="preserve"> de pacientes</w:t>
            </w:r>
          </w:p>
          <w:p w14:paraId="281DD946"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ES" w:eastAsia="en-US"/>
              </w:rPr>
              <w:t>(n= 40)</w:t>
            </w:r>
          </w:p>
        </w:tc>
        <w:tc>
          <w:tcPr>
            <w:tcW w:w="1046" w:type="dxa"/>
            <w:shd w:val="clear" w:color="auto" w:fill="auto"/>
            <w:vAlign w:val="center"/>
          </w:tcPr>
          <w:p w14:paraId="1C251F3C"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Control</w:t>
            </w:r>
          </w:p>
          <w:p w14:paraId="572BFB3D"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(n= 20)</w:t>
            </w:r>
          </w:p>
        </w:tc>
        <w:tc>
          <w:tcPr>
            <w:tcW w:w="1160" w:type="dxa"/>
            <w:shd w:val="clear" w:color="auto" w:fill="auto"/>
            <w:vAlign w:val="center"/>
            <w:hideMark/>
          </w:tcPr>
          <w:p w14:paraId="4D524713"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CIGB 258</w:t>
            </w:r>
          </w:p>
          <w:p w14:paraId="687D7DAA"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(n= 20)</w:t>
            </w:r>
          </w:p>
        </w:tc>
        <w:tc>
          <w:tcPr>
            <w:tcW w:w="1064" w:type="dxa"/>
            <w:shd w:val="clear" w:color="auto" w:fill="auto"/>
            <w:vAlign w:val="center"/>
          </w:tcPr>
          <w:p w14:paraId="314AD3D3" w14:textId="77777777" w:rsidR="009D6C84" w:rsidRPr="00AA7161" w:rsidRDefault="009D6C84" w:rsidP="009D6C84">
            <w:pPr>
              <w:spacing w:line="360" w:lineRule="auto"/>
              <w:jc w:val="center"/>
              <w:rPr>
                <w:rFonts w:ascii="Times New Roman" w:hAnsi="Times New Roman"/>
                <w:iCs/>
                <w:sz w:val="18"/>
                <w:szCs w:val="18"/>
                <w:lang w:val="es-SV" w:eastAsia="en-US"/>
              </w:rPr>
            </w:pPr>
            <w:r w:rsidRPr="00AA7161">
              <w:rPr>
                <w:rFonts w:ascii="Times New Roman" w:hAnsi="Times New Roman"/>
                <w:iCs/>
                <w:sz w:val="18"/>
                <w:szCs w:val="18"/>
                <w:lang w:val="es-ES" w:eastAsia="en-US"/>
              </w:rPr>
              <w:t>p</w:t>
            </w:r>
          </w:p>
        </w:tc>
      </w:tr>
      <w:tr w:rsidR="00242FDF" w:rsidRPr="00AA7161" w14:paraId="2E58E387" w14:textId="77777777" w:rsidTr="00813A68">
        <w:trPr>
          <w:cnfStyle w:val="000000100000" w:firstRow="0" w:lastRow="0" w:firstColumn="0" w:lastColumn="0" w:oddVBand="0" w:evenVBand="0" w:oddHBand="1" w:evenHBand="0" w:firstRowFirstColumn="0" w:firstRowLastColumn="0" w:lastRowFirstColumn="0" w:lastRowLastColumn="0"/>
          <w:trHeight w:val="260"/>
          <w:jc w:val="center"/>
        </w:trPr>
        <w:tc>
          <w:tcPr>
            <w:tcW w:w="3256" w:type="dxa"/>
            <w:shd w:val="clear" w:color="auto" w:fill="auto"/>
            <w:vAlign w:val="center"/>
            <w:hideMark/>
          </w:tcPr>
          <w:p w14:paraId="732AD01B" w14:textId="77777777" w:rsidR="009D6C84" w:rsidRPr="00AA7161" w:rsidRDefault="009D6C84" w:rsidP="009D6C84">
            <w:pPr>
              <w:spacing w:line="360" w:lineRule="auto"/>
              <w:rPr>
                <w:rFonts w:ascii="Times New Roman" w:hAnsi="Times New Roman"/>
                <w:sz w:val="18"/>
                <w:szCs w:val="18"/>
                <w:lang w:val="es-SV" w:eastAsia="en-US"/>
              </w:rPr>
            </w:pPr>
            <w:r w:rsidRPr="00AA7161">
              <w:rPr>
                <w:rFonts w:ascii="Times New Roman" w:hAnsi="Times New Roman"/>
                <w:sz w:val="18"/>
                <w:szCs w:val="18"/>
                <w:lang w:val="es-SV" w:eastAsia="en-US"/>
              </w:rPr>
              <w:t>Edad, media (intervalo)</w:t>
            </w:r>
          </w:p>
        </w:tc>
        <w:tc>
          <w:tcPr>
            <w:tcW w:w="1737" w:type="dxa"/>
            <w:shd w:val="clear" w:color="auto" w:fill="auto"/>
            <w:vAlign w:val="center"/>
          </w:tcPr>
          <w:p w14:paraId="4C7E9172"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70 (59-89)</w:t>
            </w:r>
          </w:p>
        </w:tc>
        <w:tc>
          <w:tcPr>
            <w:tcW w:w="1046" w:type="dxa"/>
            <w:shd w:val="clear" w:color="auto" w:fill="auto"/>
            <w:vAlign w:val="center"/>
          </w:tcPr>
          <w:p w14:paraId="2E9EA326"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69 (59-89)</w:t>
            </w:r>
          </w:p>
        </w:tc>
        <w:tc>
          <w:tcPr>
            <w:tcW w:w="1160" w:type="dxa"/>
            <w:shd w:val="clear" w:color="auto" w:fill="auto"/>
            <w:vAlign w:val="center"/>
          </w:tcPr>
          <w:p w14:paraId="16E5AF64"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71 (65-76)</w:t>
            </w:r>
          </w:p>
        </w:tc>
        <w:tc>
          <w:tcPr>
            <w:tcW w:w="1064" w:type="dxa"/>
            <w:shd w:val="clear" w:color="auto" w:fill="auto"/>
            <w:vAlign w:val="center"/>
          </w:tcPr>
          <w:p w14:paraId="048646DB" w14:textId="77777777" w:rsidR="009D6C84" w:rsidRPr="00AA7161" w:rsidRDefault="009D6C84" w:rsidP="009D6C84">
            <w:pPr>
              <w:spacing w:line="360" w:lineRule="auto"/>
              <w:jc w:val="center"/>
              <w:rPr>
                <w:rFonts w:ascii="Times New Roman" w:hAnsi="Times New Roman"/>
                <w:iCs/>
                <w:sz w:val="18"/>
                <w:szCs w:val="18"/>
                <w:lang w:val="es-SV" w:eastAsia="en-US"/>
              </w:rPr>
            </w:pPr>
            <w:r w:rsidRPr="00AA7161">
              <w:rPr>
                <w:rFonts w:ascii="Times New Roman" w:hAnsi="Times New Roman"/>
                <w:iCs/>
                <w:sz w:val="18"/>
                <w:szCs w:val="18"/>
                <w:lang w:val="es-SV" w:eastAsia="en-US"/>
              </w:rPr>
              <w:t>-</w:t>
            </w:r>
          </w:p>
        </w:tc>
      </w:tr>
      <w:tr w:rsidR="00242FDF" w:rsidRPr="00AA7161" w14:paraId="61DFB426" w14:textId="77777777" w:rsidTr="00813A68">
        <w:trPr>
          <w:trHeight w:val="222"/>
          <w:jc w:val="center"/>
        </w:trPr>
        <w:tc>
          <w:tcPr>
            <w:tcW w:w="3256" w:type="dxa"/>
            <w:shd w:val="clear" w:color="auto" w:fill="auto"/>
            <w:vAlign w:val="center"/>
            <w:hideMark/>
          </w:tcPr>
          <w:p w14:paraId="231D6CB7" w14:textId="77777777" w:rsidR="009D6C84" w:rsidRPr="00AA7161" w:rsidRDefault="009D6C84" w:rsidP="009D6C84">
            <w:pPr>
              <w:spacing w:line="360" w:lineRule="auto"/>
              <w:rPr>
                <w:rFonts w:ascii="Times New Roman" w:hAnsi="Times New Roman"/>
                <w:sz w:val="18"/>
                <w:szCs w:val="18"/>
                <w:lang w:val="es-SV" w:eastAsia="en-US"/>
              </w:rPr>
            </w:pPr>
            <w:r w:rsidRPr="00AA7161">
              <w:rPr>
                <w:rFonts w:ascii="Times New Roman" w:hAnsi="Times New Roman"/>
                <w:b/>
                <w:sz w:val="18"/>
                <w:szCs w:val="18"/>
                <w:lang w:val="es-SV" w:eastAsia="en-US"/>
              </w:rPr>
              <w:t>Comorbilidades</w:t>
            </w:r>
          </w:p>
        </w:tc>
        <w:tc>
          <w:tcPr>
            <w:tcW w:w="1737" w:type="dxa"/>
            <w:shd w:val="clear" w:color="auto" w:fill="auto"/>
            <w:vAlign w:val="center"/>
          </w:tcPr>
          <w:p w14:paraId="3AE06493" w14:textId="77777777" w:rsidR="009D6C84" w:rsidRPr="00AA7161" w:rsidRDefault="009D6C84" w:rsidP="009D6C84">
            <w:pPr>
              <w:spacing w:line="360" w:lineRule="auto"/>
              <w:jc w:val="center"/>
              <w:rPr>
                <w:rFonts w:ascii="Times New Roman" w:hAnsi="Times New Roman"/>
                <w:b/>
                <w:bCs/>
                <w:sz w:val="18"/>
                <w:szCs w:val="18"/>
                <w:lang w:val="es-SV" w:eastAsia="en-US"/>
              </w:rPr>
            </w:pPr>
            <w:r w:rsidRPr="00AA7161">
              <w:rPr>
                <w:rFonts w:ascii="Times New Roman" w:hAnsi="Times New Roman"/>
                <w:b/>
                <w:bCs/>
                <w:sz w:val="18"/>
                <w:szCs w:val="18"/>
                <w:lang w:val="es-SV" w:eastAsia="en-US"/>
              </w:rPr>
              <w:t>n (%)</w:t>
            </w:r>
          </w:p>
        </w:tc>
        <w:tc>
          <w:tcPr>
            <w:tcW w:w="1046" w:type="dxa"/>
            <w:shd w:val="clear" w:color="auto" w:fill="auto"/>
            <w:vAlign w:val="center"/>
          </w:tcPr>
          <w:p w14:paraId="4D7F28CE" w14:textId="77777777" w:rsidR="009D6C84" w:rsidRPr="00AA7161" w:rsidRDefault="009D6C84" w:rsidP="009D6C84">
            <w:pPr>
              <w:spacing w:line="360" w:lineRule="auto"/>
              <w:jc w:val="center"/>
              <w:rPr>
                <w:rFonts w:ascii="Times New Roman" w:hAnsi="Times New Roman"/>
                <w:b/>
                <w:bCs/>
                <w:sz w:val="18"/>
                <w:szCs w:val="18"/>
                <w:lang w:val="es-SV" w:eastAsia="en-US"/>
              </w:rPr>
            </w:pPr>
            <w:r w:rsidRPr="00AA7161">
              <w:rPr>
                <w:rFonts w:ascii="Times New Roman" w:hAnsi="Times New Roman"/>
                <w:b/>
                <w:bCs/>
                <w:sz w:val="18"/>
                <w:szCs w:val="18"/>
                <w:lang w:val="es-SV" w:eastAsia="en-US"/>
              </w:rPr>
              <w:t>n (%)</w:t>
            </w:r>
          </w:p>
        </w:tc>
        <w:tc>
          <w:tcPr>
            <w:tcW w:w="1160" w:type="dxa"/>
            <w:shd w:val="clear" w:color="auto" w:fill="auto"/>
            <w:vAlign w:val="center"/>
          </w:tcPr>
          <w:p w14:paraId="224D32AA" w14:textId="77777777" w:rsidR="009D6C84" w:rsidRPr="00AA7161" w:rsidRDefault="009D6C84" w:rsidP="009D6C84">
            <w:pPr>
              <w:spacing w:line="360" w:lineRule="auto"/>
              <w:jc w:val="center"/>
              <w:rPr>
                <w:rFonts w:ascii="Times New Roman" w:hAnsi="Times New Roman"/>
                <w:b/>
                <w:bCs/>
                <w:sz w:val="18"/>
                <w:szCs w:val="18"/>
                <w:lang w:val="es-SV" w:eastAsia="en-US"/>
              </w:rPr>
            </w:pPr>
            <w:r w:rsidRPr="00AA7161">
              <w:rPr>
                <w:rFonts w:ascii="Times New Roman" w:hAnsi="Times New Roman"/>
                <w:b/>
                <w:bCs/>
                <w:sz w:val="18"/>
                <w:szCs w:val="18"/>
                <w:lang w:val="es-SV" w:eastAsia="en-US"/>
              </w:rPr>
              <w:t>n (%)</w:t>
            </w:r>
          </w:p>
        </w:tc>
        <w:tc>
          <w:tcPr>
            <w:tcW w:w="1064" w:type="dxa"/>
            <w:shd w:val="clear" w:color="auto" w:fill="auto"/>
            <w:vAlign w:val="center"/>
          </w:tcPr>
          <w:p w14:paraId="069D76B5" w14:textId="77777777" w:rsidR="009D6C84" w:rsidRPr="00AA7161" w:rsidRDefault="009D6C84" w:rsidP="009D6C84">
            <w:pPr>
              <w:spacing w:line="360" w:lineRule="auto"/>
              <w:jc w:val="center"/>
              <w:rPr>
                <w:rFonts w:ascii="Times New Roman" w:hAnsi="Times New Roman"/>
                <w:b/>
                <w:bCs/>
                <w:iCs/>
                <w:sz w:val="18"/>
                <w:szCs w:val="18"/>
                <w:lang w:val="es-SV" w:eastAsia="en-US"/>
              </w:rPr>
            </w:pPr>
            <w:r w:rsidRPr="00AA7161">
              <w:rPr>
                <w:rFonts w:ascii="Times New Roman" w:hAnsi="Times New Roman"/>
                <w:b/>
                <w:bCs/>
                <w:iCs/>
                <w:sz w:val="18"/>
                <w:szCs w:val="18"/>
                <w:lang w:val="es-SV" w:eastAsia="en-US"/>
              </w:rPr>
              <w:t>-</w:t>
            </w:r>
          </w:p>
        </w:tc>
      </w:tr>
      <w:tr w:rsidR="00242FDF" w:rsidRPr="00AA7161" w14:paraId="55EE0554" w14:textId="77777777" w:rsidTr="00813A68">
        <w:trPr>
          <w:cnfStyle w:val="000000100000" w:firstRow="0" w:lastRow="0" w:firstColumn="0" w:lastColumn="0" w:oddVBand="0" w:evenVBand="0" w:oddHBand="1" w:evenHBand="0" w:firstRowFirstColumn="0" w:firstRowLastColumn="0" w:lastRowFirstColumn="0" w:lastRowLastColumn="0"/>
          <w:trHeight w:val="361"/>
          <w:jc w:val="center"/>
        </w:trPr>
        <w:tc>
          <w:tcPr>
            <w:tcW w:w="3256" w:type="dxa"/>
            <w:shd w:val="clear" w:color="auto" w:fill="auto"/>
            <w:vAlign w:val="center"/>
            <w:hideMark/>
          </w:tcPr>
          <w:p w14:paraId="5E0F110F" w14:textId="77777777" w:rsidR="009D6C84" w:rsidRPr="00AA7161" w:rsidRDefault="009D6C84" w:rsidP="009D6C84">
            <w:pPr>
              <w:spacing w:line="360" w:lineRule="auto"/>
              <w:rPr>
                <w:rFonts w:ascii="Times New Roman" w:hAnsi="Times New Roman"/>
                <w:sz w:val="18"/>
                <w:szCs w:val="18"/>
                <w:lang w:val="es-ES" w:eastAsia="en-US"/>
              </w:rPr>
            </w:pPr>
            <w:r w:rsidRPr="00AA7161">
              <w:rPr>
                <w:rFonts w:ascii="Times New Roman" w:hAnsi="Times New Roman"/>
                <w:sz w:val="18"/>
                <w:szCs w:val="18"/>
                <w:lang w:val="es-ES" w:eastAsia="en-US"/>
              </w:rPr>
              <w:t>Hipertensión arterial</w:t>
            </w:r>
          </w:p>
        </w:tc>
        <w:tc>
          <w:tcPr>
            <w:tcW w:w="1737" w:type="dxa"/>
            <w:shd w:val="clear" w:color="auto" w:fill="auto"/>
            <w:vAlign w:val="center"/>
          </w:tcPr>
          <w:p w14:paraId="030E64F0"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28 (70)</w:t>
            </w:r>
          </w:p>
        </w:tc>
        <w:tc>
          <w:tcPr>
            <w:tcW w:w="1046" w:type="dxa"/>
            <w:shd w:val="clear" w:color="auto" w:fill="auto"/>
            <w:vAlign w:val="center"/>
          </w:tcPr>
          <w:p w14:paraId="5A4301A9" w14:textId="77777777" w:rsidR="009D6C84" w:rsidRPr="00AA7161" w:rsidRDefault="009D6C84" w:rsidP="009D6C84">
            <w:pPr>
              <w:tabs>
                <w:tab w:val="center" w:pos="884"/>
                <w:tab w:val="right" w:pos="1768"/>
              </w:tabs>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13 (65)</w:t>
            </w:r>
          </w:p>
        </w:tc>
        <w:tc>
          <w:tcPr>
            <w:tcW w:w="1160" w:type="dxa"/>
            <w:shd w:val="clear" w:color="auto" w:fill="auto"/>
            <w:vAlign w:val="center"/>
          </w:tcPr>
          <w:p w14:paraId="57A38C42"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15 (75)</w:t>
            </w:r>
          </w:p>
        </w:tc>
        <w:tc>
          <w:tcPr>
            <w:tcW w:w="1064" w:type="dxa"/>
            <w:shd w:val="clear" w:color="auto" w:fill="auto"/>
            <w:vAlign w:val="center"/>
          </w:tcPr>
          <w:p w14:paraId="3848A4FB" w14:textId="77777777" w:rsidR="009D6C84" w:rsidRPr="00AA7161" w:rsidRDefault="009D6C84" w:rsidP="009D6C84">
            <w:pPr>
              <w:spacing w:line="360" w:lineRule="auto"/>
              <w:jc w:val="center"/>
              <w:rPr>
                <w:rFonts w:ascii="Times New Roman" w:hAnsi="Times New Roman"/>
                <w:iCs/>
                <w:sz w:val="18"/>
                <w:szCs w:val="18"/>
                <w:lang w:val="es-SV" w:eastAsia="en-US"/>
              </w:rPr>
            </w:pPr>
            <w:r w:rsidRPr="00AA7161">
              <w:rPr>
                <w:rFonts w:ascii="Times New Roman" w:hAnsi="Times New Roman"/>
                <w:iCs/>
                <w:sz w:val="18"/>
                <w:szCs w:val="18"/>
                <w:lang w:val="es-SV" w:eastAsia="en-US"/>
              </w:rPr>
              <w:t>-</w:t>
            </w:r>
          </w:p>
        </w:tc>
      </w:tr>
      <w:tr w:rsidR="00242FDF" w:rsidRPr="00AA7161" w14:paraId="70FBF017" w14:textId="77777777" w:rsidTr="00813A68">
        <w:trPr>
          <w:trHeight w:val="246"/>
          <w:jc w:val="center"/>
        </w:trPr>
        <w:tc>
          <w:tcPr>
            <w:tcW w:w="3256" w:type="dxa"/>
            <w:shd w:val="clear" w:color="auto" w:fill="auto"/>
            <w:vAlign w:val="center"/>
          </w:tcPr>
          <w:p w14:paraId="274F40AF" w14:textId="77777777" w:rsidR="009D6C84" w:rsidRPr="00AA7161" w:rsidRDefault="009D6C84" w:rsidP="009D6C84">
            <w:pPr>
              <w:spacing w:line="360" w:lineRule="auto"/>
              <w:rPr>
                <w:rFonts w:ascii="Times New Roman" w:hAnsi="Times New Roman"/>
                <w:sz w:val="18"/>
                <w:szCs w:val="18"/>
                <w:lang w:val="es-ES" w:eastAsia="en-US"/>
              </w:rPr>
            </w:pPr>
            <w:r w:rsidRPr="00AA7161">
              <w:rPr>
                <w:rFonts w:ascii="Times New Roman" w:hAnsi="Times New Roman"/>
                <w:sz w:val="18"/>
                <w:szCs w:val="18"/>
                <w:lang w:val="es-ES" w:eastAsia="en-US"/>
              </w:rPr>
              <w:t>Cardiopatía isquémica</w:t>
            </w:r>
          </w:p>
        </w:tc>
        <w:tc>
          <w:tcPr>
            <w:tcW w:w="1737" w:type="dxa"/>
            <w:shd w:val="clear" w:color="auto" w:fill="auto"/>
            <w:vAlign w:val="center"/>
          </w:tcPr>
          <w:p w14:paraId="267132E5"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9 (22,5)</w:t>
            </w:r>
          </w:p>
        </w:tc>
        <w:tc>
          <w:tcPr>
            <w:tcW w:w="1046" w:type="dxa"/>
            <w:shd w:val="clear" w:color="auto" w:fill="auto"/>
            <w:vAlign w:val="center"/>
          </w:tcPr>
          <w:p w14:paraId="5FBA534E" w14:textId="77777777" w:rsidR="009D6C84" w:rsidRPr="00AA7161" w:rsidRDefault="009D6C84" w:rsidP="009D6C84">
            <w:pPr>
              <w:tabs>
                <w:tab w:val="center" w:pos="884"/>
                <w:tab w:val="right" w:pos="1768"/>
              </w:tabs>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5 (25)</w:t>
            </w:r>
          </w:p>
        </w:tc>
        <w:tc>
          <w:tcPr>
            <w:tcW w:w="1160" w:type="dxa"/>
            <w:shd w:val="clear" w:color="auto" w:fill="auto"/>
            <w:vAlign w:val="center"/>
          </w:tcPr>
          <w:p w14:paraId="0A1AC88E"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4 (20)</w:t>
            </w:r>
          </w:p>
        </w:tc>
        <w:tc>
          <w:tcPr>
            <w:tcW w:w="1064" w:type="dxa"/>
            <w:shd w:val="clear" w:color="auto" w:fill="auto"/>
            <w:vAlign w:val="center"/>
          </w:tcPr>
          <w:p w14:paraId="408CB4AC" w14:textId="77777777" w:rsidR="009D6C84" w:rsidRPr="00AA7161" w:rsidRDefault="009D6C84" w:rsidP="009D6C84">
            <w:pPr>
              <w:spacing w:line="360" w:lineRule="auto"/>
              <w:jc w:val="center"/>
              <w:rPr>
                <w:rFonts w:ascii="Times New Roman" w:hAnsi="Times New Roman"/>
                <w:iCs/>
                <w:sz w:val="18"/>
                <w:szCs w:val="18"/>
                <w:lang w:val="es-SV" w:eastAsia="en-US"/>
              </w:rPr>
            </w:pPr>
            <w:r w:rsidRPr="00AA7161">
              <w:rPr>
                <w:rFonts w:ascii="Times New Roman" w:hAnsi="Times New Roman"/>
                <w:iCs/>
                <w:sz w:val="18"/>
                <w:szCs w:val="18"/>
                <w:lang w:val="es-SV" w:eastAsia="en-US"/>
              </w:rPr>
              <w:t>-</w:t>
            </w:r>
          </w:p>
        </w:tc>
      </w:tr>
      <w:tr w:rsidR="00242FDF" w:rsidRPr="00AA7161" w14:paraId="0B2F3AA7" w14:textId="77777777" w:rsidTr="00813A68">
        <w:trPr>
          <w:cnfStyle w:val="000000100000" w:firstRow="0" w:lastRow="0" w:firstColumn="0" w:lastColumn="0" w:oddVBand="0" w:evenVBand="0" w:oddHBand="1" w:evenHBand="0" w:firstRowFirstColumn="0" w:firstRowLastColumn="0" w:lastRowFirstColumn="0" w:lastRowLastColumn="0"/>
          <w:trHeight w:val="290"/>
          <w:jc w:val="center"/>
        </w:trPr>
        <w:tc>
          <w:tcPr>
            <w:tcW w:w="3256" w:type="dxa"/>
            <w:shd w:val="clear" w:color="auto" w:fill="auto"/>
            <w:vAlign w:val="center"/>
            <w:hideMark/>
          </w:tcPr>
          <w:p w14:paraId="0C3698BF" w14:textId="77777777" w:rsidR="009D6C84" w:rsidRPr="00AA7161" w:rsidRDefault="009D6C84" w:rsidP="009D6C84">
            <w:pPr>
              <w:spacing w:line="360" w:lineRule="auto"/>
              <w:rPr>
                <w:rFonts w:ascii="Times New Roman" w:hAnsi="Times New Roman"/>
                <w:sz w:val="18"/>
                <w:szCs w:val="18"/>
                <w:lang w:val="es-SV" w:eastAsia="en-US"/>
              </w:rPr>
            </w:pPr>
            <w:r w:rsidRPr="00AA7161">
              <w:rPr>
                <w:rFonts w:ascii="Times New Roman" w:hAnsi="Times New Roman"/>
                <w:sz w:val="18"/>
                <w:szCs w:val="18"/>
                <w:lang w:val="es-ES" w:eastAsia="en-US"/>
              </w:rPr>
              <w:t>Diabetes mellitus</w:t>
            </w:r>
          </w:p>
        </w:tc>
        <w:tc>
          <w:tcPr>
            <w:tcW w:w="1737" w:type="dxa"/>
            <w:shd w:val="clear" w:color="auto" w:fill="auto"/>
            <w:vAlign w:val="center"/>
          </w:tcPr>
          <w:p w14:paraId="258E8A91"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11 (27,5)</w:t>
            </w:r>
          </w:p>
        </w:tc>
        <w:tc>
          <w:tcPr>
            <w:tcW w:w="1046" w:type="dxa"/>
            <w:shd w:val="clear" w:color="auto" w:fill="auto"/>
            <w:vAlign w:val="center"/>
          </w:tcPr>
          <w:p w14:paraId="68669279" w14:textId="77777777" w:rsidR="009D6C84" w:rsidRPr="00AA7161" w:rsidRDefault="009D6C84" w:rsidP="009D6C84">
            <w:pPr>
              <w:tabs>
                <w:tab w:val="center" w:pos="884"/>
                <w:tab w:val="right" w:pos="1768"/>
              </w:tabs>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8 (40)</w:t>
            </w:r>
          </w:p>
        </w:tc>
        <w:tc>
          <w:tcPr>
            <w:tcW w:w="1160" w:type="dxa"/>
            <w:shd w:val="clear" w:color="auto" w:fill="auto"/>
            <w:vAlign w:val="center"/>
          </w:tcPr>
          <w:p w14:paraId="420E15D5"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3 (15)</w:t>
            </w:r>
          </w:p>
        </w:tc>
        <w:tc>
          <w:tcPr>
            <w:tcW w:w="1064" w:type="dxa"/>
            <w:shd w:val="clear" w:color="auto" w:fill="auto"/>
            <w:vAlign w:val="center"/>
          </w:tcPr>
          <w:p w14:paraId="3168591B" w14:textId="77777777" w:rsidR="009D6C84" w:rsidRPr="00AA7161" w:rsidRDefault="009D6C84" w:rsidP="009D6C84">
            <w:pPr>
              <w:spacing w:line="360" w:lineRule="auto"/>
              <w:jc w:val="center"/>
              <w:rPr>
                <w:rFonts w:ascii="Times New Roman" w:hAnsi="Times New Roman"/>
                <w:iCs/>
                <w:sz w:val="18"/>
                <w:szCs w:val="18"/>
                <w:lang w:val="es-SV" w:eastAsia="en-US"/>
              </w:rPr>
            </w:pPr>
            <w:r w:rsidRPr="00AA7161">
              <w:rPr>
                <w:rFonts w:ascii="Times New Roman" w:hAnsi="Times New Roman"/>
                <w:iCs/>
                <w:sz w:val="18"/>
                <w:szCs w:val="18"/>
                <w:lang w:val="es-SV" w:eastAsia="en-US"/>
              </w:rPr>
              <w:t>-</w:t>
            </w:r>
          </w:p>
        </w:tc>
      </w:tr>
      <w:tr w:rsidR="00242FDF" w:rsidRPr="00AA7161" w14:paraId="6354A29B" w14:textId="77777777" w:rsidTr="00813A68">
        <w:trPr>
          <w:trHeight w:val="302"/>
          <w:jc w:val="center"/>
        </w:trPr>
        <w:tc>
          <w:tcPr>
            <w:tcW w:w="3256" w:type="dxa"/>
            <w:shd w:val="clear" w:color="auto" w:fill="auto"/>
            <w:vAlign w:val="center"/>
            <w:hideMark/>
          </w:tcPr>
          <w:p w14:paraId="2DE9C3FA" w14:textId="77777777" w:rsidR="009D6C84" w:rsidRPr="00AA7161" w:rsidRDefault="009D6C84" w:rsidP="009D6C84">
            <w:pPr>
              <w:spacing w:line="360" w:lineRule="auto"/>
              <w:rPr>
                <w:rFonts w:ascii="Times New Roman" w:hAnsi="Times New Roman"/>
                <w:sz w:val="18"/>
                <w:szCs w:val="18"/>
                <w:lang w:val="es-SV" w:eastAsia="en-US"/>
              </w:rPr>
            </w:pPr>
            <w:r w:rsidRPr="00AA7161">
              <w:rPr>
                <w:rFonts w:ascii="Times New Roman" w:hAnsi="Times New Roman"/>
                <w:sz w:val="18"/>
                <w:szCs w:val="18"/>
                <w:lang w:val="es-ES" w:eastAsia="en-US"/>
              </w:rPr>
              <w:t>Enfermedad pulmonar obstructiva crónica</w:t>
            </w:r>
          </w:p>
        </w:tc>
        <w:tc>
          <w:tcPr>
            <w:tcW w:w="1737" w:type="dxa"/>
            <w:shd w:val="clear" w:color="auto" w:fill="auto"/>
            <w:vAlign w:val="center"/>
          </w:tcPr>
          <w:p w14:paraId="7C102735"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5 (12,5)</w:t>
            </w:r>
          </w:p>
        </w:tc>
        <w:tc>
          <w:tcPr>
            <w:tcW w:w="1046" w:type="dxa"/>
            <w:shd w:val="clear" w:color="auto" w:fill="auto"/>
            <w:vAlign w:val="center"/>
          </w:tcPr>
          <w:p w14:paraId="12BD10D8"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2 (10)</w:t>
            </w:r>
          </w:p>
        </w:tc>
        <w:tc>
          <w:tcPr>
            <w:tcW w:w="1160" w:type="dxa"/>
            <w:shd w:val="clear" w:color="auto" w:fill="auto"/>
            <w:vAlign w:val="center"/>
          </w:tcPr>
          <w:p w14:paraId="7A3BFA38"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3 (15)</w:t>
            </w:r>
          </w:p>
        </w:tc>
        <w:tc>
          <w:tcPr>
            <w:tcW w:w="1064" w:type="dxa"/>
            <w:shd w:val="clear" w:color="auto" w:fill="auto"/>
            <w:vAlign w:val="center"/>
          </w:tcPr>
          <w:p w14:paraId="69FB28AF" w14:textId="77777777" w:rsidR="009D6C84" w:rsidRPr="00AA7161" w:rsidRDefault="009D6C84" w:rsidP="009D6C84">
            <w:pPr>
              <w:spacing w:line="360" w:lineRule="auto"/>
              <w:jc w:val="center"/>
              <w:rPr>
                <w:rFonts w:ascii="Times New Roman" w:hAnsi="Times New Roman"/>
                <w:iCs/>
                <w:sz w:val="18"/>
                <w:szCs w:val="18"/>
                <w:lang w:val="es-SV" w:eastAsia="en-US"/>
              </w:rPr>
            </w:pPr>
            <w:r w:rsidRPr="00AA7161">
              <w:rPr>
                <w:rFonts w:ascii="Times New Roman" w:hAnsi="Times New Roman"/>
                <w:iCs/>
                <w:sz w:val="18"/>
                <w:szCs w:val="18"/>
                <w:lang w:val="es-SV" w:eastAsia="en-US"/>
              </w:rPr>
              <w:t>-</w:t>
            </w:r>
          </w:p>
        </w:tc>
      </w:tr>
      <w:tr w:rsidR="00242FDF" w:rsidRPr="00AA7161" w14:paraId="7B36646C" w14:textId="77777777" w:rsidTr="00813A68">
        <w:trPr>
          <w:cnfStyle w:val="000000100000" w:firstRow="0" w:lastRow="0" w:firstColumn="0" w:lastColumn="0" w:oddVBand="0" w:evenVBand="0" w:oddHBand="1" w:evenHBand="0" w:firstRowFirstColumn="0" w:firstRowLastColumn="0" w:lastRowFirstColumn="0" w:lastRowLastColumn="0"/>
          <w:trHeight w:val="265"/>
          <w:jc w:val="center"/>
        </w:trPr>
        <w:tc>
          <w:tcPr>
            <w:tcW w:w="3256" w:type="dxa"/>
            <w:shd w:val="clear" w:color="auto" w:fill="auto"/>
            <w:vAlign w:val="center"/>
            <w:hideMark/>
          </w:tcPr>
          <w:p w14:paraId="40EEF6C4" w14:textId="77777777" w:rsidR="009D6C84" w:rsidRPr="00AA7161" w:rsidRDefault="009D6C84" w:rsidP="009D6C84">
            <w:pPr>
              <w:spacing w:line="360" w:lineRule="auto"/>
              <w:rPr>
                <w:rFonts w:ascii="Times New Roman" w:hAnsi="Times New Roman"/>
                <w:sz w:val="18"/>
                <w:szCs w:val="18"/>
                <w:lang w:val="es-ES" w:eastAsia="en-US"/>
              </w:rPr>
            </w:pPr>
            <w:r w:rsidRPr="00AA7161">
              <w:rPr>
                <w:rFonts w:ascii="Times New Roman" w:hAnsi="Times New Roman"/>
                <w:sz w:val="18"/>
                <w:szCs w:val="18"/>
                <w:lang w:val="es-SV" w:eastAsia="en-US"/>
              </w:rPr>
              <w:t>Asma bronquial</w:t>
            </w:r>
          </w:p>
        </w:tc>
        <w:tc>
          <w:tcPr>
            <w:tcW w:w="1737" w:type="dxa"/>
            <w:shd w:val="clear" w:color="auto" w:fill="auto"/>
            <w:vAlign w:val="center"/>
          </w:tcPr>
          <w:p w14:paraId="2A7D8A9B" w14:textId="77777777" w:rsidR="009D6C84" w:rsidRPr="00AA7161" w:rsidRDefault="009D6C84" w:rsidP="009D6C84">
            <w:pPr>
              <w:spacing w:line="360" w:lineRule="auto"/>
              <w:jc w:val="center"/>
              <w:rPr>
                <w:rFonts w:ascii="Times New Roman" w:hAnsi="Times New Roman"/>
                <w:sz w:val="18"/>
                <w:szCs w:val="18"/>
                <w:lang w:val="es-ES" w:eastAsia="en-US"/>
              </w:rPr>
            </w:pPr>
            <w:r w:rsidRPr="00AA7161">
              <w:rPr>
                <w:rFonts w:ascii="Times New Roman" w:hAnsi="Times New Roman"/>
                <w:sz w:val="18"/>
                <w:szCs w:val="18"/>
                <w:lang w:val="es-ES" w:eastAsia="en-US"/>
              </w:rPr>
              <w:t>4 (10)</w:t>
            </w:r>
          </w:p>
        </w:tc>
        <w:tc>
          <w:tcPr>
            <w:tcW w:w="1046" w:type="dxa"/>
            <w:shd w:val="clear" w:color="auto" w:fill="auto"/>
            <w:vAlign w:val="center"/>
          </w:tcPr>
          <w:p w14:paraId="2D3B2823" w14:textId="77777777" w:rsidR="009D6C84" w:rsidRPr="00AA7161" w:rsidRDefault="009D6C84" w:rsidP="009D6C84">
            <w:pPr>
              <w:spacing w:line="360" w:lineRule="auto"/>
              <w:jc w:val="center"/>
              <w:rPr>
                <w:rFonts w:ascii="Times New Roman" w:hAnsi="Times New Roman"/>
                <w:sz w:val="18"/>
                <w:szCs w:val="18"/>
                <w:lang w:val="es-ES" w:eastAsia="en-US"/>
              </w:rPr>
            </w:pPr>
            <w:r w:rsidRPr="00AA7161">
              <w:rPr>
                <w:rFonts w:ascii="Times New Roman" w:hAnsi="Times New Roman"/>
                <w:sz w:val="18"/>
                <w:szCs w:val="18"/>
                <w:lang w:val="es-ES" w:eastAsia="en-US"/>
              </w:rPr>
              <w:t>3 (15)</w:t>
            </w:r>
          </w:p>
        </w:tc>
        <w:tc>
          <w:tcPr>
            <w:tcW w:w="1160" w:type="dxa"/>
            <w:shd w:val="clear" w:color="auto" w:fill="auto"/>
            <w:vAlign w:val="center"/>
          </w:tcPr>
          <w:p w14:paraId="517F99A9" w14:textId="77777777" w:rsidR="009D6C84" w:rsidRPr="00AA7161" w:rsidRDefault="009D6C84" w:rsidP="009D6C84">
            <w:pPr>
              <w:spacing w:line="360" w:lineRule="auto"/>
              <w:jc w:val="center"/>
              <w:rPr>
                <w:rFonts w:ascii="Times New Roman" w:hAnsi="Times New Roman"/>
                <w:sz w:val="18"/>
                <w:szCs w:val="18"/>
                <w:lang w:val="es-ES" w:eastAsia="en-US"/>
              </w:rPr>
            </w:pPr>
            <w:r w:rsidRPr="00AA7161">
              <w:rPr>
                <w:rFonts w:ascii="Times New Roman" w:hAnsi="Times New Roman"/>
                <w:sz w:val="18"/>
                <w:szCs w:val="18"/>
                <w:lang w:val="es-ES" w:eastAsia="en-US"/>
              </w:rPr>
              <w:t>1 (5)</w:t>
            </w:r>
          </w:p>
        </w:tc>
        <w:tc>
          <w:tcPr>
            <w:tcW w:w="1064" w:type="dxa"/>
            <w:shd w:val="clear" w:color="auto" w:fill="auto"/>
            <w:vAlign w:val="center"/>
          </w:tcPr>
          <w:p w14:paraId="2736C528" w14:textId="77777777" w:rsidR="009D6C84" w:rsidRPr="00AA7161" w:rsidRDefault="009D6C84" w:rsidP="009D6C84">
            <w:pPr>
              <w:spacing w:line="360" w:lineRule="auto"/>
              <w:jc w:val="center"/>
              <w:rPr>
                <w:rFonts w:ascii="Times New Roman" w:hAnsi="Times New Roman"/>
                <w:iCs/>
                <w:sz w:val="18"/>
                <w:szCs w:val="18"/>
                <w:lang w:val="es-SV" w:eastAsia="en-US"/>
              </w:rPr>
            </w:pPr>
            <w:r w:rsidRPr="00AA7161">
              <w:rPr>
                <w:rFonts w:ascii="Times New Roman" w:hAnsi="Times New Roman"/>
                <w:iCs/>
                <w:sz w:val="18"/>
                <w:szCs w:val="18"/>
                <w:lang w:val="es-SV" w:eastAsia="en-US"/>
              </w:rPr>
              <w:t>-</w:t>
            </w:r>
          </w:p>
        </w:tc>
      </w:tr>
      <w:tr w:rsidR="00242FDF" w:rsidRPr="00AA7161" w14:paraId="240E4889" w14:textId="77777777" w:rsidTr="00813A68">
        <w:trPr>
          <w:trHeight w:val="227"/>
          <w:jc w:val="center"/>
        </w:trPr>
        <w:tc>
          <w:tcPr>
            <w:tcW w:w="3256" w:type="dxa"/>
            <w:shd w:val="clear" w:color="auto" w:fill="auto"/>
            <w:vAlign w:val="center"/>
            <w:hideMark/>
          </w:tcPr>
          <w:p w14:paraId="70B77BB7" w14:textId="77777777" w:rsidR="009D6C84" w:rsidRPr="00AA7161" w:rsidRDefault="009D6C84" w:rsidP="009D6C84">
            <w:pPr>
              <w:spacing w:line="360" w:lineRule="auto"/>
              <w:rPr>
                <w:rFonts w:ascii="Times New Roman" w:hAnsi="Times New Roman"/>
                <w:sz w:val="18"/>
                <w:szCs w:val="18"/>
                <w:lang w:val="es-SV" w:eastAsia="en-US"/>
              </w:rPr>
            </w:pPr>
            <w:r w:rsidRPr="00AA7161">
              <w:rPr>
                <w:rFonts w:ascii="Times New Roman" w:hAnsi="Times New Roman"/>
                <w:sz w:val="18"/>
                <w:szCs w:val="18"/>
                <w:lang w:val="es-ES" w:eastAsia="en-US"/>
              </w:rPr>
              <w:t>Obesidad</w:t>
            </w:r>
          </w:p>
        </w:tc>
        <w:tc>
          <w:tcPr>
            <w:tcW w:w="1737" w:type="dxa"/>
            <w:shd w:val="clear" w:color="auto" w:fill="auto"/>
            <w:vAlign w:val="center"/>
          </w:tcPr>
          <w:p w14:paraId="4A121EAE"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13 (32,5)</w:t>
            </w:r>
          </w:p>
        </w:tc>
        <w:tc>
          <w:tcPr>
            <w:tcW w:w="1046" w:type="dxa"/>
            <w:shd w:val="clear" w:color="auto" w:fill="auto"/>
            <w:vAlign w:val="center"/>
          </w:tcPr>
          <w:p w14:paraId="342FD526"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5 (25)</w:t>
            </w:r>
          </w:p>
        </w:tc>
        <w:tc>
          <w:tcPr>
            <w:tcW w:w="1160" w:type="dxa"/>
            <w:shd w:val="clear" w:color="auto" w:fill="auto"/>
            <w:vAlign w:val="center"/>
          </w:tcPr>
          <w:p w14:paraId="2A10E7C6"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8 (40)</w:t>
            </w:r>
          </w:p>
        </w:tc>
        <w:tc>
          <w:tcPr>
            <w:tcW w:w="1064" w:type="dxa"/>
            <w:shd w:val="clear" w:color="auto" w:fill="auto"/>
            <w:vAlign w:val="center"/>
          </w:tcPr>
          <w:p w14:paraId="65987004" w14:textId="77777777" w:rsidR="009D6C84" w:rsidRPr="00AA7161" w:rsidRDefault="009D6C84" w:rsidP="009D6C84">
            <w:pPr>
              <w:spacing w:line="360" w:lineRule="auto"/>
              <w:jc w:val="center"/>
              <w:rPr>
                <w:rFonts w:ascii="Times New Roman" w:hAnsi="Times New Roman"/>
                <w:iCs/>
                <w:sz w:val="18"/>
                <w:szCs w:val="18"/>
                <w:lang w:val="es-SV" w:eastAsia="en-US"/>
              </w:rPr>
            </w:pPr>
            <w:r w:rsidRPr="00AA7161">
              <w:rPr>
                <w:rFonts w:ascii="Times New Roman" w:hAnsi="Times New Roman"/>
                <w:iCs/>
                <w:sz w:val="18"/>
                <w:szCs w:val="18"/>
                <w:lang w:val="es-SV" w:eastAsia="en-US"/>
              </w:rPr>
              <w:t>-</w:t>
            </w:r>
          </w:p>
        </w:tc>
      </w:tr>
      <w:tr w:rsidR="00242FDF" w:rsidRPr="00AA7161" w14:paraId="2967E13A" w14:textId="77777777" w:rsidTr="00813A68">
        <w:trPr>
          <w:cnfStyle w:val="000000100000" w:firstRow="0" w:lastRow="0" w:firstColumn="0" w:lastColumn="0" w:oddVBand="0" w:evenVBand="0" w:oddHBand="1" w:evenHBand="0" w:firstRowFirstColumn="0" w:firstRowLastColumn="0" w:lastRowFirstColumn="0" w:lastRowLastColumn="0"/>
          <w:trHeight w:val="345"/>
          <w:jc w:val="center"/>
        </w:trPr>
        <w:tc>
          <w:tcPr>
            <w:tcW w:w="3256" w:type="dxa"/>
            <w:shd w:val="clear" w:color="auto" w:fill="auto"/>
            <w:vAlign w:val="center"/>
          </w:tcPr>
          <w:p w14:paraId="530165A4" w14:textId="77777777" w:rsidR="009D6C84" w:rsidRPr="00AA7161" w:rsidRDefault="009D6C84" w:rsidP="009D6C84">
            <w:pPr>
              <w:spacing w:line="360" w:lineRule="auto"/>
              <w:rPr>
                <w:rFonts w:ascii="Times New Roman" w:hAnsi="Times New Roman"/>
                <w:sz w:val="18"/>
                <w:szCs w:val="18"/>
                <w:lang w:val="es-SV" w:eastAsia="en-US"/>
              </w:rPr>
            </w:pPr>
            <w:r w:rsidRPr="00AA7161">
              <w:rPr>
                <w:rFonts w:ascii="Times New Roman" w:hAnsi="Times New Roman"/>
                <w:sz w:val="18"/>
                <w:szCs w:val="18"/>
                <w:lang w:val="es-ES" w:eastAsia="en-US"/>
              </w:rPr>
              <w:t>Pacientes con dos comorbilidades o más</w:t>
            </w:r>
          </w:p>
        </w:tc>
        <w:tc>
          <w:tcPr>
            <w:tcW w:w="1737" w:type="dxa"/>
            <w:shd w:val="clear" w:color="auto" w:fill="auto"/>
            <w:vAlign w:val="center"/>
          </w:tcPr>
          <w:p w14:paraId="77A5356B"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26 (65)</w:t>
            </w:r>
          </w:p>
        </w:tc>
        <w:tc>
          <w:tcPr>
            <w:tcW w:w="1046" w:type="dxa"/>
            <w:shd w:val="clear" w:color="auto" w:fill="auto"/>
            <w:vAlign w:val="center"/>
          </w:tcPr>
          <w:p w14:paraId="17FF38D8"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14 (70)</w:t>
            </w:r>
          </w:p>
        </w:tc>
        <w:tc>
          <w:tcPr>
            <w:tcW w:w="1160" w:type="dxa"/>
            <w:shd w:val="clear" w:color="auto" w:fill="auto"/>
            <w:vAlign w:val="center"/>
          </w:tcPr>
          <w:p w14:paraId="35346A65"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12 (60)</w:t>
            </w:r>
          </w:p>
        </w:tc>
        <w:tc>
          <w:tcPr>
            <w:tcW w:w="1064" w:type="dxa"/>
            <w:shd w:val="clear" w:color="auto" w:fill="auto"/>
            <w:vAlign w:val="center"/>
          </w:tcPr>
          <w:p w14:paraId="36E279D0" w14:textId="77777777" w:rsidR="009D6C84" w:rsidRPr="00AA7161" w:rsidRDefault="009D6C84" w:rsidP="009D6C84">
            <w:pPr>
              <w:spacing w:line="360" w:lineRule="auto"/>
              <w:jc w:val="center"/>
              <w:rPr>
                <w:rFonts w:ascii="Times New Roman" w:hAnsi="Times New Roman"/>
                <w:iCs/>
                <w:sz w:val="18"/>
                <w:szCs w:val="18"/>
                <w:lang w:val="es-SV" w:eastAsia="en-US"/>
              </w:rPr>
            </w:pPr>
            <w:r w:rsidRPr="00AA7161">
              <w:rPr>
                <w:rFonts w:ascii="Times New Roman" w:hAnsi="Times New Roman"/>
                <w:iCs/>
                <w:sz w:val="18"/>
                <w:szCs w:val="18"/>
                <w:lang w:val="es-SV" w:eastAsia="en-US"/>
              </w:rPr>
              <w:t>-</w:t>
            </w:r>
          </w:p>
        </w:tc>
      </w:tr>
      <w:tr w:rsidR="00242FDF" w:rsidRPr="00AA7161" w14:paraId="52B4F868" w14:textId="77777777" w:rsidTr="00813A68">
        <w:trPr>
          <w:trHeight w:val="161"/>
          <w:jc w:val="center"/>
        </w:trPr>
        <w:tc>
          <w:tcPr>
            <w:tcW w:w="3256" w:type="dxa"/>
            <w:shd w:val="clear" w:color="auto" w:fill="auto"/>
            <w:vAlign w:val="center"/>
          </w:tcPr>
          <w:p w14:paraId="11383E8C" w14:textId="77777777" w:rsidR="009D6C84" w:rsidRPr="00AA7161" w:rsidRDefault="009D6C84" w:rsidP="009D6C84">
            <w:pPr>
              <w:spacing w:line="360" w:lineRule="auto"/>
              <w:rPr>
                <w:rFonts w:ascii="Times New Roman" w:hAnsi="Times New Roman"/>
                <w:sz w:val="18"/>
                <w:szCs w:val="18"/>
                <w:lang w:val="es-SV" w:eastAsia="en-US"/>
              </w:rPr>
            </w:pPr>
            <w:r w:rsidRPr="00AA7161">
              <w:rPr>
                <w:rFonts w:ascii="Times New Roman" w:hAnsi="Times New Roman"/>
                <w:sz w:val="18"/>
                <w:szCs w:val="18"/>
                <w:lang w:val="es-ES" w:eastAsia="en-US"/>
              </w:rPr>
              <w:t>Pacientes sin comorbilidades</w:t>
            </w:r>
          </w:p>
        </w:tc>
        <w:tc>
          <w:tcPr>
            <w:tcW w:w="1737" w:type="dxa"/>
            <w:shd w:val="clear" w:color="auto" w:fill="auto"/>
            <w:vAlign w:val="center"/>
          </w:tcPr>
          <w:p w14:paraId="35C4377C"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1 (2,5 %)</w:t>
            </w:r>
          </w:p>
        </w:tc>
        <w:tc>
          <w:tcPr>
            <w:tcW w:w="1046" w:type="dxa"/>
            <w:shd w:val="clear" w:color="auto" w:fill="auto"/>
            <w:vAlign w:val="center"/>
          </w:tcPr>
          <w:p w14:paraId="4391537C"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1 (5 %)</w:t>
            </w:r>
          </w:p>
        </w:tc>
        <w:tc>
          <w:tcPr>
            <w:tcW w:w="1160" w:type="dxa"/>
            <w:shd w:val="clear" w:color="auto" w:fill="auto"/>
            <w:vAlign w:val="center"/>
          </w:tcPr>
          <w:p w14:paraId="393C81CE"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w:t>
            </w:r>
          </w:p>
        </w:tc>
        <w:tc>
          <w:tcPr>
            <w:tcW w:w="1064" w:type="dxa"/>
            <w:shd w:val="clear" w:color="auto" w:fill="auto"/>
            <w:vAlign w:val="center"/>
          </w:tcPr>
          <w:p w14:paraId="614C99CB" w14:textId="77777777" w:rsidR="009D6C84" w:rsidRPr="00AA7161" w:rsidRDefault="009D6C84" w:rsidP="009D6C84">
            <w:pPr>
              <w:spacing w:line="360" w:lineRule="auto"/>
              <w:jc w:val="center"/>
              <w:rPr>
                <w:rFonts w:ascii="Times New Roman" w:hAnsi="Times New Roman"/>
                <w:iCs/>
                <w:sz w:val="18"/>
                <w:szCs w:val="18"/>
                <w:lang w:val="es-SV" w:eastAsia="en-US"/>
              </w:rPr>
            </w:pPr>
            <w:r w:rsidRPr="00AA7161">
              <w:rPr>
                <w:rFonts w:ascii="Times New Roman" w:hAnsi="Times New Roman"/>
                <w:iCs/>
                <w:sz w:val="18"/>
                <w:szCs w:val="18"/>
                <w:lang w:val="es-SV" w:eastAsia="en-US"/>
              </w:rPr>
              <w:t>-</w:t>
            </w:r>
          </w:p>
        </w:tc>
      </w:tr>
      <w:tr w:rsidR="00242FDF" w:rsidRPr="00AA7161" w14:paraId="2346FE5F" w14:textId="77777777" w:rsidTr="00813A68">
        <w:trPr>
          <w:cnfStyle w:val="000000100000" w:firstRow="0" w:lastRow="0" w:firstColumn="0" w:lastColumn="0" w:oddVBand="0" w:evenVBand="0" w:oddHBand="1" w:evenHBand="0" w:firstRowFirstColumn="0" w:firstRowLastColumn="0" w:lastRowFirstColumn="0" w:lastRowLastColumn="0"/>
          <w:trHeight w:val="149"/>
          <w:jc w:val="center"/>
        </w:trPr>
        <w:tc>
          <w:tcPr>
            <w:tcW w:w="3256" w:type="dxa"/>
            <w:shd w:val="clear" w:color="auto" w:fill="auto"/>
            <w:vAlign w:val="center"/>
          </w:tcPr>
          <w:p w14:paraId="03AA8AB2" w14:textId="77777777" w:rsidR="009D6C84" w:rsidRPr="00AA7161" w:rsidRDefault="009D6C84" w:rsidP="009D6C84">
            <w:pPr>
              <w:spacing w:line="360" w:lineRule="auto"/>
              <w:rPr>
                <w:rFonts w:ascii="Times New Roman" w:hAnsi="Times New Roman"/>
                <w:sz w:val="18"/>
                <w:szCs w:val="18"/>
                <w:lang w:val="es-SV" w:eastAsia="en-US"/>
              </w:rPr>
            </w:pPr>
            <w:r w:rsidRPr="00AA7161">
              <w:rPr>
                <w:rFonts w:ascii="Times New Roman" w:hAnsi="Times New Roman"/>
                <w:b/>
                <w:sz w:val="18"/>
                <w:szCs w:val="18"/>
                <w:lang w:val="es-SV" w:eastAsia="en-US"/>
              </w:rPr>
              <w:t>Desenlace clínico final</w:t>
            </w:r>
          </w:p>
        </w:tc>
        <w:tc>
          <w:tcPr>
            <w:tcW w:w="1737" w:type="dxa"/>
            <w:shd w:val="clear" w:color="auto" w:fill="auto"/>
            <w:vAlign w:val="center"/>
          </w:tcPr>
          <w:p w14:paraId="40978B22" w14:textId="77777777" w:rsidR="009D6C84" w:rsidRPr="00AA7161" w:rsidRDefault="009D6C84" w:rsidP="009D6C84">
            <w:pPr>
              <w:spacing w:line="360" w:lineRule="auto"/>
              <w:jc w:val="center"/>
              <w:rPr>
                <w:rFonts w:ascii="Times New Roman" w:hAnsi="Times New Roman"/>
                <w:b/>
                <w:bCs/>
                <w:sz w:val="18"/>
                <w:szCs w:val="18"/>
                <w:lang w:val="es-SV" w:eastAsia="en-US"/>
              </w:rPr>
            </w:pPr>
            <w:r w:rsidRPr="00AA7161">
              <w:rPr>
                <w:rFonts w:ascii="Times New Roman" w:hAnsi="Times New Roman"/>
                <w:b/>
                <w:bCs/>
                <w:sz w:val="18"/>
                <w:szCs w:val="18"/>
                <w:lang w:val="es-SV" w:eastAsia="en-US"/>
              </w:rPr>
              <w:t>n (%)</w:t>
            </w:r>
          </w:p>
        </w:tc>
        <w:tc>
          <w:tcPr>
            <w:tcW w:w="1046" w:type="dxa"/>
            <w:shd w:val="clear" w:color="auto" w:fill="auto"/>
            <w:vAlign w:val="center"/>
          </w:tcPr>
          <w:p w14:paraId="10C1613C" w14:textId="77777777" w:rsidR="009D6C84" w:rsidRPr="00AA7161" w:rsidRDefault="009D6C84" w:rsidP="009D6C84">
            <w:pPr>
              <w:spacing w:line="360" w:lineRule="auto"/>
              <w:jc w:val="center"/>
              <w:rPr>
                <w:rFonts w:ascii="Times New Roman" w:hAnsi="Times New Roman"/>
                <w:b/>
                <w:bCs/>
                <w:sz w:val="18"/>
                <w:szCs w:val="18"/>
                <w:lang w:val="es-SV" w:eastAsia="en-US"/>
              </w:rPr>
            </w:pPr>
            <w:r w:rsidRPr="00AA7161">
              <w:rPr>
                <w:rFonts w:ascii="Times New Roman" w:hAnsi="Times New Roman"/>
                <w:b/>
                <w:bCs/>
                <w:sz w:val="18"/>
                <w:szCs w:val="18"/>
                <w:lang w:val="es-SV" w:eastAsia="en-US"/>
              </w:rPr>
              <w:t>n (%)</w:t>
            </w:r>
          </w:p>
        </w:tc>
        <w:tc>
          <w:tcPr>
            <w:tcW w:w="1160" w:type="dxa"/>
            <w:shd w:val="clear" w:color="auto" w:fill="auto"/>
            <w:vAlign w:val="center"/>
          </w:tcPr>
          <w:p w14:paraId="65BBF204" w14:textId="77777777" w:rsidR="009D6C84" w:rsidRPr="00AA7161" w:rsidRDefault="009D6C84" w:rsidP="009D6C84">
            <w:pPr>
              <w:spacing w:line="360" w:lineRule="auto"/>
              <w:jc w:val="center"/>
              <w:rPr>
                <w:rFonts w:ascii="Times New Roman" w:hAnsi="Times New Roman"/>
                <w:b/>
                <w:bCs/>
                <w:sz w:val="18"/>
                <w:szCs w:val="18"/>
                <w:lang w:val="es-SV" w:eastAsia="en-US"/>
              </w:rPr>
            </w:pPr>
            <w:r w:rsidRPr="00AA7161">
              <w:rPr>
                <w:rFonts w:ascii="Times New Roman" w:hAnsi="Times New Roman"/>
                <w:b/>
                <w:bCs/>
                <w:sz w:val="18"/>
                <w:szCs w:val="18"/>
                <w:lang w:val="es-SV" w:eastAsia="en-US"/>
              </w:rPr>
              <w:t>n (%)</w:t>
            </w:r>
          </w:p>
        </w:tc>
        <w:tc>
          <w:tcPr>
            <w:tcW w:w="1064" w:type="dxa"/>
            <w:shd w:val="clear" w:color="auto" w:fill="auto"/>
            <w:vAlign w:val="center"/>
          </w:tcPr>
          <w:p w14:paraId="76407EA2" w14:textId="77777777" w:rsidR="009D6C84" w:rsidRPr="00AA7161" w:rsidRDefault="009D6C84" w:rsidP="009D6C84">
            <w:pPr>
              <w:spacing w:line="360" w:lineRule="auto"/>
              <w:jc w:val="center"/>
              <w:rPr>
                <w:rFonts w:ascii="Times New Roman" w:hAnsi="Times New Roman"/>
                <w:b/>
                <w:bCs/>
                <w:iCs/>
                <w:sz w:val="18"/>
                <w:szCs w:val="18"/>
                <w:lang w:val="es-SV" w:eastAsia="en-US"/>
              </w:rPr>
            </w:pPr>
            <w:r w:rsidRPr="00AA7161">
              <w:rPr>
                <w:rFonts w:ascii="Times New Roman" w:hAnsi="Times New Roman"/>
                <w:b/>
                <w:bCs/>
                <w:iCs/>
                <w:sz w:val="18"/>
                <w:szCs w:val="18"/>
                <w:lang w:val="es-SV" w:eastAsia="en-US"/>
              </w:rPr>
              <w:t>-</w:t>
            </w:r>
          </w:p>
        </w:tc>
      </w:tr>
      <w:tr w:rsidR="00242FDF" w:rsidRPr="00AA7161" w14:paraId="5BC073BA" w14:textId="77777777" w:rsidTr="00813A68">
        <w:trPr>
          <w:trHeight w:val="161"/>
          <w:jc w:val="center"/>
        </w:trPr>
        <w:tc>
          <w:tcPr>
            <w:tcW w:w="3256" w:type="dxa"/>
            <w:shd w:val="clear" w:color="auto" w:fill="auto"/>
            <w:vAlign w:val="center"/>
          </w:tcPr>
          <w:p w14:paraId="75993D2D" w14:textId="77777777" w:rsidR="009D6C84" w:rsidRPr="00AA7161" w:rsidRDefault="009D6C84" w:rsidP="009D6C84">
            <w:pPr>
              <w:spacing w:line="360" w:lineRule="auto"/>
              <w:rPr>
                <w:rFonts w:ascii="Times New Roman" w:hAnsi="Times New Roman"/>
                <w:sz w:val="18"/>
                <w:szCs w:val="18"/>
                <w:lang w:val="es-SV" w:eastAsia="en-US"/>
              </w:rPr>
            </w:pPr>
            <w:r w:rsidRPr="00AA7161">
              <w:rPr>
                <w:rFonts w:ascii="Times New Roman" w:hAnsi="Times New Roman"/>
                <w:sz w:val="18"/>
                <w:szCs w:val="18"/>
                <w:lang w:val="es-SV" w:eastAsia="en-US"/>
              </w:rPr>
              <w:t>Mejoría, egresa del hospital</w:t>
            </w:r>
          </w:p>
        </w:tc>
        <w:tc>
          <w:tcPr>
            <w:tcW w:w="1737" w:type="dxa"/>
            <w:shd w:val="clear" w:color="auto" w:fill="auto"/>
            <w:vAlign w:val="center"/>
          </w:tcPr>
          <w:p w14:paraId="12CCF02B"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27 (67,5)</w:t>
            </w:r>
          </w:p>
        </w:tc>
        <w:tc>
          <w:tcPr>
            <w:tcW w:w="1046" w:type="dxa"/>
            <w:shd w:val="clear" w:color="auto" w:fill="auto"/>
            <w:vAlign w:val="center"/>
          </w:tcPr>
          <w:p w14:paraId="5B266F2C"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10 (50)</w:t>
            </w:r>
          </w:p>
        </w:tc>
        <w:tc>
          <w:tcPr>
            <w:tcW w:w="1160" w:type="dxa"/>
            <w:shd w:val="clear" w:color="auto" w:fill="auto"/>
            <w:vAlign w:val="center"/>
          </w:tcPr>
          <w:p w14:paraId="6C83C4BF"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17 (85)</w:t>
            </w:r>
          </w:p>
        </w:tc>
        <w:tc>
          <w:tcPr>
            <w:tcW w:w="1064" w:type="dxa"/>
            <w:shd w:val="clear" w:color="auto" w:fill="auto"/>
            <w:vAlign w:val="center"/>
          </w:tcPr>
          <w:p w14:paraId="161FC475" w14:textId="77777777" w:rsidR="009D6C84" w:rsidRPr="00AA7161" w:rsidRDefault="009D6C84" w:rsidP="009D6C84">
            <w:pPr>
              <w:spacing w:line="360" w:lineRule="auto"/>
              <w:jc w:val="center"/>
              <w:rPr>
                <w:rFonts w:ascii="Times New Roman" w:hAnsi="Times New Roman"/>
                <w:bCs/>
                <w:iCs/>
                <w:sz w:val="18"/>
                <w:szCs w:val="18"/>
                <w:lang w:val="es-SV" w:eastAsia="en-US"/>
              </w:rPr>
            </w:pPr>
            <w:r w:rsidRPr="00AA7161">
              <w:rPr>
                <w:rFonts w:ascii="Times New Roman" w:hAnsi="Times New Roman"/>
                <w:bCs/>
                <w:iCs/>
                <w:sz w:val="18"/>
                <w:szCs w:val="18"/>
                <w:lang w:val="es-SV" w:eastAsia="en-US"/>
              </w:rPr>
              <w:t>p= 0,0407</w:t>
            </w:r>
          </w:p>
        </w:tc>
      </w:tr>
      <w:tr w:rsidR="00242FDF" w:rsidRPr="00AA7161" w14:paraId="0E6A22A5" w14:textId="77777777" w:rsidTr="00813A68">
        <w:trPr>
          <w:cnfStyle w:val="000000100000" w:firstRow="0" w:lastRow="0" w:firstColumn="0" w:lastColumn="0" w:oddVBand="0" w:evenVBand="0" w:oddHBand="1" w:evenHBand="0" w:firstRowFirstColumn="0" w:firstRowLastColumn="0" w:lastRowFirstColumn="0" w:lastRowLastColumn="0"/>
          <w:trHeight w:val="245"/>
          <w:jc w:val="center"/>
        </w:trPr>
        <w:tc>
          <w:tcPr>
            <w:tcW w:w="3256" w:type="dxa"/>
            <w:shd w:val="clear" w:color="auto" w:fill="auto"/>
            <w:vAlign w:val="center"/>
          </w:tcPr>
          <w:p w14:paraId="01247B65" w14:textId="77777777" w:rsidR="009D6C84" w:rsidRPr="00AA7161" w:rsidRDefault="009D6C84" w:rsidP="009D6C84">
            <w:pPr>
              <w:spacing w:line="360" w:lineRule="auto"/>
              <w:rPr>
                <w:rFonts w:ascii="Times New Roman" w:hAnsi="Times New Roman"/>
                <w:sz w:val="18"/>
                <w:szCs w:val="18"/>
                <w:lang w:val="es-SV" w:eastAsia="en-US"/>
              </w:rPr>
            </w:pPr>
            <w:r w:rsidRPr="00AA7161">
              <w:rPr>
                <w:rFonts w:ascii="Times New Roman" w:hAnsi="Times New Roman"/>
                <w:sz w:val="18"/>
                <w:szCs w:val="18"/>
                <w:lang w:val="es-SV" w:eastAsia="en-US"/>
              </w:rPr>
              <w:t>Fallecen</w:t>
            </w:r>
          </w:p>
        </w:tc>
        <w:tc>
          <w:tcPr>
            <w:tcW w:w="1737" w:type="dxa"/>
            <w:shd w:val="clear" w:color="auto" w:fill="auto"/>
            <w:vAlign w:val="center"/>
          </w:tcPr>
          <w:p w14:paraId="6F9E767B"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13 (32,5)</w:t>
            </w:r>
          </w:p>
        </w:tc>
        <w:tc>
          <w:tcPr>
            <w:tcW w:w="1046" w:type="dxa"/>
            <w:shd w:val="clear" w:color="auto" w:fill="auto"/>
            <w:vAlign w:val="center"/>
          </w:tcPr>
          <w:p w14:paraId="2D342DA5"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10 (50)</w:t>
            </w:r>
          </w:p>
        </w:tc>
        <w:tc>
          <w:tcPr>
            <w:tcW w:w="1160" w:type="dxa"/>
            <w:shd w:val="clear" w:color="auto" w:fill="auto"/>
            <w:vAlign w:val="center"/>
          </w:tcPr>
          <w:p w14:paraId="45C7D39B" w14:textId="77777777" w:rsidR="009D6C84" w:rsidRPr="00AA7161" w:rsidRDefault="009D6C84" w:rsidP="009D6C84">
            <w:pPr>
              <w:spacing w:line="360" w:lineRule="auto"/>
              <w:jc w:val="center"/>
              <w:rPr>
                <w:rFonts w:ascii="Times New Roman" w:hAnsi="Times New Roman"/>
                <w:sz w:val="18"/>
                <w:szCs w:val="18"/>
                <w:lang w:val="es-SV" w:eastAsia="en-US"/>
              </w:rPr>
            </w:pPr>
            <w:r w:rsidRPr="00AA7161">
              <w:rPr>
                <w:rFonts w:ascii="Times New Roman" w:hAnsi="Times New Roman"/>
                <w:sz w:val="18"/>
                <w:szCs w:val="18"/>
                <w:lang w:val="es-SV" w:eastAsia="en-US"/>
              </w:rPr>
              <w:t>3 (15)</w:t>
            </w:r>
          </w:p>
        </w:tc>
        <w:tc>
          <w:tcPr>
            <w:tcW w:w="1064" w:type="dxa"/>
            <w:shd w:val="clear" w:color="auto" w:fill="auto"/>
            <w:vAlign w:val="center"/>
          </w:tcPr>
          <w:p w14:paraId="1E0DB1C9" w14:textId="77777777" w:rsidR="009D6C84" w:rsidRPr="00AA7161" w:rsidRDefault="009D6C84" w:rsidP="009D6C84">
            <w:pPr>
              <w:spacing w:line="360" w:lineRule="auto"/>
              <w:jc w:val="center"/>
              <w:rPr>
                <w:rFonts w:ascii="Times New Roman" w:hAnsi="Times New Roman"/>
                <w:bCs/>
                <w:iCs/>
                <w:sz w:val="18"/>
                <w:szCs w:val="18"/>
                <w:lang w:val="es-SV" w:eastAsia="en-US"/>
              </w:rPr>
            </w:pPr>
            <w:r w:rsidRPr="00AA7161">
              <w:rPr>
                <w:rFonts w:ascii="Times New Roman" w:hAnsi="Times New Roman"/>
                <w:bCs/>
                <w:iCs/>
                <w:sz w:val="18"/>
                <w:szCs w:val="18"/>
                <w:lang w:val="es-SV" w:eastAsia="en-US"/>
              </w:rPr>
              <w:t>p= 0,0407</w:t>
            </w:r>
          </w:p>
        </w:tc>
      </w:tr>
    </w:tbl>
    <w:p w14:paraId="18BFD761" w14:textId="77777777" w:rsidR="009D6C84" w:rsidRPr="00AA7161" w:rsidRDefault="009D6C84" w:rsidP="009D6C84">
      <w:pPr>
        <w:widowControl w:val="0"/>
        <w:spacing w:line="360" w:lineRule="auto"/>
        <w:jc w:val="both"/>
        <w:rPr>
          <w:lang w:val="es-ES" w:eastAsia="en-US"/>
        </w:rPr>
      </w:pPr>
    </w:p>
    <w:p w14:paraId="12B66A00" w14:textId="77777777" w:rsidR="009D6C84" w:rsidRPr="00AA7161" w:rsidRDefault="009D6C84" w:rsidP="009D6C84">
      <w:pPr>
        <w:widowControl w:val="0"/>
        <w:spacing w:line="360" w:lineRule="auto"/>
        <w:jc w:val="both"/>
        <w:rPr>
          <w:lang w:val="es-ES" w:eastAsia="en-US"/>
        </w:rPr>
      </w:pPr>
      <w:r w:rsidRPr="00AA7161">
        <w:rPr>
          <w:lang w:val="es-ES" w:eastAsia="en-US"/>
        </w:rPr>
        <w:t>Como se puede observar en la tabla 1, no existieron diferencias significativas en cuanto a la edad ni las comorbilidades entre los dos grupos. La media de edad fue de 70 años (recorrido 59-89). Solo un paciente del grupo control no presentó comorbilidades; los demás tenían una o más, que incluían: hipertensión arterial, diabetes mellitus tipo 2, enfermedad pulmonar obstructiva crónica, asma bronquial y obesidad.</w:t>
      </w:r>
    </w:p>
    <w:p w14:paraId="7B0D3998"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El 85 % de los pacientes tratados con Jusvinza se recuperaron y recibieron alta médica. En contraste, el 50 % de los no tratados con Jusvinza, fallecieron. Estos resultados indican que la sobrevida en los pacientes tratados con Jusvinza fue significativamente superior a la de los no tratados. </w:t>
      </w:r>
    </w:p>
    <w:p w14:paraId="456773E1" w14:textId="77777777" w:rsidR="009D6C84" w:rsidRPr="00AA7161" w:rsidRDefault="009D6C84" w:rsidP="009D6C84">
      <w:pPr>
        <w:widowControl w:val="0"/>
        <w:spacing w:line="360" w:lineRule="auto"/>
        <w:jc w:val="both"/>
        <w:rPr>
          <w:lang w:val="es-ES" w:eastAsia="en-US"/>
        </w:rPr>
      </w:pPr>
      <w:r w:rsidRPr="00AA7161">
        <w:rPr>
          <w:lang w:val="es-ES" w:eastAsia="en-US"/>
        </w:rPr>
        <w:t>No se registraron eventos adversos asociados al tratamiento.</w:t>
      </w:r>
    </w:p>
    <w:p w14:paraId="2CD55BBA" w14:textId="063225C4" w:rsidR="009D6C84" w:rsidRPr="00AA7161" w:rsidRDefault="008126D4" w:rsidP="009D6C84">
      <w:pPr>
        <w:widowControl w:val="0"/>
        <w:spacing w:line="360" w:lineRule="auto"/>
        <w:jc w:val="center"/>
        <w:rPr>
          <w:b/>
          <w:sz w:val="28"/>
          <w:szCs w:val="28"/>
          <w:lang w:val="es-ES" w:eastAsia="en-US"/>
        </w:rPr>
      </w:pPr>
      <w:r w:rsidRPr="00AA7161">
        <w:rPr>
          <w:b/>
          <w:sz w:val="28"/>
          <w:szCs w:val="28"/>
          <w:lang w:val="es-ES" w:eastAsia="en-US"/>
        </w:rPr>
        <w:br w:type="page"/>
      </w:r>
      <w:r w:rsidR="009D6C84" w:rsidRPr="00AA7161">
        <w:rPr>
          <w:b/>
          <w:sz w:val="28"/>
          <w:szCs w:val="28"/>
          <w:lang w:val="es-ES" w:eastAsia="en-US"/>
        </w:rPr>
        <w:lastRenderedPageBreak/>
        <w:t>Evolución clínica</w:t>
      </w:r>
    </w:p>
    <w:p w14:paraId="102CB202"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Todos los pacientes incluidos en el estudio presentaban el SDRA, evidenciado por un cociente PaO2/FiO2 (PF) ≤ 300 mmHg, según los criterios de </w:t>
      </w:r>
      <w:proofErr w:type="gramStart"/>
      <w:r w:rsidRPr="00AA7161">
        <w:rPr>
          <w:lang w:val="es-ES" w:eastAsia="en-US"/>
        </w:rPr>
        <w:t>Berlín.</w:t>
      </w:r>
      <w:r w:rsidRPr="00AA7161">
        <w:rPr>
          <w:vertAlign w:val="superscript"/>
          <w:lang w:val="es-ES" w:eastAsia="en-US"/>
        </w:rPr>
        <w:t>(</w:t>
      </w:r>
      <w:proofErr w:type="gramEnd"/>
      <w:r w:rsidRPr="00AA7161">
        <w:rPr>
          <w:vertAlign w:val="superscript"/>
          <w:lang w:val="es-ES" w:eastAsia="en-US"/>
        </w:rPr>
        <w:t>24)</w:t>
      </w:r>
    </w:p>
    <w:p w14:paraId="1DB5BC7D" w14:textId="77777777" w:rsidR="009D6C84" w:rsidRPr="00AA7161" w:rsidRDefault="009D6C84" w:rsidP="009D6C84">
      <w:pPr>
        <w:widowControl w:val="0"/>
        <w:spacing w:line="360" w:lineRule="auto"/>
        <w:jc w:val="both"/>
        <w:rPr>
          <w:lang w:val="es-ES" w:eastAsia="en-US"/>
        </w:rPr>
      </w:pPr>
      <w:r w:rsidRPr="00AA7161">
        <w:rPr>
          <w:lang w:val="es-ES" w:eastAsia="en-US"/>
        </w:rPr>
        <w:t>La tabla 2 muestra las variaciones de los parámetros ventilatorios. En los pacientes tratados con Jusvinza, mejoró significativamente la SO2, el PO2 y el P/F desde las primeras 48 horas de iniciado el tratamiento. En el grupo de pacientes no tratados con Jusvinza, se observa una disminución significativa del valor de P/F en el tiempo.</w:t>
      </w:r>
    </w:p>
    <w:p w14:paraId="600CBF01" w14:textId="77777777" w:rsidR="009D6C84" w:rsidRPr="00AA7161" w:rsidRDefault="009D6C84" w:rsidP="009D6C84">
      <w:pPr>
        <w:widowControl w:val="0"/>
        <w:spacing w:line="360" w:lineRule="auto"/>
        <w:jc w:val="both"/>
        <w:rPr>
          <w:lang w:val="es-ES" w:eastAsia="en-US"/>
        </w:rPr>
      </w:pPr>
    </w:p>
    <w:p w14:paraId="64088106" w14:textId="77777777" w:rsidR="009D6C84" w:rsidRPr="00AA7161" w:rsidRDefault="009D6C84" w:rsidP="009D6C84">
      <w:pPr>
        <w:widowControl w:val="0"/>
        <w:spacing w:line="360" w:lineRule="auto"/>
        <w:jc w:val="center"/>
        <w:rPr>
          <w:rFonts w:eastAsia="Calibri"/>
          <w:bCs/>
          <w:sz w:val="22"/>
          <w:szCs w:val="22"/>
          <w:lang w:val="es-ES" w:eastAsia="en-US"/>
        </w:rPr>
      </w:pPr>
      <w:r w:rsidRPr="00AA7161">
        <w:rPr>
          <w:rFonts w:eastAsia="Calibri"/>
          <w:b/>
          <w:sz w:val="22"/>
          <w:szCs w:val="22"/>
          <w:lang w:val="es-ES" w:eastAsia="en-US"/>
        </w:rPr>
        <w:t>Tabla 2 -</w:t>
      </w:r>
      <w:r w:rsidRPr="00AA7161">
        <w:rPr>
          <w:rFonts w:eastAsia="Calibri"/>
          <w:bCs/>
          <w:sz w:val="22"/>
          <w:szCs w:val="22"/>
          <w:lang w:val="es-ES" w:eastAsia="en-US"/>
        </w:rPr>
        <w:t xml:space="preserve"> Parámetros ventilatorios</w:t>
      </w:r>
    </w:p>
    <w:p w14:paraId="04480A59" w14:textId="29723EB1" w:rsidR="00CB6D08" w:rsidRPr="00AA7161" w:rsidRDefault="001635FD" w:rsidP="009D6C84">
      <w:pPr>
        <w:widowControl w:val="0"/>
        <w:spacing w:line="360" w:lineRule="auto"/>
        <w:jc w:val="center"/>
        <w:rPr>
          <w:rFonts w:eastAsia="Calibri"/>
          <w:iCs/>
          <w:sz w:val="16"/>
          <w:szCs w:val="16"/>
          <w:lang w:val="es-ES" w:eastAsia="en-US"/>
        </w:rPr>
      </w:pPr>
      <w:r w:rsidRPr="00AA7161">
        <w:rPr>
          <w:rFonts w:eastAsia="Calibri"/>
          <w:iCs/>
          <w:noProof/>
          <w:sz w:val="16"/>
          <w:szCs w:val="16"/>
          <w:lang w:val="es-ES" w:eastAsia="en-US"/>
        </w:rPr>
        <w:drawing>
          <wp:inline distT="0" distB="0" distL="0" distR="0" wp14:anchorId="5430A721" wp14:editId="4EFBB597">
            <wp:extent cx="4210050" cy="208597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10050" cy="2085975"/>
                    </a:xfrm>
                    <a:prstGeom prst="rect">
                      <a:avLst/>
                    </a:prstGeom>
                    <a:noFill/>
                    <a:ln>
                      <a:noFill/>
                    </a:ln>
                  </pic:spPr>
                </pic:pic>
              </a:graphicData>
            </a:graphic>
          </wp:inline>
        </w:drawing>
      </w:r>
    </w:p>
    <w:p w14:paraId="17E5D160" w14:textId="646EA8A1" w:rsidR="009D6C84" w:rsidRPr="00AA7161" w:rsidRDefault="009D6C84" w:rsidP="009D6C84">
      <w:pPr>
        <w:widowControl w:val="0"/>
        <w:spacing w:line="360" w:lineRule="auto"/>
        <w:jc w:val="center"/>
        <w:rPr>
          <w:sz w:val="16"/>
          <w:szCs w:val="16"/>
          <w:lang w:val="es-ES" w:eastAsia="en-US"/>
        </w:rPr>
      </w:pPr>
      <w:r w:rsidRPr="00AA7161">
        <w:rPr>
          <w:rFonts w:eastAsia="Calibri"/>
          <w:iCs/>
          <w:sz w:val="16"/>
          <w:szCs w:val="16"/>
          <w:lang w:val="es-ES" w:eastAsia="en-US"/>
        </w:rPr>
        <w:t xml:space="preserve">* p&lt; 0,05; *** p&lt; 0,001 </w:t>
      </w:r>
      <w:r w:rsidRPr="00AA7161">
        <w:rPr>
          <w:sz w:val="16"/>
          <w:szCs w:val="16"/>
          <w:lang w:val="es-ES" w:eastAsia="en-US"/>
        </w:rPr>
        <w:t>(prueba de Fisher).</w:t>
      </w:r>
    </w:p>
    <w:p w14:paraId="669E15EE" w14:textId="77777777" w:rsidR="009D6C84" w:rsidRPr="00AA7161" w:rsidRDefault="009D6C84" w:rsidP="009D6C84">
      <w:pPr>
        <w:widowControl w:val="0"/>
        <w:spacing w:line="360" w:lineRule="auto"/>
        <w:jc w:val="center"/>
        <w:rPr>
          <w:rFonts w:eastAsia="Calibri"/>
          <w:b/>
          <w:sz w:val="22"/>
          <w:szCs w:val="22"/>
          <w:lang w:val="es-ES" w:eastAsia="en-US"/>
        </w:rPr>
      </w:pPr>
    </w:p>
    <w:p w14:paraId="59BC454B" w14:textId="2C227EBE" w:rsidR="009D6C84" w:rsidRPr="009D6C84" w:rsidRDefault="005060B8" w:rsidP="009D6C84">
      <w:pPr>
        <w:widowControl w:val="0"/>
        <w:spacing w:line="360" w:lineRule="auto"/>
        <w:jc w:val="center"/>
        <w:rPr>
          <w:rFonts w:eastAsia="Calibri"/>
          <w:sz w:val="22"/>
          <w:szCs w:val="22"/>
          <w:lang w:val="es-ES" w:eastAsia="en-US"/>
        </w:rPr>
      </w:pPr>
      <w:r w:rsidRPr="00AA7161">
        <w:rPr>
          <w:rFonts w:eastAsia="Calibri"/>
          <w:b/>
          <w:sz w:val="22"/>
          <w:szCs w:val="22"/>
          <w:lang w:val="es-ES" w:eastAsia="en-US"/>
        </w:rPr>
        <w:br w:type="page"/>
      </w:r>
      <w:r w:rsidR="009D6C84" w:rsidRPr="009D6C84">
        <w:rPr>
          <w:rFonts w:eastAsia="Calibri"/>
          <w:b/>
          <w:sz w:val="22"/>
          <w:szCs w:val="22"/>
          <w:lang w:val="es-ES" w:eastAsia="en-US"/>
        </w:rPr>
        <w:lastRenderedPageBreak/>
        <w:t>Tabla 3 -</w:t>
      </w:r>
      <w:r w:rsidR="009D6C84" w:rsidRPr="009D6C84">
        <w:rPr>
          <w:rFonts w:eastAsia="Calibri"/>
          <w:sz w:val="22"/>
          <w:szCs w:val="22"/>
          <w:lang w:val="es-ES" w:eastAsia="en-US"/>
        </w:rPr>
        <w:t xml:space="preserve"> Signos vitales </w:t>
      </w:r>
    </w:p>
    <w:p w14:paraId="37C5F282" w14:textId="5B36CAD1" w:rsidR="005060B8" w:rsidRPr="00AA7161" w:rsidRDefault="001635FD" w:rsidP="009D6C84">
      <w:pPr>
        <w:spacing w:line="360" w:lineRule="auto"/>
        <w:jc w:val="center"/>
        <w:rPr>
          <w:rFonts w:eastAsia="Calibri"/>
          <w:sz w:val="16"/>
          <w:szCs w:val="16"/>
          <w:lang w:val="es-ES" w:eastAsia="en-US"/>
        </w:rPr>
      </w:pPr>
      <w:r w:rsidRPr="00AA7161">
        <w:rPr>
          <w:rFonts w:eastAsia="Calibri"/>
          <w:noProof/>
          <w:sz w:val="16"/>
          <w:szCs w:val="16"/>
          <w:lang w:val="es-ES" w:eastAsia="en-US"/>
        </w:rPr>
        <w:drawing>
          <wp:inline distT="0" distB="0" distL="0" distR="0" wp14:anchorId="3AA74D35" wp14:editId="6BD165AF">
            <wp:extent cx="5486400" cy="2286000"/>
            <wp:effectExtent l="0" t="0" r="0" b="0"/>
            <wp:docPr id="9"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2286000"/>
                    </a:xfrm>
                    <a:prstGeom prst="rect">
                      <a:avLst/>
                    </a:prstGeom>
                    <a:noFill/>
                    <a:ln>
                      <a:noFill/>
                    </a:ln>
                  </pic:spPr>
                </pic:pic>
              </a:graphicData>
            </a:graphic>
          </wp:inline>
        </w:drawing>
      </w:r>
    </w:p>
    <w:p w14:paraId="2434601E" w14:textId="42650036" w:rsidR="009D6C84" w:rsidRPr="009D6C84" w:rsidRDefault="009D6C84" w:rsidP="009D6C84">
      <w:pPr>
        <w:spacing w:line="360" w:lineRule="auto"/>
        <w:jc w:val="center"/>
        <w:rPr>
          <w:rFonts w:eastAsia="Calibri"/>
          <w:sz w:val="16"/>
          <w:szCs w:val="16"/>
          <w:lang w:val="es-ES" w:eastAsia="en-US"/>
        </w:rPr>
      </w:pPr>
      <w:proofErr w:type="spellStart"/>
      <w:r w:rsidRPr="009D6C84">
        <w:rPr>
          <w:rFonts w:eastAsia="Calibri"/>
          <w:sz w:val="16"/>
          <w:szCs w:val="16"/>
          <w:lang w:val="es-ES" w:eastAsia="en-US"/>
        </w:rPr>
        <w:t>nd</w:t>
      </w:r>
      <w:proofErr w:type="spellEnd"/>
      <w:r w:rsidRPr="009D6C84">
        <w:rPr>
          <w:rFonts w:eastAsia="Calibri"/>
          <w:sz w:val="16"/>
          <w:szCs w:val="16"/>
          <w:lang w:val="es-ES" w:eastAsia="en-US"/>
        </w:rPr>
        <w:t>: dato no disponible.</w:t>
      </w:r>
    </w:p>
    <w:p w14:paraId="0858343F" w14:textId="16E1049F" w:rsidR="009D6C84" w:rsidRPr="009D6C84" w:rsidRDefault="009D6C84" w:rsidP="009D6C84">
      <w:pPr>
        <w:spacing w:line="360" w:lineRule="auto"/>
        <w:jc w:val="center"/>
        <w:rPr>
          <w:rFonts w:eastAsia="Calibri"/>
          <w:sz w:val="16"/>
          <w:szCs w:val="16"/>
          <w:lang w:val="es-ES" w:eastAsia="en-US"/>
        </w:rPr>
      </w:pPr>
      <w:r w:rsidRPr="009D6C84">
        <w:rPr>
          <w:rFonts w:eastAsia="Calibri"/>
          <w:iCs/>
          <w:sz w:val="16"/>
          <w:szCs w:val="16"/>
          <w:lang w:val="es-ES" w:eastAsia="en-US"/>
        </w:rPr>
        <w:t xml:space="preserve">* p&lt; 0,05; ** p&lt; 0,01; *** p&lt; 0,001 </w:t>
      </w:r>
      <w:r w:rsidRPr="009D6C84">
        <w:rPr>
          <w:rFonts w:eastAsia="Calibri"/>
          <w:sz w:val="16"/>
          <w:szCs w:val="16"/>
          <w:lang w:val="es-ES" w:eastAsia="en-US"/>
        </w:rPr>
        <w:t>(ANOVA bidireccional, p</w:t>
      </w:r>
      <w:r w:rsidR="007B47FE" w:rsidRPr="00AA7161">
        <w:rPr>
          <w:rFonts w:eastAsia="Calibri"/>
          <w:sz w:val="16"/>
          <w:szCs w:val="16"/>
          <w:lang w:val="es-ES" w:eastAsia="en-US"/>
        </w:rPr>
        <w:tab/>
      </w:r>
      <w:proofErr w:type="spellStart"/>
      <w:r w:rsidRPr="009D6C84">
        <w:rPr>
          <w:rFonts w:eastAsia="Calibri"/>
          <w:sz w:val="16"/>
          <w:szCs w:val="16"/>
          <w:lang w:val="es-ES" w:eastAsia="en-US"/>
        </w:rPr>
        <w:t>rueba</w:t>
      </w:r>
      <w:proofErr w:type="spellEnd"/>
      <w:r w:rsidRPr="009D6C84">
        <w:rPr>
          <w:rFonts w:eastAsia="Calibri"/>
          <w:sz w:val="16"/>
          <w:szCs w:val="16"/>
          <w:lang w:val="es-ES" w:eastAsia="en-US"/>
        </w:rPr>
        <w:t xml:space="preserve"> de Bonferroni).</w:t>
      </w:r>
    </w:p>
    <w:p w14:paraId="3AD90418" w14:textId="77777777" w:rsidR="009D6C84" w:rsidRPr="00AA7161" w:rsidRDefault="009D6C84" w:rsidP="009D6C84">
      <w:pPr>
        <w:widowControl w:val="0"/>
        <w:spacing w:line="360" w:lineRule="auto"/>
        <w:jc w:val="center"/>
        <w:rPr>
          <w:rFonts w:eastAsia="Calibri"/>
          <w:bCs/>
          <w:lang w:val="es-ES" w:eastAsia="en-US"/>
        </w:rPr>
      </w:pPr>
    </w:p>
    <w:p w14:paraId="327ED0D4" w14:textId="77777777" w:rsidR="009D6C84" w:rsidRPr="00AA7161" w:rsidRDefault="009D6C84" w:rsidP="009D6C84">
      <w:pPr>
        <w:widowControl w:val="0"/>
        <w:spacing w:line="360" w:lineRule="auto"/>
        <w:jc w:val="both"/>
        <w:rPr>
          <w:lang w:val="es-ES" w:eastAsia="en-US"/>
        </w:rPr>
      </w:pPr>
      <w:r w:rsidRPr="00AA7161">
        <w:rPr>
          <w:lang w:val="es-ES" w:eastAsia="en-US"/>
        </w:rPr>
        <w:t>La tabla 3 muestra los valores de la presión arterial media (PAM), la frecuencia cardíaca (FC) y la frecuencia respiratoria (FR) para los pacientes tratados y no tratados con Jusvinza. En el grupo de pacientes que recibieron el tratamiento con el fármaco, se observa una mejoría significativa de estos 3 signos vitales a las 48 y 72 horas. Estos signos empeoraron en el grupo de pacientes que no recibieron el tratamiento con Jusvinza.</w:t>
      </w:r>
    </w:p>
    <w:p w14:paraId="461E3320" w14:textId="77777777" w:rsidR="009D6C84" w:rsidRPr="00AA7161" w:rsidRDefault="009D6C84" w:rsidP="009D6C84">
      <w:pPr>
        <w:widowControl w:val="0"/>
        <w:spacing w:line="360" w:lineRule="auto"/>
        <w:jc w:val="center"/>
        <w:rPr>
          <w:b/>
          <w:sz w:val="28"/>
          <w:szCs w:val="28"/>
          <w:lang w:val="es-ES" w:eastAsia="en-US"/>
        </w:rPr>
      </w:pPr>
      <w:r w:rsidRPr="00AA7161">
        <w:rPr>
          <w:b/>
          <w:sz w:val="28"/>
          <w:szCs w:val="28"/>
          <w:lang w:val="es-ES" w:eastAsia="en-US"/>
        </w:rPr>
        <w:t>Variaciones de los biomarcadores asociados con la inflamación y la coagulación</w:t>
      </w:r>
    </w:p>
    <w:p w14:paraId="0F9C31DD"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Las variaciones de los biomarcadores: INL, PCR, ERITRO, LDH y la ferritina, se describen en la figura 2A. Se observa que los niveles de estos 5 biomarcadores son similares para los 2 grupos de pacientes en T0; sin embargo, las concentraciones séricas disminuyeron significativamente a las 48 y 72 horas en los pacientes tratados con Jusvinza. </w:t>
      </w:r>
    </w:p>
    <w:p w14:paraId="76319996" w14:textId="5C36BFDE" w:rsidR="009D6C84" w:rsidRPr="00AA7161" w:rsidRDefault="009D6C84" w:rsidP="009D6C84">
      <w:pPr>
        <w:widowControl w:val="0"/>
        <w:spacing w:line="360" w:lineRule="auto"/>
        <w:jc w:val="both"/>
        <w:rPr>
          <w:lang w:val="es-ES" w:eastAsia="en-US"/>
        </w:rPr>
      </w:pPr>
      <w:r w:rsidRPr="00AA7161">
        <w:rPr>
          <w:lang w:val="es-ES" w:eastAsia="en-US"/>
        </w:rPr>
        <w:t>Se observa una diferencia significativa entre los niveles de los biomarcadores en los pacientes tratados con Jusvinza, respecto a los no tratados, a las 48 y 72 horas. Una variación similar se observa para los biomarcadores asociados con la coagulación: DD y fibrinógeno (Fig. 2B).</w:t>
      </w:r>
    </w:p>
    <w:p w14:paraId="3B6B9CFD" w14:textId="2A725A9F" w:rsidR="007030F8" w:rsidRPr="00AA7161" w:rsidRDefault="007030F8" w:rsidP="009D6C84">
      <w:pPr>
        <w:widowControl w:val="0"/>
        <w:spacing w:line="360" w:lineRule="auto"/>
        <w:jc w:val="both"/>
        <w:rPr>
          <w:lang w:val="es-ES" w:eastAsia="en-US"/>
        </w:rPr>
      </w:pPr>
    </w:p>
    <w:p w14:paraId="000B4EE5" w14:textId="184E2B96" w:rsidR="007030F8" w:rsidRPr="00AA7161" w:rsidRDefault="001635FD" w:rsidP="007030F8">
      <w:pPr>
        <w:widowControl w:val="0"/>
        <w:spacing w:line="360" w:lineRule="auto"/>
        <w:jc w:val="center"/>
        <w:rPr>
          <w:lang w:val="es-ES" w:eastAsia="en-US"/>
        </w:rPr>
      </w:pPr>
      <w:r w:rsidRPr="00AA7161">
        <w:rPr>
          <w:noProof/>
          <w:lang w:val="es-ES" w:eastAsia="en-US"/>
        </w:rPr>
        <w:lastRenderedPageBreak/>
        <w:drawing>
          <wp:inline distT="0" distB="0" distL="0" distR="0" wp14:anchorId="51D9D0D6" wp14:editId="008C0FFE">
            <wp:extent cx="6324600" cy="647700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24600" cy="6477000"/>
                    </a:xfrm>
                    <a:prstGeom prst="rect">
                      <a:avLst/>
                    </a:prstGeom>
                    <a:noFill/>
                    <a:ln>
                      <a:noFill/>
                    </a:ln>
                  </pic:spPr>
                </pic:pic>
              </a:graphicData>
            </a:graphic>
          </wp:inline>
        </w:drawing>
      </w:r>
    </w:p>
    <w:p w14:paraId="41020600" w14:textId="199F1179" w:rsidR="009D6C84" w:rsidRPr="00AA7161" w:rsidRDefault="009D6C84" w:rsidP="007030F8">
      <w:pPr>
        <w:spacing w:line="360" w:lineRule="auto"/>
        <w:rPr>
          <w:rFonts w:eastAsia="Calibri"/>
          <w:sz w:val="22"/>
          <w:szCs w:val="22"/>
          <w:lang w:val="es-SV" w:eastAsia="en-US"/>
        </w:rPr>
      </w:pPr>
      <w:r w:rsidRPr="00AA7161">
        <w:rPr>
          <w:rFonts w:eastAsia="Calibri"/>
          <w:lang w:val="es-SV" w:eastAsia="en-US"/>
        </w:rPr>
        <w:t xml:space="preserve">     </w:t>
      </w:r>
      <w:r w:rsidRPr="00AA7161">
        <w:rPr>
          <w:rFonts w:eastAsia="Calibri"/>
          <w:b/>
          <w:iCs/>
          <w:sz w:val="22"/>
          <w:szCs w:val="22"/>
          <w:lang w:val="es-ES" w:eastAsia="en-US"/>
        </w:rPr>
        <w:t>Fig. 2 -</w:t>
      </w:r>
      <w:r w:rsidRPr="00AA7161">
        <w:rPr>
          <w:rFonts w:eastAsia="Calibri"/>
          <w:bCs/>
          <w:iCs/>
          <w:sz w:val="22"/>
          <w:szCs w:val="22"/>
          <w:lang w:val="es-ES" w:eastAsia="en-US"/>
        </w:rPr>
        <w:t xml:space="preserve"> Variación de los biomarcadores de inflamación (A) y de coagulación (B) a las 48 h, 72 h y 7 días de iniciado el tratamiento con Jusvinza. La curva </w:t>
      </w:r>
      <w:r w:rsidR="008E00CB" w:rsidRPr="00AA7161">
        <w:rPr>
          <w:rFonts w:eastAsia="Calibri"/>
          <w:bCs/>
          <w:iCs/>
          <w:sz w:val="22"/>
          <w:szCs w:val="22"/>
          <w:lang w:val="es-ES" w:eastAsia="en-US"/>
        </w:rPr>
        <w:t xml:space="preserve">roja </w:t>
      </w:r>
      <w:r w:rsidRPr="00AA7161">
        <w:rPr>
          <w:rFonts w:eastAsia="Calibri"/>
          <w:bCs/>
          <w:iCs/>
          <w:sz w:val="22"/>
          <w:szCs w:val="22"/>
          <w:lang w:val="es-ES" w:eastAsia="en-US"/>
        </w:rPr>
        <w:t xml:space="preserve">corresponde a los pacientes no tratados con Jusvinza (grupo control) y la </w:t>
      </w:r>
      <w:r w:rsidR="008E00CB" w:rsidRPr="00AA7161">
        <w:rPr>
          <w:rFonts w:eastAsia="Calibri"/>
          <w:bCs/>
          <w:iCs/>
          <w:sz w:val="22"/>
          <w:szCs w:val="22"/>
          <w:lang w:val="es-ES" w:eastAsia="en-US"/>
        </w:rPr>
        <w:t xml:space="preserve">azul </w:t>
      </w:r>
      <w:r w:rsidRPr="00AA7161">
        <w:rPr>
          <w:rFonts w:eastAsia="Calibri"/>
          <w:bCs/>
          <w:iCs/>
          <w:sz w:val="22"/>
          <w:szCs w:val="22"/>
          <w:lang w:val="es-ES" w:eastAsia="en-US"/>
        </w:rPr>
        <w:t xml:space="preserve">a los tratados con Jusvinza. Los valores corresponden a la media ± la desviación estándar. Las </w:t>
      </w:r>
      <w:r w:rsidRPr="00AA7161">
        <w:rPr>
          <w:rFonts w:eastAsia="Calibri"/>
          <w:bCs/>
          <w:iCs/>
          <w:sz w:val="22"/>
          <w:szCs w:val="22"/>
          <w:lang w:val="es-ES" w:eastAsia="en-US"/>
        </w:rPr>
        <w:lastRenderedPageBreak/>
        <w:t>diferencias estadísticamente significativas (p&lt; 0,05) entre los dos grupos y durante el tiempo transcurrido tras el inicio del tratamiento en cada grupo, aparecen representadas con letras diferentes</w:t>
      </w:r>
      <w:r w:rsidR="007030F8" w:rsidRPr="00AA7161">
        <w:rPr>
          <w:rFonts w:eastAsia="Calibri"/>
          <w:bCs/>
          <w:iCs/>
          <w:sz w:val="22"/>
          <w:szCs w:val="22"/>
          <w:lang w:val="es-ES" w:eastAsia="en-US"/>
        </w:rPr>
        <w:t xml:space="preserve"> (</w:t>
      </w:r>
      <w:r w:rsidR="00DE3EB1" w:rsidRPr="00AA7161">
        <w:rPr>
          <w:rFonts w:eastAsia="Calibri"/>
          <w:bCs/>
          <w:iCs/>
          <w:sz w:val="22"/>
          <w:szCs w:val="22"/>
          <w:lang w:val="es-ES" w:eastAsia="en-US"/>
        </w:rPr>
        <w:t>s</w:t>
      </w:r>
      <w:proofErr w:type="spellStart"/>
      <w:r w:rsidR="007030F8" w:rsidRPr="00AA7161">
        <w:rPr>
          <w:rFonts w:eastAsia="Calibri"/>
          <w:sz w:val="22"/>
          <w:szCs w:val="22"/>
          <w:lang w:val="es-SV" w:eastAsia="en-US"/>
        </w:rPr>
        <w:t>e</w:t>
      </w:r>
      <w:proofErr w:type="spellEnd"/>
      <w:r w:rsidR="007030F8" w:rsidRPr="00AA7161">
        <w:rPr>
          <w:rFonts w:eastAsia="Calibri"/>
          <w:sz w:val="22"/>
          <w:szCs w:val="22"/>
          <w:lang w:val="es-SV" w:eastAsia="en-US"/>
        </w:rPr>
        <w:t xml:space="preserve"> compara cada grupo entre los tiempos y entre los grupos; (a) para los dos grupos, no hay diferencias; (b) hay diferencias con (a) y con (c)</w:t>
      </w:r>
      <w:r w:rsidR="007030F8" w:rsidRPr="00AA7161">
        <w:rPr>
          <w:rFonts w:eastAsia="Calibri"/>
          <w:bCs/>
          <w:iCs/>
          <w:sz w:val="22"/>
          <w:szCs w:val="22"/>
          <w:lang w:val="es-ES" w:eastAsia="en-US"/>
        </w:rPr>
        <w:t>)</w:t>
      </w:r>
      <w:r w:rsidRPr="00AA7161">
        <w:rPr>
          <w:rFonts w:eastAsia="Calibri"/>
          <w:bCs/>
          <w:iCs/>
          <w:sz w:val="22"/>
          <w:szCs w:val="22"/>
          <w:lang w:val="es-ES" w:eastAsia="en-US"/>
        </w:rPr>
        <w:t>.</w:t>
      </w:r>
    </w:p>
    <w:p w14:paraId="05AD079E" w14:textId="77777777" w:rsidR="009D6C84" w:rsidRPr="00AA7161" w:rsidRDefault="009D6C84" w:rsidP="009D6C84">
      <w:pPr>
        <w:spacing w:line="360" w:lineRule="auto"/>
        <w:jc w:val="center"/>
        <w:rPr>
          <w:b/>
          <w:lang w:val="es-SV" w:eastAsia="en-US"/>
        </w:rPr>
      </w:pPr>
    </w:p>
    <w:p w14:paraId="5A09F52A" w14:textId="77777777" w:rsidR="009D6C84" w:rsidRPr="00AA7161" w:rsidRDefault="009D6C84" w:rsidP="009D6C84">
      <w:pPr>
        <w:spacing w:line="360" w:lineRule="auto"/>
        <w:jc w:val="center"/>
        <w:rPr>
          <w:b/>
          <w:lang w:val="es-ES" w:eastAsia="en-US"/>
        </w:rPr>
      </w:pPr>
    </w:p>
    <w:p w14:paraId="4B0F3203" w14:textId="77777777" w:rsidR="009D6C84" w:rsidRPr="00AA7161" w:rsidRDefault="009D6C84" w:rsidP="009D6C84">
      <w:pPr>
        <w:spacing w:line="360" w:lineRule="auto"/>
        <w:jc w:val="center"/>
        <w:rPr>
          <w:rFonts w:eastAsia="Calibri"/>
          <w:sz w:val="32"/>
          <w:szCs w:val="32"/>
          <w:lang w:val="es-ES" w:eastAsia="en-US"/>
        </w:rPr>
      </w:pPr>
      <w:r w:rsidRPr="00AA7161">
        <w:rPr>
          <w:b/>
          <w:sz w:val="32"/>
          <w:szCs w:val="32"/>
          <w:lang w:val="es-ES" w:eastAsia="en-US"/>
        </w:rPr>
        <w:t>DISCUSIÓN</w:t>
      </w:r>
    </w:p>
    <w:p w14:paraId="20FE6A31" w14:textId="77777777" w:rsidR="009D6C84" w:rsidRPr="00AA7161" w:rsidRDefault="009D6C84" w:rsidP="009D6C84">
      <w:pPr>
        <w:widowControl w:val="0"/>
        <w:spacing w:line="360" w:lineRule="auto"/>
        <w:jc w:val="both"/>
        <w:rPr>
          <w:lang w:val="es-ES" w:eastAsia="en-US"/>
        </w:rPr>
      </w:pPr>
      <w:r w:rsidRPr="00AA7161">
        <w:rPr>
          <w:lang w:val="es-ES" w:eastAsia="en-US"/>
        </w:rPr>
        <w:t>Numerosos trabajos científicos postulan que la hiperinflamación ocasionada por el SARS-CoV-2, se relaciona estrechamente con el desarrollo de coagulopatías y un alto riesgo de trombosis. Se postula que la COVID-19 induce un estado protrombótico, atribuible a la combinación de la respuesta hiperinflamatoria y la hipoxia.</w:t>
      </w:r>
      <w:r w:rsidRPr="00AA7161">
        <w:rPr>
          <w:vertAlign w:val="superscript"/>
          <w:lang w:val="es-ES" w:eastAsia="en-US"/>
        </w:rPr>
        <w:t>(25)</w:t>
      </w:r>
      <w:r w:rsidRPr="00AA7161">
        <w:rPr>
          <w:lang w:val="es-ES" w:eastAsia="en-US"/>
        </w:rPr>
        <w:t xml:space="preserve"> De hecho, los estudios anatomopatológicos indican  la presencia de numerosos  trombos grandes y pequeños en los pacientes.</w:t>
      </w:r>
      <w:r w:rsidRPr="00AA7161">
        <w:rPr>
          <w:vertAlign w:val="superscript"/>
          <w:lang w:val="es-ES" w:eastAsia="en-US"/>
        </w:rPr>
        <w:t>(26)</w:t>
      </w:r>
      <w:r w:rsidRPr="00AA7161">
        <w:rPr>
          <w:lang w:val="es-ES" w:eastAsia="en-US"/>
        </w:rPr>
        <w:t xml:space="preserve"> Se ha demostrado que las células endoteliales pulmonares, contribuyen al inicio y propagación del SDRA en los pacientes con la COVID-19, mediante la alteración de la integridad de la barrera de los vasos, lo cual genera un efecto </w:t>
      </w:r>
      <w:proofErr w:type="spellStart"/>
      <w:r w:rsidRPr="00AA7161">
        <w:rPr>
          <w:lang w:val="es-ES" w:eastAsia="en-US"/>
        </w:rPr>
        <w:t>procoagulativo</w:t>
      </w:r>
      <w:proofErr w:type="spellEnd"/>
      <w:r w:rsidRPr="00AA7161">
        <w:rPr>
          <w:lang w:val="es-ES" w:eastAsia="en-US"/>
        </w:rPr>
        <w:t>, al inducir inflamación vascular (</w:t>
      </w:r>
      <w:proofErr w:type="spellStart"/>
      <w:r w:rsidRPr="00AA7161">
        <w:rPr>
          <w:lang w:val="es-ES" w:eastAsia="en-US"/>
        </w:rPr>
        <w:t>endotelitis</w:t>
      </w:r>
      <w:proofErr w:type="spellEnd"/>
      <w:r w:rsidRPr="00AA7161">
        <w:rPr>
          <w:lang w:val="es-ES" w:eastAsia="en-US"/>
        </w:rPr>
        <w:t>) y la consiguiente infiltración de células inflamatorias.</w:t>
      </w:r>
      <w:r w:rsidRPr="00AA7161">
        <w:rPr>
          <w:vertAlign w:val="superscript"/>
          <w:lang w:val="es-ES" w:eastAsia="en-US"/>
        </w:rPr>
        <w:t>(27)</w:t>
      </w:r>
    </w:p>
    <w:p w14:paraId="5B3CB01E" w14:textId="3F953466" w:rsidR="009D6C84" w:rsidRPr="00AA7161" w:rsidRDefault="009D6C84" w:rsidP="009D6C84">
      <w:pPr>
        <w:widowControl w:val="0"/>
        <w:spacing w:line="360" w:lineRule="auto"/>
        <w:jc w:val="both"/>
        <w:rPr>
          <w:lang w:val="es-ES" w:eastAsia="en-US"/>
        </w:rPr>
      </w:pPr>
      <w:r w:rsidRPr="00AA7161">
        <w:rPr>
          <w:lang w:val="es-ES" w:eastAsia="en-US"/>
        </w:rPr>
        <w:t xml:space="preserve">En este escenario biológico, es vital el tratamiento de la hiperinflamación. El Minsap aprobó el uso de </w:t>
      </w:r>
      <w:proofErr w:type="spellStart"/>
      <w:r w:rsidRPr="00AA7161">
        <w:rPr>
          <w:lang w:val="es-ES" w:eastAsia="en-US"/>
        </w:rPr>
        <w:t>Jusvinsa</w:t>
      </w:r>
      <w:proofErr w:type="spellEnd"/>
      <w:r w:rsidRPr="00AA7161">
        <w:rPr>
          <w:lang w:val="es-ES" w:eastAsia="en-US"/>
        </w:rPr>
        <w:t xml:space="preserve"> como medicamento antiinflamatorio innovador, en el protocolo terapéutico vs. la COVID-19. Este péptido induce una mejoría clínica y radiológica en los pacientes graves y críticos con la COVID-19, lo cual está asociado con la disminución de varios biomarcadores de la inflamación </w:t>
      </w:r>
      <w:proofErr w:type="gramStart"/>
      <w:r w:rsidRPr="00AA7161">
        <w:rPr>
          <w:lang w:val="es-ES" w:eastAsia="en-US"/>
        </w:rPr>
        <w:t>sistémica.</w:t>
      </w:r>
      <w:r w:rsidRPr="00AA7161">
        <w:rPr>
          <w:vertAlign w:val="superscript"/>
          <w:lang w:val="es-ES" w:eastAsia="en-US"/>
        </w:rPr>
        <w:t>(</w:t>
      </w:r>
      <w:proofErr w:type="gramEnd"/>
      <w:r w:rsidRPr="00AA7161">
        <w:rPr>
          <w:vertAlign w:val="superscript"/>
          <w:lang w:val="es-ES" w:eastAsia="en-US"/>
        </w:rPr>
        <w:t>18,19,20)</w:t>
      </w:r>
      <w:r w:rsidRPr="00AA7161">
        <w:rPr>
          <w:lang w:val="es-ES" w:eastAsia="en-US"/>
        </w:rPr>
        <w:t xml:space="preserve"> A partir de los resultados iniciales del uso de Jusvinza, el CECMED le concedió un AUE</w:t>
      </w:r>
      <w:r w:rsidRPr="004C34A1">
        <w:rPr>
          <w:lang w:val="es-ES" w:eastAsia="en-US"/>
        </w:rPr>
        <w:t>)</w:t>
      </w:r>
      <w:r w:rsidR="004C34A1">
        <w:rPr>
          <w:vertAlign w:val="superscript"/>
          <w:lang w:val="es-ES" w:eastAsia="en-US"/>
        </w:rPr>
        <w:t>(9)</w:t>
      </w:r>
      <w:r w:rsidRPr="00AA7161">
        <w:rPr>
          <w:lang w:val="es-ES" w:eastAsia="en-US"/>
        </w:rPr>
        <w:t xml:space="preserve"> lo cual limita el desarrollo de investigaciones clínicas controladas en Cuba, para evaluar la eficacia de este fármaco.  </w:t>
      </w:r>
    </w:p>
    <w:p w14:paraId="423D5254"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Los pacientes incluidos en este estudio fueron clasificados como críticos e ingresados en la UCI del sitio clínico; todos tuvieron criterios para ser tratados con Jusvinza. El tratamiento dependió de la disponibilidad del fármaco en el momento en que los pacientes fueron atendidos en la UCI. </w:t>
      </w:r>
    </w:p>
    <w:p w14:paraId="458C3BC7" w14:textId="77777777" w:rsidR="009D6C84" w:rsidRPr="00AA7161" w:rsidRDefault="009D6C84" w:rsidP="009D6C84">
      <w:pPr>
        <w:widowControl w:val="0"/>
        <w:spacing w:line="360" w:lineRule="auto"/>
        <w:jc w:val="both"/>
        <w:rPr>
          <w:lang w:val="es-ES" w:eastAsia="en-US"/>
        </w:rPr>
      </w:pPr>
      <w:r w:rsidRPr="00AA7161">
        <w:rPr>
          <w:lang w:val="es-ES" w:eastAsia="en-US"/>
        </w:rPr>
        <w:t>Los resultados de este estudio, demuestran que el tratamiento con Jusvinza induce una mejoría clínica en los pacientes. Esta mejoría es sostenida en el tiempo, evidenciada por una sobrevida del 85 % en los tratados con Jusvinza; la cual es significativamente superior a la de los no tratados.</w:t>
      </w:r>
    </w:p>
    <w:p w14:paraId="2FDE2446"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El monitoreo de los signos vitales indicó una mejoría significativa en los pacientes tratados, comparados </w:t>
      </w:r>
      <w:r w:rsidRPr="00AA7161">
        <w:rPr>
          <w:lang w:val="es-ES" w:eastAsia="en-US"/>
        </w:rPr>
        <w:lastRenderedPageBreak/>
        <w:t>con el grupo control.</w:t>
      </w:r>
    </w:p>
    <w:p w14:paraId="7822693E"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Por otra parte, este estudio demostró que en los pacientes tratados con Jusvinza hubo una reducción de la hipoxia, ya que se observó una mejoría significativa de los parámetros ventilatorios, en comparación con los no tratados. </w:t>
      </w:r>
    </w:p>
    <w:p w14:paraId="5B2C6B3B"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Además, este trabajo demostró que el tratamiento con Jusvinza reduce la inflamación, ya que hubo una disminución significativa en el INL. Este biomarcador ha sido ampliamente usado como un predictor de inflamación en los pacientes con la COVID-19, pues quienes evolucionan hacia los estados graves, se caracterizan por presentar linfopenia y neutrofilia </w:t>
      </w:r>
      <w:proofErr w:type="gramStart"/>
      <w:r w:rsidRPr="00AA7161">
        <w:rPr>
          <w:lang w:val="es-ES" w:eastAsia="en-US"/>
        </w:rPr>
        <w:t>marcadas.</w:t>
      </w:r>
      <w:r w:rsidRPr="00AA7161">
        <w:rPr>
          <w:vertAlign w:val="superscript"/>
          <w:lang w:val="es-ES" w:eastAsia="en-US"/>
        </w:rPr>
        <w:t>(</w:t>
      </w:r>
      <w:proofErr w:type="gramEnd"/>
      <w:r w:rsidRPr="00AA7161">
        <w:rPr>
          <w:vertAlign w:val="superscript"/>
          <w:lang w:val="es-ES" w:eastAsia="en-US"/>
        </w:rPr>
        <w:t>28)</w:t>
      </w:r>
    </w:p>
    <w:p w14:paraId="521A8C13"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El tratamiento con Jusvinza redujo significativamente otros biomarcadores de la inflamación: </w:t>
      </w:r>
      <w:proofErr w:type="spellStart"/>
      <w:r w:rsidRPr="00AA7161">
        <w:rPr>
          <w:lang w:val="es-ES" w:eastAsia="en-US"/>
        </w:rPr>
        <w:t>pCR</w:t>
      </w:r>
      <w:proofErr w:type="spellEnd"/>
      <w:r w:rsidRPr="00AA7161">
        <w:rPr>
          <w:lang w:val="es-ES" w:eastAsia="en-US"/>
        </w:rPr>
        <w:t xml:space="preserve">, ERITRO, LDH y la ferritina. Estos resultados confirman que el fármaco es capaz de controlar la magnitud de la respuesta inflamatoria. Los resultados también indicaron que Jusvinza redujo significativamente 2 de los biomarcadores asociados con la coagulación: el DD y el fibrinógeno. Las concentraciones altas del DD y ferritina en el suero, se correlacionan directamente con las formas graves de la COVID-19 y un mal </w:t>
      </w:r>
      <w:proofErr w:type="gramStart"/>
      <w:r w:rsidRPr="00AA7161">
        <w:rPr>
          <w:lang w:val="es-ES" w:eastAsia="en-US"/>
        </w:rPr>
        <w:t>pronóstico.</w:t>
      </w:r>
      <w:r w:rsidRPr="00AA7161">
        <w:rPr>
          <w:vertAlign w:val="superscript"/>
          <w:lang w:val="es-ES" w:eastAsia="en-US"/>
        </w:rPr>
        <w:t>(</w:t>
      </w:r>
      <w:proofErr w:type="gramEnd"/>
      <w:r w:rsidRPr="00AA7161">
        <w:rPr>
          <w:vertAlign w:val="superscript"/>
          <w:lang w:val="es-ES" w:eastAsia="en-US"/>
        </w:rPr>
        <w:t>5)</w:t>
      </w:r>
    </w:p>
    <w:p w14:paraId="5F7CA658" w14:textId="77777777" w:rsidR="009D6C84" w:rsidRPr="00AA7161" w:rsidRDefault="009D6C84" w:rsidP="009D6C84">
      <w:pPr>
        <w:widowControl w:val="0"/>
        <w:spacing w:line="360" w:lineRule="auto"/>
        <w:jc w:val="both"/>
        <w:rPr>
          <w:lang w:val="es-ES" w:eastAsia="en-US"/>
        </w:rPr>
      </w:pPr>
      <w:r w:rsidRPr="00AA7161">
        <w:rPr>
          <w:lang w:val="es-ES" w:eastAsia="en-US"/>
        </w:rPr>
        <w:t>La reducción del DD y el fibrinógeno en los pacientes críticos tratados con Jusvinza, evidencian que además de sus efectos antiinflamatorios, contribuye a prevenir los eventos trombóticos venosos y arteriales en los pacientes con la COVID-19.</w:t>
      </w:r>
    </w:p>
    <w:p w14:paraId="4C0657F5"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En la actualidad no se encuentran dilucidados completamente los mecanismos moleculares de la hipercoagulabilidad en los pacientes con la COVID-19, pero se postula que existe una relación fuerte con la hiperinflamación. El SARS-CoV-2 puede infectar células endoteliales e inducir una respuesta inmunitaria, la cual afecta el endotelio y provoca la activación de los neutrófilos, con la consiguiente formación de trampas extracelulares de neutrófilos (NET), deposición del complemento y activación de las </w:t>
      </w:r>
      <w:proofErr w:type="gramStart"/>
      <w:r w:rsidRPr="00AA7161">
        <w:rPr>
          <w:lang w:val="es-ES" w:eastAsia="en-US"/>
        </w:rPr>
        <w:t>plaquetas.</w:t>
      </w:r>
      <w:r w:rsidRPr="00AA7161">
        <w:rPr>
          <w:vertAlign w:val="superscript"/>
          <w:lang w:val="es-ES" w:eastAsia="en-US"/>
        </w:rPr>
        <w:t>(</w:t>
      </w:r>
      <w:proofErr w:type="gramEnd"/>
      <w:r w:rsidRPr="00AA7161">
        <w:rPr>
          <w:vertAlign w:val="superscript"/>
          <w:lang w:val="es-ES" w:eastAsia="en-US"/>
        </w:rPr>
        <w:t>29)</w:t>
      </w:r>
    </w:p>
    <w:p w14:paraId="2A69319D"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Por otra parte, la infección con el virus causante de la COVID-19, induce la </w:t>
      </w:r>
      <w:proofErr w:type="spellStart"/>
      <w:r w:rsidRPr="00AA7161">
        <w:rPr>
          <w:lang w:val="es-ES" w:eastAsia="en-US"/>
        </w:rPr>
        <w:t>piroptosis</w:t>
      </w:r>
      <w:proofErr w:type="spellEnd"/>
      <w:r w:rsidRPr="00AA7161">
        <w:rPr>
          <w:lang w:val="es-ES" w:eastAsia="en-US"/>
        </w:rPr>
        <w:t xml:space="preserve"> de las células endoteliales, lo cual aumenta la secreción de citocinas proinflamatorias. Estos procesos pueden inducir al desarrollo de eventos trombóticos </w:t>
      </w:r>
      <w:proofErr w:type="gramStart"/>
      <w:r w:rsidRPr="00AA7161">
        <w:rPr>
          <w:lang w:val="es-ES" w:eastAsia="en-US"/>
        </w:rPr>
        <w:t>sistémicos.</w:t>
      </w:r>
      <w:r w:rsidRPr="00AA7161">
        <w:rPr>
          <w:vertAlign w:val="superscript"/>
          <w:lang w:val="es-ES" w:eastAsia="en-US"/>
        </w:rPr>
        <w:t>(</w:t>
      </w:r>
      <w:proofErr w:type="gramEnd"/>
      <w:r w:rsidRPr="00AA7161">
        <w:rPr>
          <w:vertAlign w:val="superscript"/>
          <w:lang w:val="es-ES" w:eastAsia="en-US"/>
        </w:rPr>
        <w:t>30)</w:t>
      </w:r>
    </w:p>
    <w:p w14:paraId="20A1252F" w14:textId="26B49E45" w:rsidR="009D6C84" w:rsidRPr="00AA7161" w:rsidRDefault="009D6C84" w:rsidP="009D6C84">
      <w:pPr>
        <w:spacing w:line="360" w:lineRule="auto"/>
        <w:jc w:val="both"/>
        <w:rPr>
          <w:lang w:val="es-ES" w:eastAsia="en-US"/>
        </w:rPr>
      </w:pPr>
      <w:r w:rsidRPr="00AA7161">
        <w:rPr>
          <w:lang w:val="es-ES" w:eastAsia="en-US"/>
        </w:rPr>
        <w:t xml:space="preserve">Posiblemente, Jusvinza tenga un efecto sobre la reducción de las NET. Los resultados a través de herramientas de la proteómica, durante el análisis del perfil de proteínas inducidas por dicho péptido en </w:t>
      </w:r>
      <w:r w:rsidRPr="00AA7161">
        <w:rPr>
          <w:lang w:val="es-ES" w:eastAsia="en-US"/>
        </w:rPr>
        <w:lastRenderedPageBreak/>
        <w:t>células mononucleares aisladas de sangre periférica de pacientes con AR, indicaron que el péptido puede interferir con la activación de neutrófilos e inhibir la formación de las NET (</w:t>
      </w:r>
      <w:bookmarkStart w:id="4" w:name="OLE_LINK80"/>
      <w:bookmarkStart w:id="5" w:name="OLE_LINK81"/>
      <w:r w:rsidRPr="00AA7161">
        <w:rPr>
          <w:lang w:val="es-ES" w:eastAsia="en-US"/>
        </w:rPr>
        <w:t>Resultados presentados para publ</w:t>
      </w:r>
      <w:r w:rsidR="007753B7">
        <w:rPr>
          <w:lang w:val="es-ES" w:eastAsia="en-US"/>
        </w:rPr>
        <w:t>i</w:t>
      </w:r>
      <w:r w:rsidRPr="00AA7161">
        <w:rPr>
          <w:lang w:val="es-ES" w:eastAsia="en-US"/>
        </w:rPr>
        <w:t>car: “</w:t>
      </w:r>
      <w:proofErr w:type="spellStart"/>
      <w:r w:rsidRPr="00AA7161">
        <w:rPr>
          <w:i/>
          <w:iCs/>
          <w:lang w:val="es-ES" w:eastAsia="en-US"/>
        </w:rPr>
        <w:t>Identification</w:t>
      </w:r>
      <w:proofErr w:type="spellEnd"/>
      <w:r w:rsidRPr="00AA7161">
        <w:rPr>
          <w:i/>
          <w:iCs/>
          <w:lang w:val="es-ES" w:eastAsia="en-US"/>
        </w:rPr>
        <w:t xml:space="preserve"> </w:t>
      </w:r>
      <w:proofErr w:type="spellStart"/>
      <w:r w:rsidRPr="00AA7161">
        <w:rPr>
          <w:i/>
          <w:iCs/>
          <w:lang w:val="es-ES" w:eastAsia="en-US"/>
        </w:rPr>
        <w:t>of</w:t>
      </w:r>
      <w:proofErr w:type="spellEnd"/>
      <w:r w:rsidRPr="00AA7161">
        <w:rPr>
          <w:i/>
          <w:iCs/>
          <w:lang w:val="es-ES" w:eastAsia="en-US"/>
        </w:rPr>
        <w:t xml:space="preserve"> </w:t>
      </w:r>
      <w:proofErr w:type="spellStart"/>
      <w:r w:rsidRPr="00AA7161">
        <w:rPr>
          <w:i/>
          <w:iCs/>
          <w:lang w:val="es-ES" w:eastAsia="en-US"/>
        </w:rPr>
        <w:t>key</w:t>
      </w:r>
      <w:proofErr w:type="spellEnd"/>
      <w:r w:rsidRPr="00AA7161">
        <w:rPr>
          <w:i/>
          <w:iCs/>
          <w:lang w:val="es-ES" w:eastAsia="en-US"/>
        </w:rPr>
        <w:t xml:space="preserve"> gene sets </w:t>
      </w:r>
      <w:proofErr w:type="spellStart"/>
      <w:r w:rsidRPr="00AA7161">
        <w:rPr>
          <w:i/>
          <w:iCs/>
          <w:lang w:val="es-ES" w:eastAsia="en-US"/>
        </w:rPr>
        <w:t>associated</w:t>
      </w:r>
      <w:proofErr w:type="spellEnd"/>
      <w:r w:rsidRPr="00AA7161">
        <w:rPr>
          <w:i/>
          <w:iCs/>
          <w:lang w:val="es-ES" w:eastAsia="en-US"/>
        </w:rPr>
        <w:t xml:space="preserve"> </w:t>
      </w:r>
      <w:proofErr w:type="spellStart"/>
      <w:r w:rsidRPr="00AA7161">
        <w:rPr>
          <w:i/>
          <w:iCs/>
          <w:lang w:val="es-ES" w:eastAsia="en-US"/>
        </w:rPr>
        <w:t>with</w:t>
      </w:r>
      <w:proofErr w:type="spellEnd"/>
      <w:r w:rsidRPr="00AA7161">
        <w:rPr>
          <w:i/>
          <w:iCs/>
          <w:lang w:val="es-ES" w:eastAsia="en-US"/>
        </w:rPr>
        <w:t xml:space="preserve"> </w:t>
      </w:r>
      <w:proofErr w:type="spellStart"/>
      <w:r w:rsidRPr="00AA7161">
        <w:rPr>
          <w:i/>
          <w:iCs/>
          <w:lang w:val="es-ES" w:eastAsia="en-US"/>
        </w:rPr>
        <w:t>the</w:t>
      </w:r>
      <w:proofErr w:type="spellEnd"/>
      <w:r w:rsidRPr="00AA7161">
        <w:rPr>
          <w:i/>
          <w:iCs/>
          <w:lang w:val="es-ES" w:eastAsia="en-US"/>
        </w:rPr>
        <w:t xml:space="preserve"> molecular </w:t>
      </w:r>
      <w:proofErr w:type="spellStart"/>
      <w:r w:rsidRPr="00AA7161">
        <w:rPr>
          <w:i/>
          <w:iCs/>
          <w:lang w:val="es-ES" w:eastAsia="en-US"/>
        </w:rPr>
        <w:t>action</w:t>
      </w:r>
      <w:proofErr w:type="spellEnd"/>
      <w:r w:rsidRPr="00AA7161">
        <w:rPr>
          <w:i/>
          <w:iCs/>
          <w:lang w:val="es-ES" w:eastAsia="en-US"/>
        </w:rPr>
        <w:t xml:space="preserve"> </w:t>
      </w:r>
      <w:proofErr w:type="spellStart"/>
      <w:r w:rsidRPr="00AA7161">
        <w:rPr>
          <w:i/>
          <w:iCs/>
          <w:lang w:val="es-ES" w:eastAsia="en-US"/>
        </w:rPr>
        <w:t>of</w:t>
      </w:r>
      <w:proofErr w:type="spellEnd"/>
      <w:r w:rsidRPr="00AA7161">
        <w:rPr>
          <w:i/>
          <w:iCs/>
          <w:lang w:val="es-ES" w:eastAsia="en-US"/>
        </w:rPr>
        <w:t xml:space="preserve"> CIGB</w:t>
      </w:r>
      <w:r w:rsidR="00883E27">
        <w:rPr>
          <w:i/>
          <w:iCs/>
          <w:lang w:val="es-ES" w:eastAsia="en-US"/>
        </w:rPr>
        <w:t xml:space="preserve"> </w:t>
      </w:r>
      <w:r w:rsidRPr="00AA7161">
        <w:rPr>
          <w:i/>
          <w:iCs/>
          <w:lang w:val="es-ES" w:eastAsia="en-US"/>
        </w:rPr>
        <w:t xml:space="preserve">814 in </w:t>
      </w:r>
      <w:proofErr w:type="spellStart"/>
      <w:r w:rsidRPr="00AA7161">
        <w:rPr>
          <w:i/>
          <w:iCs/>
          <w:lang w:val="es-ES" w:eastAsia="en-US"/>
        </w:rPr>
        <w:t>peripherical</w:t>
      </w:r>
      <w:proofErr w:type="spellEnd"/>
      <w:r w:rsidRPr="00AA7161">
        <w:rPr>
          <w:i/>
          <w:iCs/>
          <w:lang w:val="es-ES" w:eastAsia="en-US"/>
        </w:rPr>
        <w:t xml:space="preserve"> </w:t>
      </w:r>
      <w:bookmarkEnd w:id="4"/>
      <w:bookmarkEnd w:id="5"/>
      <w:proofErr w:type="spellStart"/>
      <w:r w:rsidRPr="00AA7161">
        <w:rPr>
          <w:i/>
          <w:iCs/>
          <w:lang w:val="es-ES" w:eastAsia="en-US"/>
        </w:rPr>
        <w:t>blood</w:t>
      </w:r>
      <w:proofErr w:type="spellEnd"/>
      <w:r w:rsidRPr="00AA7161">
        <w:rPr>
          <w:i/>
          <w:iCs/>
          <w:lang w:val="es-ES" w:eastAsia="en-US"/>
        </w:rPr>
        <w:t xml:space="preserve"> mononuclear </w:t>
      </w:r>
      <w:proofErr w:type="spellStart"/>
      <w:r w:rsidRPr="00AA7161">
        <w:rPr>
          <w:i/>
          <w:iCs/>
          <w:lang w:val="es-ES" w:eastAsia="en-US"/>
        </w:rPr>
        <w:t>cells</w:t>
      </w:r>
      <w:proofErr w:type="spellEnd"/>
      <w:r w:rsidRPr="00AA7161">
        <w:rPr>
          <w:i/>
          <w:iCs/>
          <w:lang w:val="es-ES" w:eastAsia="en-US"/>
        </w:rPr>
        <w:t xml:space="preserve"> </w:t>
      </w:r>
      <w:proofErr w:type="spellStart"/>
      <w:r w:rsidRPr="00AA7161">
        <w:rPr>
          <w:i/>
          <w:iCs/>
          <w:lang w:val="es-ES" w:eastAsia="en-US"/>
        </w:rPr>
        <w:t>extracted</w:t>
      </w:r>
      <w:proofErr w:type="spellEnd"/>
      <w:r w:rsidRPr="00AA7161">
        <w:rPr>
          <w:i/>
          <w:iCs/>
          <w:lang w:val="es-ES" w:eastAsia="en-US"/>
        </w:rPr>
        <w:t xml:space="preserve"> </w:t>
      </w:r>
      <w:proofErr w:type="spellStart"/>
      <w:r w:rsidRPr="00AA7161">
        <w:rPr>
          <w:i/>
          <w:iCs/>
          <w:lang w:val="es-ES" w:eastAsia="en-US"/>
        </w:rPr>
        <w:t>from</w:t>
      </w:r>
      <w:proofErr w:type="spellEnd"/>
      <w:r w:rsidRPr="00AA7161">
        <w:rPr>
          <w:i/>
          <w:iCs/>
          <w:lang w:val="es-ES" w:eastAsia="en-US"/>
        </w:rPr>
        <w:t xml:space="preserve"> </w:t>
      </w:r>
      <w:proofErr w:type="spellStart"/>
      <w:r w:rsidRPr="00AA7161">
        <w:rPr>
          <w:i/>
          <w:iCs/>
          <w:lang w:val="es-ES" w:eastAsia="en-US"/>
        </w:rPr>
        <w:t>rheumatoid</w:t>
      </w:r>
      <w:proofErr w:type="spellEnd"/>
      <w:r w:rsidRPr="00AA7161">
        <w:rPr>
          <w:i/>
          <w:iCs/>
          <w:lang w:val="es-ES" w:eastAsia="en-US"/>
        </w:rPr>
        <w:t xml:space="preserve"> </w:t>
      </w:r>
      <w:proofErr w:type="spellStart"/>
      <w:r w:rsidRPr="00AA7161">
        <w:rPr>
          <w:i/>
          <w:iCs/>
          <w:lang w:val="es-ES" w:eastAsia="en-US"/>
        </w:rPr>
        <w:t>arthritis</w:t>
      </w:r>
      <w:proofErr w:type="spellEnd"/>
      <w:r w:rsidRPr="00AA7161">
        <w:rPr>
          <w:i/>
          <w:iCs/>
          <w:lang w:val="es-ES" w:eastAsia="en-US"/>
        </w:rPr>
        <w:t xml:space="preserve"> </w:t>
      </w:r>
      <w:proofErr w:type="spellStart"/>
      <w:r w:rsidRPr="00AA7161">
        <w:rPr>
          <w:i/>
          <w:iCs/>
          <w:lang w:val="es-ES" w:eastAsia="en-US"/>
        </w:rPr>
        <w:t>patients</w:t>
      </w:r>
      <w:proofErr w:type="spellEnd"/>
      <w:r w:rsidRPr="00AA7161">
        <w:rPr>
          <w:lang w:val="es-ES" w:eastAsia="en-US"/>
        </w:rPr>
        <w:t>”</w:t>
      </w:r>
      <w:r w:rsidRPr="00AA7161">
        <w:rPr>
          <w:lang w:val="es-419" w:eastAsia="en-US"/>
        </w:rPr>
        <w:t xml:space="preserve"> a la revista PLOS ONE</w:t>
      </w:r>
      <w:r w:rsidRPr="00AA7161">
        <w:rPr>
          <w:lang w:val="es-ES" w:eastAsia="en-US"/>
        </w:rPr>
        <w:t xml:space="preserve">). Se ha demostrado que el tratamiento con Jusvinza disminuye el INL y contribuye a restablecer los valores normales de neutrófilos y linfocitos en los pacientes con la COVID-19. Además, induce un incremento de células T reguladoras, las cuales controlan la magnitud de la </w:t>
      </w:r>
      <w:proofErr w:type="gramStart"/>
      <w:r w:rsidRPr="00AA7161">
        <w:rPr>
          <w:lang w:val="es-ES" w:eastAsia="en-US"/>
        </w:rPr>
        <w:t>inflamación.</w:t>
      </w:r>
      <w:r w:rsidRPr="00AA7161">
        <w:rPr>
          <w:vertAlign w:val="superscript"/>
          <w:lang w:val="es-ES" w:eastAsia="en-US"/>
        </w:rPr>
        <w:t>(</w:t>
      </w:r>
      <w:proofErr w:type="gramEnd"/>
      <w:r w:rsidRPr="00AA7161">
        <w:rPr>
          <w:vertAlign w:val="superscript"/>
          <w:lang w:val="es-ES" w:eastAsia="en-US"/>
        </w:rPr>
        <w:t>22)</w:t>
      </w:r>
      <w:r w:rsidRPr="00AA7161">
        <w:rPr>
          <w:lang w:val="es-ES" w:eastAsia="en-US"/>
        </w:rPr>
        <w:t xml:space="preserve"> La suma de estos mecanismos celulares inducidos por Jusvinza, pueden inhibir la hiperinflamación y el daño vascular inductor de los procesos trombóticos.</w:t>
      </w:r>
    </w:p>
    <w:p w14:paraId="611C4B0C" w14:textId="77777777" w:rsidR="009D6C84" w:rsidRPr="00AA7161" w:rsidRDefault="009D6C84" w:rsidP="009D6C84">
      <w:pPr>
        <w:widowControl w:val="0"/>
        <w:spacing w:line="360" w:lineRule="auto"/>
        <w:jc w:val="both"/>
        <w:rPr>
          <w:lang w:val="es-ES" w:eastAsia="en-US"/>
        </w:rPr>
      </w:pPr>
      <w:r w:rsidRPr="00AA7161">
        <w:rPr>
          <w:lang w:val="es-ES" w:eastAsia="en-US"/>
        </w:rPr>
        <w:t xml:space="preserve">El presente estudio demostró que el tratamiento con Jusvinza indujo una mejoría clínica en los pacientes críticos con la COVID-19, asociado con la disminución de varios biomarcadores de la inflamación y la coagulación. La sobrevida de los pacientes tratados con Jusvinza fue significativamente superior a la de los no tratados. El conjunto de estos resultados, evidencian que Jusvinza es capaz de controlar la hiperinflamación y la hipercoagulación, lo cual extiende sus potencialidades terapéuticas a otras enfermedades, caracterizadas por un estado </w:t>
      </w:r>
      <w:proofErr w:type="spellStart"/>
      <w:r w:rsidRPr="00AA7161">
        <w:rPr>
          <w:lang w:val="es-ES" w:eastAsia="en-US"/>
        </w:rPr>
        <w:t>hiperinflamatorio</w:t>
      </w:r>
      <w:proofErr w:type="spellEnd"/>
      <w:r w:rsidRPr="00AA7161">
        <w:rPr>
          <w:lang w:val="es-ES" w:eastAsia="en-US"/>
        </w:rPr>
        <w:t xml:space="preserve"> y protrombótico.  </w:t>
      </w:r>
    </w:p>
    <w:p w14:paraId="1577F66F" w14:textId="77777777" w:rsidR="009D6C84" w:rsidRPr="00AA7161" w:rsidRDefault="009D6C84" w:rsidP="009D6C84">
      <w:pPr>
        <w:spacing w:line="360" w:lineRule="auto"/>
        <w:jc w:val="center"/>
        <w:rPr>
          <w:rFonts w:eastAsia="Calibri"/>
          <w:b/>
          <w:lang w:val="es-ES" w:eastAsia="en-US"/>
        </w:rPr>
      </w:pPr>
    </w:p>
    <w:p w14:paraId="3635C975" w14:textId="77777777" w:rsidR="009D6C84" w:rsidRPr="00AA7161" w:rsidRDefault="009D6C84" w:rsidP="009D6C84">
      <w:pPr>
        <w:spacing w:line="360" w:lineRule="auto"/>
        <w:jc w:val="center"/>
        <w:rPr>
          <w:rFonts w:eastAsia="Calibri"/>
          <w:b/>
          <w:lang w:val="es-ES" w:eastAsia="en-US"/>
        </w:rPr>
      </w:pPr>
    </w:p>
    <w:p w14:paraId="487E4BC5" w14:textId="77777777" w:rsidR="009D6C84" w:rsidRPr="00AA7161" w:rsidRDefault="009D6C84" w:rsidP="009D6C84">
      <w:pPr>
        <w:spacing w:line="360" w:lineRule="auto"/>
        <w:jc w:val="center"/>
        <w:rPr>
          <w:rFonts w:eastAsia="Calibri"/>
          <w:b/>
          <w:sz w:val="32"/>
          <w:szCs w:val="32"/>
          <w:lang w:val="es-ES" w:eastAsia="en-US"/>
        </w:rPr>
      </w:pPr>
      <w:r w:rsidRPr="00AA7161">
        <w:rPr>
          <w:rFonts w:eastAsia="Calibri"/>
          <w:b/>
          <w:sz w:val="32"/>
          <w:szCs w:val="32"/>
          <w:lang w:val="es-ES" w:eastAsia="en-US"/>
        </w:rPr>
        <w:t>REFERENCIAS BIBLIOGRÁFICAS</w:t>
      </w:r>
    </w:p>
    <w:p w14:paraId="302D9C3C" w14:textId="77777777" w:rsidR="009D6C84" w:rsidRPr="00AA7161" w:rsidRDefault="009D6C84" w:rsidP="009D6C84">
      <w:pPr>
        <w:spacing w:line="360" w:lineRule="auto"/>
        <w:rPr>
          <w:rFonts w:eastAsia="Calibri"/>
          <w:lang w:val="es-ES" w:eastAsia="en-US"/>
        </w:rPr>
      </w:pPr>
      <w:r w:rsidRPr="00AA7161">
        <w:rPr>
          <w:rFonts w:eastAsia="Calibri"/>
          <w:lang w:val="es-ES" w:eastAsia="en-US"/>
        </w:rPr>
        <w:t xml:space="preserve">1. WHO. Coronavirus </w:t>
      </w:r>
      <w:proofErr w:type="spellStart"/>
      <w:r w:rsidRPr="00AA7161">
        <w:rPr>
          <w:rFonts w:eastAsia="Calibri"/>
          <w:lang w:val="es-ES" w:eastAsia="en-US"/>
        </w:rPr>
        <w:t>disease</w:t>
      </w:r>
      <w:proofErr w:type="spellEnd"/>
      <w:r w:rsidRPr="00AA7161">
        <w:rPr>
          <w:rFonts w:eastAsia="Calibri"/>
          <w:lang w:val="es-ES" w:eastAsia="en-US"/>
        </w:rPr>
        <w:t xml:space="preserve"> (COVID-19) </w:t>
      </w:r>
      <w:proofErr w:type="spellStart"/>
      <w:r w:rsidRPr="00AA7161">
        <w:rPr>
          <w:rFonts w:eastAsia="Calibri"/>
          <w:lang w:val="es-ES" w:eastAsia="en-US"/>
        </w:rPr>
        <w:t>pandemic</w:t>
      </w:r>
      <w:proofErr w:type="spellEnd"/>
      <w:r w:rsidRPr="00AA7161">
        <w:rPr>
          <w:rFonts w:eastAsia="Calibri"/>
          <w:lang w:val="es-ES" w:eastAsia="en-US"/>
        </w:rPr>
        <w:t xml:space="preserve">. WHO/ </w:t>
      </w:r>
      <w:proofErr w:type="spellStart"/>
      <w:r w:rsidRPr="00AA7161">
        <w:rPr>
          <w:rFonts w:eastAsia="Calibri"/>
          <w:lang w:val="es-ES" w:eastAsia="en-US"/>
        </w:rPr>
        <w:t>Europe</w:t>
      </w:r>
      <w:proofErr w:type="spellEnd"/>
      <w:r w:rsidRPr="00AA7161">
        <w:rPr>
          <w:rFonts w:eastAsia="Calibri"/>
          <w:lang w:val="es-ES" w:eastAsia="en-US"/>
        </w:rPr>
        <w:t xml:space="preserve">. 2019 [acceso: 23/06/2020]. Disponible en: </w:t>
      </w:r>
      <w:hyperlink r:id="rId26" w:history="1">
        <w:r w:rsidRPr="00AA7161">
          <w:rPr>
            <w:rFonts w:eastAsia="Calibri"/>
            <w:u w:val="single"/>
            <w:lang w:val="es-ES" w:eastAsia="en-US"/>
          </w:rPr>
          <w:t>https://www.euro.who.int/en/health-topics/health-emergencies/coronavirus-covid-19/novel-coronavirus-2019-ncov</w:t>
        </w:r>
      </w:hyperlink>
      <w:r w:rsidRPr="00AA7161">
        <w:rPr>
          <w:rFonts w:eastAsia="Calibri"/>
          <w:lang w:val="es-ES" w:eastAsia="en-US"/>
        </w:rPr>
        <w:t xml:space="preserve"> </w:t>
      </w:r>
    </w:p>
    <w:p w14:paraId="60CF7134" w14:textId="77777777" w:rsidR="009D6C84" w:rsidRPr="00AA7161" w:rsidRDefault="009D6C84" w:rsidP="009D6C84">
      <w:pPr>
        <w:spacing w:line="360" w:lineRule="auto"/>
        <w:rPr>
          <w:rFonts w:eastAsia="Calibri"/>
          <w:u w:val="single"/>
          <w:lang w:val="en-US" w:eastAsia="en-US"/>
        </w:rPr>
      </w:pPr>
      <w:r w:rsidRPr="00AA7161">
        <w:rPr>
          <w:rFonts w:eastAsia="Calibri"/>
          <w:lang w:val="en-US" w:eastAsia="en-US"/>
        </w:rPr>
        <w:t>2. Johns Hopkins Medicine. Coronavirus (COVID-19) Information and Updates. Coronavirus (COVID-19) Information and Updates. 2020 [</w:t>
      </w:r>
      <w:proofErr w:type="spellStart"/>
      <w:r w:rsidRPr="00AA7161">
        <w:rPr>
          <w:rFonts w:eastAsia="Calibri"/>
          <w:lang w:val="en-US" w:eastAsia="en-US"/>
        </w:rPr>
        <w:t>acceso</w:t>
      </w:r>
      <w:proofErr w:type="spellEnd"/>
      <w:r w:rsidRPr="00AA7161">
        <w:rPr>
          <w:rFonts w:eastAsia="Calibri"/>
          <w:lang w:val="en-US" w:eastAsia="en-US"/>
        </w:rPr>
        <w:t xml:space="preserve">: 28/09/2020]. Disponible </w:t>
      </w:r>
      <w:proofErr w:type="spellStart"/>
      <w:r w:rsidRPr="00AA7161">
        <w:rPr>
          <w:rFonts w:eastAsia="Calibri"/>
          <w:lang w:val="en-US" w:eastAsia="en-US"/>
        </w:rPr>
        <w:t>en</w:t>
      </w:r>
      <w:proofErr w:type="spellEnd"/>
      <w:r w:rsidRPr="00AA7161">
        <w:rPr>
          <w:rFonts w:eastAsia="Calibri"/>
          <w:lang w:val="en-US" w:eastAsia="en-US"/>
        </w:rPr>
        <w:t xml:space="preserve">: </w:t>
      </w:r>
      <w:hyperlink r:id="rId27" w:history="1">
        <w:r w:rsidRPr="00AA7161">
          <w:rPr>
            <w:rFonts w:eastAsia="Calibri"/>
            <w:u w:val="single"/>
            <w:lang w:val="en-US" w:eastAsia="en-US"/>
          </w:rPr>
          <w:t>https://www.hopkinsmedicine.org/coronavirus/index.html</w:t>
        </w:r>
      </w:hyperlink>
      <w:r w:rsidRPr="00AA7161">
        <w:rPr>
          <w:rFonts w:eastAsia="Calibri"/>
          <w:lang w:val="en-US" w:eastAsia="en-US"/>
        </w:rPr>
        <w:t xml:space="preserve"> </w:t>
      </w:r>
    </w:p>
    <w:p w14:paraId="1136B5B4" w14:textId="77777777" w:rsidR="009D6C84" w:rsidRPr="00AA7161" w:rsidRDefault="009D6C84" w:rsidP="009D6C84">
      <w:pPr>
        <w:spacing w:line="360" w:lineRule="auto"/>
        <w:rPr>
          <w:rFonts w:eastAsia="Calibri"/>
          <w:lang w:val="en-US" w:eastAsia="en-US"/>
        </w:rPr>
      </w:pPr>
      <w:r w:rsidRPr="00AA7161">
        <w:rPr>
          <w:rFonts w:eastAsia="Calibri"/>
          <w:lang w:val="en-US" w:eastAsia="en-US"/>
        </w:rPr>
        <w:t xml:space="preserve">3. </w:t>
      </w:r>
      <w:proofErr w:type="spellStart"/>
      <w:r w:rsidRPr="00AA7161">
        <w:rPr>
          <w:rFonts w:eastAsia="Calibri"/>
          <w:lang w:val="en-US" w:eastAsia="en-US"/>
        </w:rPr>
        <w:t>Wiersinga</w:t>
      </w:r>
      <w:proofErr w:type="spellEnd"/>
      <w:r w:rsidRPr="00AA7161">
        <w:rPr>
          <w:rFonts w:eastAsia="Calibri"/>
          <w:lang w:val="en-US" w:eastAsia="en-US"/>
        </w:rPr>
        <w:t xml:space="preserve"> WJ, Rhodes A, Cheng AC, Peacock SJ, Prescott HC. Pathophysiology, Transmission, Diagnosis, and Treatment of Coronavirus Disease 2019 (COVID-19): A Review. JAMA. 2020 [</w:t>
      </w:r>
      <w:proofErr w:type="spellStart"/>
      <w:r w:rsidRPr="00AA7161">
        <w:rPr>
          <w:rFonts w:eastAsia="Calibri"/>
          <w:lang w:val="en-US" w:eastAsia="en-US"/>
        </w:rPr>
        <w:t>acceso</w:t>
      </w:r>
      <w:proofErr w:type="spellEnd"/>
      <w:r w:rsidRPr="00AA7161">
        <w:rPr>
          <w:rFonts w:eastAsia="Calibri"/>
          <w:lang w:val="en-US" w:eastAsia="en-US"/>
        </w:rPr>
        <w:t>: 25/09/2020]; 324(8):782-93. DOI: 10.1001/jama.2020.12839</w:t>
      </w:r>
    </w:p>
    <w:p w14:paraId="7AE57DBF" w14:textId="77777777" w:rsidR="009D6C84" w:rsidRPr="00AA7161" w:rsidRDefault="009D6C84" w:rsidP="009D6C84">
      <w:pPr>
        <w:spacing w:line="360" w:lineRule="auto"/>
        <w:rPr>
          <w:rFonts w:eastAsia="Calibri"/>
          <w:lang w:val="es-CU" w:eastAsia="en-US"/>
        </w:rPr>
      </w:pPr>
      <w:r w:rsidRPr="00AA7161">
        <w:rPr>
          <w:rFonts w:eastAsia="Calibri"/>
          <w:lang w:val="en-US" w:eastAsia="en-US"/>
        </w:rPr>
        <w:lastRenderedPageBreak/>
        <w:t xml:space="preserve">4. Xu Z, Shi L, Wang Y, Zhang J, Huang L, Zhang C, et al. Pathological findings of COVID‐19 associated with acute respiratory distress syndrome. </w:t>
      </w:r>
      <w:r w:rsidRPr="00AA7161">
        <w:rPr>
          <w:rFonts w:eastAsia="Calibri"/>
          <w:lang w:val="es-ES" w:eastAsia="en-US"/>
        </w:rPr>
        <w:t xml:space="preserve">Lancet </w:t>
      </w:r>
      <w:proofErr w:type="spellStart"/>
      <w:r w:rsidRPr="00AA7161">
        <w:rPr>
          <w:rFonts w:eastAsia="Calibri"/>
          <w:lang w:val="es-ES" w:eastAsia="en-US"/>
        </w:rPr>
        <w:t>Respir</w:t>
      </w:r>
      <w:proofErr w:type="spellEnd"/>
      <w:r w:rsidRPr="00AA7161">
        <w:rPr>
          <w:rFonts w:eastAsia="Calibri"/>
          <w:lang w:val="es-ES" w:eastAsia="en-US"/>
        </w:rPr>
        <w:t xml:space="preserve"> </w:t>
      </w:r>
      <w:proofErr w:type="spellStart"/>
      <w:r w:rsidRPr="00AA7161">
        <w:rPr>
          <w:rFonts w:eastAsia="Calibri"/>
          <w:lang w:val="es-ES" w:eastAsia="en-US"/>
        </w:rPr>
        <w:t>Med</w:t>
      </w:r>
      <w:proofErr w:type="spellEnd"/>
      <w:r w:rsidRPr="00AA7161">
        <w:rPr>
          <w:rFonts w:eastAsia="Calibri"/>
          <w:lang w:val="es-ES" w:eastAsia="en-US"/>
        </w:rPr>
        <w:t xml:space="preserve">. 2020 [acceso: 14/08/2020]; 8:420‐22. Disponible en: </w:t>
      </w:r>
      <w:hyperlink r:id="rId28" w:history="1">
        <w:r w:rsidRPr="00AA7161">
          <w:rPr>
            <w:rFonts w:eastAsia="Calibri"/>
            <w:u w:val="single"/>
            <w:lang w:val="es-ES" w:eastAsia="en-US"/>
          </w:rPr>
          <w:t>https://covid19.conacyt.mx/jspui/bitstream/1000/1079/1/105281.pdf</w:t>
        </w:r>
      </w:hyperlink>
    </w:p>
    <w:p w14:paraId="511613E7" w14:textId="77777777" w:rsidR="009D6C84" w:rsidRPr="00AA7161" w:rsidRDefault="009D6C84" w:rsidP="009D6C84">
      <w:pPr>
        <w:spacing w:line="360" w:lineRule="auto"/>
        <w:rPr>
          <w:rFonts w:eastAsia="Calibri"/>
          <w:lang w:val="es-ES" w:eastAsia="en-US"/>
        </w:rPr>
      </w:pPr>
      <w:r w:rsidRPr="00AA7161">
        <w:rPr>
          <w:rFonts w:eastAsia="Calibri"/>
          <w:lang w:val="en-US" w:eastAsia="en-US"/>
        </w:rPr>
        <w:t xml:space="preserve">5. Tang N, Li D, Wang X, Sun Z. Abnormal coagulation parameters are associated with poor prognosis in patients with novel coronavirus pneumonia. </w:t>
      </w:r>
      <w:r w:rsidRPr="00AA7161">
        <w:rPr>
          <w:rFonts w:eastAsia="Calibri"/>
          <w:lang w:val="es-ES" w:eastAsia="en-US"/>
        </w:rPr>
        <w:t xml:space="preserve">J </w:t>
      </w:r>
      <w:proofErr w:type="spellStart"/>
      <w:r w:rsidRPr="00AA7161">
        <w:rPr>
          <w:rFonts w:eastAsia="Calibri"/>
          <w:lang w:val="es-ES" w:eastAsia="en-US"/>
        </w:rPr>
        <w:t>Thromb</w:t>
      </w:r>
      <w:proofErr w:type="spellEnd"/>
      <w:r w:rsidRPr="00AA7161">
        <w:rPr>
          <w:rFonts w:eastAsia="Calibri"/>
          <w:lang w:val="es-ES" w:eastAsia="en-US"/>
        </w:rPr>
        <w:t xml:space="preserve"> </w:t>
      </w:r>
      <w:proofErr w:type="spellStart"/>
      <w:r w:rsidRPr="00AA7161">
        <w:rPr>
          <w:rFonts w:eastAsia="Calibri"/>
          <w:lang w:val="es-ES" w:eastAsia="en-US"/>
        </w:rPr>
        <w:t>Haemost</w:t>
      </w:r>
      <w:proofErr w:type="spellEnd"/>
      <w:r w:rsidRPr="00AA7161">
        <w:rPr>
          <w:rFonts w:eastAsia="Calibri"/>
          <w:lang w:val="es-ES" w:eastAsia="en-US"/>
        </w:rPr>
        <w:t xml:space="preserve">. 2020 [acceso: 20/06/2020]; 18(4): 844-7. Disponible en: </w:t>
      </w:r>
      <w:hyperlink r:id="rId29" w:history="1">
        <w:r w:rsidRPr="00AA7161">
          <w:rPr>
            <w:rFonts w:eastAsia="Calibri"/>
            <w:u w:val="single"/>
            <w:lang w:val="es-ES" w:eastAsia="en-US"/>
          </w:rPr>
          <w:t>https://onlinelibrary.wiley.com/doi/10.1111/jth.14768</w:t>
        </w:r>
      </w:hyperlink>
    </w:p>
    <w:p w14:paraId="57066726" w14:textId="77777777" w:rsidR="009D6C84" w:rsidRPr="00AA7161" w:rsidRDefault="009D6C84" w:rsidP="009D6C84">
      <w:pPr>
        <w:autoSpaceDE w:val="0"/>
        <w:autoSpaceDN w:val="0"/>
        <w:adjustRightInd w:val="0"/>
        <w:spacing w:line="360" w:lineRule="auto"/>
        <w:rPr>
          <w:rFonts w:eastAsia="Calibri"/>
          <w:lang w:val="es-CU" w:eastAsia="en-US"/>
        </w:rPr>
      </w:pPr>
      <w:r w:rsidRPr="00AA7161">
        <w:rPr>
          <w:lang w:val="es-ES" w:eastAsia="en-US"/>
        </w:rPr>
        <w:t xml:space="preserve">6. </w:t>
      </w:r>
      <w:r w:rsidRPr="00AA7161">
        <w:rPr>
          <w:rFonts w:eastAsia="Calibri"/>
          <w:lang w:val="es-ES" w:eastAsia="en-US"/>
        </w:rPr>
        <w:t xml:space="preserve">Huang C, Wang Y, Li X, Ren L, Zhao J, </w:t>
      </w:r>
      <w:proofErr w:type="spellStart"/>
      <w:r w:rsidRPr="00AA7161">
        <w:rPr>
          <w:rFonts w:eastAsia="Calibri"/>
          <w:lang w:val="es-ES" w:eastAsia="en-US"/>
        </w:rPr>
        <w:t>Hu</w:t>
      </w:r>
      <w:proofErr w:type="spellEnd"/>
      <w:r w:rsidRPr="00AA7161">
        <w:rPr>
          <w:rFonts w:eastAsia="Calibri"/>
          <w:lang w:val="es-ES" w:eastAsia="en-US"/>
        </w:rPr>
        <w:t xml:space="preserve"> Y, et al. </w:t>
      </w:r>
      <w:r w:rsidRPr="00AA7161">
        <w:rPr>
          <w:rFonts w:eastAsia="Calibri"/>
          <w:lang w:val="en-US" w:eastAsia="en-US"/>
        </w:rPr>
        <w:t xml:space="preserve">Clinical features of patients infected with 2019 novel coronavirus in Wuhan, China. </w:t>
      </w:r>
      <w:r w:rsidRPr="00AA7161">
        <w:rPr>
          <w:rFonts w:eastAsia="Calibri"/>
          <w:lang w:val="es-CU" w:eastAsia="en-US"/>
        </w:rPr>
        <w:t xml:space="preserve">Lancet. 2020 [acceso: 28/01/2021]; 395(10223):497–506. Disponible en: </w:t>
      </w:r>
      <w:hyperlink r:id="rId30" w:history="1">
        <w:r w:rsidRPr="00AA7161">
          <w:rPr>
            <w:rFonts w:eastAsia="Calibri"/>
            <w:u w:val="single"/>
            <w:lang w:val="es-CU" w:eastAsia="en-US"/>
          </w:rPr>
          <w:t>https://doi.org/10.1016/S0140-6736(20)30183-5</w:t>
        </w:r>
      </w:hyperlink>
    </w:p>
    <w:p w14:paraId="2BAFFBAA" w14:textId="77777777" w:rsidR="009D6C84" w:rsidRPr="00AA7161" w:rsidRDefault="009D6C84" w:rsidP="009D6C84">
      <w:pPr>
        <w:spacing w:line="360" w:lineRule="auto"/>
        <w:rPr>
          <w:rFonts w:eastAsia="Calibri"/>
          <w:lang w:val="en-US" w:eastAsia="en-US"/>
        </w:rPr>
      </w:pPr>
      <w:r w:rsidRPr="00AA7161">
        <w:rPr>
          <w:rFonts w:eastAsia="Calibri"/>
          <w:lang w:val="es-CU" w:eastAsia="en-US"/>
        </w:rPr>
        <w:t xml:space="preserve">7. </w:t>
      </w:r>
      <w:proofErr w:type="spellStart"/>
      <w:r w:rsidRPr="00AA7161">
        <w:rPr>
          <w:rFonts w:eastAsia="Calibri"/>
          <w:lang w:val="es-CU" w:eastAsia="en-US"/>
        </w:rPr>
        <w:t>Capraa</w:t>
      </w:r>
      <w:proofErr w:type="spellEnd"/>
      <w:r w:rsidRPr="00AA7161">
        <w:rPr>
          <w:rFonts w:eastAsia="Calibri"/>
          <w:lang w:val="es-CU" w:eastAsia="en-US"/>
        </w:rPr>
        <w:t xml:space="preserve"> R, </w:t>
      </w:r>
      <w:proofErr w:type="spellStart"/>
      <w:r w:rsidRPr="00AA7161">
        <w:rPr>
          <w:rFonts w:eastAsia="Calibri"/>
          <w:lang w:val="es-CU" w:eastAsia="en-US"/>
        </w:rPr>
        <w:t>DeRossia</w:t>
      </w:r>
      <w:proofErr w:type="spellEnd"/>
      <w:r w:rsidRPr="00AA7161">
        <w:rPr>
          <w:rFonts w:eastAsia="Calibri"/>
          <w:lang w:val="es-CU" w:eastAsia="en-US"/>
        </w:rPr>
        <w:t xml:space="preserve"> N, </w:t>
      </w:r>
      <w:proofErr w:type="spellStart"/>
      <w:r w:rsidRPr="00AA7161">
        <w:rPr>
          <w:rFonts w:eastAsia="Calibri"/>
          <w:lang w:val="es-CU" w:eastAsia="en-US"/>
        </w:rPr>
        <w:t>Mattiolib</w:t>
      </w:r>
      <w:proofErr w:type="spellEnd"/>
      <w:r w:rsidRPr="00AA7161">
        <w:rPr>
          <w:rFonts w:eastAsia="Calibri"/>
          <w:lang w:val="es-CU" w:eastAsia="en-US"/>
        </w:rPr>
        <w:t xml:space="preserve"> F, </w:t>
      </w:r>
      <w:proofErr w:type="spellStart"/>
      <w:r w:rsidRPr="00AA7161">
        <w:rPr>
          <w:rFonts w:eastAsia="Calibri"/>
          <w:lang w:val="es-CU" w:eastAsia="en-US"/>
        </w:rPr>
        <w:t>Romanelli</w:t>
      </w:r>
      <w:proofErr w:type="spellEnd"/>
      <w:r w:rsidRPr="00AA7161">
        <w:rPr>
          <w:rFonts w:eastAsia="Calibri"/>
          <w:lang w:val="es-CU" w:eastAsia="en-US"/>
        </w:rPr>
        <w:t xml:space="preserve"> G, </w:t>
      </w:r>
      <w:proofErr w:type="spellStart"/>
      <w:r w:rsidRPr="00AA7161">
        <w:rPr>
          <w:rFonts w:eastAsia="Calibri"/>
          <w:lang w:val="es-CU" w:eastAsia="en-US"/>
        </w:rPr>
        <w:t>Scarpazza</w:t>
      </w:r>
      <w:proofErr w:type="spellEnd"/>
      <w:r w:rsidRPr="00AA7161">
        <w:rPr>
          <w:rFonts w:eastAsia="Calibri"/>
          <w:lang w:val="es-CU" w:eastAsia="en-US"/>
        </w:rPr>
        <w:t xml:space="preserve"> C, </w:t>
      </w:r>
      <w:proofErr w:type="spellStart"/>
      <w:r w:rsidRPr="00AA7161">
        <w:rPr>
          <w:rFonts w:eastAsia="Calibri"/>
          <w:lang w:val="es-CU" w:eastAsia="en-US"/>
        </w:rPr>
        <w:t>Sormani</w:t>
      </w:r>
      <w:proofErr w:type="spellEnd"/>
      <w:r w:rsidRPr="00AA7161">
        <w:rPr>
          <w:rFonts w:eastAsia="Calibri"/>
          <w:lang w:val="es-CU" w:eastAsia="en-US"/>
        </w:rPr>
        <w:t xml:space="preserve"> MP, et al. </w:t>
      </w:r>
      <w:r w:rsidRPr="00AA7161">
        <w:rPr>
          <w:rFonts w:eastAsia="Calibri"/>
          <w:lang w:val="en-US" w:eastAsia="en-US"/>
        </w:rPr>
        <w:t>Impact of low dose tocilizumab on mortality rate in patients with COVID-19 related pneumonia. European Journal of Internal Medicine. 2020 [</w:t>
      </w:r>
      <w:proofErr w:type="spellStart"/>
      <w:r w:rsidRPr="00AA7161">
        <w:rPr>
          <w:rFonts w:eastAsia="Calibri"/>
          <w:lang w:val="en-US" w:eastAsia="en-US"/>
        </w:rPr>
        <w:t>acceso</w:t>
      </w:r>
      <w:proofErr w:type="spellEnd"/>
      <w:r w:rsidRPr="00AA7161">
        <w:rPr>
          <w:rFonts w:eastAsia="Calibri"/>
          <w:lang w:val="en-US" w:eastAsia="en-US"/>
        </w:rPr>
        <w:t xml:space="preserve">: 08/06/2020]; 76: 31–35. Disponible </w:t>
      </w:r>
      <w:proofErr w:type="spellStart"/>
      <w:r w:rsidRPr="00AA7161">
        <w:rPr>
          <w:rFonts w:eastAsia="Calibri"/>
          <w:lang w:val="en-US" w:eastAsia="en-US"/>
        </w:rPr>
        <w:t>en</w:t>
      </w:r>
      <w:proofErr w:type="spellEnd"/>
      <w:r w:rsidRPr="00AA7161">
        <w:rPr>
          <w:rFonts w:eastAsia="Calibri"/>
          <w:lang w:val="en-US" w:eastAsia="en-US"/>
        </w:rPr>
        <w:t xml:space="preserve">: </w:t>
      </w:r>
      <w:hyperlink r:id="rId31" w:history="1">
        <w:r w:rsidRPr="00AA7161">
          <w:rPr>
            <w:rFonts w:eastAsia="Calibri"/>
            <w:u w:val="single"/>
            <w:lang w:val="en-US" w:eastAsia="en-US"/>
          </w:rPr>
          <w:t>https://doi.org/10.1016/j.ejim.2020.05.009</w:t>
        </w:r>
      </w:hyperlink>
    </w:p>
    <w:p w14:paraId="195680F3" w14:textId="77777777" w:rsidR="009D6C84" w:rsidRPr="00AA7161" w:rsidRDefault="009D6C84" w:rsidP="009D6C84">
      <w:pPr>
        <w:spacing w:line="360" w:lineRule="auto"/>
        <w:rPr>
          <w:rFonts w:eastAsia="Calibri"/>
          <w:lang w:val="es-ES" w:eastAsia="en-US"/>
        </w:rPr>
      </w:pPr>
      <w:r w:rsidRPr="00AA7161">
        <w:rPr>
          <w:lang w:val="en-US" w:eastAsia="en-US"/>
        </w:rPr>
        <w:t xml:space="preserve">8. </w:t>
      </w:r>
      <w:r w:rsidRPr="00AA7161">
        <w:rPr>
          <w:rFonts w:eastAsia="Calibri"/>
          <w:lang w:val="en-US" w:eastAsia="en-US"/>
        </w:rPr>
        <w:t xml:space="preserve">Peterson D, </w:t>
      </w:r>
      <w:proofErr w:type="spellStart"/>
      <w:r w:rsidRPr="00AA7161">
        <w:rPr>
          <w:rFonts w:eastAsia="Calibri"/>
          <w:lang w:val="en-US" w:eastAsia="en-US"/>
        </w:rPr>
        <w:t>Damsky</w:t>
      </w:r>
      <w:proofErr w:type="spellEnd"/>
      <w:r w:rsidRPr="00AA7161">
        <w:rPr>
          <w:rFonts w:eastAsia="Calibri"/>
          <w:lang w:val="en-US" w:eastAsia="en-US"/>
        </w:rPr>
        <w:t xml:space="preserve"> W, King B. The use of Janus kinase inhibitors in the time of SARS-CoV-2. </w:t>
      </w:r>
      <w:r w:rsidRPr="00AA7161">
        <w:rPr>
          <w:rFonts w:eastAsia="Calibri"/>
          <w:lang w:val="es-ES" w:eastAsia="en-US"/>
        </w:rPr>
        <w:t xml:space="preserve">J Am Acad </w:t>
      </w:r>
      <w:proofErr w:type="spellStart"/>
      <w:r w:rsidRPr="00AA7161">
        <w:rPr>
          <w:rFonts w:eastAsia="Calibri"/>
          <w:lang w:val="es-ES" w:eastAsia="en-US"/>
        </w:rPr>
        <w:t>Dermatol</w:t>
      </w:r>
      <w:proofErr w:type="spellEnd"/>
      <w:r w:rsidRPr="00AA7161">
        <w:rPr>
          <w:rFonts w:eastAsia="Calibri"/>
          <w:lang w:val="es-ES" w:eastAsia="en-US"/>
        </w:rPr>
        <w:t xml:space="preserve">. 2020 [acceso: 08/07/2020]; 82(6): e223-e226. Disponible en:  </w:t>
      </w:r>
      <w:r w:rsidRPr="00AA7161">
        <w:rPr>
          <w:rFonts w:eastAsia="Calibri"/>
          <w:lang w:val="es-ES" w:eastAsia="en-US"/>
        </w:rPr>
        <w:fldChar w:fldCharType="begin"/>
      </w:r>
      <w:r w:rsidRPr="00AA7161">
        <w:rPr>
          <w:rFonts w:eastAsia="Calibri"/>
          <w:lang w:val="es-ES" w:eastAsia="en-US"/>
        </w:rPr>
        <w:instrText xml:space="preserve"> HYPERLINK "https://www.ncbi.nlm.nih.gov/pmc/articles/PMC7144601" </w:instrText>
      </w:r>
      <w:r w:rsidRPr="00AA7161">
        <w:rPr>
          <w:rFonts w:eastAsia="Calibri"/>
          <w:lang w:val="es-ES" w:eastAsia="en-US"/>
        </w:rPr>
        <w:fldChar w:fldCharType="separate"/>
      </w:r>
      <w:r w:rsidRPr="00AA7161">
        <w:rPr>
          <w:rFonts w:eastAsia="Calibri"/>
          <w:u w:val="single"/>
          <w:lang w:val="es-ES" w:eastAsia="en-US"/>
        </w:rPr>
        <w:t>https://www.ncbi.nlm.nih.gov/pmc/articles/PMC7144601</w:t>
      </w:r>
    </w:p>
    <w:p w14:paraId="269DBC1A" w14:textId="77777777" w:rsidR="009D6C84" w:rsidRPr="00AA7161" w:rsidRDefault="009D6C84" w:rsidP="009D6C84">
      <w:pPr>
        <w:spacing w:line="360" w:lineRule="auto"/>
        <w:rPr>
          <w:rFonts w:eastAsia="Calibri"/>
          <w:lang w:val="es-ES" w:eastAsia="en-US"/>
        </w:rPr>
      </w:pPr>
      <w:r w:rsidRPr="00AA7161">
        <w:rPr>
          <w:rFonts w:eastAsia="Calibri"/>
          <w:lang w:val="es-ES" w:eastAsia="en-US"/>
        </w:rPr>
        <w:fldChar w:fldCharType="end"/>
      </w:r>
      <w:r w:rsidRPr="00AA7161">
        <w:rPr>
          <w:rFonts w:eastAsia="Calibri"/>
          <w:lang w:val="es-ES" w:eastAsia="en-US"/>
        </w:rPr>
        <w:t xml:space="preserve">9. CECMED. Autorización de Uso de Emergencia” (AUE) del producto Jusvinza, a emplearse en el tratamiento de pacientes hospitalizados positivos a la COVID-19, que se encuentren graves o críticos y en los que exista sospecha o se identifique un estado de hiperinflamación (BIOL: 077-20/23-018-20B). CECMED; 2020 [acceso: </w:t>
      </w:r>
      <w:proofErr w:type="spellStart"/>
      <w:r w:rsidRPr="00AA7161">
        <w:rPr>
          <w:rFonts w:eastAsia="Calibri"/>
          <w:lang w:val="es-ES" w:eastAsia="en-US"/>
        </w:rPr>
        <w:t>dd</w:t>
      </w:r>
      <w:proofErr w:type="spellEnd"/>
      <w:r w:rsidRPr="00AA7161">
        <w:rPr>
          <w:rFonts w:eastAsia="Calibri"/>
          <w:lang w:val="es-ES" w:eastAsia="en-US"/>
        </w:rPr>
        <w:t>/mm/</w:t>
      </w:r>
      <w:proofErr w:type="spellStart"/>
      <w:r w:rsidRPr="00AA7161">
        <w:rPr>
          <w:rFonts w:eastAsia="Calibri"/>
          <w:lang w:val="es-ES" w:eastAsia="en-US"/>
        </w:rPr>
        <w:t>aaaa</w:t>
      </w:r>
      <w:proofErr w:type="spellEnd"/>
      <w:r w:rsidRPr="00AA7161">
        <w:rPr>
          <w:rFonts w:eastAsia="Calibri"/>
          <w:lang w:val="es-ES" w:eastAsia="en-US"/>
        </w:rPr>
        <w:t xml:space="preserve">]. Disponible en: </w:t>
      </w:r>
      <w:hyperlink r:id="rId32" w:history="1">
        <w:r w:rsidRPr="00AA7161">
          <w:rPr>
            <w:rFonts w:eastAsia="Calibri"/>
            <w:u w:val="single"/>
            <w:lang w:val="es-ES" w:eastAsia="en-US"/>
          </w:rPr>
          <w:t>https://www.cecmed.cu/covid-19/aprobaciones/jusvinza-cigb-258-1</w:t>
        </w:r>
      </w:hyperlink>
      <w:r w:rsidRPr="00AA7161">
        <w:rPr>
          <w:rFonts w:eastAsia="Calibri"/>
          <w:lang w:val="es-ES" w:eastAsia="en-US"/>
        </w:rPr>
        <w:t xml:space="preserve"> </w:t>
      </w:r>
    </w:p>
    <w:p w14:paraId="0C45F269" w14:textId="77777777" w:rsidR="009D6C84" w:rsidRPr="00AA7161" w:rsidRDefault="009D6C84" w:rsidP="009D6C84">
      <w:pPr>
        <w:spacing w:line="360" w:lineRule="auto"/>
        <w:rPr>
          <w:rFonts w:eastAsia="Calibri"/>
          <w:lang w:val="es-ES" w:eastAsia="en-US"/>
        </w:rPr>
      </w:pPr>
      <w:r w:rsidRPr="00AA7161">
        <w:rPr>
          <w:rFonts w:eastAsia="Calibri"/>
          <w:lang w:val="es-ES" w:eastAsia="en-US"/>
        </w:rPr>
        <w:t xml:space="preserve">10. Ministerio de Salud Pública. Parte del cierre del día 31 de marzo a las 12 de la noche. COVID-19. Minsap. 2021[acceso: 01/04/2021]. Disponible en: </w:t>
      </w:r>
      <w:hyperlink r:id="rId33" w:history="1">
        <w:r w:rsidRPr="00AA7161">
          <w:rPr>
            <w:rFonts w:eastAsia="Calibri"/>
            <w:u w:val="single"/>
            <w:lang w:val="es-ES" w:eastAsia="en-US"/>
          </w:rPr>
          <w:t>https://salud.msp.gob.cu/parte-de-cierre-del-dia-31-de-marzo-a-las-12-de-la-noche</w:t>
        </w:r>
      </w:hyperlink>
    </w:p>
    <w:p w14:paraId="72716C20" w14:textId="77777777" w:rsidR="009D6C84" w:rsidRPr="00AA7161" w:rsidRDefault="009D6C84" w:rsidP="009D6C84">
      <w:pPr>
        <w:spacing w:line="360" w:lineRule="auto"/>
        <w:rPr>
          <w:rFonts w:eastAsia="Calibri"/>
          <w:u w:val="single"/>
          <w:lang w:val="es-ES" w:eastAsia="en-US"/>
        </w:rPr>
      </w:pPr>
      <w:r w:rsidRPr="00AA7161">
        <w:rPr>
          <w:rFonts w:eastAsia="Calibri"/>
          <w:lang w:val="es-ES" w:eastAsia="en-US"/>
        </w:rPr>
        <w:t xml:space="preserve">11. Ministerio de Salud Pública. Parte del cierre del día 30 de septiembre a las 12 de la noche. COVID-19. Minsap. 2021 [acceso: 01/07/2020]. Disponible en: </w:t>
      </w:r>
      <w:hyperlink r:id="rId34" w:history="1">
        <w:r w:rsidRPr="00AA7161">
          <w:rPr>
            <w:rFonts w:eastAsia="Calibri"/>
            <w:u w:val="single"/>
            <w:lang w:val="es-ES" w:eastAsia="en-US"/>
          </w:rPr>
          <w:t>https://salud.msp.gob.cu/parte-de-cierre-del-dia-30-de-septiembre-a-las-12-de-la-noche</w:t>
        </w:r>
      </w:hyperlink>
    </w:p>
    <w:p w14:paraId="044DFA7E" w14:textId="77777777" w:rsidR="009D6C84" w:rsidRPr="00AA7161" w:rsidRDefault="009D6C84" w:rsidP="009D6C84">
      <w:pPr>
        <w:spacing w:line="360" w:lineRule="auto"/>
        <w:rPr>
          <w:rFonts w:eastAsia="Calibri"/>
          <w:lang w:val="es-CU" w:eastAsia="en-US"/>
        </w:rPr>
      </w:pPr>
      <w:r w:rsidRPr="00AA7161">
        <w:rPr>
          <w:rFonts w:eastAsia="Calibri"/>
          <w:lang w:val="es-ES" w:eastAsia="en-US"/>
        </w:rPr>
        <w:lastRenderedPageBreak/>
        <w:t xml:space="preserve">12. Domínguez MC, Lorenzo N, Barberá A, </w:t>
      </w:r>
      <w:proofErr w:type="spellStart"/>
      <w:r w:rsidRPr="00AA7161">
        <w:rPr>
          <w:rFonts w:eastAsia="Calibri"/>
          <w:lang w:val="es-ES" w:eastAsia="en-US"/>
        </w:rPr>
        <w:t>Darrasse-Jeze</w:t>
      </w:r>
      <w:proofErr w:type="spellEnd"/>
      <w:r w:rsidRPr="00AA7161">
        <w:rPr>
          <w:rFonts w:eastAsia="Calibri"/>
          <w:lang w:val="es-ES" w:eastAsia="en-US"/>
        </w:rPr>
        <w:t xml:space="preserve"> G, </w:t>
      </w:r>
      <w:proofErr w:type="spellStart"/>
      <w:r w:rsidRPr="00AA7161">
        <w:rPr>
          <w:rFonts w:eastAsia="Calibri"/>
          <w:lang w:val="es-ES" w:eastAsia="en-US"/>
        </w:rPr>
        <w:t>Hernandez</w:t>
      </w:r>
      <w:proofErr w:type="spellEnd"/>
      <w:r w:rsidRPr="00AA7161">
        <w:rPr>
          <w:rFonts w:eastAsia="Calibri"/>
          <w:lang w:val="es-ES" w:eastAsia="en-US"/>
        </w:rPr>
        <w:t xml:space="preserve"> MV, Torres AM, et al. </w:t>
      </w:r>
      <w:r w:rsidRPr="00AA7161">
        <w:rPr>
          <w:rFonts w:eastAsia="Calibri"/>
          <w:lang w:val="en-US" w:eastAsia="en-US"/>
        </w:rPr>
        <w:t xml:space="preserve">An altered peptide ligand corresponding to a novel epitope from heat-shock protein 60 induces regulatory T cells and suppresses pathogenic response in an animal model of adjuvant induced arthritis.  </w:t>
      </w:r>
      <w:proofErr w:type="spellStart"/>
      <w:r w:rsidRPr="00AA7161">
        <w:rPr>
          <w:rFonts w:eastAsia="Calibri"/>
          <w:lang w:val="es-CU" w:eastAsia="en-US"/>
        </w:rPr>
        <w:t>Autoimmunity</w:t>
      </w:r>
      <w:proofErr w:type="spellEnd"/>
      <w:r w:rsidRPr="00AA7161">
        <w:rPr>
          <w:rFonts w:eastAsia="Calibri"/>
          <w:lang w:val="es-CU" w:eastAsia="en-US"/>
        </w:rPr>
        <w:t>. 2011 [acceso: 03/03/2011]; 44 (6):471-82. DOI: 10.3109/08916934.2010.550590</w:t>
      </w:r>
    </w:p>
    <w:p w14:paraId="3E8F78C8" w14:textId="77777777" w:rsidR="009D6C84" w:rsidRPr="00AA7161" w:rsidRDefault="009D6C84" w:rsidP="009D6C84">
      <w:pPr>
        <w:spacing w:line="360" w:lineRule="auto"/>
        <w:rPr>
          <w:rFonts w:eastAsia="Calibri"/>
          <w:lang w:val="en-US" w:eastAsia="en-US"/>
        </w:rPr>
      </w:pPr>
      <w:r w:rsidRPr="00AA7161">
        <w:rPr>
          <w:rFonts w:eastAsia="Calibri"/>
          <w:lang w:val="es-CU" w:eastAsia="en-US"/>
        </w:rPr>
        <w:t>1</w:t>
      </w:r>
      <w:r w:rsidRPr="00AA7161">
        <w:rPr>
          <w:rFonts w:eastAsia="Calibri"/>
          <w:lang w:val="es-ES" w:eastAsia="en-US"/>
        </w:rPr>
        <w:t xml:space="preserve">3. Barberá A, Lorenzo N, van </w:t>
      </w:r>
      <w:proofErr w:type="spellStart"/>
      <w:r w:rsidRPr="00AA7161">
        <w:rPr>
          <w:rFonts w:eastAsia="Calibri"/>
          <w:lang w:val="es-ES" w:eastAsia="en-US"/>
        </w:rPr>
        <w:t>Kooten</w:t>
      </w:r>
      <w:proofErr w:type="spellEnd"/>
      <w:r w:rsidRPr="00AA7161">
        <w:rPr>
          <w:rFonts w:eastAsia="Calibri"/>
          <w:lang w:val="es-ES" w:eastAsia="en-US"/>
        </w:rPr>
        <w:t xml:space="preserve"> P, van </w:t>
      </w:r>
      <w:proofErr w:type="spellStart"/>
      <w:r w:rsidRPr="00AA7161">
        <w:rPr>
          <w:rFonts w:eastAsia="Calibri"/>
          <w:lang w:val="es-ES" w:eastAsia="en-US"/>
        </w:rPr>
        <w:t>Roon</w:t>
      </w:r>
      <w:proofErr w:type="spellEnd"/>
      <w:r w:rsidRPr="00AA7161">
        <w:rPr>
          <w:rFonts w:eastAsia="Calibri"/>
          <w:lang w:val="es-ES" w:eastAsia="en-US"/>
        </w:rPr>
        <w:t xml:space="preserve"> J, de </w:t>
      </w:r>
      <w:proofErr w:type="spellStart"/>
      <w:r w:rsidRPr="00AA7161">
        <w:rPr>
          <w:rFonts w:eastAsia="Calibri"/>
          <w:lang w:val="es-ES" w:eastAsia="en-US"/>
        </w:rPr>
        <w:t>Jager</w:t>
      </w:r>
      <w:proofErr w:type="spellEnd"/>
      <w:r w:rsidRPr="00AA7161">
        <w:rPr>
          <w:rFonts w:eastAsia="Calibri"/>
          <w:lang w:val="es-ES" w:eastAsia="en-US"/>
        </w:rPr>
        <w:t xml:space="preserve"> W, Prada D, et al. </w:t>
      </w:r>
      <w:r w:rsidRPr="00AA7161">
        <w:rPr>
          <w:rFonts w:eastAsia="Calibri"/>
          <w:lang w:val="en-US" w:eastAsia="en-US"/>
        </w:rPr>
        <w:t>APL1, an altered peptide ligand derived from human heat-shock protein 60, increases the frequency of Tregs and its suppressive capacity against antigen responding effector CD4+T cells from rheumatoid arthritis patients. Cell Stress and Chaperones. 2016 [</w:t>
      </w:r>
      <w:proofErr w:type="spellStart"/>
      <w:r w:rsidRPr="00AA7161">
        <w:rPr>
          <w:rFonts w:eastAsia="Calibri"/>
          <w:lang w:val="en-US" w:eastAsia="en-US"/>
        </w:rPr>
        <w:t>acceso</w:t>
      </w:r>
      <w:proofErr w:type="spellEnd"/>
      <w:r w:rsidRPr="00AA7161">
        <w:rPr>
          <w:rFonts w:eastAsia="Calibri"/>
          <w:lang w:val="en-US" w:eastAsia="en-US"/>
        </w:rPr>
        <w:t>: 30/05/2016]; 21 (4): 735–44. DOI: 10.1007/s12192-016-0698-0</w:t>
      </w:r>
    </w:p>
    <w:p w14:paraId="211975A9" w14:textId="77777777" w:rsidR="009D6C84" w:rsidRPr="00AA7161" w:rsidRDefault="009D6C84" w:rsidP="009D6C84">
      <w:pPr>
        <w:spacing w:line="360" w:lineRule="auto"/>
        <w:rPr>
          <w:rFonts w:eastAsia="Calibri"/>
          <w:lang w:val="es-CU" w:eastAsia="en-US"/>
        </w:rPr>
      </w:pPr>
      <w:r w:rsidRPr="00AA7161">
        <w:rPr>
          <w:rFonts w:eastAsia="Calibri"/>
          <w:lang w:val="en-US" w:eastAsia="en-US"/>
        </w:rPr>
        <w:t xml:space="preserve">14. Lorenzo N, </w:t>
      </w:r>
      <w:proofErr w:type="spellStart"/>
      <w:r w:rsidRPr="00AA7161">
        <w:rPr>
          <w:rFonts w:eastAsia="Calibri"/>
          <w:lang w:val="en-US" w:eastAsia="en-US"/>
        </w:rPr>
        <w:t>Altruda</w:t>
      </w:r>
      <w:proofErr w:type="spellEnd"/>
      <w:r w:rsidRPr="00AA7161">
        <w:rPr>
          <w:rFonts w:eastAsia="Calibri"/>
          <w:lang w:val="en-US" w:eastAsia="en-US"/>
        </w:rPr>
        <w:t xml:space="preserve"> F, </w:t>
      </w:r>
      <w:proofErr w:type="spellStart"/>
      <w:r w:rsidRPr="00AA7161">
        <w:rPr>
          <w:rFonts w:eastAsia="Calibri"/>
          <w:lang w:val="en-US" w:eastAsia="en-US"/>
        </w:rPr>
        <w:t>Silengo</w:t>
      </w:r>
      <w:proofErr w:type="spellEnd"/>
      <w:r w:rsidRPr="00AA7161">
        <w:rPr>
          <w:rFonts w:eastAsia="Calibri"/>
          <w:lang w:val="en-US" w:eastAsia="en-US"/>
        </w:rPr>
        <w:t xml:space="preserve"> L, Dominguez MC. APL-1, an altered peptide ligand derived from heat-shock protein, alone or combined with methotrexate attenuates murine collagen induced arthritis. </w:t>
      </w:r>
      <w:r w:rsidRPr="00AA7161">
        <w:rPr>
          <w:rFonts w:eastAsia="Calibri"/>
          <w:lang w:val="es-CU" w:eastAsia="en-US"/>
        </w:rPr>
        <w:t xml:space="preserve">Clin Exp </w:t>
      </w:r>
      <w:proofErr w:type="spellStart"/>
      <w:r w:rsidRPr="00AA7161">
        <w:rPr>
          <w:rFonts w:eastAsia="Calibri"/>
          <w:lang w:val="es-CU" w:eastAsia="en-US"/>
        </w:rPr>
        <w:t>Med</w:t>
      </w:r>
      <w:proofErr w:type="spellEnd"/>
      <w:r w:rsidRPr="00AA7161">
        <w:rPr>
          <w:rFonts w:eastAsia="Calibri"/>
          <w:lang w:val="es-CU" w:eastAsia="en-US"/>
        </w:rPr>
        <w:t>. 2017 [acceso: 09/05/2016]; 17(2): 209–16. DOI: 10.1007/s10238-016-0412-7</w:t>
      </w:r>
    </w:p>
    <w:p w14:paraId="68C3A889" w14:textId="77777777" w:rsidR="009D6C84" w:rsidRPr="00AA7161" w:rsidRDefault="009D6C84" w:rsidP="009D6C84">
      <w:pPr>
        <w:spacing w:line="360" w:lineRule="auto"/>
        <w:rPr>
          <w:lang w:val="es-CU" w:eastAsia="en-US"/>
        </w:rPr>
      </w:pPr>
      <w:r w:rsidRPr="00AA7161">
        <w:rPr>
          <w:lang w:val="es-CU" w:eastAsia="en-US"/>
        </w:rPr>
        <w:t xml:space="preserve">15. Domínguez MC, Cabrales A, Lorenzo N, Padrón G, </w:t>
      </w:r>
      <w:proofErr w:type="spellStart"/>
      <w:r w:rsidRPr="00AA7161">
        <w:rPr>
          <w:lang w:val="es-CU" w:eastAsia="en-US"/>
        </w:rPr>
        <w:t>Gonzalez</w:t>
      </w:r>
      <w:proofErr w:type="spellEnd"/>
      <w:r w:rsidRPr="00AA7161">
        <w:rPr>
          <w:lang w:val="es-CU" w:eastAsia="en-US"/>
        </w:rPr>
        <w:t xml:space="preserve"> LJ. </w:t>
      </w:r>
      <w:r w:rsidRPr="00AA7161">
        <w:rPr>
          <w:lang w:val="en-US" w:eastAsia="en-US"/>
        </w:rPr>
        <w:t xml:space="preserve">Biodistribution and pharmacokinetic profiles of an Altered Peptide Ligand derived from Heat-shock proteins 60 in </w:t>
      </w:r>
      <w:proofErr w:type="gramStart"/>
      <w:r w:rsidRPr="00AA7161">
        <w:rPr>
          <w:lang w:val="en-US" w:eastAsia="en-US"/>
        </w:rPr>
        <w:t>Lewis</w:t>
      </w:r>
      <w:proofErr w:type="gramEnd"/>
      <w:r w:rsidRPr="00AA7161">
        <w:rPr>
          <w:lang w:val="en-US" w:eastAsia="en-US"/>
        </w:rPr>
        <w:t xml:space="preserve"> rats. </w:t>
      </w:r>
      <w:r w:rsidRPr="00AA7161">
        <w:rPr>
          <w:lang w:val="es-CU" w:eastAsia="en-US"/>
        </w:rPr>
        <w:t xml:space="preserve">Cell Stress and Chaperones. 2020 [acceso: 20/11/2020]; 25(1):133-40. Disponible en: </w:t>
      </w:r>
      <w:hyperlink r:id="rId35" w:history="1">
        <w:r w:rsidRPr="00AA7161">
          <w:rPr>
            <w:u w:val="single"/>
            <w:lang w:val="es-CU" w:eastAsia="en-US"/>
          </w:rPr>
          <w:t>https://pubmed.ncbi.nlm.nih.gov/31802366/</w:t>
        </w:r>
      </w:hyperlink>
      <w:r w:rsidRPr="00AA7161">
        <w:rPr>
          <w:lang w:val="es-CU" w:eastAsia="en-US"/>
        </w:rPr>
        <w:t xml:space="preserve"> </w:t>
      </w:r>
    </w:p>
    <w:p w14:paraId="35258F4C" w14:textId="77777777" w:rsidR="009D6C84" w:rsidRPr="00AA7161" w:rsidRDefault="009D6C84" w:rsidP="009D6C84">
      <w:pPr>
        <w:spacing w:line="360" w:lineRule="auto"/>
        <w:rPr>
          <w:rFonts w:eastAsia="Calibri"/>
          <w:lang w:val="es-ES" w:eastAsia="en-US"/>
        </w:rPr>
      </w:pPr>
      <w:r w:rsidRPr="00AA7161">
        <w:rPr>
          <w:rFonts w:eastAsia="Calibri"/>
          <w:lang w:val="es-ES" w:eastAsia="en-US"/>
        </w:rPr>
        <w:t xml:space="preserve">16. </w:t>
      </w:r>
      <w:r w:rsidRPr="00AA7161">
        <w:rPr>
          <w:rFonts w:eastAsia="Calibri"/>
          <w:lang w:val="es-CU" w:eastAsia="en-US"/>
        </w:rPr>
        <w:t xml:space="preserve">Prada D, Gómez J, Lorenzo N, Corrales O, </w:t>
      </w:r>
      <w:proofErr w:type="spellStart"/>
      <w:r w:rsidRPr="00AA7161">
        <w:rPr>
          <w:rFonts w:eastAsia="Calibri"/>
          <w:lang w:val="es-CU" w:eastAsia="en-US"/>
        </w:rPr>
        <w:t>Lopez</w:t>
      </w:r>
      <w:proofErr w:type="spellEnd"/>
      <w:r w:rsidRPr="00AA7161">
        <w:rPr>
          <w:rFonts w:eastAsia="Calibri"/>
          <w:lang w:val="es-CU" w:eastAsia="en-US"/>
        </w:rPr>
        <w:t xml:space="preserve"> A, </w:t>
      </w:r>
      <w:proofErr w:type="spellStart"/>
      <w:r w:rsidRPr="00AA7161">
        <w:rPr>
          <w:rFonts w:eastAsia="Calibri"/>
          <w:lang w:val="es-CU" w:eastAsia="en-US"/>
        </w:rPr>
        <w:t>Gonzalez</w:t>
      </w:r>
      <w:proofErr w:type="spellEnd"/>
      <w:r w:rsidRPr="00AA7161">
        <w:rPr>
          <w:rFonts w:eastAsia="Calibri"/>
          <w:lang w:val="es-CU" w:eastAsia="en-US"/>
        </w:rPr>
        <w:t xml:space="preserve"> E, et al. </w:t>
      </w:r>
      <w:r w:rsidRPr="00AA7161">
        <w:rPr>
          <w:rFonts w:eastAsia="Calibri"/>
          <w:lang w:val="en-US" w:eastAsia="en-US"/>
        </w:rPr>
        <w:t xml:space="preserve">Phase I Clinical Trial with a Novel Altered Peptide Ligand Derived from Human Heat-Shock Protein 60 for Treatment of Rheumatoid Arthritis: Safety, Pharmacokinetics and Preliminary Therapeutic Effects. </w:t>
      </w:r>
      <w:proofErr w:type="spellStart"/>
      <w:r w:rsidRPr="00AA7161">
        <w:rPr>
          <w:rFonts w:eastAsia="Calibri"/>
          <w:lang w:val="es-CU" w:eastAsia="en-US"/>
        </w:rPr>
        <w:t>Journal</w:t>
      </w:r>
      <w:proofErr w:type="spellEnd"/>
      <w:r w:rsidRPr="00AA7161">
        <w:rPr>
          <w:rFonts w:eastAsia="Calibri"/>
          <w:lang w:val="es-CU" w:eastAsia="en-US"/>
        </w:rPr>
        <w:t xml:space="preserve"> </w:t>
      </w:r>
      <w:proofErr w:type="spellStart"/>
      <w:r w:rsidRPr="00AA7161">
        <w:rPr>
          <w:rFonts w:eastAsia="Calibri"/>
          <w:lang w:val="es-CU" w:eastAsia="en-US"/>
        </w:rPr>
        <w:t>of</w:t>
      </w:r>
      <w:proofErr w:type="spellEnd"/>
      <w:r w:rsidRPr="00AA7161">
        <w:rPr>
          <w:rFonts w:eastAsia="Calibri"/>
          <w:lang w:val="es-CU" w:eastAsia="en-US"/>
        </w:rPr>
        <w:t xml:space="preserve"> </w:t>
      </w:r>
      <w:proofErr w:type="spellStart"/>
      <w:r w:rsidRPr="00AA7161">
        <w:rPr>
          <w:rFonts w:eastAsia="Calibri"/>
          <w:lang w:val="es-CU" w:eastAsia="en-US"/>
        </w:rPr>
        <w:t>Clinical</w:t>
      </w:r>
      <w:proofErr w:type="spellEnd"/>
      <w:r w:rsidRPr="00AA7161">
        <w:rPr>
          <w:rFonts w:eastAsia="Calibri"/>
          <w:lang w:val="es-CU" w:eastAsia="en-US"/>
        </w:rPr>
        <w:t xml:space="preserve"> </w:t>
      </w:r>
      <w:proofErr w:type="spellStart"/>
      <w:r w:rsidRPr="00AA7161">
        <w:rPr>
          <w:rFonts w:eastAsia="Calibri"/>
          <w:lang w:val="es-CU" w:eastAsia="en-US"/>
        </w:rPr>
        <w:t>Trials</w:t>
      </w:r>
      <w:proofErr w:type="spellEnd"/>
      <w:r w:rsidRPr="00AA7161">
        <w:rPr>
          <w:rFonts w:eastAsia="Calibri"/>
          <w:lang w:val="es-CU" w:eastAsia="en-US"/>
        </w:rPr>
        <w:t xml:space="preserve">. 2018 [acceso: 08/02/2018]; 8(1): 2167-0870. DOI: 10.4172/2167-0870.1000339 </w:t>
      </w:r>
    </w:p>
    <w:p w14:paraId="7CF7364A" w14:textId="77777777" w:rsidR="009D6C84" w:rsidRPr="00AA7161" w:rsidRDefault="009D6C84" w:rsidP="009D6C84">
      <w:pPr>
        <w:spacing w:line="360" w:lineRule="auto"/>
        <w:rPr>
          <w:lang w:val="es-CU" w:eastAsia="en-US"/>
        </w:rPr>
      </w:pPr>
      <w:r w:rsidRPr="00AA7161">
        <w:rPr>
          <w:lang w:val="es-ES" w:eastAsia="en-US"/>
        </w:rPr>
        <w:t xml:space="preserve">17. </w:t>
      </w:r>
      <w:r w:rsidRPr="00AA7161">
        <w:rPr>
          <w:lang w:val="es-CU" w:eastAsia="en-US"/>
        </w:rPr>
        <w:t xml:space="preserve">Cabrales-Rico A, Ramos Y, Besada V, </w:t>
      </w:r>
      <w:proofErr w:type="spellStart"/>
      <w:r w:rsidRPr="00AA7161">
        <w:rPr>
          <w:lang w:val="es-CU" w:eastAsia="en-US"/>
        </w:rPr>
        <w:t>Dominguez</w:t>
      </w:r>
      <w:proofErr w:type="spellEnd"/>
      <w:r w:rsidRPr="00AA7161">
        <w:rPr>
          <w:lang w:val="es-CU" w:eastAsia="en-US"/>
        </w:rPr>
        <w:t xml:space="preserve"> M C, Lorenzo N, </w:t>
      </w:r>
      <w:proofErr w:type="spellStart"/>
      <w:r w:rsidRPr="00AA7161">
        <w:rPr>
          <w:lang w:val="es-CU" w:eastAsia="en-US"/>
        </w:rPr>
        <w:t>Garcia</w:t>
      </w:r>
      <w:proofErr w:type="spellEnd"/>
      <w:r w:rsidRPr="00AA7161">
        <w:rPr>
          <w:lang w:val="es-CU" w:eastAsia="en-US"/>
        </w:rPr>
        <w:t xml:space="preserve"> O, et al. </w:t>
      </w:r>
      <w:r w:rsidRPr="00AA7161">
        <w:rPr>
          <w:lang w:val="en-US" w:eastAsia="en-US"/>
        </w:rPr>
        <w:t xml:space="preserve">Development and validation of a bioanalytical method based on LC-MS/MS analysis for the quantitation of CIGB-814 peptide in plasma from Rheumatoid Arthritis patients. </w:t>
      </w:r>
      <w:r w:rsidRPr="00AA7161">
        <w:rPr>
          <w:lang w:val="es-CU" w:eastAsia="en-US"/>
        </w:rPr>
        <w:t xml:space="preserve">J </w:t>
      </w:r>
      <w:proofErr w:type="spellStart"/>
      <w:r w:rsidRPr="00AA7161">
        <w:rPr>
          <w:lang w:val="es-CU" w:eastAsia="en-US"/>
        </w:rPr>
        <w:t>Pharm</w:t>
      </w:r>
      <w:proofErr w:type="spellEnd"/>
      <w:r w:rsidRPr="00AA7161">
        <w:rPr>
          <w:lang w:val="es-CU" w:eastAsia="en-US"/>
        </w:rPr>
        <w:t xml:space="preserve">. </w:t>
      </w:r>
      <w:proofErr w:type="spellStart"/>
      <w:r w:rsidRPr="00AA7161">
        <w:rPr>
          <w:lang w:val="es-CU" w:eastAsia="en-US"/>
        </w:rPr>
        <w:t>Biomed</w:t>
      </w:r>
      <w:proofErr w:type="spellEnd"/>
      <w:r w:rsidRPr="00AA7161">
        <w:rPr>
          <w:lang w:val="es-CU" w:eastAsia="en-US"/>
        </w:rPr>
        <w:t xml:space="preserve"> Anal. 2017 [acceso: 05/09/2017]; 143: 130-40. Disponible en: </w:t>
      </w:r>
      <w:hyperlink r:id="rId36" w:history="1">
        <w:r w:rsidRPr="00AA7161">
          <w:rPr>
            <w:u w:val="single"/>
            <w:lang w:val="es-CU" w:eastAsia="en-US"/>
          </w:rPr>
          <w:t>https://doi.org/10.1016/j.jpba.2017.05.030</w:t>
        </w:r>
      </w:hyperlink>
      <w:r w:rsidRPr="00AA7161">
        <w:rPr>
          <w:lang w:val="es-CU" w:eastAsia="en-US"/>
        </w:rPr>
        <w:t xml:space="preserve"> </w:t>
      </w:r>
    </w:p>
    <w:p w14:paraId="32EAB35D" w14:textId="77777777" w:rsidR="009D6C84" w:rsidRPr="00AA7161" w:rsidRDefault="009D6C84" w:rsidP="009D6C84">
      <w:pPr>
        <w:spacing w:line="360" w:lineRule="auto"/>
        <w:rPr>
          <w:rFonts w:eastAsia="Calibri"/>
          <w:strike/>
          <w:lang w:val="es-ES" w:eastAsia="en-US"/>
        </w:rPr>
      </w:pPr>
      <w:r w:rsidRPr="00AA7161">
        <w:rPr>
          <w:rFonts w:eastAsia="Calibri"/>
          <w:lang w:val="es-ES" w:eastAsia="en-US"/>
        </w:rPr>
        <w:t>18. Venegas-</w:t>
      </w:r>
      <w:proofErr w:type="spellStart"/>
      <w:r w:rsidRPr="00AA7161">
        <w:rPr>
          <w:rFonts w:eastAsia="Calibri"/>
          <w:lang w:val="es-ES" w:eastAsia="en-US"/>
        </w:rPr>
        <w:t>Rodriguez</w:t>
      </w:r>
      <w:proofErr w:type="spellEnd"/>
      <w:r w:rsidRPr="00AA7161">
        <w:rPr>
          <w:rFonts w:eastAsia="Calibri"/>
          <w:lang w:val="es-ES" w:eastAsia="en-US"/>
        </w:rPr>
        <w:t xml:space="preserve"> R, Peña-Ruiz R, Santana-Sánchez R, </w:t>
      </w:r>
      <w:proofErr w:type="spellStart"/>
      <w:r w:rsidRPr="00AA7161">
        <w:rPr>
          <w:rFonts w:eastAsia="Calibri"/>
          <w:lang w:val="es-ES" w:eastAsia="en-US"/>
        </w:rPr>
        <w:t>Bequet</w:t>
      </w:r>
      <w:proofErr w:type="spellEnd"/>
      <w:r w:rsidRPr="00AA7161">
        <w:rPr>
          <w:rFonts w:eastAsia="Calibri"/>
          <w:lang w:val="es-ES" w:eastAsia="en-US"/>
        </w:rPr>
        <w:t>-Romero M, Hernández-Cedeño M, Santiesteban-Licea B, et al. Péptido inmunomodulador CIGB-258 para el tratamiento de pacientes graves y críticos con la COVID-19</w:t>
      </w:r>
      <w:r w:rsidRPr="00AA7161">
        <w:rPr>
          <w:rFonts w:eastAsia="Calibri"/>
          <w:bCs/>
          <w:lang w:val="es-ES" w:eastAsia="en-US"/>
        </w:rPr>
        <w:t>.</w:t>
      </w:r>
      <w:r w:rsidRPr="00AA7161">
        <w:rPr>
          <w:rFonts w:eastAsia="Calibri"/>
          <w:b/>
          <w:lang w:val="es-ES" w:eastAsia="en-US"/>
        </w:rPr>
        <w:t xml:space="preserve"> </w:t>
      </w:r>
      <w:r w:rsidRPr="00AA7161">
        <w:rPr>
          <w:rFonts w:eastAsia="Calibri"/>
          <w:lang w:val="es-ES" w:eastAsia="en-US"/>
        </w:rPr>
        <w:t>Revista Cubana de Medicina Militar. 2020 [acceso: 06/10/2020]; 49(4): e0200926. Disponible en:</w:t>
      </w:r>
      <w:r w:rsidRPr="00AA7161">
        <w:rPr>
          <w:rFonts w:eastAsia="Calibri"/>
          <w:strike/>
          <w:lang w:val="es-ES" w:eastAsia="en-US"/>
        </w:rPr>
        <w:t xml:space="preserve">  </w:t>
      </w:r>
      <w:hyperlink r:id="rId37" w:history="1">
        <w:r w:rsidRPr="00AA7161">
          <w:rPr>
            <w:rFonts w:eastAsia="Calibri"/>
            <w:u w:val="single"/>
            <w:lang w:val="es-ES" w:eastAsia="en-US"/>
          </w:rPr>
          <w:t>http://revmedmilitar.sld.cu/index.php/mil/article/view/926/625</w:t>
        </w:r>
      </w:hyperlink>
      <w:r w:rsidRPr="00AA7161">
        <w:rPr>
          <w:rFonts w:eastAsia="Calibri"/>
          <w:lang w:val="es-ES" w:eastAsia="en-US"/>
        </w:rPr>
        <w:t xml:space="preserve"> </w:t>
      </w:r>
    </w:p>
    <w:p w14:paraId="70EFC1A3" w14:textId="77777777" w:rsidR="009D6C84" w:rsidRPr="00AA7161" w:rsidRDefault="009D6C84" w:rsidP="009D6C84">
      <w:pPr>
        <w:spacing w:line="360" w:lineRule="auto"/>
        <w:rPr>
          <w:lang w:val="en-US" w:eastAsia="en-US"/>
        </w:rPr>
      </w:pPr>
      <w:r w:rsidRPr="00AA7161">
        <w:rPr>
          <w:lang w:val="es-CU" w:eastAsia="en-US"/>
        </w:rPr>
        <w:lastRenderedPageBreak/>
        <w:t>19. Venegas-</w:t>
      </w:r>
      <w:proofErr w:type="spellStart"/>
      <w:r w:rsidRPr="00AA7161">
        <w:rPr>
          <w:lang w:val="es-CU" w:eastAsia="en-US"/>
        </w:rPr>
        <w:t>Rodriguez</w:t>
      </w:r>
      <w:proofErr w:type="spellEnd"/>
      <w:r w:rsidRPr="00AA7161">
        <w:rPr>
          <w:lang w:val="es-CU" w:eastAsia="en-US"/>
        </w:rPr>
        <w:t xml:space="preserve"> R, Santana-Sánchez R, Peña-Ruiz R, </w:t>
      </w:r>
      <w:proofErr w:type="spellStart"/>
      <w:r w:rsidRPr="00AA7161">
        <w:rPr>
          <w:lang w:val="es-CU" w:eastAsia="en-US"/>
        </w:rPr>
        <w:t>Bequet</w:t>
      </w:r>
      <w:proofErr w:type="spellEnd"/>
      <w:r w:rsidRPr="00AA7161">
        <w:rPr>
          <w:lang w:val="es-CU" w:eastAsia="en-US"/>
        </w:rPr>
        <w:t xml:space="preserve">-Romero M, Hernández-Cedeño M, Santiesteban-Licea B, et al. </w:t>
      </w:r>
      <w:r w:rsidRPr="00AA7161">
        <w:rPr>
          <w:lang w:val="en-US" w:eastAsia="en-US"/>
        </w:rPr>
        <w:t xml:space="preserve">CIGB-258 Immunomodulatory Peptide: Compassionate Use for Critical and Severe COVID-19 Patients. Austin J </w:t>
      </w:r>
      <w:proofErr w:type="spellStart"/>
      <w:r w:rsidRPr="00AA7161">
        <w:rPr>
          <w:lang w:val="en-US" w:eastAsia="en-US"/>
        </w:rPr>
        <w:t>Pharmacol</w:t>
      </w:r>
      <w:proofErr w:type="spellEnd"/>
      <w:r w:rsidRPr="00AA7161">
        <w:rPr>
          <w:lang w:val="en-US" w:eastAsia="en-US"/>
        </w:rPr>
        <w:t xml:space="preserve"> </w:t>
      </w:r>
      <w:proofErr w:type="spellStart"/>
      <w:r w:rsidRPr="00AA7161">
        <w:rPr>
          <w:lang w:val="en-US" w:eastAsia="en-US"/>
        </w:rPr>
        <w:t>Ther</w:t>
      </w:r>
      <w:proofErr w:type="spellEnd"/>
      <w:r w:rsidRPr="00AA7161">
        <w:rPr>
          <w:lang w:val="en-US" w:eastAsia="en-US"/>
        </w:rPr>
        <w:t>. 2020 [</w:t>
      </w:r>
      <w:proofErr w:type="spellStart"/>
      <w:r w:rsidRPr="00AA7161">
        <w:rPr>
          <w:lang w:val="en-US" w:eastAsia="en-US"/>
        </w:rPr>
        <w:t>acceso</w:t>
      </w:r>
      <w:proofErr w:type="spellEnd"/>
      <w:r w:rsidRPr="00AA7161">
        <w:rPr>
          <w:lang w:val="en-US" w:eastAsia="en-US"/>
        </w:rPr>
        <w:t xml:space="preserve">: 17/09/2020]; 8(1):1119. Disponible </w:t>
      </w:r>
      <w:proofErr w:type="spellStart"/>
      <w:r w:rsidRPr="00AA7161">
        <w:rPr>
          <w:lang w:val="en-US" w:eastAsia="en-US"/>
        </w:rPr>
        <w:t>en</w:t>
      </w:r>
      <w:proofErr w:type="spellEnd"/>
      <w:r w:rsidRPr="00AA7161">
        <w:rPr>
          <w:rFonts w:eastAsia="Calibri"/>
          <w:lang w:val="en-US" w:eastAsia="en-US"/>
        </w:rPr>
        <w:t xml:space="preserve">: </w:t>
      </w:r>
      <w:hyperlink r:id="rId38" w:history="1">
        <w:r w:rsidRPr="00AA7161">
          <w:rPr>
            <w:rFonts w:eastAsia="Calibri"/>
            <w:u w:val="single"/>
            <w:lang w:val="en-US" w:eastAsia="en-US"/>
          </w:rPr>
          <w:t>https://www.researchgate.net/profile/Mabel-Hernandez-Cedeno-2/publication/344405147_CIGB-258_Immunomodulatory_Peptide_Compassionate_Use_for_Critical_and_Severe_COVID-19_Patients/links/5f71f94792851c14bc9b2261/CIGB-258-Immunomodulatory-Peptide-Compassionate-Use-for-Critical-and-Severe-COVID-19-Patients.pdf</w:t>
        </w:r>
      </w:hyperlink>
      <w:r w:rsidRPr="00AA7161">
        <w:rPr>
          <w:rFonts w:eastAsia="Calibri"/>
          <w:lang w:val="en-US" w:eastAsia="en-US"/>
        </w:rPr>
        <w:t xml:space="preserve"> </w:t>
      </w:r>
    </w:p>
    <w:p w14:paraId="38E475AA" w14:textId="77777777" w:rsidR="009D6C84" w:rsidRPr="00AA7161" w:rsidRDefault="009D6C84" w:rsidP="009D6C84">
      <w:pPr>
        <w:spacing w:line="360" w:lineRule="auto"/>
        <w:rPr>
          <w:rFonts w:eastAsia="Calibri"/>
          <w:lang w:val="en-US" w:eastAsia="en-US"/>
        </w:rPr>
      </w:pPr>
      <w:r w:rsidRPr="00AA7161">
        <w:rPr>
          <w:rFonts w:eastAsia="Calibri"/>
          <w:lang w:val="es-ES" w:eastAsia="en-US"/>
        </w:rPr>
        <w:t>20. Hernández-Cedeño M, Venegas-</w:t>
      </w:r>
      <w:proofErr w:type="spellStart"/>
      <w:r w:rsidRPr="00AA7161">
        <w:rPr>
          <w:rFonts w:eastAsia="Calibri"/>
          <w:lang w:val="es-ES" w:eastAsia="en-US"/>
        </w:rPr>
        <w:t>Rodriguez</w:t>
      </w:r>
      <w:proofErr w:type="spellEnd"/>
      <w:r w:rsidRPr="00AA7161">
        <w:rPr>
          <w:rFonts w:eastAsia="Calibri"/>
          <w:lang w:val="es-ES" w:eastAsia="en-US"/>
        </w:rPr>
        <w:t xml:space="preserve"> R, Peña-Ruiz R, </w:t>
      </w:r>
      <w:proofErr w:type="spellStart"/>
      <w:r w:rsidRPr="00AA7161">
        <w:rPr>
          <w:rFonts w:eastAsia="Calibri"/>
          <w:lang w:val="es-ES" w:eastAsia="en-US"/>
        </w:rPr>
        <w:t>Bequet</w:t>
      </w:r>
      <w:proofErr w:type="spellEnd"/>
      <w:r w:rsidRPr="00AA7161">
        <w:rPr>
          <w:rFonts w:eastAsia="Calibri"/>
          <w:lang w:val="es-ES" w:eastAsia="en-US"/>
        </w:rPr>
        <w:t xml:space="preserve">-Romero M, Santana-Sánchez R, </w:t>
      </w:r>
      <w:proofErr w:type="spellStart"/>
      <w:r w:rsidRPr="00AA7161">
        <w:rPr>
          <w:rFonts w:eastAsia="Calibri"/>
          <w:lang w:val="es-ES" w:eastAsia="en-US"/>
        </w:rPr>
        <w:t>Pentón-Ariaset</w:t>
      </w:r>
      <w:proofErr w:type="spellEnd"/>
      <w:r w:rsidRPr="00AA7161">
        <w:rPr>
          <w:rFonts w:eastAsia="Calibri"/>
          <w:lang w:val="es-ES" w:eastAsia="en-US"/>
        </w:rPr>
        <w:t xml:space="preserve"> E, et al. </w:t>
      </w:r>
      <w:r w:rsidRPr="00AA7161">
        <w:rPr>
          <w:rFonts w:eastAsia="Calibri"/>
          <w:lang w:val="en-US" w:eastAsia="en-US"/>
        </w:rPr>
        <w:t>CIGB-258, a peptide derived from human heat-shock protein 60, decreases hyperinflammation in COVID-19 patients. Cell Stress and Chaperones. 2020 [</w:t>
      </w:r>
      <w:proofErr w:type="spellStart"/>
      <w:r w:rsidRPr="00AA7161">
        <w:rPr>
          <w:rFonts w:eastAsia="Calibri"/>
          <w:lang w:val="en-US" w:eastAsia="en-US"/>
        </w:rPr>
        <w:t>acceso</w:t>
      </w:r>
      <w:proofErr w:type="spellEnd"/>
      <w:r w:rsidRPr="00AA7161">
        <w:rPr>
          <w:rFonts w:eastAsia="Calibri"/>
          <w:lang w:val="en-US" w:eastAsia="en-US"/>
        </w:rPr>
        <w:t>: 24/02/2021]; 26(3): 515-25. DOI: 10.1007/s12192-021-01197-2</w:t>
      </w:r>
    </w:p>
    <w:p w14:paraId="2F82C084" w14:textId="77777777" w:rsidR="009D6C84" w:rsidRPr="00AA7161" w:rsidRDefault="009D6C84" w:rsidP="009D6C84">
      <w:pPr>
        <w:spacing w:line="360" w:lineRule="auto"/>
        <w:rPr>
          <w:rFonts w:eastAsia="Calibri"/>
          <w:lang w:val="es-ES" w:eastAsia="en-US"/>
        </w:rPr>
      </w:pPr>
      <w:r w:rsidRPr="00AA7161">
        <w:rPr>
          <w:rFonts w:eastAsia="Calibri"/>
          <w:lang w:val="en-US" w:eastAsia="en-US"/>
        </w:rPr>
        <w:t xml:space="preserve">21. World Medical Association. World medical declaration of Helsinki: ethical principles for medical research involving human subjects. </w:t>
      </w:r>
      <w:r w:rsidRPr="00AA7161">
        <w:rPr>
          <w:rFonts w:eastAsia="Calibri"/>
          <w:lang w:val="es-ES" w:eastAsia="en-US"/>
        </w:rPr>
        <w:t xml:space="preserve">J Am </w:t>
      </w:r>
      <w:proofErr w:type="spellStart"/>
      <w:r w:rsidRPr="00AA7161">
        <w:rPr>
          <w:rFonts w:eastAsia="Calibri"/>
          <w:lang w:val="es-ES" w:eastAsia="en-US"/>
        </w:rPr>
        <w:t>Med</w:t>
      </w:r>
      <w:proofErr w:type="spellEnd"/>
      <w:r w:rsidRPr="00AA7161">
        <w:rPr>
          <w:rFonts w:eastAsia="Calibri"/>
          <w:lang w:val="es-ES" w:eastAsia="en-US"/>
        </w:rPr>
        <w:t xml:space="preserve"> </w:t>
      </w:r>
      <w:proofErr w:type="spellStart"/>
      <w:r w:rsidRPr="00AA7161">
        <w:rPr>
          <w:rFonts w:eastAsia="Calibri"/>
          <w:lang w:val="es-ES" w:eastAsia="en-US"/>
        </w:rPr>
        <w:t>Assoc</w:t>
      </w:r>
      <w:proofErr w:type="spellEnd"/>
      <w:r w:rsidRPr="00AA7161">
        <w:rPr>
          <w:rFonts w:eastAsia="Calibri"/>
          <w:lang w:val="es-ES" w:eastAsia="en-US"/>
        </w:rPr>
        <w:t xml:space="preserve">. 2013 [acceso: 24/07/2020]; 310(29): 2191-4. Disponible en: </w:t>
      </w:r>
      <w:hyperlink r:id="rId39" w:history="1">
        <w:r w:rsidRPr="00AA7161">
          <w:rPr>
            <w:rFonts w:eastAsia="Calibri"/>
            <w:u w:val="single"/>
            <w:lang w:val="es-ES" w:eastAsia="en-US"/>
          </w:rPr>
          <w:t>https://pubmed.ncbi.nlm.nih.gov/24141714</w:t>
        </w:r>
      </w:hyperlink>
    </w:p>
    <w:p w14:paraId="462065EA" w14:textId="77777777" w:rsidR="009D6C84" w:rsidRPr="00AA7161" w:rsidRDefault="009D6C84" w:rsidP="009D6C84">
      <w:pPr>
        <w:spacing w:line="360" w:lineRule="auto"/>
        <w:rPr>
          <w:rFonts w:eastAsia="Calibri"/>
          <w:lang w:val="es-ES" w:eastAsia="en-US"/>
        </w:rPr>
      </w:pPr>
      <w:r w:rsidRPr="00AA7161">
        <w:rPr>
          <w:lang w:val="es-ES" w:eastAsia="en-US"/>
        </w:rPr>
        <w:t xml:space="preserve">22. </w:t>
      </w:r>
      <w:r w:rsidRPr="00AA7161">
        <w:rPr>
          <w:rFonts w:eastAsia="Calibri"/>
          <w:lang w:val="es-ES" w:eastAsia="en-US"/>
        </w:rPr>
        <w:t xml:space="preserve">Ministerio de Salud Pública. Protocolo de actuación nacional para la covid-19: versión 1.6. La Habana: MINSAP; 2020. [acceso: 24/08/2020]. Disponible en: </w:t>
      </w:r>
      <w:hyperlink r:id="rId40" w:history="1">
        <w:r w:rsidRPr="00AA7161">
          <w:rPr>
            <w:rFonts w:eastAsia="Calibri"/>
            <w:u w:val="single"/>
            <w:lang w:val="es-ES" w:eastAsia="en-US"/>
          </w:rPr>
          <w:t>https://files.sld.cu/editorhome/files/2020/05/MINSAP_Protocolo-de-Actuación-Nacional-para-la-COVID-19_versión-1.6_mayo-2020.pdf</w:t>
        </w:r>
      </w:hyperlink>
    </w:p>
    <w:p w14:paraId="63F2934E" w14:textId="77777777" w:rsidR="009D6C84" w:rsidRPr="00AA7161" w:rsidRDefault="009D6C84" w:rsidP="009D6C84">
      <w:pPr>
        <w:spacing w:line="360" w:lineRule="auto"/>
        <w:rPr>
          <w:rFonts w:eastAsia="Calibri"/>
          <w:u w:val="single"/>
          <w:lang w:val="es-ES" w:eastAsia="en-US"/>
        </w:rPr>
      </w:pPr>
      <w:r w:rsidRPr="00AA7161">
        <w:rPr>
          <w:rFonts w:eastAsia="Calibri"/>
          <w:lang w:val="en-US" w:eastAsia="en-US"/>
        </w:rPr>
        <w:t xml:space="preserve">23. The ARDS Definition Task Force. Acute respiratory distress syndrome: </w:t>
      </w:r>
      <w:proofErr w:type="gramStart"/>
      <w:r w:rsidRPr="00AA7161">
        <w:rPr>
          <w:rFonts w:eastAsia="Calibri"/>
          <w:lang w:val="en-US" w:eastAsia="en-US"/>
        </w:rPr>
        <w:t>the</w:t>
      </w:r>
      <w:proofErr w:type="gramEnd"/>
      <w:r w:rsidRPr="00AA7161">
        <w:rPr>
          <w:rFonts w:eastAsia="Calibri"/>
          <w:lang w:val="en-US" w:eastAsia="en-US"/>
        </w:rPr>
        <w:t xml:space="preserve"> Berlin Definition. </w:t>
      </w:r>
      <w:r w:rsidRPr="00AA7161">
        <w:rPr>
          <w:rFonts w:eastAsia="Calibri"/>
          <w:lang w:val="es-ES" w:eastAsia="en-US"/>
        </w:rPr>
        <w:t xml:space="preserve">JAMA. 2012 [acceso: 13/06/2020]; 307:2526–33. Disponible en: </w:t>
      </w:r>
      <w:hyperlink r:id="rId41" w:history="1">
        <w:r w:rsidRPr="00AA7161">
          <w:rPr>
            <w:rFonts w:eastAsia="Calibri"/>
            <w:u w:val="single"/>
            <w:lang w:val="es-ES" w:eastAsia="en-US"/>
          </w:rPr>
          <w:t>http://intensivo.sochipe.cl/subidos/catalogo3/ARDSdefinition.JAMA.2012.pdf</w:t>
        </w:r>
      </w:hyperlink>
    </w:p>
    <w:p w14:paraId="6C09F43F" w14:textId="77777777" w:rsidR="009D6C84" w:rsidRPr="00AA7161" w:rsidRDefault="009D6C84" w:rsidP="009D6C84">
      <w:pPr>
        <w:spacing w:line="360" w:lineRule="auto"/>
        <w:rPr>
          <w:rFonts w:eastAsia="Calibri"/>
          <w:lang w:val="es-ES" w:eastAsia="en-US"/>
        </w:rPr>
      </w:pPr>
      <w:r w:rsidRPr="00AA7161">
        <w:rPr>
          <w:lang w:val="es-ES" w:eastAsia="en-US"/>
        </w:rPr>
        <w:t xml:space="preserve">24. </w:t>
      </w:r>
      <w:r w:rsidRPr="00AA7161">
        <w:rPr>
          <w:rFonts w:eastAsia="Calibri"/>
          <w:lang w:val="es-ES" w:eastAsia="en-US"/>
        </w:rPr>
        <w:t xml:space="preserve">Ministerio de Salud Pública. Regulación No. 45-2007: Requerimientos para la notificación y el reporte de eventos adversos graves e inesperados en los ensayos clínicos. La Habana: CECMED; 2007. [acceso: 24/08/2020]. Disponible en: </w:t>
      </w:r>
      <w:hyperlink r:id="rId42" w:history="1">
        <w:r w:rsidRPr="00AA7161">
          <w:rPr>
            <w:rFonts w:eastAsia="Calibri"/>
            <w:u w:val="single"/>
            <w:lang w:val="es-ES" w:eastAsia="en-US"/>
          </w:rPr>
          <w:t>https://www.cecmed.cu/sites/default/files/adjuntos/Reglamentacion/reg_4507_requerimientos_para_la_notificacion_y_el_reporte_de_eventos_adversos_graves_e_inesperados_en_los_ensayos_clinicos.pdf</w:t>
        </w:r>
      </w:hyperlink>
    </w:p>
    <w:p w14:paraId="54EBF7B7" w14:textId="77777777" w:rsidR="009D6C84" w:rsidRPr="00AA7161" w:rsidRDefault="009D6C84" w:rsidP="009D6C84">
      <w:pPr>
        <w:spacing w:line="360" w:lineRule="auto"/>
        <w:rPr>
          <w:rFonts w:eastAsia="Calibri"/>
          <w:lang w:val="en-US" w:eastAsia="en-US"/>
        </w:rPr>
      </w:pPr>
      <w:r w:rsidRPr="00AA7161">
        <w:rPr>
          <w:rFonts w:eastAsia="Calibri"/>
          <w:lang w:val="en-US" w:eastAsia="en-US"/>
        </w:rPr>
        <w:lastRenderedPageBreak/>
        <w:t xml:space="preserve">25. </w:t>
      </w:r>
      <w:proofErr w:type="spellStart"/>
      <w:r w:rsidRPr="00AA7161">
        <w:rPr>
          <w:rFonts w:eastAsia="Calibri"/>
          <w:lang w:val="en-US" w:eastAsia="en-US"/>
        </w:rPr>
        <w:t>McGonagle</w:t>
      </w:r>
      <w:proofErr w:type="spellEnd"/>
      <w:r w:rsidRPr="00AA7161">
        <w:rPr>
          <w:rFonts w:eastAsia="Calibri"/>
          <w:lang w:val="en-US" w:eastAsia="en-US"/>
        </w:rPr>
        <w:t xml:space="preserve"> D, O’Donnell JS, Sharif K, Emery P, </w:t>
      </w:r>
      <w:proofErr w:type="spellStart"/>
      <w:r w:rsidRPr="00AA7161">
        <w:rPr>
          <w:rFonts w:eastAsia="Calibri"/>
          <w:lang w:val="en-US" w:eastAsia="en-US"/>
        </w:rPr>
        <w:t>Bridgewood</w:t>
      </w:r>
      <w:proofErr w:type="spellEnd"/>
      <w:r w:rsidRPr="00AA7161">
        <w:rPr>
          <w:rFonts w:eastAsia="Calibri"/>
          <w:lang w:val="en-US" w:eastAsia="en-US"/>
        </w:rPr>
        <w:t xml:space="preserve"> C. Immune mechanisms of pulmonary intravascular coagulopathy in COVID-19 pneumonia. The Lancet Rheumatology. 2020 [</w:t>
      </w:r>
      <w:proofErr w:type="spellStart"/>
      <w:r w:rsidRPr="00AA7161">
        <w:rPr>
          <w:rFonts w:eastAsia="Calibri"/>
          <w:lang w:val="en-US" w:eastAsia="en-US"/>
        </w:rPr>
        <w:t>acceso</w:t>
      </w:r>
      <w:proofErr w:type="spellEnd"/>
      <w:r w:rsidRPr="00AA7161">
        <w:rPr>
          <w:rFonts w:eastAsia="Calibri"/>
          <w:lang w:val="en-US" w:eastAsia="en-US"/>
        </w:rPr>
        <w:t>: 07/05/2020]; 2(7): e437-e445. DOI: 10.1016/S2665-9913(20)30121-1</w:t>
      </w:r>
    </w:p>
    <w:p w14:paraId="7B8B17CB" w14:textId="77777777" w:rsidR="009D6C84" w:rsidRPr="00AA7161" w:rsidRDefault="009D6C84" w:rsidP="009D6C84">
      <w:pPr>
        <w:autoSpaceDE w:val="0"/>
        <w:autoSpaceDN w:val="0"/>
        <w:adjustRightInd w:val="0"/>
        <w:spacing w:line="360" w:lineRule="auto"/>
        <w:rPr>
          <w:lang w:val="es-ES" w:eastAsia="en-US"/>
        </w:rPr>
      </w:pPr>
      <w:r w:rsidRPr="00AA7161">
        <w:rPr>
          <w:lang w:val="en-US" w:eastAsia="en-US"/>
        </w:rPr>
        <w:t xml:space="preserve">26. </w:t>
      </w:r>
      <w:r w:rsidRPr="00AA7161">
        <w:rPr>
          <w:rFonts w:eastAsia="Calibri"/>
          <w:lang w:val="en-US" w:eastAsia="en-US"/>
        </w:rPr>
        <w:t xml:space="preserve">Fox SE, </w:t>
      </w:r>
      <w:proofErr w:type="spellStart"/>
      <w:r w:rsidRPr="00AA7161">
        <w:rPr>
          <w:rFonts w:eastAsia="Calibri"/>
          <w:lang w:val="en-US" w:eastAsia="en-US"/>
        </w:rPr>
        <w:t>Akmatbekov</w:t>
      </w:r>
      <w:proofErr w:type="spellEnd"/>
      <w:r w:rsidRPr="00AA7161">
        <w:rPr>
          <w:rFonts w:eastAsia="Calibri"/>
          <w:lang w:val="en-US" w:eastAsia="en-US"/>
        </w:rPr>
        <w:t xml:space="preserve"> A, Harbert JL, Li G, Quincy Brown J and Vander Heide RS. Pulmonary and cardiac pathology in African American patients with COVID-19: an autopsy series from New Orleans. </w:t>
      </w:r>
      <w:r w:rsidRPr="00AA7161">
        <w:rPr>
          <w:rFonts w:eastAsia="Calibri"/>
          <w:lang w:val="es-ES" w:eastAsia="en-US"/>
        </w:rPr>
        <w:t xml:space="preserve">Lancet </w:t>
      </w:r>
      <w:proofErr w:type="spellStart"/>
      <w:r w:rsidRPr="00AA7161">
        <w:rPr>
          <w:rFonts w:eastAsia="Calibri"/>
          <w:lang w:val="es-ES" w:eastAsia="en-US"/>
        </w:rPr>
        <w:t>Respir</w:t>
      </w:r>
      <w:proofErr w:type="spellEnd"/>
      <w:r w:rsidRPr="00AA7161">
        <w:rPr>
          <w:rFonts w:eastAsia="Calibri"/>
          <w:lang w:val="es-ES" w:eastAsia="en-US"/>
        </w:rPr>
        <w:t xml:space="preserve"> </w:t>
      </w:r>
      <w:proofErr w:type="spellStart"/>
      <w:r w:rsidRPr="00AA7161">
        <w:rPr>
          <w:rFonts w:eastAsia="Calibri"/>
          <w:lang w:val="es-ES" w:eastAsia="en-US"/>
        </w:rPr>
        <w:t>Med</w:t>
      </w:r>
      <w:proofErr w:type="spellEnd"/>
      <w:r w:rsidRPr="00AA7161">
        <w:rPr>
          <w:rFonts w:eastAsia="Calibri"/>
          <w:lang w:val="es-ES" w:eastAsia="en-US"/>
        </w:rPr>
        <w:t xml:space="preserve">. 2020 [acceso: 01/07/2020]; 8(7): 681-6. Disponible en: </w:t>
      </w:r>
      <w:hyperlink r:id="rId43" w:history="1">
        <w:r w:rsidRPr="00AA7161">
          <w:rPr>
            <w:rFonts w:eastAsia="Calibri"/>
            <w:u w:val="single"/>
            <w:lang w:val="es-ES" w:eastAsia="en-US"/>
          </w:rPr>
          <w:t>https://doi.org/10.1016/S2213-2600(20)30243-5</w:t>
        </w:r>
      </w:hyperlink>
    </w:p>
    <w:p w14:paraId="221CD1AA" w14:textId="77777777" w:rsidR="009D6C84" w:rsidRPr="00AA7161" w:rsidRDefault="009D6C84" w:rsidP="009D6C84">
      <w:pPr>
        <w:spacing w:line="360" w:lineRule="auto"/>
        <w:rPr>
          <w:rFonts w:eastAsia="Calibri"/>
          <w:lang w:val="en-US" w:eastAsia="en-US"/>
        </w:rPr>
      </w:pPr>
      <w:r w:rsidRPr="00AA7161">
        <w:rPr>
          <w:rFonts w:eastAsia="Calibri"/>
          <w:lang w:val="en-US" w:eastAsia="en-US"/>
        </w:rPr>
        <w:t xml:space="preserve">27. </w:t>
      </w:r>
      <w:proofErr w:type="spellStart"/>
      <w:r w:rsidRPr="00AA7161">
        <w:rPr>
          <w:rFonts w:eastAsia="Calibri"/>
          <w:lang w:val="en-US" w:eastAsia="en-US"/>
        </w:rPr>
        <w:t>Varga</w:t>
      </w:r>
      <w:proofErr w:type="spellEnd"/>
      <w:r w:rsidRPr="00AA7161">
        <w:rPr>
          <w:rFonts w:eastAsia="Calibri"/>
          <w:lang w:val="en-US" w:eastAsia="en-US"/>
        </w:rPr>
        <w:t xml:space="preserve"> Z, Flammer AJ, </w:t>
      </w:r>
      <w:proofErr w:type="spellStart"/>
      <w:r w:rsidRPr="00AA7161">
        <w:rPr>
          <w:rFonts w:eastAsia="Calibri"/>
          <w:lang w:val="en-US" w:eastAsia="en-US"/>
        </w:rPr>
        <w:t>Steiger</w:t>
      </w:r>
      <w:proofErr w:type="spellEnd"/>
      <w:r w:rsidRPr="00AA7161">
        <w:rPr>
          <w:rFonts w:eastAsia="Calibri"/>
          <w:lang w:val="en-US" w:eastAsia="en-US"/>
        </w:rPr>
        <w:t xml:space="preserve"> P, </w:t>
      </w:r>
      <w:proofErr w:type="spellStart"/>
      <w:r w:rsidRPr="00AA7161">
        <w:rPr>
          <w:rFonts w:eastAsia="Calibri"/>
          <w:lang w:val="en-US" w:eastAsia="en-US"/>
        </w:rPr>
        <w:t>Haberecker</w:t>
      </w:r>
      <w:proofErr w:type="spellEnd"/>
      <w:r w:rsidRPr="00AA7161">
        <w:rPr>
          <w:rFonts w:eastAsia="Calibri"/>
          <w:lang w:val="en-US" w:eastAsia="en-US"/>
        </w:rPr>
        <w:t xml:space="preserve"> M, </w:t>
      </w:r>
      <w:proofErr w:type="spellStart"/>
      <w:r w:rsidRPr="00AA7161">
        <w:rPr>
          <w:rFonts w:eastAsia="Calibri"/>
          <w:lang w:val="en-US" w:eastAsia="en-US"/>
        </w:rPr>
        <w:t>Andermatt</w:t>
      </w:r>
      <w:proofErr w:type="spellEnd"/>
      <w:r w:rsidRPr="00AA7161">
        <w:rPr>
          <w:rFonts w:eastAsia="Calibri"/>
          <w:lang w:val="en-US" w:eastAsia="en-US"/>
        </w:rPr>
        <w:t xml:space="preserve"> R, </w:t>
      </w:r>
      <w:proofErr w:type="spellStart"/>
      <w:r w:rsidRPr="00AA7161">
        <w:rPr>
          <w:rFonts w:eastAsia="Calibri"/>
          <w:lang w:val="en-US" w:eastAsia="en-US"/>
        </w:rPr>
        <w:t>Zinkernagel</w:t>
      </w:r>
      <w:proofErr w:type="spellEnd"/>
      <w:r w:rsidRPr="00AA7161">
        <w:rPr>
          <w:rFonts w:eastAsia="Calibri"/>
          <w:lang w:val="en-US" w:eastAsia="en-US"/>
        </w:rPr>
        <w:t xml:space="preserve"> AS, et al. Endothelial cell infection and </w:t>
      </w:r>
      <w:proofErr w:type="spellStart"/>
      <w:r w:rsidRPr="00AA7161">
        <w:rPr>
          <w:rFonts w:eastAsia="Calibri"/>
          <w:lang w:val="en-US" w:eastAsia="en-US"/>
        </w:rPr>
        <w:t>endotheliitis</w:t>
      </w:r>
      <w:proofErr w:type="spellEnd"/>
      <w:r w:rsidRPr="00AA7161">
        <w:rPr>
          <w:rFonts w:eastAsia="Calibri"/>
          <w:lang w:val="en-US" w:eastAsia="en-US"/>
        </w:rPr>
        <w:t xml:space="preserve"> in COVID-19. Lancet. 2020 [</w:t>
      </w:r>
      <w:proofErr w:type="spellStart"/>
      <w:r w:rsidRPr="00AA7161">
        <w:rPr>
          <w:rFonts w:eastAsia="Calibri"/>
          <w:lang w:val="en-US" w:eastAsia="en-US"/>
        </w:rPr>
        <w:t>acceso</w:t>
      </w:r>
      <w:proofErr w:type="spellEnd"/>
      <w:r w:rsidRPr="00AA7161">
        <w:rPr>
          <w:rFonts w:eastAsia="Calibri"/>
          <w:lang w:val="en-US" w:eastAsia="en-US"/>
        </w:rPr>
        <w:t xml:space="preserve">: 06/07/2020]; 395(10234): 1417–18. Disponible </w:t>
      </w:r>
      <w:proofErr w:type="spellStart"/>
      <w:r w:rsidRPr="00AA7161">
        <w:rPr>
          <w:rFonts w:eastAsia="Calibri"/>
          <w:lang w:val="en-US" w:eastAsia="en-US"/>
        </w:rPr>
        <w:t>en</w:t>
      </w:r>
      <w:proofErr w:type="spellEnd"/>
      <w:r w:rsidRPr="00AA7161">
        <w:rPr>
          <w:rFonts w:eastAsia="Calibri"/>
          <w:lang w:val="en-US" w:eastAsia="en-US"/>
        </w:rPr>
        <w:t xml:space="preserve">: </w:t>
      </w:r>
      <w:hyperlink r:id="rId44" w:history="1">
        <w:r w:rsidRPr="00AA7161">
          <w:rPr>
            <w:rFonts w:eastAsia="Calibri"/>
            <w:u w:val="single"/>
            <w:lang w:val="en-US" w:eastAsia="en-US"/>
          </w:rPr>
          <w:t>https://doi.org/10.1016/S0140-6736(20)30937-5</w:t>
        </w:r>
      </w:hyperlink>
    </w:p>
    <w:p w14:paraId="46A4379B" w14:textId="77777777" w:rsidR="009D6C84" w:rsidRPr="00AA7161" w:rsidRDefault="009D6C84" w:rsidP="009D6C84">
      <w:pPr>
        <w:autoSpaceDE w:val="0"/>
        <w:autoSpaceDN w:val="0"/>
        <w:adjustRightInd w:val="0"/>
        <w:spacing w:line="360" w:lineRule="auto"/>
        <w:rPr>
          <w:rFonts w:eastAsia="Calibri"/>
          <w:lang w:val="es-ES" w:eastAsia="en-US"/>
        </w:rPr>
      </w:pPr>
      <w:r w:rsidRPr="00AA7161">
        <w:rPr>
          <w:rFonts w:eastAsia="Calibri"/>
          <w:lang w:val="en-US" w:eastAsia="en-US"/>
        </w:rPr>
        <w:t xml:space="preserve">28. Liu Y, Du X, Chen J, </w:t>
      </w:r>
      <w:proofErr w:type="spellStart"/>
      <w:r w:rsidRPr="00AA7161">
        <w:rPr>
          <w:rFonts w:eastAsia="Calibri"/>
          <w:lang w:val="en-US" w:eastAsia="en-US"/>
        </w:rPr>
        <w:t>Jin</w:t>
      </w:r>
      <w:proofErr w:type="spellEnd"/>
      <w:r w:rsidRPr="00AA7161">
        <w:rPr>
          <w:rFonts w:eastAsia="Calibri"/>
          <w:lang w:val="en-US" w:eastAsia="en-US"/>
        </w:rPr>
        <w:t xml:space="preserve"> Y, Peng L, Wang HHX, et al. Neutrophil-to-lymphocyte ratio as an independent risk factor for mortality in hospitalized patients with COVID-19. </w:t>
      </w:r>
      <w:r w:rsidRPr="00AA7161">
        <w:rPr>
          <w:rFonts w:eastAsia="Calibri"/>
          <w:lang w:val="es-ES" w:eastAsia="en-US"/>
        </w:rPr>
        <w:t xml:space="preserve">J </w:t>
      </w:r>
      <w:proofErr w:type="spellStart"/>
      <w:r w:rsidRPr="00AA7161">
        <w:rPr>
          <w:rFonts w:eastAsia="Calibri"/>
          <w:lang w:val="es-ES" w:eastAsia="en-US"/>
        </w:rPr>
        <w:t>Infect</w:t>
      </w:r>
      <w:proofErr w:type="spellEnd"/>
      <w:r w:rsidRPr="00AA7161">
        <w:rPr>
          <w:rFonts w:eastAsia="Calibri"/>
          <w:lang w:val="es-ES" w:eastAsia="en-US"/>
        </w:rPr>
        <w:t xml:space="preserve">. 2020 [acceso: 14/04/2020]; 81(1):6–12. Disponible en: https://doi.org/10.1016/j.jinf.2020.04.002 </w:t>
      </w:r>
    </w:p>
    <w:p w14:paraId="24F60EC6" w14:textId="77777777" w:rsidR="009D6C84" w:rsidRPr="00AA7161" w:rsidRDefault="009D6C84" w:rsidP="009D6C84">
      <w:pPr>
        <w:spacing w:line="360" w:lineRule="auto"/>
        <w:rPr>
          <w:rFonts w:eastAsia="Calibri"/>
          <w:lang w:val="en-US" w:eastAsia="en-US"/>
        </w:rPr>
      </w:pPr>
      <w:r w:rsidRPr="00AA7161">
        <w:rPr>
          <w:rFonts w:eastAsia="Calibri"/>
          <w:lang w:val="en-US" w:eastAsia="en-US"/>
        </w:rPr>
        <w:t xml:space="preserve">29. Barnes BJ, </w:t>
      </w:r>
      <w:proofErr w:type="spellStart"/>
      <w:r w:rsidRPr="00AA7161">
        <w:rPr>
          <w:rFonts w:eastAsia="Calibri"/>
          <w:lang w:val="en-US" w:eastAsia="en-US"/>
        </w:rPr>
        <w:t>Adrover</w:t>
      </w:r>
      <w:proofErr w:type="spellEnd"/>
      <w:r w:rsidRPr="00AA7161">
        <w:rPr>
          <w:rFonts w:eastAsia="Calibri"/>
          <w:lang w:val="en-US" w:eastAsia="en-US"/>
        </w:rPr>
        <w:t xml:space="preserve"> JM, Baxter-Stoltzfus A, </w:t>
      </w:r>
      <w:proofErr w:type="spellStart"/>
      <w:r w:rsidRPr="00AA7161">
        <w:rPr>
          <w:rFonts w:eastAsia="Calibri"/>
          <w:lang w:val="en-US" w:eastAsia="en-US"/>
        </w:rPr>
        <w:t>Borczuk</w:t>
      </w:r>
      <w:proofErr w:type="spellEnd"/>
      <w:r w:rsidRPr="00AA7161">
        <w:rPr>
          <w:rFonts w:eastAsia="Calibri"/>
          <w:lang w:val="en-US" w:eastAsia="en-US"/>
        </w:rPr>
        <w:t xml:space="preserve"> A, Cools-</w:t>
      </w:r>
      <w:proofErr w:type="spellStart"/>
      <w:r w:rsidRPr="00AA7161">
        <w:rPr>
          <w:rFonts w:eastAsia="Calibri"/>
          <w:lang w:val="en-US" w:eastAsia="en-US"/>
        </w:rPr>
        <w:t>Lartigue</w:t>
      </w:r>
      <w:proofErr w:type="spellEnd"/>
      <w:r w:rsidRPr="00AA7161">
        <w:rPr>
          <w:rFonts w:eastAsia="Calibri"/>
          <w:lang w:val="en-US" w:eastAsia="en-US"/>
        </w:rPr>
        <w:t xml:space="preserve"> J, Crawford JM, et al. Targeting potential drivers of COVID-19: Neutrophil extracellular traps. J Exp Med. 2020 [</w:t>
      </w:r>
      <w:proofErr w:type="spellStart"/>
      <w:r w:rsidRPr="00AA7161">
        <w:rPr>
          <w:rFonts w:eastAsia="Calibri"/>
          <w:lang w:val="en-US" w:eastAsia="en-US"/>
        </w:rPr>
        <w:t>acceso</w:t>
      </w:r>
      <w:proofErr w:type="spellEnd"/>
      <w:r w:rsidRPr="00AA7161">
        <w:rPr>
          <w:rFonts w:eastAsia="Calibri"/>
          <w:lang w:val="en-US" w:eastAsia="en-US"/>
        </w:rPr>
        <w:t>: 01/12/2020]; 217(6): e20200652. DOI: 10.1084/jem.20200652</w:t>
      </w:r>
    </w:p>
    <w:p w14:paraId="0EA19720" w14:textId="77777777" w:rsidR="009D6C84" w:rsidRPr="00AA7161" w:rsidRDefault="009D6C84" w:rsidP="009D6C84">
      <w:pPr>
        <w:autoSpaceDE w:val="0"/>
        <w:autoSpaceDN w:val="0"/>
        <w:adjustRightInd w:val="0"/>
        <w:spacing w:line="360" w:lineRule="auto"/>
        <w:rPr>
          <w:rFonts w:eastAsia="Calibri"/>
          <w:lang w:val="es-ES" w:eastAsia="en-US"/>
        </w:rPr>
      </w:pPr>
      <w:r w:rsidRPr="00AA7161">
        <w:rPr>
          <w:lang w:val="en-US" w:eastAsia="en-US"/>
        </w:rPr>
        <w:t xml:space="preserve">30. </w:t>
      </w:r>
      <w:proofErr w:type="spellStart"/>
      <w:r w:rsidRPr="00AA7161">
        <w:rPr>
          <w:rFonts w:eastAsia="Calibri"/>
          <w:lang w:val="en-US" w:eastAsia="en-US"/>
        </w:rPr>
        <w:t>Klok</w:t>
      </w:r>
      <w:proofErr w:type="spellEnd"/>
      <w:r w:rsidRPr="00AA7161">
        <w:rPr>
          <w:rFonts w:eastAsia="Calibri"/>
          <w:lang w:val="en-US" w:eastAsia="en-US"/>
        </w:rPr>
        <w:t xml:space="preserve"> FA, </w:t>
      </w:r>
      <w:proofErr w:type="spellStart"/>
      <w:r w:rsidRPr="00AA7161">
        <w:rPr>
          <w:rFonts w:eastAsia="Calibri"/>
          <w:lang w:val="en-US" w:eastAsia="en-US"/>
        </w:rPr>
        <w:t>Kruip</w:t>
      </w:r>
      <w:proofErr w:type="spellEnd"/>
      <w:r w:rsidRPr="00AA7161">
        <w:rPr>
          <w:rFonts w:eastAsia="Calibri"/>
          <w:lang w:val="en-US" w:eastAsia="en-US"/>
        </w:rPr>
        <w:t xml:space="preserve"> M, van der Meer NJM, </w:t>
      </w:r>
      <w:proofErr w:type="spellStart"/>
      <w:r w:rsidRPr="00AA7161">
        <w:rPr>
          <w:rFonts w:eastAsia="Calibri"/>
          <w:lang w:val="en-US" w:eastAsia="en-US"/>
        </w:rPr>
        <w:t>Arbous</w:t>
      </w:r>
      <w:proofErr w:type="spellEnd"/>
      <w:r w:rsidRPr="00AA7161">
        <w:rPr>
          <w:rFonts w:eastAsia="Calibri"/>
          <w:lang w:val="en-US" w:eastAsia="en-US"/>
        </w:rPr>
        <w:t xml:space="preserve"> MS, </w:t>
      </w:r>
      <w:proofErr w:type="spellStart"/>
      <w:r w:rsidRPr="00AA7161">
        <w:rPr>
          <w:rFonts w:eastAsia="Calibri"/>
          <w:lang w:val="en-US" w:eastAsia="en-US"/>
        </w:rPr>
        <w:t>Gommers</w:t>
      </w:r>
      <w:proofErr w:type="spellEnd"/>
      <w:r w:rsidRPr="00AA7161">
        <w:rPr>
          <w:rFonts w:eastAsia="Calibri"/>
          <w:lang w:val="en-US" w:eastAsia="en-US"/>
        </w:rPr>
        <w:t xml:space="preserve"> DAMPJ, Kant KM, et al. Incidence of thrombotic complications in critically ill ICU patients with COVID-19. </w:t>
      </w:r>
      <w:proofErr w:type="spellStart"/>
      <w:r w:rsidRPr="00AA7161">
        <w:rPr>
          <w:rFonts w:eastAsia="Calibri"/>
          <w:lang w:val="es-ES" w:eastAsia="en-US"/>
        </w:rPr>
        <w:t>Thromb</w:t>
      </w:r>
      <w:proofErr w:type="spellEnd"/>
      <w:r w:rsidRPr="00AA7161">
        <w:rPr>
          <w:rFonts w:eastAsia="Calibri"/>
          <w:lang w:val="es-ES" w:eastAsia="en-US"/>
        </w:rPr>
        <w:t xml:space="preserve"> Res. 2020 [acceso: 09/11/2020]; 191:145-7. Disponible en: </w:t>
      </w:r>
      <w:hyperlink r:id="rId45" w:history="1">
        <w:r w:rsidRPr="00AA7161">
          <w:rPr>
            <w:rFonts w:eastAsia="Calibri"/>
            <w:u w:val="single"/>
            <w:lang w:val="es-ES" w:eastAsia="en-US"/>
          </w:rPr>
          <w:t>https://doi.org/j.thromres.2020.04.013</w:t>
        </w:r>
      </w:hyperlink>
    </w:p>
    <w:p w14:paraId="682F6E41" w14:textId="77777777" w:rsidR="009D6C84" w:rsidRPr="00AA7161" w:rsidRDefault="009D6C84" w:rsidP="009D6C84">
      <w:pPr>
        <w:autoSpaceDE w:val="0"/>
        <w:autoSpaceDN w:val="0"/>
        <w:adjustRightInd w:val="0"/>
        <w:spacing w:line="360" w:lineRule="auto"/>
        <w:jc w:val="both"/>
        <w:rPr>
          <w:rFonts w:eastAsia="Calibri"/>
          <w:lang w:val="es-ES" w:eastAsia="en-US"/>
        </w:rPr>
      </w:pPr>
    </w:p>
    <w:p w14:paraId="7EA5A653" w14:textId="77777777" w:rsidR="009D6C84" w:rsidRPr="00AA7161" w:rsidRDefault="009D6C84" w:rsidP="009D6C84">
      <w:pPr>
        <w:spacing w:line="360" w:lineRule="auto"/>
        <w:jc w:val="center"/>
        <w:rPr>
          <w:b/>
          <w:lang w:val="es-CU" w:eastAsia="en-US"/>
        </w:rPr>
      </w:pPr>
    </w:p>
    <w:p w14:paraId="33EAC1E1" w14:textId="77777777" w:rsidR="009D6C84" w:rsidRPr="00AA7161" w:rsidRDefault="009D6C84" w:rsidP="009D6C84">
      <w:pPr>
        <w:spacing w:line="360" w:lineRule="auto"/>
        <w:jc w:val="center"/>
        <w:rPr>
          <w:b/>
          <w:lang w:val="es-CU" w:eastAsia="en-US"/>
        </w:rPr>
      </w:pPr>
      <w:r w:rsidRPr="00AA7161">
        <w:rPr>
          <w:b/>
          <w:lang w:val="es-CU" w:eastAsia="en-US"/>
        </w:rPr>
        <w:t>Conflictos de interés</w:t>
      </w:r>
    </w:p>
    <w:p w14:paraId="501C94CD" w14:textId="77777777" w:rsidR="009D6C84" w:rsidRPr="00AA7161" w:rsidRDefault="009D6C84" w:rsidP="009D6C84">
      <w:pPr>
        <w:spacing w:line="360" w:lineRule="auto"/>
        <w:jc w:val="both"/>
        <w:rPr>
          <w:lang w:val="es-ES" w:eastAsia="en-US"/>
        </w:rPr>
      </w:pPr>
      <w:r w:rsidRPr="00AA7161">
        <w:rPr>
          <w:lang w:val="es-ES" w:eastAsia="en-US"/>
        </w:rPr>
        <w:t xml:space="preserve">Los autores declaran que no tienen conflictos de intereses. </w:t>
      </w:r>
    </w:p>
    <w:p w14:paraId="738561EC" w14:textId="77777777" w:rsidR="009D6C84" w:rsidRPr="00AA7161" w:rsidRDefault="009D6C84" w:rsidP="009D6C84">
      <w:pPr>
        <w:spacing w:line="360" w:lineRule="auto"/>
        <w:jc w:val="both"/>
        <w:rPr>
          <w:lang w:val="es-ES" w:eastAsia="en-US"/>
        </w:rPr>
      </w:pPr>
    </w:p>
    <w:p w14:paraId="5F0A98B0" w14:textId="21A3FC48" w:rsidR="009D6C84" w:rsidRPr="00AA7161" w:rsidRDefault="00C124A4" w:rsidP="009D6C84">
      <w:pPr>
        <w:spacing w:line="360" w:lineRule="auto"/>
        <w:jc w:val="center"/>
        <w:rPr>
          <w:lang w:val="es-CU" w:eastAsia="en-US"/>
        </w:rPr>
      </w:pPr>
      <w:r>
        <w:rPr>
          <w:b/>
          <w:lang w:val="es-CU" w:eastAsia="en-US"/>
        </w:rPr>
        <w:br w:type="page"/>
      </w:r>
      <w:r w:rsidR="009D6C84" w:rsidRPr="00AA7161">
        <w:rPr>
          <w:b/>
          <w:lang w:val="es-CU" w:eastAsia="en-US"/>
        </w:rPr>
        <w:lastRenderedPageBreak/>
        <w:t>Contribuciones de los autores</w:t>
      </w:r>
    </w:p>
    <w:p w14:paraId="34907ED1" w14:textId="77777777" w:rsidR="009D6C84" w:rsidRPr="00AA7161" w:rsidRDefault="009D6C84" w:rsidP="009D6C84">
      <w:pPr>
        <w:spacing w:line="360" w:lineRule="auto"/>
        <w:jc w:val="both"/>
        <w:rPr>
          <w:rFonts w:eastAsia="Calibri"/>
          <w:lang w:eastAsia="en-US"/>
        </w:rPr>
      </w:pPr>
      <w:r w:rsidRPr="00AA7161">
        <w:rPr>
          <w:rFonts w:eastAsia="Calibri"/>
          <w:lang w:eastAsia="en-US"/>
        </w:rPr>
        <w:t xml:space="preserve">1. Conceptualización: </w:t>
      </w:r>
      <w:r w:rsidRPr="00AA7161">
        <w:rPr>
          <w:rFonts w:eastAsia="Calibri"/>
          <w:i/>
          <w:iCs/>
          <w:lang w:eastAsia="en-US"/>
        </w:rPr>
        <w:t>María del Carmen Domínguez Horta, Rafael Venegas Rodríguez.</w:t>
      </w:r>
      <w:r w:rsidRPr="00AA7161">
        <w:rPr>
          <w:rFonts w:eastAsia="Calibri"/>
          <w:lang w:eastAsia="en-US"/>
        </w:rPr>
        <w:t xml:space="preserve"> </w:t>
      </w:r>
    </w:p>
    <w:p w14:paraId="265DDA77" w14:textId="77777777" w:rsidR="009D6C84" w:rsidRPr="00AA7161" w:rsidRDefault="009D6C84" w:rsidP="009D6C84">
      <w:pPr>
        <w:spacing w:line="360" w:lineRule="auto"/>
        <w:jc w:val="both"/>
        <w:rPr>
          <w:rFonts w:eastAsia="Calibri"/>
          <w:lang w:eastAsia="en-US"/>
        </w:rPr>
      </w:pPr>
      <w:r w:rsidRPr="00AA7161">
        <w:rPr>
          <w:rFonts w:eastAsia="Calibri"/>
          <w:lang w:eastAsia="en-US"/>
        </w:rPr>
        <w:t xml:space="preserve">2. Curación de datos: </w:t>
      </w:r>
      <w:r w:rsidRPr="00AA7161">
        <w:rPr>
          <w:rFonts w:eastAsia="Calibri"/>
          <w:i/>
          <w:iCs/>
          <w:lang w:eastAsia="en-US"/>
        </w:rPr>
        <w:t>Rafael Venegas Rodríguez, Anabel Serrano Diaz, Mabel Hernández.</w:t>
      </w:r>
    </w:p>
    <w:p w14:paraId="7992C618" w14:textId="77777777" w:rsidR="009D6C84" w:rsidRPr="00AA7161" w:rsidRDefault="009D6C84" w:rsidP="009D6C84">
      <w:pPr>
        <w:spacing w:line="360" w:lineRule="auto"/>
        <w:jc w:val="both"/>
        <w:rPr>
          <w:rFonts w:eastAsia="Calibri"/>
          <w:lang w:eastAsia="en-US"/>
        </w:rPr>
      </w:pPr>
      <w:r w:rsidRPr="00AA7161">
        <w:rPr>
          <w:rFonts w:eastAsia="Calibri"/>
          <w:lang w:eastAsia="en-US"/>
        </w:rPr>
        <w:t xml:space="preserve">3. Análisis formal: </w:t>
      </w:r>
      <w:r w:rsidRPr="00AA7161">
        <w:rPr>
          <w:rFonts w:eastAsia="Calibri"/>
          <w:i/>
          <w:iCs/>
          <w:lang w:eastAsia="en-US"/>
        </w:rPr>
        <w:t>María del Carmen Domínguez Horta, Rafael Venegas Rodríguez, Anabel Serrano Díaz.</w:t>
      </w:r>
    </w:p>
    <w:p w14:paraId="0EC66FC6" w14:textId="77777777" w:rsidR="009D6C84" w:rsidRPr="00AA7161" w:rsidRDefault="009D6C84" w:rsidP="009D6C84">
      <w:pPr>
        <w:spacing w:line="360" w:lineRule="auto"/>
        <w:jc w:val="both"/>
        <w:rPr>
          <w:rFonts w:eastAsia="Calibri"/>
          <w:lang w:eastAsia="en-US"/>
        </w:rPr>
      </w:pPr>
      <w:r w:rsidRPr="00AA7161">
        <w:rPr>
          <w:rFonts w:eastAsia="Calibri"/>
          <w:lang w:eastAsia="en-US"/>
        </w:rPr>
        <w:t xml:space="preserve">5. Investigación: </w:t>
      </w:r>
      <w:r w:rsidRPr="00AA7161">
        <w:rPr>
          <w:rFonts w:eastAsia="Calibri"/>
          <w:i/>
          <w:iCs/>
          <w:lang w:eastAsia="en-US"/>
        </w:rPr>
        <w:t xml:space="preserve">Rafael Venegas Rodríguez, Anabel Serrano Diaz, Rubén Peña, Raúl Santana, </w:t>
      </w:r>
      <w:proofErr w:type="spellStart"/>
      <w:r w:rsidRPr="00AA7161">
        <w:rPr>
          <w:rFonts w:eastAsia="Calibri"/>
          <w:i/>
          <w:iCs/>
          <w:lang w:val="es-CU" w:eastAsia="en-US"/>
        </w:rPr>
        <w:t>Aliusha</w:t>
      </w:r>
      <w:proofErr w:type="spellEnd"/>
      <w:r w:rsidRPr="00AA7161">
        <w:rPr>
          <w:rFonts w:eastAsia="Calibri"/>
          <w:i/>
          <w:iCs/>
          <w:lang w:val="es-CU" w:eastAsia="en-US"/>
        </w:rPr>
        <w:t xml:space="preserve"> </w:t>
      </w:r>
      <w:proofErr w:type="spellStart"/>
      <w:r w:rsidRPr="00AA7161">
        <w:rPr>
          <w:rFonts w:eastAsia="Calibri"/>
          <w:i/>
          <w:iCs/>
          <w:lang w:val="es-CU" w:eastAsia="en-US"/>
        </w:rPr>
        <w:t>Rittoles</w:t>
      </w:r>
      <w:proofErr w:type="spellEnd"/>
      <w:r w:rsidRPr="00AA7161">
        <w:rPr>
          <w:rFonts w:eastAsia="Calibri"/>
          <w:i/>
          <w:iCs/>
          <w:lang w:val="es-CU" w:eastAsia="en-US"/>
        </w:rPr>
        <w:t xml:space="preserve"> Navarro</w:t>
      </w:r>
      <w:r w:rsidRPr="00AA7161">
        <w:rPr>
          <w:rFonts w:eastAsia="Calibri"/>
          <w:i/>
          <w:iCs/>
          <w:lang w:eastAsia="en-US"/>
        </w:rPr>
        <w:t>,</w:t>
      </w:r>
      <w:r w:rsidRPr="00AA7161">
        <w:rPr>
          <w:rFonts w:eastAsia="Calibri"/>
          <w:i/>
          <w:iCs/>
          <w:lang w:val="es-CU" w:eastAsia="en-US"/>
        </w:rPr>
        <w:t xml:space="preserve"> </w:t>
      </w:r>
      <w:r w:rsidRPr="00AA7161">
        <w:rPr>
          <w:rFonts w:eastAsia="Calibri"/>
          <w:i/>
          <w:iCs/>
          <w:lang w:val="es-ES" w:eastAsia="en-US"/>
        </w:rPr>
        <w:t xml:space="preserve">Inti </w:t>
      </w:r>
      <w:proofErr w:type="spellStart"/>
      <w:r w:rsidRPr="00AA7161">
        <w:rPr>
          <w:rFonts w:eastAsia="Calibri"/>
          <w:i/>
          <w:iCs/>
          <w:lang w:val="es-ES" w:eastAsia="en-US"/>
        </w:rPr>
        <w:t>Grecesqui</w:t>
      </w:r>
      <w:proofErr w:type="spellEnd"/>
      <w:r w:rsidRPr="00AA7161">
        <w:rPr>
          <w:rFonts w:eastAsia="Calibri"/>
          <w:i/>
          <w:iCs/>
          <w:lang w:val="es-ES" w:eastAsia="en-US"/>
        </w:rPr>
        <w:t xml:space="preserve"> Cruz</w:t>
      </w:r>
      <w:r w:rsidRPr="00AA7161">
        <w:rPr>
          <w:rFonts w:eastAsia="Calibri"/>
          <w:i/>
          <w:iCs/>
          <w:lang w:val="es-CU" w:eastAsia="en-US"/>
        </w:rPr>
        <w:t xml:space="preserve">, </w:t>
      </w:r>
      <w:r w:rsidRPr="00AA7161">
        <w:rPr>
          <w:rFonts w:eastAsia="Calibri"/>
          <w:i/>
          <w:iCs/>
          <w:lang w:val="es-ES" w:eastAsia="en-US"/>
        </w:rPr>
        <w:t>Liam Manuel Pérez Aguilera</w:t>
      </w:r>
      <w:r w:rsidRPr="00AA7161">
        <w:rPr>
          <w:rFonts w:eastAsia="Calibri"/>
          <w:i/>
          <w:iCs/>
          <w:lang w:eastAsia="en-US"/>
        </w:rPr>
        <w:t xml:space="preserve">, </w:t>
      </w:r>
      <w:proofErr w:type="spellStart"/>
      <w:r w:rsidRPr="00AA7161">
        <w:rPr>
          <w:rFonts w:eastAsia="Calibri"/>
          <w:i/>
          <w:iCs/>
          <w:lang w:val="es-CU" w:eastAsia="en-US"/>
        </w:rPr>
        <w:t>Anadys</w:t>
      </w:r>
      <w:proofErr w:type="spellEnd"/>
      <w:r w:rsidRPr="00AA7161">
        <w:rPr>
          <w:rFonts w:eastAsia="Calibri"/>
          <w:i/>
          <w:iCs/>
          <w:lang w:val="es-CU" w:eastAsia="en-US"/>
        </w:rPr>
        <w:t xml:space="preserve"> Segura Fernández,</w:t>
      </w:r>
      <w:r w:rsidRPr="00AA7161">
        <w:rPr>
          <w:rFonts w:eastAsia="Calibri"/>
          <w:i/>
          <w:iCs/>
          <w:lang w:eastAsia="en-US"/>
        </w:rPr>
        <w:t xml:space="preserve"> Mabel Hernández Cedeño, </w:t>
      </w:r>
      <w:proofErr w:type="spellStart"/>
      <w:r w:rsidRPr="00AA7161">
        <w:rPr>
          <w:rFonts w:eastAsia="Calibri"/>
          <w:i/>
          <w:iCs/>
          <w:lang w:eastAsia="en-US"/>
        </w:rPr>
        <w:t>Deyli</w:t>
      </w:r>
      <w:proofErr w:type="spellEnd"/>
      <w:r w:rsidRPr="00AA7161">
        <w:rPr>
          <w:rFonts w:eastAsia="Calibri"/>
          <w:i/>
          <w:iCs/>
          <w:lang w:eastAsia="en-US"/>
        </w:rPr>
        <w:t xml:space="preserve"> Chacón Montano, Leticia del Rosario Cruz, Gerardo Guillen Nieto, María del Carmen Domínguez Horta.</w:t>
      </w:r>
    </w:p>
    <w:p w14:paraId="6DBAA584" w14:textId="77777777" w:rsidR="009D6C84" w:rsidRPr="00AA7161" w:rsidRDefault="009D6C84" w:rsidP="009D6C84">
      <w:pPr>
        <w:spacing w:line="360" w:lineRule="auto"/>
        <w:jc w:val="both"/>
        <w:rPr>
          <w:rFonts w:eastAsia="Calibri"/>
          <w:lang w:eastAsia="en-US"/>
        </w:rPr>
      </w:pPr>
      <w:r w:rsidRPr="00AA7161">
        <w:rPr>
          <w:rFonts w:eastAsia="Calibri"/>
          <w:lang w:eastAsia="en-US"/>
        </w:rPr>
        <w:t xml:space="preserve">6. Metodología: </w:t>
      </w:r>
      <w:r w:rsidRPr="00AA7161">
        <w:rPr>
          <w:rFonts w:eastAsia="Calibri"/>
          <w:i/>
          <w:iCs/>
          <w:lang w:eastAsia="en-US"/>
        </w:rPr>
        <w:t>María del Carmen Domínguez Horta, Rafael Venegas Rodríguez, Anabel Serrano Diaz.</w:t>
      </w:r>
    </w:p>
    <w:p w14:paraId="2C6CA7B3" w14:textId="77777777" w:rsidR="009D6C84" w:rsidRPr="00AA7161" w:rsidRDefault="009D6C84" w:rsidP="009D6C84">
      <w:pPr>
        <w:spacing w:line="360" w:lineRule="auto"/>
        <w:jc w:val="both"/>
        <w:rPr>
          <w:rFonts w:eastAsia="Calibri"/>
          <w:lang w:eastAsia="en-US"/>
        </w:rPr>
      </w:pPr>
      <w:r w:rsidRPr="00AA7161">
        <w:rPr>
          <w:rFonts w:eastAsia="Calibri"/>
          <w:lang w:eastAsia="en-US"/>
        </w:rPr>
        <w:t xml:space="preserve">7. Administración del proyecto: </w:t>
      </w:r>
      <w:r w:rsidRPr="00AA7161">
        <w:rPr>
          <w:rFonts w:eastAsia="Calibri"/>
          <w:i/>
          <w:iCs/>
          <w:lang w:eastAsia="en-US"/>
        </w:rPr>
        <w:t xml:space="preserve">María del Carmen Domínguez, Gerardo Guillén, </w:t>
      </w:r>
      <w:proofErr w:type="spellStart"/>
      <w:r w:rsidRPr="00AA7161">
        <w:rPr>
          <w:rFonts w:eastAsia="Calibri"/>
          <w:i/>
          <w:iCs/>
          <w:lang w:eastAsia="en-US"/>
        </w:rPr>
        <w:t>Gillian</w:t>
      </w:r>
      <w:proofErr w:type="spellEnd"/>
      <w:r w:rsidRPr="00AA7161">
        <w:rPr>
          <w:rFonts w:eastAsia="Calibri"/>
          <w:i/>
          <w:iCs/>
          <w:lang w:eastAsia="en-US"/>
        </w:rPr>
        <w:t xml:space="preserve"> Martínez, </w:t>
      </w:r>
      <w:proofErr w:type="spellStart"/>
      <w:r w:rsidRPr="00AA7161">
        <w:rPr>
          <w:rFonts w:eastAsia="Calibri"/>
          <w:i/>
          <w:iCs/>
          <w:lang w:eastAsia="en-US"/>
        </w:rPr>
        <w:t>Deyli</w:t>
      </w:r>
      <w:proofErr w:type="spellEnd"/>
      <w:r w:rsidRPr="00AA7161">
        <w:rPr>
          <w:rFonts w:eastAsia="Calibri"/>
          <w:i/>
          <w:iCs/>
          <w:lang w:eastAsia="en-US"/>
        </w:rPr>
        <w:t xml:space="preserve"> Chacón Montano, Leticia del Rosario Cruz.</w:t>
      </w:r>
    </w:p>
    <w:p w14:paraId="5F6A437C" w14:textId="77777777" w:rsidR="009D6C84" w:rsidRPr="00AA7161" w:rsidRDefault="009D6C84" w:rsidP="009D6C84">
      <w:pPr>
        <w:spacing w:line="360" w:lineRule="auto"/>
        <w:jc w:val="both"/>
        <w:rPr>
          <w:rFonts w:eastAsia="Calibri"/>
          <w:lang w:eastAsia="en-US"/>
        </w:rPr>
      </w:pPr>
      <w:r w:rsidRPr="00AA7161">
        <w:rPr>
          <w:rFonts w:eastAsia="Calibri"/>
          <w:lang w:eastAsia="en-US"/>
        </w:rPr>
        <w:t xml:space="preserve">8. Recursos: </w:t>
      </w:r>
      <w:r w:rsidRPr="00AA7161">
        <w:rPr>
          <w:rFonts w:eastAsia="Calibri"/>
          <w:i/>
          <w:iCs/>
          <w:lang w:eastAsia="en-US"/>
        </w:rPr>
        <w:t xml:space="preserve">Gerardo Guillén, </w:t>
      </w:r>
      <w:proofErr w:type="spellStart"/>
      <w:r w:rsidRPr="00AA7161">
        <w:rPr>
          <w:rFonts w:eastAsia="Calibri"/>
          <w:i/>
          <w:iCs/>
          <w:lang w:eastAsia="en-US"/>
        </w:rPr>
        <w:t>Gillian</w:t>
      </w:r>
      <w:proofErr w:type="spellEnd"/>
      <w:r w:rsidRPr="00AA7161">
        <w:rPr>
          <w:rFonts w:eastAsia="Calibri"/>
          <w:i/>
          <w:iCs/>
          <w:lang w:eastAsia="en-US"/>
        </w:rPr>
        <w:t xml:space="preserve"> Martínez, Leticia Cruz, </w:t>
      </w:r>
      <w:proofErr w:type="spellStart"/>
      <w:r w:rsidRPr="00AA7161">
        <w:rPr>
          <w:rFonts w:eastAsia="Calibri"/>
          <w:i/>
          <w:iCs/>
          <w:lang w:eastAsia="en-US"/>
        </w:rPr>
        <w:t>Deyli</w:t>
      </w:r>
      <w:proofErr w:type="spellEnd"/>
      <w:r w:rsidRPr="00AA7161">
        <w:rPr>
          <w:rFonts w:eastAsia="Calibri"/>
          <w:i/>
          <w:iCs/>
          <w:lang w:eastAsia="en-US"/>
        </w:rPr>
        <w:t xml:space="preserve"> Chacón Montano.</w:t>
      </w:r>
    </w:p>
    <w:p w14:paraId="0AABD480" w14:textId="77777777" w:rsidR="009D6C84" w:rsidRPr="00AA7161" w:rsidRDefault="009D6C84" w:rsidP="009D6C84">
      <w:pPr>
        <w:spacing w:line="360" w:lineRule="auto"/>
        <w:jc w:val="both"/>
        <w:rPr>
          <w:rFonts w:eastAsia="Calibri"/>
          <w:lang w:eastAsia="en-US"/>
        </w:rPr>
      </w:pPr>
      <w:r w:rsidRPr="00AA7161">
        <w:rPr>
          <w:rFonts w:eastAsia="Calibri"/>
          <w:lang w:eastAsia="en-US"/>
        </w:rPr>
        <w:t xml:space="preserve">10. Supervisión: </w:t>
      </w:r>
      <w:r w:rsidRPr="00AA7161">
        <w:rPr>
          <w:rFonts w:eastAsia="Calibri"/>
          <w:i/>
          <w:iCs/>
          <w:lang w:eastAsia="en-US"/>
        </w:rPr>
        <w:t>María del Carmen Domínguez, Rafael Venegas.</w:t>
      </w:r>
      <w:r w:rsidRPr="00AA7161">
        <w:rPr>
          <w:rFonts w:eastAsia="Calibri"/>
          <w:lang w:eastAsia="en-US"/>
        </w:rPr>
        <w:t xml:space="preserve"> </w:t>
      </w:r>
    </w:p>
    <w:p w14:paraId="7D03EDEA" w14:textId="77777777" w:rsidR="009D6C84" w:rsidRPr="00AA7161" w:rsidRDefault="009D6C84" w:rsidP="009D6C84">
      <w:pPr>
        <w:spacing w:line="360" w:lineRule="auto"/>
        <w:jc w:val="both"/>
        <w:rPr>
          <w:rFonts w:eastAsia="Calibri"/>
          <w:lang w:eastAsia="en-US"/>
        </w:rPr>
      </w:pPr>
      <w:r w:rsidRPr="00AA7161">
        <w:rPr>
          <w:rFonts w:eastAsia="Calibri"/>
          <w:lang w:eastAsia="en-US"/>
        </w:rPr>
        <w:t xml:space="preserve">11.Validación: </w:t>
      </w:r>
      <w:r w:rsidRPr="00AA7161">
        <w:rPr>
          <w:rFonts w:eastAsia="Calibri"/>
          <w:i/>
          <w:iCs/>
          <w:lang w:eastAsia="en-US"/>
        </w:rPr>
        <w:t>María del Carmen Domínguez, Anabel Serrano, Rafael Venegas.</w:t>
      </w:r>
    </w:p>
    <w:p w14:paraId="1ACB2BC9" w14:textId="77777777" w:rsidR="009D6C84" w:rsidRPr="00AA7161" w:rsidRDefault="009D6C84" w:rsidP="009D6C84">
      <w:pPr>
        <w:spacing w:line="360" w:lineRule="auto"/>
        <w:jc w:val="both"/>
        <w:rPr>
          <w:rFonts w:eastAsia="Calibri"/>
          <w:lang w:eastAsia="en-US"/>
        </w:rPr>
      </w:pPr>
      <w:r w:rsidRPr="00AA7161">
        <w:rPr>
          <w:rFonts w:eastAsia="Calibri"/>
          <w:lang w:eastAsia="en-US"/>
        </w:rPr>
        <w:t xml:space="preserve">12.Visualización: </w:t>
      </w:r>
      <w:r w:rsidRPr="00AA7161">
        <w:rPr>
          <w:rFonts w:eastAsia="Calibri"/>
          <w:i/>
          <w:iCs/>
          <w:lang w:eastAsia="en-US"/>
        </w:rPr>
        <w:t>María del Carmen Domínguez, Anabel Serrano, Rafael Venegas.</w:t>
      </w:r>
    </w:p>
    <w:p w14:paraId="7F5B8892" w14:textId="77777777" w:rsidR="009D6C84" w:rsidRPr="00AA7161" w:rsidRDefault="009D6C84" w:rsidP="009D6C84">
      <w:pPr>
        <w:spacing w:line="360" w:lineRule="auto"/>
        <w:jc w:val="both"/>
        <w:rPr>
          <w:rFonts w:eastAsia="Calibri"/>
          <w:lang w:eastAsia="en-US"/>
        </w:rPr>
      </w:pPr>
      <w:r w:rsidRPr="00AA7161">
        <w:rPr>
          <w:rFonts w:eastAsia="Calibri"/>
          <w:lang w:eastAsia="en-US"/>
        </w:rPr>
        <w:t xml:space="preserve">13.Redacción – borrador original: </w:t>
      </w:r>
      <w:r w:rsidRPr="00AA7161">
        <w:rPr>
          <w:rFonts w:eastAsia="Calibri"/>
          <w:i/>
          <w:iCs/>
          <w:lang w:eastAsia="en-US"/>
        </w:rPr>
        <w:t>María del Carmen Domínguez, Anabel Serrano, Rafael Venegas.</w:t>
      </w:r>
    </w:p>
    <w:p w14:paraId="75933EF9" w14:textId="77777777" w:rsidR="009D6C84" w:rsidRPr="00AA7161" w:rsidRDefault="009D6C84" w:rsidP="009D6C84">
      <w:pPr>
        <w:spacing w:line="360" w:lineRule="auto"/>
        <w:jc w:val="both"/>
        <w:rPr>
          <w:rFonts w:eastAsia="Calibri"/>
          <w:lang w:eastAsia="en-US"/>
        </w:rPr>
      </w:pPr>
      <w:r w:rsidRPr="00AA7161">
        <w:rPr>
          <w:rFonts w:eastAsia="Calibri"/>
          <w:lang w:eastAsia="en-US"/>
        </w:rPr>
        <w:t xml:space="preserve">14. Redacción – revisión y edición: </w:t>
      </w:r>
      <w:r w:rsidRPr="00AA7161">
        <w:rPr>
          <w:rFonts w:eastAsia="Calibri"/>
          <w:i/>
          <w:iCs/>
          <w:lang w:eastAsia="en-US"/>
        </w:rPr>
        <w:t xml:space="preserve">María del Carmen Domínguez, Anabel Serrano, Rafael Venegas. </w:t>
      </w:r>
    </w:p>
    <w:p w14:paraId="1F7D9752" w14:textId="77777777" w:rsidR="00675476" w:rsidRPr="00AA7161" w:rsidRDefault="00675476" w:rsidP="00391509"/>
    <w:sectPr w:rsidR="00675476" w:rsidRPr="00AA7161" w:rsidSect="007D2D0C">
      <w:headerReference w:type="default" r:id="rId46"/>
      <w:footerReference w:type="even" r:id="rId47"/>
      <w:footerReference w:type="default" r:id="rId48"/>
      <w:pgSz w:w="12242" w:h="15842" w:code="1"/>
      <w:pgMar w:top="1418" w:right="1134" w:bottom="1701" w:left="1134" w:header="1418"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08DBA" w14:textId="77777777" w:rsidR="00F57237" w:rsidRDefault="00F57237">
      <w:r>
        <w:separator/>
      </w:r>
    </w:p>
  </w:endnote>
  <w:endnote w:type="continuationSeparator" w:id="0">
    <w:p w14:paraId="7574D42D" w14:textId="77777777" w:rsidR="00F57237" w:rsidRDefault="00F5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587C" w14:textId="77777777" w:rsidR="00801B4C" w:rsidRDefault="00801B4C"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EF4E3C" w14:textId="77777777" w:rsidR="00801B4C" w:rsidRDefault="00801B4C"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D614" w14:textId="6B342690" w:rsidR="00801B4C" w:rsidRPr="00AE044C" w:rsidRDefault="001635FD" w:rsidP="00391509">
    <w:pPr>
      <w:pStyle w:val="Piedepgina"/>
      <w:ind w:right="360"/>
      <w:rPr>
        <w:sz w:val="22"/>
        <w:szCs w:val="22"/>
      </w:rPr>
    </w:pPr>
    <w:r>
      <w:rPr>
        <w:noProof/>
      </w:rPr>
      <mc:AlternateContent>
        <mc:Choice Requires="wps">
          <w:drawing>
            <wp:anchor distT="0" distB="0" distL="114300" distR="114300" simplePos="0" relativeHeight="251657216" behindDoc="0" locked="0" layoutInCell="1" allowOverlap="1" wp14:anchorId="23DBC3AE" wp14:editId="6337B553">
              <wp:simplePos x="0" y="0"/>
              <wp:positionH relativeFrom="column">
                <wp:posOffset>3810</wp:posOffset>
              </wp:positionH>
              <wp:positionV relativeFrom="paragraph">
                <wp:posOffset>50165</wp:posOffset>
              </wp:positionV>
              <wp:extent cx="6286500" cy="19050"/>
              <wp:effectExtent l="19050" t="1905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10DD08"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EiyAEAAG4DAAAOAAAAZHJzL2Uyb0RvYy54bWysU02P2yAQvVfqf0DcGztRk0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PeogSLIAQAAbgMAAA4AAAAAAAAAAAAA&#10;AAAALgIAAGRycy9lMm9Eb2MueG1sUEsBAi0AFAAGAAgAAAAhAIaAvpPaAAAABQEAAA8AAAAAAAAA&#10;AAAAAAAAIgQAAGRycy9kb3ducmV2LnhtbFBLBQYAAAAABAAEAPMAAAApBQAAAAA=&#10;" strokecolor="blue" strokeweight="2.25pt"/>
          </w:pict>
        </mc:Fallback>
      </mc:AlternateContent>
    </w:r>
  </w:p>
  <w:p w14:paraId="01418354" w14:textId="77777777" w:rsidR="00801B4C" w:rsidRPr="00AE044C" w:rsidRDefault="00801B4C" w:rsidP="00391509">
    <w:pPr>
      <w:pStyle w:val="Piedepgina"/>
      <w:ind w:right="360"/>
      <w:rPr>
        <w:sz w:val="22"/>
        <w:szCs w:val="22"/>
      </w:rPr>
    </w:pPr>
    <w:hyperlink r:id="rId1" w:history="1">
      <w:r w:rsidRPr="00AE044C">
        <w:rPr>
          <w:rStyle w:val="Hipervnculo"/>
          <w:sz w:val="22"/>
          <w:szCs w:val="22"/>
        </w:rPr>
        <w:t>http://scielo.sld.cu</w:t>
      </w:r>
    </w:hyperlink>
  </w:p>
  <w:p w14:paraId="4957DA9F" w14:textId="77777777" w:rsidR="00801B4C" w:rsidRPr="00AE044C" w:rsidRDefault="00801B4C" w:rsidP="00AE044C">
    <w:pPr>
      <w:pStyle w:val="Piedepgina"/>
      <w:tabs>
        <w:tab w:val="clear" w:pos="4252"/>
        <w:tab w:val="left" w:pos="8504"/>
      </w:tabs>
      <w:ind w:right="360"/>
      <w:rPr>
        <w:sz w:val="22"/>
        <w:szCs w:val="22"/>
      </w:rPr>
    </w:pPr>
    <w:hyperlink r:id="rId2" w:history="1">
      <w:r w:rsidRPr="00AE044C">
        <w:rPr>
          <w:rStyle w:val="Hipervnculo"/>
          <w:sz w:val="22"/>
          <w:szCs w:val="22"/>
        </w:rPr>
        <w:t>http://www.revmedmilitar.sld.cu</w:t>
      </w:r>
    </w:hyperlink>
    <w:r w:rsidRPr="00AE044C">
      <w:rPr>
        <w:sz w:val="22"/>
        <w:szCs w:val="22"/>
      </w:rPr>
      <w:t xml:space="preserve"> </w:t>
    </w:r>
    <w:r>
      <w:rPr>
        <w:sz w:val="22"/>
        <w:szCs w:val="22"/>
      </w:rPr>
      <w:tab/>
    </w:r>
  </w:p>
  <w:p w14:paraId="4A6AECF0" w14:textId="1D765681" w:rsidR="00801B4C" w:rsidRPr="00CC376A" w:rsidRDefault="00801B4C"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1635FD" w:rsidRPr="009D6C84">
      <w:rPr>
        <w:rFonts w:ascii="Verdana" w:hAnsi="Verdana"/>
        <w:noProof/>
        <w:sz w:val="18"/>
        <w:szCs w:val="18"/>
        <w:lang w:val="en-US" w:eastAsia="en-US"/>
      </w:rPr>
      <w:drawing>
        <wp:inline distT="0" distB="0" distL="0" distR="0" wp14:anchorId="40EEA089" wp14:editId="139A31D4">
          <wp:extent cx="638175" cy="152400"/>
          <wp:effectExtent l="0" t="0" r="0" b="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3A39B" w14:textId="77777777" w:rsidR="00F57237" w:rsidRDefault="00F57237">
      <w:r>
        <w:separator/>
      </w:r>
    </w:p>
  </w:footnote>
  <w:footnote w:type="continuationSeparator" w:id="0">
    <w:p w14:paraId="70E8153E" w14:textId="77777777" w:rsidR="00F57237" w:rsidRDefault="00F57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8DE1" w14:textId="5EC4A4DF" w:rsidR="00801B4C" w:rsidRPr="00AE044C" w:rsidRDefault="00801B4C" w:rsidP="00180CE9">
    <w:pPr>
      <w:pStyle w:val="Encabezado"/>
      <w:tabs>
        <w:tab w:val="left" w:pos="420"/>
      </w:tabs>
      <w:jc w:val="center"/>
      <w:rPr>
        <w:sz w:val="22"/>
        <w:szCs w:val="22"/>
      </w:rPr>
    </w:pPr>
    <w:r w:rsidRPr="00AE044C">
      <w:rPr>
        <w:sz w:val="22"/>
        <w:szCs w:val="22"/>
      </w:rPr>
      <w:t xml:space="preserve">Revista Cubana de Medicina Militar. </w:t>
    </w:r>
    <w:r>
      <w:rPr>
        <w:sz w:val="22"/>
        <w:szCs w:val="22"/>
      </w:rPr>
      <w:t>2021;50</w:t>
    </w:r>
    <w:r w:rsidRPr="00AE044C">
      <w:rPr>
        <w:sz w:val="22"/>
        <w:szCs w:val="22"/>
      </w:rPr>
      <w:t>(</w:t>
    </w:r>
    <w:r>
      <w:rPr>
        <w:sz w:val="22"/>
        <w:szCs w:val="22"/>
      </w:rPr>
      <w:t>4</w:t>
    </w:r>
    <w:r w:rsidRPr="00AE044C">
      <w:rPr>
        <w:sz w:val="22"/>
        <w:szCs w:val="22"/>
      </w:rPr>
      <w:t>):</w:t>
    </w:r>
    <w:r>
      <w:rPr>
        <w:sz w:val="22"/>
        <w:szCs w:val="22"/>
      </w:rPr>
      <w:t xml:space="preserve"> </w:t>
    </w:r>
    <w:r w:rsidR="001635FD">
      <w:rPr>
        <w:noProof/>
      </w:rPr>
      <w:drawing>
        <wp:anchor distT="0" distB="0" distL="114300" distR="114300" simplePos="0" relativeHeight="251658240" behindDoc="0" locked="0" layoutInCell="1" allowOverlap="1" wp14:anchorId="0006F6FA" wp14:editId="548DCB7F">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e02101675</w:t>
    </w:r>
  </w:p>
  <w:p w14:paraId="7B8AF56F" w14:textId="64D97820" w:rsidR="00801B4C" w:rsidRDefault="001635FD">
    <w:r>
      <w:rPr>
        <w:noProof/>
      </w:rPr>
      <mc:AlternateContent>
        <mc:Choice Requires="wps">
          <w:drawing>
            <wp:anchor distT="0" distB="0" distL="114300" distR="114300" simplePos="0" relativeHeight="251655168" behindDoc="0" locked="0" layoutInCell="1" allowOverlap="1" wp14:anchorId="263D9722" wp14:editId="28BFE5A3">
              <wp:simplePos x="0" y="0"/>
              <wp:positionH relativeFrom="column">
                <wp:posOffset>635</wp:posOffset>
              </wp:positionH>
              <wp:positionV relativeFrom="paragraph">
                <wp:posOffset>42545</wp:posOffset>
              </wp:positionV>
              <wp:extent cx="6307455" cy="28575"/>
              <wp:effectExtent l="19050" t="19050" r="17145" b="952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66017B"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DZT1Du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5C2E"/>
    <w:multiLevelType w:val="hybridMultilevel"/>
    <w:tmpl w:val="D9A2D6F2"/>
    <w:lvl w:ilvl="0" w:tplc="880A627E">
      <w:start w:val="7"/>
      <w:numFmt w:val="bullet"/>
      <w:lvlText w:val=""/>
      <w:lvlJc w:val="left"/>
      <w:pPr>
        <w:ind w:left="720" w:hanging="360"/>
      </w:pPr>
      <w:rPr>
        <w:rFonts w:ascii="Symbol" w:eastAsia="Calibri" w:hAnsi="Symbol" w:cs="Times New Roman"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69858A4"/>
    <w:multiLevelType w:val="hybridMultilevel"/>
    <w:tmpl w:val="F4EE158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D0695"/>
    <w:multiLevelType w:val="multilevel"/>
    <w:tmpl w:val="66FE9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123198"/>
    <w:multiLevelType w:val="hybridMultilevel"/>
    <w:tmpl w:val="C3DEB9A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7F1074F"/>
    <w:multiLevelType w:val="hybridMultilevel"/>
    <w:tmpl w:val="437697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7B51B19"/>
    <w:multiLevelType w:val="multilevel"/>
    <w:tmpl w:val="7AE2CF76"/>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84"/>
    <w:rsid w:val="000F3690"/>
    <w:rsid w:val="001221D1"/>
    <w:rsid w:val="001635FD"/>
    <w:rsid w:val="00180CE9"/>
    <w:rsid w:val="00230DD5"/>
    <w:rsid w:val="00242FDF"/>
    <w:rsid w:val="00263DFD"/>
    <w:rsid w:val="00380D64"/>
    <w:rsid w:val="00391509"/>
    <w:rsid w:val="003E03D5"/>
    <w:rsid w:val="003E77B7"/>
    <w:rsid w:val="00486BFA"/>
    <w:rsid w:val="00493701"/>
    <w:rsid w:val="004C34A1"/>
    <w:rsid w:val="004E2065"/>
    <w:rsid w:val="005060B8"/>
    <w:rsid w:val="005508A2"/>
    <w:rsid w:val="00566F71"/>
    <w:rsid w:val="005918BD"/>
    <w:rsid w:val="005F707A"/>
    <w:rsid w:val="006173A6"/>
    <w:rsid w:val="00675476"/>
    <w:rsid w:val="007030F8"/>
    <w:rsid w:val="007753B7"/>
    <w:rsid w:val="007B47FE"/>
    <w:rsid w:val="007C430F"/>
    <w:rsid w:val="007D2D0C"/>
    <w:rsid w:val="007D614D"/>
    <w:rsid w:val="00801B4C"/>
    <w:rsid w:val="008126D4"/>
    <w:rsid w:val="00813A68"/>
    <w:rsid w:val="00883E27"/>
    <w:rsid w:val="008C37F8"/>
    <w:rsid w:val="008E00CB"/>
    <w:rsid w:val="00905405"/>
    <w:rsid w:val="0094610E"/>
    <w:rsid w:val="00960D6A"/>
    <w:rsid w:val="009A0560"/>
    <w:rsid w:val="009B0917"/>
    <w:rsid w:val="009D6C84"/>
    <w:rsid w:val="00A23C0C"/>
    <w:rsid w:val="00A477DE"/>
    <w:rsid w:val="00A71E65"/>
    <w:rsid w:val="00AA61E6"/>
    <w:rsid w:val="00AA7161"/>
    <w:rsid w:val="00AE044C"/>
    <w:rsid w:val="00B31971"/>
    <w:rsid w:val="00B4380A"/>
    <w:rsid w:val="00B4618C"/>
    <w:rsid w:val="00B66ECB"/>
    <w:rsid w:val="00C124A4"/>
    <w:rsid w:val="00C7104D"/>
    <w:rsid w:val="00C7523A"/>
    <w:rsid w:val="00CB6D08"/>
    <w:rsid w:val="00CC1B6E"/>
    <w:rsid w:val="00CC376A"/>
    <w:rsid w:val="00CC48A1"/>
    <w:rsid w:val="00CF50E0"/>
    <w:rsid w:val="00D85951"/>
    <w:rsid w:val="00DE3EB1"/>
    <w:rsid w:val="00E00C87"/>
    <w:rsid w:val="00E62606"/>
    <w:rsid w:val="00EC5A6B"/>
    <w:rsid w:val="00F57237"/>
    <w:rsid w:val="00FA021E"/>
    <w:rsid w:val="00FB45B4"/>
    <w:rsid w:val="00FC417A"/>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D03E7"/>
  <w15:docId w15:val="{3B523A53-204F-4E48-BE25-4807264F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D6C84"/>
  </w:style>
  <w:style w:type="paragraph" w:styleId="Prrafodelista">
    <w:name w:val="List Paragraph"/>
    <w:basedOn w:val="Normal"/>
    <w:uiPriority w:val="34"/>
    <w:qFormat/>
    <w:rsid w:val="009D6C84"/>
    <w:pPr>
      <w:ind w:left="720"/>
      <w:contextualSpacing/>
    </w:pPr>
    <w:rPr>
      <w:sz w:val="20"/>
      <w:szCs w:val="20"/>
      <w:lang w:val="en-US" w:eastAsia="en-US"/>
    </w:rPr>
  </w:style>
  <w:style w:type="paragraph" w:customStyle="1" w:styleId="Textonotaalfinal1">
    <w:name w:val="Texto nota al final1"/>
    <w:basedOn w:val="Normal"/>
    <w:next w:val="Textonotaalfinal"/>
    <w:link w:val="TextonotaalfinalCar"/>
    <w:uiPriority w:val="99"/>
    <w:unhideWhenUsed/>
    <w:rsid w:val="009D6C84"/>
    <w:rPr>
      <w:sz w:val="20"/>
      <w:szCs w:val="20"/>
      <w:lang w:val="es-CU" w:eastAsia="es-CU"/>
    </w:rPr>
  </w:style>
  <w:style w:type="character" w:customStyle="1" w:styleId="TextonotaalfinalCar">
    <w:name w:val="Texto nota al final Car"/>
    <w:link w:val="Textonotaalfinal1"/>
    <w:uiPriority w:val="99"/>
    <w:rsid w:val="009D6C84"/>
    <w:rPr>
      <w:sz w:val="20"/>
      <w:szCs w:val="20"/>
    </w:rPr>
  </w:style>
  <w:style w:type="character" w:styleId="Refdenotaalfinal">
    <w:name w:val="endnote reference"/>
    <w:uiPriority w:val="99"/>
    <w:unhideWhenUsed/>
    <w:rsid w:val="009D6C84"/>
    <w:rPr>
      <w:vertAlign w:val="superscript"/>
    </w:rPr>
  </w:style>
  <w:style w:type="paragraph" w:customStyle="1" w:styleId="EndnoteText1">
    <w:name w:val="Endnote Text1"/>
    <w:basedOn w:val="Normal"/>
    <w:uiPriority w:val="99"/>
    <w:rsid w:val="009D6C84"/>
    <w:rPr>
      <w:rFonts w:ascii="Calibri" w:hAnsi="Calibri"/>
      <w:sz w:val="20"/>
      <w:szCs w:val="22"/>
      <w:lang w:val="en-US" w:eastAsia="en-US"/>
    </w:rPr>
  </w:style>
  <w:style w:type="character" w:styleId="Refdecomentario">
    <w:name w:val="annotation reference"/>
    <w:uiPriority w:val="99"/>
    <w:semiHidden/>
    <w:unhideWhenUsed/>
    <w:rsid w:val="009D6C84"/>
    <w:rPr>
      <w:sz w:val="16"/>
      <w:szCs w:val="16"/>
    </w:rPr>
  </w:style>
  <w:style w:type="paragraph" w:customStyle="1" w:styleId="Textocomentario1">
    <w:name w:val="Texto comentario1"/>
    <w:basedOn w:val="Normal"/>
    <w:next w:val="Textocomentario"/>
    <w:link w:val="TextocomentarioCar"/>
    <w:uiPriority w:val="99"/>
    <w:unhideWhenUsed/>
    <w:qFormat/>
    <w:rsid w:val="009D6C84"/>
    <w:pPr>
      <w:spacing w:after="200"/>
    </w:pPr>
    <w:rPr>
      <w:sz w:val="20"/>
      <w:szCs w:val="20"/>
      <w:lang w:val="es-ES" w:eastAsia="es-CU"/>
    </w:rPr>
  </w:style>
  <w:style w:type="character" w:customStyle="1" w:styleId="TextocomentarioCar">
    <w:name w:val="Texto comentario Car"/>
    <w:link w:val="Textocomentario1"/>
    <w:uiPriority w:val="99"/>
    <w:qFormat/>
    <w:rsid w:val="009D6C84"/>
    <w:rPr>
      <w:sz w:val="20"/>
      <w:szCs w:val="20"/>
      <w:lang w:val="es-ES"/>
    </w:rPr>
  </w:style>
  <w:style w:type="paragraph" w:customStyle="1" w:styleId="source">
    <w:name w:val="source"/>
    <w:basedOn w:val="Normal"/>
    <w:rsid w:val="009D6C84"/>
    <w:pPr>
      <w:spacing w:before="100" w:beforeAutospacing="1" w:after="100" w:afterAutospacing="1"/>
    </w:pPr>
    <w:rPr>
      <w:lang w:val="en-US" w:eastAsia="en-US"/>
    </w:rPr>
  </w:style>
  <w:style w:type="paragraph" w:customStyle="1" w:styleId="last-updated">
    <w:name w:val="last-updated"/>
    <w:basedOn w:val="Normal"/>
    <w:rsid w:val="009D6C84"/>
    <w:pPr>
      <w:spacing w:before="100" w:beforeAutospacing="1" w:after="100" w:afterAutospacing="1"/>
    </w:pPr>
    <w:rPr>
      <w:lang w:val="en-US" w:eastAsia="en-US"/>
    </w:rPr>
  </w:style>
  <w:style w:type="character" w:customStyle="1" w:styleId="last-updated--date">
    <w:name w:val="last-updated--date"/>
    <w:basedOn w:val="Fuentedeprrafopredeter"/>
    <w:rsid w:val="009D6C84"/>
  </w:style>
  <w:style w:type="paragraph" w:customStyle="1" w:styleId="Default">
    <w:name w:val="Default"/>
    <w:rsid w:val="009D6C84"/>
    <w:pPr>
      <w:autoSpaceDE w:val="0"/>
      <w:autoSpaceDN w:val="0"/>
      <w:adjustRightInd w:val="0"/>
    </w:pPr>
    <w:rPr>
      <w:rFonts w:eastAsia="Calibri"/>
      <w:color w:val="000000"/>
      <w:sz w:val="24"/>
      <w:szCs w:val="24"/>
      <w:lang w:val="en-US" w:eastAsia="en-US"/>
    </w:rPr>
  </w:style>
  <w:style w:type="character" w:customStyle="1" w:styleId="Hipervnculovisitado1">
    <w:name w:val="Hipervínculo visitado1"/>
    <w:uiPriority w:val="99"/>
    <w:semiHidden/>
    <w:unhideWhenUsed/>
    <w:rsid w:val="009D6C84"/>
    <w:rPr>
      <w:color w:val="800080"/>
      <w:u w:val="single"/>
    </w:rPr>
  </w:style>
  <w:style w:type="paragraph" w:styleId="Textocomentario">
    <w:name w:val="annotation text"/>
    <w:basedOn w:val="Normal"/>
    <w:link w:val="TextocomentarioCar1"/>
    <w:semiHidden/>
    <w:unhideWhenUsed/>
    <w:rsid w:val="009D6C84"/>
    <w:rPr>
      <w:sz w:val="20"/>
      <w:szCs w:val="20"/>
    </w:rPr>
  </w:style>
  <w:style w:type="character" w:customStyle="1" w:styleId="TextocomentarioCar1">
    <w:name w:val="Texto comentario Car1"/>
    <w:basedOn w:val="Fuentedeprrafopredeter"/>
    <w:link w:val="Textocomentario"/>
    <w:semiHidden/>
    <w:rsid w:val="009D6C84"/>
    <w:rPr>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9D6C84"/>
    <w:rPr>
      <w:b/>
      <w:bCs/>
      <w:lang w:val="en-US" w:eastAsia="en-US"/>
    </w:rPr>
  </w:style>
  <w:style w:type="character" w:customStyle="1" w:styleId="AsuntodelcomentarioCar">
    <w:name w:val="Asunto del comentario Car"/>
    <w:basedOn w:val="TextocomentarioCar1"/>
    <w:link w:val="Asuntodelcomentario"/>
    <w:uiPriority w:val="99"/>
    <w:semiHidden/>
    <w:rsid w:val="009D6C84"/>
    <w:rPr>
      <w:b/>
      <w:bCs/>
      <w:lang w:val="en-US" w:eastAsia="en-US"/>
    </w:rPr>
  </w:style>
  <w:style w:type="paragraph" w:styleId="Revisin">
    <w:name w:val="Revision"/>
    <w:hidden/>
    <w:uiPriority w:val="99"/>
    <w:semiHidden/>
    <w:rsid w:val="009D6C84"/>
    <w:rPr>
      <w:lang w:val="en-US" w:eastAsia="en-US"/>
    </w:rPr>
  </w:style>
  <w:style w:type="table" w:customStyle="1" w:styleId="Tablanormal21">
    <w:name w:val="Tabla normal 21"/>
    <w:basedOn w:val="Tablanormal"/>
    <w:uiPriority w:val="42"/>
    <w:rsid w:val="009D6C84"/>
    <w:rPr>
      <w:rFonts w:ascii="Calibri" w:eastAsia="Calibri" w:hAnsi="Calibri"/>
      <w:sz w:val="22"/>
      <w:szCs w:val="22"/>
      <w:lang w:val="es-SV"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Cuadrculaclara-nfasis31">
    <w:name w:val="Cuadrícula clara - Énfasis 31"/>
    <w:basedOn w:val="Tablanormal"/>
    <w:next w:val="Cuadrculaclara-nfasis3"/>
    <w:uiPriority w:val="62"/>
    <w:rsid w:val="009D6C84"/>
    <w:rPr>
      <w:rFonts w:ascii="Calibri" w:eastAsia="Calibri" w:hAnsi="Calibri"/>
      <w:sz w:val="22"/>
      <w:szCs w:val="22"/>
      <w:lang w:val="es-SV"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Cuadrculaclara-nfasis32">
    <w:name w:val="Cuadrícula clara - Énfasis 32"/>
    <w:basedOn w:val="Tablanormal"/>
    <w:next w:val="Cuadrculaclara-nfasis3"/>
    <w:uiPriority w:val="62"/>
    <w:rsid w:val="009D6C84"/>
    <w:rPr>
      <w:rFonts w:ascii="Calibri" w:eastAsia="Calibri" w:hAnsi="Calibri"/>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Cuadrculaclara-nfasis321">
    <w:name w:val="Cuadrícula clara - Énfasis 321"/>
    <w:basedOn w:val="Tablanormal"/>
    <w:next w:val="Cuadrculaclara-nfasis3"/>
    <w:uiPriority w:val="62"/>
    <w:rsid w:val="009D6C84"/>
    <w:rPr>
      <w:rFonts w:ascii="Calibri" w:eastAsia="Calibri" w:hAnsi="Calibri"/>
      <w:sz w:val="22"/>
      <w:szCs w:val="22"/>
      <w:lang w:val="es-SV"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Textosinformato">
    <w:name w:val="Plain Text"/>
    <w:basedOn w:val="Normal"/>
    <w:link w:val="TextosinformatoCar"/>
    <w:uiPriority w:val="99"/>
    <w:semiHidden/>
    <w:unhideWhenUsed/>
    <w:rsid w:val="009D6C84"/>
    <w:rPr>
      <w:rFonts w:ascii="Consolas" w:hAnsi="Consolas"/>
      <w:sz w:val="21"/>
      <w:szCs w:val="21"/>
      <w:lang w:val="en-US" w:eastAsia="en-US"/>
    </w:rPr>
  </w:style>
  <w:style w:type="character" w:customStyle="1" w:styleId="TextosinformatoCar">
    <w:name w:val="Texto sin formato Car"/>
    <w:basedOn w:val="Fuentedeprrafopredeter"/>
    <w:link w:val="Textosinformato"/>
    <w:uiPriority w:val="99"/>
    <w:semiHidden/>
    <w:rsid w:val="009D6C84"/>
    <w:rPr>
      <w:rFonts w:ascii="Consolas" w:hAnsi="Consolas"/>
      <w:sz w:val="21"/>
      <w:szCs w:val="21"/>
      <w:lang w:val="en-US" w:eastAsia="en-US"/>
    </w:rPr>
  </w:style>
  <w:style w:type="character" w:customStyle="1" w:styleId="orcid-id-https2">
    <w:name w:val="orcid-id-https2"/>
    <w:rsid w:val="009D6C84"/>
    <w:rPr>
      <w:sz w:val="18"/>
      <w:szCs w:val="18"/>
    </w:rPr>
  </w:style>
  <w:style w:type="paragraph" w:customStyle="1" w:styleId="n2">
    <w:name w:val="n2"/>
    <w:basedOn w:val="Normal"/>
    <w:rsid w:val="009D6C84"/>
    <w:pPr>
      <w:spacing w:before="100" w:beforeAutospacing="1" w:after="100" w:afterAutospacing="1"/>
    </w:pPr>
    <w:rPr>
      <w:lang w:val="es-CU" w:eastAsia="es-CU"/>
    </w:rPr>
  </w:style>
  <w:style w:type="character" w:styleId="nfasis">
    <w:name w:val="Emphasis"/>
    <w:uiPriority w:val="20"/>
    <w:qFormat/>
    <w:rsid w:val="009D6C84"/>
    <w:rPr>
      <w:i/>
      <w:iCs/>
    </w:rPr>
  </w:style>
  <w:style w:type="paragraph" w:customStyle="1" w:styleId="j">
    <w:name w:val="j"/>
    <w:basedOn w:val="Normal"/>
    <w:rsid w:val="009D6C84"/>
    <w:pPr>
      <w:spacing w:before="100" w:beforeAutospacing="1" w:after="100" w:afterAutospacing="1"/>
    </w:pPr>
    <w:rPr>
      <w:lang w:val="es-CU" w:eastAsia="es-CU"/>
    </w:rPr>
  </w:style>
  <w:style w:type="character" w:customStyle="1" w:styleId="nacep">
    <w:name w:val="n_acep"/>
    <w:basedOn w:val="Fuentedeprrafopredeter"/>
    <w:rsid w:val="009D6C84"/>
  </w:style>
  <w:style w:type="paragraph" w:customStyle="1" w:styleId="j2">
    <w:name w:val="j2"/>
    <w:basedOn w:val="Normal"/>
    <w:rsid w:val="009D6C84"/>
    <w:pPr>
      <w:spacing w:before="100" w:beforeAutospacing="1" w:after="100" w:afterAutospacing="1"/>
    </w:pPr>
    <w:rPr>
      <w:lang w:val="es-CU" w:eastAsia="es-CU"/>
    </w:rPr>
  </w:style>
  <w:style w:type="character" w:customStyle="1" w:styleId="h">
    <w:name w:val="h"/>
    <w:basedOn w:val="Fuentedeprrafopredeter"/>
    <w:rsid w:val="009D6C84"/>
  </w:style>
  <w:style w:type="character" w:customStyle="1" w:styleId="Mencinsinresolver1">
    <w:name w:val="Mención sin resolver1"/>
    <w:uiPriority w:val="99"/>
    <w:semiHidden/>
    <w:unhideWhenUsed/>
    <w:rsid w:val="009D6C84"/>
    <w:rPr>
      <w:color w:val="605E5C"/>
      <w:shd w:val="clear" w:color="auto" w:fill="E1DFDD"/>
    </w:rPr>
  </w:style>
  <w:style w:type="character" w:customStyle="1" w:styleId="Mencinsinresolver2">
    <w:name w:val="Mención sin resolver2"/>
    <w:uiPriority w:val="99"/>
    <w:semiHidden/>
    <w:unhideWhenUsed/>
    <w:rsid w:val="009D6C84"/>
    <w:rPr>
      <w:color w:val="605E5C"/>
      <w:shd w:val="clear" w:color="auto" w:fill="E1DFDD"/>
    </w:rPr>
  </w:style>
  <w:style w:type="table" w:customStyle="1" w:styleId="Tablaconcuadrcula1">
    <w:name w:val="Tabla con cuadrícula1"/>
    <w:basedOn w:val="Tablanormal"/>
    <w:next w:val="Tablaconcuadrcula"/>
    <w:uiPriority w:val="59"/>
    <w:unhideWhenUsed/>
    <w:rsid w:val="009D6C8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uiPriority w:val="99"/>
    <w:semiHidden/>
    <w:unhideWhenUsed/>
    <w:rsid w:val="009D6C84"/>
    <w:rPr>
      <w:color w:val="605E5C"/>
      <w:shd w:val="clear" w:color="auto" w:fill="E1DFDD"/>
    </w:rPr>
  </w:style>
  <w:style w:type="paragraph" w:styleId="Textonotaalfinal">
    <w:name w:val="endnote text"/>
    <w:basedOn w:val="Normal"/>
    <w:link w:val="TextonotaalfinalCar1"/>
    <w:semiHidden/>
    <w:unhideWhenUsed/>
    <w:rsid w:val="009D6C84"/>
    <w:rPr>
      <w:sz w:val="20"/>
      <w:szCs w:val="20"/>
    </w:rPr>
  </w:style>
  <w:style w:type="character" w:customStyle="1" w:styleId="TextonotaalfinalCar1">
    <w:name w:val="Texto nota al final Car1"/>
    <w:basedOn w:val="Fuentedeprrafopredeter"/>
    <w:link w:val="Textonotaalfinal"/>
    <w:semiHidden/>
    <w:rsid w:val="009D6C84"/>
    <w:rPr>
      <w:lang w:val="es-ES_tradnl" w:eastAsia="es-ES_tradnl"/>
    </w:rPr>
  </w:style>
  <w:style w:type="character" w:styleId="Hipervnculovisitado">
    <w:name w:val="FollowedHyperlink"/>
    <w:basedOn w:val="Fuentedeprrafopredeter"/>
    <w:semiHidden/>
    <w:unhideWhenUsed/>
    <w:rsid w:val="009D6C84"/>
    <w:rPr>
      <w:color w:val="800080" w:themeColor="followedHyperlink"/>
      <w:u w:val="single"/>
    </w:rPr>
  </w:style>
  <w:style w:type="table" w:styleId="Cuadrculaclara-nfasis3">
    <w:name w:val="Light Grid Accent 3"/>
    <w:basedOn w:val="Tablanormal"/>
    <w:uiPriority w:val="62"/>
    <w:semiHidden/>
    <w:unhideWhenUsed/>
    <w:rsid w:val="009D6C8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0883-4475" TargetMode="External"/><Relationship Id="rId18" Type="http://schemas.openxmlformats.org/officeDocument/2006/relationships/hyperlink" Target="https://orcid.org/0000-0002-7797-4255" TargetMode="External"/><Relationship Id="rId26" Type="http://schemas.openxmlformats.org/officeDocument/2006/relationships/hyperlink" Target="https://www.euro.who.int/en/health-topics/health-emergencies/coronavirus-covid-19/novel-coronavirus-2019-ncov" TargetMode="External"/><Relationship Id="rId39" Type="http://schemas.openxmlformats.org/officeDocument/2006/relationships/hyperlink" Target="https://pubmed.ncbi.nlm.nih.gov/24141714/" TargetMode="External"/><Relationship Id="rId3" Type="http://schemas.openxmlformats.org/officeDocument/2006/relationships/settings" Target="settings.xml"/><Relationship Id="rId21" Type="http://schemas.openxmlformats.org/officeDocument/2006/relationships/hyperlink" Target="mailto:mcarmen.dominguez@cigb.edu.cu" TargetMode="External"/><Relationship Id="rId34" Type="http://schemas.openxmlformats.org/officeDocument/2006/relationships/hyperlink" Target="https://salud.msp.gob.cu/parte-de-cierre-del-dia-30-de-septiembre-a-las-12-de-la-noche" TargetMode="External"/><Relationship Id="rId42" Type="http://schemas.openxmlformats.org/officeDocument/2006/relationships/hyperlink" Target="https://www.cecmed.cu/sites/default/files/adjuntos/Reglamentacion/reg_4507_requerimientos_para_la_notificacion_y_el_reporte_de_eventos_adversos_graves_e_inesperados_en_los_ensayos_clinicos.pdf"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s://orcid.org/0000-0001-5956-6672" TargetMode="External"/><Relationship Id="rId12" Type="http://schemas.openxmlformats.org/officeDocument/2006/relationships/hyperlink" Target="https://orcid.org/0000-0001-6333-1622" TargetMode="External"/><Relationship Id="rId17" Type="http://schemas.openxmlformats.org/officeDocument/2006/relationships/hyperlink" Target="https://orcid.org/0000-0002-9208-0874" TargetMode="External"/><Relationship Id="rId25" Type="http://schemas.openxmlformats.org/officeDocument/2006/relationships/image" Target="media/image4.png"/><Relationship Id="rId33" Type="http://schemas.openxmlformats.org/officeDocument/2006/relationships/hyperlink" Target="https://salud.msp.gob.cu/parte-de-cierre-del-dia-31-de-marzo-a-las-12-de-la-noche" TargetMode="External"/><Relationship Id="rId38" Type="http://schemas.openxmlformats.org/officeDocument/2006/relationships/hyperlink" Target="https://www.researchgate.net/profile/Mabel-Hernandez-Cedeno-2/publication/344405147_CIGB-258_Immunomodulatory_Peptide_Compassionate_Use_for_Critical_and_Severe_COVID-19_Patients/links/5f71f94792851c14bc9b2261/CIGB-258-Immunomodulatory-Peptide-Compassionate-Use-for-Critical-and-Severe-COVID-19-Patients.pdf"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orcid.org/0000-0002-7863-4586" TargetMode="External"/><Relationship Id="rId20" Type="http://schemas.openxmlformats.org/officeDocument/2006/relationships/hyperlink" Target="https://orcid.org/0000-0002-0616-7376" TargetMode="External"/><Relationship Id="rId29" Type="http://schemas.openxmlformats.org/officeDocument/2006/relationships/hyperlink" Target="https://onlinelibrary.wiley.com/doi/10.1111/jth.14768" TargetMode="External"/><Relationship Id="rId41" Type="http://schemas.openxmlformats.org/officeDocument/2006/relationships/hyperlink" Target="http://intensivo.sochipe.cl/subidos/catalogo3/ARDSdefinition.JAMA.201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1331-9021" TargetMode="External"/><Relationship Id="rId24" Type="http://schemas.openxmlformats.org/officeDocument/2006/relationships/image" Target="media/image3.gif"/><Relationship Id="rId32" Type="http://schemas.openxmlformats.org/officeDocument/2006/relationships/hyperlink" Target="https://www.cecmed.cu/covid-19/aprobaciones/jusvinza-cigb-258-1" TargetMode="External"/><Relationship Id="rId37" Type="http://schemas.openxmlformats.org/officeDocument/2006/relationships/hyperlink" Target="http://revmedmilitar.sld.cu/index.php/mil/article/view/926/625" TargetMode="External"/><Relationship Id="rId40" Type="http://schemas.openxmlformats.org/officeDocument/2006/relationships/hyperlink" Target="https://files.sld.cu/editorhome/files/2020/05/MINSAP_Protocolo-de-Actuaci&#243;n-Nacional-para-la-COVID-19_versi&#243;n-1.6_mayo-2020.pdf" TargetMode="External"/><Relationship Id="rId45" Type="http://schemas.openxmlformats.org/officeDocument/2006/relationships/hyperlink" Target="https://doi.org/j.thromres.2020.04.013" TargetMode="External"/><Relationship Id="rId5" Type="http://schemas.openxmlformats.org/officeDocument/2006/relationships/footnotes" Target="footnotes.xml"/><Relationship Id="rId15" Type="http://schemas.openxmlformats.org/officeDocument/2006/relationships/hyperlink" Target="https://orcid.org/0000-0002-6162-7160" TargetMode="External"/><Relationship Id="rId23" Type="http://schemas.openxmlformats.org/officeDocument/2006/relationships/image" Target="media/image2.gif"/><Relationship Id="rId28" Type="http://schemas.openxmlformats.org/officeDocument/2006/relationships/hyperlink" Target="https://covid19.conacyt.mx/jspui/bitstream/1000/1079/1/105281.pdf" TargetMode="External"/><Relationship Id="rId36" Type="http://schemas.openxmlformats.org/officeDocument/2006/relationships/hyperlink" Target="https://doi.org/10.1016/j.jpba.2017.05.030" TargetMode="External"/><Relationship Id="rId49" Type="http://schemas.openxmlformats.org/officeDocument/2006/relationships/fontTable" Target="fontTable.xml"/><Relationship Id="rId10" Type="http://schemas.openxmlformats.org/officeDocument/2006/relationships/hyperlink" Target="https://orcid.org/0000-0002-5761-1393" TargetMode="External"/><Relationship Id="rId19" Type="http://schemas.openxmlformats.org/officeDocument/2006/relationships/hyperlink" Target="https://orcid.org/0000-0003-3098-0970" TargetMode="External"/><Relationship Id="rId31" Type="http://schemas.openxmlformats.org/officeDocument/2006/relationships/hyperlink" Target="https://doi.org/10.1016/j.ejim.2020.05.009" TargetMode="External"/><Relationship Id="rId44" Type="http://schemas.openxmlformats.org/officeDocument/2006/relationships/hyperlink" Target="https://doi.org/10.1016/S0140-6736(20)30937-5" TargetMode="External"/><Relationship Id="rId4" Type="http://schemas.openxmlformats.org/officeDocument/2006/relationships/webSettings" Target="webSettings.xml"/><Relationship Id="rId9" Type="http://schemas.openxmlformats.org/officeDocument/2006/relationships/hyperlink" Target="https://orcid.org/0000-0002-4204-1084" TargetMode="External"/><Relationship Id="rId14" Type="http://schemas.openxmlformats.org/officeDocument/2006/relationships/hyperlink" Target="https://orcid.org/0000-0001-8640-1961" TargetMode="External"/><Relationship Id="rId22" Type="http://schemas.openxmlformats.org/officeDocument/2006/relationships/image" Target="media/image1.jpeg"/><Relationship Id="rId27" Type="http://schemas.openxmlformats.org/officeDocument/2006/relationships/hyperlink" Target="https://www.hopkinsmedicine.org/coronavirus/index.html" TargetMode="External"/><Relationship Id="rId30" Type="http://schemas.openxmlformats.org/officeDocument/2006/relationships/hyperlink" Target="https://doi.org/10.1016/S0140-6736(20)30183-5" TargetMode="External"/><Relationship Id="rId35" Type="http://schemas.openxmlformats.org/officeDocument/2006/relationships/hyperlink" Target="https://pubmed.ncbi.nlm.nih.gov/31802366/" TargetMode="External"/><Relationship Id="rId43" Type="http://schemas.openxmlformats.org/officeDocument/2006/relationships/hyperlink" Target="https://doi.org/10.1016/S2213-2600(20)30243-5" TargetMode="External"/><Relationship Id="rId48" Type="http://schemas.openxmlformats.org/officeDocument/2006/relationships/footer" Target="footer2.xml"/><Relationship Id="rId8" Type="http://schemas.openxmlformats.org/officeDocument/2006/relationships/hyperlink" Target="https://orcid.org/0000-0002-8301-5771"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16</TotalTime>
  <Pages>19</Pages>
  <Words>6220</Words>
  <Characters>34213</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40353</CharactersWithSpaces>
  <SharedDoc>false</SharedDoc>
  <HLinks>
    <vt:vector size="234" baseType="variant">
      <vt:variant>
        <vt:i4>3932192</vt:i4>
      </vt:variant>
      <vt:variant>
        <vt:i4>105</vt:i4>
      </vt:variant>
      <vt:variant>
        <vt:i4>0</vt:i4>
      </vt:variant>
      <vt:variant>
        <vt:i4>5</vt:i4>
      </vt:variant>
      <vt:variant>
        <vt:lpwstr>https://doi.org/j.thromres.2020.04.013</vt:lpwstr>
      </vt:variant>
      <vt:variant>
        <vt:lpwstr/>
      </vt:variant>
      <vt:variant>
        <vt:i4>983054</vt:i4>
      </vt:variant>
      <vt:variant>
        <vt:i4>102</vt:i4>
      </vt:variant>
      <vt:variant>
        <vt:i4>0</vt:i4>
      </vt:variant>
      <vt:variant>
        <vt:i4>5</vt:i4>
      </vt:variant>
      <vt:variant>
        <vt:lpwstr>https://doi.org/10.1016/S0140-6736(20)30937-5</vt:lpwstr>
      </vt:variant>
      <vt:variant>
        <vt:lpwstr/>
      </vt:variant>
      <vt:variant>
        <vt:i4>524294</vt:i4>
      </vt:variant>
      <vt:variant>
        <vt:i4>99</vt:i4>
      </vt:variant>
      <vt:variant>
        <vt:i4>0</vt:i4>
      </vt:variant>
      <vt:variant>
        <vt:i4>5</vt:i4>
      </vt:variant>
      <vt:variant>
        <vt:lpwstr>https://doi.org/10.1016/S2213-2600(20)30243-5</vt:lpwstr>
      </vt:variant>
      <vt:variant>
        <vt:lpwstr/>
      </vt:variant>
      <vt:variant>
        <vt:i4>2752575</vt:i4>
      </vt:variant>
      <vt:variant>
        <vt:i4>96</vt:i4>
      </vt:variant>
      <vt:variant>
        <vt:i4>0</vt:i4>
      </vt:variant>
      <vt:variant>
        <vt:i4>5</vt:i4>
      </vt:variant>
      <vt:variant>
        <vt:lpwstr>https://www.cecmed.cu/sites/default/files/adjuntos/Reglamentacion/reg_4507_requerimientos_para_la_notificacion_y_el_reporte_de_eventos_adversos_graves_e_inesperados_en_los_ensayos_clinicos.pdf</vt:lpwstr>
      </vt:variant>
      <vt:variant>
        <vt:lpwstr/>
      </vt:variant>
      <vt:variant>
        <vt:i4>2293792</vt:i4>
      </vt:variant>
      <vt:variant>
        <vt:i4>93</vt:i4>
      </vt:variant>
      <vt:variant>
        <vt:i4>0</vt:i4>
      </vt:variant>
      <vt:variant>
        <vt:i4>5</vt:i4>
      </vt:variant>
      <vt:variant>
        <vt:lpwstr>http://intensivo.sochipe.cl/subidos/catalogo3/ARDSdefinition.JAMA.2012.pdf</vt:lpwstr>
      </vt:variant>
      <vt:variant>
        <vt:lpwstr/>
      </vt:variant>
      <vt:variant>
        <vt:i4>3080278</vt:i4>
      </vt:variant>
      <vt:variant>
        <vt:i4>90</vt:i4>
      </vt:variant>
      <vt:variant>
        <vt:i4>0</vt:i4>
      </vt:variant>
      <vt:variant>
        <vt:i4>5</vt:i4>
      </vt:variant>
      <vt:variant>
        <vt:lpwstr>https://files.sld.cu/editorhome/files/2020/05/MINSAP_Protocolo-de-Actuación-Nacional-para-la-COVID-19_versión-1.6_mayo-2020.pdf</vt:lpwstr>
      </vt:variant>
      <vt:variant>
        <vt:lpwstr/>
      </vt:variant>
      <vt:variant>
        <vt:i4>589828</vt:i4>
      </vt:variant>
      <vt:variant>
        <vt:i4>87</vt:i4>
      </vt:variant>
      <vt:variant>
        <vt:i4>0</vt:i4>
      </vt:variant>
      <vt:variant>
        <vt:i4>5</vt:i4>
      </vt:variant>
      <vt:variant>
        <vt:lpwstr>https://pubmed.ncbi.nlm.nih.gov/24141714/</vt:lpwstr>
      </vt:variant>
      <vt:variant>
        <vt:lpwstr/>
      </vt:variant>
      <vt:variant>
        <vt:i4>1835125</vt:i4>
      </vt:variant>
      <vt:variant>
        <vt:i4>84</vt:i4>
      </vt:variant>
      <vt:variant>
        <vt:i4>0</vt:i4>
      </vt:variant>
      <vt:variant>
        <vt:i4>5</vt:i4>
      </vt:variant>
      <vt:variant>
        <vt:lpwstr>https://www.researchgate.net/profile/Mabel-Hernandez-Cedeno-2/publication/344405147_CIGB-258_Immunomodulatory_Peptide_Compassionate_Use_for_Critical_and_Severe_COVID-19_Patients/links/5f71f94792851c14bc9b2261/CIGB-258-Immunomodulatory-Peptide-Compassionate-Use-for-Critical-and-Severe-COVID-19-Patients.pdf</vt:lpwstr>
      </vt:variant>
      <vt:variant>
        <vt:lpwstr/>
      </vt:variant>
      <vt:variant>
        <vt:i4>7864425</vt:i4>
      </vt:variant>
      <vt:variant>
        <vt:i4>81</vt:i4>
      </vt:variant>
      <vt:variant>
        <vt:i4>0</vt:i4>
      </vt:variant>
      <vt:variant>
        <vt:i4>5</vt:i4>
      </vt:variant>
      <vt:variant>
        <vt:lpwstr>http://revmedmilitar.sld.cu/index.php/mil/article/view/926/625</vt:lpwstr>
      </vt:variant>
      <vt:variant>
        <vt:lpwstr/>
      </vt:variant>
      <vt:variant>
        <vt:i4>3473466</vt:i4>
      </vt:variant>
      <vt:variant>
        <vt:i4>78</vt:i4>
      </vt:variant>
      <vt:variant>
        <vt:i4>0</vt:i4>
      </vt:variant>
      <vt:variant>
        <vt:i4>5</vt:i4>
      </vt:variant>
      <vt:variant>
        <vt:lpwstr>https://doi.org/10.1016/j.jpba.2017.05.030</vt:lpwstr>
      </vt:variant>
      <vt:variant>
        <vt:lpwstr/>
      </vt:variant>
      <vt:variant>
        <vt:i4>917512</vt:i4>
      </vt:variant>
      <vt:variant>
        <vt:i4>75</vt:i4>
      </vt:variant>
      <vt:variant>
        <vt:i4>0</vt:i4>
      </vt:variant>
      <vt:variant>
        <vt:i4>5</vt:i4>
      </vt:variant>
      <vt:variant>
        <vt:lpwstr>https://pubmed.ncbi.nlm.nih.gov/31802366/</vt:lpwstr>
      </vt:variant>
      <vt:variant>
        <vt:lpwstr/>
      </vt:variant>
      <vt:variant>
        <vt:i4>3080236</vt:i4>
      </vt:variant>
      <vt:variant>
        <vt:i4>72</vt:i4>
      </vt:variant>
      <vt:variant>
        <vt:i4>0</vt:i4>
      </vt:variant>
      <vt:variant>
        <vt:i4>5</vt:i4>
      </vt:variant>
      <vt:variant>
        <vt:lpwstr>https://salud.msp.gob.cu/parte-de-cierre-del-dia-30-de-septiembre-a-las-12-de-la-noche</vt:lpwstr>
      </vt:variant>
      <vt:variant>
        <vt:lpwstr/>
      </vt:variant>
      <vt:variant>
        <vt:i4>5570655</vt:i4>
      </vt:variant>
      <vt:variant>
        <vt:i4>69</vt:i4>
      </vt:variant>
      <vt:variant>
        <vt:i4>0</vt:i4>
      </vt:variant>
      <vt:variant>
        <vt:i4>5</vt:i4>
      </vt:variant>
      <vt:variant>
        <vt:lpwstr>https://salud.msp.gob.cu/parte-de-cierre-del-dia-31-de-marzo-a-las-12-de-la-noche</vt:lpwstr>
      </vt:variant>
      <vt:variant>
        <vt:lpwstr/>
      </vt:variant>
      <vt:variant>
        <vt:i4>7340093</vt:i4>
      </vt:variant>
      <vt:variant>
        <vt:i4>66</vt:i4>
      </vt:variant>
      <vt:variant>
        <vt:i4>0</vt:i4>
      </vt:variant>
      <vt:variant>
        <vt:i4>5</vt:i4>
      </vt:variant>
      <vt:variant>
        <vt:lpwstr>https://www.cecmed.cu/covid-19/aprobaciones/jusvinza-cigb-258-1</vt:lpwstr>
      </vt:variant>
      <vt:variant>
        <vt:lpwstr/>
      </vt:variant>
      <vt:variant>
        <vt:i4>1048647</vt:i4>
      </vt:variant>
      <vt:variant>
        <vt:i4>63</vt:i4>
      </vt:variant>
      <vt:variant>
        <vt:i4>0</vt:i4>
      </vt:variant>
      <vt:variant>
        <vt:i4>5</vt:i4>
      </vt:variant>
      <vt:variant>
        <vt:lpwstr>https://www.ncbi.nlm.nih.gov/pmc/articles/PMC7144601</vt:lpwstr>
      </vt:variant>
      <vt:variant>
        <vt:lpwstr/>
      </vt:variant>
      <vt:variant>
        <vt:i4>2687034</vt:i4>
      </vt:variant>
      <vt:variant>
        <vt:i4>60</vt:i4>
      </vt:variant>
      <vt:variant>
        <vt:i4>0</vt:i4>
      </vt:variant>
      <vt:variant>
        <vt:i4>5</vt:i4>
      </vt:variant>
      <vt:variant>
        <vt:lpwstr>https://doi.org/10.1016/j.ejim.2020.05.009</vt:lpwstr>
      </vt:variant>
      <vt:variant>
        <vt:lpwstr/>
      </vt:variant>
      <vt:variant>
        <vt:i4>262146</vt:i4>
      </vt:variant>
      <vt:variant>
        <vt:i4>57</vt:i4>
      </vt:variant>
      <vt:variant>
        <vt:i4>0</vt:i4>
      </vt:variant>
      <vt:variant>
        <vt:i4>5</vt:i4>
      </vt:variant>
      <vt:variant>
        <vt:lpwstr>https://doi.org/10.1016/S0140-6736(20)30183-5</vt:lpwstr>
      </vt:variant>
      <vt:variant>
        <vt:lpwstr/>
      </vt:variant>
      <vt:variant>
        <vt:i4>5308481</vt:i4>
      </vt:variant>
      <vt:variant>
        <vt:i4>54</vt:i4>
      </vt:variant>
      <vt:variant>
        <vt:i4>0</vt:i4>
      </vt:variant>
      <vt:variant>
        <vt:i4>5</vt:i4>
      </vt:variant>
      <vt:variant>
        <vt:lpwstr>https://onlinelibrary.wiley.com/doi/10.1111/jth.14768</vt:lpwstr>
      </vt:variant>
      <vt:variant>
        <vt:lpwstr/>
      </vt:variant>
      <vt:variant>
        <vt:i4>5242906</vt:i4>
      </vt:variant>
      <vt:variant>
        <vt:i4>51</vt:i4>
      </vt:variant>
      <vt:variant>
        <vt:i4>0</vt:i4>
      </vt:variant>
      <vt:variant>
        <vt:i4>5</vt:i4>
      </vt:variant>
      <vt:variant>
        <vt:lpwstr>https://covid19.conacyt.mx/jspui/bitstream/1000/1079/1/105281.pdf</vt:lpwstr>
      </vt:variant>
      <vt:variant>
        <vt:lpwstr/>
      </vt:variant>
      <vt:variant>
        <vt:i4>3801138</vt:i4>
      </vt:variant>
      <vt:variant>
        <vt:i4>48</vt:i4>
      </vt:variant>
      <vt:variant>
        <vt:i4>0</vt:i4>
      </vt:variant>
      <vt:variant>
        <vt:i4>5</vt:i4>
      </vt:variant>
      <vt:variant>
        <vt:lpwstr>https://www.hopkinsmedicine.org/coronavirus/index.html</vt:lpwstr>
      </vt:variant>
      <vt:variant>
        <vt:lpwstr/>
      </vt:variant>
      <vt:variant>
        <vt:i4>6160453</vt:i4>
      </vt:variant>
      <vt:variant>
        <vt:i4>45</vt:i4>
      </vt:variant>
      <vt:variant>
        <vt:i4>0</vt:i4>
      </vt:variant>
      <vt:variant>
        <vt:i4>5</vt:i4>
      </vt:variant>
      <vt:variant>
        <vt:lpwstr>https://www.euro.who.int/en/health-topics/health-emergencies/coronavirus-covid-19/novel-coronavirus-2019-ncov</vt:lpwstr>
      </vt:variant>
      <vt:variant>
        <vt:lpwstr/>
      </vt:variant>
      <vt:variant>
        <vt:i4>1048620</vt:i4>
      </vt:variant>
      <vt:variant>
        <vt:i4>42</vt:i4>
      </vt:variant>
      <vt:variant>
        <vt:i4>0</vt:i4>
      </vt:variant>
      <vt:variant>
        <vt:i4>5</vt:i4>
      </vt:variant>
      <vt:variant>
        <vt:lpwstr>mailto:mcarmen.dominguez@cigb.edu.cu</vt:lpwstr>
      </vt:variant>
      <vt:variant>
        <vt:lpwstr/>
      </vt:variant>
      <vt:variant>
        <vt:i4>5505040</vt:i4>
      </vt:variant>
      <vt:variant>
        <vt:i4>39</vt:i4>
      </vt:variant>
      <vt:variant>
        <vt:i4>0</vt:i4>
      </vt:variant>
      <vt:variant>
        <vt:i4>5</vt:i4>
      </vt:variant>
      <vt:variant>
        <vt:lpwstr>https://orcid.org/0000-0002-0616-7376</vt:lpwstr>
      </vt:variant>
      <vt:variant>
        <vt:lpwstr/>
      </vt:variant>
      <vt:variant>
        <vt:i4>5963792</vt:i4>
      </vt:variant>
      <vt:variant>
        <vt:i4>36</vt:i4>
      </vt:variant>
      <vt:variant>
        <vt:i4>0</vt:i4>
      </vt:variant>
      <vt:variant>
        <vt:i4>5</vt:i4>
      </vt:variant>
      <vt:variant>
        <vt:lpwstr>https://orcid.org/0000-0003-3098-0970</vt:lpwstr>
      </vt:variant>
      <vt:variant>
        <vt:lpwstr/>
      </vt:variant>
      <vt:variant>
        <vt:i4>5570590</vt:i4>
      </vt:variant>
      <vt:variant>
        <vt:i4>33</vt:i4>
      </vt:variant>
      <vt:variant>
        <vt:i4>0</vt:i4>
      </vt:variant>
      <vt:variant>
        <vt:i4>5</vt:i4>
      </vt:variant>
      <vt:variant>
        <vt:lpwstr>https://orcid.org/0000-0002-7797-4255</vt:lpwstr>
      </vt:variant>
      <vt:variant>
        <vt:lpwstr/>
      </vt:variant>
      <vt:variant>
        <vt:i4>5832723</vt:i4>
      </vt:variant>
      <vt:variant>
        <vt:i4>30</vt:i4>
      </vt:variant>
      <vt:variant>
        <vt:i4>0</vt:i4>
      </vt:variant>
      <vt:variant>
        <vt:i4>5</vt:i4>
      </vt:variant>
      <vt:variant>
        <vt:lpwstr>https://orcid.org/0000-0002-9208-0874</vt:lpwstr>
      </vt:variant>
      <vt:variant>
        <vt:lpwstr/>
      </vt:variant>
      <vt:variant>
        <vt:i4>5439510</vt:i4>
      </vt:variant>
      <vt:variant>
        <vt:i4>27</vt:i4>
      </vt:variant>
      <vt:variant>
        <vt:i4>0</vt:i4>
      </vt:variant>
      <vt:variant>
        <vt:i4>5</vt:i4>
      </vt:variant>
      <vt:variant>
        <vt:lpwstr>https://orcid.org/0000-0002-7863-4586</vt:lpwstr>
      </vt:variant>
      <vt:variant>
        <vt:lpwstr/>
      </vt:variant>
      <vt:variant>
        <vt:i4>5636115</vt:i4>
      </vt:variant>
      <vt:variant>
        <vt:i4>24</vt:i4>
      </vt:variant>
      <vt:variant>
        <vt:i4>0</vt:i4>
      </vt:variant>
      <vt:variant>
        <vt:i4>5</vt:i4>
      </vt:variant>
      <vt:variant>
        <vt:lpwstr>https://orcid.org/0000-0002-6162-7160</vt:lpwstr>
      </vt:variant>
      <vt:variant>
        <vt:lpwstr/>
      </vt:variant>
      <vt:variant>
        <vt:i4>5570580</vt:i4>
      </vt:variant>
      <vt:variant>
        <vt:i4>21</vt:i4>
      </vt:variant>
      <vt:variant>
        <vt:i4>0</vt:i4>
      </vt:variant>
      <vt:variant>
        <vt:i4>5</vt:i4>
      </vt:variant>
      <vt:variant>
        <vt:lpwstr>https://orcid.org/0000-0001-8640-1961</vt:lpwstr>
      </vt:variant>
      <vt:variant>
        <vt:lpwstr/>
      </vt:variant>
      <vt:variant>
        <vt:i4>6029343</vt:i4>
      </vt:variant>
      <vt:variant>
        <vt:i4>18</vt:i4>
      </vt:variant>
      <vt:variant>
        <vt:i4>0</vt:i4>
      </vt:variant>
      <vt:variant>
        <vt:i4>5</vt:i4>
      </vt:variant>
      <vt:variant>
        <vt:lpwstr>https://orcid.org/0000-0003-0883-4475</vt:lpwstr>
      </vt:variant>
      <vt:variant>
        <vt:lpwstr/>
      </vt:variant>
      <vt:variant>
        <vt:i4>5701650</vt:i4>
      </vt:variant>
      <vt:variant>
        <vt:i4>15</vt:i4>
      </vt:variant>
      <vt:variant>
        <vt:i4>0</vt:i4>
      </vt:variant>
      <vt:variant>
        <vt:i4>5</vt:i4>
      </vt:variant>
      <vt:variant>
        <vt:lpwstr>https://orcid.org/0000-0001-6333-1622</vt:lpwstr>
      </vt:variant>
      <vt:variant>
        <vt:lpwstr/>
      </vt:variant>
      <vt:variant>
        <vt:i4>6094865</vt:i4>
      </vt:variant>
      <vt:variant>
        <vt:i4>12</vt:i4>
      </vt:variant>
      <vt:variant>
        <vt:i4>0</vt:i4>
      </vt:variant>
      <vt:variant>
        <vt:i4>5</vt:i4>
      </vt:variant>
      <vt:variant>
        <vt:lpwstr>https://orcid.org/0000-0003-1331-9021</vt:lpwstr>
      </vt:variant>
      <vt:variant>
        <vt:lpwstr/>
      </vt:variant>
      <vt:variant>
        <vt:i4>5898258</vt:i4>
      </vt:variant>
      <vt:variant>
        <vt:i4>9</vt:i4>
      </vt:variant>
      <vt:variant>
        <vt:i4>0</vt:i4>
      </vt:variant>
      <vt:variant>
        <vt:i4>5</vt:i4>
      </vt:variant>
      <vt:variant>
        <vt:lpwstr>https://orcid.org/0000-0002-5761-1393</vt:lpwstr>
      </vt:variant>
      <vt:variant>
        <vt:lpwstr/>
      </vt:variant>
      <vt:variant>
        <vt:i4>5963798</vt:i4>
      </vt:variant>
      <vt:variant>
        <vt:i4>6</vt:i4>
      </vt:variant>
      <vt:variant>
        <vt:i4>0</vt:i4>
      </vt:variant>
      <vt:variant>
        <vt:i4>5</vt:i4>
      </vt:variant>
      <vt:variant>
        <vt:lpwstr>https://orcid.org/0000-0002-4204-1084</vt:lpwstr>
      </vt:variant>
      <vt:variant>
        <vt:lpwstr/>
      </vt:variant>
      <vt:variant>
        <vt:i4>5505053</vt:i4>
      </vt:variant>
      <vt:variant>
        <vt:i4>3</vt:i4>
      </vt:variant>
      <vt:variant>
        <vt:i4>0</vt:i4>
      </vt:variant>
      <vt:variant>
        <vt:i4>5</vt:i4>
      </vt:variant>
      <vt:variant>
        <vt:lpwstr>https://orcid.org/0000-0002-8301-5771</vt:lpwstr>
      </vt:variant>
      <vt:variant>
        <vt:lpwstr/>
      </vt:variant>
      <vt:variant>
        <vt:i4>5898263</vt:i4>
      </vt:variant>
      <vt:variant>
        <vt:i4>0</vt:i4>
      </vt:variant>
      <vt:variant>
        <vt:i4>0</vt:i4>
      </vt:variant>
      <vt:variant>
        <vt:i4>5</vt:i4>
      </vt:variant>
      <vt:variant>
        <vt:lpwstr>https://orcid.org/0000-0001-5956-6672</vt:lpwstr>
      </vt:variant>
      <vt:variant>
        <vt:lpwstr/>
      </vt:variant>
      <vt:variant>
        <vt:i4>7077930</vt:i4>
      </vt:variant>
      <vt:variant>
        <vt:i4>8</vt:i4>
      </vt:variant>
      <vt:variant>
        <vt:i4>0</vt:i4>
      </vt:variant>
      <vt:variant>
        <vt:i4>5</vt:i4>
      </vt:variant>
      <vt:variant>
        <vt:lpwstr>https://creativecommons.org/licenses/by-nc-sa/4.0/</vt:lpwstr>
      </vt:variant>
      <vt:variant>
        <vt:lpwstr/>
      </vt:variant>
      <vt:variant>
        <vt:i4>1441860</vt:i4>
      </vt:variant>
      <vt:variant>
        <vt:i4>5</vt:i4>
      </vt:variant>
      <vt:variant>
        <vt:i4>0</vt:i4>
      </vt:variant>
      <vt:variant>
        <vt:i4>5</vt:i4>
      </vt:variant>
      <vt:variant>
        <vt:lpwstr>http://www.revmedmilitar.sld.cu/</vt:lpwstr>
      </vt:variant>
      <vt:variant>
        <vt:lpwstr/>
      </vt:variant>
      <vt:variant>
        <vt:i4>4456468</vt:i4>
      </vt:variant>
      <vt:variant>
        <vt:i4>2</vt:i4>
      </vt:variant>
      <vt:variant>
        <vt:i4>0</vt:i4>
      </vt:variant>
      <vt:variant>
        <vt:i4>5</vt:i4>
      </vt:variant>
      <vt:variant>
        <vt:lpwstr>http://scielo.sld.cu/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2021-11-24T01:08:00Z</cp:lastPrinted>
  <dcterms:created xsi:type="dcterms:W3CDTF">2021-11-24T01:09:00Z</dcterms:created>
  <dcterms:modified xsi:type="dcterms:W3CDTF">2021-11-24T01:24:00Z</dcterms:modified>
</cp:coreProperties>
</file>