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47989" w14:textId="77777777" w:rsidR="00FE5C47" w:rsidRPr="00FE5C47" w:rsidRDefault="00FE5C47" w:rsidP="00FE5C47">
      <w:pPr>
        <w:spacing w:line="360" w:lineRule="auto"/>
        <w:jc w:val="right"/>
        <w:rPr>
          <w:rFonts w:eastAsia="Calibri"/>
          <w:bCs/>
          <w:sz w:val="20"/>
          <w:szCs w:val="20"/>
          <w:lang w:val="es-CU" w:eastAsia="en-US"/>
        </w:rPr>
      </w:pPr>
      <w:bookmarkStart w:id="0" w:name="_Hlk87171444"/>
      <w:bookmarkStart w:id="1" w:name="_Hlk87178559"/>
      <w:r w:rsidRPr="00FE5C47">
        <w:rPr>
          <w:rFonts w:eastAsia="Calibri"/>
          <w:bCs/>
          <w:sz w:val="20"/>
          <w:szCs w:val="20"/>
          <w:lang w:val="es-CU" w:eastAsia="en-US"/>
        </w:rPr>
        <w:t>Artículo de investigación</w:t>
      </w:r>
    </w:p>
    <w:p w14:paraId="7C674CF0" w14:textId="77777777" w:rsidR="00FE5C47" w:rsidRPr="00FE5C47" w:rsidRDefault="00FE5C47" w:rsidP="00FE5C47">
      <w:pPr>
        <w:spacing w:line="360" w:lineRule="auto"/>
        <w:jc w:val="right"/>
        <w:rPr>
          <w:rFonts w:eastAsia="Calibri"/>
          <w:b/>
          <w:lang w:val="es-CU" w:eastAsia="en-US"/>
        </w:rPr>
      </w:pPr>
    </w:p>
    <w:p w14:paraId="21FFA107" w14:textId="77777777" w:rsidR="00FE5C47" w:rsidRPr="00FE5C47" w:rsidRDefault="00FE5C47" w:rsidP="00FE5C47">
      <w:pPr>
        <w:spacing w:line="360" w:lineRule="auto"/>
        <w:jc w:val="center"/>
        <w:rPr>
          <w:rFonts w:eastAsia="Calibri"/>
          <w:b/>
          <w:sz w:val="28"/>
          <w:szCs w:val="28"/>
          <w:lang w:val="es-CU" w:eastAsia="en-US"/>
        </w:rPr>
      </w:pPr>
      <w:r w:rsidRPr="00FE5C47">
        <w:rPr>
          <w:rFonts w:eastAsia="Calibri"/>
          <w:b/>
          <w:sz w:val="28"/>
          <w:szCs w:val="28"/>
          <w:lang w:val="es-CU" w:eastAsia="en-US"/>
        </w:rPr>
        <w:t>Actitudes y percepciones de la población de La Habana sobre la COVID-19</w:t>
      </w:r>
    </w:p>
    <w:bookmarkEnd w:id="0"/>
    <w:p w14:paraId="66D15D89" w14:textId="77777777" w:rsidR="00FE5C47" w:rsidRPr="00FE5C47" w:rsidRDefault="00FE5C47" w:rsidP="00FE5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lang w:val="en-US" w:eastAsia="es-ES"/>
        </w:rPr>
      </w:pPr>
      <w:r w:rsidRPr="00FE5C47">
        <w:rPr>
          <w:bCs/>
          <w:sz w:val="28"/>
          <w:szCs w:val="28"/>
          <w:lang w:val="en-US" w:eastAsia="es-ES"/>
        </w:rPr>
        <w:t>Attitudes and perceptions of the population of Havana about COVID-19</w:t>
      </w:r>
    </w:p>
    <w:p w14:paraId="08FE425D" w14:textId="77777777" w:rsidR="00FE5C47" w:rsidRPr="00FE5C47" w:rsidRDefault="00FE5C47" w:rsidP="00FE5C47">
      <w:pPr>
        <w:spacing w:line="360" w:lineRule="auto"/>
        <w:jc w:val="both"/>
        <w:rPr>
          <w:rFonts w:eastAsia="Calibri"/>
          <w:b/>
          <w:lang w:val="en-US" w:eastAsia="en-US"/>
        </w:rPr>
      </w:pPr>
    </w:p>
    <w:bookmarkEnd w:id="1"/>
    <w:p w14:paraId="1D44AB5A"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Juan Rubén Herrera-Masó</w:t>
      </w:r>
      <w:r w:rsidRPr="00FE5C47">
        <w:rPr>
          <w:rFonts w:eastAsia="Calibri"/>
          <w:vertAlign w:val="superscript"/>
          <w:lang w:val="es-CU" w:eastAsia="en-US"/>
        </w:rPr>
        <w:t>1</w:t>
      </w:r>
      <w:r w:rsidRPr="00FE5C47">
        <w:rPr>
          <w:rFonts w:eastAsia="Calibri"/>
          <w:lang w:val="es-CU" w:eastAsia="en-US"/>
        </w:rPr>
        <w:t xml:space="preserve"> </w:t>
      </w:r>
      <w:hyperlink r:id="rId7" w:history="1">
        <w:r w:rsidRPr="00FE5C47">
          <w:rPr>
            <w:rFonts w:eastAsia="Calibri"/>
            <w:color w:val="0563C1"/>
            <w:u w:val="single"/>
            <w:lang w:val="es-CU" w:eastAsia="en-US"/>
          </w:rPr>
          <w:t>https://orcid.org/0000-0002-0259-0708</w:t>
        </w:r>
      </w:hyperlink>
      <w:r w:rsidRPr="00FE5C47">
        <w:rPr>
          <w:rFonts w:eastAsia="Calibri"/>
          <w:lang w:val="es-CU" w:eastAsia="en-US"/>
        </w:rPr>
        <w:t xml:space="preserve">  </w:t>
      </w:r>
    </w:p>
    <w:p w14:paraId="6E6E4CB2" w14:textId="77777777" w:rsidR="00FE5C47" w:rsidRPr="00FE5C47" w:rsidRDefault="00FE5C47" w:rsidP="00FE5C47">
      <w:pPr>
        <w:spacing w:line="360" w:lineRule="auto"/>
        <w:jc w:val="both"/>
        <w:rPr>
          <w:rFonts w:eastAsia="Calibri"/>
          <w:lang w:val="en-US" w:eastAsia="en-US"/>
        </w:rPr>
      </w:pPr>
      <w:r w:rsidRPr="00FE5C47">
        <w:rPr>
          <w:rFonts w:eastAsia="Calibri"/>
          <w:lang w:val="en-US" w:eastAsia="en-US"/>
        </w:rPr>
        <w:t>Alain M. Chaple-Gil</w:t>
      </w:r>
      <w:r w:rsidRPr="00FE5C47">
        <w:rPr>
          <w:rFonts w:eastAsia="Calibri"/>
          <w:vertAlign w:val="superscript"/>
          <w:lang w:val="en-US" w:eastAsia="en-US"/>
        </w:rPr>
        <w:t>2,3</w:t>
      </w:r>
      <w:r w:rsidRPr="00FE5C47">
        <w:rPr>
          <w:rFonts w:eastAsia="Calibri"/>
          <w:lang w:val="en-US" w:eastAsia="en-US"/>
        </w:rPr>
        <w:t xml:space="preserve">* </w:t>
      </w:r>
      <w:hyperlink r:id="rId8" w:history="1">
        <w:r w:rsidRPr="00FE5C47">
          <w:rPr>
            <w:rFonts w:eastAsia="Calibri"/>
            <w:color w:val="0563C1"/>
            <w:u w:val="single"/>
            <w:lang w:val="en-US" w:eastAsia="en-US"/>
          </w:rPr>
          <w:t>https://orcid.org/0000-0002-8571-4429</w:t>
        </w:r>
      </w:hyperlink>
      <w:r w:rsidRPr="00FE5C47">
        <w:rPr>
          <w:rFonts w:eastAsia="Calibri"/>
          <w:lang w:val="en-US" w:eastAsia="en-US"/>
        </w:rPr>
        <w:t xml:space="preserve">  </w:t>
      </w:r>
    </w:p>
    <w:p w14:paraId="188140ED"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Ernesto Boris Rodríguez-Ledesma</w:t>
      </w:r>
      <w:r w:rsidRPr="00FE5C47">
        <w:rPr>
          <w:rFonts w:eastAsia="Calibri"/>
          <w:vertAlign w:val="superscript"/>
          <w:lang w:val="es-CU" w:eastAsia="en-US"/>
        </w:rPr>
        <w:t>2</w:t>
      </w:r>
      <w:r w:rsidRPr="00FE5C47">
        <w:rPr>
          <w:rFonts w:eastAsia="Calibri"/>
          <w:lang w:val="es-CU" w:eastAsia="en-US"/>
        </w:rPr>
        <w:t xml:space="preserve"> </w:t>
      </w:r>
      <w:hyperlink r:id="rId9" w:history="1">
        <w:r w:rsidRPr="00FE5C47">
          <w:rPr>
            <w:rFonts w:eastAsia="Calibri"/>
            <w:color w:val="0563C1"/>
            <w:u w:val="single"/>
            <w:lang w:val="es-CU" w:eastAsia="en-US"/>
          </w:rPr>
          <w:t>https://orcid.org/0000-0003-3259-0263</w:t>
        </w:r>
      </w:hyperlink>
      <w:r w:rsidRPr="00FE5C47">
        <w:rPr>
          <w:rFonts w:eastAsia="Calibri"/>
          <w:lang w:val="es-CU" w:eastAsia="en-US"/>
        </w:rPr>
        <w:t xml:space="preserve">  </w:t>
      </w:r>
    </w:p>
    <w:p w14:paraId="31A48C1B"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Luisa Hernández-Alarcón</w:t>
      </w:r>
      <w:r w:rsidRPr="00FE5C47">
        <w:rPr>
          <w:rFonts w:eastAsia="Calibri"/>
          <w:vertAlign w:val="superscript"/>
          <w:lang w:val="es-CU" w:eastAsia="en-US"/>
        </w:rPr>
        <w:t>1</w:t>
      </w:r>
      <w:r w:rsidRPr="00FE5C47">
        <w:rPr>
          <w:rFonts w:eastAsia="Calibri"/>
          <w:lang w:val="es-CU" w:eastAsia="en-US"/>
        </w:rPr>
        <w:t xml:space="preserve"> </w:t>
      </w:r>
      <w:hyperlink r:id="rId10" w:history="1">
        <w:r w:rsidRPr="00FE5C47">
          <w:rPr>
            <w:rFonts w:eastAsia="Calibri"/>
            <w:color w:val="0563C1"/>
            <w:u w:val="single"/>
            <w:lang w:val="es-CU" w:eastAsia="en-US"/>
          </w:rPr>
          <w:t>https://orcid.org/0000-0001-8661-2259</w:t>
        </w:r>
      </w:hyperlink>
      <w:r w:rsidRPr="00FE5C47">
        <w:rPr>
          <w:rFonts w:eastAsia="Calibri"/>
          <w:lang w:val="es-CU" w:eastAsia="en-US"/>
        </w:rPr>
        <w:t xml:space="preserve">  </w:t>
      </w:r>
    </w:p>
    <w:p w14:paraId="109FB0A4"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Carlos L. Pérez-Hernández</w:t>
      </w:r>
      <w:r w:rsidRPr="00FE5C47">
        <w:rPr>
          <w:rFonts w:eastAsia="Calibri"/>
          <w:vertAlign w:val="superscript"/>
          <w:lang w:val="es-CU" w:eastAsia="en-US"/>
        </w:rPr>
        <w:t>4</w:t>
      </w:r>
      <w:r w:rsidRPr="00FE5C47">
        <w:rPr>
          <w:rFonts w:eastAsia="Calibri"/>
          <w:lang w:val="es-CU" w:eastAsia="en-US"/>
        </w:rPr>
        <w:t xml:space="preserve"> </w:t>
      </w:r>
      <w:hyperlink r:id="rId11" w:history="1">
        <w:r w:rsidRPr="00FE5C47">
          <w:rPr>
            <w:rFonts w:eastAsia="Calibri"/>
            <w:color w:val="0563C1"/>
            <w:u w:val="single"/>
            <w:lang w:val="es-CU" w:eastAsia="en-US"/>
          </w:rPr>
          <w:t>https://orcid.org/0000-0002-7063-6843</w:t>
        </w:r>
      </w:hyperlink>
      <w:r w:rsidRPr="00FE5C47">
        <w:rPr>
          <w:rFonts w:eastAsia="Calibri"/>
          <w:lang w:val="es-CU" w:eastAsia="en-US"/>
        </w:rPr>
        <w:t xml:space="preserve">  </w:t>
      </w:r>
    </w:p>
    <w:p w14:paraId="59484C55"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Gisselle Fernández-Peña</w:t>
      </w:r>
      <w:r w:rsidRPr="00FE5C47">
        <w:rPr>
          <w:rFonts w:eastAsia="Calibri"/>
          <w:vertAlign w:val="superscript"/>
          <w:lang w:val="es-CU" w:eastAsia="en-US"/>
        </w:rPr>
        <w:t>4</w:t>
      </w:r>
      <w:r w:rsidRPr="00FE5C47">
        <w:rPr>
          <w:rFonts w:eastAsia="Calibri"/>
          <w:lang w:val="es-CU" w:eastAsia="en-US"/>
        </w:rPr>
        <w:t xml:space="preserve"> </w:t>
      </w:r>
      <w:hyperlink r:id="rId12" w:history="1">
        <w:r w:rsidRPr="00FE5C47">
          <w:rPr>
            <w:rFonts w:eastAsia="Calibri"/>
            <w:color w:val="0563C1"/>
            <w:u w:val="single"/>
            <w:lang w:val="es-CU" w:eastAsia="en-US"/>
          </w:rPr>
          <w:t>https://orcid.org/0000-0002-5339-8118</w:t>
        </w:r>
      </w:hyperlink>
      <w:r w:rsidRPr="00FE5C47">
        <w:rPr>
          <w:rFonts w:eastAsia="Calibri"/>
          <w:lang w:val="es-CU" w:eastAsia="en-US"/>
        </w:rPr>
        <w:t xml:space="preserve">  </w:t>
      </w:r>
    </w:p>
    <w:p w14:paraId="45A54107"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Nidia Márquez-Morales</w:t>
      </w:r>
      <w:r w:rsidRPr="00FE5C47">
        <w:rPr>
          <w:rFonts w:eastAsia="Calibri"/>
          <w:vertAlign w:val="superscript"/>
          <w:lang w:val="es-CU" w:eastAsia="en-US"/>
        </w:rPr>
        <w:t>1</w:t>
      </w:r>
      <w:r w:rsidRPr="00FE5C47">
        <w:rPr>
          <w:rFonts w:eastAsia="Calibri"/>
          <w:lang w:val="es-CU" w:eastAsia="en-US"/>
        </w:rPr>
        <w:t xml:space="preserve"> </w:t>
      </w:r>
      <w:hyperlink r:id="rId13" w:history="1">
        <w:r w:rsidRPr="00FE5C47">
          <w:rPr>
            <w:rFonts w:eastAsia="Calibri"/>
            <w:color w:val="0563C1"/>
            <w:u w:val="single"/>
            <w:lang w:val="es-CU" w:eastAsia="en-US"/>
          </w:rPr>
          <w:t>https://orcid.org/0000-0002-2249-4801</w:t>
        </w:r>
      </w:hyperlink>
      <w:r w:rsidRPr="00FE5C47">
        <w:rPr>
          <w:rFonts w:eastAsia="Calibri"/>
          <w:lang w:val="es-CU" w:eastAsia="en-US"/>
        </w:rPr>
        <w:t xml:space="preserve">  </w:t>
      </w:r>
    </w:p>
    <w:p w14:paraId="6FBC95D0" w14:textId="77777777" w:rsidR="00FE5C47" w:rsidRPr="00FE5C47" w:rsidRDefault="00FE5C47" w:rsidP="00FE5C47">
      <w:pPr>
        <w:spacing w:line="360" w:lineRule="auto"/>
        <w:jc w:val="both"/>
        <w:rPr>
          <w:rFonts w:eastAsia="Calibri"/>
          <w:lang w:val="es-CU" w:eastAsia="en-US"/>
        </w:rPr>
      </w:pPr>
    </w:p>
    <w:p w14:paraId="30CC3876" w14:textId="77777777" w:rsidR="00FE5C47" w:rsidRPr="00FE5C47" w:rsidRDefault="00FE5C47" w:rsidP="00FE5C47">
      <w:pPr>
        <w:spacing w:line="360" w:lineRule="auto"/>
        <w:jc w:val="both"/>
        <w:rPr>
          <w:rFonts w:eastAsia="Calibri"/>
          <w:lang w:val="es-CU" w:eastAsia="en-US"/>
        </w:rPr>
      </w:pPr>
      <w:r w:rsidRPr="00FE5C47">
        <w:rPr>
          <w:rFonts w:eastAsia="Calibri"/>
          <w:vertAlign w:val="superscript"/>
          <w:lang w:val="es-CU" w:eastAsia="en-US"/>
        </w:rPr>
        <w:t>1</w:t>
      </w:r>
      <w:r w:rsidRPr="00FE5C47">
        <w:rPr>
          <w:rFonts w:eastAsia="Calibri"/>
          <w:lang w:val="es-CU" w:eastAsia="en-US"/>
        </w:rPr>
        <w:t>Universidad de Ciencias Médicas de La Habana. Vicerrectoría Académica. Dirección de Ciencia e innovación Tecnológica. La Habana, Cuba.</w:t>
      </w:r>
    </w:p>
    <w:p w14:paraId="259ECFED" w14:textId="77777777" w:rsidR="00FE5C47" w:rsidRPr="00FE5C47" w:rsidRDefault="00FE5C47" w:rsidP="00FE5C47">
      <w:pPr>
        <w:spacing w:line="360" w:lineRule="auto"/>
        <w:jc w:val="both"/>
        <w:rPr>
          <w:rFonts w:eastAsia="Calibri"/>
          <w:lang w:val="es-CU" w:eastAsia="en-US"/>
        </w:rPr>
      </w:pPr>
      <w:r w:rsidRPr="00FE5C47">
        <w:rPr>
          <w:rFonts w:eastAsia="Calibri"/>
          <w:vertAlign w:val="superscript"/>
          <w:lang w:val="es-CU" w:eastAsia="en-US"/>
        </w:rPr>
        <w:t>2</w:t>
      </w:r>
      <w:r w:rsidRPr="00FE5C47">
        <w:rPr>
          <w:rFonts w:eastAsia="Calibri"/>
          <w:lang w:val="es-CU" w:eastAsia="en-US"/>
        </w:rPr>
        <w:t>Universidad de Ciencias Médicas de La Habana. Facultad de Ciencias Médicas Victoria de Girón. Departamento Carrera de Estomatología. La Habana, Cuba.</w:t>
      </w:r>
    </w:p>
    <w:p w14:paraId="589B6E65" w14:textId="77777777" w:rsidR="00FE5C47" w:rsidRPr="00FE5C47" w:rsidRDefault="00FE5C47" w:rsidP="00FE5C47">
      <w:pPr>
        <w:spacing w:line="360" w:lineRule="auto"/>
        <w:jc w:val="both"/>
        <w:rPr>
          <w:rFonts w:eastAsia="Calibri"/>
          <w:lang w:val="es-CU" w:eastAsia="en-US"/>
        </w:rPr>
      </w:pPr>
      <w:r w:rsidRPr="00FE5C47">
        <w:rPr>
          <w:rFonts w:eastAsia="Calibri"/>
          <w:vertAlign w:val="superscript"/>
          <w:lang w:val="es-CU" w:eastAsia="en-US"/>
        </w:rPr>
        <w:t>3</w:t>
      </w:r>
      <w:r w:rsidRPr="00FE5C47">
        <w:rPr>
          <w:rFonts w:eastAsia="Calibri"/>
          <w:lang w:val="es-CU" w:eastAsia="en-US"/>
        </w:rPr>
        <w:t>Universidad Autónoma de Chile. Facultad de Ciencias de la Salud. Temuco, Chile.</w:t>
      </w:r>
    </w:p>
    <w:p w14:paraId="5DE6F47A" w14:textId="77777777" w:rsidR="00FE5C47" w:rsidRPr="00FE5C47" w:rsidRDefault="00FE5C47" w:rsidP="00FE5C47">
      <w:pPr>
        <w:spacing w:line="360" w:lineRule="auto"/>
        <w:jc w:val="both"/>
        <w:rPr>
          <w:rFonts w:eastAsia="Calibri"/>
          <w:lang w:val="es-CU" w:eastAsia="en-US"/>
        </w:rPr>
      </w:pPr>
      <w:r w:rsidRPr="00FE5C47">
        <w:rPr>
          <w:rFonts w:eastAsia="Calibri"/>
          <w:vertAlign w:val="superscript"/>
          <w:lang w:val="es-CU" w:eastAsia="en-US"/>
        </w:rPr>
        <w:t>4</w:t>
      </w:r>
      <w:r w:rsidRPr="00FE5C47">
        <w:rPr>
          <w:rFonts w:eastAsia="Calibri"/>
          <w:lang w:val="es-CU" w:eastAsia="en-US"/>
        </w:rPr>
        <w:t xml:space="preserve">Universidad de Ciencias Médicas de La Habana. Facultad de Ciencias Médicas Victoria de Girón. Departamento de Bioquímica. La Habana, Cuba. </w:t>
      </w:r>
    </w:p>
    <w:p w14:paraId="003DD9B8" w14:textId="77777777" w:rsidR="00FE5C47" w:rsidRPr="00FE5C47" w:rsidRDefault="00FE5C47" w:rsidP="00FE5C47">
      <w:pPr>
        <w:spacing w:line="360" w:lineRule="auto"/>
        <w:jc w:val="both"/>
        <w:rPr>
          <w:rFonts w:eastAsia="Calibri"/>
          <w:lang w:val="es-CU" w:eastAsia="en-US"/>
        </w:rPr>
      </w:pPr>
    </w:p>
    <w:p w14:paraId="5FD622D0"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*Autor para la correspondencia. Correo electrónico: </w:t>
      </w:r>
      <w:hyperlink r:id="rId14" w:history="1">
        <w:r w:rsidRPr="00FE5C47">
          <w:rPr>
            <w:rFonts w:eastAsia="Calibri"/>
            <w:color w:val="0563C1"/>
            <w:u w:val="single"/>
            <w:lang w:val="es-CU" w:eastAsia="en-US"/>
          </w:rPr>
          <w:t>alain.chaple@uautonoma.cl</w:t>
        </w:r>
      </w:hyperlink>
    </w:p>
    <w:p w14:paraId="35025D88" w14:textId="77777777" w:rsidR="00FE5C47" w:rsidRPr="00FE5C47" w:rsidRDefault="00FE5C47" w:rsidP="00FE5C47">
      <w:pPr>
        <w:spacing w:line="360" w:lineRule="auto"/>
        <w:jc w:val="both"/>
        <w:rPr>
          <w:rFonts w:eastAsia="Calibri"/>
          <w:lang w:val="es-CU" w:eastAsia="en-US"/>
        </w:rPr>
      </w:pPr>
    </w:p>
    <w:p w14:paraId="36CAF5B6" w14:textId="77777777" w:rsidR="00FE5C47" w:rsidRPr="00FE5C47" w:rsidRDefault="00FE5C47" w:rsidP="00FE5C47">
      <w:pPr>
        <w:spacing w:line="360" w:lineRule="auto"/>
        <w:jc w:val="both"/>
        <w:rPr>
          <w:rFonts w:eastAsia="Calibri"/>
          <w:lang w:val="es-CU" w:eastAsia="en-US"/>
        </w:rPr>
      </w:pPr>
      <w:r w:rsidRPr="00FE5C47">
        <w:rPr>
          <w:rFonts w:eastAsia="Calibri"/>
          <w:b/>
          <w:lang w:val="es-CU" w:eastAsia="en-US"/>
        </w:rPr>
        <w:t>RESUMEN</w:t>
      </w:r>
    </w:p>
    <w:p w14:paraId="23410FA6" w14:textId="77777777" w:rsidR="00FE5C47" w:rsidRPr="00FE5C47" w:rsidRDefault="00FE5C47" w:rsidP="00FE5C47">
      <w:pPr>
        <w:spacing w:line="360" w:lineRule="auto"/>
        <w:jc w:val="both"/>
        <w:rPr>
          <w:rFonts w:eastAsia="Calibri"/>
          <w:b/>
          <w:bCs/>
          <w:lang w:val="es-CU" w:eastAsia="en-US"/>
        </w:rPr>
      </w:pPr>
      <w:r w:rsidRPr="00FE5C47">
        <w:rPr>
          <w:rFonts w:eastAsia="Calibri"/>
          <w:b/>
          <w:bCs/>
          <w:lang w:val="es-CU" w:eastAsia="en-US"/>
        </w:rPr>
        <w:t xml:space="preserve">Introducción: </w:t>
      </w:r>
      <w:r w:rsidRPr="00FE5C47">
        <w:rPr>
          <w:rFonts w:eastAsia="Calibri"/>
          <w:lang w:val="es-CU" w:eastAsia="en-US"/>
        </w:rPr>
        <w:t>Cualquier estrategia diseñada para aumentar la percepción de riesgo involucra procesos de cambio o modificación de las actitudes subyacentes.</w:t>
      </w:r>
    </w:p>
    <w:p w14:paraId="1202268E" w14:textId="77777777" w:rsidR="00FE5C47" w:rsidRPr="00FE5C47" w:rsidRDefault="00FE5C47" w:rsidP="00FE5C47">
      <w:pPr>
        <w:spacing w:line="360" w:lineRule="auto"/>
        <w:jc w:val="both"/>
        <w:rPr>
          <w:rFonts w:eastAsia="Calibri"/>
          <w:lang w:val="es-CU" w:eastAsia="en-US"/>
        </w:rPr>
      </w:pPr>
      <w:r w:rsidRPr="00FE5C47">
        <w:rPr>
          <w:rFonts w:eastAsia="Calibri"/>
          <w:b/>
          <w:bCs/>
          <w:lang w:val="es-CU" w:eastAsia="en-US"/>
        </w:rPr>
        <w:t>Objetivo</w:t>
      </w:r>
      <w:r w:rsidRPr="00FE5C47">
        <w:rPr>
          <w:rFonts w:eastAsia="Calibri"/>
          <w:lang w:val="es-CU" w:eastAsia="en-US"/>
        </w:rPr>
        <w:t xml:space="preserve">: Explorar las actitudes y percepciones de la población de La Habana sobre la COVID-19. </w:t>
      </w:r>
    </w:p>
    <w:p w14:paraId="778DC17E" w14:textId="77777777" w:rsidR="00FE5C47" w:rsidRPr="00FE5C47" w:rsidRDefault="00FE5C47" w:rsidP="00FE5C47">
      <w:pPr>
        <w:spacing w:line="360" w:lineRule="auto"/>
        <w:jc w:val="both"/>
        <w:rPr>
          <w:rFonts w:eastAsia="Calibri"/>
          <w:lang w:val="es-CU" w:eastAsia="en-US"/>
        </w:rPr>
      </w:pPr>
      <w:r w:rsidRPr="00FE5C47">
        <w:rPr>
          <w:rFonts w:eastAsia="Calibri"/>
          <w:b/>
          <w:bCs/>
          <w:lang w:val="es-CU" w:eastAsia="en-US"/>
        </w:rPr>
        <w:lastRenderedPageBreak/>
        <w:t>Métodos</w:t>
      </w:r>
      <w:r w:rsidRPr="00FE5C47">
        <w:rPr>
          <w:rFonts w:eastAsia="Calibri"/>
          <w:lang w:val="es-CU" w:eastAsia="en-US"/>
        </w:rPr>
        <w:t xml:space="preserve">: Estudio descriptivo transversal en una población de 2012 habaneros que, de forma anónima y voluntaria, respondieron un cuestionario en línea distribuido en redes sociales entre mayo y junio de 2021. Se emplearon variables sobre la caracterización demográfica y las relacionadas con el objeto de estudio agrupadas en causas a las que atribuyen la situación epidemiológica actual: sociales, estatales y externas. Se utilizó la prueba estadística </w:t>
      </w:r>
      <w:r w:rsidRPr="00FE5C47">
        <w:rPr>
          <w:rFonts w:eastAsia="Calibri"/>
          <w:i/>
          <w:iCs/>
          <w:lang w:val="es-CU" w:eastAsia="en-US"/>
        </w:rPr>
        <w:t>ji</w:t>
      </w:r>
      <w:r w:rsidRPr="00FE5C47">
        <w:rPr>
          <w:rFonts w:eastAsia="Calibri"/>
          <w:lang w:val="es-CU" w:eastAsia="en-US"/>
        </w:rPr>
        <w:t xml:space="preserve"> cuadrado</w:t>
      </w:r>
      <w:r w:rsidRPr="00FE5C47">
        <w:rPr>
          <w:rFonts w:eastAsia="Calibri"/>
          <w:vertAlign w:val="superscript"/>
          <w:lang w:val="es-CU" w:eastAsia="en-US"/>
        </w:rPr>
        <w:t xml:space="preserve"> </w:t>
      </w:r>
      <w:r w:rsidRPr="00FE5C47">
        <w:rPr>
          <w:rFonts w:eastAsia="Calibri"/>
          <w:lang w:val="es-CU" w:eastAsia="en-US"/>
        </w:rPr>
        <w:t xml:space="preserve">y el modelo de los residuos corregidos. </w:t>
      </w:r>
    </w:p>
    <w:p w14:paraId="1444E98D" w14:textId="77777777" w:rsidR="00FE5C47" w:rsidRPr="00FE5C47" w:rsidRDefault="00FE5C47" w:rsidP="00FE5C47">
      <w:pPr>
        <w:spacing w:line="360" w:lineRule="auto"/>
        <w:jc w:val="both"/>
        <w:rPr>
          <w:rFonts w:eastAsia="Calibri"/>
          <w:lang w:val="es-CU" w:eastAsia="en-US"/>
        </w:rPr>
      </w:pPr>
      <w:r w:rsidRPr="00FE5C47">
        <w:rPr>
          <w:rFonts w:eastAsia="Calibri"/>
          <w:b/>
          <w:bCs/>
          <w:lang w:val="es-CU" w:eastAsia="en-US"/>
        </w:rPr>
        <w:t>Resultados</w:t>
      </w:r>
      <w:r w:rsidRPr="00FE5C47">
        <w:rPr>
          <w:rFonts w:eastAsia="Calibri"/>
          <w:lang w:val="es-CU" w:eastAsia="en-US"/>
        </w:rPr>
        <w:t xml:space="preserve">: </w:t>
      </w:r>
      <w:r w:rsidRPr="00FE5C47">
        <w:rPr>
          <w:rFonts w:eastAsia="Calibri"/>
          <w:bCs/>
          <w:lang w:val="es-CU" w:eastAsia="en-US"/>
        </w:rPr>
        <w:t xml:space="preserve">Los participantes de los municipios </w:t>
      </w:r>
      <w:r w:rsidRPr="00FE5C47">
        <w:rPr>
          <w:rFonts w:eastAsia="Calibri"/>
          <w:lang w:val="es-CU" w:eastAsia="en-US"/>
        </w:rPr>
        <w:t>de Playa (14,1 %), Plaza de la Revolución (13,2 %) y Diez de Octubre (12,7 %) fueron los más frecuentes. Las 3 causas predominantes según más del 80 % fueron “Violación del distanciamiento social”, “Resquebrajamiento de la disciplina social” y “Celebración y festividades”. De la dimensión estatal se destacaron, violaciones del distanciamiento social, apertura de los aeropuertos y eliminación de las pesquisas activas. El 43,5 % de las respuestas a 14 de las 32 señaladas por los encuestados, están relacionadas con la baja percepción de riesgo de la población.</w:t>
      </w:r>
    </w:p>
    <w:p w14:paraId="32C0738E" w14:textId="77777777" w:rsidR="00FE5C47" w:rsidRPr="00FE5C47" w:rsidRDefault="00FE5C47" w:rsidP="00FE5C47">
      <w:pPr>
        <w:spacing w:line="360" w:lineRule="auto"/>
        <w:jc w:val="both"/>
        <w:rPr>
          <w:rFonts w:eastAsia="Calibri"/>
          <w:lang w:val="es-CU" w:eastAsia="en-US"/>
        </w:rPr>
      </w:pPr>
      <w:r w:rsidRPr="00FE5C47">
        <w:rPr>
          <w:rFonts w:eastAsia="Calibri"/>
          <w:b/>
          <w:bCs/>
          <w:lang w:val="es-CU" w:eastAsia="en-US"/>
        </w:rPr>
        <w:t>Conclusiones</w:t>
      </w:r>
      <w:r w:rsidRPr="00FE5C47">
        <w:rPr>
          <w:rFonts w:eastAsia="Calibri"/>
          <w:lang w:val="es-CU" w:eastAsia="en-US"/>
        </w:rPr>
        <w:t>: No es posible atribuir la situación epidemiológica por la COVID-19 en La Habana, solo a la baja percepción de riesgo de la sociedad; este es un fenómeno multicausal con causas atribuidas a la acción/ inacción estatal y al comportamiento social.</w:t>
      </w:r>
    </w:p>
    <w:p w14:paraId="1C1DE44E" w14:textId="77777777" w:rsidR="00FE5C47" w:rsidRPr="00FE5C47" w:rsidRDefault="00FE5C47" w:rsidP="00FE5C47">
      <w:pPr>
        <w:spacing w:line="360" w:lineRule="auto"/>
        <w:jc w:val="both"/>
        <w:rPr>
          <w:rFonts w:eastAsia="Calibri"/>
          <w:lang w:val="es-CU" w:eastAsia="en-US"/>
        </w:rPr>
      </w:pPr>
      <w:r w:rsidRPr="00FE5C47">
        <w:rPr>
          <w:rFonts w:eastAsia="Calibri"/>
          <w:b/>
          <w:lang w:val="es-CU" w:eastAsia="en-US"/>
        </w:rPr>
        <w:t>Palabras clave</w:t>
      </w:r>
      <w:r w:rsidRPr="00FE5C47">
        <w:rPr>
          <w:rFonts w:eastAsia="Calibri"/>
          <w:lang w:val="es-CU" w:eastAsia="en-US"/>
        </w:rPr>
        <w:t>: percepción de riesgo; causas; población; COVID-19.</w:t>
      </w:r>
    </w:p>
    <w:p w14:paraId="41CC5662" w14:textId="77777777" w:rsidR="00FE5C47" w:rsidRPr="00FE5C47" w:rsidRDefault="00FE5C47" w:rsidP="00FE5C47">
      <w:pPr>
        <w:spacing w:line="360" w:lineRule="auto"/>
        <w:jc w:val="both"/>
        <w:rPr>
          <w:rFonts w:eastAsia="Calibri"/>
          <w:b/>
          <w:lang w:val="es-CU" w:eastAsia="en-US"/>
        </w:rPr>
      </w:pPr>
    </w:p>
    <w:p w14:paraId="571AC378" w14:textId="77777777" w:rsidR="00FE5C47" w:rsidRPr="00FE5C47" w:rsidRDefault="00FE5C47" w:rsidP="00FE5C47">
      <w:pPr>
        <w:spacing w:line="360" w:lineRule="auto"/>
        <w:jc w:val="both"/>
        <w:rPr>
          <w:rFonts w:eastAsia="Calibri"/>
          <w:lang w:val="en-US" w:eastAsia="en-US"/>
        </w:rPr>
      </w:pPr>
      <w:r w:rsidRPr="00FE5C47">
        <w:rPr>
          <w:rFonts w:eastAsia="Calibri"/>
          <w:b/>
          <w:lang w:val="en-US" w:eastAsia="en-US"/>
        </w:rPr>
        <w:t>ABSTRACT</w:t>
      </w:r>
    </w:p>
    <w:p w14:paraId="38C9B294" w14:textId="77777777" w:rsidR="00FE5C47" w:rsidRPr="00FE5C47" w:rsidRDefault="00FE5C47" w:rsidP="00FE5C47">
      <w:pPr>
        <w:spacing w:line="360" w:lineRule="auto"/>
        <w:jc w:val="both"/>
        <w:rPr>
          <w:lang w:val="en-US" w:eastAsia="es-ES"/>
        </w:rPr>
      </w:pPr>
      <w:r w:rsidRPr="00FE5C47">
        <w:rPr>
          <w:b/>
          <w:bCs/>
          <w:lang w:val="en-US" w:eastAsia="es-ES"/>
        </w:rPr>
        <w:t>Introduction:</w:t>
      </w:r>
      <w:r w:rsidRPr="00FE5C47">
        <w:rPr>
          <w:lang w:val="en-US" w:eastAsia="es-ES"/>
        </w:rPr>
        <w:t xml:space="preserve"> Any strategy designed to increase the perception of risk involves processes of change or modification of the underlying attitudes.</w:t>
      </w:r>
    </w:p>
    <w:p w14:paraId="2CD4A565" w14:textId="77777777" w:rsidR="00FE5C47" w:rsidRPr="00FE5C47" w:rsidRDefault="00FE5C47" w:rsidP="00FE5C47">
      <w:pPr>
        <w:spacing w:line="360" w:lineRule="auto"/>
        <w:jc w:val="both"/>
        <w:rPr>
          <w:lang w:val="en-US" w:eastAsia="es-ES"/>
        </w:rPr>
      </w:pPr>
      <w:r w:rsidRPr="00FE5C47">
        <w:rPr>
          <w:b/>
          <w:bCs/>
          <w:lang w:val="en-US" w:eastAsia="es-ES"/>
        </w:rPr>
        <w:t>Objective:</w:t>
      </w:r>
      <w:r w:rsidRPr="00FE5C47">
        <w:rPr>
          <w:lang w:val="en-US" w:eastAsia="es-ES"/>
        </w:rPr>
        <w:t xml:space="preserve"> To explore the attitudes and perceptions of the population of Havana about COVID-19.</w:t>
      </w:r>
    </w:p>
    <w:p w14:paraId="74D9CE0F" w14:textId="77777777" w:rsidR="00FE5C47" w:rsidRPr="00FE5C47" w:rsidRDefault="00FE5C47" w:rsidP="00FE5C47">
      <w:pPr>
        <w:spacing w:line="360" w:lineRule="auto"/>
        <w:jc w:val="both"/>
        <w:rPr>
          <w:lang w:val="en-US" w:eastAsia="es-ES"/>
        </w:rPr>
      </w:pPr>
      <w:r w:rsidRPr="00FE5C47">
        <w:rPr>
          <w:b/>
          <w:bCs/>
          <w:lang w:val="en-US" w:eastAsia="es-ES"/>
        </w:rPr>
        <w:t>Methods:</w:t>
      </w:r>
      <w:r w:rsidRPr="00FE5C47">
        <w:rPr>
          <w:lang w:val="en-US" w:eastAsia="es-ES"/>
        </w:rPr>
        <w:t xml:space="preserve"> Cross-sectional descriptive study was carried out in a population of 2012 citizens of Havana who, anonymously and voluntarily, answered an online questionnaire distributed on social networks between May and June 2021. Variables on demographic characterization and those related to the object of study were used grouped into causes to which they attribute the current epidemiological situation: social, state and external. The chi-square statistical test and the corrected residuals model were used.</w:t>
      </w:r>
    </w:p>
    <w:p w14:paraId="62C30265" w14:textId="77777777" w:rsidR="00FE5C47" w:rsidRPr="00FE5C47" w:rsidRDefault="00FE5C47" w:rsidP="00FE5C47">
      <w:pPr>
        <w:spacing w:line="360" w:lineRule="auto"/>
        <w:jc w:val="both"/>
        <w:rPr>
          <w:lang w:val="en-US" w:eastAsia="es-ES"/>
        </w:rPr>
      </w:pPr>
      <w:r w:rsidRPr="00FE5C47">
        <w:rPr>
          <w:b/>
          <w:bCs/>
          <w:lang w:val="en-US" w:eastAsia="es-ES"/>
        </w:rPr>
        <w:t xml:space="preserve">Results: </w:t>
      </w:r>
      <w:r w:rsidRPr="00FE5C47">
        <w:rPr>
          <w:lang w:val="en-US" w:eastAsia="es-ES"/>
        </w:rPr>
        <w:t>Participants from the municipalities of “</w:t>
      </w:r>
      <w:r w:rsidRPr="00FE5C47">
        <w:rPr>
          <w:i/>
          <w:iCs/>
          <w:lang w:val="en-US" w:eastAsia="es-ES"/>
        </w:rPr>
        <w:t>Playa”</w:t>
      </w:r>
      <w:r w:rsidRPr="00FE5C47">
        <w:rPr>
          <w:lang w:val="en-US" w:eastAsia="es-ES"/>
        </w:rPr>
        <w:t xml:space="preserve"> (14.1%), “</w:t>
      </w:r>
      <w:r w:rsidRPr="00FE5C47">
        <w:rPr>
          <w:i/>
          <w:iCs/>
          <w:lang w:val="en-US" w:eastAsia="es-ES"/>
        </w:rPr>
        <w:t xml:space="preserve">Plaza de la </w:t>
      </w:r>
      <w:proofErr w:type="spellStart"/>
      <w:r w:rsidRPr="00FE5C47">
        <w:rPr>
          <w:i/>
          <w:iCs/>
          <w:lang w:val="en-US" w:eastAsia="es-ES"/>
        </w:rPr>
        <w:t>Revolución</w:t>
      </w:r>
      <w:proofErr w:type="spellEnd"/>
      <w:r w:rsidRPr="00FE5C47">
        <w:rPr>
          <w:i/>
          <w:iCs/>
          <w:lang w:val="en-US" w:eastAsia="es-ES"/>
        </w:rPr>
        <w:t>”</w:t>
      </w:r>
      <w:r w:rsidRPr="00FE5C47">
        <w:rPr>
          <w:lang w:val="en-US" w:eastAsia="es-ES"/>
        </w:rPr>
        <w:t xml:space="preserve"> (13.2%) and “</w:t>
      </w:r>
      <w:r w:rsidRPr="00FE5C47">
        <w:rPr>
          <w:i/>
          <w:iCs/>
          <w:lang w:val="en-US" w:eastAsia="es-ES"/>
        </w:rPr>
        <w:t xml:space="preserve">Diez de </w:t>
      </w:r>
      <w:proofErr w:type="spellStart"/>
      <w:r w:rsidRPr="00FE5C47">
        <w:rPr>
          <w:i/>
          <w:iCs/>
          <w:lang w:val="en-US" w:eastAsia="es-ES"/>
        </w:rPr>
        <w:t>Octubre</w:t>
      </w:r>
      <w:proofErr w:type="spellEnd"/>
      <w:r w:rsidRPr="00FE5C47">
        <w:rPr>
          <w:i/>
          <w:iCs/>
          <w:lang w:val="en-US" w:eastAsia="es-ES"/>
        </w:rPr>
        <w:t>”</w:t>
      </w:r>
      <w:r w:rsidRPr="00FE5C47">
        <w:rPr>
          <w:lang w:val="en-US" w:eastAsia="es-ES"/>
        </w:rPr>
        <w:t xml:space="preserve"> (12.7%) were the most frequent. The 3 predominant causes according to more than </w:t>
      </w:r>
      <w:r w:rsidRPr="00FE5C47">
        <w:rPr>
          <w:lang w:val="en-US" w:eastAsia="es-ES"/>
        </w:rPr>
        <w:lastRenderedPageBreak/>
        <w:t>80 % were “Violation of social distancing”, “Breakdown of social discipline” and “Celebration and festivities”. Of the state dimension, violations of social distancing, opening of airports and elimination of active investigations stood out. 43.5 % of the responses to 14 of the 32 indicated by those surveyed are related to the population's low perception of risk.</w:t>
      </w:r>
    </w:p>
    <w:p w14:paraId="6E3FBAB9" w14:textId="77777777" w:rsidR="00FE5C47" w:rsidRPr="00FE5C47" w:rsidRDefault="00FE5C47" w:rsidP="00FE5C47">
      <w:pPr>
        <w:spacing w:line="360" w:lineRule="auto"/>
        <w:jc w:val="both"/>
        <w:rPr>
          <w:lang w:val="en-US" w:eastAsia="es-ES"/>
        </w:rPr>
      </w:pPr>
      <w:r w:rsidRPr="00FE5C47">
        <w:rPr>
          <w:b/>
          <w:bCs/>
          <w:lang w:val="en-US" w:eastAsia="es-ES"/>
        </w:rPr>
        <w:t>Conclusions:</w:t>
      </w:r>
      <w:r w:rsidRPr="00FE5C47">
        <w:rPr>
          <w:lang w:val="en-US" w:eastAsia="es-ES"/>
        </w:rPr>
        <w:t xml:space="preserve"> It is not possible to attribute the epidemiological situation due to COVID-19 in Havana, only to the low perception of risk in society; This is a multicausal phenomenon with causes attributed to state action / inaction and social behavior.</w:t>
      </w:r>
    </w:p>
    <w:p w14:paraId="1DEB49D7" w14:textId="77777777" w:rsidR="00FE5C47" w:rsidRPr="00FE5C47" w:rsidRDefault="00FE5C47" w:rsidP="00FE5C47">
      <w:pPr>
        <w:spacing w:line="360" w:lineRule="auto"/>
        <w:jc w:val="both"/>
        <w:rPr>
          <w:rFonts w:eastAsia="Calibri"/>
          <w:lang w:val="en-US" w:eastAsia="en-US"/>
        </w:rPr>
      </w:pPr>
      <w:r w:rsidRPr="00FE5C47">
        <w:rPr>
          <w:rFonts w:eastAsia="Calibri"/>
          <w:b/>
          <w:lang w:val="en-US" w:eastAsia="en-US"/>
        </w:rPr>
        <w:t>Keywords</w:t>
      </w:r>
      <w:r w:rsidRPr="00FE5C47">
        <w:rPr>
          <w:rFonts w:eastAsia="Calibri"/>
          <w:lang w:val="en-US" w:eastAsia="en-US"/>
        </w:rPr>
        <w:t>: risk perception; causes; population; COVID-19.</w:t>
      </w:r>
    </w:p>
    <w:p w14:paraId="667C6FAE" w14:textId="77777777" w:rsidR="00FE5C47" w:rsidRPr="00FE5C47" w:rsidRDefault="00FE5C47" w:rsidP="00FE5C47">
      <w:pPr>
        <w:spacing w:line="360" w:lineRule="auto"/>
        <w:jc w:val="both"/>
        <w:rPr>
          <w:rFonts w:eastAsia="Calibri"/>
          <w:lang w:val="en-US" w:eastAsia="en-US"/>
        </w:rPr>
      </w:pPr>
    </w:p>
    <w:p w14:paraId="4ED5575A" w14:textId="77777777" w:rsidR="00FE5C47" w:rsidRPr="00FE5C47" w:rsidRDefault="00FE5C47" w:rsidP="00FE5C47">
      <w:pPr>
        <w:spacing w:line="360" w:lineRule="auto"/>
        <w:jc w:val="both"/>
        <w:rPr>
          <w:rFonts w:eastAsia="Calibri"/>
          <w:lang w:val="en-US" w:eastAsia="en-US"/>
        </w:rPr>
      </w:pPr>
    </w:p>
    <w:p w14:paraId="6984FC2C"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Recibido: 09/11/2021</w:t>
      </w:r>
    </w:p>
    <w:p w14:paraId="2DCB1414"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Aprobado: 11/12/2021</w:t>
      </w:r>
    </w:p>
    <w:p w14:paraId="62CE12EA" w14:textId="77777777" w:rsidR="00FE5C47" w:rsidRPr="00FE5C47" w:rsidRDefault="00FE5C47" w:rsidP="00FE5C47">
      <w:pPr>
        <w:spacing w:line="360" w:lineRule="auto"/>
        <w:jc w:val="both"/>
        <w:rPr>
          <w:rFonts w:eastAsia="Calibri"/>
          <w:b/>
          <w:lang w:val="es-CU" w:eastAsia="en-US"/>
        </w:rPr>
      </w:pPr>
    </w:p>
    <w:p w14:paraId="16B87812" w14:textId="77777777" w:rsidR="00FE5C47" w:rsidRPr="00FE5C47" w:rsidRDefault="00FE5C47" w:rsidP="00FE5C47">
      <w:pPr>
        <w:spacing w:line="360" w:lineRule="auto"/>
        <w:rPr>
          <w:rFonts w:eastAsia="Calibri"/>
          <w:b/>
          <w:lang w:val="es-CU" w:eastAsia="en-US"/>
        </w:rPr>
      </w:pPr>
    </w:p>
    <w:p w14:paraId="3DE314F1" w14:textId="77777777" w:rsidR="00FE5C47" w:rsidRPr="00FE5C47" w:rsidRDefault="00FE5C47" w:rsidP="00FE5C47">
      <w:pPr>
        <w:spacing w:line="360" w:lineRule="auto"/>
        <w:jc w:val="center"/>
        <w:rPr>
          <w:rFonts w:eastAsia="Calibri"/>
          <w:sz w:val="32"/>
          <w:szCs w:val="32"/>
          <w:lang w:val="es-CU" w:eastAsia="en-US"/>
        </w:rPr>
      </w:pPr>
      <w:r w:rsidRPr="00FE5C47">
        <w:rPr>
          <w:rFonts w:eastAsia="Calibri"/>
          <w:b/>
          <w:sz w:val="32"/>
          <w:szCs w:val="32"/>
          <w:lang w:val="es-CU" w:eastAsia="en-US"/>
        </w:rPr>
        <w:t>INTRODUCCIÓN</w:t>
      </w:r>
    </w:p>
    <w:p w14:paraId="4BA7498D"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Según la estadística del Ministerio de Salud Pública con relación a la COVID-19 hasta el 30 junio de </w:t>
      </w:r>
      <w:proofErr w:type="gramStart"/>
      <w:r w:rsidRPr="00FE5C47">
        <w:rPr>
          <w:rFonts w:eastAsia="Calibri"/>
          <w:lang w:val="es-CU" w:eastAsia="en-US"/>
        </w:rPr>
        <w:t>2021,</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w:t>
      </w:r>
      <w:r w:rsidRPr="00FE5C47">
        <w:rPr>
          <w:rFonts w:eastAsia="Calibri"/>
          <w:lang w:val="es-CU" w:eastAsia="en-US"/>
        </w:rPr>
        <w:t xml:space="preserve"> en Cuba se habían diagnosticado con la enfermedad 193 945 pacientes, de los cuales se mantenían ingresados 16 557; de ellos, 16 373 tienen una evolución clínica estable y han fallecido 1 302 cubanos, para una letalidad de 0,67 %. Mundialmente, en 190 países y 30 territorios se reportan 182 794 034 casos confirmados de la COVID-19, con 11 487 125 casos activos y 3 957 208 fallecidos, para una letalidad de 2,16. En el continente americano se reporta el 40 % del todos los casos del mundo (73 332 553 casos confirmados), con 7 455 273 activos y 1 918 589 fallecidos, para una letalidad de 2,62 %.  </w:t>
      </w:r>
    </w:p>
    <w:p w14:paraId="6BBD848E"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Un estudio realizado por la empresa de gestión de datos </w:t>
      </w:r>
      <w:proofErr w:type="gramStart"/>
      <w:r w:rsidRPr="00FE5C47">
        <w:rPr>
          <w:rFonts w:eastAsia="Calibri"/>
          <w:lang w:val="es-CU" w:eastAsia="en-US"/>
        </w:rPr>
        <w:t>IPSOS,</w:t>
      </w:r>
      <w:r w:rsidRPr="00FE5C47">
        <w:rPr>
          <w:rFonts w:eastAsia="Calibri"/>
          <w:noProof/>
          <w:vertAlign w:val="superscript"/>
          <w:lang w:val="es-CU" w:eastAsia="en-US"/>
        </w:rPr>
        <w:t>(</w:t>
      </w:r>
      <w:proofErr w:type="gramEnd"/>
      <w:r w:rsidRPr="00FE5C47">
        <w:rPr>
          <w:rFonts w:eastAsia="Calibri"/>
          <w:noProof/>
          <w:vertAlign w:val="superscript"/>
          <w:lang w:val="es-CU" w:eastAsia="en-US"/>
        </w:rPr>
        <w:t>2)</w:t>
      </w:r>
      <w:r w:rsidRPr="00FE5C47">
        <w:rPr>
          <w:rFonts w:eastAsia="Calibri"/>
          <w:lang w:val="es-CU" w:eastAsia="en-US"/>
        </w:rPr>
        <w:t xml:space="preserve"> entre el 13 y el 15 de marzo de 2020, sobre la opinión pública acerca del coronavirus reveló que este se percibía como una amenaza global pero no personal, en especial entre los más jóvenes. En varios países los encuestados percibían que los medios de comunicación habían exagerado la gravedad del alcance del brote de coronavirus: España (29 %); Japón (30 %); Francia (31 %); Canadá (32 %); Australia (36 %); EE.UU. (39 %); Alemania (40 %); Gran Bretaña (41 %); Rusia (42 %) e Italia (62 %). </w:t>
      </w:r>
    </w:p>
    <w:p w14:paraId="60932FB9" w14:textId="77777777" w:rsidR="00FE5C47" w:rsidRPr="00FE5C47" w:rsidRDefault="00FE5C47" w:rsidP="00FE5C47">
      <w:pPr>
        <w:spacing w:line="360" w:lineRule="auto"/>
        <w:jc w:val="both"/>
        <w:rPr>
          <w:rFonts w:eastAsia="Calibri"/>
          <w:lang w:val="es-CU" w:eastAsia="en-US"/>
        </w:rPr>
      </w:pPr>
      <w:r w:rsidRPr="00FE5C47">
        <w:rPr>
          <w:rFonts w:eastAsia="Calibri"/>
          <w:i/>
          <w:iCs/>
          <w:lang w:val="es-CU" w:eastAsia="en-US"/>
        </w:rPr>
        <w:lastRenderedPageBreak/>
        <w:t>Cuadra</w:t>
      </w:r>
      <w:r w:rsidRPr="00FE5C47">
        <w:rPr>
          <w:rFonts w:eastAsia="Calibri"/>
          <w:lang w:val="es-CU" w:eastAsia="en-US"/>
        </w:rPr>
        <w:t xml:space="preserve"> y </w:t>
      </w:r>
      <w:proofErr w:type="gramStart"/>
      <w:r w:rsidRPr="00FE5C47">
        <w:rPr>
          <w:rFonts w:eastAsia="Calibri"/>
          <w:lang w:val="es-CU" w:eastAsia="en-US"/>
        </w:rPr>
        <w:t>otros</w:t>
      </w:r>
      <w:r w:rsidRPr="00FE5C47">
        <w:rPr>
          <w:rFonts w:eastAsia="Calibri"/>
          <w:noProof/>
          <w:vertAlign w:val="superscript"/>
          <w:lang w:val="es-CU" w:eastAsia="en-US"/>
        </w:rPr>
        <w:t>(</w:t>
      </w:r>
      <w:proofErr w:type="gramEnd"/>
      <w:r w:rsidRPr="00FE5C47">
        <w:rPr>
          <w:rFonts w:eastAsia="Calibri"/>
          <w:noProof/>
          <w:vertAlign w:val="superscript"/>
          <w:lang w:val="es-CU" w:eastAsia="en-US"/>
        </w:rPr>
        <w:t>3)</w:t>
      </w:r>
      <w:r w:rsidRPr="00FE5C47">
        <w:rPr>
          <w:rFonts w:eastAsia="Calibri"/>
          <w:lang w:val="es-CU" w:eastAsia="en-US"/>
        </w:rPr>
        <w:t xml:space="preserve"> advierten que las pandemias producen importantes impactos psicológicos, entre los que sobresalen la percepción de más o menos riesgo de la integridad física y psicológica propia y de la comunidad, de las organizaciones y los grupos sociales; por la enfermedad pandémica y la alteración del ciclo vital de las personas. El análisis de los estudios empíricos revisados permitió clasificar el impacto psicológico de una pandemia en varias dimensiones: emocional; cognitiva; conductual; salud mental; organizacional y psicosocial. </w:t>
      </w:r>
    </w:p>
    <w:p w14:paraId="099ABB08" w14:textId="77777777" w:rsidR="00FE5C47" w:rsidRPr="00FE5C47" w:rsidRDefault="00FE5C47" w:rsidP="00FE5C47">
      <w:pPr>
        <w:spacing w:line="360" w:lineRule="auto"/>
        <w:jc w:val="both"/>
        <w:rPr>
          <w:rFonts w:eastAsia="Calibri"/>
          <w:lang w:val="es-CU" w:eastAsia="en-US"/>
        </w:rPr>
      </w:pPr>
      <w:r w:rsidRPr="00FE5C47">
        <w:rPr>
          <w:rFonts w:eastAsia="Calibri"/>
          <w:i/>
          <w:iCs/>
          <w:lang w:val="es-CU" w:eastAsia="en-US"/>
        </w:rPr>
        <w:t>Epstein</w:t>
      </w:r>
      <w:r w:rsidRPr="00FE5C47">
        <w:rPr>
          <w:rFonts w:eastAsia="Calibri"/>
          <w:lang w:val="es-CU" w:eastAsia="en-US"/>
        </w:rPr>
        <w:t xml:space="preserve"> y </w:t>
      </w:r>
      <w:proofErr w:type="spellStart"/>
      <w:r w:rsidRPr="00FE5C47">
        <w:rPr>
          <w:rFonts w:eastAsia="Calibri"/>
          <w:i/>
          <w:iCs/>
          <w:lang w:val="es-CU" w:eastAsia="en-US"/>
        </w:rPr>
        <w:t>Sloman</w:t>
      </w:r>
      <w:proofErr w:type="spellEnd"/>
      <w:r w:rsidRPr="00FE5C47">
        <w:rPr>
          <w:rFonts w:eastAsia="Calibri"/>
          <w:lang w:val="es-CU" w:eastAsia="en-US"/>
        </w:rPr>
        <w:t xml:space="preserve">, citados por </w:t>
      </w:r>
      <w:proofErr w:type="spellStart"/>
      <w:proofErr w:type="gramStart"/>
      <w:r w:rsidRPr="00FE5C47">
        <w:rPr>
          <w:rFonts w:eastAsia="Calibri"/>
          <w:i/>
          <w:iCs/>
          <w:lang w:val="es-CU" w:eastAsia="en-US"/>
        </w:rPr>
        <w:t>Stanojlovic</w:t>
      </w:r>
      <w:proofErr w:type="spellEnd"/>
      <w:r w:rsidRPr="00FE5C47">
        <w:rPr>
          <w:rFonts w:eastAsia="Calibri"/>
          <w:lang w:val="es-CU" w:eastAsia="en-US"/>
        </w:rPr>
        <w:t>,</w:t>
      </w:r>
      <w:r w:rsidRPr="00FE5C47">
        <w:rPr>
          <w:rFonts w:eastAsia="Calibri"/>
          <w:noProof/>
          <w:vertAlign w:val="superscript"/>
          <w:lang w:val="es-CU" w:eastAsia="en-US"/>
        </w:rPr>
        <w:t>(</w:t>
      </w:r>
      <w:proofErr w:type="gramEnd"/>
      <w:r w:rsidRPr="00FE5C47">
        <w:rPr>
          <w:rFonts w:eastAsia="Calibri"/>
          <w:noProof/>
          <w:vertAlign w:val="superscript"/>
          <w:lang w:val="es-CU" w:eastAsia="en-US"/>
        </w:rPr>
        <w:t>4)</w:t>
      </w:r>
      <w:r w:rsidRPr="00FE5C47">
        <w:rPr>
          <w:rFonts w:eastAsia="Calibri"/>
          <w:lang w:val="es-CU" w:eastAsia="en-US"/>
        </w:rPr>
        <w:t xml:space="preserve"> asumen que el riesgo se percibe, evalúa y controla de 2 maneras fundamentales: por un lado, riesgo como análisis objetivo, que incluye lógica, razón y reflexión científica relacionada con la evaluación y la toma de decisiones; y por otro, el riesgo como sentimiento referido a reacciones instintivas, intuitivas y automáticas al peligro.</w:t>
      </w:r>
      <w:r w:rsidRPr="00FE5C47">
        <w:rPr>
          <w:rFonts w:eastAsia="Calibri"/>
          <w:noProof/>
          <w:vertAlign w:val="superscript"/>
          <w:lang w:val="es-CU" w:eastAsia="en-US"/>
        </w:rPr>
        <w:t>(5)</w:t>
      </w:r>
    </w:p>
    <w:p w14:paraId="1005C7D3" w14:textId="77777777" w:rsidR="00FE5C47" w:rsidRPr="00FE5C47" w:rsidRDefault="00FE5C47" w:rsidP="00FE5C47">
      <w:pPr>
        <w:spacing w:line="360" w:lineRule="auto"/>
        <w:jc w:val="both"/>
        <w:rPr>
          <w:rFonts w:eastAsia="Calibri"/>
          <w:lang w:val="es-CU" w:eastAsia="en-US"/>
        </w:rPr>
      </w:pPr>
      <w:proofErr w:type="spellStart"/>
      <w:r w:rsidRPr="00FE5C47">
        <w:rPr>
          <w:rFonts w:eastAsia="Calibri"/>
          <w:i/>
          <w:iCs/>
          <w:lang w:val="es-CU" w:eastAsia="en-US"/>
        </w:rPr>
        <w:t>Pell</w:t>
      </w:r>
      <w:proofErr w:type="spellEnd"/>
      <w:r w:rsidRPr="00FE5C47">
        <w:rPr>
          <w:rFonts w:eastAsia="Calibri"/>
          <w:i/>
          <w:iCs/>
          <w:lang w:val="es-CU" w:eastAsia="en-US"/>
        </w:rPr>
        <w:t xml:space="preserve"> del Río</w:t>
      </w:r>
      <w:r w:rsidRPr="00FE5C47">
        <w:rPr>
          <w:rFonts w:eastAsia="Calibri"/>
          <w:lang w:val="es-CU" w:eastAsia="en-US"/>
        </w:rPr>
        <w:t xml:space="preserve"> </w:t>
      </w:r>
      <w:r w:rsidRPr="00FE5C47">
        <w:rPr>
          <w:rFonts w:eastAsia="Calibri"/>
          <w:iCs/>
          <w:lang w:val="es-CU" w:eastAsia="en-US"/>
        </w:rPr>
        <w:t xml:space="preserve">y </w:t>
      </w:r>
      <w:proofErr w:type="gramStart"/>
      <w:r w:rsidRPr="00FE5C47">
        <w:rPr>
          <w:rFonts w:eastAsia="Calibri"/>
          <w:iCs/>
          <w:lang w:val="es-CU" w:eastAsia="en-US"/>
        </w:rPr>
        <w:t>otros</w:t>
      </w:r>
      <w:r w:rsidRPr="00FE5C47">
        <w:rPr>
          <w:rFonts w:eastAsia="Calibri"/>
          <w:noProof/>
          <w:vertAlign w:val="superscript"/>
          <w:lang w:val="es-CU" w:eastAsia="en-US"/>
        </w:rPr>
        <w:t>(</w:t>
      </w:r>
      <w:proofErr w:type="gramEnd"/>
      <w:r w:rsidRPr="00FE5C47">
        <w:rPr>
          <w:rFonts w:eastAsia="Calibri"/>
          <w:noProof/>
          <w:vertAlign w:val="superscript"/>
          <w:lang w:val="es-CU" w:eastAsia="en-US"/>
        </w:rPr>
        <w:t>6)</w:t>
      </w:r>
      <w:r w:rsidRPr="00FE5C47">
        <w:rPr>
          <w:rFonts w:eastAsia="Calibri"/>
          <w:lang w:val="es-CU" w:eastAsia="en-US"/>
        </w:rPr>
        <w:t xml:space="preserve"> refieren la percepción de riesgo como un proceso cognoscitivo del hombre, el cual influye en las características y gravedad del riesgo, las experiencias vividas, la cantidad y calidad de la información, los valores individuales y sociales, y los conocimientos sobre el fenómeno que causa el riesgo. Por otro lado </w:t>
      </w:r>
      <w:proofErr w:type="gramStart"/>
      <w:r w:rsidRPr="00FE5C47">
        <w:rPr>
          <w:rFonts w:eastAsia="Calibri"/>
          <w:i/>
          <w:iCs/>
          <w:lang w:val="es-CU" w:eastAsia="en-US"/>
        </w:rPr>
        <w:t>Casales</w:t>
      </w:r>
      <w:r w:rsidRPr="00FE5C47">
        <w:rPr>
          <w:rFonts w:eastAsia="Calibri"/>
          <w:noProof/>
          <w:vertAlign w:val="superscript"/>
          <w:lang w:val="es-CU" w:eastAsia="en-US"/>
        </w:rPr>
        <w:t>(</w:t>
      </w:r>
      <w:proofErr w:type="gramEnd"/>
      <w:r w:rsidRPr="00FE5C47">
        <w:rPr>
          <w:rFonts w:eastAsia="Calibri"/>
          <w:noProof/>
          <w:vertAlign w:val="superscript"/>
          <w:lang w:val="es-CU" w:eastAsia="en-US"/>
        </w:rPr>
        <w:t>7)</w:t>
      </w:r>
      <w:r w:rsidRPr="00FE5C47">
        <w:rPr>
          <w:rFonts w:eastAsia="Calibri"/>
          <w:lang w:val="es-CU" w:eastAsia="en-US"/>
        </w:rPr>
        <w:t xml:space="preserve"> refiere que es una construcción social, determinada por el juicio subjetivo que la persona hace sobre las características y la gravedad de una amenaza. </w:t>
      </w:r>
    </w:p>
    <w:p w14:paraId="48CF99AE"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Cualquier estrategia diseñada para el aumento de la percepción de riesgo, involucra inevitablemente los procesos de cambio o modificación de las actitudes subyacentes hacia los indicadores de riesgo definidos en el protocolo establecido por la Organización Mundial de la Salud (OMS) para la COVID-19. Entre ellos se destacan, el uso de mascarillas, el distanciamiento social y la higienización sistemática de las manos; pero la modificación de actitudes constituye un complejo proceso que no se resuelve solo, ni simplemente, a partir de la información suministrada.</w:t>
      </w:r>
    </w:p>
    <w:p w14:paraId="5F47929C" w14:textId="77777777" w:rsidR="00FE5C47" w:rsidRPr="00FE5C47" w:rsidRDefault="00FE5C47" w:rsidP="00FE5C47">
      <w:pPr>
        <w:spacing w:line="360" w:lineRule="auto"/>
        <w:jc w:val="both"/>
        <w:rPr>
          <w:rFonts w:eastAsia="Calibri"/>
          <w:lang w:val="es-CU" w:eastAsia="en-US"/>
        </w:rPr>
      </w:pPr>
      <w:r w:rsidRPr="00FE5C47">
        <w:rPr>
          <w:rFonts w:eastAsia="Calibri"/>
          <w:i/>
          <w:iCs/>
          <w:lang w:val="es-CU" w:eastAsia="en-US"/>
        </w:rPr>
        <w:t>Chauvin</w:t>
      </w:r>
      <w:r w:rsidRPr="00FE5C47">
        <w:rPr>
          <w:rFonts w:eastAsia="Calibri"/>
          <w:lang w:val="es-CU" w:eastAsia="en-US"/>
        </w:rPr>
        <w:t xml:space="preserve"> y </w:t>
      </w:r>
      <w:proofErr w:type="gramStart"/>
      <w:r w:rsidRPr="00FE5C47">
        <w:rPr>
          <w:rFonts w:eastAsia="Calibri"/>
          <w:lang w:val="es-CU" w:eastAsia="en-US"/>
        </w:rPr>
        <w:t>otros</w:t>
      </w:r>
      <w:r w:rsidRPr="00FE5C47">
        <w:rPr>
          <w:rFonts w:eastAsia="Calibri"/>
          <w:noProof/>
          <w:vertAlign w:val="superscript"/>
          <w:lang w:val="es-CU" w:eastAsia="en-US"/>
        </w:rPr>
        <w:t>(</w:t>
      </w:r>
      <w:proofErr w:type="gramEnd"/>
      <w:r w:rsidRPr="00FE5C47">
        <w:rPr>
          <w:rFonts w:eastAsia="Calibri"/>
          <w:noProof/>
          <w:vertAlign w:val="superscript"/>
          <w:lang w:val="es-CU" w:eastAsia="en-US"/>
        </w:rPr>
        <w:t>8)</w:t>
      </w:r>
      <w:r w:rsidRPr="00FE5C47">
        <w:rPr>
          <w:rFonts w:eastAsia="Calibri"/>
          <w:lang w:val="es-CU" w:eastAsia="en-US"/>
        </w:rPr>
        <w:t xml:space="preserve"> consideran que la mayoría de las investigaciones sobre la percepción de riesgo se ha centrado en dos preguntas claves: “¿Por qué ciertos riesgos se perciben como más peligrosos que otros por la población general?” y “¿Por qué los individuos se diferencian en su percepción del riesgo asociado a un mismo peligro?”</w:t>
      </w:r>
    </w:p>
    <w:p w14:paraId="57D041D0"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Asegura </w:t>
      </w:r>
      <w:proofErr w:type="gramStart"/>
      <w:r w:rsidRPr="00FE5C47">
        <w:rPr>
          <w:rFonts w:eastAsia="Calibri"/>
          <w:i/>
          <w:iCs/>
          <w:lang w:val="es-CU" w:eastAsia="en-US"/>
        </w:rPr>
        <w:t>Matute</w:t>
      </w:r>
      <w:r w:rsidRPr="00FE5C47">
        <w:rPr>
          <w:rFonts w:eastAsia="Calibri"/>
          <w:noProof/>
          <w:vertAlign w:val="superscript"/>
          <w:lang w:val="es-CU" w:eastAsia="en-US"/>
        </w:rPr>
        <w:t>(</w:t>
      </w:r>
      <w:proofErr w:type="gramEnd"/>
      <w:r w:rsidRPr="00FE5C47">
        <w:rPr>
          <w:rFonts w:eastAsia="Calibri"/>
          <w:noProof/>
          <w:vertAlign w:val="superscript"/>
          <w:lang w:val="es-CU" w:eastAsia="en-US"/>
        </w:rPr>
        <w:t>9)</w:t>
      </w:r>
      <w:r w:rsidRPr="00FE5C47">
        <w:rPr>
          <w:rFonts w:eastAsia="Calibri"/>
          <w:lang w:val="es-CU" w:eastAsia="en-US"/>
        </w:rPr>
        <w:t xml:space="preserve"> que “el miedo y la ansiedad agudiza los sesgos, porque no nos dejan pensar con claridad. Pero hoy más que nunca debemos tratar de evitarlos”. </w:t>
      </w:r>
    </w:p>
    <w:p w14:paraId="6B79ABEA"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lastRenderedPageBreak/>
        <w:t xml:space="preserve">Un mes después que el Director General de la OMS, el doctor </w:t>
      </w:r>
      <w:proofErr w:type="spellStart"/>
      <w:r w:rsidRPr="00FE5C47">
        <w:rPr>
          <w:rFonts w:eastAsia="Calibri"/>
          <w:i/>
          <w:iCs/>
          <w:lang w:val="es-CU" w:eastAsia="en-US"/>
        </w:rPr>
        <w:t>Tedros</w:t>
      </w:r>
      <w:proofErr w:type="spellEnd"/>
      <w:r w:rsidRPr="00FE5C47">
        <w:rPr>
          <w:rFonts w:eastAsia="Calibri"/>
          <w:i/>
          <w:iCs/>
          <w:lang w:val="es-CU" w:eastAsia="en-US"/>
        </w:rPr>
        <w:t xml:space="preserve"> </w:t>
      </w:r>
      <w:proofErr w:type="spellStart"/>
      <w:r w:rsidRPr="00FE5C47">
        <w:rPr>
          <w:rFonts w:eastAsia="Calibri"/>
          <w:i/>
          <w:iCs/>
          <w:lang w:val="es-CU" w:eastAsia="en-US"/>
        </w:rPr>
        <w:t>Adhanom</w:t>
      </w:r>
      <w:proofErr w:type="spellEnd"/>
      <w:r w:rsidRPr="00FE5C47">
        <w:rPr>
          <w:rFonts w:eastAsia="Calibri"/>
          <w:i/>
          <w:iCs/>
          <w:lang w:val="es-CU" w:eastAsia="en-US"/>
        </w:rPr>
        <w:t xml:space="preserve"> </w:t>
      </w:r>
      <w:proofErr w:type="spellStart"/>
      <w:r w:rsidRPr="00FE5C47">
        <w:rPr>
          <w:rFonts w:eastAsia="Calibri"/>
          <w:i/>
          <w:iCs/>
          <w:lang w:val="es-CU" w:eastAsia="en-US"/>
        </w:rPr>
        <w:t>Ghebreyesus</w:t>
      </w:r>
      <w:proofErr w:type="spellEnd"/>
      <w:r w:rsidRPr="00FE5C47">
        <w:rPr>
          <w:rFonts w:eastAsia="Calibri"/>
          <w:lang w:val="es-CU" w:eastAsia="en-US"/>
        </w:rPr>
        <w:t xml:space="preserve">, declaró a la COVID-19 como una pandemia de envergadura </w:t>
      </w:r>
      <w:proofErr w:type="gramStart"/>
      <w:r w:rsidRPr="00FE5C47">
        <w:rPr>
          <w:rFonts w:eastAsia="Calibri"/>
          <w:lang w:val="es-CU" w:eastAsia="en-US"/>
        </w:rPr>
        <w:t>mundial,</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10)</w:t>
      </w:r>
      <w:r w:rsidRPr="00FE5C47">
        <w:rPr>
          <w:rFonts w:eastAsia="Calibri"/>
          <w:lang w:val="es-CU" w:eastAsia="en-US"/>
        </w:rPr>
        <w:t xml:space="preserve"> avizoraba la necesidad de acometer procesos complejos de comunicación, para enfrentar la situación de crisis agravada, que se avecinaba debido a 3 amenazas principales: la no percepción del riesgo, la duración de la crisis y sus efectos colaterales.</w:t>
      </w:r>
    </w:p>
    <w:p w14:paraId="35C52AAB"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El objetivo de la presente investigación fue explorar las actitudes y percepciones de la población de La Habana sobre la COVID-19.</w:t>
      </w:r>
    </w:p>
    <w:p w14:paraId="6802A2EF" w14:textId="77777777" w:rsidR="00FE5C47" w:rsidRPr="00FE5C47" w:rsidRDefault="00FE5C47" w:rsidP="00FE5C47">
      <w:pPr>
        <w:spacing w:line="360" w:lineRule="auto"/>
        <w:jc w:val="both"/>
        <w:rPr>
          <w:rFonts w:eastAsia="Calibri"/>
          <w:lang w:val="es-CU" w:eastAsia="en-US"/>
        </w:rPr>
      </w:pPr>
    </w:p>
    <w:p w14:paraId="4831893C" w14:textId="77777777" w:rsidR="00FE5C47" w:rsidRPr="00FE5C47" w:rsidRDefault="00FE5C47" w:rsidP="00FE5C47">
      <w:pPr>
        <w:spacing w:line="360" w:lineRule="auto"/>
        <w:jc w:val="both"/>
        <w:rPr>
          <w:rFonts w:eastAsia="Calibri"/>
          <w:b/>
          <w:lang w:val="es-CU" w:eastAsia="en-US"/>
        </w:rPr>
      </w:pPr>
    </w:p>
    <w:p w14:paraId="2F6A978B" w14:textId="77777777" w:rsidR="00FE5C47" w:rsidRPr="00FE5C47" w:rsidRDefault="00FE5C47" w:rsidP="00FE5C47">
      <w:pPr>
        <w:spacing w:line="360" w:lineRule="auto"/>
        <w:jc w:val="center"/>
        <w:rPr>
          <w:rFonts w:eastAsia="Calibri"/>
          <w:b/>
          <w:sz w:val="32"/>
          <w:szCs w:val="32"/>
          <w:lang w:val="es-CU" w:eastAsia="en-US"/>
        </w:rPr>
      </w:pPr>
      <w:r w:rsidRPr="00FE5C47">
        <w:rPr>
          <w:rFonts w:eastAsia="Calibri"/>
          <w:b/>
          <w:sz w:val="32"/>
          <w:szCs w:val="32"/>
          <w:lang w:val="es-CU" w:eastAsia="en-US"/>
        </w:rPr>
        <w:t>MÉTODOS</w:t>
      </w:r>
    </w:p>
    <w:p w14:paraId="274473AF"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Se realizó un estudio descriptivo transversal en la población de La Habana, Cuba, desde mayo hasta julio del año 2021, sobre la opinión de la población, relacionado con las causas que consideran sobre la situación actual referente a la pandemia de la COVID-19 en el país. </w:t>
      </w:r>
    </w:p>
    <w:p w14:paraId="0816BF4B"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Se aplicó una encuesta online en </w:t>
      </w:r>
      <w:r w:rsidRPr="00FE5C47">
        <w:rPr>
          <w:rFonts w:eastAsia="Calibri"/>
          <w:iCs/>
          <w:lang w:val="es-CU" w:eastAsia="en-US"/>
        </w:rPr>
        <w:t xml:space="preserve">Google </w:t>
      </w:r>
      <w:proofErr w:type="spellStart"/>
      <w:r w:rsidRPr="00FE5C47">
        <w:rPr>
          <w:rFonts w:eastAsia="Calibri"/>
          <w:iCs/>
          <w:lang w:val="es-CU" w:eastAsia="en-US"/>
        </w:rPr>
        <w:t>Form</w:t>
      </w:r>
      <w:proofErr w:type="spellEnd"/>
      <w:r w:rsidRPr="00FE5C47">
        <w:rPr>
          <w:rFonts w:eastAsia="Calibri"/>
          <w:i/>
          <w:lang w:val="es-CU" w:eastAsia="en-US"/>
        </w:rPr>
        <w:t xml:space="preserve">, </w:t>
      </w:r>
      <w:r w:rsidRPr="00FE5C47">
        <w:rPr>
          <w:rFonts w:eastAsia="Calibri"/>
          <w:lang w:val="es-CU" w:eastAsia="en-US"/>
        </w:rPr>
        <w:t xml:space="preserve">que fue respondida por ciudadanos de todos los municipios de La Habana, acerca de la percepción sobre las causas atribuibles a la situación epidemiológica actual de la pandemia en este territorio. </w:t>
      </w:r>
    </w:p>
    <w:p w14:paraId="6BB554FE"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La encuesta fue distribuida por grupos poblaciones de interés ciudadano en </w:t>
      </w:r>
      <w:proofErr w:type="spellStart"/>
      <w:r w:rsidRPr="00FE5C47">
        <w:rPr>
          <w:rFonts w:eastAsia="Calibri"/>
          <w:iCs/>
          <w:lang w:val="es-CU" w:eastAsia="en-US"/>
        </w:rPr>
        <w:t>Telegram</w:t>
      </w:r>
      <w:proofErr w:type="spellEnd"/>
      <w:r w:rsidRPr="00FE5C47">
        <w:rPr>
          <w:rFonts w:eastAsia="Calibri"/>
          <w:lang w:val="es-CU" w:eastAsia="en-US"/>
        </w:rPr>
        <w:t>® y otras redes sociales; se mantuvo en línea durante 2 meses.</w:t>
      </w:r>
    </w:p>
    <w:p w14:paraId="268A8FAF" w14:textId="77777777" w:rsidR="00FE5C47" w:rsidRPr="00FE5C47" w:rsidRDefault="00FE5C47" w:rsidP="00FE5C47">
      <w:pPr>
        <w:spacing w:line="360" w:lineRule="auto"/>
        <w:jc w:val="center"/>
        <w:rPr>
          <w:rFonts w:eastAsia="Calibri"/>
          <w:sz w:val="28"/>
          <w:szCs w:val="28"/>
          <w:lang w:val="es-CU" w:eastAsia="en-US"/>
        </w:rPr>
      </w:pPr>
      <w:r w:rsidRPr="00FE5C47">
        <w:rPr>
          <w:rFonts w:eastAsia="Calibri"/>
          <w:b/>
          <w:sz w:val="28"/>
          <w:szCs w:val="28"/>
          <w:lang w:val="es-CU" w:eastAsia="en-US"/>
        </w:rPr>
        <w:t>Variables de estudio</w:t>
      </w:r>
    </w:p>
    <w:p w14:paraId="2CB6E658"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Caracterización demográfica de la población: sexo, grupo de edades, número de residentes en la vivienda, nivel escolar y municipio de residencia.</w:t>
      </w:r>
    </w:p>
    <w:p w14:paraId="7FAF9987"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Relacionadas con el objetivo del estudio: causas atribuibles a la situación epidemiológica actual, agrupadas en causas sociales, estatales y externas. </w:t>
      </w:r>
    </w:p>
    <w:p w14:paraId="0EA1CEE6" w14:textId="77777777" w:rsidR="00FE5C47" w:rsidRPr="00FE5C47" w:rsidRDefault="00FE5C47" w:rsidP="00FE5C47">
      <w:pPr>
        <w:spacing w:line="360" w:lineRule="auto"/>
        <w:jc w:val="both"/>
        <w:rPr>
          <w:rFonts w:eastAsia="Calibri"/>
          <w:bCs/>
          <w:lang w:val="es-CU" w:eastAsia="en-US"/>
        </w:rPr>
      </w:pPr>
      <w:r w:rsidRPr="00FE5C47">
        <w:rPr>
          <w:rFonts w:eastAsia="Calibri"/>
          <w:bCs/>
          <w:lang w:val="es-CU" w:eastAsia="en-US"/>
        </w:rPr>
        <w:t>Estatales:</w:t>
      </w:r>
    </w:p>
    <w:p w14:paraId="708B14F5" w14:textId="77777777" w:rsidR="00FE5C47" w:rsidRPr="00FE5C47" w:rsidRDefault="00FE5C47" w:rsidP="00FE5C47">
      <w:pPr>
        <w:spacing w:line="360" w:lineRule="auto"/>
        <w:jc w:val="both"/>
        <w:rPr>
          <w:rFonts w:eastAsia="Calibri"/>
          <w:bCs/>
          <w:lang w:val="es-CU" w:eastAsia="en-US"/>
        </w:rPr>
      </w:pPr>
      <w:r w:rsidRPr="00FE5C47">
        <w:rPr>
          <w:rFonts w:eastAsia="Calibri"/>
          <w:bCs/>
          <w:lang w:val="es-CU" w:eastAsia="en-US"/>
        </w:rPr>
        <w:t xml:space="preserve"> </w:t>
      </w:r>
    </w:p>
    <w:p w14:paraId="22AFFF2E"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 xml:space="preserve">E1. Reapertura de hoteles, reservaciones en playas y centros turísticos. </w:t>
      </w:r>
    </w:p>
    <w:p w14:paraId="54DD4B12"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 xml:space="preserve">E2. Incorrecta evaluación de los riesgos potenciales. </w:t>
      </w:r>
    </w:p>
    <w:p w14:paraId="4895D6B1"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 xml:space="preserve">E3. Ayuda brindada por el gobierno a pasajeros con la COVID-19 del crucero británico. </w:t>
      </w:r>
    </w:p>
    <w:p w14:paraId="375A2662"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lastRenderedPageBreak/>
        <w:t xml:space="preserve">E4. Violación del distanciamiento social (reuniones, transporte público…). </w:t>
      </w:r>
    </w:p>
    <w:p w14:paraId="187F4E87"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E5. Eliminación de las pesquisas activa de casos sospechosos en la comunidad.</w:t>
      </w:r>
    </w:p>
    <w:p w14:paraId="66F44B1C"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E6.  Apertura de aeropuertos (entrada de viajeros del exterior).</w:t>
      </w:r>
    </w:p>
    <w:p w14:paraId="44F2689C"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E7. Baja eficacia de la acción policial y penal para evitar violaciones de la ley sobre la COVID-19</w:t>
      </w:r>
    </w:p>
    <w:p w14:paraId="22A3F0AE"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 xml:space="preserve">E8. Débil vigilancia y aplicación de las medidas de prevención en los centros laborales. </w:t>
      </w:r>
    </w:p>
    <w:p w14:paraId="06550C0C"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 xml:space="preserve">E9. No aplicación de pesquisa activa en aglomeraciones públicas, centros laborales y otros sitios de alto riesgo. </w:t>
      </w:r>
    </w:p>
    <w:p w14:paraId="07BBCAC1"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E10. Demoras en el aislamiento de los casos positivos detectados</w:t>
      </w:r>
    </w:p>
    <w:p w14:paraId="4A5E0FE6"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E11. Irregularidades en la trasportación de casos positivos a centros de aislamiento</w:t>
      </w:r>
    </w:p>
    <w:p w14:paraId="1594D6D4"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 xml:space="preserve">E12. Demoras en la comunicación de los resultados de PCR a los </w:t>
      </w:r>
      <w:proofErr w:type="gramStart"/>
      <w:r w:rsidRPr="00FE5C47">
        <w:rPr>
          <w:rFonts w:eastAsia="Calibri"/>
          <w:lang w:val="es-CU" w:eastAsia="en-US"/>
        </w:rPr>
        <w:t>sospechosos.*</w:t>
      </w:r>
      <w:proofErr w:type="gramEnd"/>
    </w:p>
    <w:p w14:paraId="0A02488D"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E13. Deterioro de las condiciones de vida en los centros de aislamiento.</w:t>
      </w:r>
    </w:p>
    <w:p w14:paraId="14A61248"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 xml:space="preserve">E14. Desgaste del sistema de salud por la duración de la pandemia, estrés, cansancio…  </w:t>
      </w:r>
    </w:p>
    <w:p w14:paraId="42180B74"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E15. Descontrol de la evolución y seguimiento de la pandemia en las comunidades</w:t>
      </w:r>
    </w:p>
    <w:p w14:paraId="2F7C3CEE" w14:textId="77777777" w:rsidR="00FE5C47" w:rsidRPr="00FE5C47" w:rsidRDefault="00FE5C47" w:rsidP="00FE5C47">
      <w:pPr>
        <w:spacing w:line="360" w:lineRule="auto"/>
        <w:ind w:left="720"/>
        <w:rPr>
          <w:rFonts w:eastAsia="Calibri"/>
          <w:lang w:val="es-CU" w:eastAsia="en-US"/>
        </w:rPr>
      </w:pPr>
      <w:r w:rsidRPr="00FE5C47">
        <w:rPr>
          <w:rFonts w:eastAsia="Calibri"/>
          <w:lang w:val="es-CU" w:eastAsia="en-US"/>
        </w:rPr>
        <w:t>E16. Relajamiento por cansancio o desgaste de hacerlo durante tanto tiempo</w:t>
      </w:r>
    </w:p>
    <w:p w14:paraId="4C3A3D7E" w14:textId="77777777" w:rsidR="00FE5C47" w:rsidRPr="00FE5C47" w:rsidRDefault="00FE5C47" w:rsidP="00FE5C47">
      <w:pPr>
        <w:spacing w:line="360" w:lineRule="auto"/>
        <w:jc w:val="both"/>
        <w:rPr>
          <w:rFonts w:eastAsia="Calibri"/>
          <w:b/>
          <w:lang w:val="es-CU" w:eastAsia="en-US"/>
        </w:rPr>
      </w:pPr>
    </w:p>
    <w:p w14:paraId="7155EC1A" w14:textId="77777777" w:rsidR="00FE5C47" w:rsidRPr="00FE5C47" w:rsidRDefault="00FE5C47" w:rsidP="00FE5C47">
      <w:pPr>
        <w:spacing w:line="360" w:lineRule="auto"/>
        <w:jc w:val="both"/>
        <w:rPr>
          <w:rFonts w:eastAsia="Calibri"/>
          <w:bCs/>
          <w:lang w:val="es-CU" w:eastAsia="en-US"/>
        </w:rPr>
      </w:pPr>
      <w:r w:rsidRPr="00FE5C47">
        <w:rPr>
          <w:rFonts w:eastAsia="Calibri"/>
          <w:bCs/>
          <w:lang w:val="es-CU" w:eastAsia="en-US"/>
        </w:rPr>
        <w:t xml:space="preserve">Sociales: </w:t>
      </w:r>
    </w:p>
    <w:p w14:paraId="084F9FC7" w14:textId="77777777" w:rsidR="00FE5C47" w:rsidRPr="00FE5C47" w:rsidRDefault="00FE5C47" w:rsidP="00FE5C47">
      <w:pPr>
        <w:spacing w:line="360" w:lineRule="auto"/>
        <w:jc w:val="both"/>
        <w:rPr>
          <w:rFonts w:eastAsia="Calibri"/>
          <w:lang w:val="es-CU" w:eastAsia="en-US"/>
        </w:rPr>
      </w:pPr>
    </w:p>
    <w:p w14:paraId="71B1525B"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S1. Exceso de confianza por la disminución inicial de casos positivos y la baja mortalidad.</w:t>
      </w:r>
    </w:p>
    <w:p w14:paraId="3AB16EAF"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S2. No cree que el uso de la mascarilla, el lavado de las manos o el distanciamiento social reduzca el contagio de la COVID-19.</w:t>
      </w:r>
    </w:p>
    <w:p w14:paraId="43F012B4"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S3. Exceso de optimismo por bajas tasas con relación al mundo (medicamentos, vacunas, protocolos, sistema de salud…).</w:t>
      </w:r>
    </w:p>
    <w:p w14:paraId="6C0A6924"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S4. Aglomeraciones públicas (colas en tiendas, bancos, oficinas de trámites…).</w:t>
      </w:r>
    </w:p>
    <w:p w14:paraId="66707D8A"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S5. Baja percepción de riesgo individual y social.</w:t>
      </w:r>
    </w:p>
    <w:p w14:paraId="048D13E4"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S6. Resquebrajamiento de la disciplina social (visitas, desplazamiento, celebraciones…).</w:t>
      </w:r>
    </w:p>
    <w:p w14:paraId="3340D5DD"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S7. Celebración y festividades de fin de año, cumpleaños, fiestas religiosas.</w:t>
      </w:r>
    </w:p>
    <w:p w14:paraId="5959566D"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S8. Hospedaje de viajeros provenientes del exterior en casas de familiares y de alquiler.</w:t>
      </w:r>
    </w:p>
    <w:p w14:paraId="535576F4"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lastRenderedPageBreak/>
        <w:t>S9. Falta de control de las familias sobre los menores y jóvenes en las comunidades.</w:t>
      </w:r>
    </w:p>
    <w:p w14:paraId="10C142F0"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S10. Violación de las medidas de cuarentena por viajeros recedentes del exterior.</w:t>
      </w:r>
    </w:p>
    <w:p w14:paraId="6131B1ED"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S11. Ocultamiento por los contagiados de los contactos con otras personas.</w:t>
      </w:r>
    </w:p>
    <w:p w14:paraId="4A83A88A"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S12. Resistencia y negación de los contagiados a ingresar en centros de aislamiento.</w:t>
      </w:r>
    </w:p>
    <w:p w14:paraId="37E58F00"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S13. Pesimismo, desconfianza…de que la situación va mejorar.</w:t>
      </w:r>
    </w:p>
    <w:p w14:paraId="7CABB6CF" w14:textId="77777777" w:rsidR="00FE5C47" w:rsidRPr="00FE5C47" w:rsidRDefault="00FE5C47" w:rsidP="00FE5C47">
      <w:pPr>
        <w:spacing w:line="360" w:lineRule="auto"/>
        <w:ind w:left="720"/>
        <w:jc w:val="both"/>
        <w:rPr>
          <w:rFonts w:eastAsia="Calibri"/>
          <w:lang w:val="es-CU" w:eastAsia="en-US"/>
        </w:rPr>
      </w:pPr>
      <w:r w:rsidRPr="00FE5C47">
        <w:rPr>
          <w:rFonts w:eastAsia="Calibri"/>
          <w:lang w:val="es-CU" w:eastAsia="en-US"/>
        </w:rPr>
        <w:t>S14. Circulación de informaciones falsas sobre la enfermedad, sus consecuencias y medidas para enfrentarlas.</w:t>
      </w:r>
    </w:p>
    <w:p w14:paraId="62910BCC" w14:textId="77777777" w:rsidR="00FE5C47" w:rsidRPr="00FE5C47" w:rsidRDefault="00FE5C47" w:rsidP="00FE5C47">
      <w:pPr>
        <w:spacing w:line="360" w:lineRule="auto"/>
        <w:jc w:val="both"/>
        <w:rPr>
          <w:rFonts w:eastAsia="Calibri"/>
          <w:lang w:val="es-CU" w:eastAsia="en-US"/>
        </w:rPr>
      </w:pPr>
    </w:p>
    <w:p w14:paraId="717E80D3" w14:textId="77777777" w:rsidR="00FE5C47" w:rsidRPr="00FE5C47" w:rsidRDefault="00FE5C47" w:rsidP="00FE5C47">
      <w:pPr>
        <w:spacing w:line="360" w:lineRule="auto"/>
        <w:contextualSpacing/>
        <w:jc w:val="both"/>
        <w:rPr>
          <w:rFonts w:eastAsia="Calibri"/>
          <w:bCs/>
          <w:lang w:val="es-CU" w:eastAsia="en-US"/>
        </w:rPr>
      </w:pPr>
      <w:r w:rsidRPr="00FE5C47">
        <w:rPr>
          <w:rFonts w:eastAsia="Calibri"/>
          <w:bCs/>
          <w:lang w:val="es-CU" w:eastAsia="en-US"/>
        </w:rPr>
        <w:t xml:space="preserve">Externas: </w:t>
      </w:r>
    </w:p>
    <w:p w14:paraId="1D211830" w14:textId="77777777" w:rsidR="00FE5C47" w:rsidRPr="00FE5C47" w:rsidRDefault="00FE5C47" w:rsidP="00FE5C47">
      <w:pPr>
        <w:spacing w:line="360" w:lineRule="auto"/>
        <w:contextualSpacing/>
        <w:jc w:val="both"/>
        <w:rPr>
          <w:rFonts w:eastAsia="Calibri"/>
          <w:lang w:val="es-CU" w:eastAsia="en-US"/>
        </w:rPr>
      </w:pPr>
    </w:p>
    <w:p w14:paraId="19A9B4E5" w14:textId="77777777" w:rsidR="00FE5C47" w:rsidRPr="00FE5C47" w:rsidRDefault="00FE5C47" w:rsidP="00FE5C47">
      <w:pPr>
        <w:spacing w:line="360" w:lineRule="auto"/>
        <w:ind w:left="720"/>
        <w:contextualSpacing/>
        <w:jc w:val="both"/>
        <w:rPr>
          <w:rFonts w:eastAsia="Calibri"/>
          <w:lang w:val="es-CU" w:eastAsia="en-US"/>
        </w:rPr>
      </w:pPr>
      <w:r w:rsidRPr="00FE5C47">
        <w:rPr>
          <w:rFonts w:eastAsia="Calibri"/>
          <w:lang w:val="es-CU" w:eastAsia="en-US"/>
        </w:rPr>
        <w:t xml:space="preserve">EX1. Aparición de nuevas variantes y patrones de mutación del virus. </w:t>
      </w:r>
    </w:p>
    <w:p w14:paraId="1E8D654C" w14:textId="77777777" w:rsidR="00FE5C47" w:rsidRPr="00FE5C47" w:rsidRDefault="00FE5C47" w:rsidP="00FE5C47">
      <w:pPr>
        <w:spacing w:line="360" w:lineRule="auto"/>
        <w:contextualSpacing/>
        <w:jc w:val="both"/>
        <w:rPr>
          <w:rFonts w:eastAsia="Calibri"/>
          <w:lang w:val="es-CU" w:eastAsia="en-US"/>
        </w:rPr>
      </w:pPr>
      <w:r w:rsidRPr="00FE5C47">
        <w:rPr>
          <w:rFonts w:eastAsia="Calibri"/>
          <w:lang w:val="es-CU" w:eastAsia="en-US"/>
        </w:rPr>
        <w:t xml:space="preserve"> </w:t>
      </w:r>
    </w:p>
    <w:p w14:paraId="3173DF9D" w14:textId="77777777" w:rsidR="00FE5C47" w:rsidRPr="00FE5C47" w:rsidRDefault="00FE5C47" w:rsidP="00FE5C47">
      <w:pPr>
        <w:spacing w:line="360" w:lineRule="auto"/>
        <w:jc w:val="center"/>
        <w:rPr>
          <w:rFonts w:eastAsia="Calibri"/>
          <w:b/>
          <w:sz w:val="28"/>
          <w:szCs w:val="28"/>
          <w:lang w:val="es-CU" w:eastAsia="en-US"/>
        </w:rPr>
      </w:pPr>
      <w:r w:rsidRPr="00FE5C47">
        <w:rPr>
          <w:rFonts w:eastAsia="Calibri"/>
          <w:b/>
          <w:sz w:val="28"/>
          <w:szCs w:val="28"/>
          <w:lang w:val="es-CU" w:eastAsia="en-US"/>
        </w:rPr>
        <w:t>Procesamiento de la información</w:t>
      </w:r>
    </w:p>
    <w:p w14:paraId="45565D0E" w14:textId="77777777" w:rsidR="00FE5C47" w:rsidRPr="00FE5C47" w:rsidRDefault="00FE5C47" w:rsidP="00FE5C47">
      <w:pPr>
        <w:spacing w:line="360" w:lineRule="auto"/>
        <w:jc w:val="both"/>
        <w:rPr>
          <w:rFonts w:eastAsia="Calibri"/>
          <w:b/>
          <w:strike/>
          <w:color w:val="FF0000"/>
          <w:lang w:val="es-CU" w:eastAsia="en-US"/>
        </w:rPr>
      </w:pPr>
      <w:r w:rsidRPr="00FE5C47">
        <w:rPr>
          <w:rFonts w:eastAsia="Calibri"/>
          <w:lang w:val="es-CU" w:eastAsia="en-US"/>
        </w:rPr>
        <w:t xml:space="preserve">La base datos de esta investigación se encuentra el repositorio de datos de </w:t>
      </w:r>
      <w:proofErr w:type="spellStart"/>
      <w:proofErr w:type="gramStart"/>
      <w:r w:rsidRPr="00FE5C47">
        <w:rPr>
          <w:rFonts w:eastAsia="Calibri"/>
          <w:lang w:val="es-CU" w:eastAsia="en-US"/>
        </w:rPr>
        <w:t>Zenodo</w:t>
      </w:r>
      <w:proofErr w:type="spellEnd"/>
      <w:r w:rsidRPr="00FE5C47">
        <w:rPr>
          <w:rFonts w:eastAsia="Calibri"/>
          <w:lang w:val="es-CU" w:eastAsia="en-US"/>
        </w:rPr>
        <w:t>.</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11)</w:t>
      </w:r>
      <w:r w:rsidRPr="00FE5C47">
        <w:rPr>
          <w:rFonts w:eastAsia="Calibri"/>
          <w:lang w:val="es-CU" w:eastAsia="en-US"/>
        </w:rPr>
        <w:t xml:space="preserve"> Las variables individuales se dicotomizaron (Si/No) para su procesamiento. </w:t>
      </w:r>
    </w:p>
    <w:p w14:paraId="1D3CC5D1"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Los resultados se exportaron a una hoja de cálculo de Microsoft Excel® y se llevaron al sistema estadístico SPSS Versión 25 en el cual se realizó:</w:t>
      </w:r>
    </w:p>
    <w:p w14:paraId="3F7DB3B3" w14:textId="77777777" w:rsidR="00FE5C47" w:rsidRPr="00FE5C47" w:rsidRDefault="00FE5C47" w:rsidP="00FE5C47">
      <w:pPr>
        <w:spacing w:line="360" w:lineRule="auto"/>
        <w:jc w:val="both"/>
        <w:rPr>
          <w:rFonts w:eastAsia="Calibri"/>
          <w:lang w:val="es-CU" w:eastAsia="en-US"/>
        </w:rPr>
      </w:pPr>
    </w:p>
    <w:p w14:paraId="5463AC86" w14:textId="77777777" w:rsidR="00FE5C47" w:rsidRPr="00FE5C47" w:rsidRDefault="00FE5C47" w:rsidP="00FE5C47">
      <w:pPr>
        <w:numPr>
          <w:ilvl w:val="0"/>
          <w:numId w:val="5"/>
        </w:numPr>
        <w:autoSpaceDE w:val="0"/>
        <w:autoSpaceDN w:val="0"/>
        <w:adjustRightInd w:val="0"/>
        <w:spacing w:after="160" w:line="360" w:lineRule="auto"/>
        <w:contextualSpacing/>
        <w:jc w:val="both"/>
        <w:rPr>
          <w:rFonts w:eastAsia="Calibri"/>
          <w:lang w:val="es-CU" w:eastAsia="en-US"/>
        </w:rPr>
      </w:pPr>
      <w:r w:rsidRPr="00FE5C47">
        <w:rPr>
          <w:rFonts w:eastAsia="Calibri"/>
          <w:lang w:val="es-CU" w:eastAsia="en-US"/>
        </w:rPr>
        <w:t>Elaboración de distribuciones de frecuencias de las variables sociodemográficas</w:t>
      </w:r>
    </w:p>
    <w:p w14:paraId="0EDE69FF" w14:textId="77777777" w:rsidR="00FE5C47" w:rsidRPr="00FE5C47" w:rsidRDefault="00FE5C47" w:rsidP="00FE5C47">
      <w:pPr>
        <w:numPr>
          <w:ilvl w:val="0"/>
          <w:numId w:val="5"/>
        </w:numPr>
        <w:autoSpaceDE w:val="0"/>
        <w:autoSpaceDN w:val="0"/>
        <w:adjustRightInd w:val="0"/>
        <w:spacing w:after="160" w:line="360" w:lineRule="auto"/>
        <w:jc w:val="both"/>
        <w:rPr>
          <w:rFonts w:eastAsia="Calibri"/>
          <w:color w:val="000000"/>
          <w:lang w:val="es-ES" w:eastAsia="en-US"/>
        </w:rPr>
      </w:pPr>
      <w:r w:rsidRPr="00FE5C47">
        <w:rPr>
          <w:rFonts w:eastAsia="Calibri"/>
          <w:lang w:val="es-CU" w:eastAsia="en-US"/>
        </w:rPr>
        <w:t xml:space="preserve">Análisis de correlaciones </w:t>
      </w:r>
      <w:proofErr w:type="spellStart"/>
      <w:r w:rsidRPr="00FE5C47">
        <w:rPr>
          <w:rFonts w:eastAsia="Calibri"/>
          <w:lang w:val="es-CU" w:eastAsia="en-US"/>
        </w:rPr>
        <w:t>bivariadas</w:t>
      </w:r>
      <w:proofErr w:type="spellEnd"/>
      <w:r w:rsidRPr="00FE5C47">
        <w:rPr>
          <w:rFonts w:eastAsia="Calibri"/>
          <w:lang w:val="es-CU" w:eastAsia="en-US"/>
        </w:rPr>
        <w:t xml:space="preserve"> entre las variables sexo, </w:t>
      </w:r>
      <w:r w:rsidRPr="00FE5C47">
        <w:rPr>
          <w:rFonts w:eastAsia="Calibri"/>
          <w:color w:val="000000"/>
          <w:lang w:val="es-ES" w:eastAsia="en-US"/>
        </w:rPr>
        <w:t xml:space="preserve">ocupación, grupo de edades, nivel educativo, rango de la cantidad de residentes,  </w:t>
      </w:r>
    </w:p>
    <w:p w14:paraId="059522E6" w14:textId="77777777" w:rsidR="00FE5C47" w:rsidRPr="00FE5C47" w:rsidRDefault="00FE5C47" w:rsidP="00FE5C47">
      <w:pPr>
        <w:numPr>
          <w:ilvl w:val="0"/>
          <w:numId w:val="5"/>
        </w:numPr>
        <w:autoSpaceDE w:val="0"/>
        <w:autoSpaceDN w:val="0"/>
        <w:adjustRightInd w:val="0"/>
        <w:spacing w:after="160" w:line="360" w:lineRule="auto"/>
        <w:contextualSpacing/>
        <w:jc w:val="both"/>
        <w:rPr>
          <w:rFonts w:eastAsia="Calibri"/>
          <w:lang w:val="es-CU" w:eastAsia="en-US"/>
        </w:rPr>
      </w:pPr>
      <w:r w:rsidRPr="00FE5C47">
        <w:rPr>
          <w:rFonts w:eastAsia="Calibri"/>
          <w:lang w:val="es-CU" w:eastAsia="en-US"/>
        </w:rPr>
        <w:t xml:space="preserve">Empleo de tablas de contingencia con la utilización del modelo de residuos </w:t>
      </w:r>
      <w:proofErr w:type="gramStart"/>
      <w:r w:rsidRPr="00FE5C47">
        <w:rPr>
          <w:rFonts w:eastAsia="Calibri"/>
          <w:lang w:val="es-CU" w:eastAsia="en-US"/>
        </w:rPr>
        <w:t>corregidos</w:t>
      </w:r>
      <w:r w:rsidRPr="00FE5C47">
        <w:rPr>
          <w:rFonts w:eastAsia="Calibri"/>
          <w:vertAlign w:val="superscript"/>
          <w:lang w:val="es-CU" w:eastAsia="en-US"/>
        </w:rPr>
        <w:t>(</w:t>
      </w:r>
      <w:proofErr w:type="gramEnd"/>
      <w:r w:rsidRPr="00FE5C47">
        <w:rPr>
          <w:rFonts w:eastAsia="Calibri"/>
          <w:vertAlign w:val="superscript"/>
          <w:lang w:val="es-CU" w:eastAsia="en-US"/>
        </w:rPr>
        <w:t>1)</w:t>
      </w:r>
      <w:r w:rsidRPr="00FE5C47">
        <w:rPr>
          <w:rFonts w:eastAsia="Calibri"/>
          <w:lang w:val="es-CU" w:eastAsia="en-US"/>
        </w:rPr>
        <w:t xml:space="preserve"> y la prueba estadística </w:t>
      </w:r>
      <w:r w:rsidRPr="00FE5C47">
        <w:rPr>
          <w:rFonts w:eastAsia="Calibri"/>
          <w:i/>
          <w:iCs/>
          <w:lang w:val="es-CU" w:eastAsia="en-US"/>
        </w:rPr>
        <w:t xml:space="preserve">ji </w:t>
      </w:r>
      <w:r w:rsidRPr="00FE5C47">
        <w:rPr>
          <w:rFonts w:eastAsia="Calibri"/>
          <w:lang w:val="es-CU" w:eastAsia="en-US"/>
        </w:rPr>
        <w:t>cuadrado</w:t>
      </w:r>
      <w:r w:rsidRPr="00FE5C47">
        <w:rPr>
          <w:rFonts w:eastAsia="Calibri"/>
          <w:i/>
          <w:iCs/>
          <w:lang w:val="es-CU" w:eastAsia="en-US"/>
        </w:rPr>
        <w:t xml:space="preserve"> (ꭕ</w:t>
      </w:r>
      <w:r w:rsidRPr="00FE5C47">
        <w:rPr>
          <w:rFonts w:eastAsia="Calibri"/>
          <w:i/>
          <w:iCs/>
          <w:vertAlign w:val="superscript"/>
          <w:lang w:val="es-CU" w:eastAsia="en-US"/>
        </w:rPr>
        <w:t>2</w:t>
      </w:r>
      <w:r w:rsidRPr="00FE5C47">
        <w:rPr>
          <w:rFonts w:eastAsia="Calibri"/>
          <w:i/>
          <w:iCs/>
          <w:lang w:val="es-CU" w:eastAsia="en-US"/>
        </w:rPr>
        <w:t>)</w:t>
      </w:r>
      <w:r w:rsidRPr="00FE5C47">
        <w:rPr>
          <w:rFonts w:eastAsia="Calibri"/>
          <w:i/>
          <w:iCs/>
          <w:vertAlign w:val="superscript"/>
          <w:lang w:val="es-CU" w:eastAsia="en-US"/>
        </w:rPr>
        <w:t xml:space="preserve"> </w:t>
      </w:r>
      <w:r w:rsidRPr="00FE5C47">
        <w:rPr>
          <w:rFonts w:eastAsia="Calibri"/>
          <w:lang w:val="es-CU" w:eastAsia="en-US"/>
        </w:rPr>
        <w:t xml:space="preserve">para establecer relaciones estadísticamente significativas entre valores de celdas y variables.  </w:t>
      </w:r>
    </w:p>
    <w:p w14:paraId="45687B11" w14:textId="77777777" w:rsidR="00FE5C47" w:rsidRPr="00FE5C47" w:rsidRDefault="00FE5C47" w:rsidP="00FE5C47">
      <w:pPr>
        <w:spacing w:line="360" w:lineRule="auto"/>
        <w:jc w:val="both"/>
        <w:rPr>
          <w:rFonts w:eastAsia="Calibri"/>
          <w:lang w:val="es-CU" w:eastAsia="en-US"/>
        </w:rPr>
      </w:pPr>
    </w:p>
    <w:p w14:paraId="1D7EE4B3" w14:textId="3489CDE0" w:rsidR="00FE5C47" w:rsidRPr="00FE5C47" w:rsidRDefault="00FE5C47" w:rsidP="00FE5C47">
      <w:pPr>
        <w:spacing w:line="360" w:lineRule="auto"/>
        <w:jc w:val="both"/>
        <w:rPr>
          <w:rFonts w:eastAsia="Calibri"/>
          <w:lang w:val="es-CU" w:eastAsia="en-US"/>
        </w:rPr>
      </w:pPr>
      <w:r w:rsidRPr="00FE5C47">
        <w:rPr>
          <w:rFonts w:eastAsia="Calibri"/>
          <w:bCs/>
          <w:lang w:val="es-CU" w:eastAsia="en-US"/>
        </w:rPr>
        <w:lastRenderedPageBreak/>
        <w:t>Aspectos éticos</w:t>
      </w:r>
      <w:r w:rsidR="00214F87">
        <w:rPr>
          <w:rFonts w:eastAsia="Calibri"/>
          <w:bCs/>
          <w:lang w:val="es-CU" w:eastAsia="en-US"/>
        </w:rPr>
        <w:t xml:space="preserve">: </w:t>
      </w:r>
      <w:r w:rsidR="00214F87">
        <w:rPr>
          <w:rFonts w:eastAsia="Calibri"/>
          <w:lang w:val="es-CU" w:eastAsia="en-US"/>
        </w:rPr>
        <w:t>l</w:t>
      </w:r>
      <w:r w:rsidRPr="00FE5C47">
        <w:rPr>
          <w:rFonts w:eastAsia="Calibri"/>
          <w:lang w:val="es-CU" w:eastAsia="en-US"/>
        </w:rPr>
        <w:t>a investigación fue aprobada por la Vicerrectoría Académica de la Universidad de Ciencias Médicas de La Habana. Fue realizada por profesores de la Dirección de Ciencia e Innovación Tecnológica de esta entidad y de la Facultad de Ciencias Médicas Victoria de Girón.</w:t>
      </w:r>
    </w:p>
    <w:p w14:paraId="281869CA" w14:textId="77777777" w:rsidR="00FE5C47" w:rsidRPr="00FE5C47" w:rsidRDefault="00FE5C47" w:rsidP="00FE5C47">
      <w:pPr>
        <w:spacing w:line="360" w:lineRule="auto"/>
        <w:jc w:val="both"/>
        <w:rPr>
          <w:rFonts w:eastAsia="Calibri"/>
          <w:b/>
          <w:color w:val="FF0000"/>
          <w:lang w:val="es-CU" w:eastAsia="en-US"/>
        </w:rPr>
      </w:pPr>
    </w:p>
    <w:p w14:paraId="4B9F3E27" w14:textId="77777777" w:rsidR="00FE5C47" w:rsidRPr="00FE5C47" w:rsidRDefault="00FE5C47" w:rsidP="00FE5C47">
      <w:pPr>
        <w:spacing w:line="360" w:lineRule="auto"/>
        <w:jc w:val="both"/>
        <w:rPr>
          <w:rFonts w:eastAsia="Calibri"/>
          <w:b/>
          <w:lang w:val="es-CU" w:eastAsia="en-US"/>
        </w:rPr>
      </w:pPr>
    </w:p>
    <w:p w14:paraId="37203ADB" w14:textId="77777777" w:rsidR="00FE5C47" w:rsidRPr="00FE5C47" w:rsidRDefault="00FE5C47" w:rsidP="00FE5C47">
      <w:pPr>
        <w:spacing w:line="360" w:lineRule="auto"/>
        <w:jc w:val="center"/>
        <w:rPr>
          <w:rFonts w:eastAsia="Calibri"/>
          <w:b/>
          <w:sz w:val="32"/>
          <w:szCs w:val="32"/>
          <w:lang w:val="es-CU" w:eastAsia="en-US"/>
        </w:rPr>
      </w:pPr>
      <w:r w:rsidRPr="00FE5C47">
        <w:rPr>
          <w:rFonts w:eastAsia="Calibri"/>
          <w:b/>
          <w:sz w:val="32"/>
          <w:szCs w:val="32"/>
          <w:lang w:val="es-CU" w:eastAsia="en-US"/>
        </w:rPr>
        <w:t>RESULTADOS</w:t>
      </w:r>
    </w:p>
    <w:p w14:paraId="6A7EB17B"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Predominaron los participantes del sexo femenino y los grupos de edades no arrojaron diferencias estadísticamente significativas. </w:t>
      </w:r>
      <w:r w:rsidRPr="00FE5C47">
        <w:rPr>
          <w:rFonts w:eastAsia="Calibri"/>
          <w:bCs/>
          <w:lang w:val="es-CU" w:eastAsia="en-US"/>
        </w:rPr>
        <w:t xml:space="preserve">La muestra de participantes en la encuesta estuvo conformada por 2 012 residentes en los 15 municipios de la capital con predominio de los municipios </w:t>
      </w:r>
      <w:r w:rsidRPr="00FE5C47">
        <w:rPr>
          <w:rFonts w:eastAsia="Calibri"/>
          <w:lang w:val="es-CU" w:eastAsia="en-US"/>
        </w:rPr>
        <w:t xml:space="preserve">de Playa (14,1 %), Plaza de la Revolución (13,2 %) y Diez de Octubre (12,7 %). Los municipios de Regla, Habana Vieja y Cotorro registraron las menores cifras de respuesta, con 1,5; 1,8 y 2,4 % respectivamente. </w:t>
      </w:r>
      <w:r w:rsidRPr="00FE5C47">
        <w:rPr>
          <w:rFonts w:eastAsia="Calibri"/>
          <w:color w:val="000000"/>
          <w:lang w:val="es-CU" w:eastAsia="en-US"/>
        </w:rPr>
        <w:t>El 40 % de los participantes en la encuesta residen en 3 municipios de la capital</w:t>
      </w:r>
      <w:r w:rsidRPr="00FE5C47">
        <w:rPr>
          <w:rFonts w:eastAsia="Calibri"/>
          <w:lang w:val="es-CU" w:eastAsia="en-US"/>
        </w:rPr>
        <w:t xml:space="preserve"> (tabla 1).</w:t>
      </w:r>
    </w:p>
    <w:p w14:paraId="196BB84B" w14:textId="77777777" w:rsidR="00FE5C47" w:rsidRPr="00FE5C47" w:rsidRDefault="00FE5C47" w:rsidP="00FE5C47">
      <w:pPr>
        <w:spacing w:line="360" w:lineRule="auto"/>
        <w:jc w:val="both"/>
        <w:rPr>
          <w:rFonts w:eastAsia="Calibri"/>
          <w:sz w:val="18"/>
          <w:szCs w:val="18"/>
          <w:lang w:val="es-CU" w:eastAsia="en-US"/>
        </w:rPr>
      </w:pPr>
    </w:p>
    <w:p w14:paraId="5489CB58" w14:textId="77777777" w:rsidR="00FE5C47" w:rsidRPr="00FE5C47" w:rsidRDefault="00FE5C47" w:rsidP="00FE5C47">
      <w:pPr>
        <w:spacing w:line="360" w:lineRule="auto"/>
        <w:jc w:val="center"/>
        <w:rPr>
          <w:rFonts w:eastAsia="Calibri"/>
          <w:sz w:val="22"/>
          <w:szCs w:val="22"/>
          <w:lang w:val="es-CU" w:eastAsia="en-US"/>
        </w:rPr>
      </w:pPr>
      <w:r w:rsidRPr="00FE5C47">
        <w:rPr>
          <w:rFonts w:eastAsia="Calibri"/>
          <w:b/>
          <w:sz w:val="22"/>
          <w:szCs w:val="22"/>
          <w:lang w:val="es-CU" w:eastAsia="en-US"/>
        </w:rPr>
        <w:t>Tabla 1 -</w:t>
      </w:r>
      <w:r w:rsidRPr="00FE5C47">
        <w:rPr>
          <w:rFonts w:eastAsia="Calibri"/>
          <w:sz w:val="22"/>
          <w:szCs w:val="22"/>
          <w:lang w:val="es-CU" w:eastAsia="en-US"/>
        </w:rPr>
        <w:t xml:space="preserve"> Participantes por municipios de residencia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1841"/>
        <w:gridCol w:w="546"/>
        <w:gridCol w:w="501"/>
      </w:tblGrid>
      <w:tr w:rsidR="00FE5C47" w:rsidRPr="00FE5C47" w14:paraId="48310EA6" w14:textId="77777777" w:rsidTr="001F1911">
        <w:trPr>
          <w:trHeight w:val="302"/>
          <w:jc w:val="center"/>
        </w:trPr>
        <w:tc>
          <w:tcPr>
            <w:tcW w:w="0" w:type="auto"/>
            <w:shd w:val="clear" w:color="000000" w:fill="FFFFFF"/>
            <w:vAlign w:val="center"/>
          </w:tcPr>
          <w:p w14:paraId="454ACE5A" w14:textId="77777777" w:rsidR="00FE5C47" w:rsidRPr="00FE5C47" w:rsidRDefault="00FE5C47" w:rsidP="00FE5C47">
            <w:pPr>
              <w:autoSpaceDE w:val="0"/>
              <w:autoSpaceDN w:val="0"/>
              <w:adjustRightInd w:val="0"/>
              <w:spacing w:line="360" w:lineRule="auto"/>
              <w:rPr>
                <w:rFonts w:eastAsia="Calibri"/>
                <w:b/>
                <w:color w:val="000000"/>
                <w:sz w:val="18"/>
                <w:szCs w:val="18"/>
                <w:lang w:val="es-CU" w:eastAsia="en-US"/>
              </w:rPr>
            </w:pPr>
            <w:r w:rsidRPr="00FE5C47">
              <w:rPr>
                <w:rFonts w:eastAsia="Calibri"/>
                <w:b/>
                <w:color w:val="000000"/>
                <w:sz w:val="18"/>
                <w:szCs w:val="18"/>
                <w:lang w:val="es-CU" w:eastAsia="en-US"/>
              </w:rPr>
              <w:t>Municipio</w:t>
            </w:r>
          </w:p>
        </w:tc>
        <w:tc>
          <w:tcPr>
            <w:tcW w:w="0" w:type="auto"/>
            <w:shd w:val="clear" w:color="000000" w:fill="FFFFFF"/>
            <w:vAlign w:val="center"/>
          </w:tcPr>
          <w:p w14:paraId="61DB354D" w14:textId="77777777" w:rsidR="00FE5C47" w:rsidRPr="00FE5C47" w:rsidRDefault="00FE5C47" w:rsidP="00FE5C47">
            <w:pPr>
              <w:autoSpaceDE w:val="0"/>
              <w:autoSpaceDN w:val="0"/>
              <w:adjustRightInd w:val="0"/>
              <w:spacing w:line="360" w:lineRule="auto"/>
              <w:jc w:val="center"/>
              <w:rPr>
                <w:rFonts w:eastAsia="Calibri"/>
                <w:b/>
                <w:color w:val="000000"/>
                <w:sz w:val="18"/>
                <w:szCs w:val="18"/>
                <w:lang w:val="es-CU" w:eastAsia="en-US"/>
              </w:rPr>
            </w:pPr>
            <w:r w:rsidRPr="00FE5C47">
              <w:rPr>
                <w:rFonts w:eastAsia="Calibri"/>
                <w:b/>
                <w:color w:val="000000"/>
                <w:sz w:val="18"/>
                <w:szCs w:val="18"/>
                <w:lang w:val="es-CU" w:eastAsia="en-US"/>
              </w:rPr>
              <w:t>n</w:t>
            </w:r>
          </w:p>
        </w:tc>
        <w:tc>
          <w:tcPr>
            <w:tcW w:w="0" w:type="auto"/>
            <w:tcBorders>
              <w:right w:val="single" w:sz="4" w:space="0" w:color="auto"/>
            </w:tcBorders>
            <w:shd w:val="clear" w:color="000000" w:fill="FFFFFF"/>
            <w:vAlign w:val="center"/>
          </w:tcPr>
          <w:p w14:paraId="3198A650" w14:textId="77777777" w:rsidR="00FE5C47" w:rsidRPr="00FE5C47" w:rsidRDefault="00FE5C47" w:rsidP="00FE5C47">
            <w:pPr>
              <w:autoSpaceDE w:val="0"/>
              <w:autoSpaceDN w:val="0"/>
              <w:adjustRightInd w:val="0"/>
              <w:spacing w:line="360" w:lineRule="auto"/>
              <w:jc w:val="center"/>
              <w:rPr>
                <w:rFonts w:eastAsia="Calibri"/>
                <w:b/>
                <w:color w:val="000000"/>
                <w:sz w:val="18"/>
                <w:szCs w:val="18"/>
                <w:lang w:val="es-CU" w:eastAsia="en-US"/>
              </w:rPr>
            </w:pPr>
            <w:r w:rsidRPr="00FE5C47">
              <w:rPr>
                <w:rFonts w:eastAsia="Calibri"/>
                <w:b/>
                <w:color w:val="000000"/>
                <w:sz w:val="18"/>
                <w:szCs w:val="18"/>
                <w:lang w:val="es-CU" w:eastAsia="en-US"/>
              </w:rPr>
              <w:t>%</w:t>
            </w:r>
          </w:p>
        </w:tc>
      </w:tr>
      <w:tr w:rsidR="00FE5C47" w:rsidRPr="00FE5C47" w14:paraId="5E1283B2" w14:textId="77777777" w:rsidTr="001F1911">
        <w:trPr>
          <w:trHeight w:val="273"/>
          <w:jc w:val="center"/>
        </w:trPr>
        <w:tc>
          <w:tcPr>
            <w:tcW w:w="0" w:type="auto"/>
            <w:shd w:val="clear" w:color="000000" w:fill="FFFFFF"/>
          </w:tcPr>
          <w:p w14:paraId="1D0BCA01" w14:textId="77777777" w:rsidR="00FE5C47" w:rsidRPr="00FE5C47" w:rsidRDefault="00FE5C47" w:rsidP="00FE5C47">
            <w:pPr>
              <w:autoSpaceDE w:val="0"/>
              <w:autoSpaceDN w:val="0"/>
              <w:adjustRightInd w:val="0"/>
              <w:spacing w:line="360" w:lineRule="auto"/>
              <w:rPr>
                <w:rFonts w:eastAsia="Calibri"/>
                <w:bCs/>
                <w:color w:val="000000"/>
                <w:sz w:val="18"/>
                <w:szCs w:val="18"/>
                <w:lang w:val="es-CU" w:eastAsia="en-US"/>
              </w:rPr>
            </w:pPr>
            <w:r w:rsidRPr="00FE5C47">
              <w:rPr>
                <w:rFonts w:eastAsia="Calibri"/>
                <w:bCs/>
                <w:sz w:val="18"/>
                <w:szCs w:val="18"/>
                <w:lang w:val="es-CU" w:eastAsia="en-US"/>
              </w:rPr>
              <w:t>Playa</w:t>
            </w:r>
          </w:p>
        </w:tc>
        <w:tc>
          <w:tcPr>
            <w:tcW w:w="0" w:type="auto"/>
            <w:shd w:val="clear" w:color="000000" w:fill="FFFFFF"/>
          </w:tcPr>
          <w:p w14:paraId="685137B7" w14:textId="77777777" w:rsidR="00FE5C47" w:rsidRPr="00FE5C47" w:rsidRDefault="00FE5C47" w:rsidP="00FE5C47">
            <w:pPr>
              <w:autoSpaceDE w:val="0"/>
              <w:autoSpaceDN w:val="0"/>
              <w:adjustRightInd w:val="0"/>
              <w:spacing w:line="360" w:lineRule="auto"/>
              <w:jc w:val="center"/>
              <w:rPr>
                <w:rFonts w:eastAsia="Calibri"/>
                <w:bCs/>
                <w:color w:val="000000"/>
                <w:sz w:val="18"/>
                <w:szCs w:val="18"/>
                <w:lang w:val="es-CU" w:eastAsia="en-US"/>
              </w:rPr>
            </w:pPr>
            <w:r w:rsidRPr="00FE5C47">
              <w:rPr>
                <w:rFonts w:eastAsia="Calibri"/>
                <w:bCs/>
                <w:sz w:val="18"/>
                <w:szCs w:val="18"/>
                <w:lang w:val="es-CU" w:eastAsia="en-US"/>
              </w:rPr>
              <w:t>284</w:t>
            </w:r>
          </w:p>
        </w:tc>
        <w:tc>
          <w:tcPr>
            <w:tcW w:w="0" w:type="auto"/>
            <w:tcBorders>
              <w:right w:val="single" w:sz="4" w:space="0" w:color="auto"/>
            </w:tcBorders>
            <w:shd w:val="clear" w:color="000000" w:fill="FFFFFF"/>
          </w:tcPr>
          <w:p w14:paraId="0ED35FE5" w14:textId="77777777" w:rsidR="00FE5C47" w:rsidRPr="00FE5C47" w:rsidRDefault="00FE5C47" w:rsidP="00FE5C47">
            <w:pPr>
              <w:autoSpaceDE w:val="0"/>
              <w:autoSpaceDN w:val="0"/>
              <w:adjustRightInd w:val="0"/>
              <w:spacing w:line="360" w:lineRule="auto"/>
              <w:jc w:val="center"/>
              <w:rPr>
                <w:rFonts w:eastAsia="Calibri"/>
                <w:bCs/>
                <w:color w:val="000000"/>
                <w:sz w:val="18"/>
                <w:szCs w:val="18"/>
                <w:lang w:val="es-CU" w:eastAsia="en-US"/>
              </w:rPr>
            </w:pPr>
            <w:r w:rsidRPr="00FE5C47">
              <w:rPr>
                <w:rFonts w:eastAsia="Calibri"/>
                <w:bCs/>
                <w:sz w:val="18"/>
                <w:szCs w:val="18"/>
                <w:lang w:val="es-CU" w:eastAsia="en-US"/>
              </w:rPr>
              <w:t>14,1</w:t>
            </w:r>
          </w:p>
        </w:tc>
      </w:tr>
      <w:tr w:rsidR="00FE5C47" w:rsidRPr="00FE5C47" w14:paraId="559E47BF" w14:textId="77777777" w:rsidTr="001F1911">
        <w:trPr>
          <w:trHeight w:val="273"/>
          <w:jc w:val="center"/>
        </w:trPr>
        <w:tc>
          <w:tcPr>
            <w:tcW w:w="0" w:type="auto"/>
            <w:shd w:val="clear" w:color="000000" w:fill="FFFFFF"/>
          </w:tcPr>
          <w:p w14:paraId="075323A7" w14:textId="77777777" w:rsidR="00FE5C47" w:rsidRPr="00FE5C47" w:rsidRDefault="00FE5C47" w:rsidP="00FE5C47">
            <w:pPr>
              <w:autoSpaceDE w:val="0"/>
              <w:autoSpaceDN w:val="0"/>
              <w:adjustRightInd w:val="0"/>
              <w:spacing w:line="360" w:lineRule="auto"/>
              <w:rPr>
                <w:rFonts w:eastAsia="Calibri"/>
                <w:bCs/>
                <w:color w:val="000000"/>
                <w:sz w:val="18"/>
                <w:szCs w:val="18"/>
                <w:lang w:val="es-CU" w:eastAsia="en-US"/>
              </w:rPr>
            </w:pPr>
            <w:r w:rsidRPr="00FE5C47">
              <w:rPr>
                <w:rFonts w:eastAsia="Calibri"/>
                <w:bCs/>
                <w:sz w:val="18"/>
                <w:szCs w:val="18"/>
                <w:lang w:val="es-CU" w:eastAsia="en-US"/>
              </w:rPr>
              <w:t>Plaza de la Revolución</w:t>
            </w:r>
          </w:p>
        </w:tc>
        <w:tc>
          <w:tcPr>
            <w:tcW w:w="0" w:type="auto"/>
            <w:shd w:val="clear" w:color="000000" w:fill="FFFFFF"/>
          </w:tcPr>
          <w:p w14:paraId="1B8B64EF" w14:textId="77777777" w:rsidR="00FE5C47" w:rsidRPr="00FE5C47" w:rsidRDefault="00FE5C47" w:rsidP="00FE5C47">
            <w:pPr>
              <w:autoSpaceDE w:val="0"/>
              <w:autoSpaceDN w:val="0"/>
              <w:adjustRightInd w:val="0"/>
              <w:spacing w:line="360" w:lineRule="auto"/>
              <w:jc w:val="center"/>
              <w:rPr>
                <w:rFonts w:eastAsia="Calibri"/>
                <w:bCs/>
                <w:color w:val="000000"/>
                <w:sz w:val="18"/>
                <w:szCs w:val="18"/>
                <w:lang w:val="es-CU" w:eastAsia="en-US"/>
              </w:rPr>
            </w:pPr>
            <w:r w:rsidRPr="00FE5C47">
              <w:rPr>
                <w:rFonts w:eastAsia="Calibri"/>
                <w:bCs/>
                <w:sz w:val="18"/>
                <w:szCs w:val="18"/>
                <w:lang w:val="es-CU" w:eastAsia="en-US"/>
              </w:rPr>
              <w:t>266</w:t>
            </w:r>
          </w:p>
        </w:tc>
        <w:tc>
          <w:tcPr>
            <w:tcW w:w="0" w:type="auto"/>
            <w:tcBorders>
              <w:right w:val="single" w:sz="4" w:space="0" w:color="auto"/>
            </w:tcBorders>
            <w:shd w:val="clear" w:color="000000" w:fill="FFFFFF"/>
          </w:tcPr>
          <w:p w14:paraId="4DABDF31" w14:textId="77777777" w:rsidR="00FE5C47" w:rsidRPr="00FE5C47" w:rsidRDefault="00FE5C47" w:rsidP="00FE5C47">
            <w:pPr>
              <w:autoSpaceDE w:val="0"/>
              <w:autoSpaceDN w:val="0"/>
              <w:adjustRightInd w:val="0"/>
              <w:spacing w:line="360" w:lineRule="auto"/>
              <w:jc w:val="center"/>
              <w:rPr>
                <w:rFonts w:eastAsia="Calibri"/>
                <w:bCs/>
                <w:color w:val="000000"/>
                <w:sz w:val="18"/>
                <w:szCs w:val="18"/>
                <w:lang w:val="es-CU" w:eastAsia="en-US"/>
              </w:rPr>
            </w:pPr>
            <w:r w:rsidRPr="00FE5C47">
              <w:rPr>
                <w:rFonts w:eastAsia="Calibri"/>
                <w:bCs/>
                <w:sz w:val="18"/>
                <w:szCs w:val="18"/>
                <w:lang w:val="es-CU" w:eastAsia="en-US"/>
              </w:rPr>
              <w:t>13,2</w:t>
            </w:r>
          </w:p>
        </w:tc>
      </w:tr>
      <w:tr w:rsidR="00FE5C47" w:rsidRPr="00FE5C47" w14:paraId="0E61CBB0" w14:textId="77777777" w:rsidTr="001F1911">
        <w:trPr>
          <w:trHeight w:val="273"/>
          <w:jc w:val="center"/>
        </w:trPr>
        <w:tc>
          <w:tcPr>
            <w:tcW w:w="0" w:type="auto"/>
            <w:shd w:val="clear" w:color="000000" w:fill="FFFFFF"/>
          </w:tcPr>
          <w:p w14:paraId="34334846" w14:textId="77777777" w:rsidR="00FE5C47" w:rsidRPr="00FE5C47" w:rsidRDefault="00FE5C47" w:rsidP="00FE5C47">
            <w:pPr>
              <w:autoSpaceDE w:val="0"/>
              <w:autoSpaceDN w:val="0"/>
              <w:adjustRightInd w:val="0"/>
              <w:spacing w:line="360" w:lineRule="auto"/>
              <w:rPr>
                <w:rFonts w:eastAsia="Calibri"/>
                <w:bCs/>
                <w:color w:val="000000"/>
                <w:sz w:val="18"/>
                <w:szCs w:val="18"/>
                <w:lang w:val="es-CU" w:eastAsia="en-US"/>
              </w:rPr>
            </w:pPr>
            <w:r w:rsidRPr="00FE5C47">
              <w:rPr>
                <w:rFonts w:eastAsia="Calibri"/>
                <w:bCs/>
                <w:sz w:val="18"/>
                <w:szCs w:val="18"/>
                <w:lang w:val="es-CU" w:eastAsia="en-US"/>
              </w:rPr>
              <w:t>Diez de Octubre</w:t>
            </w:r>
          </w:p>
        </w:tc>
        <w:tc>
          <w:tcPr>
            <w:tcW w:w="0" w:type="auto"/>
            <w:shd w:val="clear" w:color="000000" w:fill="FFFFFF"/>
          </w:tcPr>
          <w:p w14:paraId="2E686FC3" w14:textId="77777777" w:rsidR="00FE5C47" w:rsidRPr="00FE5C47" w:rsidRDefault="00FE5C47" w:rsidP="00FE5C47">
            <w:pPr>
              <w:autoSpaceDE w:val="0"/>
              <w:autoSpaceDN w:val="0"/>
              <w:adjustRightInd w:val="0"/>
              <w:spacing w:line="360" w:lineRule="auto"/>
              <w:jc w:val="center"/>
              <w:rPr>
                <w:rFonts w:eastAsia="Calibri"/>
                <w:bCs/>
                <w:color w:val="000000"/>
                <w:sz w:val="18"/>
                <w:szCs w:val="18"/>
                <w:lang w:val="es-CU" w:eastAsia="en-US"/>
              </w:rPr>
            </w:pPr>
            <w:r w:rsidRPr="00FE5C47">
              <w:rPr>
                <w:rFonts w:eastAsia="Calibri"/>
                <w:bCs/>
                <w:sz w:val="18"/>
                <w:szCs w:val="18"/>
                <w:lang w:val="es-CU" w:eastAsia="en-US"/>
              </w:rPr>
              <w:t>255</w:t>
            </w:r>
          </w:p>
        </w:tc>
        <w:tc>
          <w:tcPr>
            <w:tcW w:w="0" w:type="auto"/>
            <w:tcBorders>
              <w:right w:val="single" w:sz="4" w:space="0" w:color="auto"/>
            </w:tcBorders>
            <w:shd w:val="clear" w:color="000000" w:fill="FFFFFF"/>
          </w:tcPr>
          <w:p w14:paraId="77944681" w14:textId="77777777" w:rsidR="00FE5C47" w:rsidRPr="00FE5C47" w:rsidRDefault="00FE5C47" w:rsidP="00FE5C47">
            <w:pPr>
              <w:autoSpaceDE w:val="0"/>
              <w:autoSpaceDN w:val="0"/>
              <w:adjustRightInd w:val="0"/>
              <w:spacing w:line="360" w:lineRule="auto"/>
              <w:jc w:val="center"/>
              <w:rPr>
                <w:rFonts w:eastAsia="Calibri"/>
                <w:bCs/>
                <w:color w:val="000000"/>
                <w:sz w:val="18"/>
                <w:szCs w:val="18"/>
                <w:lang w:val="es-CU" w:eastAsia="en-US"/>
              </w:rPr>
            </w:pPr>
            <w:r w:rsidRPr="00FE5C47">
              <w:rPr>
                <w:rFonts w:eastAsia="Calibri"/>
                <w:bCs/>
                <w:sz w:val="18"/>
                <w:szCs w:val="18"/>
                <w:lang w:val="es-CU" w:eastAsia="en-US"/>
              </w:rPr>
              <w:t>12,7</w:t>
            </w:r>
          </w:p>
        </w:tc>
      </w:tr>
      <w:tr w:rsidR="00FE5C47" w:rsidRPr="00FE5C47" w14:paraId="3719C66B" w14:textId="77777777" w:rsidTr="001F1911">
        <w:trPr>
          <w:trHeight w:val="273"/>
          <w:jc w:val="center"/>
        </w:trPr>
        <w:tc>
          <w:tcPr>
            <w:tcW w:w="0" w:type="auto"/>
            <w:shd w:val="clear" w:color="000000" w:fill="FFFFFF"/>
          </w:tcPr>
          <w:p w14:paraId="58CFC620"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Boyeros</w:t>
            </w:r>
          </w:p>
        </w:tc>
        <w:tc>
          <w:tcPr>
            <w:tcW w:w="0" w:type="auto"/>
            <w:shd w:val="clear" w:color="000000" w:fill="FFFFFF"/>
          </w:tcPr>
          <w:p w14:paraId="35F09364"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173</w:t>
            </w:r>
          </w:p>
        </w:tc>
        <w:tc>
          <w:tcPr>
            <w:tcW w:w="0" w:type="auto"/>
            <w:tcBorders>
              <w:right w:val="single" w:sz="4" w:space="0" w:color="auto"/>
            </w:tcBorders>
            <w:shd w:val="clear" w:color="000000" w:fill="FFFFFF"/>
          </w:tcPr>
          <w:p w14:paraId="69532E08"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8,6</w:t>
            </w:r>
          </w:p>
        </w:tc>
      </w:tr>
      <w:tr w:rsidR="00FE5C47" w:rsidRPr="00FE5C47" w14:paraId="5DE61E74" w14:textId="77777777" w:rsidTr="001F1911">
        <w:trPr>
          <w:trHeight w:val="273"/>
          <w:jc w:val="center"/>
        </w:trPr>
        <w:tc>
          <w:tcPr>
            <w:tcW w:w="0" w:type="auto"/>
            <w:shd w:val="clear" w:color="000000" w:fill="FFFFFF"/>
          </w:tcPr>
          <w:p w14:paraId="72DDC4B8"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Cerro</w:t>
            </w:r>
          </w:p>
        </w:tc>
        <w:tc>
          <w:tcPr>
            <w:tcW w:w="0" w:type="auto"/>
            <w:shd w:val="clear" w:color="000000" w:fill="FFFFFF"/>
          </w:tcPr>
          <w:p w14:paraId="40D0BC7B"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156</w:t>
            </w:r>
          </w:p>
        </w:tc>
        <w:tc>
          <w:tcPr>
            <w:tcW w:w="0" w:type="auto"/>
            <w:tcBorders>
              <w:right w:val="single" w:sz="4" w:space="0" w:color="auto"/>
            </w:tcBorders>
            <w:shd w:val="clear" w:color="000000" w:fill="FFFFFF"/>
          </w:tcPr>
          <w:p w14:paraId="22DB9B6B"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7,8</w:t>
            </w:r>
          </w:p>
        </w:tc>
      </w:tr>
      <w:tr w:rsidR="00FE5C47" w:rsidRPr="00FE5C47" w14:paraId="618AE886" w14:textId="77777777" w:rsidTr="001F1911">
        <w:trPr>
          <w:trHeight w:val="273"/>
          <w:jc w:val="center"/>
        </w:trPr>
        <w:tc>
          <w:tcPr>
            <w:tcW w:w="0" w:type="auto"/>
            <w:shd w:val="clear" w:color="000000" w:fill="FFFFFF"/>
          </w:tcPr>
          <w:p w14:paraId="602B2606"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Marianao</w:t>
            </w:r>
          </w:p>
        </w:tc>
        <w:tc>
          <w:tcPr>
            <w:tcW w:w="0" w:type="auto"/>
            <w:shd w:val="clear" w:color="000000" w:fill="FFFFFF"/>
          </w:tcPr>
          <w:p w14:paraId="725EA4DE"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144</w:t>
            </w:r>
          </w:p>
        </w:tc>
        <w:tc>
          <w:tcPr>
            <w:tcW w:w="0" w:type="auto"/>
            <w:tcBorders>
              <w:right w:val="single" w:sz="4" w:space="0" w:color="auto"/>
            </w:tcBorders>
            <w:shd w:val="clear" w:color="000000" w:fill="FFFFFF"/>
          </w:tcPr>
          <w:p w14:paraId="33E7E00C"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7,2</w:t>
            </w:r>
          </w:p>
        </w:tc>
      </w:tr>
      <w:tr w:rsidR="00FE5C47" w:rsidRPr="00FE5C47" w14:paraId="1965BD37" w14:textId="77777777" w:rsidTr="001F1911">
        <w:trPr>
          <w:trHeight w:val="273"/>
          <w:jc w:val="center"/>
        </w:trPr>
        <w:tc>
          <w:tcPr>
            <w:tcW w:w="0" w:type="auto"/>
            <w:shd w:val="clear" w:color="000000" w:fill="FFFFFF"/>
          </w:tcPr>
          <w:p w14:paraId="2907576A"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La Lisa</w:t>
            </w:r>
          </w:p>
        </w:tc>
        <w:tc>
          <w:tcPr>
            <w:tcW w:w="0" w:type="auto"/>
            <w:shd w:val="clear" w:color="000000" w:fill="FFFFFF"/>
          </w:tcPr>
          <w:p w14:paraId="19B14538"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137</w:t>
            </w:r>
          </w:p>
        </w:tc>
        <w:tc>
          <w:tcPr>
            <w:tcW w:w="0" w:type="auto"/>
            <w:tcBorders>
              <w:right w:val="single" w:sz="4" w:space="0" w:color="auto"/>
            </w:tcBorders>
            <w:shd w:val="clear" w:color="000000" w:fill="FFFFFF"/>
          </w:tcPr>
          <w:p w14:paraId="40B9224D"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6,8</w:t>
            </w:r>
          </w:p>
        </w:tc>
      </w:tr>
      <w:tr w:rsidR="00FE5C47" w:rsidRPr="00FE5C47" w14:paraId="38BF1A6E" w14:textId="77777777" w:rsidTr="001F1911">
        <w:trPr>
          <w:trHeight w:val="273"/>
          <w:jc w:val="center"/>
        </w:trPr>
        <w:tc>
          <w:tcPr>
            <w:tcW w:w="0" w:type="auto"/>
            <w:shd w:val="clear" w:color="000000" w:fill="FFFFFF"/>
          </w:tcPr>
          <w:p w14:paraId="6F18A744"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Centro Habana</w:t>
            </w:r>
          </w:p>
        </w:tc>
        <w:tc>
          <w:tcPr>
            <w:tcW w:w="0" w:type="auto"/>
            <w:shd w:val="clear" w:color="000000" w:fill="FFFFFF"/>
          </w:tcPr>
          <w:p w14:paraId="1FD5D610"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122</w:t>
            </w:r>
          </w:p>
        </w:tc>
        <w:tc>
          <w:tcPr>
            <w:tcW w:w="0" w:type="auto"/>
            <w:tcBorders>
              <w:right w:val="single" w:sz="4" w:space="0" w:color="auto"/>
            </w:tcBorders>
            <w:shd w:val="clear" w:color="000000" w:fill="FFFFFF"/>
          </w:tcPr>
          <w:p w14:paraId="6981EF1D"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6,1</w:t>
            </w:r>
          </w:p>
        </w:tc>
      </w:tr>
      <w:tr w:rsidR="00FE5C47" w:rsidRPr="00FE5C47" w14:paraId="71FDB8C2" w14:textId="77777777" w:rsidTr="001F1911">
        <w:trPr>
          <w:trHeight w:val="273"/>
          <w:jc w:val="center"/>
        </w:trPr>
        <w:tc>
          <w:tcPr>
            <w:tcW w:w="0" w:type="auto"/>
            <w:shd w:val="clear" w:color="000000" w:fill="FFFFFF"/>
          </w:tcPr>
          <w:p w14:paraId="1665C136"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Arroyo Naranjo</w:t>
            </w:r>
          </w:p>
        </w:tc>
        <w:tc>
          <w:tcPr>
            <w:tcW w:w="0" w:type="auto"/>
            <w:shd w:val="clear" w:color="000000" w:fill="FFFFFF"/>
          </w:tcPr>
          <w:p w14:paraId="58B1E086"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119</w:t>
            </w:r>
          </w:p>
        </w:tc>
        <w:tc>
          <w:tcPr>
            <w:tcW w:w="0" w:type="auto"/>
            <w:tcBorders>
              <w:right w:val="single" w:sz="4" w:space="0" w:color="auto"/>
            </w:tcBorders>
            <w:shd w:val="clear" w:color="000000" w:fill="FFFFFF"/>
          </w:tcPr>
          <w:p w14:paraId="3AFF5F74"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5,9</w:t>
            </w:r>
          </w:p>
        </w:tc>
      </w:tr>
      <w:tr w:rsidR="00FE5C47" w:rsidRPr="00FE5C47" w14:paraId="7554CCE0" w14:textId="77777777" w:rsidTr="001F1911">
        <w:trPr>
          <w:trHeight w:val="273"/>
          <w:jc w:val="center"/>
        </w:trPr>
        <w:tc>
          <w:tcPr>
            <w:tcW w:w="0" w:type="auto"/>
            <w:shd w:val="clear" w:color="000000" w:fill="FFFFFF"/>
          </w:tcPr>
          <w:p w14:paraId="2DA5DF97"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Habana del Este</w:t>
            </w:r>
          </w:p>
        </w:tc>
        <w:tc>
          <w:tcPr>
            <w:tcW w:w="0" w:type="auto"/>
            <w:shd w:val="clear" w:color="000000" w:fill="FFFFFF"/>
          </w:tcPr>
          <w:p w14:paraId="4F7F7A19"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92</w:t>
            </w:r>
          </w:p>
        </w:tc>
        <w:tc>
          <w:tcPr>
            <w:tcW w:w="0" w:type="auto"/>
            <w:tcBorders>
              <w:right w:val="single" w:sz="4" w:space="0" w:color="auto"/>
            </w:tcBorders>
            <w:shd w:val="clear" w:color="000000" w:fill="FFFFFF"/>
          </w:tcPr>
          <w:p w14:paraId="687BED8B"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4,6</w:t>
            </w:r>
          </w:p>
        </w:tc>
      </w:tr>
      <w:tr w:rsidR="00FE5C47" w:rsidRPr="00FE5C47" w14:paraId="16FCE738" w14:textId="77777777" w:rsidTr="001F1911">
        <w:trPr>
          <w:trHeight w:val="273"/>
          <w:jc w:val="center"/>
        </w:trPr>
        <w:tc>
          <w:tcPr>
            <w:tcW w:w="0" w:type="auto"/>
            <w:shd w:val="clear" w:color="000000" w:fill="FFFFFF"/>
          </w:tcPr>
          <w:p w14:paraId="5144B658"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Guanabacoa</w:t>
            </w:r>
          </w:p>
        </w:tc>
        <w:tc>
          <w:tcPr>
            <w:tcW w:w="0" w:type="auto"/>
            <w:shd w:val="clear" w:color="000000" w:fill="FFFFFF"/>
          </w:tcPr>
          <w:p w14:paraId="5414294E"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75</w:t>
            </w:r>
          </w:p>
        </w:tc>
        <w:tc>
          <w:tcPr>
            <w:tcW w:w="0" w:type="auto"/>
            <w:tcBorders>
              <w:right w:val="single" w:sz="4" w:space="0" w:color="auto"/>
            </w:tcBorders>
            <w:shd w:val="clear" w:color="000000" w:fill="FFFFFF"/>
          </w:tcPr>
          <w:p w14:paraId="24817F49"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3,7</w:t>
            </w:r>
          </w:p>
        </w:tc>
      </w:tr>
      <w:tr w:rsidR="00FE5C47" w:rsidRPr="00FE5C47" w14:paraId="024FFE6D" w14:textId="77777777" w:rsidTr="001F1911">
        <w:trPr>
          <w:trHeight w:val="273"/>
          <w:jc w:val="center"/>
        </w:trPr>
        <w:tc>
          <w:tcPr>
            <w:tcW w:w="0" w:type="auto"/>
            <w:shd w:val="clear" w:color="000000" w:fill="FFFFFF"/>
          </w:tcPr>
          <w:p w14:paraId="7F3EFEB2"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San Miguel del Padrón</w:t>
            </w:r>
          </w:p>
        </w:tc>
        <w:tc>
          <w:tcPr>
            <w:tcW w:w="0" w:type="auto"/>
            <w:shd w:val="clear" w:color="000000" w:fill="FFFFFF"/>
          </w:tcPr>
          <w:p w14:paraId="2EBDEB13"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73</w:t>
            </w:r>
          </w:p>
        </w:tc>
        <w:tc>
          <w:tcPr>
            <w:tcW w:w="0" w:type="auto"/>
            <w:tcBorders>
              <w:right w:val="single" w:sz="4" w:space="0" w:color="auto"/>
            </w:tcBorders>
            <w:shd w:val="clear" w:color="000000" w:fill="FFFFFF"/>
          </w:tcPr>
          <w:p w14:paraId="46F00DD8"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3,6</w:t>
            </w:r>
          </w:p>
        </w:tc>
      </w:tr>
      <w:tr w:rsidR="00FE5C47" w:rsidRPr="00FE5C47" w14:paraId="7274CB10" w14:textId="77777777" w:rsidTr="001F1911">
        <w:trPr>
          <w:trHeight w:val="273"/>
          <w:jc w:val="center"/>
        </w:trPr>
        <w:tc>
          <w:tcPr>
            <w:tcW w:w="0" w:type="auto"/>
            <w:shd w:val="clear" w:color="000000" w:fill="FFFFFF"/>
          </w:tcPr>
          <w:p w14:paraId="51E03EBD"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Cotorro</w:t>
            </w:r>
          </w:p>
        </w:tc>
        <w:tc>
          <w:tcPr>
            <w:tcW w:w="0" w:type="auto"/>
            <w:shd w:val="clear" w:color="000000" w:fill="FFFFFF"/>
          </w:tcPr>
          <w:p w14:paraId="22D3B9C6"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48</w:t>
            </w:r>
          </w:p>
        </w:tc>
        <w:tc>
          <w:tcPr>
            <w:tcW w:w="0" w:type="auto"/>
            <w:tcBorders>
              <w:right w:val="single" w:sz="4" w:space="0" w:color="auto"/>
            </w:tcBorders>
            <w:shd w:val="clear" w:color="000000" w:fill="FFFFFF"/>
          </w:tcPr>
          <w:p w14:paraId="2F8A94A2"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2,4</w:t>
            </w:r>
          </w:p>
        </w:tc>
      </w:tr>
      <w:tr w:rsidR="00FE5C47" w:rsidRPr="00FE5C47" w14:paraId="45868201" w14:textId="77777777" w:rsidTr="001F1911">
        <w:trPr>
          <w:trHeight w:val="273"/>
          <w:jc w:val="center"/>
        </w:trPr>
        <w:tc>
          <w:tcPr>
            <w:tcW w:w="0" w:type="auto"/>
            <w:shd w:val="clear" w:color="000000" w:fill="FFFFFF"/>
          </w:tcPr>
          <w:p w14:paraId="059F1835"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Habana Vieja</w:t>
            </w:r>
          </w:p>
        </w:tc>
        <w:tc>
          <w:tcPr>
            <w:tcW w:w="0" w:type="auto"/>
            <w:shd w:val="clear" w:color="000000" w:fill="FFFFFF"/>
          </w:tcPr>
          <w:p w14:paraId="4370523D"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37</w:t>
            </w:r>
          </w:p>
        </w:tc>
        <w:tc>
          <w:tcPr>
            <w:tcW w:w="0" w:type="auto"/>
            <w:tcBorders>
              <w:right w:val="single" w:sz="4" w:space="0" w:color="auto"/>
            </w:tcBorders>
            <w:shd w:val="clear" w:color="000000" w:fill="FFFFFF"/>
          </w:tcPr>
          <w:p w14:paraId="470FD5B6"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1,8</w:t>
            </w:r>
          </w:p>
        </w:tc>
      </w:tr>
      <w:tr w:rsidR="00FE5C47" w:rsidRPr="00FE5C47" w14:paraId="6EF1F0E1" w14:textId="77777777" w:rsidTr="001F1911">
        <w:trPr>
          <w:trHeight w:val="273"/>
          <w:jc w:val="center"/>
        </w:trPr>
        <w:tc>
          <w:tcPr>
            <w:tcW w:w="0" w:type="auto"/>
            <w:shd w:val="clear" w:color="000000" w:fill="FFFFFF"/>
          </w:tcPr>
          <w:p w14:paraId="543646DD" w14:textId="77777777" w:rsidR="00FE5C47" w:rsidRPr="00FE5C47" w:rsidRDefault="00FE5C47" w:rsidP="00FE5C47">
            <w:pPr>
              <w:autoSpaceDE w:val="0"/>
              <w:autoSpaceDN w:val="0"/>
              <w:adjustRightInd w:val="0"/>
              <w:spacing w:line="360" w:lineRule="auto"/>
              <w:rPr>
                <w:rFonts w:eastAsia="Calibri"/>
                <w:color w:val="000000"/>
                <w:sz w:val="18"/>
                <w:szCs w:val="18"/>
                <w:lang w:val="es-CU" w:eastAsia="en-US"/>
              </w:rPr>
            </w:pPr>
            <w:r w:rsidRPr="00FE5C47">
              <w:rPr>
                <w:rFonts w:eastAsia="Calibri"/>
                <w:sz w:val="18"/>
                <w:szCs w:val="18"/>
                <w:lang w:val="es-CU" w:eastAsia="en-US"/>
              </w:rPr>
              <w:t>Regla</w:t>
            </w:r>
          </w:p>
        </w:tc>
        <w:tc>
          <w:tcPr>
            <w:tcW w:w="0" w:type="auto"/>
            <w:shd w:val="clear" w:color="000000" w:fill="FFFFFF"/>
          </w:tcPr>
          <w:p w14:paraId="414978B5"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31</w:t>
            </w:r>
          </w:p>
        </w:tc>
        <w:tc>
          <w:tcPr>
            <w:tcW w:w="0" w:type="auto"/>
            <w:tcBorders>
              <w:right w:val="single" w:sz="4" w:space="0" w:color="auto"/>
            </w:tcBorders>
            <w:shd w:val="clear" w:color="000000" w:fill="FFFFFF"/>
          </w:tcPr>
          <w:p w14:paraId="3AA88B3A" w14:textId="77777777" w:rsidR="00FE5C47" w:rsidRPr="00FE5C47" w:rsidRDefault="00FE5C47" w:rsidP="00FE5C47">
            <w:pPr>
              <w:autoSpaceDE w:val="0"/>
              <w:autoSpaceDN w:val="0"/>
              <w:adjustRightInd w:val="0"/>
              <w:spacing w:line="360" w:lineRule="auto"/>
              <w:jc w:val="center"/>
              <w:rPr>
                <w:rFonts w:eastAsia="Calibri"/>
                <w:color w:val="000000"/>
                <w:sz w:val="18"/>
                <w:szCs w:val="18"/>
                <w:lang w:val="es-CU" w:eastAsia="en-US"/>
              </w:rPr>
            </w:pPr>
            <w:r w:rsidRPr="00FE5C47">
              <w:rPr>
                <w:rFonts w:eastAsia="Calibri"/>
                <w:sz w:val="18"/>
                <w:szCs w:val="18"/>
                <w:lang w:val="es-CU" w:eastAsia="en-US"/>
              </w:rPr>
              <w:t>1,5</w:t>
            </w:r>
          </w:p>
        </w:tc>
      </w:tr>
      <w:tr w:rsidR="00FE5C47" w:rsidRPr="00FE5C47" w14:paraId="79B227AC" w14:textId="77777777" w:rsidTr="001F1911">
        <w:trPr>
          <w:trHeight w:val="273"/>
          <w:jc w:val="center"/>
        </w:trPr>
        <w:tc>
          <w:tcPr>
            <w:tcW w:w="0" w:type="auto"/>
            <w:shd w:val="clear" w:color="000000" w:fill="FFFFFF"/>
            <w:vAlign w:val="center"/>
          </w:tcPr>
          <w:p w14:paraId="52B2EC83" w14:textId="77777777" w:rsidR="00FE5C47" w:rsidRPr="00FE5C47" w:rsidRDefault="00FE5C47" w:rsidP="00FE5C47">
            <w:pPr>
              <w:autoSpaceDE w:val="0"/>
              <w:autoSpaceDN w:val="0"/>
              <w:adjustRightInd w:val="0"/>
              <w:spacing w:line="360" w:lineRule="auto"/>
              <w:rPr>
                <w:rFonts w:eastAsia="Calibri"/>
                <w:bCs/>
                <w:color w:val="000000"/>
                <w:sz w:val="18"/>
                <w:szCs w:val="18"/>
                <w:lang w:val="es-CU" w:eastAsia="en-US"/>
              </w:rPr>
            </w:pPr>
            <w:r w:rsidRPr="00FE5C47">
              <w:rPr>
                <w:rFonts w:eastAsia="Calibri"/>
                <w:bCs/>
                <w:color w:val="000000"/>
                <w:sz w:val="18"/>
                <w:szCs w:val="18"/>
                <w:lang w:val="es-CU" w:eastAsia="en-US"/>
              </w:rPr>
              <w:t>Total</w:t>
            </w:r>
          </w:p>
        </w:tc>
        <w:tc>
          <w:tcPr>
            <w:tcW w:w="0" w:type="auto"/>
            <w:shd w:val="clear" w:color="000000" w:fill="FFFFFF"/>
            <w:vAlign w:val="center"/>
          </w:tcPr>
          <w:p w14:paraId="35283256" w14:textId="77777777" w:rsidR="00FE5C47" w:rsidRPr="00FE5C47" w:rsidRDefault="00FE5C47" w:rsidP="00FE5C47">
            <w:pPr>
              <w:autoSpaceDE w:val="0"/>
              <w:autoSpaceDN w:val="0"/>
              <w:adjustRightInd w:val="0"/>
              <w:spacing w:line="360" w:lineRule="auto"/>
              <w:jc w:val="center"/>
              <w:rPr>
                <w:rFonts w:eastAsia="Calibri"/>
                <w:bCs/>
                <w:color w:val="000000"/>
                <w:sz w:val="18"/>
                <w:szCs w:val="18"/>
                <w:lang w:val="es-CU" w:eastAsia="en-US"/>
              </w:rPr>
            </w:pPr>
            <w:r w:rsidRPr="00FE5C47">
              <w:rPr>
                <w:rFonts w:eastAsia="Calibri"/>
                <w:bCs/>
                <w:color w:val="000000"/>
                <w:sz w:val="18"/>
                <w:szCs w:val="18"/>
                <w:lang w:val="es-CU" w:eastAsia="en-US"/>
              </w:rPr>
              <w:t>2012</w:t>
            </w:r>
          </w:p>
        </w:tc>
        <w:tc>
          <w:tcPr>
            <w:tcW w:w="0" w:type="auto"/>
            <w:tcBorders>
              <w:right w:val="single" w:sz="4" w:space="0" w:color="auto"/>
            </w:tcBorders>
            <w:shd w:val="clear" w:color="000000" w:fill="FFFFFF"/>
            <w:vAlign w:val="center"/>
          </w:tcPr>
          <w:p w14:paraId="621FD16D" w14:textId="77777777" w:rsidR="00FE5C47" w:rsidRPr="00FE5C47" w:rsidRDefault="00FE5C47" w:rsidP="00FE5C47">
            <w:pPr>
              <w:autoSpaceDE w:val="0"/>
              <w:autoSpaceDN w:val="0"/>
              <w:adjustRightInd w:val="0"/>
              <w:spacing w:line="360" w:lineRule="auto"/>
              <w:jc w:val="center"/>
              <w:rPr>
                <w:rFonts w:eastAsia="Calibri"/>
                <w:bCs/>
                <w:color w:val="000000"/>
                <w:sz w:val="18"/>
                <w:szCs w:val="18"/>
                <w:lang w:val="es-CU" w:eastAsia="en-US"/>
              </w:rPr>
            </w:pPr>
            <w:r w:rsidRPr="00FE5C47">
              <w:rPr>
                <w:rFonts w:eastAsia="Calibri"/>
                <w:bCs/>
                <w:color w:val="000000"/>
                <w:sz w:val="18"/>
                <w:szCs w:val="18"/>
                <w:lang w:val="es-CU" w:eastAsia="en-US"/>
              </w:rPr>
              <w:t>100</w:t>
            </w:r>
          </w:p>
        </w:tc>
      </w:tr>
    </w:tbl>
    <w:p w14:paraId="42A8F2F6" w14:textId="77777777" w:rsidR="00FE5C47" w:rsidRPr="00FE5C47" w:rsidRDefault="00FE5C47" w:rsidP="00FE5C47">
      <w:pPr>
        <w:spacing w:line="360" w:lineRule="auto"/>
        <w:jc w:val="both"/>
        <w:rPr>
          <w:rFonts w:eastAsia="Calibri"/>
          <w:lang w:val="es-CU" w:eastAsia="en-US"/>
        </w:rPr>
      </w:pPr>
    </w:p>
    <w:p w14:paraId="667D9C69" w14:textId="77777777" w:rsidR="00FE5C47" w:rsidRPr="00FE5C47" w:rsidRDefault="00FE5C47" w:rsidP="00FE5C47">
      <w:pPr>
        <w:autoSpaceDE w:val="0"/>
        <w:autoSpaceDN w:val="0"/>
        <w:adjustRightInd w:val="0"/>
        <w:spacing w:line="360" w:lineRule="auto"/>
        <w:jc w:val="both"/>
        <w:rPr>
          <w:rFonts w:eastAsia="Calibri"/>
          <w:color w:val="000000"/>
          <w:lang w:val="es-ES" w:eastAsia="en-US"/>
        </w:rPr>
      </w:pPr>
      <w:r w:rsidRPr="00FE5C47">
        <w:rPr>
          <w:rFonts w:eastAsia="Calibri"/>
          <w:color w:val="000000"/>
          <w:lang w:val="es-ES" w:eastAsia="en-US"/>
        </w:rPr>
        <w:lastRenderedPageBreak/>
        <w:t xml:space="preserve">El análisis de correlaciones </w:t>
      </w:r>
      <w:proofErr w:type="spellStart"/>
      <w:r w:rsidRPr="00FE5C47">
        <w:rPr>
          <w:rFonts w:eastAsia="Calibri"/>
          <w:color w:val="000000"/>
          <w:lang w:val="es-ES" w:eastAsia="en-US"/>
        </w:rPr>
        <w:t>bivariadas</w:t>
      </w:r>
      <w:proofErr w:type="spellEnd"/>
      <w:r w:rsidRPr="00FE5C47">
        <w:rPr>
          <w:rFonts w:eastAsia="Calibri"/>
          <w:color w:val="000000"/>
          <w:lang w:val="es-ES" w:eastAsia="en-US"/>
        </w:rPr>
        <w:t xml:space="preserve"> mediante el coeficiente </w:t>
      </w:r>
      <w:r w:rsidRPr="00FE5C47">
        <w:rPr>
          <w:rFonts w:eastAsia="Calibri"/>
          <w:i/>
          <w:iCs/>
          <w:color w:val="000000"/>
          <w:lang w:val="es-ES" w:eastAsia="en-US"/>
        </w:rPr>
        <w:t>rho</w:t>
      </w:r>
      <w:r w:rsidRPr="00FE5C47">
        <w:rPr>
          <w:rFonts w:eastAsia="Calibri"/>
          <w:color w:val="000000"/>
          <w:lang w:val="es-ES" w:eastAsia="en-US"/>
        </w:rPr>
        <w:t xml:space="preserve"> de Spearman indica que son significativas (**) al nivel 0,01 (bilateral) para un nivel de confianza del 99 % y un margen de error admisible del 1 % entre las variables: sexo - grupo de edades (SB= 0,000 &lt; 0,01); sexo - ocupación (SB= 0,005 &lt; 0,01) y grupo de edades - ocupación (SB= 0,000 &lt; 0,01). En sentido inverso entre rango de cantidad de residentes - grupo de edades; nivel - ocupación (SB= 0,000 &lt; 0,01); se observa también una relación inversa entre rango de edades y rango de la cantidad de residentes en el núcleo (SB= 0,000 &lt; 0,01). La correlación es significativa al nivel 0,05 (bilateral) para un nivel de confianza de 95 % y un error del 5 % entre el rango de edades y el nivel educativo de los encuestados (SB= 0,011 &lt; 0,05).</w:t>
      </w:r>
    </w:p>
    <w:p w14:paraId="7BE64833"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Más del 60 % de los encuestados atribuyeron la situación actual de la COVID-19 en La Habana a las causas que se recogen en la tabla 2. </w:t>
      </w:r>
    </w:p>
    <w:p w14:paraId="4C6CC77C" w14:textId="77777777" w:rsidR="00FE5C47" w:rsidRPr="00FE5C47" w:rsidRDefault="00FE5C47" w:rsidP="00FE5C47">
      <w:pPr>
        <w:autoSpaceDE w:val="0"/>
        <w:autoSpaceDN w:val="0"/>
        <w:adjustRightInd w:val="0"/>
        <w:spacing w:line="360" w:lineRule="auto"/>
        <w:jc w:val="both"/>
        <w:rPr>
          <w:rFonts w:eastAsia="Calibri"/>
          <w:color w:val="000000"/>
          <w:lang w:val="es-ES" w:eastAsia="en-US"/>
        </w:rPr>
      </w:pPr>
    </w:p>
    <w:p w14:paraId="042DBCBD" w14:textId="77777777" w:rsidR="00FE5C47" w:rsidRPr="00FE5C47" w:rsidRDefault="00FE5C47" w:rsidP="00FE5C47">
      <w:pPr>
        <w:spacing w:line="360" w:lineRule="auto"/>
        <w:jc w:val="center"/>
        <w:rPr>
          <w:rFonts w:eastAsia="Calibri"/>
          <w:bCs/>
          <w:sz w:val="22"/>
          <w:szCs w:val="22"/>
          <w:lang w:val="es-CU" w:eastAsia="en-US"/>
        </w:rPr>
      </w:pPr>
      <w:r w:rsidRPr="00FE5C47">
        <w:rPr>
          <w:rFonts w:eastAsia="Calibri"/>
          <w:b/>
          <w:color w:val="000000"/>
          <w:sz w:val="22"/>
          <w:szCs w:val="22"/>
          <w:lang w:val="es-CU" w:eastAsia="en-US"/>
        </w:rPr>
        <w:t>Tabla 2 -</w:t>
      </w:r>
      <w:r w:rsidRPr="00FE5C47">
        <w:rPr>
          <w:rFonts w:eastAsia="Calibri"/>
          <w:bCs/>
          <w:color w:val="000000"/>
          <w:sz w:val="22"/>
          <w:szCs w:val="22"/>
          <w:lang w:val="es-CU" w:eastAsia="en-US"/>
        </w:rPr>
        <w:t xml:space="preserve"> Causas atribuidas a la situación de la COVID-19 en La Habana</w:t>
      </w:r>
    </w:p>
    <w:tbl>
      <w:tblPr>
        <w:tblStyle w:val="Tablaconcuadrcula1"/>
        <w:tblW w:w="8403" w:type="dxa"/>
        <w:jc w:val="center"/>
        <w:tblLook w:val="04A0" w:firstRow="1" w:lastRow="0" w:firstColumn="1" w:lastColumn="0" w:noHBand="0" w:noVBand="1"/>
      </w:tblPr>
      <w:tblGrid>
        <w:gridCol w:w="6658"/>
        <w:gridCol w:w="850"/>
        <w:gridCol w:w="895"/>
      </w:tblGrid>
      <w:tr w:rsidR="00FE5C47" w:rsidRPr="00FE5C47" w14:paraId="61335E0B" w14:textId="77777777" w:rsidTr="001F1911">
        <w:trPr>
          <w:trHeight w:val="246"/>
          <w:jc w:val="center"/>
        </w:trPr>
        <w:tc>
          <w:tcPr>
            <w:tcW w:w="6658" w:type="dxa"/>
          </w:tcPr>
          <w:p w14:paraId="69AE4638" w14:textId="77777777" w:rsidR="00FE5C47" w:rsidRPr="00FE5C47" w:rsidRDefault="00FE5C47" w:rsidP="00FE5C47">
            <w:pPr>
              <w:autoSpaceDE w:val="0"/>
              <w:autoSpaceDN w:val="0"/>
              <w:adjustRightInd w:val="0"/>
              <w:spacing w:line="360" w:lineRule="auto"/>
              <w:jc w:val="center"/>
              <w:rPr>
                <w:rFonts w:ascii="Times New Roman" w:hAnsi="Times New Roman"/>
                <w:b/>
                <w:sz w:val="18"/>
                <w:szCs w:val="18"/>
                <w:lang w:val="es-CU" w:eastAsia="en-US"/>
              </w:rPr>
            </w:pPr>
            <w:r w:rsidRPr="00FE5C47">
              <w:rPr>
                <w:rFonts w:ascii="Times New Roman" w:hAnsi="Times New Roman"/>
                <w:b/>
                <w:sz w:val="18"/>
                <w:szCs w:val="18"/>
                <w:lang w:val="es-CU" w:eastAsia="en-US"/>
              </w:rPr>
              <w:t>Causas</w:t>
            </w:r>
          </w:p>
        </w:tc>
        <w:tc>
          <w:tcPr>
            <w:tcW w:w="850" w:type="dxa"/>
            <w:shd w:val="clear" w:color="000000" w:fill="FFFFFF"/>
            <w:vAlign w:val="center"/>
          </w:tcPr>
          <w:p w14:paraId="5DC8CEF3" w14:textId="77777777" w:rsidR="00FE5C47" w:rsidRPr="00FE5C47" w:rsidRDefault="00FE5C47" w:rsidP="00FE5C47">
            <w:pPr>
              <w:autoSpaceDE w:val="0"/>
              <w:autoSpaceDN w:val="0"/>
              <w:adjustRightInd w:val="0"/>
              <w:spacing w:line="360" w:lineRule="auto"/>
              <w:jc w:val="center"/>
              <w:rPr>
                <w:rFonts w:ascii="Times New Roman" w:hAnsi="Times New Roman"/>
                <w:b/>
                <w:color w:val="000000"/>
                <w:sz w:val="18"/>
                <w:szCs w:val="18"/>
                <w:lang w:val="es-CU" w:eastAsia="en-US"/>
              </w:rPr>
            </w:pPr>
            <w:r w:rsidRPr="00FE5C47">
              <w:rPr>
                <w:rFonts w:ascii="Times New Roman" w:hAnsi="Times New Roman"/>
                <w:b/>
                <w:color w:val="000000"/>
                <w:sz w:val="18"/>
                <w:szCs w:val="18"/>
                <w:lang w:val="es-CU" w:eastAsia="en-US"/>
              </w:rPr>
              <w:t>n</w:t>
            </w:r>
          </w:p>
        </w:tc>
        <w:tc>
          <w:tcPr>
            <w:tcW w:w="895" w:type="dxa"/>
            <w:shd w:val="clear" w:color="000000" w:fill="FFFFFF"/>
            <w:vAlign w:val="center"/>
          </w:tcPr>
          <w:p w14:paraId="7BB81CBC" w14:textId="77777777" w:rsidR="00FE5C47" w:rsidRPr="00FE5C47" w:rsidRDefault="00FE5C47" w:rsidP="00FE5C47">
            <w:pPr>
              <w:autoSpaceDE w:val="0"/>
              <w:autoSpaceDN w:val="0"/>
              <w:adjustRightInd w:val="0"/>
              <w:spacing w:line="360" w:lineRule="auto"/>
              <w:jc w:val="center"/>
              <w:rPr>
                <w:rFonts w:ascii="Times New Roman" w:hAnsi="Times New Roman"/>
                <w:b/>
                <w:color w:val="000000"/>
                <w:sz w:val="18"/>
                <w:szCs w:val="18"/>
                <w:lang w:val="es-CU" w:eastAsia="en-US"/>
              </w:rPr>
            </w:pPr>
            <w:r w:rsidRPr="00FE5C47">
              <w:rPr>
                <w:rFonts w:ascii="Times New Roman" w:hAnsi="Times New Roman"/>
                <w:b/>
                <w:color w:val="000000"/>
                <w:sz w:val="18"/>
                <w:szCs w:val="18"/>
                <w:lang w:val="es-CU" w:eastAsia="en-US"/>
              </w:rPr>
              <w:t>%</w:t>
            </w:r>
          </w:p>
        </w:tc>
      </w:tr>
      <w:tr w:rsidR="00FE5C47" w:rsidRPr="00FE5C47" w14:paraId="61A5A0C8" w14:textId="77777777" w:rsidTr="001F1911">
        <w:trPr>
          <w:trHeight w:val="88"/>
          <w:jc w:val="center"/>
        </w:trPr>
        <w:tc>
          <w:tcPr>
            <w:tcW w:w="6658" w:type="dxa"/>
          </w:tcPr>
          <w:p w14:paraId="0AABAEAE"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E4. Violación del distanciamiento social</w:t>
            </w:r>
          </w:p>
        </w:tc>
        <w:tc>
          <w:tcPr>
            <w:tcW w:w="850" w:type="dxa"/>
            <w:shd w:val="clear" w:color="000000" w:fill="FFFFFF"/>
            <w:vAlign w:val="center"/>
          </w:tcPr>
          <w:p w14:paraId="77590527"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1805</w:t>
            </w:r>
          </w:p>
        </w:tc>
        <w:tc>
          <w:tcPr>
            <w:tcW w:w="895" w:type="dxa"/>
            <w:shd w:val="clear" w:color="000000" w:fill="FFFFFF"/>
            <w:vAlign w:val="center"/>
          </w:tcPr>
          <w:p w14:paraId="2D278EFF"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89,7</w:t>
            </w:r>
          </w:p>
        </w:tc>
      </w:tr>
      <w:tr w:rsidR="00FE5C47" w:rsidRPr="00FE5C47" w14:paraId="030C5E42" w14:textId="77777777" w:rsidTr="00FE5C47">
        <w:trPr>
          <w:trHeight w:val="79"/>
          <w:jc w:val="center"/>
        </w:trPr>
        <w:tc>
          <w:tcPr>
            <w:tcW w:w="6658" w:type="dxa"/>
            <w:shd w:val="clear" w:color="auto" w:fill="FFFFFF"/>
          </w:tcPr>
          <w:p w14:paraId="2A15F1D3"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 xml:space="preserve">S6. Resquebrajamiento de la disciplina social </w:t>
            </w:r>
          </w:p>
        </w:tc>
        <w:tc>
          <w:tcPr>
            <w:tcW w:w="850" w:type="dxa"/>
            <w:shd w:val="clear" w:color="000000" w:fill="FFFFFF"/>
            <w:vAlign w:val="center"/>
          </w:tcPr>
          <w:p w14:paraId="26EAE4F9"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1711</w:t>
            </w:r>
          </w:p>
        </w:tc>
        <w:tc>
          <w:tcPr>
            <w:tcW w:w="895" w:type="dxa"/>
            <w:shd w:val="clear" w:color="000000" w:fill="FFFFFF"/>
            <w:vAlign w:val="center"/>
          </w:tcPr>
          <w:p w14:paraId="1C5EFC93"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85,0</w:t>
            </w:r>
          </w:p>
        </w:tc>
      </w:tr>
      <w:tr w:rsidR="00FE5C47" w:rsidRPr="00FE5C47" w14:paraId="09F74AE1" w14:textId="77777777" w:rsidTr="00FE5C47">
        <w:trPr>
          <w:trHeight w:val="167"/>
          <w:jc w:val="center"/>
        </w:trPr>
        <w:tc>
          <w:tcPr>
            <w:tcW w:w="6658" w:type="dxa"/>
            <w:shd w:val="clear" w:color="auto" w:fill="FFFFFF"/>
          </w:tcPr>
          <w:p w14:paraId="0C88CF10"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S7. Celebración y festividades de fin de año, cumpleaños…</w:t>
            </w:r>
          </w:p>
        </w:tc>
        <w:tc>
          <w:tcPr>
            <w:tcW w:w="850" w:type="dxa"/>
            <w:shd w:val="clear" w:color="000000" w:fill="FFFFFF"/>
            <w:vAlign w:val="center"/>
          </w:tcPr>
          <w:p w14:paraId="777C5E6C"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1613</w:t>
            </w:r>
          </w:p>
        </w:tc>
        <w:tc>
          <w:tcPr>
            <w:tcW w:w="895" w:type="dxa"/>
            <w:shd w:val="clear" w:color="000000" w:fill="FFFFFF"/>
            <w:vAlign w:val="center"/>
          </w:tcPr>
          <w:p w14:paraId="793F3C40"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80,2</w:t>
            </w:r>
          </w:p>
        </w:tc>
      </w:tr>
      <w:tr w:rsidR="00FE5C47" w:rsidRPr="00FE5C47" w14:paraId="5A0E4B63" w14:textId="77777777" w:rsidTr="001F1911">
        <w:trPr>
          <w:trHeight w:val="421"/>
          <w:jc w:val="center"/>
        </w:trPr>
        <w:tc>
          <w:tcPr>
            <w:tcW w:w="6658" w:type="dxa"/>
          </w:tcPr>
          <w:p w14:paraId="6F00554E"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 xml:space="preserve">S4. Aglomeraciones públicas </w:t>
            </w:r>
          </w:p>
        </w:tc>
        <w:tc>
          <w:tcPr>
            <w:tcW w:w="850" w:type="dxa"/>
            <w:shd w:val="clear" w:color="000000" w:fill="FFFFFF"/>
            <w:vAlign w:val="center"/>
          </w:tcPr>
          <w:p w14:paraId="7AD57AAF"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1591</w:t>
            </w:r>
          </w:p>
        </w:tc>
        <w:tc>
          <w:tcPr>
            <w:tcW w:w="895" w:type="dxa"/>
            <w:shd w:val="clear" w:color="000000" w:fill="FFFFFF"/>
            <w:vAlign w:val="center"/>
          </w:tcPr>
          <w:p w14:paraId="6AD07466"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79,1</w:t>
            </w:r>
          </w:p>
        </w:tc>
      </w:tr>
      <w:tr w:rsidR="00FE5C47" w:rsidRPr="00FE5C47" w14:paraId="3CA6DCBD" w14:textId="77777777" w:rsidTr="001F1911">
        <w:trPr>
          <w:trHeight w:val="246"/>
          <w:jc w:val="center"/>
        </w:trPr>
        <w:tc>
          <w:tcPr>
            <w:tcW w:w="6658" w:type="dxa"/>
          </w:tcPr>
          <w:p w14:paraId="716F092D"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S5. Baja de la percepción de riesgo individual y social</w:t>
            </w:r>
          </w:p>
        </w:tc>
        <w:tc>
          <w:tcPr>
            <w:tcW w:w="850" w:type="dxa"/>
            <w:shd w:val="clear" w:color="000000" w:fill="FFFFFF"/>
            <w:vAlign w:val="center"/>
          </w:tcPr>
          <w:p w14:paraId="4BBFF8FC"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1590</w:t>
            </w:r>
          </w:p>
        </w:tc>
        <w:tc>
          <w:tcPr>
            <w:tcW w:w="895" w:type="dxa"/>
            <w:shd w:val="clear" w:color="000000" w:fill="FFFFFF"/>
            <w:vAlign w:val="center"/>
          </w:tcPr>
          <w:p w14:paraId="1EBFBC48"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79,0</w:t>
            </w:r>
          </w:p>
        </w:tc>
      </w:tr>
      <w:tr w:rsidR="00FE5C47" w:rsidRPr="00FE5C47" w14:paraId="0F15A10E" w14:textId="77777777" w:rsidTr="00FE5C47">
        <w:trPr>
          <w:trHeight w:val="246"/>
          <w:jc w:val="center"/>
        </w:trPr>
        <w:tc>
          <w:tcPr>
            <w:tcW w:w="6658" w:type="dxa"/>
            <w:shd w:val="clear" w:color="auto" w:fill="FFFFFF"/>
          </w:tcPr>
          <w:p w14:paraId="686F1C8B"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 xml:space="preserve">EXT1.Aparición de nuevas variantes y patrones de mutación  </w:t>
            </w:r>
          </w:p>
        </w:tc>
        <w:tc>
          <w:tcPr>
            <w:tcW w:w="850" w:type="dxa"/>
            <w:shd w:val="clear" w:color="auto" w:fill="FFFFFF"/>
            <w:vAlign w:val="center"/>
          </w:tcPr>
          <w:p w14:paraId="09A6F131"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1479</w:t>
            </w:r>
          </w:p>
        </w:tc>
        <w:tc>
          <w:tcPr>
            <w:tcW w:w="895" w:type="dxa"/>
            <w:shd w:val="clear" w:color="auto" w:fill="FFFFFF"/>
            <w:vAlign w:val="center"/>
          </w:tcPr>
          <w:p w14:paraId="647F9F78"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73,5</w:t>
            </w:r>
          </w:p>
        </w:tc>
      </w:tr>
      <w:tr w:rsidR="00FE5C47" w:rsidRPr="00FE5C47" w14:paraId="48EB29C1" w14:textId="77777777" w:rsidTr="001F1911">
        <w:trPr>
          <w:trHeight w:val="246"/>
          <w:jc w:val="center"/>
        </w:trPr>
        <w:tc>
          <w:tcPr>
            <w:tcW w:w="6658" w:type="dxa"/>
          </w:tcPr>
          <w:p w14:paraId="4BD03D20"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 xml:space="preserve">E6. Apertura de aeropuertos </w:t>
            </w:r>
          </w:p>
        </w:tc>
        <w:tc>
          <w:tcPr>
            <w:tcW w:w="850" w:type="dxa"/>
            <w:shd w:val="clear" w:color="000000" w:fill="FFFFFF"/>
            <w:vAlign w:val="center"/>
          </w:tcPr>
          <w:p w14:paraId="0EC5C075"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1444</w:t>
            </w:r>
          </w:p>
        </w:tc>
        <w:tc>
          <w:tcPr>
            <w:tcW w:w="895" w:type="dxa"/>
            <w:shd w:val="clear" w:color="000000" w:fill="FFFFFF"/>
            <w:vAlign w:val="center"/>
          </w:tcPr>
          <w:p w14:paraId="5374F516"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71,8</w:t>
            </w:r>
          </w:p>
        </w:tc>
      </w:tr>
      <w:tr w:rsidR="00FE5C47" w:rsidRPr="00FE5C47" w14:paraId="048F907D" w14:textId="77777777" w:rsidTr="001F1911">
        <w:trPr>
          <w:trHeight w:val="246"/>
          <w:jc w:val="center"/>
        </w:trPr>
        <w:tc>
          <w:tcPr>
            <w:tcW w:w="6658" w:type="dxa"/>
          </w:tcPr>
          <w:p w14:paraId="00ADA603"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E5. Eliminación de pesquisa activa de casos sospechosos …</w:t>
            </w:r>
          </w:p>
        </w:tc>
        <w:tc>
          <w:tcPr>
            <w:tcW w:w="850" w:type="dxa"/>
            <w:shd w:val="clear" w:color="000000" w:fill="FFFFFF"/>
            <w:vAlign w:val="center"/>
          </w:tcPr>
          <w:p w14:paraId="20C66CDA"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1396</w:t>
            </w:r>
          </w:p>
        </w:tc>
        <w:tc>
          <w:tcPr>
            <w:tcW w:w="895" w:type="dxa"/>
            <w:shd w:val="clear" w:color="000000" w:fill="FFFFFF"/>
            <w:vAlign w:val="center"/>
          </w:tcPr>
          <w:p w14:paraId="774A9DAB"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69, 4</w:t>
            </w:r>
          </w:p>
        </w:tc>
      </w:tr>
      <w:tr w:rsidR="00FE5C47" w:rsidRPr="00FE5C47" w14:paraId="6EFD35BC" w14:textId="77777777" w:rsidTr="001F1911">
        <w:trPr>
          <w:trHeight w:val="246"/>
          <w:jc w:val="center"/>
        </w:trPr>
        <w:tc>
          <w:tcPr>
            <w:tcW w:w="6658" w:type="dxa"/>
          </w:tcPr>
          <w:p w14:paraId="12A6C1BC"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E8. Débil vigilancia y medidas preventivas en centros laborales</w:t>
            </w:r>
          </w:p>
        </w:tc>
        <w:tc>
          <w:tcPr>
            <w:tcW w:w="850" w:type="dxa"/>
            <w:shd w:val="clear" w:color="000000" w:fill="FFFFFF"/>
            <w:vAlign w:val="center"/>
          </w:tcPr>
          <w:p w14:paraId="22631739"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1379</w:t>
            </w:r>
          </w:p>
        </w:tc>
        <w:tc>
          <w:tcPr>
            <w:tcW w:w="895" w:type="dxa"/>
            <w:shd w:val="clear" w:color="000000" w:fill="FFFFFF"/>
            <w:vAlign w:val="center"/>
          </w:tcPr>
          <w:p w14:paraId="4E7EBBF3"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68,5</w:t>
            </w:r>
          </w:p>
        </w:tc>
      </w:tr>
      <w:tr w:rsidR="00FE5C47" w:rsidRPr="00FE5C47" w14:paraId="35A00F00" w14:textId="77777777" w:rsidTr="001F1911">
        <w:trPr>
          <w:trHeight w:val="256"/>
          <w:jc w:val="center"/>
        </w:trPr>
        <w:tc>
          <w:tcPr>
            <w:tcW w:w="6658" w:type="dxa"/>
          </w:tcPr>
          <w:p w14:paraId="0303730C"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E1. Reapertura de hoteles, playas y centros turísticos</w:t>
            </w:r>
          </w:p>
        </w:tc>
        <w:tc>
          <w:tcPr>
            <w:tcW w:w="850" w:type="dxa"/>
            <w:shd w:val="clear" w:color="000000" w:fill="FFFFFF"/>
            <w:vAlign w:val="center"/>
          </w:tcPr>
          <w:p w14:paraId="36614FAD"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1332</w:t>
            </w:r>
          </w:p>
        </w:tc>
        <w:tc>
          <w:tcPr>
            <w:tcW w:w="895" w:type="dxa"/>
            <w:shd w:val="clear" w:color="000000" w:fill="FFFFFF"/>
            <w:vAlign w:val="center"/>
          </w:tcPr>
          <w:p w14:paraId="4E3A8228"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66,2</w:t>
            </w:r>
          </w:p>
        </w:tc>
      </w:tr>
      <w:tr w:rsidR="00FE5C47" w:rsidRPr="00FE5C47" w14:paraId="0881ABA8" w14:textId="77777777" w:rsidTr="00FE5C47">
        <w:trPr>
          <w:trHeight w:val="246"/>
          <w:jc w:val="center"/>
        </w:trPr>
        <w:tc>
          <w:tcPr>
            <w:tcW w:w="6658" w:type="dxa"/>
            <w:shd w:val="clear" w:color="auto" w:fill="FFFFFF"/>
          </w:tcPr>
          <w:p w14:paraId="586C3E01"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 xml:space="preserve">E12. Demoras en la comunicación de resultados de PCR  </w:t>
            </w:r>
          </w:p>
        </w:tc>
        <w:tc>
          <w:tcPr>
            <w:tcW w:w="850" w:type="dxa"/>
            <w:shd w:val="clear" w:color="auto" w:fill="FFFFFF"/>
            <w:vAlign w:val="center"/>
          </w:tcPr>
          <w:p w14:paraId="4B937F62"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1289</w:t>
            </w:r>
          </w:p>
        </w:tc>
        <w:tc>
          <w:tcPr>
            <w:tcW w:w="895" w:type="dxa"/>
            <w:shd w:val="clear" w:color="auto" w:fill="FFFFFF"/>
            <w:vAlign w:val="center"/>
          </w:tcPr>
          <w:p w14:paraId="748AB654"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64,1</w:t>
            </w:r>
          </w:p>
        </w:tc>
      </w:tr>
      <w:tr w:rsidR="00FE5C47" w:rsidRPr="00FE5C47" w14:paraId="5987756A" w14:textId="77777777" w:rsidTr="00FE5C47">
        <w:trPr>
          <w:trHeight w:val="246"/>
          <w:jc w:val="center"/>
        </w:trPr>
        <w:tc>
          <w:tcPr>
            <w:tcW w:w="6658" w:type="dxa"/>
            <w:shd w:val="clear" w:color="auto" w:fill="FFFFFF"/>
          </w:tcPr>
          <w:p w14:paraId="71A2F850" w14:textId="77777777" w:rsidR="00FE5C47" w:rsidRPr="00FE5C47" w:rsidRDefault="00FE5C47" w:rsidP="00FE5C47">
            <w:pPr>
              <w:spacing w:line="360" w:lineRule="auto"/>
              <w:rPr>
                <w:rFonts w:ascii="Times New Roman" w:hAnsi="Times New Roman"/>
                <w:bCs/>
                <w:sz w:val="18"/>
                <w:szCs w:val="18"/>
                <w:lang w:val="es-CU" w:eastAsia="en-US"/>
              </w:rPr>
            </w:pPr>
            <w:r w:rsidRPr="00FE5C47">
              <w:rPr>
                <w:rFonts w:ascii="Times New Roman" w:hAnsi="Times New Roman"/>
                <w:bCs/>
                <w:sz w:val="18"/>
                <w:szCs w:val="18"/>
                <w:lang w:val="es-CU" w:eastAsia="en-US"/>
              </w:rPr>
              <w:t>S1. Exceso de confianza por disminución de casos positivos y baja mortalidad</w:t>
            </w:r>
          </w:p>
        </w:tc>
        <w:tc>
          <w:tcPr>
            <w:tcW w:w="850" w:type="dxa"/>
            <w:shd w:val="clear" w:color="auto" w:fill="FFFFFF"/>
            <w:vAlign w:val="center"/>
          </w:tcPr>
          <w:p w14:paraId="141CFC51" w14:textId="77777777" w:rsidR="00FE5C47" w:rsidRPr="00FE5C47" w:rsidRDefault="00FE5C47" w:rsidP="00FE5C47">
            <w:pPr>
              <w:autoSpaceDE w:val="0"/>
              <w:autoSpaceDN w:val="0"/>
              <w:adjustRightInd w:val="0"/>
              <w:spacing w:line="360" w:lineRule="auto"/>
              <w:jc w:val="center"/>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1238</w:t>
            </w:r>
          </w:p>
        </w:tc>
        <w:tc>
          <w:tcPr>
            <w:tcW w:w="895" w:type="dxa"/>
            <w:shd w:val="clear" w:color="auto" w:fill="FFFFFF"/>
            <w:vAlign w:val="center"/>
          </w:tcPr>
          <w:p w14:paraId="37086E97" w14:textId="77777777" w:rsidR="00FE5C47" w:rsidRPr="00FE5C47" w:rsidRDefault="00FE5C47" w:rsidP="00FE5C47">
            <w:pPr>
              <w:autoSpaceDE w:val="0"/>
              <w:autoSpaceDN w:val="0"/>
              <w:adjustRightInd w:val="0"/>
              <w:spacing w:line="360" w:lineRule="auto"/>
              <w:jc w:val="right"/>
              <w:rPr>
                <w:rFonts w:ascii="Times New Roman" w:hAnsi="Times New Roman"/>
                <w:bCs/>
                <w:color w:val="000000"/>
                <w:sz w:val="18"/>
                <w:szCs w:val="18"/>
                <w:lang w:val="es-CU" w:eastAsia="en-US"/>
              </w:rPr>
            </w:pPr>
            <w:r w:rsidRPr="00FE5C47">
              <w:rPr>
                <w:rFonts w:ascii="Times New Roman" w:hAnsi="Times New Roman"/>
                <w:bCs/>
                <w:color w:val="000000"/>
                <w:sz w:val="18"/>
                <w:szCs w:val="18"/>
                <w:lang w:val="es-CU" w:eastAsia="en-US"/>
              </w:rPr>
              <w:t>61,5</w:t>
            </w:r>
          </w:p>
        </w:tc>
      </w:tr>
    </w:tbl>
    <w:p w14:paraId="3CB04630" w14:textId="77777777" w:rsidR="00FE5C47" w:rsidRPr="00FE5C47" w:rsidRDefault="00FE5C47" w:rsidP="00FE5C47">
      <w:pPr>
        <w:spacing w:line="360" w:lineRule="auto"/>
        <w:jc w:val="both"/>
        <w:rPr>
          <w:rFonts w:eastAsia="Calibri"/>
          <w:lang w:val="es-CU" w:eastAsia="en-US"/>
        </w:rPr>
      </w:pPr>
    </w:p>
    <w:p w14:paraId="518181BE"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Las 3 causas predominantes según las percepciones de más del 80 % de los participantes en la encuesta fueron: la violación del distanciamiento social, el resquebrajamiento de la disciplina social y la celebración de actividades y festividades de fin de año, cumpleaños, motivos religiosos, entre otras.</w:t>
      </w:r>
    </w:p>
    <w:p w14:paraId="705B3BD9"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lastRenderedPageBreak/>
        <w:t xml:space="preserve">Entre las causas relacionadas con la dimensión estatal sobresalen: violaciones del distanciamiento social; apertura de aeropuertos y eliminación de la pesquisa activa en la comunidad. </w:t>
      </w:r>
    </w:p>
    <w:p w14:paraId="7713EE43"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Entre las causas referidas de la situación actual, relativas a la dimensión social, predominaron respuestas que lo atribuyen a violaciones de las medidas de distanciamiento social (85,0 %), el resquebrajamiento de la disciplina social (80,2 %), celebración de festividades por diversos motivos (79,1 %), aglomeraciones públicas (79,1 %) y la baja percepción de riesgo individual y social (79,0 %).  </w:t>
      </w:r>
    </w:p>
    <w:p w14:paraId="52A8790C" w14:textId="77777777" w:rsidR="00FE5C47" w:rsidRPr="00FE5C47" w:rsidRDefault="00FE5C47" w:rsidP="00640A63">
      <w:pPr>
        <w:spacing w:line="360" w:lineRule="auto"/>
        <w:jc w:val="both"/>
        <w:rPr>
          <w:rFonts w:eastAsia="Calibri"/>
          <w:lang w:val="es-CU" w:eastAsia="en-US"/>
        </w:rPr>
      </w:pPr>
    </w:p>
    <w:p w14:paraId="2438B32D" w14:textId="77777777" w:rsidR="00FE5C47" w:rsidRPr="00FE5C47" w:rsidRDefault="00FE5C47" w:rsidP="00640A63">
      <w:pPr>
        <w:spacing w:line="360" w:lineRule="auto"/>
        <w:jc w:val="center"/>
        <w:rPr>
          <w:rFonts w:eastAsia="Calibri"/>
          <w:bCs/>
          <w:sz w:val="22"/>
          <w:szCs w:val="22"/>
          <w:lang w:val="es-CU" w:eastAsia="en-US"/>
        </w:rPr>
      </w:pPr>
      <w:r w:rsidRPr="00FE5C47">
        <w:rPr>
          <w:rFonts w:eastAsia="Calibri"/>
          <w:b/>
          <w:sz w:val="22"/>
          <w:szCs w:val="22"/>
          <w:lang w:val="es-CU" w:eastAsia="en-US"/>
        </w:rPr>
        <w:t xml:space="preserve">Tabla 3 - </w:t>
      </w:r>
      <w:r w:rsidRPr="00FE5C47">
        <w:rPr>
          <w:rFonts w:eastAsia="Calibri"/>
          <w:bCs/>
          <w:sz w:val="22"/>
          <w:szCs w:val="22"/>
          <w:lang w:val="es-CU" w:eastAsia="en-US"/>
        </w:rPr>
        <w:t xml:space="preserve">Residuos corregidos y prueba </w:t>
      </w:r>
      <w:r w:rsidRPr="00FE5C47">
        <w:rPr>
          <w:rFonts w:eastAsia="Calibri"/>
          <w:bCs/>
          <w:i/>
          <w:iCs/>
          <w:sz w:val="22"/>
          <w:szCs w:val="22"/>
          <w:lang w:val="es-CU" w:eastAsia="en-US"/>
        </w:rPr>
        <w:t>ji</w:t>
      </w:r>
      <w:r w:rsidRPr="00FE5C47">
        <w:rPr>
          <w:rFonts w:eastAsia="Calibri"/>
          <w:bCs/>
          <w:sz w:val="22"/>
          <w:szCs w:val="22"/>
          <w:lang w:val="es-CU" w:eastAsia="en-US"/>
        </w:rPr>
        <w:t xml:space="preserve"> cuadrado (dimensión estatal)</w:t>
      </w:r>
    </w:p>
    <w:tbl>
      <w:tblPr>
        <w:tblStyle w:val="Tablaconcuadrcula1"/>
        <w:tblW w:w="10061" w:type="dxa"/>
        <w:jc w:val="center"/>
        <w:tblLook w:val="04A0" w:firstRow="1" w:lastRow="0" w:firstColumn="1" w:lastColumn="0" w:noHBand="0" w:noVBand="1"/>
      </w:tblPr>
      <w:tblGrid>
        <w:gridCol w:w="3823"/>
        <w:gridCol w:w="1842"/>
        <w:gridCol w:w="1272"/>
        <w:gridCol w:w="1594"/>
        <w:gridCol w:w="1530"/>
      </w:tblGrid>
      <w:tr w:rsidR="00FE5C47" w:rsidRPr="00FE5C47" w14:paraId="52E2D1A7" w14:textId="77777777" w:rsidTr="001F1911">
        <w:trPr>
          <w:jc w:val="center"/>
        </w:trPr>
        <w:tc>
          <w:tcPr>
            <w:tcW w:w="3823" w:type="dxa"/>
            <w:vAlign w:val="center"/>
          </w:tcPr>
          <w:p w14:paraId="2E3E9BD1"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b/>
                <w:bCs/>
                <w:color w:val="000000"/>
                <w:sz w:val="18"/>
                <w:szCs w:val="18"/>
                <w:lang w:val="es-ES" w:eastAsia="en-US"/>
              </w:rPr>
            </w:pPr>
            <w:r w:rsidRPr="00FE5C47">
              <w:rPr>
                <w:rFonts w:ascii="Times New Roman" w:hAnsi="Times New Roman"/>
                <w:b/>
                <w:bCs/>
                <w:color w:val="000000"/>
                <w:sz w:val="18"/>
                <w:szCs w:val="18"/>
                <w:lang w:val="es-ES" w:eastAsia="en-US"/>
              </w:rPr>
              <w:t>Variable 1</w:t>
            </w:r>
          </w:p>
        </w:tc>
        <w:tc>
          <w:tcPr>
            <w:tcW w:w="1842" w:type="dxa"/>
            <w:vAlign w:val="center"/>
          </w:tcPr>
          <w:p w14:paraId="32EC6BEE" w14:textId="77777777" w:rsidR="00FE5C47" w:rsidRPr="00FE5C47" w:rsidRDefault="00FE5C47" w:rsidP="00FE5C47">
            <w:pPr>
              <w:tabs>
                <w:tab w:val="center" w:pos="4017"/>
              </w:tabs>
              <w:autoSpaceDE w:val="0"/>
              <w:autoSpaceDN w:val="0"/>
              <w:adjustRightInd w:val="0"/>
              <w:spacing w:line="360" w:lineRule="auto"/>
              <w:ind w:right="-108"/>
              <w:rPr>
                <w:rFonts w:ascii="Times New Roman" w:hAnsi="Times New Roman"/>
                <w:b/>
                <w:bCs/>
                <w:color w:val="000000"/>
                <w:sz w:val="18"/>
                <w:szCs w:val="18"/>
                <w:lang w:val="es-ES" w:eastAsia="en-US"/>
              </w:rPr>
            </w:pPr>
            <w:r w:rsidRPr="00FE5C47">
              <w:rPr>
                <w:rFonts w:ascii="Times New Roman" w:hAnsi="Times New Roman"/>
                <w:b/>
                <w:bCs/>
                <w:color w:val="000000"/>
                <w:sz w:val="18"/>
                <w:szCs w:val="18"/>
                <w:lang w:val="es-ES" w:eastAsia="en-US"/>
              </w:rPr>
              <w:t>Variable 2</w:t>
            </w:r>
          </w:p>
        </w:tc>
        <w:tc>
          <w:tcPr>
            <w:tcW w:w="0" w:type="auto"/>
            <w:vAlign w:val="center"/>
          </w:tcPr>
          <w:p w14:paraId="32F55C7C" w14:textId="72D97D07" w:rsidR="00FE5C47" w:rsidRPr="00FE5C47" w:rsidRDefault="00FE5C47" w:rsidP="00FE5C47">
            <w:pPr>
              <w:tabs>
                <w:tab w:val="center" w:pos="4017"/>
              </w:tabs>
              <w:autoSpaceDE w:val="0"/>
              <w:autoSpaceDN w:val="0"/>
              <w:adjustRightInd w:val="0"/>
              <w:spacing w:line="360" w:lineRule="auto"/>
              <w:jc w:val="center"/>
              <w:rPr>
                <w:rFonts w:ascii="Times New Roman" w:hAnsi="Times New Roman"/>
                <w:b/>
                <w:bCs/>
                <w:color w:val="000000"/>
                <w:sz w:val="18"/>
                <w:szCs w:val="18"/>
                <w:lang w:val="es-ES" w:eastAsia="en-US"/>
              </w:rPr>
            </w:pPr>
            <w:r w:rsidRPr="00FE5C47">
              <w:rPr>
                <w:rFonts w:ascii="Times New Roman" w:hAnsi="Times New Roman"/>
                <w:b/>
                <w:bCs/>
                <w:color w:val="000000"/>
                <w:sz w:val="18"/>
                <w:szCs w:val="18"/>
                <w:lang w:val="es-ES" w:eastAsia="en-US"/>
              </w:rPr>
              <w:t>RC&gt;</w:t>
            </w:r>
            <w:r w:rsidR="002E18ED">
              <w:rPr>
                <w:rFonts w:ascii="Times New Roman" w:hAnsi="Times New Roman"/>
                <w:b/>
                <w:bCs/>
                <w:color w:val="000000"/>
                <w:sz w:val="18"/>
                <w:szCs w:val="18"/>
                <w:lang w:val="es-ES" w:eastAsia="en-US"/>
              </w:rPr>
              <w:t xml:space="preserve"> </w:t>
            </w:r>
            <w:r w:rsidRPr="00FE5C47">
              <w:rPr>
                <w:rFonts w:ascii="Times New Roman" w:hAnsi="Times New Roman"/>
                <w:b/>
                <w:bCs/>
                <w:color w:val="000000"/>
                <w:sz w:val="18"/>
                <w:szCs w:val="18"/>
                <w:lang w:val="es-ES" w:eastAsia="en-US"/>
              </w:rPr>
              <w:t>1,96</w:t>
            </w:r>
          </w:p>
        </w:tc>
        <w:tc>
          <w:tcPr>
            <w:tcW w:w="1594" w:type="dxa"/>
            <w:vAlign w:val="center"/>
          </w:tcPr>
          <w:p w14:paraId="09E9BE6B" w14:textId="77777777" w:rsidR="00FE5C47" w:rsidRPr="00FE5C47" w:rsidRDefault="00FE5C47" w:rsidP="00FE5C47">
            <w:pPr>
              <w:tabs>
                <w:tab w:val="center" w:pos="4017"/>
              </w:tabs>
              <w:autoSpaceDE w:val="0"/>
              <w:autoSpaceDN w:val="0"/>
              <w:adjustRightInd w:val="0"/>
              <w:spacing w:line="360" w:lineRule="auto"/>
              <w:ind w:left="-108" w:right="55"/>
              <w:jc w:val="center"/>
              <w:rPr>
                <w:rFonts w:ascii="Times New Roman" w:hAnsi="Times New Roman"/>
                <w:b/>
                <w:bCs/>
                <w:color w:val="000000"/>
                <w:sz w:val="18"/>
                <w:szCs w:val="18"/>
                <w:vertAlign w:val="superscript"/>
                <w:lang w:val="es-ES" w:eastAsia="en-US"/>
              </w:rPr>
            </w:pPr>
            <w:proofErr w:type="gramStart"/>
            <w:r w:rsidRPr="00FE5C47">
              <w:rPr>
                <w:rFonts w:ascii="Times New Roman" w:hAnsi="Times New Roman"/>
                <w:b/>
                <w:bCs/>
                <w:i/>
                <w:iCs/>
                <w:color w:val="000000"/>
                <w:sz w:val="18"/>
                <w:szCs w:val="18"/>
                <w:lang w:val="es-ES" w:eastAsia="en-US"/>
              </w:rPr>
              <w:t>Ji</w:t>
            </w:r>
            <w:r w:rsidRPr="00FE5C47">
              <w:rPr>
                <w:rFonts w:ascii="Times New Roman" w:hAnsi="Times New Roman"/>
                <w:b/>
                <w:bCs/>
                <w:color w:val="000000"/>
                <w:sz w:val="18"/>
                <w:szCs w:val="18"/>
                <w:lang w:val="es-ES" w:eastAsia="en-US"/>
              </w:rPr>
              <w:t xml:space="preserve"> cuadrado</w:t>
            </w:r>
            <w:proofErr w:type="gramEnd"/>
          </w:p>
        </w:tc>
        <w:tc>
          <w:tcPr>
            <w:tcW w:w="0" w:type="auto"/>
            <w:vAlign w:val="center"/>
          </w:tcPr>
          <w:p w14:paraId="673AB947"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b/>
                <w:bCs/>
                <w:color w:val="000000"/>
                <w:sz w:val="18"/>
                <w:szCs w:val="18"/>
                <w:lang w:val="es-ES" w:eastAsia="en-US"/>
              </w:rPr>
            </w:pPr>
            <w:r w:rsidRPr="00FE5C47">
              <w:rPr>
                <w:rFonts w:ascii="Times New Roman" w:hAnsi="Times New Roman"/>
                <w:b/>
                <w:bCs/>
                <w:color w:val="000000"/>
                <w:sz w:val="18"/>
                <w:szCs w:val="18"/>
                <w:lang w:val="es-ES" w:eastAsia="en-US"/>
              </w:rPr>
              <w:t>SA(b)&lt; 0,05</w:t>
            </w:r>
          </w:p>
        </w:tc>
      </w:tr>
      <w:tr w:rsidR="00FE5C47" w:rsidRPr="00FE5C47" w14:paraId="66D2DA02" w14:textId="77777777" w:rsidTr="001F1911">
        <w:trPr>
          <w:trHeight w:val="398"/>
          <w:jc w:val="center"/>
        </w:trPr>
        <w:tc>
          <w:tcPr>
            <w:tcW w:w="3823" w:type="dxa"/>
            <w:vAlign w:val="center"/>
          </w:tcPr>
          <w:p w14:paraId="6291CCFB"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 xml:space="preserve">E4. Violación del distanciamiento social </w:t>
            </w:r>
          </w:p>
        </w:tc>
        <w:tc>
          <w:tcPr>
            <w:tcW w:w="1842" w:type="dxa"/>
            <w:vAlign w:val="center"/>
          </w:tcPr>
          <w:p w14:paraId="0E71A6CF"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Sexo= M</w:t>
            </w:r>
          </w:p>
        </w:tc>
        <w:tc>
          <w:tcPr>
            <w:tcW w:w="0" w:type="auto"/>
            <w:vAlign w:val="center"/>
          </w:tcPr>
          <w:p w14:paraId="3918FCB6"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2,1</w:t>
            </w:r>
          </w:p>
        </w:tc>
        <w:tc>
          <w:tcPr>
            <w:tcW w:w="1594" w:type="dxa"/>
            <w:vAlign w:val="center"/>
          </w:tcPr>
          <w:p w14:paraId="0EA39DB9" w14:textId="77777777" w:rsidR="00FE5C47" w:rsidRPr="00FE5C47" w:rsidRDefault="00FE5C47" w:rsidP="00FE5C47">
            <w:pPr>
              <w:tabs>
                <w:tab w:val="center" w:pos="4017"/>
              </w:tabs>
              <w:autoSpaceDE w:val="0"/>
              <w:autoSpaceDN w:val="0"/>
              <w:adjustRightInd w:val="0"/>
              <w:spacing w:line="360" w:lineRule="auto"/>
              <w:ind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w:t>
            </w:r>
            <w:r w:rsidRPr="00FE5C47">
              <w:rPr>
                <w:rFonts w:ascii="Times New Roman" w:hAnsi="Times New Roman"/>
                <w:color w:val="000000"/>
                <w:sz w:val="18"/>
                <w:szCs w:val="18"/>
                <w:lang w:val="es-ES" w:eastAsia="en-US"/>
              </w:rPr>
              <w:t>= 4,29</w:t>
            </w:r>
          </w:p>
        </w:tc>
        <w:tc>
          <w:tcPr>
            <w:tcW w:w="0" w:type="auto"/>
            <w:vAlign w:val="center"/>
          </w:tcPr>
          <w:p w14:paraId="35E68040"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0,038</w:t>
            </w:r>
          </w:p>
        </w:tc>
      </w:tr>
      <w:tr w:rsidR="00FE5C47" w:rsidRPr="00FE5C47" w14:paraId="1A4DF3CB" w14:textId="77777777" w:rsidTr="001F1911">
        <w:trPr>
          <w:trHeight w:val="276"/>
          <w:jc w:val="center"/>
        </w:trPr>
        <w:tc>
          <w:tcPr>
            <w:tcW w:w="3823" w:type="dxa"/>
            <w:vAlign w:val="center"/>
          </w:tcPr>
          <w:p w14:paraId="420278DC"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E7. Baja eficacia de la acción policial y penal …</w:t>
            </w:r>
          </w:p>
        </w:tc>
        <w:tc>
          <w:tcPr>
            <w:tcW w:w="1842" w:type="dxa"/>
            <w:vAlign w:val="center"/>
          </w:tcPr>
          <w:p w14:paraId="73E36C9B"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Sexo= M</w:t>
            </w:r>
          </w:p>
        </w:tc>
        <w:tc>
          <w:tcPr>
            <w:tcW w:w="0" w:type="auto"/>
            <w:vAlign w:val="center"/>
          </w:tcPr>
          <w:p w14:paraId="76CA6A98"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2,3</w:t>
            </w:r>
          </w:p>
        </w:tc>
        <w:tc>
          <w:tcPr>
            <w:tcW w:w="1594" w:type="dxa"/>
            <w:vAlign w:val="center"/>
          </w:tcPr>
          <w:p w14:paraId="4E6845D3" w14:textId="77777777" w:rsidR="00FE5C47" w:rsidRPr="00FE5C47" w:rsidRDefault="00FE5C47" w:rsidP="00FE5C47">
            <w:pPr>
              <w:tabs>
                <w:tab w:val="center" w:pos="4017"/>
              </w:tabs>
              <w:autoSpaceDE w:val="0"/>
              <w:autoSpaceDN w:val="0"/>
              <w:adjustRightInd w:val="0"/>
              <w:spacing w:line="360" w:lineRule="auto"/>
              <w:ind w:right="55" w:hanging="124"/>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w:t>
            </w:r>
            <w:r w:rsidRPr="00FE5C47">
              <w:rPr>
                <w:rFonts w:ascii="Times New Roman" w:hAnsi="Times New Roman"/>
                <w:color w:val="000000"/>
                <w:sz w:val="18"/>
                <w:szCs w:val="18"/>
                <w:lang w:val="es-ES" w:eastAsia="en-US"/>
              </w:rPr>
              <w:t>= 5,14</w:t>
            </w:r>
          </w:p>
        </w:tc>
        <w:tc>
          <w:tcPr>
            <w:tcW w:w="0" w:type="auto"/>
            <w:vAlign w:val="center"/>
          </w:tcPr>
          <w:p w14:paraId="114B8C31"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0,023</w:t>
            </w:r>
          </w:p>
        </w:tc>
      </w:tr>
      <w:tr w:rsidR="00FE5C47" w:rsidRPr="00FE5C47" w14:paraId="0FC4A80D" w14:textId="77777777" w:rsidTr="001F1911">
        <w:trPr>
          <w:trHeight w:val="120"/>
          <w:jc w:val="center"/>
        </w:trPr>
        <w:tc>
          <w:tcPr>
            <w:tcW w:w="3823" w:type="dxa"/>
            <w:vMerge w:val="restart"/>
            <w:vAlign w:val="center"/>
          </w:tcPr>
          <w:p w14:paraId="3B8E6ADE"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 xml:space="preserve">E16. Relajamiento, cansancio o desgaste por prolongación del virus </w:t>
            </w:r>
          </w:p>
        </w:tc>
        <w:tc>
          <w:tcPr>
            <w:tcW w:w="1842" w:type="dxa"/>
            <w:vAlign w:val="center"/>
          </w:tcPr>
          <w:p w14:paraId="61A6A25C"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Sexo= M</w:t>
            </w:r>
          </w:p>
        </w:tc>
        <w:tc>
          <w:tcPr>
            <w:tcW w:w="0" w:type="auto"/>
            <w:vAlign w:val="center"/>
          </w:tcPr>
          <w:p w14:paraId="50AF89D9"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2,2</w:t>
            </w:r>
          </w:p>
        </w:tc>
        <w:tc>
          <w:tcPr>
            <w:tcW w:w="1594" w:type="dxa"/>
            <w:vAlign w:val="center"/>
          </w:tcPr>
          <w:p w14:paraId="79482F48" w14:textId="77777777" w:rsidR="00FE5C47" w:rsidRPr="00FE5C47" w:rsidRDefault="00FE5C47" w:rsidP="00FE5C47">
            <w:pPr>
              <w:tabs>
                <w:tab w:val="center" w:pos="4017"/>
              </w:tabs>
              <w:autoSpaceDE w:val="0"/>
              <w:autoSpaceDN w:val="0"/>
              <w:adjustRightInd w:val="0"/>
              <w:spacing w:line="360" w:lineRule="auto"/>
              <w:ind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w:t>
            </w:r>
            <w:r w:rsidRPr="00FE5C47">
              <w:rPr>
                <w:rFonts w:ascii="Times New Roman" w:hAnsi="Times New Roman"/>
                <w:color w:val="000000"/>
                <w:sz w:val="18"/>
                <w:szCs w:val="18"/>
                <w:lang w:val="es-ES" w:eastAsia="en-US"/>
              </w:rPr>
              <w:t>= 4,91</w:t>
            </w:r>
          </w:p>
        </w:tc>
        <w:tc>
          <w:tcPr>
            <w:tcW w:w="0" w:type="auto"/>
            <w:vAlign w:val="center"/>
          </w:tcPr>
          <w:p w14:paraId="614ADB1C"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0,027</w:t>
            </w:r>
          </w:p>
        </w:tc>
      </w:tr>
      <w:tr w:rsidR="00FE5C47" w:rsidRPr="00FE5C47" w14:paraId="08A2366B" w14:textId="77777777" w:rsidTr="001F1911">
        <w:trPr>
          <w:trHeight w:val="78"/>
          <w:jc w:val="center"/>
        </w:trPr>
        <w:tc>
          <w:tcPr>
            <w:tcW w:w="3823" w:type="dxa"/>
            <w:vMerge/>
            <w:vAlign w:val="center"/>
          </w:tcPr>
          <w:p w14:paraId="066FBD43" w14:textId="77777777" w:rsidR="00FE5C47" w:rsidRPr="00FE5C47" w:rsidRDefault="00FE5C47" w:rsidP="00FE5C47">
            <w:pPr>
              <w:numPr>
                <w:ilvl w:val="0"/>
                <w:numId w:val="14"/>
              </w:numPr>
              <w:tabs>
                <w:tab w:val="center" w:pos="4017"/>
              </w:tabs>
              <w:autoSpaceDE w:val="0"/>
              <w:autoSpaceDN w:val="0"/>
              <w:adjustRightInd w:val="0"/>
              <w:spacing w:after="160" w:line="360" w:lineRule="auto"/>
              <w:rPr>
                <w:rFonts w:ascii="Times New Roman" w:hAnsi="Times New Roman"/>
                <w:color w:val="000000"/>
                <w:sz w:val="18"/>
                <w:szCs w:val="18"/>
                <w:lang w:val="es-ES" w:eastAsia="en-US"/>
              </w:rPr>
            </w:pPr>
          </w:p>
        </w:tc>
        <w:tc>
          <w:tcPr>
            <w:tcW w:w="1842" w:type="dxa"/>
            <w:vAlign w:val="center"/>
          </w:tcPr>
          <w:p w14:paraId="07BC7235" w14:textId="77777777" w:rsidR="00FE5C47" w:rsidRPr="00FE5C47" w:rsidRDefault="00FE5C47" w:rsidP="00FE5C47">
            <w:pPr>
              <w:tabs>
                <w:tab w:val="center" w:pos="4017"/>
              </w:tabs>
              <w:autoSpaceDE w:val="0"/>
              <w:autoSpaceDN w:val="0"/>
              <w:adjustRightInd w:val="0"/>
              <w:spacing w:line="360" w:lineRule="auto"/>
              <w:ind w:right="-10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 xml:space="preserve">Edad= 26-30  </w:t>
            </w:r>
          </w:p>
        </w:tc>
        <w:tc>
          <w:tcPr>
            <w:tcW w:w="0" w:type="auto"/>
            <w:vAlign w:val="center"/>
          </w:tcPr>
          <w:p w14:paraId="63761DF0"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2,7</w:t>
            </w:r>
          </w:p>
        </w:tc>
        <w:tc>
          <w:tcPr>
            <w:tcW w:w="1594" w:type="dxa"/>
            <w:vAlign w:val="center"/>
          </w:tcPr>
          <w:p w14:paraId="4567735A" w14:textId="77777777" w:rsidR="00FE5C47" w:rsidRPr="00FE5C47" w:rsidRDefault="00FE5C47" w:rsidP="00FE5C47">
            <w:pPr>
              <w:tabs>
                <w:tab w:val="center" w:pos="4017"/>
              </w:tabs>
              <w:autoSpaceDE w:val="0"/>
              <w:autoSpaceDN w:val="0"/>
              <w:adjustRightInd w:val="0"/>
              <w:spacing w:line="360" w:lineRule="auto"/>
              <w:ind w:left="-124"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10</w:t>
            </w:r>
            <w:r w:rsidRPr="00FE5C47">
              <w:rPr>
                <w:rFonts w:ascii="Times New Roman" w:hAnsi="Times New Roman"/>
                <w:color w:val="000000"/>
                <w:sz w:val="18"/>
                <w:szCs w:val="18"/>
                <w:lang w:val="es-ES" w:eastAsia="en-US"/>
              </w:rPr>
              <w:t>= 14,5</w:t>
            </w:r>
          </w:p>
        </w:tc>
        <w:tc>
          <w:tcPr>
            <w:tcW w:w="0" w:type="auto"/>
            <w:vAlign w:val="center"/>
          </w:tcPr>
          <w:p w14:paraId="2CC12481"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0,148</w:t>
            </w:r>
          </w:p>
        </w:tc>
      </w:tr>
      <w:tr w:rsidR="00FE5C47" w:rsidRPr="00FE5C47" w14:paraId="1816B27F" w14:textId="77777777" w:rsidTr="001F1911">
        <w:trPr>
          <w:trHeight w:val="473"/>
          <w:jc w:val="center"/>
        </w:trPr>
        <w:tc>
          <w:tcPr>
            <w:tcW w:w="3823" w:type="dxa"/>
            <w:vAlign w:val="center"/>
          </w:tcPr>
          <w:p w14:paraId="520E5A45"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sz w:val="18"/>
                <w:szCs w:val="18"/>
                <w:lang w:val="es-CU" w:eastAsia="en-US"/>
              </w:rPr>
              <w:t>E1. Reapertura de hoteles, playas y centros turísticos</w:t>
            </w:r>
          </w:p>
        </w:tc>
        <w:tc>
          <w:tcPr>
            <w:tcW w:w="1842" w:type="dxa"/>
            <w:vAlign w:val="center"/>
          </w:tcPr>
          <w:p w14:paraId="0BA9FA23"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Edad= hasta 20 años</w:t>
            </w:r>
          </w:p>
        </w:tc>
        <w:tc>
          <w:tcPr>
            <w:tcW w:w="0" w:type="auto"/>
            <w:vAlign w:val="center"/>
          </w:tcPr>
          <w:p w14:paraId="12EDC7DD"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2,5</w:t>
            </w:r>
          </w:p>
        </w:tc>
        <w:tc>
          <w:tcPr>
            <w:tcW w:w="1594" w:type="dxa"/>
            <w:vAlign w:val="center"/>
          </w:tcPr>
          <w:p w14:paraId="47193723" w14:textId="77777777" w:rsidR="00FE5C47" w:rsidRPr="00FE5C47" w:rsidRDefault="00FE5C47" w:rsidP="00FE5C47">
            <w:pPr>
              <w:tabs>
                <w:tab w:val="center" w:pos="4017"/>
              </w:tabs>
              <w:autoSpaceDE w:val="0"/>
              <w:autoSpaceDN w:val="0"/>
              <w:adjustRightInd w:val="0"/>
              <w:spacing w:line="360" w:lineRule="auto"/>
              <w:ind w:left="-124" w:right="55" w:hanging="142"/>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10</w:t>
            </w:r>
            <w:r w:rsidRPr="00FE5C47">
              <w:rPr>
                <w:rFonts w:ascii="Times New Roman" w:hAnsi="Times New Roman"/>
                <w:color w:val="000000"/>
                <w:sz w:val="18"/>
                <w:szCs w:val="18"/>
                <w:lang w:val="es-ES" w:eastAsia="en-US"/>
              </w:rPr>
              <w:t>= 11,6</w:t>
            </w:r>
          </w:p>
        </w:tc>
        <w:tc>
          <w:tcPr>
            <w:tcW w:w="0" w:type="auto"/>
            <w:vAlign w:val="center"/>
          </w:tcPr>
          <w:p w14:paraId="2D6508FE"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0,307</w:t>
            </w:r>
          </w:p>
        </w:tc>
      </w:tr>
      <w:tr w:rsidR="00FE5C47" w:rsidRPr="00FE5C47" w14:paraId="71A15BE5" w14:textId="77777777" w:rsidTr="001F1911">
        <w:trPr>
          <w:jc w:val="center"/>
        </w:trPr>
        <w:tc>
          <w:tcPr>
            <w:tcW w:w="3823" w:type="dxa"/>
            <w:vMerge w:val="restart"/>
            <w:vAlign w:val="center"/>
          </w:tcPr>
          <w:p w14:paraId="39CA6AC9"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E2. Incorrecta evaluación de los riesgos potenciales</w:t>
            </w:r>
          </w:p>
        </w:tc>
        <w:tc>
          <w:tcPr>
            <w:tcW w:w="1842" w:type="dxa"/>
            <w:vAlign w:val="center"/>
          </w:tcPr>
          <w:p w14:paraId="256F60C9"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Sexo=M</w:t>
            </w:r>
          </w:p>
        </w:tc>
        <w:tc>
          <w:tcPr>
            <w:tcW w:w="0" w:type="auto"/>
            <w:vAlign w:val="center"/>
          </w:tcPr>
          <w:p w14:paraId="3CE0C89A"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4,0</w:t>
            </w:r>
          </w:p>
        </w:tc>
        <w:tc>
          <w:tcPr>
            <w:tcW w:w="1594" w:type="dxa"/>
            <w:vAlign w:val="center"/>
          </w:tcPr>
          <w:p w14:paraId="167C7DA9" w14:textId="77777777" w:rsidR="00FE5C47" w:rsidRPr="00FE5C47" w:rsidRDefault="00FE5C47" w:rsidP="00FE5C47">
            <w:pPr>
              <w:tabs>
                <w:tab w:val="center" w:pos="4017"/>
              </w:tabs>
              <w:autoSpaceDE w:val="0"/>
              <w:autoSpaceDN w:val="0"/>
              <w:adjustRightInd w:val="0"/>
              <w:spacing w:line="360" w:lineRule="auto"/>
              <w:ind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w:t>
            </w:r>
            <w:r w:rsidRPr="00FE5C47">
              <w:rPr>
                <w:rFonts w:ascii="Times New Roman" w:hAnsi="Times New Roman"/>
                <w:color w:val="000000"/>
                <w:sz w:val="18"/>
                <w:szCs w:val="18"/>
                <w:lang w:val="es-ES" w:eastAsia="en-US"/>
              </w:rPr>
              <w:t>= 15,6</w:t>
            </w:r>
          </w:p>
        </w:tc>
        <w:tc>
          <w:tcPr>
            <w:tcW w:w="0" w:type="auto"/>
            <w:vAlign w:val="center"/>
          </w:tcPr>
          <w:p w14:paraId="40ED7B56"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0,000</w:t>
            </w:r>
          </w:p>
        </w:tc>
      </w:tr>
      <w:tr w:rsidR="00FE5C47" w:rsidRPr="00FE5C47" w14:paraId="0313138C" w14:textId="77777777" w:rsidTr="001F1911">
        <w:trPr>
          <w:trHeight w:val="78"/>
          <w:jc w:val="center"/>
        </w:trPr>
        <w:tc>
          <w:tcPr>
            <w:tcW w:w="3823" w:type="dxa"/>
            <w:vMerge/>
            <w:vAlign w:val="center"/>
          </w:tcPr>
          <w:p w14:paraId="564F4F3C" w14:textId="77777777" w:rsidR="00FE5C47" w:rsidRPr="00FE5C47" w:rsidRDefault="00FE5C47" w:rsidP="00FE5C47">
            <w:pPr>
              <w:numPr>
                <w:ilvl w:val="0"/>
                <w:numId w:val="14"/>
              </w:numPr>
              <w:tabs>
                <w:tab w:val="center" w:pos="4017"/>
              </w:tabs>
              <w:autoSpaceDE w:val="0"/>
              <w:autoSpaceDN w:val="0"/>
              <w:adjustRightInd w:val="0"/>
              <w:spacing w:after="160" w:line="360" w:lineRule="auto"/>
              <w:rPr>
                <w:rFonts w:ascii="Times New Roman" w:hAnsi="Times New Roman"/>
                <w:color w:val="000000"/>
                <w:sz w:val="18"/>
                <w:szCs w:val="18"/>
                <w:lang w:val="es-ES" w:eastAsia="en-US"/>
              </w:rPr>
            </w:pPr>
          </w:p>
        </w:tc>
        <w:tc>
          <w:tcPr>
            <w:tcW w:w="1842" w:type="dxa"/>
            <w:vAlign w:val="center"/>
          </w:tcPr>
          <w:p w14:paraId="3B9F9221"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Desocupado</w:t>
            </w:r>
          </w:p>
        </w:tc>
        <w:tc>
          <w:tcPr>
            <w:tcW w:w="0" w:type="auto"/>
            <w:vAlign w:val="center"/>
          </w:tcPr>
          <w:p w14:paraId="73B5D3F4"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2,2</w:t>
            </w:r>
          </w:p>
        </w:tc>
        <w:tc>
          <w:tcPr>
            <w:tcW w:w="1594" w:type="dxa"/>
            <w:vAlign w:val="center"/>
          </w:tcPr>
          <w:p w14:paraId="21911AEC" w14:textId="77777777" w:rsidR="00FE5C47" w:rsidRPr="00FE5C47" w:rsidRDefault="00FE5C47" w:rsidP="00FE5C47">
            <w:pPr>
              <w:tabs>
                <w:tab w:val="center" w:pos="4017"/>
              </w:tabs>
              <w:autoSpaceDE w:val="0"/>
              <w:autoSpaceDN w:val="0"/>
              <w:adjustRightInd w:val="0"/>
              <w:spacing w:line="360" w:lineRule="auto"/>
              <w:ind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4</w:t>
            </w:r>
            <w:r w:rsidRPr="00FE5C47">
              <w:rPr>
                <w:rFonts w:ascii="Times New Roman" w:hAnsi="Times New Roman"/>
                <w:color w:val="000000"/>
                <w:sz w:val="18"/>
                <w:szCs w:val="18"/>
                <w:lang w:val="es-ES" w:eastAsia="en-US"/>
              </w:rPr>
              <w:t>= 8,31</w:t>
            </w:r>
          </w:p>
        </w:tc>
        <w:tc>
          <w:tcPr>
            <w:tcW w:w="0" w:type="auto"/>
            <w:vAlign w:val="center"/>
          </w:tcPr>
          <w:p w14:paraId="56C29D22"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0,081</w:t>
            </w:r>
          </w:p>
        </w:tc>
      </w:tr>
      <w:tr w:rsidR="00FE5C47" w:rsidRPr="00FE5C47" w14:paraId="2716807B" w14:textId="77777777" w:rsidTr="001F1911">
        <w:trPr>
          <w:trHeight w:val="78"/>
          <w:jc w:val="center"/>
        </w:trPr>
        <w:tc>
          <w:tcPr>
            <w:tcW w:w="3823" w:type="dxa"/>
            <w:vMerge w:val="restart"/>
            <w:vAlign w:val="center"/>
          </w:tcPr>
          <w:p w14:paraId="0DE18E72"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E10. Demoras en el aislamiento de casos positivos…</w:t>
            </w:r>
          </w:p>
        </w:tc>
        <w:tc>
          <w:tcPr>
            <w:tcW w:w="1842" w:type="dxa"/>
            <w:vAlign w:val="center"/>
          </w:tcPr>
          <w:p w14:paraId="212261D1"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Nivel= Pre</w:t>
            </w:r>
          </w:p>
        </w:tc>
        <w:tc>
          <w:tcPr>
            <w:tcW w:w="0" w:type="auto"/>
            <w:vAlign w:val="center"/>
          </w:tcPr>
          <w:p w14:paraId="3F0F5476"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2,5</w:t>
            </w:r>
          </w:p>
        </w:tc>
        <w:tc>
          <w:tcPr>
            <w:tcW w:w="1594" w:type="dxa"/>
            <w:vAlign w:val="center"/>
          </w:tcPr>
          <w:p w14:paraId="4A27FBEC" w14:textId="77777777" w:rsidR="00FE5C47" w:rsidRPr="00FE5C47" w:rsidRDefault="00FE5C47" w:rsidP="00FE5C47">
            <w:pPr>
              <w:tabs>
                <w:tab w:val="center" w:pos="4017"/>
              </w:tabs>
              <w:autoSpaceDE w:val="0"/>
              <w:autoSpaceDN w:val="0"/>
              <w:adjustRightInd w:val="0"/>
              <w:spacing w:line="360" w:lineRule="auto"/>
              <w:ind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4</w:t>
            </w:r>
            <w:r w:rsidRPr="00FE5C47">
              <w:rPr>
                <w:rFonts w:ascii="Times New Roman" w:hAnsi="Times New Roman"/>
                <w:color w:val="000000"/>
                <w:sz w:val="18"/>
                <w:szCs w:val="18"/>
                <w:lang w:val="es-ES" w:eastAsia="en-US"/>
              </w:rPr>
              <w:t>= 8,60</w:t>
            </w:r>
          </w:p>
        </w:tc>
        <w:tc>
          <w:tcPr>
            <w:tcW w:w="0" w:type="auto"/>
            <w:vAlign w:val="center"/>
          </w:tcPr>
          <w:p w14:paraId="7AF86A64"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0,035</w:t>
            </w:r>
          </w:p>
        </w:tc>
      </w:tr>
      <w:tr w:rsidR="00FE5C47" w:rsidRPr="00FE5C47" w14:paraId="28FDAA73" w14:textId="77777777" w:rsidTr="001F1911">
        <w:trPr>
          <w:jc w:val="center"/>
        </w:trPr>
        <w:tc>
          <w:tcPr>
            <w:tcW w:w="3823" w:type="dxa"/>
            <w:vMerge/>
            <w:vAlign w:val="center"/>
          </w:tcPr>
          <w:p w14:paraId="254BB5CB" w14:textId="77777777" w:rsidR="00FE5C47" w:rsidRPr="00FE5C47" w:rsidRDefault="00FE5C47" w:rsidP="00FE5C47">
            <w:pPr>
              <w:numPr>
                <w:ilvl w:val="0"/>
                <w:numId w:val="14"/>
              </w:numPr>
              <w:tabs>
                <w:tab w:val="center" w:pos="4017"/>
              </w:tabs>
              <w:autoSpaceDE w:val="0"/>
              <w:autoSpaceDN w:val="0"/>
              <w:adjustRightInd w:val="0"/>
              <w:spacing w:after="160" w:line="360" w:lineRule="auto"/>
              <w:rPr>
                <w:rFonts w:ascii="Times New Roman" w:hAnsi="Times New Roman"/>
                <w:color w:val="000000"/>
                <w:sz w:val="18"/>
                <w:szCs w:val="18"/>
                <w:lang w:val="es-ES" w:eastAsia="en-US"/>
              </w:rPr>
            </w:pPr>
          </w:p>
        </w:tc>
        <w:tc>
          <w:tcPr>
            <w:tcW w:w="1842" w:type="dxa"/>
            <w:vAlign w:val="center"/>
          </w:tcPr>
          <w:p w14:paraId="6489EEAE"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Ocupación= Desocupado</w:t>
            </w:r>
          </w:p>
        </w:tc>
        <w:tc>
          <w:tcPr>
            <w:tcW w:w="0" w:type="auto"/>
            <w:vAlign w:val="center"/>
          </w:tcPr>
          <w:p w14:paraId="1A96836C"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2,1</w:t>
            </w:r>
          </w:p>
        </w:tc>
        <w:tc>
          <w:tcPr>
            <w:tcW w:w="1594" w:type="dxa"/>
            <w:vAlign w:val="center"/>
          </w:tcPr>
          <w:p w14:paraId="1B3C8387" w14:textId="77777777" w:rsidR="00FE5C47" w:rsidRPr="00FE5C47" w:rsidRDefault="00FE5C47" w:rsidP="00FE5C47">
            <w:pPr>
              <w:tabs>
                <w:tab w:val="center" w:pos="4017"/>
              </w:tabs>
              <w:autoSpaceDE w:val="0"/>
              <w:autoSpaceDN w:val="0"/>
              <w:adjustRightInd w:val="0"/>
              <w:spacing w:line="360" w:lineRule="auto"/>
              <w:ind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4</w:t>
            </w:r>
            <w:r w:rsidRPr="00FE5C47">
              <w:rPr>
                <w:rFonts w:ascii="Times New Roman" w:hAnsi="Times New Roman"/>
                <w:color w:val="000000"/>
                <w:sz w:val="18"/>
                <w:szCs w:val="18"/>
                <w:lang w:val="es-ES" w:eastAsia="en-US"/>
              </w:rPr>
              <w:t>= 5,83</w:t>
            </w:r>
          </w:p>
        </w:tc>
        <w:tc>
          <w:tcPr>
            <w:tcW w:w="0" w:type="auto"/>
            <w:vAlign w:val="center"/>
          </w:tcPr>
          <w:p w14:paraId="7B8E9BD8"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0,212</w:t>
            </w:r>
          </w:p>
        </w:tc>
      </w:tr>
      <w:tr w:rsidR="00FE5C47" w:rsidRPr="00FE5C47" w14:paraId="67947766" w14:textId="77777777" w:rsidTr="001F1911">
        <w:trPr>
          <w:jc w:val="center"/>
        </w:trPr>
        <w:tc>
          <w:tcPr>
            <w:tcW w:w="3823" w:type="dxa"/>
            <w:vAlign w:val="center"/>
          </w:tcPr>
          <w:p w14:paraId="2680D6B8"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sz w:val="18"/>
                <w:szCs w:val="18"/>
                <w:lang w:val="es-CU" w:eastAsia="en-US"/>
              </w:rPr>
            </w:pPr>
            <w:r w:rsidRPr="00FE5C47">
              <w:rPr>
                <w:rFonts w:ascii="Times New Roman" w:hAnsi="Times New Roman"/>
                <w:color w:val="000000"/>
                <w:sz w:val="18"/>
                <w:szCs w:val="18"/>
                <w:lang w:val="es-ES" w:eastAsia="en-US"/>
              </w:rPr>
              <w:t>E1. Reapertura de hoteles, playas y centros turísticos</w:t>
            </w:r>
          </w:p>
        </w:tc>
        <w:tc>
          <w:tcPr>
            <w:tcW w:w="1842" w:type="dxa"/>
            <w:vAlign w:val="center"/>
          </w:tcPr>
          <w:p w14:paraId="37BA1B9F"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Ocupación= Estudiante</w:t>
            </w:r>
          </w:p>
        </w:tc>
        <w:tc>
          <w:tcPr>
            <w:tcW w:w="0" w:type="auto"/>
            <w:vAlign w:val="center"/>
          </w:tcPr>
          <w:p w14:paraId="79C2873D"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2,3</w:t>
            </w:r>
          </w:p>
        </w:tc>
        <w:tc>
          <w:tcPr>
            <w:tcW w:w="1594" w:type="dxa"/>
            <w:vAlign w:val="center"/>
          </w:tcPr>
          <w:p w14:paraId="36CB1F41" w14:textId="77777777" w:rsidR="00FE5C47" w:rsidRPr="00FE5C47" w:rsidRDefault="00FE5C47" w:rsidP="00FE5C47">
            <w:pPr>
              <w:tabs>
                <w:tab w:val="center" w:pos="4017"/>
              </w:tabs>
              <w:autoSpaceDE w:val="0"/>
              <w:autoSpaceDN w:val="0"/>
              <w:adjustRightInd w:val="0"/>
              <w:spacing w:line="360" w:lineRule="auto"/>
              <w:ind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4</w:t>
            </w:r>
            <w:r w:rsidRPr="00FE5C47">
              <w:rPr>
                <w:rFonts w:ascii="Times New Roman" w:hAnsi="Times New Roman"/>
                <w:color w:val="000000"/>
                <w:sz w:val="18"/>
                <w:szCs w:val="18"/>
                <w:lang w:val="es-ES" w:eastAsia="en-US"/>
              </w:rPr>
              <w:t>= 5,74</w:t>
            </w:r>
          </w:p>
        </w:tc>
        <w:tc>
          <w:tcPr>
            <w:tcW w:w="0" w:type="auto"/>
            <w:vAlign w:val="center"/>
          </w:tcPr>
          <w:p w14:paraId="297AD044"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0,219</w:t>
            </w:r>
          </w:p>
        </w:tc>
      </w:tr>
      <w:tr w:rsidR="00FE5C47" w:rsidRPr="00FE5C47" w14:paraId="504DA88D" w14:textId="77777777" w:rsidTr="001F1911">
        <w:trPr>
          <w:jc w:val="center"/>
        </w:trPr>
        <w:tc>
          <w:tcPr>
            <w:tcW w:w="3823" w:type="dxa"/>
            <w:vAlign w:val="center"/>
          </w:tcPr>
          <w:p w14:paraId="45B574D2"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sz w:val="18"/>
                <w:szCs w:val="18"/>
                <w:lang w:val="es-CU" w:eastAsia="en-US"/>
              </w:rPr>
              <w:t>E8. Débil vigilancia y medidas de prevención en centros laborales</w:t>
            </w:r>
          </w:p>
        </w:tc>
        <w:tc>
          <w:tcPr>
            <w:tcW w:w="1842" w:type="dxa"/>
            <w:vAlign w:val="center"/>
          </w:tcPr>
          <w:p w14:paraId="5D4F844A"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Municipio=</w:t>
            </w:r>
          </w:p>
          <w:p w14:paraId="4E92E938" w14:textId="77777777" w:rsidR="00FE5C47" w:rsidRPr="00FE5C47" w:rsidRDefault="00FE5C47" w:rsidP="00FE5C47">
            <w:pPr>
              <w:tabs>
                <w:tab w:val="center" w:pos="4017"/>
              </w:tabs>
              <w:autoSpaceDE w:val="0"/>
              <w:autoSpaceDN w:val="0"/>
              <w:adjustRightInd w:val="0"/>
              <w:spacing w:line="360" w:lineRule="auto"/>
              <w:ind w:left="-169" w:right="-173" w:firstLine="169"/>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Centro</w:t>
            </w:r>
          </w:p>
          <w:p w14:paraId="7509D71E"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Habana</w:t>
            </w:r>
          </w:p>
        </w:tc>
        <w:tc>
          <w:tcPr>
            <w:tcW w:w="0" w:type="auto"/>
            <w:vAlign w:val="center"/>
          </w:tcPr>
          <w:p w14:paraId="158E8892"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2,7</w:t>
            </w:r>
          </w:p>
        </w:tc>
        <w:tc>
          <w:tcPr>
            <w:tcW w:w="1594" w:type="dxa"/>
            <w:vAlign w:val="center"/>
          </w:tcPr>
          <w:p w14:paraId="181A0775" w14:textId="77777777" w:rsidR="00FE5C47" w:rsidRPr="00FE5C47" w:rsidRDefault="00FE5C47" w:rsidP="00FE5C47">
            <w:pPr>
              <w:tabs>
                <w:tab w:val="center" w:pos="4017"/>
              </w:tabs>
              <w:autoSpaceDE w:val="0"/>
              <w:autoSpaceDN w:val="0"/>
              <w:adjustRightInd w:val="0"/>
              <w:spacing w:line="360" w:lineRule="auto"/>
              <w:ind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14</w:t>
            </w:r>
            <w:r w:rsidRPr="00FE5C47">
              <w:rPr>
                <w:rFonts w:ascii="Times New Roman" w:hAnsi="Times New Roman"/>
                <w:color w:val="000000"/>
                <w:sz w:val="18"/>
                <w:szCs w:val="18"/>
                <w:lang w:val="es-ES" w:eastAsia="en-US"/>
              </w:rPr>
              <w:t>= 20,98</w:t>
            </w:r>
          </w:p>
        </w:tc>
        <w:tc>
          <w:tcPr>
            <w:tcW w:w="0" w:type="auto"/>
            <w:vAlign w:val="center"/>
          </w:tcPr>
          <w:p w14:paraId="399CD2BE"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0,102</w:t>
            </w:r>
          </w:p>
        </w:tc>
      </w:tr>
      <w:tr w:rsidR="00FE5C47" w:rsidRPr="00FE5C47" w14:paraId="74C39E89" w14:textId="77777777" w:rsidTr="001F1911">
        <w:trPr>
          <w:jc w:val="center"/>
        </w:trPr>
        <w:tc>
          <w:tcPr>
            <w:tcW w:w="3823" w:type="dxa"/>
            <w:vAlign w:val="center"/>
          </w:tcPr>
          <w:p w14:paraId="4E4807C8"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sz w:val="18"/>
                <w:szCs w:val="18"/>
                <w:lang w:val="es-CU" w:eastAsia="en-US"/>
              </w:rPr>
            </w:pPr>
            <w:r w:rsidRPr="00FE5C47">
              <w:rPr>
                <w:rFonts w:ascii="Times New Roman" w:hAnsi="Times New Roman"/>
                <w:sz w:val="18"/>
                <w:szCs w:val="18"/>
                <w:lang w:val="es-CU" w:eastAsia="en-US"/>
              </w:rPr>
              <w:t xml:space="preserve">E14. Desgaste del sistema de salud… </w:t>
            </w:r>
          </w:p>
        </w:tc>
        <w:tc>
          <w:tcPr>
            <w:tcW w:w="1842" w:type="dxa"/>
            <w:vAlign w:val="center"/>
          </w:tcPr>
          <w:p w14:paraId="3C5F6656"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Municipio=</w:t>
            </w:r>
          </w:p>
          <w:p w14:paraId="32E5D38D" w14:textId="77777777" w:rsidR="00FE5C47" w:rsidRPr="00FE5C47" w:rsidRDefault="00FE5C47" w:rsidP="00FE5C47">
            <w:pPr>
              <w:tabs>
                <w:tab w:val="center" w:pos="4017"/>
              </w:tabs>
              <w:autoSpaceDE w:val="0"/>
              <w:autoSpaceDN w:val="0"/>
              <w:adjustRightInd w:val="0"/>
              <w:spacing w:line="360" w:lineRule="auto"/>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Hab. Vieja</w:t>
            </w:r>
          </w:p>
        </w:tc>
        <w:tc>
          <w:tcPr>
            <w:tcW w:w="0" w:type="auto"/>
            <w:vAlign w:val="center"/>
          </w:tcPr>
          <w:p w14:paraId="35F187B0"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2,7</w:t>
            </w:r>
          </w:p>
        </w:tc>
        <w:tc>
          <w:tcPr>
            <w:tcW w:w="1594" w:type="dxa"/>
            <w:vAlign w:val="center"/>
          </w:tcPr>
          <w:p w14:paraId="0DEF3F03" w14:textId="77777777" w:rsidR="00FE5C47" w:rsidRPr="00FE5C47" w:rsidRDefault="00FE5C47" w:rsidP="00FE5C47">
            <w:pPr>
              <w:tabs>
                <w:tab w:val="center" w:pos="4017"/>
              </w:tabs>
              <w:autoSpaceDE w:val="0"/>
              <w:autoSpaceDN w:val="0"/>
              <w:adjustRightInd w:val="0"/>
              <w:spacing w:line="360" w:lineRule="auto"/>
              <w:ind w:right="55"/>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14</w:t>
            </w:r>
            <w:r w:rsidRPr="00FE5C47">
              <w:rPr>
                <w:rFonts w:ascii="Times New Roman" w:hAnsi="Times New Roman"/>
                <w:color w:val="000000"/>
                <w:sz w:val="18"/>
                <w:szCs w:val="18"/>
                <w:lang w:val="es-ES" w:eastAsia="en-US"/>
              </w:rPr>
              <w:t>= 20,9</w:t>
            </w:r>
          </w:p>
        </w:tc>
        <w:tc>
          <w:tcPr>
            <w:tcW w:w="0" w:type="auto"/>
            <w:vAlign w:val="center"/>
          </w:tcPr>
          <w:p w14:paraId="2E5101ED"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0,015</w:t>
            </w:r>
          </w:p>
        </w:tc>
      </w:tr>
    </w:tbl>
    <w:p w14:paraId="0FA5EBE1" w14:textId="77777777" w:rsidR="00FE5C47" w:rsidRPr="00FE5C47" w:rsidRDefault="00FE5C47" w:rsidP="00FE5C47">
      <w:pPr>
        <w:spacing w:line="360" w:lineRule="auto"/>
        <w:jc w:val="center"/>
        <w:rPr>
          <w:rFonts w:eastAsia="Calibri"/>
          <w:iCs/>
          <w:sz w:val="16"/>
          <w:szCs w:val="16"/>
          <w:lang w:val="es-ES" w:eastAsia="en-US"/>
        </w:rPr>
      </w:pPr>
      <w:r w:rsidRPr="00FE5C47">
        <w:rPr>
          <w:rFonts w:eastAsia="Calibri"/>
          <w:iCs/>
          <w:sz w:val="16"/>
          <w:szCs w:val="16"/>
          <w:lang w:val="es-ES" w:eastAsia="en-US"/>
        </w:rPr>
        <w:t>RC= residuo corregido; SA (b)= significación asintótica (bilateral); RES= relación estadística significativa.</w:t>
      </w:r>
    </w:p>
    <w:p w14:paraId="6B56BED3" w14:textId="77777777" w:rsidR="00FE5C47" w:rsidRPr="00FE5C47" w:rsidRDefault="00FE5C47" w:rsidP="00FE5C47">
      <w:pPr>
        <w:spacing w:line="360" w:lineRule="auto"/>
        <w:jc w:val="both"/>
        <w:rPr>
          <w:rFonts w:eastAsia="Calibri"/>
          <w:lang w:val="es-CU" w:eastAsia="en-US"/>
        </w:rPr>
      </w:pPr>
    </w:p>
    <w:p w14:paraId="79E3854F"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Según la tabla 3 existe significación estadística; el valor de los residuos corregidos es mayor que 1,96 y la significación asintótica bilateral inferior a 0,05 para los valores de las variables: sexo= masculino vs. E4, E7, E16 y E2; ocupación= estudiante vs. E1; desocupado vs. E2 y E10; edad= hasta 20 años y de 26-30 años vs. E16 y E1; municipio= Centro Habana y Habana Vieja vs. E8 y E14. </w:t>
      </w:r>
    </w:p>
    <w:p w14:paraId="287E0DD4"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lastRenderedPageBreak/>
        <w:t xml:space="preserve">Según los resultados de la prueba </w:t>
      </w:r>
      <w:r w:rsidRPr="00FE5C47">
        <w:rPr>
          <w:rFonts w:eastAsia="Calibri"/>
          <w:i/>
          <w:iCs/>
          <w:lang w:val="es-CU" w:eastAsia="en-US"/>
        </w:rPr>
        <w:t>ji</w:t>
      </w:r>
      <w:r w:rsidRPr="00FE5C47">
        <w:rPr>
          <w:rFonts w:eastAsia="Calibri"/>
          <w:lang w:val="es-CU" w:eastAsia="en-US"/>
        </w:rPr>
        <w:t xml:space="preserve"> cuadrado y con una significación asintótica (bilateral) inferior a 0,05 se aprecian relaciones estadísticas en las tablas de contingencia de las variables sexo vs. E2, E4, E7 y E16; nivel educativo vs. E10 </w:t>
      </w:r>
      <w:r w:rsidRPr="00FE5C47">
        <w:rPr>
          <w:rFonts w:eastAsia="Calibri"/>
          <w:iCs/>
          <w:lang w:val="es-CU" w:eastAsia="en-US"/>
        </w:rPr>
        <w:t>(demoras en el aislamiento de los casos positivos) y</w:t>
      </w:r>
      <w:r w:rsidRPr="00FE5C47">
        <w:rPr>
          <w:rFonts w:eastAsia="Calibri"/>
          <w:lang w:val="es-CU" w:eastAsia="en-US"/>
        </w:rPr>
        <w:t xml:space="preserve"> municipio vs. E14 </w:t>
      </w:r>
      <w:r w:rsidRPr="00FE5C47">
        <w:rPr>
          <w:rFonts w:eastAsia="Calibri"/>
          <w:iCs/>
          <w:lang w:val="es-CU" w:eastAsia="en-US"/>
        </w:rPr>
        <w:t xml:space="preserve">(desgaste del sistema de salud por la prolongada duración de la pandemia). </w:t>
      </w:r>
    </w:p>
    <w:p w14:paraId="06E547AD" w14:textId="77777777" w:rsidR="00FE5C47" w:rsidRPr="00FE5C47" w:rsidRDefault="00FE5C47" w:rsidP="00FE5C47">
      <w:pPr>
        <w:spacing w:line="360" w:lineRule="auto"/>
        <w:jc w:val="both"/>
        <w:rPr>
          <w:rFonts w:eastAsia="Calibri"/>
          <w:lang w:val="es-CU" w:eastAsia="en-US"/>
        </w:rPr>
      </w:pPr>
    </w:p>
    <w:p w14:paraId="24FB5A2B" w14:textId="77777777" w:rsidR="00FE5C47" w:rsidRPr="00FE5C47" w:rsidRDefault="00FE5C47" w:rsidP="00FE5C47">
      <w:pPr>
        <w:spacing w:line="360" w:lineRule="auto"/>
        <w:jc w:val="center"/>
        <w:rPr>
          <w:rFonts w:eastAsia="Calibri"/>
          <w:bCs/>
          <w:sz w:val="22"/>
          <w:szCs w:val="22"/>
          <w:lang w:val="es-CU" w:eastAsia="en-US"/>
        </w:rPr>
      </w:pPr>
      <w:r w:rsidRPr="00FE5C47">
        <w:rPr>
          <w:rFonts w:eastAsia="Calibri"/>
          <w:b/>
          <w:sz w:val="22"/>
          <w:szCs w:val="22"/>
          <w:lang w:val="es-CU" w:eastAsia="en-US"/>
        </w:rPr>
        <w:t xml:space="preserve">Tabla 4 - </w:t>
      </w:r>
      <w:r w:rsidRPr="00FE5C47">
        <w:rPr>
          <w:rFonts w:eastAsia="Calibri"/>
          <w:bCs/>
          <w:sz w:val="22"/>
          <w:szCs w:val="22"/>
          <w:lang w:val="es-CU" w:eastAsia="en-US"/>
        </w:rPr>
        <w:t xml:space="preserve">Residuos corregidos y pruebas </w:t>
      </w:r>
      <w:r w:rsidRPr="00FE5C47">
        <w:rPr>
          <w:rFonts w:eastAsia="Calibri"/>
          <w:bCs/>
          <w:i/>
          <w:iCs/>
          <w:sz w:val="22"/>
          <w:szCs w:val="22"/>
          <w:lang w:val="es-CU" w:eastAsia="en-US"/>
        </w:rPr>
        <w:t>ji</w:t>
      </w:r>
      <w:r w:rsidRPr="00FE5C47">
        <w:rPr>
          <w:rFonts w:eastAsia="Calibri"/>
          <w:bCs/>
          <w:sz w:val="22"/>
          <w:szCs w:val="22"/>
          <w:lang w:val="es-CU" w:eastAsia="en-US"/>
        </w:rPr>
        <w:t xml:space="preserve"> cuadrado (dimensión social)</w:t>
      </w:r>
    </w:p>
    <w:tbl>
      <w:tblPr>
        <w:tblStyle w:val="Tablaconcuadrcula1"/>
        <w:tblW w:w="10430" w:type="dxa"/>
        <w:jc w:val="center"/>
        <w:tblLayout w:type="fixed"/>
        <w:tblLook w:val="04A0" w:firstRow="1" w:lastRow="0" w:firstColumn="1" w:lastColumn="0" w:noHBand="0" w:noVBand="1"/>
      </w:tblPr>
      <w:tblGrid>
        <w:gridCol w:w="3681"/>
        <w:gridCol w:w="2126"/>
        <w:gridCol w:w="1276"/>
        <w:gridCol w:w="1842"/>
        <w:gridCol w:w="1505"/>
      </w:tblGrid>
      <w:tr w:rsidR="00FE5C47" w:rsidRPr="00FE5C47" w14:paraId="6478BBEB" w14:textId="77777777" w:rsidTr="001F1911">
        <w:trPr>
          <w:jc w:val="center"/>
        </w:trPr>
        <w:tc>
          <w:tcPr>
            <w:tcW w:w="3681" w:type="dxa"/>
            <w:vAlign w:val="center"/>
          </w:tcPr>
          <w:p w14:paraId="59BEDE70" w14:textId="77777777" w:rsidR="00FE5C47" w:rsidRPr="00FE5C47" w:rsidRDefault="00FE5C47" w:rsidP="00FE5C47">
            <w:pPr>
              <w:tabs>
                <w:tab w:val="center" w:pos="4017"/>
              </w:tabs>
              <w:autoSpaceDE w:val="0"/>
              <w:autoSpaceDN w:val="0"/>
              <w:adjustRightInd w:val="0"/>
              <w:spacing w:line="360" w:lineRule="auto"/>
              <w:ind w:right="31"/>
              <w:jc w:val="center"/>
              <w:rPr>
                <w:rFonts w:ascii="Times New Roman" w:hAnsi="Times New Roman"/>
                <w:b/>
                <w:bCs/>
                <w:color w:val="000000"/>
                <w:sz w:val="18"/>
                <w:szCs w:val="18"/>
                <w:lang w:val="es-ES" w:eastAsia="en-US"/>
              </w:rPr>
            </w:pPr>
            <w:r w:rsidRPr="00FE5C47">
              <w:rPr>
                <w:rFonts w:ascii="Times New Roman" w:hAnsi="Times New Roman"/>
                <w:b/>
                <w:bCs/>
                <w:color w:val="000000"/>
                <w:sz w:val="18"/>
                <w:szCs w:val="18"/>
                <w:lang w:val="es-ES" w:eastAsia="en-US"/>
              </w:rPr>
              <w:t>Variable 1</w:t>
            </w:r>
          </w:p>
        </w:tc>
        <w:tc>
          <w:tcPr>
            <w:tcW w:w="2126" w:type="dxa"/>
            <w:vAlign w:val="center"/>
          </w:tcPr>
          <w:p w14:paraId="0A685F15"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b/>
                <w:bCs/>
                <w:color w:val="000000"/>
                <w:sz w:val="18"/>
                <w:szCs w:val="18"/>
                <w:lang w:val="es-ES" w:eastAsia="en-US"/>
              </w:rPr>
            </w:pPr>
            <w:r w:rsidRPr="00FE5C47">
              <w:rPr>
                <w:rFonts w:ascii="Times New Roman" w:hAnsi="Times New Roman"/>
                <w:b/>
                <w:bCs/>
                <w:color w:val="000000"/>
                <w:sz w:val="18"/>
                <w:szCs w:val="18"/>
                <w:lang w:val="es-ES" w:eastAsia="en-US"/>
              </w:rPr>
              <w:t>Variable 2</w:t>
            </w:r>
          </w:p>
        </w:tc>
        <w:tc>
          <w:tcPr>
            <w:tcW w:w="1276" w:type="dxa"/>
            <w:vAlign w:val="center"/>
          </w:tcPr>
          <w:p w14:paraId="61146DC9"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b/>
                <w:bCs/>
                <w:color w:val="000000"/>
                <w:sz w:val="18"/>
                <w:szCs w:val="18"/>
                <w:lang w:val="es-ES" w:eastAsia="en-US"/>
              </w:rPr>
            </w:pPr>
            <w:r w:rsidRPr="00FE5C47">
              <w:rPr>
                <w:rFonts w:ascii="Times New Roman" w:hAnsi="Times New Roman"/>
                <w:b/>
                <w:bCs/>
                <w:color w:val="000000"/>
                <w:sz w:val="18"/>
                <w:szCs w:val="18"/>
                <w:lang w:val="es-ES" w:eastAsia="en-US"/>
              </w:rPr>
              <w:t>RC&gt; 1,96</w:t>
            </w:r>
          </w:p>
        </w:tc>
        <w:tc>
          <w:tcPr>
            <w:tcW w:w="1842" w:type="dxa"/>
            <w:vAlign w:val="center"/>
          </w:tcPr>
          <w:p w14:paraId="67C4AAF5" w14:textId="77777777" w:rsidR="00FE5C47" w:rsidRPr="00FE5C47" w:rsidRDefault="00FE5C47" w:rsidP="00FE5C47">
            <w:pPr>
              <w:tabs>
                <w:tab w:val="center" w:pos="4017"/>
              </w:tabs>
              <w:autoSpaceDE w:val="0"/>
              <w:autoSpaceDN w:val="0"/>
              <w:adjustRightInd w:val="0"/>
              <w:spacing w:line="360" w:lineRule="auto"/>
              <w:ind w:left="-108"/>
              <w:jc w:val="center"/>
              <w:rPr>
                <w:rFonts w:ascii="Times New Roman" w:hAnsi="Times New Roman"/>
                <w:b/>
                <w:bCs/>
                <w:i/>
                <w:iCs/>
                <w:color w:val="000000"/>
                <w:sz w:val="18"/>
                <w:szCs w:val="18"/>
                <w:lang w:val="es-ES" w:eastAsia="en-US"/>
              </w:rPr>
            </w:pPr>
            <w:r w:rsidRPr="00FE5C47">
              <w:rPr>
                <w:rFonts w:ascii="Times New Roman" w:hAnsi="Times New Roman"/>
                <w:b/>
                <w:bCs/>
                <w:i/>
                <w:iCs/>
                <w:color w:val="000000"/>
                <w:sz w:val="18"/>
                <w:szCs w:val="18"/>
                <w:lang w:val="es-ES" w:eastAsia="en-US"/>
              </w:rPr>
              <w:t>Ji</w:t>
            </w:r>
          </w:p>
          <w:p w14:paraId="7EDF6B44" w14:textId="77777777" w:rsidR="00FE5C47" w:rsidRPr="00FE5C47" w:rsidRDefault="00FE5C47" w:rsidP="00FE5C47">
            <w:pPr>
              <w:tabs>
                <w:tab w:val="center" w:pos="4017"/>
              </w:tabs>
              <w:autoSpaceDE w:val="0"/>
              <w:autoSpaceDN w:val="0"/>
              <w:adjustRightInd w:val="0"/>
              <w:spacing w:line="360" w:lineRule="auto"/>
              <w:ind w:left="-108"/>
              <w:jc w:val="center"/>
              <w:rPr>
                <w:rFonts w:ascii="Times New Roman" w:hAnsi="Times New Roman"/>
                <w:b/>
                <w:bCs/>
                <w:color w:val="000000"/>
                <w:sz w:val="18"/>
                <w:szCs w:val="18"/>
                <w:vertAlign w:val="superscript"/>
                <w:lang w:val="es-ES" w:eastAsia="en-US"/>
              </w:rPr>
            </w:pPr>
            <w:r w:rsidRPr="00FE5C47">
              <w:rPr>
                <w:rFonts w:ascii="Times New Roman" w:hAnsi="Times New Roman"/>
                <w:b/>
                <w:bCs/>
                <w:color w:val="000000"/>
                <w:sz w:val="18"/>
                <w:szCs w:val="18"/>
                <w:lang w:val="es-ES" w:eastAsia="en-US"/>
              </w:rPr>
              <w:t>cuadrado</w:t>
            </w:r>
          </w:p>
        </w:tc>
        <w:tc>
          <w:tcPr>
            <w:tcW w:w="1505" w:type="dxa"/>
            <w:vAlign w:val="center"/>
          </w:tcPr>
          <w:p w14:paraId="5C230FFB"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b/>
                <w:bCs/>
                <w:color w:val="000000"/>
                <w:sz w:val="18"/>
                <w:szCs w:val="18"/>
                <w:lang w:val="es-ES" w:eastAsia="en-US"/>
              </w:rPr>
            </w:pPr>
            <w:r w:rsidRPr="00FE5C47">
              <w:rPr>
                <w:rFonts w:ascii="Times New Roman" w:hAnsi="Times New Roman"/>
                <w:b/>
                <w:bCs/>
                <w:color w:val="000000"/>
                <w:sz w:val="18"/>
                <w:szCs w:val="18"/>
                <w:lang w:val="es-ES" w:eastAsia="en-US"/>
              </w:rPr>
              <w:t>SA(b)</w:t>
            </w:r>
          </w:p>
          <w:p w14:paraId="4828E8D3"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b/>
                <w:bCs/>
                <w:color w:val="000000"/>
                <w:sz w:val="18"/>
                <w:szCs w:val="18"/>
                <w:lang w:val="es-ES" w:eastAsia="en-US"/>
              </w:rPr>
            </w:pPr>
            <w:r w:rsidRPr="00FE5C47">
              <w:rPr>
                <w:rFonts w:ascii="Times New Roman" w:hAnsi="Times New Roman"/>
                <w:b/>
                <w:bCs/>
                <w:color w:val="000000"/>
                <w:sz w:val="18"/>
                <w:szCs w:val="18"/>
                <w:lang w:val="es-ES" w:eastAsia="en-US"/>
              </w:rPr>
              <w:t>&lt; 0,05</w:t>
            </w:r>
          </w:p>
        </w:tc>
      </w:tr>
      <w:tr w:rsidR="00FE5C47" w:rsidRPr="00FE5C47" w14:paraId="2D886B21" w14:textId="77777777" w:rsidTr="001F1911">
        <w:trPr>
          <w:trHeight w:val="275"/>
          <w:jc w:val="center"/>
        </w:trPr>
        <w:tc>
          <w:tcPr>
            <w:tcW w:w="3681" w:type="dxa"/>
            <w:vMerge w:val="restart"/>
            <w:vAlign w:val="center"/>
          </w:tcPr>
          <w:p w14:paraId="06CE1B57"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S3. Exceso de optimismo por bajas tasas de contagio, medicamentos, vacunas, protocolos…</w:t>
            </w:r>
          </w:p>
        </w:tc>
        <w:tc>
          <w:tcPr>
            <w:tcW w:w="2126" w:type="dxa"/>
            <w:vAlign w:val="center"/>
          </w:tcPr>
          <w:p w14:paraId="2BFB7A7A"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Sexo= M</w:t>
            </w:r>
          </w:p>
        </w:tc>
        <w:tc>
          <w:tcPr>
            <w:tcW w:w="1276" w:type="dxa"/>
            <w:vAlign w:val="center"/>
          </w:tcPr>
          <w:p w14:paraId="699651B1"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2,6</w:t>
            </w:r>
          </w:p>
        </w:tc>
        <w:tc>
          <w:tcPr>
            <w:tcW w:w="1842" w:type="dxa"/>
            <w:vAlign w:val="center"/>
          </w:tcPr>
          <w:p w14:paraId="46C8D60E"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w:t>
            </w:r>
            <w:r w:rsidRPr="00FE5C47">
              <w:rPr>
                <w:rFonts w:ascii="Times New Roman" w:hAnsi="Times New Roman"/>
                <w:color w:val="000000"/>
                <w:sz w:val="18"/>
                <w:szCs w:val="18"/>
                <w:lang w:val="es-ES" w:eastAsia="en-US"/>
              </w:rPr>
              <w:t>= 6,926</w:t>
            </w:r>
          </w:p>
        </w:tc>
        <w:tc>
          <w:tcPr>
            <w:tcW w:w="1505" w:type="dxa"/>
            <w:vAlign w:val="center"/>
          </w:tcPr>
          <w:p w14:paraId="21C8C05D"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0,008</w:t>
            </w:r>
          </w:p>
        </w:tc>
      </w:tr>
      <w:tr w:rsidR="00FE5C47" w:rsidRPr="00FE5C47" w14:paraId="52AFEBD4" w14:textId="77777777" w:rsidTr="001F1911">
        <w:trPr>
          <w:trHeight w:val="589"/>
          <w:jc w:val="center"/>
        </w:trPr>
        <w:tc>
          <w:tcPr>
            <w:tcW w:w="3681" w:type="dxa"/>
            <w:vMerge/>
            <w:vAlign w:val="center"/>
          </w:tcPr>
          <w:p w14:paraId="6582A56E"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p>
        </w:tc>
        <w:tc>
          <w:tcPr>
            <w:tcW w:w="2126" w:type="dxa"/>
            <w:vAlign w:val="center"/>
          </w:tcPr>
          <w:p w14:paraId="601161FF"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Municipio=</w:t>
            </w:r>
          </w:p>
          <w:p w14:paraId="15E96934"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Plaza</w:t>
            </w:r>
          </w:p>
        </w:tc>
        <w:tc>
          <w:tcPr>
            <w:tcW w:w="1276" w:type="dxa"/>
            <w:vAlign w:val="center"/>
          </w:tcPr>
          <w:p w14:paraId="3675A324"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2.7</w:t>
            </w:r>
          </w:p>
        </w:tc>
        <w:tc>
          <w:tcPr>
            <w:tcW w:w="1842" w:type="dxa"/>
            <w:vAlign w:val="center"/>
          </w:tcPr>
          <w:p w14:paraId="5A007F35"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14</w:t>
            </w:r>
            <w:r w:rsidRPr="00FE5C47">
              <w:rPr>
                <w:rFonts w:ascii="Times New Roman" w:hAnsi="Times New Roman"/>
                <w:color w:val="000000"/>
                <w:sz w:val="18"/>
                <w:szCs w:val="18"/>
                <w:lang w:val="es-ES" w:eastAsia="en-US"/>
              </w:rPr>
              <w:t>= 14,558</w:t>
            </w:r>
          </w:p>
        </w:tc>
        <w:tc>
          <w:tcPr>
            <w:tcW w:w="1505" w:type="dxa"/>
            <w:vAlign w:val="center"/>
          </w:tcPr>
          <w:p w14:paraId="601CFA01"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0,409</w:t>
            </w:r>
          </w:p>
        </w:tc>
      </w:tr>
      <w:tr w:rsidR="00FE5C47" w:rsidRPr="00FE5C47" w14:paraId="192B7B60" w14:textId="77777777" w:rsidTr="001F1911">
        <w:trPr>
          <w:trHeight w:val="263"/>
          <w:jc w:val="center"/>
        </w:trPr>
        <w:tc>
          <w:tcPr>
            <w:tcW w:w="3681" w:type="dxa"/>
            <w:vMerge w:val="restart"/>
            <w:vAlign w:val="center"/>
          </w:tcPr>
          <w:p w14:paraId="41F6FA55"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S2. No cree que el uso de mascarilla, lavado de manos o distanciamiento social reduzca el contagio …</w:t>
            </w:r>
          </w:p>
        </w:tc>
        <w:tc>
          <w:tcPr>
            <w:tcW w:w="2126" w:type="dxa"/>
            <w:vAlign w:val="center"/>
          </w:tcPr>
          <w:p w14:paraId="3AEE724F"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Nivel=Pre</w:t>
            </w:r>
          </w:p>
        </w:tc>
        <w:tc>
          <w:tcPr>
            <w:tcW w:w="1276" w:type="dxa"/>
            <w:vAlign w:val="center"/>
          </w:tcPr>
          <w:p w14:paraId="68A41BF6"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4,8</w:t>
            </w:r>
          </w:p>
        </w:tc>
        <w:tc>
          <w:tcPr>
            <w:tcW w:w="1842" w:type="dxa"/>
            <w:vMerge w:val="restart"/>
            <w:vAlign w:val="center"/>
          </w:tcPr>
          <w:p w14:paraId="7AD18F58"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3</w:t>
            </w:r>
            <w:r w:rsidRPr="00FE5C47">
              <w:rPr>
                <w:rFonts w:ascii="Times New Roman" w:hAnsi="Times New Roman"/>
                <w:color w:val="000000"/>
                <w:sz w:val="18"/>
                <w:szCs w:val="18"/>
                <w:lang w:val="es-ES" w:eastAsia="en-US"/>
              </w:rPr>
              <w:t>= 36,961</w:t>
            </w:r>
          </w:p>
          <w:p w14:paraId="54752126"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p>
        </w:tc>
        <w:tc>
          <w:tcPr>
            <w:tcW w:w="1505" w:type="dxa"/>
            <w:vMerge w:val="restart"/>
            <w:vAlign w:val="center"/>
          </w:tcPr>
          <w:p w14:paraId="2C858426"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0,000</w:t>
            </w:r>
          </w:p>
        </w:tc>
      </w:tr>
      <w:tr w:rsidR="00FE5C47" w:rsidRPr="00FE5C47" w14:paraId="5DE2C6A1" w14:textId="77777777" w:rsidTr="001F1911">
        <w:trPr>
          <w:trHeight w:val="388"/>
          <w:jc w:val="center"/>
        </w:trPr>
        <w:tc>
          <w:tcPr>
            <w:tcW w:w="3681" w:type="dxa"/>
            <w:vMerge/>
            <w:vAlign w:val="center"/>
          </w:tcPr>
          <w:p w14:paraId="3428D5FC" w14:textId="77777777" w:rsidR="00FE5C47" w:rsidRPr="00FE5C47" w:rsidRDefault="00FE5C47" w:rsidP="00FE5C47">
            <w:pPr>
              <w:numPr>
                <w:ilvl w:val="0"/>
                <w:numId w:val="14"/>
              </w:numPr>
              <w:tabs>
                <w:tab w:val="center" w:pos="4017"/>
              </w:tabs>
              <w:autoSpaceDE w:val="0"/>
              <w:autoSpaceDN w:val="0"/>
              <w:adjustRightInd w:val="0"/>
              <w:spacing w:after="160" w:line="360" w:lineRule="auto"/>
              <w:ind w:right="31"/>
              <w:rPr>
                <w:rFonts w:ascii="Times New Roman" w:hAnsi="Times New Roman"/>
                <w:color w:val="000000"/>
                <w:sz w:val="18"/>
                <w:szCs w:val="18"/>
                <w:lang w:val="es-ES" w:eastAsia="en-US"/>
              </w:rPr>
            </w:pPr>
          </w:p>
        </w:tc>
        <w:tc>
          <w:tcPr>
            <w:tcW w:w="2126" w:type="dxa"/>
            <w:vAlign w:val="center"/>
          </w:tcPr>
          <w:p w14:paraId="1DA602A9"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Nivel= Secundaria</w:t>
            </w:r>
          </w:p>
        </w:tc>
        <w:tc>
          <w:tcPr>
            <w:tcW w:w="1276" w:type="dxa"/>
            <w:vAlign w:val="center"/>
          </w:tcPr>
          <w:p w14:paraId="04C0C645"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3,3</w:t>
            </w:r>
          </w:p>
        </w:tc>
        <w:tc>
          <w:tcPr>
            <w:tcW w:w="1842" w:type="dxa"/>
            <w:vMerge/>
            <w:vAlign w:val="center"/>
          </w:tcPr>
          <w:p w14:paraId="7282F35F"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p>
        </w:tc>
        <w:tc>
          <w:tcPr>
            <w:tcW w:w="1505" w:type="dxa"/>
            <w:vMerge/>
            <w:vAlign w:val="center"/>
          </w:tcPr>
          <w:p w14:paraId="24BF6718"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p>
        </w:tc>
      </w:tr>
      <w:tr w:rsidR="00FE5C47" w:rsidRPr="00FE5C47" w14:paraId="1B7C2BF4" w14:textId="77777777" w:rsidTr="001F1911">
        <w:trPr>
          <w:trHeight w:val="414"/>
          <w:jc w:val="center"/>
        </w:trPr>
        <w:tc>
          <w:tcPr>
            <w:tcW w:w="3681" w:type="dxa"/>
            <w:vMerge/>
            <w:vAlign w:val="center"/>
          </w:tcPr>
          <w:p w14:paraId="5FEAF031" w14:textId="77777777" w:rsidR="00FE5C47" w:rsidRPr="00FE5C47" w:rsidRDefault="00FE5C47" w:rsidP="00FE5C47">
            <w:pPr>
              <w:numPr>
                <w:ilvl w:val="0"/>
                <w:numId w:val="14"/>
              </w:numPr>
              <w:tabs>
                <w:tab w:val="center" w:pos="4017"/>
              </w:tabs>
              <w:autoSpaceDE w:val="0"/>
              <w:autoSpaceDN w:val="0"/>
              <w:adjustRightInd w:val="0"/>
              <w:spacing w:after="160" w:line="360" w:lineRule="auto"/>
              <w:ind w:right="31"/>
              <w:rPr>
                <w:rFonts w:ascii="Times New Roman" w:hAnsi="Times New Roman"/>
                <w:color w:val="000000"/>
                <w:sz w:val="18"/>
                <w:szCs w:val="18"/>
                <w:lang w:val="es-ES" w:eastAsia="en-US"/>
              </w:rPr>
            </w:pPr>
          </w:p>
        </w:tc>
        <w:tc>
          <w:tcPr>
            <w:tcW w:w="2126" w:type="dxa"/>
            <w:vAlign w:val="center"/>
          </w:tcPr>
          <w:p w14:paraId="530D829B"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Ocupación= Ama casa</w:t>
            </w:r>
          </w:p>
        </w:tc>
        <w:tc>
          <w:tcPr>
            <w:tcW w:w="1276" w:type="dxa"/>
            <w:vAlign w:val="center"/>
          </w:tcPr>
          <w:p w14:paraId="48586959"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2,6</w:t>
            </w:r>
          </w:p>
        </w:tc>
        <w:tc>
          <w:tcPr>
            <w:tcW w:w="1842" w:type="dxa"/>
            <w:vAlign w:val="center"/>
          </w:tcPr>
          <w:p w14:paraId="02CE4A89"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4</w:t>
            </w:r>
            <w:r w:rsidRPr="00FE5C47">
              <w:rPr>
                <w:rFonts w:ascii="Times New Roman" w:hAnsi="Times New Roman"/>
                <w:color w:val="000000"/>
                <w:sz w:val="18"/>
                <w:szCs w:val="18"/>
                <w:lang w:val="es-ES" w:eastAsia="en-US"/>
              </w:rPr>
              <w:t>= 11,108</w:t>
            </w:r>
          </w:p>
        </w:tc>
        <w:tc>
          <w:tcPr>
            <w:tcW w:w="1505" w:type="dxa"/>
            <w:vAlign w:val="center"/>
          </w:tcPr>
          <w:p w14:paraId="3F0E1D05"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0,025</w:t>
            </w:r>
          </w:p>
        </w:tc>
      </w:tr>
      <w:tr w:rsidR="00FE5C47" w:rsidRPr="00FE5C47" w14:paraId="09123A16" w14:textId="77777777" w:rsidTr="001F1911">
        <w:trPr>
          <w:trHeight w:val="78"/>
          <w:jc w:val="center"/>
        </w:trPr>
        <w:tc>
          <w:tcPr>
            <w:tcW w:w="3681" w:type="dxa"/>
            <w:vMerge/>
            <w:vAlign w:val="center"/>
          </w:tcPr>
          <w:p w14:paraId="05AEDFAC" w14:textId="77777777" w:rsidR="00FE5C47" w:rsidRPr="00FE5C47" w:rsidRDefault="00FE5C47" w:rsidP="00FE5C47">
            <w:pPr>
              <w:numPr>
                <w:ilvl w:val="0"/>
                <w:numId w:val="14"/>
              </w:numPr>
              <w:tabs>
                <w:tab w:val="center" w:pos="4017"/>
              </w:tabs>
              <w:autoSpaceDE w:val="0"/>
              <w:autoSpaceDN w:val="0"/>
              <w:adjustRightInd w:val="0"/>
              <w:spacing w:after="160" w:line="360" w:lineRule="auto"/>
              <w:ind w:right="31"/>
              <w:rPr>
                <w:rFonts w:ascii="Times New Roman" w:hAnsi="Times New Roman"/>
                <w:color w:val="000000"/>
                <w:sz w:val="18"/>
                <w:szCs w:val="18"/>
                <w:lang w:val="es-ES" w:eastAsia="en-US"/>
              </w:rPr>
            </w:pPr>
          </w:p>
        </w:tc>
        <w:tc>
          <w:tcPr>
            <w:tcW w:w="2126" w:type="dxa"/>
            <w:vAlign w:val="center"/>
          </w:tcPr>
          <w:p w14:paraId="20C78D86"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Edad=+65</w:t>
            </w:r>
          </w:p>
        </w:tc>
        <w:tc>
          <w:tcPr>
            <w:tcW w:w="1276" w:type="dxa"/>
            <w:vAlign w:val="center"/>
          </w:tcPr>
          <w:p w14:paraId="228CFE76"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3,1</w:t>
            </w:r>
          </w:p>
        </w:tc>
        <w:tc>
          <w:tcPr>
            <w:tcW w:w="1842" w:type="dxa"/>
            <w:vAlign w:val="center"/>
          </w:tcPr>
          <w:p w14:paraId="160AB1DD"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10</w:t>
            </w:r>
            <w:r w:rsidRPr="00FE5C47">
              <w:rPr>
                <w:rFonts w:ascii="Times New Roman" w:hAnsi="Times New Roman"/>
                <w:color w:val="000000"/>
                <w:sz w:val="18"/>
                <w:szCs w:val="18"/>
                <w:lang w:val="es-ES" w:eastAsia="en-US"/>
              </w:rPr>
              <w:t>= 17,85</w:t>
            </w:r>
          </w:p>
        </w:tc>
        <w:tc>
          <w:tcPr>
            <w:tcW w:w="1505" w:type="dxa"/>
            <w:vAlign w:val="center"/>
          </w:tcPr>
          <w:p w14:paraId="33561938"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0,057</w:t>
            </w:r>
          </w:p>
        </w:tc>
      </w:tr>
      <w:tr w:rsidR="00FE5C47" w:rsidRPr="00FE5C47" w14:paraId="0D76E419" w14:textId="77777777" w:rsidTr="001F1911">
        <w:trPr>
          <w:trHeight w:val="299"/>
          <w:jc w:val="center"/>
        </w:trPr>
        <w:tc>
          <w:tcPr>
            <w:tcW w:w="3681" w:type="dxa"/>
            <w:vMerge w:val="restart"/>
            <w:vAlign w:val="center"/>
          </w:tcPr>
          <w:p w14:paraId="1B4B0F13"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S12. Resistencia y negación a ingresar en centros de aislamiento</w:t>
            </w:r>
          </w:p>
        </w:tc>
        <w:tc>
          <w:tcPr>
            <w:tcW w:w="2126" w:type="dxa"/>
            <w:vAlign w:val="center"/>
          </w:tcPr>
          <w:p w14:paraId="298DFE68"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Nivel= Primaria</w:t>
            </w:r>
          </w:p>
        </w:tc>
        <w:tc>
          <w:tcPr>
            <w:tcW w:w="1276" w:type="dxa"/>
            <w:vAlign w:val="center"/>
          </w:tcPr>
          <w:p w14:paraId="47659F97"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2,1</w:t>
            </w:r>
          </w:p>
        </w:tc>
        <w:tc>
          <w:tcPr>
            <w:tcW w:w="1842" w:type="dxa"/>
            <w:vAlign w:val="center"/>
          </w:tcPr>
          <w:p w14:paraId="20A84C75"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3</w:t>
            </w:r>
            <w:r w:rsidRPr="00FE5C47">
              <w:rPr>
                <w:rFonts w:ascii="Times New Roman" w:hAnsi="Times New Roman"/>
                <w:color w:val="000000"/>
                <w:sz w:val="18"/>
                <w:szCs w:val="18"/>
                <w:lang w:val="es-ES" w:eastAsia="en-US"/>
              </w:rPr>
              <w:t>= 5,647</w:t>
            </w:r>
          </w:p>
        </w:tc>
        <w:tc>
          <w:tcPr>
            <w:tcW w:w="1505" w:type="dxa"/>
            <w:vAlign w:val="center"/>
          </w:tcPr>
          <w:p w14:paraId="7389EDDB"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0,130</w:t>
            </w:r>
          </w:p>
        </w:tc>
      </w:tr>
      <w:tr w:rsidR="00FE5C47" w:rsidRPr="00FE5C47" w14:paraId="2159FE8F" w14:textId="77777777" w:rsidTr="001F1911">
        <w:trPr>
          <w:trHeight w:val="151"/>
          <w:jc w:val="center"/>
        </w:trPr>
        <w:tc>
          <w:tcPr>
            <w:tcW w:w="3681" w:type="dxa"/>
            <w:vMerge/>
            <w:vAlign w:val="center"/>
          </w:tcPr>
          <w:p w14:paraId="2519382C"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p>
        </w:tc>
        <w:tc>
          <w:tcPr>
            <w:tcW w:w="2126" w:type="dxa"/>
            <w:vAlign w:val="center"/>
          </w:tcPr>
          <w:p w14:paraId="538CC673"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Municipio=</w:t>
            </w:r>
          </w:p>
          <w:p w14:paraId="5AA61B24"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Plaza</w:t>
            </w:r>
          </w:p>
        </w:tc>
        <w:tc>
          <w:tcPr>
            <w:tcW w:w="1276" w:type="dxa"/>
            <w:vAlign w:val="center"/>
          </w:tcPr>
          <w:p w14:paraId="316C2D77"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2,7</w:t>
            </w:r>
          </w:p>
        </w:tc>
        <w:tc>
          <w:tcPr>
            <w:tcW w:w="1842" w:type="dxa"/>
            <w:vAlign w:val="center"/>
          </w:tcPr>
          <w:p w14:paraId="1E18EB99"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14</w:t>
            </w:r>
            <w:r w:rsidRPr="00FE5C47">
              <w:rPr>
                <w:rFonts w:ascii="Times New Roman" w:hAnsi="Times New Roman"/>
                <w:color w:val="000000"/>
                <w:sz w:val="18"/>
                <w:szCs w:val="18"/>
                <w:lang w:val="es-ES" w:eastAsia="en-US"/>
              </w:rPr>
              <w:t>= 17,998</w:t>
            </w:r>
          </w:p>
        </w:tc>
        <w:tc>
          <w:tcPr>
            <w:tcW w:w="1505" w:type="dxa"/>
            <w:vAlign w:val="center"/>
          </w:tcPr>
          <w:p w14:paraId="3D131D5B"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0,207</w:t>
            </w:r>
          </w:p>
        </w:tc>
      </w:tr>
      <w:tr w:rsidR="00FE5C47" w:rsidRPr="00FE5C47" w14:paraId="4CF4EC92" w14:textId="77777777" w:rsidTr="001F1911">
        <w:trPr>
          <w:trHeight w:val="621"/>
          <w:jc w:val="center"/>
        </w:trPr>
        <w:tc>
          <w:tcPr>
            <w:tcW w:w="3681" w:type="dxa"/>
            <w:vAlign w:val="center"/>
          </w:tcPr>
          <w:p w14:paraId="148766E7"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S1. Exceso de confianza por disminución de casos positivos y baja mortalidad</w:t>
            </w:r>
          </w:p>
        </w:tc>
        <w:tc>
          <w:tcPr>
            <w:tcW w:w="2126" w:type="dxa"/>
            <w:vAlign w:val="center"/>
          </w:tcPr>
          <w:p w14:paraId="2983732D"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Ocupación= Estudiante</w:t>
            </w:r>
          </w:p>
        </w:tc>
        <w:tc>
          <w:tcPr>
            <w:tcW w:w="1276" w:type="dxa"/>
            <w:vAlign w:val="center"/>
          </w:tcPr>
          <w:p w14:paraId="32E65539"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2,1</w:t>
            </w:r>
          </w:p>
        </w:tc>
        <w:tc>
          <w:tcPr>
            <w:tcW w:w="1842" w:type="dxa"/>
            <w:vAlign w:val="center"/>
          </w:tcPr>
          <w:p w14:paraId="4960374F"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4</w:t>
            </w:r>
            <w:r w:rsidRPr="00FE5C47">
              <w:rPr>
                <w:rFonts w:ascii="Times New Roman" w:hAnsi="Times New Roman"/>
                <w:color w:val="000000"/>
                <w:sz w:val="18"/>
                <w:szCs w:val="18"/>
                <w:lang w:val="es-ES" w:eastAsia="en-US"/>
              </w:rPr>
              <w:t>= 5,767</w:t>
            </w:r>
          </w:p>
        </w:tc>
        <w:tc>
          <w:tcPr>
            <w:tcW w:w="1505" w:type="dxa"/>
            <w:vAlign w:val="center"/>
          </w:tcPr>
          <w:p w14:paraId="0B36B61B"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0,217</w:t>
            </w:r>
          </w:p>
        </w:tc>
      </w:tr>
      <w:tr w:rsidR="00FE5C47" w:rsidRPr="00FE5C47" w14:paraId="4C90CDFA" w14:textId="77777777" w:rsidTr="001F1911">
        <w:trPr>
          <w:trHeight w:val="448"/>
          <w:jc w:val="center"/>
        </w:trPr>
        <w:tc>
          <w:tcPr>
            <w:tcW w:w="3681" w:type="dxa"/>
            <w:vMerge w:val="restart"/>
            <w:vAlign w:val="center"/>
          </w:tcPr>
          <w:p w14:paraId="6B2470CE"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 xml:space="preserve">S4. Aglomeraciones públicas  </w:t>
            </w:r>
          </w:p>
        </w:tc>
        <w:tc>
          <w:tcPr>
            <w:tcW w:w="2126" w:type="dxa"/>
            <w:vAlign w:val="center"/>
          </w:tcPr>
          <w:p w14:paraId="700891E2"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Ocupación= Ama casa</w:t>
            </w:r>
          </w:p>
        </w:tc>
        <w:tc>
          <w:tcPr>
            <w:tcW w:w="1276" w:type="dxa"/>
            <w:vAlign w:val="center"/>
          </w:tcPr>
          <w:p w14:paraId="13D17F78"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2,4</w:t>
            </w:r>
          </w:p>
        </w:tc>
        <w:tc>
          <w:tcPr>
            <w:tcW w:w="1842" w:type="dxa"/>
            <w:vAlign w:val="center"/>
          </w:tcPr>
          <w:p w14:paraId="6713D584"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4</w:t>
            </w:r>
            <w:r w:rsidRPr="00FE5C47">
              <w:rPr>
                <w:rFonts w:ascii="Times New Roman" w:hAnsi="Times New Roman"/>
                <w:color w:val="000000"/>
                <w:sz w:val="18"/>
                <w:szCs w:val="18"/>
                <w:lang w:val="es-ES" w:eastAsia="en-US"/>
              </w:rPr>
              <w:t>= 9,182</w:t>
            </w:r>
          </w:p>
        </w:tc>
        <w:tc>
          <w:tcPr>
            <w:tcW w:w="1505" w:type="dxa"/>
            <w:vAlign w:val="center"/>
          </w:tcPr>
          <w:p w14:paraId="7EF30842"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0,057</w:t>
            </w:r>
          </w:p>
        </w:tc>
      </w:tr>
      <w:tr w:rsidR="00FE5C47" w:rsidRPr="00FE5C47" w14:paraId="4DAC65B1" w14:textId="77777777" w:rsidTr="001F1911">
        <w:trPr>
          <w:jc w:val="center"/>
        </w:trPr>
        <w:tc>
          <w:tcPr>
            <w:tcW w:w="3681" w:type="dxa"/>
            <w:vMerge/>
            <w:vAlign w:val="center"/>
          </w:tcPr>
          <w:p w14:paraId="6A3ACF5A"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p>
        </w:tc>
        <w:tc>
          <w:tcPr>
            <w:tcW w:w="2126" w:type="dxa"/>
            <w:vAlign w:val="center"/>
          </w:tcPr>
          <w:p w14:paraId="6D31A03C"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Municipio=</w:t>
            </w:r>
          </w:p>
          <w:p w14:paraId="23DD1742"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A. Naranjo</w:t>
            </w:r>
          </w:p>
        </w:tc>
        <w:tc>
          <w:tcPr>
            <w:tcW w:w="1276" w:type="dxa"/>
            <w:vAlign w:val="center"/>
          </w:tcPr>
          <w:p w14:paraId="73D20362"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2,3</w:t>
            </w:r>
          </w:p>
        </w:tc>
        <w:tc>
          <w:tcPr>
            <w:tcW w:w="1842" w:type="dxa"/>
            <w:vAlign w:val="center"/>
          </w:tcPr>
          <w:p w14:paraId="5AD8C095"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14</w:t>
            </w:r>
            <w:r w:rsidRPr="00FE5C47">
              <w:rPr>
                <w:rFonts w:ascii="Times New Roman" w:hAnsi="Times New Roman"/>
                <w:color w:val="000000"/>
                <w:sz w:val="18"/>
                <w:szCs w:val="18"/>
                <w:lang w:val="es-ES" w:eastAsia="en-US"/>
              </w:rPr>
              <w:t>= 15,491</w:t>
            </w:r>
          </w:p>
        </w:tc>
        <w:tc>
          <w:tcPr>
            <w:tcW w:w="1505" w:type="dxa"/>
            <w:vAlign w:val="center"/>
          </w:tcPr>
          <w:p w14:paraId="4861093E"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0,345</w:t>
            </w:r>
          </w:p>
        </w:tc>
      </w:tr>
      <w:tr w:rsidR="00FE5C47" w:rsidRPr="00FE5C47" w14:paraId="0FE384A7" w14:textId="77777777" w:rsidTr="001F1911">
        <w:trPr>
          <w:trHeight w:val="79"/>
          <w:jc w:val="center"/>
        </w:trPr>
        <w:tc>
          <w:tcPr>
            <w:tcW w:w="3681" w:type="dxa"/>
            <w:vAlign w:val="center"/>
          </w:tcPr>
          <w:p w14:paraId="69C60CCB"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 xml:space="preserve">S6. Resquebrajamiento de la disciplina social  </w:t>
            </w:r>
          </w:p>
        </w:tc>
        <w:tc>
          <w:tcPr>
            <w:tcW w:w="2126" w:type="dxa"/>
            <w:vAlign w:val="center"/>
          </w:tcPr>
          <w:p w14:paraId="6DE5AB40"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Edad= 60-65</w:t>
            </w:r>
          </w:p>
        </w:tc>
        <w:tc>
          <w:tcPr>
            <w:tcW w:w="1276" w:type="dxa"/>
            <w:vAlign w:val="center"/>
          </w:tcPr>
          <w:p w14:paraId="1EE7987C"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2,4</w:t>
            </w:r>
          </w:p>
        </w:tc>
        <w:tc>
          <w:tcPr>
            <w:tcW w:w="1842" w:type="dxa"/>
            <w:vAlign w:val="center"/>
          </w:tcPr>
          <w:p w14:paraId="35D1859E"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10</w:t>
            </w:r>
            <w:r w:rsidRPr="00FE5C47">
              <w:rPr>
                <w:rFonts w:ascii="Times New Roman" w:hAnsi="Times New Roman"/>
                <w:color w:val="000000"/>
                <w:sz w:val="18"/>
                <w:szCs w:val="18"/>
                <w:lang w:val="es-ES" w:eastAsia="en-US"/>
              </w:rPr>
              <w:t>= 11,487</w:t>
            </w:r>
          </w:p>
        </w:tc>
        <w:tc>
          <w:tcPr>
            <w:tcW w:w="1505" w:type="dxa"/>
            <w:vAlign w:val="center"/>
          </w:tcPr>
          <w:p w14:paraId="41FFDD8F"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0,321</w:t>
            </w:r>
          </w:p>
        </w:tc>
      </w:tr>
      <w:tr w:rsidR="00FE5C47" w:rsidRPr="00FE5C47" w14:paraId="6E39EF0F" w14:textId="77777777" w:rsidTr="001F1911">
        <w:trPr>
          <w:trHeight w:val="175"/>
          <w:jc w:val="center"/>
        </w:trPr>
        <w:tc>
          <w:tcPr>
            <w:tcW w:w="3681" w:type="dxa"/>
            <w:vAlign w:val="center"/>
          </w:tcPr>
          <w:p w14:paraId="2664BC02"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sz w:val="18"/>
                <w:szCs w:val="18"/>
                <w:lang w:val="es-CU" w:eastAsia="en-US"/>
              </w:rPr>
            </w:pPr>
            <w:r w:rsidRPr="00FE5C47">
              <w:rPr>
                <w:rFonts w:ascii="Times New Roman" w:hAnsi="Times New Roman"/>
                <w:color w:val="000000"/>
                <w:sz w:val="18"/>
                <w:szCs w:val="18"/>
                <w:lang w:val="es-ES" w:eastAsia="en-US"/>
              </w:rPr>
              <w:t xml:space="preserve">S9. Falta de control familiar sobre menores y jóvenes </w:t>
            </w:r>
          </w:p>
        </w:tc>
        <w:tc>
          <w:tcPr>
            <w:tcW w:w="2126" w:type="dxa"/>
            <w:vAlign w:val="center"/>
          </w:tcPr>
          <w:p w14:paraId="018D5B31"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Edad= 36-40</w:t>
            </w:r>
          </w:p>
        </w:tc>
        <w:tc>
          <w:tcPr>
            <w:tcW w:w="1276" w:type="dxa"/>
            <w:vAlign w:val="center"/>
          </w:tcPr>
          <w:p w14:paraId="26F01EB3"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2,1</w:t>
            </w:r>
          </w:p>
        </w:tc>
        <w:tc>
          <w:tcPr>
            <w:tcW w:w="1842" w:type="dxa"/>
            <w:vAlign w:val="center"/>
          </w:tcPr>
          <w:p w14:paraId="64D67FD5"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10</w:t>
            </w:r>
            <w:r w:rsidRPr="00FE5C47">
              <w:rPr>
                <w:rFonts w:ascii="Times New Roman" w:hAnsi="Times New Roman"/>
                <w:color w:val="000000"/>
                <w:sz w:val="18"/>
                <w:szCs w:val="18"/>
                <w:lang w:val="es-ES" w:eastAsia="en-US"/>
              </w:rPr>
              <w:t>= 6,729</w:t>
            </w:r>
          </w:p>
        </w:tc>
        <w:tc>
          <w:tcPr>
            <w:tcW w:w="1505" w:type="dxa"/>
            <w:vAlign w:val="center"/>
          </w:tcPr>
          <w:p w14:paraId="13F30CAC"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0,751</w:t>
            </w:r>
          </w:p>
        </w:tc>
      </w:tr>
      <w:tr w:rsidR="00FE5C47" w:rsidRPr="00FE5C47" w14:paraId="34E71862" w14:textId="77777777" w:rsidTr="001F1911">
        <w:trPr>
          <w:trHeight w:val="594"/>
          <w:jc w:val="center"/>
        </w:trPr>
        <w:tc>
          <w:tcPr>
            <w:tcW w:w="3681" w:type="dxa"/>
            <w:vAlign w:val="center"/>
          </w:tcPr>
          <w:p w14:paraId="3F9504B7"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 xml:space="preserve">S14. Circulación de falsas informaciones sobre el virus… </w:t>
            </w:r>
          </w:p>
        </w:tc>
        <w:tc>
          <w:tcPr>
            <w:tcW w:w="2126" w:type="dxa"/>
            <w:vAlign w:val="center"/>
          </w:tcPr>
          <w:p w14:paraId="52E2BA78"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Edad= 51-55</w:t>
            </w:r>
          </w:p>
        </w:tc>
        <w:tc>
          <w:tcPr>
            <w:tcW w:w="1276" w:type="dxa"/>
            <w:vAlign w:val="center"/>
          </w:tcPr>
          <w:p w14:paraId="5F186D33"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2,9</w:t>
            </w:r>
          </w:p>
        </w:tc>
        <w:tc>
          <w:tcPr>
            <w:tcW w:w="1842" w:type="dxa"/>
            <w:vAlign w:val="center"/>
          </w:tcPr>
          <w:p w14:paraId="4722350A"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10</w:t>
            </w:r>
            <w:r w:rsidRPr="00FE5C47">
              <w:rPr>
                <w:rFonts w:ascii="Times New Roman" w:hAnsi="Times New Roman"/>
                <w:color w:val="000000"/>
                <w:sz w:val="18"/>
                <w:szCs w:val="18"/>
                <w:lang w:val="es-ES" w:eastAsia="en-US"/>
              </w:rPr>
              <w:t>= 16,579</w:t>
            </w:r>
          </w:p>
        </w:tc>
        <w:tc>
          <w:tcPr>
            <w:tcW w:w="1505" w:type="dxa"/>
            <w:vAlign w:val="center"/>
          </w:tcPr>
          <w:p w14:paraId="06598F9C"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0,084</w:t>
            </w:r>
          </w:p>
        </w:tc>
      </w:tr>
      <w:tr w:rsidR="00FE5C47" w:rsidRPr="00FE5C47" w14:paraId="037443BB" w14:textId="77777777" w:rsidTr="001F1911">
        <w:trPr>
          <w:jc w:val="center"/>
        </w:trPr>
        <w:tc>
          <w:tcPr>
            <w:tcW w:w="3681" w:type="dxa"/>
            <w:vAlign w:val="center"/>
          </w:tcPr>
          <w:p w14:paraId="209F30BC"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sz w:val="18"/>
                <w:szCs w:val="18"/>
                <w:lang w:val="es-CU" w:eastAsia="en-US"/>
              </w:rPr>
            </w:pPr>
            <w:r w:rsidRPr="00FE5C47">
              <w:rPr>
                <w:rFonts w:ascii="Times New Roman" w:hAnsi="Times New Roman"/>
                <w:color w:val="000000"/>
                <w:sz w:val="18"/>
                <w:szCs w:val="18"/>
                <w:lang w:val="es-ES" w:eastAsia="en-US"/>
              </w:rPr>
              <w:t>S5. Baja de la percepción de riesgo individual y social</w:t>
            </w:r>
          </w:p>
        </w:tc>
        <w:tc>
          <w:tcPr>
            <w:tcW w:w="2126" w:type="dxa"/>
            <w:vAlign w:val="center"/>
          </w:tcPr>
          <w:p w14:paraId="161D5A91"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Municipio=</w:t>
            </w:r>
          </w:p>
          <w:p w14:paraId="7F281DFA"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San Miguel</w:t>
            </w:r>
          </w:p>
        </w:tc>
        <w:tc>
          <w:tcPr>
            <w:tcW w:w="1276" w:type="dxa"/>
            <w:vAlign w:val="center"/>
          </w:tcPr>
          <w:p w14:paraId="4112ED97"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2,1</w:t>
            </w:r>
          </w:p>
        </w:tc>
        <w:tc>
          <w:tcPr>
            <w:tcW w:w="1842" w:type="dxa"/>
            <w:vAlign w:val="center"/>
          </w:tcPr>
          <w:p w14:paraId="0E3197BE"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14</w:t>
            </w:r>
            <w:r w:rsidRPr="00FE5C47">
              <w:rPr>
                <w:rFonts w:ascii="Times New Roman" w:hAnsi="Times New Roman"/>
                <w:color w:val="000000"/>
                <w:sz w:val="18"/>
                <w:szCs w:val="18"/>
                <w:lang w:val="es-ES" w:eastAsia="en-US"/>
              </w:rPr>
              <w:t>= 16,557</w:t>
            </w:r>
          </w:p>
        </w:tc>
        <w:tc>
          <w:tcPr>
            <w:tcW w:w="1505" w:type="dxa"/>
            <w:vAlign w:val="center"/>
          </w:tcPr>
          <w:p w14:paraId="1F971E5B"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0,281</w:t>
            </w:r>
          </w:p>
        </w:tc>
      </w:tr>
      <w:tr w:rsidR="00FE5C47" w:rsidRPr="00FE5C47" w14:paraId="5C884443" w14:textId="77777777" w:rsidTr="001F1911">
        <w:trPr>
          <w:jc w:val="center"/>
        </w:trPr>
        <w:tc>
          <w:tcPr>
            <w:tcW w:w="3681" w:type="dxa"/>
            <w:vAlign w:val="center"/>
          </w:tcPr>
          <w:p w14:paraId="1E571907" w14:textId="77777777" w:rsidR="00FE5C47" w:rsidRPr="00FE5C47" w:rsidRDefault="00FE5C47" w:rsidP="00FE5C47">
            <w:pPr>
              <w:tabs>
                <w:tab w:val="center" w:pos="4017"/>
              </w:tabs>
              <w:autoSpaceDE w:val="0"/>
              <w:autoSpaceDN w:val="0"/>
              <w:adjustRightInd w:val="0"/>
              <w:spacing w:line="360" w:lineRule="auto"/>
              <w:ind w:right="31"/>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S13. Pesimismo, desconfianza que la situación va mejorar.</w:t>
            </w:r>
          </w:p>
        </w:tc>
        <w:tc>
          <w:tcPr>
            <w:tcW w:w="2126" w:type="dxa"/>
            <w:vAlign w:val="center"/>
          </w:tcPr>
          <w:p w14:paraId="0E67EEF2"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Municipio=</w:t>
            </w:r>
          </w:p>
          <w:p w14:paraId="444685BE" w14:textId="77777777" w:rsidR="00FE5C47" w:rsidRPr="00FE5C47" w:rsidRDefault="00FE5C47" w:rsidP="0021738D">
            <w:pPr>
              <w:tabs>
                <w:tab w:val="center" w:pos="4017"/>
              </w:tabs>
              <w:autoSpaceDE w:val="0"/>
              <w:autoSpaceDN w:val="0"/>
              <w:adjustRightInd w:val="0"/>
              <w:spacing w:line="360" w:lineRule="auto"/>
              <w:ind w:right="38"/>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Regla</w:t>
            </w:r>
          </w:p>
        </w:tc>
        <w:tc>
          <w:tcPr>
            <w:tcW w:w="1276" w:type="dxa"/>
            <w:vAlign w:val="center"/>
          </w:tcPr>
          <w:p w14:paraId="60859CF8" w14:textId="77777777" w:rsidR="00FE5C47" w:rsidRPr="00FE5C47" w:rsidRDefault="00FE5C47" w:rsidP="00FE5C47">
            <w:pPr>
              <w:tabs>
                <w:tab w:val="center" w:pos="4017"/>
              </w:tabs>
              <w:autoSpaceDE w:val="0"/>
              <w:autoSpaceDN w:val="0"/>
              <w:adjustRightInd w:val="0"/>
              <w:spacing w:line="360" w:lineRule="auto"/>
              <w:ind w:right="-108"/>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2,4</w:t>
            </w:r>
          </w:p>
        </w:tc>
        <w:tc>
          <w:tcPr>
            <w:tcW w:w="1842" w:type="dxa"/>
            <w:vAlign w:val="center"/>
          </w:tcPr>
          <w:p w14:paraId="00E3B2DC"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ꭕ</w:t>
            </w:r>
            <w:r w:rsidRPr="00FE5C47">
              <w:rPr>
                <w:rFonts w:ascii="Times New Roman" w:hAnsi="Times New Roman"/>
                <w:color w:val="000000"/>
                <w:sz w:val="18"/>
                <w:szCs w:val="18"/>
                <w:vertAlign w:val="superscript"/>
                <w:lang w:val="es-ES" w:eastAsia="en-US"/>
              </w:rPr>
              <w:t>2</w:t>
            </w:r>
            <w:r w:rsidRPr="00FE5C47">
              <w:rPr>
                <w:rFonts w:ascii="Times New Roman" w:hAnsi="Times New Roman"/>
                <w:color w:val="000000"/>
                <w:sz w:val="18"/>
                <w:szCs w:val="18"/>
                <w:vertAlign w:val="subscript"/>
                <w:lang w:val="es-ES" w:eastAsia="en-US"/>
              </w:rPr>
              <w:t>14</w:t>
            </w:r>
            <w:r w:rsidRPr="00FE5C47">
              <w:rPr>
                <w:rFonts w:ascii="Times New Roman" w:hAnsi="Times New Roman"/>
                <w:color w:val="000000"/>
                <w:sz w:val="18"/>
                <w:szCs w:val="18"/>
                <w:lang w:val="es-ES" w:eastAsia="en-US"/>
              </w:rPr>
              <w:t>= 13,224</w:t>
            </w:r>
          </w:p>
        </w:tc>
        <w:tc>
          <w:tcPr>
            <w:tcW w:w="1505" w:type="dxa"/>
            <w:vAlign w:val="center"/>
          </w:tcPr>
          <w:p w14:paraId="3A515074" w14:textId="77777777" w:rsidR="00FE5C47" w:rsidRPr="00FE5C47" w:rsidRDefault="00FE5C47" w:rsidP="00FE5C47">
            <w:pPr>
              <w:tabs>
                <w:tab w:val="center" w:pos="4017"/>
              </w:tabs>
              <w:autoSpaceDE w:val="0"/>
              <w:autoSpaceDN w:val="0"/>
              <w:adjustRightInd w:val="0"/>
              <w:spacing w:line="360" w:lineRule="auto"/>
              <w:jc w:val="center"/>
              <w:rPr>
                <w:rFonts w:ascii="Times New Roman" w:hAnsi="Times New Roman"/>
                <w:color w:val="000000"/>
                <w:sz w:val="18"/>
                <w:szCs w:val="18"/>
                <w:lang w:val="es-ES" w:eastAsia="en-US"/>
              </w:rPr>
            </w:pPr>
            <w:r w:rsidRPr="00FE5C47">
              <w:rPr>
                <w:rFonts w:ascii="Times New Roman" w:hAnsi="Times New Roman"/>
                <w:color w:val="000000"/>
                <w:sz w:val="18"/>
                <w:szCs w:val="18"/>
                <w:lang w:val="es-ES" w:eastAsia="en-US"/>
              </w:rPr>
              <w:t>0,509</w:t>
            </w:r>
          </w:p>
        </w:tc>
      </w:tr>
    </w:tbl>
    <w:p w14:paraId="72AFA6A3" w14:textId="77777777" w:rsidR="00FE5C47" w:rsidRPr="00FE5C47" w:rsidRDefault="00FE5C47" w:rsidP="00FE5C47">
      <w:pPr>
        <w:spacing w:line="360" w:lineRule="auto"/>
        <w:jc w:val="center"/>
        <w:rPr>
          <w:rFonts w:eastAsia="Calibri"/>
          <w:iCs/>
          <w:sz w:val="16"/>
          <w:szCs w:val="16"/>
          <w:lang w:val="es-ES" w:eastAsia="en-US"/>
        </w:rPr>
      </w:pPr>
      <w:r w:rsidRPr="00FE5C47">
        <w:rPr>
          <w:rFonts w:eastAsia="Calibri"/>
          <w:iCs/>
          <w:sz w:val="16"/>
          <w:szCs w:val="16"/>
          <w:lang w:val="es-ES" w:eastAsia="en-US"/>
        </w:rPr>
        <w:t>RC= residuo corregido; SA (b)= significación asintótica (bilateral); RES= relación estadística significativa.</w:t>
      </w:r>
    </w:p>
    <w:p w14:paraId="5798B56C" w14:textId="77777777" w:rsidR="00FE5C47" w:rsidRPr="00FE5C47" w:rsidRDefault="00FE5C47" w:rsidP="00FE5C47">
      <w:pPr>
        <w:spacing w:line="360" w:lineRule="auto"/>
        <w:jc w:val="both"/>
        <w:rPr>
          <w:rFonts w:eastAsia="Calibri"/>
          <w:lang w:val="es-CU" w:eastAsia="en-US"/>
        </w:rPr>
      </w:pPr>
    </w:p>
    <w:p w14:paraId="1874D3F7"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lastRenderedPageBreak/>
        <w:t>En la tabla 4 se observa que existe una significación estadística en los valores de las celdas para los residuos corregidos mayores que 1,96 y significación asintótica bilateral inferior a 0,05 para las variables: sexo= masculino y municipio= Plaza vs. S3 (</w:t>
      </w:r>
      <w:r w:rsidRPr="00FE5C47">
        <w:rPr>
          <w:rFonts w:eastAsia="Calibri"/>
          <w:color w:val="000000"/>
          <w:lang w:val="es-ES" w:eastAsia="en-US"/>
        </w:rPr>
        <w:t>exceso de optimismo por bajas tasas de contagio, medicamentos, vacunas, protocolos…</w:t>
      </w:r>
      <w:r w:rsidRPr="00FE5C47">
        <w:rPr>
          <w:rFonts w:eastAsia="Calibri"/>
          <w:i/>
          <w:color w:val="000000"/>
          <w:lang w:val="es-ES" w:eastAsia="en-US"/>
        </w:rPr>
        <w:t>)</w:t>
      </w:r>
      <w:r w:rsidRPr="00FE5C47">
        <w:rPr>
          <w:rFonts w:eastAsia="Calibri"/>
          <w:color w:val="000000"/>
          <w:lang w:val="es-ES" w:eastAsia="en-US"/>
        </w:rPr>
        <w:t xml:space="preserve">; </w:t>
      </w:r>
      <w:r w:rsidRPr="00FE5C47">
        <w:rPr>
          <w:rFonts w:eastAsia="Calibri"/>
          <w:lang w:val="es-CU" w:eastAsia="en-US"/>
        </w:rPr>
        <w:t>nivel (primario o secundario),  ocupación= ama de casa y edades mayores de 65 años vs. S2 (</w:t>
      </w:r>
      <w:r w:rsidRPr="00FE5C47">
        <w:rPr>
          <w:rFonts w:eastAsia="Calibri"/>
          <w:iCs/>
          <w:lang w:val="es-CU" w:eastAsia="en-US"/>
        </w:rPr>
        <w:t xml:space="preserve">no cree que el uso del </w:t>
      </w:r>
      <w:proofErr w:type="spellStart"/>
      <w:r w:rsidRPr="00FE5C47">
        <w:rPr>
          <w:rFonts w:eastAsia="Calibri"/>
          <w:iCs/>
          <w:lang w:val="es-CU" w:eastAsia="en-US"/>
        </w:rPr>
        <w:t>nasobuco</w:t>
      </w:r>
      <w:proofErr w:type="spellEnd"/>
      <w:r w:rsidRPr="00FE5C47">
        <w:rPr>
          <w:rFonts w:eastAsia="Calibri"/>
          <w:iCs/>
          <w:lang w:val="es-CU" w:eastAsia="en-US"/>
        </w:rPr>
        <w:t>, lavado de las manos o distanciamiento social reduzca contagio</w:t>
      </w:r>
      <w:r w:rsidRPr="00FE5C47">
        <w:rPr>
          <w:rFonts w:eastAsia="Calibri"/>
          <w:lang w:val="es-CU" w:eastAsia="en-US"/>
        </w:rPr>
        <w:t xml:space="preserve">); nivel= primaria y municipio= Plaza vs. S12;  ocupación= estudiante vs. causa 13; ocupación = ama de casa y municipio= Arroyo Naranjo vs. S4 </w:t>
      </w:r>
      <w:r w:rsidRPr="00FE5C47">
        <w:rPr>
          <w:rFonts w:eastAsia="Calibri"/>
          <w:i/>
          <w:lang w:val="es-CU" w:eastAsia="en-US"/>
        </w:rPr>
        <w:t>(</w:t>
      </w:r>
      <w:r w:rsidRPr="00FE5C47">
        <w:rPr>
          <w:rFonts w:eastAsia="Calibri"/>
          <w:iCs/>
          <w:lang w:val="es-CU" w:eastAsia="en-US"/>
        </w:rPr>
        <w:t>aglomeraciones públicas</w:t>
      </w:r>
      <w:r w:rsidRPr="00FE5C47">
        <w:rPr>
          <w:rFonts w:eastAsia="Calibri"/>
          <w:i/>
          <w:lang w:val="es-CU" w:eastAsia="en-US"/>
        </w:rPr>
        <w:t>)</w:t>
      </w:r>
      <w:r w:rsidRPr="00FE5C47">
        <w:rPr>
          <w:rFonts w:eastAsia="Calibri"/>
          <w:iCs/>
          <w:lang w:val="es-CU" w:eastAsia="en-US"/>
        </w:rPr>
        <w:t>;</w:t>
      </w:r>
      <w:r w:rsidRPr="00FE5C47">
        <w:rPr>
          <w:rFonts w:eastAsia="Calibri"/>
          <w:lang w:val="es-CU" w:eastAsia="en-US"/>
        </w:rPr>
        <w:t xml:space="preserve"> municipio= San Miguel del Padrón vs. </w:t>
      </w:r>
      <w:r w:rsidRPr="00FE5C47">
        <w:rPr>
          <w:rFonts w:eastAsia="Calibri"/>
          <w:color w:val="000000"/>
          <w:lang w:val="es-ES" w:eastAsia="en-US"/>
        </w:rPr>
        <w:t xml:space="preserve">S5 </w:t>
      </w:r>
      <w:r w:rsidRPr="00FE5C47">
        <w:rPr>
          <w:rFonts w:eastAsia="Calibri"/>
          <w:lang w:val="es-CU" w:eastAsia="en-US"/>
        </w:rPr>
        <w:t>y Regla vs. S3; edad= 60-65 vs. S6; edad= 36-40 años vs. S9 (</w:t>
      </w:r>
      <w:r w:rsidRPr="00FE5C47">
        <w:rPr>
          <w:rFonts w:eastAsia="Calibri"/>
          <w:iCs/>
          <w:lang w:val="es-CU" w:eastAsia="en-US"/>
        </w:rPr>
        <w:t>falta de control familiar sobre menores y jóvenes</w:t>
      </w:r>
      <w:r w:rsidRPr="00FE5C47">
        <w:rPr>
          <w:rFonts w:eastAsia="Calibri"/>
          <w:lang w:val="es-CU" w:eastAsia="en-US"/>
        </w:rPr>
        <w:t xml:space="preserve">) y edad= 51-55 vs. S14.    </w:t>
      </w:r>
    </w:p>
    <w:p w14:paraId="54F47B81"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Las pruebas de </w:t>
      </w:r>
      <w:r w:rsidRPr="00FE5C47">
        <w:rPr>
          <w:rFonts w:eastAsia="Calibri"/>
          <w:bCs/>
          <w:i/>
          <w:iCs/>
          <w:color w:val="000000"/>
          <w:lang w:val="es-ES" w:eastAsia="en-US"/>
        </w:rPr>
        <w:t>ji</w:t>
      </w:r>
      <w:r w:rsidRPr="00FE5C47">
        <w:rPr>
          <w:rFonts w:eastAsia="Calibri"/>
          <w:lang w:val="es-CU" w:eastAsia="en-US"/>
        </w:rPr>
        <w:t xml:space="preserve"> cuadrado evidencian relaciones estadísticamente significativas, con una significación asintótica (bilateral) inferior a 0,05 entre las variables:  sexo vs. S3 </w:t>
      </w:r>
      <w:r w:rsidRPr="00FE5C47">
        <w:rPr>
          <w:rFonts w:eastAsia="Calibri"/>
          <w:i/>
          <w:lang w:val="es-CU" w:eastAsia="en-US"/>
        </w:rPr>
        <w:t>(</w:t>
      </w:r>
      <w:r w:rsidRPr="00FE5C47">
        <w:rPr>
          <w:rFonts w:eastAsia="Calibri"/>
          <w:iCs/>
          <w:color w:val="000000"/>
          <w:lang w:val="es-ES" w:eastAsia="en-US"/>
        </w:rPr>
        <w:t>exceso de optimismo por bajas tasas de contagio, medicamentos, vacunas, protocolos, sistema de salud…)</w:t>
      </w:r>
      <w:r w:rsidRPr="00FE5C47">
        <w:rPr>
          <w:rFonts w:eastAsia="Calibri"/>
          <w:i/>
          <w:color w:val="000000"/>
          <w:lang w:val="es-ES" w:eastAsia="en-US"/>
        </w:rPr>
        <w:t>;</w:t>
      </w:r>
      <w:r w:rsidRPr="00FE5C47">
        <w:rPr>
          <w:rFonts w:eastAsia="Calibri"/>
          <w:color w:val="000000"/>
          <w:lang w:val="es-ES" w:eastAsia="en-US"/>
        </w:rPr>
        <w:t xml:space="preserve"> nivel educativo, ocupación y edad vs. S2 </w:t>
      </w:r>
      <w:r w:rsidRPr="00FE5C47">
        <w:rPr>
          <w:rFonts w:eastAsia="Calibri"/>
          <w:i/>
          <w:color w:val="000000"/>
          <w:lang w:val="es-ES" w:eastAsia="en-US"/>
        </w:rPr>
        <w:t>(</w:t>
      </w:r>
      <w:r w:rsidRPr="00FE5C47">
        <w:rPr>
          <w:rFonts w:eastAsia="Calibri"/>
          <w:iCs/>
          <w:color w:val="000000"/>
          <w:lang w:val="es-ES" w:eastAsia="en-US"/>
        </w:rPr>
        <w:t xml:space="preserve">no cree que el uso del </w:t>
      </w:r>
      <w:proofErr w:type="spellStart"/>
      <w:r w:rsidRPr="00FE5C47">
        <w:rPr>
          <w:rFonts w:eastAsia="Calibri"/>
          <w:iCs/>
          <w:color w:val="000000"/>
          <w:lang w:val="es-ES" w:eastAsia="en-US"/>
        </w:rPr>
        <w:t>nasobuco</w:t>
      </w:r>
      <w:proofErr w:type="spellEnd"/>
      <w:r w:rsidRPr="00FE5C47">
        <w:rPr>
          <w:rFonts w:eastAsia="Calibri"/>
          <w:iCs/>
          <w:color w:val="000000"/>
          <w:lang w:val="es-ES" w:eastAsia="en-US"/>
        </w:rPr>
        <w:t>, el lavado de las manos o distanciamiento social reduzca el contagio de la COVID-19)</w:t>
      </w:r>
      <w:r w:rsidRPr="00FE5C47">
        <w:rPr>
          <w:rFonts w:eastAsia="Calibri"/>
          <w:color w:val="000000"/>
          <w:lang w:val="es-ES" w:eastAsia="en-US"/>
        </w:rPr>
        <w:t>; Ocupación vs. S4 (</w:t>
      </w:r>
      <w:r w:rsidRPr="00FE5C47">
        <w:rPr>
          <w:rFonts w:eastAsia="Calibri"/>
          <w:iCs/>
          <w:color w:val="000000"/>
          <w:lang w:val="es-ES" w:eastAsia="en-US"/>
        </w:rPr>
        <w:t>aglomeraciones públicas…</w:t>
      </w:r>
      <w:r w:rsidRPr="00FE5C47">
        <w:rPr>
          <w:rFonts w:eastAsia="Calibri"/>
          <w:color w:val="000000"/>
          <w:lang w:val="es-ES" w:eastAsia="en-US"/>
        </w:rPr>
        <w:t>).</w:t>
      </w:r>
    </w:p>
    <w:p w14:paraId="4232D65C"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El 43,5 % (13 411) de las respuestas a 14 de las 32 señaladas por los encuestados están relacionadas con la baja percepción de riesgo de la población habanera en el enfrentamiento a la pandemia.</w:t>
      </w:r>
    </w:p>
    <w:p w14:paraId="335660BD"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Es de significar que 1 479 (73,5 %) de los encuestados le atribuye una alta importancia a la aparición de nuevas variantes y patrones de mutación del virus en el deterioro gradual de la situación epidemiológica de la pandemia en Cuba.</w:t>
      </w:r>
    </w:p>
    <w:p w14:paraId="13C9F9EC" w14:textId="77777777" w:rsidR="00FE5C47" w:rsidRPr="00FE5C47" w:rsidRDefault="00FE5C47" w:rsidP="00FE5C47">
      <w:pPr>
        <w:spacing w:line="360" w:lineRule="auto"/>
        <w:jc w:val="both"/>
        <w:rPr>
          <w:rFonts w:eastAsia="Calibri"/>
          <w:lang w:val="es-CU" w:eastAsia="en-US"/>
        </w:rPr>
      </w:pPr>
    </w:p>
    <w:p w14:paraId="46857C3F" w14:textId="77777777" w:rsidR="00FE5C47" w:rsidRPr="00FE5C47" w:rsidRDefault="00FE5C47" w:rsidP="00FE5C47">
      <w:pPr>
        <w:spacing w:line="360" w:lineRule="auto"/>
        <w:jc w:val="both"/>
        <w:rPr>
          <w:rFonts w:eastAsia="Calibri"/>
          <w:b/>
          <w:lang w:val="es-CU" w:eastAsia="en-US"/>
        </w:rPr>
      </w:pPr>
    </w:p>
    <w:p w14:paraId="09FC487E" w14:textId="77777777" w:rsidR="00FE5C47" w:rsidRPr="00FE5C47" w:rsidRDefault="00FE5C47" w:rsidP="00FE5C47">
      <w:pPr>
        <w:spacing w:line="360" w:lineRule="auto"/>
        <w:jc w:val="center"/>
        <w:rPr>
          <w:rFonts w:eastAsia="Calibri"/>
          <w:sz w:val="32"/>
          <w:szCs w:val="32"/>
          <w:lang w:val="es-CU" w:eastAsia="en-US"/>
        </w:rPr>
      </w:pPr>
      <w:r w:rsidRPr="00FE5C47">
        <w:rPr>
          <w:rFonts w:eastAsia="Calibri"/>
          <w:b/>
          <w:sz w:val="32"/>
          <w:szCs w:val="32"/>
          <w:lang w:val="es-CU" w:eastAsia="en-US"/>
        </w:rPr>
        <w:t>DISCUSIÓN</w:t>
      </w:r>
    </w:p>
    <w:p w14:paraId="2E75C7D1"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Mas del 70 % de los encuestados le atribuye una alta importancia en el deterioro gradual de la situación epidemiológica de la pandemia en La Habana, a la baja percepción de riesgo individual y social, a la aparición de nuevas variantes y patrones de mutación del virus; causas que han contribuido al incremento de la tasa de contagios y los índices de mortalidad en los primeros 6 meses de 2021.</w:t>
      </w:r>
    </w:p>
    <w:p w14:paraId="777F5FAF"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lastRenderedPageBreak/>
        <w:t xml:space="preserve">Cuba ha pasado por las 3 fases de enfrentamiento a la pandemia, con aumento de los casos por día y de los </w:t>
      </w:r>
      <w:proofErr w:type="gramStart"/>
      <w:r w:rsidRPr="00FE5C47">
        <w:rPr>
          <w:rFonts w:eastAsia="Calibri"/>
          <w:lang w:val="es-CU" w:eastAsia="en-US"/>
        </w:rPr>
        <w:t>fallecimientos.</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w:t>
      </w:r>
      <w:r w:rsidRPr="00FE5C47">
        <w:rPr>
          <w:rFonts w:eastAsia="Calibri"/>
          <w:lang w:val="es-CU" w:eastAsia="en-US"/>
        </w:rPr>
        <w:t xml:space="preserve"> Los ciudadanos, luego de haber vivido todas estas etapas, tienen una percepción sobre las presentes causas o motivos del recrudecimiento de la situación epidemiológica en el país.</w:t>
      </w:r>
    </w:p>
    <w:p w14:paraId="6C86B6B4"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Las acciones de comunicación para afrontar una crisis de esta magnitud se inician con la percepción del riesgo y la adopción de medidas para reducir los </w:t>
      </w:r>
      <w:proofErr w:type="gramStart"/>
      <w:r w:rsidRPr="00FE5C47">
        <w:rPr>
          <w:rFonts w:eastAsia="Calibri"/>
          <w:lang w:val="es-CU" w:eastAsia="en-US"/>
        </w:rPr>
        <w:t>riesgos.</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10,12,13)</w:t>
      </w:r>
      <w:r w:rsidRPr="00FE5C47">
        <w:rPr>
          <w:rFonts w:eastAsia="Calibri"/>
          <w:lang w:val="es-CU" w:eastAsia="en-US"/>
        </w:rPr>
        <w:t xml:space="preserve"> </w:t>
      </w:r>
      <w:r w:rsidRPr="00FE5C47">
        <w:rPr>
          <w:rFonts w:eastAsia="Calibri"/>
          <w:i/>
          <w:iCs/>
          <w:lang w:val="es-CU" w:eastAsia="en-US"/>
        </w:rPr>
        <w:t>Medina-Mínguez</w:t>
      </w:r>
      <w:r w:rsidRPr="00FE5C47">
        <w:rPr>
          <w:rFonts w:eastAsia="Calibri"/>
          <w:noProof/>
          <w:vertAlign w:val="superscript"/>
          <w:lang w:val="es-CU" w:eastAsia="en-US"/>
        </w:rPr>
        <w:t xml:space="preserve"> (10)</w:t>
      </w:r>
      <w:r w:rsidRPr="00FE5C47">
        <w:rPr>
          <w:rFonts w:eastAsia="Calibri"/>
          <w:lang w:val="es-CU" w:eastAsia="en-US"/>
        </w:rPr>
        <w:t xml:space="preserve"> cita a </w:t>
      </w:r>
      <w:proofErr w:type="spellStart"/>
      <w:r w:rsidRPr="00FE5C47">
        <w:rPr>
          <w:rFonts w:eastAsia="Calibri"/>
          <w:i/>
          <w:lang w:val="es-CU" w:eastAsia="en-US"/>
        </w:rPr>
        <w:t>Mitroff</w:t>
      </w:r>
      <w:proofErr w:type="spellEnd"/>
      <w:r w:rsidRPr="00FE5C47">
        <w:rPr>
          <w:rFonts w:eastAsia="Calibri"/>
          <w:i/>
          <w:lang w:val="es-CU" w:eastAsia="en-US"/>
        </w:rPr>
        <w:t xml:space="preserve"> </w:t>
      </w:r>
      <w:r w:rsidRPr="00FE5C47">
        <w:rPr>
          <w:rFonts w:eastAsia="Calibri"/>
          <w:iCs/>
          <w:lang w:val="es-CU" w:eastAsia="en-US"/>
        </w:rPr>
        <w:t>y</w:t>
      </w:r>
      <w:r w:rsidRPr="00FE5C47">
        <w:rPr>
          <w:rFonts w:eastAsia="Calibri"/>
          <w:i/>
          <w:lang w:val="es-CU" w:eastAsia="en-US"/>
        </w:rPr>
        <w:t xml:space="preserve"> </w:t>
      </w:r>
      <w:proofErr w:type="spellStart"/>
      <w:r w:rsidRPr="00FE5C47">
        <w:rPr>
          <w:rFonts w:eastAsia="Calibri"/>
          <w:i/>
          <w:lang w:val="es-CU" w:eastAsia="en-US"/>
        </w:rPr>
        <w:t>Pearsons</w:t>
      </w:r>
      <w:proofErr w:type="spellEnd"/>
      <w:r w:rsidRPr="00FE5C47">
        <w:rPr>
          <w:rFonts w:eastAsia="Calibri"/>
          <w:i/>
          <w:lang w:val="es-CU" w:eastAsia="en-US"/>
        </w:rPr>
        <w:t xml:space="preserve"> </w:t>
      </w:r>
      <w:r w:rsidRPr="00FE5C47">
        <w:rPr>
          <w:rFonts w:eastAsia="Calibri"/>
          <w:iCs/>
          <w:lang w:val="es-CU" w:eastAsia="en-US"/>
        </w:rPr>
        <w:t>y</w:t>
      </w:r>
      <w:r w:rsidRPr="00FE5C47">
        <w:rPr>
          <w:rFonts w:eastAsia="Calibri"/>
          <w:lang w:val="es-CU" w:eastAsia="en-US"/>
        </w:rPr>
        <w:t xml:space="preserve"> alega que, si las personas son capaces de percibir el riesgo en situaciones epidemiológicas como la tratada, pueden ser controladas de una manera más fácil. Si se aplica esta afirmación a la situación pandémica actual, no se podría iniciar la gestión de la crisis cuando se diagnostica el primer contagio, sino cuando se percibe el riesgo de que el contagio se </w:t>
      </w:r>
      <w:proofErr w:type="gramStart"/>
      <w:r w:rsidRPr="00FE5C47">
        <w:rPr>
          <w:rFonts w:eastAsia="Calibri"/>
          <w:lang w:val="es-CU" w:eastAsia="en-US"/>
        </w:rPr>
        <w:t>produzca.</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10)</w:t>
      </w:r>
      <w:r w:rsidRPr="00FE5C47">
        <w:rPr>
          <w:rFonts w:eastAsia="Calibri"/>
          <w:lang w:val="es-CU" w:eastAsia="en-US"/>
        </w:rPr>
        <w:t xml:space="preserve"> </w:t>
      </w:r>
    </w:p>
    <w:p w14:paraId="071C1A98" w14:textId="77777777" w:rsidR="00FE5C47" w:rsidRPr="00FE5C47" w:rsidRDefault="00FE5C47" w:rsidP="00FE5C47">
      <w:pPr>
        <w:spacing w:line="360" w:lineRule="auto"/>
        <w:jc w:val="both"/>
        <w:rPr>
          <w:rFonts w:eastAsia="Calibri"/>
          <w:lang w:val="es-CU" w:eastAsia="en-US"/>
        </w:rPr>
      </w:pPr>
      <w:proofErr w:type="spellStart"/>
      <w:r w:rsidRPr="00FE5C47">
        <w:rPr>
          <w:rFonts w:eastAsia="Calibri"/>
          <w:i/>
          <w:iCs/>
          <w:lang w:val="es-CU" w:eastAsia="en-US"/>
        </w:rPr>
        <w:t>Pañellas</w:t>
      </w:r>
      <w:proofErr w:type="spellEnd"/>
      <w:r w:rsidRPr="00FE5C47">
        <w:rPr>
          <w:rFonts w:eastAsia="Calibri"/>
          <w:i/>
          <w:iCs/>
          <w:lang w:val="es-CU" w:eastAsia="en-US"/>
        </w:rPr>
        <w:t xml:space="preserve"> </w:t>
      </w:r>
      <w:r w:rsidRPr="00FE5C47">
        <w:rPr>
          <w:rFonts w:eastAsia="Calibri"/>
          <w:lang w:val="es-CU" w:eastAsia="en-US"/>
        </w:rPr>
        <w:t xml:space="preserve">y </w:t>
      </w:r>
      <w:proofErr w:type="gramStart"/>
      <w:r w:rsidRPr="00FE5C47">
        <w:rPr>
          <w:rFonts w:eastAsia="Calibri"/>
          <w:lang w:val="es-CU" w:eastAsia="en-US"/>
        </w:rPr>
        <w:t>otros,</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14)</w:t>
      </w:r>
      <w:r w:rsidRPr="00FE5C47">
        <w:rPr>
          <w:rFonts w:eastAsia="Calibri"/>
          <w:lang w:val="es-CU" w:eastAsia="en-US"/>
        </w:rPr>
        <w:t xml:space="preserve"> en una encuesta aplicada a 478 cubanos residentes en Cuba y el exterior, hace alusión a dimensiones de tipo social, pero también estatal, este último de vital importancia para la contención de la pandemia.</w:t>
      </w:r>
    </w:p>
    <w:p w14:paraId="5C34EECB" w14:textId="77777777" w:rsidR="00FE5C47" w:rsidRPr="00FE5C47" w:rsidRDefault="00FE5C47" w:rsidP="00FE5C47">
      <w:pPr>
        <w:spacing w:line="360" w:lineRule="auto"/>
        <w:jc w:val="both"/>
        <w:rPr>
          <w:rFonts w:eastAsia="Calibri"/>
          <w:lang w:val="es-CU" w:eastAsia="en-US"/>
        </w:rPr>
      </w:pPr>
      <w:r w:rsidRPr="00FE5C47">
        <w:rPr>
          <w:rFonts w:eastAsia="Calibri"/>
          <w:i/>
          <w:iCs/>
          <w:lang w:val="es-CU" w:eastAsia="en-US"/>
        </w:rPr>
        <w:t>González</w:t>
      </w:r>
      <w:r w:rsidRPr="00FE5C47">
        <w:rPr>
          <w:rFonts w:eastAsia="Calibri"/>
          <w:lang w:val="es-CU" w:eastAsia="en-US"/>
        </w:rPr>
        <w:t xml:space="preserve"> y </w:t>
      </w:r>
      <w:proofErr w:type="gramStart"/>
      <w:r w:rsidRPr="00FE5C47">
        <w:rPr>
          <w:rFonts w:eastAsia="Calibri"/>
          <w:lang w:val="es-CU" w:eastAsia="en-US"/>
        </w:rPr>
        <w:t>otros,</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15)</w:t>
      </w:r>
      <w:r w:rsidRPr="00FE5C47">
        <w:rPr>
          <w:rFonts w:eastAsia="Calibri"/>
          <w:lang w:val="es-CU" w:eastAsia="en-US"/>
        </w:rPr>
        <w:t xml:space="preserve"> en una encuesta aplicada a 242 residentes de un consejo popular del municipio de Manzanillo, de la provincia Granma, demuestran que la percepción de riesgo de la población es inadecuada, motivo expresado como causante del agravamiento de la situación pandémica de ese territorio. </w:t>
      </w:r>
    </w:p>
    <w:p w14:paraId="75B9B6B6"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El cierre operativo de la crisis pandémica se debe llevar a cabo, cuando no exista contagio alguno. En este momento los gobiernos deben adoptar políticas que garanticen este estatus. Es entonces cuando las epidemias derivan en otras crisis colaterales de tipo económico y social, que aumentan el desgaste de los gobiernos. Si no tienen prudencia pueden caer en improvisaciones que cobren la eficacia de una nueva </w:t>
      </w:r>
      <w:proofErr w:type="gramStart"/>
      <w:r w:rsidRPr="00FE5C47">
        <w:rPr>
          <w:rFonts w:eastAsia="Calibri"/>
          <w:lang w:val="es-CU" w:eastAsia="en-US"/>
        </w:rPr>
        <w:t>gestión.</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10)</w:t>
      </w:r>
    </w:p>
    <w:p w14:paraId="70A36391"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Se aprecia, además, que 17 de las 32 posibles causas, están relacionadas con la dimensión estatal, en lo relativo a la acción o inacción estatal para enfrentar la pandemia. </w:t>
      </w:r>
    </w:p>
    <w:p w14:paraId="472FB0D4"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Aunque en bajas proporciones hay otras percepciones interesantes por su connotación, más allá de las cifras.</w:t>
      </w:r>
    </w:p>
    <w:p w14:paraId="0B9F984D" w14:textId="77777777" w:rsidR="00FE5C47" w:rsidRPr="00FE5C47" w:rsidRDefault="00FE5C47" w:rsidP="00FE5C47">
      <w:pPr>
        <w:spacing w:line="360" w:lineRule="auto"/>
        <w:jc w:val="both"/>
        <w:rPr>
          <w:rFonts w:eastAsia="Calibri"/>
          <w:lang w:val="es-CU" w:eastAsia="en-US"/>
        </w:rPr>
      </w:pPr>
    </w:p>
    <w:p w14:paraId="04A268F0" w14:textId="77777777" w:rsidR="00FE5C47" w:rsidRPr="00FE5C47" w:rsidRDefault="00FE5C47" w:rsidP="00FE5C47">
      <w:pPr>
        <w:numPr>
          <w:ilvl w:val="0"/>
          <w:numId w:val="23"/>
        </w:numPr>
        <w:spacing w:after="160" w:line="360" w:lineRule="auto"/>
        <w:ind w:left="709" w:hanging="425"/>
        <w:contextualSpacing/>
        <w:jc w:val="both"/>
        <w:rPr>
          <w:rFonts w:eastAsia="Calibri"/>
          <w:lang w:val="es-CU" w:eastAsia="en-US"/>
        </w:rPr>
      </w:pPr>
      <w:r w:rsidRPr="00FE5C47">
        <w:rPr>
          <w:rFonts w:eastAsia="Calibri"/>
          <w:lang w:val="es-CU" w:eastAsia="en-US"/>
        </w:rPr>
        <w:t>Se reconoce la propagación de informaciones falsas sobre la COVID-19 (134 personas).</w:t>
      </w:r>
    </w:p>
    <w:p w14:paraId="65A0840B" w14:textId="77777777" w:rsidR="00FE5C47" w:rsidRPr="00FE5C47" w:rsidRDefault="00FE5C47" w:rsidP="00FE5C47">
      <w:pPr>
        <w:numPr>
          <w:ilvl w:val="0"/>
          <w:numId w:val="23"/>
        </w:numPr>
        <w:spacing w:after="160" w:line="360" w:lineRule="auto"/>
        <w:ind w:left="709" w:hanging="425"/>
        <w:contextualSpacing/>
        <w:jc w:val="both"/>
        <w:rPr>
          <w:rFonts w:eastAsia="Calibri"/>
          <w:lang w:val="es-CU" w:eastAsia="en-US"/>
        </w:rPr>
      </w:pPr>
      <w:r w:rsidRPr="00FE5C47">
        <w:rPr>
          <w:rFonts w:eastAsia="Calibri"/>
          <w:lang w:val="es-CU" w:eastAsia="en-US"/>
        </w:rPr>
        <w:lastRenderedPageBreak/>
        <w:t>No creen que el uso de la mascarilla, el lavado de las manos o el distanciamiento social reduzca el contagio de la COVID-19 (203 personas).</w:t>
      </w:r>
    </w:p>
    <w:p w14:paraId="59F6976D" w14:textId="77777777" w:rsidR="00FE5C47" w:rsidRPr="00FE5C47" w:rsidRDefault="00FE5C47" w:rsidP="00FE5C47">
      <w:pPr>
        <w:numPr>
          <w:ilvl w:val="0"/>
          <w:numId w:val="23"/>
        </w:numPr>
        <w:spacing w:after="160" w:line="360" w:lineRule="auto"/>
        <w:ind w:left="709" w:hanging="425"/>
        <w:contextualSpacing/>
        <w:jc w:val="both"/>
        <w:rPr>
          <w:rFonts w:eastAsia="Calibri"/>
          <w:lang w:val="es-CU" w:eastAsia="en-US"/>
        </w:rPr>
      </w:pPr>
      <w:r w:rsidRPr="00FE5C47">
        <w:rPr>
          <w:rFonts w:eastAsia="Calibri"/>
          <w:lang w:val="es-CU" w:eastAsia="en-US"/>
        </w:rPr>
        <w:t>Perciben pesimismo y desconfianza en que se pueda vencer al virus (286 personas).</w:t>
      </w:r>
    </w:p>
    <w:p w14:paraId="641C0CFB" w14:textId="77777777" w:rsidR="00FE5C47" w:rsidRPr="00FE5C47" w:rsidRDefault="00FE5C47" w:rsidP="00FE5C47">
      <w:pPr>
        <w:numPr>
          <w:ilvl w:val="0"/>
          <w:numId w:val="23"/>
        </w:numPr>
        <w:spacing w:after="160" w:line="360" w:lineRule="auto"/>
        <w:ind w:left="709" w:hanging="425"/>
        <w:contextualSpacing/>
        <w:jc w:val="both"/>
        <w:rPr>
          <w:rFonts w:eastAsia="Calibri"/>
          <w:lang w:val="es-CU" w:eastAsia="en-US"/>
        </w:rPr>
      </w:pPr>
      <w:r w:rsidRPr="00FE5C47">
        <w:rPr>
          <w:rFonts w:eastAsia="Calibri"/>
          <w:lang w:val="es-CU" w:eastAsia="en-US"/>
        </w:rPr>
        <w:t>Señalan la negativa y resistencia de contagiados a ingresar en los centros de aislamiento, para evitar que otras personas puedan contagiarse (366 personas).</w:t>
      </w:r>
    </w:p>
    <w:p w14:paraId="232AF7F7" w14:textId="77777777" w:rsidR="00FE5C47" w:rsidRPr="00FE5C47" w:rsidRDefault="00FE5C47" w:rsidP="00FE5C47">
      <w:pPr>
        <w:spacing w:line="360" w:lineRule="auto"/>
        <w:jc w:val="both"/>
        <w:rPr>
          <w:rFonts w:eastAsia="Calibri"/>
          <w:lang w:val="es-CU" w:eastAsia="en-US"/>
        </w:rPr>
      </w:pPr>
    </w:p>
    <w:p w14:paraId="42777F18" w14:textId="77777777" w:rsidR="00FE5C47" w:rsidRPr="00FE5C47" w:rsidRDefault="00FE5C47" w:rsidP="00FE5C47">
      <w:pPr>
        <w:spacing w:line="360" w:lineRule="auto"/>
        <w:jc w:val="both"/>
        <w:rPr>
          <w:rFonts w:eastAsia="Calibri"/>
          <w:b/>
          <w:lang w:val="es-CU" w:eastAsia="en-US"/>
        </w:rPr>
      </w:pPr>
      <w:r w:rsidRPr="00FE5C47">
        <w:rPr>
          <w:rFonts w:eastAsia="Calibri"/>
          <w:lang w:val="es-CU" w:eastAsia="en-US"/>
        </w:rPr>
        <w:t>Es de significar que las percepciones de la población sugieren determinados sesgos cognitivos de los participantes, al establecer valoraciones sobre argumentos espurios o poco fundamentados sobre la capacidad de reproducción y contagio de la COVID-</w:t>
      </w:r>
      <w:proofErr w:type="gramStart"/>
      <w:r w:rsidRPr="00FE5C47">
        <w:rPr>
          <w:rFonts w:eastAsia="Calibri"/>
          <w:lang w:val="es-CU" w:eastAsia="en-US"/>
        </w:rPr>
        <w:t>19</w:t>
      </w:r>
      <w:r w:rsidRPr="00FE5C47">
        <w:rPr>
          <w:rFonts w:eastAsia="Calibri"/>
          <w:bCs/>
          <w:lang w:val="es-CU" w:eastAsia="en-US"/>
        </w:rPr>
        <w:t>.</w:t>
      </w:r>
      <w:r w:rsidRPr="00FE5C47">
        <w:rPr>
          <w:rFonts w:eastAsia="Calibri"/>
          <w:noProof/>
          <w:vertAlign w:val="superscript"/>
          <w:lang w:val="es-CU" w:eastAsia="en-US"/>
        </w:rPr>
        <w:t>(</w:t>
      </w:r>
      <w:proofErr w:type="gramEnd"/>
      <w:r w:rsidRPr="00FE5C47">
        <w:rPr>
          <w:rFonts w:eastAsia="Calibri"/>
          <w:noProof/>
          <w:vertAlign w:val="superscript"/>
          <w:lang w:val="es-CU" w:eastAsia="en-US"/>
        </w:rPr>
        <w:t>16)</w:t>
      </w:r>
    </w:p>
    <w:p w14:paraId="7D5396AE"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Desde la percepción de la población se evidencia que no es posible atribuir la compleja situación epidemiológica que atraviesa La Habana, debido a la pandemia de la COVID-19, solamente a la consecuencia de la baja percepción de riesgo de la sociedad, ya que es un fenómeno multicausal en el cual subyacen numerosas causas atribuidas a la acción o inacción estatal y al comportamiento social.</w:t>
      </w:r>
    </w:p>
    <w:p w14:paraId="0AC87EAF" w14:textId="77777777" w:rsidR="00FE5C47" w:rsidRPr="00FE5C47" w:rsidRDefault="00FE5C47" w:rsidP="00FE5C47">
      <w:pPr>
        <w:spacing w:line="360" w:lineRule="auto"/>
        <w:jc w:val="both"/>
        <w:rPr>
          <w:rFonts w:eastAsia="Calibri"/>
          <w:b/>
          <w:lang w:val="es-CU" w:eastAsia="en-US"/>
        </w:rPr>
      </w:pPr>
    </w:p>
    <w:p w14:paraId="48B0C196" w14:textId="77777777" w:rsidR="00FE5C47" w:rsidRPr="00FE5C47" w:rsidRDefault="00FE5C47" w:rsidP="00FE5C47">
      <w:pPr>
        <w:spacing w:line="360" w:lineRule="auto"/>
        <w:jc w:val="both"/>
        <w:rPr>
          <w:rFonts w:eastAsia="Calibri"/>
          <w:b/>
          <w:lang w:val="es-CU" w:eastAsia="en-US"/>
        </w:rPr>
      </w:pPr>
    </w:p>
    <w:p w14:paraId="3FFF724E" w14:textId="77777777" w:rsidR="00FE5C47" w:rsidRPr="00FE5C47" w:rsidRDefault="00FE5C47" w:rsidP="00FE5C47">
      <w:pPr>
        <w:spacing w:line="360" w:lineRule="auto"/>
        <w:jc w:val="center"/>
        <w:rPr>
          <w:rFonts w:eastAsia="Calibri"/>
          <w:b/>
          <w:sz w:val="32"/>
          <w:szCs w:val="32"/>
          <w:lang w:val="es-CU" w:eastAsia="en-US"/>
        </w:rPr>
      </w:pPr>
      <w:r w:rsidRPr="00FE5C47">
        <w:rPr>
          <w:rFonts w:eastAsia="Calibri"/>
          <w:b/>
          <w:sz w:val="32"/>
          <w:szCs w:val="32"/>
          <w:lang w:val="es-CU" w:eastAsia="en-US"/>
        </w:rPr>
        <w:t>REFERENCIAS BIBLIOGRÁFICAS</w:t>
      </w:r>
    </w:p>
    <w:p w14:paraId="45D0F9DF"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 xml:space="preserve">1. MINSAP-Cuba. Sitio Oficial del Ministerio de Salud Pública- Categoría COVID-19. La Habana: Ministerio de Salud Pública- Cuba; 2021 [actualizado: 11/07/2021; acceso:  10/07/2021]. Disponible en: </w:t>
      </w:r>
      <w:hyperlink r:id="rId15" w:history="1">
        <w:r w:rsidRPr="00FE5C47">
          <w:rPr>
            <w:rFonts w:eastAsia="Calibri"/>
            <w:noProof/>
            <w:color w:val="0563C1"/>
            <w:u w:val="single"/>
            <w:lang w:val="es-CU" w:eastAsia="en-US"/>
          </w:rPr>
          <w:t>https://salud.msp.gob.cu/category/COVID-19/</w:t>
        </w:r>
      </w:hyperlink>
      <w:r w:rsidRPr="00FE5C47">
        <w:rPr>
          <w:rFonts w:eastAsia="Calibri"/>
          <w:noProof/>
          <w:lang w:val="es-CU" w:eastAsia="en-US"/>
        </w:rPr>
        <w:t xml:space="preserve">  </w:t>
      </w:r>
    </w:p>
    <w:p w14:paraId="7D0EAA30"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 xml:space="preserve">2. Castellanos V. Estudio de la opinión pública acerca de la crisis del coronavirus: opiniones recogidas entre el 13 y el 15 de marzo de 2020.  España: IPSOS, Global Wave 4; 2020. [acceso:  10/07/2021]. Disponible en: </w:t>
      </w:r>
      <w:hyperlink r:id="rId16" w:history="1">
        <w:r w:rsidRPr="00FE5C47">
          <w:rPr>
            <w:rFonts w:eastAsia="Calibri"/>
            <w:noProof/>
            <w:color w:val="0563C1"/>
            <w:u w:val="single"/>
            <w:lang w:val="es-CU" w:eastAsia="en-US"/>
          </w:rPr>
          <w:t>https://www.ipsos.com/sites/default/files/ct/news/documents/2020-03/estudio_de_la_opinion_publica_sobre_la_crisis_del_coronavirus.pdf</w:t>
        </w:r>
      </w:hyperlink>
      <w:r w:rsidRPr="00FE5C47">
        <w:rPr>
          <w:rFonts w:eastAsia="Calibri"/>
          <w:noProof/>
          <w:lang w:val="es-CU" w:eastAsia="en-US"/>
        </w:rPr>
        <w:t xml:space="preserve"> </w:t>
      </w:r>
    </w:p>
    <w:p w14:paraId="36A3ECE6"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 xml:space="preserve">3. Cuadra-Martínez D, Castro-Carrasco PJ, Sandoval-Díaz J, Pérez-Zapata D, Mora Dabancens D. COVID-19 y comportamiento psicológico: revisión sistemática de los efectos psicológicos de las pandemias del siglo XXI. Rev Méd Chile. 2020 [acceso: 10/07/2021]; 148(8): [aprox. 16 pp.]. Disponible en: </w:t>
      </w:r>
      <w:hyperlink r:id="rId17" w:history="1">
        <w:r w:rsidRPr="00FE5C47">
          <w:rPr>
            <w:rFonts w:eastAsia="Calibri"/>
            <w:noProof/>
            <w:color w:val="0563C1"/>
            <w:u w:val="single"/>
            <w:lang w:val="es-CU" w:eastAsia="en-US"/>
          </w:rPr>
          <w:t>https://scielo.conicyt.cl/scielo.php?pid=S0034-98872020000801139&amp;script=sci_arttext</w:t>
        </w:r>
      </w:hyperlink>
      <w:r w:rsidRPr="00FE5C47">
        <w:rPr>
          <w:rFonts w:eastAsia="Calibri"/>
          <w:noProof/>
          <w:lang w:val="es-CU" w:eastAsia="en-US"/>
        </w:rPr>
        <w:t xml:space="preserve">  </w:t>
      </w:r>
    </w:p>
    <w:p w14:paraId="49C3F7F7"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lastRenderedPageBreak/>
        <w:t xml:space="preserve">4. Stanojlovic M. Percepción social de riesgo: una mirada general y aplicación a la comunicación de salud. Revista de Comunicación y Salud: RCyS. 2015 [acceso: 11/07/2021]; 5(1): [aprox. 12 pp.] Disponible en: </w:t>
      </w:r>
      <w:hyperlink r:id="rId18" w:history="1">
        <w:r w:rsidRPr="00FE5C47">
          <w:rPr>
            <w:rFonts w:eastAsia="Calibri"/>
            <w:noProof/>
            <w:color w:val="0563C1"/>
            <w:u w:val="single"/>
            <w:lang w:val="es-CU" w:eastAsia="en-US"/>
          </w:rPr>
          <w:t>https://dialnet.unirioja.es/servlet/articulo?codigo=5353616</w:t>
        </w:r>
      </w:hyperlink>
      <w:r w:rsidRPr="00FE5C47">
        <w:rPr>
          <w:rFonts w:eastAsia="Calibri"/>
          <w:noProof/>
          <w:lang w:val="es-CU" w:eastAsia="en-US"/>
        </w:rPr>
        <w:t xml:space="preserve">  </w:t>
      </w:r>
    </w:p>
    <w:p w14:paraId="7E0C9259" w14:textId="77777777" w:rsidR="00FE5C47" w:rsidRPr="00FE5C47" w:rsidRDefault="00FE5C47" w:rsidP="00FE5C47">
      <w:pPr>
        <w:spacing w:line="360" w:lineRule="auto"/>
        <w:rPr>
          <w:rFonts w:eastAsia="Calibri"/>
          <w:noProof/>
          <w:lang w:val="es-CU" w:eastAsia="en-US"/>
        </w:rPr>
      </w:pPr>
      <w:r w:rsidRPr="00FE5C47">
        <w:rPr>
          <w:rFonts w:eastAsia="Calibri"/>
          <w:noProof/>
          <w:lang w:val="en-US" w:eastAsia="en-US"/>
        </w:rPr>
        <w:t xml:space="preserve">5. Slovic P, Peters E. Risk perception and affect. Current directions in psychological science. </w:t>
      </w:r>
      <w:r w:rsidRPr="00FE5C47">
        <w:rPr>
          <w:rFonts w:eastAsia="Calibri"/>
          <w:noProof/>
          <w:lang w:val="es-CU" w:eastAsia="en-US"/>
        </w:rPr>
        <w:t xml:space="preserve">2006 [acceso: 11/07/2021]; 15(6): [aprox. 4 pp.]. Disponible en: </w:t>
      </w:r>
      <w:hyperlink r:id="rId19" w:history="1">
        <w:r w:rsidRPr="00FE5C47">
          <w:rPr>
            <w:rFonts w:eastAsia="Calibri"/>
            <w:noProof/>
            <w:color w:val="0563C1"/>
            <w:u w:val="single"/>
            <w:lang w:val="es-CU" w:eastAsia="en-US"/>
          </w:rPr>
          <w:t>https://doi.org/10.1111/j.1467-8721.2006.00461.x</w:t>
        </w:r>
      </w:hyperlink>
      <w:r w:rsidRPr="00FE5C47">
        <w:rPr>
          <w:rFonts w:eastAsia="Calibri"/>
          <w:noProof/>
          <w:lang w:val="es-CU" w:eastAsia="en-US"/>
        </w:rPr>
        <w:t xml:space="preserve">  </w:t>
      </w:r>
    </w:p>
    <w:p w14:paraId="43575572"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 xml:space="preserve">6. Pell del Río SM, Valdés Santiago D, Gil Rodríguez AL, Amador Romero FJ, Cairo Pell KS, Paneque Quevedo AA, et al. Percepción de riesgo durante el confinamiento por COVID-19 en una muestra cubana: resultados preliminares. Anales de la Academia de Ciencias de Cuba. 2021 [acceso: 11/07/2021]; 11(1): [aprox. 9 pp.]. Disponible en: </w:t>
      </w:r>
      <w:hyperlink r:id="rId20" w:history="1">
        <w:r w:rsidRPr="00FE5C47">
          <w:rPr>
            <w:rFonts w:eastAsia="Calibri"/>
            <w:noProof/>
            <w:color w:val="0563C1"/>
            <w:u w:val="single"/>
            <w:lang w:val="es-CU" w:eastAsia="en-US"/>
          </w:rPr>
          <w:t>http://www.revistaccuba.sld.cu/index.php/revacc/article/view/912</w:t>
        </w:r>
      </w:hyperlink>
      <w:r w:rsidRPr="00FE5C47">
        <w:rPr>
          <w:rFonts w:eastAsia="Calibri"/>
          <w:noProof/>
          <w:lang w:val="es-CU" w:eastAsia="en-US"/>
        </w:rPr>
        <w:t xml:space="preserve">  </w:t>
      </w:r>
    </w:p>
    <w:p w14:paraId="0875CCA9"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 xml:space="preserve">7. Casales JC. Percepción de riesgo durante la COVID-19: una mirada desde la psicología social. Revista Cubana de Psicología. 2020 [acceso: 10/07/2021]; 2(2): [aprox. 9 pp.] Disponible en: </w:t>
      </w:r>
      <w:hyperlink r:id="rId21" w:history="1">
        <w:r w:rsidRPr="00FE5C47">
          <w:rPr>
            <w:rFonts w:eastAsia="Calibri"/>
            <w:noProof/>
            <w:color w:val="0563C1"/>
            <w:u w:val="single"/>
            <w:lang w:val="es-CU" w:eastAsia="en-US"/>
          </w:rPr>
          <w:t>http://www.psicocuba.uh.cu/index.php/PsicoCuba/article/view/24</w:t>
        </w:r>
      </w:hyperlink>
      <w:r w:rsidRPr="00FE5C47">
        <w:rPr>
          <w:rFonts w:eastAsia="Calibri"/>
          <w:noProof/>
          <w:lang w:val="es-CU" w:eastAsia="en-US"/>
        </w:rPr>
        <w:t xml:space="preserve">  </w:t>
      </w:r>
    </w:p>
    <w:p w14:paraId="2A39257F" w14:textId="77777777" w:rsidR="00FE5C47" w:rsidRPr="00FE5C47" w:rsidRDefault="00FE5C47" w:rsidP="00FE5C47">
      <w:pPr>
        <w:spacing w:line="360" w:lineRule="auto"/>
        <w:rPr>
          <w:rFonts w:eastAsia="Calibri"/>
          <w:noProof/>
          <w:lang w:val="en-US" w:eastAsia="en-US"/>
        </w:rPr>
      </w:pPr>
      <w:r w:rsidRPr="00FE5C47">
        <w:rPr>
          <w:rFonts w:eastAsia="Calibri"/>
          <w:noProof/>
          <w:lang w:val="en-US" w:eastAsia="en-US"/>
        </w:rPr>
        <w:t xml:space="preserve">8. Chauvin B, Hermand D, Mullet E. New Age Beliefs and Societal Risk Perception 1. Journal of Applied Social Psychology. 2008 [acceso: 11/07/2021]; 38(8): 2056-71. Disponible en: </w:t>
      </w:r>
      <w:hyperlink r:id="rId22" w:history="1">
        <w:r w:rsidRPr="00FE5C47">
          <w:rPr>
            <w:rFonts w:eastAsia="Calibri"/>
            <w:noProof/>
            <w:color w:val="0563C1"/>
            <w:u w:val="single"/>
            <w:lang w:val="en-US" w:eastAsia="en-US"/>
          </w:rPr>
          <w:t>https://doi.org/10.1111/j.1559-1816.2008.00380.x</w:t>
        </w:r>
      </w:hyperlink>
      <w:r w:rsidRPr="00FE5C47">
        <w:rPr>
          <w:rFonts w:eastAsia="Calibri"/>
          <w:noProof/>
          <w:lang w:val="en-US" w:eastAsia="en-US"/>
        </w:rPr>
        <w:t xml:space="preserve">  </w:t>
      </w:r>
    </w:p>
    <w:p w14:paraId="6D603228"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9.  Matute Greño HM. Nuestra mente nos engaña: sesgos y errores cognitivos que todos cometemos. Shackleton books S.L.; 2019.</w:t>
      </w:r>
    </w:p>
    <w:p w14:paraId="1E710B24"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 xml:space="preserve">10. Medina Mínguez R. COVID-19: La no percepción del riesgo. Más Poder Local. 2020 [acceso: 11/08/2021]; (41): 34-5. Disponible en: </w:t>
      </w:r>
      <w:hyperlink r:id="rId23" w:history="1">
        <w:r w:rsidRPr="00FE5C47">
          <w:rPr>
            <w:rFonts w:eastAsia="Calibri"/>
            <w:noProof/>
            <w:color w:val="0563C1"/>
            <w:u w:val="single"/>
            <w:lang w:val="es-CU" w:eastAsia="en-US"/>
          </w:rPr>
          <w:t>https://dialnet.unirioja.es/descarga/articulo/7407219.pdf</w:t>
        </w:r>
      </w:hyperlink>
      <w:r w:rsidRPr="00FE5C47">
        <w:rPr>
          <w:rFonts w:eastAsia="Calibri"/>
          <w:noProof/>
          <w:lang w:val="es-CU" w:eastAsia="en-US"/>
        </w:rPr>
        <w:t xml:space="preserve">  </w:t>
      </w:r>
    </w:p>
    <w:p w14:paraId="71C5190D" w14:textId="77777777" w:rsidR="00FE5C47" w:rsidRPr="00FE5C47" w:rsidRDefault="00FE5C47" w:rsidP="00FE5C47">
      <w:pPr>
        <w:spacing w:line="360" w:lineRule="auto"/>
        <w:rPr>
          <w:rFonts w:eastAsia="Calibri"/>
          <w:noProof/>
          <w:lang w:val="en-US" w:eastAsia="en-US"/>
        </w:rPr>
      </w:pPr>
      <w:r w:rsidRPr="00FE5C47">
        <w:rPr>
          <w:rFonts w:eastAsia="Calibri"/>
          <w:noProof/>
          <w:lang w:val="es-CU" w:eastAsia="en-US"/>
        </w:rPr>
        <w:t xml:space="preserve">11. Chaple-Gil AM, Herrera-Maso R. Base de datos- Población y percepción de riesgo y causas de la situación de la Pandemia de la COVID-19 en La Habana, Cuba. </w:t>
      </w:r>
      <w:r w:rsidRPr="00FE5C47">
        <w:rPr>
          <w:rFonts w:eastAsia="Calibri"/>
          <w:noProof/>
          <w:lang w:val="en-US" w:eastAsia="en-US"/>
        </w:rPr>
        <w:t xml:space="preserve">[Dataset] 2021. Zenodo. Disponible en: </w:t>
      </w:r>
      <w:hyperlink r:id="rId24" w:history="1">
        <w:r w:rsidRPr="00FE5C47">
          <w:rPr>
            <w:rFonts w:eastAsia="Calibri"/>
            <w:noProof/>
            <w:color w:val="0563C1"/>
            <w:u w:val="single"/>
            <w:lang w:val="en-US" w:eastAsia="en-US"/>
          </w:rPr>
          <w:t>http://doi.org/10.5281/zenodo.5039407</w:t>
        </w:r>
      </w:hyperlink>
      <w:r w:rsidRPr="00FE5C47">
        <w:rPr>
          <w:rFonts w:eastAsia="Calibri"/>
          <w:noProof/>
          <w:lang w:val="en-US" w:eastAsia="en-US"/>
        </w:rPr>
        <w:t xml:space="preserve">  </w:t>
      </w:r>
    </w:p>
    <w:p w14:paraId="315EF1AC" w14:textId="77777777" w:rsidR="00FE5C47" w:rsidRPr="00FE5C47" w:rsidRDefault="00FE5C47" w:rsidP="00FE5C47">
      <w:pPr>
        <w:spacing w:line="360" w:lineRule="auto"/>
        <w:rPr>
          <w:rFonts w:eastAsia="Calibri"/>
          <w:noProof/>
          <w:lang w:val="es-CU" w:eastAsia="en-US"/>
        </w:rPr>
      </w:pPr>
      <w:r w:rsidRPr="00FE5C47">
        <w:rPr>
          <w:rFonts w:eastAsia="Calibri"/>
          <w:noProof/>
          <w:lang w:val="en-US" w:eastAsia="en-US"/>
        </w:rPr>
        <w:t xml:space="preserve">12. Abbasi-Kangevari M, Kolahi AA, Ghamari SH, Hassanian-Moghaddam H. Public knowledge, attitudes, and practices related to COVID-19 in Iran: Questionnaire study. </w:t>
      </w:r>
      <w:r w:rsidRPr="00FE5C47">
        <w:rPr>
          <w:rFonts w:eastAsia="Calibri"/>
          <w:noProof/>
          <w:lang w:val="es-CU" w:eastAsia="en-US"/>
        </w:rPr>
        <w:t xml:space="preserve">JMIR Publ Heal Surveil. 2021 [acceso: 11/08/2021]; 7(2): [aprox. 14 pp.]. Disponible en: </w:t>
      </w:r>
      <w:hyperlink r:id="rId25" w:history="1">
        <w:r w:rsidRPr="00FE5C47">
          <w:rPr>
            <w:rFonts w:eastAsia="Calibri"/>
            <w:noProof/>
            <w:color w:val="0563C1"/>
            <w:u w:val="single"/>
            <w:lang w:val="es-CU" w:eastAsia="en-US"/>
          </w:rPr>
          <w:t>https://www.scopus.com/inward/record.uri?eid=2-s2.0-85101865180&amp;doi=10.2196%2f21415&amp;partnerID=40&amp;md5=cf9e4a1b478d04235e31b52007fc1fe0</w:t>
        </w:r>
      </w:hyperlink>
      <w:r w:rsidRPr="00FE5C47">
        <w:rPr>
          <w:rFonts w:eastAsia="Calibri"/>
          <w:noProof/>
          <w:lang w:val="es-CU" w:eastAsia="en-US"/>
        </w:rPr>
        <w:t xml:space="preserve">  </w:t>
      </w:r>
    </w:p>
    <w:p w14:paraId="226A2755" w14:textId="77777777" w:rsidR="00FE5C47" w:rsidRPr="00FE5C47" w:rsidRDefault="00FE5C47" w:rsidP="00FE5C47">
      <w:pPr>
        <w:spacing w:line="360" w:lineRule="auto"/>
        <w:rPr>
          <w:rFonts w:eastAsia="Calibri"/>
          <w:noProof/>
          <w:lang w:val="es-CU" w:eastAsia="en-US"/>
        </w:rPr>
      </w:pPr>
      <w:r w:rsidRPr="00FE5C47">
        <w:rPr>
          <w:rFonts w:eastAsia="Calibri"/>
          <w:noProof/>
          <w:lang w:val="en-US" w:eastAsia="en-US"/>
        </w:rPr>
        <w:t xml:space="preserve">13. Elharake JA, Shafiq M, McFadden SM, Malik AA, Omer SB. The Association of COVID-19 Risk Perception, County Death Rates, and Voluntary Health Behaviors among U.S. Adult Population. </w:t>
      </w:r>
      <w:r w:rsidRPr="00FE5C47">
        <w:rPr>
          <w:rFonts w:eastAsia="Calibri"/>
          <w:noProof/>
          <w:lang w:val="es-CU" w:eastAsia="en-US"/>
        </w:rPr>
        <w:t>J Infect Dis. 2021; 2021: jiab131. DOI: 10.1093/infdis/jiab131</w:t>
      </w:r>
    </w:p>
    <w:p w14:paraId="5D73A52B"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 xml:space="preserve">14. Pañellas Álvarez D, Arango Rodríguez L, Díaz Álvarez C, Capote Santana NT. COVID 19: Percepciones de cubanos residentes en Cuba y en el exterior. Revista Novedades en Población. 2020 [acceso: 10/07/2021]; 16(32): [aprox. 24 pp.]. Disponible en: </w:t>
      </w:r>
      <w:hyperlink r:id="rId26" w:history="1">
        <w:r w:rsidRPr="00FE5C47">
          <w:rPr>
            <w:rFonts w:eastAsia="Calibri"/>
            <w:noProof/>
            <w:color w:val="0563C1"/>
            <w:u w:val="single"/>
            <w:lang w:val="es-CU" w:eastAsia="en-US"/>
          </w:rPr>
          <w:t>http://scielo.sld.cu/scielo.php?script=sci_arttext&amp;pid=S1817-40782020000200407</w:t>
        </w:r>
      </w:hyperlink>
      <w:r w:rsidRPr="00FE5C47">
        <w:rPr>
          <w:rFonts w:eastAsia="Calibri"/>
          <w:noProof/>
          <w:lang w:val="es-CU" w:eastAsia="en-US"/>
        </w:rPr>
        <w:t xml:space="preserve">  </w:t>
      </w:r>
    </w:p>
    <w:p w14:paraId="389452CA"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 xml:space="preserve">15. González Gacel JF, Soler Sánchez YM, Pérez Rosabal E, González Sábado RI, Pons Delgado SV. Percepción de riesgo ante la COVID-19 en pobladores del municipio Manzanillo. Multimed. 2021 [acceso: 10/07/2021]; 25(1): [aprox. 12 pp.]. Disponible en: </w:t>
      </w:r>
      <w:hyperlink r:id="rId27" w:history="1">
        <w:r w:rsidRPr="00FE5C47">
          <w:rPr>
            <w:rFonts w:eastAsia="Calibri"/>
            <w:noProof/>
            <w:color w:val="0563C1"/>
            <w:u w:val="single"/>
            <w:lang w:val="es-CU" w:eastAsia="en-US"/>
          </w:rPr>
          <w:t>http://scielo.sld.cu/scielo.php?script=sci_arttext&amp;pid=S1028-48182021000100003</w:t>
        </w:r>
      </w:hyperlink>
      <w:r w:rsidRPr="00FE5C47">
        <w:rPr>
          <w:rFonts w:eastAsia="Calibri"/>
          <w:noProof/>
          <w:lang w:val="es-CU" w:eastAsia="en-US"/>
        </w:rPr>
        <w:t xml:space="preserve">  </w:t>
      </w:r>
    </w:p>
    <w:p w14:paraId="2D38E600" w14:textId="77777777" w:rsidR="00FE5C47" w:rsidRPr="00FE5C47" w:rsidRDefault="00FE5C47" w:rsidP="00FE5C47">
      <w:pPr>
        <w:spacing w:line="360" w:lineRule="auto"/>
        <w:rPr>
          <w:rFonts w:eastAsia="Calibri"/>
          <w:noProof/>
          <w:lang w:val="es-CU" w:eastAsia="en-US"/>
        </w:rPr>
      </w:pPr>
      <w:r w:rsidRPr="00FE5C47">
        <w:rPr>
          <w:rFonts w:eastAsia="Calibri"/>
          <w:noProof/>
          <w:lang w:val="es-CU" w:eastAsia="en-US"/>
        </w:rPr>
        <w:t xml:space="preserve">16. Moreno Proaño G. Pensamientos distorsionados y ansiedad generalizada en COVID-19. CienciAmérica: Revista de divulgación científica de la Universidad Tecnológica Indoamérica. 2020 [acceso: 07/07/2021]; 9(2):251-5. Disponible en: </w:t>
      </w:r>
      <w:hyperlink r:id="rId28" w:history="1">
        <w:r w:rsidRPr="00FE5C47">
          <w:rPr>
            <w:rFonts w:eastAsia="Calibri"/>
            <w:noProof/>
            <w:color w:val="0563C1"/>
            <w:u w:val="single"/>
            <w:lang w:val="es-CU" w:eastAsia="en-US"/>
          </w:rPr>
          <w:t>http://cienciamerica.uti.edu.ec/openjournal/index.php/uti/article/view/314</w:t>
        </w:r>
      </w:hyperlink>
      <w:r w:rsidRPr="00FE5C47">
        <w:rPr>
          <w:rFonts w:eastAsia="Calibri"/>
          <w:noProof/>
          <w:lang w:val="es-CU" w:eastAsia="en-US"/>
        </w:rPr>
        <w:t xml:space="preserve">   </w:t>
      </w:r>
    </w:p>
    <w:p w14:paraId="7ADC66F0" w14:textId="77777777" w:rsidR="00FE5C47" w:rsidRPr="00FE5C47" w:rsidRDefault="00FE5C47" w:rsidP="00FE5C47">
      <w:pPr>
        <w:spacing w:line="360" w:lineRule="auto"/>
        <w:jc w:val="both"/>
        <w:rPr>
          <w:rFonts w:eastAsia="Calibri"/>
          <w:i/>
          <w:lang w:val="es-CU" w:eastAsia="en-US"/>
        </w:rPr>
      </w:pPr>
    </w:p>
    <w:p w14:paraId="7465F654" w14:textId="77777777" w:rsidR="00FE5C47" w:rsidRPr="00FE5C47" w:rsidRDefault="00FE5C47" w:rsidP="00FE5C47">
      <w:pPr>
        <w:spacing w:line="360" w:lineRule="auto"/>
        <w:jc w:val="both"/>
        <w:rPr>
          <w:rFonts w:eastAsia="Calibri"/>
          <w:b/>
          <w:bCs/>
          <w:lang w:val="es-CU" w:eastAsia="en-US"/>
        </w:rPr>
      </w:pPr>
    </w:p>
    <w:p w14:paraId="06A7D926" w14:textId="77777777" w:rsidR="00FE5C47" w:rsidRPr="00FE5C47" w:rsidRDefault="00FE5C47" w:rsidP="00FE5C47">
      <w:pPr>
        <w:spacing w:line="360" w:lineRule="auto"/>
        <w:jc w:val="center"/>
        <w:rPr>
          <w:rFonts w:eastAsia="Calibri"/>
          <w:b/>
          <w:bCs/>
          <w:lang w:val="es-CU" w:eastAsia="en-US"/>
        </w:rPr>
      </w:pPr>
      <w:r w:rsidRPr="00FE5C47">
        <w:rPr>
          <w:rFonts w:eastAsia="Calibri"/>
          <w:b/>
          <w:bCs/>
          <w:lang w:val="es-CU" w:eastAsia="en-US"/>
        </w:rPr>
        <w:t>Conflicto de intereses</w:t>
      </w:r>
    </w:p>
    <w:p w14:paraId="7042382E" w14:textId="77777777" w:rsidR="00FE5C47" w:rsidRPr="00FE5C47" w:rsidRDefault="00FE5C47" w:rsidP="00FE5C47">
      <w:pPr>
        <w:spacing w:line="360" w:lineRule="auto"/>
        <w:jc w:val="both"/>
        <w:rPr>
          <w:rFonts w:eastAsia="Calibri"/>
          <w:lang w:val="es-CU" w:eastAsia="en-US"/>
        </w:rPr>
      </w:pPr>
      <w:r w:rsidRPr="00FE5C47">
        <w:rPr>
          <w:rFonts w:eastAsia="Calibri"/>
          <w:lang w:val="es-CU" w:eastAsia="en-US"/>
        </w:rPr>
        <w:t xml:space="preserve">Los autores declaran no tener ningún conflicto de intereses. Esta investigación no contó con el apoyo financiero de ninguna institución; se desarrolló con los recursos propios de los autores. </w:t>
      </w:r>
    </w:p>
    <w:p w14:paraId="37723173" w14:textId="77777777" w:rsidR="00FE5C47" w:rsidRPr="00FE5C47" w:rsidRDefault="00FE5C47" w:rsidP="00FE5C47">
      <w:pPr>
        <w:spacing w:line="360" w:lineRule="auto"/>
        <w:jc w:val="both"/>
        <w:rPr>
          <w:rFonts w:eastAsia="Calibri"/>
          <w:lang w:val="es-CU" w:eastAsia="en-US"/>
        </w:rPr>
      </w:pPr>
    </w:p>
    <w:p w14:paraId="32DFE29E" w14:textId="77777777" w:rsidR="00FE5C47" w:rsidRPr="00FE5C47" w:rsidRDefault="00FE5C47" w:rsidP="00FE5C47">
      <w:pPr>
        <w:spacing w:line="360" w:lineRule="auto"/>
        <w:jc w:val="center"/>
        <w:rPr>
          <w:rFonts w:eastAsia="Calibri"/>
          <w:b/>
          <w:bCs/>
          <w:lang w:val="es-CU" w:eastAsia="en-US"/>
        </w:rPr>
      </w:pPr>
      <w:r w:rsidRPr="00FE5C47">
        <w:rPr>
          <w:rFonts w:eastAsia="Calibri"/>
          <w:b/>
          <w:bCs/>
          <w:lang w:val="es-CU" w:eastAsia="en-US"/>
        </w:rPr>
        <w:t>Contribuciones de los autores</w:t>
      </w:r>
    </w:p>
    <w:p w14:paraId="52059912" w14:textId="77777777" w:rsidR="00FE5C47" w:rsidRPr="00FE5C47" w:rsidRDefault="00FE5C47" w:rsidP="00FE5C47">
      <w:pPr>
        <w:spacing w:line="360" w:lineRule="auto"/>
        <w:rPr>
          <w:rFonts w:eastAsia="Calibri"/>
          <w:lang w:val="es-ES" w:eastAsia="en-US"/>
        </w:rPr>
      </w:pPr>
      <w:r w:rsidRPr="00FE5C47">
        <w:rPr>
          <w:rFonts w:eastAsia="Calibri"/>
          <w:lang w:val="es-ES" w:eastAsia="en-US"/>
        </w:rPr>
        <w:t xml:space="preserve">Conceptualización: </w:t>
      </w:r>
      <w:r w:rsidRPr="00FE5C47">
        <w:rPr>
          <w:rFonts w:eastAsia="Calibri"/>
          <w:i/>
          <w:iCs/>
          <w:lang w:val="es-ES" w:eastAsia="en-US"/>
        </w:rPr>
        <w:t>Juan Rubén Herrera-Masó y Alain M. Chaple-Gil.</w:t>
      </w:r>
    </w:p>
    <w:p w14:paraId="3BCE20EE" w14:textId="77777777" w:rsidR="00FE5C47" w:rsidRPr="00FE5C47" w:rsidRDefault="00FE5C47" w:rsidP="00FE5C47">
      <w:pPr>
        <w:spacing w:line="360" w:lineRule="auto"/>
        <w:rPr>
          <w:rFonts w:eastAsia="Calibri"/>
          <w:lang w:val="es-ES" w:eastAsia="en-US"/>
        </w:rPr>
      </w:pPr>
      <w:r w:rsidRPr="00FE5C47">
        <w:rPr>
          <w:rFonts w:eastAsia="Calibri"/>
          <w:lang w:val="es-ES" w:eastAsia="en-US"/>
        </w:rPr>
        <w:t xml:space="preserve">Curación de datos: </w:t>
      </w:r>
      <w:r w:rsidRPr="00FE5C47">
        <w:rPr>
          <w:rFonts w:eastAsia="Calibri"/>
          <w:i/>
          <w:iCs/>
          <w:lang w:val="es-ES" w:eastAsia="en-US"/>
        </w:rPr>
        <w:t>Ernesto Boris Rodríguez-Ledesma, Luisa Hernández-Alarcón, Carlos L. Pérez-Hernández, Gisselle Fernández-Peña, Nidia Márquez-Morales.</w:t>
      </w:r>
    </w:p>
    <w:p w14:paraId="6DD218AF" w14:textId="77777777" w:rsidR="00FE5C47" w:rsidRPr="00FE5C47" w:rsidRDefault="00FE5C47" w:rsidP="00FE5C47">
      <w:pPr>
        <w:spacing w:line="360" w:lineRule="auto"/>
        <w:rPr>
          <w:rFonts w:eastAsia="Calibri"/>
          <w:lang w:val="es-ES" w:eastAsia="en-US"/>
        </w:rPr>
      </w:pPr>
      <w:r w:rsidRPr="00FE5C47">
        <w:rPr>
          <w:rFonts w:eastAsia="Calibri"/>
          <w:lang w:val="es-ES" w:eastAsia="en-US"/>
        </w:rPr>
        <w:t xml:space="preserve">Análisis formal: </w:t>
      </w:r>
      <w:r w:rsidRPr="00FE5C47">
        <w:rPr>
          <w:rFonts w:eastAsia="Calibri"/>
          <w:i/>
          <w:iCs/>
          <w:lang w:val="es-ES" w:eastAsia="en-US"/>
        </w:rPr>
        <w:t>Juan Rubén Herrera-Masó y Alain M. Chaple-Gil.</w:t>
      </w:r>
    </w:p>
    <w:p w14:paraId="3009E3B1" w14:textId="77777777" w:rsidR="00FE5C47" w:rsidRPr="00FE5C47" w:rsidRDefault="00FE5C47" w:rsidP="00FE5C47">
      <w:pPr>
        <w:spacing w:line="360" w:lineRule="auto"/>
        <w:rPr>
          <w:rFonts w:eastAsia="Calibri"/>
          <w:lang w:val="es-ES" w:eastAsia="en-US"/>
        </w:rPr>
      </w:pPr>
      <w:r w:rsidRPr="00FE5C47">
        <w:rPr>
          <w:rFonts w:eastAsia="Calibri"/>
          <w:lang w:val="es-ES" w:eastAsia="en-US"/>
        </w:rPr>
        <w:lastRenderedPageBreak/>
        <w:t xml:space="preserve">Investigación: </w:t>
      </w:r>
      <w:r w:rsidRPr="00FE5C47">
        <w:rPr>
          <w:rFonts w:eastAsia="Calibri"/>
          <w:i/>
          <w:iCs/>
          <w:lang w:val="es-ES" w:eastAsia="en-US"/>
        </w:rPr>
        <w:t>Ernesto Boris Rodríguez-Ledesma, Luisa Hernández-Alarcón, Carlos L. Pérez-Hernández, Gisselle Fernández-Peña, Nidia Márquez-Morales.</w:t>
      </w:r>
    </w:p>
    <w:p w14:paraId="0670C95B" w14:textId="77777777" w:rsidR="00FE5C47" w:rsidRPr="00FE5C47" w:rsidRDefault="00FE5C47" w:rsidP="00FE5C47">
      <w:pPr>
        <w:spacing w:line="360" w:lineRule="auto"/>
        <w:rPr>
          <w:rFonts w:eastAsia="Calibri"/>
          <w:lang w:val="es-ES" w:eastAsia="en-US"/>
        </w:rPr>
      </w:pPr>
      <w:r w:rsidRPr="00FE5C47">
        <w:rPr>
          <w:rFonts w:eastAsia="Calibri"/>
          <w:lang w:val="es-ES" w:eastAsia="en-US"/>
        </w:rPr>
        <w:t xml:space="preserve">Metodología: </w:t>
      </w:r>
      <w:r w:rsidRPr="00FE5C47">
        <w:rPr>
          <w:rFonts w:eastAsia="Calibri"/>
          <w:i/>
          <w:iCs/>
          <w:lang w:val="es-ES" w:eastAsia="en-US"/>
        </w:rPr>
        <w:t>Juan Rubén Herrera-Masó, Alain M. Chaple-Gil.</w:t>
      </w:r>
    </w:p>
    <w:p w14:paraId="2FE9698C" w14:textId="77777777" w:rsidR="00FE5C47" w:rsidRPr="00FE5C47" w:rsidRDefault="00FE5C47" w:rsidP="00FE5C47">
      <w:pPr>
        <w:spacing w:line="360" w:lineRule="auto"/>
        <w:rPr>
          <w:rFonts w:eastAsia="Calibri"/>
          <w:i/>
          <w:iCs/>
          <w:lang w:val="es-ES" w:eastAsia="en-US"/>
        </w:rPr>
      </w:pPr>
      <w:r w:rsidRPr="00FE5C47">
        <w:rPr>
          <w:rFonts w:eastAsia="Calibri"/>
          <w:lang w:val="es-ES" w:eastAsia="en-US"/>
        </w:rPr>
        <w:t xml:space="preserve">Administración del proyecto: </w:t>
      </w:r>
      <w:r w:rsidRPr="00FE5C47">
        <w:rPr>
          <w:rFonts w:eastAsia="Calibri"/>
          <w:i/>
          <w:iCs/>
          <w:lang w:val="es-ES" w:eastAsia="en-US"/>
        </w:rPr>
        <w:t>Juan Rubén Herrera-Masó y Alain M. Chaple-Gil.</w:t>
      </w:r>
    </w:p>
    <w:p w14:paraId="2882F042" w14:textId="77777777" w:rsidR="00FE5C47" w:rsidRPr="00FE5C47" w:rsidRDefault="00FE5C47" w:rsidP="00FE5C47">
      <w:pPr>
        <w:spacing w:line="360" w:lineRule="auto"/>
        <w:rPr>
          <w:rFonts w:eastAsia="Calibri"/>
          <w:lang w:val="es-ES" w:eastAsia="en-US"/>
        </w:rPr>
      </w:pPr>
      <w:r w:rsidRPr="00FE5C47">
        <w:rPr>
          <w:rFonts w:eastAsia="Calibri"/>
          <w:lang w:val="es-ES" w:eastAsia="en-US"/>
        </w:rPr>
        <w:t xml:space="preserve">Validación: </w:t>
      </w:r>
      <w:r w:rsidRPr="00FE5C47">
        <w:rPr>
          <w:rFonts w:eastAsia="Calibri"/>
          <w:i/>
          <w:iCs/>
          <w:lang w:val="es-ES" w:eastAsia="en-US"/>
        </w:rPr>
        <w:t>Juan Rubén Herrera-Masó y Alain M. Chaple-Gil.</w:t>
      </w:r>
    </w:p>
    <w:p w14:paraId="4247E9FF" w14:textId="77777777" w:rsidR="00FE5C47" w:rsidRPr="00FE5C47" w:rsidRDefault="00FE5C47" w:rsidP="00FE5C47">
      <w:pPr>
        <w:spacing w:line="360" w:lineRule="auto"/>
        <w:rPr>
          <w:rFonts w:eastAsia="Calibri"/>
          <w:lang w:val="es-ES" w:eastAsia="en-US"/>
        </w:rPr>
      </w:pPr>
      <w:r w:rsidRPr="00FE5C47">
        <w:rPr>
          <w:rFonts w:eastAsia="Calibri"/>
          <w:lang w:val="es-ES" w:eastAsia="en-US"/>
        </w:rPr>
        <w:t xml:space="preserve">Visualización: </w:t>
      </w:r>
      <w:r w:rsidRPr="00FE5C47">
        <w:rPr>
          <w:rFonts w:eastAsia="Calibri"/>
          <w:i/>
          <w:iCs/>
          <w:lang w:val="es-ES" w:eastAsia="en-US"/>
        </w:rPr>
        <w:t>Juan Rubén Herrera-Masó y Alain M. Chaple-Gil.</w:t>
      </w:r>
    </w:p>
    <w:p w14:paraId="5BE8A331" w14:textId="77777777" w:rsidR="00FE5C47" w:rsidRPr="00FE5C47" w:rsidRDefault="00FE5C47" w:rsidP="00FE5C47">
      <w:pPr>
        <w:spacing w:line="360" w:lineRule="auto"/>
        <w:rPr>
          <w:rFonts w:eastAsia="Calibri"/>
          <w:lang w:val="es-ES" w:eastAsia="en-US"/>
        </w:rPr>
      </w:pPr>
      <w:r w:rsidRPr="00FE5C47">
        <w:rPr>
          <w:rFonts w:eastAsia="Calibri"/>
          <w:lang w:val="es-ES" w:eastAsia="en-US"/>
        </w:rPr>
        <w:t xml:space="preserve">Redacción – borrador original: </w:t>
      </w:r>
      <w:r w:rsidRPr="00FE5C47">
        <w:rPr>
          <w:rFonts w:eastAsia="Calibri"/>
          <w:i/>
          <w:iCs/>
          <w:lang w:val="es-ES" w:eastAsia="en-US"/>
        </w:rPr>
        <w:t>Juan Rubén Herrera-Masó, Alain M. Chaple-Gil, Ernesto Boris Rodríguez-Ledesma, Luisa Hernández-Alarcón, Carlos L. Pérez-Hernández, Gisselle Fernández-Peña, Nidia Márquez-Morales.</w:t>
      </w:r>
    </w:p>
    <w:p w14:paraId="06C97A8D" w14:textId="77777777" w:rsidR="00FE5C47" w:rsidRPr="00FE5C47" w:rsidRDefault="00FE5C47" w:rsidP="00FE5C47">
      <w:pPr>
        <w:spacing w:line="360" w:lineRule="auto"/>
        <w:rPr>
          <w:rFonts w:eastAsia="Calibri"/>
          <w:lang w:val="es-ES" w:eastAsia="en-US"/>
        </w:rPr>
      </w:pPr>
      <w:r w:rsidRPr="00FE5C47">
        <w:rPr>
          <w:rFonts w:eastAsia="Calibri"/>
          <w:lang w:val="es-ES" w:eastAsia="en-US"/>
        </w:rPr>
        <w:t xml:space="preserve">Redacción – revisión y edición: </w:t>
      </w:r>
      <w:r w:rsidRPr="00FE5C47">
        <w:rPr>
          <w:rFonts w:eastAsia="Calibri"/>
          <w:i/>
          <w:iCs/>
          <w:lang w:val="es-ES" w:eastAsia="en-US"/>
        </w:rPr>
        <w:t>Juan Rubén Herrera-Masó, Alain M. Chaple-Gil, Ernesto Boris Rodríguez-Ledesma, Luisa Hernández-Alarcón, Carlos L. Pérez-Hernández, Gisselle Fernández-Peña, Nidia Márquez-Morales.</w:t>
      </w:r>
    </w:p>
    <w:p w14:paraId="20D4EBC8" w14:textId="77777777" w:rsidR="00675476" w:rsidRPr="00FE5C47" w:rsidRDefault="00675476" w:rsidP="00391509">
      <w:pPr>
        <w:rPr>
          <w:lang w:val="es-ES"/>
        </w:rPr>
      </w:pPr>
    </w:p>
    <w:sectPr w:rsidR="00675476" w:rsidRPr="00FE5C47" w:rsidSect="00640A63">
      <w:headerReference w:type="default" r:id="rId29"/>
      <w:footerReference w:type="even" r:id="rId30"/>
      <w:footerReference w:type="default" r:id="rId31"/>
      <w:pgSz w:w="12242" w:h="15842" w:code="1"/>
      <w:pgMar w:top="1134" w:right="1134" w:bottom="1134" w:left="1077" w:header="1418"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99CF" w14:textId="77777777" w:rsidR="00B52E41" w:rsidRDefault="00B52E41">
      <w:r>
        <w:separator/>
      </w:r>
    </w:p>
  </w:endnote>
  <w:endnote w:type="continuationSeparator" w:id="0">
    <w:p w14:paraId="72E5BFE8" w14:textId="77777777" w:rsidR="00B52E41" w:rsidRDefault="00B5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253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1B32A4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6624" w14:textId="724B2A17" w:rsidR="000F3690" w:rsidRPr="00AE044C" w:rsidRDefault="00FE5C47" w:rsidP="00391509">
    <w:pPr>
      <w:pStyle w:val="Piedepgina"/>
      <w:ind w:right="360"/>
      <w:rPr>
        <w:sz w:val="22"/>
        <w:szCs w:val="22"/>
      </w:rPr>
    </w:pPr>
    <w:r>
      <w:rPr>
        <w:noProof/>
      </w:rPr>
      <mc:AlternateContent>
        <mc:Choice Requires="wps">
          <w:drawing>
            <wp:anchor distT="0" distB="0" distL="114300" distR="114300" simplePos="0" relativeHeight="251657216" behindDoc="0" locked="0" layoutInCell="1" allowOverlap="1" wp14:anchorId="5CF16918" wp14:editId="6BBDFACB">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10F0CB"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0A0B1CAB" w14:textId="77777777" w:rsidR="00675476" w:rsidRPr="00AE044C" w:rsidRDefault="00B52E41" w:rsidP="00391509">
    <w:pPr>
      <w:pStyle w:val="Piedepgina"/>
      <w:ind w:right="360"/>
      <w:rPr>
        <w:sz w:val="22"/>
        <w:szCs w:val="22"/>
      </w:rPr>
    </w:pPr>
    <w:hyperlink r:id="rId1" w:history="1">
      <w:r w:rsidR="00391509" w:rsidRPr="00AE044C">
        <w:rPr>
          <w:rStyle w:val="Hipervnculo"/>
          <w:sz w:val="22"/>
          <w:szCs w:val="22"/>
        </w:rPr>
        <w:t>http://scielo.sld.cu</w:t>
      </w:r>
    </w:hyperlink>
  </w:p>
  <w:p w14:paraId="67577854" w14:textId="77777777" w:rsidR="00391509" w:rsidRPr="00AE044C" w:rsidRDefault="00B52E41"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1B00ECD" w14:textId="13D0551A"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E5C47" w:rsidRPr="00FE5C47">
      <w:rPr>
        <w:rFonts w:ascii="Verdana" w:hAnsi="Verdana"/>
        <w:noProof/>
        <w:sz w:val="18"/>
        <w:szCs w:val="18"/>
        <w:lang w:val="en-US" w:eastAsia="en-US"/>
      </w:rPr>
      <w:drawing>
        <wp:inline distT="0" distB="0" distL="0" distR="0" wp14:anchorId="3459A6B2" wp14:editId="3C549476">
          <wp:extent cx="638175" cy="146685"/>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E589" w14:textId="77777777" w:rsidR="00B52E41" w:rsidRDefault="00B52E41">
      <w:r>
        <w:separator/>
      </w:r>
    </w:p>
  </w:footnote>
  <w:footnote w:type="continuationSeparator" w:id="0">
    <w:p w14:paraId="18903A39" w14:textId="77777777" w:rsidR="00B52E41" w:rsidRDefault="00B52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3ED2" w14:textId="68AC38EF" w:rsidR="00CC376A" w:rsidRPr="00AE044C" w:rsidRDefault="007D2D0C" w:rsidP="00180CE9">
    <w:pPr>
      <w:pStyle w:val="Encabezado"/>
      <w:tabs>
        <w:tab w:val="left" w:pos="420"/>
      </w:tabs>
      <w:jc w:val="center"/>
      <w:rPr>
        <w:sz w:val="22"/>
        <w:szCs w:val="22"/>
      </w:rPr>
    </w:pPr>
    <w:r w:rsidRPr="00AE044C">
      <w:rPr>
        <w:sz w:val="22"/>
        <w:szCs w:val="22"/>
      </w:rPr>
      <w:t xml:space="preserve">Revista Cubana de Medicina Militar. </w:t>
    </w:r>
    <w:r w:rsidR="00FE5C47">
      <w:rPr>
        <w:sz w:val="22"/>
        <w:szCs w:val="22"/>
      </w:rPr>
      <w:t>2021</w:t>
    </w:r>
    <w:r>
      <w:rPr>
        <w:sz w:val="22"/>
        <w:szCs w:val="22"/>
      </w:rPr>
      <w:t>;</w:t>
    </w:r>
    <w:r w:rsidR="00FE5C47">
      <w:rPr>
        <w:sz w:val="22"/>
        <w:szCs w:val="22"/>
      </w:rPr>
      <w:t xml:space="preserve"> 50</w:t>
    </w:r>
    <w:r w:rsidRPr="00AE044C">
      <w:rPr>
        <w:sz w:val="22"/>
        <w:szCs w:val="22"/>
      </w:rPr>
      <w:t>(</w:t>
    </w:r>
    <w:r w:rsidR="00FE5C47">
      <w:rPr>
        <w:sz w:val="22"/>
        <w:szCs w:val="22"/>
      </w:rPr>
      <w:t>4</w:t>
    </w:r>
    <w:r w:rsidRPr="00AE044C">
      <w:rPr>
        <w:sz w:val="22"/>
        <w:szCs w:val="22"/>
      </w:rPr>
      <w:t>):</w:t>
    </w:r>
    <w:r w:rsidR="00FE5C47">
      <w:rPr>
        <w:noProof/>
      </w:rPr>
      <w:drawing>
        <wp:anchor distT="0" distB="0" distL="114300" distR="114300" simplePos="0" relativeHeight="251658240" behindDoc="0" locked="0" layoutInCell="1" allowOverlap="1" wp14:anchorId="47C86EE4" wp14:editId="526430AD">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5C47">
      <w:rPr>
        <w:sz w:val="22"/>
        <w:szCs w:val="22"/>
      </w:rPr>
      <w:t xml:space="preserve"> e02101722</w:t>
    </w:r>
  </w:p>
  <w:p w14:paraId="1E99AE05" w14:textId="5B653F72" w:rsidR="00A477DE" w:rsidRDefault="00FE5C47">
    <w:r>
      <w:rPr>
        <w:noProof/>
      </w:rPr>
      <mc:AlternateContent>
        <mc:Choice Requires="wps">
          <w:drawing>
            <wp:anchor distT="0" distB="0" distL="114300" distR="114300" simplePos="0" relativeHeight="251655168" behindDoc="0" locked="0" layoutInCell="1" allowOverlap="1" wp14:anchorId="6F52F798" wp14:editId="4DEEC0BF">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90F315"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1781"/>
    <w:multiLevelType w:val="hybridMultilevel"/>
    <w:tmpl w:val="E8E88AE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AE355F9"/>
    <w:multiLevelType w:val="hybridMultilevel"/>
    <w:tmpl w:val="071E4E42"/>
    <w:lvl w:ilvl="0" w:tplc="E1B0B2F6">
      <w:numFmt w:val="bullet"/>
      <w:lvlText w:val="•"/>
      <w:lvlJc w:val="left"/>
      <w:pPr>
        <w:ind w:left="1288" w:hanging="720"/>
      </w:pPr>
      <w:rPr>
        <w:rFonts w:ascii="Arial" w:eastAsiaTheme="minorHAnsi"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2" w15:restartNumberingAfterBreak="0">
    <w:nsid w:val="0B14268D"/>
    <w:multiLevelType w:val="hybridMultilevel"/>
    <w:tmpl w:val="63786EE8"/>
    <w:lvl w:ilvl="0" w:tplc="4666486C">
      <w:start w:val="1"/>
      <w:numFmt w:val="decimal"/>
      <w:lvlText w:val="E%1."/>
      <w:lvlJc w:val="left"/>
      <w:pPr>
        <w:ind w:left="360" w:hanging="360"/>
      </w:pPr>
      <w:rPr>
        <w:rFonts w:hint="default"/>
        <w:color w:val="000000" w:themeColor="text1"/>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04969A7"/>
    <w:multiLevelType w:val="hybridMultilevel"/>
    <w:tmpl w:val="83C49962"/>
    <w:lvl w:ilvl="0" w:tplc="966C1694">
      <w:start w:val="13"/>
      <w:numFmt w:val="bullet"/>
      <w:lvlText w:val="-"/>
      <w:lvlJc w:val="left"/>
      <w:pPr>
        <w:ind w:left="720" w:hanging="360"/>
      </w:pPr>
      <w:rPr>
        <w:rFonts w:ascii="Calibri" w:eastAsiaTheme="minorHAnsi" w:hAnsi="Calibri" w:cs="Calibri"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151B6743"/>
    <w:multiLevelType w:val="hybridMultilevel"/>
    <w:tmpl w:val="F61ADE30"/>
    <w:lvl w:ilvl="0" w:tplc="30B01FEC">
      <w:start w:val="1"/>
      <w:numFmt w:val="bullet"/>
      <w:lvlText w:val=""/>
      <w:lvlJc w:val="left"/>
      <w:pPr>
        <w:ind w:left="720" w:hanging="360"/>
      </w:pPr>
      <w:rPr>
        <w:rFonts w:ascii="Symbol" w:eastAsiaTheme="minorHAnsi" w:hAnsi="Symbol" w:cs="Aria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160D2A1D"/>
    <w:multiLevelType w:val="hybridMultilevel"/>
    <w:tmpl w:val="1C0C4810"/>
    <w:lvl w:ilvl="0" w:tplc="7936B186">
      <w:start w:val="1"/>
      <w:numFmt w:val="bullet"/>
      <w:lvlText w:val=""/>
      <w:lvlJc w:val="left"/>
      <w:pPr>
        <w:ind w:left="360" w:hanging="360"/>
      </w:pPr>
      <w:rPr>
        <w:rFonts w:ascii="Symbol" w:hAnsi="Symbol" w:hint="default"/>
        <w:color w:val="000000" w:themeColor="text1"/>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6BE2488"/>
    <w:multiLevelType w:val="hybridMultilevel"/>
    <w:tmpl w:val="36F6ED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3E661A2"/>
    <w:multiLevelType w:val="hybridMultilevel"/>
    <w:tmpl w:val="7CDED2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310CAF"/>
    <w:multiLevelType w:val="hybridMultilevel"/>
    <w:tmpl w:val="41BAEBBA"/>
    <w:lvl w:ilvl="0" w:tplc="F31ACB42">
      <w:start w:val="1"/>
      <w:numFmt w:val="decimal"/>
      <w:lvlText w:val="S%1."/>
      <w:lvlJc w:val="left"/>
      <w:pPr>
        <w:ind w:left="360" w:hanging="360"/>
      </w:pPr>
      <w:rPr>
        <w:rFonts w:hint="default"/>
        <w:color w:val="000000" w:themeColor="text1"/>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46A2703C"/>
    <w:multiLevelType w:val="hybridMultilevel"/>
    <w:tmpl w:val="F842A49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C1168D4"/>
    <w:multiLevelType w:val="hybridMultilevel"/>
    <w:tmpl w:val="49D00F9C"/>
    <w:lvl w:ilvl="0" w:tplc="4666486C">
      <w:start w:val="1"/>
      <w:numFmt w:val="decimal"/>
      <w:lvlText w:val="E%1."/>
      <w:lvlJc w:val="left"/>
      <w:pPr>
        <w:ind w:left="-94" w:hanging="360"/>
      </w:pPr>
      <w:rPr>
        <w:rFonts w:hint="default"/>
      </w:rPr>
    </w:lvl>
    <w:lvl w:ilvl="1" w:tplc="0C0A0019" w:tentative="1">
      <w:start w:val="1"/>
      <w:numFmt w:val="lowerLetter"/>
      <w:lvlText w:val="%2."/>
      <w:lvlJc w:val="left"/>
      <w:pPr>
        <w:ind w:left="626" w:hanging="360"/>
      </w:pPr>
    </w:lvl>
    <w:lvl w:ilvl="2" w:tplc="0C0A001B" w:tentative="1">
      <w:start w:val="1"/>
      <w:numFmt w:val="lowerRoman"/>
      <w:lvlText w:val="%3."/>
      <w:lvlJc w:val="right"/>
      <w:pPr>
        <w:ind w:left="1346" w:hanging="180"/>
      </w:pPr>
    </w:lvl>
    <w:lvl w:ilvl="3" w:tplc="0C0A000F" w:tentative="1">
      <w:start w:val="1"/>
      <w:numFmt w:val="decimal"/>
      <w:lvlText w:val="%4."/>
      <w:lvlJc w:val="left"/>
      <w:pPr>
        <w:ind w:left="2066" w:hanging="360"/>
      </w:pPr>
    </w:lvl>
    <w:lvl w:ilvl="4" w:tplc="0C0A0019" w:tentative="1">
      <w:start w:val="1"/>
      <w:numFmt w:val="lowerLetter"/>
      <w:lvlText w:val="%5."/>
      <w:lvlJc w:val="left"/>
      <w:pPr>
        <w:ind w:left="2786" w:hanging="360"/>
      </w:pPr>
    </w:lvl>
    <w:lvl w:ilvl="5" w:tplc="0C0A001B" w:tentative="1">
      <w:start w:val="1"/>
      <w:numFmt w:val="lowerRoman"/>
      <w:lvlText w:val="%6."/>
      <w:lvlJc w:val="right"/>
      <w:pPr>
        <w:ind w:left="3506" w:hanging="180"/>
      </w:pPr>
    </w:lvl>
    <w:lvl w:ilvl="6" w:tplc="0C0A000F" w:tentative="1">
      <w:start w:val="1"/>
      <w:numFmt w:val="decimal"/>
      <w:lvlText w:val="%7."/>
      <w:lvlJc w:val="left"/>
      <w:pPr>
        <w:ind w:left="4226" w:hanging="360"/>
      </w:pPr>
    </w:lvl>
    <w:lvl w:ilvl="7" w:tplc="0C0A0019" w:tentative="1">
      <w:start w:val="1"/>
      <w:numFmt w:val="lowerLetter"/>
      <w:lvlText w:val="%8."/>
      <w:lvlJc w:val="left"/>
      <w:pPr>
        <w:ind w:left="4946" w:hanging="360"/>
      </w:pPr>
    </w:lvl>
    <w:lvl w:ilvl="8" w:tplc="0C0A001B" w:tentative="1">
      <w:start w:val="1"/>
      <w:numFmt w:val="lowerRoman"/>
      <w:lvlText w:val="%9."/>
      <w:lvlJc w:val="right"/>
      <w:pPr>
        <w:ind w:left="5666" w:hanging="180"/>
      </w:pPr>
    </w:lvl>
  </w:abstractNum>
  <w:abstractNum w:abstractNumId="11" w15:restartNumberingAfterBreak="0">
    <w:nsid w:val="4CFB0590"/>
    <w:multiLevelType w:val="hybridMultilevel"/>
    <w:tmpl w:val="232259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A93F89"/>
    <w:multiLevelType w:val="hybridMultilevel"/>
    <w:tmpl w:val="4BA8F5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FB325D"/>
    <w:multiLevelType w:val="hybridMultilevel"/>
    <w:tmpl w:val="CCB6E3C4"/>
    <w:lvl w:ilvl="0" w:tplc="4666486C">
      <w:start w:val="1"/>
      <w:numFmt w:val="decimal"/>
      <w:lvlText w:val="E%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78E00A9"/>
    <w:multiLevelType w:val="hybridMultilevel"/>
    <w:tmpl w:val="E6781B7C"/>
    <w:lvl w:ilvl="0" w:tplc="4666486C">
      <w:start w:val="1"/>
      <w:numFmt w:val="decimal"/>
      <w:lvlText w:val="E%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690656D0"/>
    <w:multiLevelType w:val="hybridMultilevel"/>
    <w:tmpl w:val="3BD49A5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698724ED"/>
    <w:multiLevelType w:val="hybridMultilevel"/>
    <w:tmpl w:val="46941872"/>
    <w:lvl w:ilvl="0" w:tplc="4B78B280">
      <w:start w:val="1"/>
      <w:numFmt w:val="decimal"/>
      <w:lvlText w:val="E%1."/>
      <w:lvlJc w:val="left"/>
      <w:pPr>
        <w:ind w:left="360" w:hanging="360"/>
      </w:pPr>
      <w:rPr>
        <w:rFonts w:hint="default"/>
        <w:color w:val="000000" w:themeColor="text1"/>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07D3EDE"/>
    <w:multiLevelType w:val="hybridMultilevel"/>
    <w:tmpl w:val="1DA0D738"/>
    <w:lvl w:ilvl="0" w:tplc="7936B186">
      <w:start w:val="1"/>
      <w:numFmt w:val="bullet"/>
      <w:lvlText w:val=""/>
      <w:lvlJc w:val="left"/>
      <w:pPr>
        <w:ind w:left="720" w:hanging="360"/>
      </w:pPr>
      <w:rPr>
        <w:rFonts w:ascii="Symbol" w:hAnsi="Symbol" w:hint="default"/>
        <w:color w:val="000000" w:themeColor="text1"/>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5424609"/>
    <w:multiLevelType w:val="hybridMultilevel"/>
    <w:tmpl w:val="BB2C140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5AA5B7D"/>
    <w:multiLevelType w:val="hybridMultilevel"/>
    <w:tmpl w:val="AF003CDC"/>
    <w:lvl w:ilvl="0" w:tplc="E08AAD1C">
      <w:start w:val="1"/>
      <w:numFmt w:val="decimal"/>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7804603"/>
    <w:multiLevelType w:val="hybridMultilevel"/>
    <w:tmpl w:val="B12EC7D8"/>
    <w:lvl w:ilvl="0" w:tplc="4666486C">
      <w:start w:val="1"/>
      <w:numFmt w:val="decimal"/>
      <w:lvlText w:val="E%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C505330"/>
    <w:multiLevelType w:val="hybridMultilevel"/>
    <w:tmpl w:val="332A4612"/>
    <w:lvl w:ilvl="0" w:tplc="0C0A0001">
      <w:start w:val="1"/>
      <w:numFmt w:val="bullet"/>
      <w:lvlText w:val=""/>
      <w:lvlJc w:val="left"/>
      <w:pPr>
        <w:ind w:left="720" w:hanging="72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CDB206A"/>
    <w:multiLevelType w:val="hybridMultilevel"/>
    <w:tmpl w:val="E64C6EC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7"/>
  </w:num>
  <w:num w:numId="2">
    <w:abstractNumId w:val="11"/>
  </w:num>
  <w:num w:numId="3">
    <w:abstractNumId w:val="22"/>
  </w:num>
  <w:num w:numId="4">
    <w:abstractNumId w:val="15"/>
  </w:num>
  <w:num w:numId="5">
    <w:abstractNumId w:val="18"/>
  </w:num>
  <w:num w:numId="6">
    <w:abstractNumId w:val="12"/>
  </w:num>
  <w:num w:numId="7">
    <w:abstractNumId w:val="1"/>
  </w:num>
  <w:num w:numId="8">
    <w:abstractNumId w:val="4"/>
  </w:num>
  <w:num w:numId="9">
    <w:abstractNumId w:val="3"/>
  </w:num>
  <w:num w:numId="10">
    <w:abstractNumId w:val="19"/>
  </w:num>
  <w:num w:numId="11">
    <w:abstractNumId w:val="5"/>
  </w:num>
  <w:num w:numId="12">
    <w:abstractNumId w:val="17"/>
  </w:num>
  <w:num w:numId="13">
    <w:abstractNumId w:val="8"/>
  </w:num>
  <w:num w:numId="14">
    <w:abstractNumId w:val="20"/>
  </w:num>
  <w:num w:numId="15">
    <w:abstractNumId w:val="9"/>
  </w:num>
  <w:num w:numId="16">
    <w:abstractNumId w:val="0"/>
  </w:num>
  <w:num w:numId="17">
    <w:abstractNumId w:val="6"/>
  </w:num>
  <w:num w:numId="18">
    <w:abstractNumId w:val="13"/>
  </w:num>
  <w:num w:numId="19">
    <w:abstractNumId w:val="10"/>
  </w:num>
  <w:num w:numId="20">
    <w:abstractNumId w:val="14"/>
  </w:num>
  <w:num w:numId="21">
    <w:abstractNumId w:val="16"/>
  </w:num>
  <w:num w:numId="22">
    <w:abstractNumId w:val="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47"/>
    <w:rsid w:val="000F0CBB"/>
    <w:rsid w:val="000F3690"/>
    <w:rsid w:val="001221D1"/>
    <w:rsid w:val="00180CE9"/>
    <w:rsid w:val="00214F87"/>
    <w:rsid w:val="0021738D"/>
    <w:rsid w:val="00230DD5"/>
    <w:rsid w:val="00263DFD"/>
    <w:rsid w:val="002E18ED"/>
    <w:rsid w:val="00380D64"/>
    <w:rsid w:val="00391509"/>
    <w:rsid w:val="003E03D5"/>
    <w:rsid w:val="00486BFA"/>
    <w:rsid w:val="00493701"/>
    <w:rsid w:val="004E2065"/>
    <w:rsid w:val="005508A2"/>
    <w:rsid w:val="00566F71"/>
    <w:rsid w:val="005918BD"/>
    <w:rsid w:val="00592B27"/>
    <w:rsid w:val="006173A6"/>
    <w:rsid w:val="00640A63"/>
    <w:rsid w:val="00675476"/>
    <w:rsid w:val="007C430F"/>
    <w:rsid w:val="007D2D0C"/>
    <w:rsid w:val="007D614D"/>
    <w:rsid w:val="008022A4"/>
    <w:rsid w:val="008C37F8"/>
    <w:rsid w:val="00960D6A"/>
    <w:rsid w:val="009A0560"/>
    <w:rsid w:val="009A2692"/>
    <w:rsid w:val="009B0917"/>
    <w:rsid w:val="00A23C0C"/>
    <w:rsid w:val="00A477DE"/>
    <w:rsid w:val="00A71E65"/>
    <w:rsid w:val="00AE044C"/>
    <w:rsid w:val="00B31971"/>
    <w:rsid w:val="00B4380A"/>
    <w:rsid w:val="00B4618C"/>
    <w:rsid w:val="00B52E41"/>
    <w:rsid w:val="00B66ECB"/>
    <w:rsid w:val="00C7523A"/>
    <w:rsid w:val="00CC1B6E"/>
    <w:rsid w:val="00CC376A"/>
    <w:rsid w:val="00CC48A1"/>
    <w:rsid w:val="00CF50E0"/>
    <w:rsid w:val="00D85951"/>
    <w:rsid w:val="00E62606"/>
    <w:rsid w:val="00EC5A6B"/>
    <w:rsid w:val="00FE40CB"/>
    <w:rsid w:val="00FE5C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1AD10"/>
  <w15:docId w15:val="{82D20AB0-403B-43C7-9F6F-E6E418B3A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E5C47"/>
  </w:style>
  <w:style w:type="paragraph" w:customStyle="1" w:styleId="TituloTesis1">
    <w:name w:val="Titulo Tesis 1"/>
    <w:basedOn w:val="Normal"/>
    <w:link w:val="TituloTesis1Car"/>
    <w:qFormat/>
    <w:rsid w:val="00FE5C47"/>
    <w:pPr>
      <w:spacing w:after="160" w:line="259" w:lineRule="auto"/>
    </w:pPr>
    <w:rPr>
      <w:rFonts w:ascii="Arial" w:eastAsia="Calibri" w:hAnsi="Arial" w:cs="Arial"/>
      <w:b/>
      <w:bCs/>
      <w:smallCaps/>
      <w:sz w:val="36"/>
      <w:szCs w:val="36"/>
      <w:lang w:val="es-ES" w:eastAsia="en-US"/>
    </w:rPr>
  </w:style>
  <w:style w:type="character" w:customStyle="1" w:styleId="TituloTesis1Car">
    <w:name w:val="Titulo Tesis 1 Car"/>
    <w:link w:val="TituloTesis1"/>
    <w:rsid w:val="00FE5C47"/>
    <w:rPr>
      <w:rFonts w:ascii="Arial" w:eastAsia="Calibri" w:hAnsi="Arial" w:cs="Arial"/>
      <w:b/>
      <w:bCs/>
      <w:smallCaps/>
      <w:sz w:val="36"/>
      <w:szCs w:val="36"/>
      <w:lang w:val="es-ES" w:eastAsia="en-US"/>
    </w:rPr>
  </w:style>
  <w:style w:type="character" w:customStyle="1" w:styleId="Mencinsinresolver1">
    <w:name w:val="Mención sin resolver1"/>
    <w:uiPriority w:val="99"/>
    <w:semiHidden/>
    <w:unhideWhenUsed/>
    <w:rsid w:val="00FE5C47"/>
    <w:rPr>
      <w:color w:val="605E5C"/>
      <w:shd w:val="clear" w:color="auto" w:fill="E1DFDD"/>
    </w:rPr>
  </w:style>
  <w:style w:type="character" w:customStyle="1" w:styleId="Hipervnculovisitado1">
    <w:name w:val="Hipervínculo visitado1"/>
    <w:uiPriority w:val="99"/>
    <w:semiHidden/>
    <w:unhideWhenUsed/>
    <w:rsid w:val="00FE5C47"/>
    <w:rPr>
      <w:color w:val="954F72"/>
      <w:u w:val="single"/>
    </w:rPr>
  </w:style>
  <w:style w:type="paragraph" w:customStyle="1" w:styleId="EndNoteBibliographyTitle">
    <w:name w:val="EndNote Bibliography Title"/>
    <w:basedOn w:val="Normal"/>
    <w:link w:val="EndNoteBibliographyTitleCar"/>
    <w:rsid w:val="00FE5C47"/>
    <w:pPr>
      <w:spacing w:line="259" w:lineRule="auto"/>
      <w:jc w:val="center"/>
    </w:pPr>
    <w:rPr>
      <w:rFonts w:ascii="Calibri" w:eastAsia="Calibri" w:hAnsi="Calibri" w:cs="Calibri"/>
      <w:noProof/>
      <w:sz w:val="22"/>
      <w:szCs w:val="22"/>
      <w:lang w:val="es-ES" w:eastAsia="en-US"/>
    </w:rPr>
  </w:style>
  <w:style w:type="character" w:customStyle="1" w:styleId="EndNoteBibliographyTitleCar">
    <w:name w:val="EndNote Bibliography Title Car"/>
    <w:link w:val="EndNoteBibliographyTitle"/>
    <w:rsid w:val="00FE5C47"/>
    <w:rPr>
      <w:rFonts w:ascii="Calibri" w:eastAsia="Calibri" w:hAnsi="Calibri" w:cs="Calibri"/>
      <w:noProof/>
      <w:sz w:val="22"/>
      <w:szCs w:val="22"/>
      <w:lang w:val="es-ES" w:eastAsia="en-US"/>
    </w:rPr>
  </w:style>
  <w:style w:type="paragraph" w:customStyle="1" w:styleId="EndNoteBibliography">
    <w:name w:val="EndNote Bibliography"/>
    <w:basedOn w:val="Normal"/>
    <w:link w:val="EndNoteBibliographyCar"/>
    <w:rsid w:val="00FE5C47"/>
    <w:pPr>
      <w:spacing w:after="160" w:line="360" w:lineRule="auto"/>
      <w:jc w:val="both"/>
    </w:pPr>
    <w:rPr>
      <w:rFonts w:ascii="Calibri" w:eastAsia="Calibri" w:hAnsi="Calibri" w:cs="Calibri"/>
      <w:noProof/>
      <w:sz w:val="22"/>
      <w:szCs w:val="22"/>
      <w:lang w:val="es-ES" w:eastAsia="en-US"/>
    </w:rPr>
  </w:style>
  <w:style w:type="character" w:customStyle="1" w:styleId="EndNoteBibliographyCar">
    <w:name w:val="EndNote Bibliography Car"/>
    <w:link w:val="EndNoteBibliography"/>
    <w:rsid w:val="00FE5C47"/>
    <w:rPr>
      <w:rFonts w:ascii="Calibri" w:eastAsia="Calibri" w:hAnsi="Calibri" w:cs="Calibri"/>
      <w:noProof/>
      <w:sz w:val="22"/>
      <w:szCs w:val="22"/>
      <w:lang w:val="es-ES" w:eastAsia="en-US"/>
    </w:rPr>
  </w:style>
  <w:style w:type="table" w:customStyle="1" w:styleId="Tablaconcuadrcula1">
    <w:name w:val="Tabla con cuadrícula1"/>
    <w:basedOn w:val="Tablanormal"/>
    <w:next w:val="Tablaconcuadrcula"/>
    <w:uiPriority w:val="39"/>
    <w:rsid w:val="00FE5C47"/>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FE5C47"/>
    <w:rPr>
      <w:b/>
      <w:bCs/>
    </w:rPr>
  </w:style>
  <w:style w:type="paragraph" w:styleId="Prrafodelista">
    <w:name w:val="List Paragraph"/>
    <w:basedOn w:val="Normal"/>
    <w:uiPriority w:val="34"/>
    <w:qFormat/>
    <w:rsid w:val="00FE5C47"/>
    <w:pPr>
      <w:spacing w:after="160" w:line="259" w:lineRule="auto"/>
      <w:ind w:left="720"/>
      <w:contextualSpacing/>
    </w:pPr>
    <w:rPr>
      <w:rFonts w:ascii="Calibri" w:eastAsia="Calibri" w:hAnsi="Calibri"/>
      <w:sz w:val="22"/>
      <w:szCs w:val="22"/>
      <w:lang w:val="es-ES" w:eastAsia="en-US"/>
    </w:rPr>
  </w:style>
  <w:style w:type="paragraph" w:customStyle="1" w:styleId="EndNoteCategoryHeading">
    <w:name w:val="EndNote Category Heading"/>
    <w:basedOn w:val="Normal"/>
    <w:link w:val="EndNoteCategoryHeadingCar"/>
    <w:rsid w:val="00FE5C47"/>
    <w:pPr>
      <w:spacing w:before="120" w:after="120" w:line="259" w:lineRule="auto"/>
    </w:pPr>
    <w:rPr>
      <w:rFonts w:ascii="Calibri" w:eastAsia="Calibri" w:hAnsi="Calibri"/>
      <w:b/>
      <w:noProof/>
      <w:sz w:val="22"/>
      <w:szCs w:val="22"/>
      <w:lang w:val="es-ES" w:eastAsia="en-US"/>
    </w:rPr>
  </w:style>
  <w:style w:type="character" w:customStyle="1" w:styleId="EndNoteCategoryHeadingCar">
    <w:name w:val="EndNote Category Heading Car"/>
    <w:link w:val="EndNoteCategoryHeading"/>
    <w:rsid w:val="00FE5C47"/>
    <w:rPr>
      <w:rFonts w:ascii="Calibri" w:eastAsia="Calibri" w:hAnsi="Calibri"/>
      <w:b/>
      <w:noProof/>
      <w:sz w:val="22"/>
      <w:szCs w:val="22"/>
      <w:lang w:val="es-ES" w:eastAsia="en-US"/>
    </w:rPr>
  </w:style>
  <w:style w:type="paragraph" w:styleId="Textonotaalfinal">
    <w:name w:val="endnote text"/>
    <w:basedOn w:val="Normal"/>
    <w:link w:val="TextonotaalfinalCar"/>
    <w:uiPriority w:val="99"/>
    <w:semiHidden/>
    <w:unhideWhenUsed/>
    <w:rsid w:val="00FE5C47"/>
    <w:rPr>
      <w:rFonts w:ascii="Calibri" w:eastAsia="Calibri" w:hAnsi="Calibri"/>
      <w:sz w:val="20"/>
      <w:szCs w:val="20"/>
      <w:lang w:val="es-ES" w:eastAsia="en-US"/>
    </w:rPr>
  </w:style>
  <w:style w:type="character" w:customStyle="1" w:styleId="TextonotaalfinalCar">
    <w:name w:val="Texto nota al final Car"/>
    <w:basedOn w:val="Fuentedeprrafopredeter"/>
    <w:link w:val="Textonotaalfinal"/>
    <w:uiPriority w:val="99"/>
    <w:semiHidden/>
    <w:rsid w:val="00FE5C47"/>
    <w:rPr>
      <w:rFonts w:ascii="Calibri" w:eastAsia="Calibri" w:hAnsi="Calibri"/>
      <w:lang w:val="es-ES" w:eastAsia="en-US"/>
    </w:rPr>
  </w:style>
  <w:style w:type="character" w:styleId="Refdenotaalfinal">
    <w:name w:val="endnote reference"/>
    <w:uiPriority w:val="99"/>
    <w:semiHidden/>
    <w:unhideWhenUsed/>
    <w:rsid w:val="00FE5C47"/>
    <w:rPr>
      <w:vertAlign w:val="superscript"/>
    </w:rPr>
  </w:style>
  <w:style w:type="character" w:customStyle="1" w:styleId="Mencinsinresolver2">
    <w:name w:val="Mención sin resolver2"/>
    <w:uiPriority w:val="99"/>
    <w:semiHidden/>
    <w:unhideWhenUsed/>
    <w:rsid w:val="00FE5C47"/>
    <w:rPr>
      <w:color w:val="605E5C"/>
      <w:shd w:val="clear" w:color="auto" w:fill="E1DFDD"/>
    </w:rPr>
  </w:style>
  <w:style w:type="character" w:customStyle="1" w:styleId="InternetLink">
    <w:name w:val="Internet Link"/>
    <w:uiPriority w:val="99"/>
    <w:unhideWhenUsed/>
    <w:rsid w:val="00FE5C47"/>
    <w:rPr>
      <w:color w:val="0563C1"/>
      <w:u w:val="single"/>
    </w:rPr>
  </w:style>
  <w:style w:type="character" w:customStyle="1" w:styleId="Mencinsinresolver3">
    <w:name w:val="Mención sin resolver3"/>
    <w:uiPriority w:val="99"/>
    <w:semiHidden/>
    <w:unhideWhenUsed/>
    <w:rsid w:val="00FE5C47"/>
    <w:rPr>
      <w:color w:val="605E5C"/>
      <w:shd w:val="clear" w:color="auto" w:fill="E1DFDD"/>
    </w:rPr>
  </w:style>
  <w:style w:type="character" w:styleId="Refdecomentario">
    <w:name w:val="annotation reference"/>
    <w:uiPriority w:val="99"/>
    <w:semiHidden/>
    <w:unhideWhenUsed/>
    <w:rsid w:val="00FE5C47"/>
    <w:rPr>
      <w:sz w:val="16"/>
      <w:szCs w:val="16"/>
    </w:rPr>
  </w:style>
  <w:style w:type="paragraph" w:styleId="Textocomentario">
    <w:name w:val="annotation text"/>
    <w:basedOn w:val="Normal"/>
    <w:link w:val="TextocomentarioCar"/>
    <w:uiPriority w:val="99"/>
    <w:semiHidden/>
    <w:unhideWhenUsed/>
    <w:rsid w:val="00FE5C47"/>
    <w:pPr>
      <w:spacing w:after="16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FE5C47"/>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FE5C47"/>
    <w:rPr>
      <w:b/>
      <w:bCs/>
    </w:rPr>
  </w:style>
  <w:style w:type="character" w:customStyle="1" w:styleId="AsuntodelcomentarioCar">
    <w:name w:val="Asunto del comentario Car"/>
    <w:basedOn w:val="TextocomentarioCar"/>
    <w:link w:val="Asuntodelcomentario"/>
    <w:uiPriority w:val="99"/>
    <w:semiHidden/>
    <w:rsid w:val="00FE5C47"/>
    <w:rPr>
      <w:rFonts w:ascii="Calibri" w:eastAsia="Calibri" w:hAnsi="Calibri"/>
      <w:b/>
      <w:bCs/>
      <w:lang w:val="es-ES" w:eastAsia="en-US"/>
    </w:rPr>
  </w:style>
  <w:style w:type="paragraph" w:styleId="Textonotapie">
    <w:name w:val="footnote text"/>
    <w:basedOn w:val="Normal"/>
    <w:link w:val="TextonotapieCar"/>
    <w:uiPriority w:val="99"/>
    <w:semiHidden/>
    <w:unhideWhenUsed/>
    <w:rsid w:val="00FE5C47"/>
    <w:rPr>
      <w:rFonts w:ascii="Calibri" w:eastAsia="Calibri" w:hAnsi="Calibri"/>
      <w:sz w:val="20"/>
      <w:szCs w:val="20"/>
      <w:lang w:val="es-ES" w:eastAsia="en-US"/>
    </w:rPr>
  </w:style>
  <w:style w:type="character" w:customStyle="1" w:styleId="TextonotapieCar">
    <w:name w:val="Texto nota pie Car"/>
    <w:basedOn w:val="Fuentedeprrafopredeter"/>
    <w:link w:val="Textonotapie"/>
    <w:uiPriority w:val="99"/>
    <w:semiHidden/>
    <w:rsid w:val="00FE5C47"/>
    <w:rPr>
      <w:rFonts w:ascii="Calibri" w:eastAsia="Calibri" w:hAnsi="Calibri"/>
      <w:lang w:val="es-ES" w:eastAsia="en-US"/>
    </w:rPr>
  </w:style>
  <w:style w:type="character" w:styleId="Refdenotaalpie">
    <w:name w:val="footnote reference"/>
    <w:uiPriority w:val="99"/>
    <w:semiHidden/>
    <w:unhideWhenUsed/>
    <w:rsid w:val="00FE5C47"/>
    <w:rPr>
      <w:vertAlign w:val="superscript"/>
    </w:rPr>
  </w:style>
  <w:style w:type="paragraph" w:customStyle="1" w:styleId="Descripcin1">
    <w:name w:val="Descripción1"/>
    <w:basedOn w:val="Normal"/>
    <w:next w:val="Normal"/>
    <w:uiPriority w:val="35"/>
    <w:unhideWhenUsed/>
    <w:qFormat/>
    <w:rsid w:val="00FE5C47"/>
    <w:pPr>
      <w:spacing w:after="200"/>
    </w:pPr>
    <w:rPr>
      <w:rFonts w:ascii="Calibri" w:eastAsia="Calibri" w:hAnsi="Calibri"/>
      <w:i/>
      <w:iCs/>
      <w:color w:val="44546A"/>
      <w:sz w:val="18"/>
      <w:szCs w:val="18"/>
      <w:lang w:val="es-ES" w:eastAsia="en-US"/>
    </w:rPr>
  </w:style>
  <w:style w:type="character" w:customStyle="1" w:styleId="Mencinsinresolver4">
    <w:name w:val="Mención sin resolver4"/>
    <w:uiPriority w:val="99"/>
    <w:semiHidden/>
    <w:unhideWhenUsed/>
    <w:rsid w:val="00FE5C47"/>
    <w:rPr>
      <w:color w:val="605E5C"/>
      <w:shd w:val="clear" w:color="auto" w:fill="E1DFDD"/>
    </w:rPr>
  </w:style>
  <w:style w:type="character" w:styleId="Mencinsinresolver">
    <w:name w:val="Unresolved Mention"/>
    <w:uiPriority w:val="99"/>
    <w:semiHidden/>
    <w:unhideWhenUsed/>
    <w:rsid w:val="00FE5C47"/>
    <w:rPr>
      <w:color w:val="605E5C"/>
      <w:shd w:val="clear" w:color="auto" w:fill="E1DFDD"/>
    </w:rPr>
  </w:style>
  <w:style w:type="character" w:styleId="Hipervnculovisitado">
    <w:name w:val="FollowedHyperlink"/>
    <w:basedOn w:val="Fuentedeprrafopredeter"/>
    <w:semiHidden/>
    <w:unhideWhenUsed/>
    <w:rsid w:val="00FE5C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71-4429" TargetMode="External"/><Relationship Id="rId13" Type="http://schemas.openxmlformats.org/officeDocument/2006/relationships/hyperlink" Target="https://orcid.org/0000-0002-2249-4801" TargetMode="External"/><Relationship Id="rId18" Type="http://schemas.openxmlformats.org/officeDocument/2006/relationships/hyperlink" Target="https://dialnet.unirioja.es/servlet/articulo?codigo=5353616" TargetMode="External"/><Relationship Id="rId26" Type="http://schemas.openxmlformats.org/officeDocument/2006/relationships/hyperlink" Target="http://scielo.sld.cu/scielo.php?script=sci_arttext&amp;pid=S1817-40782020000200407" TargetMode="External"/><Relationship Id="rId3" Type="http://schemas.openxmlformats.org/officeDocument/2006/relationships/settings" Target="settings.xml"/><Relationship Id="rId21" Type="http://schemas.openxmlformats.org/officeDocument/2006/relationships/hyperlink" Target="http://www.psicocuba.uh.cu/index.php/PsicoCuba/article/view/24" TargetMode="External"/><Relationship Id="rId7" Type="http://schemas.openxmlformats.org/officeDocument/2006/relationships/hyperlink" Target="https://orcid.org/0000-0002-0259-0708" TargetMode="External"/><Relationship Id="rId12" Type="http://schemas.openxmlformats.org/officeDocument/2006/relationships/hyperlink" Target="https://orcid.org/0000-0002-5339-8118" TargetMode="External"/><Relationship Id="rId17" Type="http://schemas.openxmlformats.org/officeDocument/2006/relationships/hyperlink" Target="https://scielo.conicyt.cl/scielo.php?pid=S0034-98872020000801139&amp;script=sci_arttext" TargetMode="External"/><Relationship Id="rId25" Type="http://schemas.openxmlformats.org/officeDocument/2006/relationships/hyperlink" Target="https://www.scopus.com/inward/record.uri?eid=2-s2.0-85101865180&amp;doi=10.2196%2f21415&amp;partnerID=40&amp;md5=cf9e4a1b478d04235e31b52007fc1fe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psos.com/sites/default/files/ct/news/documents/2020-03/estudio_de_la_opinion_publica_sobre_la_crisis_del_coronavirus.pdf" TargetMode="External"/><Relationship Id="rId20" Type="http://schemas.openxmlformats.org/officeDocument/2006/relationships/hyperlink" Target="http://www.revistaccuba.sld.cu/index.php/revacc/article/view/912"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063-6843" TargetMode="External"/><Relationship Id="rId24" Type="http://schemas.openxmlformats.org/officeDocument/2006/relationships/hyperlink" Target="http://doi.org/10.5281/zenodo.503940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lud.msp.gob.cu/category/COVID-19/" TargetMode="External"/><Relationship Id="rId23" Type="http://schemas.openxmlformats.org/officeDocument/2006/relationships/hyperlink" Target="https://dialnet.unirioja.es/descarga/articulo/7407219.pdf" TargetMode="External"/><Relationship Id="rId28" Type="http://schemas.openxmlformats.org/officeDocument/2006/relationships/hyperlink" Target="http://cienciamerica.uti.edu.ec/openjournal/index.php/uti/article/view/314" TargetMode="External"/><Relationship Id="rId10" Type="http://schemas.openxmlformats.org/officeDocument/2006/relationships/hyperlink" Target="https://orcid.org/0000-0001-8661-2259" TargetMode="External"/><Relationship Id="rId19" Type="http://schemas.openxmlformats.org/officeDocument/2006/relationships/hyperlink" Target="https://doi.org/10.1111/j.1467-8721.2006.00461.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3-3259-0263" TargetMode="External"/><Relationship Id="rId14" Type="http://schemas.openxmlformats.org/officeDocument/2006/relationships/hyperlink" Target="mailto:alain.chaple@uautonoma.cl" TargetMode="External"/><Relationship Id="rId22" Type="http://schemas.openxmlformats.org/officeDocument/2006/relationships/hyperlink" Target="https://doi.org/10.1111/j.1559-1816.2008.00380.x" TargetMode="External"/><Relationship Id="rId27" Type="http://schemas.openxmlformats.org/officeDocument/2006/relationships/hyperlink" Target="http://scielo.sld.cu/scielo.php?script=sci_arttext&amp;pid=S1028-48182021000100003"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13</TotalTime>
  <Pages>17</Pages>
  <Words>5188</Words>
  <Characters>28537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33658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11</cp:revision>
  <cp:lastPrinted>2021-12-11T20:10:00Z</cp:lastPrinted>
  <dcterms:created xsi:type="dcterms:W3CDTF">2021-12-11T20:02:00Z</dcterms:created>
  <dcterms:modified xsi:type="dcterms:W3CDTF">2021-12-11T20:15:00Z</dcterms:modified>
</cp:coreProperties>
</file>