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A7D4E" w14:textId="77777777" w:rsidR="00A9033D" w:rsidRPr="00A9033D" w:rsidRDefault="00A9033D" w:rsidP="00A9033D">
      <w:pPr>
        <w:spacing w:line="360" w:lineRule="auto"/>
        <w:jc w:val="right"/>
        <w:rPr>
          <w:bCs/>
          <w:color w:val="2E2E2E"/>
          <w:sz w:val="20"/>
          <w:szCs w:val="20"/>
          <w:lang w:eastAsia="en-US"/>
        </w:rPr>
      </w:pPr>
      <w:r w:rsidRPr="00A9033D">
        <w:rPr>
          <w:bCs/>
          <w:color w:val="2E2E2E"/>
          <w:sz w:val="20"/>
          <w:szCs w:val="20"/>
          <w:lang w:eastAsia="en-US"/>
        </w:rPr>
        <w:t>Artículo de investigación</w:t>
      </w:r>
    </w:p>
    <w:p w14:paraId="7155F86B" w14:textId="77777777" w:rsidR="00A9033D" w:rsidRPr="00A9033D" w:rsidRDefault="00A9033D" w:rsidP="00A9033D">
      <w:pPr>
        <w:spacing w:line="360" w:lineRule="auto"/>
        <w:jc w:val="right"/>
        <w:rPr>
          <w:b/>
          <w:color w:val="2E2E2E"/>
          <w:lang w:eastAsia="en-US"/>
        </w:rPr>
      </w:pPr>
    </w:p>
    <w:p w14:paraId="0A280DF8" w14:textId="77777777" w:rsidR="00A9033D" w:rsidRPr="00A9033D" w:rsidRDefault="00A9033D" w:rsidP="00A9033D">
      <w:pPr>
        <w:spacing w:line="360" w:lineRule="auto"/>
        <w:jc w:val="center"/>
        <w:rPr>
          <w:b/>
          <w:color w:val="2E2E2E"/>
          <w:sz w:val="28"/>
          <w:szCs w:val="28"/>
          <w:lang w:eastAsia="en-US"/>
        </w:rPr>
      </w:pPr>
      <w:r w:rsidRPr="00A9033D">
        <w:rPr>
          <w:b/>
          <w:color w:val="2E2E2E"/>
          <w:sz w:val="28"/>
          <w:szCs w:val="28"/>
          <w:lang w:eastAsia="en-US"/>
        </w:rPr>
        <w:t>Relación de la ansiedad en población universitaria con la cifra de fallecidos por la COVID-19</w:t>
      </w:r>
    </w:p>
    <w:p w14:paraId="3DACA88E" w14:textId="77777777" w:rsidR="00A9033D" w:rsidRPr="00A9033D" w:rsidRDefault="00A9033D" w:rsidP="00A9033D">
      <w:pPr>
        <w:spacing w:line="360" w:lineRule="auto"/>
        <w:jc w:val="center"/>
        <w:rPr>
          <w:color w:val="2E2E2E"/>
          <w:sz w:val="28"/>
          <w:szCs w:val="28"/>
          <w:lang w:val="en-US" w:eastAsia="en-US"/>
        </w:rPr>
      </w:pPr>
      <w:r w:rsidRPr="00A9033D">
        <w:rPr>
          <w:color w:val="2E2E2E"/>
          <w:sz w:val="28"/>
          <w:szCs w:val="28"/>
          <w:lang w:val="en-US" w:eastAsia="en-US"/>
        </w:rPr>
        <w:t>Relationship of anxiety in the university population with the number of deaths from COVID-19</w:t>
      </w:r>
    </w:p>
    <w:p w14:paraId="23CB11AD" w14:textId="77777777" w:rsidR="00A9033D" w:rsidRPr="00A9033D" w:rsidRDefault="00A9033D" w:rsidP="00A9033D">
      <w:pPr>
        <w:spacing w:line="360" w:lineRule="auto"/>
        <w:jc w:val="center"/>
        <w:rPr>
          <w:b/>
          <w:color w:val="2E2E2E"/>
          <w:lang w:val="en-US" w:eastAsia="en-US"/>
        </w:rPr>
      </w:pPr>
    </w:p>
    <w:p w14:paraId="4071D544" w14:textId="77777777" w:rsidR="00A9033D" w:rsidRPr="00A9033D" w:rsidRDefault="00A9033D" w:rsidP="00A9033D">
      <w:pPr>
        <w:spacing w:line="360" w:lineRule="auto"/>
        <w:rPr>
          <w:bCs/>
          <w:color w:val="2E2E2E"/>
          <w:lang w:val="es-CU" w:eastAsia="en-US"/>
        </w:rPr>
      </w:pPr>
      <w:r w:rsidRPr="00A9033D">
        <w:rPr>
          <w:bCs/>
          <w:color w:val="2E2E2E"/>
          <w:lang w:val="es-CU" w:eastAsia="en-US"/>
        </w:rPr>
        <w:t xml:space="preserve">Wilson Guillermo </w:t>
      </w:r>
      <w:proofErr w:type="spellStart"/>
      <w:r w:rsidRPr="00A9033D">
        <w:rPr>
          <w:bCs/>
          <w:color w:val="2E2E2E"/>
          <w:lang w:val="es-CU" w:eastAsia="en-US"/>
        </w:rPr>
        <w:t>Siguenza</w:t>
      </w:r>
      <w:proofErr w:type="spellEnd"/>
      <w:r w:rsidRPr="00A9033D">
        <w:rPr>
          <w:bCs/>
          <w:color w:val="2E2E2E"/>
          <w:lang w:val="es-CU" w:eastAsia="en-US"/>
        </w:rPr>
        <w:t xml:space="preserve"> Campoverde</w:t>
      </w:r>
      <w:r w:rsidRPr="00A9033D">
        <w:rPr>
          <w:bCs/>
          <w:color w:val="2E2E2E"/>
          <w:vertAlign w:val="superscript"/>
          <w:lang w:val="es-CU" w:eastAsia="en-US"/>
        </w:rPr>
        <w:t>1</w:t>
      </w:r>
      <w:r w:rsidRPr="00A9033D">
        <w:rPr>
          <w:bCs/>
          <w:color w:val="2E2E2E"/>
          <w:lang w:val="es-CU" w:eastAsia="en-US"/>
        </w:rPr>
        <w:t xml:space="preserve">* </w:t>
      </w:r>
      <w:hyperlink r:id="rId7" w:history="1">
        <w:r w:rsidRPr="00A9033D">
          <w:rPr>
            <w:bCs/>
            <w:color w:val="0000FF"/>
            <w:u w:val="single"/>
            <w:lang w:val="es-CU" w:eastAsia="en-US"/>
          </w:rPr>
          <w:t>https://orcid.org/0000-0003-1089-7109</w:t>
        </w:r>
      </w:hyperlink>
      <w:r w:rsidRPr="00A9033D">
        <w:rPr>
          <w:bCs/>
          <w:color w:val="2E2E2E"/>
          <w:lang w:val="es-CU" w:eastAsia="en-US"/>
        </w:rPr>
        <w:t xml:space="preserve"> </w:t>
      </w:r>
    </w:p>
    <w:p w14:paraId="6A0F6D1D" w14:textId="77777777" w:rsidR="00A9033D" w:rsidRPr="00A9033D" w:rsidRDefault="00A9033D" w:rsidP="00A9033D">
      <w:pPr>
        <w:spacing w:line="360" w:lineRule="auto"/>
        <w:rPr>
          <w:bCs/>
          <w:color w:val="2E2E2E"/>
          <w:lang w:val="es-CU" w:eastAsia="en-US"/>
        </w:rPr>
      </w:pPr>
      <w:r w:rsidRPr="00A9033D">
        <w:rPr>
          <w:bCs/>
          <w:color w:val="2E2E2E"/>
          <w:lang w:val="es-CU" w:eastAsia="en-US"/>
        </w:rPr>
        <w:t>Anna Lucia Guamán Aucapiña</w:t>
      </w:r>
      <w:r w:rsidRPr="00A9033D">
        <w:rPr>
          <w:bCs/>
          <w:color w:val="2E2E2E"/>
          <w:vertAlign w:val="superscript"/>
          <w:lang w:val="es-CU" w:eastAsia="en-US"/>
        </w:rPr>
        <w:t>1</w:t>
      </w:r>
      <w:r w:rsidRPr="00A9033D">
        <w:rPr>
          <w:bCs/>
          <w:color w:val="2E2E2E"/>
          <w:lang w:val="es-CU" w:eastAsia="en-US"/>
        </w:rPr>
        <w:t xml:space="preserve"> </w:t>
      </w:r>
      <w:hyperlink r:id="rId8" w:history="1">
        <w:r w:rsidRPr="00A9033D">
          <w:rPr>
            <w:bCs/>
            <w:color w:val="0000FF"/>
            <w:u w:val="single"/>
            <w:lang w:val="es-CU" w:eastAsia="en-US"/>
          </w:rPr>
          <w:t>https://orcid.org/0000-0003-1021-4590</w:t>
        </w:r>
      </w:hyperlink>
      <w:r w:rsidRPr="00A9033D">
        <w:rPr>
          <w:bCs/>
          <w:color w:val="2E2E2E"/>
          <w:lang w:val="es-CU" w:eastAsia="en-US"/>
        </w:rPr>
        <w:t xml:space="preserve"> </w:t>
      </w:r>
    </w:p>
    <w:p w14:paraId="6CD9E273" w14:textId="77777777" w:rsidR="00A9033D" w:rsidRPr="00A9033D" w:rsidRDefault="00A9033D" w:rsidP="00A9033D">
      <w:pPr>
        <w:spacing w:line="360" w:lineRule="auto"/>
        <w:rPr>
          <w:bCs/>
          <w:color w:val="2E2E2E"/>
          <w:lang w:val="es-CU" w:eastAsia="en-US"/>
        </w:rPr>
      </w:pPr>
    </w:p>
    <w:p w14:paraId="7DD14BB6" w14:textId="77777777" w:rsidR="00A9033D" w:rsidRPr="00A9033D" w:rsidRDefault="00A9033D" w:rsidP="00A9033D">
      <w:pPr>
        <w:spacing w:line="360" w:lineRule="auto"/>
        <w:rPr>
          <w:bCs/>
          <w:color w:val="2E2E2E"/>
          <w:lang w:val="es-CU" w:eastAsia="en-US"/>
        </w:rPr>
      </w:pPr>
      <w:r w:rsidRPr="00A9033D">
        <w:rPr>
          <w:bCs/>
          <w:color w:val="2E2E2E"/>
          <w:vertAlign w:val="superscript"/>
          <w:lang w:val="es-CU" w:eastAsia="en-US"/>
        </w:rPr>
        <w:t>1</w:t>
      </w:r>
      <w:r w:rsidRPr="00A9033D">
        <w:rPr>
          <w:bCs/>
          <w:color w:val="2E2E2E"/>
          <w:lang w:val="es-CU" w:eastAsia="en-US"/>
        </w:rPr>
        <w:t>Universidad Técnica Particular de Loja. Loja, Ecuador.</w:t>
      </w:r>
    </w:p>
    <w:p w14:paraId="615281B9" w14:textId="77777777" w:rsidR="00A9033D" w:rsidRPr="00A9033D" w:rsidRDefault="00A9033D" w:rsidP="00A9033D">
      <w:pPr>
        <w:spacing w:line="360" w:lineRule="auto"/>
        <w:rPr>
          <w:bCs/>
          <w:color w:val="2E2E2E"/>
          <w:lang w:val="es-CU" w:eastAsia="en-US"/>
        </w:rPr>
      </w:pPr>
    </w:p>
    <w:p w14:paraId="354772BF" w14:textId="77777777" w:rsidR="00A9033D" w:rsidRPr="00A9033D" w:rsidRDefault="00A9033D" w:rsidP="00A9033D">
      <w:pPr>
        <w:spacing w:line="360" w:lineRule="auto"/>
        <w:rPr>
          <w:bCs/>
          <w:color w:val="2E2E2E"/>
          <w:lang w:val="es-CU" w:eastAsia="en-US"/>
        </w:rPr>
      </w:pPr>
      <w:r w:rsidRPr="00A9033D">
        <w:rPr>
          <w:bCs/>
          <w:color w:val="2E2E2E"/>
          <w:lang w:val="es-CU" w:eastAsia="en-US"/>
        </w:rPr>
        <w:t xml:space="preserve">*Autor para la correspondencia. Correo electrónico: </w:t>
      </w:r>
      <w:hyperlink r:id="rId9" w:history="1">
        <w:r w:rsidRPr="00A9033D">
          <w:rPr>
            <w:bCs/>
            <w:color w:val="0000FF"/>
            <w:u w:val="single"/>
            <w:lang w:val="es-CU" w:eastAsia="en-US"/>
          </w:rPr>
          <w:t>wgsiguenza@utpl.edu.ec</w:t>
        </w:r>
      </w:hyperlink>
      <w:r w:rsidRPr="00A9033D">
        <w:rPr>
          <w:bCs/>
          <w:color w:val="2E2E2E"/>
          <w:lang w:val="es-CU" w:eastAsia="en-US"/>
        </w:rPr>
        <w:t xml:space="preserve"> </w:t>
      </w:r>
    </w:p>
    <w:p w14:paraId="1109C961" w14:textId="77777777" w:rsidR="00A9033D" w:rsidRPr="00A9033D" w:rsidRDefault="00A9033D" w:rsidP="00A9033D">
      <w:pPr>
        <w:spacing w:line="360" w:lineRule="auto"/>
        <w:rPr>
          <w:bCs/>
          <w:color w:val="2E2E2E"/>
          <w:lang w:val="es-CU" w:eastAsia="en-US"/>
        </w:rPr>
      </w:pPr>
    </w:p>
    <w:p w14:paraId="3F7F465C" w14:textId="77777777" w:rsidR="00A9033D" w:rsidRPr="00A9033D" w:rsidRDefault="00A9033D" w:rsidP="00A9033D">
      <w:pPr>
        <w:spacing w:line="360" w:lineRule="auto"/>
        <w:rPr>
          <w:b/>
          <w:color w:val="2E2E2E"/>
          <w:lang w:eastAsia="en-US"/>
        </w:rPr>
      </w:pPr>
      <w:r w:rsidRPr="00A9033D">
        <w:rPr>
          <w:b/>
          <w:color w:val="2E2E2E"/>
          <w:lang w:eastAsia="en-US"/>
        </w:rPr>
        <w:t>RESUMEN</w:t>
      </w:r>
    </w:p>
    <w:p w14:paraId="10BB1323" w14:textId="77777777" w:rsidR="00A9033D" w:rsidRPr="00A9033D" w:rsidRDefault="00A9033D" w:rsidP="00A9033D">
      <w:pPr>
        <w:spacing w:line="360" w:lineRule="auto"/>
        <w:jc w:val="both"/>
        <w:rPr>
          <w:color w:val="000000"/>
          <w:lang w:eastAsia="en-US"/>
        </w:rPr>
      </w:pPr>
      <w:r w:rsidRPr="00A9033D">
        <w:rPr>
          <w:b/>
          <w:lang w:eastAsia="en-US"/>
        </w:rPr>
        <w:t xml:space="preserve">Introducción: </w:t>
      </w:r>
      <w:r w:rsidRPr="00A9033D">
        <w:rPr>
          <w:color w:val="000000"/>
          <w:lang w:eastAsia="en-US"/>
        </w:rPr>
        <w:t xml:space="preserve">Con la presencia de la COVID-19 a nivel planetario, la población ha experimentado problemas físicos y mentales, que en casos extremos llevan a la muerte y traen consigo altos índices de ansiedad de quienes se ven involucrados en esta situación. </w:t>
      </w:r>
    </w:p>
    <w:p w14:paraId="73D9E5C7" w14:textId="77777777" w:rsidR="00A9033D" w:rsidRPr="00A9033D" w:rsidRDefault="00A9033D" w:rsidP="00A9033D">
      <w:pPr>
        <w:spacing w:line="360" w:lineRule="auto"/>
        <w:jc w:val="both"/>
        <w:rPr>
          <w:color w:val="000000"/>
          <w:lang w:eastAsia="en-US"/>
        </w:rPr>
      </w:pPr>
      <w:r w:rsidRPr="00A9033D">
        <w:rPr>
          <w:b/>
          <w:lang w:eastAsia="en-US"/>
        </w:rPr>
        <w:t xml:space="preserve">Objetivos: </w:t>
      </w:r>
      <w:r w:rsidRPr="00A9033D">
        <w:rPr>
          <w:color w:val="000000"/>
          <w:lang w:eastAsia="en-US"/>
        </w:rPr>
        <w:t>Establecer la distribución geográfica de la ansiedad en estudiantes universitarios ante el número de muertos por la COVID-19.</w:t>
      </w:r>
    </w:p>
    <w:p w14:paraId="0950E8C0" w14:textId="77777777" w:rsidR="00A9033D" w:rsidRPr="00A9033D" w:rsidRDefault="00A9033D" w:rsidP="00A9033D">
      <w:pPr>
        <w:spacing w:line="360" w:lineRule="auto"/>
        <w:jc w:val="both"/>
        <w:rPr>
          <w:color w:val="000000"/>
          <w:lang w:eastAsia="en-US"/>
        </w:rPr>
      </w:pPr>
      <w:r w:rsidRPr="00A9033D">
        <w:rPr>
          <w:b/>
          <w:lang w:eastAsia="en-US"/>
        </w:rPr>
        <w:t xml:space="preserve">Métodos: </w:t>
      </w:r>
      <w:r w:rsidRPr="00A9033D">
        <w:rPr>
          <w:lang w:eastAsia="en-US"/>
        </w:rPr>
        <w:t xml:space="preserve">Se realizó un estudio cuantitativo, exploratorio, descriptivo, transversal. La población fue de 720 universitarios varones y mujeres de entre 17 a 64 años de edad, de veintitrés provincias del Ecuador, quienes fueron evaluados con la Escala de Ansiedad Manifiesta para universitarios.   </w:t>
      </w:r>
    </w:p>
    <w:p w14:paraId="7FFDBF20" w14:textId="77777777" w:rsidR="00A9033D" w:rsidRPr="00A9033D" w:rsidRDefault="00A9033D" w:rsidP="00A9033D">
      <w:pPr>
        <w:spacing w:line="360" w:lineRule="auto"/>
        <w:jc w:val="both"/>
        <w:rPr>
          <w:color w:val="000000"/>
          <w:lang w:eastAsia="en-US"/>
        </w:rPr>
      </w:pPr>
      <w:r w:rsidRPr="00A9033D">
        <w:rPr>
          <w:b/>
          <w:lang w:eastAsia="en-US"/>
        </w:rPr>
        <w:t xml:space="preserve">Resultados: </w:t>
      </w:r>
      <w:r w:rsidRPr="00A9033D">
        <w:rPr>
          <w:color w:val="000000"/>
          <w:lang w:eastAsia="en-US"/>
        </w:rPr>
        <w:t>El 12,2 % presenta ansiedad extrema y el 22,9 % ansiedad clínicamente significativa. Se identifica la existencia de asociación significativa entre las regiones naturales del Ecuador y el nivel de ansiedad de los estudiantes (</w:t>
      </w:r>
      <w:r w:rsidRPr="00A9033D">
        <w:rPr>
          <w:iCs/>
          <w:color w:val="000000"/>
          <w:lang w:eastAsia="en-US"/>
        </w:rPr>
        <w:t>p</w:t>
      </w:r>
      <w:r w:rsidRPr="00A9033D">
        <w:rPr>
          <w:color w:val="000000"/>
          <w:lang w:eastAsia="en-US"/>
        </w:rPr>
        <w:t xml:space="preserve"> = 0,04). Por otra parte, se establece la relación entre muertos por la COVID-19 por cada 100 000 habitantes por provincia por día, y la ansiedad (</w:t>
      </w:r>
      <w:r w:rsidRPr="00A9033D">
        <w:rPr>
          <w:iCs/>
          <w:color w:val="000000"/>
          <w:lang w:eastAsia="en-US"/>
        </w:rPr>
        <w:t>p</w:t>
      </w:r>
      <w:r w:rsidRPr="00A9033D">
        <w:rPr>
          <w:color w:val="000000"/>
          <w:lang w:eastAsia="en-US"/>
        </w:rPr>
        <w:t xml:space="preserve"> = 0,015). </w:t>
      </w:r>
    </w:p>
    <w:p w14:paraId="449A235D" w14:textId="77777777" w:rsidR="00A9033D" w:rsidRPr="00A9033D" w:rsidRDefault="00A9033D" w:rsidP="00A9033D">
      <w:pPr>
        <w:spacing w:line="360" w:lineRule="auto"/>
        <w:jc w:val="both"/>
        <w:rPr>
          <w:color w:val="000000"/>
          <w:lang w:eastAsia="en-US"/>
        </w:rPr>
      </w:pPr>
      <w:r w:rsidRPr="00A9033D">
        <w:rPr>
          <w:b/>
          <w:lang w:eastAsia="en-US"/>
        </w:rPr>
        <w:lastRenderedPageBreak/>
        <w:t xml:space="preserve">Conclusiones: </w:t>
      </w:r>
      <w:r w:rsidRPr="00A9033D">
        <w:rPr>
          <w:color w:val="000000"/>
          <w:lang w:eastAsia="en-US"/>
        </w:rPr>
        <w:t>Los estudiantes presentan niveles elevados de ansiedad según su ubicación geográfica, relacionado con el incremento importante de casos y fallecidos por la COVID-19. Finalmente, las variables sexo, personas con las que vive, situación laboral, regiones naturales del Ecuador, ciclo de estudio y carrera se relacionaron con los niveles de ansiedad.</w:t>
      </w:r>
    </w:p>
    <w:p w14:paraId="684B809F" w14:textId="77777777" w:rsidR="00A9033D" w:rsidRPr="00A9033D" w:rsidRDefault="00A9033D" w:rsidP="00A9033D">
      <w:pPr>
        <w:spacing w:line="360" w:lineRule="auto"/>
        <w:rPr>
          <w:color w:val="000000"/>
          <w:lang w:eastAsia="en-US"/>
        </w:rPr>
      </w:pPr>
      <w:r w:rsidRPr="00A9033D">
        <w:rPr>
          <w:b/>
          <w:color w:val="000000"/>
          <w:lang w:eastAsia="en-US"/>
        </w:rPr>
        <w:t>Palabras clave:</w:t>
      </w:r>
      <w:r w:rsidRPr="00A9033D">
        <w:rPr>
          <w:color w:val="000000"/>
          <w:lang w:eastAsia="en-US"/>
        </w:rPr>
        <w:t xml:space="preserve">  coronavirus; COVID-19; estudiantes universitarios; ansiedad, fallecidos.</w:t>
      </w:r>
    </w:p>
    <w:p w14:paraId="33924BCC" w14:textId="77777777" w:rsidR="00A9033D" w:rsidRPr="00A9033D" w:rsidRDefault="00A9033D" w:rsidP="00A9033D">
      <w:pPr>
        <w:spacing w:line="360" w:lineRule="auto"/>
        <w:jc w:val="both"/>
        <w:rPr>
          <w:rFonts w:eastAsia="Calibri"/>
          <w:b/>
          <w:lang w:val="es-CU" w:eastAsia="en-US"/>
        </w:rPr>
      </w:pPr>
    </w:p>
    <w:p w14:paraId="0E72AA81" w14:textId="77777777" w:rsidR="00A9033D" w:rsidRPr="00A9033D" w:rsidRDefault="00A9033D" w:rsidP="00A9033D">
      <w:pPr>
        <w:spacing w:line="360" w:lineRule="auto"/>
        <w:jc w:val="both"/>
        <w:rPr>
          <w:rFonts w:eastAsia="Calibri"/>
          <w:b/>
          <w:lang w:val="en-AU" w:eastAsia="en-US"/>
        </w:rPr>
      </w:pPr>
      <w:r w:rsidRPr="00A9033D">
        <w:rPr>
          <w:rFonts w:eastAsia="Calibri"/>
          <w:b/>
          <w:lang w:val="en-AU" w:eastAsia="en-US"/>
        </w:rPr>
        <w:t xml:space="preserve">ABSTRACT </w:t>
      </w:r>
    </w:p>
    <w:p w14:paraId="6003BEB9" w14:textId="77777777" w:rsidR="00A9033D" w:rsidRPr="00A9033D" w:rsidRDefault="00A9033D" w:rsidP="00A9033D">
      <w:pPr>
        <w:spacing w:line="360" w:lineRule="auto"/>
        <w:jc w:val="both"/>
        <w:rPr>
          <w:color w:val="000000"/>
          <w:lang w:val="en-US" w:eastAsia="en-US"/>
        </w:rPr>
      </w:pPr>
      <w:r w:rsidRPr="00A9033D">
        <w:rPr>
          <w:b/>
          <w:lang w:val="en-AU" w:eastAsia="en-US"/>
        </w:rPr>
        <w:t>Introduction:</w:t>
      </w:r>
      <w:r w:rsidRPr="00A9033D">
        <w:rPr>
          <w:lang w:val="en-AU" w:eastAsia="en-US"/>
        </w:rPr>
        <w:t xml:space="preserve"> </w:t>
      </w:r>
      <w:r w:rsidRPr="00A9033D">
        <w:rPr>
          <w:color w:val="000000"/>
          <w:lang w:val="en-US" w:eastAsia="en-US"/>
        </w:rPr>
        <w:t xml:space="preserve">The COVID-19 worldwide, has brought with it that the population experienced physical and mental problems, which in extreme cases lead to death and bring with them high levels of anxiety for those who are involved in this type of situation. </w:t>
      </w:r>
    </w:p>
    <w:p w14:paraId="0AB8B154" w14:textId="77777777" w:rsidR="00A9033D" w:rsidRPr="00A9033D" w:rsidRDefault="00A9033D" w:rsidP="00A9033D">
      <w:pPr>
        <w:spacing w:line="360" w:lineRule="auto"/>
        <w:jc w:val="both"/>
        <w:rPr>
          <w:color w:val="000000"/>
          <w:lang w:val="en-US" w:eastAsia="en-US"/>
        </w:rPr>
      </w:pPr>
      <w:r w:rsidRPr="00A9033D">
        <w:rPr>
          <w:b/>
          <w:lang w:val="en-AU" w:eastAsia="en-US"/>
        </w:rPr>
        <w:t xml:space="preserve">Objectives: </w:t>
      </w:r>
      <w:r w:rsidRPr="00A9033D">
        <w:rPr>
          <w:color w:val="000000"/>
          <w:lang w:val="en-US" w:eastAsia="en-US"/>
        </w:rPr>
        <w:t>To establish the geographic distribution of the anxiety present in university students in relation to the number of deaths due to COVID-19.</w:t>
      </w:r>
    </w:p>
    <w:p w14:paraId="6A778921" w14:textId="77777777" w:rsidR="00A9033D" w:rsidRPr="00A9033D" w:rsidRDefault="00A9033D" w:rsidP="00A9033D">
      <w:pPr>
        <w:spacing w:line="360" w:lineRule="auto"/>
        <w:jc w:val="both"/>
        <w:rPr>
          <w:color w:val="000000"/>
          <w:lang w:val="en-US" w:eastAsia="en-US"/>
        </w:rPr>
      </w:pPr>
      <w:r w:rsidRPr="00A9033D">
        <w:rPr>
          <w:b/>
          <w:lang w:val="en-AU" w:eastAsia="en-US"/>
        </w:rPr>
        <w:t>Method:</w:t>
      </w:r>
      <w:r w:rsidRPr="00A9033D">
        <w:rPr>
          <w:lang w:val="en-AU" w:eastAsia="en-US"/>
        </w:rPr>
        <w:t xml:space="preserve"> </w:t>
      </w:r>
      <w:r w:rsidRPr="00A9033D">
        <w:rPr>
          <w:color w:val="000000"/>
          <w:lang w:val="en-US" w:eastAsia="en-US"/>
        </w:rPr>
        <w:t>A quantitative, exploratory, descriptive, cross-sectional, descriptive study was conducted. The population consisted of 720 male and female university students between 17 and 64 years of age, from twenty-three provinces of Ecuador, who were evaluated with the</w:t>
      </w:r>
      <w:r w:rsidRPr="00A9033D">
        <w:rPr>
          <w:lang w:val="en-US" w:eastAsia="en-US"/>
        </w:rPr>
        <w:t xml:space="preserve"> </w:t>
      </w:r>
      <w:r w:rsidRPr="00A9033D">
        <w:rPr>
          <w:color w:val="000000"/>
          <w:lang w:val="en-US" w:eastAsia="en-US"/>
        </w:rPr>
        <w:t>Manifest Anxiety Scale for university students.</w:t>
      </w:r>
    </w:p>
    <w:p w14:paraId="06D497E0" w14:textId="77777777" w:rsidR="00A9033D" w:rsidRPr="00A9033D" w:rsidRDefault="00A9033D" w:rsidP="00A9033D">
      <w:pPr>
        <w:spacing w:line="360" w:lineRule="auto"/>
        <w:jc w:val="both"/>
        <w:rPr>
          <w:color w:val="000000"/>
          <w:lang w:val="en-US" w:eastAsia="en-US"/>
        </w:rPr>
      </w:pPr>
      <w:r w:rsidRPr="00A9033D">
        <w:rPr>
          <w:b/>
          <w:lang w:val="en-AU" w:eastAsia="en-US"/>
        </w:rPr>
        <w:t>Results:</w:t>
      </w:r>
      <w:r w:rsidRPr="00A9033D">
        <w:rPr>
          <w:lang w:val="en-AU" w:eastAsia="en-US"/>
        </w:rPr>
        <w:t xml:space="preserve"> </w:t>
      </w:r>
      <w:r w:rsidRPr="00A9033D">
        <w:rPr>
          <w:color w:val="000000"/>
          <w:lang w:val="en-US" w:eastAsia="en-US"/>
        </w:rPr>
        <w:t>One of the main findings was that 12,2 % show evidence of extreme anxiety and 22,9 % clinically significant anxiety.</w:t>
      </w:r>
      <w:r w:rsidRPr="00A9033D">
        <w:rPr>
          <w:lang w:val="en-US" w:eastAsia="en-US"/>
        </w:rPr>
        <w:t xml:space="preserve"> </w:t>
      </w:r>
      <w:r w:rsidRPr="00A9033D">
        <w:rPr>
          <w:color w:val="000000"/>
          <w:lang w:val="en-US" w:eastAsia="en-US"/>
        </w:rPr>
        <w:t xml:space="preserve">The existence of a significant association between natural regions of Ecuador and the anxiety level of students is identified (p = 0,04). Furthermore, the relationship between deaths from COVID-19 per 100 000 inhabitants per province and anxiety (p = 0,015) is established. </w:t>
      </w:r>
    </w:p>
    <w:p w14:paraId="24D31A88" w14:textId="77777777" w:rsidR="00A9033D" w:rsidRPr="00A9033D" w:rsidRDefault="00A9033D" w:rsidP="00A9033D">
      <w:pPr>
        <w:spacing w:line="360" w:lineRule="auto"/>
        <w:jc w:val="both"/>
        <w:rPr>
          <w:color w:val="000000"/>
          <w:lang w:val="en-US" w:eastAsia="en-US"/>
        </w:rPr>
      </w:pPr>
      <w:r w:rsidRPr="00A9033D">
        <w:rPr>
          <w:b/>
          <w:lang w:val="en-AU" w:eastAsia="en-US"/>
        </w:rPr>
        <w:t>Conclusions:</w:t>
      </w:r>
      <w:r w:rsidRPr="00A9033D">
        <w:rPr>
          <w:lang w:val="en-AU" w:eastAsia="en-US"/>
        </w:rPr>
        <w:t xml:space="preserve"> Finally, sex variables, people with whom you live, employment situation, natural regions of Ecuador, cycle of study and university career were related to anxiety levels.</w:t>
      </w:r>
    </w:p>
    <w:p w14:paraId="51ADA90C" w14:textId="77777777" w:rsidR="00A9033D" w:rsidRPr="00A9033D" w:rsidRDefault="00A9033D" w:rsidP="00A9033D">
      <w:pPr>
        <w:spacing w:line="360" w:lineRule="auto"/>
        <w:rPr>
          <w:color w:val="000000"/>
          <w:lang w:val="en-US" w:eastAsia="en-US"/>
        </w:rPr>
      </w:pPr>
      <w:r w:rsidRPr="00A9033D">
        <w:rPr>
          <w:b/>
          <w:color w:val="000000"/>
          <w:lang w:val="en-US" w:eastAsia="en-US"/>
        </w:rPr>
        <w:t>Keywords:</w:t>
      </w:r>
      <w:r w:rsidRPr="00A9033D">
        <w:rPr>
          <w:color w:val="000000"/>
          <w:lang w:val="en-US" w:eastAsia="en-US"/>
        </w:rPr>
        <w:t xml:space="preserve">  coronavirus; COVID-19; undergraduates; anxiety; deaths.</w:t>
      </w:r>
    </w:p>
    <w:p w14:paraId="0E3B22CE" w14:textId="77777777" w:rsidR="00A9033D" w:rsidRPr="00A9033D" w:rsidRDefault="00A9033D" w:rsidP="00A9033D">
      <w:pPr>
        <w:spacing w:line="360" w:lineRule="auto"/>
        <w:rPr>
          <w:color w:val="000000"/>
          <w:lang w:val="en-US" w:eastAsia="en-US"/>
        </w:rPr>
      </w:pPr>
    </w:p>
    <w:p w14:paraId="0DB2EC77" w14:textId="77777777" w:rsidR="00A9033D" w:rsidRPr="00A9033D" w:rsidRDefault="00A9033D" w:rsidP="00A9033D">
      <w:pPr>
        <w:spacing w:line="360" w:lineRule="auto"/>
        <w:rPr>
          <w:color w:val="000000"/>
          <w:lang w:val="en-US" w:eastAsia="en-US"/>
        </w:rPr>
      </w:pPr>
    </w:p>
    <w:p w14:paraId="24264A7A" w14:textId="77777777" w:rsidR="00A9033D" w:rsidRPr="00A9033D" w:rsidRDefault="00A9033D" w:rsidP="00A9033D">
      <w:pPr>
        <w:spacing w:line="360" w:lineRule="auto"/>
        <w:rPr>
          <w:color w:val="000000"/>
          <w:lang w:val="es-419" w:eastAsia="en-US"/>
        </w:rPr>
      </w:pPr>
      <w:r w:rsidRPr="00A9033D">
        <w:rPr>
          <w:color w:val="000000"/>
          <w:lang w:val="es-419" w:eastAsia="en-US"/>
        </w:rPr>
        <w:t>Recibido: 30/11/2021</w:t>
      </w:r>
    </w:p>
    <w:p w14:paraId="6C03FB77" w14:textId="77777777" w:rsidR="00A9033D" w:rsidRPr="00A9033D" w:rsidRDefault="00A9033D" w:rsidP="00A9033D">
      <w:pPr>
        <w:spacing w:line="360" w:lineRule="auto"/>
        <w:rPr>
          <w:color w:val="000000"/>
          <w:lang w:val="es-419" w:eastAsia="en-US"/>
        </w:rPr>
      </w:pPr>
      <w:r w:rsidRPr="00A9033D">
        <w:rPr>
          <w:color w:val="000000"/>
          <w:lang w:val="es-419" w:eastAsia="en-US"/>
        </w:rPr>
        <w:t>Aprobado: 11/03/2022</w:t>
      </w:r>
    </w:p>
    <w:p w14:paraId="6FD2F991" w14:textId="77777777" w:rsidR="00A9033D" w:rsidRPr="00A9033D" w:rsidRDefault="00A9033D" w:rsidP="00A9033D">
      <w:pPr>
        <w:spacing w:line="360" w:lineRule="auto"/>
        <w:rPr>
          <w:rFonts w:eastAsia="Calibri"/>
          <w:b/>
          <w:lang w:val="es-419" w:eastAsia="en-US"/>
        </w:rPr>
      </w:pPr>
    </w:p>
    <w:p w14:paraId="0BBD1AE7" w14:textId="77777777" w:rsidR="00A9033D" w:rsidRPr="00A9033D" w:rsidRDefault="00A9033D" w:rsidP="00A9033D">
      <w:pPr>
        <w:spacing w:line="360" w:lineRule="auto"/>
        <w:jc w:val="center"/>
        <w:rPr>
          <w:rFonts w:eastAsia="Calibri"/>
          <w:b/>
          <w:lang w:val="es-419" w:eastAsia="en-US"/>
        </w:rPr>
      </w:pPr>
    </w:p>
    <w:p w14:paraId="70BDC0B2" w14:textId="77777777" w:rsidR="00A9033D" w:rsidRPr="00A9033D" w:rsidRDefault="00A9033D" w:rsidP="00A9033D">
      <w:pPr>
        <w:spacing w:line="360" w:lineRule="auto"/>
        <w:jc w:val="center"/>
        <w:rPr>
          <w:color w:val="000000"/>
          <w:sz w:val="32"/>
          <w:szCs w:val="32"/>
          <w:lang w:eastAsia="en-US"/>
        </w:rPr>
      </w:pPr>
      <w:r w:rsidRPr="00A9033D">
        <w:rPr>
          <w:rFonts w:eastAsia="Calibri"/>
          <w:b/>
          <w:sz w:val="32"/>
          <w:szCs w:val="32"/>
          <w:lang w:eastAsia="en-US"/>
        </w:rPr>
        <w:t>INTRODUCCIÓN</w:t>
      </w:r>
    </w:p>
    <w:p w14:paraId="3A965005" w14:textId="77777777" w:rsidR="00A9033D" w:rsidRPr="00A9033D" w:rsidRDefault="00A9033D" w:rsidP="00A9033D">
      <w:pPr>
        <w:spacing w:line="360" w:lineRule="auto"/>
        <w:jc w:val="both"/>
        <w:rPr>
          <w:color w:val="000000"/>
          <w:lang w:eastAsia="en-US"/>
        </w:rPr>
      </w:pPr>
      <w:r w:rsidRPr="00A9033D">
        <w:rPr>
          <w:color w:val="000000"/>
          <w:lang w:eastAsia="en-US"/>
        </w:rPr>
        <w:t>La COVID-19 es causada por el SARS-CoV-</w:t>
      </w:r>
      <w:proofErr w:type="gramStart"/>
      <w:r w:rsidRPr="00A9033D">
        <w:rPr>
          <w:color w:val="000000"/>
          <w:lang w:eastAsia="en-US"/>
        </w:rPr>
        <w:t>2,</w:t>
      </w:r>
      <w:r w:rsidRPr="00A9033D">
        <w:rPr>
          <w:color w:val="000000"/>
          <w:vertAlign w:val="superscript"/>
          <w:lang w:eastAsia="en-US"/>
        </w:rPr>
        <w:t>(</w:t>
      </w:r>
      <w:proofErr w:type="gramEnd"/>
      <w:r w:rsidRPr="00A9033D">
        <w:rPr>
          <w:color w:val="000000"/>
          <w:vertAlign w:val="superscript"/>
          <w:lang w:eastAsia="en-US"/>
        </w:rPr>
        <w:t>1)</w:t>
      </w:r>
      <w:r w:rsidRPr="00A9033D">
        <w:rPr>
          <w:color w:val="000000"/>
          <w:lang w:eastAsia="en-US"/>
        </w:rPr>
        <w:t xml:space="preserve"> y fue considerada por la Organización Mundial de la Salud como pandemia el 11 de marzo de 2020.</w:t>
      </w:r>
      <w:r w:rsidRPr="00A9033D">
        <w:rPr>
          <w:color w:val="000000"/>
          <w:vertAlign w:val="superscript"/>
          <w:lang w:eastAsia="en-US"/>
        </w:rPr>
        <w:t>(2)</w:t>
      </w:r>
      <w:r w:rsidRPr="00A9033D">
        <w:rPr>
          <w:color w:val="000000"/>
          <w:lang w:eastAsia="en-US"/>
        </w:rPr>
        <w:t xml:space="preserve"> Inició a finales del año 2019 y se le atribuye el origen geográfico en la provincia China de Hubei en la ciudad de Wuhan.</w:t>
      </w:r>
      <w:r w:rsidRPr="00A9033D">
        <w:rPr>
          <w:color w:val="000000"/>
          <w:vertAlign w:val="superscript"/>
          <w:lang w:eastAsia="en-US"/>
        </w:rPr>
        <w:t>(3,4,5,6)</w:t>
      </w:r>
    </w:p>
    <w:p w14:paraId="3388A443" w14:textId="77777777" w:rsidR="00A9033D" w:rsidRPr="00A9033D" w:rsidRDefault="00A9033D" w:rsidP="00A9033D">
      <w:pPr>
        <w:spacing w:line="360" w:lineRule="auto"/>
        <w:jc w:val="both"/>
        <w:rPr>
          <w:color w:val="000000"/>
          <w:lang w:eastAsia="en-US"/>
        </w:rPr>
      </w:pPr>
      <w:r w:rsidRPr="00A9033D">
        <w:rPr>
          <w:color w:val="000000"/>
          <w:lang w:eastAsia="en-US"/>
        </w:rPr>
        <w:t xml:space="preserve">Con la declaratoria de pandemia, diversos países del mundo optaron por una cuarentena que restringió la movilidad interna y externa de su </w:t>
      </w:r>
      <w:proofErr w:type="gramStart"/>
      <w:r w:rsidRPr="00A9033D">
        <w:rPr>
          <w:color w:val="000000"/>
          <w:lang w:eastAsia="en-US"/>
        </w:rPr>
        <w:t>población.</w:t>
      </w:r>
      <w:r w:rsidRPr="00A9033D">
        <w:rPr>
          <w:color w:val="000000"/>
          <w:vertAlign w:val="superscript"/>
          <w:lang w:eastAsia="en-US"/>
        </w:rPr>
        <w:t>(</w:t>
      </w:r>
      <w:proofErr w:type="gramEnd"/>
      <w:r w:rsidRPr="00A9033D">
        <w:rPr>
          <w:color w:val="000000"/>
          <w:vertAlign w:val="superscript"/>
          <w:lang w:eastAsia="en-US"/>
        </w:rPr>
        <w:t>7,8,9)</w:t>
      </w:r>
      <w:r w:rsidRPr="00A9033D">
        <w:rPr>
          <w:color w:val="000000"/>
          <w:lang w:eastAsia="en-US"/>
        </w:rPr>
        <w:t xml:space="preserve"> Esta acción generó una presión psicológica sin precedentes en los diversos contextos sociales a nivel global,</w:t>
      </w:r>
      <w:r w:rsidRPr="00A9033D">
        <w:rPr>
          <w:color w:val="000000"/>
          <w:vertAlign w:val="superscript"/>
          <w:lang w:eastAsia="en-US"/>
        </w:rPr>
        <w:t>(10,11)</w:t>
      </w:r>
      <w:r w:rsidRPr="00A9033D">
        <w:rPr>
          <w:color w:val="000000"/>
          <w:lang w:eastAsia="en-US"/>
        </w:rPr>
        <w:t xml:space="preserve"> por la incertidumbre del contagio, la preocupación por la muerte,</w:t>
      </w:r>
      <w:r w:rsidRPr="00A9033D">
        <w:rPr>
          <w:color w:val="000000"/>
          <w:vertAlign w:val="superscript"/>
          <w:lang w:eastAsia="en-US"/>
        </w:rPr>
        <w:t>(12)</w:t>
      </w:r>
      <w:r w:rsidRPr="00A9033D">
        <w:rPr>
          <w:color w:val="000000"/>
          <w:lang w:eastAsia="en-US"/>
        </w:rPr>
        <w:t xml:space="preserve"> y la imposibilidad de realizar actividades académicas</w:t>
      </w:r>
      <w:r w:rsidRPr="00A9033D">
        <w:rPr>
          <w:color w:val="000000"/>
          <w:vertAlign w:val="superscript"/>
          <w:lang w:eastAsia="en-US"/>
        </w:rPr>
        <w:t>(13,14)</w:t>
      </w:r>
      <w:r w:rsidRPr="00A9033D">
        <w:rPr>
          <w:color w:val="000000"/>
          <w:lang w:eastAsia="en-US"/>
        </w:rPr>
        <w:t xml:space="preserve"> </w:t>
      </w:r>
      <w:r w:rsidRPr="00A9033D">
        <w:rPr>
          <w:lang w:eastAsia="en-US"/>
        </w:rPr>
        <w:t>y económicas.</w:t>
      </w:r>
      <w:r w:rsidRPr="00A9033D">
        <w:rPr>
          <w:color w:val="000000"/>
          <w:vertAlign w:val="superscript"/>
          <w:lang w:eastAsia="en-US"/>
        </w:rPr>
        <w:t>(15,16)</w:t>
      </w:r>
      <w:r w:rsidRPr="00A9033D">
        <w:rPr>
          <w:lang w:eastAsia="en-US"/>
        </w:rPr>
        <w:t xml:space="preserve">. En este sentido, el 17 de noviembre de 2021, la Organización Mundial de la Salud presenta 254 256 432 casos confirmados y 5 112 461 muertes en todo el planeta, reporte que día a día </w:t>
      </w:r>
      <w:proofErr w:type="gramStart"/>
      <w:r w:rsidRPr="00A9033D">
        <w:rPr>
          <w:lang w:eastAsia="en-US"/>
        </w:rPr>
        <w:t>aumenta,</w:t>
      </w:r>
      <w:r w:rsidRPr="00A9033D">
        <w:rPr>
          <w:color w:val="000000"/>
          <w:vertAlign w:val="superscript"/>
          <w:lang w:eastAsia="en-US"/>
        </w:rPr>
        <w:t>(</w:t>
      </w:r>
      <w:proofErr w:type="gramEnd"/>
      <w:r w:rsidRPr="00A9033D">
        <w:rPr>
          <w:color w:val="000000"/>
          <w:vertAlign w:val="superscript"/>
          <w:lang w:eastAsia="en-US"/>
        </w:rPr>
        <w:t>17)</w:t>
      </w:r>
      <w:r w:rsidRPr="00A9033D">
        <w:rPr>
          <w:color w:val="000000"/>
          <w:lang w:eastAsia="en-US"/>
        </w:rPr>
        <w:t xml:space="preserve"> lo que incide en el incremento significativo de la ansiedad en la población.</w:t>
      </w:r>
      <w:r w:rsidRPr="00A9033D">
        <w:rPr>
          <w:color w:val="000000"/>
          <w:vertAlign w:val="superscript"/>
          <w:lang w:eastAsia="en-US"/>
        </w:rPr>
        <w:t>(18,19)</w:t>
      </w:r>
    </w:p>
    <w:p w14:paraId="1C126D04" w14:textId="77777777" w:rsidR="00A9033D" w:rsidRPr="00A9033D" w:rsidRDefault="00A9033D" w:rsidP="00A9033D">
      <w:pPr>
        <w:spacing w:line="360" w:lineRule="auto"/>
        <w:jc w:val="both"/>
        <w:rPr>
          <w:color w:val="000000"/>
          <w:lang w:eastAsia="en-US"/>
        </w:rPr>
      </w:pPr>
      <w:r w:rsidRPr="00A9033D">
        <w:rPr>
          <w:color w:val="000000"/>
          <w:lang w:eastAsia="en-US"/>
        </w:rPr>
        <w:t>Investigaciones actuales consideran que uno los grupos más afectados en sus distintos niveles es el escolarizado;</w:t>
      </w:r>
      <w:r w:rsidRPr="00A9033D">
        <w:rPr>
          <w:color w:val="000000"/>
          <w:vertAlign w:val="superscript"/>
          <w:lang w:eastAsia="en-US"/>
        </w:rPr>
        <w:t>(13,20,21)</w:t>
      </w:r>
      <w:r w:rsidRPr="00A9033D">
        <w:rPr>
          <w:color w:val="000000"/>
          <w:lang w:eastAsia="en-US"/>
        </w:rPr>
        <w:t xml:space="preserve"> resalta el universitario de los últimos años de formación, debido a la incertidumbre por insertarse al mercado laboral, lo cual mantiene en ellos estados ansiosos </w:t>
      </w:r>
      <w:proofErr w:type="gramStart"/>
      <w:r w:rsidRPr="00A9033D">
        <w:rPr>
          <w:color w:val="000000"/>
          <w:lang w:eastAsia="en-US"/>
        </w:rPr>
        <w:t>frecuentes.</w:t>
      </w:r>
      <w:r w:rsidRPr="00A9033D">
        <w:rPr>
          <w:color w:val="000000"/>
          <w:vertAlign w:val="superscript"/>
          <w:lang w:eastAsia="en-US"/>
        </w:rPr>
        <w:t>(</w:t>
      </w:r>
      <w:proofErr w:type="gramEnd"/>
      <w:r w:rsidRPr="00A9033D">
        <w:rPr>
          <w:color w:val="000000"/>
          <w:vertAlign w:val="superscript"/>
          <w:lang w:eastAsia="en-US"/>
        </w:rPr>
        <w:t>14)</w:t>
      </w:r>
    </w:p>
    <w:p w14:paraId="09ED01A8" w14:textId="77777777" w:rsidR="00A9033D" w:rsidRPr="00A9033D" w:rsidRDefault="00A9033D" w:rsidP="00A9033D">
      <w:pPr>
        <w:spacing w:line="360" w:lineRule="auto"/>
        <w:jc w:val="both"/>
        <w:rPr>
          <w:color w:val="000000"/>
          <w:lang w:eastAsia="en-US"/>
        </w:rPr>
      </w:pPr>
      <w:r w:rsidRPr="00A9033D">
        <w:rPr>
          <w:color w:val="000000"/>
          <w:lang w:eastAsia="en-US"/>
        </w:rPr>
        <w:t xml:space="preserve">En este sentido, los universitarios presentan niveles elevados de ansiedad ante la COVID-19, como lo mencionan </w:t>
      </w:r>
      <w:proofErr w:type="spellStart"/>
      <w:r w:rsidRPr="00A9033D">
        <w:rPr>
          <w:i/>
          <w:color w:val="000000"/>
          <w:lang w:eastAsia="en-US"/>
        </w:rPr>
        <w:t>Kaparounaki</w:t>
      </w:r>
      <w:proofErr w:type="spellEnd"/>
      <w:r w:rsidRPr="00A9033D">
        <w:rPr>
          <w:color w:val="000000"/>
          <w:lang w:eastAsia="en-US"/>
        </w:rPr>
        <w:t xml:space="preserve"> y </w:t>
      </w:r>
      <w:proofErr w:type="gramStart"/>
      <w:r w:rsidRPr="00A9033D">
        <w:rPr>
          <w:color w:val="000000"/>
          <w:lang w:eastAsia="en-US"/>
        </w:rPr>
        <w:t>otros</w:t>
      </w:r>
      <w:r w:rsidRPr="00A9033D">
        <w:rPr>
          <w:color w:val="000000"/>
          <w:vertAlign w:val="superscript"/>
          <w:lang w:eastAsia="en-US"/>
        </w:rPr>
        <w:t>(</w:t>
      </w:r>
      <w:proofErr w:type="gramEnd"/>
      <w:r w:rsidRPr="00A9033D">
        <w:rPr>
          <w:color w:val="000000"/>
          <w:vertAlign w:val="superscript"/>
          <w:lang w:eastAsia="en-US"/>
        </w:rPr>
        <w:t>22)</w:t>
      </w:r>
      <w:r w:rsidRPr="00A9033D">
        <w:rPr>
          <w:color w:val="000000"/>
          <w:lang w:eastAsia="en-US"/>
        </w:rPr>
        <w:t xml:space="preserve"> en una investigación realizada en Grecia con 1000 estudiantes universitarios, en la que el 42,5 % presentó ansiedad y el 63,3 % aumentó su pensamiento suicida. En China, </w:t>
      </w:r>
      <w:r w:rsidRPr="00A9033D">
        <w:rPr>
          <w:i/>
          <w:noProof/>
          <w:lang w:eastAsia="en-US"/>
        </w:rPr>
        <w:t>Jiang</w:t>
      </w:r>
      <w:r w:rsidRPr="00A9033D">
        <w:rPr>
          <w:noProof/>
          <w:lang w:eastAsia="en-US"/>
        </w:rPr>
        <w:t xml:space="preserve"> y </w:t>
      </w:r>
      <w:proofErr w:type="gramStart"/>
      <w:r w:rsidRPr="00A9033D">
        <w:rPr>
          <w:noProof/>
          <w:lang w:eastAsia="en-US"/>
        </w:rPr>
        <w:t>otros</w:t>
      </w:r>
      <w:r w:rsidRPr="00A9033D">
        <w:rPr>
          <w:color w:val="000000"/>
          <w:vertAlign w:val="superscript"/>
          <w:lang w:eastAsia="en-US"/>
        </w:rPr>
        <w:t>(</w:t>
      </w:r>
      <w:proofErr w:type="gramEnd"/>
      <w:r w:rsidRPr="00A9033D">
        <w:rPr>
          <w:color w:val="000000"/>
          <w:vertAlign w:val="superscript"/>
          <w:lang w:eastAsia="en-US"/>
        </w:rPr>
        <w:t>23)</w:t>
      </w:r>
      <w:r w:rsidRPr="00A9033D">
        <w:rPr>
          <w:color w:val="000000"/>
          <w:lang w:eastAsia="en-US"/>
        </w:rPr>
        <w:t xml:space="preserve"> investigaron a la población en general, el 33,21 % presentó ansiedad leve, el 41,27 % moderada y el 29,99 % grave. Finalmente, destacan que un factor relacionado con la ansiedad es ser mujer, de 55 años y de educación secundaria.</w:t>
      </w:r>
    </w:p>
    <w:p w14:paraId="64653D48" w14:textId="77777777" w:rsidR="00A9033D" w:rsidRPr="00A9033D" w:rsidRDefault="00A9033D" w:rsidP="00A9033D">
      <w:pPr>
        <w:spacing w:line="360" w:lineRule="auto"/>
        <w:jc w:val="both"/>
        <w:rPr>
          <w:color w:val="000000"/>
          <w:lang w:eastAsia="en-US"/>
        </w:rPr>
      </w:pPr>
      <w:r w:rsidRPr="00A9033D">
        <w:rPr>
          <w:color w:val="000000"/>
          <w:lang w:eastAsia="en-US"/>
        </w:rPr>
        <w:t xml:space="preserve">De manera similar, </w:t>
      </w:r>
      <w:proofErr w:type="spellStart"/>
      <w:r w:rsidRPr="00A9033D">
        <w:rPr>
          <w:i/>
          <w:color w:val="000000"/>
          <w:lang w:eastAsia="en-US"/>
        </w:rPr>
        <w:t>Dhar</w:t>
      </w:r>
      <w:proofErr w:type="spellEnd"/>
      <w:r w:rsidRPr="00A9033D">
        <w:rPr>
          <w:i/>
          <w:color w:val="000000"/>
          <w:lang w:eastAsia="en-US"/>
        </w:rPr>
        <w:t xml:space="preserve"> </w:t>
      </w:r>
      <w:r w:rsidRPr="00A9033D">
        <w:rPr>
          <w:iCs/>
          <w:color w:val="000000"/>
          <w:lang w:eastAsia="en-US"/>
        </w:rPr>
        <w:t xml:space="preserve">y </w:t>
      </w:r>
      <w:proofErr w:type="gramStart"/>
      <w:r w:rsidRPr="00A9033D">
        <w:rPr>
          <w:iCs/>
          <w:color w:val="000000"/>
          <w:lang w:eastAsia="en-US"/>
        </w:rPr>
        <w:t>otros</w:t>
      </w:r>
      <w:r w:rsidRPr="00A9033D">
        <w:rPr>
          <w:color w:val="000000"/>
          <w:vertAlign w:val="superscript"/>
          <w:lang w:eastAsia="en-US"/>
        </w:rPr>
        <w:t>(</w:t>
      </w:r>
      <w:proofErr w:type="gramEnd"/>
      <w:r w:rsidRPr="00A9033D">
        <w:rPr>
          <w:color w:val="000000"/>
          <w:vertAlign w:val="superscript"/>
          <w:lang w:eastAsia="en-US"/>
        </w:rPr>
        <w:t>24)</w:t>
      </w:r>
      <w:r w:rsidRPr="00A9033D">
        <w:rPr>
          <w:color w:val="000000"/>
          <w:lang w:eastAsia="en-US"/>
        </w:rPr>
        <w:t xml:space="preserve"> realizaron una investigación en Bangladesh, con 15 543 estudiantes de universidades públicas y privadas, de los cuales el 44,59 % sufre de ansiedad grave, el 48,41 % moderada y el 3,82 % leve; resultados que se correlacionan positivamente con la COVID-19.</w:t>
      </w:r>
    </w:p>
    <w:p w14:paraId="1AECD64A" w14:textId="77777777" w:rsidR="00A9033D" w:rsidRPr="00A9033D" w:rsidRDefault="00A9033D" w:rsidP="00A9033D">
      <w:pPr>
        <w:spacing w:line="360" w:lineRule="auto"/>
        <w:jc w:val="both"/>
        <w:rPr>
          <w:color w:val="000000"/>
          <w:lang w:eastAsia="en-US"/>
        </w:rPr>
      </w:pPr>
      <w:r w:rsidRPr="00A9033D">
        <w:rPr>
          <w:color w:val="000000"/>
          <w:lang w:eastAsia="en-US"/>
        </w:rPr>
        <w:t xml:space="preserve">Por su parte, en España, </w:t>
      </w:r>
      <w:r w:rsidRPr="00A9033D">
        <w:rPr>
          <w:i/>
          <w:color w:val="000000"/>
          <w:lang w:eastAsia="en-US"/>
        </w:rPr>
        <w:t>Alemany-Arrebola</w:t>
      </w:r>
      <w:r w:rsidRPr="00A9033D">
        <w:rPr>
          <w:color w:val="000000"/>
          <w:lang w:eastAsia="en-US"/>
        </w:rPr>
        <w:t xml:space="preserve"> y </w:t>
      </w:r>
      <w:proofErr w:type="gramStart"/>
      <w:r w:rsidRPr="00A9033D">
        <w:rPr>
          <w:color w:val="000000"/>
          <w:lang w:eastAsia="en-US"/>
        </w:rPr>
        <w:t>otros</w:t>
      </w:r>
      <w:r w:rsidRPr="00A9033D">
        <w:rPr>
          <w:color w:val="000000"/>
          <w:vertAlign w:val="superscript"/>
          <w:lang w:eastAsia="en-US"/>
        </w:rPr>
        <w:t>(</w:t>
      </w:r>
      <w:proofErr w:type="gramEnd"/>
      <w:r w:rsidRPr="00A9033D">
        <w:rPr>
          <w:color w:val="000000"/>
          <w:vertAlign w:val="superscript"/>
          <w:lang w:eastAsia="en-US"/>
        </w:rPr>
        <w:t>25)</w:t>
      </w:r>
      <w:r w:rsidRPr="00A9033D">
        <w:rPr>
          <w:color w:val="000000"/>
          <w:lang w:eastAsia="en-US"/>
        </w:rPr>
        <w:t xml:space="preserve"> estudiaron los niveles se ansiedad durante el período de encierro por la COVID-19, con 427 estudiantes de la Universidad de Granada. Concluyeron que las mujeres presentan mayores puntuaciones de ansiedad de rasgo y de estado, se evidenció un aumento en la ansiedad de estado, en los casos de muerte de un familiar.</w:t>
      </w:r>
    </w:p>
    <w:p w14:paraId="0AE59447" w14:textId="77777777" w:rsidR="00A9033D" w:rsidRPr="00A9033D" w:rsidRDefault="00A9033D" w:rsidP="00A9033D">
      <w:pPr>
        <w:spacing w:line="360" w:lineRule="auto"/>
        <w:jc w:val="both"/>
        <w:rPr>
          <w:color w:val="000000"/>
          <w:lang w:eastAsia="en-US"/>
        </w:rPr>
      </w:pPr>
      <w:r w:rsidRPr="00A9033D">
        <w:rPr>
          <w:color w:val="000000"/>
          <w:lang w:eastAsia="en-US"/>
        </w:rPr>
        <w:lastRenderedPageBreak/>
        <w:t xml:space="preserve">En México, </w:t>
      </w:r>
      <w:r w:rsidRPr="00A9033D">
        <w:rPr>
          <w:i/>
          <w:color w:val="000000"/>
          <w:lang w:eastAsia="en-US"/>
        </w:rPr>
        <w:t>Galindo-Vázquez</w:t>
      </w:r>
      <w:r w:rsidRPr="00A9033D">
        <w:rPr>
          <w:color w:val="000000"/>
          <w:lang w:eastAsia="en-US"/>
        </w:rPr>
        <w:t xml:space="preserve"> y </w:t>
      </w:r>
      <w:proofErr w:type="gramStart"/>
      <w:r w:rsidRPr="00A9033D">
        <w:rPr>
          <w:color w:val="000000"/>
          <w:lang w:eastAsia="en-US"/>
        </w:rPr>
        <w:t>otros</w:t>
      </w:r>
      <w:r w:rsidRPr="00A9033D">
        <w:rPr>
          <w:color w:val="000000"/>
          <w:vertAlign w:val="superscript"/>
          <w:lang w:eastAsia="en-US"/>
        </w:rPr>
        <w:t>(</w:t>
      </w:r>
      <w:proofErr w:type="gramEnd"/>
      <w:r w:rsidRPr="00A9033D">
        <w:rPr>
          <w:color w:val="000000"/>
          <w:vertAlign w:val="superscript"/>
          <w:lang w:eastAsia="en-US"/>
        </w:rPr>
        <w:t>26)</w:t>
      </w:r>
      <w:r w:rsidRPr="00A9033D">
        <w:rPr>
          <w:color w:val="000000"/>
          <w:lang w:eastAsia="en-US"/>
        </w:rPr>
        <w:t xml:space="preserve"> investigaron los síntomas de ansiedad, depresión y autocuidado ante la presencia de la COVID-19 en 1 508 participantes, de los cuales el 20,8 % presentó ansiedad grave y el 27,5 % depresión grave. Entre los factores que influyen en los niveles de ansiedad y depresión fueron: ser mujer, soltero/a, no tener hijos, presentar comorbilidad médica y antecedentes de atención a la salud mental.</w:t>
      </w:r>
    </w:p>
    <w:p w14:paraId="24760E88" w14:textId="77777777" w:rsidR="00A9033D" w:rsidRPr="00A9033D" w:rsidRDefault="00A9033D" w:rsidP="00A9033D">
      <w:pPr>
        <w:spacing w:line="360" w:lineRule="auto"/>
        <w:jc w:val="both"/>
        <w:rPr>
          <w:color w:val="000000"/>
          <w:lang w:eastAsia="en-US"/>
        </w:rPr>
      </w:pPr>
      <w:proofErr w:type="spellStart"/>
      <w:r w:rsidRPr="00A9033D">
        <w:rPr>
          <w:i/>
          <w:color w:val="000000"/>
          <w:lang w:eastAsia="en-US"/>
        </w:rPr>
        <w:t>Mejia</w:t>
      </w:r>
      <w:proofErr w:type="spellEnd"/>
      <w:r w:rsidRPr="00A9033D">
        <w:rPr>
          <w:i/>
          <w:color w:val="000000"/>
          <w:lang w:eastAsia="en-US"/>
        </w:rPr>
        <w:t xml:space="preserve"> </w:t>
      </w:r>
      <w:r w:rsidRPr="00A9033D">
        <w:rPr>
          <w:color w:val="000000"/>
          <w:lang w:eastAsia="en-US"/>
        </w:rPr>
        <w:t xml:space="preserve">y </w:t>
      </w:r>
      <w:proofErr w:type="gramStart"/>
      <w:r w:rsidRPr="00A9033D">
        <w:rPr>
          <w:color w:val="000000"/>
          <w:lang w:eastAsia="en-US"/>
        </w:rPr>
        <w:t>otros</w:t>
      </w:r>
      <w:r w:rsidRPr="00A9033D">
        <w:rPr>
          <w:color w:val="000000"/>
          <w:vertAlign w:val="superscript"/>
          <w:lang w:eastAsia="en-US"/>
        </w:rPr>
        <w:t>(</w:t>
      </w:r>
      <w:proofErr w:type="gramEnd"/>
      <w:r w:rsidRPr="00A9033D">
        <w:rPr>
          <w:color w:val="000000"/>
          <w:vertAlign w:val="superscript"/>
          <w:lang w:eastAsia="en-US"/>
        </w:rPr>
        <w:t>27)</w:t>
      </w:r>
      <w:r w:rsidRPr="00A9033D">
        <w:rPr>
          <w:color w:val="000000"/>
          <w:lang w:eastAsia="en-US"/>
        </w:rPr>
        <w:t xml:space="preserve"> identificaron los factores asociados a la percepción de fatalismo ante la COVID-19, en pobladores de 20 departamentos del Perú. Concluyeron que, de las 2 466 personas, el 36 % se deprime, el 26 % menciona que podrían fallecer, el 17 % considera que la pandemia es evidencia del fin el mundo y el 9 % que podrían tomar alguna decisión fatal; las mujeres son quienes exhiben mayores conductas fatalistas. </w:t>
      </w:r>
    </w:p>
    <w:p w14:paraId="60184DB9" w14:textId="77777777" w:rsidR="00A9033D" w:rsidRPr="00A9033D" w:rsidRDefault="00A9033D" w:rsidP="00A9033D">
      <w:pPr>
        <w:spacing w:line="360" w:lineRule="auto"/>
        <w:jc w:val="both"/>
        <w:rPr>
          <w:color w:val="000000"/>
          <w:lang w:eastAsia="en-US"/>
        </w:rPr>
      </w:pPr>
      <w:r w:rsidRPr="00A9033D">
        <w:rPr>
          <w:color w:val="000000"/>
          <w:lang w:eastAsia="en-US"/>
        </w:rPr>
        <w:t xml:space="preserve">En Ecuador, </w:t>
      </w:r>
      <w:r w:rsidRPr="00A9033D">
        <w:rPr>
          <w:i/>
          <w:color w:val="000000"/>
          <w:lang w:eastAsia="en-US"/>
        </w:rPr>
        <w:t>Rodríguez-Hidalgo</w:t>
      </w:r>
      <w:r w:rsidRPr="00A9033D">
        <w:rPr>
          <w:color w:val="000000"/>
          <w:lang w:eastAsia="en-US"/>
        </w:rPr>
        <w:t xml:space="preserve"> y </w:t>
      </w:r>
      <w:proofErr w:type="gramStart"/>
      <w:r w:rsidRPr="00A9033D">
        <w:rPr>
          <w:color w:val="000000"/>
          <w:lang w:eastAsia="en-US"/>
        </w:rPr>
        <w:t>otros</w:t>
      </w:r>
      <w:r w:rsidRPr="00A9033D">
        <w:rPr>
          <w:color w:val="000000"/>
          <w:vertAlign w:val="superscript"/>
          <w:lang w:eastAsia="en-US"/>
        </w:rPr>
        <w:t>(</w:t>
      </w:r>
      <w:proofErr w:type="gramEnd"/>
      <w:r w:rsidRPr="00A9033D">
        <w:rPr>
          <w:color w:val="000000"/>
          <w:vertAlign w:val="superscript"/>
          <w:lang w:eastAsia="en-US"/>
        </w:rPr>
        <w:t>28)</w:t>
      </w:r>
      <w:r w:rsidRPr="00A9033D">
        <w:rPr>
          <w:color w:val="000000"/>
          <w:lang w:eastAsia="en-US"/>
        </w:rPr>
        <w:t xml:space="preserve"> concluyeron que las mujeres evidencian niveles más altos de miedo a la COVID-19, que los hombres, relacionada directamente con sus niveles de ansiedad. </w:t>
      </w:r>
      <w:r w:rsidRPr="00A9033D">
        <w:rPr>
          <w:i/>
          <w:lang w:eastAsia="en-US"/>
        </w:rPr>
        <w:t xml:space="preserve">Sigüenza Campoverde </w:t>
      </w:r>
      <w:r w:rsidRPr="00A9033D">
        <w:rPr>
          <w:iCs/>
          <w:lang w:eastAsia="en-US"/>
        </w:rPr>
        <w:t xml:space="preserve">y </w:t>
      </w:r>
      <w:proofErr w:type="gramStart"/>
      <w:r w:rsidRPr="00A9033D">
        <w:rPr>
          <w:iCs/>
          <w:lang w:eastAsia="en-US"/>
        </w:rPr>
        <w:t>otros</w:t>
      </w:r>
      <w:r w:rsidRPr="00A9033D">
        <w:rPr>
          <w:color w:val="000000"/>
          <w:lang w:eastAsia="en-US"/>
        </w:rPr>
        <w:t>,</w:t>
      </w:r>
      <w:r w:rsidRPr="00A9033D">
        <w:rPr>
          <w:color w:val="000000"/>
          <w:vertAlign w:val="superscript"/>
          <w:lang w:eastAsia="en-US"/>
        </w:rPr>
        <w:t>(</w:t>
      </w:r>
      <w:proofErr w:type="gramEnd"/>
      <w:r w:rsidRPr="00A9033D">
        <w:rPr>
          <w:color w:val="000000"/>
          <w:vertAlign w:val="superscript"/>
          <w:lang w:eastAsia="en-US"/>
        </w:rPr>
        <w:t xml:space="preserve">29) </w:t>
      </w:r>
      <w:r w:rsidRPr="00A9033D">
        <w:rPr>
          <w:color w:val="000000"/>
          <w:lang w:eastAsia="en-US"/>
        </w:rPr>
        <w:t xml:space="preserve">en un estudio con 66 estudiantes de psicología y enfermería demostraron que los niveles de ansiedad de los participantes se elevaron en 2,59 puntos ante la presencia de la COVID-19 en Ecuador. </w:t>
      </w:r>
    </w:p>
    <w:p w14:paraId="1F6A95A4" w14:textId="77777777" w:rsidR="00A9033D" w:rsidRPr="00A9033D" w:rsidRDefault="00A9033D" w:rsidP="00A9033D">
      <w:pPr>
        <w:spacing w:line="360" w:lineRule="auto"/>
        <w:jc w:val="both"/>
        <w:rPr>
          <w:color w:val="000000"/>
          <w:lang w:eastAsia="en-US"/>
        </w:rPr>
      </w:pPr>
      <w:r w:rsidRPr="00A9033D">
        <w:rPr>
          <w:color w:val="000000"/>
          <w:lang w:eastAsia="en-US"/>
        </w:rPr>
        <w:t xml:space="preserve">Con el incremento de la ansiedad de la población en general por la pandemia que azota al mundo y dada la escasez de estudios que relacionen el nivel de ansiedad y el número de muertos por el SARS-CoV-2, este estudio tiene se propone identificar los casos y fallecidos por la COVID-19, determinar los niveles de ansiedad manifiesta de los universitarios y relacionar la ansiedad manifiesta con los datos sociodemográficos, con el objetivo general de establecer la distribución geográfica de la ansiedad presente en estudiantes universitarios, ante el número de muertos por provincia por la COVID-19. </w:t>
      </w:r>
    </w:p>
    <w:p w14:paraId="56FB697A" w14:textId="77777777" w:rsidR="00A9033D" w:rsidRPr="00A9033D" w:rsidRDefault="00A9033D" w:rsidP="00A9033D">
      <w:pPr>
        <w:spacing w:line="360" w:lineRule="auto"/>
        <w:jc w:val="center"/>
        <w:rPr>
          <w:b/>
          <w:color w:val="2E2E2E"/>
          <w:lang w:eastAsia="en-US"/>
        </w:rPr>
      </w:pPr>
    </w:p>
    <w:p w14:paraId="060A504E" w14:textId="77777777" w:rsidR="00A9033D" w:rsidRPr="00A9033D" w:rsidRDefault="00A9033D" w:rsidP="00A9033D">
      <w:pPr>
        <w:spacing w:line="360" w:lineRule="auto"/>
        <w:jc w:val="center"/>
        <w:rPr>
          <w:rFonts w:eastAsia="Calibri"/>
          <w:b/>
          <w:lang w:eastAsia="en-US"/>
        </w:rPr>
      </w:pPr>
    </w:p>
    <w:p w14:paraId="54B771CA" w14:textId="77777777" w:rsidR="00A9033D" w:rsidRPr="00A9033D" w:rsidRDefault="00A9033D" w:rsidP="00A9033D">
      <w:pPr>
        <w:spacing w:line="360" w:lineRule="auto"/>
        <w:jc w:val="center"/>
        <w:rPr>
          <w:rFonts w:eastAsia="Calibri"/>
          <w:b/>
          <w:sz w:val="32"/>
          <w:szCs w:val="32"/>
          <w:lang w:eastAsia="en-US"/>
        </w:rPr>
      </w:pPr>
      <w:r w:rsidRPr="00A9033D">
        <w:rPr>
          <w:rFonts w:eastAsia="Calibri"/>
          <w:b/>
          <w:sz w:val="32"/>
          <w:szCs w:val="32"/>
          <w:lang w:eastAsia="en-US"/>
        </w:rPr>
        <w:t>MÉTODOS</w:t>
      </w:r>
    </w:p>
    <w:p w14:paraId="1C9527BB" w14:textId="77777777" w:rsidR="00A9033D" w:rsidRPr="00A9033D" w:rsidRDefault="00A9033D" w:rsidP="00A9033D">
      <w:pPr>
        <w:spacing w:line="360" w:lineRule="auto"/>
        <w:rPr>
          <w:rFonts w:eastAsia="Calibri"/>
          <w:b/>
          <w:color w:val="2E2E2E"/>
          <w:lang w:eastAsia="en-US"/>
        </w:rPr>
      </w:pPr>
      <w:r w:rsidRPr="00A9033D">
        <w:rPr>
          <w:rFonts w:eastAsia="Calibri"/>
          <w:b/>
          <w:color w:val="2E2E2E"/>
          <w:lang w:eastAsia="en-US"/>
        </w:rPr>
        <w:t>Participantes</w:t>
      </w:r>
    </w:p>
    <w:p w14:paraId="2121E024" w14:textId="77777777" w:rsidR="00A9033D" w:rsidRPr="00A9033D" w:rsidRDefault="00A9033D" w:rsidP="00A9033D">
      <w:pPr>
        <w:spacing w:line="360" w:lineRule="auto"/>
        <w:jc w:val="both"/>
        <w:rPr>
          <w:color w:val="000000"/>
          <w:lang w:eastAsia="en-US"/>
        </w:rPr>
      </w:pPr>
      <w:r w:rsidRPr="00A9033D">
        <w:rPr>
          <w:color w:val="000000"/>
          <w:lang w:eastAsia="en-US"/>
        </w:rPr>
        <w:t xml:space="preserve">Se realizó una investigación cuantitativa, exploratoria, descriptiva, transversal, con 720 estudiantes universitarios de educación a distancia de la Universidad Técnica Particular de Loja, de primero a décimo </w:t>
      </w:r>
      <w:r w:rsidRPr="00A9033D">
        <w:rPr>
          <w:color w:val="000000"/>
          <w:lang w:eastAsia="en-US"/>
        </w:rPr>
        <w:lastRenderedPageBreak/>
        <w:t xml:space="preserve">ciclo, procedentes de 23 provincias del Ecuador (no se obtuvo participantes de la provincia de Galápagos). </w:t>
      </w:r>
    </w:p>
    <w:p w14:paraId="2BA08931" w14:textId="77777777" w:rsidR="00A9033D" w:rsidRPr="00A9033D" w:rsidRDefault="00A9033D" w:rsidP="00A9033D">
      <w:pPr>
        <w:spacing w:line="360" w:lineRule="auto"/>
        <w:jc w:val="both"/>
        <w:rPr>
          <w:color w:val="000000"/>
          <w:lang w:eastAsia="en-US"/>
        </w:rPr>
      </w:pPr>
      <w:r w:rsidRPr="00A9033D">
        <w:rPr>
          <w:color w:val="000000"/>
          <w:lang w:eastAsia="en-US"/>
        </w:rPr>
        <w:t xml:space="preserve">De este grupo el 31,5 % fueron hombres y el 68,5 % mujeres, entre 17 a 64 años con una edad media de 26,99, y una desviación estándar de 7,99. </w:t>
      </w:r>
    </w:p>
    <w:p w14:paraId="48BBD48C" w14:textId="77777777" w:rsidR="00A9033D" w:rsidRPr="00A9033D" w:rsidRDefault="00A9033D" w:rsidP="00A9033D">
      <w:pPr>
        <w:spacing w:line="360" w:lineRule="auto"/>
        <w:jc w:val="both"/>
        <w:rPr>
          <w:color w:val="000000"/>
          <w:lang w:eastAsia="en-US"/>
        </w:rPr>
      </w:pPr>
      <w:r w:rsidRPr="00A9033D">
        <w:rPr>
          <w:color w:val="000000"/>
          <w:lang w:eastAsia="en-US"/>
        </w:rPr>
        <w:t>Las variables sociodemográficas fueron</w:t>
      </w:r>
      <w:r w:rsidRPr="00A9033D">
        <w:rPr>
          <w:lang w:eastAsia="en-US"/>
        </w:rPr>
        <w:t>:</w:t>
      </w:r>
      <w:r w:rsidRPr="00A9033D">
        <w:rPr>
          <w:color w:val="000000"/>
          <w:lang w:eastAsia="en-US"/>
        </w:rPr>
        <w:t xml:space="preserve"> sexo, edad, estado civil, provincia, personas con las que vive, situación laboral,</w:t>
      </w:r>
      <w:r w:rsidRPr="00A9033D">
        <w:rPr>
          <w:rFonts w:eastAsia="Calibri"/>
          <w:lang w:eastAsia="en-US"/>
        </w:rPr>
        <w:t xml:space="preserve"> </w:t>
      </w:r>
      <w:r w:rsidRPr="00A9033D">
        <w:rPr>
          <w:color w:val="000000"/>
          <w:lang w:eastAsia="en-US"/>
        </w:rPr>
        <w:t xml:space="preserve">ciclo de estudio y carrera. Los datos se recogieron a través de una encuesta </w:t>
      </w:r>
      <w:r w:rsidRPr="00A9033D">
        <w:rPr>
          <w:i/>
          <w:color w:val="000000"/>
          <w:lang w:eastAsia="en-US"/>
        </w:rPr>
        <w:t>ad hoc</w:t>
      </w:r>
      <w:r w:rsidRPr="00A9033D">
        <w:rPr>
          <w:color w:val="000000"/>
          <w:lang w:eastAsia="en-US"/>
        </w:rPr>
        <w:t xml:space="preserve">. </w:t>
      </w:r>
    </w:p>
    <w:p w14:paraId="68D5DE17" w14:textId="77777777" w:rsidR="00A9033D" w:rsidRPr="00A9033D" w:rsidRDefault="00A9033D" w:rsidP="00A9033D">
      <w:pPr>
        <w:spacing w:line="360" w:lineRule="auto"/>
        <w:rPr>
          <w:rFonts w:eastAsia="Calibri"/>
          <w:b/>
          <w:color w:val="2E2E2E"/>
          <w:lang w:eastAsia="en-US"/>
        </w:rPr>
      </w:pPr>
      <w:r w:rsidRPr="00A9033D">
        <w:rPr>
          <w:rFonts w:eastAsia="Calibri"/>
          <w:b/>
          <w:color w:val="2E2E2E"/>
          <w:lang w:eastAsia="en-US"/>
        </w:rPr>
        <w:t>Instrumentos</w:t>
      </w:r>
    </w:p>
    <w:p w14:paraId="6FB61363" w14:textId="77777777" w:rsidR="00A9033D" w:rsidRPr="00A9033D" w:rsidRDefault="00A9033D" w:rsidP="00A9033D">
      <w:pPr>
        <w:spacing w:line="360" w:lineRule="auto"/>
        <w:jc w:val="both"/>
        <w:rPr>
          <w:color w:val="000000"/>
          <w:lang w:eastAsia="en-US"/>
        </w:rPr>
      </w:pPr>
      <w:r w:rsidRPr="00A9033D">
        <w:rPr>
          <w:color w:val="000000"/>
          <w:lang w:eastAsia="en-US"/>
        </w:rPr>
        <w:t>Para evaluar el nivel de ansiedad se empleó</w:t>
      </w:r>
      <w:r w:rsidRPr="00A9033D">
        <w:rPr>
          <w:rFonts w:eastAsia="Calibri"/>
          <w:lang w:eastAsia="en-US"/>
        </w:rPr>
        <w:t xml:space="preserve"> la </w:t>
      </w:r>
      <w:r w:rsidRPr="00A9033D">
        <w:rPr>
          <w:color w:val="000000"/>
          <w:lang w:eastAsia="en-US"/>
        </w:rPr>
        <w:t>Escala de Ansiedad Manifiesta para universitarios (AMAS-C).</w:t>
      </w:r>
      <w:r w:rsidRPr="00A9033D">
        <w:rPr>
          <w:rFonts w:eastAsia="Calibri"/>
          <w:color w:val="000000"/>
          <w:vertAlign w:val="superscript"/>
          <w:lang w:eastAsia="en-US"/>
        </w:rPr>
        <w:t>(30)</w:t>
      </w:r>
      <w:r w:rsidRPr="00A9033D">
        <w:rPr>
          <w:rFonts w:eastAsia="Calibri"/>
          <w:color w:val="000000"/>
          <w:lang w:eastAsia="en-US"/>
        </w:rPr>
        <w:t xml:space="preserve"> </w:t>
      </w:r>
      <w:r w:rsidRPr="00A9033D">
        <w:rPr>
          <w:color w:val="000000"/>
          <w:lang w:eastAsia="en-US"/>
        </w:rPr>
        <w:t xml:space="preserve">Este instrumento presenta un alfa de Cronbach para toda la escala de 0,89, consta de 49 ítems, sin embargo, para este estudio el valor fue de </w:t>
      </w:r>
      <w:r w:rsidRPr="00A9033D">
        <w:rPr>
          <w:rFonts w:eastAsia="Calibri"/>
          <w:color w:val="202124"/>
          <w:shd w:val="clear" w:color="auto" w:fill="FFFFFF"/>
          <w:lang w:eastAsia="en-US"/>
        </w:rPr>
        <w:t>α = 0</w:t>
      </w:r>
      <w:r w:rsidRPr="00A9033D">
        <w:rPr>
          <w:color w:val="000000"/>
          <w:lang w:eastAsia="en-US"/>
        </w:rPr>
        <w:t>,92. La escala evalúa la ansiedad manifiesta en cuatro áreas: Inquietud/ hipersensibilidad (12 ítems),</w:t>
      </w:r>
      <w:r w:rsidRPr="00A9033D">
        <w:rPr>
          <w:rFonts w:eastAsia="Calibri"/>
          <w:lang w:eastAsia="en-US"/>
        </w:rPr>
        <w:t xml:space="preserve"> </w:t>
      </w:r>
      <w:r w:rsidRPr="00A9033D">
        <w:rPr>
          <w:color w:val="000000"/>
          <w:lang w:eastAsia="en-US"/>
        </w:rPr>
        <w:t>Ansiedad fisiológica (8 ítems), Preocupaciones sociales/ concentración (7 ítems),</w:t>
      </w:r>
      <w:r w:rsidRPr="00A9033D">
        <w:rPr>
          <w:rFonts w:eastAsia="Calibri"/>
          <w:lang w:eastAsia="en-US"/>
        </w:rPr>
        <w:t xml:space="preserve"> </w:t>
      </w:r>
      <w:r w:rsidRPr="00A9033D">
        <w:rPr>
          <w:color w:val="000000"/>
          <w:lang w:eastAsia="en-US"/>
        </w:rPr>
        <w:t xml:space="preserve">Ansiedad ante los exámenes (15 ítems); además presenta una escala de Mentira (7 ítems). Las preguntas presentan opciones de respuesta dicotómicas (Sí o No). </w:t>
      </w:r>
    </w:p>
    <w:p w14:paraId="3712A08C" w14:textId="77777777" w:rsidR="00A9033D" w:rsidRPr="00A9033D" w:rsidRDefault="00A9033D" w:rsidP="00A9033D">
      <w:pPr>
        <w:spacing w:line="360" w:lineRule="auto"/>
        <w:jc w:val="both"/>
        <w:rPr>
          <w:color w:val="000000"/>
          <w:lang w:eastAsia="en-US"/>
        </w:rPr>
      </w:pPr>
      <w:r w:rsidRPr="00A9033D">
        <w:rPr>
          <w:color w:val="000000"/>
          <w:lang w:eastAsia="en-US"/>
        </w:rPr>
        <w:t xml:space="preserve">Para obtener el diagnóstico de estas subáreas se sumaron los ítems correspondientes a cada una de ellas. Para la ansiedad total se adicionaron los valores obtenidos de las subáreas exceptuando la de Mentira. Finalmente, para la categoría descriptiva se revisó el baremo, los valores indican el grado de ansiedad según la puntuación T: ≥ 75 </w:t>
      </w:r>
      <w:r w:rsidRPr="00A9033D">
        <w:rPr>
          <w:iCs/>
          <w:color w:val="000000"/>
          <w:lang w:eastAsia="en-US"/>
        </w:rPr>
        <w:t>Extrema</w:t>
      </w:r>
      <w:r w:rsidRPr="00A9033D">
        <w:rPr>
          <w:color w:val="000000"/>
          <w:lang w:eastAsia="en-US"/>
        </w:rPr>
        <w:t xml:space="preserve">, 65-74 </w:t>
      </w:r>
      <w:r w:rsidRPr="00A9033D">
        <w:rPr>
          <w:iCs/>
          <w:color w:val="000000"/>
          <w:lang w:eastAsia="en-US"/>
        </w:rPr>
        <w:t>Clínicamente significativa</w:t>
      </w:r>
      <w:r w:rsidRPr="00A9033D">
        <w:rPr>
          <w:color w:val="000000"/>
          <w:lang w:eastAsia="en-US"/>
        </w:rPr>
        <w:t xml:space="preserve">, 55-64 </w:t>
      </w:r>
      <w:r w:rsidRPr="00A9033D">
        <w:rPr>
          <w:iCs/>
          <w:color w:val="000000"/>
          <w:lang w:eastAsia="en-US"/>
        </w:rPr>
        <w:t>Elevación leve</w:t>
      </w:r>
      <w:r w:rsidRPr="00A9033D">
        <w:rPr>
          <w:color w:val="000000"/>
          <w:lang w:eastAsia="en-US"/>
        </w:rPr>
        <w:t xml:space="preserve">, 44-54 </w:t>
      </w:r>
      <w:r w:rsidRPr="00A9033D">
        <w:rPr>
          <w:iCs/>
          <w:color w:val="000000"/>
          <w:lang w:eastAsia="en-US"/>
        </w:rPr>
        <w:t>Esperada</w:t>
      </w:r>
      <w:r w:rsidRPr="00A9033D">
        <w:rPr>
          <w:color w:val="000000"/>
          <w:lang w:eastAsia="en-US"/>
        </w:rPr>
        <w:t xml:space="preserve">, y ≤ 44 </w:t>
      </w:r>
      <w:proofErr w:type="gramStart"/>
      <w:r w:rsidRPr="00A9033D">
        <w:rPr>
          <w:iCs/>
          <w:color w:val="000000"/>
          <w:lang w:eastAsia="en-US"/>
        </w:rPr>
        <w:t>Baja</w:t>
      </w:r>
      <w:r w:rsidRPr="00A9033D">
        <w:rPr>
          <w:rFonts w:eastAsia="Calibri"/>
          <w:color w:val="000000"/>
          <w:lang w:eastAsia="en-US"/>
        </w:rPr>
        <w:t>.</w:t>
      </w:r>
      <w:r w:rsidRPr="00A9033D">
        <w:rPr>
          <w:rFonts w:eastAsia="Calibri"/>
          <w:color w:val="000000"/>
          <w:vertAlign w:val="superscript"/>
          <w:lang w:eastAsia="en-US"/>
        </w:rPr>
        <w:t>(</w:t>
      </w:r>
      <w:proofErr w:type="gramEnd"/>
      <w:r w:rsidRPr="00A9033D">
        <w:rPr>
          <w:rFonts w:eastAsia="Calibri"/>
          <w:color w:val="000000"/>
          <w:vertAlign w:val="superscript"/>
          <w:lang w:eastAsia="en-US"/>
        </w:rPr>
        <w:t>30)</w:t>
      </w:r>
    </w:p>
    <w:p w14:paraId="60A5DDC5" w14:textId="77777777" w:rsidR="00A9033D" w:rsidRPr="00A9033D" w:rsidRDefault="00A9033D" w:rsidP="00A9033D">
      <w:pPr>
        <w:spacing w:line="360" w:lineRule="auto"/>
        <w:rPr>
          <w:rFonts w:eastAsia="Calibri"/>
          <w:b/>
          <w:color w:val="2E2E2E"/>
          <w:lang w:eastAsia="en-US"/>
        </w:rPr>
      </w:pPr>
      <w:r w:rsidRPr="00A9033D">
        <w:rPr>
          <w:rFonts w:eastAsia="Calibri"/>
          <w:b/>
          <w:color w:val="2E2E2E"/>
          <w:lang w:eastAsia="en-US"/>
        </w:rPr>
        <w:t>Procedimientos y análisis de datos</w:t>
      </w:r>
    </w:p>
    <w:p w14:paraId="5639B046" w14:textId="77777777" w:rsidR="00A9033D" w:rsidRPr="00A9033D" w:rsidRDefault="00A9033D" w:rsidP="00A9033D">
      <w:pPr>
        <w:spacing w:line="360" w:lineRule="auto"/>
        <w:jc w:val="both"/>
        <w:rPr>
          <w:color w:val="000000"/>
          <w:lang w:eastAsia="en-US"/>
        </w:rPr>
      </w:pPr>
      <w:r w:rsidRPr="00A9033D">
        <w:rPr>
          <w:color w:val="000000"/>
          <w:lang w:eastAsia="en-US"/>
        </w:rPr>
        <w:t>Para recopilar los datos se utilizó el software de administración de encuestas</w:t>
      </w:r>
      <w:r w:rsidRPr="00A9033D">
        <w:rPr>
          <w:rFonts w:eastAsia="Calibri"/>
          <w:lang w:eastAsia="en-US"/>
        </w:rPr>
        <w:t xml:space="preserve"> </w:t>
      </w:r>
      <w:r w:rsidRPr="00A9033D">
        <w:rPr>
          <w:color w:val="000000"/>
          <w:lang w:eastAsia="en-US"/>
        </w:rPr>
        <w:t xml:space="preserve">de Google (Google </w:t>
      </w:r>
      <w:proofErr w:type="spellStart"/>
      <w:r w:rsidRPr="00A9033D">
        <w:rPr>
          <w:color w:val="000000"/>
          <w:lang w:eastAsia="en-US"/>
        </w:rPr>
        <w:t>Forms</w:t>
      </w:r>
      <w:proofErr w:type="spellEnd"/>
      <w:r w:rsidRPr="00A9033D">
        <w:rPr>
          <w:color w:val="000000"/>
          <w:lang w:eastAsia="en-US"/>
        </w:rPr>
        <w:t xml:space="preserve">). El estudio se llevó a cabo desde el 21 de julio al 08 de agosto de 2020, fechas en la que estuvo habilitada la escala virtualizada del AMAS-C y la encuesta sociodemográfica anónima. </w:t>
      </w:r>
    </w:p>
    <w:p w14:paraId="7E2C41DF" w14:textId="77777777" w:rsidR="00A9033D" w:rsidRPr="00A9033D" w:rsidRDefault="00A9033D" w:rsidP="00A9033D">
      <w:pPr>
        <w:spacing w:line="360" w:lineRule="auto"/>
        <w:jc w:val="both"/>
        <w:rPr>
          <w:color w:val="000000"/>
          <w:lang w:eastAsia="en-US"/>
        </w:rPr>
      </w:pPr>
      <w:r w:rsidRPr="00A9033D">
        <w:rPr>
          <w:color w:val="000000"/>
          <w:lang w:eastAsia="en-US"/>
        </w:rPr>
        <w:t xml:space="preserve">En relación al número de casos y fallecidos por la COVID-19, fueron tomados de la página oficial del Ministerio de Salud Pública del </w:t>
      </w:r>
      <w:proofErr w:type="gramStart"/>
      <w:r w:rsidRPr="00A9033D">
        <w:rPr>
          <w:color w:val="000000"/>
          <w:lang w:eastAsia="en-US"/>
        </w:rPr>
        <w:t>Ecuador,</w:t>
      </w:r>
      <w:r w:rsidRPr="00A9033D">
        <w:rPr>
          <w:rFonts w:eastAsia="Calibri"/>
          <w:color w:val="000000"/>
          <w:vertAlign w:val="superscript"/>
          <w:lang w:eastAsia="en-US"/>
        </w:rPr>
        <w:t>(</w:t>
      </w:r>
      <w:proofErr w:type="gramEnd"/>
      <w:r w:rsidRPr="00A9033D">
        <w:rPr>
          <w:rFonts w:eastAsia="Calibri"/>
          <w:color w:val="000000"/>
          <w:vertAlign w:val="superscript"/>
          <w:lang w:eastAsia="en-US"/>
        </w:rPr>
        <w:t>31)</w:t>
      </w:r>
      <w:r w:rsidRPr="00A9033D">
        <w:rPr>
          <w:color w:val="000000"/>
          <w:lang w:eastAsia="en-US"/>
        </w:rPr>
        <w:t xml:space="preserve"> según la provincia y la fecha de respuesta de la escala.</w:t>
      </w:r>
    </w:p>
    <w:p w14:paraId="02E7FD0E" w14:textId="77777777" w:rsidR="00A9033D" w:rsidRPr="00A9033D" w:rsidRDefault="00A9033D" w:rsidP="00A9033D">
      <w:pPr>
        <w:spacing w:line="360" w:lineRule="auto"/>
        <w:jc w:val="both"/>
        <w:rPr>
          <w:rFonts w:eastAsia="Calibri"/>
          <w:color w:val="000000"/>
          <w:lang w:eastAsia="en-US"/>
        </w:rPr>
      </w:pPr>
      <w:r w:rsidRPr="00A9033D">
        <w:rPr>
          <w:rFonts w:eastAsia="Calibri"/>
          <w:color w:val="000000"/>
          <w:lang w:eastAsia="en-US"/>
        </w:rPr>
        <w:t xml:space="preserve">Para determinar la variable proporción de fallecidos/ casos por la COVID-19 por cada 100 000 habitantes por provincia de la República del Ecuador, se dividió el número de fallecidos/ casos por la COVID-19 para la proyección de población por provincia para el año </w:t>
      </w:r>
      <w:proofErr w:type="gramStart"/>
      <w:r w:rsidRPr="00A9033D">
        <w:rPr>
          <w:rFonts w:eastAsia="Calibri"/>
          <w:color w:val="000000"/>
          <w:lang w:eastAsia="en-US"/>
        </w:rPr>
        <w:t>2020,</w:t>
      </w:r>
      <w:r w:rsidRPr="00A9033D">
        <w:rPr>
          <w:rFonts w:eastAsia="Calibri"/>
          <w:color w:val="000000"/>
          <w:vertAlign w:val="superscript"/>
          <w:lang w:eastAsia="en-US"/>
        </w:rPr>
        <w:t>(</w:t>
      </w:r>
      <w:proofErr w:type="gramEnd"/>
      <w:r w:rsidRPr="00A9033D">
        <w:rPr>
          <w:rFonts w:eastAsia="Calibri"/>
          <w:color w:val="000000"/>
          <w:vertAlign w:val="superscript"/>
          <w:lang w:eastAsia="en-US"/>
        </w:rPr>
        <w:t>32)</w:t>
      </w:r>
      <w:r w:rsidRPr="00A9033D">
        <w:rPr>
          <w:color w:val="000000"/>
          <w:lang w:eastAsia="en-US"/>
        </w:rPr>
        <w:t xml:space="preserve"> </w:t>
      </w:r>
      <w:r w:rsidRPr="00A9033D">
        <w:rPr>
          <w:rFonts w:eastAsia="Calibri"/>
          <w:color w:val="2E2E2E"/>
          <w:lang w:eastAsia="en-US"/>
        </w:rPr>
        <w:t>y se</w:t>
      </w:r>
      <w:r w:rsidRPr="00A9033D">
        <w:rPr>
          <w:rFonts w:eastAsia="Calibri"/>
          <w:color w:val="000000"/>
          <w:lang w:eastAsia="en-US"/>
        </w:rPr>
        <w:t xml:space="preserve"> multiplicó por 100 000. </w:t>
      </w:r>
    </w:p>
    <w:p w14:paraId="18E3AB13" w14:textId="77777777" w:rsidR="00A9033D" w:rsidRPr="00A9033D" w:rsidRDefault="00A9033D" w:rsidP="00A9033D">
      <w:pPr>
        <w:spacing w:line="360" w:lineRule="auto"/>
        <w:jc w:val="both"/>
        <w:rPr>
          <w:color w:val="000000"/>
          <w:lang w:eastAsia="en-US"/>
        </w:rPr>
      </w:pPr>
      <w:r w:rsidRPr="00A9033D">
        <w:rPr>
          <w:color w:val="000000"/>
          <w:lang w:eastAsia="en-US"/>
        </w:rPr>
        <w:lastRenderedPageBreak/>
        <w:t>Los datos se analizaron estadísticamente con el software SPSS (IBM) versión 23. El estadístico de</w:t>
      </w:r>
      <w:r w:rsidRPr="00A9033D">
        <w:rPr>
          <w:rFonts w:eastAsia="Calibri"/>
          <w:b/>
          <w:color w:val="2E2E2E"/>
          <w:lang w:eastAsia="en-US"/>
        </w:rPr>
        <w:t xml:space="preserve"> </w:t>
      </w:r>
      <w:proofErr w:type="spellStart"/>
      <w:r w:rsidRPr="00A9033D">
        <w:rPr>
          <w:color w:val="000000"/>
          <w:lang w:eastAsia="en-US"/>
        </w:rPr>
        <w:t>Kolgomórov-Smirnov</w:t>
      </w:r>
      <w:proofErr w:type="spellEnd"/>
      <w:r w:rsidRPr="00A9033D">
        <w:rPr>
          <w:color w:val="000000"/>
          <w:lang w:eastAsia="en-US"/>
        </w:rPr>
        <w:t xml:space="preserve"> determinó que la AMAS-C y las variables proporción de fallecidos/ casos por la COVID-19, por cada 100 000 habitantes por, provincia, no se ajustan a una curva normal (</w:t>
      </w:r>
      <w:r w:rsidRPr="00A9033D">
        <w:rPr>
          <w:iCs/>
          <w:color w:val="000000"/>
          <w:lang w:eastAsia="en-US"/>
        </w:rPr>
        <w:t>p</w:t>
      </w:r>
      <w:r w:rsidRPr="00A9033D">
        <w:rPr>
          <w:i/>
          <w:color w:val="000000"/>
          <w:lang w:eastAsia="en-US"/>
        </w:rPr>
        <w:t xml:space="preserve"> </w:t>
      </w:r>
      <w:r w:rsidRPr="00A9033D">
        <w:rPr>
          <w:color w:val="000000"/>
          <w:lang w:eastAsia="en-US"/>
        </w:rPr>
        <w:t>&lt; 0,05). En cuanto a la homocedasticidad se empleó la prueba de Levene que determinó igualdad de varianzas (</w:t>
      </w:r>
      <w:r w:rsidRPr="00A9033D">
        <w:rPr>
          <w:iCs/>
          <w:color w:val="000000"/>
          <w:lang w:eastAsia="en-US"/>
        </w:rPr>
        <w:t>p</w:t>
      </w:r>
      <w:r w:rsidRPr="00A9033D">
        <w:rPr>
          <w:color w:val="000000"/>
          <w:lang w:eastAsia="en-US"/>
        </w:rPr>
        <w:t xml:space="preserve"> &gt; 0,05) para estas variables.</w:t>
      </w:r>
    </w:p>
    <w:p w14:paraId="7126B917" w14:textId="77777777" w:rsidR="00A9033D" w:rsidRPr="00A9033D" w:rsidRDefault="00A9033D" w:rsidP="00A9033D">
      <w:pPr>
        <w:spacing w:line="360" w:lineRule="auto"/>
        <w:jc w:val="both"/>
        <w:rPr>
          <w:color w:val="000000"/>
          <w:lang w:eastAsia="en-US"/>
        </w:rPr>
      </w:pPr>
      <w:r w:rsidRPr="00A9033D">
        <w:rPr>
          <w:color w:val="000000"/>
          <w:lang w:eastAsia="en-US"/>
        </w:rPr>
        <w:t xml:space="preserve">Las asociaciones entre las variables cualitativas de interés (sexo, personas con las que vive, situación laboral, carrera, ciclo y región) y el nivel de ansiedad de los estudiantes, se obtuvieron mediante el estadístico </w:t>
      </w:r>
      <w:proofErr w:type="gramStart"/>
      <w:r w:rsidRPr="00A9033D">
        <w:rPr>
          <w:i/>
          <w:iCs/>
          <w:color w:val="000000"/>
          <w:lang w:eastAsia="en-US"/>
        </w:rPr>
        <w:t>ji</w:t>
      </w:r>
      <w:r w:rsidRPr="00A9033D">
        <w:rPr>
          <w:color w:val="000000"/>
          <w:lang w:eastAsia="en-US"/>
        </w:rPr>
        <w:t xml:space="preserve"> cuadrado</w:t>
      </w:r>
      <w:proofErr w:type="gramEnd"/>
      <w:r w:rsidRPr="00A9033D">
        <w:rPr>
          <w:color w:val="000000"/>
          <w:lang w:eastAsia="en-US"/>
        </w:rPr>
        <w:t xml:space="preserve"> (χ</w:t>
      </w:r>
      <w:r w:rsidRPr="00A9033D">
        <w:rPr>
          <w:color w:val="000000"/>
          <w:vertAlign w:val="superscript"/>
          <w:lang w:eastAsia="en-US"/>
        </w:rPr>
        <w:t>2</w:t>
      </w:r>
      <w:r w:rsidRPr="00A9033D">
        <w:rPr>
          <w:color w:val="000000"/>
          <w:lang w:eastAsia="en-US"/>
        </w:rPr>
        <w:t>). En cuanto a la relación de las variables cuantitativas proporción de fallecidos y proporción de casos por la COVID-19 por cada 100 000 habitantes por provincia y el nivel de ansiedad, se analizaron a través del estadístico Kruskal-Wallis. En todos se trabajó con un nivel de significancia del 95 % (</w:t>
      </w:r>
      <w:r w:rsidRPr="00A9033D">
        <w:rPr>
          <w:iCs/>
          <w:color w:val="000000"/>
          <w:lang w:eastAsia="en-US"/>
        </w:rPr>
        <w:t xml:space="preserve">p </w:t>
      </w:r>
      <w:r w:rsidRPr="00A9033D">
        <w:rPr>
          <w:color w:val="000000"/>
          <w:lang w:eastAsia="en-US"/>
        </w:rPr>
        <w:t>&lt; 0,05).</w:t>
      </w:r>
    </w:p>
    <w:p w14:paraId="7597993E" w14:textId="77777777" w:rsidR="00A9033D" w:rsidRPr="00A9033D" w:rsidRDefault="00A9033D" w:rsidP="00A9033D">
      <w:pPr>
        <w:spacing w:line="360" w:lineRule="auto"/>
        <w:jc w:val="both"/>
        <w:rPr>
          <w:color w:val="000000"/>
          <w:lang w:eastAsia="en-US"/>
        </w:rPr>
      </w:pPr>
      <w:r w:rsidRPr="00A9033D">
        <w:rPr>
          <w:color w:val="000000"/>
          <w:lang w:eastAsia="en-US"/>
        </w:rPr>
        <w:t>Para realizar el mapa de distribución geográfica de ansiedad y proporción de fallecidos por la COVID-19 por provincia en Ecuador, se utilizó el software informático de información geográfica ArcGIS versión 10,8 de ESRI.</w:t>
      </w:r>
    </w:p>
    <w:p w14:paraId="53DEE352" w14:textId="77777777" w:rsidR="00A9033D" w:rsidRPr="00A9033D" w:rsidRDefault="00A9033D" w:rsidP="00A9033D">
      <w:pPr>
        <w:spacing w:line="360" w:lineRule="auto"/>
        <w:jc w:val="both"/>
        <w:rPr>
          <w:color w:val="000000"/>
          <w:lang w:eastAsia="en-US"/>
        </w:rPr>
      </w:pPr>
      <w:r w:rsidRPr="00A9033D">
        <w:rPr>
          <w:color w:val="000000"/>
          <w:lang w:eastAsia="en-US"/>
        </w:rPr>
        <w:t xml:space="preserve">El estudio se alineó a los principios éticos para investigaciones con seres humanos de la Asociación Médica Mundial (AMM) del </w:t>
      </w:r>
      <w:proofErr w:type="gramStart"/>
      <w:r w:rsidRPr="00A9033D">
        <w:rPr>
          <w:color w:val="000000"/>
          <w:lang w:eastAsia="en-US"/>
        </w:rPr>
        <w:t>2014,</w:t>
      </w:r>
      <w:r w:rsidRPr="00A9033D">
        <w:rPr>
          <w:rFonts w:eastAsia="Calibri"/>
          <w:color w:val="000000"/>
          <w:vertAlign w:val="superscript"/>
          <w:lang w:eastAsia="en-US"/>
        </w:rPr>
        <w:t>(</w:t>
      </w:r>
      <w:proofErr w:type="gramEnd"/>
      <w:r w:rsidRPr="00A9033D">
        <w:rPr>
          <w:rFonts w:eastAsia="Calibri"/>
          <w:color w:val="000000"/>
          <w:vertAlign w:val="superscript"/>
          <w:lang w:eastAsia="en-US"/>
        </w:rPr>
        <w:t>33)</w:t>
      </w:r>
      <w:r w:rsidRPr="00A9033D">
        <w:rPr>
          <w:color w:val="000000"/>
          <w:lang w:eastAsia="en-US"/>
        </w:rPr>
        <w:t xml:space="preserve"> promulgado en la Declaración de Helsinki, en la que todos los participantes, previa aplicación de la escala, proporcionaron su consentimiento informado electrónico. Además, se comunicó a los estudiantes que podían cesar su colaboración en este trabajo en cualquier instante, sin perjuicio alguno. Por otra parte, se les informó que los datos obtenidos serían usados exclusivamente con fines de investigación. Finalmente, los estudiantes no recibieron incentivo ni compensación por su participación en el estudio.</w:t>
      </w:r>
    </w:p>
    <w:p w14:paraId="28C3AE1C" w14:textId="77777777" w:rsidR="00A9033D" w:rsidRPr="00A9033D" w:rsidRDefault="00A9033D" w:rsidP="00A9033D">
      <w:pPr>
        <w:spacing w:line="360" w:lineRule="auto"/>
        <w:jc w:val="center"/>
        <w:rPr>
          <w:color w:val="000000"/>
          <w:lang w:eastAsia="en-US"/>
        </w:rPr>
      </w:pPr>
    </w:p>
    <w:p w14:paraId="75FB4288" w14:textId="77777777" w:rsidR="00A9033D" w:rsidRPr="00A9033D" w:rsidRDefault="00A9033D" w:rsidP="00A9033D">
      <w:pPr>
        <w:spacing w:line="360" w:lineRule="auto"/>
        <w:jc w:val="center"/>
        <w:rPr>
          <w:rFonts w:eastAsia="Calibri"/>
          <w:b/>
          <w:lang w:eastAsia="en-US"/>
        </w:rPr>
      </w:pPr>
    </w:p>
    <w:p w14:paraId="43345DDB" w14:textId="77777777" w:rsidR="00A9033D" w:rsidRPr="00A9033D" w:rsidRDefault="00A9033D" w:rsidP="00A9033D">
      <w:pPr>
        <w:spacing w:line="360" w:lineRule="auto"/>
        <w:jc w:val="center"/>
        <w:rPr>
          <w:rFonts w:eastAsia="Calibri"/>
          <w:b/>
          <w:sz w:val="32"/>
          <w:szCs w:val="32"/>
          <w:lang w:eastAsia="en-US"/>
        </w:rPr>
      </w:pPr>
      <w:r w:rsidRPr="00A9033D">
        <w:rPr>
          <w:rFonts w:eastAsia="Calibri"/>
          <w:b/>
          <w:sz w:val="32"/>
          <w:szCs w:val="32"/>
          <w:lang w:eastAsia="en-US"/>
        </w:rPr>
        <w:t>RESULTADOS</w:t>
      </w:r>
    </w:p>
    <w:p w14:paraId="4B017D8A" w14:textId="77777777" w:rsidR="00A9033D" w:rsidRPr="00A9033D" w:rsidRDefault="00A9033D" w:rsidP="00A9033D">
      <w:pPr>
        <w:spacing w:line="360" w:lineRule="auto"/>
        <w:rPr>
          <w:color w:val="000000"/>
          <w:lang w:eastAsia="en-US"/>
        </w:rPr>
      </w:pPr>
      <w:r w:rsidRPr="00A9033D">
        <w:rPr>
          <w:color w:val="000000"/>
          <w:lang w:eastAsia="en-US"/>
        </w:rPr>
        <w:t xml:space="preserve">El 41,2 % de los estudiantes son de primer ciclo, el 46,5 % estudian psicología, el 64,9 % son solteros, el 41,7 % tienen hijos, el 32,1 % pertenecen a familias nucleares, el 50,8 % trabajan, y el 65,6 % son procedentes de la Región Interandina o Sierra. </w:t>
      </w:r>
    </w:p>
    <w:p w14:paraId="1339EEF4" w14:textId="77777777" w:rsidR="00A9033D" w:rsidRPr="00A9033D" w:rsidRDefault="00A9033D" w:rsidP="00A9033D">
      <w:pPr>
        <w:spacing w:line="360" w:lineRule="auto"/>
        <w:jc w:val="both"/>
        <w:rPr>
          <w:color w:val="000000"/>
          <w:lang w:eastAsia="en-US"/>
        </w:rPr>
      </w:pPr>
      <w:r w:rsidRPr="00A9033D">
        <w:rPr>
          <w:color w:val="000000"/>
          <w:lang w:eastAsia="en-US"/>
        </w:rPr>
        <w:lastRenderedPageBreak/>
        <w:t xml:space="preserve">En la figura 1 se refleja el número de casos y fallecidos por la COVID-19 en el Ecuador, según la fecha en la que los participantes respondieron la escala de ansiedad AMAS-C; es importante mencionar que el 27 de julio de 2020 se obtuvo la mayor cantidad de respuestas por parte de los estudiantes (n = 136). </w:t>
      </w:r>
    </w:p>
    <w:p w14:paraId="3090B59F" w14:textId="77777777" w:rsidR="00A9033D" w:rsidRPr="00A9033D" w:rsidRDefault="00A9033D" w:rsidP="00A9033D">
      <w:pPr>
        <w:spacing w:line="360" w:lineRule="auto"/>
        <w:jc w:val="both"/>
        <w:rPr>
          <w:color w:val="000000"/>
          <w:lang w:eastAsia="en-US"/>
        </w:rPr>
      </w:pPr>
      <w:r w:rsidRPr="00A9033D">
        <w:rPr>
          <w:color w:val="000000"/>
          <w:lang w:eastAsia="en-US"/>
        </w:rPr>
        <w:t xml:space="preserve">Según los datos difundidos por el Ministerio de Salud </w:t>
      </w:r>
      <w:proofErr w:type="gramStart"/>
      <w:r w:rsidRPr="00A9033D">
        <w:rPr>
          <w:color w:val="000000"/>
          <w:lang w:eastAsia="en-US"/>
        </w:rPr>
        <w:t>Pública,</w:t>
      </w:r>
      <w:r w:rsidRPr="00A9033D">
        <w:rPr>
          <w:rFonts w:eastAsia="Calibri"/>
          <w:color w:val="000000"/>
          <w:vertAlign w:val="superscript"/>
          <w:lang w:eastAsia="en-US"/>
        </w:rPr>
        <w:t>(</w:t>
      </w:r>
      <w:proofErr w:type="gramEnd"/>
      <w:r w:rsidRPr="00A9033D">
        <w:rPr>
          <w:rFonts w:eastAsia="Calibri"/>
          <w:color w:val="000000"/>
          <w:vertAlign w:val="superscript"/>
          <w:lang w:eastAsia="en-US"/>
        </w:rPr>
        <w:t>31)</w:t>
      </w:r>
      <w:r w:rsidRPr="00A9033D">
        <w:rPr>
          <w:color w:val="000000"/>
          <w:lang w:eastAsia="en-US"/>
        </w:rPr>
        <w:t xml:space="preserve"> en la fecha que inició la aplicación de la escala, se tenían 5 366 fallecidos por la COVID-19, con un incremento de 550 fallecidos durante los 19 días de aplicación del instrumento. En cuanto a los casos confirmados de la COVID-19, el 21 de julio de 2020 se presentaron 67 261 personas contagiadas, sin embargo, al 8 de agosto de 2020 se incrementaron 17 355 casos en toda la República del Ecuador, dando un total de 84 616 casos confirmados con prueba PCR. </w:t>
      </w:r>
    </w:p>
    <w:p w14:paraId="3A946A55" w14:textId="77777777" w:rsidR="00A9033D" w:rsidRPr="00A9033D" w:rsidRDefault="00A9033D" w:rsidP="00A9033D">
      <w:pPr>
        <w:spacing w:line="360" w:lineRule="auto"/>
        <w:jc w:val="both"/>
        <w:rPr>
          <w:color w:val="000000"/>
          <w:lang w:eastAsia="en-US"/>
        </w:rPr>
      </w:pPr>
    </w:p>
    <w:p w14:paraId="6AC002FD" w14:textId="77777777" w:rsidR="00A9033D" w:rsidRPr="00A9033D" w:rsidRDefault="00A9033D" w:rsidP="00A9033D">
      <w:pPr>
        <w:spacing w:line="360" w:lineRule="auto"/>
        <w:jc w:val="center"/>
        <w:rPr>
          <w:i/>
          <w:color w:val="000000"/>
          <w:lang w:eastAsia="en-US"/>
        </w:rPr>
      </w:pPr>
      <w:r w:rsidRPr="00A9033D">
        <w:rPr>
          <w:i/>
          <w:noProof/>
          <w:color w:val="000000"/>
          <w:lang w:eastAsia="en-US"/>
        </w:rPr>
        <w:drawing>
          <wp:inline distT="0" distB="0" distL="0" distR="0" wp14:anchorId="3495BB85" wp14:editId="6F47A253">
            <wp:extent cx="5076825" cy="3067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a:extLst>
                        <a:ext uri="{28A0092B-C50C-407E-A947-70E740481C1C}">
                          <a14:useLocalDpi xmlns:a14="http://schemas.microsoft.com/office/drawing/2010/main" val="0"/>
                        </a:ext>
                      </a:extLst>
                    </a:blip>
                    <a:stretch>
                      <a:fillRect/>
                    </a:stretch>
                  </pic:blipFill>
                  <pic:spPr>
                    <a:xfrm>
                      <a:off x="0" y="0"/>
                      <a:ext cx="5076825" cy="3067050"/>
                    </a:xfrm>
                    <a:prstGeom prst="rect">
                      <a:avLst/>
                    </a:prstGeom>
                  </pic:spPr>
                </pic:pic>
              </a:graphicData>
            </a:graphic>
          </wp:inline>
        </w:drawing>
      </w:r>
    </w:p>
    <w:p w14:paraId="633F8205" w14:textId="77777777" w:rsidR="00A9033D" w:rsidRPr="00A9033D" w:rsidRDefault="00A9033D" w:rsidP="00A9033D">
      <w:pPr>
        <w:spacing w:line="360" w:lineRule="auto"/>
        <w:jc w:val="center"/>
        <w:rPr>
          <w:color w:val="000000"/>
          <w:sz w:val="22"/>
          <w:szCs w:val="22"/>
          <w:lang w:eastAsia="en-US"/>
        </w:rPr>
      </w:pPr>
      <w:r w:rsidRPr="00A9033D">
        <w:rPr>
          <w:b/>
          <w:iCs/>
          <w:color w:val="000000"/>
          <w:sz w:val="22"/>
          <w:szCs w:val="22"/>
          <w:lang w:eastAsia="en-US"/>
        </w:rPr>
        <w:t xml:space="preserve">Fig. 1 - </w:t>
      </w:r>
      <w:r w:rsidRPr="00A9033D">
        <w:rPr>
          <w:color w:val="000000"/>
          <w:sz w:val="22"/>
          <w:szCs w:val="22"/>
          <w:lang w:eastAsia="en-US"/>
        </w:rPr>
        <w:t>Casos y fallecidos por la COVID-19 a nivel de país en las fechas en que se aplicaron las encuestas.</w:t>
      </w:r>
    </w:p>
    <w:p w14:paraId="166BD90E" w14:textId="77777777" w:rsidR="00A9033D" w:rsidRPr="00A9033D" w:rsidRDefault="00A9033D" w:rsidP="00A9033D">
      <w:pPr>
        <w:spacing w:line="360" w:lineRule="auto"/>
        <w:rPr>
          <w:b/>
          <w:color w:val="000000"/>
          <w:lang w:eastAsia="en-US"/>
        </w:rPr>
      </w:pPr>
    </w:p>
    <w:p w14:paraId="42729C64" w14:textId="77777777" w:rsidR="00A9033D" w:rsidRPr="00A9033D" w:rsidRDefault="00A9033D" w:rsidP="00A9033D">
      <w:pPr>
        <w:spacing w:line="360" w:lineRule="auto"/>
        <w:jc w:val="both"/>
        <w:rPr>
          <w:color w:val="000000"/>
          <w:lang w:eastAsia="en-US"/>
        </w:rPr>
      </w:pPr>
      <w:r w:rsidRPr="00A9033D">
        <w:rPr>
          <w:color w:val="000000"/>
          <w:lang w:eastAsia="en-US"/>
        </w:rPr>
        <w:t>En la tabla 1 se presentan los resultados de ansiedad manifiesta; 193 personas (26,8 %) tienen una ansiedad con elevación leve. Entre la suma de los resultados de ansiedad clínicamente significativa y extrema se concentran 253 (35,1 %) estudiantes.</w:t>
      </w:r>
    </w:p>
    <w:p w14:paraId="41E68BE8" w14:textId="77777777" w:rsidR="00A9033D" w:rsidRPr="00A9033D" w:rsidRDefault="00A9033D" w:rsidP="00A9033D">
      <w:pPr>
        <w:spacing w:line="360" w:lineRule="auto"/>
        <w:jc w:val="both"/>
        <w:rPr>
          <w:color w:val="000000"/>
          <w:lang w:eastAsia="en-US"/>
        </w:rPr>
      </w:pPr>
      <w:r w:rsidRPr="00A9033D">
        <w:rPr>
          <w:color w:val="000000"/>
          <w:lang w:eastAsia="en-US"/>
        </w:rPr>
        <w:t xml:space="preserve"> </w:t>
      </w:r>
    </w:p>
    <w:p w14:paraId="44922C7B" w14:textId="77777777" w:rsidR="00A9033D" w:rsidRPr="00A9033D" w:rsidRDefault="00A9033D" w:rsidP="00A9033D">
      <w:pPr>
        <w:spacing w:line="360" w:lineRule="auto"/>
        <w:jc w:val="center"/>
        <w:rPr>
          <w:i/>
          <w:color w:val="000000"/>
          <w:sz w:val="22"/>
          <w:szCs w:val="22"/>
          <w:lang w:eastAsia="en-US"/>
        </w:rPr>
      </w:pPr>
      <w:bookmarkStart w:id="0" w:name="_Hlk97988600"/>
      <w:r w:rsidRPr="00A9033D">
        <w:rPr>
          <w:b/>
          <w:color w:val="000000"/>
          <w:sz w:val="22"/>
          <w:szCs w:val="22"/>
          <w:lang w:eastAsia="en-US"/>
        </w:rPr>
        <w:lastRenderedPageBreak/>
        <w:t xml:space="preserve">Tabla 1 - </w:t>
      </w:r>
      <w:r w:rsidRPr="00A9033D">
        <w:rPr>
          <w:color w:val="000000"/>
          <w:sz w:val="22"/>
          <w:szCs w:val="22"/>
          <w:lang w:eastAsia="en-US"/>
        </w:rPr>
        <w:t>Niveles de ansiedad manifiesta según el AMAS-C</w:t>
      </w:r>
    </w:p>
    <w:bookmarkEnd w:id="0"/>
    <w:p w14:paraId="36C1456C" w14:textId="77777777" w:rsidR="00A9033D" w:rsidRPr="00A9033D" w:rsidRDefault="00A9033D" w:rsidP="00A9033D">
      <w:pPr>
        <w:spacing w:line="360" w:lineRule="auto"/>
        <w:jc w:val="center"/>
        <w:rPr>
          <w:color w:val="000000"/>
          <w:lang w:eastAsia="en-US"/>
        </w:rPr>
      </w:pPr>
      <w:r w:rsidRPr="00A9033D">
        <w:rPr>
          <w:noProof/>
          <w:color w:val="000000"/>
          <w:lang w:eastAsia="en-US"/>
        </w:rPr>
        <w:drawing>
          <wp:inline distT="0" distB="0" distL="0" distR="0" wp14:anchorId="2A2B2F28" wp14:editId="55BCE5AD">
            <wp:extent cx="5731510" cy="1616075"/>
            <wp:effectExtent l="0" t="0" r="254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5731510" cy="1616075"/>
                    </a:xfrm>
                    <a:prstGeom prst="rect">
                      <a:avLst/>
                    </a:prstGeom>
                  </pic:spPr>
                </pic:pic>
              </a:graphicData>
            </a:graphic>
          </wp:inline>
        </w:drawing>
      </w:r>
    </w:p>
    <w:p w14:paraId="2F9118CD" w14:textId="77777777" w:rsidR="00A9033D" w:rsidRPr="00A9033D" w:rsidRDefault="00A9033D" w:rsidP="00A9033D">
      <w:pPr>
        <w:spacing w:line="360" w:lineRule="auto"/>
        <w:rPr>
          <w:color w:val="000000"/>
          <w:lang w:eastAsia="en-US"/>
        </w:rPr>
      </w:pPr>
    </w:p>
    <w:p w14:paraId="6C713EC5" w14:textId="77777777" w:rsidR="00A9033D" w:rsidRPr="00A9033D" w:rsidRDefault="00A9033D" w:rsidP="00A9033D">
      <w:pPr>
        <w:spacing w:line="360" w:lineRule="auto"/>
        <w:jc w:val="both"/>
        <w:rPr>
          <w:color w:val="000000"/>
          <w:lang w:eastAsia="en-US"/>
        </w:rPr>
      </w:pPr>
      <w:r w:rsidRPr="00A9033D">
        <w:rPr>
          <w:color w:val="000000"/>
          <w:lang w:eastAsia="en-US"/>
        </w:rPr>
        <w:t>Los resultados de la prueba de χ</w:t>
      </w:r>
      <w:r w:rsidRPr="00A9033D">
        <w:rPr>
          <w:color w:val="000000"/>
          <w:vertAlign w:val="superscript"/>
          <w:lang w:eastAsia="en-US"/>
        </w:rPr>
        <w:t xml:space="preserve">2 </w:t>
      </w:r>
      <w:r w:rsidRPr="00A9033D">
        <w:rPr>
          <w:color w:val="000000"/>
          <w:lang w:eastAsia="en-US"/>
        </w:rPr>
        <w:t>entre los datos sociodemográficos y los niveles de ansiedad se presentan en la tabla 2. Se constata una relación estadísticamente significativa para las variables: sexo, personas con las que vive, situación laboral, regiones naturales del Ecuador, ciclo de estudio y carrera (</w:t>
      </w:r>
      <w:r w:rsidRPr="00A9033D">
        <w:rPr>
          <w:iCs/>
          <w:color w:val="000000"/>
          <w:lang w:eastAsia="en-US"/>
        </w:rPr>
        <w:t xml:space="preserve">p </w:t>
      </w:r>
      <w:r w:rsidRPr="00A9033D">
        <w:rPr>
          <w:color w:val="000000"/>
          <w:lang w:eastAsia="en-US"/>
        </w:rPr>
        <w:t>&lt; 0,05). En cuanto a las variables: edad, estado civil, tenencia de hijos, becarios/as, nivel educativo de los padres, área de estudio y provincia no se encontraron asociaciones (p &gt; 0,05).</w:t>
      </w:r>
    </w:p>
    <w:p w14:paraId="4F8204A6" w14:textId="77777777" w:rsidR="00A9033D" w:rsidRPr="00A9033D" w:rsidRDefault="00A9033D" w:rsidP="00A9033D">
      <w:pPr>
        <w:spacing w:line="360" w:lineRule="auto"/>
        <w:jc w:val="both"/>
        <w:rPr>
          <w:color w:val="000000"/>
          <w:lang w:eastAsia="en-US"/>
        </w:rPr>
      </w:pPr>
    </w:p>
    <w:p w14:paraId="49F94286" w14:textId="77777777" w:rsidR="00A9033D" w:rsidRPr="00A9033D" w:rsidRDefault="00A9033D" w:rsidP="00A9033D">
      <w:pPr>
        <w:spacing w:line="360" w:lineRule="auto"/>
        <w:jc w:val="center"/>
        <w:rPr>
          <w:color w:val="000000"/>
          <w:sz w:val="22"/>
          <w:szCs w:val="22"/>
          <w:lang w:eastAsia="en-US"/>
        </w:rPr>
      </w:pPr>
      <w:bookmarkStart w:id="1" w:name="_Hlk97989709"/>
      <w:r w:rsidRPr="00A9033D">
        <w:rPr>
          <w:b/>
          <w:color w:val="000000"/>
          <w:sz w:val="22"/>
          <w:szCs w:val="22"/>
          <w:lang w:eastAsia="en-US"/>
        </w:rPr>
        <w:t xml:space="preserve">Tabla 2 - </w:t>
      </w:r>
      <w:r w:rsidRPr="00A9033D">
        <w:rPr>
          <w:color w:val="000000"/>
          <w:sz w:val="22"/>
          <w:szCs w:val="22"/>
          <w:lang w:eastAsia="en-US"/>
        </w:rPr>
        <w:t>Relación de la Ansiedad Manifiesta según el AMAS-C con los datos sociodemográficos</w:t>
      </w:r>
    </w:p>
    <w:tbl>
      <w:tblPr>
        <w:tblW w:w="4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3"/>
        <w:gridCol w:w="1366"/>
        <w:gridCol w:w="925"/>
      </w:tblGrid>
      <w:tr w:rsidR="00A9033D" w:rsidRPr="00A9033D" w14:paraId="205B9225" w14:textId="77777777" w:rsidTr="0072623A">
        <w:trPr>
          <w:trHeight w:hRule="exact" w:val="284"/>
          <w:jc w:val="center"/>
        </w:trPr>
        <w:tc>
          <w:tcPr>
            <w:tcW w:w="2513" w:type="dxa"/>
            <w:vMerge w:val="restart"/>
            <w:shd w:val="clear" w:color="auto" w:fill="auto"/>
            <w:vAlign w:val="center"/>
            <w:hideMark/>
          </w:tcPr>
          <w:p w14:paraId="7A79EFEF" w14:textId="77777777" w:rsidR="00A9033D" w:rsidRPr="00A9033D" w:rsidRDefault="00A9033D" w:rsidP="00A9033D">
            <w:pPr>
              <w:spacing w:line="360" w:lineRule="auto"/>
              <w:jc w:val="center"/>
              <w:rPr>
                <w:b/>
                <w:bCs/>
                <w:color w:val="000000"/>
                <w:sz w:val="18"/>
                <w:szCs w:val="18"/>
                <w:lang w:eastAsia="en-US"/>
              </w:rPr>
            </w:pPr>
            <w:r w:rsidRPr="00A9033D">
              <w:rPr>
                <w:b/>
                <w:bCs/>
                <w:color w:val="000000"/>
                <w:sz w:val="18"/>
                <w:szCs w:val="18"/>
                <w:lang w:eastAsia="en-US"/>
              </w:rPr>
              <w:t>Variable</w:t>
            </w:r>
          </w:p>
        </w:tc>
        <w:tc>
          <w:tcPr>
            <w:tcW w:w="1366" w:type="dxa"/>
            <w:vMerge w:val="restart"/>
            <w:shd w:val="clear" w:color="auto" w:fill="auto"/>
            <w:vAlign w:val="center"/>
            <w:hideMark/>
          </w:tcPr>
          <w:p w14:paraId="32F69B30" w14:textId="77777777" w:rsidR="00A9033D" w:rsidRPr="00A9033D" w:rsidRDefault="00A9033D" w:rsidP="00A9033D">
            <w:pPr>
              <w:spacing w:line="360" w:lineRule="auto"/>
              <w:jc w:val="center"/>
              <w:rPr>
                <w:b/>
                <w:bCs/>
                <w:color w:val="000000"/>
                <w:sz w:val="18"/>
                <w:szCs w:val="18"/>
                <w:lang w:eastAsia="en-US"/>
              </w:rPr>
            </w:pPr>
            <w:proofErr w:type="gramStart"/>
            <w:r w:rsidRPr="00A9033D">
              <w:rPr>
                <w:b/>
                <w:bCs/>
                <w:i/>
                <w:iCs/>
                <w:color w:val="000000"/>
                <w:sz w:val="18"/>
                <w:szCs w:val="18"/>
                <w:lang w:eastAsia="en-US"/>
              </w:rPr>
              <w:t>Ji</w:t>
            </w:r>
            <w:r w:rsidRPr="00A9033D">
              <w:rPr>
                <w:b/>
                <w:bCs/>
                <w:color w:val="000000"/>
                <w:sz w:val="18"/>
                <w:szCs w:val="18"/>
                <w:lang w:eastAsia="en-US"/>
              </w:rPr>
              <w:t xml:space="preserve"> cuadrado</w:t>
            </w:r>
            <w:proofErr w:type="gramEnd"/>
          </w:p>
        </w:tc>
        <w:tc>
          <w:tcPr>
            <w:tcW w:w="925" w:type="dxa"/>
            <w:vMerge w:val="restart"/>
            <w:shd w:val="clear" w:color="auto" w:fill="auto"/>
            <w:vAlign w:val="center"/>
            <w:hideMark/>
          </w:tcPr>
          <w:p w14:paraId="39AC418D" w14:textId="77777777" w:rsidR="00A9033D" w:rsidRPr="00A9033D" w:rsidRDefault="00A9033D" w:rsidP="00A9033D">
            <w:pPr>
              <w:spacing w:line="360" w:lineRule="auto"/>
              <w:jc w:val="center"/>
              <w:rPr>
                <w:b/>
                <w:bCs/>
                <w:color w:val="000000"/>
                <w:sz w:val="18"/>
                <w:szCs w:val="18"/>
                <w:lang w:eastAsia="en-US"/>
              </w:rPr>
            </w:pPr>
            <w:r w:rsidRPr="00A9033D">
              <w:rPr>
                <w:b/>
                <w:bCs/>
                <w:color w:val="000000"/>
                <w:sz w:val="18"/>
                <w:szCs w:val="18"/>
                <w:lang w:eastAsia="en-US"/>
              </w:rPr>
              <w:t>p valor</w:t>
            </w:r>
          </w:p>
        </w:tc>
      </w:tr>
      <w:tr w:rsidR="00A9033D" w:rsidRPr="00A9033D" w14:paraId="63AD2D59" w14:textId="77777777" w:rsidTr="0072623A">
        <w:trPr>
          <w:trHeight w:hRule="exact" w:val="99"/>
          <w:jc w:val="center"/>
        </w:trPr>
        <w:tc>
          <w:tcPr>
            <w:tcW w:w="2513" w:type="dxa"/>
            <w:vMerge/>
            <w:vAlign w:val="center"/>
            <w:hideMark/>
          </w:tcPr>
          <w:p w14:paraId="740259B3" w14:textId="77777777" w:rsidR="00A9033D" w:rsidRPr="00A9033D" w:rsidRDefault="00A9033D" w:rsidP="00A9033D">
            <w:pPr>
              <w:spacing w:line="360" w:lineRule="auto"/>
              <w:rPr>
                <w:b/>
                <w:bCs/>
                <w:color w:val="000000"/>
                <w:sz w:val="18"/>
                <w:szCs w:val="18"/>
                <w:lang w:eastAsia="en-US"/>
              </w:rPr>
            </w:pPr>
          </w:p>
        </w:tc>
        <w:tc>
          <w:tcPr>
            <w:tcW w:w="1366" w:type="dxa"/>
            <w:vMerge/>
            <w:vAlign w:val="center"/>
            <w:hideMark/>
          </w:tcPr>
          <w:p w14:paraId="19381414" w14:textId="77777777" w:rsidR="00A9033D" w:rsidRPr="00A9033D" w:rsidRDefault="00A9033D" w:rsidP="00A9033D">
            <w:pPr>
              <w:spacing w:line="360" w:lineRule="auto"/>
              <w:rPr>
                <w:b/>
                <w:bCs/>
                <w:color w:val="000000"/>
                <w:sz w:val="18"/>
                <w:szCs w:val="18"/>
                <w:lang w:eastAsia="en-US"/>
              </w:rPr>
            </w:pPr>
          </w:p>
        </w:tc>
        <w:tc>
          <w:tcPr>
            <w:tcW w:w="925" w:type="dxa"/>
            <w:vMerge/>
            <w:vAlign w:val="center"/>
            <w:hideMark/>
          </w:tcPr>
          <w:p w14:paraId="1766F40C" w14:textId="77777777" w:rsidR="00A9033D" w:rsidRPr="00A9033D" w:rsidRDefault="00A9033D" w:rsidP="00A9033D">
            <w:pPr>
              <w:spacing w:line="360" w:lineRule="auto"/>
              <w:rPr>
                <w:b/>
                <w:bCs/>
                <w:color w:val="000000"/>
                <w:sz w:val="18"/>
                <w:szCs w:val="18"/>
                <w:lang w:eastAsia="en-US"/>
              </w:rPr>
            </w:pPr>
          </w:p>
        </w:tc>
      </w:tr>
      <w:tr w:rsidR="00A9033D" w:rsidRPr="00A9033D" w14:paraId="69A48245" w14:textId="77777777" w:rsidTr="0072623A">
        <w:trPr>
          <w:trHeight w:hRule="exact" w:val="284"/>
          <w:jc w:val="center"/>
        </w:trPr>
        <w:tc>
          <w:tcPr>
            <w:tcW w:w="2513" w:type="dxa"/>
            <w:shd w:val="clear" w:color="auto" w:fill="auto"/>
            <w:vAlign w:val="center"/>
            <w:hideMark/>
          </w:tcPr>
          <w:p w14:paraId="05B1A9FE" w14:textId="77777777" w:rsidR="00A9033D" w:rsidRPr="00A9033D" w:rsidRDefault="00A9033D" w:rsidP="00A9033D">
            <w:pPr>
              <w:spacing w:line="360" w:lineRule="auto"/>
              <w:rPr>
                <w:bCs/>
                <w:color w:val="000000"/>
                <w:sz w:val="18"/>
                <w:szCs w:val="18"/>
                <w:lang w:eastAsia="en-US"/>
              </w:rPr>
            </w:pPr>
            <w:r w:rsidRPr="00A9033D">
              <w:rPr>
                <w:bCs/>
                <w:color w:val="000000"/>
                <w:sz w:val="18"/>
                <w:szCs w:val="18"/>
                <w:lang w:eastAsia="en-US"/>
              </w:rPr>
              <w:t>Sexo</w:t>
            </w:r>
          </w:p>
        </w:tc>
        <w:tc>
          <w:tcPr>
            <w:tcW w:w="1366" w:type="dxa"/>
            <w:shd w:val="clear" w:color="auto" w:fill="auto"/>
            <w:noWrap/>
            <w:vAlign w:val="center"/>
            <w:hideMark/>
          </w:tcPr>
          <w:p w14:paraId="0BD33604" w14:textId="77777777" w:rsidR="00A9033D" w:rsidRPr="00A9033D" w:rsidRDefault="00A9033D" w:rsidP="00A9033D">
            <w:pPr>
              <w:spacing w:line="360" w:lineRule="auto"/>
              <w:jc w:val="center"/>
              <w:rPr>
                <w:color w:val="000000"/>
                <w:sz w:val="18"/>
                <w:szCs w:val="18"/>
                <w:lang w:eastAsia="en-US"/>
              </w:rPr>
            </w:pPr>
            <w:r w:rsidRPr="00A9033D">
              <w:rPr>
                <w:color w:val="000000"/>
                <w:sz w:val="18"/>
                <w:szCs w:val="18"/>
                <w:lang w:eastAsia="en-US"/>
              </w:rPr>
              <w:t>70,287</w:t>
            </w:r>
          </w:p>
        </w:tc>
        <w:tc>
          <w:tcPr>
            <w:tcW w:w="925" w:type="dxa"/>
            <w:shd w:val="clear" w:color="auto" w:fill="auto"/>
            <w:noWrap/>
            <w:vAlign w:val="center"/>
            <w:hideMark/>
          </w:tcPr>
          <w:p w14:paraId="40CBE888" w14:textId="77777777" w:rsidR="00A9033D" w:rsidRPr="00A9033D" w:rsidRDefault="00A9033D" w:rsidP="00A9033D">
            <w:pPr>
              <w:spacing w:line="360" w:lineRule="auto"/>
              <w:jc w:val="center"/>
              <w:rPr>
                <w:color w:val="000000"/>
                <w:sz w:val="18"/>
                <w:szCs w:val="18"/>
                <w:lang w:eastAsia="en-US"/>
              </w:rPr>
            </w:pPr>
            <w:r w:rsidRPr="00A9033D">
              <w:rPr>
                <w:color w:val="000000"/>
                <w:sz w:val="18"/>
                <w:szCs w:val="18"/>
                <w:lang w:eastAsia="en-US"/>
              </w:rPr>
              <w:t>0,000</w:t>
            </w:r>
          </w:p>
        </w:tc>
      </w:tr>
      <w:tr w:rsidR="00A9033D" w:rsidRPr="00A9033D" w14:paraId="29A6DE56" w14:textId="77777777" w:rsidTr="0072623A">
        <w:trPr>
          <w:trHeight w:hRule="exact" w:val="284"/>
          <w:jc w:val="center"/>
        </w:trPr>
        <w:tc>
          <w:tcPr>
            <w:tcW w:w="2513" w:type="dxa"/>
            <w:shd w:val="clear" w:color="auto" w:fill="auto"/>
            <w:vAlign w:val="center"/>
            <w:hideMark/>
          </w:tcPr>
          <w:p w14:paraId="67267B3D" w14:textId="77777777" w:rsidR="00A9033D" w:rsidRPr="00A9033D" w:rsidRDefault="00A9033D" w:rsidP="00A9033D">
            <w:pPr>
              <w:spacing w:line="360" w:lineRule="auto"/>
              <w:rPr>
                <w:color w:val="000000"/>
                <w:sz w:val="18"/>
                <w:szCs w:val="18"/>
                <w:lang w:eastAsia="en-US"/>
              </w:rPr>
            </w:pPr>
            <w:r w:rsidRPr="00A9033D">
              <w:rPr>
                <w:bCs/>
                <w:color w:val="000000"/>
                <w:sz w:val="18"/>
                <w:szCs w:val="18"/>
                <w:lang w:eastAsia="en-US"/>
              </w:rPr>
              <w:t>Personas con las que vive</w:t>
            </w:r>
          </w:p>
        </w:tc>
        <w:tc>
          <w:tcPr>
            <w:tcW w:w="1366" w:type="dxa"/>
            <w:shd w:val="clear" w:color="auto" w:fill="auto"/>
            <w:noWrap/>
            <w:vAlign w:val="center"/>
            <w:hideMark/>
          </w:tcPr>
          <w:p w14:paraId="4A52BBC2" w14:textId="77777777" w:rsidR="00A9033D" w:rsidRPr="00A9033D" w:rsidRDefault="00A9033D" w:rsidP="00A9033D">
            <w:pPr>
              <w:spacing w:line="360" w:lineRule="auto"/>
              <w:jc w:val="center"/>
              <w:rPr>
                <w:color w:val="000000"/>
                <w:sz w:val="18"/>
                <w:szCs w:val="18"/>
                <w:lang w:eastAsia="en-US"/>
              </w:rPr>
            </w:pPr>
            <w:r w:rsidRPr="00A9033D">
              <w:rPr>
                <w:color w:val="000000"/>
                <w:sz w:val="18"/>
                <w:szCs w:val="18"/>
                <w:lang w:eastAsia="en-US"/>
              </w:rPr>
              <w:t>100,090</w:t>
            </w:r>
          </w:p>
        </w:tc>
        <w:tc>
          <w:tcPr>
            <w:tcW w:w="925" w:type="dxa"/>
            <w:shd w:val="clear" w:color="auto" w:fill="auto"/>
            <w:noWrap/>
            <w:vAlign w:val="center"/>
            <w:hideMark/>
          </w:tcPr>
          <w:p w14:paraId="62F9F131" w14:textId="77777777" w:rsidR="00A9033D" w:rsidRPr="00A9033D" w:rsidRDefault="00A9033D" w:rsidP="00A9033D">
            <w:pPr>
              <w:spacing w:line="360" w:lineRule="auto"/>
              <w:jc w:val="center"/>
              <w:rPr>
                <w:sz w:val="18"/>
                <w:szCs w:val="18"/>
                <w:lang w:eastAsia="en-US"/>
              </w:rPr>
            </w:pPr>
            <w:r w:rsidRPr="00A9033D">
              <w:rPr>
                <w:color w:val="000000"/>
                <w:sz w:val="18"/>
                <w:szCs w:val="18"/>
                <w:lang w:eastAsia="en-US"/>
              </w:rPr>
              <w:t>0,000</w:t>
            </w:r>
          </w:p>
        </w:tc>
      </w:tr>
      <w:tr w:rsidR="00A9033D" w:rsidRPr="00A9033D" w14:paraId="326DE2AE" w14:textId="77777777" w:rsidTr="0072623A">
        <w:trPr>
          <w:trHeight w:hRule="exact" w:val="284"/>
          <w:jc w:val="center"/>
        </w:trPr>
        <w:tc>
          <w:tcPr>
            <w:tcW w:w="2513" w:type="dxa"/>
            <w:shd w:val="clear" w:color="auto" w:fill="auto"/>
            <w:vAlign w:val="center"/>
            <w:hideMark/>
          </w:tcPr>
          <w:p w14:paraId="01AC548D" w14:textId="77777777" w:rsidR="00A9033D" w:rsidRPr="00A9033D" w:rsidRDefault="00A9033D" w:rsidP="00A9033D">
            <w:pPr>
              <w:spacing w:line="360" w:lineRule="auto"/>
              <w:rPr>
                <w:color w:val="000000"/>
                <w:sz w:val="18"/>
                <w:szCs w:val="18"/>
                <w:lang w:eastAsia="en-US"/>
              </w:rPr>
            </w:pPr>
            <w:r w:rsidRPr="00A9033D">
              <w:rPr>
                <w:bCs/>
                <w:color w:val="000000"/>
                <w:sz w:val="18"/>
                <w:szCs w:val="18"/>
                <w:lang w:eastAsia="en-US"/>
              </w:rPr>
              <w:t>Situación laboral</w:t>
            </w:r>
          </w:p>
        </w:tc>
        <w:tc>
          <w:tcPr>
            <w:tcW w:w="1366" w:type="dxa"/>
            <w:shd w:val="clear" w:color="auto" w:fill="auto"/>
            <w:noWrap/>
            <w:vAlign w:val="center"/>
            <w:hideMark/>
          </w:tcPr>
          <w:p w14:paraId="4B344764" w14:textId="77777777" w:rsidR="00A9033D" w:rsidRPr="00A9033D" w:rsidRDefault="00A9033D" w:rsidP="00A9033D">
            <w:pPr>
              <w:spacing w:line="360" w:lineRule="auto"/>
              <w:jc w:val="center"/>
              <w:rPr>
                <w:color w:val="000000"/>
                <w:sz w:val="18"/>
                <w:szCs w:val="18"/>
                <w:lang w:eastAsia="en-US"/>
              </w:rPr>
            </w:pPr>
            <w:r w:rsidRPr="00A9033D">
              <w:rPr>
                <w:color w:val="000000"/>
                <w:sz w:val="18"/>
                <w:szCs w:val="18"/>
                <w:lang w:eastAsia="en-US"/>
              </w:rPr>
              <w:t>15,927</w:t>
            </w:r>
          </w:p>
        </w:tc>
        <w:tc>
          <w:tcPr>
            <w:tcW w:w="925" w:type="dxa"/>
            <w:shd w:val="clear" w:color="auto" w:fill="auto"/>
            <w:noWrap/>
            <w:vAlign w:val="center"/>
            <w:hideMark/>
          </w:tcPr>
          <w:p w14:paraId="2FA39A94" w14:textId="77777777" w:rsidR="00A9033D" w:rsidRPr="00A9033D" w:rsidRDefault="00A9033D" w:rsidP="00A9033D">
            <w:pPr>
              <w:spacing w:line="360" w:lineRule="auto"/>
              <w:jc w:val="center"/>
              <w:rPr>
                <w:color w:val="000000"/>
                <w:sz w:val="18"/>
                <w:szCs w:val="18"/>
                <w:lang w:eastAsia="en-US"/>
              </w:rPr>
            </w:pPr>
            <w:r w:rsidRPr="00A9033D">
              <w:rPr>
                <w:color w:val="000000"/>
                <w:sz w:val="18"/>
                <w:szCs w:val="18"/>
                <w:lang w:eastAsia="en-US"/>
              </w:rPr>
              <w:t>0,003</w:t>
            </w:r>
          </w:p>
        </w:tc>
      </w:tr>
      <w:tr w:rsidR="00A9033D" w:rsidRPr="00A9033D" w14:paraId="28290454" w14:textId="77777777" w:rsidTr="0072623A">
        <w:trPr>
          <w:trHeight w:hRule="exact" w:val="284"/>
          <w:jc w:val="center"/>
        </w:trPr>
        <w:tc>
          <w:tcPr>
            <w:tcW w:w="2513" w:type="dxa"/>
            <w:shd w:val="clear" w:color="auto" w:fill="auto"/>
            <w:vAlign w:val="center"/>
            <w:hideMark/>
          </w:tcPr>
          <w:p w14:paraId="3C9DE88E" w14:textId="77777777" w:rsidR="00A9033D" w:rsidRPr="00A9033D" w:rsidRDefault="00A9033D" w:rsidP="00A9033D">
            <w:pPr>
              <w:spacing w:line="360" w:lineRule="auto"/>
              <w:rPr>
                <w:bCs/>
                <w:color w:val="000000"/>
                <w:sz w:val="18"/>
                <w:szCs w:val="18"/>
                <w:lang w:eastAsia="en-US"/>
              </w:rPr>
            </w:pPr>
            <w:r w:rsidRPr="00A9033D">
              <w:rPr>
                <w:bCs/>
                <w:color w:val="000000"/>
                <w:sz w:val="18"/>
                <w:szCs w:val="18"/>
                <w:lang w:eastAsia="en-US"/>
              </w:rPr>
              <w:t>Regiones naturales del Ecuador</w:t>
            </w:r>
          </w:p>
        </w:tc>
        <w:tc>
          <w:tcPr>
            <w:tcW w:w="1366" w:type="dxa"/>
            <w:shd w:val="clear" w:color="auto" w:fill="auto"/>
            <w:noWrap/>
            <w:vAlign w:val="center"/>
            <w:hideMark/>
          </w:tcPr>
          <w:p w14:paraId="10EF6409" w14:textId="77777777" w:rsidR="00A9033D" w:rsidRPr="00A9033D" w:rsidRDefault="00A9033D" w:rsidP="00A9033D">
            <w:pPr>
              <w:spacing w:line="360" w:lineRule="auto"/>
              <w:jc w:val="center"/>
              <w:rPr>
                <w:color w:val="000000"/>
                <w:sz w:val="18"/>
                <w:szCs w:val="18"/>
                <w:lang w:eastAsia="en-US"/>
              </w:rPr>
            </w:pPr>
            <w:r w:rsidRPr="00A9033D">
              <w:rPr>
                <w:color w:val="000000"/>
                <w:sz w:val="18"/>
                <w:szCs w:val="18"/>
                <w:lang w:eastAsia="en-US"/>
              </w:rPr>
              <w:t>16,193</w:t>
            </w:r>
          </w:p>
        </w:tc>
        <w:tc>
          <w:tcPr>
            <w:tcW w:w="925" w:type="dxa"/>
            <w:shd w:val="clear" w:color="auto" w:fill="auto"/>
            <w:noWrap/>
            <w:vAlign w:val="center"/>
            <w:hideMark/>
          </w:tcPr>
          <w:p w14:paraId="4ADD5595" w14:textId="77777777" w:rsidR="00A9033D" w:rsidRPr="00A9033D" w:rsidRDefault="00A9033D" w:rsidP="00A9033D">
            <w:pPr>
              <w:spacing w:line="360" w:lineRule="auto"/>
              <w:jc w:val="center"/>
              <w:rPr>
                <w:color w:val="000000"/>
                <w:sz w:val="18"/>
                <w:szCs w:val="18"/>
                <w:lang w:eastAsia="en-US"/>
              </w:rPr>
            </w:pPr>
            <w:r w:rsidRPr="00A9033D">
              <w:rPr>
                <w:color w:val="000000"/>
                <w:sz w:val="18"/>
                <w:szCs w:val="18"/>
                <w:lang w:eastAsia="en-US"/>
              </w:rPr>
              <w:t>0,04</w:t>
            </w:r>
          </w:p>
        </w:tc>
      </w:tr>
      <w:tr w:rsidR="00A9033D" w:rsidRPr="00A9033D" w14:paraId="5CA7D8C5" w14:textId="77777777" w:rsidTr="0072623A">
        <w:trPr>
          <w:trHeight w:hRule="exact" w:val="284"/>
          <w:jc w:val="center"/>
        </w:trPr>
        <w:tc>
          <w:tcPr>
            <w:tcW w:w="2513" w:type="dxa"/>
            <w:shd w:val="clear" w:color="auto" w:fill="auto"/>
            <w:vAlign w:val="center"/>
            <w:hideMark/>
          </w:tcPr>
          <w:p w14:paraId="4897E421" w14:textId="77777777" w:rsidR="00A9033D" w:rsidRPr="00A9033D" w:rsidRDefault="00A9033D" w:rsidP="00A9033D">
            <w:pPr>
              <w:spacing w:line="360" w:lineRule="auto"/>
              <w:rPr>
                <w:color w:val="000000"/>
                <w:sz w:val="18"/>
                <w:szCs w:val="18"/>
                <w:lang w:eastAsia="en-US"/>
              </w:rPr>
            </w:pPr>
            <w:r w:rsidRPr="00A9033D">
              <w:rPr>
                <w:bCs/>
                <w:color w:val="000000"/>
                <w:sz w:val="18"/>
                <w:szCs w:val="18"/>
                <w:lang w:eastAsia="en-US"/>
              </w:rPr>
              <w:t>Ciclo de estudio</w:t>
            </w:r>
          </w:p>
        </w:tc>
        <w:tc>
          <w:tcPr>
            <w:tcW w:w="1366" w:type="dxa"/>
            <w:shd w:val="clear" w:color="auto" w:fill="auto"/>
            <w:noWrap/>
            <w:vAlign w:val="center"/>
            <w:hideMark/>
          </w:tcPr>
          <w:p w14:paraId="0617A91F" w14:textId="77777777" w:rsidR="00A9033D" w:rsidRPr="00A9033D" w:rsidRDefault="00A9033D" w:rsidP="00A9033D">
            <w:pPr>
              <w:spacing w:line="360" w:lineRule="auto"/>
              <w:jc w:val="center"/>
              <w:rPr>
                <w:color w:val="000000"/>
                <w:sz w:val="18"/>
                <w:szCs w:val="18"/>
                <w:lang w:eastAsia="en-US"/>
              </w:rPr>
            </w:pPr>
            <w:r w:rsidRPr="00A9033D">
              <w:rPr>
                <w:color w:val="000000"/>
                <w:sz w:val="18"/>
                <w:szCs w:val="18"/>
                <w:lang w:eastAsia="en-US"/>
              </w:rPr>
              <w:t>72,446</w:t>
            </w:r>
          </w:p>
        </w:tc>
        <w:tc>
          <w:tcPr>
            <w:tcW w:w="925" w:type="dxa"/>
            <w:shd w:val="clear" w:color="auto" w:fill="auto"/>
            <w:noWrap/>
            <w:vAlign w:val="center"/>
            <w:hideMark/>
          </w:tcPr>
          <w:p w14:paraId="54BFC9A6" w14:textId="77777777" w:rsidR="00A9033D" w:rsidRPr="00A9033D" w:rsidRDefault="00A9033D" w:rsidP="00A9033D">
            <w:pPr>
              <w:spacing w:line="360" w:lineRule="auto"/>
              <w:jc w:val="center"/>
              <w:rPr>
                <w:sz w:val="18"/>
                <w:szCs w:val="18"/>
                <w:lang w:eastAsia="en-US"/>
              </w:rPr>
            </w:pPr>
            <w:r w:rsidRPr="00A9033D">
              <w:rPr>
                <w:color w:val="000000"/>
                <w:sz w:val="18"/>
                <w:szCs w:val="18"/>
                <w:lang w:eastAsia="en-US"/>
              </w:rPr>
              <w:t>0,000</w:t>
            </w:r>
          </w:p>
        </w:tc>
      </w:tr>
      <w:tr w:rsidR="00A9033D" w:rsidRPr="00A9033D" w14:paraId="0D2EF71B" w14:textId="77777777" w:rsidTr="0072623A">
        <w:trPr>
          <w:trHeight w:hRule="exact" w:val="284"/>
          <w:jc w:val="center"/>
        </w:trPr>
        <w:tc>
          <w:tcPr>
            <w:tcW w:w="2513" w:type="dxa"/>
            <w:shd w:val="clear" w:color="auto" w:fill="auto"/>
            <w:vAlign w:val="center"/>
            <w:hideMark/>
          </w:tcPr>
          <w:p w14:paraId="2E33D3E3" w14:textId="77777777" w:rsidR="00A9033D" w:rsidRPr="00A9033D" w:rsidRDefault="00A9033D" w:rsidP="00A9033D">
            <w:pPr>
              <w:spacing w:line="360" w:lineRule="auto"/>
              <w:rPr>
                <w:color w:val="000000"/>
                <w:sz w:val="18"/>
                <w:szCs w:val="18"/>
                <w:lang w:eastAsia="en-US"/>
              </w:rPr>
            </w:pPr>
            <w:r w:rsidRPr="00A9033D">
              <w:rPr>
                <w:bCs/>
                <w:color w:val="000000"/>
                <w:sz w:val="18"/>
                <w:szCs w:val="18"/>
                <w:lang w:eastAsia="en-US"/>
              </w:rPr>
              <w:t>Carrera</w:t>
            </w:r>
          </w:p>
        </w:tc>
        <w:tc>
          <w:tcPr>
            <w:tcW w:w="1366" w:type="dxa"/>
            <w:shd w:val="clear" w:color="auto" w:fill="auto"/>
            <w:noWrap/>
            <w:vAlign w:val="center"/>
            <w:hideMark/>
          </w:tcPr>
          <w:p w14:paraId="15546889" w14:textId="77777777" w:rsidR="00A9033D" w:rsidRPr="00A9033D" w:rsidRDefault="00A9033D" w:rsidP="00A9033D">
            <w:pPr>
              <w:spacing w:line="360" w:lineRule="auto"/>
              <w:jc w:val="center"/>
              <w:rPr>
                <w:color w:val="000000"/>
                <w:sz w:val="18"/>
                <w:szCs w:val="18"/>
                <w:lang w:eastAsia="en-US"/>
              </w:rPr>
            </w:pPr>
            <w:r w:rsidRPr="00A9033D">
              <w:rPr>
                <w:color w:val="000000"/>
                <w:sz w:val="18"/>
                <w:szCs w:val="18"/>
                <w:lang w:eastAsia="en-US"/>
              </w:rPr>
              <w:t>111,934</w:t>
            </w:r>
          </w:p>
        </w:tc>
        <w:tc>
          <w:tcPr>
            <w:tcW w:w="925" w:type="dxa"/>
            <w:shd w:val="clear" w:color="auto" w:fill="auto"/>
            <w:noWrap/>
            <w:vAlign w:val="center"/>
            <w:hideMark/>
          </w:tcPr>
          <w:p w14:paraId="623B04AB" w14:textId="77777777" w:rsidR="00A9033D" w:rsidRPr="00A9033D" w:rsidRDefault="00A9033D" w:rsidP="00A9033D">
            <w:pPr>
              <w:spacing w:line="360" w:lineRule="auto"/>
              <w:jc w:val="center"/>
              <w:rPr>
                <w:sz w:val="18"/>
                <w:szCs w:val="18"/>
                <w:lang w:eastAsia="en-US"/>
              </w:rPr>
            </w:pPr>
            <w:r w:rsidRPr="00A9033D">
              <w:rPr>
                <w:color w:val="000000"/>
                <w:sz w:val="18"/>
                <w:szCs w:val="18"/>
                <w:lang w:eastAsia="en-US"/>
              </w:rPr>
              <w:t>0,043</w:t>
            </w:r>
          </w:p>
        </w:tc>
      </w:tr>
      <w:bookmarkEnd w:id="1"/>
    </w:tbl>
    <w:p w14:paraId="5DCA7843" w14:textId="77777777" w:rsidR="00A9033D" w:rsidRPr="00A9033D" w:rsidRDefault="00A9033D" w:rsidP="00A9033D">
      <w:pPr>
        <w:tabs>
          <w:tab w:val="left" w:pos="3828"/>
        </w:tabs>
        <w:spacing w:line="360" w:lineRule="auto"/>
        <w:jc w:val="both"/>
        <w:rPr>
          <w:color w:val="000000"/>
          <w:lang w:eastAsia="en-US"/>
        </w:rPr>
      </w:pPr>
    </w:p>
    <w:p w14:paraId="3B7477AF" w14:textId="77777777" w:rsidR="00A9033D" w:rsidRPr="00A9033D" w:rsidRDefault="00A9033D" w:rsidP="00A9033D">
      <w:pPr>
        <w:tabs>
          <w:tab w:val="left" w:pos="3828"/>
        </w:tabs>
        <w:spacing w:line="360" w:lineRule="auto"/>
        <w:jc w:val="both"/>
        <w:rPr>
          <w:color w:val="000000"/>
          <w:lang w:eastAsia="en-US"/>
        </w:rPr>
      </w:pPr>
      <w:r w:rsidRPr="00A9033D">
        <w:rPr>
          <w:color w:val="000000"/>
          <w:lang w:eastAsia="en-US"/>
        </w:rPr>
        <w:t>En la figura 2, se muestra un mapa de la República del Ecuador dividido en sus 23 provincias. Se establece una asociación significativa entre las regiones naturales del Ecuador y el nivel de ansiedad según la escala AMAS-C, χ</w:t>
      </w:r>
      <w:r w:rsidRPr="00A9033D">
        <w:rPr>
          <w:color w:val="000000"/>
          <w:vertAlign w:val="superscript"/>
          <w:lang w:eastAsia="en-US"/>
        </w:rPr>
        <w:t>2</w:t>
      </w:r>
      <w:r w:rsidRPr="00A9033D">
        <w:rPr>
          <w:color w:val="000000"/>
          <w:lang w:eastAsia="en-US"/>
        </w:rPr>
        <w:t xml:space="preserve">= 16,193, </w:t>
      </w:r>
      <w:r w:rsidRPr="00A9033D">
        <w:rPr>
          <w:iCs/>
          <w:color w:val="000000"/>
          <w:lang w:eastAsia="en-US"/>
        </w:rPr>
        <w:t>p</w:t>
      </w:r>
      <w:r w:rsidRPr="00A9033D">
        <w:rPr>
          <w:color w:val="000000"/>
          <w:lang w:eastAsia="en-US"/>
        </w:rPr>
        <w:t xml:space="preserve"> = 0,04. </w:t>
      </w:r>
    </w:p>
    <w:p w14:paraId="7E204A24" w14:textId="77777777" w:rsidR="00A9033D" w:rsidRPr="00A9033D" w:rsidRDefault="00A9033D" w:rsidP="00A9033D">
      <w:pPr>
        <w:tabs>
          <w:tab w:val="left" w:pos="3828"/>
        </w:tabs>
        <w:spacing w:line="360" w:lineRule="auto"/>
        <w:jc w:val="both"/>
        <w:rPr>
          <w:color w:val="000000"/>
          <w:lang w:eastAsia="en-US"/>
        </w:rPr>
      </w:pPr>
      <w:r w:rsidRPr="00A9033D">
        <w:rPr>
          <w:color w:val="000000"/>
          <w:lang w:eastAsia="en-US"/>
        </w:rPr>
        <w:t xml:space="preserve">En las provincias de Manabí, Santa Elena y Santo Domingo de los Tsáchilas (Región Costa) se evidencia que por cada 100 000 habitantes han fallecido más de 50 personas por la COVID-19; y que, en Carchi, Imbabura, Azuay (Región Sierra) y Morona Santiago (Región Oriente) son las provincias en las que menos personas han fallecido; se representan estos datos en la mitad de los días en la que estuvo </w:t>
      </w:r>
      <w:r w:rsidRPr="00A9033D">
        <w:rPr>
          <w:color w:val="000000"/>
          <w:lang w:eastAsia="en-US"/>
        </w:rPr>
        <w:lastRenderedPageBreak/>
        <w:t xml:space="preserve">habilitada la escala, es decir 30 de julio de 2020, en razón a que es el 81,7 % de los participantes ya habían respondido. En cuanto a los niveles de ansiedad, las provincias que resaltan niveles extremos y clínicamente significativos son: Pastaza (50 %), Imbabura (22,58 %), Sucumbíos (66,7 %), Morona Santiago (57,14 %), Orellana (42,86 %), Esmeraldas (30,77 %), Guayas (25 %), Los Ríos (25 %) y Azuay (24,07 %). Se puede observar que 4 de las 6 provincias que pertenecen a la Región del Oriente presentan niveles preocupantes de ansiedad. </w:t>
      </w:r>
    </w:p>
    <w:p w14:paraId="37C9318D" w14:textId="77777777" w:rsidR="00A9033D" w:rsidRPr="00A9033D" w:rsidRDefault="00A9033D" w:rsidP="00A9033D">
      <w:pPr>
        <w:tabs>
          <w:tab w:val="left" w:pos="3828"/>
        </w:tabs>
        <w:spacing w:line="360" w:lineRule="auto"/>
        <w:jc w:val="both"/>
        <w:rPr>
          <w:color w:val="000000"/>
          <w:lang w:eastAsia="en-US"/>
        </w:rPr>
      </w:pPr>
    </w:p>
    <w:p w14:paraId="3C7ECC68" w14:textId="387A316F" w:rsidR="00A9033D" w:rsidRPr="00A9033D" w:rsidRDefault="002204EF" w:rsidP="00A9033D">
      <w:pPr>
        <w:tabs>
          <w:tab w:val="left" w:pos="3828"/>
        </w:tabs>
        <w:spacing w:line="360" w:lineRule="auto"/>
        <w:jc w:val="center"/>
        <w:rPr>
          <w:color w:val="000000"/>
          <w:lang w:eastAsia="en-US"/>
        </w:rPr>
      </w:pPr>
      <w:r>
        <w:rPr>
          <w:noProof/>
          <w:color w:val="000000"/>
          <w:lang w:eastAsia="en-US"/>
        </w:rPr>
        <w:drawing>
          <wp:inline distT="0" distB="0" distL="0" distR="0" wp14:anchorId="42C7365B" wp14:editId="005D865F">
            <wp:extent cx="4764530" cy="4787661"/>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84773" cy="4808003"/>
                    </a:xfrm>
                    <a:prstGeom prst="rect">
                      <a:avLst/>
                    </a:prstGeom>
                  </pic:spPr>
                </pic:pic>
              </a:graphicData>
            </a:graphic>
          </wp:inline>
        </w:drawing>
      </w:r>
    </w:p>
    <w:p w14:paraId="677497FB" w14:textId="77777777" w:rsidR="00A9033D" w:rsidRPr="00A9033D" w:rsidRDefault="00A9033D" w:rsidP="00A9033D">
      <w:pPr>
        <w:spacing w:line="360" w:lineRule="auto"/>
        <w:jc w:val="center"/>
        <w:rPr>
          <w:color w:val="000000"/>
          <w:sz w:val="22"/>
          <w:szCs w:val="22"/>
          <w:lang w:eastAsia="en-US"/>
        </w:rPr>
      </w:pPr>
      <w:r w:rsidRPr="00A9033D">
        <w:rPr>
          <w:b/>
          <w:iCs/>
          <w:color w:val="000000"/>
          <w:sz w:val="22"/>
          <w:szCs w:val="22"/>
          <w:lang w:eastAsia="en-US"/>
        </w:rPr>
        <w:t xml:space="preserve">Fig. 2 </w:t>
      </w:r>
      <w:r w:rsidRPr="00A9033D">
        <w:rPr>
          <w:bCs/>
          <w:iCs/>
          <w:color w:val="000000"/>
          <w:sz w:val="22"/>
          <w:szCs w:val="22"/>
          <w:lang w:eastAsia="en-US"/>
        </w:rPr>
        <w:t>-</w:t>
      </w:r>
      <w:r w:rsidRPr="00A9033D">
        <w:rPr>
          <w:b/>
          <w:color w:val="000000"/>
          <w:sz w:val="22"/>
          <w:szCs w:val="22"/>
          <w:lang w:eastAsia="en-US"/>
        </w:rPr>
        <w:t xml:space="preserve"> </w:t>
      </w:r>
      <w:r w:rsidRPr="00A9033D">
        <w:rPr>
          <w:color w:val="000000"/>
          <w:sz w:val="22"/>
          <w:szCs w:val="22"/>
          <w:lang w:eastAsia="en-US"/>
        </w:rPr>
        <w:t>Distribución geográfica de ansiedad y proporción de fallecidos por COVID-19 por provincia en Ecuador.</w:t>
      </w:r>
    </w:p>
    <w:p w14:paraId="7EF76F17" w14:textId="77777777" w:rsidR="00A9033D" w:rsidRPr="00A9033D" w:rsidRDefault="00A9033D" w:rsidP="00A9033D">
      <w:pPr>
        <w:spacing w:line="360" w:lineRule="auto"/>
        <w:rPr>
          <w:color w:val="000000"/>
          <w:lang w:eastAsia="en-US"/>
        </w:rPr>
      </w:pPr>
    </w:p>
    <w:p w14:paraId="756DCFAC" w14:textId="77777777" w:rsidR="00A9033D" w:rsidRPr="00A9033D" w:rsidRDefault="00A9033D" w:rsidP="00A9033D">
      <w:pPr>
        <w:spacing w:line="360" w:lineRule="auto"/>
        <w:jc w:val="both"/>
        <w:rPr>
          <w:rFonts w:eastAsia="Calibri"/>
          <w:color w:val="000000"/>
          <w:lang w:eastAsia="en-US"/>
        </w:rPr>
      </w:pPr>
      <w:r w:rsidRPr="00A9033D">
        <w:rPr>
          <w:rFonts w:eastAsia="Calibri"/>
          <w:color w:val="000000"/>
          <w:lang w:eastAsia="en-US"/>
        </w:rPr>
        <w:lastRenderedPageBreak/>
        <w:t>La proporción de fallecidos por la COVID-19 por cada 100 000 habitantes por provincia de la República del Ecuador por día, se compara entre los grupos de estudiantes conformados según el nivel de ansiedad. Según la prueba de Kruskal Wallis hubo diferencias significativas entre los grupos (</w:t>
      </w:r>
      <w:r w:rsidRPr="00A9033D">
        <w:rPr>
          <w:iCs/>
          <w:color w:val="000000"/>
          <w:lang w:eastAsia="en-US"/>
        </w:rPr>
        <w:t>p</w:t>
      </w:r>
      <w:r w:rsidRPr="00A9033D">
        <w:rPr>
          <w:color w:val="000000"/>
          <w:lang w:eastAsia="en-US"/>
        </w:rPr>
        <w:t xml:space="preserve"> = 0,015)</w:t>
      </w:r>
      <w:r w:rsidRPr="00A9033D">
        <w:rPr>
          <w:rFonts w:eastAsia="Calibri"/>
          <w:color w:val="000000"/>
          <w:lang w:eastAsia="en-US"/>
        </w:rPr>
        <w:t xml:space="preserve">. Para la proporción de casos por la COVID-19, por cada 100 000 habitantes por provincia del Ecuador por día, la prueba de </w:t>
      </w:r>
      <w:proofErr w:type="spellStart"/>
      <w:r w:rsidRPr="00A9033D">
        <w:rPr>
          <w:rFonts w:eastAsia="Calibri"/>
          <w:color w:val="000000"/>
          <w:lang w:eastAsia="en-US"/>
        </w:rPr>
        <w:t>Kruskall</w:t>
      </w:r>
      <w:proofErr w:type="spellEnd"/>
      <w:r w:rsidRPr="00A9033D">
        <w:rPr>
          <w:rFonts w:eastAsia="Calibri"/>
          <w:color w:val="000000"/>
          <w:lang w:eastAsia="en-US"/>
        </w:rPr>
        <w:t xml:space="preserve"> Wallis demostró que no hubo diferencias significativas entre los grupos de ansiedad identificados (</w:t>
      </w:r>
      <w:r w:rsidRPr="00A9033D">
        <w:rPr>
          <w:iCs/>
          <w:color w:val="000000"/>
          <w:lang w:eastAsia="en-US"/>
        </w:rPr>
        <w:t>p</w:t>
      </w:r>
      <w:r w:rsidRPr="00A9033D">
        <w:rPr>
          <w:color w:val="000000"/>
          <w:lang w:eastAsia="en-US"/>
        </w:rPr>
        <w:t xml:space="preserve"> = 0,209)</w:t>
      </w:r>
      <w:r w:rsidRPr="00A9033D">
        <w:rPr>
          <w:rFonts w:eastAsia="Calibri"/>
          <w:color w:val="000000"/>
          <w:lang w:eastAsia="en-US"/>
        </w:rPr>
        <w:t>.</w:t>
      </w:r>
    </w:p>
    <w:p w14:paraId="10C4DF51" w14:textId="77777777" w:rsidR="00A9033D" w:rsidRPr="00A9033D" w:rsidRDefault="00A9033D" w:rsidP="00A9033D">
      <w:pPr>
        <w:spacing w:line="360" w:lineRule="auto"/>
        <w:jc w:val="both"/>
        <w:rPr>
          <w:rFonts w:eastAsia="Calibri"/>
          <w:color w:val="000000"/>
          <w:lang w:eastAsia="en-US"/>
        </w:rPr>
      </w:pPr>
    </w:p>
    <w:p w14:paraId="6BB7D434" w14:textId="77777777" w:rsidR="00A9033D" w:rsidRPr="00A9033D" w:rsidRDefault="00A9033D" w:rsidP="00A9033D">
      <w:pPr>
        <w:spacing w:line="360" w:lineRule="auto"/>
        <w:ind w:left="708"/>
        <w:jc w:val="center"/>
        <w:rPr>
          <w:rFonts w:eastAsia="Calibri"/>
          <w:b/>
          <w:color w:val="000000"/>
          <w:lang w:eastAsia="en-US"/>
        </w:rPr>
      </w:pPr>
    </w:p>
    <w:p w14:paraId="0654CE6C" w14:textId="77777777" w:rsidR="00A9033D" w:rsidRPr="00A9033D" w:rsidRDefault="00A9033D" w:rsidP="00A9033D">
      <w:pPr>
        <w:spacing w:line="360" w:lineRule="auto"/>
        <w:ind w:left="708"/>
        <w:jc w:val="center"/>
        <w:rPr>
          <w:rFonts w:eastAsia="Calibri"/>
          <w:b/>
          <w:color w:val="000000"/>
          <w:sz w:val="32"/>
          <w:szCs w:val="32"/>
          <w:lang w:eastAsia="en-US"/>
        </w:rPr>
      </w:pPr>
      <w:r w:rsidRPr="00A9033D">
        <w:rPr>
          <w:rFonts w:eastAsia="Calibri"/>
          <w:b/>
          <w:color w:val="000000"/>
          <w:sz w:val="32"/>
          <w:szCs w:val="32"/>
          <w:lang w:eastAsia="en-US"/>
        </w:rPr>
        <w:t>DISCUSIÓN</w:t>
      </w:r>
    </w:p>
    <w:p w14:paraId="7E7FBEB3" w14:textId="77777777" w:rsidR="00A9033D" w:rsidRPr="00A9033D" w:rsidRDefault="00A9033D" w:rsidP="00A9033D">
      <w:pPr>
        <w:tabs>
          <w:tab w:val="left" w:pos="5711"/>
        </w:tabs>
        <w:spacing w:line="360" w:lineRule="auto"/>
        <w:jc w:val="both"/>
        <w:rPr>
          <w:color w:val="000000"/>
          <w:lang w:eastAsia="en-US"/>
        </w:rPr>
      </w:pPr>
      <w:r w:rsidRPr="00A9033D">
        <w:rPr>
          <w:color w:val="000000"/>
          <w:lang w:eastAsia="en-US"/>
        </w:rPr>
        <w:t xml:space="preserve">Desde el brote de la COVID-19 y su propagación, </w:t>
      </w:r>
      <w:r w:rsidRPr="00A9033D">
        <w:rPr>
          <w:i/>
          <w:color w:val="000000"/>
          <w:lang w:eastAsia="en-US"/>
        </w:rPr>
        <w:t xml:space="preserve">Menzies </w:t>
      </w:r>
      <w:r w:rsidRPr="00A9033D">
        <w:rPr>
          <w:iCs/>
          <w:color w:val="000000"/>
          <w:lang w:eastAsia="en-US"/>
        </w:rPr>
        <w:t xml:space="preserve">y </w:t>
      </w:r>
      <w:proofErr w:type="gramStart"/>
      <w:r w:rsidRPr="00A9033D">
        <w:rPr>
          <w:iCs/>
          <w:color w:val="000000"/>
          <w:lang w:eastAsia="en-US"/>
        </w:rPr>
        <w:t>otros</w:t>
      </w:r>
      <w:r w:rsidRPr="00A9033D">
        <w:rPr>
          <w:color w:val="000000"/>
          <w:vertAlign w:val="superscript"/>
          <w:lang w:eastAsia="en-US"/>
        </w:rPr>
        <w:t>(</w:t>
      </w:r>
      <w:proofErr w:type="gramEnd"/>
      <w:r w:rsidRPr="00A9033D">
        <w:rPr>
          <w:color w:val="000000"/>
          <w:vertAlign w:val="superscript"/>
          <w:lang w:eastAsia="en-US"/>
        </w:rPr>
        <w:t>12)</w:t>
      </w:r>
      <w:r w:rsidRPr="00A9033D">
        <w:rPr>
          <w:color w:val="000000"/>
          <w:lang w:eastAsia="en-US"/>
        </w:rPr>
        <w:t xml:space="preserve"> consideran que se incrementó el temor al contagio y a la muerte. Una consecuencia de esta situación es la afectación psicológica reflejada en cuadros de </w:t>
      </w:r>
      <w:proofErr w:type="gramStart"/>
      <w:r w:rsidRPr="00A9033D">
        <w:rPr>
          <w:color w:val="000000"/>
          <w:lang w:eastAsia="en-US"/>
        </w:rPr>
        <w:t>ansiedad,</w:t>
      </w:r>
      <w:r w:rsidRPr="00A9033D">
        <w:rPr>
          <w:color w:val="000000"/>
          <w:vertAlign w:val="superscript"/>
          <w:lang w:eastAsia="en-US"/>
        </w:rPr>
        <w:t>(</w:t>
      </w:r>
      <w:proofErr w:type="gramEnd"/>
      <w:r w:rsidRPr="00A9033D">
        <w:rPr>
          <w:color w:val="000000"/>
          <w:vertAlign w:val="superscript"/>
          <w:lang w:eastAsia="en-US"/>
        </w:rPr>
        <w:t>18,19)</w:t>
      </w:r>
      <w:r w:rsidRPr="00A9033D">
        <w:rPr>
          <w:color w:val="000000"/>
          <w:lang w:eastAsia="en-US"/>
        </w:rPr>
        <w:t xml:space="preserve"> que al decir de </w:t>
      </w:r>
      <w:proofErr w:type="spellStart"/>
      <w:r w:rsidRPr="00A9033D">
        <w:rPr>
          <w:i/>
          <w:color w:val="000000"/>
          <w:lang w:eastAsia="en-US"/>
        </w:rPr>
        <w:t>Fegert</w:t>
      </w:r>
      <w:proofErr w:type="spellEnd"/>
      <w:r w:rsidRPr="00A9033D">
        <w:rPr>
          <w:color w:val="000000"/>
          <w:lang w:eastAsia="en-US"/>
        </w:rPr>
        <w:t xml:space="preserve"> y otros</w:t>
      </w:r>
      <w:r w:rsidRPr="00A9033D">
        <w:rPr>
          <w:color w:val="000000"/>
          <w:vertAlign w:val="superscript"/>
          <w:lang w:eastAsia="en-US"/>
        </w:rPr>
        <w:t>(21)</w:t>
      </w:r>
      <w:r w:rsidRPr="00A9033D">
        <w:rPr>
          <w:color w:val="000000"/>
          <w:lang w:eastAsia="en-US"/>
        </w:rPr>
        <w:t xml:space="preserve"> se manifiesta en mayor violencia doméstica y maltrato infantil. </w:t>
      </w:r>
    </w:p>
    <w:p w14:paraId="05C3E572" w14:textId="77777777" w:rsidR="00A9033D" w:rsidRPr="00A9033D" w:rsidRDefault="00A9033D" w:rsidP="00A9033D">
      <w:pPr>
        <w:tabs>
          <w:tab w:val="left" w:pos="5711"/>
        </w:tabs>
        <w:spacing w:line="360" w:lineRule="auto"/>
        <w:jc w:val="both"/>
        <w:rPr>
          <w:color w:val="000000"/>
          <w:lang w:eastAsia="en-US"/>
        </w:rPr>
      </w:pPr>
      <w:r w:rsidRPr="00A9033D">
        <w:rPr>
          <w:color w:val="000000"/>
          <w:lang w:eastAsia="en-US"/>
        </w:rPr>
        <w:t xml:space="preserve">Tras estudiar el grado de ansiedad manifiesta en estudiantes universitarios ante el número de muertos por la COVID-19, de las distintas provincias de la República del Ecuador, se reporta que el 12,2 % presentan ansiedad extrema y el 22,9 % ansiedad clínicamente significativa, cuya suma implica que el 35,1 % de participantes demuestran un grado de ansiedad preocupante; además el 26,8 % evidencia ansiedad de elevación leve, el 21,5 % ansiedad esperada y el 16,6 % ansiedad baja. Esto coincide con estudios realizados en: China por de </w:t>
      </w:r>
      <w:r w:rsidRPr="00A9033D">
        <w:rPr>
          <w:i/>
          <w:color w:val="000000"/>
          <w:lang w:eastAsia="en-US"/>
        </w:rPr>
        <w:t>Li</w:t>
      </w:r>
      <w:r w:rsidRPr="00A9033D">
        <w:rPr>
          <w:color w:val="000000"/>
          <w:lang w:eastAsia="en-US"/>
        </w:rPr>
        <w:t xml:space="preserve"> y </w:t>
      </w:r>
      <w:proofErr w:type="gramStart"/>
      <w:r w:rsidRPr="00A9033D">
        <w:rPr>
          <w:color w:val="000000"/>
          <w:lang w:eastAsia="en-US"/>
        </w:rPr>
        <w:t>otros</w:t>
      </w:r>
      <w:r w:rsidRPr="00A9033D">
        <w:rPr>
          <w:color w:val="000000"/>
          <w:vertAlign w:val="superscript"/>
          <w:lang w:eastAsia="en-US"/>
        </w:rPr>
        <w:t>(</w:t>
      </w:r>
      <w:proofErr w:type="gramEnd"/>
      <w:r w:rsidRPr="00A9033D">
        <w:rPr>
          <w:color w:val="000000"/>
          <w:vertAlign w:val="superscript"/>
          <w:lang w:eastAsia="en-US"/>
        </w:rPr>
        <w:t>18)</w:t>
      </w:r>
      <w:r w:rsidRPr="00A9033D">
        <w:rPr>
          <w:color w:val="000000"/>
          <w:lang w:eastAsia="en-US"/>
        </w:rPr>
        <w:t xml:space="preserve"> quienes concluyen que de los 1 442 universitarios, el 26,63 % presentó ansiedad psicológica; en Grecia por </w:t>
      </w:r>
      <w:proofErr w:type="spellStart"/>
      <w:r w:rsidRPr="00A9033D">
        <w:rPr>
          <w:i/>
          <w:color w:val="000000"/>
          <w:lang w:eastAsia="en-US"/>
        </w:rPr>
        <w:t>Kaparounaki</w:t>
      </w:r>
      <w:proofErr w:type="spellEnd"/>
      <w:r w:rsidRPr="00A9033D">
        <w:rPr>
          <w:color w:val="000000"/>
          <w:lang w:eastAsia="en-US"/>
        </w:rPr>
        <w:t xml:space="preserve"> y otros</w:t>
      </w:r>
      <w:r w:rsidRPr="00A9033D">
        <w:rPr>
          <w:color w:val="000000"/>
          <w:vertAlign w:val="superscript"/>
          <w:lang w:eastAsia="en-US"/>
        </w:rPr>
        <w:t>(22)</w:t>
      </w:r>
      <w:r w:rsidRPr="00A9033D">
        <w:rPr>
          <w:color w:val="000000"/>
          <w:lang w:eastAsia="en-US"/>
        </w:rPr>
        <w:t xml:space="preserve"> con 1000 estudiantes, en el cual, el 42,5 % presenta ansiedad; en Bangladesh realizado por</w:t>
      </w:r>
      <w:r w:rsidRPr="00A9033D">
        <w:rPr>
          <w:i/>
          <w:color w:val="000000"/>
          <w:lang w:eastAsia="en-US"/>
        </w:rPr>
        <w:t xml:space="preserve"> </w:t>
      </w:r>
      <w:proofErr w:type="spellStart"/>
      <w:r w:rsidRPr="00A9033D">
        <w:rPr>
          <w:i/>
          <w:color w:val="000000"/>
          <w:lang w:eastAsia="en-US"/>
        </w:rPr>
        <w:t>Dhar</w:t>
      </w:r>
      <w:proofErr w:type="spellEnd"/>
      <w:r w:rsidRPr="00A9033D">
        <w:rPr>
          <w:color w:val="000000"/>
          <w:lang w:eastAsia="en-US"/>
        </w:rPr>
        <w:t xml:space="preserve"> y otros</w:t>
      </w:r>
      <w:r w:rsidRPr="00A9033D">
        <w:rPr>
          <w:color w:val="000000"/>
          <w:vertAlign w:val="superscript"/>
          <w:lang w:eastAsia="en-US"/>
        </w:rPr>
        <w:t>(24)</w:t>
      </w:r>
      <w:r w:rsidRPr="00A9033D">
        <w:rPr>
          <w:color w:val="000000"/>
          <w:lang w:eastAsia="en-US"/>
        </w:rPr>
        <w:t xml:space="preserve"> con una muestra de 15 543 universitarios, en la que el 44,59 % demuestra ansiedad grave y el 48,41 % ansiedad moderada. </w:t>
      </w:r>
    </w:p>
    <w:p w14:paraId="4746092D" w14:textId="77777777" w:rsidR="00A9033D" w:rsidRPr="00A9033D" w:rsidRDefault="00A9033D" w:rsidP="00A9033D">
      <w:pPr>
        <w:tabs>
          <w:tab w:val="left" w:pos="5711"/>
        </w:tabs>
        <w:spacing w:line="360" w:lineRule="auto"/>
        <w:jc w:val="both"/>
        <w:rPr>
          <w:color w:val="000000"/>
          <w:lang w:eastAsia="en-US"/>
        </w:rPr>
      </w:pPr>
      <w:r w:rsidRPr="00A9033D">
        <w:rPr>
          <w:color w:val="000000"/>
          <w:lang w:eastAsia="en-US"/>
        </w:rPr>
        <w:t xml:space="preserve">Adicionalmente, los porcentajes de ansiedad que se resaltan en este trabajo son parecidos a los obtenidos en algunos estudios dentro de Latinoamérica, como es el caso de la investigación de </w:t>
      </w:r>
      <w:r w:rsidRPr="00A9033D">
        <w:rPr>
          <w:i/>
          <w:color w:val="000000"/>
          <w:lang w:eastAsia="en-US"/>
        </w:rPr>
        <w:t>Galindo-Vázquez</w:t>
      </w:r>
      <w:r w:rsidRPr="00A9033D">
        <w:rPr>
          <w:color w:val="000000"/>
          <w:lang w:eastAsia="en-US"/>
        </w:rPr>
        <w:t xml:space="preserve"> y </w:t>
      </w:r>
      <w:proofErr w:type="gramStart"/>
      <w:r w:rsidRPr="00A9033D">
        <w:rPr>
          <w:color w:val="000000"/>
          <w:lang w:eastAsia="en-US"/>
        </w:rPr>
        <w:t>otros</w:t>
      </w:r>
      <w:r w:rsidRPr="00A9033D">
        <w:rPr>
          <w:color w:val="000000"/>
          <w:vertAlign w:val="superscript"/>
          <w:lang w:eastAsia="en-US"/>
        </w:rPr>
        <w:t>(</w:t>
      </w:r>
      <w:proofErr w:type="gramEnd"/>
      <w:r w:rsidRPr="00A9033D">
        <w:rPr>
          <w:color w:val="000000"/>
          <w:vertAlign w:val="superscript"/>
          <w:lang w:eastAsia="en-US"/>
        </w:rPr>
        <w:t>26)</w:t>
      </w:r>
      <w:r w:rsidRPr="00A9033D">
        <w:rPr>
          <w:color w:val="000000"/>
          <w:lang w:eastAsia="en-US"/>
        </w:rPr>
        <w:t xml:space="preserve"> con 1 508 estudiantes mexicanos, en la que el 20,8 % presenta ansiedad grave. </w:t>
      </w:r>
    </w:p>
    <w:p w14:paraId="64DAD71E" w14:textId="77777777" w:rsidR="00A9033D" w:rsidRPr="00A9033D" w:rsidRDefault="00A9033D" w:rsidP="00A9033D">
      <w:pPr>
        <w:tabs>
          <w:tab w:val="left" w:pos="5711"/>
        </w:tabs>
        <w:spacing w:line="360" w:lineRule="auto"/>
        <w:jc w:val="both"/>
        <w:rPr>
          <w:color w:val="000000"/>
          <w:lang w:eastAsia="en-US"/>
        </w:rPr>
      </w:pPr>
      <w:r w:rsidRPr="00A9033D">
        <w:rPr>
          <w:color w:val="000000"/>
          <w:lang w:eastAsia="en-US"/>
        </w:rPr>
        <w:t xml:space="preserve">De la misma forma, esta investigación determinó que las mujeres (16,2 %) presentaron mayor ansiedad extrema, lo cual coincide con los trabajos de </w:t>
      </w:r>
      <w:r w:rsidRPr="00A9033D">
        <w:rPr>
          <w:i/>
          <w:color w:val="000000"/>
          <w:lang w:eastAsia="en-US"/>
        </w:rPr>
        <w:t>Galindo-Vázquez</w:t>
      </w:r>
      <w:r w:rsidRPr="00A9033D">
        <w:rPr>
          <w:color w:val="000000"/>
          <w:lang w:eastAsia="en-US"/>
        </w:rPr>
        <w:t xml:space="preserve"> y </w:t>
      </w:r>
      <w:proofErr w:type="gramStart"/>
      <w:r w:rsidRPr="00A9033D">
        <w:rPr>
          <w:color w:val="000000"/>
          <w:lang w:eastAsia="en-US"/>
        </w:rPr>
        <w:t>otros,</w:t>
      </w:r>
      <w:r w:rsidRPr="00A9033D">
        <w:rPr>
          <w:color w:val="000000"/>
          <w:vertAlign w:val="superscript"/>
          <w:lang w:eastAsia="en-US"/>
        </w:rPr>
        <w:t>(</w:t>
      </w:r>
      <w:proofErr w:type="gramEnd"/>
      <w:r w:rsidRPr="00A9033D">
        <w:rPr>
          <w:color w:val="000000"/>
          <w:vertAlign w:val="superscript"/>
          <w:lang w:eastAsia="en-US"/>
        </w:rPr>
        <w:t>26)</w:t>
      </w:r>
      <w:r w:rsidRPr="00A9033D">
        <w:rPr>
          <w:i/>
          <w:color w:val="000000"/>
          <w:lang w:eastAsia="en-US"/>
        </w:rPr>
        <w:t xml:space="preserve"> </w:t>
      </w:r>
      <w:proofErr w:type="spellStart"/>
      <w:r w:rsidRPr="00A9033D">
        <w:rPr>
          <w:i/>
          <w:color w:val="000000"/>
          <w:lang w:eastAsia="en-US"/>
        </w:rPr>
        <w:t>Jiang</w:t>
      </w:r>
      <w:proofErr w:type="spellEnd"/>
      <w:r w:rsidRPr="00A9033D">
        <w:rPr>
          <w:i/>
          <w:color w:val="000000"/>
          <w:lang w:eastAsia="en-US"/>
        </w:rPr>
        <w:t xml:space="preserve"> </w:t>
      </w:r>
      <w:r w:rsidRPr="00A9033D">
        <w:rPr>
          <w:color w:val="000000"/>
          <w:lang w:eastAsia="en-US"/>
        </w:rPr>
        <w:t>y otros,</w:t>
      </w:r>
      <w:r w:rsidRPr="00A9033D">
        <w:rPr>
          <w:color w:val="000000"/>
          <w:vertAlign w:val="superscript"/>
          <w:lang w:eastAsia="en-US"/>
        </w:rPr>
        <w:t>(23)</w:t>
      </w:r>
      <w:r w:rsidRPr="00A9033D">
        <w:rPr>
          <w:rFonts w:eastAsia="Calibri"/>
          <w:lang w:eastAsia="en-US"/>
        </w:rPr>
        <w:t xml:space="preserve"> y </w:t>
      </w:r>
      <w:r w:rsidRPr="00A9033D">
        <w:rPr>
          <w:rFonts w:eastAsia="Calibri"/>
          <w:i/>
          <w:lang w:eastAsia="en-US"/>
        </w:rPr>
        <w:t>Rodríguez-Hidalgo</w:t>
      </w:r>
      <w:r w:rsidRPr="00A9033D">
        <w:rPr>
          <w:rFonts w:eastAsia="Calibri"/>
          <w:lang w:eastAsia="en-US"/>
        </w:rPr>
        <w:t xml:space="preserve"> y otros;</w:t>
      </w:r>
      <w:r w:rsidRPr="00A9033D">
        <w:rPr>
          <w:color w:val="000000"/>
          <w:vertAlign w:val="superscript"/>
          <w:lang w:eastAsia="en-US"/>
        </w:rPr>
        <w:t>(28)</w:t>
      </w:r>
      <w:r w:rsidRPr="00A9033D">
        <w:rPr>
          <w:rFonts w:eastAsia="Calibri"/>
          <w:lang w:eastAsia="en-US"/>
        </w:rPr>
        <w:t xml:space="preserve"> </w:t>
      </w:r>
      <w:r w:rsidRPr="00A9033D">
        <w:rPr>
          <w:color w:val="000000"/>
          <w:lang w:eastAsia="en-US"/>
        </w:rPr>
        <w:t xml:space="preserve">esto quizá se debe a que en este estudio y los mencionados, el grupo que </w:t>
      </w:r>
      <w:r w:rsidRPr="00A9033D">
        <w:rPr>
          <w:color w:val="000000"/>
          <w:lang w:eastAsia="en-US"/>
        </w:rPr>
        <w:lastRenderedPageBreak/>
        <w:t xml:space="preserve">mayoritariamente participó fue el de mujeres, o quizá por su condición biológica y estilo de crianza, en razón de su contexto social, como lo mencionan </w:t>
      </w:r>
      <w:r w:rsidRPr="00A9033D">
        <w:rPr>
          <w:rFonts w:eastAsia="Calibri"/>
          <w:i/>
          <w:lang w:eastAsia="en-US"/>
        </w:rPr>
        <w:t>Remes</w:t>
      </w:r>
      <w:r w:rsidRPr="00A9033D">
        <w:rPr>
          <w:i/>
          <w:color w:val="000000"/>
          <w:lang w:eastAsia="en-US"/>
        </w:rPr>
        <w:t xml:space="preserve"> </w:t>
      </w:r>
      <w:r w:rsidRPr="00A9033D">
        <w:rPr>
          <w:color w:val="000000"/>
          <w:lang w:eastAsia="en-US"/>
        </w:rPr>
        <w:t>y otros.</w:t>
      </w:r>
      <w:r w:rsidRPr="00A9033D">
        <w:rPr>
          <w:color w:val="000000"/>
          <w:vertAlign w:val="superscript"/>
          <w:lang w:eastAsia="en-US"/>
        </w:rPr>
        <w:t>(34)</w:t>
      </w:r>
    </w:p>
    <w:p w14:paraId="3A7B7696" w14:textId="77777777" w:rsidR="00A9033D" w:rsidRPr="00A9033D" w:rsidRDefault="00A9033D" w:rsidP="00A9033D">
      <w:pPr>
        <w:tabs>
          <w:tab w:val="left" w:pos="5711"/>
        </w:tabs>
        <w:spacing w:line="360" w:lineRule="auto"/>
        <w:jc w:val="both"/>
        <w:rPr>
          <w:color w:val="000000"/>
          <w:lang w:eastAsia="en-US"/>
        </w:rPr>
      </w:pPr>
      <w:r w:rsidRPr="00A9033D">
        <w:rPr>
          <w:color w:val="000000"/>
          <w:lang w:eastAsia="en-US"/>
        </w:rPr>
        <w:t>Es importante resaltar como aporte de este estudio, la existencia de una asociación significativa entre las regiones naturales del Ecuador y el nivel de ansiedad de los estudiantes universitarios (</w:t>
      </w:r>
      <w:r w:rsidRPr="00A9033D">
        <w:rPr>
          <w:iCs/>
          <w:color w:val="000000"/>
          <w:lang w:eastAsia="en-US"/>
        </w:rPr>
        <w:t>p</w:t>
      </w:r>
      <w:r w:rsidRPr="00A9033D">
        <w:rPr>
          <w:color w:val="000000"/>
          <w:lang w:eastAsia="en-US"/>
        </w:rPr>
        <w:t xml:space="preserve"> = 0,04), así también entre la proporción de muertos por la COVID-19 por cada 100 000 habitantes por provincia y la ansiedad presentada por los participantes el día que rellenaron la escala (</w:t>
      </w:r>
      <w:r w:rsidRPr="00A9033D">
        <w:rPr>
          <w:iCs/>
          <w:color w:val="000000"/>
          <w:lang w:eastAsia="en-US"/>
        </w:rPr>
        <w:t>p</w:t>
      </w:r>
      <w:r w:rsidRPr="00A9033D">
        <w:rPr>
          <w:color w:val="000000"/>
          <w:lang w:eastAsia="en-US"/>
        </w:rPr>
        <w:t xml:space="preserve"> = 0,015). Existen escasas investigaciones que permiten una discusión más amplia a la presentada en este trabajo.</w:t>
      </w:r>
    </w:p>
    <w:p w14:paraId="2D81266B" w14:textId="77777777" w:rsidR="00A9033D" w:rsidRPr="00A9033D" w:rsidRDefault="00A9033D" w:rsidP="00A9033D">
      <w:pPr>
        <w:tabs>
          <w:tab w:val="left" w:pos="5711"/>
        </w:tabs>
        <w:spacing w:line="360" w:lineRule="auto"/>
        <w:jc w:val="both"/>
        <w:rPr>
          <w:color w:val="000000"/>
          <w:lang w:eastAsia="en-US"/>
        </w:rPr>
      </w:pPr>
      <w:r w:rsidRPr="00A9033D">
        <w:rPr>
          <w:color w:val="000000"/>
          <w:lang w:eastAsia="en-US"/>
        </w:rPr>
        <w:t>Entre las limitaciones se considera necesario ampliar el tamaño muestral en el que se incluya un número de participantes similar por cada provincia y región del país, con la finalidad de realizar una comparación interterritorial de los participantes y su grado de ansiedad ante la presencia de la COVID-19. Por otra parte, ante el surgimiento de nuevas mutaciones del SARS-CoV-2, no se pudo realizar una comparación de las posibles variaciones de los estados de ansiedad de los participantes vinculado con tasas más altas de contagio y mortalidad.</w:t>
      </w:r>
    </w:p>
    <w:p w14:paraId="4EABAD1D" w14:textId="77777777" w:rsidR="00A9033D" w:rsidRPr="00A9033D" w:rsidRDefault="00A9033D" w:rsidP="00A9033D">
      <w:pPr>
        <w:tabs>
          <w:tab w:val="left" w:pos="5711"/>
        </w:tabs>
        <w:spacing w:line="360" w:lineRule="auto"/>
        <w:jc w:val="both"/>
        <w:rPr>
          <w:color w:val="000000"/>
          <w:lang w:eastAsia="en-US"/>
        </w:rPr>
      </w:pPr>
      <w:r w:rsidRPr="00A9033D">
        <w:rPr>
          <w:color w:val="000000"/>
          <w:lang w:eastAsia="en-US"/>
        </w:rPr>
        <w:t>La afectación por la COVID-19 es muy similar en poblaciones de diversas partes del mundo, independientemente del número de participantes o del tipo de universidad que proceda. En esta investigación en particular se demuestra que los estudiantes de educación a distancia no son la excepción y presentan resultados de ansiedad muy similares a los estudiados en otras regiones de mundo, situación que debe ser analizada con mayor amplitud por los investigadores, vinculada con la situación actual de la educación, la presencia de la enseñanza hibrida (presencial – distancia)</w:t>
      </w:r>
      <w:r w:rsidRPr="00A9033D">
        <w:rPr>
          <w:color w:val="000000"/>
          <w:vertAlign w:val="superscript"/>
          <w:lang w:eastAsia="en-US"/>
        </w:rPr>
        <w:t xml:space="preserve"> </w:t>
      </w:r>
      <w:r w:rsidRPr="00A9033D">
        <w:rPr>
          <w:color w:val="000000"/>
          <w:lang w:eastAsia="en-US"/>
        </w:rPr>
        <w:t>y las nuevas variantes del SARS-CoV-2 (Alfa, Beta, Gama, Delta, entre otras), que se propagan con mayor rapidez, de una carga viral y letalidad más alta, las cuales están generando alarma mundial.</w:t>
      </w:r>
    </w:p>
    <w:p w14:paraId="2B1D0E00" w14:textId="77777777" w:rsidR="00A9033D" w:rsidRPr="00A9033D" w:rsidRDefault="00A9033D" w:rsidP="00A9033D">
      <w:pPr>
        <w:tabs>
          <w:tab w:val="left" w:pos="5711"/>
        </w:tabs>
        <w:spacing w:line="360" w:lineRule="auto"/>
        <w:jc w:val="both"/>
        <w:rPr>
          <w:color w:val="000000"/>
          <w:lang w:eastAsia="en-US"/>
        </w:rPr>
      </w:pPr>
      <w:r w:rsidRPr="00A9033D">
        <w:rPr>
          <w:rFonts w:eastAsia="Calibri"/>
          <w:color w:val="000000"/>
          <w:lang w:eastAsia="en-US"/>
        </w:rPr>
        <w:t xml:space="preserve">Los estudiantes presentan niveles elevados de ansiedad según su ubicación geográfica, relacionado con el incremento importante de casos y fallecidos por la COVID-19. Finalmente, las variables sexo, personas con las que vive, situación laboral, regiones naturales del Ecuador, ciclo de estudio y carrera se relacionaron con los niveles de ansiedad. </w:t>
      </w:r>
    </w:p>
    <w:p w14:paraId="14AECF06" w14:textId="77777777" w:rsidR="00A9033D" w:rsidRPr="00A9033D" w:rsidRDefault="00A9033D" w:rsidP="00A9033D">
      <w:pPr>
        <w:spacing w:line="360" w:lineRule="auto"/>
        <w:contextualSpacing/>
        <w:rPr>
          <w:rFonts w:eastAsia="Calibri"/>
          <w:b/>
          <w:lang w:val="es-ES" w:eastAsia="en-US"/>
        </w:rPr>
      </w:pPr>
    </w:p>
    <w:p w14:paraId="1148D56D" w14:textId="77777777" w:rsidR="00A9033D" w:rsidRPr="00A9033D" w:rsidRDefault="00A9033D" w:rsidP="00A9033D">
      <w:pPr>
        <w:spacing w:line="360" w:lineRule="auto"/>
        <w:contextualSpacing/>
        <w:jc w:val="center"/>
        <w:rPr>
          <w:rFonts w:eastAsia="Calibri"/>
          <w:b/>
          <w:lang w:val="es-ES" w:eastAsia="en-US"/>
        </w:rPr>
      </w:pPr>
    </w:p>
    <w:p w14:paraId="28449556" w14:textId="77777777" w:rsidR="00A33D82" w:rsidRDefault="00A33D82">
      <w:pPr>
        <w:rPr>
          <w:rFonts w:eastAsia="Calibri"/>
          <w:b/>
          <w:sz w:val="32"/>
          <w:szCs w:val="32"/>
          <w:lang w:val="es-ES" w:eastAsia="en-US"/>
        </w:rPr>
      </w:pPr>
      <w:r>
        <w:rPr>
          <w:rFonts w:eastAsia="Calibri"/>
          <w:b/>
          <w:sz w:val="32"/>
          <w:szCs w:val="32"/>
          <w:lang w:val="es-ES" w:eastAsia="en-US"/>
        </w:rPr>
        <w:br w:type="page"/>
      </w:r>
    </w:p>
    <w:p w14:paraId="32306B93" w14:textId="773430E4" w:rsidR="00A9033D" w:rsidRPr="00A9033D" w:rsidRDefault="00A9033D" w:rsidP="00A9033D">
      <w:pPr>
        <w:spacing w:line="360" w:lineRule="auto"/>
        <w:contextualSpacing/>
        <w:jc w:val="center"/>
        <w:rPr>
          <w:rFonts w:eastAsia="Calibri"/>
          <w:b/>
          <w:sz w:val="32"/>
          <w:szCs w:val="32"/>
          <w:lang w:val="es-ES" w:eastAsia="en-US"/>
        </w:rPr>
      </w:pPr>
      <w:r w:rsidRPr="00A9033D">
        <w:rPr>
          <w:rFonts w:eastAsia="Calibri"/>
          <w:b/>
          <w:sz w:val="32"/>
          <w:szCs w:val="32"/>
          <w:lang w:val="es-ES" w:eastAsia="en-US"/>
        </w:rPr>
        <w:lastRenderedPageBreak/>
        <w:t>REFERENCIAS BIBLIOGRÁFICAS</w:t>
      </w:r>
    </w:p>
    <w:p w14:paraId="069BA9FE" w14:textId="77777777" w:rsidR="00A9033D" w:rsidRPr="00A9033D" w:rsidRDefault="00A9033D" w:rsidP="00A9033D">
      <w:pPr>
        <w:widowControl w:val="0"/>
        <w:autoSpaceDE w:val="0"/>
        <w:autoSpaceDN w:val="0"/>
        <w:adjustRightInd w:val="0"/>
        <w:spacing w:line="360" w:lineRule="auto"/>
        <w:rPr>
          <w:rFonts w:eastAsia="Calibri"/>
          <w:lang w:eastAsia="en-US"/>
        </w:rPr>
      </w:pPr>
      <w:r w:rsidRPr="00A9033D">
        <w:rPr>
          <w:rFonts w:eastAsia="Calibri"/>
          <w:lang w:val="es-ES" w:eastAsia="en-US"/>
        </w:rPr>
        <w:t xml:space="preserve">1. Samaniego A, Urzúa A, </w:t>
      </w:r>
      <w:proofErr w:type="spellStart"/>
      <w:r w:rsidRPr="00A9033D">
        <w:rPr>
          <w:rFonts w:eastAsia="Calibri"/>
          <w:lang w:val="es-ES" w:eastAsia="en-US"/>
        </w:rPr>
        <w:t>Buenahora</w:t>
      </w:r>
      <w:proofErr w:type="spellEnd"/>
      <w:r w:rsidRPr="00A9033D">
        <w:rPr>
          <w:rFonts w:eastAsia="Calibri"/>
          <w:lang w:val="es-ES" w:eastAsia="en-US"/>
        </w:rPr>
        <w:t xml:space="preserve"> M, Vera-Villarroel P. Sintomatología asociada a trastornos de Salud Mental en trabajadores sanitarios en Paraguay: efecto COVID-19. </w:t>
      </w:r>
      <w:proofErr w:type="spellStart"/>
      <w:r w:rsidRPr="00A9033D">
        <w:rPr>
          <w:rFonts w:eastAsia="Calibri"/>
          <w:lang w:val="es-ES" w:eastAsia="en-US"/>
        </w:rPr>
        <w:t>Interam</w:t>
      </w:r>
      <w:proofErr w:type="spellEnd"/>
      <w:r w:rsidRPr="00A9033D">
        <w:rPr>
          <w:rFonts w:eastAsia="Calibri"/>
          <w:lang w:val="es-ES" w:eastAsia="en-US"/>
        </w:rPr>
        <w:t xml:space="preserve"> J </w:t>
      </w:r>
      <w:proofErr w:type="spellStart"/>
      <w:r w:rsidRPr="00A9033D">
        <w:rPr>
          <w:rFonts w:eastAsia="Calibri"/>
          <w:lang w:val="es-ES" w:eastAsia="en-US"/>
        </w:rPr>
        <w:t>Psychol</w:t>
      </w:r>
      <w:proofErr w:type="spellEnd"/>
      <w:r w:rsidRPr="00A9033D">
        <w:rPr>
          <w:rFonts w:eastAsia="Calibri"/>
          <w:lang w:val="es-ES" w:eastAsia="en-US"/>
        </w:rPr>
        <w:t>. 2020; 54(1</w:t>
      </w:r>
      <w:proofErr w:type="gramStart"/>
      <w:r w:rsidRPr="00A9033D">
        <w:rPr>
          <w:rFonts w:eastAsia="Calibri"/>
          <w:lang w:val="es-ES" w:eastAsia="en-US"/>
        </w:rPr>
        <w:t>):e</w:t>
      </w:r>
      <w:proofErr w:type="gramEnd"/>
      <w:r w:rsidRPr="00A9033D">
        <w:rPr>
          <w:rFonts w:eastAsia="Calibri"/>
          <w:lang w:val="es-ES" w:eastAsia="en-US"/>
        </w:rPr>
        <w:t xml:space="preserve">1208. </w:t>
      </w:r>
      <w:hyperlink r:id="rId13" w:history="1">
        <w:r w:rsidRPr="00A9033D">
          <w:rPr>
            <w:rFonts w:eastAsia="Calibri"/>
            <w:lang w:eastAsia="en-US"/>
          </w:rPr>
          <w:t>DOI:10.30849/</w:t>
        </w:r>
        <w:proofErr w:type="gramStart"/>
        <w:r w:rsidRPr="00A9033D">
          <w:rPr>
            <w:rFonts w:eastAsia="Calibri"/>
            <w:lang w:eastAsia="en-US"/>
          </w:rPr>
          <w:t>ripijp.v</w:t>
        </w:r>
        <w:proofErr w:type="gramEnd"/>
        <w:r w:rsidRPr="00A9033D">
          <w:rPr>
            <w:rFonts w:eastAsia="Calibri"/>
            <w:lang w:eastAsia="en-US"/>
          </w:rPr>
          <w:t>54i1.1298</w:t>
        </w:r>
      </w:hyperlink>
    </w:p>
    <w:p w14:paraId="1CD5229C" w14:textId="77777777" w:rsidR="00A9033D" w:rsidRPr="00A9033D" w:rsidRDefault="00A9033D" w:rsidP="00A9033D">
      <w:pPr>
        <w:widowControl w:val="0"/>
        <w:autoSpaceDE w:val="0"/>
        <w:autoSpaceDN w:val="0"/>
        <w:adjustRightInd w:val="0"/>
        <w:spacing w:line="360" w:lineRule="auto"/>
        <w:rPr>
          <w:rFonts w:eastAsia="Calibri"/>
          <w:lang w:val="es-ES" w:eastAsia="en-US"/>
        </w:rPr>
      </w:pPr>
      <w:r w:rsidRPr="00A9033D">
        <w:rPr>
          <w:rFonts w:eastAsia="Calibri"/>
          <w:lang w:val="es-ES" w:eastAsia="en-US"/>
        </w:rPr>
        <w:t xml:space="preserve">2. OPS. La OMS caracteriza a COVID-19 como una pandemia. Organización Panamericana de la Salud. 2020 [acceso: 12/05/2021]. Disponible en: </w:t>
      </w:r>
      <w:hyperlink r:id="rId14" w:history="1">
        <w:r w:rsidRPr="00A9033D">
          <w:rPr>
            <w:rFonts w:eastAsia="Calibri"/>
            <w:lang w:val="es-ES" w:eastAsia="en-US"/>
          </w:rPr>
          <w:t>https://www.paho.org/hq/index.php?option=com_content&amp;view=article&amp;id=15756:who-characterizes-covid-19-as-a-pandemic&amp;Itemid=1926&amp;lang=es</w:t>
        </w:r>
      </w:hyperlink>
      <w:r w:rsidRPr="00A9033D">
        <w:rPr>
          <w:rFonts w:eastAsia="Calibri"/>
          <w:lang w:val="es-ES" w:eastAsia="en-US"/>
        </w:rPr>
        <w:t xml:space="preserve">  </w:t>
      </w:r>
    </w:p>
    <w:p w14:paraId="379D6A07" w14:textId="77777777" w:rsidR="00A9033D" w:rsidRPr="00A9033D" w:rsidRDefault="00A9033D" w:rsidP="00A9033D">
      <w:pPr>
        <w:widowControl w:val="0"/>
        <w:autoSpaceDE w:val="0"/>
        <w:autoSpaceDN w:val="0"/>
        <w:adjustRightInd w:val="0"/>
        <w:spacing w:line="360" w:lineRule="auto"/>
        <w:rPr>
          <w:rFonts w:eastAsia="Calibri"/>
          <w:lang w:val="en-US" w:eastAsia="en-US"/>
        </w:rPr>
      </w:pPr>
      <w:r w:rsidRPr="00A9033D">
        <w:rPr>
          <w:rFonts w:eastAsia="Calibri"/>
          <w:lang w:val="en-US" w:eastAsia="en-US"/>
        </w:rPr>
        <w:t xml:space="preserve">3. Chan W, Yuan S, </w:t>
      </w:r>
      <w:proofErr w:type="spellStart"/>
      <w:r w:rsidRPr="00A9033D">
        <w:rPr>
          <w:rFonts w:eastAsia="Calibri"/>
          <w:lang w:val="en-US" w:eastAsia="en-US"/>
        </w:rPr>
        <w:t>Kok</w:t>
      </w:r>
      <w:proofErr w:type="spellEnd"/>
      <w:r w:rsidRPr="00A9033D">
        <w:rPr>
          <w:rFonts w:eastAsia="Calibri"/>
          <w:lang w:val="en-US" w:eastAsia="en-US"/>
        </w:rPr>
        <w:t xml:space="preserve"> H, To W, Chu H, Yang J, et al. A familial cluster of pneumonia associated with the 2019 novel coronavirus indicating person-to-person transmission: a study of a family cluster. Lancet. 2020; 395(10223):514-23. DOI:10.1016/S0140-6736(20)30154-9</w:t>
      </w:r>
    </w:p>
    <w:p w14:paraId="2CF96097" w14:textId="77777777" w:rsidR="00A9033D" w:rsidRPr="00A9033D" w:rsidRDefault="00A9033D" w:rsidP="00A9033D">
      <w:pPr>
        <w:widowControl w:val="0"/>
        <w:autoSpaceDE w:val="0"/>
        <w:autoSpaceDN w:val="0"/>
        <w:adjustRightInd w:val="0"/>
        <w:spacing w:line="360" w:lineRule="auto"/>
        <w:rPr>
          <w:rFonts w:eastAsia="Calibri"/>
          <w:lang w:val="en-US" w:eastAsia="en-US"/>
        </w:rPr>
      </w:pPr>
      <w:r w:rsidRPr="00A9033D">
        <w:rPr>
          <w:rFonts w:eastAsia="Calibri"/>
          <w:lang w:val="en-US" w:eastAsia="en-US"/>
        </w:rPr>
        <w:t xml:space="preserve">4. Kang L, Ma S, Chen M, Yang J, Wang Y, Li R, et al. Impact on mental health and perceptions of psychological care among medical and nursing staff in Wuhan during the </w:t>
      </w:r>
      <w:r w:rsidRPr="00A9033D">
        <w:rPr>
          <w:rFonts w:eastAsia="Calibri"/>
          <w:lang w:val="en-AU" w:eastAsia="en-US"/>
        </w:rPr>
        <w:t xml:space="preserve">2019 novel coronavirus disease outbreak: A cross-sectional study. Brain </w:t>
      </w:r>
      <w:proofErr w:type="spellStart"/>
      <w:r w:rsidRPr="00A9033D">
        <w:rPr>
          <w:rFonts w:eastAsia="Calibri"/>
          <w:lang w:val="en-AU" w:eastAsia="en-US"/>
        </w:rPr>
        <w:t>Behav</w:t>
      </w:r>
      <w:proofErr w:type="spellEnd"/>
      <w:r w:rsidRPr="00A9033D">
        <w:rPr>
          <w:rFonts w:eastAsia="Calibri"/>
          <w:lang w:val="en-AU" w:eastAsia="en-US"/>
        </w:rPr>
        <w:t xml:space="preserve"> Immun. </w:t>
      </w:r>
      <w:r w:rsidRPr="00A9033D">
        <w:rPr>
          <w:rFonts w:eastAsia="Calibri"/>
          <w:lang w:val="en-US" w:eastAsia="en-US"/>
        </w:rPr>
        <w:t>2020; 87(1): [</w:t>
      </w:r>
      <w:proofErr w:type="spellStart"/>
      <w:r w:rsidRPr="00A9033D">
        <w:rPr>
          <w:rFonts w:eastAsia="Calibri"/>
          <w:lang w:val="en-US" w:eastAsia="en-US"/>
        </w:rPr>
        <w:t>aprox</w:t>
      </w:r>
      <w:proofErr w:type="spellEnd"/>
      <w:r w:rsidRPr="00A9033D">
        <w:rPr>
          <w:rFonts w:eastAsia="Calibri"/>
          <w:lang w:val="en-US" w:eastAsia="en-US"/>
        </w:rPr>
        <w:t xml:space="preserve">. 7 p.]. </w:t>
      </w:r>
      <w:proofErr w:type="gramStart"/>
      <w:r w:rsidRPr="00A9033D">
        <w:rPr>
          <w:rFonts w:eastAsia="Calibri"/>
          <w:lang w:val="en-US" w:eastAsia="en-US"/>
        </w:rPr>
        <w:t>DOI:10.1016/j.bbi</w:t>
      </w:r>
      <w:proofErr w:type="gramEnd"/>
      <w:r w:rsidRPr="00A9033D">
        <w:rPr>
          <w:rFonts w:eastAsia="Calibri"/>
          <w:lang w:val="en-US" w:eastAsia="en-US"/>
        </w:rPr>
        <w:t>.2020.03.028 </w:t>
      </w:r>
    </w:p>
    <w:p w14:paraId="75FB56B8" w14:textId="77777777" w:rsidR="00A9033D" w:rsidRPr="00A9033D" w:rsidRDefault="00A9033D" w:rsidP="00A9033D">
      <w:pPr>
        <w:widowControl w:val="0"/>
        <w:autoSpaceDE w:val="0"/>
        <w:autoSpaceDN w:val="0"/>
        <w:adjustRightInd w:val="0"/>
        <w:spacing w:line="360" w:lineRule="auto"/>
        <w:rPr>
          <w:rFonts w:eastAsia="Calibri"/>
          <w:lang w:val="en-AU" w:eastAsia="en-US"/>
        </w:rPr>
      </w:pPr>
      <w:r w:rsidRPr="00A9033D">
        <w:rPr>
          <w:rFonts w:eastAsia="Calibri"/>
          <w:lang w:val="en-US" w:eastAsia="en-US"/>
        </w:rPr>
        <w:t xml:space="preserve">5. Wang C, Pan R, Wan X, Tan Y, Xu L, Ho S, et al. </w:t>
      </w:r>
      <w:r w:rsidRPr="00A9033D">
        <w:rPr>
          <w:rFonts w:eastAsia="Calibri"/>
          <w:lang w:val="en-AU" w:eastAsia="en-US"/>
        </w:rPr>
        <w:t>Immediate psychological responses and associated factors during the initial stage of the 2019 coronavirus disease (COVID-19) epidemic among the general population in China. Int J Environ Res Public Health. 2020; 17(5):1-25. DOI:10.3390/ijerph17051729</w:t>
      </w:r>
    </w:p>
    <w:p w14:paraId="463AD731" w14:textId="77777777" w:rsidR="00A9033D" w:rsidRPr="00A9033D" w:rsidRDefault="00A9033D" w:rsidP="00A9033D">
      <w:pPr>
        <w:widowControl w:val="0"/>
        <w:autoSpaceDE w:val="0"/>
        <w:autoSpaceDN w:val="0"/>
        <w:adjustRightInd w:val="0"/>
        <w:spacing w:line="360" w:lineRule="auto"/>
        <w:rPr>
          <w:rFonts w:eastAsia="Calibri"/>
          <w:lang w:val="en-US" w:eastAsia="en-US"/>
        </w:rPr>
      </w:pPr>
      <w:r w:rsidRPr="00A9033D">
        <w:rPr>
          <w:rFonts w:eastAsia="Calibri"/>
          <w:lang w:val="en-AU" w:eastAsia="en-US"/>
        </w:rPr>
        <w:t xml:space="preserve">6. </w:t>
      </w:r>
      <w:r w:rsidRPr="00A9033D">
        <w:rPr>
          <w:rFonts w:eastAsia="Calibri"/>
          <w:lang w:val="en-US" w:eastAsia="en-US"/>
        </w:rPr>
        <w:t>Xiang YT, Yang Y, Li W, Zhang L, Zhang Q, Cheung T, et al. Timely mental health care for the 2019 novel coronavirus outbreak is urgently needed. The Lancet Psychiatry. 2020</w:t>
      </w:r>
      <w:r w:rsidRPr="00A9033D">
        <w:rPr>
          <w:rFonts w:eastAsia="Calibri"/>
          <w:lang w:val="en-AU" w:eastAsia="en-US"/>
        </w:rPr>
        <w:t>;</w:t>
      </w:r>
      <w:r w:rsidRPr="00A9033D">
        <w:rPr>
          <w:rFonts w:eastAsia="Calibri"/>
          <w:lang w:val="en-US" w:eastAsia="en-US"/>
        </w:rPr>
        <w:t xml:space="preserve"> 7(3): 228-9. DOI:10.1016/S2215-0366(20)30046-8</w:t>
      </w:r>
    </w:p>
    <w:p w14:paraId="5A5E4080" w14:textId="77777777" w:rsidR="00A9033D" w:rsidRPr="00A9033D" w:rsidRDefault="00A9033D" w:rsidP="00A9033D">
      <w:pPr>
        <w:widowControl w:val="0"/>
        <w:autoSpaceDE w:val="0"/>
        <w:autoSpaceDN w:val="0"/>
        <w:adjustRightInd w:val="0"/>
        <w:spacing w:line="360" w:lineRule="auto"/>
        <w:rPr>
          <w:rFonts w:eastAsia="Calibri"/>
          <w:lang w:val="en-AU" w:eastAsia="en-US"/>
        </w:rPr>
      </w:pPr>
      <w:r w:rsidRPr="00A9033D">
        <w:rPr>
          <w:rFonts w:eastAsia="Calibri"/>
          <w:lang w:val="en-AU" w:eastAsia="en-US"/>
        </w:rPr>
        <w:t xml:space="preserve">7. Bennett J, </w:t>
      </w:r>
      <w:proofErr w:type="spellStart"/>
      <w:r w:rsidRPr="00A9033D">
        <w:rPr>
          <w:rFonts w:eastAsia="Calibri"/>
          <w:lang w:val="en-AU" w:eastAsia="en-US"/>
        </w:rPr>
        <w:t>Finkbeiner</w:t>
      </w:r>
      <w:proofErr w:type="spellEnd"/>
      <w:r w:rsidRPr="00A9033D">
        <w:rPr>
          <w:rFonts w:eastAsia="Calibri"/>
          <w:lang w:val="en-AU" w:eastAsia="en-US"/>
        </w:rPr>
        <w:t xml:space="preserve"> M, Ban C, </w:t>
      </w:r>
      <w:proofErr w:type="spellStart"/>
      <w:r w:rsidRPr="00A9033D">
        <w:rPr>
          <w:rFonts w:eastAsia="Calibri"/>
          <w:lang w:val="en-AU" w:eastAsia="en-US"/>
        </w:rPr>
        <w:t>Belhabib</w:t>
      </w:r>
      <w:proofErr w:type="spellEnd"/>
      <w:r w:rsidRPr="00A9033D">
        <w:rPr>
          <w:rFonts w:eastAsia="Calibri"/>
          <w:lang w:val="en-AU" w:eastAsia="en-US"/>
        </w:rPr>
        <w:t xml:space="preserve"> D, Jupiter D, </w:t>
      </w:r>
      <w:proofErr w:type="spellStart"/>
      <w:r w:rsidRPr="00A9033D">
        <w:rPr>
          <w:rFonts w:eastAsia="Calibri"/>
          <w:lang w:val="en-AU" w:eastAsia="en-US"/>
        </w:rPr>
        <w:t>Kittinger</w:t>
      </w:r>
      <w:proofErr w:type="spellEnd"/>
      <w:r w:rsidRPr="00A9033D">
        <w:rPr>
          <w:rFonts w:eastAsia="Calibri"/>
          <w:lang w:val="en-AU" w:eastAsia="en-US"/>
        </w:rPr>
        <w:t xml:space="preserve"> N, et al. The COVID-19 Pandemic, Small-Scale Fisheries and Coastal Fishing Communities. Coast. Manage. 2020; 48(4): 336-47. </w:t>
      </w:r>
      <w:hyperlink r:id="rId15" w:history="1">
        <w:r w:rsidRPr="00A9033D">
          <w:rPr>
            <w:rFonts w:eastAsia="Calibri"/>
            <w:lang w:val="en-AU" w:eastAsia="en-US"/>
          </w:rPr>
          <w:t>DOI:10.1080/08920753.2020.1766937</w:t>
        </w:r>
      </w:hyperlink>
    </w:p>
    <w:p w14:paraId="6CDD5633" w14:textId="77777777" w:rsidR="00A9033D" w:rsidRPr="00A9033D" w:rsidRDefault="00A9033D" w:rsidP="00A9033D">
      <w:pPr>
        <w:widowControl w:val="0"/>
        <w:autoSpaceDE w:val="0"/>
        <w:autoSpaceDN w:val="0"/>
        <w:adjustRightInd w:val="0"/>
        <w:spacing w:line="360" w:lineRule="auto"/>
        <w:rPr>
          <w:rFonts w:eastAsia="Calibri"/>
          <w:lang w:val="en-AU" w:eastAsia="en-US"/>
        </w:rPr>
      </w:pPr>
      <w:r w:rsidRPr="00A9033D">
        <w:rPr>
          <w:rFonts w:eastAsia="Calibri"/>
          <w:lang w:val="en-AU" w:eastAsia="en-US"/>
        </w:rPr>
        <w:t xml:space="preserve">8. </w:t>
      </w:r>
      <w:proofErr w:type="spellStart"/>
      <w:r w:rsidRPr="00A9033D">
        <w:rPr>
          <w:rFonts w:eastAsia="Calibri"/>
          <w:lang w:val="en-AU" w:eastAsia="en-US"/>
        </w:rPr>
        <w:t>Danylyshyn</w:t>
      </w:r>
      <w:proofErr w:type="spellEnd"/>
      <w:r w:rsidRPr="00A9033D">
        <w:rPr>
          <w:rFonts w:eastAsia="Calibri"/>
          <w:lang w:val="en-AU" w:eastAsia="en-US"/>
        </w:rPr>
        <w:t xml:space="preserve"> B. The peculiarities of economic crisis due to COVID-19 pandemic in a developing country: case of Ukraine. Problems and Perspectives in Management. 2020; 18(2):13-22. DOI:10.21511/ppm.18(2).2020.02  </w:t>
      </w:r>
    </w:p>
    <w:p w14:paraId="0240CB5B" w14:textId="77777777" w:rsidR="00A9033D" w:rsidRPr="00A9033D" w:rsidRDefault="00A9033D" w:rsidP="00A9033D">
      <w:pPr>
        <w:widowControl w:val="0"/>
        <w:autoSpaceDE w:val="0"/>
        <w:autoSpaceDN w:val="0"/>
        <w:adjustRightInd w:val="0"/>
        <w:spacing w:line="360" w:lineRule="auto"/>
        <w:rPr>
          <w:rFonts w:eastAsia="Calibri"/>
          <w:lang w:val="en-AU" w:eastAsia="en-US"/>
        </w:rPr>
      </w:pPr>
      <w:r w:rsidRPr="00A9033D">
        <w:rPr>
          <w:rFonts w:eastAsia="Calibri"/>
          <w:lang w:val="en-AU" w:eastAsia="en-US"/>
        </w:rPr>
        <w:lastRenderedPageBreak/>
        <w:t>9. Wilder-Smith A, Freedman O. Isolation, quarantine, social distancing and community containment: pivotal role for old-style public health measures in the novel coronavirus (2019-nCoV) outbreak. J Travel Med. 2020; 27(2):1-4. DOI:10.1093/</w:t>
      </w:r>
      <w:proofErr w:type="spellStart"/>
      <w:r w:rsidRPr="00A9033D">
        <w:rPr>
          <w:rFonts w:eastAsia="Calibri"/>
          <w:lang w:val="en-AU" w:eastAsia="en-US"/>
        </w:rPr>
        <w:t>jtm</w:t>
      </w:r>
      <w:proofErr w:type="spellEnd"/>
      <w:r w:rsidRPr="00A9033D">
        <w:rPr>
          <w:rFonts w:eastAsia="Calibri"/>
          <w:lang w:val="en-AU" w:eastAsia="en-US"/>
        </w:rPr>
        <w:t xml:space="preserve">/taaa020 </w:t>
      </w:r>
    </w:p>
    <w:p w14:paraId="0AC61A09" w14:textId="77777777" w:rsidR="00A9033D" w:rsidRPr="00A9033D" w:rsidRDefault="00A9033D" w:rsidP="00A9033D">
      <w:pPr>
        <w:widowControl w:val="0"/>
        <w:autoSpaceDE w:val="0"/>
        <w:autoSpaceDN w:val="0"/>
        <w:adjustRightInd w:val="0"/>
        <w:spacing w:line="360" w:lineRule="auto"/>
        <w:rPr>
          <w:rFonts w:eastAsia="Calibri"/>
          <w:lang w:val="en-AU" w:eastAsia="en-US"/>
        </w:rPr>
      </w:pPr>
      <w:r w:rsidRPr="00A9033D">
        <w:rPr>
          <w:rFonts w:eastAsia="Calibri"/>
          <w:lang w:val="en-AU" w:eastAsia="en-US"/>
        </w:rPr>
        <w:t xml:space="preserve">10. Xiao C. A novel approach of consultation on 2019 novel coronavirus (COVID-19)-related psychological and mental problems: structured letter therapy. Psychiatry </w:t>
      </w:r>
      <w:proofErr w:type="spellStart"/>
      <w:r w:rsidRPr="00A9033D">
        <w:rPr>
          <w:rFonts w:eastAsia="Calibri"/>
          <w:lang w:val="en-AU" w:eastAsia="en-US"/>
        </w:rPr>
        <w:t>Investig</w:t>
      </w:r>
      <w:proofErr w:type="spellEnd"/>
      <w:r w:rsidRPr="00A9033D">
        <w:rPr>
          <w:rFonts w:eastAsia="Calibri"/>
          <w:lang w:val="en-AU" w:eastAsia="en-US"/>
        </w:rPr>
        <w:t>. 2020; 17(2):175-176. DOI:10.30773/pi.2020.0047</w:t>
      </w:r>
    </w:p>
    <w:p w14:paraId="6CE172AF" w14:textId="77777777" w:rsidR="00A9033D" w:rsidRPr="00A9033D" w:rsidRDefault="00A9033D" w:rsidP="00A9033D">
      <w:pPr>
        <w:widowControl w:val="0"/>
        <w:autoSpaceDE w:val="0"/>
        <w:autoSpaceDN w:val="0"/>
        <w:adjustRightInd w:val="0"/>
        <w:spacing w:line="360" w:lineRule="auto"/>
        <w:rPr>
          <w:rFonts w:eastAsia="Calibri"/>
          <w:lang w:val="en-AU" w:eastAsia="en-US"/>
        </w:rPr>
      </w:pPr>
      <w:r w:rsidRPr="00A9033D">
        <w:rPr>
          <w:rFonts w:eastAsia="Calibri"/>
          <w:lang w:val="en-AU" w:eastAsia="en-US"/>
        </w:rPr>
        <w:t>11. Chen Q, Liang M, Li Y, Guo J, Fei D, Wang L, et al. Mental health care for medical staff in China during the COVID-19 outbreak. Lancet Psychiatry. 2020; 7(4): 15-16. DOI:10.1016/S2215-0366(20)30078-X</w:t>
      </w:r>
    </w:p>
    <w:p w14:paraId="1FF982E0" w14:textId="77777777" w:rsidR="00A9033D" w:rsidRPr="00A9033D" w:rsidRDefault="00A9033D" w:rsidP="00A9033D">
      <w:pPr>
        <w:widowControl w:val="0"/>
        <w:autoSpaceDE w:val="0"/>
        <w:autoSpaceDN w:val="0"/>
        <w:adjustRightInd w:val="0"/>
        <w:spacing w:line="360" w:lineRule="auto"/>
        <w:rPr>
          <w:rFonts w:eastAsia="Calibri"/>
          <w:lang w:val="en-AU" w:eastAsia="en-US"/>
        </w:rPr>
      </w:pPr>
      <w:r w:rsidRPr="00A9033D">
        <w:rPr>
          <w:rFonts w:eastAsia="Calibri"/>
          <w:lang w:val="en-AU" w:eastAsia="en-US"/>
        </w:rPr>
        <w:t>12. Menzies RE, Menzies RG. Death anxiety in the time of COVID-19: Theoretical explanations and clinical implications. Cognitive Behaviour Therapist. 2020; 13:1-11. DOI:10.1017/S1754470X20000215</w:t>
      </w:r>
    </w:p>
    <w:p w14:paraId="421E97E1" w14:textId="77777777" w:rsidR="00A9033D" w:rsidRPr="00A9033D" w:rsidRDefault="00A9033D" w:rsidP="00A9033D">
      <w:pPr>
        <w:widowControl w:val="0"/>
        <w:autoSpaceDE w:val="0"/>
        <w:autoSpaceDN w:val="0"/>
        <w:adjustRightInd w:val="0"/>
        <w:spacing w:line="360" w:lineRule="auto"/>
        <w:rPr>
          <w:rFonts w:eastAsia="Calibri"/>
          <w:lang w:val="en-AU" w:eastAsia="en-US"/>
        </w:rPr>
      </w:pPr>
      <w:r w:rsidRPr="00A9033D">
        <w:rPr>
          <w:rFonts w:eastAsia="Calibri"/>
          <w:lang w:val="en-US" w:eastAsia="en-US"/>
        </w:rPr>
        <w:t xml:space="preserve">13. Nicola M, </w:t>
      </w:r>
      <w:proofErr w:type="spellStart"/>
      <w:r w:rsidRPr="00A9033D">
        <w:rPr>
          <w:rFonts w:eastAsia="Calibri"/>
          <w:lang w:val="en-US" w:eastAsia="en-US"/>
        </w:rPr>
        <w:t>Alsafi</w:t>
      </w:r>
      <w:proofErr w:type="spellEnd"/>
      <w:r w:rsidRPr="00A9033D">
        <w:rPr>
          <w:rFonts w:eastAsia="Calibri"/>
          <w:lang w:val="en-US" w:eastAsia="en-US"/>
        </w:rPr>
        <w:t xml:space="preserve"> Z, </w:t>
      </w:r>
      <w:proofErr w:type="spellStart"/>
      <w:r w:rsidRPr="00A9033D">
        <w:rPr>
          <w:rFonts w:eastAsia="Calibri"/>
          <w:lang w:val="en-US" w:eastAsia="en-US"/>
        </w:rPr>
        <w:t>Sohrabi</w:t>
      </w:r>
      <w:proofErr w:type="spellEnd"/>
      <w:r w:rsidRPr="00A9033D">
        <w:rPr>
          <w:rFonts w:eastAsia="Calibri"/>
          <w:lang w:val="en-US" w:eastAsia="en-US"/>
        </w:rPr>
        <w:t xml:space="preserve"> C, </w:t>
      </w:r>
      <w:proofErr w:type="spellStart"/>
      <w:r w:rsidRPr="00A9033D">
        <w:rPr>
          <w:rFonts w:eastAsia="Calibri"/>
          <w:lang w:val="en-US" w:eastAsia="en-US"/>
        </w:rPr>
        <w:t>Kerwan</w:t>
      </w:r>
      <w:proofErr w:type="spellEnd"/>
      <w:r w:rsidRPr="00A9033D">
        <w:rPr>
          <w:rFonts w:eastAsia="Calibri"/>
          <w:lang w:val="en-US" w:eastAsia="en-US"/>
        </w:rPr>
        <w:t xml:space="preserve"> A, Al-Jabir A, </w:t>
      </w:r>
      <w:proofErr w:type="spellStart"/>
      <w:r w:rsidRPr="00A9033D">
        <w:rPr>
          <w:rFonts w:eastAsia="Calibri"/>
          <w:lang w:val="en-US" w:eastAsia="en-US"/>
        </w:rPr>
        <w:t>Iosifidis</w:t>
      </w:r>
      <w:proofErr w:type="spellEnd"/>
      <w:r w:rsidRPr="00A9033D">
        <w:rPr>
          <w:rFonts w:eastAsia="Calibri"/>
          <w:lang w:val="en-US" w:eastAsia="en-US"/>
        </w:rPr>
        <w:t xml:space="preserve"> C, et al. </w:t>
      </w:r>
      <w:r w:rsidRPr="00A9033D">
        <w:rPr>
          <w:rFonts w:eastAsia="Calibri"/>
          <w:lang w:val="en-AU" w:eastAsia="en-US"/>
        </w:rPr>
        <w:t xml:space="preserve">The socio-economic implications of the coronavirus pandemic (COVID-19): A review. Int J Surg. 2020; 78(1):85-193. </w:t>
      </w:r>
      <w:proofErr w:type="gramStart"/>
      <w:r w:rsidRPr="00A9033D">
        <w:rPr>
          <w:rFonts w:eastAsia="Calibri"/>
          <w:lang w:val="en-AU" w:eastAsia="en-US"/>
        </w:rPr>
        <w:t>DOI:10.1016/j.ijsu</w:t>
      </w:r>
      <w:proofErr w:type="gramEnd"/>
      <w:r w:rsidRPr="00A9033D">
        <w:rPr>
          <w:rFonts w:eastAsia="Calibri"/>
          <w:lang w:val="en-AU" w:eastAsia="en-US"/>
        </w:rPr>
        <w:t>.2020.04.018</w:t>
      </w:r>
    </w:p>
    <w:p w14:paraId="2AB557AD" w14:textId="77777777" w:rsidR="00A9033D" w:rsidRPr="00A9033D" w:rsidRDefault="00A9033D" w:rsidP="00A9033D">
      <w:pPr>
        <w:widowControl w:val="0"/>
        <w:autoSpaceDE w:val="0"/>
        <w:autoSpaceDN w:val="0"/>
        <w:adjustRightInd w:val="0"/>
        <w:spacing w:line="360" w:lineRule="auto"/>
        <w:rPr>
          <w:rFonts w:eastAsia="Calibri"/>
          <w:lang w:val="en-AU" w:eastAsia="en-US"/>
        </w:rPr>
      </w:pPr>
      <w:r w:rsidRPr="00A9033D">
        <w:rPr>
          <w:rFonts w:eastAsia="Calibri"/>
          <w:lang w:val="en-AU" w:eastAsia="en-US"/>
        </w:rPr>
        <w:t xml:space="preserve">14. Araújo de O, de Lima A, </w:t>
      </w:r>
      <w:proofErr w:type="spellStart"/>
      <w:r w:rsidRPr="00A9033D">
        <w:rPr>
          <w:rFonts w:eastAsia="Calibri"/>
          <w:lang w:val="en-AU" w:eastAsia="en-US"/>
        </w:rPr>
        <w:t>Cidade</w:t>
      </w:r>
      <w:proofErr w:type="spellEnd"/>
      <w:r w:rsidRPr="00A9033D">
        <w:rPr>
          <w:rFonts w:eastAsia="Calibri"/>
          <w:lang w:val="en-AU" w:eastAsia="en-US"/>
        </w:rPr>
        <w:t xml:space="preserve"> M, </w:t>
      </w:r>
      <w:proofErr w:type="spellStart"/>
      <w:r w:rsidRPr="00A9033D">
        <w:rPr>
          <w:rFonts w:eastAsia="Calibri"/>
          <w:lang w:val="en-AU" w:eastAsia="en-US"/>
        </w:rPr>
        <w:t>Nobre</w:t>
      </w:r>
      <w:proofErr w:type="spellEnd"/>
      <w:r w:rsidRPr="00A9033D">
        <w:rPr>
          <w:rFonts w:eastAsia="Calibri"/>
          <w:lang w:val="en-AU" w:eastAsia="en-US"/>
        </w:rPr>
        <w:t xml:space="preserve"> B, Neto R. Impact of Sars-Cov-2 and its reverberation in global higher education and mental health. Psychiatry Res. 2020; 288(1): [</w:t>
      </w:r>
      <w:proofErr w:type="spellStart"/>
      <w:r w:rsidRPr="00A9033D">
        <w:rPr>
          <w:rFonts w:eastAsia="Calibri"/>
          <w:lang w:val="en-AU" w:eastAsia="en-US"/>
        </w:rPr>
        <w:t>aprox</w:t>
      </w:r>
      <w:proofErr w:type="spellEnd"/>
      <w:r w:rsidRPr="00A9033D">
        <w:rPr>
          <w:rFonts w:eastAsia="Calibri"/>
          <w:lang w:val="en-AU" w:eastAsia="en-US"/>
        </w:rPr>
        <w:t xml:space="preserve">. 2 p.]. </w:t>
      </w:r>
      <w:proofErr w:type="gramStart"/>
      <w:r w:rsidRPr="00A9033D">
        <w:rPr>
          <w:rFonts w:eastAsia="Calibri"/>
          <w:lang w:val="en-AU" w:eastAsia="en-US"/>
        </w:rPr>
        <w:t>DOI:10.1016/j.psychres</w:t>
      </w:r>
      <w:proofErr w:type="gramEnd"/>
      <w:r w:rsidRPr="00A9033D">
        <w:rPr>
          <w:rFonts w:eastAsia="Calibri"/>
          <w:lang w:val="en-AU" w:eastAsia="en-US"/>
        </w:rPr>
        <w:t>.2020.112977</w:t>
      </w:r>
    </w:p>
    <w:p w14:paraId="09F13F86" w14:textId="77777777" w:rsidR="00A9033D" w:rsidRPr="00A9033D" w:rsidRDefault="00A9033D" w:rsidP="00A9033D">
      <w:pPr>
        <w:widowControl w:val="0"/>
        <w:autoSpaceDE w:val="0"/>
        <w:autoSpaceDN w:val="0"/>
        <w:adjustRightInd w:val="0"/>
        <w:spacing w:line="360" w:lineRule="auto"/>
        <w:rPr>
          <w:rFonts w:eastAsia="Calibri"/>
          <w:lang w:val="en-AU" w:eastAsia="en-US"/>
        </w:rPr>
      </w:pPr>
      <w:r w:rsidRPr="00A9033D">
        <w:rPr>
          <w:rFonts w:eastAsia="Calibri"/>
          <w:lang w:val="en-AU" w:eastAsia="en-US"/>
        </w:rPr>
        <w:t xml:space="preserve">15. </w:t>
      </w:r>
      <w:proofErr w:type="spellStart"/>
      <w:r w:rsidRPr="00A9033D">
        <w:rPr>
          <w:rFonts w:eastAsia="Calibri"/>
          <w:lang w:val="en-AU" w:eastAsia="en-US"/>
        </w:rPr>
        <w:t>Donthu</w:t>
      </w:r>
      <w:proofErr w:type="spellEnd"/>
      <w:r w:rsidRPr="00A9033D">
        <w:rPr>
          <w:rFonts w:eastAsia="Calibri"/>
          <w:lang w:val="en-AU" w:eastAsia="en-US"/>
        </w:rPr>
        <w:t xml:space="preserve"> N, Gustafsson A. Effects of COVID-19 on business and research. Journal of Business Research. 2020; 117: 284-9. </w:t>
      </w:r>
      <w:proofErr w:type="gramStart"/>
      <w:r w:rsidRPr="00A9033D">
        <w:rPr>
          <w:rFonts w:eastAsia="Calibri"/>
          <w:lang w:val="en-AU" w:eastAsia="en-US"/>
        </w:rPr>
        <w:t>DOI:10.1016/j.jbusres</w:t>
      </w:r>
      <w:proofErr w:type="gramEnd"/>
      <w:r w:rsidRPr="00A9033D">
        <w:rPr>
          <w:rFonts w:eastAsia="Calibri"/>
          <w:lang w:val="en-AU" w:eastAsia="en-US"/>
        </w:rPr>
        <w:t>.2020.06.008</w:t>
      </w:r>
    </w:p>
    <w:p w14:paraId="071EA996" w14:textId="77777777" w:rsidR="00A9033D" w:rsidRPr="00A9033D" w:rsidRDefault="00A9033D" w:rsidP="00A9033D">
      <w:pPr>
        <w:widowControl w:val="0"/>
        <w:autoSpaceDE w:val="0"/>
        <w:autoSpaceDN w:val="0"/>
        <w:adjustRightInd w:val="0"/>
        <w:spacing w:line="360" w:lineRule="auto"/>
        <w:rPr>
          <w:rFonts w:eastAsia="Calibri"/>
          <w:lang w:val="en-US" w:eastAsia="en-US"/>
        </w:rPr>
      </w:pPr>
      <w:r w:rsidRPr="00A9033D">
        <w:rPr>
          <w:rFonts w:eastAsia="Calibri"/>
          <w:lang w:val="en-AU" w:eastAsia="en-US"/>
        </w:rPr>
        <w:t>16. Laing T. The economic impact of the Coronavirus 2019 (Covid-2019): Implications for the mining industry. </w:t>
      </w:r>
      <w:proofErr w:type="spellStart"/>
      <w:r w:rsidRPr="00A9033D">
        <w:rPr>
          <w:rFonts w:eastAsia="Calibri"/>
          <w:lang w:val="en-US" w:eastAsia="en-US"/>
        </w:rPr>
        <w:t>Extr</w:t>
      </w:r>
      <w:proofErr w:type="spellEnd"/>
      <w:r w:rsidRPr="00A9033D">
        <w:rPr>
          <w:rFonts w:eastAsia="Calibri"/>
          <w:lang w:val="en-US" w:eastAsia="en-US"/>
        </w:rPr>
        <w:t xml:space="preserve"> Ind Soc. 2020; 7(2):580-2. </w:t>
      </w:r>
      <w:proofErr w:type="gramStart"/>
      <w:r w:rsidRPr="00A9033D">
        <w:rPr>
          <w:rFonts w:eastAsia="Calibri"/>
          <w:lang w:val="en-US" w:eastAsia="en-US"/>
        </w:rPr>
        <w:t>DOI:10.1016/j.exis</w:t>
      </w:r>
      <w:proofErr w:type="gramEnd"/>
      <w:r w:rsidRPr="00A9033D">
        <w:rPr>
          <w:rFonts w:eastAsia="Calibri"/>
          <w:lang w:val="en-US" w:eastAsia="en-US"/>
        </w:rPr>
        <w:t>.2020.04.003</w:t>
      </w:r>
    </w:p>
    <w:p w14:paraId="3E5C91EB" w14:textId="77777777" w:rsidR="00A9033D" w:rsidRPr="00A9033D" w:rsidRDefault="00A9033D" w:rsidP="00A9033D">
      <w:pPr>
        <w:widowControl w:val="0"/>
        <w:autoSpaceDE w:val="0"/>
        <w:autoSpaceDN w:val="0"/>
        <w:adjustRightInd w:val="0"/>
        <w:spacing w:line="360" w:lineRule="auto"/>
        <w:rPr>
          <w:rFonts w:eastAsia="Calibri"/>
          <w:lang w:val="es-CU" w:eastAsia="en-US"/>
        </w:rPr>
      </w:pPr>
      <w:r w:rsidRPr="00A9033D">
        <w:rPr>
          <w:rFonts w:eastAsia="Calibri"/>
          <w:lang w:val="en-US" w:eastAsia="en-US"/>
        </w:rPr>
        <w:t xml:space="preserve">17. World Health Organization. WHO Coronavirus (COVID-19) Dashboard. </w:t>
      </w:r>
      <w:r w:rsidRPr="00A9033D">
        <w:rPr>
          <w:rFonts w:eastAsia="Calibri"/>
          <w:lang w:val="es-CU" w:eastAsia="en-US"/>
        </w:rPr>
        <w:t xml:space="preserve">2021 [acceso: 17/11/2021]. Disponible en: </w:t>
      </w:r>
      <w:hyperlink r:id="rId16" w:history="1">
        <w:r w:rsidRPr="00A9033D">
          <w:rPr>
            <w:rFonts w:eastAsia="Calibri"/>
            <w:color w:val="0000FF"/>
            <w:u w:val="single"/>
            <w:lang w:val="es-CU" w:eastAsia="en-US"/>
          </w:rPr>
          <w:t>https://covid19.who.int/</w:t>
        </w:r>
      </w:hyperlink>
      <w:r w:rsidRPr="00A9033D">
        <w:rPr>
          <w:rFonts w:eastAsia="Calibri"/>
          <w:lang w:val="es-CU" w:eastAsia="en-US"/>
        </w:rPr>
        <w:t xml:space="preserve"> </w:t>
      </w:r>
    </w:p>
    <w:p w14:paraId="0056C795" w14:textId="77777777" w:rsidR="00A9033D" w:rsidRPr="00A9033D" w:rsidRDefault="00A9033D" w:rsidP="00A9033D">
      <w:pPr>
        <w:widowControl w:val="0"/>
        <w:autoSpaceDE w:val="0"/>
        <w:autoSpaceDN w:val="0"/>
        <w:adjustRightInd w:val="0"/>
        <w:spacing w:line="360" w:lineRule="auto"/>
        <w:rPr>
          <w:rFonts w:eastAsia="Calibri"/>
          <w:lang w:val="en-US" w:eastAsia="en-US"/>
        </w:rPr>
      </w:pPr>
      <w:r w:rsidRPr="00A9033D">
        <w:rPr>
          <w:rFonts w:eastAsia="Calibri"/>
          <w:lang w:val="es-CU" w:eastAsia="en-US"/>
        </w:rPr>
        <w:t xml:space="preserve">18. Li Y, Wang Y, </w:t>
      </w:r>
      <w:proofErr w:type="spellStart"/>
      <w:r w:rsidRPr="00A9033D">
        <w:rPr>
          <w:rFonts w:eastAsia="Calibri"/>
          <w:lang w:val="es-CU" w:eastAsia="en-US"/>
        </w:rPr>
        <w:t>Jiang</w:t>
      </w:r>
      <w:proofErr w:type="spellEnd"/>
      <w:r w:rsidRPr="00A9033D">
        <w:rPr>
          <w:rFonts w:eastAsia="Calibri"/>
          <w:lang w:val="es-CU" w:eastAsia="en-US"/>
        </w:rPr>
        <w:t xml:space="preserve"> J, </w:t>
      </w:r>
      <w:proofErr w:type="spellStart"/>
      <w:r w:rsidRPr="00A9033D">
        <w:rPr>
          <w:rFonts w:eastAsia="Calibri"/>
          <w:lang w:val="es-CU" w:eastAsia="en-US"/>
        </w:rPr>
        <w:t>Valdimarsdóttir</w:t>
      </w:r>
      <w:proofErr w:type="spellEnd"/>
      <w:r w:rsidRPr="00A9033D">
        <w:rPr>
          <w:rFonts w:eastAsia="Calibri"/>
          <w:lang w:val="es-CU" w:eastAsia="en-US"/>
        </w:rPr>
        <w:t xml:space="preserve"> UA, </w:t>
      </w:r>
      <w:proofErr w:type="spellStart"/>
      <w:r w:rsidRPr="00A9033D">
        <w:rPr>
          <w:rFonts w:eastAsia="Calibri"/>
          <w:lang w:val="es-CU" w:eastAsia="en-US"/>
        </w:rPr>
        <w:t>Fall</w:t>
      </w:r>
      <w:proofErr w:type="spellEnd"/>
      <w:r w:rsidRPr="00A9033D">
        <w:rPr>
          <w:rFonts w:eastAsia="Calibri"/>
          <w:lang w:val="es-CU" w:eastAsia="en-US"/>
        </w:rPr>
        <w:t xml:space="preserve"> K, </w:t>
      </w:r>
      <w:proofErr w:type="spellStart"/>
      <w:r w:rsidRPr="00A9033D">
        <w:rPr>
          <w:rFonts w:eastAsia="Calibri"/>
          <w:lang w:val="es-CU" w:eastAsia="en-US"/>
        </w:rPr>
        <w:t>Fang</w:t>
      </w:r>
      <w:proofErr w:type="spellEnd"/>
      <w:r w:rsidRPr="00A9033D">
        <w:rPr>
          <w:rFonts w:eastAsia="Calibri"/>
          <w:lang w:val="es-CU" w:eastAsia="en-US"/>
        </w:rPr>
        <w:t xml:space="preserve"> F, et al. </w:t>
      </w:r>
      <w:r w:rsidRPr="00A9033D">
        <w:rPr>
          <w:rFonts w:eastAsia="Calibri"/>
          <w:lang w:val="en-US" w:eastAsia="en-US"/>
        </w:rPr>
        <w:t>Psychological distress among health professional students during the COVID-19 outbreak. Psychol Med. 2020; 1–3. DOI:10.1017/S0033291720001555</w:t>
      </w:r>
    </w:p>
    <w:p w14:paraId="1C333F20" w14:textId="77777777" w:rsidR="00A9033D" w:rsidRPr="00A9033D" w:rsidRDefault="00A9033D" w:rsidP="00A9033D">
      <w:pPr>
        <w:widowControl w:val="0"/>
        <w:autoSpaceDE w:val="0"/>
        <w:autoSpaceDN w:val="0"/>
        <w:adjustRightInd w:val="0"/>
        <w:spacing w:line="360" w:lineRule="auto"/>
        <w:rPr>
          <w:rFonts w:eastAsia="Calibri"/>
          <w:lang w:val="en-US" w:eastAsia="en-US"/>
        </w:rPr>
      </w:pPr>
      <w:r w:rsidRPr="00A9033D">
        <w:rPr>
          <w:rFonts w:eastAsia="Calibri"/>
          <w:lang w:val="en-US" w:eastAsia="en-US"/>
        </w:rPr>
        <w:t xml:space="preserve">19. Mukhtar S. Psychological health during the coronavirus disease 2019 pandemic outbreak. Int J Soc </w:t>
      </w:r>
      <w:r w:rsidRPr="00A9033D">
        <w:rPr>
          <w:rFonts w:eastAsia="Calibri"/>
          <w:lang w:val="en-US" w:eastAsia="en-US"/>
        </w:rPr>
        <w:lastRenderedPageBreak/>
        <w:t xml:space="preserve">Psychiatry. 2020; 66(5):512-16. DOI:10.1177/0020764020925835  </w:t>
      </w:r>
    </w:p>
    <w:p w14:paraId="7509779B" w14:textId="77777777" w:rsidR="00A9033D" w:rsidRPr="00A9033D" w:rsidRDefault="00A9033D" w:rsidP="00A9033D">
      <w:pPr>
        <w:widowControl w:val="0"/>
        <w:autoSpaceDE w:val="0"/>
        <w:autoSpaceDN w:val="0"/>
        <w:adjustRightInd w:val="0"/>
        <w:spacing w:line="360" w:lineRule="auto"/>
        <w:rPr>
          <w:rFonts w:eastAsia="Calibri"/>
          <w:noProof/>
          <w:lang w:val="en-US" w:eastAsia="en-US"/>
        </w:rPr>
      </w:pPr>
      <w:r w:rsidRPr="00A9033D">
        <w:rPr>
          <w:rFonts w:eastAsia="Calibri"/>
          <w:lang w:val="en-US" w:eastAsia="en-US"/>
        </w:rPr>
        <w:t xml:space="preserve">20. </w:t>
      </w:r>
      <w:r w:rsidRPr="00A9033D">
        <w:rPr>
          <w:rFonts w:eastAsia="Calibri"/>
          <w:noProof/>
          <w:lang w:val="en-US" w:eastAsia="en-US"/>
        </w:rPr>
        <w:t xml:space="preserve">De Guzman MJJ, Pastor CKL, Estira KLA, Ventayen RJM, David CE V. Source of stress and cope up mechanism of college students during the lockdown and extreme community quarantine due to COVID-19 Pandemic. J Crit Rev. 2020; 7(12):824–5. </w:t>
      </w:r>
      <w:r w:rsidRPr="00A9033D">
        <w:rPr>
          <w:rFonts w:eastAsia="Calibri"/>
          <w:lang w:val="en-US" w:eastAsia="en-US"/>
        </w:rPr>
        <w:t xml:space="preserve"> DOI:</w:t>
      </w:r>
      <w:r w:rsidRPr="00A9033D">
        <w:rPr>
          <w:rFonts w:eastAsia="Calibri"/>
          <w:noProof/>
          <w:lang w:val="en-US" w:eastAsia="en-US"/>
        </w:rPr>
        <w:t>10.31838/jcr.07.12.145</w:t>
      </w:r>
    </w:p>
    <w:p w14:paraId="073E5A64" w14:textId="77777777" w:rsidR="00A9033D" w:rsidRPr="00A9033D" w:rsidRDefault="00A9033D" w:rsidP="00A9033D">
      <w:pPr>
        <w:widowControl w:val="0"/>
        <w:autoSpaceDE w:val="0"/>
        <w:autoSpaceDN w:val="0"/>
        <w:adjustRightInd w:val="0"/>
        <w:spacing w:line="360" w:lineRule="auto"/>
        <w:rPr>
          <w:rFonts w:eastAsia="Calibri"/>
          <w:lang w:val="en-AU" w:eastAsia="en-US"/>
        </w:rPr>
      </w:pPr>
      <w:r w:rsidRPr="00A9033D">
        <w:rPr>
          <w:rFonts w:eastAsia="Calibri"/>
          <w:lang w:val="en-AU" w:eastAsia="en-US"/>
        </w:rPr>
        <w:t xml:space="preserve">21. </w:t>
      </w:r>
      <w:proofErr w:type="spellStart"/>
      <w:r w:rsidRPr="00A9033D">
        <w:rPr>
          <w:rFonts w:eastAsia="Calibri"/>
          <w:lang w:val="en-AU" w:eastAsia="en-US"/>
        </w:rPr>
        <w:t>Fegert</w:t>
      </w:r>
      <w:proofErr w:type="spellEnd"/>
      <w:r w:rsidRPr="00A9033D">
        <w:rPr>
          <w:rFonts w:eastAsia="Calibri"/>
          <w:lang w:val="en-AU" w:eastAsia="en-US"/>
        </w:rPr>
        <w:t xml:space="preserve"> M, </w:t>
      </w:r>
      <w:proofErr w:type="spellStart"/>
      <w:r w:rsidRPr="00A9033D">
        <w:rPr>
          <w:rFonts w:eastAsia="Calibri"/>
          <w:lang w:val="en-AU" w:eastAsia="en-US"/>
        </w:rPr>
        <w:t>Vitiello</w:t>
      </w:r>
      <w:proofErr w:type="spellEnd"/>
      <w:r w:rsidRPr="00A9033D">
        <w:rPr>
          <w:rFonts w:eastAsia="Calibri"/>
          <w:lang w:val="en-AU" w:eastAsia="en-US"/>
        </w:rPr>
        <w:t xml:space="preserve"> B, </w:t>
      </w:r>
      <w:proofErr w:type="spellStart"/>
      <w:r w:rsidRPr="00A9033D">
        <w:rPr>
          <w:rFonts w:eastAsia="Calibri"/>
          <w:lang w:val="en-AU" w:eastAsia="en-US"/>
        </w:rPr>
        <w:t>Plener</w:t>
      </w:r>
      <w:proofErr w:type="spellEnd"/>
      <w:r w:rsidRPr="00A9033D">
        <w:rPr>
          <w:rFonts w:eastAsia="Calibri"/>
          <w:lang w:val="en-AU" w:eastAsia="en-US"/>
        </w:rPr>
        <w:t xml:space="preserve"> L, Clemens V. Challenges and burden of the Coronavirus 2019 (COVID-19) pandemic for child and adolescent mental health: a narrative review to highlight clinical and research needs in the acute phase and the long return to normality. Child </w:t>
      </w:r>
      <w:proofErr w:type="spellStart"/>
      <w:r w:rsidRPr="00A9033D">
        <w:rPr>
          <w:rFonts w:eastAsia="Calibri"/>
          <w:lang w:val="en-AU" w:eastAsia="en-US"/>
        </w:rPr>
        <w:t>Adolesc</w:t>
      </w:r>
      <w:proofErr w:type="spellEnd"/>
      <w:r w:rsidRPr="00A9033D">
        <w:rPr>
          <w:rFonts w:eastAsia="Calibri"/>
          <w:lang w:val="en-AU" w:eastAsia="en-US"/>
        </w:rPr>
        <w:t xml:space="preserve"> Psychiatry </w:t>
      </w:r>
      <w:proofErr w:type="spellStart"/>
      <w:r w:rsidRPr="00A9033D">
        <w:rPr>
          <w:rFonts w:eastAsia="Calibri"/>
          <w:lang w:val="en-AU" w:eastAsia="en-US"/>
        </w:rPr>
        <w:t>Ment</w:t>
      </w:r>
      <w:proofErr w:type="spellEnd"/>
      <w:r w:rsidRPr="00A9033D">
        <w:rPr>
          <w:rFonts w:eastAsia="Calibri"/>
          <w:lang w:val="en-AU" w:eastAsia="en-US"/>
        </w:rPr>
        <w:t xml:space="preserve"> Health. 2020; 14(1):1-11. DOI:10.1186/s13034-020-00329-3</w:t>
      </w:r>
    </w:p>
    <w:p w14:paraId="7E1E6326" w14:textId="77777777" w:rsidR="00A9033D" w:rsidRPr="00A9033D" w:rsidRDefault="00A9033D" w:rsidP="00A9033D">
      <w:pPr>
        <w:widowControl w:val="0"/>
        <w:autoSpaceDE w:val="0"/>
        <w:autoSpaceDN w:val="0"/>
        <w:adjustRightInd w:val="0"/>
        <w:spacing w:line="360" w:lineRule="auto"/>
        <w:rPr>
          <w:rFonts w:eastAsia="Calibri"/>
          <w:lang w:val="en-US" w:eastAsia="en-US"/>
        </w:rPr>
      </w:pPr>
      <w:r w:rsidRPr="00A9033D">
        <w:rPr>
          <w:rFonts w:eastAsia="Calibri"/>
          <w:lang w:val="en-US" w:eastAsia="en-US"/>
        </w:rPr>
        <w:t xml:space="preserve">22. </w:t>
      </w:r>
      <w:proofErr w:type="spellStart"/>
      <w:r w:rsidRPr="00A9033D">
        <w:rPr>
          <w:rFonts w:eastAsia="Calibri"/>
          <w:lang w:val="en-US" w:eastAsia="en-US"/>
        </w:rPr>
        <w:t>Kaparounaki</w:t>
      </w:r>
      <w:proofErr w:type="spellEnd"/>
      <w:r w:rsidRPr="00A9033D">
        <w:rPr>
          <w:rFonts w:eastAsia="Calibri"/>
          <w:lang w:val="en-US" w:eastAsia="en-US"/>
        </w:rPr>
        <w:t xml:space="preserve"> CK, </w:t>
      </w:r>
      <w:proofErr w:type="spellStart"/>
      <w:r w:rsidRPr="00A9033D">
        <w:rPr>
          <w:rFonts w:eastAsia="Calibri"/>
          <w:lang w:val="en-US" w:eastAsia="en-US"/>
        </w:rPr>
        <w:t>Patsali</w:t>
      </w:r>
      <w:proofErr w:type="spellEnd"/>
      <w:r w:rsidRPr="00A9033D">
        <w:rPr>
          <w:rFonts w:eastAsia="Calibri"/>
          <w:lang w:val="en-US" w:eastAsia="en-US"/>
        </w:rPr>
        <w:t xml:space="preserve"> ME, Mousa DP V., </w:t>
      </w:r>
      <w:proofErr w:type="spellStart"/>
      <w:r w:rsidRPr="00A9033D">
        <w:rPr>
          <w:rFonts w:eastAsia="Calibri"/>
          <w:lang w:val="en-US" w:eastAsia="en-US"/>
        </w:rPr>
        <w:t>Papadopoulou</w:t>
      </w:r>
      <w:proofErr w:type="spellEnd"/>
      <w:r w:rsidRPr="00A9033D">
        <w:rPr>
          <w:rFonts w:eastAsia="Calibri"/>
          <w:lang w:val="en-US" w:eastAsia="en-US"/>
        </w:rPr>
        <w:t xml:space="preserve"> EVK, </w:t>
      </w:r>
      <w:proofErr w:type="spellStart"/>
      <w:r w:rsidRPr="00A9033D">
        <w:rPr>
          <w:rFonts w:eastAsia="Calibri"/>
          <w:lang w:val="en-US" w:eastAsia="en-US"/>
        </w:rPr>
        <w:t>Papadopoulou</w:t>
      </w:r>
      <w:proofErr w:type="spellEnd"/>
      <w:r w:rsidRPr="00A9033D">
        <w:rPr>
          <w:rFonts w:eastAsia="Calibri"/>
          <w:lang w:val="en-US" w:eastAsia="en-US"/>
        </w:rPr>
        <w:t xml:space="preserve"> KKK, </w:t>
      </w:r>
      <w:proofErr w:type="spellStart"/>
      <w:r w:rsidRPr="00A9033D">
        <w:rPr>
          <w:rFonts w:eastAsia="Calibri"/>
          <w:lang w:val="en-US" w:eastAsia="en-US"/>
        </w:rPr>
        <w:t>Fountoulakis</w:t>
      </w:r>
      <w:proofErr w:type="spellEnd"/>
      <w:r w:rsidRPr="00A9033D">
        <w:rPr>
          <w:rFonts w:eastAsia="Calibri"/>
          <w:lang w:val="en-US" w:eastAsia="en-US"/>
        </w:rPr>
        <w:t xml:space="preserve"> KN. University students’ mental health amidst the COVID-19 quarantine in Greece. Psychiatry Research. 2020</w:t>
      </w:r>
      <w:r w:rsidRPr="00A9033D">
        <w:rPr>
          <w:rFonts w:eastAsia="Calibri"/>
          <w:lang w:val="en-AU" w:eastAsia="en-US"/>
        </w:rPr>
        <w:t>;</w:t>
      </w:r>
      <w:r w:rsidRPr="00A9033D">
        <w:rPr>
          <w:rFonts w:eastAsia="Calibri"/>
          <w:lang w:val="en-US" w:eastAsia="en-US"/>
        </w:rPr>
        <w:t xml:space="preserve"> 290:113111. </w:t>
      </w:r>
      <w:r w:rsidRPr="00A9033D">
        <w:rPr>
          <w:rFonts w:eastAsia="Calibri"/>
          <w:lang w:val="en-AU" w:eastAsia="en-US"/>
        </w:rPr>
        <w:t xml:space="preserve">DOI: </w:t>
      </w:r>
      <w:r w:rsidRPr="00A9033D">
        <w:rPr>
          <w:rFonts w:eastAsia="Calibri"/>
          <w:lang w:val="en-US" w:eastAsia="en-US"/>
        </w:rPr>
        <w:t>10.1016/j.psychres.2020.113111</w:t>
      </w:r>
    </w:p>
    <w:p w14:paraId="6ECEAB2D" w14:textId="77777777" w:rsidR="00A9033D" w:rsidRPr="00A9033D" w:rsidRDefault="00A9033D" w:rsidP="00A9033D">
      <w:pPr>
        <w:widowControl w:val="0"/>
        <w:autoSpaceDE w:val="0"/>
        <w:autoSpaceDN w:val="0"/>
        <w:adjustRightInd w:val="0"/>
        <w:spacing w:line="360" w:lineRule="auto"/>
        <w:rPr>
          <w:rFonts w:eastAsia="Calibri"/>
          <w:lang w:val="en-US" w:eastAsia="en-US"/>
        </w:rPr>
      </w:pPr>
      <w:r w:rsidRPr="00A9033D">
        <w:rPr>
          <w:rFonts w:eastAsia="Calibri"/>
          <w:lang w:val="en-US" w:eastAsia="en-US"/>
        </w:rPr>
        <w:t>23. Jiang W, Liu X, Zhang J, Feng Z. Mental health status of Chinese residents during the COVID-19 epidemic. BMC psychiatry. 2020</w:t>
      </w:r>
      <w:r w:rsidRPr="00A9033D">
        <w:rPr>
          <w:rFonts w:eastAsia="Calibri"/>
          <w:lang w:val="en-AU" w:eastAsia="en-US"/>
        </w:rPr>
        <w:t>;</w:t>
      </w:r>
      <w:r w:rsidRPr="00A9033D">
        <w:rPr>
          <w:rFonts w:eastAsia="Calibri"/>
          <w:lang w:val="en-US" w:eastAsia="en-US"/>
        </w:rPr>
        <w:t xml:space="preserve"> 20(1): 1-14. </w:t>
      </w:r>
      <w:r w:rsidRPr="00A9033D">
        <w:rPr>
          <w:rFonts w:eastAsia="Calibri"/>
          <w:lang w:val="en-AU" w:eastAsia="en-US"/>
        </w:rPr>
        <w:t>DOI:</w:t>
      </w:r>
      <w:r w:rsidRPr="00A9033D">
        <w:rPr>
          <w:rFonts w:eastAsia="Calibri"/>
          <w:lang w:val="en-US" w:eastAsia="en-US"/>
        </w:rPr>
        <w:t>10.1186/s12888-020-02966-6.</w:t>
      </w:r>
    </w:p>
    <w:p w14:paraId="0989DFA7" w14:textId="77777777" w:rsidR="00A9033D" w:rsidRPr="00A9033D" w:rsidRDefault="00A9033D" w:rsidP="00A9033D">
      <w:pPr>
        <w:widowControl w:val="0"/>
        <w:autoSpaceDE w:val="0"/>
        <w:autoSpaceDN w:val="0"/>
        <w:adjustRightInd w:val="0"/>
        <w:spacing w:line="360" w:lineRule="auto"/>
        <w:rPr>
          <w:rFonts w:eastAsia="Calibri"/>
          <w:lang w:val="en-US" w:eastAsia="en-US"/>
        </w:rPr>
      </w:pPr>
      <w:r w:rsidRPr="00A9033D">
        <w:rPr>
          <w:rFonts w:eastAsia="Calibri"/>
          <w:lang w:val="en-US" w:eastAsia="en-US"/>
        </w:rPr>
        <w:t xml:space="preserve">24. Dhar BK, </w:t>
      </w:r>
      <w:proofErr w:type="spellStart"/>
      <w:r w:rsidRPr="00A9033D">
        <w:rPr>
          <w:rFonts w:eastAsia="Calibri"/>
          <w:lang w:val="en-US" w:eastAsia="en-US"/>
        </w:rPr>
        <w:t>Ayittey</w:t>
      </w:r>
      <w:proofErr w:type="spellEnd"/>
      <w:r w:rsidRPr="00A9033D">
        <w:rPr>
          <w:rFonts w:eastAsia="Calibri"/>
          <w:lang w:val="en-US" w:eastAsia="en-US"/>
        </w:rPr>
        <w:t xml:space="preserve"> FK, Sarkar SM. Impact of COVID‐19 on Psychology among the University Students. Glob Challenges. 2020</w:t>
      </w:r>
      <w:r w:rsidRPr="00A9033D">
        <w:rPr>
          <w:rFonts w:eastAsia="Calibri"/>
          <w:lang w:val="en-AU" w:eastAsia="en-US"/>
        </w:rPr>
        <w:t>;</w:t>
      </w:r>
      <w:r w:rsidRPr="00A9033D">
        <w:rPr>
          <w:rFonts w:eastAsia="Calibri"/>
          <w:lang w:val="en-US" w:eastAsia="en-US"/>
        </w:rPr>
        <w:t xml:space="preserve"> 4(11):2000038. DOI: 10.1002/gch2.202000038</w:t>
      </w:r>
    </w:p>
    <w:p w14:paraId="0955B85A" w14:textId="77777777" w:rsidR="00A9033D" w:rsidRPr="00A9033D" w:rsidRDefault="00A9033D" w:rsidP="00A9033D">
      <w:pPr>
        <w:widowControl w:val="0"/>
        <w:autoSpaceDE w:val="0"/>
        <w:autoSpaceDN w:val="0"/>
        <w:adjustRightInd w:val="0"/>
        <w:spacing w:line="360" w:lineRule="auto"/>
        <w:rPr>
          <w:rFonts w:eastAsia="Calibri"/>
          <w:lang w:eastAsia="en-US"/>
        </w:rPr>
      </w:pPr>
      <w:r w:rsidRPr="00A9033D">
        <w:rPr>
          <w:rFonts w:eastAsia="Calibri"/>
          <w:lang w:val="en-US" w:eastAsia="en-US"/>
        </w:rPr>
        <w:t xml:space="preserve">25. </w:t>
      </w:r>
      <w:proofErr w:type="spellStart"/>
      <w:r w:rsidRPr="00A9033D">
        <w:rPr>
          <w:rFonts w:eastAsia="Calibri"/>
          <w:lang w:val="en-US" w:eastAsia="en-US"/>
        </w:rPr>
        <w:t>Alemany-Arrebola</w:t>
      </w:r>
      <w:proofErr w:type="spellEnd"/>
      <w:r w:rsidRPr="00A9033D">
        <w:rPr>
          <w:rFonts w:eastAsia="Calibri"/>
          <w:lang w:val="en-US" w:eastAsia="en-US"/>
        </w:rPr>
        <w:t xml:space="preserve"> I, Rojas-Ruiz G, </w:t>
      </w:r>
      <w:proofErr w:type="spellStart"/>
      <w:r w:rsidRPr="00A9033D">
        <w:rPr>
          <w:rFonts w:eastAsia="Calibri"/>
          <w:lang w:val="en-US" w:eastAsia="en-US"/>
        </w:rPr>
        <w:t>Granda</w:t>
      </w:r>
      <w:proofErr w:type="spellEnd"/>
      <w:r w:rsidRPr="00A9033D">
        <w:rPr>
          <w:rFonts w:eastAsia="Calibri"/>
          <w:lang w:val="en-US" w:eastAsia="en-US"/>
        </w:rPr>
        <w:t xml:space="preserve">-Vera J, </w:t>
      </w:r>
      <w:proofErr w:type="spellStart"/>
      <w:r w:rsidRPr="00A9033D">
        <w:rPr>
          <w:rFonts w:eastAsia="Calibri"/>
          <w:lang w:val="en-US" w:eastAsia="en-US"/>
        </w:rPr>
        <w:t>Mingorance</w:t>
      </w:r>
      <w:proofErr w:type="spellEnd"/>
      <w:r w:rsidRPr="00A9033D">
        <w:rPr>
          <w:rFonts w:eastAsia="Calibri"/>
          <w:lang w:val="en-US" w:eastAsia="en-US"/>
        </w:rPr>
        <w:t xml:space="preserve">-Estrada ÁC. Influence of COVID-19 on the Perception of Academic Self-Efficacy, State Anxiety, and Trait Anxiety in College Students. </w:t>
      </w:r>
      <w:r w:rsidRPr="00A9033D">
        <w:rPr>
          <w:rFonts w:eastAsia="Calibri"/>
          <w:lang w:eastAsia="en-US"/>
        </w:rPr>
        <w:t xml:space="preserve">Front </w:t>
      </w:r>
      <w:proofErr w:type="spellStart"/>
      <w:r w:rsidRPr="00A9033D">
        <w:rPr>
          <w:rFonts w:eastAsia="Calibri"/>
          <w:lang w:eastAsia="en-US"/>
        </w:rPr>
        <w:t>Psychol</w:t>
      </w:r>
      <w:proofErr w:type="spellEnd"/>
      <w:r w:rsidRPr="00A9033D">
        <w:rPr>
          <w:rFonts w:eastAsia="Calibri"/>
          <w:lang w:eastAsia="en-US"/>
        </w:rPr>
        <w:t>. 2020; 11:1–7. DOI:10.3389/fpsyg.2020.570017</w:t>
      </w:r>
    </w:p>
    <w:p w14:paraId="388E0E64" w14:textId="77777777" w:rsidR="00A9033D" w:rsidRPr="00A9033D" w:rsidRDefault="00A9033D" w:rsidP="00A9033D">
      <w:pPr>
        <w:widowControl w:val="0"/>
        <w:autoSpaceDE w:val="0"/>
        <w:autoSpaceDN w:val="0"/>
        <w:adjustRightInd w:val="0"/>
        <w:spacing w:line="360" w:lineRule="auto"/>
        <w:rPr>
          <w:rFonts w:eastAsia="Calibri"/>
          <w:noProof/>
          <w:lang w:eastAsia="en-US"/>
        </w:rPr>
      </w:pPr>
      <w:r w:rsidRPr="00A9033D">
        <w:rPr>
          <w:rFonts w:eastAsia="Calibri"/>
          <w:lang w:eastAsia="en-US"/>
        </w:rPr>
        <w:t xml:space="preserve">26. Galindo-Vázquez, O. Ramírez-Orozco, M. Costas-Muñiz, R. Mendoza-Contreras, L. A. </w:t>
      </w:r>
      <w:proofErr w:type="spellStart"/>
      <w:r w:rsidRPr="00A9033D">
        <w:rPr>
          <w:rFonts w:eastAsia="Calibri"/>
          <w:lang w:eastAsia="en-US"/>
        </w:rPr>
        <w:t>Calderillo</w:t>
      </w:r>
      <w:proofErr w:type="spellEnd"/>
      <w:r w:rsidRPr="00A9033D">
        <w:rPr>
          <w:rFonts w:eastAsia="Calibri"/>
          <w:lang w:eastAsia="en-US"/>
        </w:rPr>
        <w:t xml:space="preserve">-Ruíz, G. Meneses-García A. Síntomas de ansiedad, depresión y conductas de autocuidado durante la pandemia de COVID-19 en la población general. Gaceta Médica de México. 2020 [acceso: 13/07/2021]; 156(4):261–368. Disponible en: </w:t>
      </w:r>
      <w:hyperlink r:id="rId17" w:anchor="page=45" w:history="1">
        <w:r w:rsidRPr="00A9033D">
          <w:rPr>
            <w:rFonts w:eastAsia="Calibri"/>
            <w:color w:val="0000FF"/>
            <w:u w:val="single"/>
            <w:lang w:eastAsia="en-US"/>
          </w:rPr>
          <w:t>https://www.gacetamedicademexico.com/portadas/gmm_20_156_4.pdf#page=45</w:t>
        </w:r>
      </w:hyperlink>
      <w:r w:rsidRPr="00A9033D">
        <w:rPr>
          <w:rFonts w:eastAsia="Calibri"/>
          <w:lang w:eastAsia="en-US"/>
        </w:rPr>
        <w:t xml:space="preserve"> </w:t>
      </w:r>
      <w:r w:rsidRPr="00A9033D">
        <w:rPr>
          <w:rFonts w:eastAsia="Calibri"/>
          <w:noProof/>
          <w:lang w:eastAsia="en-US"/>
        </w:rPr>
        <w:t xml:space="preserve"> </w:t>
      </w:r>
    </w:p>
    <w:p w14:paraId="3CCAE6EC" w14:textId="77777777" w:rsidR="00A9033D" w:rsidRPr="00A9033D" w:rsidRDefault="00A9033D" w:rsidP="00A9033D">
      <w:pPr>
        <w:widowControl w:val="0"/>
        <w:autoSpaceDE w:val="0"/>
        <w:autoSpaceDN w:val="0"/>
        <w:adjustRightInd w:val="0"/>
        <w:spacing w:line="360" w:lineRule="auto"/>
        <w:rPr>
          <w:rFonts w:eastAsia="Calibri"/>
          <w:noProof/>
          <w:lang w:eastAsia="en-US"/>
        </w:rPr>
      </w:pPr>
      <w:r w:rsidRPr="00A9033D">
        <w:rPr>
          <w:rFonts w:eastAsia="Calibri"/>
          <w:lang w:eastAsia="en-US"/>
        </w:rPr>
        <w:t xml:space="preserve">27. </w:t>
      </w:r>
      <w:proofErr w:type="spellStart"/>
      <w:r w:rsidRPr="00A9033D">
        <w:rPr>
          <w:rFonts w:eastAsia="Calibri"/>
          <w:lang w:eastAsia="en-US"/>
        </w:rPr>
        <w:t>Mejia</w:t>
      </w:r>
      <w:proofErr w:type="spellEnd"/>
      <w:r w:rsidRPr="00A9033D">
        <w:rPr>
          <w:rFonts w:eastAsia="Calibri"/>
          <w:lang w:eastAsia="en-US"/>
        </w:rPr>
        <w:t xml:space="preserve"> C, Quispe-Sancho A, </w:t>
      </w:r>
      <w:proofErr w:type="spellStart"/>
      <w:r w:rsidRPr="00A9033D">
        <w:rPr>
          <w:rFonts w:eastAsia="Calibri"/>
          <w:lang w:eastAsia="en-US"/>
        </w:rPr>
        <w:t>Ccasa</w:t>
      </w:r>
      <w:proofErr w:type="spellEnd"/>
      <w:r w:rsidRPr="00A9033D">
        <w:rPr>
          <w:rFonts w:eastAsia="Calibri"/>
          <w:lang w:eastAsia="en-US"/>
        </w:rPr>
        <w:t xml:space="preserve">-Valero L, Ponce-López V, Varela-Villanueva E, Marticorena-Flores R, et al. Factores asociados al fatalismo ante la COVID-19 en 20 ciudades del Perú en marzo 2020. </w:t>
      </w:r>
      <w:proofErr w:type="spellStart"/>
      <w:r w:rsidRPr="00A9033D">
        <w:rPr>
          <w:rFonts w:eastAsia="Calibri"/>
          <w:lang w:eastAsia="en-US"/>
        </w:rPr>
        <w:t>Rev</w:t>
      </w:r>
      <w:proofErr w:type="spellEnd"/>
      <w:r w:rsidRPr="00A9033D">
        <w:rPr>
          <w:rFonts w:eastAsia="Calibri"/>
          <w:lang w:eastAsia="en-US"/>
        </w:rPr>
        <w:t xml:space="preserve"> Habanera Ciencias Médicas. 2020 [acceso: 13/07/2021];19(2):1–13. Disponible en: </w:t>
      </w:r>
      <w:hyperlink r:id="rId18" w:history="1">
        <w:r w:rsidRPr="00A9033D">
          <w:rPr>
            <w:rFonts w:eastAsia="Calibri"/>
            <w:color w:val="0000FF"/>
            <w:u w:val="single"/>
            <w:lang w:eastAsia="en-US"/>
          </w:rPr>
          <w:t>http://scielo.sld.cu/pdf/rhcm/v19n2/1729-519X-rhcm-19-02-e3233</w:t>
        </w:r>
        <w:r w:rsidRPr="00A9033D">
          <w:rPr>
            <w:rFonts w:eastAsia="Calibri"/>
            <w:noProof/>
            <w:color w:val="0000FF"/>
            <w:u w:val="single"/>
            <w:lang w:eastAsia="en-US"/>
          </w:rPr>
          <w:t>.pdf</w:t>
        </w:r>
      </w:hyperlink>
      <w:r w:rsidRPr="00A9033D">
        <w:rPr>
          <w:rFonts w:eastAsia="Calibri"/>
          <w:noProof/>
          <w:lang w:eastAsia="en-US"/>
        </w:rPr>
        <w:t xml:space="preserve"> </w:t>
      </w:r>
    </w:p>
    <w:p w14:paraId="4F09C858" w14:textId="77777777" w:rsidR="00A9033D" w:rsidRPr="00A9033D" w:rsidRDefault="00A9033D" w:rsidP="00A9033D">
      <w:pPr>
        <w:widowControl w:val="0"/>
        <w:autoSpaceDE w:val="0"/>
        <w:autoSpaceDN w:val="0"/>
        <w:adjustRightInd w:val="0"/>
        <w:spacing w:line="360" w:lineRule="auto"/>
        <w:rPr>
          <w:rFonts w:eastAsia="Calibri"/>
          <w:lang w:eastAsia="en-US"/>
        </w:rPr>
      </w:pPr>
      <w:r w:rsidRPr="00A9033D">
        <w:rPr>
          <w:rFonts w:eastAsia="Calibri"/>
          <w:lang w:val="en-US" w:eastAsia="en-US"/>
        </w:rPr>
        <w:t xml:space="preserve">28. Rodríguez-Hidalgo AJ, </w:t>
      </w:r>
      <w:proofErr w:type="spellStart"/>
      <w:r w:rsidRPr="00A9033D">
        <w:rPr>
          <w:rFonts w:eastAsia="Calibri"/>
          <w:lang w:val="en-US" w:eastAsia="en-US"/>
        </w:rPr>
        <w:t>Pantaleón</w:t>
      </w:r>
      <w:proofErr w:type="spellEnd"/>
      <w:r w:rsidRPr="00A9033D">
        <w:rPr>
          <w:rFonts w:eastAsia="Calibri"/>
          <w:lang w:val="en-US" w:eastAsia="en-US"/>
        </w:rPr>
        <w:t xml:space="preserve"> Y, Dios I, </w:t>
      </w:r>
      <w:proofErr w:type="spellStart"/>
      <w:r w:rsidRPr="00A9033D">
        <w:rPr>
          <w:rFonts w:eastAsia="Calibri"/>
          <w:lang w:val="en-US" w:eastAsia="en-US"/>
        </w:rPr>
        <w:t>Falla</w:t>
      </w:r>
      <w:proofErr w:type="spellEnd"/>
      <w:r w:rsidRPr="00A9033D">
        <w:rPr>
          <w:rFonts w:eastAsia="Calibri"/>
          <w:lang w:val="en-US" w:eastAsia="en-US"/>
        </w:rPr>
        <w:t xml:space="preserve"> D. Fear of COVID-19, Stress, and Anxiety in </w:t>
      </w:r>
      <w:r w:rsidRPr="00A9033D">
        <w:rPr>
          <w:rFonts w:eastAsia="Calibri"/>
          <w:lang w:val="en-US" w:eastAsia="en-US"/>
        </w:rPr>
        <w:lastRenderedPageBreak/>
        <w:t xml:space="preserve">University Undergraduate Students: A Predictive Model for Depression. </w:t>
      </w:r>
      <w:proofErr w:type="spellStart"/>
      <w:r w:rsidRPr="00A9033D">
        <w:rPr>
          <w:rFonts w:eastAsia="Calibri"/>
          <w:lang w:eastAsia="en-US"/>
        </w:rPr>
        <w:t>Frontiers</w:t>
      </w:r>
      <w:proofErr w:type="spellEnd"/>
      <w:r w:rsidRPr="00A9033D">
        <w:rPr>
          <w:rFonts w:eastAsia="Calibri"/>
          <w:lang w:eastAsia="en-US"/>
        </w:rPr>
        <w:t xml:space="preserve"> in </w:t>
      </w:r>
      <w:proofErr w:type="spellStart"/>
      <w:r w:rsidRPr="00A9033D">
        <w:rPr>
          <w:rFonts w:eastAsia="Calibri"/>
          <w:lang w:eastAsia="en-US"/>
        </w:rPr>
        <w:t>Psychology</w:t>
      </w:r>
      <w:proofErr w:type="spellEnd"/>
      <w:r w:rsidRPr="00A9033D">
        <w:rPr>
          <w:rFonts w:eastAsia="Calibri"/>
          <w:lang w:eastAsia="en-US"/>
        </w:rPr>
        <w:t>. 2020; 11:3041. DOI:10.3389/fpsyg.2020.591797</w:t>
      </w:r>
    </w:p>
    <w:p w14:paraId="4557C54A" w14:textId="77777777" w:rsidR="00A9033D" w:rsidRPr="00A9033D" w:rsidRDefault="00A9033D" w:rsidP="00A9033D">
      <w:pPr>
        <w:widowControl w:val="0"/>
        <w:autoSpaceDE w:val="0"/>
        <w:autoSpaceDN w:val="0"/>
        <w:adjustRightInd w:val="0"/>
        <w:spacing w:line="360" w:lineRule="auto"/>
        <w:rPr>
          <w:rFonts w:eastAsia="Calibri"/>
          <w:lang w:eastAsia="en-US"/>
        </w:rPr>
      </w:pPr>
      <w:r w:rsidRPr="00A9033D">
        <w:rPr>
          <w:rFonts w:eastAsia="Calibri"/>
          <w:lang w:eastAsia="en-US"/>
        </w:rPr>
        <w:t xml:space="preserve">29. Sigüenza Campoverde W, </w:t>
      </w:r>
      <w:proofErr w:type="spellStart"/>
      <w:r w:rsidRPr="00A9033D">
        <w:rPr>
          <w:rFonts w:eastAsia="Calibri"/>
          <w:lang w:eastAsia="en-US"/>
        </w:rPr>
        <w:t>Vilchez</w:t>
      </w:r>
      <w:proofErr w:type="spellEnd"/>
      <w:r w:rsidRPr="00A9033D">
        <w:rPr>
          <w:rFonts w:eastAsia="Calibri"/>
          <w:lang w:eastAsia="en-US"/>
        </w:rPr>
        <w:t xml:space="preserve"> J. Aumento de los niveles de ansiedad en estudiantes universitarios durante la época de pandemia de la COVID-19. </w:t>
      </w:r>
      <w:proofErr w:type="spellStart"/>
      <w:r w:rsidRPr="00A9033D">
        <w:rPr>
          <w:rFonts w:eastAsia="Calibri"/>
          <w:lang w:eastAsia="en-US"/>
        </w:rPr>
        <w:t>Rev</w:t>
      </w:r>
      <w:proofErr w:type="spellEnd"/>
      <w:r w:rsidRPr="00A9033D">
        <w:rPr>
          <w:rFonts w:eastAsia="Calibri"/>
          <w:lang w:eastAsia="en-US"/>
        </w:rPr>
        <w:t xml:space="preserve"> </w:t>
      </w:r>
      <w:proofErr w:type="gramStart"/>
      <w:r w:rsidRPr="00A9033D">
        <w:rPr>
          <w:rFonts w:eastAsia="Calibri"/>
          <w:lang w:eastAsia="en-US"/>
        </w:rPr>
        <w:t>Cubana</w:t>
      </w:r>
      <w:proofErr w:type="gramEnd"/>
      <w:r w:rsidRPr="00A9033D">
        <w:rPr>
          <w:rFonts w:eastAsia="Calibri"/>
          <w:lang w:eastAsia="en-US"/>
        </w:rPr>
        <w:t xml:space="preserve"> </w:t>
      </w:r>
      <w:proofErr w:type="spellStart"/>
      <w:r w:rsidRPr="00A9033D">
        <w:rPr>
          <w:rFonts w:eastAsia="Calibri"/>
          <w:lang w:eastAsia="en-US"/>
        </w:rPr>
        <w:t>Med</w:t>
      </w:r>
      <w:proofErr w:type="spellEnd"/>
      <w:r w:rsidRPr="00A9033D">
        <w:rPr>
          <w:rFonts w:eastAsia="Calibri"/>
          <w:lang w:eastAsia="en-US"/>
        </w:rPr>
        <w:t xml:space="preserve"> </w:t>
      </w:r>
      <w:proofErr w:type="spellStart"/>
      <w:r w:rsidRPr="00A9033D">
        <w:rPr>
          <w:rFonts w:eastAsia="Calibri"/>
          <w:lang w:eastAsia="en-US"/>
        </w:rPr>
        <w:t>Milit</w:t>
      </w:r>
      <w:proofErr w:type="spellEnd"/>
      <w:r w:rsidRPr="00A9033D">
        <w:rPr>
          <w:rFonts w:eastAsia="Calibri"/>
          <w:lang w:eastAsia="en-US"/>
        </w:rPr>
        <w:t>. 2021 [acceso: 13/07/2021]; 50(1</w:t>
      </w:r>
      <w:proofErr w:type="gramStart"/>
      <w:r w:rsidRPr="00A9033D">
        <w:rPr>
          <w:rFonts w:eastAsia="Calibri"/>
          <w:lang w:eastAsia="en-US"/>
        </w:rPr>
        <w:t>):e</w:t>
      </w:r>
      <w:proofErr w:type="gramEnd"/>
      <w:r w:rsidRPr="00A9033D">
        <w:rPr>
          <w:rFonts w:eastAsia="Calibri"/>
          <w:lang w:eastAsia="en-US"/>
        </w:rPr>
        <w:t xml:space="preserve">0210931. Disponible en: </w:t>
      </w:r>
      <w:hyperlink r:id="rId19" w:history="1">
        <w:r w:rsidRPr="00A9033D">
          <w:rPr>
            <w:rFonts w:eastAsia="Calibri"/>
            <w:color w:val="0000FF"/>
            <w:u w:val="single"/>
            <w:lang w:eastAsia="en-US"/>
          </w:rPr>
          <w:t>http://www.revmedmilitar.sld.cu/index.php/mil/article/view/931</w:t>
        </w:r>
      </w:hyperlink>
      <w:r w:rsidRPr="00A9033D">
        <w:rPr>
          <w:rFonts w:eastAsia="Calibri"/>
          <w:lang w:eastAsia="en-US"/>
        </w:rPr>
        <w:t xml:space="preserve"> </w:t>
      </w:r>
    </w:p>
    <w:p w14:paraId="5338823F" w14:textId="77777777" w:rsidR="00A9033D" w:rsidRPr="00A9033D" w:rsidRDefault="00A9033D" w:rsidP="00A9033D">
      <w:pPr>
        <w:spacing w:line="360" w:lineRule="auto"/>
        <w:rPr>
          <w:rFonts w:eastAsia="Calibri"/>
          <w:lang w:eastAsia="en-US"/>
        </w:rPr>
      </w:pPr>
      <w:r w:rsidRPr="00A9033D">
        <w:rPr>
          <w:rFonts w:eastAsia="Calibri"/>
          <w:lang w:eastAsia="en-US"/>
        </w:rPr>
        <w:t xml:space="preserve">30. Reynolds C, Richmond B, </w:t>
      </w:r>
      <w:proofErr w:type="spellStart"/>
      <w:r w:rsidRPr="00A9033D">
        <w:rPr>
          <w:rFonts w:eastAsia="Calibri"/>
          <w:lang w:eastAsia="en-US"/>
        </w:rPr>
        <w:t>Lowe</w:t>
      </w:r>
      <w:proofErr w:type="spellEnd"/>
      <w:r w:rsidRPr="00A9033D">
        <w:rPr>
          <w:rFonts w:eastAsia="Calibri"/>
          <w:lang w:eastAsia="en-US"/>
        </w:rPr>
        <w:t xml:space="preserve"> P. Escala de Ansiedad Manifiesta en Adultos-AMAS. México: Manual Moderno; 2007. </w:t>
      </w:r>
    </w:p>
    <w:p w14:paraId="39E986F9" w14:textId="77777777" w:rsidR="00A9033D" w:rsidRPr="00A9033D" w:rsidRDefault="00A9033D" w:rsidP="00A9033D">
      <w:pPr>
        <w:spacing w:line="360" w:lineRule="auto"/>
        <w:rPr>
          <w:rFonts w:eastAsia="Calibri"/>
          <w:lang w:eastAsia="en-US"/>
        </w:rPr>
      </w:pPr>
      <w:r w:rsidRPr="00A9033D">
        <w:rPr>
          <w:rFonts w:eastAsia="Calibri"/>
          <w:lang w:eastAsia="en-US"/>
        </w:rPr>
        <w:t xml:space="preserve">31. Ministerio de Salud Pública. Boletines epidemiológicos coronavirus por semanas – Ministerio de Salud Pública. 2020 [acceso: 13/07/2021]. Disponible en: </w:t>
      </w:r>
      <w:hyperlink r:id="rId20" w:history="1">
        <w:r w:rsidRPr="00A9033D">
          <w:rPr>
            <w:rFonts w:eastAsia="Calibri"/>
            <w:color w:val="0000FF"/>
            <w:u w:val="single"/>
            <w:lang w:eastAsia="en-US"/>
          </w:rPr>
          <w:t>https://www.salud.gob.ec/boletines-epidemiologicos-coronavirus-por-semanas/</w:t>
        </w:r>
      </w:hyperlink>
      <w:r w:rsidRPr="00A9033D">
        <w:rPr>
          <w:rFonts w:eastAsia="Calibri"/>
          <w:lang w:eastAsia="en-US"/>
        </w:rPr>
        <w:t xml:space="preserve"> </w:t>
      </w:r>
    </w:p>
    <w:p w14:paraId="4EEBE15D" w14:textId="77777777" w:rsidR="00A9033D" w:rsidRPr="00A9033D" w:rsidRDefault="00A9033D" w:rsidP="00A9033D">
      <w:pPr>
        <w:spacing w:line="360" w:lineRule="auto"/>
        <w:rPr>
          <w:rFonts w:eastAsia="Calibri"/>
          <w:lang w:eastAsia="en-US"/>
        </w:rPr>
      </w:pPr>
      <w:r w:rsidRPr="00A9033D">
        <w:rPr>
          <w:rFonts w:eastAsia="Calibri"/>
          <w:lang w:eastAsia="en-US"/>
        </w:rPr>
        <w:t xml:space="preserve">32. Instituto Nacional de </w:t>
      </w:r>
      <w:proofErr w:type="spellStart"/>
      <w:r w:rsidRPr="00A9033D">
        <w:rPr>
          <w:rFonts w:eastAsia="Calibri"/>
          <w:lang w:eastAsia="en-US"/>
        </w:rPr>
        <w:t>Estadisticas</w:t>
      </w:r>
      <w:proofErr w:type="spellEnd"/>
      <w:r w:rsidRPr="00A9033D">
        <w:rPr>
          <w:rFonts w:eastAsia="Calibri"/>
          <w:lang w:eastAsia="en-US"/>
        </w:rPr>
        <w:t xml:space="preserve"> Censos. Proyecciones Poblacionales. INEC. 2021[acceso: 13/07/2021]. Disponible en: </w:t>
      </w:r>
      <w:hyperlink r:id="rId21" w:history="1">
        <w:r w:rsidRPr="00A9033D">
          <w:rPr>
            <w:rFonts w:eastAsia="Calibri"/>
            <w:color w:val="0000FF"/>
            <w:u w:val="single"/>
            <w:lang w:eastAsia="en-US"/>
          </w:rPr>
          <w:t>https://www.ecuadorencifras.gob.ec/proyecciones-poblacionales/</w:t>
        </w:r>
      </w:hyperlink>
      <w:r w:rsidRPr="00A9033D">
        <w:rPr>
          <w:rFonts w:eastAsia="Calibri"/>
          <w:lang w:eastAsia="en-US"/>
        </w:rPr>
        <w:t xml:space="preserve"> </w:t>
      </w:r>
    </w:p>
    <w:p w14:paraId="4A317DA2" w14:textId="77777777" w:rsidR="00A9033D" w:rsidRPr="00A9033D" w:rsidRDefault="00A9033D" w:rsidP="00A9033D">
      <w:pPr>
        <w:spacing w:line="360" w:lineRule="auto"/>
        <w:rPr>
          <w:rFonts w:eastAsia="Calibri"/>
          <w:lang w:eastAsia="en-US"/>
        </w:rPr>
      </w:pPr>
      <w:r w:rsidRPr="00A9033D">
        <w:rPr>
          <w:rFonts w:eastAsia="Calibri"/>
          <w:lang w:eastAsia="en-US"/>
        </w:rPr>
        <w:t xml:space="preserve">33. </w:t>
      </w:r>
      <w:proofErr w:type="spellStart"/>
      <w:r w:rsidRPr="00A9033D">
        <w:rPr>
          <w:rFonts w:eastAsia="Calibri"/>
          <w:lang w:eastAsia="en-US"/>
        </w:rPr>
        <w:t>World</w:t>
      </w:r>
      <w:proofErr w:type="spellEnd"/>
      <w:r w:rsidRPr="00A9033D">
        <w:rPr>
          <w:rFonts w:eastAsia="Calibri"/>
          <w:lang w:eastAsia="en-US"/>
        </w:rPr>
        <w:t xml:space="preserve"> Medical </w:t>
      </w:r>
      <w:proofErr w:type="spellStart"/>
      <w:r w:rsidRPr="00A9033D">
        <w:rPr>
          <w:rFonts w:eastAsia="Calibri"/>
          <w:lang w:eastAsia="en-US"/>
        </w:rPr>
        <w:t>Association</w:t>
      </w:r>
      <w:proofErr w:type="spellEnd"/>
      <w:r w:rsidRPr="00A9033D">
        <w:rPr>
          <w:rFonts w:eastAsia="Calibri"/>
          <w:lang w:eastAsia="en-US"/>
        </w:rPr>
        <w:t xml:space="preserve">. Declaración de Helsinki de la AMM. Principios éticos para las investigaciones médicas en seres humanos. 2014 [acceso:13/07/2021]. Disponible en: </w:t>
      </w:r>
      <w:hyperlink r:id="rId22" w:history="1">
        <w:r w:rsidRPr="00A9033D">
          <w:rPr>
            <w:rFonts w:eastAsia="Calibri"/>
            <w:color w:val="0000FF"/>
            <w:u w:val="single"/>
            <w:lang w:eastAsia="en-US"/>
          </w:rPr>
          <w:t>https://www.wma.net/es/policies-post/declaracion-de-helsinki-de-la-amm-principios-eticos-para-las-investigaciones-medicas-en-seres-humanos/</w:t>
        </w:r>
      </w:hyperlink>
      <w:r w:rsidRPr="00A9033D">
        <w:rPr>
          <w:rFonts w:eastAsia="Calibri"/>
          <w:lang w:eastAsia="en-US"/>
        </w:rPr>
        <w:t xml:space="preserve"> </w:t>
      </w:r>
    </w:p>
    <w:p w14:paraId="67AD8950" w14:textId="77777777" w:rsidR="00A9033D" w:rsidRPr="00A9033D" w:rsidRDefault="00A9033D" w:rsidP="00A9033D">
      <w:pPr>
        <w:spacing w:line="360" w:lineRule="auto"/>
        <w:rPr>
          <w:rFonts w:eastAsia="Calibri"/>
          <w:lang w:eastAsia="en-US"/>
        </w:rPr>
      </w:pPr>
      <w:r w:rsidRPr="00A9033D">
        <w:rPr>
          <w:rFonts w:eastAsia="Calibri"/>
          <w:lang w:val="en-US" w:eastAsia="en-US"/>
        </w:rPr>
        <w:t xml:space="preserve">34. </w:t>
      </w:r>
      <w:proofErr w:type="spellStart"/>
      <w:r w:rsidRPr="00A9033D">
        <w:rPr>
          <w:rFonts w:eastAsia="Calibri"/>
          <w:lang w:val="en-US" w:eastAsia="en-US"/>
        </w:rPr>
        <w:t>Remes</w:t>
      </w:r>
      <w:proofErr w:type="spellEnd"/>
      <w:r w:rsidRPr="00A9033D">
        <w:rPr>
          <w:rFonts w:eastAsia="Calibri"/>
          <w:lang w:val="en-US" w:eastAsia="en-US"/>
        </w:rPr>
        <w:t xml:space="preserve"> O, </w:t>
      </w:r>
      <w:proofErr w:type="spellStart"/>
      <w:r w:rsidRPr="00A9033D">
        <w:rPr>
          <w:rFonts w:eastAsia="Calibri"/>
          <w:lang w:val="en-US" w:eastAsia="en-US"/>
        </w:rPr>
        <w:t>Brayne</w:t>
      </w:r>
      <w:proofErr w:type="spellEnd"/>
      <w:r w:rsidRPr="00A9033D">
        <w:rPr>
          <w:rFonts w:eastAsia="Calibri"/>
          <w:lang w:val="en-US" w:eastAsia="en-US"/>
        </w:rPr>
        <w:t xml:space="preserve"> C, van der Linde R, </w:t>
      </w:r>
      <w:proofErr w:type="spellStart"/>
      <w:r w:rsidRPr="00A9033D">
        <w:rPr>
          <w:rFonts w:eastAsia="Calibri"/>
          <w:lang w:val="en-US" w:eastAsia="en-US"/>
        </w:rPr>
        <w:t>Lafortune</w:t>
      </w:r>
      <w:proofErr w:type="spellEnd"/>
      <w:r w:rsidRPr="00A9033D">
        <w:rPr>
          <w:rFonts w:eastAsia="Calibri"/>
          <w:lang w:val="en-US" w:eastAsia="en-US"/>
        </w:rPr>
        <w:t xml:space="preserve"> L. A systematic review of reviews on the prevalence of anxiety disorders in adult populations. </w:t>
      </w:r>
      <w:proofErr w:type="spellStart"/>
      <w:r w:rsidRPr="00A9033D">
        <w:rPr>
          <w:rFonts w:eastAsia="Calibri"/>
          <w:lang w:eastAsia="en-US"/>
        </w:rPr>
        <w:t>Brain</w:t>
      </w:r>
      <w:proofErr w:type="spellEnd"/>
      <w:r w:rsidRPr="00A9033D">
        <w:rPr>
          <w:rFonts w:eastAsia="Calibri"/>
          <w:lang w:eastAsia="en-US"/>
        </w:rPr>
        <w:t xml:space="preserve"> and </w:t>
      </w:r>
      <w:proofErr w:type="spellStart"/>
      <w:r w:rsidRPr="00A9033D">
        <w:rPr>
          <w:rFonts w:eastAsia="Calibri"/>
          <w:lang w:eastAsia="en-US"/>
        </w:rPr>
        <w:t>Behavior</w:t>
      </w:r>
      <w:proofErr w:type="spellEnd"/>
      <w:r w:rsidRPr="00A9033D">
        <w:rPr>
          <w:rFonts w:eastAsia="Calibri"/>
          <w:lang w:eastAsia="en-US"/>
        </w:rPr>
        <w:t>. 2016; 6(7): e00497. DOI:10.1002/brb3.497</w:t>
      </w:r>
    </w:p>
    <w:p w14:paraId="0779BD9F" w14:textId="77777777" w:rsidR="00A9033D" w:rsidRPr="00A9033D" w:rsidRDefault="00A9033D" w:rsidP="00A9033D">
      <w:pPr>
        <w:widowControl w:val="0"/>
        <w:autoSpaceDE w:val="0"/>
        <w:autoSpaceDN w:val="0"/>
        <w:adjustRightInd w:val="0"/>
        <w:spacing w:line="360" w:lineRule="auto"/>
        <w:jc w:val="center"/>
        <w:rPr>
          <w:rFonts w:eastAsia="Calibri"/>
          <w:b/>
          <w:lang w:eastAsia="en-US"/>
        </w:rPr>
      </w:pPr>
    </w:p>
    <w:p w14:paraId="646C4464" w14:textId="77777777" w:rsidR="00A9033D" w:rsidRPr="00A9033D" w:rsidRDefault="00A9033D" w:rsidP="00A9033D">
      <w:pPr>
        <w:widowControl w:val="0"/>
        <w:autoSpaceDE w:val="0"/>
        <w:autoSpaceDN w:val="0"/>
        <w:adjustRightInd w:val="0"/>
        <w:spacing w:line="360" w:lineRule="auto"/>
        <w:jc w:val="center"/>
        <w:rPr>
          <w:rFonts w:eastAsia="Calibri"/>
          <w:b/>
          <w:lang w:eastAsia="en-US"/>
        </w:rPr>
      </w:pPr>
    </w:p>
    <w:p w14:paraId="2888A30C" w14:textId="77777777" w:rsidR="00A9033D" w:rsidRPr="00A9033D" w:rsidRDefault="00A9033D" w:rsidP="00A9033D">
      <w:pPr>
        <w:widowControl w:val="0"/>
        <w:autoSpaceDE w:val="0"/>
        <w:autoSpaceDN w:val="0"/>
        <w:adjustRightInd w:val="0"/>
        <w:spacing w:line="360" w:lineRule="auto"/>
        <w:jc w:val="center"/>
        <w:rPr>
          <w:rFonts w:eastAsia="Calibri"/>
          <w:lang w:eastAsia="en-US"/>
        </w:rPr>
      </w:pPr>
      <w:r w:rsidRPr="00A9033D">
        <w:rPr>
          <w:rFonts w:eastAsia="Calibri"/>
          <w:b/>
          <w:lang w:eastAsia="en-US"/>
        </w:rPr>
        <w:t>Conflictos de intereses</w:t>
      </w:r>
    </w:p>
    <w:p w14:paraId="1CE3BA5C" w14:textId="77777777" w:rsidR="00A9033D" w:rsidRPr="00A9033D" w:rsidRDefault="00A9033D" w:rsidP="00A9033D">
      <w:pPr>
        <w:widowControl w:val="0"/>
        <w:autoSpaceDE w:val="0"/>
        <w:autoSpaceDN w:val="0"/>
        <w:adjustRightInd w:val="0"/>
        <w:spacing w:line="360" w:lineRule="auto"/>
        <w:rPr>
          <w:rFonts w:eastAsia="Calibri"/>
          <w:lang w:eastAsia="en-US"/>
        </w:rPr>
      </w:pPr>
      <w:r w:rsidRPr="00A9033D">
        <w:rPr>
          <w:rFonts w:eastAsia="Calibri"/>
          <w:lang w:eastAsia="en-US"/>
        </w:rPr>
        <w:t xml:space="preserve"> Los autores plantean que no existen conflictos de intereses.</w:t>
      </w:r>
    </w:p>
    <w:p w14:paraId="67711B55" w14:textId="77777777" w:rsidR="00A9033D" w:rsidRPr="00A9033D" w:rsidRDefault="00A9033D" w:rsidP="00A9033D">
      <w:pPr>
        <w:widowControl w:val="0"/>
        <w:autoSpaceDE w:val="0"/>
        <w:autoSpaceDN w:val="0"/>
        <w:adjustRightInd w:val="0"/>
        <w:spacing w:line="360" w:lineRule="auto"/>
        <w:rPr>
          <w:rFonts w:eastAsia="Calibri"/>
          <w:lang w:eastAsia="en-US"/>
        </w:rPr>
      </w:pPr>
    </w:p>
    <w:p w14:paraId="793289C1" w14:textId="77777777" w:rsidR="00A9033D" w:rsidRPr="00A9033D" w:rsidRDefault="00A9033D" w:rsidP="00A9033D">
      <w:pPr>
        <w:widowControl w:val="0"/>
        <w:autoSpaceDE w:val="0"/>
        <w:autoSpaceDN w:val="0"/>
        <w:adjustRightInd w:val="0"/>
        <w:spacing w:line="360" w:lineRule="auto"/>
        <w:jc w:val="center"/>
        <w:rPr>
          <w:rFonts w:eastAsia="Calibri"/>
          <w:b/>
          <w:lang w:eastAsia="en-US"/>
        </w:rPr>
      </w:pPr>
      <w:r w:rsidRPr="00A9033D">
        <w:rPr>
          <w:rFonts w:eastAsia="Calibri"/>
          <w:b/>
          <w:lang w:eastAsia="en-US"/>
        </w:rPr>
        <w:t>Contribuciones de los autores</w:t>
      </w:r>
    </w:p>
    <w:p w14:paraId="22DBB750" w14:textId="77777777" w:rsidR="00A9033D" w:rsidRPr="00A9033D" w:rsidRDefault="00A9033D" w:rsidP="00A9033D">
      <w:pPr>
        <w:widowControl w:val="0"/>
        <w:autoSpaceDE w:val="0"/>
        <w:autoSpaceDN w:val="0"/>
        <w:adjustRightInd w:val="0"/>
        <w:spacing w:line="360" w:lineRule="auto"/>
        <w:jc w:val="both"/>
        <w:rPr>
          <w:rFonts w:eastAsia="Calibri"/>
          <w:bCs/>
          <w:lang w:eastAsia="en-US"/>
        </w:rPr>
      </w:pPr>
      <w:r w:rsidRPr="00A9033D">
        <w:rPr>
          <w:rFonts w:ascii="Calibri" w:eastAsia="Calibri" w:hAnsi="Calibri"/>
          <w:bCs/>
          <w:sz w:val="22"/>
          <w:szCs w:val="22"/>
          <w:lang w:eastAsia="en-US"/>
        </w:rPr>
        <w:t xml:space="preserve"> </w:t>
      </w:r>
      <w:r w:rsidRPr="00A9033D">
        <w:rPr>
          <w:rFonts w:eastAsia="Calibri"/>
          <w:bCs/>
          <w:lang w:eastAsia="en-US"/>
        </w:rPr>
        <w:t xml:space="preserve">Conceptualización: </w:t>
      </w:r>
      <w:r w:rsidRPr="00A9033D">
        <w:rPr>
          <w:rFonts w:eastAsia="Calibri"/>
          <w:bCs/>
          <w:i/>
          <w:iCs/>
          <w:lang w:eastAsia="en-US"/>
        </w:rPr>
        <w:t>Wilson Sigüenza, Anna Guamán.</w:t>
      </w:r>
    </w:p>
    <w:p w14:paraId="621437D3" w14:textId="77777777" w:rsidR="00A9033D" w:rsidRPr="00A9033D" w:rsidRDefault="00A9033D" w:rsidP="00A9033D">
      <w:pPr>
        <w:widowControl w:val="0"/>
        <w:autoSpaceDE w:val="0"/>
        <w:autoSpaceDN w:val="0"/>
        <w:adjustRightInd w:val="0"/>
        <w:spacing w:line="360" w:lineRule="auto"/>
        <w:jc w:val="both"/>
        <w:rPr>
          <w:rFonts w:eastAsia="Calibri"/>
          <w:bCs/>
          <w:i/>
          <w:iCs/>
          <w:lang w:eastAsia="en-US"/>
        </w:rPr>
      </w:pPr>
      <w:r w:rsidRPr="00A9033D">
        <w:rPr>
          <w:rFonts w:eastAsia="Calibri"/>
          <w:bCs/>
          <w:lang w:eastAsia="en-US"/>
        </w:rPr>
        <w:t xml:space="preserve">Curación de datos: </w:t>
      </w:r>
      <w:r w:rsidRPr="00A9033D">
        <w:rPr>
          <w:rFonts w:eastAsia="Calibri"/>
          <w:bCs/>
          <w:i/>
          <w:iCs/>
          <w:lang w:eastAsia="en-US"/>
        </w:rPr>
        <w:t>Wilson Sigüenza, Anna Guamán.</w:t>
      </w:r>
    </w:p>
    <w:p w14:paraId="3CAE8999" w14:textId="77777777" w:rsidR="00A9033D" w:rsidRPr="00A9033D" w:rsidRDefault="00A9033D" w:rsidP="00A9033D">
      <w:pPr>
        <w:widowControl w:val="0"/>
        <w:autoSpaceDE w:val="0"/>
        <w:autoSpaceDN w:val="0"/>
        <w:adjustRightInd w:val="0"/>
        <w:spacing w:line="360" w:lineRule="auto"/>
        <w:jc w:val="both"/>
        <w:rPr>
          <w:rFonts w:eastAsia="Calibri"/>
          <w:bCs/>
          <w:i/>
          <w:iCs/>
          <w:lang w:eastAsia="en-US"/>
        </w:rPr>
      </w:pPr>
      <w:r w:rsidRPr="00A9033D">
        <w:rPr>
          <w:rFonts w:eastAsia="Calibri"/>
          <w:bCs/>
          <w:lang w:eastAsia="en-US"/>
        </w:rPr>
        <w:lastRenderedPageBreak/>
        <w:t xml:space="preserve">Análisis formal: </w:t>
      </w:r>
      <w:r w:rsidRPr="00A9033D">
        <w:rPr>
          <w:rFonts w:eastAsia="Calibri"/>
          <w:bCs/>
          <w:i/>
          <w:iCs/>
          <w:lang w:eastAsia="en-US"/>
        </w:rPr>
        <w:t>Wilson Sigüenza, Anna Guamán.</w:t>
      </w:r>
    </w:p>
    <w:p w14:paraId="0EE1744C" w14:textId="77777777" w:rsidR="00A9033D" w:rsidRPr="00A9033D" w:rsidRDefault="00A9033D" w:rsidP="00A9033D">
      <w:pPr>
        <w:widowControl w:val="0"/>
        <w:autoSpaceDE w:val="0"/>
        <w:autoSpaceDN w:val="0"/>
        <w:adjustRightInd w:val="0"/>
        <w:spacing w:line="360" w:lineRule="auto"/>
        <w:jc w:val="both"/>
        <w:rPr>
          <w:rFonts w:eastAsia="Calibri"/>
          <w:bCs/>
          <w:lang w:eastAsia="en-US"/>
        </w:rPr>
      </w:pPr>
      <w:r w:rsidRPr="00A9033D">
        <w:rPr>
          <w:rFonts w:eastAsia="Calibri"/>
          <w:bCs/>
          <w:lang w:eastAsia="en-US"/>
        </w:rPr>
        <w:t xml:space="preserve">Investigación: </w:t>
      </w:r>
      <w:r w:rsidRPr="00A9033D">
        <w:rPr>
          <w:rFonts w:eastAsia="Calibri"/>
          <w:bCs/>
          <w:i/>
          <w:iCs/>
          <w:lang w:eastAsia="en-US"/>
        </w:rPr>
        <w:t>Wilson Sigüenza, Anna Guamán.</w:t>
      </w:r>
    </w:p>
    <w:p w14:paraId="7A37468C" w14:textId="77777777" w:rsidR="00A9033D" w:rsidRPr="00A9033D" w:rsidRDefault="00A9033D" w:rsidP="00A9033D">
      <w:pPr>
        <w:widowControl w:val="0"/>
        <w:autoSpaceDE w:val="0"/>
        <w:autoSpaceDN w:val="0"/>
        <w:adjustRightInd w:val="0"/>
        <w:spacing w:line="360" w:lineRule="auto"/>
        <w:jc w:val="both"/>
        <w:rPr>
          <w:rFonts w:eastAsia="Calibri"/>
          <w:bCs/>
          <w:lang w:eastAsia="en-US"/>
        </w:rPr>
      </w:pPr>
      <w:r w:rsidRPr="00A9033D">
        <w:rPr>
          <w:rFonts w:eastAsia="Calibri"/>
          <w:bCs/>
          <w:lang w:eastAsia="en-US"/>
        </w:rPr>
        <w:t xml:space="preserve">Metodología: </w:t>
      </w:r>
      <w:r w:rsidRPr="00A9033D">
        <w:rPr>
          <w:rFonts w:eastAsia="Calibri"/>
          <w:bCs/>
          <w:i/>
          <w:iCs/>
          <w:lang w:eastAsia="en-US"/>
        </w:rPr>
        <w:t>Wilson Sigüenza.</w:t>
      </w:r>
    </w:p>
    <w:p w14:paraId="359A58E1" w14:textId="77777777" w:rsidR="00A9033D" w:rsidRPr="00A9033D" w:rsidRDefault="00A9033D" w:rsidP="00A9033D">
      <w:pPr>
        <w:widowControl w:val="0"/>
        <w:autoSpaceDE w:val="0"/>
        <w:autoSpaceDN w:val="0"/>
        <w:adjustRightInd w:val="0"/>
        <w:spacing w:line="360" w:lineRule="auto"/>
        <w:jc w:val="both"/>
        <w:rPr>
          <w:rFonts w:eastAsia="Calibri"/>
          <w:bCs/>
          <w:lang w:eastAsia="en-US"/>
        </w:rPr>
      </w:pPr>
      <w:r w:rsidRPr="00A9033D">
        <w:rPr>
          <w:rFonts w:eastAsia="Calibri"/>
          <w:bCs/>
          <w:lang w:eastAsia="en-US"/>
        </w:rPr>
        <w:t xml:space="preserve">Administración del proyecto: </w:t>
      </w:r>
      <w:r w:rsidRPr="00A9033D">
        <w:rPr>
          <w:rFonts w:eastAsia="Calibri"/>
          <w:bCs/>
          <w:i/>
          <w:iCs/>
          <w:lang w:eastAsia="en-US"/>
        </w:rPr>
        <w:t>Wilson Sigüenza.</w:t>
      </w:r>
    </w:p>
    <w:p w14:paraId="7D50787E" w14:textId="77777777" w:rsidR="00A9033D" w:rsidRPr="00A9033D" w:rsidRDefault="00A9033D" w:rsidP="00A9033D">
      <w:pPr>
        <w:widowControl w:val="0"/>
        <w:autoSpaceDE w:val="0"/>
        <w:autoSpaceDN w:val="0"/>
        <w:adjustRightInd w:val="0"/>
        <w:spacing w:line="360" w:lineRule="auto"/>
        <w:jc w:val="both"/>
        <w:rPr>
          <w:rFonts w:eastAsia="Calibri"/>
          <w:bCs/>
          <w:lang w:eastAsia="en-US"/>
        </w:rPr>
      </w:pPr>
      <w:r w:rsidRPr="00A9033D">
        <w:rPr>
          <w:rFonts w:eastAsia="Calibri"/>
          <w:bCs/>
          <w:lang w:eastAsia="en-US"/>
        </w:rPr>
        <w:t xml:space="preserve">Recursos: </w:t>
      </w:r>
      <w:r w:rsidRPr="00A9033D">
        <w:rPr>
          <w:rFonts w:eastAsia="Calibri"/>
          <w:bCs/>
          <w:i/>
          <w:iCs/>
          <w:lang w:eastAsia="en-US"/>
        </w:rPr>
        <w:t>Wilson Sigüenza, Anna Guamán.</w:t>
      </w:r>
    </w:p>
    <w:p w14:paraId="132B61ED" w14:textId="77777777" w:rsidR="00A9033D" w:rsidRPr="00A9033D" w:rsidRDefault="00A9033D" w:rsidP="00A9033D">
      <w:pPr>
        <w:widowControl w:val="0"/>
        <w:autoSpaceDE w:val="0"/>
        <w:autoSpaceDN w:val="0"/>
        <w:adjustRightInd w:val="0"/>
        <w:spacing w:line="360" w:lineRule="auto"/>
        <w:jc w:val="both"/>
        <w:rPr>
          <w:rFonts w:eastAsia="Calibri"/>
          <w:bCs/>
          <w:lang w:eastAsia="en-US"/>
        </w:rPr>
      </w:pPr>
      <w:r w:rsidRPr="00A9033D">
        <w:rPr>
          <w:rFonts w:eastAsia="Calibri"/>
          <w:bCs/>
          <w:lang w:eastAsia="en-US"/>
        </w:rPr>
        <w:t xml:space="preserve">Supervisión: </w:t>
      </w:r>
      <w:r w:rsidRPr="00A9033D">
        <w:rPr>
          <w:rFonts w:eastAsia="Calibri"/>
          <w:bCs/>
          <w:i/>
          <w:iCs/>
          <w:lang w:eastAsia="en-US"/>
        </w:rPr>
        <w:t>Wilson Sigüenza.</w:t>
      </w:r>
    </w:p>
    <w:p w14:paraId="02588729" w14:textId="77777777" w:rsidR="00A9033D" w:rsidRPr="00A9033D" w:rsidRDefault="00A9033D" w:rsidP="00A9033D">
      <w:pPr>
        <w:widowControl w:val="0"/>
        <w:autoSpaceDE w:val="0"/>
        <w:autoSpaceDN w:val="0"/>
        <w:adjustRightInd w:val="0"/>
        <w:spacing w:line="360" w:lineRule="auto"/>
        <w:jc w:val="both"/>
        <w:rPr>
          <w:rFonts w:eastAsia="Calibri"/>
          <w:bCs/>
          <w:lang w:eastAsia="en-US"/>
        </w:rPr>
      </w:pPr>
      <w:r w:rsidRPr="00A9033D">
        <w:rPr>
          <w:rFonts w:eastAsia="Calibri"/>
          <w:bCs/>
          <w:lang w:eastAsia="en-US"/>
        </w:rPr>
        <w:t xml:space="preserve">Validación: </w:t>
      </w:r>
      <w:r w:rsidRPr="00A9033D">
        <w:rPr>
          <w:rFonts w:eastAsia="Calibri"/>
          <w:bCs/>
          <w:i/>
          <w:iCs/>
          <w:lang w:eastAsia="en-US"/>
        </w:rPr>
        <w:t>Wilson Sigüenza.</w:t>
      </w:r>
    </w:p>
    <w:p w14:paraId="1945DD01" w14:textId="77777777" w:rsidR="00A9033D" w:rsidRPr="00A9033D" w:rsidRDefault="00A9033D" w:rsidP="00A9033D">
      <w:pPr>
        <w:widowControl w:val="0"/>
        <w:autoSpaceDE w:val="0"/>
        <w:autoSpaceDN w:val="0"/>
        <w:adjustRightInd w:val="0"/>
        <w:spacing w:line="360" w:lineRule="auto"/>
        <w:jc w:val="both"/>
        <w:rPr>
          <w:rFonts w:eastAsia="Calibri"/>
          <w:bCs/>
          <w:lang w:eastAsia="en-US"/>
        </w:rPr>
      </w:pPr>
      <w:r w:rsidRPr="00A9033D">
        <w:rPr>
          <w:rFonts w:eastAsia="Calibri"/>
          <w:bCs/>
          <w:lang w:eastAsia="en-US"/>
        </w:rPr>
        <w:t xml:space="preserve">Visualización: </w:t>
      </w:r>
      <w:r w:rsidRPr="00A9033D">
        <w:rPr>
          <w:rFonts w:eastAsia="Calibri"/>
          <w:bCs/>
          <w:i/>
          <w:iCs/>
          <w:lang w:eastAsia="en-US"/>
        </w:rPr>
        <w:t>Anna Guamán.</w:t>
      </w:r>
    </w:p>
    <w:p w14:paraId="283C302E" w14:textId="77777777" w:rsidR="00A9033D" w:rsidRPr="00A9033D" w:rsidRDefault="00A9033D" w:rsidP="00A9033D">
      <w:pPr>
        <w:widowControl w:val="0"/>
        <w:autoSpaceDE w:val="0"/>
        <w:autoSpaceDN w:val="0"/>
        <w:adjustRightInd w:val="0"/>
        <w:spacing w:line="360" w:lineRule="auto"/>
        <w:jc w:val="both"/>
        <w:rPr>
          <w:rFonts w:eastAsia="Calibri"/>
          <w:bCs/>
          <w:lang w:eastAsia="en-US"/>
        </w:rPr>
      </w:pPr>
      <w:r w:rsidRPr="00A9033D">
        <w:rPr>
          <w:rFonts w:eastAsia="Calibri"/>
          <w:bCs/>
          <w:lang w:eastAsia="en-US"/>
        </w:rPr>
        <w:t xml:space="preserve">Redacción – borrador original: </w:t>
      </w:r>
      <w:r w:rsidRPr="00A9033D">
        <w:rPr>
          <w:rFonts w:eastAsia="Calibri"/>
          <w:bCs/>
          <w:i/>
          <w:iCs/>
          <w:lang w:eastAsia="en-US"/>
        </w:rPr>
        <w:t>Wilson Sigüenza.</w:t>
      </w:r>
    </w:p>
    <w:p w14:paraId="281123C3" w14:textId="77777777" w:rsidR="00A9033D" w:rsidRPr="00A9033D" w:rsidRDefault="00A9033D" w:rsidP="00A9033D">
      <w:pPr>
        <w:widowControl w:val="0"/>
        <w:autoSpaceDE w:val="0"/>
        <w:autoSpaceDN w:val="0"/>
        <w:adjustRightInd w:val="0"/>
        <w:spacing w:line="360" w:lineRule="auto"/>
        <w:jc w:val="both"/>
        <w:rPr>
          <w:rFonts w:eastAsia="Calibri"/>
          <w:bCs/>
          <w:lang w:eastAsia="en-US"/>
        </w:rPr>
      </w:pPr>
      <w:r w:rsidRPr="00A9033D">
        <w:rPr>
          <w:rFonts w:eastAsia="Calibri"/>
          <w:bCs/>
          <w:lang w:eastAsia="en-US"/>
        </w:rPr>
        <w:t xml:space="preserve">Redacción – revisión y edición: </w:t>
      </w:r>
      <w:r w:rsidRPr="00A9033D">
        <w:rPr>
          <w:rFonts w:eastAsia="Calibri"/>
          <w:bCs/>
          <w:i/>
          <w:iCs/>
          <w:lang w:eastAsia="en-US"/>
        </w:rPr>
        <w:t>Wilson Sigüenza, Anna Guamán.</w:t>
      </w:r>
    </w:p>
    <w:p w14:paraId="779E273A" w14:textId="77777777" w:rsidR="00675476" w:rsidRPr="00A9033D" w:rsidRDefault="00675476" w:rsidP="00EA1FEF">
      <w:pPr>
        <w:pStyle w:val="PDFRevista"/>
        <w:rPr>
          <w:lang w:val="es-ES_tradnl"/>
        </w:rPr>
      </w:pPr>
    </w:p>
    <w:sectPr w:rsidR="00675476" w:rsidRPr="00A9033D" w:rsidSect="00FD3DF8">
      <w:headerReference w:type="default" r:id="rId23"/>
      <w:footerReference w:type="even" r:id="rId24"/>
      <w:footerReference w:type="default" r:id="rId2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B5CA" w14:textId="77777777" w:rsidR="006211CA" w:rsidRDefault="006211CA">
      <w:r>
        <w:separator/>
      </w:r>
    </w:p>
  </w:endnote>
  <w:endnote w:type="continuationSeparator" w:id="0">
    <w:p w14:paraId="4480FBA9" w14:textId="77777777" w:rsidR="006211CA" w:rsidRDefault="00621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Lt BT">
    <w:altName w:val="Futura Lt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379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E6B5FC"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45D2"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6B090C2C" wp14:editId="5524E9B2">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E96F0"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751B660C" w14:textId="77777777" w:rsidR="00675476" w:rsidRPr="00AE044C" w:rsidRDefault="006211CA" w:rsidP="00391509">
    <w:pPr>
      <w:pStyle w:val="Piedepgina"/>
      <w:ind w:right="360"/>
      <w:rPr>
        <w:sz w:val="22"/>
        <w:szCs w:val="22"/>
      </w:rPr>
    </w:pPr>
    <w:hyperlink r:id="rId1" w:history="1">
      <w:r w:rsidR="00391509" w:rsidRPr="00AE044C">
        <w:rPr>
          <w:rStyle w:val="Hipervnculo"/>
          <w:sz w:val="22"/>
          <w:szCs w:val="22"/>
        </w:rPr>
        <w:t>http://scielo.sld.cu</w:t>
      </w:r>
    </w:hyperlink>
  </w:p>
  <w:p w14:paraId="3726D59E" w14:textId="77777777" w:rsidR="00391509" w:rsidRPr="00AE044C" w:rsidRDefault="006211CA"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7DDE098"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n-US" w:eastAsia="en-US"/>
      </w:rPr>
      <w:drawing>
        <wp:inline distT="0" distB="0" distL="0" distR="0" wp14:anchorId="0426394B" wp14:editId="4970ADBD">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9D8DC" w14:textId="77777777" w:rsidR="006211CA" w:rsidRDefault="006211CA">
      <w:r>
        <w:separator/>
      </w:r>
    </w:p>
  </w:footnote>
  <w:footnote w:type="continuationSeparator" w:id="0">
    <w:p w14:paraId="5855830A" w14:textId="77777777" w:rsidR="006211CA" w:rsidRDefault="00621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F8C9" w14:textId="0B0AD851" w:rsidR="00CC376A" w:rsidRPr="00AE044C" w:rsidRDefault="00A9033D"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1</w:t>
    </w:r>
    <w:r w:rsidR="007D2D0C" w:rsidRPr="00AE044C">
      <w:rPr>
        <w:sz w:val="22"/>
        <w:szCs w:val="22"/>
      </w:rPr>
      <w:t>):</w:t>
    </w:r>
    <w:r>
      <w:rPr>
        <w:sz w:val="22"/>
        <w:szCs w:val="22"/>
      </w:rPr>
      <w:t xml:space="preserve"> </w:t>
    </w:r>
    <w:r w:rsidR="007D2D0C">
      <w:rPr>
        <w:b/>
        <w:noProof/>
        <w:color w:val="00FFFF"/>
        <w:sz w:val="22"/>
        <w:szCs w:val="22"/>
        <w:lang w:val="en-US" w:eastAsia="en-US"/>
      </w:rPr>
      <w:drawing>
        <wp:anchor distT="0" distB="0" distL="114300" distR="114300" simplePos="0" relativeHeight="251663360" behindDoc="1" locked="0" layoutInCell="1" allowOverlap="1" wp14:anchorId="55102754" wp14:editId="67C19B47">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e02201738</w:t>
    </w:r>
  </w:p>
  <w:p w14:paraId="400A295C"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096EE3DD" wp14:editId="7E284C6E">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FDDE3"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B2EB8"/>
    <w:multiLevelType w:val="multilevel"/>
    <w:tmpl w:val="F16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B17C4E"/>
    <w:multiLevelType w:val="hybridMultilevel"/>
    <w:tmpl w:val="F3581EB0"/>
    <w:lvl w:ilvl="0" w:tplc="580A0001">
      <w:start w:val="2"/>
      <w:numFmt w:val="bullet"/>
      <w:lvlText w:val=""/>
      <w:lvlJc w:val="left"/>
      <w:pPr>
        <w:ind w:left="720" w:hanging="360"/>
      </w:pPr>
      <w:rPr>
        <w:rFonts w:ascii="Symbol" w:eastAsia="Times New Roman" w:hAnsi="Symbol"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33D"/>
    <w:rsid w:val="00057F45"/>
    <w:rsid w:val="000D3958"/>
    <w:rsid w:val="000F3690"/>
    <w:rsid w:val="001221D1"/>
    <w:rsid w:val="00165CB5"/>
    <w:rsid w:val="00180CE9"/>
    <w:rsid w:val="002204EF"/>
    <w:rsid w:val="00230DD5"/>
    <w:rsid w:val="00250AE9"/>
    <w:rsid w:val="00380D64"/>
    <w:rsid w:val="00391509"/>
    <w:rsid w:val="003E03D5"/>
    <w:rsid w:val="00486BFA"/>
    <w:rsid w:val="00493701"/>
    <w:rsid w:val="004E2065"/>
    <w:rsid w:val="005508A2"/>
    <w:rsid w:val="0055115D"/>
    <w:rsid w:val="00566F71"/>
    <w:rsid w:val="005918BD"/>
    <w:rsid w:val="006173A6"/>
    <w:rsid w:val="006211CA"/>
    <w:rsid w:val="00675476"/>
    <w:rsid w:val="007C430F"/>
    <w:rsid w:val="007D2D0C"/>
    <w:rsid w:val="007D614D"/>
    <w:rsid w:val="00960D6A"/>
    <w:rsid w:val="009A0560"/>
    <w:rsid w:val="009B0917"/>
    <w:rsid w:val="009F0F96"/>
    <w:rsid w:val="00A23C0C"/>
    <w:rsid w:val="00A33D82"/>
    <w:rsid w:val="00A477DE"/>
    <w:rsid w:val="00A71E65"/>
    <w:rsid w:val="00A9033D"/>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15826F"/>
  <w15:docId w15:val="{619B5206-6DB6-4157-B4A1-4A5F51D5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A9033D"/>
    <w:pPr>
      <w:keepNext/>
      <w:keepLines/>
      <w:spacing w:before="240"/>
      <w:outlineLvl w:val="0"/>
    </w:pPr>
    <w:rPr>
      <w:rFonts w:ascii="Calibri Light" w:hAnsi="Calibri Light"/>
      <w:color w:val="2E74B5"/>
      <w:sz w:val="32"/>
      <w:szCs w:val="32"/>
      <w:lang w:val="es-ES" w:eastAsia="es-ES"/>
    </w:rPr>
  </w:style>
  <w:style w:type="paragraph" w:styleId="Ttulo2">
    <w:name w:val="heading 2"/>
    <w:basedOn w:val="Normal"/>
    <w:next w:val="Normal"/>
    <w:link w:val="Ttulo2Car"/>
    <w:uiPriority w:val="9"/>
    <w:semiHidden/>
    <w:unhideWhenUsed/>
    <w:qFormat/>
    <w:rsid w:val="00A9033D"/>
    <w:pPr>
      <w:keepNext/>
      <w:keepLines/>
      <w:spacing w:before="40"/>
      <w:outlineLvl w:val="1"/>
    </w:pPr>
    <w:rPr>
      <w:rFonts w:ascii="Calibri Light" w:hAnsi="Calibri Light"/>
      <w:color w:val="2E74B5"/>
      <w:sz w:val="26"/>
      <w:szCs w:val="26"/>
      <w:lang w:val="es-ES" w:eastAsia="es-ES"/>
    </w:rPr>
  </w:style>
  <w:style w:type="paragraph" w:styleId="Ttulo3">
    <w:name w:val="heading 3"/>
    <w:basedOn w:val="Normal"/>
    <w:link w:val="Ttulo3Car"/>
    <w:uiPriority w:val="9"/>
    <w:qFormat/>
    <w:rsid w:val="00A9033D"/>
    <w:pPr>
      <w:spacing w:before="100" w:beforeAutospacing="1" w:after="100" w:afterAutospacing="1"/>
      <w:outlineLvl w:val="2"/>
    </w:pPr>
    <w:rPr>
      <w:b/>
      <w:bCs/>
      <w:sz w:val="27"/>
      <w:szCs w:val="27"/>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paragraph" w:customStyle="1" w:styleId="Ttulo11">
    <w:name w:val="Título 11"/>
    <w:basedOn w:val="Normal"/>
    <w:next w:val="Normal"/>
    <w:uiPriority w:val="9"/>
    <w:qFormat/>
    <w:rsid w:val="00A9033D"/>
    <w:pPr>
      <w:keepNext/>
      <w:keepLines/>
      <w:spacing w:before="240" w:line="259" w:lineRule="auto"/>
      <w:outlineLvl w:val="0"/>
    </w:pPr>
    <w:rPr>
      <w:rFonts w:ascii="Calibri Light" w:hAnsi="Calibri Light"/>
      <w:color w:val="2E74B5"/>
      <w:sz w:val="32"/>
      <w:szCs w:val="32"/>
      <w:lang w:eastAsia="en-US"/>
    </w:rPr>
  </w:style>
  <w:style w:type="paragraph" w:customStyle="1" w:styleId="Ttulo21">
    <w:name w:val="Título 21"/>
    <w:basedOn w:val="Normal"/>
    <w:next w:val="Normal"/>
    <w:uiPriority w:val="9"/>
    <w:unhideWhenUsed/>
    <w:qFormat/>
    <w:rsid w:val="00A9033D"/>
    <w:pPr>
      <w:keepNext/>
      <w:keepLines/>
      <w:spacing w:before="40" w:line="259" w:lineRule="auto"/>
      <w:outlineLvl w:val="1"/>
    </w:pPr>
    <w:rPr>
      <w:rFonts w:ascii="Calibri Light" w:hAnsi="Calibri Light"/>
      <w:color w:val="2E74B5"/>
      <w:sz w:val="26"/>
      <w:szCs w:val="26"/>
      <w:lang w:eastAsia="en-US"/>
    </w:rPr>
  </w:style>
  <w:style w:type="character" w:customStyle="1" w:styleId="Ttulo3Car">
    <w:name w:val="Título 3 Car"/>
    <w:basedOn w:val="Fuentedeprrafopredeter"/>
    <w:link w:val="Ttulo3"/>
    <w:uiPriority w:val="9"/>
    <w:rsid w:val="00A9033D"/>
    <w:rPr>
      <w:b/>
      <w:bCs/>
      <w:sz w:val="27"/>
      <w:szCs w:val="27"/>
      <w:lang w:val="es-ES_tradnl" w:eastAsia="en-US"/>
    </w:rPr>
  </w:style>
  <w:style w:type="numbering" w:customStyle="1" w:styleId="Sinlista1">
    <w:name w:val="Sin lista1"/>
    <w:next w:val="Sinlista"/>
    <w:uiPriority w:val="99"/>
    <w:semiHidden/>
    <w:unhideWhenUsed/>
    <w:rsid w:val="00A9033D"/>
  </w:style>
  <w:style w:type="character" w:styleId="Refdecomentario">
    <w:name w:val="annotation reference"/>
    <w:basedOn w:val="Fuentedeprrafopredeter"/>
    <w:uiPriority w:val="99"/>
    <w:semiHidden/>
    <w:unhideWhenUsed/>
    <w:rsid w:val="00A9033D"/>
    <w:rPr>
      <w:sz w:val="16"/>
      <w:szCs w:val="16"/>
    </w:rPr>
  </w:style>
  <w:style w:type="paragraph" w:styleId="Textocomentario">
    <w:name w:val="annotation text"/>
    <w:basedOn w:val="Normal"/>
    <w:link w:val="TextocomentarioCar"/>
    <w:uiPriority w:val="99"/>
    <w:unhideWhenUsed/>
    <w:rsid w:val="00A9033D"/>
    <w:pPr>
      <w:spacing w:after="16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rsid w:val="00A9033D"/>
    <w:rPr>
      <w:rFonts w:ascii="Calibri" w:eastAsia="Calibri" w:hAnsi="Calibri"/>
      <w:lang w:val="es-ES_tradnl" w:eastAsia="en-US"/>
    </w:rPr>
  </w:style>
  <w:style w:type="paragraph" w:styleId="Asuntodelcomentario">
    <w:name w:val="annotation subject"/>
    <w:basedOn w:val="Textocomentario"/>
    <w:next w:val="Textocomentario"/>
    <w:link w:val="AsuntodelcomentarioCar"/>
    <w:uiPriority w:val="99"/>
    <w:semiHidden/>
    <w:unhideWhenUsed/>
    <w:rsid w:val="00A9033D"/>
    <w:rPr>
      <w:b/>
      <w:bCs/>
    </w:rPr>
  </w:style>
  <w:style w:type="character" w:customStyle="1" w:styleId="AsuntodelcomentarioCar">
    <w:name w:val="Asunto del comentario Car"/>
    <w:basedOn w:val="TextocomentarioCar"/>
    <w:link w:val="Asuntodelcomentario"/>
    <w:uiPriority w:val="99"/>
    <w:semiHidden/>
    <w:rsid w:val="00A9033D"/>
    <w:rPr>
      <w:rFonts w:ascii="Calibri" w:eastAsia="Calibri" w:hAnsi="Calibri"/>
      <w:b/>
      <w:bCs/>
      <w:lang w:val="es-ES_tradnl" w:eastAsia="en-US"/>
    </w:rPr>
  </w:style>
  <w:style w:type="paragraph" w:customStyle="1" w:styleId="sub-subsec">
    <w:name w:val="sub-subsec"/>
    <w:basedOn w:val="Normal"/>
    <w:rsid w:val="00A9033D"/>
    <w:pPr>
      <w:spacing w:before="100" w:beforeAutospacing="1" w:after="100" w:afterAutospacing="1"/>
    </w:pPr>
    <w:rPr>
      <w:lang w:eastAsia="en-US"/>
    </w:rPr>
  </w:style>
  <w:style w:type="paragraph" w:styleId="HTMLconformatoprevio">
    <w:name w:val="HTML Preformatted"/>
    <w:basedOn w:val="Normal"/>
    <w:link w:val="HTMLconformatoprevioCar"/>
    <w:uiPriority w:val="99"/>
    <w:semiHidden/>
    <w:unhideWhenUsed/>
    <w:rsid w:val="00A90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conformatoprevioCar">
    <w:name w:val="HTML con formato previo Car"/>
    <w:basedOn w:val="Fuentedeprrafopredeter"/>
    <w:link w:val="HTMLconformatoprevio"/>
    <w:uiPriority w:val="99"/>
    <w:semiHidden/>
    <w:rsid w:val="00A9033D"/>
    <w:rPr>
      <w:rFonts w:ascii="Courier New" w:hAnsi="Courier New" w:cs="Courier New"/>
      <w:lang w:val="es-ES_tradnl" w:eastAsia="en-US"/>
    </w:rPr>
  </w:style>
  <w:style w:type="character" w:customStyle="1" w:styleId="Hipervnculovisitado1">
    <w:name w:val="Hipervínculo visitado1"/>
    <w:basedOn w:val="Fuentedeprrafopredeter"/>
    <w:uiPriority w:val="99"/>
    <w:semiHidden/>
    <w:unhideWhenUsed/>
    <w:rsid w:val="00A9033D"/>
    <w:rPr>
      <w:color w:val="954F72"/>
      <w:u w:val="single"/>
    </w:rPr>
  </w:style>
  <w:style w:type="character" w:styleId="Textoennegrita">
    <w:name w:val="Strong"/>
    <w:basedOn w:val="Fuentedeprrafopredeter"/>
    <w:uiPriority w:val="22"/>
    <w:qFormat/>
    <w:rsid w:val="00A9033D"/>
    <w:rPr>
      <w:b/>
      <w:bCs/>
    </w:rPr>
  </w:style>
  <w:style w:type="character" w:customStyle="1" w:styleId="A20">
    <w:name w:val="A20"/>
    <w:uiPriority w:val="99"/>
    <w:rsid w:val="00A9033D"/>
    <w:rPr>
      <w:rFonts w:cs="Futura Lt BT"/>
      <w:color w:val="000000"/>
      <w:sz w:val="14"/>
      <w:szCs w:val="14"/>
    </w:rPr>
  </w:style>
  <w:style w:type="character" w:styleId="nfasis">
    <w:name w:val="Emphasis"/>
    <w:basedOn w:val="Fuentedeprrafopredeter"/>
    <w:uiPriority w:val="20"/>
    <w:qFormat/>
    <w:rsid w:val="00A9033D"/>
    <w:rPr>
      <w:i/>
      <w:iCs/>
    </w:rPr>
  </w:style>
  <w:style w:type="character" w:customStyle="1" w:styleId="Ttulo2Car">
    <w:name w:val="Título 2 Car"/>
    <w:basedOn w:val="Fuentedeprrafopredeter"/>
    <w:link w:val="Ttulo2"/>
    <w:uiPriority w:val="9"/>
    <w:rsid w:val="00A9033D"/>
    <w:rPr>
      <w:rFonts w:ascii="Calibri Light" w:eastAsia="Times New Roman" w:hAnsi="Calibri Light" w:cs="Times New Roman"/>
      <w:color w:val="2E74B5"/>
      <w:sz w:val="26"/>
      <w:szCs w:val="26"/>
    </w:rPr>
  </w:style>
  <w:style w:type="paragraph" w:styleId="Prrafodelista">
    <w:name w:val="List Paragraph"/>
    <w:basedOn w:val="Normal"/>
    <w:uiPriority w:val="34"/>
    <w:qFormat/>
    <w:rsid w:val="00A9033D"/>
    <w:pPr>
      <w:spacing w:after="160" w:line="259" w:lineRule="auto"/>
      <w:ind w:left="720"/>
      <w:contextualSpacing/>
    </w:pPr>
    <w:rPr>
      <w:rFonts w:ascii="Calibri" w:eastAsia="Calibri" w:hAnsi="Calibri"/>
      <w:sz w:val="22"/>
      <w:szCs w:val="22"/>
      <w:lang w:eastAsia="en-US"/>
    </w:rPr>
  </w:style>
  <w:style w:type="character" w:customStyle="1" w:styleId="Ttulo1Car">
    <w:name w:val="Título 1 Car"/>
    <w:basedOn w:val="Fuentedeprrafopredeter"/>
    <w:link w:val="Ttulo1"/>
    <w:uiPriority w:val="9"/>
    <w:rsid w:val="00A9033D"/>
    <w:rPr>
      <w:rFonts w:ascii="Calibri Light" w:eastAsia="Times New Roman" w:hAnsi="Calibri Light" w:cs="Times New Roman"/>
      <w:color w:val="2E74B5"/>
      <w:sz w:val="32"/>
      <w:szCs w:val="32"/>
    </w:rPr>
  </w:style>
  <w:style w:type="character" w:customStyle="1" w:styleId="Mencinsinresolver1">
    <w:name w:val="Mención sin resolver1"/>
    <w:basedOn w:val="Fuentedeprrafopredeter"/>
    <w:uiPriority w:val="99"/>
    <w:semiHidden/>
    <w:unhideWhenUsed/>
    <w:rsid w:val="00A9033D"/>
    <w:rPr>
      <w:color w:val="605E5C"/>
      <w:shd w:val="clear" w:color="auto" w:fill="E1DFDD"/>
    </w:rPr>
  </w:style>
  <w:style w:type="character" w:styleId="Mencinsinresolver">
    <w:name w:val="Unresolved Mention"/>
    <w:basedOn w:val="Fuentedeprrafopredeter"/>
    <w:uiPriority w:val="99"/>
    <w:semiHidden/>
    <w:unhideWhenUsed/>
    <w:rsid w:val="00A9033D"/>
    <w:rPr>
      <w:color w:val="605E5C"/>
      <w:shd w:val="clear" w:color="auto" w:fill="E1DFDD"/>
    </w:rPr>
  </w:style>
  <w:style w:type="character" w:styleId="Hipervnculovisitado">
    <w:name w:val="FollowedHyperlink"/>
    <w:basedOn w:val="Fuentedeprrafopredeter"/>
    <w:semiHidden/>
    <w:unhideWhenUsed/>
    <w:rsid w:val="00A9033D"/>
    <w:rPr>
      <w:color w:val="800080" w:themeColor="followedHyperlink"/>
      <w:u w:val="single"/>
    </w:rPr>
  </w:style>
  <w:style w:type="character" w:customStyle="1" w:styleId="Ttulo2Car1">
    <w:name w:val="Título 2 Car1"/>
    <w:basedOn w:val="Fuentedeprrafopredeter"/>
    <w:link w:val="Ttulo2"/>
    <w:semiHidden/>
    <w:rsid w:val="00A9033D"/>
    <w:rPr>
      <w:rFonts w:asciiTheme="majorHAnsi" w:eastAsiaTheme="majorEastAsia" w:hAnsiTheme="majorHAnsi" w:cstheme="majorBidi"/>
      <w:color w:val="365F91" w:themeColor="accent1" w:themeShade="BF"/>
      <w:sz w:val="26"/>
      <w:szCs w:val="26"/>
      <w:lang w:val="es-ES_tradnl" w:eastAsia="es-ES_tradnl"/>
    </w:rPr>
  </w:style>
  <w:style w:type="character" w:customStyle="1" w:styleId="Ttulo1Car1">
    <w:name w:val="Título 1 Car1"/>
    <w:basedOn w:val="Fuentedeprrafopredeter"/>
    <w:link w:val="Ttulo1"/>
    <w:rsid w:val="00A9033D"/>
    <w:rPr>
      <w:rFonts w:asciiTheme="majorHAnsi" w:eastAsiaTheme="majorEastAsia" w:hAnsiTheme="majorHAnsi" w:cstheme="majorBidi"/>
      <w:color w:val="365F91" w:themeColor="accent1" w:themeShade="BF"/>
      <w:sz w:val="32"/>
      <w:szCs w:val="3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021-4590" TargetMode="External"/><Relationship Id="rId13" Type="http://schemas.openxmlformats.org/officeDocument/2006/relationships/hyperlink" Target="https://doi.org/10.30849/ripijp.v54i1.1298" TargetMode="External"/><Relationship Id="rId18" Type="http://schemas.openxmlformats.org/officeDocument/2006/relationships/hyperlink" Target="http://scielo.sld.cu/pdf/rhcm/v19n2/1729-519X-rhcm-19-02-e3233.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ecuadorencifras.gob.ec/proyecciones-poblacionales/" TargetMode="External"/><Relationship Id="rId7" Type="http://schemas.openxmlformats.org/officeDocument/2006/relationships/hyperlink" Target="https://orcid.org/0000-0003-1089-7109" TargetMode="External"/><Relationship Id="rId12" Type="http://schemas.openxmlformats.org/officeDocument/2006/relationships/image" Target="media/image3.jpeg"/><Relationship Id="rId17" Type="http://schemas.openxmlformats.org/officeDocument/2006/relationships/hyperlink" Target="https://www.gacetamedicademexico.com/portadas/gmm_20_156_4.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ovid19.who.int/" TargetMode="External"/><Relationship Id="rId20" Type="http://schemas.openxmlformats.org/officeDocument/2006/relationships/hyperlink" Target="https://www.salud.gob.ec/boletines-epidemiologicos-coronavirus-por-seman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gif"/><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80/08920753.2020.1766937" TargetMode="External"/><Relationship Id="rId23"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yperlink" Target="http://www.revmedmilitar.sld.cu/index.php/mil/article/view/931" TargetMode="External"/><Relationship Id="rId4" Type="http://schemas.openxmlformats.org/officeDocument/2006/relationships/webSettings" Target="webSettings.xml"/><Relationship Id="rId9" Type="http://schemas.openxmlformats.org/officeDocument/2006/relationships/hyperlink" Target="mailto:wgsiguenza@utpl.edu.ec" TargetMode="External"/><Relationship Id="rId14" Type="http://schemas.openxmlformats.org/officeDocument/2006/relationships/hyperlink" Target="https://www.paho.org/hq/index.php?option=com_content&amp;view=article&amp;id=15756:who-characterizes-covid-19-as-a-pandemic&amp;Itemid=1926&amp;lang=es" TargetMode="External"/><Relationship Id="rId22" Type="http://schemas.openxmlformats.org/officeDocument/2006/relationships/hyperlink" Target="https://www.wma.net/es/policies-post/declaracion-de-helsinki-de-la-amm-principios-eticos-para-las-investigaciones-medicas-en-seres-humano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16</Pages>
  <Words>4675</Words>
  <Characters>25714</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30329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VP</dc:creator>
  <cp:lastModifiedBy>VP</cp:lastModifiedBy>
  <cp:revision>3</cp:revision>
  <cp:lastPrinted>2010-09-13T21:29:00Z</cp:lastPrinted>
  <dcterms:created xsi:type="dcterms:W3CDTF">2022-03-12T20:20:00Z</dcterms:created>
  <dcterms:modified xsi:type="dcterms:W3CDTF">2022-03-12T20:22:00Z</dcterms:modified>
</cp:coreProperties>
</file>